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Times New Roman"/>
          <w:sz w:val="20"/>
        </w:rPr>
      </w:pPr>
    </w:p>
    <w:p>
      <w:pPr>
        <w:pStyle w:val="10"/>
        <w:rPr>
          <w:rFonts w:ascii="Times New Roman"/>
          <w:sz w:val="20"/>
        </w:rPr>
      </w:pPr>
    </w:p>
    <w:p>
      <w:pPr>
        <w:pStyle w:val="10"/>
        <w:rPr>
          <w:rFonts w:ascii="Times New Roman"/>
          <w:sz w:val="20"/>
        </w:rPr>
      </w:pPr>
    </w:p>
    <w:p>
      <w:pPr>
        <w:pStyle w:val="10"/>
        <w:spacing w:before="3"/>
        <w:rPr>
          <w:rFonts w:ascii="Times New Roman"/>
          <w:sz w:val="27"/>
        </w:rPr>
      </w:pPr>
    </w:p>
    <w:p>
      <w:pPr>
        <w:spacing w:before="21" w:line="312" w:lineRule="auto"/>
        <w:ind w:left="673" w:right="470" w:hanging="13"/>
        <w:jc w:val="center"/>
        <w:rPr>
          <w:b/>
          <w:bCs/>
          <w:sz w:val="44"/>
          <w:szCs w:val="44"/>
        </w:rPr>
      </w:pPr>
      <w:r>
        <w:rPr>
          <w:rFonts w:hint="eastAsia"/>
          <w:b/>
          <w:bCs/>
          <w:sz w:val="44"/>
          <w:szCs w:val="44"/>
        </w:rPr>
        <w:t>新疆大学202</w:t>
      </w:r>
      <w:r>
        <w:rPr>
          <w:rFonts w:hint="eastAsia"/>
          <w:b/>
          <w:bCs/>
          <w:sz w:val="44"/>
          <w:szCs w:val="44"/>
          <w:lang w:val="en-US" w:eastAsia="zh-CN"/>
        </w:rPr>
        <w:t>3</w:t>
      </w:r>
      <w:r>
        <w:rPr>
          <w:rFonts w:hint="eastAsia"/>
          <w:b/>
          <w:bCs/>
          <w:sz w:val="44"/>
          <w:szCs w:val="44"/>
        </w:rPr>
        <w:t>年度电子资源招标采购</w:t>
      </w:r>
      <w:r>
        <w:rPr>
          <w:b/>
          <w:bCs/>
          <w:sz w:val="44"/>
          <w:szCs w:val="44"/>
        </w:rPr>
        <w:t>项目</w:t>
      </w:r>
    </w:p>
    <w:p>
      <w:pPr>
        <w:pStyle w:val="10"/>
        <w:spacing w:before="1"/>
        <w:rPr>
          <w:sz w:val="62"/>
        </w:rPr>
      </w:pPr>
    </w:p>
    <w:p>
      <w:pPr>
        <w:pStyle w:val="10"/>
        <w:spacing w:before="1"/>
        <w:rPr>
          <w:sz w:val="62"/>
        </w:rPr>
      </w:pPr>
    </w:p>
    <w:p>
      <w:pPr>
        <w:spacing w:before="1"/>
        <w:ind w:left="1153" w:right="1154"/>
        <w:jc w:val="center"/>
        <w:rPr>
          <w:b/>
          <w:sz w:val="52"/>
        </w:rPr>
      </w:pPr>
      <w:r>
        <w:rPr>
          <w:b/>
          <w:sz w:val="52"/>
        </w:rPr>
        <w:t>单一来源采购文件</w:t>
      </w:r>
    </w:p>
    <w:p>
      <w:pPr>
        <w:pStyle w:val="10"/>
        <w:jc w:val="center"/>
        <w:rPr>
          <w:b/>
          <w:sz w:val="32"/>
          <w:szCs w:val="32"/>
          <w:lang w:val="en-US"/>
        </w:rPr>
      </w:pPr>
      <w:r>
        <w:rPr>
          <w:rFonts w:hint="eastAsia"/>
          <w:b/>
          <w:sz w:val="32"/>
          <w:szCs w:val="32"/>
        </w:rPr>
        <w:t>【项目编号：</w:t>
      </w:r>
      <w:r>
        <w:rPr>
          <w:rFonts w:hint="eastAsia"/>
          <w:b/>
          <w:sz w:val="28"/>
          <w:szCs w:val="28"/>
          <w:lang w:val="en-US" w:eastAsia="zh-CN"/>
        </w:rPr>
        <w:t>ZZ</w:t>
      </w:r>
      <w:bookmarkStart w:id="0" w:name="_Hlk71541153"/>
      <w:r>
        <w:rPr>
          <w:rFonts w:hint="eastAsia" w:ascii="宋体" w:hAnsi="宋体" w:eastAsia="宋体" w:cs="宋体"/>
          <w:b/>
          <w:sz w:val="28"/>
          <w:szCs w:val="28"/>
          <w:lang w:val="zh-CN"/>
        </w:rPr>
        <w:t>202</w:t>
      </w:r>
      <w:r>
        <w:rPr>
          <w:rFonts w:hint="eastAsia" w:ascii="宋体" w:hAnsi="宋体" w:eastAsia="宋体" w:cs="宋体"/>
          <w:b/>
          <w:sz w:val="28"/>
          <w:szCs w:val="28"/>
          <w:lang w:val="en-US" w:eastAsia="zh-CN"/>
        </w:rPr>
        <w:t>3</w:t>
      </w:r>
      <w:r>
        <w:rPr>
          <w:rFonts w:hint="eastAsia" w:ascii="宋体" w:hAnsi="宋体" w:eastAsia="宋体" w:cs="宋体"/>
          <w:b/>
          <w:sz w:val="28"/>
          <w:szCs w:val="28"/>
          <w:lang w:val="zh-CN"/>
        </w:rPr>
        <w:t>-</w:t>
      </w:r>
      <w:bookmarkEnd w:id="0"/>
      <w:r>
        <w:rPr>
          <w:rFonts w:hint="eastAsia" w:cs="宋体"/>
          <w:b/>
          <w:sz w:val="28"/>
          <w:szCs w:val="28"/>
          <w:lang w:val="en-US" w:eastAsia="zh-CN"/>
        </w:rPr>
        <w:t>078</w:t>
      </w:r>
      <w:r>
        <w:rPr>
          <w:rFonts w:hint="eastAsia"/>
          <w:b/>
          <w:sz w:val="32"/>
          <w:szCs w:val="32"/>
          <w:lang w:val="en-US"/>
        </w:rPr>
        <w:t>】</w:t>
      </w:r>
    </w:p>
    <w:p>
      <w:pPr>
        <w:pStyle w:val="10"/>
        <w:rPr>
          <w:b/>
          <w:sz w:val="52"/>
        </w:rPr>
      </w:pPr>
    </w:p>
    <w:p>
      <w:pPr>
        <w:pStyle w:val="10"/>
        <w:rPr>
          <w:b/>
          <w:sz w:val="52"/>
        </w:rPr>
      </w:pPr>
    </w:p>
    <w:p>
      <w:pPr>
        <w:pStyle w:val="10"/>
        <w:rPr>
          <w:b/>
          <w:sz w:val="52"/>
        </w:rPr>
      </w:pPr>
    </w:p>
    <w:p>
      <w:pPr>
        <w:pStyle w:val="10"/>
        <w:rPr>
          <w:sz w:val="32"/>
        </w:rPr>
      </w:pPr>
    </w:p>
    <w:p>
      <w:pPr>
        <w:pStyle w:val="10"/>
        <w:rPr>
          <w:sz w:val="32"/>
        </w:rPr>
      </w:pPr>
    </w:p>
    <w:p>
      <w:pPr>
        <w:widowControl w:val="0"/>
        <w:adjustRightInd w:val="0"/>
        <w:snapToGrid w:val="0"/>
        <w:spacing w:line="480" w:lineRule="auto"/>
        <w:ind w:left="2103" w:leftChars="104" w:right="-378" w:rightChars="-172" w:hanging="1874" w:hangingChars="778"/>
        <w:rPr>
          <w:rFonts w:hint="eastAsia" w:ascii="宋体" w:hAnsi="宋体" w:cs="宋体"/>
          <w:b/>
          <w:bCs/>
          <w:sz w:val="24"/>
        </w:rPr>
      </w:pPr>
      <w:r>
        <w:rPr>
          <w:rFonts w:hint="eastAsia" w:ascii="宋体" w:hAnsi="宋体" w:cs="宋体"/>
          <w:b/>
          <w:bCs/>
          <w:sz w:val="24"/>
        </w:rPr>
        <w:t>项目名称: 新疆大学202</w:t>
      </w:r>
      <w:r>
        <w:rPr>
          <w:rFonts w:hint="eastAsia" w:ascii="宋体" w:hAnsi="宋体" w:cs="宋体"/>
          <w:b/>
          <w:bCs/>
          <w:sz w:val="24"/>
          <w:lang w:val="en-US" w:eastAsia="zh-CN"/>
        </w:rPr>
        <w:t>3</w:t>
      </w:r>
      <w:r>
        <w:rPr>
          <w:rFonts w:hint="eastAsia" w:ascii="宋体" w:hAnsi="宋体" w:cs="宋体"/>
          <w:b/>
          <w:bCs/>
          <w:sz w:val="24"/>
        </w:rPr>
        <w:t>年度电子资源招标采购项目</w:t>
      </w:r>
    </w:p>
    <w:p>
      <w:pPr>
        <w:widowControl w:val="0"/>
        <w:adjustRightInd w:val="0"/>
        <w:snapToGrid w:val="0"/>
        <w:spacing w:line="480" w:lineRule="auto"/>
        <w:ind w:left="2103" w:leftChars="104" w:right="-378" w:rightChars="-172" w:hanging="1874" w:hangingChars="778"/>
        <w:rPr>
          <w:rFonts w:hint="eastAsia" w:ascii="宋体" w:hAnsi="宋体" w:cs="宋体"/>
          <w:b/>
          <w:bCs/>
          <w:sz w:val="24"/>
        </w:rPr>
      </w:pPr>
      <w:r>
        <w:rPr>
          <w:rFonts w:hint="eastAsia" w:ascii="宋体" w:hAnsi="宋体" w:cs="宋体"/>
          <w:b/>
          <w:bCs/>
          <w:sz w:val="24"/>
        </w:rPr>
        <w:t>采 购 人：新疆大学</w:t>
      </w:r>
    </w:p>
    <w:p>
      <w:pPr>
        <w:widowControl w:val="0"/>
        <w:adjustRightInd w:val="0"/>
        <w:snapToGrid w:val="0"/>
        <w:spacing w:line="480" w:lineRule="auto"/>
        <w:ind w:left="2103" w:leftChars="104" w:right="-378" w:rightChars="-172" w:hanging="1874" w:hangingChars="778"/>
        <w:rPr>
          <w:rFonts w:hint="eastAsia" w:ascii="宋体" w:hAnsi="宋体" w:cs="宋体"/>
          <w:b/>
          <w:bCs/>
          <w:sz w:val="24"/>
          <w:u w:val="single"/>
        </w:rPr>
      </w:pPr>
      <w:r>
        <w:rPr>
          <w:rFonts w:hint="eastAsia" w:ascii="宋体" w:hAnsi="宋体" w:cs="宋体"/>
          <w:b/>
          <w:bCs/>
          <w:sz w:val="24"/>
        </w:rPr>
        <w:t xml:space="preserve">联 系 人：来老师                                         </w:t>
      </w:r>
    </w:p>
    <w:p>
      <w:pPr>
        <w:widowControl w:val="0"/>
        <w:adjustRightInd w:val="0"/>
        <w:snapToGrid w:val="0"/>
        <w:spacing w:line="480" w:lineRule="auto"/>
        <w:ind w:left="2103" w:leftChars="104" w:hanging="1874" w:hangingChars="778"/>
        <w:rPr>
          <w:rFonts w:hint="eastAsia" w:ascii="宋体" w:hAnsi="宋体" w:cs="宋体"/>
          <w:b/>
          <w:bCs/>
          <w:sz w:val="24"/>
        </w:rPr>
      </w:pPr>
      <w:r>
        <w:rPr>
          <w:rFonts w:hint="eastAsia" w:ascii="宋体" w:hAnsi="宋体" w:cs="宋体"/>
          <w:b/>
          <w:bCs/>
          <w:sz w:val="24"/>
        </w:rPr>
        <w:t>电    话：0991-8588030 </w:t>
      </w:r>
    </w:p>
    <w:p>
      <w:pPr>
        <w:widowControl w:val="0"/>
        <w:adjustRightInd w:val="0"/>
        <w:snapToGrid w:val="0"/>
        <w:spacing w:line="480" w:lineRule="auto"/>
        <w:ind w:left="2103" w:leftChars="104" w:right="-378" w:rightChars="-172" w:hanging="1874" w:hangingChars="778"/>
        <w:rPr>
          <w:rFonts w:hint="eastAsia" w:ascii="宋体" w:hAnsi="宋体" w:cs="宋体"/>
          <w:b/>
          <w:bCs/>
          <w:sz w:val="24"/>
        </w:rPr>
      </w:pPr>
      <w:r>
        <w:rPr>
          <w:rFonts w:hint="eastAsia" w:ascii="宋体" w:hAnsi="宋体" w:cs="宋体"/>
          <w:b/>
          <w:bCs/>
          <w:sz w:val="24"/>
        </w:rPr>
        <mc:AlternateContent>
          <mc:Choice Requires="wps">
            <w:drawing>
              <wp:anchor distT="0" distB="0" distL="114300" distR="114300" simplePos="0" relativeHeight="251663360" behindDoc="0" locked="0" layoutInCell="1" allowOverlap="1">
                <wp:simplePos x="0" y="0"/>
                <wp:positionH relativeFrom="column">
                  <wp:posOffset>94615</wp:posOffset>
                </wp:positionH>
                <wp:positionV relativeFrom="paragraph">
                  <wp:posOffset>93345</wp:posOffset>
                </wp:positionV>
                <wp:extent cx="56267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63360;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AOQIK/kBAADmAwAADgAAAAAAAAABACAAAAAiAQAAZHJzL2Uyb0RvYy54bWxQ&#10;SwUGAAAAAAYABgBZAQAAjQUAAAAA&#10;">
                <v:fill on="f" focussize="0,0"/>
                <v:stroke weight="1pt" color="#000000" joinstyle="round" dashstyle="1 1"/>
                <v:imagedata o:title=""/>
                <o:lock v:ext="edit" aspectratio="f"/>
              </v:line>
            </w:pict>
          </mc:Fallback>
        </mc:AlternateContent>
      </w:r>
    </w:p>
    <w:p>
      <w:pPr>
        <w:widowControl w:val="0"/>
        <w:adjustRightInd w:val="0"/>
        <w:snapToGrid w:val="0"/>
        <w:spacing w:line="480" w:lineRule="auto"/>
        <w:ind w:left="2103" w:leftChars="104" w:right="-378" w:rightChars="-172" w:hanging="1874" w:hangingChars="778"/>
        <w:rPr>
          <w:rFonts w:hint="eastAsia" w:ascii="宋体" w:hAnsi="宋体" w:cs="宋体"/>
          <w:b/>
          <w:bCs/>
          <w:sz w:val="24"/>
        </w:rPr>
      </w:pPr>
      <w:r>
        <w:rPr>
          <w:rFonts w:hint="eastAsia" w:ascii="宋体" w:hAnsi="宋体" w:cs="宋体"/>
          <w:b/>
          <w:bCs/>
          <w:sz w:val="24"/>
        </w:rPr>
        <w:t>采购代理机构（盖章）：新疆中咨建设项目管理有限公司</w:t>
      </w:r>
    </w:p>
    <w:p>
      <w:pPr>
        <w:widowControl w:val="0"/>
        <w:adjustRightInd w:val="0"/>
        <w:snapToGrid w:val="0"/>
        <w:spacing w:line="480" w:lineRule="auto"/>
        <w:ind w:left="2103" w:leftChars="104" w:right="-378" w:rightChars="-172" w:hanging="1874" w:hangingChars="778"/>
        <w:rPr>
          <w:rFonts w:hint="default" w:ascii="宋体" w:hAnsi="宋体" w:eastAsia="宋体" w:cs="宋体"/>
          <w:b/>
          <w:bCs/>
          <w:sz w:val="24"/>
          <w:lang w:val="en-US" w:eastAsia="zh-CN"/>
        </w:rPr>
      </w:pPr>
      <w:r>
        <w:rPr>
          <w:rFonts w:hint="eastAsia" w:ascii="宋体" w:hAnsi="宋体" w:cs="宋体"/>
          <w:b/>
          <w:bCs/>
          <w:sz w:val="24"/>
        </w:rPr>
        <w:t>联 系 人：吴斌</w:t>
      </w:r>
      <w:r>
        <w:rPr>
          <w:rFonts w:hint="eastAsia" w:ascii="宋体" w:hAnsi="宋体" w:cs="宋体"/>
          <w:b/>
          <w:bCs/>
          <w:sz w:val="24"/>
          <w:lang w:eastAsia="zh-CN"/>
        </w:rPr>
        <w:t>、</w:t>
      </w:r>
      <w:r>
        <w:rPr>
          <w:rFonts w:hint="eastAsia" w:ascii="宋体" w:hAnsi="宋体" w:cs="宋体"/>
          <w:b/>
          <w:bCs/>
          <w:sz w:val="24"/>
          <w:lang w:val="en-US" w:eastAsia="zh-CN"/>
        </w:rPr>
        <w:t>梅坤伟、翟安琪</w:t>
      </w:r>
    </w:p>
    <w:p>
      <w:pPr>
        <w:widowControl w:val="0"/>
        <w:adjustRightInd w:val="0"/>
        <w:snapToGrid w:val="0"/>
        <w:spacing w:line="480" w:lineRule="auto"/>
        <w:ind w:left="2103" w:leftChars="104" w:right="-378" w:rightChars="-172" w:hanging="1874" w:hangingChars="778"/>
        <w:rPr>
          <w:rFonts w:hint="eastAsia" w:ascii="宋体" w:hAnsi="宋体" w:cs="宋体"/>
          <w:b/>
          <w:bCs/>
          <w:sz w:val="24"/>
        </w:rPr>
      </w:pPr>
      <w:r>
        <w:rPr>
          <w:rFonts w:hint="eastAsia" w:ascii="宋体" w:hAnsi="宋体" w:cs="宋体"/>
          <w:b/>
          <w:bCs/>
          <w:sz w:val="24"/>
        </w:rPr>
        <w:t>电    话：</w:t>
      </w:r>
      <w:r>
        <w:rPr>
          <w:rFonts w:hint="eastAsia" w:ascii="宋体" w:hAnsi="宋体" w:cs="宋体"/>
          <w:b/>
          <w:color w:val="000000"/>
          <w:sz w:val="24"/>
        </w:rPr>
        <w:t>0991-4603819/13079967765</w:t>
      </w:r>
    </w:p>
    <w:p>
      <w:pPr>
        <w:spacing w:before="233"/>
        <w:ind w:firstLine="241" w:firstLineChars="100"/>
        <w:rPr>
          <w:sz w:val="32"/>
        </w:rPr>
      </w:pPr>
      <w:r>
        <w:rPr>
          <w:rFonts w:hint="eastAsia" w:ascii="宋体" w:hAnsi="宋体" w:cs="宋体"/>
          <w:b/>
          <w:bCs/>
          <w:sz w:val="24"/>
        </w:rPr>
        <w:t>详细地址：</w:t>
      </w:r>
      <w:r>
        <w:rPr>
          <w:rFonts w:hint="eastAsia" w:ascii="宋体" w:hAnsi="宋体" w:cs="宋体"/>
          <w:b/>
          <w:bCs/>
          <w:color w:val="000000"/>
          <w:sz w:val="24"/>
        </w:rPr>
        <w:t>乌鲁木齐市水磨沟区会展大道1119号大成尔雅A座</w:t>
      </w:r>
      <w:r>
        <w:rPr>
          <w:rFonts w:hint="eastAsia" w:ascii="宋体" w:hAnsi="宋体" w:cs="宋体"/>
          <w:b/>
          <w:bCs/>
          <w:color w:val="000000"/>
          <w:sz w:val="24"/>
          <w:lang w:val="en-US" w:eastAsia="zh-CN"/>
        </w:rPr>
        <w:t>5</w:t>
      </w:r>
      <w:r>
        <w:rPr>
          <w:rFonts w:hint="eastAsia" w:ascii="宋体" w:hAnsi="宋体" w:cs="宋体"/>
          <w:b/>
          <w:bCs/>
          <w:color w:val="000000"/>
          <w:sz w:val="24"/>
        </w:rPr>
        <w:t>楼</w:t>
      </w:r>
    </w:p>
    <w:p>
      <w:pPr>
        <w:pStyle w:val="10"/>
        <w:rPr>
          <w:sz w:val="32"/>
        </w:rPr>
      </w:pPr>
    </w:p>
    <w:p>
      <w:pPr>
        <w:pStyle w:val="10"/>
        <w:spacing w:before="5"/>
        <w:rPr>
          <w:sz w:val="33"/>
        </w:rPr>
      </w:pPr>
    </w:p>
    <w:p>
      <w:pPr>
        <w:ind w:left="1153" w:right="1151"/>
        <w:jc w:val="center"/>
        <w:rPr>
          <w:sz w:val="32"/>
        </w:rPr>
        <w:sectPr>
          <w:footerReference r:id="rId3" w:type="default"/>
          <w:type w:val="continuous"/>
          <w:pgSz w:w="11910" w:h="16840"/>
          <w:pgMar w:top="1580" w:right="880" w:bottom="1080" w:left="880" w:header="720" w:footer="894" w:gutter="0"/>
          <w:pgNumType w:start="1"/>
          <w:cols w:space="720" w:num="1"/>
        </w:sectPr>
      </w:pPr>
      <w:r>
        <w:rPr>
          <w:sz w:val="32"/>
        </w:rPr>
        <w:t>202</w:t>
      </w:r>
      <w:r>
        <w:rPr>
          <w:rFonts w:hint="eastAsia"/>
          <w:sz w:val="32"/>
          <w:lang w:val="en-US" w:eastAsia="zh-CN"/>
        </w:rPr>
        <w:t>3</w:t>
      </w:r>
      <w:r>
        <w:rPr>
          <w:spacing w:val="-54"/>
          <w:sz w:val="32"/>
        </w:rPr>
        <w:t xml:space="preserve">年 </w:t>
      </w:r>
      <w:r>
        <w:rPr>
          <w:rFonts w:hint="eastAsia"/>
          <w:spacing w:val="-54"/>
          <w:sz w:val="32"/>
          <w:lang w:val="en-US" w:eastAsia="zh-CN"/>
        </w:rPr>
        <w:t>8</w:t>
      </w:r>
      <w:r>
        <w:rPr>
          <w:spacing w:val="-40"/>
          <w:sz w:val="32"/>
        </w:rPr>
        <w:t>月</w:t>
      </w:r>
    </w:p>
    <w:p>
      <w:pPr>
        <w:pStyle w:val="10"/>
        <w:rPr>
          <w:sz w:val="20"/>
        </w:rPr>
      </w:pPr>
    </w:p>
    <w:p>
      <w:pPr>
        <w:pStyle w:val="10"/>
        <w:spacing w:before="12"/>
        <w:rPr>
          <w:sz w:val="23"/>
        </w:rPr>
      </w:pPr>
    </w:p>
    <w:p>
      <w:pPr>
        <w:pStyle w:val="3"/>
      </w:pPr>
      <w:r>
        <w:t>目</w:t>
      </w:r>
      <w:r>
        <w:tab/>
      </w:r>
      <w:r>
        <w:t>录</w:t>
      </w:r>
    </w:p>
    <w:p/>
    <w:p>
      <w:pPr>
        <w:pStyle w:val="10"/>
        <w:spacing w:before="5"/>
        <w:rPr>
          <w:b/>
          <w:sz w:val="12"/>
        </w:rPr>
      </w:pPr>
    </w:p>
    <w:p>
      <w:pPr>
        <w:rPr>
          <w:sz w:val="12"/>
        </w:rPr>
      </w:pPr>
    </w:p>
    <w:p>
      <w:pPr>
        <w:pStyle w:val="10"/>
        <w:sectPr>
          <w:pgSz w:w="11910" w:h="16840"/>
          <w:pgMar w:top="1580" w:right="880" w:bottom="1160" w:left="880" w:header="0" w:footer="894" w:gutter="0"/>
          <w:cols w:space="720" w:num="1"/>
        </w:sectPr>
      </w:pPr>
    </w:p>
    <w:p>
      <w:pPr>
        <w:pStyle w:val="10"/>
        <w:rPr>
          <w:b/>
        </w:rPr>
      </w:pPr>
    </w:p>
    <w:p>
      <w:pPr>
        <w:pStyle w:val="10"/>
        <w:tabs>
          <w:tab w:val="left" w:pos="2360"/>
        </w:tabs>
        <w:spacing w:before="1" w:line="364" w:lineRule="auto"/>
        <w:ind w:left="1400"/>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第二章  单一来源公示</w:t>
      </w:r>
    </w:p>
    <w:p>
      <w:pPr>
        <w:pStyle w:val="10"/>
        <w:tabs>
          <w:tab w:val="left" w:pos="2360"/>
        </w:tabs>
        <w:spacing w:before="1" w:line="364" w:lineRule="auto"/>
        <w:ind w:left="1400"/>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第二章  协商须知</w:t>
      </w:r>
    </w:p>
    <w:p>
      <w:pPr>
        <w:pStyle w:val="10"/>
        <w:tabs>
          <w:tab w:val="left" w:pos="2360"/>
        </w:tabs>
        <w:spacing w:before="1" w:line="364" w:lineRule="auto"/>
        <w:ind w:left="1400"/>
      </w:pPr>
      <w:r>
        <w:t>第三章</w:t>
      </w:r>
      <w:r>
        <w:tab/>
      </w:r>
      <w:r>
        <w:t>合同草案条</w:t>
      </w:r>
      <w:r>
        <w:rPr>
          <w:spacing w:val="-20"/>
        </w:rPr>
        <w:t>款</w:t>
      </w:r>
      <w:r>
        <w:t>第四章</w:t>
      </w:r>
      <w:r>
        <w:tab/>
      </w:r>
      <w:r>
        <w:t>响应文件组</w:t>
      </w:r>
      <w:r>
        <w:rPr>
          <w:spacing w:val="-20"/>
        </w:rPr>
        <w:t>成</w:t>
      </w:r>
    </w:p>
    <w:p>
      <w:pPr>
        <w:pStyle w:val="10"/>
      </w:pPr>
    </w:p>
    <w:p/>
    <w:p>
      <w:pPr>
        <w:pStyle w:val="10"/>
        <w:numPr>
          <w:ilvl w:val="0"/>
          <w:numId w:val="1"/>
        </w:numPr>
        <w:tabs>
          <w:tab w:val="left" w:pos="2360"/>
        </w:tabs>
        <w:spacing w:before="163"/>
        <w:ind w:left="1400"/>
        <w:rPr>
          <w:spacing w:val="-20"/>
        </w:rPr>
      </w:pPr>
      <w:r>
        <w:t>项目采购需</w:t>
      </w:r>
      <w:r>
        <w:rPr>
          <w:spacing w:val="-20"/>
        </w:rPr>
        <w:t>求</w:t>
      </w:r>
    </w:p>
    <w:p>
      <w:pPr>
        <w:pStyle w:val="10"/>
        <w:tabs>
          <w:tab w:val="left" w:pos="1592"/>
        </w:tabs>
        <w:spacing w:before="67"/>
        <w:jc w:val="left"/>
      </w:pPr>
      <w:r>
        <w:br w:type="column"/>
      </w:r>
      <w:r>
        <w:rPr>
          <w:rFonts w:hint="eastAsia"/>
          <w:lang w:val="en-US" w:eastAsia="zh-CN"/>
        </w:rPr>
        <w:t xml:space="preserve">  </w:t>
      </w:r>
      <w:r>
        <w:t>第一部分</w:t>
      </w:r>
      <w:r>
        <w:tab/>
      </w:r>
      <w:r>
        <w:t>商务部分</w:t>
      </w:r>
    </w:p>
    <w:p>
      <w:pPr>
        <w:pStyle w:val="10"/>
        <w:rPr>
          <w:rFonts w:hint="default" w:eastAsia="宋体"/>
          <w:lang w:val="en-US" w:eastAsia="zh-CN"/>
        </w:rPr>
      </w:pPr>
      <w:r>
        <w:rPr>
          <w:rFonts w:hint="eastAsia"/>
          <w:lang w:val="en-US" w:eastAsia="zh-CN"/>
        </w:rPr>
        <w:t xml:space="preserve">                      </w:t>
      </w:r>
    </w:p>
    <w:p>
      <w:pPr>
        <w:pStyle w:val="10"/>
      </w:pPr>
    </w:p>
    <w:p>
      <w:pPr>
        <w:pStyle w:val="10"/>
      </w:pPr>
    </w:p>
    <w:p>
      <w:pPr>
        <w:pStyle w:val="10"/>
      </w:pPr>
    </w:p>
    <w:p>
      <w:pPr>
        <w:pStyle w:val="10"/>
      </w:pPr>
    </w:p>
    <w:p>
      <w:pPr>
        <w:pStyle w:val="10"/>
      </w:pPr>
    </w:p>
    <w:p>
      <w:pPr>
        <w:pStyle w:val="10"/>
        <w:tabs>
          <w:tab w:val="left" w:pos="1592"/>
        </w:tabs>
        <w:spacing w:before="188"/>
        <w:ind w:firstLine="240" w:firstLineChars="100"/>
        <w:jc w:val="both"/>
      </w:pPr>
      <w:r>
        <w:t>第二部分</w:t>
      </w:r>
      <w:r>
        <w:tab/>
      </w:r>
      <w:r>
        <w:t>技术部分</w:t>
      </w:r>
    </w:p>
    <w:p>
      <w:pPr>
        <w:sectPr>
          <w:type w:val="continuous"/>
          <w:pgSz w:w="11910" w:h="16840"/>
          <w:pgMar w:top="1580" w:right="880" w:bottom="1080" w:left="880" w:header="720" w:footer="720" w:gutter="0"/>
          <w:cols w:equalWidth="0" w:num="2">
            <w:col w:w="3801" w:space="40"/>
            <w:col w:w="6309"/>
          </w:cols>
        </w:sectPr>
      </w:pPr>
    </w:p>
    <w:p>
      <w:pPr>
        <w:pStyle w:val="3"/>
        <w:ind w:left="922" w:hanging="922" w:hangingChars="306"/>
      </w:pPr>
      <w:r>
        <w:t>第一部分</w:t>
      </w:r>
      <w:r>
        <w:rPr>
          <w:rFonts w:hint="eastAsia"/>
          <w:lang w:val="en-US"/>
        </w:rPr>
        <w:t xml:space="preserve">  </w:t>
      </w:r>
      <w:r>
        <w:t>商务部分</w:t>
      </w:r>
    </w:p>
    <w:p>
      <w:pPr>
        <w:pStyle w:val="10"/>
        <w:spacing w:before="161"/>
        <w:ind w:left="-1" w:leftChars="-7" w:right="-53" w:rightChars="-24" w:hanging="14" w:hangingChars="6"/>
        <w:jc w:val="center"/>
        <w:rPr>
          <w:rFonts w:hint="default" w:eastAsia="宋体"/>
          <w:b/>
          <w:bCs/>
          <w:lang w:val="en-US" w:eastAsia="zh-CN"/>
        </w:rPr>
      </w:pPr>
      <w:r>
        <w:rPr>
          <w:b/>
          <w:bCs/>
        </w:rPr>
        <w:t>第一章</w:t>
      </w:r>
      <w:r>
        <w:rPr>
          <w:rFonts w:hint="eastAsia"/>
          <w:b/>
          <w:bCs/>
          <w:lang w:val="en-US" w:eastAsia="zh-CN"/>
        </w:rPr>
        <w:t xml:space="preserve">    单一来源公示</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一、项目信息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采购人：新疆大学</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项目名称：新疆大学2023年度电子资源招标采购</w:t>
      </w:r>
      <w:r>
        <w:rPr>
          <w:rFonts w:hint="eastAsia" w:cs="宋体"/>
          <w:sz w:val="24"/>
          <w:szCs w:val="24"/>
          <w:lang w:val="en-US" w:eastAsia="zh-CN"/>
        </w:rPr>
        <w:t>项目</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拟采购的货物或服务的说明：</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标项一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标的名称：第一包- CNKI系列数据库</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数量：1</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预算金额(元)：925100</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单位：同方知网数字出版技术股份有限公司</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货物或服务的说明：包括期刊、辑刊、博硕士学位论文、中国会议、国际会议、报纸、年鉴专辑版、工具书总库、标准全文中标、专利检索分析系统、学术图片、中国党建期刊、中国政报公报期刊文献总库、高等教育、 经济信息期刊、引文数据库、经济社会大数据研究平台，共计19个数据，其中学术期刊逾八千余种，总文献高达6040万篇；博士学位论文计划出版500000篇，硕士学位论文计划出版5300000篇。</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标项二  </w:t>
      </w:r>
    </w:p>
    <w:p>
      <w:pPr>
        <w:rPr>
          <w:rFonts w:hint="eastAsia" w:ascii="宋体" w:hAnsi="宋体" w:eastAsia="宋体" w:cs="宋体"/>
          <w:sz w:val="24"/>
          <w:szCs w:val="24"/>
        </w:rPr>
      </w:pPr>
      <w:r>
        <w:rPr>
          <w:rFonts w:hint="eastAsia" w:ascii="宋体" w:hAnsi="宋体" w:eastAsia="宋体" w:cs="宋体"/>
          <w:sz w:val="24"/>
          <w:szCs w:val="24"/>
        </w:rPr>
        <w:t>   标的名称：第二包-万方数据知识服务云平台V2.0</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预算金额(元)：260000</w:t>
      </w:r>
      <w:r>
        <w:rPr>
          <w:rFonts w:hint="eastAsia" w:ascii="宋体" w:hAnsi="宋体" w:eastAsia="宋体" w:cs="宋体"/>
          <w:sz w:val="24"/>
          <w:szCs w:val="24"/>
        </w:rPr>
        <w:br w:type="textWrapping"/>
      </w:r>
      <w:r>
        <w:rPr>
          <w:rFonts w:hint="eastAsia" w:ascii="宋体" w:hAnsi="宋体" w:eastAsia="宋体" w:cs="宋体"/>
          <w:sz w:val="24"/>
          <w:szCs w:val="24"/>
        </w:rPr>
        <w:t>   单位：北京万方数据股份有限公司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万方数据知识服务平台整合数亿条全球优质知识资源，集成期刊、学位、会议、科技报告、专利、标准、科技成果、法规、地方志、视频等十余种知识资源类型，覆盖自然科学、工程技术、医药卫生、农业科学、哲学政法、社会科学、科教文艺等全学科领域，实现海量学术文献统一发现及分析，支持多维度组合检索，适合不同用户群研究。</w:t>
      </w:r>
      <w:r>
        <w:rPr>
          <w:rFonts w:hint="eastAsia" w:ascii="宋体" w:hAnsi="宋体" w:eastAsia="宋体" w:cs="宋体"/>
          <w:sz w:val="24"/>
          <w:szCs w:val="24"/>
        </w:rPr>
        <w:br w:type="textWrapping"/>
      </w:r>
      <w:r>
        <w:rPr>
          <w:rFonts w:hint="eastAsia" w:ascii="宋体" w:hAnsi="宋体" w:eastAsia="宋体" w:cs="宋体"/>
          <w:sz w:val="24"/>
          <w:szCs w:val="24"/>
        </w:rPr>
        <w:t>中国学位论文全文数据库：收录始于1980年，全文数量400余万篇，年增35余万篇，涵盖基础科学、理学、工业技术、人文科学、社会科学、医药卫生、农业科学交通运输、航空航天和环境科学等各学科领域，与国内900余所高校、科研院所合作，占研究生学位授予单位90%以上。</w:t>
      </w:r>
      <w:r>
        <w:rPr>
          <w:rFonts w:hint="eastAsia" w:ascii="宋体" w:hAnsi="宋体" w:eastAsia="宋体" w:cs="宋体"/>
          <w:sz w:val="24"/>
          <w:szCs w:val="24"/>
        </w:rPr>
        <w:br w:type="textWrapping"/>
      </w:r>
      <w:r>
        <w:rPr>
          <w:rFonts w:hint="eastAsia" w:ascii="宋体" w:hAnsi="宋体" w:eastAsia="宋体" w:cs="宋体"/>
          <w:sz w:val="24"/>
          <w:szCs w:val="24"/>
        </w:rPr>
        <w:t>中国学术期刊数据库：收录始于1998年，包含8200余种期刊，其中包含北京大学、中国科学技术信息研究所、中国科学院文献情报中心、南京大学、中国社会科学院历年收录的核心期刊3300余种，年增300万篇，每天更新，涵盖自然科学、工程技术、医药卫生、农业科学、哲学政法、社会科学、科教文艺等各个学科。</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中国学术会议文献数据库：全文数量300多万篇，年增20多万篇。会议资源包括中文会议和外文会议，中文会议收录始于1982年，年收集约2000个重要学术会议，每月更新。外文会议主要来源于NSTL外文文献数据库，收录了1985年以来世界各主要学协会、出版机构出版的学术会议论文共计1100万篇全文（部分文献有少量回溯），每月更新。</w:t>
      </w:r>
    </w:p>
    <w:p>
      <w:pPr>
        <w:rPr>
          <w:rFonts w:hint="eastAsia" w:ascii="宋体" w:hAnsi="宋体" w:eastAsia="宋体" w:cs="宋体"/>
          <w:sz w:val="24"/>
          <w:szCs w:val="24"/>
        </w:rPr>
      </w:pPr>
      <w:r>
        <w:rPr>
          <w:rFonts w:hint="eastAsia" w:ascii="宋体" w:hAnsi="宋体" w:eastAsia="宋体" w:cs="宋体"/>
          <w:sz w:val="24"/>
          <w:szCs w:val="24"/>
        </w:rPr>
        <w:t>   标项三  </w:t>
      </w:r>
    </w:p>
    <w:p>
      <w:pPr>
        <w:rPr>
          <w:rFonts w:hint="eastAsia" w:ascii="宋体" w:hAnsi="宋体" w:eastAsia="宋体" w:cs="宋体"/>
          <w:sz w:val="24"/>
          <w:szCs w:val="24"/>
        </w:rPr>
      </w:pPr>
      <w:r>
        <w:rPr>
          <w:rFonts w:hint="eastAsia" w:ascii="宋体" w:hAnsi="宋体" w:eastAsia="宋体" w:cs="宋体"/>
          <w:sz w:val="24"/>
          <w:szCs w:val="24"/>
        </w:rPr>
        <w:t>   标的名称：第三包-读秀知识库</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预算金额(元)：120000</w:t>
      </w:r>
      <w:r>
        <w:rPr>
          <w:rFonts w:hint="eastAsia" w:ascii="宋体" w:hAnsi="宋体" w:eastAsia="宋体" w:cs="宋体"/>
          <w:sz w:val="24"/>
          <w:szCs w:val="24"/>
        </w:rPr>
        <w:br w:type="textWrapping"/>
      </w:r>
      <w:r>
        <w:rPr>
          <w:rFonts w:hint="eastAsia" w:ascii="宋体" w:hAnsi="宋体" w:eastAsia="宋体" w:cs="宋体"/>
          <w:sz w:val="24"/>
          <w:szCs w:val="24"/>
        </w:rPr>
        <w:t>   单位：北京世纪读秀技术有限公司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1.平台需满足书名、作者、主题词等基本字段搜索、章节名称搜索、正文搜索。</w:t>
      </w:r>
      <w:r>
        <w:rPr>
          <w:rFonts w:hint="eastAsia" w:ascii="宋体" w:hAnsi="宋体" w:eastAsia="宋体" w:cs="宋体"/>
          <w:sz w:val="24"/>
          <w:szCs w:val="24"/>
        </w:rPr>
        <w:br w:type="textWrapping"/>
      </w:r>
      <w:r>
        <w:rPr>
          <w:rFonts w:hint="eastAsia" w:ascii="宋体" w:hAnsi="宋体" w:eastAsia="宋体" w:cs="宋体"/>
          <w:sz w:val="24"/>
          <w:szCs w:val="24"/>
        </w:rPr>
        <w:t>2.提供二次搜索、且提供布尔逻辑的高级搜索、专业搜索等功能。</w:t>
      </w:r>
      <w:r>
        <w:rPr>
          <w:rFonts w:hint="eastAsia" w:ascii="宋体" w:hAnsi="宋体" w:eastAsia="宋体" w:cs="宋体"/>
          <w:sz w:val="24"/>
          <w:szCs w:val="24"/>
        </w:rPr>
        <w:br w:type="textWrapping"/>
      </w:r>
      <w:r>
        <w:rPr>
          <w:rFonts w:hint="eastAsia" w:ascii="宋体" w:hAnsi="宋体" w:eastAsia="宋体" w:cs="宋体"/>
          <w:sz w:val="24"/>
          <w:szCs w:val="24"/>
        </w:rPr>
        <w:t>3.平台需支持知识点搜索，用户可在不少于17.7亿页图书资料中通过搜索找到所需知识点并直接阅读，阅读中提供文字提取、查看来源等功能。</w:t>
      </w:r>
      <w:r>
        <w:rPr>
          <w:rFonts w:hint="eastAsia" w:ascii="宋体" w:hAnsi="宋体" w:eastAsia="宋体" w:cs="宋体"/>
          <w:sz w:val="24"/>
          <w:szCs w:val="24"/>
        </w:rPr>
        <w:br w:type="textWrapping"/>
      </w:r>
      <w:r>
        <w:rPr>
          <w:rFonts w:hint="eastAsia" w:ascii="宋体" w:hAnsi="宋体" w:eastAsia="宋体" w:cs="宋体"/>
          <w:sz w:val="24"/>
          <w:szCs w:val="24"/>
        </w:rPr>
        <w:t>4.平台需涵盖知识点、图书类型，为读者提供海量信息资源多面搜索服务。</w:t>
      </w:r>
      <w:r>
        <w:rPr>
          <w:rFonts w:hint="eastAsia" w:ascii="宋体" w:hAnsi="宋体" w:eastAsia="宋体" w:cs="宋体"/>
          <w:sz w:val="24"/>
          <w:szCs w:val="24"/>
        </w:rPr>
        <w:br w:type="textWrapping"/>
      </w:r>
      <w:r>
        <w:rPr>
          <w:rFonts w:hint="eastAsia" w:ascii="宋体" w:hAnsi="宋体" w:eastAsia="宋体" w:cs="宋体"/>
          <w:sz w:val="24"/>
          <w:szCs w:val="24"/>
        </w:rPr>
        <w:t>5.平台中至少包含680万种中文图书信息，涵盖中国图书馆分类法22个分类，每个分类细分到第三级子类。</w:t>
      </w:r>
      <w:r>
        <w:rPr>
          <w:rFonts w:hint="eastAsia" w:ascii="宋体" w:hAnsi="宋体" w:eastAsia="宋体" w:cs="宋体"/>
          <w:sz w:val="24"/>
          <w:szCs w:val="24"/>
        </w:rPr>
        <w:br w:type="textWrapping"/>
      </w:r>
      <w:r>
        <w:rPr>
          <w:rFonts w:hint="eastAsia" w:ascii="宋体" w:hAnsi="宋体" w:eastAsia="宋体" w:cs="宋体"/>
          <w:sz w:val="24"/>
          <w:szCs w:val="24"/>
        </w:rPr>
        <w:t>6.平台需支持千余家单位馆藏的联合目录查询。</w:t>
      </w:r>
      <w:r>
        <w:rPr>
          <w:rFonts w:hint="eastAsia" w:ascii="宋体" w:hAnsi="宋体" w:eastAsia="宋体" w:cs="宋体"/>
          <w:sz w:val="24"/>
          <w:szCs w:val="24"/>
        </w:rPr>
        <w:br w:type="textWrapping"/>
      </w:r>
      <w:r>
        <w:rPr>
          <w:rFonts w:hint="eastAsia" w:ascii="宋体" w:hAnsi="宋体" w:eastAsia="宋体" w:cs="宋体"/>
          <w:sz w:val="24"/>
          <w:szCs w:val="24"/>
        </w:rPr>
        <w:t>7.平台支持纸质图书和电子图书统一检索，平台支持按照馆藏纸书和电子图书进行筛选。且针对图书的检索结果可按照类型、年代、学科、作者进行筛选。</w:t>
      </w:r>
      <w:r>
        <w:rPr>
          <w:rFonts w:hint="eastAsia" w:ascii="宋体" w:hAnsi="宋体" w:eastAsia="宋体" w:cs="宋体"/>
          <w:sz w:val="24"/>
          <w:szCs w:val="24"/>
        </w:rPr>
        <w:br w:type="textWrapping"/>
      </w:r>
      <w:r>
        <w:rPr>
          <w:rFonts w:hint="eastAsia" w:ascii="宋体" w:hAnsi="宋体" w:eastAsia="宋体" w:cs="宋体"/>
          <w:sz w:val="24"/>
          <w:szCs w:val="24"/>
        </w:rPr>
        <w:t>8.平台可以提供图书试读功能，可以对封面页、前言页、目次页、版权页、正文部分页等进行试读。</w:t>
      </w:r>
      <w:r>
        <w:rPr>
          <w:rFonts w:hint="eastAsia" w:ascii="宋体" w:hAnsi="宋体" w:eastAsia="宋体" w:cs="宋体"/>
          <w:sz w:val="24"/>
          <w:szCs w:val="24"/>
        </w:rPr>
        <w:br w:type="textWrapping"/>
      </w:r>
      <w:r>
        <w:rPr>
          <w:rFonts w:hint="eastAsia" w:ascii="宋体" w:hAnsi="宋体" w:eastAsia="宋体" w:cs="宋体"/>
          <w:sz w:val="24"/>
          <w:szCs w:val="24"/>
        </w:rPr>
        <w:t>9.平台需提供通过Email的方式向读者进行文献资源的传递服务，可提供文献传递服务的图书总量不低于343万种。</w:t>
      </w:r>
      <w:r>
        <w:rPr>
          <w:rFonts w:hint="eastAsia" w:ascii="宋体" w:hAnsi="宋体" w:eastAsia="宋体" w:cs="宋体"/>
          <w:sz w:val="24"/>
          <w:szCs w:val="24"/>
        </w:rPr>
        <w:br w:type="textWrapping"/>
      </w:r>
      <w:r>
        <w:rPr>
          <w:rFonts w:hint="eastAsia" w:ascii="宋体" w:hAnsi="宋体" w:eastAsia="宋体" w:cs="宋体"/>
          <w:sz w:val="24"/>
          <w:szCs w:val="24"/>
        </w:rPr>
        <w:t>10.对于本馆没有的图书，需支持荐购功能，有关图书信息不需手动填写，系统自动填充。</w:t>
      </w:r>
      <w:r>
        <w:rPr>
          <w:rFonts w:hint="eastAsia" w:ascii="宋体" w:hAnsi="宋体" w:eastAsia="宋体" w:cs="宋体"/>
          <w:sz w:val="24"/>
          <w:szCs w:val="24"/>
        </w:rPr>
        <w:br w:type="textWrapping"/>
      </w:r>
      <w:r>
        <w:rPr>
          <w:rFonts w:hint="eastAsia" w:ascii="宋体" w:hAnsi="宋体" w:eastAsia="宋体" w:cs="宋体"/>
          <w:sz w:val="24"/>
          <w:szCs w:val="24"/>
        </w:rPr>
        <w:t>11.提供中外文词典翻译、同义词、相关词、共现词的提示。</w:t>
      </w:r>
      <w:r>
        <w:rPr>
          <w:rFonts w:hint="eastAsia" w:ascii="宋体" w:hAnsi="宋体" w:eastAsia="宋体" w:cs="宋体"/>
          <w:sz w:val="24"/>
          <w:szCs w:val="24"/>
        </w:rPr>
        <w:br w:type="textWrapping"/>
      </w:r>
      <w:r>
        <w:rPr>
          <w:rFonts w:hint="eastAsia" w:ascii="宋体" w:hAnsi="宋体" w:eastAsia="宋体" w:cs="宋体"/>
          <w:sz w:val="24"/>
          <w:szCs w:val="24"/>
        </w:rPr>
        <w:t>12.</w:t>
      </w:r>
      <w:r>
        <w:rPr>
          <w:rFonts w:hint="eastAsia" w:ascii="宋体" w:hAnsi="宋体" w:eastAsia="宋体" w:cs="宋体"/>
          <w:sz w:val="24"/>
          <w:szCs w:val="24"/>
          <w:lang w:val="en-US" w:eastAsia="zh-CN"/>
        </w:rPr>
        <w:t>需要能查询到图书的被引用情况。提供100年来中文图书被引用情况的分析，尤其可对每种中文图书是否有被引用及具体的被引用情况进行查询，从而作为评价中文图书学术影响力的重要指标和依据。</w:t>
      </w:r>
    </w:p>
    <w:p>
      <w:pPr>
        <w:rPr>
          <w:rFonts w:hint="eastAsia" w:ascii="宋体" w:hAnsi="宋体" w:eastAsia="宋体" w:cs="宋体"/>
          <w:sz w:val="24"/>
          <w:szCs w:val="24"/>
        </w:rPr>
      </w:pPr>
      <w:r>
        <w:rPr>
          <w:rFonts w:hint="eastAsia" w:ascii="宋体" w:hAnsi="宋体" w:eastAsia="宋体" w:cs="宋体"/>
          <w:sz w:val="24"/>
          <w:szCs w:val="24"/>
        </w:rPr>
        <w:t>   标项四  </w:t>
      </w:r>
    </w:p>
    <w:p>
      <w:pPr>
        <w:rPr>
          <w:rFonts w:hint="eastAsia" w:ascii="宋体" w:hAnsi="宋体" w:eastAsia="宋体" w:cs="宋体"/>
          <w:sz w:val="24"/>
          <w:szCs w:val="24"/>
        </w:rPr>
      </w:pPr>
      <w:r>
        <w:rPr>
          <w:rFonts w:hint="eastAsia" w:ascii="宋体" w:hAnsi="宋体" w:eastAsia="宋体" w:cs="宋体"/>
          <w:sz w:val="24"/>
          <w:szCs w:val="24"/>
        </w:rPr>
        <w:t>   标的名称：第四包-百链</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预算金额(元)：120000</w:t>
      </w:r>
      <w:r>
        <w:rPr>
          <w:rFonts w:hint="eastAsia" w:ascii="宋体" w:hAnsi="宋体" w:eastAsia="宋体" w:cs="宋体"/>
          <w:sz w:val="24"/>
          <w:szCs w:val="24"/>
        </w:rPr>
        <w:br w:type="textWrapping"/>
      </w:r>
      <w:r>
        <w:rPr>
          <w:rFonts w:hint="eastAsia" w:ascii="宋体" w:hAnsi="宋体" w:eastAsia="宋体" w:cs="宋体"/>
          <w:sz w:val="24"/>
          <w:szCs w:val="24"/>
        </w:rPr>
        <w:t>   单位：北京世纪超星信息技术发展有限责任公司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百链拥有7.5亿条元数据包括文献有：外文期刊、外文学位论文、会议论文、专利、标准等.，并且数据数量还在不断增加中，百链可以通过368个中外文数据库中获取元数据，其中收录中文期刊10550万篇元数据，外文期刊26241万篇元数据。利用百链不仅可以从获取到图书馆所有的文献资料，包括纸本和电子资源，例如外文图书、期刊、论文，标准，专利和报纸等，还可以通过文献传递方式获取到图书馆中没有的文献资料。中文资源的文献传递满足率可以达到99%，外文资源的文献传递满足率可以达到99%。</w:t>
      </w:r>
    </w:p>
    <w:p>
      <w:pPr>
        <w:rPr>
          <w:rFonts w:hint="eastAsia" w:ascii="宋体" w:hAnsi="宋体" w:eastAsia="宋体" w:cs="宋体"/>
          <w:sz w:val="24"/>
          <w:szCs w:val="24"/>
        </w:rPr>
      </w:pPr>
      <w:r>
        <w:rPr>
          <w:rFonts w:hint="eastAsia" w:ascii="宋体" w:hAnsi="宋体" w:eastAsia="宋体" w:cs="宋体"/>
          <w:sz w:val="24"/>
          <w:szCs w:val="24"/>
        </w:rPr>
        <w:t>   标项五  </w:t>
      </w:r>
    </w:p>
    <w:p>
      <w:pPr>
        <w:rPr>
          <w:rFonts w:hint="eastAsia" w:ascii="宋体" w:hAnsi="宋体" w:eastAsia="宋体" w:cs="宋体"/>
          <w:sz w:val="24"/>
          <w:szCs w:val="24"/>
        </w:rPr>
      </w:pPr>
      <w:r>
        <w:rPr>
          <w:rFonts w:hint="eastAsia" w:ascii="宋体" w:hAnsi="宋体" w:eastAsia="宋体" w:cs="宋体"/>
          <w:sz w:val="24"/>
          <w:szCs w:val="24"/>
        </w:rPr>
        <w:t>   标的名称：第五包-国务院发展研究中心信息网数据库</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预算金额(元)：164650</w:t>
      </w:r>
      <w:r>
        <w:rPr>
          <w:rFonts w:hint="eastAsia" w:ascii="宋体" w:hAnsi="宋体" w:eastAsia="宋体" w:cs="宋体"/>
          <w:sz w:val="24"/>
          <w:szCs w:val="24"/>
        </w:rPr>
        <w:br w:type="textWrapping"/>
      </w:r>
      <w:r>
        <w:rPr>
          <w:rFonts w:hint="eastAsia" w:ascii="宋体" w:hAnsi="宋体" w:eastAsia="宋体" w:cs="宋体"/>
          <w:sz w:val="24"/>
          <w:szCs w:val="24"/>
        </w:rPr>
        <w:t>   单位：北京国研网信息股份有限公司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1、所提供的数据库获得信息网络传播权，保证所供数据库信息内容符合中华人民共和国相关法律，并保证所供信息不会引起知识产权纠纷等法律责任；</w:t>
      </w:r>
      <w:r>
        <w:rPr>
          <w:rFonts w:hint="eastAsia" w:ascii="宋体" w:hAnsi="宋体" w:eastAsia="宋体" w:cs="宋体"/>
          <w:sz w:val="24"/>
          <w:szCs w:val="24"/>
        </w:rPr>
        <w:br w:type="textWrapping"/>
      </w:r>
      <w:r>
        <w:rPr>
          <w:rFonts w:hint="eastAsia" w:ascii="宋体" w:hAnsi="宋体" w:eastAsia="宋体" w:cs="宋体"/>
          <w:sz w:val="24"/>
          <w:szCs w:val="24"/>
        </w:rPr>
        <w:t>2、内容须涉及国家宏观经济政策、中长期发展战略、区域经济政策、产业及技术经济发展动态、对外开放战略、企业改革与发展和农村改革等诸多经济热点问题；应收录国家级经济学专家的研究报告、国内外著名权威研究机构的各类研究成果；包含国务院发展研究中心调研报告；统计数据应全面地涵盖国内官方经济统计数据，收录从全国到地方的各类数据，统计数据应来源于权威机构；</w:t>
      </w:r>
      <w:r>
        <w:rPr>
          <w:rFonts w:hint="eastAsia" w:ascii="宋体" w:hAnsi="宋体" w:eastAsia="宋体" w:cs="宋体"/>
          <w:sz w:val="24"/>
          <w:szCs w:val="24"/>
        </w:rPr>
        <w:br w:type="textWrapping"/>
      </w:r>
      <w:r>
        <w:rPr>
          <w:rFonts w:hint="eastAsia" w:ascii="宋体" w:hAnsi="宋体" w:eastAsia="宋体" w:cs="宋体"/>
          <w:sz w:val="24"/>
          <w:szCs w:val="24"/>
        </w:rPr>
        <w:t>3、内容包含有：《国研视点》、《宏观经济》《金融中国》、《行业经济》、《区域经济》、《世界经济与金融评论》、《发展规划报告》、《经济普查报告》、行业月报、行业季报、金融统计数据库、教育统计数据库、区域经济数据库、重点行业数据库、世界经济统计数据库等；</w:t>
      </w:r>
      <w:r>
        <w:rPr>
          <w:rFonts w:hint="eastAsia" w:ascii="宋体" w:hAnsi="宋体" w:eastAsia="宋体" w:cs="宋体"/>
          <w:sz w:val="24"/>
          <w:szCs w:val="24"/>
        </w:rPr>
        <w:br w:type="textWrapping"/>
      </w:r>
      <w:r>
        <w:rPr>
          <w:rFonts w:hint="eastAsia" w:ascii="宋体" w:hAnsi="宋体" w:eastAsia="宋体" w:cs="宋体"/>
          <w:sz w:val="24"/>
          <w:szCs w:val="24"/>
        </w:rPr>
        <w:t>4、收录年限：1960年至今；更新频率：每日在线更新，全文数据年更新量须在10万篇以上，统计数据月更新量须在600M左右；</w:t>
      </w:r>
      <w:r>
        <w:rPr>
          <w:rFonts w:hint="eastAsia" w:ascii="宋体" w:hAnsi="宋体" w:eastAsia="宋体" w:cs="宋体"/>
          <w:sz w:val="24"/>
          <w:szCs w:val="24"/>
        </w:rPr>
        <w:br w:type="textWrapping"/>
      </w:r>
      <w:r>
        <w:rPr>
          <w:rFonts w:hint="eastAsia" w:ascii="宋体" w:hAnsi="宋体" w:eastAsia="宋体" w:cs="宋体"/>
          <w:sz w:val="24"/>
          <w:szCs w:val="24"/>
        </w:rPr>
        <w:t>5、提供完备的检索功能，能进行多维立体查询；</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6、提供包库使用方式；通过电话、EMAIL等方式进行的后续技术及内容需求服务，保证数据库的正常使用，及时解决使用过程中出现的问题。</w:t>
      </w:r>
    </w:p>
    <w:p>
      <w:pPr>
        <w:rPr>
          <w:rFonts w:hint="eastAsia" w:ascii="宋体" w:hAnsi="宋体" w:eastAsia="宋体" w:cs="宋体"/>
          <w:sz w:val="24"/>
          <w:szCs w:val="24"/>
        </w:rPr>
      </w:pPr>
      <w:r>
        <w:rPr>
          <w:rFonts w:hint="eastAsia" w:ascii="宋体" w:hAnsi="宋体" w:eastAsia="宋体" w:cs="宋体"/>
          <w:sz w:val="24"/>
          <w:szCs w:val="24"/>
        </w:rPr>
        <w:t>   标项六  </w:t>
      </w:r>
    </w:p>
    <w:p>
      <w:pPr>
        <w:rPr>
          <w:rFonts w:hint="eastAsia" w:ascii="宋体" w:hAnsi="宋体" w:eastAsia="宋体" w:cs="宋体"/>
          <w:sz w:val="24"/>
          <w:szCs w:val="24"/>
        </w:rPr>
      </w:pPr>
      <w:r>
        <w:rPr>
          <w:rFonts w:hint="eastAsia" w:ascii="宋体" w:hAnsi="宋体" w:eastAsia="宋体" w:cs="宋体"/>
          <w:sz w:val="24"/>
          <w:szCs w:val="24"/>
        </w:rPr>
        <w:t>   标的名称：第六包-维普考试服务平台</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预算金额(元)：69000</w:t>
      </w:r>
      <w:r>
        <w:rPr>
          <w:rFonts w:hint="eastAsia" w:ascii="宋体" w:hAnsi="宋体" w:eastAsia="宋体" w:cs="宋体"/>
          <w:sz w:val="24"/>
          <w:szCs w:val="24"/>
        </w:rPr>
        <w:br w:type="textWrapping"/>
      </w:r>
      <w:r>
        <w:rPr>
          <w:rFonts w:hint="eastAsia" w:ascii="宋体" w:hAnsi="宋体" w:eastAsia="宋体" w:cs="宋体"/>
          <w:sz w:val="24"/>
          <w:szCs w:val="24"/>
        </w:rPr>
        <w:t>   单位：重庆维普智图数据科技有限公司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《维普考试服务平台》是集各项职业资格与高校课程考试资源于一体，包含海量试题试卷，并提供试题试卷浏览及查询、多渠道考前练习的考试、学习辅助系统。</w:t>
      </w:r>
      <w:r>
        <w:rPr>
          <w:rFonts w:hint="eastAsia" w:ascii="宋体" w:hAnsi="宋体" w:eastAsia="宋体" w:cs="宋体"/>
          <w:sz w:val="24"/>
          <w:szCs w:val="24"/>
        </w:rPr>
        <w:br w:type="textWrapping"/>
      </w:r>
      <w:r>
        <w:rPr>
          <w:rFonts w:hint="eastAsia" w:ascii="宋体" w:hAnsi="宋体" w:eastAsia="宋体" w:cs="宋体"/>
          <w:sz w:val="24"/>
          <w:szCs w:val="24"/>
        </w:rPr>
        <w:t>共有三个功能模块——职业资格、高教题库、移动应用。</w:t>
      </w:r>
      <w:r>
        <w:rPr>
          <w:rFonts w:hint="eastAsia" w:ascii="宋体" w:hAnsi="宋体" w:eastAsia="宋体" w:cs="宋体"/>
          <w:sz w:val="24"/>
          <w:szCs w:val="24"/>
        </w:rPr>
        <w:br w:type="textWrapping"/>
      </w:r>
      <w:r>
        <w:rPr>
          <w:rFonts w:hint="eastAsia" w:ascii="宋体" w:hAnsi="宋体" w:eastAsia="宋体" w:cs="宋体"/>
          <w:sz w:val="24"/>
          <w:szCs w:val="24"/>
        </w:rPr>
        <w:t>职业资格模块包含公职考试、建筑工程、语言考试、金融财会、计算机类、医药卫生、研究生类、学历考试、执业资格、综合技能十大行业，超300个考试分类3000余门考试科目，共42万套试卷，其中真题试卷5.2万套，总试题量超过2200万道。提供在线模考、单题练习、章节练习、每日一练、专项训练、随机组卷等多途径考前练习服务。</w:t>
      </w:r>
      <w:r>
        <w:rPr>
          <w:rFonts w:hint="eastAsia" w:ascii="宋体" w:hAnsi="宋体" w:eastAsia="宋体" w:cs="宋体"/>
          <w:sz w:val="24"/>
          <w:szCs w:val="24"/>
        </w:rPr>
        <w:br w:type="textWrapping"/>
      </w:r>
      <w:r>
        <w:rPr>
          <w:rFonts w:hint="eastAsia" w:ascii="宋体" w:hAnsi="宋体" w:eastAsia="宋体" w:cs="宋体"/>
          <w:sz w:val="24"/>
          <w:szCs w:val="24"/>
        </w:rPr>
        <w:t>高教题库模块按教育部学科分类收录整理了哲学、经济学、法学、教育学、文学、历史学、理学、工学、农学、医学、管理学、艺术学十二个学科下数百门专业课的考试资源，包含4.5万套试卷，其中真题试卷1万套，总试题量186万余道。</w:t>
      </w:r>
      <w:r>
        <w:rPr>
          <w:rFonts w:hint="eastAsia" w:ascii="宋体" w:hAnsi="宋体" w:eastAsia="宋体" w:cs="宋体"/>
          <w:sz w:val="24"/>
          <w:szCs w:val="24"/>
        </w:rPr>
        <w:br w:type="textWrapping"/>
      </w:r>
      <w:r>
        <w:rPr>
          <w:rFonts w:hint="eastAsia" w:ascii="宋体" w:hAnsi="宋体" w:eastAsia="宋体" w:cs="宋体"/>
          <w:sz w:val="24"/>
          <w:szCs w:val="24"/>
        </w:rPr>
        <w:t>移动应用模块提供了两种移动服务解决方案——“维普考试”和“维普掌上 题库”，前者通过APP应用提供服务，后者针对机构提供APP或微信公众号嵌入式服务。</w:t>
      </w:r>
    </w:p>
    <w:p>
      <w:pPr>
        <w:rPr>
          <w:rFonts w:hint="eastAsia" w:ascii="宋体" w:hAnsi="宋体" w:eastAsia="宋体" w:cs="宋体"/>
          <w:sz w:val="24"/>
          <w:szCs w:val="24"/>
        </w:rPr>
      </w:pPr>
      <w:r>
        <w:rPr>
          <w:rFonts w:hint="eastAsia" w:ascii="宋体" w:hAnsi="宋体" w:eastAsia="宋体" w:cs="宋体"/>
          <w:sz w:val="24"/>
          <w:szCs w:val="24"/>
        </w:rPr>
        <w:t>   标项七  </w:t>
      </w:r>
    </w:p>
    <w:p>
      <w:pPr>
        <w:rPr>
          <w:rFonts w:hint="eastAsia" w:ascii="宋体" w:hAnsi="宋体" w:eastAsia="宋体" w:cs="宋体"/>
          <w:sz w:val="24"/>
          <w:szCs w:val="24"/>
        </w:rPr>
      </w:pPr>
      <w:r>
        <w:rPr>
          <w:rFonts w:hint="eastAsia" w:ascii="宋体" w:hAnsi="宋体" w:eastAsia="宋体" w:cs="宋体"/>
          <w:sz w:val="24"/>
          <w:szCs w:val="24"/>
        </w:rPr>
        <w:t>   标的名称：第七包-维普中文期刊服务平台</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预算金额(元)：138000</w:t>
      </w:r>
      <w:r>
        <w:rPr>
          <w:rFonts w:hint="eastAsia" w:ascii="宋体" w:hAnsi="宋体" w:eastAsia="宋体" w:cs="宋体"/>
          <w:sz w:val="24"/>
          <w:szCs w:val="24"/>
        </w:rPr>
        <w:br w:type="textWrapping"/>
      </w:r>
      <w:r>
        <w:rPr>
          <w:rFonts w:hint="eastAsia" w:ascii="宋体" w:hAnsi="宋体" w:eastAsia="宋体" w:cs="宋体"/>
          <w:sz w:val="24"/>
          <w:szCs w:val="24"/>
        </w:rPr>
        <w:t>   单位：重庆维普智图数据科技有限公司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期刊收录量：累计收录期刊15300余种，其中现刊现刊9300余种，独有期刊4300余种，收录年限从1989年开始（部分期刊可回溯到更早（1920年）或创刊年）。唯一完整标引多版本核心期刊（北大核心：1992版、1996版…2020版；CSSCI：1998版、1999版、2021-2022版；CSCD：2011-2012版、2013-2014版…2021-2022版）的中文期刊数据库产品，核心期刊收录最全：北大核心2020版1982种，CSSCI（2021-2022）802种，CSCD（2021-2022）1257种，收录率均达98%以上。文献总量：7300余万篇，全文率99.8%。学科范围：社会科学、经济管理、图书情报、教育科学、自然科学、医药卫生、农业科学、工程技术八大专辑，全学科覆盖。原文保障：提供多种渠道的原文保障服务，包括在线阅读、下载全文和OA链接、文献传递等。</w:t>
      </w:r>
      <w:r>
        <w:rPr>
          <w:rFonts w:hint="eastAsia" w:ascii="宋体" w:hAnsi="宋体" w:eastAsia="宋体" w:cs="宋体"/>
          <w:sz w:val="24"/>
          <w:szCs w:val="24"/>
        </w:rPr>
        <w:br w:type="textWrapping"/>
      </w:r>
      <w:r>
        <w:rPr>
          <w:rFonts w:hint="eastAsia" w:ascii="宋体" w:hAnsi="宋体" w:eastAsia="宋体" w:cs="宋体"/>
          <w:sz w:val="24"/>
          <w:szCs w:val="24"/>
        </w:rPr>
        <w:t>产品价值：满足用户期刊文献检索及文献保障的需求。</w:t>
      </w:r>
      <w:r>
        <w:rPr>
          <w:rFonts w:hint="eastAsia" w:ascii="宋体" w:hAnsi="宋体" w:eastAsia="宋体" w:cs="宋体"/>
          <w:sz w:val="24"/>
          <w:szCs w:val="24"/>
        </w:rPr>
        <w:br w:type="textWrapping"/>
      </w:r>
      <w:r>
        <w:rPr>
          <w:rFonts w:hint="eastAsia" w:ascii="宋体" w:hAnsi="宋体" w:eastAsia="宋体" w:cs="宋体"/>
          <w:sz w:val="24"/>
          <w:szCs w:val="24"/>
        </w:rPr>
        <w:t>服务模式：WEB版网络远程包库.、镜像站版、流量计费。</w:t>
      </w:r>
      <w:r>
        <w:rPr>
          <w:rFonts w:hint="eastAsia" w:ascii="宋体" w:hAnsi="宋体" w:eastAsia="宋体" w:cs="宋体"/>
          <w:sz w:val="24"/>
          <w:szCs w:val="24"/>
        </w:rPr>
        <w:br w:type="textWrapping"/>
      </w:r>
      <w:r>
        <w:rPr>
          <w:rFonts w:hint="eastAsia" w:ascii="宋体" w:hAnsi="宋体" w:eastAsia="宋体" w:cs="宋体"/>
          <w:sz w:val="24"/>
          <w:szCs w:val="24"/>
        </w:rPr>
        <w:t>数据标引：期刊和文献均按《中国图书馆分类法》做人工标引，每篇文献入类时以文献内容特征为依据，科学准确，</w:t>
      </w:r>
      <w:r>
        <w:rPr>
          <w:rFonts w:hint="eastAsia" w:ascii="宋体" w:hAnsi="宋体" w:eastAsia="宋体" w:cs="宋体"/>
          <w:sz w:val="24"/>
          <w:szCs w:val="24"/>
          <w:lang w:val="en-US" w:eastAsia="zh-CN"/>
        </w:rPr>
        <w:t>保证查全率和数据统计准确性。引文检索能力：除提供单篇文章的引用线索漫游外，还提供多篇文章的引证追踪检索，同时提供基于作者、机构、期刊等的科研产出及引用情况统计分析。检索方式：基本检索、高级检索、检索式检索、二次检索、期刊检索、作者检索、机构检索。特殊检索能力：支持中英文、繁简体混合检索，支持精确匹配、逻辑组配检索、同义词检索等。导航方式：作者导航、期刊导航、机构导航。</w:t>
      </w:r>
    </w:p>
    <w:p>
      <w:pPr>
        <w:rPr>
          <w:rFonts w:hint="eastAsia" w:ascii="宋体" w:hAnsi="宋体" w:eastAsia="宋体" w:cs="宋体"/>
          <w:sz w:val="24"/>
          <w:szCs w:val="24"/>
        </w:rPr>
      </w:pPr>
      <w:r>
        <w:rPr>
          <w:rFonts w:hint="eastAsia" w:ascii="宋体" w:hAnsi="宋体" w:eastAsia="宋体" w:cs="宋体"/>
          <w:sz w:val="24"/>
          <w:szCs w:val="24"/>
        </w:rPr>
        <w:t>   标项八  </w:t>
      </w:r>
    </w:p>
    <w:p>
      <w:pPr>
        <w:rPr>
          <w:rFonts w:hint="eastAsia" w:ascii="宋体" w:hAnsi="宋体" w:eastAsia="宋体" w:cs="宋体"/>
          <w:sz w:val="24"/>
          <w:szCs w:val="24"/>
        </w:rPr>
      </w:pPr>
      <w:r>
        <w:rPr>
          <w:rFonts w:hint="eastAsia" w:ascii="宋体" w:hAnsi="宋体" w:eastAsia="宋体" w:cs="宋体"/>
          <w:sz w:val="24"/>
          <w:szCs w:val="24"/>
        </w:rPr>
        <w:t>   标的名称：第八包-超星电子图书数据库系统</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预算金额(元)：50000</w:t>
      </w:r>
      <w:r>
        <w:rPr>
          <w:rFonts w:hint="eastAsia" w:ascii="宋体" w:hAnsi="宋体" w:eastAsia="宋体" w:cs="宋体"/>
          <w:sz w:val="24"/>
          <w:szCs w:val="24"/>
        </w:rPr>
        <w:br w:type="textWrapping"/>
      </w:r>
      <w:r>
        <w:rPr>
          <w:rFonts w:hint="eastAsia" w:ascii="宋体" w:hAnsi="宋体" w:eastAsia="宋体" w:cs="宋体"/>
          <w:sz w:val="24"/>
          <w:szCs w:val="24"/>
        </w:rPr>
        <w:t>   单位：北京世纪超星信息技术发展有限责任公司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超星电子书目前已经数字化制作完成的中文电子图书超340万种，而且解决版权的书达到了140万种图书供用户选择，每年新增图书超过10万种，基本涵盖了当年出版的图书。1.数字图书资源涵盖科普、社科、历史、文学、传记、经济、政治、教育等类别，并提供适学生、老师阅读的专题分类方法，如学科文学艺术、科普百科、德育教育、政治法律、军事等等。这些资源可以持续更新，给每位读者提供及时的数字阅读资源服务。2.图书资源必须以PDG格式为主。3.对图书中的句段可以通过文本识别工具进行摘录使用，对图表、图片内容可通过图象剪贴进行使用；4.提供对数据库的书名、作者、分类、主题词等标准检索，同时实现数据库目录及全文检索； 5.图书数据必须满足网上.访问速度快，采用边下载边显示及多线程下载等技术；6.兼容普通网页浏览器,满足直接连接到校园网主页,用户可以在校园网上利用IE浏览器进行阅读，同时，数字图书馆必须具备强大的网络传输功能，支持数字资源的异地访问和使用；7.支持平台双认证访问：支持IP范围内用户判断IP地址范围登录、支持IP范围外用户判断用户名和密码登录；</w:t>
      </w:r>
    </w:p>
    <w:p>
      <w:pPr>
        <w:rPr>
          <w:rFonts w:hint="eastAsia" w:ascii="宋体" w:hAnsi="宋体" w:eastAsia="宋体" w:cs="宋体"/>
          <w:sz w:val="24"/>
          <w:szCs w:val="24"/>
        </w:rPr>
      </w:pPr>
      <w:r>
        <w:rPr>
          <w:rFonts w:hint="eastAsia" w:ascii="宋体" w:hAnsi="宋体" w:eastAsia="宋体" w:cs="宋体"/>
          <w:sz w:val="24"/>
          <w:szCs w:val="24"/>
        </w:rPr>
        <w:t>   标项九  </w:t>
      </w:r>
    </w:p>
    <w:p>
      <w:pPr>
        <w:rPr>
          <w:rFonts w:hint="eastAsia" w:ascii="宋体" w:hAnsi="宋体" w:eastAsia="宋体" w:cs="宋体"/>
          <w:sz w:val="24"/>
          <w:szCs w:val="24"/>
        </w:rPr>
      </w:pPr>
      <w:r>
        <w:rPr>
          <w:rFonts w:hint="eastAsia" w:ascii="宋体" w:hAnsi="宋体" w:eastAsia="宋体" w:cs="宋体"/>
          <w:sz w:val="24"/>
          <w:szCs w:val="24"/>
        </w:rPr>
        <w:t>   标的名称：第九包-新东方多媒体学习库</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预算金额(元)：70800</w:t>
      </w:r>
      <w:r>
        <w:rPr>
          <w:rFonts w:hint="eastAsia" w:ascii="宋体" w:hAnsi="宋体" w:eastAsia="宋体" w:cs="宋体"/>
          <w:sz w:val="24"/>
          <w:szCs w:val="24"/>
        </w:rPr>
        <w:br w:type="textWrapping"/>
      </w:r>
      <w:r>
        <w:rPr>
          <w:rFonts w:hint="eastAsia" w:ascii="宋体" w:hAnsi="宋体" w:eastAsia="宋体" w:cs="宋体"/>
          <w:sz w:val="24"/>
          <w:szCs w:val="24"/>
        </w:rPr>
        <w:t>   单位：西安品学网络科技有限公司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lang w:val="en-US" w:eastAsia="zh-CN"/>
        </w:rPr>
      </w:pPr>
      <w:r>
        <w:rPr>
          <w:rFonts w:hint="eastAsia" w:ascii="宋体" w:hAnsi="宋体" w:eastAsia="宋体" w:cs="宋体"/>
          <w:sz w:val="24"/>
          <w:szCs w:val="24"/>
        </w:rPr>
        <w:t>1、数据库应包含分级词汇、语法、四级、六级、考研、雅思、托福、GRE、GMAT、德福、日语、韩语、德语、西班牙语、意大利语、法语、俄语、专硕、考博、专四、专八、PETS、BEC、口译初中高级、医护英语、信息素养课程供采购选择。</w:t>
      </w:r>
      <w:r>
        <w:rPr>
          <w:rFonts w:hint="eastAsia" w:ascii="宋体" w:hAnsi="宋体" w:eastAsia="宋体" w:cs="宋体"/>
          <w:sz w:val="24"/>
          <w:szCs w:val="24"/>
        </w:rPr>
        <w:br w:type="textWrapping"/>
      </w:r>
      <w:r>
        <w:rPr>
          <w:rFonts w:hint="eastAsia" w:ascii="宋体" w:hAnsi="宋体" w:eastAsia="宋体" w:cs="宋体"/>
          <w:sz w:val="24"/>
          <w:szCs w:val="24"/>
        </w:rPr>
        <w:t>2、课程内容为原创资源，拥有自主知识产权、著作权，新东方一线名师授课。</w:t>
      </w:r>
      <w:r>
        <w:rPr>
          <w:rFonts w:hint="eastAsia" w:ascii="宋体" w:hAnsi="宋体" w:eastAsia="宋体" w:cs="宋体"/>
          <w:sz w:val="24"/>
          <w:szCs w:val="24"/>
        </w:rPr>
        <w:br w:type="textWrapping"/>
      </w:r>
      <w:r>
        <w:rPr>
          <w:rFonts w:hint="eastAsia" w:ascii="宋体" w:hAnsi="宋体" w:eastAsia="宋体" w:cs="宋体"/>
          <w:sz w:val="24"/>
          <w:szCs w:val="24"/>
        </w:rPr>
        <w:t>3、视频内容使用MP4格式+Html5制作。 MP4课件类型，视频编码为AVC（H264），屏幕大小分辨率不低于640x360，比特率300KB/秒，每秒25帧，音频采样率44100赫兹，声道为双声道立体声，可以提供1080p高清视频，听课进度可自行调节。单个课件在2M左右, 支持远程播放，课件最终输出文件格式为Mp4流。</w:t>
      </w:r>
      <w:r>
        <w:rPr>
          <w:rFonts w:hint="eastAsia" w:ascii="宋体" w:hAnsi="宋体" w:eastAsia="宋体" w:cs="宋体"/>
          <w:sz w:val="24"/>
          <w:szCs w:val="24"/>
        </w:rPr>
        <w:br w:type="textWrapping"/>
      </w:r>
      <w:r>
        <w:rPr>
          <w:rFonts w:hint="eastAsia" w:ascii="宋体" w:hAnsi="宋体" w:eastAsia="宋体" w:cs="宋体"/>
          <w:sz w:val="24"/>
          <w:szCs w:val="24"/>
        </w:rPr>
        <w:t>4、课件符合QA标准：课件中的文字错误率，要求在3/10000字以下；课件中声音和文字完全匹配；</w:t>
      </w:r>
      <w:r>
        <w:rPr>
          <w:rFonts w:hint="eastAsia" w:ascii="宋体" w:hAnsi="宋体" w:eastAsia="宋体" w:cs="宋体"/>
          <w:sz w:val="24"/>
          <w:szCs w:val="24"/>
        </w:rPr>
        <w:br w:type="textWrapping"/>
      </w:r>
      <w:r>
        <w:rPr>
          <w:rFonts w:hint="eastAsia" w:ascii="宋体" w:hAnsi="宋体" w:eastAsia="宋体" w:cs="宋体"/>
          <w:sz w:val="24"/>
          <w:szCs w:val="24"/>
        </w:rPr>
        <w:t>5、课件的声音要求符合的标准为：+音频格式：MPEG1 Audio Layer-2+通道：立体声+音频比特率：384K 采样率：48000HZ</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6、课件的视频要求为：视频亮度对比度合适，不能出现逆光，光线过强或过暗；画面构图合理，比如不能出现如人物削掉头或削掉半边身体之类；画面稳定清晰，不能模糊，也不能画面抖动；课堂拍摄，画面紧跟随老师和焦点；无内容残缺和马赛克之类视频损伤。</w:t>
      </w:r>
    </w:p>
    <w:p>
      <w:pPr>
        <w:pStyle w:val="10"/>
        <w:numPr>
          <w:ilvl w:val="0"/>
          <w:numId w:val="2"/>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课件全部用多媒体音视频技术制作，且支持本地缓存播放,具有语音识别技术，清晰详细的版书，听课进度自行调节，保证每课时内容按照标准课时45分钟时间计算。</w:t>
      </w:r>
    </w:p>
    <w:p>
      <w:pPr>
        <w:numPr>
          <w:ilvl w:val="0"/>
          <w:numId w:val="2"/>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提供免费教材下载、在线练习、模拟考试、直播课等功能并且提供远程访问，动态更新。</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9、供应商为采购人提供售后服务，热线咨询1小时内解决，电话咨询无法处理的2天内现场解决。</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10、供应商为采购人提供合同有效期内的软件免费升级服务。</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11、供应商须负责承担所供数据的知识产权和软件专利的所有权问题，若因此发生的一切纠纷，均与采购人无关。</w:t>
      </w:r>
    </w:p>
    <w:p>
      <w:pPr>
        <w:rPr>
          <w:rFonts w:hint="eastAsia" w:ascii="宋体" w:hAnsi="宋体" w:eastAsia="宋体" w:cs="宋体"/>
          <w:sz w:val="24"/>
          <w:szCs w:val="24"/>
          <w:lang w:val="en-US"/>
        </w:rPr>
      </w:pPr>
      <w:r>
        <w:rPr>
          <w:rFonts w:hint="eastAsia" w:ascii="宋体" w:hAnsi="宋体" w:eastAsia="宋体" w:cs="宋体"/>
          <w:sz w:val="24"/>
          <w:szCs w:val="24"/>
          <w:lang w:val="en-US" w:eastAsia="zh-CN"/>
        </w:rPr>
        <w:t>12、供应商为采购人提供免费的校内宣传及推广，免费提供数据库介绍，使用指导，课程说明，易拉宝等宣传物品。</w:t>
      </w:r>
    </w:p>
    <w:p>
      <w:pPr>
        <w:rPr>
          <w:rFonts w:hint="eastAsia" w:ascii="宋体" w:hAnsi="宋体" w:eastAsia="宋体" w:cs="宋体"/>
          <w:sz w:val="24"/>
          <w:szCs w:val="24"/>
        </w:rPr>
      </w:pPr>
      <w:r>
        <w:rPr>
          <w:rFonts w:hint="eastAsia" w:ascii="宋体" w:hAnsi="宋体" w:eastAsia="宋体" w:cs="宋体"/>
          <w:sz w:val="24"/>
          <w:szCs w:val="24"/>
        </w:rPr>
        <w:t>   标项十  </w:t>
      </w:r>
    </w:p>
    <w:p>
      <w:pPr>
        <w:rPr>
          <w:rFonts w:hint="eastAsia" w:ascii="宋体" w:hAnsi="宋体" w:eastAsia="宋体" w:cs="宋体"/>
          <w:sz w:val="24"/>
          <w:szCs w:val="24"/>
        </w:rPr>
      </w:pPr>
      <w:r>
        <w:rPr>
          <w:rFonts w:hint="eastAsia" w:ascii="宋体" w:hAnsi="宋体" w:eastAsia="宋体" w:cs="宋体"/>
          <w:sz w:val="24"/>
          <w:szCs w:val="24"/>
        </w:rPr>
        <w:t>   标的名称：第十包-人大《复印报刊资料》全文、索引数据库信息系统</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预算金额(元)：50000</w:t>
      </w:r>
      <w:r>
        <w:rPr>
          <w:rFonts w:hint="eastAsia" w:ascii="宋体" w:hAnsi="宋体" w:eastAsia="宋体" w:cs="宋体"/>
          <w:sz w:val="24"/>
          <w:szCs w:val="24"/>
        </w:rPr>
        <w:br w:type="textWrapping"/>
      </w:r>
      <w:r>
        <w:rPr>
          <w:rFonts w:hint="eastAsia" w:ascii="宋体" w:hAnsi="宋体" w:eastAsia="宋体" w:cs="宋体"/>
          <w:sz w:val="24"/>
          <w:szCs w:val="24"/>
        </w:rPr>
        <w:t>   单位：人大数媒科技（北京）有限公司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人大复印报刊资料全文数据库</w:t>
      </w:r>
      <w:r>
        <w:rPr>
          <w:rFonts w:hint="eastAsia" w:ascii="宋体" w:hAnsi="宋体" w:eastAsia="宋体" w:cs="宋体"/>
          <w:sz w:val="24"/>
          <w:szCs w:val="24"/>
        </w:rPr>
        <w:br w:type="textWrapping"/>
      </w:r>
      <w:r>
        <w:rPr>
          <w:rFonts w:hint="eastAsia" w:ascii="宋体" w:hAnsi="宋体" w:eastAsia="宋体" w:cs="宋体"/>
          <w:sz w:val="24"/>
          <w:szCs w:val="24"/>
        </w:rPr>
        <w:t>1. 收录内容：复印报刊资料全文数据库九大专题数据：政治学与社会学类、法律类、哲学类、文学与艺术类、教育学类、经济学与经济管理类、历史类、文化信息传播类及其他类。</w:t>
      </w:r>
      <w:r>
        <w:rPr>
          <w:rFonts w:hint="eastAsia" w:ascii="宋体" w:hAnsi="宋体" w:eastAsia="宋体" w:cs="宋体"/>
          <w:sz w:val="24"/>
          <w:szCs w:val="24"/>
        </w:rPr>
        <w:br w:type="textWrapping"/>
      </w:r>
      <w:r>
        <w:rPr>
          <w:rFonts w:hint="eastAsia" w:ascii="宋体" w:hAnsi="宋体" w:eastAsia="宋体" w:cs="宋体"/>
          <w:sz w:val="24"/>
          <w:szCs w:val="24"/>
        </w:rPr>
        <w:t>2. 期刊总量达五千多种，文献总量达三千多万篇。</w:t>
      </w:r>
      <w:r>
        <w:rPr>
          <w:rFonts w:hint="eastAsia" w:ascii="宋体" w:hAnsi="宋体" w:eastAsia="宋体" w:cs="宋体"/>
          <w:sz w:val="24"/>
          <w:szCs w:val="24"/>
        </w:rPr>
        <w:br w:type="textWrapping"/>
      </w:r>
      <w:r>
        <w:rPr>
          <w:rFonts w:hint="eastAsia" w:ascii="宋体" w:hAnsi="宋体" w:eastAsia="宋体" w:cs="宋体"/>
          <w:sz w:val="24"/>
          <w:szCs w:val="24"/>
        </w:rPr>
        <w:t>3. 检索功能：支持多种检索手段，允许使用任意字、词、片段、语句进行全匹配检索，支持繁体字检索；支持多条件组合检索、二次检索、精确-模糊检索，提高查找准确率。</w:t>
      </w:r>
      <w:r>
        <w:rPr>
          <w:rFonts w:hint="eastAsia" w:ascii="宋体" w:hAnsi="宋体" w:eastAsia="宋体" w:cs="宋体"/>
          <w:sz w:val="24"/>
          <w:szCs w:val="24"/>
        </w:rPr>
        <w:br w:type="textWrapping"/>
      </w:r>
      <w:r>
        <w:rPr>
          <w:rFonts w:hint="eastAsia" w:ascii="宋体" w:hAnsi="宋体" w:eastAsia="宋体" w:cs="宋体"/>
          <w:sz w:val="24"/>
          <w:szCs w:val="24"/>
        </w:rPr>
        <w:t>4. 服务模式：镜像；</w:t>
      </w:r>
      <w:r>
        <w:rPr>
          <w:rFonts w:hint="eastAsia" w:ascii="宋体" w:hAnsi="宋体" w:eastAsia="宋体" w:cs="宋体"/>
          <w:sz w:val="24"/>
          <w:szCs w:val="24"/>
        </w:rPr>
        <w:br w:type="textWrapping"/>
      </w:r>
      <w:r>
        <w:rPr>
          <w:rFonts w:hint="eastAsia" w:ascii="宋体" w:hAnsi="宋体" w:eastAsia="宋体" w:cs="宋体"/>
          <w:sz w:val="24"/>
          <w:szCs w:val="24"/>
        </w:rPr>
        <w:t>5. 数据更新：每周不定期更新</w:t>
      </w:r>
      <w:r>
        <w:rPr>
          <w:rFonts w:hint="eastAsia" w:ascii="宋体" w:hAnsi="宋体" w:eastAsia="宋体" w:cs="宋体"/>
          <w:sz w:val="24"/>
          <w:szCs w:val="24"/>
        </w:rPr>
        <w:br w:type="textWrapping"/>
      </w:r>
      <w:r>
        <w:rPr>
          <w:rFonts w:hint="eastAsia" w:ascii="宋体" w:hAnsi="宋体" w:eastAsia="宋体" w:cs="宋体"/>
          <w:sz w:val="24"/>
          <w:szCs w:val="24"/>
        </w:rPr>
        <w:t>6. 具备在线浏览及本地下载全文功能</w:t>
      </w:r>
      <w:r>
        <w:rPr>
          <w:rFonts w:hint="eastAsia" w:ascii="宋体" w:hAnsi="宋体" w:eastAsia="宋体" w:cs="宋体"/>
          <w:sz w:val="24"/>
          <w:szCs w:val="24"/>
        </w:rPr>
        <w:br w:type="textWrapping"/>
      </w:r>
      <w:r>
        <w:rPr>
          <w:rFonts w:hint="eastAsia" w:ascii="宋体" w:hAnsi="宋体" w:eastAsia="宋体" w:cs="宋体"/>
          <w:sz w:val="24"/>
          <w:szCs w:val="24"/>
        </w:rPr>
        <w:t>7.数据格式：提供文本格式txt或word格式.</w:t>
      </w:r>
      <w:r>
        <w:rPr>
          <w:rFonts w:hint="eastAsia" w:ascii="宋体" w:hAnsi="宋体" w:eastAsia="宋体" w:cs="宋体"/>
          <w:sz w:val="24"/>
          <w:szCs w:val="24"/>
        </w:rPr>
        <w:br w:type="textWrapping"/>
      </w:r>
      <w:r>
        <w:rPr>
          <w:rFonts w:hint="eastAsia" w:ascii="宋体" w:hAnsi="宋体" w:eastAsia="宋体" w:cs="宋体"/>
          <w:sz w:val="24"/>
          <w:szCs w:val="24"/>
        </w:rPr>
        <w:t>人大报刊索引库</w:t>
      </w:r>
      <w:r>
        <w:rPr>
          <w:rFonts w:hint="eastAsia" w:ascii="宋体" w:hAnsi="宋体" w:eastAsia="宋体" w:cs="宋体"/>
          <w:sz w:val="24"/>
          <w:szCs w:val="24"/>
        </w:rPr>
        <w:br w:type="textWrapping"/>
      </w:r>
      <w:r>
        <w:rPr>
          <w:rFonts w:hint="eastAsia" w:ascii="宋体" w:hAnsi="宋体" w:eastAsia="宋体" w:cs="宋体"/>
          <w:sz w:val="24"/>
          <w:szCs w:val="24"/>
        </w:rPr>
        <w:t>　　题录型数据库，汇集了自1978 年至今的国内公开发行人文社科报刊上的全部题录。按专题和学科体系分为九大类，包括：法律类、经济学与经济管理类、教育类、历史类、文学与艺术类、文化信息传播类、哲学类、政治学与社会学类和其他类。600 多万条数据包含专题代号、类目、篇名、著者、原载报刊名称及刊期、“复印报刊资料”专题期刊名称及刊期等多项信息。</w:t>
      </w:r>
    </w:p>
    <w:p>
      <w:pPr>
        <w:rPr>
          <w:rFonts w:hint="eastAsia" w:ascii="宋体" w:hAnsi="宋体" w:eastAsia="宋体" w:cs="宋体"/>
          <w:sz w:val="24"/>
          <w:szCs w:val="24"/>
        </w:rPr>
      </w:pPr>
      <w:r>
        <w:rPr>
          <w:rFonts w:hint="eastAsia" w:ascii="宋体" w:hAnsi="宋体" w:eastAsia="宋体" w:cs="宋体"/>
          <w:sz w:val="24"/>
          <w:szCs w:val="24"/>
        </w:rPr>
        <w:t>   标项十一  </w:t>
      </w:r>
    </w:p>
    <w:p>
      <w:pPr>
        <w:rPr>
          <w:rFonts w:hint="eastAsia" w:ascii="宋体" w:hAnsi="宋体" w:eastAsia="宋体" w:cs="宋体"/>
          <w:sz w:val="24"/>
          <w:szCs w:val="24"/>
        </w:rPr>
      </w:pPr>
      <w:r>
        <w:rPr>
          <w:rFonts w:hint="eastAsia" w:ascii="宋体" w:hAnsi="宋体" w:eastAsia="宋体" w:cs="宋体"/>
          <w:sz w:val="24"/>
          <w:szCs w:val="24"/>
        </w:rPr>
        <w:t>   标的名称：第十一包-起点考研网</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预算金额(元)：48000</w:t>
      </w:r>
      <w:r>
        <w:rPr>
          <w:rFonts w:hint="eastAsia" w:ascii="宋体" w:hAnsi="宋体" w:eastAsia="宋体" w:cs="宋体"/>
          <w:sz w:val="24"/>
          <w:szCs w:val="24"/>
        </w:rPr>
        <w:br w:type="textWrapping"/>
      </w:r>
      <w:r>
        <w:rPr>
          <w:rFonts w:hint="eastAsia" w:ascii="宋体" w:hAnsi="宋体" w:eastAsia="宋体" w:cs="宋体"/>
          <w:sz w:val="24"/>
          <w:szCs w:val="24"/>
        </w:rPr>
        <w:t>   单位：北京智联起点信息技术有限公司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lang w:val="en-US" w:eastAsia="zh-CN"/>
        </w:rPr>
      </w:pPr>
      <w:r>
        <w:rPr>
          <w:rFonts w:hint="eastAsia" w:ascii="宋体" w:hAnsi="宋体" w:eastAsia="宋体" w:cs="宋体"/>
          <w:sz w:val="24"/>
          <w:szCs w:val="24"/>
        </w:rPr>
        <w:t>1、考研网作为考研专题数据库要求：包含最新的视频课程、讲义、配套的历年真题、模拟题试卷、名师讲堂、考研资讯等内容，学、考、练在同一平台进行。</w:t>
      </w:r>
      <w:r>
        <w:rPr>
          <w:rFonts w:hint="eastAsia" w:ascii="宋体" w:hAnsi="宋体" w:eastAsia="宋体" w:cs="宋体"/>
          <w:sz w:val="24"/>
          <w:szCs w:val="24"/>
        </w:rPr>
        <w:br w:type="textWrapping"/>
      </w:r>
      <w:r>
        <w:rPr>
          <w:rFonts w:hint="eastAsia" w:ascii="宋体" w:hAnsi="宋体" w:eastAsia="宋体" w:cs="宋体"/>
          <w:sz w:val="24"/>
          <w:szCs w:val="24"/>
        </w:rPr>
        <w:t>2、应包括17大类考研类视频课件，包括公共课程考研政治、考研数学、英语一、英语二、经济类综合、管理类综合，以及考研专业课：计算机、教育学、心理学、法律硕士、金融硕士、管理硕士、经济硕士等。视频资源总量不少于8000课时。</w:t>
      </w:r>
      <w:r>
        <w:rPr>
          <w:rFonts w:hint="eastAsia" w:ascii="宋体" w:hAnsi="宋体" w:eastAsia="宋体" w:cs="宋体"/>
          <w:sz w:val="24"/>
          <w:szCs w:val="24"/>
        </w:rPr>
        <w:br w:type="textWrapping"/>
      </w:r>
      <w:r>
        <w:rPr>
          <w:rFonts w:hint="eastAsia" w:ascii="宋体" w:hAnsi="宋体" w:eastAsia="宋体" w:cs="宋体"/>
          <w:sz w:val="24"/>
          <w:szCs w:val="24"/>
        </w:rPr>
        <w:t>3、视频课程收录时间要求：视频需包含2014年至2023年的考研课程及历年真题模拟题近10年时间跨度。</w:t>
      </w:r>
      <w:r>
        <w:rPr>
          <w:rFonts w:hint="eastAsia" w:ascii="宋体" w:hAnsi="宋体" w:eastAsia="宋体" w:cs="宋体"/>
          <w:sz w:val="24"/>
          <w:szCs w:val="24"/>
        </w:rPr>
        <w:br w:type="textWrapping"/>
      </w:r>
      <w:r>
        <w:rPr>
          <w:rFonts w:hint="eastAsia" w:ascii="宋体" w:hAnsi="宋体" w:eastAsia="宋体" w:cs="宋体"/>
          <w:sz w:val="24"/>
          <w:szCs w:val="24"/>
        </w:rPr>
        <w:t>4、视频更新模式要求：按课程学习进度安排，设置有真题解析班、导学班、基础班、强化班、冲刺班课程。依据跨考考研独特的学习辅导体系即五轮四阶课程体系，按照基础班、强化班、和冲刺班划分,并按阶梯分批次更新。</w:t>
      </w:r>
      <w:r>
        <w:rPr>
          <w:rFonts w:hint="eastAsia" w:ascii="宋体" w:hAnsi="宋体" w:eastAsia="宋体" w:cs="宋体"/>
          <w:sz w:val="24"/>
          <w:szCs w:val="24"/>
        </w:rPr>
        <w:br w:type="textWrapping"/>
      </w:r>
      <w:r>
        <w:rPr>
          <w:rFonts w:hint="eastAsia" w:ascii="宋体" w:hAnsi="宋体" w:eastAsia="宋体" w:cs="宋体"/>
          <w:sz w:val="24"/>
          <w:szCs w:val="24"/>
        </w:rPr>
        <w:t>5、视频个人管理要求：可对每个视频课程记录随堂笔记，记录有笔记的视频会一同保存进个人中心，方便读者下次使用。</w:t>
      </w:r>
      <w:r>
        <w:rPr>
          <w:rFonts w:hint="eastAsia" w:ascii="宋体" w:hAnsi="宋体" w:eastAsia="宋体" w:cs="宋体"/>
          <w:sz w:val="24"/>
          <w:szCs w:val="24"/>
        </w:rPr>
        <w:br w:type="textWrapping"/>
      </w:r>
      <w:r>
        <w:rPr>
          <w:rFonts w:hint="eastAsia" w:ascii="宋体" w:hAnsi="宋体" w:eastAsia="宋体" w:cs="宋体"/>
          <w:sz w:val="24"/>
          <w:szCs w:val="24"/>
        </w:rPr>
        <w:t>6、视频授课老师要求：所有课程由专业讲师录制包含陈正康、张宇、张鑫、李煋等名师。</w:t>
      </w:r>
      <w:r>
        <w:rPr>
          <w:rFonts w:hint="eastAsia" w:ascii="宋体" w:hAnsi="宋体" w:eastAsia="宋体" w:cs="宋体"/>
          <w:sz w:val="24"/>
          <w:szCs w:val="24"/>
        </w:rPr>
        <w:br w:type="textWrapping"/>
      </w:r>
      <w:r>
        <w:rPr>
          <w:rFonts w:hint="eastAsia" w:ascii="宋体" w:hAnsi="宋体" w:eastAsia="宋体" w:cs="宋体"/>
          <w:sz w:val="24"/>
          <w:szCs w:val="24"/>
        </w:rPr>
        <w:t>7、支持PC版、微信移动版多种使用方式，满足不同读者对数据库不同的使用习惯。</w:t>
      </w:r>
      <w:r>
        <w:rPr>
          <w:rFonts w:hint="eastAsia" w:ascii="宋体" w:hAnsi="宋体" w:eastAsia="宋体" w:cs="宋体"/>
          <w:sz w:val="24"/>
          <w:szCs w:val="24"/>
        </w:rPr>
        <w:br w:type="textWrapping"/>
      </w:r>
      <w:r>
        <w:rPr>
          <w:rFonts w:hint="eastAsia" w:ascii="宋体" w:hAnsi="宋体" w:eastAsia="宋体" w:cs="宋体"/>
          <w:sz w:val="24"/>
          <w:szCs w:val="24"/>
        </w:rPr>
        <w:t>8、</w:t>
      </w:r>
      <w:r>
        <w:rPr>
          <w:rFonts w:hint="eastAsia" w:ascii="宋体" w:hAnsi="宋体" w:eastAsia="宋体" w:cs="宋体"/>
          <w:sz w:val="24"/>
          <w:szCs w:val="24"/>
          <w:lang w:val="en-US" w:eastAsia="zh-CN"/>
        </w:rPr>
        <w:t>微信版校内注册后，可实现在校外的登陆访问，使读者不受时间、空间限制，随时可利用碎片化时间登陆数据库进行学习。</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微信移动版版可实现与我馆微信公众号对接，与我馆微信公众号做嵌入使用，通过我馆微信客户端移动图书馆直接访问移动版，无需另外下载APP。</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10、可保证PC版和微信移动版的资源完成同步更新。</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rPr>
        <w:t>   标的名称：第十二包-北大法宝</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预算金额(元)：20000</w:t>
      </w:r>
      <w:r>
        <w:rPr>
          <w:rFonts w:hint="eastAsia" w:ascii="宋体" w:hAnsi="宋体" w:eastAsia="宋体" w:cs="宋体"/>
          <w:sz w:val="24"/>
          <w:szCs w:val="24"/>
        </w:rPr>
        <w:br w:type="textWrapping"/>
      </w:r>
      <w:r>
        <w:rPr>
          <w:rFonts w:hint="eastAsia" w:ascii="宋体" w:hAnsi="宋体" w:eastAsia="宋体" w:cs="宋体"/>
          <w:sz w:val="24"/>
          <w:szCs w:val="24"/>
        </w:rPr>
        <w:t>   单位：北京北大英华科技有限公司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1.北大法宝数据库属于法学综合性数据库，数据涵盖法律信息的方方面面。内容包含：法律法规检索系统、司.法案例检索系统、英文译本检索系统等三个子库。</w:t>
      </w:r>
      <w:r>
        <w:rPr>
          <w:rFonts w:hint="eastAsia" w:ascii="宋体" w:hAnsi="宋体" w:eastAsia="宋体" w:cs="宋体"/>
          <w:sz w:val="24"/>
          <w:szCs w:val="24"/>
        </w:rPr>
        <w:br w:type="textWrapping"/>
      </w:r>
      <w:r>
        <w:rPr>
          <w:rFonts w:hint="eastAsia" w:ascii="宋体" w:hAnsi="宋体" w:eastAsia="宋体" w:cs="宋体"/>
          <w:sz w:val="24"/>
          <w:szCs w:val="24"/>
        </w:rPr>
        <w:t>2.法律法规检索系统，收录法律法规自1949年至不低于330万篇，法规内容采用全国人大常委会、最高人民法院等有关机关提供的法规文本，保证法规准确性。具有“智能联想”功能，可使法规条文和相关案例、裁判文书、法学文献等信息之间直接印证。具有信息聚类功能，可对检索结果的效力级别、发布部门、时效性、分类做统计汇总。</w:t>
      </w:r>
      <w:r>
        <w:rPr>
          <w:rFonts w:hint="eastAsia" w:ascii="宋体" w:hAnsi="宋体" w:eastAsia="宋体" w:cs="宋体"/>
          <w:sz w:val="24"/>
          <w:szCs w:val="24"/>
        </w:rPr>
        <w:br w:type="textWrapping"/>
      </w:r>
      <w:r>
        <w:rPr>
          <w:rFonts w:hint="eastAsia" w:ascii="宋体" w:hAnsi="宋体" w:eastAsia="宋体" w:cs="宋体"/>
          <w:sz w:val="24"/>
          <w:szCs w:val="24"/>
        </w:rPr>
        <w:t>3.司.法案例检索系统，收录我国大陆法院的各类案例不少于1.3亿篇，可根据用户需求提供全方位检索、导航功能，并提供个案系统呈现、案例帮助系统及刑事比对功能。</w:t>
      </w:r>
      <w:r>
        <w:rPr>
          <w:rFonts w:hint="eastAsia" w:ascii="宋体" w:hAnsi="宋体" w:eastAsia="宋体" w:cs="宋体"/>
          <w:sz w:val="24"/>
          <w:szCs w:val="24"/>
        </w:rPr>
        <w:br w:type="textWrapping"/>
      </w:r>
      <w:r>
        <w:rPr>
          <w:rFonts w:hint="eastAsia" w:ascii="宋体" w:hAnsi="宋体" w:eastAsia="宋体" w:cs="宋体"/>
          <w:sz w:val="24"/>
          <w:szCs w:val="24"/>
        </w:rPr>
        <w:t>4.英文译本数据检索系统包含中国法律法规的英文译本，最高人民法院、最高人民检察院分别通过和发布的指导性案例、公报案例和典型案例的英文译本，中国与外国政府、地区或组织达成的所有现行有效的国际条约，中国中央、地方政府或者其它组织发布的白皮书的英文译本等内容。</w:t>
      </w:r>
      <w:r>
        <w:rPr>
          <w:rFonts w:hint="eastAsia" w:ascii="宋体" w:hAnsi="宋体" w:eastAsia="宋体" w:cs="宋体"/>
          <w:sz w:val="24"/>
          <w:szCs w:val="24"/>
        </w:rPr>
        <w:br w:type="textWrapping"/>
      </w:r>
      <w:r>
        <w:rPr>
          <w:rFonts w:hint="eastAsia" w:ascii="宋体" w:hAnsi="宋体" w:eastAsia="宋体" w:cs="宋体"/>
          <w:sz w:val="24"/>
          <w:szCs w:val="24"/>
        </w:rPr>
        <w:t>5.能实现法条联想技术，将法条、案例、裁判标准、疑难问题、实务专题进行有效关联，为用户提供便捷的检索服务。</w:t>
      </w:r>
      <w:r>
        <w:rPr>
          <w:rFonts w:hint="eastAsia" w:ascii="宋体" w:hAnsi="宋体" w:eastAsia="宋体" w:cs="宋体"/>
          <w:sz w:val="24"/>
          <w:szCs w:val="24"/>
        </w:rPr>
        <w:br w:type="textWrapping"/>
      </w:r>
      <w:r>
        <w:rPr>
          <w:rFonts w:hint="eastAsia" w:ascii="宋体" w:hAnsi="宋体" w:eastAsia="宋体" w:cs="宋体"/>
          <w:sz w:val="24"/>
          <w:szCs w:val="24"/>
        </w:rPr>
        <w:t>6.</w:t>
      </w:r>
      <w:r>
        <w:rPr>
          <w:rFonts w:hint="eastAsia" w:ascii="宋体" w:hAnsi="宋体" w:eastAsia="宋体" w:cs="宋体"/>
          <w:sz w:val="24"/>
          <w:szCs w:val="24"/>
          <w:lang w:val="en-US" w:eastAsia="zh-CN"/>
        </w:rPr>
        <w:t>保障了高校教研理论来源的官方性和数据的准确性，为学生提供一个专业的学习辅助工具，极大的提高了工作效率。</w:t>
      </w:r>
    </w:p>
    <w:p>
      <w:pPr>
        <w:rPr>
          <w:rFonts w:hint="eastAsia" w:ascii="宋体" w:hAnsi="宋体" w:eastAsia="宋体" w:cs="宋体"/>
          <w:sz w:val="24"/>
          <w:szCs w:val="24"/>
        </w:rPr>
      </w:pPr>
      <w:r>
        <w:rPr>
          <w:rFonts w:hint="eastAsia" w:ascii="宋体" w:hAnsi="宋体" w:eastAsia="宋体" w:cs="宋体"/>
          <w:sz w:val="24"/>
          <w:szCs w:val="24"/>
        </w:rPr>
        <w:t>   标项十三  </w:t>
      </w:r>
    </w:p>
    <w:p>
      <w:pPr>
        <w:rPr>
          <w:rFonts w:hint="eastAsia" w:ascii="宋体" w:hAnsi="宋体" w:eastAsia="宋体" w:cs="宋体"/>
          <w:sz w:val="24"/>
          <w:szCs w:val="24"/>
        </w:rPr>
      </w:pPr>
      <w:r>
        <w:rPr>
          <w:rFonts w:hint="eastAsia" w:ascii="宋体" w:hAnsi="宋体" w:eastAsia="宋体" w:cs="宋体"/>
          <w:sz w:val="24"/>
          <w:szCs w:val="24"/>
        </w:rPr>
        <w:t>   标的名称：第十三包-Wind资讯数据终端</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预算金额(元)：119400</w:t>
      </w:r>
      <w:r>
        <w:rPr>
          <w:rFonts w:hint="eastAsia" w:ascii="宋体" w:hAnsi="宋体" w:eastAsia="宋体" w:cs="宋体"/>
          <w:sz w:val="24"/>
          <w:szCs w:val="24"/>
        </w:rPr>
        <w:br w:type="textWrapping"/>
      </w:r>
      <w:r>
        <w:rPr>
          <w:rFonts w:hint="eastAsia" w:ascii="宋体" w:hAnsi="宋体" w:eastAsia="宋体" w:cs="宋体"/>
          <w:sz w:val="24"/>
          <w:szCs w:val="24"/>
        </w:rPr>
        <w:t>   单位：南京万得资讯科技有限公司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内容覆盖股票、债券、基金、指数、权证、商品期货、外汇等多项品种，7×24×365不间断的提供最准确、最及时、最完整的金融资讯。1、非核心数据在数据源发布相应数据后及时更新约半个小时.；2、公司公告更新速度30秒-波；3、财经新闻实时更新每天大约2万条。数据涵盖国内、港台及海外上市公司超过2万家，非上市公司数据约为8万家。全球40多个交易所实时行情，超过十万家中、港、台、美等上市公司和非上市公司数据，5000个基金产品的数据资料。日均原创及引用第三方新闻超过2万篇。为高校师生提供标准化的数据接口，接口可获取基本面、历史数据等时间序列数据，分钟、逐笔成交等高频数据，支持实时行情数据订阅。接口支持Matlab-R-VBA-C-C＋＋-C＃-Python等主流开发语言，让高校各类金融工程和量化统计用户无需更换平台即可上手操作。</w:t>
      </w:r>
    </w:p>
    <w:p>
      <w:pPr>
        <w:rPr>
          <w:rFonts w:hint="eastAsia" w:ascii="宋体" w:hAnsi="宋体" w:eastAsia="宋体" w:cs="宋体"/>
          <w:sz w:val="24"/>
          <w:szCs w:val="24"/>
        </w:rPr>
      </w:pPr>
      <w:r>
        <w:rPr>
          <w:rFonts w:hint="eastAsia" w:ascii="宋体" w:hAnsi="宋体" w:eastAsia="宋体" w:cs="宋体"/>
          <w:sz w:val="24"/>
          <w:szCs w:val="24"/>
        </w:rPr>
        <w:t>   标项十四  </w:t>
      </w:r>
    </w:p>
    <w:p>
      <w:pPr>
        <w:rPr>
          <w:rFonts w:hint="eastAsia" w:ascii="宋体" w:hAnsi="宋体" w:eastAsia="宋体" w:cs="宋体"/>
          <w:sz w:val="24"/>
          <w:szCs w:val="24"/>
        </w:rPr>
      </w:pPr>
      <w:r>
        <w:rPr>
          <w:rFonts w:hint="eastAsia" w:ascii="宋体" w:hAnsi="宋体" w:eastAsia="宋体" w:cs="宋体"/>
          <w:sz w:val="24"/>
          <w:szCs w:val="24"/>
        </w:rPr>
        <w:t>   标的名称：第十四包-51CTO学堂-IT技能学习在线数据库（普及版）</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预算金额(元)：80000</w:t>
      </w:r>
      <w:r>
        <w:rPr>
          <w:rFonts w:hint="eastAsia" w:ascii="宋体" w:hAnsi="宋体" w:eastAsia="宋体" w:cs="宋体"/>
          <w:sz w:val="24"/>
          <w:szCs w:val="24"/>
        </w:rPr>
        <w:br w:type="textWrapping"/>
      </w:r>
      <w:r>
        <w:rPr>
          <w:rFonts w:hint="eastAsia" w:ascii="宋体" w:hAnsi="宋体" w:eastAsia="宋体" w:cs="宋体"/>
          <w:sz w:val="24"/>
          <w:szCs w:val="24"/>
        </w:rPr>
        <w:t>   单位：北京创信天华信息技术有限公司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1.涵盖技术类别：云计算、大数据、移动开发、游戏开发、系统-运维、考试认证、编程语言、Web开发、软件研发、数据库、网络技术、服务器存储、大学课程、嵌入式、企业信息化、Office、设计、其它；</w:t>
      </w:r>
      <w:r>
        <w:rPr>
          <w:rFonts w:hint="eastAsia" w:ascii="宋体" w:hAnsi="宋体" w:eastAsia="宋体" w:cs="宋体"/>
          <w:sz w:val="24"/>
          <w:szCs w:val="24"/>
        </w:rPr>
        <w:br w:type="textWrapping"/>
      </w:r>
      <w:r>
        <w:rPr>
          <w:rFonts w:hint="eastAsia" w:ascii="宋体" w:hAnsi="宋体" w:eastAsia="宋体" w:cs="宋体"/>
          <w:sz w:val="24"/>
          <w:szCs w:val="24"/>
        </w:rPr>
        <w:t>2.师资力量：有1100位独家签约讲师，其中52%为一线工程师，20%为国内著名讲师，能够从师资上保证课程质量； 3.课程信息：</w:t>
      </w:r>
      <w:r>
        <w:rPr>
          <w:rFonts w:hint="eastAsia" w:ascii="宋体" w:hAnsi="宋体" w:eastAsia="宋体" w:cs="宋体"/>
          <w:sz w:val="24"/>
          <w:szCs w:val="24"/>
        </w:rPr>
        <w:br w:type="textWrapping"/>
      </w:r>
      <w:r>
        <w:rPr>
          <w:rFonts w:hint="eastAsia" w:ascii="宋体" w:hAnsi="宋体" w:eastAsia="宋体" w:cs="宋体"/>
          <w:sz w:val="24"/>
          <w:szCs w:val="24"/>
        </w:rPr>
        <w:t>a.总量：整个数据库的课程总量不低于8256门，学习视频数量不低于156236个，课程总时长达不低于41426.8多小时，可以充分满足校内各专业学生的IT技能学习需求。</w:t>
      </w:r>
      <w:r>
        <w:rPr>
          <w:rFonts w:hint="eastAsia" w:ascii="宋体" w:hAnsi="宋体" w:eastAsia="宋体" w:cs="宋体"/>
          <w:sz w:val="24"/>
          <w:szCs w:val="24"/>
        </w:rPr>
        <w:br w:type="textWrapping"/>
      </w:r>
      <w:r>
        <w:rPr>
          <w:rFonts w:hint="eastAsia" w:ascii="宋体" w:hAnsi="宋体" w:eastAsia="宋体" w:cs="宋体"/>
          <w:sz w:val="24"/>
          <w:szCs w:val="24"/>
        </w:rPr>
        <w:t>b.考试认证课程：可以提供微软认证、计算机等级考试等方面的课程，作为学生进行计算机类相关考试的辅助学习资源；</w:t>
      </w:r>
      <w:r>
        <w:rPr>
          <w:rFonts w:hint="eastAsia" w:ascii="宋体" w:hAnsi="宋体" w:eastAsia="宋体" w:cs="宋体"/>
          <w:sz w:val="24"/>
          <w:szCs w:val="24"/>
        </w:rPr>
        <w:br w:type="textWrapping"/>
      </w:r>
      <w:r>
        <w:rPr>
          <w:rFonts w:hint="eastAsia" w:ascii="宋体" w:hAnsi="宋体" w:eastAsia="宋体" w:cs="宋体"/>
          <w:sz w:val="24"/>
          <w:szCs w:val="24"/>
        </w:rPr>
        <w:t>c.数据库的课程构成，除简单的普遍性IT视频课程，还需要提供部分拥有独家版权的原创课程；</w:t>
      </w:r>
      <w:r>
        <w:rPr>
          <w:rFonts w:hint="eastAsia" w:ascii="宋体" w:hAnsi="宋体" w:eastAsia="宋体" w:cs="宋体"/>
          <w:sz w:val="24"/>
          <w:szCs w:val="24"/>
        </w:rPr>
        <w:br w:type="textWrapping"/>
      </w:r>
      <w:r>
        <w:rPr>
          <w:rFonts w:hint="eastAsia" w:ascii="宋体" w:hAnsi="宋体" w:eastAsia="宋体" w:cs="宋体"/>
          <w:sz w:val="24"/>
          <w:szCs w:val="24"/>
        </w:rPr>
        <w:t>4.题库：包括历年考试认证真题、模拟题，各大名企面试题、笔试题以及各技术领域能力自测题，每一道试题都配备有专业的答案解析；</w:t>
      </w:r>
    </w:p>
    <w:p>
      <w:pPr>
        <w:pStyle w:val="10"/>
        <w:rPr>
          <w:rFonts w:hint="eastAsia" w:ascii="宋体" w:hAnsi="宋体" w:eastAsia="宋体" w:cs="宋体"/>
          <w:sz w:val="24"/>
          <w:szCs w:val="24"/>
        </w:rPr>
      </w:pPr>
      <w:r>
        <w:rPr>
          <w:rFonts w:hint="eastAsia" w:ascii="宋体" w:hAnsi="宋体" w:eastAsia="宋体" w:cs="宋体"/>
          <w:sz w:val="24"/>
          <w:szCs w:val="24"/>
          <w:lang w:val="en-US" w:eastAsia="zh-CN"/>
        </w:rPr>
        <w:t>5.检索功能：包括课程检索、讲师检索，可以让使用者快速锁定所需课程及已选定的授课讲师；课程检索：使用者只需输入想要学习的技术类别，就可以查找到平台内所有与之相关的课程，并查看到课程介绍及讲师信息；</w:t>
      </w:r>
    </w:p>
    <w:p>
      <w:pPr>
        <w:rPr>
          <w:rFonts w:hint="eastAsia" w:ascii="宋体" w:hAnsi="宋体" w:eastAsia="宋体" w:cs="宋体"/>
          <w:sz w:val="24"/>
          <w:szCs w:val="24"/>
        </w:rPr>
      </w:pPr>
      <w:r>
        <w:rPr>
          <w:rFonts w:hint="eastAsia" w:ascii="宋体" w:hAnsi="宋体" w:eastAsia="宋体" w:cs="宋体"/>
          <w:sz w:val="24"/>
          <w:szCs w:val="24"/>
        </w:rPr>
        <w:t>   标项十五  </w:t>
      </w:r>
    </w:p>
    <w:p>
      <w:pPr>
        <w:rPr>
          <w:rFonts w:hint="eastAsia" w:ascii="宋体" w:hAnsi="宋体" w:eastAsia="宋体" w:cs="宋体"/>
          <w:sz w:val="24"/>
          <w:szCs w:val="24"/>
        </w:rPr>
      </w:pPr>
      <w:r>
        <w:rPr>
          <w:rFonts w:hint="eastAsia" w:ascii="宋体" w:hAnsi="宋体" w:eastAsia="宋体" w:cs="宋体"/>
          <w:sz w:val="24"/>
          <w:szCs w:val="24"/>
        </w:rPr>
        <w:t>   标的名称：第十五包-中文社会科学引文索引（CSSCI）数据库</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预算金额(元)：15200</w:t>
      </w:r>
      <w:r>
        <w:rPr>
          <w:rFonts w:hint="eastAsia" w:ascii="宋体" w:hAnsi="宋体" w:eastAsia="宋体" w:cs="宋体"/>
          <w:sz w:val="24"/>
          <w:szCs w:val="24"/>
        </w:rPr>
        <w:br w:type="textWrapping"/>
      </w:r>
      <w:r>
        <w:rPr>
          <w:rFonts w:hint="eastAsia" w:ascii="宋体" w:hAnsi="宋体" w:eastAsia="宋体" w:cs="宋体"/>
          <w:sz w:val="24"/>
          <w:szCs w:val="24"/>
        </w:rPr>
        <w:t>   单位：南京大学</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CSSCI是国家、教育部重点课题攻关项目。CSSCI遵循文献计量学规律，采取定量与定性评价相结合的方法从全国2700余种中文人文社会科学学术性期刊中精选出学术性强、编辑规范的期刊作为来源期刊。目前收录包括法学、管理学、经济学、历史学、政治学等在内的25大类的500多种学术期刊，现已开发的CSSCI1998—2022年25年度数据，来源文献近200余万篇，引文文献2300万余篇。</w:t>
      </w:r>
    </w:p>
    <w:p>
      <w:pPr>
        <w:rPr>
          <w:rFonts w:hint="eastAsia" w:ascii="宋体" w:hAnsi="宋体" w:eastAsia="宋体" w:cs="宋体"/>
          <w:sz w:val="24"/>
          <w:szCs w:val="24"/>
        </w:rPr>
      </w:pPr>
      <w:r>
        <w:rPr>
          <w:rFonts w:hint="eastAsia" w:ascii="宋体" w:hAnsi="宋体" w:eastAsia="宋体" w:cs="宋体"/>
          <w:sz w:val="24"/>
          <w:szCs w:val="24"/>
        </w:rPr>
        <w:t>   标项十六  </w:t>
      </w:r>
    </w:p>
    <w:p>
      <w:pPr>
        <w:rPr>
          <w:rFonts w:hint="eastAsia" w:ascii="宋体" w:hAnsi="宋体" w:eastAsia="宋体" w:cs="宋体"/>
          <w:sz w:val="24"/>
          <w:szCs w:val="24"/>
        </w:rPr>
      </w:pPr>
      <w:r>
        <w:rPr>
          <w:rFonts w:hint="eastAsia" w:ascii="宋体" w:hAnsi="宋体" w:eastAsia="宋体" w:cs="宋体"/>
          <w:sz w:val="24"/>
          <w:szCs w:val="24"/>
        </w:rPr>
        <w:t>   标的名称：第十六包-搜数网数据库</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预算金额(元)：30000</w:t>
      </w:r>
      <w:r>
        <w:rPr>
          <w:rFonts w:hint="eastAsia" w:ascii="宋体" w:hAnsi="宋体" w:eastAsia="宋体" w:cs="宋体"/>
          <w:sz w:val="24"/>
          <w:szCs w:val="24"/>
        </w:rPr>
        <w:br w:type="textWrapping"/>
      </w:r>
      <w:r>
        <w:rPr>
          <w:rFonts w:hint="eastAsia" w:ascii="宋体" w:hAnsi="宋体" w:eastAsia="宋体" w:cs="宋体"/>
          <w:sz w:val="24"/>
          <w:szCs w:val="24"/>
        </w:rPr>
        <w:t>   单位：北京精讯云顿数据软件有限公司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搜数网截止2022年2月21日，已加载到搜数网站的统计资料达到11,813本,涵盖2,798,878张统计表格和545,800,293个统计数据。时间跨度自1949年至今，覆盖全国31个省级行政区并深入380个地级、市级、县级行政区域，同时包括部分台港澳以及国际部分地区统计</w:t>
      </w:r>
      <w:r>
        <w:rPr>
          <w:rFonts w:hint="eastAsia" w:ascii="宋体" w:hAnsi="宋体" w:eastAsia="宋体" w:cs="宋体"/>
          <w:sz w:val="24"/>
          <w:szCs w:val="24"/>
        </w:rPr>
        <w:br w:type="textWrapping"/>
      </w:r>
      <w:r>
        <w:rPr>
          <w:rFonts w:hint="eastAsia" w:ascii="宋体" w:hAnsi="宋体" w:eastAsia="宋体" w:cs="宋体"/>
          <w:sz w:val="24"/>
          <w:szCs w:val="24"/>
        </w:rPr>
        <w:t>资料。数据内容涉及54个行业大类。</w:t>
      </w:r>
      <w:r>
        <w:rPr>
          <w:rFonts w:hint="eastAsia" w:ascii="宋体" w:hAnsi="宋体" w:eastAsia="宋体" w:cs="宋体"/>
          <w:sz w:val="24"/>
          <w:szCs w:val="24"/>
        </w:rPr>
        <w:br w:type="textWrapping"/>
      </w:r>
      <w:r>
        <w:rPr>
          <w:rFonts w:hint="eastAsia" w:ascii="宋体" w:hAnsi="宋体" w:eastAsia="宋体" w:cs="宋体"/>
          <w:sz w:val="24"/>
          <w:szCs w:val="24"/>
        </w:rPr>
        <w:t>搜数网日增新3-4本统计资料、1,000张表格、2,000,000个数据。</w:t>
      </w:r>
      <w:r>
        <w:rPr>
          <w:rFonts w:hint="eastAsia" w:ascii="宋体" w:hAnsi="宋体" w:eastAsia="宋体" w:cs="宋体"/>
          <w:sz w:val="24"/>
          <w:szCs w:val="24"/>
        </w:rPr>
        <w:br w:type="textWrapping"/>
      </w:r>
      <w:r>
        <w:rPr>
          <w:rFonts w:hint="eastAsia" w:ascii="宋体" w:hAnsi="宋体" w:eastAsia="宋体" w:cs="宋体"/>
          <w:sz w:val="24"/>
          <w:szCs w:val="24"/>
        </w:rPr>
        <w:t>1、搜数网的时间跨度：自1949年至今；</w:t>
      </w:r>
      <w:r>
        <w:rPr>
          <w:rFonts w:hint="eastAsia" w:ascii="宋体" w:hAnsi="宋体" w:eastAsia="宋体" w:cs="宋体"/>
          <w:sz w:val="24"/>
          <w:szCs w:val="24"/>
        </w:rPr>
        <w:br w:type="textWrapping"/>
      </w:r>
      <w:r>
        <w:rPr>
          <w:rFonts w:hint="eastAsia" w:ascii="宋体" w:hAnsi="宋体" w:eastAsia="宋体" w:cs="宋体"/>
          <w:sz w:val="24"/>
          <w:szCs w:val="24"/>
        </w:rPr>
        <w:t>2、搜数网收录的652种统计资料具体分类：A国家级统计年鉴71种；B省级统计年鉴73种；C地市县级统计年鉴299种；D行业统计年鉴116种；E海外及台港澳统计出版物16种；F非年度定期统计出版物如月报、季报等.60种；G报告类出版物主要是年报.18种；H其他如源自网络、报刊来源的数据.若干种。</w:t>
      </w:r>
    </w:p>
    <w:p>
      <w:pPr>
        <w:rPr>
          <w:rFonts w:hint="eastAsia" w:ascii="宋体" w:hAnsi="宋体" w:eastAsia="宋体" w:cs="宋体"/>
          <w:sz w:val="24"/>
          <w:szCs w:val="24"/>
        </w:rPr>
      </w:pPr>
      <w:r>
        <w:rPr>
          <w:rFonts w:hint="eastAsia" w:ascii="宋体" w:hAnsi="宋体" w:eastAsia="宋体" w:cs="宋体"/>
          <w:sz w:val="24"/>
          <w:szCs w:val="24"/>
        </w:rPr>
        <w:t>   标项十七  </w:t>
      </w:r>
    </w:p>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highlight w:val="yellow"/>
        </w:rPr>
        <w:t> 标的名称：第十七包-infobank高校财经数据库</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预算金额(元)：31500</w:t>
      </w:r>
      <w:r>
        <w:rPr>
          <w:rFonts w:hint="eastAsia" w:ascii="宋体" w:hAnsi="宋体" w:eastAsia="宋体" w:cs="宋体"/>
          <w:sz w:val="24"/>
          <w:szCs w:val="24"/>
        </w:rPr>
        <w:br w:type="textWrapping"/>
      </w:r>
      <w:r>
        <w:rPr>
          <w:rFonts w:hint="eastAsia" w:ascii="宋体" w:hAnsi="宋体" w:eastAsia="宋体" w:cs="宋体"/>
          <w:sz w:val="24"/>
          <w:szCs w:val="24"/>
        </w:rPr>
        <w:t>   单位：北京精讯云顿数据软件有限公司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lang w:eastAsia="zh-CN"/>
        </w:rPr>
      </w:pPr>
      <w:r>
        <w:rPr>
          <w:rFonts w:hint="eastAsia" w:ascii="宋体" w:hAnsi="宋体" w:eastAsia="宋体" w:cs="宋体"/>
          <w:sz w:val="24"/>
          <w:szCs w:val="24"/>
        </w:rPr>
        <w:t>INFOBANK数据库包含14个子数据库，收录了中国内地从中央到地方1000多种主流媒体，包括报纸、杂志、学报、书籍和各类年鉴，以及部分海外综合类、财经类报纸，部分政府或民间专业信息机构的宏观经济分析或行业报告，反映了全国各地区、各行业的经济动态。目前数据库容量超过1000万篇报道，数据内容涉及19个大类，197个行业，每日更新2000万汉字。7)从2015年9月开始，中国资讯行推出INFOBANK数据分析系统</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   标项十八  </w:t>
      </w:r>
    </w:p>
    <w:p>
      <w:pPr>
        <w:rPr>
          <w:rFonts w:hint="eastAsia" w:ascii="宋体" w:hAnsi="宋体" w:eastAsia="宋体" w:cs="宋体"/>
          <w:sz w:val="24"/>
          <w:szCs w:val="24"/>
        </w:rPr>
      </w:pPr>
      <w:r>
        <w:rPr>
          <w:rFonts w:hint="eastAsia" w:ascii="宋体" w:hAnsi="宋体" w:eastAsia="宋体" w:cs="宋体"/>
          <w:sz w:val="24"/>
          <w:szCs w:val="24"/>
        </w:rPr>
        <w:t>   标的名称：第十八包-MathSciNet数据库</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预算金额(元)：119900</w:t>
      </w:r>
      <w:r>
        <w:rPr>
          <w:rFonts w:hint="eastAsia" w:ascii="宋体" w:hAnsi="宋体" w:eastAsia="宋体" w:cs="宋体"/>
          <w:sz w:val="24"/>
          <w:szCs w:val="24"/>
        </w:rPr>
        <w:br w:type="textWrapping"/>
      </w:r>
      <w:r>
        <w:rPr>
          <w:rFonts w:hint="eastAsia" w:ascii="宋体" w:hAnsi="宋体" w:eastAsia="宋体" w:cs="宋体"/>
          <w:sz w:val="24"/>
          <w:szCs w:val="24"/>
        </w:rPr>
        <w:t>   单位：中国教育图书进出口有限公司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于20年来积累的《中国经济新闻库》内容，将各种分析工具整合在一起的开放平台。INFOBANK数据分析系统通过“在线词频跟踪查看器”对《中国经济新闻库》中的500多万篇文章的文本数据中的任何词汇或短语，根据年、月、周、日时间间隔，对每篇文章的文件格式做制表符分隔和选项卡标签管理，用户输入关键词进行搜索，系统自动绘制出时间段内的折线图、饼图、柱状图。作为开放的数据分析系统，不仅能为用户提供系统内嵌的数据资源，而且能够为用户提供趋势分析与建立各种数据建模方法。</w:t>
      </w:r>
    </w:p>
    <w:p>
      <w:pPr>
        <w:rPr>
          <w:rFonts w:hint="eastAsia" w:ascii="宋体" w:hAnsi="宋体" w:eastAsia="宋体" w:cs="宋体"/>
          <w:sz w:val="24"/>
          <w:szCs w:val="24"/>
        </w:rPr>
      </w:pPr>
      <w:r>
        <w:rPr>
          <w:rFonts w:hint="eastAsia" w:ascii="宋体" w:hAnsi="宋体" w:eastAsia="宋体" w:cs="宋体"/>
          <w:sz w:val="24"/>
          <w:szCs w:val="24"/>
        </w:rPr>
        <w:t>   标项十九  </w:t>
      </w:r>
    </w:p>
    <w:p>
      <w:pPr>
        <w:rPr>
          <w:rFonts w:hint="eastAsia" w:ascii="宋体" w:hAnsi="宋体" w:eastAsia="宋体" w:cs="宋体"/>
          <w:sz w:val="24"/>
          <w:szCs w:val="24"/>
        </w:rPr>
      </w:pPr>
      <w:r>
        <w:rPr>
          <w:rFonts w:hint="eastAsia" w:ascii="宋体" w:hAnsi="宋体" w:eastAsia="宋体" w:cs="宋体"/>
          <w:sz w:val="24"/>
          <w:szCs w:val="24"/>
        </w:rPr>
        <w:t>   标的名称：第十九包-ProQuest Dialog</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预算金额(元)：20600</w:t>
      </w:r>
      <w:r>
        <w:rPr>
          <w:rFonts w:hint="eastAsia" w:ascii="宋体" w:hAnsi="宋体" w:eastAsia="宋体" w:cs="宋体"/>
          <w:sz w:val="24"/>
          <w:szCs w:val="24"/>
        </w:rPr>
        <w:br w:type="textWrapping"/>
      </w:r>
      <w:r>
        <w:rPr>
          <w:rFonts w:hint="eastAsia" w:ascii="宋体" w:hAnsi="宋体" w:eastAsia="宋体" w:cs="宋体"/>
          <w:sz w:val="24"/>
          <w:szCs w:val="24"/>
        </w:rPr>
        <w:t>   单位：广州奥凯信息咨询有限公司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ProQuest Dialog是国际联机检索系统，为综合性数据库，收录了工学、农学、医学、管理学等学科资源，包含工程与科技类、药学类、新闻贸易类及专利类型的数据。可用于同时对多个数据库的检索，具有中文和其他多种语言检索界面，支持简单检索，高级检索，指令检索等检索模式，支持原文检索，支持收藏和导出。每年更新的电子期刊数据1400万多条，电子报纸1300万多条，会议论文87万多条，学位论文10万多条，专利790万多条。平台收录了180个数据库的数据，各数据库回溯时间不一致，最早回溯至1743年，总体上每周自动更新数据但不同数据库更新频率略有差异。</w:t>
      </w:r>
    </w:p>
    <w:p>
      <w:pPr>
        <w:rPr>
          <w:rFonts w:hint="eastAsia" w:ascii="宋体" w:hAnsi="宋体" w:eastAsia="宋体" w:cs="宋体"/>
          <w:sz w:val="24"/>
          <w:szCs w:val="24"/>
        </w:rPr>
      </w:pPr>
      <w:r>
        <w:rPr>
          <w:rFonts w:hint="eastAsia" w:ascii="宋体" w:hAnsi="宋体" w:eastAsia="宋体" w:cs="宋体"/>
          <w:sz w:val="24"/>
          <w:szCs w:val="24"/>
        </w:rPr>
        <w:t>   标项二十  </w:t>
      </w:r>
    </w:p>
    <w:p>
      <w:pPr>
        <w:rPr>
          <w:rFonts w:hint="eastAsia" w:ascii="宋体" w:hAnsi="宋体" w:eastAsia="宋体" w:cs="宋体"/>
          <w:sz w:val="24"/>
          <w:szCs w:val="24"/>
        </w:rPr>
      </w:pPr>
      <w:r>
        <w:rPr>
          <w:rFonts w:hint="eastAsia" w:ascii="宋体" w:hAnsi="宋体" w:eastAsia="宋体" w:cs="宋体"/>
          <w:sz w:val="24"/>
          <w:szCs w:val="24"/>
        </w:rPr>
        <w:t>   标的名称：第二十包-WorldSciNet数据库</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预算金额(元)：132094</w:t>
      </w:r>
      <w:r>
        <w:rPr>
          <w:rFonts w:hint="eastAsia" w:ascii="宋体" w:hAnsi="宋体" w:eastAsia="宋体" w:cs="宋体"/>
          <w:sz w:val="24"/>
          <w:szCs w:val="24"/>
        </w:rPr>
        <w:br w:type="textWrapping"/>
      </w:r>
      <w:r>
        <w:rPr>
          <w:rFonts w:hint="eastAsia" w:ascii="宋体" w:hAnsi="宋体" w:eastAsia="宋体" w:cs="宋体"/>
          <w:sz w:val="24"/>
          <w:szCs w:val="24"/>
        </w:rPr>
        <w:t>   单位：中国教育图书进出口有限公司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新加坡世界科技出版公司World Scientific Publishing Co. Pte Ltd.出版了众多学术期刊，其电子版期刊共有120种，其中大部分都被SCI收录，数据回溯到2001年。 WSN的期刊涉及的学科如下：化学，计算机科学，经济贸易与管理，工程学，环境科学，材料科学，数学，医学与生命科学，非线性科学，物理学，社会科学等。内容具有单一性和不可替代性，其所有的内容均为世界科技独家出版的、拥有版权的同行评议期刊的文章。世界科技出版的学术期刊，尤其是基础自然科学领域的学术期刊，在学术界享有很高的声誉。世界科技一直重视新兴领域的发展，并力求通过出版的学术期刊，反映当前热点研究领域的动态。近年来，世界科技也重视加强同华人学者乃至中国学者的密切联系，大量高水平的华裔科学家加入世界科技的期刊编委阵容，为世界科技的出版物带来更多中国学者关注的研究内容。WorldSciNet数据库可浏览120余种高质量科技期刊的电子全文，了解并掌握所需研究领域的最新科技进展。最新发布的世界科技官方网站：将世界科技的出版资源整合在一起，更加方便读者查询检索。</w:t>
      </w:r>
    </w:p>
    <w:p>
      <w:pPr>
        <w:rPr>
          <w:rFonts w:hint="eastAsia" w:ascii="宋体" w:hAnsi="宋体" w:eastAsia="宋体" w:cs="宋体"/>
          <w:sz w:val="24"/>
          <w:szCs w:val="24"/>
        </w:rPr>
      </w:pPr>
      <w:r>
        <w:rPr>
          <w:rFonts w:hint="eastAsia" w:ascii="宋体" w:hAnsi="宋体" w:eastAsia="宋体" w:cs="宋体"/>
          <w:sz w:val="24"/>
          <w:szCs w:val="24"/>
        </w:rPr>
        <w:t>   标项二十一  </w:t>
      </w:r>
    </w:p>
    <w:p>
      <w:pPr>
        <w:rPr>
          <w:rFonts w:hint="eastAsia" w:ascii="宋体" w:hAnsi="宋体" w:eastAsia="宋体" w:cs="宋体"/>
          <w:sz w:val="24"/>
          <w:szCs w:val="24"/>
        </w:rPr>
      </w:pPr>
      <w:r>
        <w:rPr>
          <w:rFonts w:hint="eastAsia" w:ascii="宋体" w:hAnsi="宋体" w:eastAsia="宋体" w:cs="宋体"/>
          <w:sz w:val="24"/>
          <w:szCs w:val="24"/>
        </w:rPr>
        <w:t>   标的名称：第二十一包-科研成果检测系统</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预算金额(元)：30000</w:t>
      </w:r>
      <w:r>
        <w:rPr>
          <w:rFonts w:hint="eastAsia" w:ascii="宋体" w:hAnsi="宋体" w:eastAsia="宋体" w:cs="宋体"/>
          <w:sz w:val="24"/>
          <w:szCs w:val="24"/>
        </w:rPr>
        <w:br w:type="textWrapping"/>
      </w:r>
      <w:r>
        <w:rPr>
          <w:rFonts w:hint="eastAsia" w:ascii="宋体" w:hAnsi="宋体" w:eastAsia="宋体" w:cs="宋体"/>
          <w:sz w:val="24"/>
          <w:szCs w:val="24"/>
        </w:rPr>
        <w:t>   单位：同方知网数字出版技术股份有限公司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知网学术不端检测系统拥有全面专业的比对资源，涵盖期刊、博硕士学术论文、会议论文、报纸、专利全文的海量比对数据库，以及高等教育、文化文艺、社会与经济发展综合信息等特色资源。是目前市场上用户使用最多，公认最好、认同度最高的检测系统；同时也是全国唯一一家基于全面专业的比对资源的检测系统（比对库资源涵盖国内主要学术期刊8000种以上，总量至少达1.2亿篇以上；涵盖国内大多数高校的博硕士学位论文，总量至少达580万篇以上；涵盖国内外学术会议论文200万篇以上；含40亿条以上互联网资源，港澳台数据资源和第三方英文数据库。</w:t>
      </w:r>
    </w:p>
    <w:p>
      <w:pPr>
        <w:rPr>
          <w:rFonts w:hint="eastAsia" w:ascii="宋体" w:hAnsi="宋体" w:eastAsia="宋体" w:cs="宋体"/>
          <w:sz w:val="24"/>
          <w:szCs w:val="24"/>
        </w:rPr>
      </w:pPr>
      <w:r>
        <w:rPr>
          <w:rFonts w:hint="eastAsia" w:ascii="宋体" w:hAnsi="宋体" w:eastAsia="宋体" w:cs="宋体"/>
          <w:sz w:val="24"/>
          <w:szCs w:val="24"/>
        </w:rPr>
        <w:t>   标项二十二  </w:t>
      </w:r>
    </w:p>
    <w:p>
      <w:pPr>
        <w:rPr>
          <w:rFonts w:hint="eastAsia" w:ascii="宋体" w:hAnsi="宋体" w:eastAsia="宋体" w:cs="宋体"/>
          <w:sz w:val="24"/>
          <w:szCs w:val="24"/>
        </w:rPr>
      </w:pPr>
      <w:r>
        <w:rPr>
          <w:rFonts w:hint="eastAsia" w:ascii="宋体" w:hAnsi="宋体" w:eastAsia="宋体" w:cs="宋体"/>
          <w:sz w:val="24"/>
          <w:szCs w:val="24"/>
        </w:rPr>
        <w:t>   标的名称：第二十二包-科研人事论文诚信档案管理系统</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预算金额(元)：100000</w:t>
      </w:r>
      <w:r>
        <w:rPr>
          <w:rFonts w:hint="eastAsia" w:ascii="宋体" w:hAnsi="宋体" w:eastAsia="宋体" w:cs="宋体"/>
          <w:sz w:val="24"/>
          <w:szCs w:val="24"/>
        </w:rPr>
        <w:br w:type="textWrapping"/>
      </w:r>
      <w:r>
        <w:rPr>
          <w:rFonts w:hint="eastAsia" w:ascii="宋体" w:hAnsi="宋体" w:eastAsia="宋体" w:cs="宋体"/>
          <w:sz w:val="24"/>
          <w:szCs w:val="24"/>
        </w:rPr>
        <w:t>   单位：同方知网数字出版技术股份有限公司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知网学术不端检测系统拥有全面专业的比对资源，涵盖期刊、博硕士学术论文、会议论文、报纸、专利全文的海量比对数据库，以及高等教育、文化文艺、社会与经济发展综合信息等特色资源。是目前市场上用户使用最多，公认最好、认同度最高的检测系统；同时也是全国唯一一家基于全面专业的比对资源的检测系统（比对库资源涵盖国内主要学术期刊8000种以上，总量至少达1.2亿篇以上；涵盖国内大多数高校的博硕士学位论文，总量至少达580万篇以上；涵盖国内外学术会议论文200万篇以上；含40亿条以上互联网资源，港澳台数据资源和第三方英文数据库。</w:t>
      </w:r>
    </w:p>
    <w:p>
      <w:pPr>
        <w:rPr>
          <w:rFonts w:hint="eastAsia" w:ascii="宋体" w:hAnsi="宋体" w:eastAsia="宋体" w:cs="宋体"/>
          <w:sz w:val="24"/>
          <w:szCs w:val="24"/>
        </w:rPr>
      </w:pPr>
      <w:r>
        <w:rPr>
          <w:rFonts w:hint="eastAsia" w:ascii="宋体" w:hAnsi="宋体" w:eastAsia="宋体" w:cs="宋体"/>
          <w:sz w:val="24"/>
          <w:szCs w:val="24"/>
        </w:rPr>
        <w:t>   标项二十三  </w:t>
      </w:r>
    </w:p>
    <w:p>
      <w:pPr>
        <w:rPr>
          <w:rFonts w:hint="eastAsia" w:ascii="宋体" w:hAnsi="宋体" w:eastAsia="宋体" w:cs="宋体"/>
          <w:sz w:val="24"/>
          <w:szCs w:val="24"/>
        </w:rPr>
      </w:pPr>
      <w:r>
        <w:rPr>
          <w:rFonts w:hint="eastAsia" w:ascii="宋体" w:hAnsi="宋体" w:eastAsia="宋体" w:cs="宋体"/>
          <w:sz w:val="24"/>
          <w:szCs w:val="24"/>
        </w:rPr>
        <w:t>   标的名称：第二十三包-Worldlib人工智能在线咨询平台</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预算金额(元)：250000</w:t>
      </w:r>
      <w:r>
        <w:rPr>
          <w:rFonts w:hint="eastAsia" w:ascii="宋体" w:hAnsi="宋体" w:eastAsia="宋体" w:cs="宋体"/>
          <w:sz w:val="24"/>
          <w:szCs w:val="24"/>
        </w:rPr>
        <w:br w:type="textWrapping"/>
      </w:r>
      <w:r>
        <w:rPr>
          <w:rFonts w:hint="eastAsia" w:ascii="宋体" w:hAnsi="宋体" w:eastAsia="宋体" w:cs="宋体"/>
          <w:sz w:val="24"/>
          <w:szCs w:val="24"/>
        </w:rPr>
        <w:t>   单位：北京华宇星航国际教育科技有限公司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lang w:val="en-US" w:eastAsia="zh-CN"/>
        </w:rPr>
      </w:pPr>
      <w:r>
        <w:rPr>
          <w:rFonts w:hint="eastAsia" w:ascii="宋体" w:hAnsi="宋体" w:eastAsia="宋体" w:cs="宋体"/>
          <w:sz w:val="24"/>
          <w:szCs w:val="24"/>
        </w:rPr>
        <w:t>worldlib人工智能在线咨询平台是一款以微信公众号（服务号、非小程序）和网页端为载体，运用最新网络技术接入多个搜索引擎（百度学术、微软学术、pubmed等），为广大师生提供文献获取的互联网在线服务平台。</w:t>
      </w:r>
      <w:r>
        <w:rPr>
          <w:rFonts w:hint="eastAsia" w:ascii="宋体" w:hAnsi="宋体" w:eastAsia="宋体" w:cs="宋体"/>
          <w:sz w:val="24"/>
          <w:szCs w:val="24"/>
        </w:rPr>
        <w:br w:type="textWrapping"/>
      </w:r>
      <w:r>
        <w:rPr>
          <w:rFonts w:hint="eastAsia" w:ascii="宋体" w:hAnsi="宋体" w:eastAsia="宋体" w:cs="宋体"/>
          <w:sz w:val="24"/>
          <w:szCs w:val="24"/>
        </w:rPr>
        <w:t>微信公众号可以随时随地满足用户对外文文献的需求，支持外文文献的关键词、作者、题名、DOI号、PMID号及图片查询，所查询的文献会在10秒左右以第三方链接的方式发送给用户，用户直接点击链接即可下载全文。同时支持中文文献查找，校内打开WIFI,查找的中文文献（中文期刊为主）如果本馆已订购，可以通过提供的来源链接（知网、万方、维普等）直接下载全文，未订购的文献可以尝试通过推送的其他来源链接进行获取。</w:t>
      </w:r>
      <w:r>
        <w:rPr>
          <w:rFonts w:hint="eastAsia" w:ascii="宋体" w:hAnsi="宋体" w:eastAsia="宋体" w:cs="宋体"/>
          <w:sz w:val="24"/>
          <w:szCs w:val="24"/>
        </w:rPr>
        <w:br w:type="textWrapping"/>
      </w:r>
      <w:r>
        <w:rPr>
          <w:rFonts w:hint="eastAsia" w:ascii="宋体" w:hAnsi="宋体" w:eastAsia="宋体" w:cs="宋体"/>
          <w:sz w:val="24"/>
          <w:szCs w:val="24"/>
        </w:rPr>
        <w:t>网页端接入多个搜索引擎（百度学术、微软学术、pubmed等），所查询的文献如果本馆购买了访问权，则可直接下载全文，可提高已购数据库的使用率；无法获取全文的文献，则可通过网页端首页集成的文献查找工具进行获取（使用方法同微信公众号）。</w:t>
      </w:r>
      <w:r>
        <w:rPr>
          <w:rFonts w:hint="eastAsia" w:ascii="宋体" w:hAnsi="宋体" w:eastAsia="宋体" w:cs="宋体"/>
          <w:sz w:val="24"/>
          <w:szCs w:val="24"/>
        </w:rPr>
        <w:br w:type="textWrapping"/>
      </w:r>
      <w:r>
        <w:rPr>
          <w:rFonts w:hint="eastAsia" w:ascii="宋体" w:hAnsi="宋体" w:eastAsia="宋体" w:cs="宋体"/>
          <w:sz w:val="24"/>
          <w:szCs w:val="24"/>
        </w:rPr>
        <w:t>1、可以通过微信公众号（服务号、非小程序）、网页端和嵌入到图书馆公众号向用户提供在线查询服务；</w:t>
      </w:r>
      <w:r>
        <w:rPr>
          <w:rFonts w:hint="eastAsia" w:ascii="宋体" w:hAnsi="宋体" w:eastAsia="宋体" w:cs="宋体"/>
          <w:sz w:val="24"/>
          <w:szCs w:val="24"/>
        </w:rPr>
        <w:br w:type="textWrapping"/>
      </w:r>
      <w:r>
        <w:rPr>
          <w:rFonts w:hint="eastAsia" w:ascii="宋体" w:hAnsi="宋体" w:eastAsia="宋体" w:cs="宋体"/>
          <w:sz w:val="24"/>
          <w:szCs w:val="24"/>
        </w:rPr>
        <w:t>2、微信公众号和网页端均采用地理位置控制；</w:t>
      </w:r>
      <w:r>
        <w:rPr>
          <w:rFonts w:hint="eastAsia" w:ascii="宋体" w:hAnsi="宋体" w:eastAsia="宋体" w:cs="宋体"/>
          <w:sz w:val="24"/>
          <w:szCs w:val="24"/>
        </w:rPr>
        <w:br w:type="textWrapping"/>
      </w:r>
      <w:r>
        <w:rPr>
          <w:rFonts w:hint="eastAsia" w:ascii="宋体" w:hAnsi="宋体" w:eastAsia="宋体" w:cs="宋体"/>
          <w:sz w:val="24"/>
          <w:szCs w:val="24"/>
        </w:rPr>
        <w:t>3、</w:t>
      </w:r>
      <w:r>
        <w:rPr>
          <w:rFonts w:hint="eastAsia" w:ascii="宋体" w:hAnsi="宋体" w:eastAsia="宋体" w:cs="宋体"/>
          <w:sz w:val="24"/>
          <w:szCs w:val="24"/>
          <w:lang w:val="en-US" w:eastAsia="zh-CN"/>
        </w:rPr>
        <w:t>支持文献关键词、作者、题名、DOI号、PMID号查询；</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zh-CN"/>
        </w:rPr>
        <w:t>4、</w:t>
      </w:r>
      <w:r>
        <w:rPr>
          <w:rFonts w:hint="eastAsia" w:ascii="宋体" w:hAnsi="宋体" w:eastAsia="宋体" w:cs="宋体"/>
          <w:sz w:val="24"/>
          <w:szCs w:val="24"/>
          <w:lang w:val="en-US" w:eastAsia="zh-CN"/>
        </w:rPr>
        <w:t>在微信公众号和网页端集成的文献查询模块查询文献时，平台会在10秒左右将文献全文所在链接发送给用户，用户可以通过链接从第三方直接下载全文数据，不直接提供全文数据；</w:t>
      </w:r>
    </w:p>
    <w:p>
      <w:pPr>
        <w:pStyle w:val="10"/>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5、平台具备不低于8000万的系统词表做支撑，且词表不得重复。</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6、微信公众号提供22个学科的全球高被引期刊论文排行榜（每个学科提供前10篇），定期更新；</w:t>
      </w:r>
    </w:p>
    <w:p>
      <w:pPr>
        <w:pStyle w:val="1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7、微信公众号关注人数达到13万人以上，提供证明材料；</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8、网页端平台接入的是第三方搜索引擎，网页端平台上不得存储未经数据商授权的商业元数据和全文数据，无版权风险和隐患。</w:t>
      </w:r>
    </w:p>
    <w:p>
      <w:pPr>
        <w:pStyle w:val="1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9、网页端平台上需具有同微信公众号一样功能的文献实时查找和获取模块。</w:t>
      </w:r>
    </w:p>
    <w:p>
      <w:pPr>
        <w:numPr>
          <w:ilvl w:val="0"/>
          <w:numId w:val="0"/>
        </w:numPr>
        <w:rPr>
          <w:rFonts w:hint="eastAsia" w:ascii="宋体" w:hAnsi="宋体" w:eastAsia="宋体" w:cs="宋体"/>
          <w:sz w:val="24"/>
          <w:szCs w:val="24"/>
          <w:lang w:val="en-US"/>
        </w:rPr>
      </w:pPr>
    </w:p>
    <w:p>
      <w:pPr>
        <w:rPr>
          <w:rFonts w:hint="eastAsia" w:ascii="宋体" w:hAnsi="宋体" w:eastAsia="宋体" w:cs="宋体"/>
          <w:sz w:val="24"/>
          <w:szCs w:val="24"/>
        </w:rPr>
      </w:pPr>
      <w:r>
        <w:rPr>
          <w:rFonts w:hint="eastAsia" w:ascii="宋体" w:hAnsi="宋体" w:eastAsia="宋体" w:cs="宋体"/>
          <w:sz w:val="24"/>
          <w:szCs w:val="24"/>
        </w:rPr>
        <w:t>   标项二十四  </w:t>
      </w:r>
    </w:p>
    <w:p>
      <w:pPr>
        <w:rPr>
          <w:rFonts w:hint="eastAsia" w:ascii="宋体" w:hAnsi="宋体" w:eastAsia="宋体" w:cs="宋体"/>
          <w:sz w:val="24"/>
          <w:szCs w:val="24"/>
        </w:rPr>
      </w:pPr>
      <w:r>
        <w:rPr>
          <w:rFonts w:hint="eastAsia" w:ascii="宋体" w:hAnsi="宋体" w:eastAsia="宋体" w:cs="宋体"/>
          <w:sz w:val="24"/>
          <w:szCs w:val="24"/>
        </w:rPr>
        <w:t>   标的名称：第二十四包-中国知网研学平台</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预算金额(元)：200000</w:t>
      </w:r>
      <w:r>
        <w:rPr>
          <w:rFonts w:hint="eastAsia" w:ascii="宋体" w:hAnsi="宋体" w:eastAsia="宋体" w:cs="宋体"/>
          <w:sz w:val="24"/>
          <w:szCs w:val="24"/>
        </w:rPr>
        <w:br w:type="textWrapping"/>
      </w:r>
      <w:r>
        <w:rPr>
          <w:rFonts w:hint="eastAsia" w:ascii="宋体" w:hAnsi="宋体" w:eastAsia="宋体" w:cs="宋体"/>
          <w:sz w:val="24"/>
          <w:szCs w:val="24"/>
        </w:rPr>
        <w:t>   单位：同方知网数字出版技术股份有限公司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平台可对接使用已购买中国知网数据库资源，包含XML碎片化数据和PDF数据，XML碎片化数据与机构数据库权限和专辑专题权限一致；提供XML、PDF文献全文在线阅读。要求包含期刊、博硕、会议、报纸、年鉴数据库所有PDF和XML文献资源，数据保持与知网总库一致，其中收录期刊文献总量不少于5700万，博硕士论文不少于400万篇，国内外学术会议论文不少于300万篇，各级党报及特色行业报等重要报纸数据不少于1800万条数据，各类年鉴数据不少于3000万条；其中XML资源不低于3000万篇，并保证XML资源实时更新；提供PDF、XML文献全文在线阅读；提供云租用服务模式。</w:t>
      </w:r>
    </w:p>
    <w:p>
      <w:pPr>
        <w:rPr>
          <w:rFonts w:hint="eastAsia" w:ascii="宋体" w:hAnsi="宋体" w:eastAsia="宋体" w:cs="宋体"/>
          <w:sz w:val="24"/>
          <w:szCs w:val="24"/>
        </w:rPr>
      </w:pPr>
      <w:r>
        <w:rPr>
          <w:rFonts w:hint="eastAsia" w:ascii="宋体" w:hAnsi="宋体" w:eastAsia="宋体" w:cs="宋体"/>
          <w:sz w:val="24"/>
          <w:szCs w:val="24"/>
        </w:rPr>
        <w:t>   标项二十五  </w:t>
      </w:r>
    </w:p>
    <w:p>
      <w:pPr>
        <w:rPr>
          <w:rFonts w:hint="eastAsia" w:ascii="宋体" w:hAnsi="宋体" w:eastAsia="宋体" w:cs="宋体"/>
          <w:sz w:val="24"/>
          <w:szCs w:val="24"/>
        </w:rPr>
      </w:pPr>
      <w:r>
        <w:rPr>
          <w:rFonts w:hint="eastAsia" w:ascii="宋体" w:hAnsi="宋体" w:eastAsia="宋体" w:cs="宋体"/>
          <w:sz w:val="24"/>
          <w:szCs w:val="24"/>
        </w:rPr>
        <w:t>   标的名称：第二十五包-大为innojoy专利搜索引擎系统</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预算金额(元)：100000</w:t>
      </w:r>
      <w:r>
        <w:rPr>
          <w:rFonts w:hint="eastAsia" w:ascii="宋体" w:hAnsi="宋体" w:eastAsia="宋体" w:cs="宋体"/>
          <w:sz w:val="24"/>
          <w:szCs w:val="24"/>
        </w:rPr>
        <w:br w:type="textWrapping"/>
      </w:r>
      <w:r>
        <w:rPr>
          <w:rFonts w:hint="eastAsia" w:ascii="宋体" w:hAnsi="宋体" w:eastAsia="宋体" w:cs="宋体"/>
          <w:sz w:val="24"/>
          <w:szCs w:val="24"/>
        </w:rPr>
        <w:t>   单位：保定市大为计算机软件开发有限公司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lang w:val="en-US" w:eastAsia="zh-CN"/>
        </w:rPr>
      </w:pPr>
      <w:r>
        <w:rPr>
          <w:rFonts w:hint="eastAsia" w:ascii="宋体" w:hAnsi="宋体" w:eastAsia="宋体" w:cs="宋体"/>
          <w:sz w:val="24"/>
          <w:szCs w:val="24"/>
        </w:rPr>
        <w:t>大为innojoy专利搜索引擎系统（www.innojoy.com）是一款集全球专利检索、分析、管理、转化、自主建库等功能于一体的专利情报综合应用平台。一站式实现专利数据信息资源的有效利用和管理。</w:t>
      </w:r>
      <w:r>
        <w:rPr>
          <w:rFonts w:hint="eastAsia" w:ascii="宋体" w:hAnsi="宋体" w:eastAsia="宋体" w:cs="宋体"/>
          <w:sz w:val="24"/>
          <w:szCs w:val="24"/>
        </w:rPr>
        <w:br w:type="textWrapping"/>
      </w:r>
      <w:r>
        <w:rPr>
          <w:rFonts w:hint="eastAsia" w:ascii="宋体" w:hAnsi="宋体" w:eastAsia="宋体" w:cs="宋体"/>
          <w:sz w:val="24"/>
          <w:szCs w:val="24"/>
        </w:rPr>
        <w:t>1. 数据范围。收录全球不低于106个国家/地区专利数据，不低于1.6亿件全球专利信息，60个国家/地区的法律状态，不低于19个国家/地区的代码化全文，14个国家/地区的小语种优质英文翻译；支持提供美国增值数据，可自动计算续展天数，明确公知技术，INPADOC同族专利数据，DOCDB引证数据。</w:t>
      </w:r>
      <w:r>
        <w:rPr>
          <w:rFonts w:hint="eastAsia" w:ascii="宋体" w:hAnsi="宋体" w:eastAsia="宋体" w:cs="宋体"/>
          <w:sz w:val="24"/>
          <w:szCs w:val="24"/>
        </w:rPr>
        <w:br w:type="textWrapping"/>
      </w:r>
      <w:r>
        <w:rPr>
          <w:rFonts w:hint="eastAsia" w:ascii="宋体" w:hAnsi="宋体" w:eastAsia="宋体" w:cs="宋体"/>
          <w:sz w:val="24"/>
          <w:szCs w:val="24"/>
        </w:rPr>
        <w:t>2.数据更新。支持中国数据每周2+次以上更新，国外数据每周5+次以上更新。</w:t>
      </w:r>
      <w:r>
        <w:rPr>
          <w:rFonts w:hint="eastAsia" w:ascii="宋体" w:hAnsi="宋体" w:eastAsia="宋体" w:cs="宋体"/>
          <w:sz w:val="24"/>
          <w:szCs w:val="24"/>
        </w:rPr>
        <w:br w:type="textWrapping"/>
      </w:r>
      <w:r>
        <w:rPr>
          <w:rFonts w:hint="eastAsia" w:ascii="宋体" w:hAnsi="宋体" w:eastAsia="宋体" w:cs="宋体"/>
          <w:sz w:val="24"/>
          <w:szCs w:val="24"/>
        </w:rPr>
        <w:t>3.检索方式。支持DPI检索、AI智能检索、法律状态检索、复审无效检索等不低于十五种检索方式。</w:t>
      </w:r>
      <w:r>
        <w:rPr>
          <w:rFonts w:hint="eastAsia" w:ascii="宋体" w:hAnsi="宋体" w:eastAsia="宋体" w:cs="宋体"/>
          <w:sz w:val="24"/>
          <w:szCs w:val="24"/>
        </w:rPr>
        <w:br w:type="textWrapping"/>
      </w:r>
      <w:r>
        <w:rPr>
          <w:rFonts w:hint="eastAsia" w:ascii="宋体" w:hAnsi="宋体" w:eastAsia="宋体" w:cs="宋体"/>
          <w:sz w:val="24"/>
          <w:szCs w:val="24"/>
        </w:rPr>
        <w:t>4.检索字段。支持同族信息、引证信息、法律状态信息等近百个混合检索字段。</w:t>
      </w:r>
      <w:r>
        <w:rPr>
          <w:rFonts w:hint="eastAsia" w:ascii="宋体" w:hAnsi="宋体" w:eastAsia="宋体" w:cs="宋体"/>
          <w:sz w:val="24"/>
          <w:szCs w:val="24"/>
        </w:rPr>
        <w:br w:type="textWrapping"/>
      </w:r>
      <w:r>
        <w:rPr>
          <w:rFonts w:hint="eastAsia" w:ascii="宋体" w:hAnsi="宋体" w:eastAsia="宋体" w:cs="宋体"/>
          <w:sz w:val="24"/>
          <w:szCs w:val="24"/>
        </w:rPr>
        <w:t>5.在线翻译。支持中英日文在线翻译，可自由切换。</w:t>
      </w:r>
      <w:r>
        <w:rPr>
          <w:rFonts w:hint="eastAsia" w:ascii="宋体" w:hAnsi="宋体" w:eastAsia="宋体" w:cs="宋体"/>
          <w:sz w:val="24"/>
          <w:szCs w:val="24"/>
        </w:rPr>
        <w:br w:type="textWrapping"/>
      </w:r>
      <w:r>
        <w:rPr>
          <w:rFonts w:hint="eastAsia" w:ascii="宋体" w:hAnsi="宋体" w:eastAsia="宋体" w:cs="宋体"/>
          <w:sz w:val="24"/>
          <w:szCs w:val="24"/>
        </w:rPr>
        <w:t>6.辅助查询工具。支持申请人字典、同族、引证、复审、无效、审查信息等不低于二十种辅助查询工具。</w:t>
      </w:r>
      <w:r>
        <w:rPr>
          <w:rFonts w:hint="eastAsia" w:ascii="宋体" w:hAnsi="宋体" w:eastAsia="宋体" w:cs="宋体"/>
          <w:sz w:val="24"/>
          <w:szCs w:val="24"/>
        </w:rPr>
        <w:br w:type="textWrapping"/>
      </w:r>
      <w:r>
        <w:rPr>
          <w:rFonts w:hint="eastAsia" w:ascii="宋体" w:hAnsi="宋体" w:eastAsia="宋体" w:cs="宋体"/>
          <w:sz w:val="24"/>
          <w:szCs w:val="24"/>
        </w:rPr>
        <w:t>7.</w:t>
      </w:r>
      <w:r>
        <w:rPr>
          <w:rFonts w:hint="eastAsia" w:ascii="宋体" w:hAnsi="宋体" w:eastAsia="宋体" w:cs="宋体"/>
          <w:sz w:val="24"/>
          <w:szCs w:val="24"/>
          <w:lang w:val="en-US" w:eastAsia="zh-CN"/>
        </w:rPr>
        <w:t>数据浏览与筛选。支持DPI、同族、被引证数等不低于13种排序展示方式；支持高亮显示；不低于50件的对比阅读；支持公开、授权两个阶段的权利要求书支持对比查看，并高亮显示区别点。</w:t>
      </w:r>
    </w:p>
    <w:p>
      <w:pPr>
        <w:pStyle w:val="10"/>
        <w:numPr>
          <w:ilvl w:val="0"/>
          <w:numId w:val="0"/>
        </w:numPr>
        <w:rPr>
          <w:rFonts w:hint="eastAsia" w:ascii="宋体" w:hAnsi="宋体" w:eastAsia="宋体" w:cs="宋体"/>
          <w:sz w:val="24"/>
          <w:szCs w:val="24"/>
        </w:rPr>
      </w:pPr>
      <w:r>
        <w:rPr>
          <w:rFonts w:hint="eastAsia" w:ascii="宋体" w:hAnsi="宋体" w:eastAsia="宋体" w:cs="宋体"/>
          <w:sz w:val="24"/>
          <w:szCs w:val="24"/>
          <w:lang w:val="zh-CN" w:eastAsia="zh-CN" w:bidi="zh-CN"/>
        </w:rPr>
        <w:t>8.</w:t>
      </w:r>
      <w:r>
        <w:rPr>
          <w:rFonts w:hint="eastAsia" w:ascii="宋体" w:hAnsi="宋体" w:eastAsia="宋体" w:cs="宋体"/>
          <w:sz w:val="24"/>
          <w:szCs w:val="24"/>
          <w:lang w:val="en-US" w:eastAsia="zh-CN"/>
        </w:rPr>
        <w:t>数据分析。支持不低于12个维度100种分析模板；支持聚类分析并以热力图、关系图呈现。支持审查员印证等各类引证分析；支持自定义与三位分析。</w:t>
      </w:r>
    </w:p>
    <w:p>
      <w:pPr>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zh-CN"/>
        </w:rPr>
        <w:t>9.</w:t>
      </w:r>
      <w:r>
        <w:rPr>
          <w:rFonts w:hint="eastAsia" w:ascii="宋体" w:hAnsi="宋体" w:eastAsia="宋体" w:cs="宋体"/>
          <w:sz w:val="24"/>
          <w:szCs w:val="24"/>
          <w:lang w:val="en-US" w:eastAsia="zh-CN"/>
        </w:rPr>
        <w:t>专利价值分析。支持通过DPI专利指数生成5个维度的价值指数，通过技术价值、法律价值、市场价值、战略价值、经济价值，综合评价专利的价值。</w:t>
      </w:r>
    </w:p>
    <w:p>
      <w:pPr>
        <w:pStyle w:val="10"/>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10.监控与下载。支持监控专利数据的法律状态、同族、引证等各类信息；支持Excel\HTML\Word\PDF格式的自定义格式、自定义模板的下载。</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11.支持在线创建专题数据库。支持在线创建各类技术主题的专题数据库，自定义设置无限极数据导航，支持专利数据批量标引操作。</w:t>
      </w:r>
    </w:p>
    <w:p>
      <w:pPr>
        <w:rPr>
          <w:rFonts w:hint="eastAsia" w:ascii="宋体" w:hAnsi="宋体" w:eastAsia="宋体" w:cs="宋体"/>
          <w:sz w:val="24"/>
          <w:szCs w:val="24"/>
        </w:rPr>
      </w:pPr>
      <w:r>
        <w:rPr>
          <w:rFonts w:hint="eastAsia" w:ascii="宋体" w:hAnsi="宋体" w:eastAsia="宋体" w:cs="宋体"/>
          <w:sz w:val="24"/>
          <w:szCs w:val="24"/>
          <w:lang w:val="en-US" w:eastAsia="zh-CN"/>
        </w:rPr>
        <w:t>12.支持以主题的形式创建分析项目。支持专利自定义项目的添加，查看权限自定义设定；支持同族专利自动扩展，支持技术原创国分析；支持自定义设置DPI指标，对数据进行二次加工清洗，支持对所分析数据批量修改，批量标引操作。</w:t>
      </w:r>
    </w:p>
    <w:p>
      <w:pPr>
        <w:rPr>
          <w:rFonts w:hint="eastAsia" w:ascii="宋体" w:hAnsi="宋体" w:eastAsia="宋体" w:cs="宋体"/>
          <w:sz w:val="24"/>
          <w:szCs w:val="24"/>
        </w:rPr>
      </w:pPr>
      <w:r>
        <w:rPr>
          <w:rFonts w:hint="eastAsia" w:ascii="宋体" w:hAnsi="宋体" w:eastAsia="宋体" w:cs="宋体"/>
          <w:sz w:val="24"/>
          <w:szCs w:val="24"/>
        </w:rPr>
        <w:t>   标项二十六  </w:t>
      </w:r>
    </w:p>
    <w:p>
      <w:pPr>
        <w:rPr>
          <w:rFonts w:hint="eastAsia" w:ascii="宋体" w:hAnsi="宋体" w:eastAsia="宋体" w:cs="宋体"/>
          <w:sz w:val="24"/>
          <w:szCs w:val="24"/>
        </w:rPr>
      </w:pPr>
      <w:r>
        <w:rPr>
          <w:rFonts w:hint="eastAsia" w:ascii="宋体" w:hAnsi="宋体" w:eastAsia="宋体" w:cs="宋体"/>
          <w:sz w:val="24"/>
          <w:szCs w:val="24"/>
        </w:rPr>
        <w:t>   标的名称：第二十六包-Worldlib国外文献整合平台</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预算金额(元)：150000</w:t>
      </w:r>
      <w:r>
        <w:rPr>
          <w:rFonts w:hint="eastAsia" w:ascii="宋体" w:hAnsi="宋体" w:eastAsia="宋体" w:cs="宋体"/>
          <w:sz w:val="24"/>
          <w:szCs w:val="24"/>
        </w:rPr>
        <w:br w:type="textWrapping"/>
      </w:r>
      <w:r>
        <w:rPr>
          <w:rFonts w:hint="eastAsia" w:ascii="宋体" w:hAnsi="宋体" w:eastAsia="宋体" w:cs="宋体"/>
          <w:sz w:val="24"/>
          <w:szCs w:val="24"/>
        </w:rPr>
        <w:t>   单位：北京华宇星航国际教育科技有限公司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rPr>
          <w:rFonts w:hint="eastAsia" w:ascii="宋体" w:hAnsi="宋体" w:eastAsia="宋体" w:cs="宋体"/>
          <w:sz w:val="24"/>
          <w:szCs w:val="24"/>
        </w:rPr>
      </w:pPr>
      <w:r>
        <w:rPr>
          <w:rFonts w:hint="eastAsia" w:ascii="宋体" w:hAnsi="宋体" w:eastAsia="宋体" w:cs="宋体"/>
          <w:sz w:val="24"/>
          <w:szCs w:val="24"/>
        </w:rPr>
        <w:t>worldlib国外文献整合平台包含来自国外各大出版商的开放数据文献，该平台按照文献类型包含8个文献类型，其中期刊3500万篇（期刊品种不少于30000种）、国外博硕士论文430万篇、科技报告150万篇、艺术图片90万幅、外文电子图书及章节140万、专利100万篇、会议论文130万篇、预印本120万篇，共计4600多万国外优秀文献。可以按照检索点导航、学科导航、日期导航、语种导航等多种途径导航，8个文献类型可以实现一站式跨库检索。</w:t>
      </w:r>
      <w:r>
        <w:rPr>
          <w:rFonts w:hint="eastAsia" w:ascii="宋体" w:hAnsi="宋体" w:eastAsia="宋体" w:cs="宋体"/>
          <w:sz w:val="24"/>
          <w:szCs w:val="24"/>
        </w:rPr>
        <w:br w:type="textWrapping"/>
      </w:r>
      <w:r>
        <w:rPr>
          <w:rFonts w:hint="eastAsia" w:ascii="宋体" w:hAnsi="宋体" w:eastAsia="宋体" w:cs="宋体"/>
          <w:sz w:val="24"/>
          <w:szCs w:val="24"/>
        </w:rPr>
        <w:t>该平台文献范围涵盖全学科（包括医学、化学、物理、农业、教育、应用科学、经济、天文学、工业技术、交通运输、环境、生物等）。可以按照检索点导航、学科导航、日期导航、语种导航等多种途径导航。</w:t>
      </w:r>
      <w:r>
        <w:rPr>
          <w:rFonts w:hint="eastAsia" w:ascii="宋体" w:hAnsi="宋体" w:eastAsia="宋体" w:cs="宋体"/>
          <w:sz w:val="24"/>
          <w:szCs w:val="24"/>
        </w:rPr>
        <w:br w:type="textWrapping"/>
      </w:r>
      <w:r>
        <w:rPr>
          <w:rFonts w:hint="eastAsia" w:ascii="宋体" w:hAnsi="宋体" w:eastAsia="宋体" w:cs="宋体"/>
          <w:sz w:val="24"/>
          <w:szCs w:val="24"/>
        </w:rPr>
        <w:t>平台上所有文献均可通过访问其所在第三方网站下载全文数据，且支持手机二维码下载阅读。</w:t>
      </w:r>
      <w:r>
        <w:rPr>
          <w:rFonts w:hint="eastAsia" w:ascii="宋体" w:hAnsi="宋体" w:eastAsia="宋体" w:cs="宋体"/>
          <w:sz w:val="24"/>
          <w:szCs w:val="24"/>
        </w:rPr>
        <w:br w:type="textWrapping"/>
      </w:r>
      <w:r>
        <w:rPr>
          <w:rFonts w:hint="eastAsia" w:ascii="宋体" w:hAnsi="宋体" w:eastAsia="宋体" w:cs="宋体"/>
          <w:sz w:val="24"/>
          <w:szCs w:val="24"/>
        </w:rPr>
        <w:t>1、平台文献量不低于4600万，且8个文献类型可以实现一站式跨库检索。</w:t>
      </w:r>
      <w:r>
        <w:rPr>
          <w:rFonts w:hint="eastAsia" w:ascii="宋体" w:hAnsi="宋体" w:eastAsia="宋体" w:cs="宋体"/>
          <w:sz w:val="24"/>
          <w:szCs w:val="24"/>
        </w:rPr>
        <w:br w:type="textWrapping"/>
      </w:r>
      <w:r>
        <w:rPr>
          <w:rFonts w:hint="eastAsia" w:ascii="宋体" w:hAnsi="宋体" w:eastAsia="宋体" w:cs="宋体"/>
          <w:sz w:val="24"/>
          <w:szCs w:val="24"/>
        </w:rPr>
        <w:t>2、平台上的文献均来源于第三方链接，且支持手机二维码下载阅读，本地不存储商业元数据及全文。</w:t>
      </w:r>
      <w:r>
        <w:rPr>
          <w:rFonts w:hint="eastAsia" w:ascii="宋体" w:hAnsi="宋体" w:eastAsia="宋体" w:cs="宋体"/>
          <w:sz w:val="24"/>
          <w:szCs w:val="24"/>
        </w:rPr>
        <w:br w:type="textWrapping"/>
      </w:r>
      <w:r>
        <w:rPr>
          <w:rFonts w:hint="eastAsia" w:ascii="宋体" w:hAnsi="宋体" w:eastAsia="宋体" w:cs="宋体"/>
          <w:sz w:val="24"/>
          <w:szCs w:val="24"/>
        </w:rPr>
        <w:t>3、平台支持跨库检索且平均检索速度必须&lt;0.1S，平台具备不低于8000万的系统词表做支撑，且词表不得重复。</w:t>
      </w:r>
      <w:r>
        <w:rPr>
          <w:rFonts w:hint="eastAsia" w:ascii="宋体" w:hAnsi="宋体" w:eastAsia="宋体" w:cs="宋体"/>
          <w:sz w:val="24"/>
          <w:szCs w:val="24"/>
        </w:rPr>
        <w:br w:type="textWrapping"/>
      </w:r>
      <w:r>
        <w:rPr>
          <w:rFonts w:hint="eastAsia" w:ascii="宋体" w:hAnsi="宋体" w:eastAsia="宋体" w:cs="宋体"/>
          <w:sz w:val="24"/>
          <w:szCs w:val="24"/>
        </w:rPr>
        <w:t>4、</w:t>
      </w:r>
      <w:r>
        <w:rPr>
          <w:rFonts w:hint="eastAsia" w:ascii="宋体" w:hAnsi="宋体" w:eastAsia="宋体" w:cs="宋体"/>
          <w:sz w:val="24"/>
          <w:szCs w:val="24"/>
          <w:lang w:val="en-US" w:eastAsia="zh-CN"/>
        </w:rPr>
        <w:t>提供方便快捷的安装维护，内置Sqlserver、文本等可视化导入工具、自带Web服务器功能，包括用户认证管理、数据存储服务、搜索引擎服务、WEB发布服务、访问监控服务等功能，并且可以镜像派发生成专题数据库并且不需要安装任何数据库。</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5、做好安全加密工作，平台网站及数据库文件都应该加密，确保网络数据安全。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6、平台易用性，可以按照检索点导航、学科导航、日期导航、语种导航等多种途径导航且允许用户修改或自定义分类法。</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7、平台提供域名绑定功能，具备统计访问数据文件大小流量功能，具备用户检索记录还原功能,具备B类ip访问地址统计功能，对用户访问实时监控并追踪用户IP和访问资源url。</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8、平台上不得存储未经数据商授权的商业元数据和全文数据，无版权风险和隐患。</w:t>
      </w:r>
    </w:p>
    <w:p>
      <w:pPr>
        <w:rPr>
          <w:rFonts w:hint="eastAsia" w:ascii="宋体" w:hAnsi="宋体" w:eastAsia="宋体" w:cs="宋体"/>
          <w:sz w:val="24"/>
          <w:szCs w:val="24"/>
        </w:rPr>
      </w:pPr>
      <w:r>
        <w:rPr>
          <w:rFonts w:hint="eastAsia" w:ascii="宋体" w:hAnsi="宋体" w:eastAsia="宋体" w:cs="宋体"/>
          <w:sz w:val="24"/>
          <w:szCs w:val="24"/>
        </w:rPr>
        <w:t>   标项二十七  </w:t>
      </w:r>
    </w:p>
    <w:p>
      <w:pPr>
        <w:pStyle w:val="10"/>
        <w:rPr>
          <w:rFonts w:hint="eastAsia" w:ascii="宋体" w:hAnsi="宋体" w:eastAsia="宋体" w:cs="宋体"/>
          <w:sz w:val="24"/>
          <w:szCs w:val="24"/>
        </w:rPr>
      </w:pPr>
      <w:r>
        <w:rPr>
          <w:rFonts w:hint="eastAsia" w:ascii="宋体" w:hAnsi="宋体" w:eastAsia="宋体" w:cs="宋体"/>
          <w:sz w:val="24"/>
          <w:szCs w:val="24"/>
        </w:rPr>
        <w:t>   标的名称：第二十七包-教参资源管理平台</w:t>
      </w:r>
      <w:r>
        <w:rPr>
          <w:rFonts w:hint="eastAsia" w:ascii="宋体" w:hAnsi="宋体" w:eastAsia="宋体" w:cs="宋体"/>
          <w:sz w:val="24"/>
          <w:szCs w:val="24"/>
        </w:rPr>
        <w:br w:type="textWrapping"/>
      </w:r>
      <w:r>
        <w:rPr>
          <w:rFonts w:hint="eastAsia" w:ascii="宋体" w:hAnsi="宋体" w:eastAsia="宋体" w:cs="宋体"/>
          <w:sz w:val="24"/>
          <w:szCs w:val="24"/>
        </w:rPr>
        <w:t>   数量：1</w:t>
      </w:r>
      <w:r>
        <w:rPr>
          <w:rFonts w:hint="eastAsia" w:ascii="宋体" w:hAnsi="宋体" w:eastAsia="宋体" w:cs="宋体"/>
          <w:sz w:val="24"/>
          <w:szCs w:val="24"/>
        </w:rPr>
        <w:br w:type="textWrapping"/>
      </w:r>
      <w:r>
        <w:rPr>
          <w:rFonts w:hint="eastAsia" w:ascii="宋体" w:hAnsi="宋体" w:eastAsia="宋体" w:cs="宋体"/>
          <w:sz w:val="24"/>
          <w:szCs w:val="24"/>
        </w:rPr>
        <w:t>   预算金额(元)：420000</w:t>
      </w:r>
      <w:r>
        <w:rPr>
          <w:rFonts w:hint="eastAsia" w:ascii="宋体" w:hAnsi="宋体" w:eastAsia="宋体" w:cs="宋体"/>
          <w:sz w:val="24"/>
          <w:szCs w:val="24"/>
        </w:rPr>
        <w:br w:type="textWrapping"/>
      </w:r>
      <w:r>
        <w:rPr>
          <w:rFonts w:hint="eastAsia" w:ascii="宋体" w:hAnsi="宋体" w:eastAsia="宋体" w:cs="宋体"/>
          <w:sz w:val="24"/>
          <w:szCs w:val="24"/>
        </w:rPr>
        <w:t>   单位：北京世纪超星信息技术发展有限责任公司</w:t>
      </w:r>
      <w:r>
        <w:rPr>
          <w:rFonts w:hint="eastAsia" w:ascii="宋体" w:hAnsi="宋体" w:eastAsia="宋体" w:cs="宋体"/>
          <w:sz w:val="24"/>
          <w:szCs w:val="24"/>
        </w:rPr>
        <w:br w:type="textWrapping"/>
      </w:r>
      <w:r>
        <w:rPr>
          <w:rFonts w:hint="eastAsia" w:ascii="宋体" w:hAnsi="宋体" w:eastAsia="宋体" w:cs="宋体"/>
          <w:sz w:val="24"/>
          <w:szCs w:val="24"/>
        </w:rPr>
        <w:t>   货物或服务的说明：</w:t>
      </w:r>
    </w:p>
    <w:p>
      <w:pPr>
        <w:pStyle w:val="10"/>
        <w:rPr>
          <w:rFonts w:hint="eastAsia" w:ascii="宋体" w:hAnsi="宋体" w:eastAsia="宋体" w:cs="宋体"/>
          <w:sz w:val="24"/>
          <w:szCs w:val="24"/>
          <w:lang w:val="en-US" w:eastAsia="zh-CN"/>
        </w:rPr>
      </w:pPr>
      <w:r>
        <w:rPr>
          <w:rFonts w:hint="eastAsia" w:ascii="宋体" w:hAnsi="宋体" w:eastAsia="宋体" w:cs="宋体"/>
          <w:sz w:val="24"/>
          <w:szCs w:val="24"/>
        </w:rPr>
        <w:t>功能要求</w:t>
      </w:r>
      <w:r>
        <w:rPr>
          <w:rFonts w:hint="eastAsia" w:ascii="宋体" w:hAnsi="宋体" w:eastAsia="宋体" w:cs="宋体"/>
          <w:sz w:val="24"/>
          <w:szCs w:val="24"/>
        </w:rPr>
        <w:br w:type="textWrapping"/>
      </w:r>
      <w:r>
        <w:rPr>
          <w:rFonts w:hint="eastAsia" w:ascii="宋体" w:hAnsi="宋体" w:eastAsia="宋体" w:cs="宋体"/>
          <w:sz w:val="24"/>
          <w:szCs w:val="24"/>
        </w:rPr>
        <w:t>1．检索结果中提供按照首字母、学院、学年学期、学段、专业等多种筛选方式进行聚类，可实现组合筛选。</w:t>
      </w:r>
      <w:r>
        <w:rPr>
          <w:rFonts w:hint="eastAsia" w:ascii="宋体" w:hAnsi="宋体" w:eastAsia="宋体" w:cs="宋体"/>
          <w:sz w:val="24"/>
          <w:szCs w:val="24"/>
        </w:rPr>
        <w:br w:type="textWrapping"/>
      </w:r>
      <w:r>
        <w:rPr>
          <w:rFonts w:hint="eastAsia" w:ascii="宋体" w:hAnsi="宋体" w:eastAsia="宋体" w:cs="宋体"/>
          <w:sz w:val="24"/>
          <w:szCs w:val="24"/>
        </w:rPr>
        <w:t>2．检索结果提供默认排序、入库时间、浏览量排序。</w:t>
      </w:r>
      <w:r>
        <w:rPr>
          <w:rFonts w:hint="eastAsia" w:ascii="宋体" w:hAnsi="宋体" w:eastAsia="宋体" w:cs="宋体"/>
          <w:sz w:val="24"/>
          <w:szCs w:val="24"/>
        </w:rPr>
        <w:br w:type="textWrapping"/>
      </w:r>
      <w:r>
        <w:rPr>
          <w:rFonts w:hint="eastAsia" w:ascii="宋体" w:hAnsi="宋体" w:eastAsia="宋体" w:cs="宋体"/>
          <w:sz w:val="24"/>
          <w:szCs w:val="24"/>
        </w:rPr>
        <w:t>3．支持检索时简繁互检。</w:t>
      </w:r>
      <w:r>
        <w:rPr>
          <w:rFonts w:hint="eastAsia" w:ascii="宋体" w:hAnsi="宋体" w:eastAsia="宋体" w:cs="宋体"/>
          <w:sz w:val="24"/>
          <w:szCs w:val="24"/>
        </w:rPr>
        <w:br w:type="textWrapping"/>
      </w:r>
      <w:r>
        <w:rPr>
          <w:rFonts w:hint="eastAsia" w:ascii="宋体" w:hAnsi="宋体" w:eastAsia="宋体" w:cs="宋体"/>
          <w:sz w:val="24"/>
          <w:szCs w:val="24"/>
        </w:rPr>
        <w:t>4．支持多种全文获取方式，包括本馆馆藏资源、已购买的全文数据库全文链接、本馆自加工数据。支持全文附件和全文链接。</w:t>
      </w:r>
      <w:r>
        <w:rPr>
          <w:rFonts w:hint="eastAsia" w:ascii="宋体" w:hAnsi="宋体" w:eastAsia="宋体" w:cs="宋体"/>
          <w:sz w:val="24"/>
          <w:szCs w:val="24"/>
        </w:rPr>
        <w:br w:type="textWrapping"/>
      </w:r>
      <w:r>
        <w:rPr>
          <w:rFonts w:hint="eastAsia" w:ascii="宋体" w:hAnsi="宋体" w:eastAsia="宋体" w:cs="宋体"/>
          <w:sz w:val="24"/>
          <w:szCs w:val="24"/>
        </w:rPr>
        <w:t>5．支持对课程数据的统一检索，支持以课程为维度查看课程下的教材教参资源。</w:t>
      </w:r>
      <w:r>
        <w:rPr>
          <w:rFonts w:hint="eastAsia" w:ascii="宋体" w:hAnsi="宋体" w:eastAsia="宋体" w:cs="宋体"/>
          <w:sz w:val="24"/>
          <w:szCs w:val="24"/>
        </w:rPr>
        <w:br w:type="textWrapping"/>
      </w:r>
      <w:r>
        <w:rPr>
          <w:rFonts w:hint="eastAsia" w:ascii="宋体" w:hAnsi="宋体" w:eastAsia="宋体" w:cs="宋体"/>
          <w:sz w:val="24"/>
          <w:szCs w:val="24"/>
        </w:rPr>
        <w:t>6．元数据检索性能：支持检索时，结果页聚类、列表毫秒级返回。</w:t>
      </w:r>
      <w:r>
        <w:rPr>
          <w:rFonts w:hint="eastAsia" w:ascii="宋体" w:hAnsi="宋体" w:eastAsia="宋体" w:cs="宋体"/>
          <w:sz w:val="24"/>
          <w:szCs w:val="24"/>
        </w:rPr>
        <w:br w:type="textWrapping"/>
      </w:r>
      <w:r>
        <w:rPr>
          <w:rFonts w:hint="eastAsia" w:ascii="宋体" w:hAnsi="宋体" w:eastAsia="宋体" w:cs="宋体"/>
          <w:sz w:val="24"/>
          <w:szCs w:val="24"/>
        </w:rPr>
        <w:t>7．多种阅读模式的支持，上下、左右翻页模式切换，章节导航的快速定位；支持对全文内容OCR 画框取词。</w:t>
      </w:r>
      <w:r>
        <w:rPr>
          <w:rFonts w:hint="eastAsia" w:ascii="宋体" w:hAnsi="宋体" w:eastAsia="宋体" w:cs="宋体"/>
          <w:sz w:val="24"/>
          <w:szCs w:val="24"/>
        </w:rPr>
        <w:br w:type="textWrapping"/>
      </w:r>
      <w:r>
        <w:rPr>
          <w:rFonts w:hint="eastAsia" w:ascii="宋体" w:hAnsi="宋体" w:eastAsia="宋体" w:cs="宋体"/>
          <w:sz w:val="24"/>
          <w:szCs w:val="24"/>
        </w:rPr>
        <w:t>教材教参资源管理</w:t>
      </w:r>
      <w:r>
        <w:rPr>
          <w:rFonts w:hint="eastAsia" w:ascii="宋体" w:hAnsi="宋体" w:eastAsia="宋体" w:cs="宋体"/>
          <w:sz w:val="24"/>
          <w:szCs w:val="24"/>
        </w:rPr>
        <w:br w:type="textWrapping"/>
      </w:r>
      <w:r>
        <w:rPr>
          <w:rFonts w:hint="eastAsia" w:ascii="宋体" w:hAnsi="宋体" w:eastAsia="宋体" w:cs="宋体"/>
          <w:sz w:val="24"/>
          <w:szCs w:val="24"/>
        </w:rPr>
        <w:t>1．支持按课程上传及管理课程相关的教材教参资源。</w:t>
      </w:r>
      <w:r>
        <w:rPr>
          <w:rFonts w:hint="eastAsia" w:ascii="宋体" w:hAnsi="宋体" w:eastAsia="宋体" w:cs="宋体"/>
          <w:sz w:val="24"/>
          <w:szCs w:val="24"/>
        </w:rPr>
        <w:br w:type="textWrapping"/>
      </w:r>
      <w:r>
        <w:rPr>
          <w:rFonts w:hint="eastAsia" w:ascii="宋体" w:hAnsi="宋体" w:eastAsia="宋体" w:cs="宋体"/>
          <w:sz w:val="24"/>
          <w:szCs w:val="24"/>
        </w:rPr>
        <w:t>2．在录入教材教参资源方式上，支持按照不同文献类型的模板，通过批量导入、单篇上传2种方式添加文献数据，同时提供不少于10亿元数据用于教参资源的检索。同时在数据管理上，支持按本科生、研究生，分不同的学期对教材教参数据进行灵活管理。</w:t>
      </w:r>
      <w:r>
        <w:rPr>
          <w:rFonts w:hint="eastAsia" w:ascii="宋体" w:hAnsi="宋体" w:eastAsia="宋体" w:cs="宋体"/>
          <w:sz w:val="24"/>
          <w:szCs w:val="24"/>
        </w:rPr>
        <w:br w:type="textWrapping"/>
      </w:r>
      <w:r>
        <w:rPr>
          <w:rFonts w:hint="eastAsia" w:ascii="宋体" w:hAnsi="宋体" w:eastAsia="宋体" w:cs="宋体"/>
          <w:sz w:val="24"/>
          <w:szCs w:val="24"/>
        </w:rPr>
        <w:t>3．平台对于批量导入方式提供数据导入失败提醒，界面显示导入失败数据和重复数据，支持下载失败数据和手动确认入库重复数据。</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4．对平台资源提供批量修改功能，对已上传的数据，可针对全部数据，或者按照封面为空、全文附件为空、全文来源为空进行筛选，并按照入库时间降序、升序，导出数据进行批量修改再上传。</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5．</w:t>
      </w:r>
      <w:r>
        <w:rPr>
          <w:rFonts w:hint="eastAsia" w:ascii="宋体" w:hAnsi="宋体" w:eastAsia="宋体" w:cs="宋体"/>
          <w:i w:val="0"/>
          <w:iCs w:val="0"/>
          <w:color w:val="000000"/>
          <w:kern w:val="0"/>
          <w:sz w:val="24"/>
          <w:szCs w:val="24"/>
          <w:u w:val="none"/>
          <w:lang w:val="en-US" w:eastAsia="zh-CN" w:bidi="ar"/>
        </w:rPr>
        <w:t>支持在批量导入和单篇上传资源时，自定义选择是否从超星元数据仓储中获取推荐图书资源与补充元数据字段信息；可导出未补充到元数据字段信息的数据。</w:t>
      </w:r>
    </w:p>
    <w:p>
      <w:pPr>
        <w:pStyle w:val="10"/>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6.</w:t>
      </w:r>
      <w:r>
        <w:rPr>
          <w:rFonts w:hint="eastAsia" w:ascii="宋体" w:hAnsi="宋体" w:eastAsia="宋体" w:cs="宋体"/>
          <w:i w:val="0"/>
          <w:iCs w:val="0"/>
          <w:color w:val="000000"/>
          <w:kern w:val="0"/>
          <w:sz w:val="24"/>
          <w:szCs w:val="24"/>
          <w:u w:val="none"/>
          <w:lang w:val="en-US" w:eastAsia="zh-CN" w:bidi="ar"/>
        </w:rPr>
        <w:t>支持资源提交与审核机制，个人用户可进行资源提交，由管理员审核后发布，且可设置最高5级的多层级审核机制；支持查看个人用户资源提交记录。</w:t>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7.支持按照文献类型的资源导出资源数据表，导出时可以灵活筛选需要导出的字段。</w:t>
      </w:r>
    </w:p>
    <w:p>
      <w:pPr>
        <w:pStyle w:val="1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8.支持对资源在前端门户的发布状态进行设置，可对平台资源在门户的展示进行撤回、发布。</w:t>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文献类型管理，支持对已有文献类型的修改、注销、开启操作。可根据学校具体的教材数据字段情况，自定义平台教材、教参元数据字段表，可以对字段的名称、字段、字段填写方式、是否参与检索、是否参与聚类、是否列表页展示等信息进行设置，支持对字段进行拖拽式新增、顺序调整。</w:t>
      </w:r>
    </w:p>
    <w:p>
      <w:pPr>
        <w:pStyle w:val="1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10.可定向自动抓取网站资讯，通过配置网站资讯采集参数，系统自动进行资讯信息采集，已采集的信息按专栏进行分站点展示，提供检索、排序等功能，点击资讯标题即可跳转到原始全文页面进行阅读。</w:t>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用户管理</w:t>
      </w:r>
    </w:p>
    <w:p>
      <w:pPr>
        <w:pStyle w:val="1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1．支持对教参平台中所有课程下的教师信息进行统一管理，增、删、改、查教师与课程的开课关系。</w:t>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w:t>
      </w:r>
      <w:r>
        <w:rPr>
          <w:rFonts w:hint="eastAsia" w:ascii="宋体" w:hAnsi="宋体" w:eastAsia="宋体" w:cs="宋体"/>
          <w:i w:val="0"/>
          <w:iCs w:val="0"/>
          <w:color w:val="000000"/>
          <w:kern w:val="0"/>
          <w:sz w:val="24"/>
          <w:szCs w:val="24"/>
          <w:u w:val="none"/>
          <w:lang w:val="en-US" w:eastAsia="zh-CN" w:bidi="ar"/>
        </w:rPr>
        <w:t>支持对教参平台中所有课程下的学生信息进行统一管理，增、删、改、查学生与课程的选课关系。</w:t>
      </w:r>
    </w:p>
    <w:p>
      <w:pPr>
        <w:pStyle w:val="1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3.添加教师信息或学生信息时，基于用户信息模板，提供批量导入、单条添加2种方式数据上传方式。</w:t>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门户数据对接与内容管理</w:t>
      </w:r>
    </w:p>
    <w:p>
      <w:pPr>
        <w:pStyle w:val="10"/>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提供数据中心用于图文列表、多图列表、文本列表、图表类应用，各门户模块支持多种数据源，可自主配置教材教参门户每个模块的内容，包括学院导航、阅读推荐、新闻公告等。</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w:t>
      </w:r>
      <w:r>
        <w:rPr>
          <w:rFonts w:hint="eastAsia" w:ascii="宋体" w:hAnsi="宋体" w:eastAsia="宋体" w:cs="宋体"/>
          <w:i w:val="0"/>
          <w:iCs w:val="0"/>
          <w:color w:val="000000"/>
          <w:kern w:val="0"/>
          <w:sz w:val="24"/>
          <w:szCs w:val="24"/>
          <w:u w:val="none"/>
          <w:lang w:val="en-US" w:eastAsia="zh-CN" w:bidi="ar"/>
        </w:rPr>
        <w:t>支持按表格展示课程数据，支持根据课程元数据自定义表头需展示的字段，同时支持按浏览量升/降序、入库时间排序，支持按首字母导航聚类。并且支持控制不同学院用户仅查看所属学院的资源。</w:t>
      </w:r>
    </w:p>
    <w:p>
      <w:pPr>
        <w:pStyle w:val="1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资源权限管理</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可限制用户在教参门户只能查看本人所教/学课程，或只能查看本学院的课程。</w:t>
      </w:r>
    </w:p>
    <w:p>
      <w:pPr>
        <w:pStyle w:val="10"/>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w:t>
      </w:r>
      <w:r>
        <w:rPr>
          <w:rFonts w:hint="eastAsia" w:ascii="宋体" w:hAnsi="宋体" w:eastAsia="宋体" w:cs="宋体"/>
          <w:i w:val="0"/>
          <w:iCs w:val="0"/>
          <w:color w:val="000000"/>
          <w:kern w:val="0"/>
          <w:sz w:val="24"/>
          <w:szCs w:val="24"/>
          <w:u w:val="none"/>
          <w:lang w:val="en-US" w:eastAsia="zh-CN" w:bidi="ar"/>
        </w:rPr>
        <w:t>支持在前台门户设置课程申请开关，开启后用户仅可查看本人所教/学课程，查看其他课程必须提交申请进行后台审核。</w:t>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3.支持管理员后台设置课程申请的审核模式：自动审核通过、人工审核、前XX条自动审核通过。</w:t>
      </w:r>
    </w:p>
    <w:p>
      <w:pPr>
        <w:pStyle w:val="1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4．支持超管进行课程申请审核人员分配，指定审核人员处理的课程申请来源范围。</w:t>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5．支持多层级版权保护：根据用户登录状态判断是否能查看平台元数据。根据用户登录状态判断是否能查看全文字段。根据用户的角色设置不同的全文查看范围，比如学院、全文附件、全文来源等权限。</w:t>
      </w:r>
    </w:p>
    <w:p>
      <w:pPr>
        <w:pStyle w:val="1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6．前台门户支持黑名单设置，可设置24小时内单篇资源的浏览上限和下载上限，对达到上限的用户自定锁定，并记录用户ID、操作时间等详情，并可支持对用户权限进行恢复。</w:t>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7．支持后台的管理员权限设置，可根据需求为不同管理员分配不同的管理模块。</w:t>
      </w:r>
    </w:p>
    <w:p>
      <w:pPr>
        <w:pStyle w:val="1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统计分析相关功能</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支持对教参资源平台里所有资源进行统计，包括：元数据统计、各资源占比、资源更新趋势统计。</w:t>
      </w:r>
    </w:p>
    <w:p>
      <w:pPr>
        <w:pStyle w:val="10"/>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zh-CN"/>
        </w:rPr>
        <w:t>2．</w:t>
      </w:r>
      <w:r>
        <w:rPr>
          <w:rFonts w:hint="eastAsia" w:ascii="宋体" w:hAnsi="宋体" w:eastAsia="宋体" w:cs="宋体"/>
          <w:i w:val="0"/>
          <w:iCs w:val="0"/>
          <w:color w:val="000000"/>
          <w:kern w:val="0"/>
          <w:sz w:val="24"/>
          <w:szCs w:val="24"/>
          <w:u w:val="none"/>
          <w:lang w:val="en-US" w:eastAsia="zh-CN" w:bidi="ar"/>
        </w:rPr>
        <w:t>支持按时间段筛选门户访问统计，包括网站总访问量、网站今日访问量、网站日均访问量，访问量变化趋势等。</w:t>
      </w:r>
    </w:p>
    <w:p>
      <w:pPr>
        <w:numPr>
          <w:ilvl w:val="0"/>
          <w:numId w:val="0"/>
        </w:num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支持按浏览量统计平台的热门资源TOP200，并支持导出记录信息。支持对学院访问排行进行统计展示。</w:t>
      </w:r>
    </w:p>
    <w:p>
      <w:pPr>
        <w:pStyle w:val="10"/>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zh-CN"/>
        </w:rPr>
        <w:t>4．</w:t>
      </w:r>
      <w:r>
        <w:rPr>
          <w:rFonts w:hint="eastAsia" w:ascii="宋体" w:hAnsi="宋体" w:eastAsia="宋体" w:cs="宋体"/>
          <w:i w:val="0"/>
          <w:iCs w:val="0"/>
          <w:color w:val="000000"/>
          <w:kern w:val="0"/>
          <w:sz w:val="24"/>
          <w:szCs w:val="24"/>
          <w:u w:val="none"/>
          <w:lang w:val="en-US" w:eastAsia="zh-CN" w:bidi="ar"/>
        </w:rPr>
        <w:t>支持统计教参资源平台内相关分类的热门检索词及检索量。</w:t>
      </w:r>
    </w:p>
    <w:p>
      <w:pPr>
        <w:numPr>
          <w:ilvl w:val="0"/>
          <w:numId w:val="0"/>
        </w:num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5．</w:t>
      </w:r>
      <w:r>
        <w:rPr>
          <w:rFonts w:hint="eastAsia" w:ascii="宋体" w:hAnsi="宋体" w:eastAsia="宋体" w:cs="宋体"/>
          <w:i w:val="0"/>
          <w:iCs w:val="0"/>
          <w:color w:val="000000"/>
          <w:kern w:val="0"/>
          <w:sz w:val="24"/>
          <w:szCs w:val="24"/>
          <w:u w:val="none"/>
          <w:lang w:val="en-US" w:eastAsia="zh-CN" w:bidi="ar"/>
        </w:rPr>
        <w:t>提供前台使用日志，记录内容包括用户名、操作类型、操作详情和操作日期，能够按浏览、检索、资源获取操作类型进行查找和筛选，并支持导出记录信息。</w:t>
      </w:r>
    </w:p>
    <w:p>
      <w:pPr>
        <w:pStyle w:val="10"/>
        <w:numPr>
          <w:ilvl w:val="0"/>
          <w:numId w:val="0"/>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zh-CN"/>
        </w:rPr>
        <w:t>6．</w:t>
      </w:r>
      <w:r>
        <w:rPr>
          <w:rFonts w:hint="eastAsia" w:ascii="宋体" w:hAnsi="宋体" w:eastAsia="宋体" w:cs="宋体"/>
          <w:i w:val="0"/>
          <w:iCs w:val="0"/>
          <w:color w:val="000000"/>
          <w:kern w:val="0"/>
          <w:sz w:val="24"/>
          <w:szCs w:val="24"/>
          <w:u w:val="none"/>
          <w:lang w:val="en-US" w:eastAsia="zh-CN" w:bidi="ar"/>
        </w:rPr>
        <w:t>支持按单个用户维度展示用户画像。</w:t>
      </w:r>
    </w:p>
    <w:p>
      <w:pPr>
        <w:numPr>
          <w:ilvl w:val="0"/>
          <w:numId w:val="0"/>
        </w:num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7．</w:t>
      </w:r>
      <w:r>
        <w:rPr>
          <w:rFonts w:hint="eastAsia" w:ascii="宋体" w:hAnsi="宋体" w:eastAsia="宋体" w:cs="宋体"/>
          <w:i w:val="0"/>
          <w:iCs w:val="0"/>
          <w:color w:val="000000"/>
          <w:kern w:val="0"/>
          <w:sz w:val="24"/>
          <w:szCs w:val="24"/>
          <w:u w:val="none"/>
          <w:lang w:val="en-US" w:eastAsia="zh-CN" w:bidi="ar"/>
        </w:rPr>
        <w:t>支持检索管理员操作日志。</w:t>
      </w:r>
    </w:p>
    <w:p>
      <w:pPr>
        <w:pStyle w:val="10"/>
        <w:numPr>
          <w:ilvl w:val="0"/>
          <w:numId w:val="0"/>
        </w:numPr>
        <w:ind w:left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门户网站管理</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支持网站挂接单位自有域名。</w:t>
      </w:r>
    </w:p>
    <w:p>
      <w:pPr>
        <w:pStyle w:val="10"/>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2.</w:t>
      </w:r>
      <w:r>
        <w:rPr>
          <w:rFonts w:hint="eastAsia" w:ascii="宋体" w:hAnsi="宋体" w:eastAsia="宋体" w:cs="宋体"/>
          <w:i w:val="0"/>
          <w:iCs w:val="0"/>
          <w:color w:val="000000"/>
          <w:kern w:val="0"/>
          <w:sz w:val="24"/>
          <w:szCs w:val="24"/>
          <w:u w:val="none"/>
          <w:lang w:val="en-US" w:eastAsia="zh-CN" w:bidi="ar"/>
        </w:rPr>
        <w:t>支持设置网站访问权限为无需权限和需登录后访问。</w:t>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3.支持网站选择默认登录方式或第三方登录。</w:t>
      </w:r>
    </w:p>
    <w:p>
      <w:pPr>
        <w:pStyle w:val="1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4.支持SSO统一身份认证，实现单点登录服务。</w:t>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5.支持设置网站IP范围访问，判断IP自动登录获取相应访问权限。</w:t>
      </w:r>
    </w:p>
    <w:p>
      <w:pPr>
        <w:pStyle w:val="1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系统配置</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支持资源回收站功能，对于已删除的资源，可以在回收站恢复或者彻底删除。</w:t>
      </w:r>
    </w:p>
    <w:p>
      <w:pPr>
        <w:pStyle w:val="10"/>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2.支持敏感词设置，对于新增的敏感词前台门户以*号展示。</w:t>
      </w:r>
    </w:p>
    <w:p>
      <w:pPr>
        <w:rPr>
          <w:rFonts w:hint="eastAsia"/>
          <w:lang w:val="en-US" w:eastAsia="zh-CN"/>
        </w:rPr>
      </w:pP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拟采购的货物或服务的预算总金额（元）：3834244</w:t>
      </w:r>
    </w:p>
    <w:p>
      <w:pPr>
        <w:ind w:firstLine="482" w:firstLineChars="200"/>
        <w:rPr>
          <w:rFonts w:hint="eastAsia" w:ascii="宋体" w:hAnsi="宋体" w:eastAsia="宋体" w:cs="宋体"/>
          <w:sz w:val="24"/>
          <w:szCs w:val="24"/>
        </w:rPr>
      </w:pPr>
      <w:r>
        <w:rPr>
          <w:rFonts w:hint="eastAsia" w:ascii="宋体" w:hAnsi="宋体" w:eastAsia="宋体" w:cs="宋体"/>
          <w:b/>
          <w:bCs/>
          <w:sz w:val="24"/>
          <w:szCs w:val="24"/>
        </w:rPr>
        <w:t>采用单一来源采购方式的原因及说明</w:t>
      </w:r>
      <w:r>
        <w:rPr>
          <w:rFonts w:hint="eastAsia" w:ascii="宋体" w:hAnsi="宋体" w:eastAsia="宋体" w:cs="宋体"/>
          <w:sz w:val="24"/>
          <w:szCs w:val="24"/>
        </w:rPr>
        <w:t>：“双一流”建设是我校重要发展战略，一流学科建设贯穿于我校开展的各项工作中。图书作为学校文献信息保障中心，为教育教学、科研工作和人才培养提供支撑服务，是学校信息服务体系的重要组成部分，担负着学科建设的资料存储和资源建设的重要任务。图书馆的文献资源建设工作，一直以立足学科、基于需求、各类文献资源使用效率、校内专家的意见等基础上，稳步有序地推进。电子资源是各类文献资源建设的重要组成部分，具有语种多、时效性强、信息量大、内容新颖等特点，是读者了解最新科技信息的重要载体之一，了解国际重要科研成果和科研动向的窗口，是我校科研人员研究新课题、推出新成果的重要的情报来源。图书馆为保障学校广大师生正常访问与使用各类电子资源，拟开展电子资源采购工作，根据采购流程与标准，共采购电子资源27个；</w:t>
      </w:r>
      <w:r>
        <w:rPr>
          <w:rFonts w:hint="eastAsia" w:ascii="宋体" w:hAnsi="宋体" w:eastAsia="宋体" w:cs="宋体"/>
          <w:sz w:val="24"/>
          <w:szCs w:val="24"/>
        </w:rPr>
        <w:br w:type="textWrapping"/>
      </w:r>
      <w:r>
        <w:rPr>
          <w:rFonts w:hint="eastAsia" w:ascii="宋体" w:hAnsi="宋体" w:eastAsia="宋体" w:cs="宋体"/>
          <w:sz w:val="24"/>
          <w:szCs w:val="24"/>
        </w:rPr>
        <w:t>本项目需求的资源库具有不可替代的专利、专有技术，导致只能从某一特定供应商处采购。</w:t>
      </w:r>
      <w:r>
        <w:rPr>
          <w:rFonts w:hint="eastAsia" w:ascii="宋体" w:hAnsi="宋体" w:eastAsia="宋体" w:cs="宋体"/>
          <w:sz w:val="24"/>
          <w:szCs w:val="24"/>
        </w:rPr>
        <w:br w:type="textWrapping"/>
      </w:r>
      <w:r>
        <w:rPr>
          <w:rFonts w:hint="eastAsia" w:ascii="宋体" w:hAnsi="宋体" w:eastAsia="宋体" w:cs="宋体"/>
          <w:sz w:val="24"/>
          <w:szCs w:val="24"/>
        </w:rPr>
        <w:t>鉴于以上原因，依据《中华人民共和国政府采购法》第三十一条规定“（一）只能从唯一供应商处采购的”及《中华人民共和国政府采购法实施条例》第二十七条规定“系指因货物或者服务使用不可替代的专利、专有技术，或者公共服务项目具有特殊要求，导致只能从某一特定供应商处采购。”该项目适用于单一来源采购方式进行采购。</w:t>
      </w:r>
      <w:r>
        <w:rPr>
          <w:rFonts w:hint="eastAsia" w:ascii="宋体" w:hAnsi="宋体" w:eastAsia="宋体" w:cs="宋体"/>
          <w:sz w:val="24"/>
          <w:szCs w:val="24"/>
        </w:rPr>
        <w:br w:type="textWrapping"/>
      </w:r>
      <w:r>
        <w:rPr>
          <w:rFonts w:hint="eastAsia" w:ascii="宋体" w:hAnsi="宋体" w:eastAsia="宋体" w:cs="宋体"/>
          <w:sz w:val="24"/>
          <w:szCs w:val="24"/>
        </w:rPr>
        <w:t>专家一致同意采用单一来源采购的方式。</w:t>
      </w:r>
      <w:r>
        <w:rPr>
          <w:rFonts w:hint="eastAsia" w:ascii="宋体" w:hAnsi="宋体" w:eastAsia="宋体" w:cs="宋体"/>
          <w:sz w:val="24"/>
          <w:szCs w:val="24"/>
        </w:rPr>
        <w:br w:type="textWrapping"/>
      </w:r>
      <w:r>
        <w:rPr>
          <w:rFonts w:hint="eastAsia" w:ascii="宋体" w:hAnsi="宋体" w:eastAsia="宋体" w:cs="宋体"/>
          <w:sz w:val="24"/>
          <w:szCs w:val="24"/>
        </w:rPr>
        <w:t>采用单一来源的说明：</w:t>
      </w:r>
      <w:r>
        <w:rPr>
          <w:rFonts w:hint="eastAsia" w:ascii="宋体" w:hAnsi="宋体" w:eastAsia="宋体" w:cs="宋体"/>
          <w:sz w:val="24"/>
          <w:szCs w:val="24"/>
        </w:rPr>
        <w:br w:type="textWrapping"/>
      </w:r>
      <w:r>
        <w:rPr>
          <w:rFonts w:hint="eastAsia" w:ascii="宋体" w:hAnsi="宋体" w:eastAsia="宋体" w:cs="宋体"/>
          <w:sz w:val="24"/>
          <w:szCs w:val="24"/>
        </w:rPr>
        <w:t>（第一包）该系列数据库为中国知网数据库，其在高校、科研有较多应用，知名度大，产品内容丰富，工具软件较多，资源量大；资源及其软件具有较强的特性，独有性。符合单一来源的唯一性要求。原因：该库是由同方知网独立研发的产品，并且有该产品的软件著作权登记证，软著登字第0011589号，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二包）该数据库除有期刊、学位论文之外，还有科技成果、法规等数据库资源，产品内容覆盖面广，资源总量十分巨大，其平台及分析工具功能强大，资源及平台具有较强的特性。该库符合单一来源的唯一性要求。原因：万方数据知识服务平台，其软件开发商为北京万方数据股份有限公司，其产品有诸多资源为国内独家拥有，其平台均是基于独立知识产权研发，属于独家产品，其软件著作权登记号为2020SR1619916，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三包）该数据库包含有680万种中文图书信息，其平台的元数据关联及快捷的邮件获取功能特色突出，优势明显，有较强的独有性、特殊性。该库符合单一来源的唯一性要求。原因：读秀知识库管理系统具备计算机软件著作权登记证书，登记号为2017SR591942，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四包）该数据库所含的元数据总量巨大，内容涉及外文期刊、外文学位论文等。该平台的搜索结果能够较为全面的指示文献信息，其资源内容总量及丰富性和平台搜索及服务功能具有较为突出的特性和独家性，符合单一来源的唯一性要求。</w:t>
      </w:r>
      <w:r>
        <w:rPr>
          <w:rFonts w:hint="eastAsia" w:ascii="宋体" w:hAnsi="宋体" w:eastAsia="宋体" w:cs="宋体"/>
          <w:sz w:val="24"/>
          <w:szCs w:val="24"/>
        </w:rPr>
        <w:br w:type="textWrapping"/>
      </w:r>
      <w:r>
        <w:rPr>
          <w:rFonts w:hint="eastAsia" w:ascii="宋体" w:hAnsi="宋体" w:eastAsia="宋体" w:cs="宋体"/>
          <w:sz w:val="24"/>
          <w:szCs w:val="24"/>
        </w:rPr>
        <w:t>原因:超星百链具有其独家的计算机软件著作权登记证书，其登记号为2019SR0270776，为其公司独有，且其资源供应商也是唯一的。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五包）该数据库文献来源多为国务院等政府或抓也研究机构，其内容均为国家宏观经济政策、发展政策等报告，数据权威，其资源来源及内容具有十分突出的独有性、唯一性，符合单一来源的唯一性要求。原因：其数据来源权威，为国务院、各级政府或国家专业研究机构，是中国权威的经济研究、决策平台，其数据库也为北京国研网信息股份有限公司独家发行，其有软著证书，登记号为2010SR008850，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六包）该库提供有海量的试题试卷，内容涉及公务员、报关员等多个方向，有300多分类3000余门考试科目，试卷总量达42万套。其资源内容及总量在业内十分突出，在高校有较广的应用，具有较为突出的优势及特性。符合单一来源的唯一性要求。</w:t>
      </w:r>
      <w:r>
        <w:rPr>
          <w:rFonts w:hint="eastAsia" w:ascii="宋体" w:hAnsi="宋体" w:eastAsia="宋体" w:cs="宋体"/>
          <w:sz w:val="24"/>
          <w:szCs w:val="24"/>
        </w:rPr>
        <w:br w:type="textWrapping"/>
      </w:r>
      <w:r>
        <w:rPr>
          <w:rFonts w:hint="eastAsia" w:ascii="宋体" w:hAnsi="宋体" w:eastAsia="宋体" w:cs="宋体"/>
          <w:sz w:val="24"/>
          <w:szCs w:val="24"/>
        </w:rPr>
        <w:t>原因：该平台拥有计算机软件著作权登记证书，登记号为2012SR005146，为其公司独有，且其资源供应商也是唯一的。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七包）该库有现刊9300余种，另有独有期刊4300余种，核心期刊收录比率为期刊库中最高，并提供单篇文章的引用线索及引证追踪。其资源平台具有较强的特性，符合单一来源的唯一性要求。原因：该平台拥有独家的计算机软件著作权登记证书，登记号为2015SR014016，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八包）超星电子书所收录的总量达340万种，解决了140万种书的版权，资源总量巨大，更新量大，其平台及阅读器功能丰富，其资源总量及内容和平台工具软件功能均具有较强的特性，符合单一来源的唯一性要求。原因：该数据库系统拥有计算机软件著作权登记证书，登记号为2019SR0905871，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九包）新东方学习库内容主要为外语类学习，辅导、考试培训数据库。该库在社会多行业尤其高校应用广泛，其课程均为新东方知名教师的授课视频，品牌和影响力大，优势明显。其资源来源与产品内容特性突出，符合单一来源采购的唯一性要求。</w:t>
      </w:r>
      <w:r>
        <w:rPr>
          <w:rFonts w:hint="eastAsia" w:ascii="宋体" w:hAnsi="宋体" w:eastAsia="宋体" w:cs="宋体"/>
          <w:sz w:val="24"/>
          <w:szCs w:val="24"/>
        </w:rPr>
        <w:br w:type="textWrapping"/>
      </w:r>
      <w:r>
        <w:rPr>
          <w:rFonts w:hint="eastAsia" w:ascii="宋体" w:hAnsi="宋体" w:eastAsia="宋体" w:cs="宋体"/>
          <w:sz w:val="24"/>
          <w:szCs w:val="24"/>
        </w:rPr>
        <w:t>原因：该库拥有软件著作权证书，登记号为2016SR010089，经查看北京新东方授权函，西安品学网络科技有限公司为新疆.独家销售。</w:t>
      </w:r>
      <w:r>
        <w:rPr>
          <w:rFonts w:hint="eastAsia" w:ascii="宋体" w:hAnsi="宋体" w:eastAsia="宋体" w:cs="宋体"/>
          <w:sz w:val="24"/>
          <w:szCs w:val="24"/>
        </w:rPr>
        <w:br w:type="textWrapping"/>
      </w:r>
      <w:r>
        <w:rPr>
          <w:rFonts w:hint="eastAsia" w:ascii="宋体" w:hAnsi="宋体" w:eastAsia="宋体" w:cs="宋体"/>
          <w:sz w:val="24"/>
          <w:szCs w:val="24"/>
        </w:rPr>
        <w:t>（第十包）该库为人大《复印报刊资料》的电子版数据库，其作为国内学术期刊高质量论文收录机构，在高校及科研院所具有较高的知名度和影响力，内容权威。其资源独家自产，具有十分明显的唯一性，符合单一来源采购要求。</w:t>
      </w:r>
      <w:r>
        <w:rPr>
          <w:rFonts w:hint="eastAsia" w:ascii="宋体" w:hAnsi="宋体" w:eastAsia="宋体" w:cs="宋体"/>
          <w:sz w:val="24"/>
          <w:szCs w:val="24"/>
        </w:rPr>
        <w:br w:type="textWrapping"/>
      </w:r>
      <w:r>
        <w:rPr>
          <w:rFonts w:hint="eastAsia" w:ascii="宋体" w:hAnsi="宋体" w:eastAsia="宋体" w:cs="宋体"/>
          <w:sz w:val="24"/>
          <w:szCs w:val="24"/>
        </w:rPr>
        <w:t>原因：该系统拥有计算机软件著作权登记证书，登记号为2021SR1668258，为其公司独有，且其资源供应商也是唯一的。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十一包）该库为行业内知名考研辅导数据库，内容包含视频、真题、模拟题等多种资源，资源总量巨大，其阶梯式课程辅导方式针对性强，个人平台中能记录学习进度、随堂笔记等功能收学生欢迎，其资源平台具有较强的特性，符合单一来源采购要求。原因：起点考研网系统有独家的计算机软件著作权证书，登记号为2020SR1798290，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十二包）北大法宝数据库收录法律法规、司.法案例，英文译本等内容，具有只能联想功能，收录的信息具有权威性、独特性，对高校教学科研工作具有很强的支撑作用，符合单一来源采购要求。原因：该库拥有计算机软件著作权登记证书，证书号为2018SR705740，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十三包）该库为金融类专业数据库，内容涵盖股票、债券、基金、指数等多种金融类产品。金融资讯及数据权威，更新快，包含全球40多个交易所实实行情，深受专业人士好评。其信息的权威性、丰富性、全面性、及时性具有十分突出的特性。符合单一来源采购的唯一性要求。原因：该数据终端软件拥有独家的计算机软件著作权登记证书，登记号为2021SR1345914，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十四包）该库为信息技术专业学习课程库，课程有8256门，视频数量为15.6万以上。另含有认证课程、题库等资源，课程资源中有1100位独家讲师讲解。其资源来源具有十分突出的独有性，符合单一来源采购的唯一性要求。原因：该库拥有独家的计算机软件著作权登记证书，登记号为2017SR453742，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（第十五包）</w:t>
      </w:r>
      <w:r>
        <w:rPr>
          <w:rFonts w:hint="eastAsia" w:ascii="宋体" w:hAnsi="宋体" w:eastAsia="宋体" w:cs="宋体"/>
          <w:sz w:val="24"/>
          <w:szCs w:val="24"/>
        </w:rPr>
        <w:br w:type="textWrapping"/>
      </w:r>
      <w:r>
        <w:rPr>
          <w:rFonts w:hint="eastAsia" w:ascii="宋体" w:hAnsi="宋体" w:eastAsia="宋体" w:cs="宋体"/>
          <w:sz w:val="24"/>
          <w:szCs w:val="24"/>
        </w:rPr>
        <w:t>该库为南京大学承担的国家教育部重大课题的数字化产品，通过计量学方式，统计分析评价并筛选出中文核心学术期刊，并建立索引库。其资源来源及产品内容均为独家特有，符合单一来源采购的唯一性要求。</w:t>
      </w:r>
      <w:r>
        <w:rPr>
          <w:rFonts w:hint="eastAsia" w:ascii="宋体" w:hAnsi="宋体" w:eastAsia="宋体" w:cs="宋体"/>
          <w:sz w:val="24"/>
          <w:szCs w:val="24"/>
        </w:rPr>
        <w:br w:type="textWrapping"/>
      </w:r>
      <w:r>
        <w:rPr>
          <w:rFonts w:hint="eastAsia" w:ascii="宋体" w:hAnsi="宋体" w:eastAsia="宋体" w:cs="宋体"/>
          <w:sz w:val="24"/>
          <w:szCs w:val="24"/>
        </w:rPr>
        <w:t>原因：CSSCI拥有其独有的计算机软件著作权登记证书，证书号为：2019SR1087130，著作权为南京大学，为其独有，且其资源供应商也是唯一的。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十六包）该库为以统计数据为主的资源库，含有652种统计文件，内容涉及54个行业，共有统计资料11813本，数据量较大，有279万张统计表及5.45万亿个统计数据。其资源的内容、数据总量为行业内独有，符合单一来源采购的唯一性要求。</w:t>
      </w:r>
      <w:r>
        <w:rPr>
          <w:rFonts w:hint="eastAsia" w:ascii="宋体" w:hAnsi="宋体" w:eastAsia="宋体" w:cs="宋体"/>
          <w:sz w:val="24"/>
          <w:szCs w:val="24"/>
        </w:rPr>
        <w:br w:type="textWrapping"/>
      </w:r>
      <w:r>
        <w:rPr>
          <w:rFonts w:hint="eastAsia" w:ascii="宋体" w:hAnsi="宋体" w:eastAsia="宋体" w:cs="宋体"/>
          <w:sz w:val="24"/>
          <w:szCs w:val="24"/>
        </w:rPr>
        <w:t>原因：搜数网拥有独家的计算机软件著作权登记证书，登记号为：2019SR0106536，为其公司独有，且其资源供应商也是唯一的。。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十七包）该库有中国经济新闻，商业报告，法律法规，医疗健康等14个数据库，覆盖新闻网频道近20000个。汇集改革开放以来国内经济领域最权威的各类文献数据。该库数据来源换广，包含内容量大，部分数据、文献来源于专业信息机构 ，具有较为突出的文献独有性，符合单一来源采购的唯一性要求，原因：该库拥有独家的计算机软件著作权登记证书，登记号为：2019SR0106536，为其公司独有，且其资源供应商也是唯一的。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十八包）该库为美国数学学会《数学评论》的电子版，有410万条全文数据，在数学研究领域知名度较高。该库的文献来源及文献内容，具有独家独特性，符合单一来源采购的唯一性要求。原因：经核查其授权书，该库在中国大陆独家代理为中国教育图书进出口有限公司。</w:t>
      </w:r>
      <w:r>
        <w:rPr>
          <w:rFonts w:hint="eastAsia" w:ascii="宋体" w:hAnsi="宋体" w:eastAsia="宋体" w:cs="宋体"/>
          <w:sz w:val="24"/>
          <w:szCs w:val="24"/>
        </w:rPr>
        <w:br w:type="textWrapping"/>
      </w:r>
      <w:r>
        <w:rPr>
          <w:rFonts w:hint="eastAsia" w:ascii="宋体" w:hAnsi="宋体" w:eastAsia="宋体" w:cs="宋体"/>
          <w:sz w:val="24"/>
          <w:szCs w:val="24"/>
        </w:rPr>
        <w:t>（第十九包）该库为国际联机检索机构，最早数据可回溯至1743年，收录了180个数据库的数据。该库为国内机构必备的并主要依赖的专业工具。具有十分突出、必要、专业的优势和特性，符合单一来源采购的唯一性要求。原因:经核查其授权书，该库在中国区新疆大学项目的唯一授权代理商。</w:t>
      </w:r>
      <w:r>
        <w:rPr>
          <w:rFonts w:hint="eastAsia" w:ascii="宋体" w:hAnsi="宋体" w:eastAsia="宋体" w:cs="宋体"/>
          <w:sz w:val="24"/>
          <w:szCs w:val="24"/>
        </w:rPr>
        <w:br w:type="textWrapping"/>
      </w:r>
      <w:r>
        <w:rPr>
          <w:rFonts w:hint="eastAsia" w:ascii="宋体" w:hAnsi="宋体" w:eastAsia="宋体" w:cs="宋体"/>
          <w:sz w:val="24"/>
          <w:szCs w:val="24"/>
        </w:rPr>
        <w:t>（第二十包）该库共有外文期刊120种，涉及化学、工程、材料等多个学科，其内容均为世界科技独家出版，其内容涉及来源均具有单一性和不可替代性，符合单一来源的采购要求。原因:经核查其授权书,该库在中国大陆独家代理为中国教育图书进出口有限公司。</w:t>
      </w:r>
      <w:r>
        <w:rPr>
          <w:rFonts w:hint="eastAsia" w:ascii="宋体" w:hAnsi="宋体" w:eastAsia="宋体" w:cs="宋体"/>
          <w:sz w:val="24"/>
          <w:szCs w:val="24"/>
        </w:rPr>
        <w:br w:type="textWrapping"/>
      </w:r>
      <w:r>
        <w:rPr>
          <w:rFonts w:hint="eastAsia" w:ascii="宋体" w:hAnsi="宋体" w:eastAsia="宋体" w:cs="宋体"/>
          <w:sz w:val="24"/>
          <w:szCs w:val="24"/>
        </w:rPr>
        <w:t>（第二十一包）该库为同方知网衍生扩展用于查重的专业工具 ，同方知网数据量大、内容广，该检测系统除对知网数据库比对以外，还对网上公开信息如百度文库等进行对比，其算法为知网独有。其所依赖的知网资源及工具搜索范围及技术均具有较强的独家性、单一性。符合单一来源采购的唯一性要求。原因：该检测系统拥有独家的计算机软件著作权登记证书，登记号为2021SR0488002，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二十二包）该库基于知网数据，结合学术不端检测，为科研人员论文发表进行对比查重，同时进行相关记录。其所依赖的资源，比对算法及对人员的关联信息等技术具有较强的特性和不可替代性。符合单一来源采购的唯一性特征。原因：该系统拥有发明专利证书，证书专利号为：ZL201010168294.0，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（第二十三包）该平台可通过搜索引擎对多个检索项进行检索，通过自助方式进行原文传递。其检索内容、服务方式、实现技术 等均具有较强的独有性。符合单一来源采购的唯一性要求。原因：wordlib人工只能在线咨询平台，其拥有计算机软件著作权证书，登记号为2022SR0893874，为其公司独有，且其资源供应商也是唯一的。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二十四包）该平台基于知网数据库，对个人检索文献，查阅文献进行记录并实现知识管理，是一个文献管理平台，能够方便科研人员在从未科学研究时进行知识记录，参考文献管理等。其所依赖的数据库、平台的知识管理方式及实现技术有较强的不可替代性和独有性。符合单一来源采购的唯一性要求。原因：该平台拥有计算机软件著作权证书，登记号为2018SR245526，著作权人为：同方知网技术股份有限公司，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二十五包）该库为专利文献数据库，在行业知名度高，为知识产权、专利管理及检索部门必备数据库。其内容收录广，专业性强，数据量大，涵盖106个国家地区专利。该库具有很强的独有性，符合单一来源采购的唯一性要求。原因：该系统拥有独家的计算机软件著作权登记证书，登记号为2013SR073987，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二十六包）该库整合8大文献类型，含3500万篇外文期刊，430万篇学位论文等，平台支持手机下载阅读。该库的内容及平台检索、学科分类、文献咨询、学科导航、语种导航等多个方式及实现技术为特有专有，符合单一来源唯一性要求。</w:t>
      </w:r>
      <w:r>
        <w:rPr>
          <w:rFonts w:hint="eastAsia" w:ascii="宋体" w:hAnsi="宋体" w:eastAsia="宋体" w:cs="宋体"/>
          <w:sz w:val="24"/>
          <w:szCs w:val="24"/>
        </w:rPr>
        <w:br w:type="textWrapping"/>
      </w:r>
      <w:r>
        <w:rPr>
          <w:rFonts w:hint="eastAsia" w:ascii="宋体" w:hAnsi="宋体" w:eastAsia="宋体" w:cs="宋体"/>
          <w:sz w:val="24"/>
          <w:szCs w:val="24"/>
        </w:rPr>
        <w:t>原因：该平台有计算机软件著作权登记证，登记号为2022SR0792190，为其公司独有，且其资源供应商也是唯一的。</w:t>
      </w:r>
      <w:r>
        <w:rPr>
          <w:rFonts w:hint="eastAsia" w:ascii="宋体" w:hAnsi="宋体" w:eastAsia="宋体" w:cs="宋体"/>
          <w:sz w:val="24"/>
          <w:szCs w:val="24"/>
        </w:rPr>
        <w:br w:type="textWrapping"/>
      </w:r>
      <w:r>
        <w:rPr>
          <w:rFonts w:hint="eastAsia" w:ascii="宋体" w:hAnsi="宋体" w:eastAsia="宋体" w:cs="宋体"/>
          <w:sz w:val="24"/>
          <w:szCs w:val="24"/>
        </w:rPr>
        <w:t>（第二十七包）该库在教参资源管理方面具有诸多独有技术，如资源加工、提交、审核机制及方式，与教学学习通数据的转入接入，师生信息管理，多层级版权保护等均具有独家专有特性，符合单一来源采购的唯一性要求。</w:t>
      </w:r>
      <w:r>
        <w:rPr>
          <w:rFonts w:hint="eastAsia" w:ascii="宋体" w:hAnsi="宋体" w:eastAsia="宋体" w:cs="宋体"/>
          <w:sz w:val="24"/>
          <w:szCs w:val="24"/>
        </w:rPr>
        <w:br w:type="textWrapping"/>
      </w:r>
      <w:r>
        <w:rPr>
          <w:rFonts w:hint="eastAsia" w:ascii="宋体" w:hAnsi="宋体" w:eastAsia="宋体" w:cs="宋体"/>
          <w:sz w:val="24"/>
          <w:szCs w:val="24"/>
        </w:rPr>
        <w:t>原因：其平台拥有计算机软件著作权登记证书，登记号为022SR0283489，著作权人为北京世纪超星信息技术发展有限公司，为其公司独有，且其资源供应商也是唯一的。</w:t>
      </w: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二、拟定供应商信息 </w:t>
      </w:r>
    </w:p>
    <w:p>
      <w:pPr>
        <w:rPr>
          <w:rFonts w:hint="eastAsia" w:ascii="宋体" w:hAnsi="宋体" w:eastAsia="宋体" w:cs="宋体"/>
          <w:sz w:val="24"/>
          <w:szCs w:val="24"/>
        </w:rPr>
      </w:pPr>
      <w:r>
        <w:rPr>
          <w:rFonts w:hint="eastAsia" w:ascii="宋体" w:hAnsi="宋体" w:eastAsia="宋体" w:cs="宋体"/>
          <w:sz w:val="24"/>
          <w:szCs w:val="24"/>
        </w:rPr>
        <w:t>名称：第一包：同方知网数字出版技术股份有限公司  第二包：北京万方数据股份有限公司 第三包：北京世纪读秀技术有限公司 第四包：北京世纪超星信息技术发展有限责任公司  第五包：北京国研网信息股份有限公司 第六包：重庆维普智图数据科技有限公司 第七包：重庆维普智图数据科技有限公司 第八包：北京世纪超星信息技术发展有限责任公司 第九包：西安品学网络科技有限公司 第十包：人大数媒科技（北京）有限公司 第十一包：北京智联起点信息技术有限公司 第十二包：北京北大英华科技有限公司 第十三包：南京万得资讯科技有限公司 第十四包：北京创信天华信息技术有限公司 第十五包：南京大学 第十六包：北京精讯云顿数据软件有限公司 第十七包：北京精讯云顿数据软件有限公司 第十八包：中国教育图书进出口有限公司 第十九包：广州奥凯信息咨询有限公司 第二十包：中国教育图书进出口有限公司 第二十一包：同方知网数字出版技术股份有限公司 第二十二包：同方知网数字出版技术股份有限公司 第二十三包：北京华宇星航国际教育科技有限公司 第二十四包:同方知网数字出版技术股份有限公司 第二十五包：保定市大为计算机软件开发有限公司 第二十六包：北京华宇星航国际教育科技有限公司 第二十七包：北京世纪超星信息技术发展有限责任公司</w:t>
      </w:r>
    </w:p>
    <w:p>
      <w:pPr>
        <w:rPr>
          <w:rFonts w:hint="eastAsia" w:ascii="宋体" w:hAnsi="宋体" w:eastAsia="宋体" w:cs="宋体"/>
          <w:sz w:val="24"/>
          <w:szCs w:val="24"/>
        </w:rPr>
      </w:pPr>
      <w:r>
        <w:rPr>
          <w:rFonts w:hint="eastAsia" w:ascii="宋体" w:hAnsi="宋体" w:eastAsia="宋体" w:cs="宋体"/>
          <w:sz w:val="24"/>
          <w:szCs w:val="24"/>
        </w:rPr>
        <w:t>地址：第一包：北京市海淀区西小口路66号中关村东升科技园B-2号楼二层B201、B202、B203、B205、B206、B207、B208、B209、B210室(东升地区)  第二包：北京市海淀区复兴路15号 第三包：北京市海淀区上地三街9号C座11层C1210-2 第四包：北京市海淀区上地三街9号金隅嘉华大厦C座710室 第五包：北京市海淀区成府路35号院西楼2层210室 第六包：重庆市渝北区洪湖西路18号3幢附2号 第七包：重庆市渝北区洪湖西路18号3幢附2号 第八包：北京市海淀区上地三街9号金隅嘉华大厦C座710室 第九包：西安市高新区高新三路15号1幢530室 第十包：北京市海淀区中关村大街45号兴发大厦301室 第十一包：北京市通州区新华东街289号院2号楼8层808 第十二包：北京市海淀区中关村大街27号中关村大厦9层901-902室 第十三包：南京市建邺区泰山路199号22楼 第十四包：北京市通州区永乐经济开发区永开路1号-239号 第十五包：江苏省南京市栖霞区仙林大道163号 第十六包：北京市海淀区学院南路30号18号楼206 第十七包：北京市海淀区学院南路30号18号楼206 第十八包：北京市海淀区西三环中路望海楼B座二层208室 第十九包：广州市黄埔区科学大道235号301房 第二十包：北京市海淀区西三环中路望海楼B座二层208室 第二十一包：北京市海淀区西小口路66号中关村东升科技园B-2号楼二层B201、B202、B203、B205、B206、B207、B208、B209、B210室(东升地区) 第二十二包：北京市海淀区西小口路66号中关村东升科技园B-2号楼二层B201、B202、B203、B205、B206、B207、B208、B209、B210室(东升地区) 第二十三包：北京市丰台区西三环南路201号院1号楼13层1308 第二十四包:北京市海淀区西小口路66号中关村东升科技园B-2号楼二层B201、B202、B203、B205、B206、B207、B208、B209、B210室(东升地区) 第二十五包：保定市北二环5699号大学科技园1-1-402室 第二十六包：北京市丰台区西三环南路201号院1号楼13层1308 第二十七包：北京市海淀区上地三街9号金隅嘉华大厦C座710室</w:t>
      </w:r>
    </w:p>
    <w:p>
      <w:pPr>
        <w:rPr>
          <w:rFonts w:hint="eastAsia" w:ascii="宋体" w:hAnsi="宋体" w:eastAsia="宋体" w:cs="宋体"/>
          <w:b/>
          <w:bCs/>
          <w:sz w:val="24"/>
          <w:szCs w:val="24"/>
        </w:rPr>
      </w:pPr>
      <w:r>
        <w:rPr>
          <w:rFonts w:hint="eastAsia" w:ascii="宋体" w:hAnsi="宋体" w:eastAsia="宋体" w:cs="宋体"/>
          <w:b/>
          <w:bCs/>
          <w:sz w:val="24"/>
          <w:szCs w:val="24"/>
        </w:rPr>
        <w:t>三、公示期限</w:t>
      </w:r>
    </w:p>
    <w:p>
      <w:pPr>
        <w:rPr>
          <w:rFonts w:hint="eastAsia" w:ascii="宋体" w:hAnsi="宋体" w:eastAsia="宋体" w:cs="宋体"/>
          <w:sz w:val="24"/>
          <w:szCs w:val="24"/>
        </w:rPr>
      </w:pPr>
      <w:r>
        <w:rPr>
          <w:rFonts w:hint="eastAsia" w:ascii="宋体" w:hAnsi="宋体" w:eastAsia="宋体" w:cs="宋体"/>
          <w:sz w:val="24"/>
          <w:szCs w:val="24"/>
        </w:rPr>
        <w:t>  2023年04月11日至2023年04月18日</w:t>
      </w:r>
    </w:p>
    <w:p>
      <w:pPr>
        <w:rPr>
          <w:rFonts w:hint="eastAsia" w:ascii="宋体" w:hAnsi="宋体" w:eastAsia="宋体" w:cs="宋体"/>
          <w:b/>
          <w:bCs/>
          <w:sz w:val="24"/>
          <w:szCs w:val="24"/>
        </w:rPr>
      </w:pPr>
      <w:r>
        <w:rPr>
          <w:rFonts w:hint="eastAsia" w:ascii="宋体" w:hAnsi="宋体" w:eastAsia="宋体" w:cs="宋体"/>
          <w:b/>
          <w:bCs/>
          <w:sz w:val="24"/>
          <w:szCs w:val="24"/>
        </w:rPr>
        <w:t>四、其他补充事宜 </w:t>
      </w:r>
    </w:p>
    <w:p>
      <w:pPr>
        <w:rPr>
          <w:rFonts w:hint="eastAsia" w:ascii="宋体" w:hAnsi="宋体" w:eastAsia="宋体" w:cs="宋体"/>
          <w:b/>
          <w:bCs/>
          <w:sz w:val="24"/>
          <w:szCs w:val="24"/>
        </w:rPr>
      </w:pPr>
      <w:r>
        <w:rPr>
          <w:rFonts w:hint="eastAsia" w:ascii="宋体" w:hAnsi="宋体" w:eastAsia="宋体" w:cs="宋体"/>
          <w:b/>
          <w:bCs/>
          <w:sz w:val="24"/>
          <w:szCs w:val="24"/>
        </w:rPr>
        <w:t>五、联系方式</w:t>
      </w:r>
    </w:p>
    <w:p>
      <w:pPr>
        <w:rPr>
          <w:rFonts w:hint="eastAsia" w:ascii="宋体" w:hAnsi="宋体" w:eastAsia="宋体" w:cs="宋体"/>
          <w:sz w:val="24"/>
          <w:szCs w:val="24"/>
        </w:rPr>
      </w:pPr>
      <w:r>
        <w:rPr>
          <w:rFonts w:hint="eastAsia" w:ascii="宋体" w:hAnsi="宋体" w:eastAsia="宋体" w:cs="宋体"/>
          <w:sz w:val="24"/>
          <w:szCs w:val="24"/>
        </w:rPr>
        <w:t>1.采购人信息 </w:t>
      </w:r>
    </w:p>
    <w:p>
      <w:pPr>
        <w:rPr>
          <w:rFonts w:hint="eastAsia" w:ascii="宋体" w:hAnsi="宋体" w:eastAsia="宋体" w:cs="宋体"/>
          <w:sz w:val="24"/>
          <w:szCs w:val="24"/>
        </w:rPr>
      </w:pPr>
      <w:r>
        <w:rPr>
          <w:rFonts w:hint="eastAsia" w:ascii="宋体" w:hAnsi="宋体" w:eastAsia="宋体" w:cs="宋体"/>
          <w:sz w:val="24"/>
          <w:szCs w:val="24"/>
        </w:rPr>
        <w:t>联 系 人：来老师</w:t>
      </w:r>
    </w:p>
    <w:p>
      <w:pPr>
        <w:rPr>
          <w:rFonts w:hint="eastAsia" w:ascii="宋体" w:hAnsi="宋体" w:eastAsia="宋体" w:cs="宋体"/>
          <w:sz w:val="24"/>
          <w:szCs w:val="24"/>
        </w:rPr>
      </w:pPr>
      <w:r>
        <w:rPr>
          <w:rFonts w:hint="eastAsia" w:ascii="宋体" w:hAnsi="宋体" w:eastAsia="宋体" w:cs="宋体"/>
          <w:sz w:val="24"/>
          <w:szCs w:val="24"/>
        </w:rPr>
        <w:t>联系电话：0991-8588030</w:t>
      </w:r>
    </w:p>
    <w:p>
      <w:pPr>
        <w:rPr>
          <w:rFonts w:hint="eastAsia" w:ascii="宋体" w:hAnsi="宋体" w:eastAsia="宋体" w:cs="宋体"/>
          <w:sz w:val="24"/>
          <w:szCs w:val="24"/>
        </w:rPr>
      </w:pPr>
      <w:r>
        <w:rPr>
          <w:rFonts w:hint="eastAsia" w:ascii="宋体" w:hAnsi="宋体" w:eastAsia="宋体" w:cs="宋体"/>
          <w:sz w:val="24"/>
          <w:szCs w:val="24"/>
        </w:rPr>
        <w:t>联系地址：乌鲁木齐市胜利路 666 号</w:t>
      </w:r>
    </w:p>
    <w:p>
      <w:pPr>
        <w:rPr>
          <w:rFonts w:hint="eastAsia" w:ascii="宋体" w:hAnsi="宋体" w:eastAsia="宋体" w:cs="宋体"/>
          <w:sz w:val="24"/>
          <w:szCs w:val="24"/>
        </w:rPr>
      </w:pPr>
      <w:r>
        <w:rPr>
          <w:rFonts w:hint="eastAsia" w:ascii="宋体" w:hAnsi="宋体" w:eastAsia="宋体" w:cs="宋体"/>
          <w:sz w:val="24"/>
          <w:szCs w:val="24"/>
        </w:rPr>
        <w:t>2.财政部门</w:t>
      </w:r>
    </w:p>
    <w:p>
      <w:pPr>
        <w:rPr>
          <w:rFonts w:hint="eastAsia" w:ascii="宋体" w:hAnsi="宋体" w:eastAsia="宋体" w:cs="宋体"/>
          <w:sz w:val="24"/>
          <w:szCs w:val="24"/>
        </w:rPr>
      </w:pPr>
      <w:r>
        <w:rPr>
          <w:rFonts w:hint="eastAsia" w:ascii="宋体" w:hAnsi="宋体" w:eastAsia="宋体" w:cs="宋体"/>
          <w:sz w:val="24"/>
          <w:szCs w:val="24"/>
        </w:rPr>
        <w:t>联 系 人：李正勇</w:t>
      </w:r>
    </w:p>
    <w:p>
      <w:pPr>
        <w:rPr>
          <w:rFonts w:hint="eastAsia" w:ascii="宋体" w:hAnsi="宋体" w:eastAsia="宋体" w:cs="宋体"/>
          <w:sz w:val="24"/>
          <w:szCs w:val="24"/>
        </w:rPr>
      </w:pPr>
      <w:r>
        <w:rPr>
          <w:rFonts w:hint="eastAsia" w:ascii="宋体" w:hAnsi="宋体" w:eastAsia="宋体" w:cs="宋体"/>
          <w:sz w:val="24"/>
          <w:szCs w:val="24"/>
        </w:rPr>
        <w:t>联系电话：0991-2359482</w:t>
      </w:r>
    </w:p>
    <w:p>
      <w:pPr>
        <w:rPr>
          <w:rFonts w:hint="eastAsia" w:ascii="宋体" w:hAnsi="宋体" w:eastAsia="宋体" w:cs="宋体"/>
          <w:sz w:val="24"/>
          <w:szCs w:val="24"/>
        </w:rPr>
      </w:pPr>
      <w:r>
        <w:rPr>
          <w:rFonts w:hint="eastAsia" w:ascii="宋体" w:hAnsi="宋体" w:eastAsia="宋体" w:cs="宋体"/>
          <w:sz w:val="24"/>
          <w:szCs w:val="24"/>
        </w:rPr>
        <w:t>联系地址：自治区财政厅政府采购管理处</w:t>
      </w:r>
    </w:p>
    <w:p>
      <w:pPr>
        <w:rPr>
          <w:rFonts w:hint="eastAsia" w:ascii="宋体" w:hAnsi="宋体" w:eastAsia="宋体" w:cs="宋体"/>
          <w:sz w:val="24"/>
          <w:szCs w:val="24"/>
        </w:rPr>
      </w:pPr>
      <w:r>
        <w:rPr>
          <w:rFonts w:hint="eastAsia" w:ascii="宋体" w:hAnsi="宋体" w:eastAsia="宋体" w:cs="宋体"/>
          <w:sz w:val="24"/>
          <w:szCs w:val="24"/>
        </w:rPr>
        <w:t>3.采购代理机构（如有）</w:t>
      </w:r>
    </w:p>
    <w:p>
      <w:pPr>
        <w:rPr>
          <w:rFonts w:hint="eastAsia" w:ascii="宋体" w:hAnsi="宋体" w:eastAsia="宋体" w:cs="宋体"/>
          <w:sz w:val="24"/>
          <w:szCs w:val="24"/>
        </w:rPr>
      </w:pPr>
      <w:r>
        <w:rPr>
          <w:rFonts w:hint="eastAsia" w:ascii="宋体" w:hAnsi="宋体" w:eastAsia="宋体" w:cs="宋体"/>
          <w:sz w:val="24"/>
          <w:szCs w:val="24"/>
        </w:rPr>
        <w:t>联 系 人：吴斌</w:t>
      </w:r>
    </w:p>
    <w:p>
      <w:pPr>
        <w:rPr>
          <w:rFonts w:hint="eastAsia" w:ascii="宋体" w:hAnsi="宋体" w:eastAsia="宋体" w:cs="宋体"/>
          <w:sz w:val="24"/>
          <w:szCs w:val="24"/>
        </w:rPr>
      </w:pPr>
      <w:r>
        <w:rPr>
          <w:rFonts w:hint="eastAsia" w:ascii="宋体" w:hAnsi="宋体" w:eastAsia="宋体" w:cs="宋体"/>
          <w:sz w:val="24"/>
          <w:szCs w:val="24"/>
        </w:rPr>
        <w:t>联系电话：18082882856</w:t>
      </w:r>
    </w:p>
    <w:p>
      <w:pPr>
        <w:rPr>
          <w:rFonts w:hint="eastAsia" w:ascii="宋体" w:hAnsi="宋体" w:eastAsia="宋体" w:cs="宋体"/>
          <w:sz w:val="24"/>
          <w:szCs w:val="24"/>
        </w:rPr>
      </w:pPr>
      <w:r>
        <w:rPr>
          <w:rFonts w:hint="eastAsia" w:ascii="宋体" w:hAnsi="宋体" w:eastAsia="宋体" w:cs="宋体"/>
          <w:sz w:val="24"/>
          <w:szCs w:val="24"/>
        </w:rPr>
        <w:t>联系地址：乌鲁木齐市水磨沟区会展大道1119号大成尔雅A座</w:t>
      </w:r>
      <w:r>
        <w:rPr>
          <w:rFonts w:hint="eastAsia" w:ascii="宋体" w:hAnsi="宋体" w:eastAsia="宋体" w:cs="宋体"/>
          <w:sz w:val="24"/>
          <w:szCs w:val="24"/>
          <w:lang w:val="en-US" w:eastAsia="zh-CN"/>
        </w:rPr>
        <w:t>5</w:t>
      </w:r>
      <w:r>
        <w:rPr>
          <w:rFonts w:hint="eastAsia" w:ascii="宋体" w:hAnsi="宋体" w:eastAsia="宋体" w:cs="宋体"/>
          <w:sz w:val="24"/>
          <w:szCs w:val="24"/>
        </w:rPr>
        <w:t>楼</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sz w:val="24"/>
          <w:szCs w:val="24"/>
        </w:rPr>
      </w:pPr>
    </w:p>
    <w:p>
      <w:pPr>
        <w:pStyle w:val="4"/>
        <w:rPr>
          <w:spacing w:val="-17"/>
          <w:sz w:val="24"/>
        </w:rPr>
      </w:pPr>
      <w:r>
        <w:rPr>
          <w:sz w:val="24"/>
        </w:rPr>
        <w:t>第二章</w:t>
      </w:r>
      <w:r>
        <w:rPr>
          <w:sz w:val="24"/>
        </w:rPr>
        <w:tab/>
      </w:r>
      <w:r>
        <w:rPr>
          <w:sz w:val="24"/>
        </w:rPr>
        <w:t>协商须</w:t>
      </w:r>
      <w:r>
        <w:rPr>
          <w:spacing w:val="-17"/>
          <w:sz w:val="24"/>
        </w:rPr>
        <w:t>知</w:t>
      </w:r>
    </w:p>
    <w:p>
      <w:pPr>
        <w:jc w:val="center"/>
        <w:rPr>
          <w:b/>
          <w:bCs/>
        </w:rPr>
      </w:pPr>
    </w:p>
    <w:p>
      <w:pPr>
        <w:jc w:val="center"/>
        <w:rPr>
          <w:b/>
          <w:bCs/>
          <w:sz w:val="24"/>
          <w:szCs w:val="28"/>
        </w:rPr>
      </w:pPr>
      <w:r>
        <w:rPr>
          <w:b/>
          <w:bCs/>
          <w:sz w:val="24"/>
          <w:szCs w:val="28"/>
        </w:rPr>
        <w:t>协商须知前附表</w:t>
      </w:r>
    </w:p>
    <w:p>
      <w:pPr>
        <w:pStyle w:val="13"/>
        <w:ind w:firstLine="180"/>
      </w:pPr>
    </w:p>
    <w:tbl>
      <w:tblPr>
        <w:tblStyle w:val="14"/>
        <w:tblW w:w="9901"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62"/>
        <w:gridCol w:w="1807"/>
        <w:gridCol w:w="7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2" w:type="dxa"/>
            <w:tcBorders>
              <w:tl2br w:val="nil"/>
              <w:tr2bl w:val="nil"/>
            </w:tcBorders>
            <w:vAlign w:val="center"/>
          </w:tcPr>
          <w:p>
            <w:pPr>
              <w:pStyle w:val="22"/>
              <w:snapToGrid w:val="0"/>
              <w:ind w:left="169" w:right="163"/>
              <w:jc w:val="center"/>
              <w:rPr>
                <w:sz w:val="24"/>
              </w:rPr>
            </w:pPr>
            <w:r>
              <w:rPr>
                <w:sz w:val="24"/>
              </w:rPr>
              <w:t>序号</w:t>
            </w:r>
          </w:p>
        </w:tc>
        <w:tc>
          <w:tcPr>
            <w:tcW w:w="1807" w:type="dxa"/>
            <w:tcBorders>
              <w:tl2br w:val="nil"/>
              <w:tr2bl w:val="nil"/>
            </w:tcBorders>
            <w:vAlign w:val="center"/>
          </w:tcPr>
          <w:p>
            <w:pPr>
              <w:pStyle w:val="22"/>
              <w:snapToGrid w:val="0"/>
              <w:ind w:left="404" w:right="393"/>
              <w:jc w:val="center"/>
              <w:rPr>
                <w:sz w:val="24"/>
              </w:rPr>
            </w:pPr>
            <w:r>
              <w:rPr>
                <w:sz w:val="24"/>
              </w:rPr>
              <w:t>名称</w:t>
            </w:r>
          </w:p>
        </w:tc>
        <w:tc>
          <w:tcPr>
            <w:tcW w:w="7232" w:type="dxa"/>
            <w:tcBorders>
              <w:tl2br w:val="nil"/>
              <w:tr2bl w:val="nil"/>
            </w:tcBorders>
          </w:tcPr>
          <w:p>
            <w:pPr>
              <w:pStyle w:val="22"/>
              <w:snapToGrid w:val="0"/>
              <w:ind w:left="2754" w:right="2749"/>
              <w:jc w:val="center"/>
              <w:rPr>
                <w:sz w:val="24"/>
              </w:rPr>
            </w:pPr>
            <w:r>
              <w:rPr>
                <w:sz w:val="24"/>
              </w:rPr>
              <w:t>具体内容和要求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3" w:hRule="atLeast"/>
        </w:trPr>
        <w:tc>
          <w:tcPr>
            <w:tcW w:w="862" w:type="dxa"/>
            <w:vMerge w:val="restart"/>
            <w:tcBorders>
              <w:tl2br w:val="nil"/>
              <w:tr2bl w:val="nil"/>
            </w:tcBorders>
            <w:vAlign w:val="center"/>
          </w:tcPr>
          <w:p>
            <w:pPr>
              <w:pStyle w:val="22"/>
              <w:snapToGrid w:val="0"/>
              <w:ind w:left="7"/>
              <w:jc w:val="center"/>
              <w:rPr>
                <w:sz w:val="24"/>
                <w:lang w:val="en-US"/>
              </w:rPr>
            </w:pPr>
            <w:r>
              <w:rPr>
                <w:rFonts w:hint="eastAsia"/>
                <w:sz w:val="24"/>
                <w:lang w:val="en-US"/>
              </w:rPr>
              <w:t>1</w:t>
            </w:r>
          </w:p>
        </w:tc>
        <w:tc>
          <w:tcPr>
            <w:tcW w:w="1807" w:type="dxa"/>
            <w:tcBorders>
              <w:tl2br w:val="nil"/>
              <w:tr2bl w:val="nil"/>
            </w:tcBorders>
            <w:vAlign w:val="center"/>
          </w:tcPr>
          <w:p>
            <w:pPr>
              <w:pStyle w:val="22"/>
              <w:snapToGrid w:val="0"/>
              <w:ind w:left="107"/>
              <w:jc w:val="center"/>
              <w:rPr>
                <w:sz w:val="24"/>
              </w:rPr>
            </w:pPr>
            <w:r>
              <w:rPr>
                <w:sz w:val="24"/>
              </w:rPr>
              <w:t>采购</w:t>
            </w:r>
            <w:r>
              <w:rPr>
                <w:rFonts w:hint="eastAsia"/>
                <w:sz w:val="24"/>
              </w:rPr>
              <w:t>项目</w:t>
            </w:r>
          </w:p>
        </w:tc>
        <w:tc>
          <w:tcPr>
            <w:tcW w:w="7232" w:type="dxa"/>
            <w:tcBorders>
              <w:tl2br w:val="nil"/>
              <w:tr2bl w:val="nil"/>
            </w:tcBorders>
            <w:vAlign w:val="center"/>
          </w:tcPr>
          <w:p>
            <w:pPr>
              <w:pStyle w:val="22"/>
              <w:snapToGrid w:val="0"/>
              <w:spacing w:line="400" w:lineRule="exact"/>
              <w:ind w:left="108"/>
              <w:jc w:val="both"/>
              <w:rPr>
                <w:spacing w:val="-14"/>
                <w:sz w:val="24"/>
              </w:rPr>
            </w:pPr>
            <w:r>
              <w:rPr>
                <w:spacing w:val="-14"/>
                <w:sz w:val="24"/>
              </w:rPr>
              <w:t>标</w:t>
            </w:r>
            <w:r>
              <w:rPr>
                <w:rFonts w:hint="eastAsia"/>
                <w:spacing w:val="-14"/>
                <w:sz w:val="24"/>
              </w:rPr>
              <w:t>项一</w:t>
            </w:r>
            <w:r>
              <w:rPr>
                <w:spacing w:val="-14"/>
                <w:sz w:val="24"/>
              </w:rPr>
              <w:t>：</w:t>
            </w:r>
            <w:r>
              <w:rPr>
                <w:rFonts w:hint="eastAsia"/>
                <w:spacing w:val="-14"/>
                <w:sz w:val="24"/>
              </w:rPr>
              <w:t>CNKI系列数据库</w:t>
            </w:r>
          </w:p>
          <w:p>
            <w:pPr>
              <w:pStyle w:val="22"/>
              <w:snapToGrid w:val="0"/>
              <w:spacing w:line="400" w:lineRule="exact"/>
              <w:ind w:left="108"/>
              <w:jc w:val="both"/>
              <w:rPr>
                <w:sz w:val="24"/>
                <w:szCs w:val="24"/>
                <w:lang w:val="en-US"/>
              </w:rPr>
            </w:pPr>
            <w:r>
              <w:rPr>
                <w:rFonts w:hint="eastAsia"/>
                <w:sz w:val="24"/>
              </w:rPr>
              <w:t>标项二：万方数据知识服务云平台V2.0</w:t>
            </w:r>
          </w:p>
          <w:p>
            <w:pPr>
              <w:pStyle w:val="22"/>
              <w:snapToGrid w:val="0"/>
              <w:spacing w:line="400" w:lineRule="exact"/>
              <w:ind w:left="108"/>
              <w:jc w:val="both"/>
              <w:rPr>
                <w:sz w:val="24"/>
                <w:szCs w:val="24"/>
                <w:lang w:val="en-US"/>
              </w:rPr>
            </w:pPr>
            <w:r>
              <w:rPr>
                <w:rFonts w:hint="eastAsia"/>
                <w:sz w:val="24"/>
                <w:szCs w:val="24"/>
                <w:lang w:val="en-US"/>
              </w:rPr>
              <w:t>标项三：</w:t>
            </w:r>
            <w:r>
              <w:rPr>
                <w:rFonts w:hint="eastAsia"/>
                <w:sz w:val="24"/>
              </w:rPr>
              <w:t>读秀知识库</w:t>
            </w:r>
          </w:p>
          <w:p>
            <w:pPr>
              <w:pStyle w:val="22"/>
              <w:snapToGrid w:val="0"/>
              <w:spacing w:line="400" w:lineRule="exact"/>
              <w:ind w:left="108"/>
              <w:jc w:val="both"/>
              <w:rPr>
                <w:sz w:val="24"/>
                <w:szCs w:val="24"/>
                <w:lang w:val="en-US"/>
              </w:rPr>
            </w:pPr>
            <w:r>
              <w:rPr>
                <w:rFonts w:hint="eastAsia"/>
                <w:sz w:val="24"/>
                <w:szCs w:val="24"/>
              </w:rPr>
              <w:t>标项四：百链</w:t>
            </w:r>
          </w:p>
          <w:p>
            <w:pPr>
              <w:pStyle w:val="22"/>
              <w:snapToGrid w:val="0"/>
              <w:spacing w:line="400" w:lineRule="exact"/>
              <w:ind w:left="108"/>
              <w:jc w:val="both"/>
              <w:rPr>
                <w:sz w:val="24"/>
                <w:szCs w:val="24"/>
                <w:lang w:val="en-US"/>
              </w:rPr>
            </w:pPr>
            <w:r>
              <w:rPr>
                <w:rFonts w:hint="eastAsia"/>
                <w:sz w:val="24"/>
                <w:szCs w:val="24"/>
              </w:rPr>
              <w:t>标项五：国务院发展研究中心信息网数据库</w:t>
            </w:r>
          </w:p>
          <w:p>
            <w:pPr>
              <w:pStyle w:val="22"/>
              <w:snapToGrid w:val="0"/>
              <w:spacing w:line="400" w:lineRule="exact"/>
              <w:ind w:left="108"/>
              <w:jc w:val="both"/>
              <w:rPr>
                <w:rFonts w:hint="eastAsia" w:eastAsia="宋体"/>
                <w:sz w:val="24"/>
                <w:szCs w:val="24"/>
                <w:lang w:val="en-US" w:eastAsia="zh-CN"/>
              </w:rPr>
            </w:pPr>
            <w:r>
              <w:rPr>
                <w:rFonts w:hint="eastAsia"/>
                <w:sz w:val="24"/>
                <w:szCs w:val="24"/>
              </w:rPr>
              <w:t>标项六：维普考试</w:t>
            </w:r>
            <w:r>
              <w:rPr>
                <w:rFonts w:hint="eastAsia"/>
                <w:sz w:val="24"/>
                <w:szCs w:val="24"/>
                <w:lang w:val="en-US" w:eastAsia="zh-CN"/>
              </w:rPr>
              <w:t>服务平台</w:t>
            </w:r>
          </w:p>
          <w:p>
            <w:pPr>
              <w:pStyle w:val="22"/>
              <w:snapToGrid w:val="0"/>
              <w:spacing w:line="400" w:lineRule="exact"/>
              <w:ind w:left="108"/>
              <w:jc w:val="both"/>
              <w:rPr>
                <w:sz w:val="24"/>
                <w:szCs w:val="24"/>
                <w:lang w:val="en-US"/>
              </w:rPr>
            </w:pPr>
            <w:r>
              <w:rPr>
                <w:rFonts w:hint="eastAsia"/>
                <w:sz w:val="24"/>
                <w:szCs w:val="24"/>
              </w:rPr>
              <w:t>标项七：</w:t>
            </w:r>
            <w:r>
              <w:rPr>
                <w:rFonts w:hint="eastAsia"/>
                <w:sz w:val="24"/>
                <w:szCs w:val="24"/>
                <w:lang w:val="en-US" w:eastAsia="zh-CN"/>
              </w:rPr>
              <w:t>维普中文期刊服务平台</w:t>
            </w:r>
          </w:p>
          <w:p>
            <w:pPr>
              <w:pStyle w:val="22"/>
              <w:snapToGrid w:val="0"/>
              <w:spacing w:line="400" w:lineRule="exact"/>
              <w:ind w:left="108"/>
              <w:jc w:val="both"/>
              <w:rPr>
                <w:sz w:val="24"/>
                <w:szCs w:val="24"/>
              </w:rPr>
            </w:pPr>
            <w:r>
              <w:rPr>
                <w:rFonts w:hint="eastAsia"/>
                <w:sz w:val="24"/>
                <w:szCs w:val="24"/>
              </w:rPr>
              <w:t>标项八：超星电子图书数据库系统</w:t>
            </w:r>
          </w:p>
          <w:p>
            <w:pPr>
              <w:pStyle w:val="22"/>
              <w:snapToGrid w:val="0"/>
              <w:spacing w:line="400" w:lineRule="exact"/>
              <w:ind w:left="108"/>
              <w:jc w:val="both"/>
              <w:rPr>
                <w:sz w:val="24"/>
                <w:szCs w:val="24"/>
              </w:rPr>
            </w:pPr>
            <w:r>
              <w:rPr>
                <w:rFonts w:hint="eastAsia"/>
                <w:sz w:val="24"/>
                <w:szCs w:val="24"/>
              </w:rPr>
              <w:t>标项九：新东方多媒体学习库</w:t>
            </w:r>
          </w:p>
          <w:p>
            <w:pPr>
              <w:pStyle w:val="22"/>
              <w:snapToGrid w:val="0"/>
              <w:spacing w:line="400" w:lineRule="exact"/>
              <w:ind w:left="108"/>
              <w:jc w:val="both"/>
              <w:rPr>
                <w:sz w:val="24"/>
                <w:szCs w:val="24"/>
              </w:rPr>
            </w:pPr>
            <w:r>
              <w:rPr>
                <w:rFonts w:hint="eastAsia"/>
                <w:sz w:val="24"/>
                <w:szCs w:val="24"/>
              </w:rPr>
              <w:t>标项十：</w:t>
            </w:r>
            <w:r>
              <w:rPr>
                <w:rFonts w:hint="eastAsia"/>
                <w:sz w:val="24"/>
                <w:szCs w:val="24"/>
                <w:lang w:val="en-US" w:eastAsia="zh-CN"/>
              </w:rPr>
              <w:t>人大《复印报刊资料》全文、索引数据库信息系统</w:t>
            </w:r>
          </w:p>
          <w:p>
            <w:pPr>
              <w:pStyle w:val="22"/>
              <w:snapToGrid w:val="0"/>
              <w:spacing w:line="400" w:lineRule="exact"/>
              <w:ind w:left="108"/>
              <w:jc w:val="both"/>
              <w:rPr>
                <w:sz w:val="24"/>
                <w:szCs w:val="24"/>
                <w:lang w:val="en-US"/>
              </w:rPr>
            </w:pPr>
            <w:r>
              <w:rPr>
                <w:rFonts w:hint="eastAsia"/>
                <w:sz w:val="24"/>
                <w:szCs w:val="24"/>
              </w:rPr>
              <w:t>标项十一：起点考研网</w:t>
            </w:r>
          </w:p>
          <w:p>
            <w:pPr>
              <w:pStyle w:val="22"/>
              <w:snapToGrid w:val="0"/>
              <w:spacing w:line="400" w:lineRule="exact"/>
              <w:ind w:left="108"/>
              <w:jc w:val="both"/>
              <w:rPr>
                <w:rFonts w:hint="eastAsia"/>
                <w:sz w:val="24"/>
                <w:szCs w:val="24"/>
                <w:lang w:val="en-US"/>
              </w:rPr>
            </w:pPr>
            <w:r>
              <w:rPr>
                <w:rFonts w:hint="eastAsia"/>
                <w:sz w:val="24"/>
                <w:szCs w:val="24"/>
                <w:lang w:val="en-US"/>
              </w:rPr>
              <w:t>标项十二：北大法宝</w:t>
            </w:r>
          </w:p>
          <w:p>
            <w:pPr>
              <w:pStyle w:val="22"/>
              <w:snapToGrid w:val="0"/>
              <w:spacing w:line="400" w:lineRule="exact"/>
              <w:ind w:left="108"/>
              <w:jc w:val="both"/>
              <w:rPr>
                <w:sz w:val="24"/>
                <w:szCs w:val="24"/>
                <w:lang w:val="en-US"/>
              </w:rPr>
            </w:pPr>
            <w:r>
              <w:rPr>
                <w:rFonts w:hint="eastAsia"/>
                <w:sz w:val="24"/>
                <w:szCs w:val="24"/>
              </w:rPr>
              <w:t>标项十三：Wind资讯数据终端</w:t>
            </w:r>
          </w:p>
          <w:p>
            <w:pPr>
              <w:pStyle w:val="22"/>
              <w:snapToGrid w:val="0"/>
              <w:spacing w:line="400" w:lineRule="exact"/>
              <w:ind w:left="108"/>
              <w:jc w:val="both"/>
              <w:rPr>
                <w:sz w:val="24"/>
                <w:szCs w:val="24"/>
                <w:lang w:val="en-US"/>
              </w:rPr>
            </w:pPr>
            <w:r>
              <w:rPr>
                <w:rFonts w:hint="eastAsia"/>
                <w:sz w:val="24"/>
                <w:szCs w:val="24"/>
              </w:rPr>
              <w:t>标项十四：</w:t>
            </w:r>
            <w:r>
              <w:rPr>
                <w:rFonts w:hint="eastAsia"/>
                <w:sz w:val="24"/>
                <w:szCs w:val="24"/>
                <w:lang w:val="en-US" w:eastAsia="zh-CN"/>
              </w:rPr>
              <w:t>51CTO学堂-IT技能学习在线数据库（普及版）</w:t>
            </w:r>
          </w:p>
          <w:p>
            <w:pPr>
              <w:pStyle w:val="22"/>
              <w:snapToGrid w:val="0"/>
              <w:spacing w:line="400" w:lineRule="exact"/>
              <w:ind w:left="108"/>
              <w:jc w:val="both"/>
              <w:rPr>
                <w:sz w:val="24"/>
                <w:szCs w:val="24"/>
                <w:lang w:val="en-US"/>
              </w:rPr>
            </w:pPr>
            <w:r>
              <w:rPr>
                <w:rFonts w:hint="eastAsia"/>
                <w:sz w:val="24"/>
                <w:szCs w:val="24"/>
              </w:rPr>
              <w:t>标项十五：</w:t>
            </w:r>
            <w:r>
              <w:rPr>
                <w:rFonts w:hint="eastAsia"/>
                <w:sz w:val="24"/>
                <w:szCs w:val="24"/>
                <w:lang w:val="en-US" w:eastAsia="zh-CN"/>
              </w:rPr>
              <w:t>中文社会科学引文索引（CSSCI）数据库</w:t>
            </w:r>
          </w:p>
          <w:p>
            <w:pPr>
              <w:pStyle w:val="22"/>
              <w:snapToGrid w:val="0"/>
              <w:spacing w:line="400" w:lineRule="exact"/>
              <w:ind w:left="108"/>
              <w:jc w:val="both"/>
              <w:rPr>
                <w:sz w:val="24"/>
                <w:szCs w:val="24"/>
              </w:rPr>
            </w:pPr>
            <w:r>
              <w:rPr>
                <w:rFonts w:hint="eastAsia"/>
                <w:sz w:val="24"/>
                <w:szCs w:val="24"/>
              </w:rPr>
              <w:t>标项十六：搜数网数据库</w:t>
            </w:r>
          </w:p>
          <w:p>
            <w:pPr>
              <w:pStyle w:val="22"/>
              <w:snapToGrid w:val="0"/>
              <w:spacing w:line="400" w:lineRule="exact"/>
              <w:ind w:left="108"/>
              <w:jc w:val="both"/>
              <w:rPr>
                <w:sz w:val="24"/>
                <w:szCs w:val="24"/>
                <w:lang w:val="en-US"/>
              </w:rPr>
            </w:pPr>
            <w:r>
              <w:rPr>
                <w:rFonts w:hint="eastAsia"/>
                <w:sz w:val="24"/>
                <w:szCs w:val="24"/>
              </w:rPr>
              <w:t>标项十七：</w:t>
            </w:r>
            <w:r>
              <w:rPr>
                <w:rFonts w:hint="eastAsia"/>
                <w:sz w:val="24"/>
                <w:szCs w:val="24"/>
                <w:highlight w:val="yellow"/>
                <w:lang w:val="en-US" w:eastAsia="zh-CN"/>
              </w:rPr>
              <w:t>infobank高校财经数据库</w:t>
            </w:r>
          </w:p>
          <w:p>
            <w:pPr>
              <w:pStyle w:val="22"/>
              <w:snapToGrid w:val="0"/>
              <w:spacing w:line="400" w:lineRule="exact"/>
              <w:ind w:left="108"/>
              <w:jc w:val="both"/>
              <w:rPr>
                <w:sz w:val="24"/>
                <w:szCs w:val="24"/>
                <w:lang w:val="en-US"/>
              </w:rPr>
            </w:pPr>
            <w:r>
              <w:rPr>
                <w:rFonts w:hint="eastAsia"/>
                <w:sz w:val="24"/>
                <w:szCs w:val="24"/>
              </w:rPr>
              <w:t>标项十八：</w:t>
            </w:r>
            <w:r>
              <w:rPr>
                <w:rFonts w:hint="eastAsia"/>
                <w:sz w:val="24"/>
                <w:szCs w:val="24"/>
                <w:lang w:val="en-US" w:eastAsia="zh-CN"/>
              </w:rPr>
              <w:t>MathSciNet数据库</w:t>
            </w:r>
          </w:p>
          <w:p>
            <w:pPr>
              <w:pStyle w:val="22"/>
              <w:snapToGrid w:val="0"/>
              <w:spacing w:line="400" w:lineRule="exact"/>
              <w:ind w:left="108"/>
              <w:jc w:val="both"/>
              <w:rPr>
                <w:rFonts w:hint="eastAsia"/>
                <w:sz w:val="24"/>
                <w:szCs w:val="24"/>
              </w:rPr>
            </w:pPr>
            <w:r>
              <w:rPr>
                <w:rFonts w:hint="eastAsia"/>
                <w:sz w:val="24"/>
                <w:szCs w:val="24"/>
              </w:rPr>
              <w:t>标项十九：</w:t>
            </w:r>
            <w:r>
              <w:rPr>
                <w:rFonts w:hint="eastAsia"/>
                <w:sz w:val="24"/>
                <w:szCs w:val="24"/>
                <w:lang w:val="en-US" w:eastAsia="zh-CN"/>
              </w:rPr>
              <w:t>ProQuest Dialog</w:t>
            </w:r>
          </w:p>
          <w:p>
            <w:pPr>
              <w:pStyle w:val="22"/>
              <w:snapToGrid w:val="0"/>
              <w:spacing w:line="400" w:lineRule="exact"/>
              <w:ind w:left="108"/>
              <w:jc w:val="both"/>
              <w:rPr>
                <w:rFonts w:hint="eastAsia"/>
                <w:sz w:val="24"/>
                <w:szCs w:val="24"/>
                <w:lang w:val="en-US" w:eastAsia="zh-CN"/>
              </w:rPr>
            </w:pPr>
            <w:r>
              <w:rPr>
                <w:rFonts w:hint="eastAsia"/>
                <w:sz w:val="24"/>
                <w:szCs w:val="24"/>
                <w:lang w:val="en-US" w:eastAsia="zh-CN"/>
              </w:rPr>
              <w:t>标项二十：WorldSciNet数据库</w:t>
            </w:r>
          </w:p>
          <w:p>
            <w:pPr>
              <w:pStyle w:val="22"/>
              <w:snapToGrid w:val="0"/>
              <w:spacing w:line="400" w:lineRule="exact"/>
              <w:ind w:left="108"/>
              <w:jc w:val="both"/>
              <w:rPr>
                <w:rFonts w:hint="default"/>
                <w:sz w:val="24"/>
                <w:szCs w:val="24"/>
                <w:lang w:val="en-US" w:eastAsia="zh-CN"/>
              </w:rPr>
            </w:pPr>
            <w:r>
              <w:rPr>
                <w:rFonts w:hint="eastAsia"/>
                <w:sz w:val="24"/>
                <w:szCs w:val="24"/>
                <w:lang w:val="en-US" w:eastAsia="zh-CN"/>
              </w:rPr>
              <w:t>标项二十一：科研成果检测系统</w:t>
            </w:r>
          </w:p>
          <w:p>
            <w:pPr>
              <w:pStyle w:val="22"/>
              <w:snapToGrid w:val="0"/>
              <w:spacing w:line="400" w:lineRule="exact"/>
              <w:ind w:left="108"/>
              <w:jc w:val="both"/>
              <w:rPr>
                <w:sz w:val="24"/>
                <w:szCs w:val="24"/>
              </w:rPr>
            </w:pPr>
            <w:r>
              <w:rPr>
                <w:rFonts w:hint="eastAsia"/>
                <w:sz w:val="24"/>
                <w:szCs w:val="24"/>
              </w:rPr>
              <w:t>标项二十</w:t>
            </w:r>
            <w:r>
              <w:rPr>
                <w:rFonts w:hint="eastAsia"/>
                <w:sz w:val="24"/>
                <w:szCs w:val="24"/>
                <w:lang w:val="en-US" w:eastAsia="zh-CN"/>
              </w:rPr>
              <w:t>二</w:t>
            </w:r>
            <w:r>
              <w:rPr>
                <w:rFonts w:hint="eastAsia"/>
                <w:sz w:val="24"/>
                <w:szCs w:val="24"/>
              </w:rPr>
              <w:t>：</w:t>
            </w:r>
            <w:r>
              <w:rPr>
                <w:rFonts w:hint="eastAsia"/>
                <w:sz w:val="24"/>
                <w:szCs w:val="24"/>
                <w:lang w:val="en-US" w:eastAsia="zh-CN"/>
              </w:rPr>
              <w:t>科研人事论文诚信档案管理系统</w:t>
            </w:r>
          </w:p>
          <w:p>
            <w:pPr>
              <w:pStyle w:val="22"/>
              <w:snapToGrid w:val="0"/>
              <w:spacing w:line="400" w:lineRule="exact"/>
              <w:ind w:left="108"/>
              <w:jc w:val="both"/>
              <w:rPr>
                <w:sz w:val="24"/>
                <w:szCs w:val="24"/>
              </w:rPr>
            </w:pPr>
            <w:r>
              <w:rPr>
                <w:rFonts w:hint="eastAsia"/>
                <w:sz w:val="24"/>
                <w:szCs w:val="24"/>
              </w:rPr>
              <w:t>标项二十</w:t>
            </w:r>
            <w:r>
              <w:rPr>
                <w:rFonts w:hint="eastAsia"/>
                <w:sz w:val="24"/>
                <w:szCs w:val="24"/>
                <w:lang w:val="en-US" w:eastAsia="zh-CN"/>
              </w:rPr>
              <w:t>三</w:t>
            </w:r>
            <w:r>
              <w:rPr>
                <w:rFonts w:hint="eastAsia"/>
                <w:sz w:val="24"/>
                <w:szCs w:val="24"/>
              </w:rPr>
              <w:t>：</w:t>
            </w:r>
            <w:r>
              <w:rPr>
                <w:rFonts w:hint="eastAsia"/>
                <w:sz w:val="24"/>
                <w:szCs w:val="24"/>
                <w:lang w:val="en-US" w:eastAsia="zh-CN"/>
              </w:rPr>
              <w:t>Worldlib人工智能在线咨询平台</w:t>
            </w:r>
          </w:p>
          <w:p>
            <w:pPr>
              <w:pStyle w:val="22"/>
              <w:snapToGrid w:val="0"/>
              <w:spacing w:line="400" w:lineRule="exact"/>
              <w:ind w:left="108"/>
              <w:jc w:val="both"/>
              <w:rPr>
                <w:sz w:val="24"/>
                <w:szCs w:val="24"/>
              </w:rPr>
            </w:pPr>
            <w:r>
              <w:rPr>
                <w:rFonts w:hint="eastAsia"/>
                <w:sz w:val="24"/>
                <w:szCs w:val="24"/>
              </w:rPr>
              <w:t>标项二十</w:t>
            </w:r>
            <w:r>
              <w:rPr>
                <w:rFonts w:hint="eastAsia"/>
                <w:sz w:val="24"/>
                <w:szCs w:val="24"/>
                <w:lang w:val="en-US" w:eastAsia="zh-CN"/>
              </w:rPr>
              <w:t>四</w:t>
            </w:r>
            <w:r>
              <w:rPr>
                <w:rFonts w:hint="eastAsia"/>
                <w:sz w:val="24"/>
                <w:szCs w:val="24"/>
              </w:rPr>
              <w:t>：</w:t>
            </w:r>
            <w:r>
              <w:rPr>
                <w:rFonts w:hint="eastAsia"/>
                <w:sz w:val="24"/>
                <w:szCs w:val="24"/>
                <w:lang w:val="en-US" w:eastAsia="zh-CN"/>
              </w:rPr>
              <w:t>中国知网研学平台</w:t>
            </w:r>
          </w:p>
          <w:p>
            <w:pPr>
              <w:pStyle w:val="22"/>
              <w:snapToGrid w:val="0"/>
              <w:spacing w:line="400" w:lineRule="exact"/>
              <w:ind w:left="108"/>
              <w:jc w:val="both"/>
              <w:rPr>
                <w:rFonts w:hint="eastAsia"/>
                <w:sz w:val="24"/>
                <w:szCs w:val="24"/>
                <w:lang w:val="en-US" w:eastAsia="zh-CN"/>
              </w:rPr>
            </w:pPr>
            <w:r>
              <w:rPr>
                <w:rFonts w:hint="eastAsia"/>
                <w:sz w:val="24"/>
                <w:szCs w:val="24"/>
              </w:rPr>
              <w:t>标项二十</w:t>
            </w:r>
            <w:r>
              <w:rPr>
                <w:rFonts w:hint="eastAsia"/>
                <w:sz w:val="24"/>
                <w:szCs w:val="24"/>
                <w:lang w:val="en-US" w:eastAsia="zh-CN"/>
              </w:rPr>
              <w:t>五</w:t>
            </w:r>
            <w:r>
              <w:rPr>
                <w:rFonts w:hint="eastAsia"/>
                <w:sz w:val="24"/>
                <w:szCs w:val="24"/>
              </w:rPr>
              <w:t>：</w:t>
            </w:r>
            <w:r>
              <w:rPr>
                <w:rFonts w:hint="eastAsia"/>
                <w:sz w:val="24"/>
                <w:szCs w:val="24"/>
                <w:lang w:val="en-US" w:eastAsia="zh-CN"/>
              </w:rPr>
              <w:t>大为innojoy专利搜索引擎系统</w:t>
            </w:r>
          </w:p>
          <w:p>
            <w:pPr>
              <w:pStyle w:val="22"/>
              <w:snapToGrid w:val="0"/>
              <w:spacing w:line="400" w:lineRule="exact"/>
              <w:ind w:left="108"/>
              <w:jc w:val="both"/>
              <w:rPr>
                <w:rFonts w:hint="eastAsia"/>
                <w:sz w:val="24"/>
                <w:szCs w:val="24"/>
              </w:rPr>
            </w:pPr>
            <w:r>
              <w:rPr>
                <w:rFonts w:hint="eastAsia"/>
                <w:sz w:val="24"/>
                <w:szCs w:val="24"/>
              </w:rPr>
              <w:t>标项二十</w:t>
            </w:r>
            <w:r>
              <w:rPr>
                <w:rFonts w:hint="eastAsia"/>
                <w:sz w:val="24"/>
                <w:szCs w:val="24"/>
                <w:lang w:val="en-US" w:eastAsia="zh-CN"/>
              </w:rPr>
              <w:t>六</w:t>
            </w:r>
            <w:r>
              <w:rPr>
                <w:rFonts w:hint="eastAsia"/>
                <w:sz w:val="24"/>
                <w:szCs w:val="24"/>
              </w:rPr>
              <w:t>：</w:t>
            </w:r>
            <w:r>
              <w:rPr>
                <w:rFonts w:hint="eastAsia"/>
                <w:sz w:val="24"/>
                <w:szCs w:val="24"/>
                <w:lang w:val="en-US" w:eastAsia="zh-CN"/>
              </w:rPr>
              <w:t>Worldlib国外文献整合平台</w:t>
            </w:r>
          </w:p>
          <w:p>
            <w:pPr>
              <w:pStyle w:val="22"/>
              <w:snapToGrid w:val="0"/>
              <w:spacing w:line="400" w:lineRule="exact"/>
              <w:ind w:left="108"/>
              <w:jc w:val="both"/>
              <w:rPr>
                <w:rFonts w:hint="eastAsia"/>
                <w:sz w:val="24"/>
                <w:szCs w:val="24"/>
                <w:lang w:val="en-US" w:eastAsia="zh-CN"/>
              </w:rPr>
            </w:pPr>
            <w:r>
              <w:rPr>
                <w:rFonts w:hint="eastAsia"/>
                <w:sz w:val="24"/>
                <w:szCs w:val="24"/>
              </w:rPr>
              <w:t>标项二十</w:t>
            </w:r>
            <w:r>
              <w:rPr>
                <w:rFonts w:hint="eastAsia"/>
                <w:sz w:val="24"/>
                <w:szCs w:val="24"/>
                <w:lang w:val="en-US" w:eastAsia="zh-CN"/>
              </w:rPr>
              <w:t>七</w:t>
            </w:r>
            <w:r>
              <w:rPr>
                <w:rFonts w:hint="eastAsia"/>
                <w:sz w:val="24"/>
                <w:szCs w:val="24"/>
              </w:rPr>
              <w:t>：</w:t>
            </w:r>
            <w:r>
              <w:rPr>
                <w:rFonts w:hint="eastAsia"/>
                <w:sz w:val="24"/>
                <w:szCs w:val="24"/>
                <w:lang w:val="en-US" w:eastAsia="zh-CN"/>
              </w:rPr>
              <w:t>教参资源管理平台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0" w:hRule="atLeast"/>
        </w:trPr>
        <w:tc>
          <w:tcPr>
            <w:tcW w:w="862" w:type="dxa"/>
            <w:vMerge w:val="continue"/>
            <w:tcBorders>
              <w:tl2br w:val="nil"/>
              <w:tr2bl w:val="nil"/>
            </w:tcBorders>
            <w:vAlign w:val="center"/>
          </w:tcPr>
          <w:p>
            <w:pPr>
              <w:pStyle w:val="22"/>
              <w:snapToGrid w:val="0"/>
              <w:ind w:left="7"/>
              <w:jc w:val="center"/>
              <w:rPr>
                <w:sz w:val="24"/>
                <w:lang w:val="en-US"/>
              </w:rPr>
            </w:pPr>
          </w:p>
        </w:tc>
        <w:tc>
          <w:tcPr>
            <w:tcW w:w="1807" w:type="dxa"/>
            <w:tcBorders>
              <w:tl2br w:val="nil"/>
              <w:tr2bl w:val="nil"/>
            </w:tcBorders>
            <w:vAlign w:val="center"/>
          </w:tcPr>
          <w:p>
            <w:pPr>
              <w:pStyle w:val="22"/>
              <w:snapToGrid w:val="0"/>
              <w:ind w:left="107"/>
              <w:jc w:val="both"/>
              <w:rPr>
                <w:sz w:val="24"/>
              </w:rPr>
            </w:pPr>
            <w:r>
              <w:rPr>
                <w:rFonts w:hint="eastAsia"/>
                <w:sz w:val="24"/>
              </w:rPr>
              <w:t>采购预算</w:t>
            </w:r>
          </w:p>
        </w:tc>
        <w:tc>
          <w:tcPr>
            <w:tcW w:w="7232" w:type="dxa"/>
            <w:tcBorders>
              <w:tl2br w:val="nil"/>
              <w:tr2bl w:val="nil"/>
            </w:tcBorders>
            <w:vAlign w:val="center"/>
          </w:tcPr>
          <w:p>
            <w:pPr>
              <w:pStyle w:val="22"/>
              <w:snapToGrid w:val="0"/>
              <w:spacing w:line="400" w:lineRule="exact"/>
              <w:ind w:left="108"/>
              <w:jc w:val="both"/>
              <w:rPr>
                <w:sz w:val="24"/>
                <w:szCs w:val="24"/>
                <w:lang w:val="en-US"/>
              </w:rPr>
            </w:pPr>
            <w:r>
              <w:rPr>
                <w:rFonts w:hint="eastAsia"/>
                <w:sz w:val="24"/>
                <w:szCs w:val="24"/>
                <w:lang w:val="en-US"/>
              </w:rPr>
              <w:t>标项一：925100元</w:t>
            </w:r>
          </w:p>
          <w:p>
            <w:pPr>
              <w:pStyle w:val="22"/>
              <w:snapToGrid w:val="0"/>
              <w:spacing w:line="400" w:lineRule="exact"/>
              <w:ind w:left="108"/>
              <w:jc w:val="both"/>
              <w:rPr>
                <w:sz w:val="24"/>
                <w:szCs w:val="24"/>
                <w:lang w:val="en-US"/>
              </w:rPr>
            </w:pPr>
            <w:r>
              <w:rPr>
                <w:rFonts w:hint="eastAsia"/>
                <w:sz w:val="24"/>
                <w:szCs w:val="24"/>
                <w:lang w:val="en-US"/>
              </w:rPr>
              <w:t>标项二：260000元</w:t>
            </w:r>
          </w:p>
          <w:p>
            <w:pPr>
              <w:pStyle w:val="22"/>
              <w:snapToGrid w:val="0"/>
              <w:spacing w:line="400" w:lineRule="exact"/>
              <w:ind w:left="108"/>
              <w:jc w:val="both"/>
              <w:rPr>
                <w:sz w:val="24"/>
                <w:szCs w:val="24"/>
                <w:lang w:val="en-US"/>
              </w:rPr>
            </w:pPr>
            <w:r>
              <w:rPr>
                <w:rFonts w:hint="eastAsia"/>
                <w:sz w:val="24"/>
                <w:szCs w:val="24"/>
                <w:lang w:val="en-US"/>
              </w:rPr>
              <w:t>标项三：120000元</w:t>
            </w:r>
          </w:p>
          <w:p>
            <w:pPr>
              <w:pStyle w:val="22"/>
              <w:snapToGrid w:val="0"/>
              <w:spacing w:line="400" w:lineRule="exact"/>
              <w:ind w:left="108"/>
              <w:jc w:val="both"/>
              <w:rPr>
                <w:sz w:val="24"/>
                <w:szCs w:val="24"/>
                <w:lang w:val="en-US"/>
              </w:rPr>
            </w:pPr>
            <w:r>
              <w:rPr>
                <w:rFonts w:hint="eastAsia"/>
                <w:sz w:val="24"/>
                <w:szCs w:val="24"/>
                <w:lang w:val="en-US"/>
              </w:rPr>
              <w:t>标项四：120000元</w:t>
            </w:r>
          </w:p>
          <w:p>
            <w:pPr>
              <w:pStyle w:val="22"/>
              <w:snapToGrid w:val="0"/>
              <w:spacing w:line="400" w:lineRule="exact"/>
              <w:ind w:left="108"/>
              <w:jc w:val="both"/>
              <w:rPr>
                <w:sz w:val="24"/>
                <w:szCs w:val="24"/>
                <w:lang w:val="en-US"/>
              </w:rPr>
            </w:pPr>
            <w:r>
              <w:rPr>
                <w:rFonts w:hint="eastAsia"/>
                <w:sz w:val="24"/>
                <w:szCs w:val="24"/>
                <w:lang w:val="en-US"/>
              </w:rPr>
              <w:t>标项五：</w:t>
            </w:r>
            <w:r>
              <w:rPr>
                <w:rFonts w:hint="eastAsia"/>
                <w:sz w:val="24"/>
                <w:szCs w:val="24"/>
                <w:lang w:val="en-US" w:eastAsia="zh-CN"/>
              </w:rPr>
              <w:t>164650</w:t>
            </w:r>
            <w:r>
              <w:rPr>
                <w:rFonts w:hint="eastAsia"/>
                <w:sz w:val="24"/>
                <w:szCs w:val="24"/>
                <w:lang w:val="en-US"/>
              </w:rPr>
              <w:t>元</w:t>
            </w:r>
          </w:p>
          <w:p>
            <w:pPr>
              <w:pStyle w:val="22"/>
              <w:snapToGrid w:val="0"/>
              <w:spacing w:line="400" w:lineRule="exact"/>
              <w:ind w:left="108"/>
              <w:jc w:val="both"/>
              <w:rPr>
                <w:sz w:val="24"/>
                <w:szCs w:val="24"/>
                <w:lang w:val="en-US"/>
              </w:rPr>
            </w:pPr>
            <w:r>
              <w:rPr>
                <w:rFonts w:hint="eastAsia"/>
                <w:sz w:val="24"/>
                <w:szCs w:val="24"/>
                <w:lang w:val="en-US"/>
              </w:rPr>
              <w:t>标项六：69000元</w:t>
            </w:r>
          </w:p>
          <w:p>
            <w:pPr>
              <w:pStyle w:val="22"/>
              <w:snapToGrid w:val="0"/>
              <w:spacing w:line="400" w:lineRule="exact"/>
              <w:ind w:left="108"/>
              <w:jc w:val="both"/>
              <w:rPr>
                <w:sz w:val="24"/>
                <w:szCs w:val="24"/>
                <w:lang w:val="en-US"/>
              </w:rPr>
            </w:pPr>
            <w:r>
              <w:rPr>
                <w:rFonts w:hint="eastAsia"/>
                <w:sz w:val="24"/>
                <w:szCs w:val="24"/>
                <w:lang w:val="en-US"/>
              </w:rPr>
              <w:t>标项七：138000元</w:t>
            </w:r>
          </w:p>
          <w:p>
            <w:pPr>
              <w:pStyle w:val="22"/>
              <w:snapToGrid w:val="0"/>
              <w:spacing w:line="400" w:lineRule="exact"/>
              <w:ind w:left="108"/>
              <w:jc w:val="both"/>
              <w:rPr>
                <w:sz w:val="24"/>
                <w:szCs w:val="24"/>
                <w:lang w:val="en-US"/>
              </w:rPr>
            </w:pPr>
            <w:r>
              <w:rPr>
                <w:rFonts w:hint="eastAsia"/>
                <w:sz w:val="24"/>
                <w:szCs w:val="24"/>
                <w:lang w:val="en-US"/>
              </w:rPr>
              <w:t>标项八：50000元</w:t>
            </w:r>
          </w:p>
          <w:p>
            <w:pPr>
              <w:pStyle w:val="22"/>
              <w:snapToGrid w:val="0"/>
              <w:spacing w:line="400" w:lineRule="exact"/>
              <w:ind w:left="108"/>
              <w:jc w:val="both"/>
              <w:rPr>
                <w:sz w:val="24"/>
                <w:szCs w:val="24"/>
                <w:lang w:val="en-US"/>
              </w:rPr>
            </w:pPr>
            <w:r>
              <w:rPr>
                <w:rFonts w:hint="eastAsia"/>
                <w:sz w:val="24"/>
                <w:szCs w:val="24"/>
                <w:lang w:val="en-US"/>
              </w:rPr>
              <w:t>标项九：70800元</w:t>
            </w:r>
          </w:p>
          <w:p>
            <w:pPr>
              <w:pStyle w:val="22"/>
              <w:snapToGrid w:val="0"/>
              <w:spacing w:line="400" w:lineRule="exact"/>
              <w:ind w:left="108"/>
              <w:jc w:val="both"/>
              <w:rPr>
                <w:sz w:val="24"/>
                <w:szCs w:val="24"/>
                <w:lang w:val="en-US"/>
              </w:rPr>
            </w:pPr>
            <w:r>
              <w:rPr>
                <w:rFonts w:hint="eastAsia"/>
                <w:sz w:val="24"/>
                <w:szCs w:val="24"/>
                <w:lang w:val="en-US"/>
              </w:rPr>
              <w:t>标项十：50000元</w:t>
            </w:r>
          </w:p>
          <w:p>
            <w:pPr>
              <w:pStyle w:val="22"/>
              <w:snapToGrid w:val="0"/>
              <w:spacing w:line="400" w:lineRule="exact"/>
              <w:ind w:left="108"/>
              <w:jc w:val="both"/>
              <w:rPr>
                <w:sz w:val="24"/>
                <w:szCs w:val="24"/>
                <w:lang w:val="en-US"/>
              </w:rPr>
            </w:pPr>
            <w:r>
              <w:rPr>
                <w:rFonts w:hint="eastAsia"/>
                <w:sz w:val="24"/>
                <w:szCs w:val="24"/>
                <w:lang w:val="en-US"/>
              </w:rPr>
              <w:t>标项十一：48000元</w:t>
            </w:r>
          </w:p>
          <w:p>
            <w:pPr>
              <w:pStyle w:val="22"/>
              <w:snapToGrid w:val="0"/>
              <w:spacing w:line="400" w:lineRule="exact"/>
              <w:ind w:left="108"/>
              <w:jc w:val="both"/>
              <w:rPr>
                <w:sz w:val="24"/>
                <w:szCs w:val="24"/>
                <w:lang w:val="en-US"/>
              </w:rPr>
            </w:pPr>
            <w:r>
              <w:rPr>
                <w:rFonts w:hint="eastAsia"/>
                <w:sz w:val="24"/>
                <w:szCs w:val="24"/>
                <w:lang w:val="en-US"/>
              </w:rPr>
              <w:t>标项十二：20000元</w:t>
            </w:r>
          </w:p>
          <w:p>
            <w:pPr>
              <w:pStyle w:val="22"/>
              <w:snapToGrid w:val="0"/>
              <w:spacing w:line="400" w:lineRule="exact"/>
              <w:ind w:left="108"/>
              <w:jc w:val="both"/>
              <w:rPr>
                <w:sz w:val="24"/>
                <w:szCs w:val="24"/>
                <w:lang w:val="en-US"/>
              </w:rPr>
            </w:pPr>
            <w:r>
              <w:rPr>
                <w:rFonts w:hint="eastAsia"/>
                <w:sz w:val="24"/>
                <w:szCs w:val="24"/>
                <w:lang w:val="en-US"/>
              </w:rPr>
              <w:t>标项十三：119400元</w:t>
            </w:r>
          </w:p>
          <w:p>
            <w:pPr>
              <w:pStyle w:val="22"/>
              <w:snapToGrid w:val="0"/>
              <w:spacing w:line="400" w:lineRule="exact"/>
              <w:ind w:left="108"/>
              <w:jc w:val="both"/>
              <w:rPr>
                <w:sz w:val="24"/>
                <w:szCs w:val="24"/>
                <w:lang w:val="en-US"/>
              </w:rPr>
            </w:pPr>
            <w:r>
              <w:rPr>
                <w:rFonts w:hint="eastAsia"/>
                <w:sz w:val="24"/>
                <w:szCs w:val="24"/>
                <w:lang w:val="en-US"/>
              </w:rPr>
              <w:t>标项十四：80000元</w:t>
            </w:r>
          </w:p>
          <w:p>
            <w:pPr>
              <w:pStyle w:val="22"/>
              <w:snapToGrid w:val="0"/>
              <w:spacing w:line="400" w:lineRule="exact"/>
              <w:ind w:left="108"/>
              <w:jc w:val="both"/>
              <w:rPr>
                <w:sz w:val="24"/>
                <w:szCs w:val="24"/>
                <w:lang w:val="en-US"/>
              </w:rPr>
            </w:pPr>
            <w:r>
              <w:rPr>
                <w:rFonts w:hint="eastAsia"/>
                <w:sz w:val="24"/>
                <w:szCs w:val="24"/>
                <w:lang w:val="en-US"/>
              </w:rPr>
              <w:t>标项十五：15200元</w:t>
            </w:r>
          </w:p>
          <w:p>
            <w:pPr>
              <w:pStyle w:val="22"/>
              <w:snapToGrid w:val="0"/>
              <w:spacing w:line="400" w:lineRule="exact"/>
              <w:ind w:left="108"/>
              <w:jc w:val="both"/>
              <w:rPr>
                <w:sz w:val="24"/>
                <w:szCs w:val="24"/>
                <w:lang w:val="en-US"/>
              </w:rPr>
            </w:pPr>
            <w:r>
              <w:rPr>
                <w:rFonts w:hint="eastAsia"/>
                <w:sz w:val="24"/>
                <w:szCs w:val="24"/>
                <w:lang w:val="en-US"/>
              </w:rPr>
              <w:t>标项十六：30000元</w:t>
            </w:r>
          </w:p>
          <w:p>
            <w:pPr>
              <w:pStyle w:val="22"/>
              <w:snapToGrid w:val="0"/>
              <w:spacing w:line="400" w:lineRule="exact"/>
              <w:ind w:left="108"/>
              <w:jc w:val="both"/>
              <w:rPr>
                <w:sz w:val="24"/>
                <w:szCs w:val="24"/>
                <w:lang w:val="en-US"/>
              </w:rPr>
            </w:pPr>
            <w:r>
              <w:rPr>
                <w:rFonts w:hint="eastAsia"/>
                <w:sz w:val="24"/>
                <w:szCs w:val="24"/>
                <w:lang w:val="en-US"/>
              </w:rPr>
              <w:t>标项十七：</w:t>
            </w:r>
            <w:r>
              <w:rPr>
                <w:rFonts w:hint="eastAsia"/>
                <w:sz w:val="24"/>
                <w:szCs w:val="24"/>
                <w:lang w:val="en-US" w:eastAsia="zh-CN"/>
              </w:rPr>
              <w:t>31500</w:t>
            </w:r>
            <w:r>
              <w:rPr>
                <w:rFonts w:hint="eastAsia"/>
                <w:sz w:val="24"/>
                <w:szCs w:val="24"/>
                <w:lang w:val="en-US"/>
              </w:rPr>
              <w:t>元</w:t>
            </w:r>
          </w:p>
          <w:p>
            <w:pPr>
              <w:pStyle w:val="22"/>
              <w:snapToGrid w:val="0"/>
              <w:spacing w:line="400" w:lineRule="exact"/>
              <w:ind w:left="108"/>
              <w:jc w:val="both"/>
              <w:rPr>
                <w:sz w:val="24"/>
                <w:szCs w:val="24"/>
                <w:lang w:val="en-US"/>
              </w:rPr>
            </w:pPr>
            <w:r>
              <w:rPr>
                <w:rFonts w:hint="eastAsia"/>
                <w:sz w:val="24"/>
                <w:szCs w:val="24"/>
                <w:lang w:val="en-US"/>
              </w:rPr>
              <w:t>标项十八：</w:t>
            </w:r>
            <w:r>
              <w:rPr>
                <w:rFonts w:hint="eastAsia"/>
                <w:sz w:val="24"/>
                <w:szCs w:val="24"/>
                <w:lang w:val="en-US" w:eastAsia="zh-CN"/>
              </w:rPr>
              <w:t>119900</w:t>
            </w:r>
            <w:r>
              <w:rPr>
                <w:rFonts w:hint="eastAsia"/>
                <w:sz w:val="24"/>
                <w:szCs w:val="24"/>
                <w:lang w:val="en-US"/>
              </w:rPr>
              <w:t>元</w:t>
            </w:r>
          </w:p>
          <w:p>
            <w:pPr>
              <w:pStyle w:val="22"/>
              <w:snapToGrid w:val="0"/>
              <w:spacing w:line="400" w:lineRule="exact"/>
              <w:ind w:left="108"/>
              <w:jc w:val="both"/>
              <w:rPr>
                <w:rFonts w:hint="eastAsia"/>
                <w:sz w:val="24"/>
                <w:szCs w:val="24"/>
                <w:lang w:val="en-US"/>
              </w:rPr>
            </w:pPr>
            <w:r>
              <w:rPr>
                <w:rFonts w:hint="eastAsia"/>
                <w:sz w:val="24"/>
                <w:szCs w:val="24"/>
                <w:lang w:val="en-US"/>
              </w:rPr>
              <w:t>标项十九：</w:t>
            </w:r>
            <w:r>
              <w:rPr>
                <w:rFonts w:hint="eastAsia"/>
                <w:sz w:val="24"/>
                <w:szCs w:val="24"/>
                <w:lang w:val="en-US" w:eastAsia="zh-CN"/>
              </w:rPr>
              <w:t>20600</w:t>
            </w:r>
            <w:r>
              <w:rPr>
                <w:rFonts w:hint="eastAsia"/>
                <w:sz w:val="24"/>
                <w:szCs w:val="24"/>
                <w:lang w:val="en-US"/>
              </w:rPr>
              <w:t>元</w:t>
            </w:r>
          </w:p>
          <w:p>
            <w:pPr>
              <w:pStyle w:val="22"/>
              <w:snapToGrid w:val="0"/>
              <w:spacing w:line="400" w:lineRule="exact"/>
              <w:ind w:left="108"/>
              <w:jc w:val="both"/>
              <w:rPr>
                <w:rFonts w:hint="default"/>
                <w:sz w:val="24"/>
                <w:szCs w:val="24"/>
                <w:lang w:val="en-US" w:eastAsia="zh-CN"/>
              </w:rPr>
            </w:pPr>
            <w:r>
              <w:rPr>
                <w:rFonts w:hint="eastAsia"/>
                <w:sz w:val="24"/>
                <w:szCs w:val="24"/>
                <w:lang w:val="en-US" w:eastAsia="zh-CN"/>
              </w:rPr>
              <w:t>标项二十：132094元</w:t>
            </w:r>
          </w:p>
          <w:p>
            <w:pPr>
              <w:pStyle w:val="22"/>
              <w:snapToGrid w:val="0"/>
              <w:spacing w:line="400" w:lineRule="exact"/>
              <w:ind w:left="108"/>
              <w:jc w:val="both"/>
              <w:rPr>
                <w:rFonts w:hint="default"/>
                <w:sz w:val="24"/>
                <w:szCs w:val="24"/>
                <w:lang w:val="en-US"/>
              </w:rPr>
            </w:pPr>
            <w:r>
              <w:rPr>
                <w:rFonts w:hint="eastAsia"/>
                <w:sz w:val="24"/>
                <w:szCs w:val="24"/>
                <w:lang w:val="en-US" w:eastAsia="zh-CN"/>
              </w:rPr>
              <w:t>标项二十一：30000元</w:t>
            </w:r>
          </w:p>
          <w:p>
            <w:pPr>
              <w:pStyle w:val="22"/>
              <w:snapToGrid w:val="0"/>
              <w:spacing w:line="400" w:lineRule="exact"/>
              <w:ind w:left="108"/>
              <w:jc w:val="both"/>
              <w:rPr>
                <w:sz w:val="24"/>
                <w:szCs w:val="24"/>
                <w:lang w:val="en-US"/>
              </w:rPr>
            </w:pPr>
            <w:r>
              <w:rPr>
                <w:rFonts w:hint="eastAsia"/>
                <w:sz w:val="24"/>
                <w:szCs w:val="24"/>
                <w:lang w:val="en-US"/>
              </w:rPr>
              <w:t>标项二十</w:t>
            </w:r>
            <w:r>
              <w:rPr>
                <w:rFonts w:hint="eastAsia"/>
                <w:sz w:val="24"/>
                <w:szCs w:val="24"/>
                <w:lang w:val="en-US" w:eastAsia="zh-CN"/>
              </w:rPr>
              <w:t>二</w:t>
            </w:r>
            <w:r>
              <w:rPr>
                <w:rFonts w:hint="eastAsia"/>
                <w:sz w:val="24"/>
                <w:szCs w:val="24"/>
                <w:lang w:val="en-US"/>
              </w:rPr>
              <w:t>：</w:t>
            </w:r>
            <w:r>
              <w:rPr>
                <w:rFonts w:hint="eastAsia"/>
                <w:sz w:val="24"/>
                <w:szCs w:val="24"/>
                <w:lang w:val="en-US" w:eastAsia="zh-CN"/>
              </w:rPr>
              <w:t>100000</w:t>
            </w:r>
            <w:r>
              <w:rPr>
                <w:rFonts w:hint="eastAsia"/>
                <w:sz w:val="24"/>
                <w:szCs w:val="24"/>
                <w:lang w:val="en-US"/>
              </w:rPr>
              <w:t>元</w:t>
            </w:r>
          </w:p>
          <w:p>
            <w:pPr>
              <w:pStyle w:val="22"/>
              <w:snapToGrid w:val="0"/>
              <w:spacing w:line="400" w:lineRule="exact"/>
              <w:ind w:left="108"/>
              <w:jc w:val="both"/>
              <w:rPr>
                <w:sz w:val="24"/>
                <w:szCs w:val="24"/>
                <w:lang w:val="en-US"/>
              </w:rPr>
            </w:pPr>
            <w:r>
              <w:rPr>
                <w:rFonts w:hint="eastAsia"/>
                <w:sz w:val="24"/>
                <w:szCs w:val="24"/>
                <w:lang w:val="en-US"/>
              </w:rPr>
              <w:t>标项二十</w:t>
            </w:r>
            <w:r>
              <w:rPr>
                <w:rFonts w:hint="eastAsia"/>
                <w:sz w:val="24"/>
                <w:szCs w:val="24"/>
                <w:lang w:val="en-US" w:eastAsia="zh-CN"/>
              </w:rPr>
              <w:t>三</w:t>
            </w:r>
            <w:r>
              <w:rPr>
                <w:rFonts w:hint="eastAsia"/>
                <w:sz w:val="24"/>
                <w:szCs w:val="24"/>
                <w:lang w:val="en-US"/>
              </w:rPr>
              <w:t>：</w:t>
            </w:r>
            <w:r>
              <w:rPr>
                <w:rFonts w:hint="eastAsia"/>
                <w:sz w:val="24"/>
                <w:szCs w:val="24"/>
                <w:lang w:val="en-US" w:eastAsia="zh-CN"/>
              </w:rPr>
              <w:t>250000</w:t>
            </w:r>
            <w:r>
              <w:rPr>
                <w:rFonts w:hint="eastAsia"/>
                <w:sz w:val="24"/>
                <w:szCs w:val="24"/>
                <w:lang w:val="en-US"/>
              </w:rPr>
              <w:t>元</w:t>
            </w:r>
          </w:p>
          <w:p>
            <w:pPr>
              <w:pStyle w:val="22"/>
              <w:snapToGrid w:val="0"/>
              <w:spacing w:line="400" w:lineRule="exact"/>
              <w:ind w:left="108"/>
              <w:jc w:val="both"/>
              <w:rPr>
                <w:sz w:val="24"/>
                <w:szCs w:val="24"/>
                <w:lang w:val="en-US"/>
              </w:rPr>
            </w:pPr>
            <w:r>
              <w:rPr>
                <w:rFonts w:hint="eastAsia"/>
                <w:sz w:val="24"/>
                <w:szCs w:val="24"/>
                <w:lang w:val="en-US"/>
              </w:rPr>
              <w:t>标项二十</w:t>
            </w:r>
            <w:r>
              <w:rPr>
                <w:rFonts w:hint="eastAsia"/>
                <w:sz w:val="24"/>
                <w:szCs w:val="24"/>
                <w:lang w:val="en-US" w:eastAsia="zh-CN"/>
              </w:rPr>
              <w:t>四</w:t>
            </w:r>
            <w:r>
              <w:rPr>
                <w:rFonts w:hint="eastAsia"/>
                <w:sz w:val="24"/>
                <w:szCs w:val="24"/>
                <w:lang w:val="en-US"/>
              </w:rPr>
              <w:t xml:space="preserve"> ：</w:t>
            </w:r>
            <w:r>
              <w:rPr>
                <w:rFonts w:hint="eastAsia"/>
                <w:sz w:val="24"/>
                <w:szCs w:val="24"/>
                <w:lang w:val="en-US" w:eastAsia="zh-CN"/>
              </w:rPr>
              <w:t>2</w:t>
            </w:r>
            <w:r>
              <w:rPr>
                <w:rFonts w:hint="eastAsia"/>
                <w:sz w:val="24"/>
                <w:szCs w:val="24"/>
                <w:lang w:val="en-US"/>
              </w:rPr>
              <w:t>00000元</w:t>
            </w:r>
          </w:p>
          <w:p>
            <w:pPr>
              <w:pStyle w:val="22"/>
              <w:snapToGrid w:val="0"/>
              <w:spacing w:line="400" w:lineRule="exact"/>
              <w:ind w:left="108"/>
              <w:jc w:val="both"/>
              <w:rPr>
                <w:rFonts w:hint="eastAsia"/>
                <w:sz w:val="24"/>
                <w:szCs w:val="24"/>
                <w:lang w:val="en-US"/>
              </w:rPr>
            </w:pPr>
            <w:r>
              <w:rPr>
                <w:rFonts w:hint="eastAsia"/>
                <w:sz w:val="24"/>
                <w:szCs w:val="24"/>
                <w:lang w:val="en-US"/>
              </w:rPr>
              <w:t>标项二十</w:t>
            </w:r>
            <w:r>
              <w:rPr>
                <w:rFonts w:hint="eastAsia"/>
                <w:sz w:val="24"/>
                <w:szCs w:val="24"/>
                <w:lang w:val="en-US" w:eastAsia="zh-CN"/>
              </w:rPr>
              <w:t>五</w:t>
            </w:r>
            <w:r>
              <w:rPr>
                <w:rFonts w:hint="eastAsia"/>
                <w:sz w:val="24"/>
                <w:szCs w:val="24"/>
                <w:lang w:val="en-US"/>
              </w:rPr>
              <w:t>：1</w:t>
            </w:r>
            <w:r>
              <w:rPr>
                <w:rFonts w:hint="eastAsia"/>
                <w:sz w:val="24"/>
                <w:szCs w:val="24"/>
                <w:lang w:val="en-US" w:eastAsia="zh-CN"/>
              </w:rPr>
              <w:t>0</w:t>
            </w:r>
            <w:r>
              <w:rPr>
                <w:rFonts w:hint="eastAsia"/>
                <w:sz w:val="24"/>
                <w:szCs w:val="24"/>
                <w:lang w:val="en-US"/>
              </w:rPr>
              <w:t>0000元</w:t>
            </w:r>
          </w:p>
          <w:p>
            <w:pPr>
              <w:pStyle w:val="22"/>
              <w:snapToGrid w:val="0"/>
              <w:spacing w:line="400" w:lineRule="exact"/>
              <w:ind w:left="108"/>
              <w:jc w:val="both"/>
              <w:rPr>
                <w:rFonts w:hint="default" w:eastAsia="宋体"/>
                <w:sz w:val="24"/>
                <w:szCs w:val="24"/>
                <w:lang w:val="en-US" w:eastAsia="zh-CN"/>
              </w:rPr>
            </w:pPr>
            <w:r>
              <w:rPr>
                <w:rFonts w:hint="eastAsia"/>
                <w:sz w:val="24"/>
                <w:szCs w:val="24"/>
              </w:rPr>
              <w:t>标项二十</w:t>
            </w:r>
            <w:r>
              <w:rPr>
                <w:rFonts w:hint="eastAsia"/>
                <w:sz w:val="24"/>
                <w:szCs w:val="24"/>
                <w:lang w:val="en-US" w:eastAsia="zh-CN"/>
              </w:rPr>
              <w:t>六</w:t>
            </w:r>
            <w:r>
              <w:rPr>
                <w:rFonts w:hint="eastAsia"/>
                <w:sz w:val="24"/>
                <w:szCs w:val="24"/>
              </w:rPr>
              <w:t>：</w:t>
            </w:r>
            <w:r>
              <w:rPr>
                <w:rFonts w:hint="eastAsia"/>
                <w:sz w:val="24"/>
                <w:szCs w:val="24"/>
                <w:lang w:val="en-US" w:eastAsia="zh-CN"/>
              </w:rPr>
              <w:t>150000</w:t>
            </w:r>
            <w:r>
              <w:rPr>
                <w:rFonts w:hint="eastAsia"/>
                <w:sz w:val="24"/>
                <w:szCs w:val="24"/>
                <w:lang w:val="en-US"/>
              </w:rPr>
              <w:t>元</w:t>
            </w:r>
          </w:p>
          <w:p>
            <w:pPr>
              <w:pStyle w:val="22"/>
              <w:snapToGrid w:val="0"/>
              <w:spacing w:line="400" w:lineRule="exact"/>
              <w:ind w:left="108"/>
              <w:jc w:val="both"/>
              <w:rPr>
                <w:rFonts w:hint="default" w:eastAsia="宋体"/>
                <w:sz w:val="24"/>
                <w:szCs w:val="24"/>
                <w:lang w:val="en-US" w:eastAsia="zh-CN"/>
              </w:rPr>
            </w:pPr>
            <w:r>
              <w:rPr>
                <w:rFonts w:hint="eastAsia"/>
                <w:sz w:val="24"/>
                <w:szCs w:val="24"/>
              </w:rPr>
              <w:t>标项二十</w:t>
            </w:r>
            <w:r>
              <w:rPr>
                <w:rFonts w:hint="eastAsia"/>
                <w:sz w:val="24"/>
                <w:szCs w:val="24"/>
                <w:lang w:val="en-US" w:eastAsia="zh-CN"/>
              </w:rPr>
              <w:t>七</w:t>
            </w:r>
            <w:r>
              <w:rPr>
                <w:rFonts w:hint="eastAsia"/>
                <w:sz w:val="24"/>
                <w:szCs w:val="24"/>
              </w:rPr>
              <w:t>：</w:t>
            </w:r>
            <w:r>
              <w:rPr>
                <w:rFonts w:hint="eastAsia"/>
                <w:sz w:val="24"/>
                <w:szCs w:val="24"/>
                <w:lang w:val="en-US" w:eastAsia="zh-CN"/>
              </w:rPr>
              <w:t>420000</w:t>
            </w:r>
            <w:r>
              <w:rPr>
                <w:rFonts w:hint="eastAsia"/>
                <w:sz w:val="24"/>
                <w:szCs w:val="24"/>
                <w:lang w:val="en-US"/>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62" w:type="dxa"/>
            <w:vMerge w:val="continue"/>
            <w:tcBorders>
              <w:tl2br w:val="nil"/>
              <w:tr2bl w:val="nil"/>
            </w:tcBorders>
            <w:vAlign w:val="center"/>
          </w:tcPr>
          <w:p>
            <w:pPr>
              <w:snapToGrid w:val="0"/>
              <w:jc w:val="center"/>
              <w:rPr>
                <w:sz w:val="2"/>
                <w:szCs w:val="2"/>
              </w:rPr>
            </w:pPr>
          </w:p>
        </w:tc>
        <w:tc>
          <w:tcPr>
            <w:tcW w:w="1807" w:type="dxa"/>
            <w:tcBorders>
              <w:tl2br w:val="nil"/>
              <w:tr2bl w:val="nil"/>
            </w:tcBorders>
            <w:vAlign w:val="center"/>
          </w:tcPr>
          <w:p>
            <w:pPr>
              <w:pStyle w:val="22"/>
              <w:snapToGrid w:val="0"/>
              <w:ind w:left="108"/>
              <w:jc w:val="center"/>
              <w:rPr>
                <w:sz w:val="24"/>
              </w:rPr>
            </w:pPr>
            <w:r>
              <w:rPr>
                <w:rFonts w:hint="eastAsia"/>
                <w:sz w:val="24"/>
                <w:lang w:val="en-US" w:eastAsia="zh-CN"/>
              </w:rPr>
              <w:t>公示</w:t>
            </w:r>
            <w:r>
              <w:rPr>
                <w:sz w:val="24"/>
              </w:rPr>
              <w:t>媒体</w:t>
            </w:r>
          </w:p>
        </w:tc>
        <w:tc>
          <w:tcPr>
            <w:tcW w:w="7232" w:type="dxa"/>
            <w:tcBorders>
              <w:tl2br w:val="nil"/>
              <w:tr2bl w:val="nil"/>
            </w:tcBorders>
            <w:vAlign w:val="center"/>
          </w:tcPr>
          <w:p>
            <w:pPr>
              <w:pStyle w:val="22"/>
              <w:snapToGrid w:val="0"/>
              <w:ind w:left="108"/>
              <w:rPr>
                <w:sz w:val="24"/>
              </w:rPr>
            </w:pPr>
            <w:r>
              <w:rPr>
                <w:sz w:val="24"/>
              </w:rPr>
              <w:t>新疆政府采购网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862" w:type="dxa"/>
            <w:tcBorders>
              <w:tl2br w:val="nil"/>
              <w:tr2bl w:val="nil"/>
            </w:tcBorders>
            <w:vAlign w:val="center"/>
          </w:tcPr>
          <w:p>
            <w:pPr>
              <w:pStyle w:val="22"/>
              <w:snapToGrid w:val="0"/>
              <w:jc w:val="center"/>
              <w:rPr>
                <w:sz w:val="24"/>
              </w:rPr>
            </w:pPr>
          </w:p>
          <w:p>
            <w:pPr>
              <w:pStyle w:val="22"/>
              <w:snapToGrid w:val="0"/>
              <w:jc w:val="center"/>
              <w:rPr>
                <w:sz w:val="24"/>
              </w:rPr>
            </w:pPr>
          </w:p>
          <w:p>
            <w:pPr>
              <w:pStyle w:val="22"/>
              <w:snapToGrid w:val="0"/>
              <w:ind w:left="7"/>
              <w:jc w:val="center"/>
              <w:rPr>
                <w:sz w:val="24"/>
              </w:rPr>
            </w:pPr>
            <w:r>
              <w:rPr>
                <w:sz w:val="24"/>
              </w:rPr>
              <w:t>2</w:t>
            </w:r>
          </w:p>
        </w:tc>
        <w:tc>
          <w:tcPr>
            <w:tcW w:w="1807" w:type="dxa"/>
            <w:tcBorders>
              <w:tl2br w:val="nil"/>
              <w:tr2bl w:val="nil"/>
            </w:tcBorders>
            <w:vAlign w:val="center"/>
          </w:tcPr>
          <w:p>
            <w:pPr>
              <w:pStyle w:val="22"/>
              <w:snapToGrid w:val="0"/>
              <w:ind w:left="107"/>
              <w:jc w:val="center"/>
              <w:rPr>
                <w:sz w:val="24"/>
              </w:rPr>
            </w:pPr>
            <w:r>
              <w:rPr>
                <w:sz w:val="24"/>
              </w:rPr>
              <w:t>采购人</w:t>
            </w:r>
          </w:p>
        </w:tc>
        <w:tc>
          <w:tcPr>
            <w:tcW w:w="7232" w:type="dxa"/>
            <w:tcBorders>
              <w:tl2br w:val="nil"/>
              <w:tr2bl w:val="nil"/>
            </w:tcBorders>
          </w:tcPr>
          <w:p>
            <w:pPr>
              <w:pStyle w:val="22"/>
              <w:snapToGrid w:val="0"/>
              <w:spacing w:line="360" w:lineRule="auto"/>
              <w:ind w:left="107"/>
              <w:rPr>
                <w:sz w:val="24"/>
              </w:rPr>
            </w:pPr>
            <w:r>
              <w:rPr>
                <w:sz w:val="24"/>
              </w:rPr>
              <w:t>名称：新疆大学</w:t>
            </w:r>
          </w:p>
          <w:p>
            <w:pPr>
              <w:pStyle w:val="22"/>
              <w:snapToGrid w:val="0"/>
              <w:spacing w:line="360" w:lineRule="auto"/>
              <w:ind w:left="107"/>
              <w:rPr>
                <w:spacing w:val="-39"/>
                <w:sz w:val="24"/>
              </w:rPr>
            </w:pPr>
            <w:r>
              <w:rPr>
                <w:sz w:val="24"/>
              </w:rPr>
              <w:t>地址：</w:t>
            </w:r>
            <w:r>
              <w:rPr>
                <w:spacing w:val="-7"/>
                <w:sz w:val="24"/>
              </w:rPr>
              <w:t xml:space="preserve">乌鲁木齐市胜利路 </w:t>
            </w:r>
            <w:r>
              <w:rPr>
                <w:sz w:val="24"/>
              </w:rPr>
              <w:t>666</w:t>
            </w:r>
            <w:r>
              <w:rPr>
                <w:spacing w:val="-39"/>
                <w:sz w:val="24"/>
              </w:rPr>
              <w:t xml:space="preserve"> 号</w:t>
            </w:r>
          </w:p>
          <w:p>
            <w:pPr>
              <w:pStyle w:val="22"/>
              <w:snapToGrid w:val="0"/>
              <w:spacing w:line="360" w:lineRule="auto"/>
              <w:ind w:left="107"/>
              <w:rPr>
                <w:sz w:val="24"/>
                <w:lang w:val="en-US"/>
              </w:rPr>
            </w:pPr>
            <w:r>
              <w:rPr>
                <w:sz w:val="24"/>
              </w:rPr>
              <w:t>电话：</w:t>
            </w:r>
            <w:r>
              <w:rPr>
                <w:rFonts w:hint="eastAsia"/>
                <w:sz w:val="24"/>
                <w:lang w:val="en-US"/>
              </w:rPr>
              <w:t>0991-8588030</w:t>
            </w:r>
          </w:p>
          <w:p>
            <w:pPr>
              <w:pStyle w:val="22"/>
              <w:snapToGrid w:val="0"/>
              <w:spacing w:line="360" w:lineRule="auto"/>
              <w:ind w:left="107"/>
              <w:rPr>
                <w:sz w:val="24"/>
              </w:rPr>
            </w:pPr>
            <w:r>
              <w:rPr>
                <w:sz w:val="24"/>
              </w:rPr>
              <w:t>联系人：</w:t>
            </w:r>
            <w:r>
              <w:rPr>
                <w:rFonts w:hint="eastAsia"/>
                <w:sz w:val="24"/>
                <w:lang w:val="en-US"/>
              </w:rPr>
              <w:t>来</w:t>
            </w:r>
            <w:r>
              <w:rPr>
                <w:sz w:val="24"/>
              </w:rPr>
              <w:t>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862" w:type="dxa"/>
            <w:tcBorders>
              <w:tl2br w:val="nil"/>
              <w:tr2bl w:val="nil"/>
            </w:tcBorders>
            <w:vAlign w:val="center"/>
          </w:tcPr>
          <w:p>
            <w:pPr>
              <w:pStyle w:val="22"/>
              <w:snapToGrid w:val="0"/>
              <w:jc w:val="center"/>
              <w:rPr>
                <w:sz w:val="24"/>
              </w:rPr>
            </w:pPr>
          </w:p>
          <w:p>
            <w:pPr>
              <w:pStyle w:val="22"/>
              <w:snapToGrid w:val="0"/>
              <w:jc w:val="center"/>
              <w:rPr>
                <w:sz w:val="24"/>
              </w:rPr>
            </w:pPr>
          </w:p>
          <w:p>
            <w:pPr>
              <w:pStyle w:val="22"/>
              <w:snapToGrid w:val="0"/>
              <w:ind w:left="7"/>
              <w:jc w:val="center"/>
              <w:rPr>
                <w:sz w:val="24"/>
              </w:rPr>
            </w:pPr>
            <w:r>
              <w:rPr>
                <w:sz w:val="24"/>
              </w:rPr>
              <w:t>3</w:t>
            </w:r>
          </w:p>
        </w:tc>
        <w:tc>
          <w:tcPr>
            <w:tcW w:w="1807" w:type="dxa"/>
            <w:tcBorders>
              <w:tl2br w:val="nil"/>
              <w:tr2bl w:val="nil"/>
            </w:tcBorders>
            <w:vAlign w:val="center"/>
          </w:tcPr>
          <w:p>
            <w:pPr>
              <w:pStyle w:val="22"/>
              <w:snapToGrid w:val="0"/>
              <w:ind w:left="107"/>
              <w:jc w:val="center"/>
              <w:rPr>
                <w:sz w:val="24"/>
              </w:rPr>
            </w:pPr>
            <w:r>
              <w:rPr>
                <w:sz w:val="24"/>
              </w:rPr>
              <w:t>采购代理机构</w:t>
            </w:r>
          </w:p>
        </w:tc>
        <w:tc>
          <w:tcPr>
            <w:tcW w:w="7232" w:type="dxa"/>
            <w:tcBorders>
              <w:tl2br w:val="nil"/>
              <w:tr2bl w:val="nil"/>
            </w:tcBorders>
          </w:tcPr>
          <w:p>
            <w:pPr>
              <w:pStyle w:val="22"/>
              <w:snapToGrid w:val="0"/>
              <w:spacing w:line="360" w:lineRule="auto"/>
              <w:ind w:left="107"/>
              <w:rPr>
                <w:sz w:val="24"/>
              </w:rPr>
            </w:pPr>
            <w:r>
              <w:rPr>
                <w:sz w:val="24"/>
              </w:rPr>
              <w:t>名称：</w:t>
            </w:r>
            <w:r>
              <w:rPr>
                <w:rFonts w:hint="eastAsia"/>
                <w:sz w:val="24"/>
                <w:lang w:val="en-US" w:eastAsia="zh-CN"/>
              </w:rPr>
              <w:t>新疆中咨建设项目管理有限公司</w:t>
            </w:r>
          </w:p>
          <w:p>
            <w:pPr>
              <w:pStyle w:val="22"/>
              <w:snapToGrid w:val="0"/>
              <w:spacing w:line="360" w:lineRule="auto"/>
              <w:ind w:left="107" w:right="512"/>
              <w:rPr>
                <w:sz w:val="24"/>
                <w:lang w:val="en-US"/>
              </w:rPr>
            </w:pPr>
            <w:r>
              <w:rPr>
                <w:sz w:val="24"/>
              </w:rPr>
              <w:t>地址：</w:t>
            </w:r>
            <w:r>
              <w:rPr>
                <w:rFonts w:hint="eastAsia"/>
                <w:sz w:val="24"/>
              </w:rPr>
              <w:t>乌鲁木齐市水磨沟区会展大道1119号大成尔雅A座</w:t>
            </w:r>
            <w:r>
              <w:rPr>
                <w:rFonts w:hint="eastAsia"/>
                <w:sz w:val="24"/>
                <w:lang w:val="en-US" w:eastAsia="zh-CN"/>
              </w:rPr>
              <w:t>5</w:t>
            </w:r>
            <w:r>
              <w:rPr>
                <w:rFonts w:hint="eastAsia"/>
                <w:sz w:val="24"/>
              </w:rPr>
              <w:t>楼</w:t>
            </w:r>
          </w:p>
          <w:p>
            <w:pPr>
              <w:pStyle w:val="22"/>
              <w:snapToGrid w:val="0"/>
              <w:spacing w:line="360" w:lineRule="auto"/>
              <w:ind w:left="107"/>
              <w:rPr>
                <w:sz w:val="24"/>
                <w:lang w:val="en-US"/>
              </w:rPr>
            </w:pPr>
            <w:r>
              <w:rPr>
                <w:rFonts w:hint="eastAsia"/>
                <w:sz w:val="24"/>
                <w:lang w:val="en-US" w:eastAsia="zh-CN"/>
              </w:rPr>
              <w:t>联系方式</w:t>
            </w:r>
            <w:r>
              <w:rPr>
                <w:rFonts w:hint="eastAsia"/>
                <w:sz w:val="24"/>
              </w:rPr>
              <w:t>：</w:t>
            </w:r>
            <w:r>
              <w:rPr>
                <w:rFonts w:hint="eastAsia"/>
                <w:sz w:val="24"/>
                <w:lang w:val="en-US" w:eastAsia="zh-CN"/>
              </w:rPr>
              <w:t>0991-4603819/13079967765</w:t>
            </w:r>
          </w:p>
          <w:p>
            <w:pPr>
              <w:pStyle w:val="22"/>
              <w:snapToGrid w:val="0"/>
              <w:spacing w:line="360" w:lineRule="auto"/>
              <w:ind w:left="107"/>
              <w:rPr>
                <w:rFonts w:hint="eastAsia" w:eastAsia="宋体"/>
                <w:sz w:val="24"/>
                <w:lang w:val="en-US" w:eastAsia="zh-CN"/>
              </w:rPr>
            </w:pPr>
            <w:r>
              <w:rPr>
                <w:sz w:val="24"/>
              </w:rPr>
              <w:t>联系人：</w:t>
            </w:r>
            <w:r>
              <w:rPr>
                <w:rFonts w:hint="eastAsia"/>
                <w:sz w:val="24"/>
                <w:lang w:val="en-US" w:eastAsia="zh-CN"/>
              </w:rPr>
              <w:t>吴斌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862" w:type="dxa"/>
            <w:tcBorders>
              <w:tl2br w:val="nil"/>
              <w:tr2bl w:val="nil"/>
            </w:tcBorders>
            <w:vAlign w:val="center"/>
          </w:tcPr>
          <w:p>
            <w:pPr>
              <w:pStyle w:val="22"/>
              <w:snapToGrid w:val="0"/>
              <w:ind w:left="7"/>
              <w:jc w:val="center"/>
              <w:rPr>
                <w:sz w:val="24"/>
              </w:rPr>
            </w:pPr>
            <w:r>
              <w:rPr>
                <w:sz w:val="24"/>
              </w:rPr>
              <w:t>4</w:t>
            </w:r>
          </w:p>
        </w:tc>
        <w:tc>
          <w:tcPr>
            <w:tcW w:w="1807" w:type="dxa"/>
            <w:tcBorders>
              <w:tl2br w:val="nil"/>
              <w:tr2bl w:val="nil"/>
            </w:tcBorders>
            <w:vAlign w:val="center"/>
          </w:tcPr>
          <w:p>
            <w:pPr>
              <w:pStyle w:val="22"/>
              <w:snapToGrid w:val="0"/>
              <w:ind w:left="4" w:right="37" w:hanging="4"/>
              <w:jc w:val="center"/>
              <w:rPr>
                <w:sz w:val="24"/>
              </w:rPr>
            </w:pPr>
            <w:r>
              <w:rPr>
                <w:sz w:val="24"/>
              </w:rPr>
              <w:t>供应商资格要求</w:t>
            </w:r>
          </w:p>
        </w:tc>
        <w:tc>
          <w:tcPr>
            <w:tcW w:w="7232" w:type="dxa"/>
            <w:tcBorders>
              <w:tl2br w:val="nil"/>
              <w:tr2bl w:val="nil"/>
            </w:tcBorders>
          </w:tcPr>
          <w:p>
            <w:pPr>
              <w:pStyle w:val="22"/>
              <w:numPr>
                <w:ilvl w:val="255"/>
                <w:numId w:val="0"/>
              </w:numPr>
              <w:tabs>
                <w:tab w:val="left" w:pos="709"/>
              </w:tabs>
              <w:snapToGrid w:val="0"/>
              <w:spacing w:line="400" w:lineRule="exact"/>
              <w:ind w:left="107"/>
              <w:jc w:val="both"/>
              <w:rPr>
                <w:sz w:val="24"/>
              </w:rPr>
            </w:pPr>
            <w:r>
              <w:rPr>
                <w:rFonts w:hint="eastAsia"/>
                <w:sz w:val="24"/>
              </w:rPr>
              <w:t>（</w:t>
            </w:r>
            <w:r>
              <w:rPr>
                <w:rFonts w:hint="eastAsia"/>
                <w:sz w:val="24"/>
                <w:lang w:val="en-US"/>
              </w:rPr>
              <w:t>1）</w:t>
            </w:r>
            <w:r>
              <w:rPr>
                <w:rFonts w:hint="eastAsia"/>
                <w:sz w:val="24"/>
              </w:rPr>
              <w:t>符合《中华人民共和国政府采购法》第二十二条的规定；</w:t>
            </w:r>
          </w:p>
          <w:p>
            <w:pPr>
              <w:pStyle w:val="22"/>
              <w:numPr>
                <w:ilvl w:val="255"/>
                <w:numId w:val="0"/>
              </w:numPr>
              <w:tabs>
                <w:tab w:val="left" w:pos="709"/>
              </w:tabs>
              <w:snapToGrid w:val="0"/>
              <w:spacing w:line="400" w:lineRule="exact"/>
              <w:ind w:left="107"/>
              <w:jc w:val="both"/>
              <w:rPr>
                <w:sz w:val="24"/>
              </w:rPr>
            </w:pPr>
            <w:r>
              <w:rPr>
                <w:rFonts w:hint="eastAsia"/>
                <w:sz w:val="24"/>
              </w:rPr>
              <w:t>（</w:t>
            </w:r>
            <w:r>
              <w:rPr>
                <w:rFonts w:hint="eastAsia"/>
                <w:sz w:val="24"/>
                <w:lang w:val="en-US"/>
              </w:rPr>
              <w:t>2）</w:t>
            </w:r>
            <w:r>
              <w:rPr>
                <w:rFonts w:hint="eastAsia"/>
                <w:sz w:val="24"/>
              </w:rPr>
              <w:t>供应商具有合法有效的营业执照、组织机构代码证、税务登记证（若三证合一只须提供营业执照副本）；</w:t>
            </w:r>
          </w:p>
          <w:p>
            <w:pPr>
              <w:pStyle w:val="22"/>
              <w:numPr>
                <w:ilvl w:val="255"/>
                <w:numId w:val="0"/>
              </w:numPr>
              <w:tabs>
                <w:tab w:val="left" w:pos="709"/>
              </w:tabs>
              <w:snapToGrid w:val="0"/>
              <w:spacing w:line="400" w:lineRule="exact"/>
              <w:ind w:left="107"/>
              <w:jc w:val="both"/>
              <w:rPr>
                <w:sz w:val="24"/>
              </w:rPr>
            </w:pPr>
            <w:r>
              <w:rPr>
                <w:rFonts w:hint="eastAsia"/>
                <w:sz w:val="24"/>
              </w:rPr>
              <w:t>（</w:t>
            </w:r>
            <w:r>
              <w:rPr>
                <w:rFonts w:hint="eastAsia"/>
                <w:sz w:val="24"/>
                <w:lang w:val="en-US"/>
              </w:rPr>
              <w:t>3）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与本次单一来源采购活动</w:t>
            </w:r>
            <w:r>
              <w:rPr>
                <w:rFonts w:hint="eastAsia"/>
                <w:sz w:val="24"/>
              </w:rPr>
              <w:t>；</w:t>
            </w:r>
          </w:p>
          <w:p>
            <w:pPr>
              <w:pStyle w:val="22"/>
              <w:numPr>
                <w:ilvl w:val="255"/>
                <w:numId w:val="0"/>
              </w:numPr>
              <w:tabs>
                <w:tab w:val="left" w:pos="709"/>
              </w:tabs>
              <w:snapToGrid w:val="0"/>
              <w:spacing w:line="400" w:lineRule="exact"/>
              <w:ind w:left="107"/>
              <w:jc w:val="both"/>
              <w:rPr>
                <w:sz w:val="24"/>
                <w:lang w:val="en-US"/>
              </w:rPr>
            </w:pPr>
            <w:r>
              <w:rPr>
                <w:rFonts w:hint="eastAsia"/>
                <w:sz w:val="24"/>
              </w:rPr>
              <w:t>（</w:t>
            </w:r>
            <w:r>
              <w:rPr>
                <w:rFonts w:hint="eastAsia"/>
                <w:sz w:val="24"/>
                <w:lang w:val="en-US"/>
              </w:rPr>
              <w:t>4</w:t>
            </w:r>
            <w:r>
              <w:rPr>
                <w:rFonts w:hint="eastAsia"/>
                <w:sz w:val="24"/>
              </w:rPr>
              <w:t>）</w:t>
            </w:r>
            <w:r>
              <w:rPr>
                <w:rFonts w:hint="eastAsia"/>
                <w:sz w:val="24"/>
                <w:lang w:val="en-US"/>
              </w:rPr>
              <w:t>供应商应为专门从事电子出版物的法人单位，所经销的电子出版物均为正式版物；</w:t>
            </w:r>
          </w:p>
          <w:p>
            <w:pPr>
              <w:pStyle w:val="22"/>
              <w:numPr>
                <w:ilvl w:val="255"/>
                <w:numId w:val="0"/>
              </w:numPr>
              <w:tabs>
                <w:tab w:val="left" w:pos="709"/>
              </w:tabs>
              <w:snapToGrid w:val="0"/>
              <w:spacing w:line="400" w:lineRule="exact"/>
              <w:ind w:left="107"/>
              <w:jc w:val="both"/>
              <w:rPr>
                <w:sz w:val="24"/>
              </w:rPr>
            </w:pPr>
            <w:r>
              <w:rPr>
                <w:rFonts w:hint="eastAsia"/>
                <w:sz w:val="24"/>
                <w:lang w:val="en-US"/>
              </w:rPr>
              <w:t>（5）本采购项目不接受联合体投标。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862" w:type="dxa"/>
            <w:tcBorders>
              <w:tl2br w:val="nil"/>
              <w:tr2bl w:val="nil"/>
            </w:tcBorders>
            <w:vAlign w:val="center"/>
          </w:tcPr>
          <w:p>
            <w:pPr>
              <w:pStyle w:val="22"/>
              <w:snapToGrid w:val="0"/>
              <w:jc w:val="center"/>
              <w:rPr>
                <w:sz w:val="24"/>
              </w:rPr>
            </w:pPr>
          </w:p>
          <w:p>
            <w:pPr>
              <w:pStyle w:val="22"/>
              <w:snapToGrid w:val="0"/>
              <w:jc w:val="center"/>
              <w:rPr>
                <w:sz w:val="18"/>
              </w:rPr>
            </w:pPr>
          </w:p>
          <w:p>
            <w:pPr>
              <w:pStyle w:val="22"/>
              <w:snapToGrid w:val="0"/>
              <w:ind w:left="7"/>
              <w:jc w:val="center"/>
              <w:rPr>
                <w:sz w:val="24"/>
              </w:rPr>
            </w:pPr>
            <w:r>
              <w:rPr>
                <w:sz w:val="24"/>
              </w:rPr>
              <w:t>5</w:t>
            </w:r>
          </w:p>
        </w:tc>
        <w:tc>
          <w:tcPr>
            <w:tcW w:w="1807" w:type="dxa"/>
            <w:tcBorders>
              <w:tl2br w:val="nil"/>
              <w:tr2bl w:val="nil"/>
            </w:tcBorders>
            <w:vAlign w:val="center"/>
          </w:tcPr>
          <w:p>
            <w:pPr>
              <w:pStyle w:val="22"/>
              <w:tabs>
                <w:tab w:val="left" w:pos="1980"/>
              </w:tabs>
              <w:snapToGrid w:val="0"/>
              <w:ind w:left="107" w:right="37"/>
              <w:jc w:val="center"/>
              <w:rPr>
                <w:sz w:val="24"/>
              </w:rPr>
            </w:pPr>
            <w:r>
              <w:rPr>
                <w:sz w:val="24"/>
              </w:rPr>
              <w:t>提交响应文件的截止时间和</w:t>
            </w:r>
          </w:p>
          <w:p>
            <w:pPr>
              <w:pStyle w:val="22"/>
              <w:snapToGrid w:val="0"/>
              <w:ind w:left="107"/>
              <w:jc w:val="center"/>
              <w:rPr>
                <w:sz w:val="24"/>
              </w:rPr>
            </w:pPr>
            <w:r>
              <w:rPr>
                <w:sz w:val="24"/>
              </w:rPr>
              <w:t>地点</w:t>
            </w:r>
          </w:p>
        </w:tc>
        <w:tc>
          <w:tcPr>
            <w:tcW w:w="7232" w:type="dxa"/>
            <w:tcBorders>
              <w:tl2br w:val="nil"/>
              <w:tr2bl w:val="nil"/>
            </w:tcBorders>
          </w:tcPr>
          <w:p>
            <w:pPr>
              <w:pStyle w:val="22"/>
              <w:snapToGrid w:val="0"/>
              <w:spacing w:line="360" w:lineRule="auto"/>
              <w:ind w:left="107" w:right="154"/>
              <w:rPr>
                <w:rFonts w:hint="eastAsia"/>
                <w:sz w:val="24"/>
              </w:rPr>
            </w:pPr>
            <w:r>
              <w:rPr>
                <w:rFonts w:hint="eastAsia"/>
                <w:sz w:val="24"/>
              </w:rPr>
              <w:t xml:space="preserve">投标截止时间（开标时间）： </w:t>
            </w:r>
            <w:r>
              <w:rPr>
                <w:rFonts w:hint="eastAsia"/>
                <w:sz w:val="24"/>
                <w:lang w:val="en-US" w:eastAsia="zh-CN"/>
              </w:rPr>
              <w:t>2023</w:t>
            </w:r>
            <w:r>
              <w:rPr>
                <w:rFonts w:hint="eastAsia"/>
                <w:sz w:val="24"/>
              </w:rPr>
              <w:t>年</w:t>
            </w:r>
            <w:r>
              <w:rPr>
                <w:rFonts w:hint="eastAsia"/>
                <w:sz w:val="24"/>
                <w:lang w:val="en-US" w:eastAsia="zh-CN"/>
              </w:rPr>
              <w:t>09</w:t>
            </w:r>
            <w:r>
              <w:rPr>
                <w:rFonts w:hint="eastAsia"/>
                <w:sz w:val="24"/>
              </w:rPr>
              <w:t>月</w:t>
            </w:r>
            <w:r>
              <w:rPr>
                <w:rFonts w:hint="eastAsia"/>
                <w:sz w:val="24"/>
                <w:lang w:val="en-US" w:eastAsia="zh-CN"/>
              </w:rPr>
              <w:t>08</w:t>
            </w:r>
            <w:r>
              <w:rPr>
                <w:rFonts w:hint="eastAsia"/>
                <w:sz w:val="24"/>
              </w:rPr>
              <w:t>日</w:t>
            </w:r>
            <w:r>
              <w:rPr>
                <w:rFonts w:hint="eastAsia"/>
                <w:sz w:val="24"/>
                <w:lang w:val="en-US" w:eastAsia="zh-CN"/>
              </w:rPr>
              <w:t>11</w:t>
            </w:r>
            <w:r>
              <w:rPr>
                <w:rFonts w:hint="eastAsia"/>
                <w:sz w:val="24"/>
              </w:rPr>
              <w:t xml:space="preserve"> 点</w:t>
            </w:r>
            <w:r>
              <w:rPr>
                <w:rFonts w:hint="eastAsia"/>
                <w:sz w:val="24"/>
                <w:lang w:val="en-US" w:eastAsia="zh-CN"/>
              </w:rPr>
              <w:t>00</w:t>
            </w:r>
            <w:r>
              <w:rPr>
                <w:rFonts w:hint="eastAsia"/>
                <w:sz w:val="24"/>
              </w:rPr>
              <w:t xml:space="preserve"> 分。</w:t>
            </w:r>
          </w:p>
          <w:p>
            <w:pPr>
              <w:pStyle w:val="22"/>
              <w:snapToGrid w:val="0"/>
              <w:spacing w:line="360" w:lineRule="auto"/>
              <w:ind w:left="107" w:right="154"/>
              <w:rPr>
                <w:sz w:val="24"/>
              </w:rPr>
            </w:pPr>
            <w:r>
              <w:rPr>
                <w:rFonts w:hint="eastAsia"/>
                <w:sz w:val="24"/>
              </w:rPr>
              <w:t>响应文件递交地址：政采云平台http://www.zcygov.cn 政采云网上不见面开标系统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0" w:hRule="atLeast"/>
        </w:trPr>
        <w:tc>
          <w:tcPr>
            <w:tcW w:w="862" w:type="dxa"/>
            <w:vMerge w:val="restart"/>
            <w:tcBorders>
              <w:tl2br w:val="nil"/>
              <w:tr2bl w:val="nil"/>
            </w:tcBorders>
            <w:vAlign w:val="center"/>
          </w:tcPr>
          <w:p>
            <w:pPr>
              <w:pStyle w:val="22"/>
              <w:snapToGrid w:val="0"/>
              <w:ind w:left="7"/>
              <w:jc w:val="center"/>
              <w:rPr>
                <w:sz w:val="24"/>
              </w:rPr>
            </w:pPr>
            <w:r>
              <w:rPr>
                <w:sz w:val="24"/>
              </w:rPr>
              <w:t>6</w:t>
            </w:r>
          </w:p>
        </w:tc>
        <w:tc>
          <w:tcPr>
            <w:tcW w:w="1807" w:type="dxa"/>
            <w:vMerge w:val="restart"/>
            <w:tcBorders>
              <w:tl2br w:val="nil"/>
              <w:tr2bl w:val="nil"/>
            </w:tcBorders>
            <w:vAlign w:val="center"/>
          </w:tcPr>
          <w:p>
            <w:pPr>
              <w:pStyle w:val="22"/>
              <w:snapToGrid w:val="0"/>
              <w:jc w:val="center"/>
              <w:rPr>
                <w:sz w:val="18"/>
              </w:rPr>
            </w:pPr>
          </w:p>
          <w:p>
            <w:pPr>
              <w:pStyle w:val="22"/>
              <w:snapToGrid w:val="0"/>
              <w:ind w:left="107"/>
              <w:jc w:val="center"/>
              <w:rPr>
                <w:sz w:val="24"/>
              </w:rPr>
            </w:pPr>
            <w:r>
              <w:rPr>
                <w:sz w:val="24"/>
              </w:rPr>
              <w:t>协商保证金</w:t>
            </w:r>
          </w:p>
        </w:tc>
        <w:tc>
          <w:tcPr>
            <w:tcW w:w="7232" w:type="dxa"/>
            <w:tcBorders>
              <w:tl2br w:val="nil"/>
              <w:tr2bl w:val="nil"/>
            </w:tcBorders>
          </w:tcPr>
          <w:p>
            <w:pPr>
              <w:pStyle w:val="22"/>
              <w:snapToGrid w:val="0"/>
              <w:spacing w:line="400" w:lineRule="exact"/>
              <w:ind w:left="107"/>
              <w:rPr>
                <w:sz w:val="24"/>
              </w:rPr>
            </w:pPr>
            <w:r>
              <w:rPr>
                <w:rFonts w:hint="eastAsia"/>
                <w:spacing w:val="-40"/>
                <w:sz w:val="24"/>
              </w:rPr>
              <w:t>☑</w:t>
            </w:r>
            <w:r>
              <w:rPr>
                <w:rFonts w:hint="eastAsia"/>
                <w:spacing w:val="-40"/>
                <w:sz w:val="24"/>
                <w:lang w:val="en-US"/>
              </w:rPr>
              <w:t xml:space="preserve"> </w:t>
            </w:r>
            <w:r>
              <w:rPr>
                <w:sz w:val="24"/>
              </w:rPr>
              <w:t>要求提供</w:t>
            </w:r>
          </w:p>
          <w:p>
            <w:pPr>
              <w:pStyle w:val="22"/>
              <w:snapToGrid w:val="0"/>
              <w:spacing w:line="400" w:lineRule="exact"/>
              <w:ind w:left="108" w:right="152"/>
              <w:rPr>
                <w:sz w:val="24"/>
              </w:rPr>
            </w:pPr>
            <w:r>
              <w:rPr>
                <w:sz w:val="24"/>
              </w:rPr>
              <w:t xml:space="preserve">本项目的协商保证金为人民币： </w:t>
            </w:r>
          </w:p>
          <w:p>
            <w:pPr>
              <w:pStyle w:val="22"/>
              <w:snapToGrid w:val="0"/>
              <w:spacing w:line="400" w:lineRule="exact"/>
              <w:ind w:left="108" w:right="152"/>
              <w:rPr>
                <w:color w:val="000000" w:themeColor="text1"/>
                <w:sz w:val="24"/>
                <w:lang w:val="en-US"/>
                <w14:textFill>
                  <w14:solidFill>
                    <w14:schemeClr w14:val="tx1"/>
                  </w14:solidFill>
                </w14:textFill>
              </w:rPr>
            </w:pPr>
            <w:r>
              <w:rPr>
                <w:spacing w:val="-14"/>
                <w:sz w:val="24"/>
              </w:rPr>
              <w:t>标</w:t>
            </w:r>
            <w:r>
              <w:rPr>
                <w:rFonts w:hint="eastAsia"/>
                <w:spacing w:val="-14"/>
                <w:sz w:val="24"/>
              </w:rPr>
              <w:t>项一</w:t>
            </w:r>
            <w:r>
              <w:rPr>
                <w:color w:val="000000" w:themeColor="text1"/>
                <w:spacing w:val="-14"/>
                <w:sz w:val="24"/>
                <w14:textFill>
                  <w14:solidFill>
                    <w14:schemeClr w14:val="tx1"/>
                  </w14:solidFill>
                </w14:textFill>
              </w:rPr>
              <w:t>：</w:t>
            </w:r>
            <w:r>
              <w:rPr>
                <w:rFonts w:hint="eastAsia"/>
                <w:color w:val="000000" w:themeColor="text1"/>
                <w:spacing w:val="-14"/>
                <w:sz w:val="24"/>
                <w14:textFill>
                  <w14:solidFill>
                    <w14:schemeClr w14:val="tx1"/>
                  </w14:solidFill>
                </w14:textFill>
              </w:rPr>
              <w:t>CNKI系列数据库</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9000</w:t>
            </w:r>
            <w:r>
              <w:rPr>
                <w:rFonts w:hint="eastAsia"/>
                <w:color w:val="000000" w:themeColor="text1"/>
                <w:sz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14:textFill>
                  <w14:solidFill>
                    <w14:schemeClr w14:val="tx1"/>
                  </w14:solidFill>
                </w14:textFill>
              </w:rPr>
              <w:t>标项二：万方数据知识服务云平台V2.0</w:t>
            </w:r>
            <w:r>
              <w:rPr>
                <w:rFonts w:hint="eastAsia"/>
                <w:color w:val="000000" w:themeColor="text1"/>
                <w:sz w:val="24"/>
                <w:szCs w:val="24"/>
                <w:lang w:val="en-US"/>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2600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标项三：读秀知识库</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1200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标项四：百链：</w:t>
            </w:r>
            <w:r>
              <w:rPr>
                <w:rFonts w:hint="eastAsia"/>
                <w:color w:val="000000" w:themeColor="text1"/>
                <w:sz w:val="24"/>
                <w:szCs w:val="24"/>
                <w:lang w:val="en-US" w:eastAsia="zh-CN"/>
                <w14:textFill>
                  <w14:solidFill>
                    <w14:schemeClr w14:val="tx1"/>
                  </w14:solidFill>
                </w14:textFill>
              </w:rPr>
              <w:t>1200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标项五：国务院发展研究中心信息网数据库：</w:t>
            </w:r>
            <w:r>
              <w:rPr>
                <w:rFonts w:hint="eastAsia"/>
                <w:color w:val="000000" w:themeColor="text1"/>
                <w:sz w:val="24"/>
                <w:szCs w:val="24"/>
                <w:lang w:val="en-US" w:eastAsia="zh-CN"/>
                <w14:textFill>
                  <w14:solidFill>
                    <w14:schemeClr w14:val="tx1"/>
                  </w14:solidFill>
                </w14:textFill>
              </w:rPr>
              <w:t>1600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标项六：维普考试系统：</w:t>
            </w:r>
            <w:r>
              <w:rPr>
                <w:rFonts w:hint="eastAsia"/>
                <w:color w:val="000000" w:themeColor="text1"/>
                <w:sz w:val="24"/>
                <w:szCs w:val="24"/>
                <w:lang w:val="en-US" w:eastAsia="zh-CN"/>
                <w14:textFill>
                  <w14:solidFill>
                    <w14:schemeClr w14:val="tx1"/>
                  </w14:solidFill>
                </w14:textFill>
              </w:rPr>
              <w:t>600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标项七：</w:t>
            </w:r>
            <w:r>
              <w:rPr>
                <w:rFonts w:hint="eastAsia"/>
                <w:color w:val="000000" w:themeColor="text1"/>
                <w:sz w:val="24"/>
                <w:szCs w:val="24"/>
                <w:lang w:val="en-US" w:eastAsia="zh-CN"/>
                <w14:textFill>
                  <w14:solidFill>
                    <w14:schemeClr w14:val="tx1"/>
                  </w14:solidFill>
                </w14:textFill>
              </w:rPr>
              <w:t>维普中文期刊服务平台</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1300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标项八：超星电子图书数据库系统：</w:t>
            </w:r>
            <w:r>
              <w:rPr>
                <w:rFonts w:hint="eastAsia"/>
                <w:color w:val="000000" w:themeColor="text1"/>
                <w:sz w:val="24"/>
                <w:szCs w:val="24"/>
                <w:lang w:val="en-US" w:eastAsia="zh-CN"/>
                <w14:textFill>
                  <w14:solidFill>
                    <w14:schemeClr w14:val="tx1"/>
                  </w14:solidFill>
                </w14:textFill>
              </w:rPr>
              <w:t>500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标项九：新东方多媒体学习库：</w:t>
            </w:r>
            <w:r>
              <w:rPr>
                <w:rFonts w:hint="eastAsia"/>
                <w:color w:val="000000" w:themeColor="text1"/>
                <w:sz w:val="24"/>
                <w:szCs w:val="24"/>
                <w:lang w:val="en-US" w:eastAsia="zh-CN"/>
                <w14:textFill>
                  <w14:solidFill>
                    <w14:schemeClr w14:val="tx1"/>
                  </w14:solidFill>
                </w14:textFill>
              </w:rPr>
              <w:t>700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标项十：人大《复印报刊资料》全文、索引数据库信息系统：</w:t>
            </w:r>
            <w:r>
              <w:rPr>
                <w:rFonts w:hint="eastAsia"/>
                <w:color w:val="000000" w:themeColor="text1"/>
                <w:sz w:val="24"/>
                <w:szCs w:val="24"/>
                <w:lang w:val="en-US" w:eastAsia="zh-CN"/>
                <w14:textFill>
                  <w14:solidFill>
                    <w14:schemeClr w14:val="tx1"/>
                  </w14:solidFill>
                </w14:textFill>
              </w:rPr>
              <w:t>500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标项十一：</w:t>
            </w:r>
            <w:r>
              <w:rPr>
                <w:rFonts w:hint="eastAsia"/>
                <w:color w:val="000000" w:themeColor="text1"/>
                <w:sz w:val="24"/>
                <w:szCs w:val="24"/>
                <w:lang w:val="en-US"/>
                <w14:textFill>
                  <w14:solidFill>
                    <w14:schemeClr w14:val="tx1"/>
                  </w14:solidFill>
                </w14:textFill>
              </w:rPr>
              <w:t>起点考研网：</w:t>
            </w:r>
            <w:r>
              <w:rPr>
                <w:rFonts w:hint="eastAsia"/>
                <w:color w:val="000000" w:themeColor="text1"/>
                <w:sz w:val="24"/>
                <w:szCs w:val="24"/>
                <w:lang w:val="en-US" w:eastAsia="zh-CN"/>
                <w14:textFill>
                  <w14:solidFill>
                    <w14:schemeClr w14:val="tx1"/>
                  </w14:solidFill>
                </w14:textFill>
              </w:rPr>
              <w:t>400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标项十二：</w:t>
            </w:r>
            <w:r>
              <w:rPr>
                <w:rFonts w:hint="eastAsia"/>
                <w:color w:val="000000" w:themeColor="text1"/>
                <w:sz w:val="24"/>
                <w:szCs w:val="24"/>
                <w14:textFill>
                  <w14:solidFill>
                    <w14:schemeClr w14:val="tx1"/>
                  </w14:solidFill>
                </w14:textFill>
              </w:rPr>
              <w:t>北大法宝：</w:t>
            </w:r>
            <w:r>
              <w:rPr>
                <w:rFonts w:hint="eastAsia"/>
                <w:color w:val="000000" w:themeColor="text1"/>
                <w:sz w:val="24"/>
                <w:szCs w:val="24"/>
                <w:lang w:val="en-US" w:eastAsia="zh-CN"/>
                <w14:textFill>
                  <w14:solidFill>
                    <w14:schemeClr w14:val="tx1"/>
                  </w14:solidFill>
                </w14:textFill>
              </w:rPr>
              <w:t>200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标项十三：</w:t>
            </w:r>
            <w:r>
              <w:rPr>
                <w:rFonts w:hint="eastAsia"/>
                <w:sz w:val="24"/>
                <w:szCs w:val="24"/>
              </w:rPr>
              <w:t>Wind资讯数据终端</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1100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标项十四：51CTO学堂-IT技能学习在线数据库（普及版）：</w:t>
            </w:r>
            <w:r>
              <w:rPr>
                <w:rFonts w:hint="eastAsia"/>
                <w:color w:val="000000" w:themeColor="text1"/>
                <w:sz w:val="24"/>
                <w:szCs w:val="24"/>
                <w:lang w:val="en-US" w:eastAsia="zh-CN"/>
                <w14:textFill>
                  <w14:solidFill>
                    <w14:schemeClr w14:val="tx1"/>
                  </w14:solidFill>
                </w14:textFill>
              </w:rPr>
              <w:t>8</w:t>
            </w:r>
            <w:r>
              <w:rPr>
                <w:rFonts w:hint="eastAsia"/>
                <w:color w:val="000000" w:themeColor="text1"/>
                <w:sz w:val="24"/>
                <w:szCs w:val="24"/>
                <w:lang w:val="en-US"/>
                <w14:textFill>
                  <w14:solidFill>
                    <w14:schemeClr w14:val="tx1"/>
                  </w14:solidFill>
                </w14:textFill>
              </w:rPr>
              <w:t>00元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标项十五：中文社会科学引文索引（CSSCI）数据库：</w:t>
            </w:r>
            <w:r>
              <w:rPr>
                <w:rFonts w:hint="eastAsia"/>
                <w:color w:val="000000" w:themeColor="text1"/>
                <w:sz w:val="24"/>
                <w:szCs w:val="24"/>
                <w:lang w:val="en-US" w:eastAsia="zh-CN"/>
                <w14:textFill>
                  <w14:solidFill>
                    <w14:schemeClr w14:val="tx1"/>
                  </w14:solidFill>
                </w14:textFill>
              </w:rPr>
              <w:t>150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标项十六：搜数网数据库</w:t>
            </w:r>
            <w:r>
              <w:rPr>
                <w:rFonts w:hint="eastAsia"/>
                <w:color w:val="000000" w:themeColor="text1"/>
                <w:sz w:val="24"/>
                <w:szCs w:val="24"/>
                <w:lang w:val="en-US"/>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val="en-US"/>
                <w14:textFill>
                  <w14:solidFill>
                    <w14:schemeClr w14:val="tx1"/>
                  </w14:solidFill>
                </w14:textFill>
              </w:rPr>
              <w:t>00元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标项十七：</w:t>
            </w:r>
            <w:r>
              <w:rPr>
                <w:rFonts w:hint="eastAsia"/>
                <w:color w:val="000000" w:themeColor="text1"/>
                <w:sz w:val="24"/>
                <w:szCs w:val="24"/>
                <w:highlight w:val="yellow"/>
                <w:lang w:val="en-US" w:eastAsia="zh-CN"/>
                <w14:textFill>
                  <w14:solidFill>
                    <w14:schemeClr w14:val="tx1"/>
                  </w14:solidFill>
                </w14:textFill>
              </w:rPr>
              <w:t>infobank高校财经数据库</w:t>
            </w:r>
            <w:r>
              <w:rPr>
                <w:rFonts w:hint="eastAsia"/>
                <w:color w:val="000000" w:themeColor="text1"/>
                <w:sz w:val="24"/>
                <w:szCs w:val="24"/>
                <w:highlight w:val="yellow"/>
                <w14:textFill>
                  <w14:solidFill>
                    <w14:schemeClr w14:val="tx1"/>
                  </w14:solidFill>
                </w14:textFill>
              </w:rPr>
              <w:t>：</w:t>
            </w:r>
            <w:r>
              <w:rPr>
                <w:rFonts w:hint="eastAsia"/>
                <w:color w:val="000000" w:themeColor="text1"/>
                <w:sz w:val="24"/>
                <w:szCs w:val="24"/>
                <w:highlight w:val="yellow"/>
                <w:lang w:val="en-US" w:eastAsia="zh-CN"/>
                <w14:textFill>
                  <w14:solidFill>
                    <w14:schemeClr w14:val="tx1"/>
                  </w14:solidFill>
                </w14:textFill>
              </w:rPr>
              <w:t>3</w:t>
            </w:r>
            <w:r>
              <w:rPr>
                <w:rFonts w:hint="eastAsia"/>
                <w:color w:val="000000" w:themeColor="text1"/>
                <w:sz w:val="24"/>
                <w:szCs w:val="24"/>
                <w:highlight w:val="yellow"/>
                <w:lang w:val="en-US"/>
                <w14:textFill>
                  <w14:solidFill>
                    <w14:schemeClr w14:val="tx1"/>
                  </w14:solidFill>
                </w14:textFill>
              </w:rPr>
              <w:t>00元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标项十八：</w:t>
            </w:r>
            <w:r>
              <w:rPr>
                <w:rFonts w:hint="eastAsia"/>
                <w:color w:val="000000" w:themeColor="text1"/>
                <w:sz w:val="24"/>
                <w:szCs w:val="24"/>
                <w:lang w:val="en-US" w:eastAsia="zh-CN"/>
                <w14:textFill>
                  <w14:solidFill>
                    <w14:schemeClr w14:val="tx1"/>
                  </w14:solidFill>
                </w14:textFill>
              </w:rPr>
              <w:t>MathSciNet数据库</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1100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rFonts w:hint="eastAsia"/>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标项十九：</w:t>
            </w:r>
            <w:r>
              <w:rPr>
                <w:rFonts w:hint="eastAsia"/>
                <w:color w:val="000000" w:themeColor="text1"/>
                <w:sz w:val="24"/>
                <w:szCs w:val="24"/>
                <w:lang w:val="en-US" w:eastAsia="zh-CN"/>
                <w14:textFill>
                  <w14:solidFill>
                    <w14:schemeClr w14:val="tx1"/>
                  </w14:solidFill>
                </w14:textFill>
              </w:rPr>
              <w:t>ProQuest Dialog</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200元</w:t>
            </w:r>
          </w:p>
          <w:p>
            <w:pPr>
              <w:pStyle w:val="22"/>
              <w:snapToGrid w:val="0"/>
              <w:spacing w:line="400" w:lineRule="exact"/>
              <w:ind w:left="108"/>
              <w:jc w:val="both"/>
              <w:rPr>
                <w:rFonts w:hint="default"/>
                <w:sz w:val="24"/>
                <w:szCs w:val="24"/>
                <w:lang w:val="en-US" w:eastAsia="zh-CN"/>
              </w:rPr>
            </w:pPr>
            <w:r>
              <w:rPr>
                <w:rFonts w:hint="eastAsia"/>
                <w:sz w:val="24"/>
                <w:szCs w:val="24"/>
                <w:lang w:val="en-US" w:eastAsia="zh-CN"/>
              </w:rPr>
              <w:t>标项二十：WorldSciNet数据库：1300元</w:t>
            </w:r>
          </w:p>
          <w:p>
            <w:pPr>
              <w:pStyle w:val="22"/>
              <w:snapToGrid w:val="0"/>
              <w:spacing w:line="400" w:lineRule="exact"/>
              <w:ind w:left="108"/>
              <w:jc w:val="both"/>
              <w:rPr>
                <w:rFonts w:hint="default"/>
                <w:color w:val="000000" w:themeColor="text1"/>
                <w:sz w:val="24"/>
                <w:szCs w:val="24"/>
                <w:lang w:val="en-US"/>
                <w14:textFill>
                  <w14:solidFill>
                    <w14:schemeClr w14:val="tx1"/>
                  </w14:solidFill>
                </w14:textFill>
              </w:rPr>
            </w:pPr>
            <w:r>
              <w:rPr>
                <w:rFonts w:hint="eastAsia"/>
                <w:sz w:val="24"/>
                <w:szCs w:val="24"/>
                <w:lang w:val="en-US" w:eastAsia="zh-CN"/>
              </w:rPr>
              <w:t>标项二十一：科研成果检测系统：300元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标项二十</w:t>
            </w:r>
            <w:r>
              <w:rPr>
                <w:rFonts w:hint="eastAsia"/>
                <w:color w:val="000000" w:themeColor="text1"/>
                <w:sz w:val="24"/>
                <w:szCs w:val="24"/>
                <w:lang w:val="en-US" w:eastAsia="zh-CN"/>
                <w14:textFill>
                  <w14:solidFill>
                    <w14:schemeClr w14:val="tx1"/>
                  </w14:solidFill>
                </w14:textFill>
              </w:rPr>
              <w:t>二</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科研人事论文诚信档案管理系统</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1000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标项二十</w:t>
            </w:r>
            <w:r>
              <w:rPr>
                <w:rFonts w:hint="eastAsia"/>
                <w:color w:val="000000" w:themeColor="text1"/>
                <w:sz w:val="24"/>
                <w:szCs w:val="24"/>
                <w:lang w:val="en-US" w:eastAsia="zh-CN"/>
                <w14:textFill>
                  <w14:solidFill>
                    <w14:schemeClr w14:val="tx1"/>
                  </w14:solidFill>
                </w14:textFill>
              </w:rPr>
              <w:t>三</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Worldlib人工智能在线咨询平台</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2500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标项二十</w:t>
            </w:r>
            <w:r>
              <w:rPr>
                <w:rFonts w:hint="eastAsia"/>
                <w:color w:val="000000" w:themeColor="text1"/>
                <w:sz w:val="24"/>
                <w:szCs w:val="24"/>
                <w:lang w:val="en-US" w:eastAsia="zh-CN"/>
                <w14:textFill>
                  <w14:solidFill>
                    <w14:schemeClr w14:val="tx1"/>
                  </w14:solidFill>
                </w14:textFill>
              </w:rPr>
              <w:t>四</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中国知网研学平台</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2000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rPr>
                <w:rFonts w:hint="eastAsia"/>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标项二十</w:t>
            </w:r>
            <w:r>
              <w:rPr>
                <w:rFonts w:hint="eastAsia"/>
                <w:color w:val="000000" w:themeColor="text1"/>
                <w:sz w:val="24"/>
                <w:szCs w:val="24"/>
                <w:lang w:val="en-US" w:eastAsia="zh-CN"/>
                <w14:textFill>
                  <w14:solidFill>
                    <w14:schemeClr w14:val="tx1"/>
                  </w14:solidFill>
                </w14:textFill>
              </w:rPr>
              <w:t>五</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大为innojoy专利搜索引擎系统</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1000</w:t>
            </w:r>
            <w:r>
              <w:rPr>
                <w:rFonts w:hint="eastAsia"/>
                <w:color w:val="000000" w:themeColor="text1"/>
                <w:sz w:val="24"/>
                <w:szCs w:val="24"/>
                <w:lang w:val="en-US"/>
                <w14:textFill>
                  <w14:solidFill>
                    <w14:schemeClr w14:val="tx1"/>
                  </w14:solidFill>
                </w14:textFill>
              </w:rPr>
              <w:t>元</w:t>
            </w:r>
          </w:p>
          <w:p>
            <w:pPr>
              <w:pStyle w:val="22"/>
              <w:snapToGrid w:val="0"/>
              <w:spacing w:line="400" w:lineRule="exact"/>
              <w:ind w:left="108"/>
              <w:jc w:val="both"/>
              <w:rPr>
                <w:rFonts w:hint="default"/>
                <w:sz w:val="24"/>
                <w:szCs w:val="24"/>
                <w:lang w:val="en-US"/>
              </w:rPr>
            </w:pPr>
            <w:r>
              <w:rPr>
                <w:rFonts w:hint="eastAsia"/>
                <w:sz w:val="24"/>
                <w:szCs w:val="24"/>
              </w:rPr>
              <w:t>标项二十</w:t>
            </w:r>
            <w:r>
              <w:rPr>
                <w:rFonts w:hint="eastAsia"/>
                <w:sz w:val="24"/>
                <w:szCs w:val="24"/>
                <w:lang w:val="en-US" w:eastAsia="zh-CN"/>
              </w:rPr>
              <w:t>六</w:t>
            </w:r>
            <w:r>
              <w:rPr>
                <w:rFonts w:hint="eastAsia"/>
                <w:sz w:val="24"/>
                <w:szCs w:val="24"/>
              </w:rPr>
              <w:t>：</w:t>
            </w:r>
            <w:r>
              <w:rPr>
                <w:rFonts w:hint="eastAsia"/>
                <w:sz w:val="24"/>
                <w:szCs w:val="24"/>
                <w:lang w:val="en-US" w:eastAsia="zh-CN"/>
              </w:rPr>
              <w:t>Worldlib国外文献整合平台：1500元</w:t>
            </w:r>
          </w:p>
          <w:p>
            <w:pPr>
              <w:pStyle w:val="22"/>
              <w:snapToGrid w:val="0"/>
              <w:spacing w:line="400" w:lineRule="exact"/>
              <w:ind w:left="108"/>
              <w:rPr>
                <w:rFonts w:hint="default"/>
                <w:color w:val="000000" w:themeColor="text1"/>
                <w:sz w:val="24"/>
                <w:szCs w:val="24"/>
                <w:lang w:val="en-US"/>
                <w14:textFill>
                  <w14:solidFill>
                    <w14:schemeClr w14:val="tx1"/>
                  </w14:solidFill>
                </w14:textFill>
              </w:rPr>
            </w:pPr>
            <w:r>
              <w:rPr>
                <w:rFonts w:hint="eastAsia"/>
                <w:sz w:val="24"/>
                <w:szCs w:val="24"/>
              </w:rPr>
              <w:t>标项二十</w:t>
            </w:r>
            <w:r>
              <w:rPr>
                <w:rFonts w:hint="eastAsia"/>
                <w:sz w:val="24"/>
                <w:szCs w:val="24"/>
                <w:lang w:val="en-US" w:eastAsia="zh-CN"/>
              </w:rPr>
              <w:t>七</w:t>
            </w:r>
            <w:r>
              <w:rPr>
                <w:rFonts w:hint="eastAsia"/>
                <w:sz w:val="24"/>
                <w:szCs w:val="24"/>
              </w:rPr>
              <w:t>：</w:t>
            </w:r>
            <w:r>
              <w:rPr>
                <w:rFonts w:hint="eastAsia"/>
                <w:sz w:val="24"/>
                <w:szCs w:val="24"/>
                <w:lang w:val="en-US" w:eastAsia="zh-CN"/>
              </w:rPr>
              <w:t>教参资源管理平台：4200元</w:t>
            </w:r>
          </w:p>
          <w:p>
            <w:pPr>
              <w:pStyle w:val="22"/>
              <w:snapToGrid w:val="0"/>
              <w:spacing w:line="400" w:lineRule="exact"/>
              <w:ind w:left="107"/>
              <w:rPr>
                <w:sz w:val="24"/>
              </w:rPr>
            </w:pPr>
            <w:r>
              <w:rPr>
                <w:sz w:val="24"/>
              </w:rPr>
              <w:t>协商保证金到账截止时间：同协商截止时间。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trPr>
        <w:tc>
          <w:tcPr>
            <w:tcW w:w="862" w:type="dxa"/>
            <w:vMerge w:val="continue"/>
            <w:tcBorders>
              <w:tl2br w:val="nil"/>
              <w:tr2bl w:val="nil"/>
            </w:tcBorders>
            <w:vAlign w:val="center"/>
          </w:tcPr>
          <w:p>
            <w:pPr>
              <w:pStyle w:val="22"/>
              <w:snapToGrid w:val="0"/>
              <w:jc w:val="center"/>
              <w:rPr>
                <w:rFonts w:ascii="Times New Roman"/>
              </w:rPr>
            </w:pPr>
          </w:p>
        </w:tc>
        <w:tc>
          <w:tcPr>
            <w:tcW w:w="1807" w:type="dxa"/>
            <w:vMerge w:val="continue"/>
            <w:tcBorders>
              <w:tl2br w:val="nil"/>
              <w:tr2bl w:val="nil"/>
            </w:tcBorders>
            <w:vAlign w:val="center"/>
          </w:tcPr>
          <w:p>
            <w:pPr>
              <w:pStyle w:val="22"/>
              <w:snapToGrid w:val="0"/>
              <w:jc w:val="center"/>
              <w:rPr>
                <w:rFonts w:ascii="Times New Roman"/>
              </w:rPr>
            </w:pPr>
          </w:p>
        </w:tc>
        <w:tc>
          <w:tcPr>
            <w:tcW w:w="7232" w:type="dxa"/>
            <w:tcBorders>
              <w:tl2br w:val="nil"/>
              <w:tr2bl w:val="nil"/>
            </w:tcBorders>
          </w:tcPr>
          <w:p>
            <w:pPr>
              <w:pStyle w:val="22"/>
              <w:snapToGrid w:val="0"/>
              <w:spacing w:line="400" w:lineRule="exact"/>
              <w:ind w:left="107" w:right="151"/>
              <w:rPr>
                <w:rFonts w:hint="default" w:eastAsia="宋体"/>
                <w:sz w:val="24"/>
                <w:lang w:val="en-US" w:eastAsia="zh-CN"/>
              </w:rPr>
            </w:pPr>
            <w:r>
              <w:rPr>
                <w:rFonts w:hint="default" w:ascii="Calibri" w:hAnsi="Calibri" w:cs="Calibri"/>
                <w:sz w:val="24"/>
                <w:lang w:val="en-US"/>
              </w:rPr>
              <w:t>①</w:t>
            </w:r>
            <w:r>
              <w:rPr>
                <w:rFonts w:hint="eastAsia"/>
                <w:sz w:val="24"/>
                <w:lang w:val="en-US"/>
              </w:rPr>
              <w:t>协商</w:t>
            </w:r>
            <w:r>
              <w:rPr>
                <w:rFonts w:hint="eastAsia"/>
                <w:sz w:val="24"/>
              </w:rPr>
              <w:t>保证金</w:t>
            </w:r>
            <w:r>
              <w:rPr>
                <w:rFonts w:hint="eastAsia"/>
                <w:sz w:val="24"/>
                <w:lang w:val="en-US" w:eastAsia="zh-CN"/>
              </w:rPr>
              <w:t>汇至账户：</w:t>
            </w:r>
          </w:p>
          <w:p>
            <w:pPr>
              <w:pStyle w:val="22"/>
              <w:snapToGrid w:val="0"/>
              <w:spacing w:line="400" w:lineRule="exact"/>
              <w:ind w:left="107" w:right="151"/>
              <w:rPr>
                <w:rFonts w:hint="eastAsia"/>
                <w:b/>
                <w:bCs/>
                <w:sz w:val="24"/>
                <w:lang w:val="en-US"/>
              </w:rPr>
            </w:pPr>
            <w:r>
              <w:rPr>
                <w:rFonts w:hint="eastAsia"/>
                <w:b/>
                <w:bCs/>
                <w:sz w:val="24"/>
                <w:lang w:val="en-US"/>
              </w:rPr>
              <w:t>开户单位名称：新疆中咨建设项目管理有限公司乌鲁木齐二分公司</w:t>
            </w:r>
          </w:p>
          <w:p>
            <w:pPr>
              <w:pStyle w:val="22"/>
              <w:snapToGrid w:val="0"/>
              <w:spacing w:line="400" w:lineRule="exact"/>
              <w:ind w:left="107" w:right="151"/>
              <w:rPr>
                <w:rFonts w:hint="eastAsia"/>
                <w:b/>
                <w:bCs/>
                <w:sz w:val="24"/>
                <w:lang w:val="en-US"/>
              </w:rPr>
            </w:pPr>
            <w:r>
              <w:rPr>
                <w:rFonts w:hint="eastAsia"/>
                <w:b/>
                <w:bCs/>
                <w:sz w:val="24"/>
                <w:lang w:val="en-US"/>
              </w:rPr>
              <w:t>开户银行：招商银行股份有限公司乌鲁木齐南湖东路支行</w:t>
            </w:r>
          </w:p>
          <w:p>
            <w:pPr>
              <w:pStyle w:val="22"/>
              <w:snapToGrid w:val="0"/>
              <w:spacing w:line="400" w:lineRule="exact"/>
              <w:ind w:left="107" w:right="151"/>
              <w:rPr>
                <w:rFonts w:hint="eastAsia"/>
                <w:b/>
                <w:bCs/>
                <w:sz w:val="24"/>
                <w:lang w:val="en-US"/>
              </w:rPr>
            </w:pPr>
            <w:r>
              <w:rPr>
                <w:rFonts w:hint="eastAsia"/>
                <w:b/>
                <w:bCs/>
                <w:sz w:val="24"/>
                <w:lang w:val="en-US"/>
              </w:rPr>
              <w:t>账号：991904389610902</w:t>
            </w:r>
          </w:p>
          <w:p>
            <w:pPr>
              <w:pStyle w:val="22"/>
              <w:snapToGrid w:val="0"/>
              <w:spacing w:line="400" w:lineRule="exact"/>
              <w:ind w:left="107" w:right="151"/>
              <w:rPr>
                <w:rFonts w:hint="eastAsia"/>
                <w:b/>
                <w:bCs/>
                <w:sz w:val="24"/>
                <w:lang w:val="en-US"/>
              </w:rPr>
            </w:pPr>
            <w:r>
              <w:rPr>
                <w:rFonts w:hint="eastAsia"/>
                <w:b/>
                <w:bCs/>
                <w:sz w:val="24"/>
                <w:lang w:val="en-US"/>
              </w:rPr>
              <w:t>行号：308881029139</w:t>
            </w:r>
          </w:p>
          <w:p>
            <w:pPr>
              <w:pStyle w:val="22"/>
              <w:snapToGrid w:val="0"/>
              <w:spacing w:line="400" w:lineRule="exact"/>
              <w:ind w:left="107" w:right="151"/>
              <w:rPr>
                <w:sz w:val="24"/>
              </w:rPr>
            </w:pPr>
            <w:r>
              <w:rPr>
                <w:rFonts w:hint="eastAsia"/>
                <w:sz w:val="24"/>
                <w:lang w:val="en-US"/>
              </w:rPr>
              <w:t>协商</w:t>
            </w:r>
            <w:r>
              <w:rPr>
                <w:rFonts w:hint="eastAsia"/>
                <w:sz w:val="24"/>
              </w:rPr>
              <w:t>保证金递交须知：</w:t>
            </w:r>
          </w:p>
          <w:p>
            <w:pPr>
              <w:pStyle w:val="22"/>
              <w:snapToGrid w:val="0"/>
              <w:spacing w:line="400" w:lineRule="exact"/>
              <w:ind w:left="107" w:right="151"/>
              <w:rPr>
                <w:sz w:val="24"/>
              </w:rPr>
            </w:pPr>
            <w:r>
              <w:rPr>
                <w:rFonts w:hint="eastAsia"/>
                <w:sz w:val="24"/>
              </w:rPr>
              <w:t>（一）</w:t>
            </w:r>
            <w:r>
              <w:rPr>
                <w:rFonts w:hint="eastAsia"/>
                <w:sz w:val="24"/>
                <w:lang w:val="en-US"/>
              </w:rPr>
              <w:t>协商</w:t>
            </w:r>
            <w:r>
              <w:rPr>
                <w:rFonts w:hint="eastAsia"/>
                <w:sz w:val="24"/>
              </w:rPr>
              <w:t>保证金提交方式为银行电汇、网银</w:t>
            </w:r>
            <w:r>
              <w:rPr>
                <w:rFonts w:hint="eastAsia"/>
                <w:sz w:val="24"/>
                <w:lang w:val="en-US" w:eastAsia="zh-CN"/>
              </w:rPr>
              <w:t>等</w:t>
            </w:r>
            <w:r>
              <w:rPr>
                <w:rFonts w:hint="eastAsia"/>
                <w:sz w:val="24"/>
              </w:rPr>
              <w:t>方式的</w:t>
            </w:r>
            <w:r>
              <w:rPr>
                <w:rFonts w:hint="eastAsia"/>
                <w:sz w:val="24"/>
                <w:lang w:val="en-US"/>
              </w:rPr>
              <w:t>协商</w:t>
            </w:r>
            <w:r>
              <w:rPr>
                <w:rFonts w:hint="eastAsia"/>
                <w:sz w:val="24"/>
              </w:rPr>
              <w:t>保证金。</w:t>
            </w:r>
          </w:p>
          <w:p>
            <w:pPr>
              <w:pStyle w:val="22"/>
              <w:snapToGrid w:val="0"/>
              <w:spacing w:line="400" w:lineRule="exact"/>
              <w:ind w:left="107" w:right="151"/>
              <w:rPr>
                <w:sz w:val="24"/>
              </w:rPr>
            </w:pPr>
            <w:r>
              <w:rPr>
                <w:rFonts w:hint="eastAsia"/>
                <w:sz w:val="24"/>
              </w:rPr>
              <w:t>（二）供应商必须从基本账户以电汇或网银方式提交保证金，且</w:t>
            </w:r>
            <w:r>
              <w:rPr>
                <w:rFonts w:hint="eastAsia"/>
                <w:sz w:val="24"/>
                <w:lang w:val="en-US"/>
              </w:rPr>
              <w:t>协商</w:t>
            </w:r>
            <w:r>
              <w:rPr>
                <w:rFonts w:hint="eastAsia"/>
                <w:sz w:val="24"/>
              </w:rPr>
              <w:t>保证金单位名称必须与供应商登记的单位名称一致，不得以分公司、办事处或其他机构名义递交。</w:t>
            </w:r>
          </w:p>
          <w:p>
            <w:pPr>
              <w:pStyle w:val="22"/>
              <w:snapToGrid w:val="0"/>
              <w:spacing w:line="400" w:lineRule="exact"/>
              <w:ind w:left="107" w:right="151"/>
              <w:rPr>
                <w:sz w:val="24"/>
              </w:rPr>
            </w:pPr>
            <w:r>
              <w:rPr>
                <w:rFonts w:hint="eastAsia"/>
                <w:sz w:val="24"/>
              </w:rPr>
              <w:t>（三）</w:t>
            </w:r>
            <w:r>
              <w:rPr>
                <w:sz w:val="24"/>
              </w:rPr>
              <w:t>协商保证金以到账信息为准，供应商应充分考虑在途时间，供应商未按照协商文件要求提交协商保证金的，协商无效。</w:t>
            </w:r>
          </w:p>
          <w:p>
            <w:pPr>
              <w:pStyle w:val="22"/>
              <w:tabs>
                <w:tab w:val="left" w:pos="5679"/>
              </w:tabs>
              <w:snapToGrid w:val="0"/>
              <w:spacing w:line="400" w:lineRule="exact"/>
              <w:ind w:left="107"/>
              <w:rPr>
                <w:rFonts w:hint="eastAsia"/>
                <w:sz w:val="24"/>
                <w:lang w:eastAsia="zh-CN"/>
              </w:rPr>
            </w:pPr>
            <w:r>
              <w:rPr>
                <w:sz w:val="24"/>
              </w:rPr>
              <w:t>注：汇款单上需注明项目名称</w:t>
            </w:r>
            <w:r>
              <w:rPr>
                <w:rFonts w:hint="eastAsia"/>
                <w:sz w:val="24"/>
                <w:lang w:val="en-US" w:eastAsia="zh-CN"/>
              </w:rPr>
              <w:t>、</w:t>
            </w:r>
            <w:r>
              <w:rPr>
                <w:sz w:val="24"/>
              </w:rPr>
              <w:t>编号</w:t>
            </w:r>
            <w:r>
              <w:rPr>
                <w:rFonts w:hint="eastAsia"/>
                <w:sz w:val="24"/>
                <w:lang w:eastAsia="zh-CN"/>
              </w:rPr>
              <w:t>及标项号</w:t>
            </w:r>
            <w:r>
              <w:rPr>
                <w:sz w:val="24"/>
              </w:rPr>
              <w:t>。</w:t>
            </w:r>
            <w:r>
              <w:rPr>
                <w:rFonts w:hint="eastAsia"/>
                <w:sz w:val="24"/>
                <w:lang w:eastAsia="zh-CN"/>
              </w:rPr>
              <w:tab/>
            </w:r>
          </w:p>
          <w:p>
            <w:pPr>
              <w:pStyle w:val="22"/>
              <w:tabs>
                <w:tab w:val="left" w:pos="5679"/>
              </w:tabs>
              <w:snapToGrid w:val="0"/>
              <w:spacing w:line="400" w:lineRule="exact"/>
              <w:ind w:left="107"/>
              <w:rPr>
                <w:rFonts w:hint="eastAsia"/>
                <w:b/>
                <w:bCs/>
                <w:sz w:val="24"/>
                <w:lang w:val="en-US" w:eastAsia="zh-CN"/>
              </w:rPr>
            </w:pPr>
            <w:r>
              <w:rPr>
                <w:rFonts w:hint="default" w:ascii="Calibri" w:hAnsi="Calibri" w:cs="Calibri"/>
                <w:b/>
                <w:bCs/>
                <w:sz w:val="24"/>
                <w:lang w:val="en-US" w:eastAsia="zh-CN"/>
              </w:rPr>
              <w:t>②</w:t>
            </w:r>
            <w:r>
              <w:rPr>
                <w:rFonts w:hint="eastAsia"/>
                <w:b/>
                <w:bCs/>
                <w:sz w:val="24"/>
                <w:lang w:val="en-US" w:eastAsia="zh-CN"/>
              </w:rPr>
              <w:t>电子保函须知</w:t>
            </w:r>
          </w:p>
          <w:p>
            <w:pPr>
              <w:pStyle w:val="22"/>
              <w:tabs>
                <w:tab w:val="left" w:pos="5679"/>
              </w:tabs>
              <w:snapToGrid w:val="0"/>
              <w:spacing w:line="400" w:lineRule="exact"/>
              <w:ind w:left="107"/>
              <w:rPr>
                <w:rFonts w:hint="eastAsia"/>
                <w:sz w:val="24"/>
                <w:lang w:val="en-US" w:eastAsia="zh-CN"/>
              </w:rPr>
            </w:pPr>
            <w:r>
              <w:rPr>
                <w:rFonts w:hint="eastAsia"/>
                <w:sz w:val="24"/>
                <w:lang w:val="en-US" w:eastAsia="zh-CN"/>
              </w:rPr>
              <w:t>(1)本项目可使用政采云电子保函形式缴纳投标保证金，在线完成保函的申请、审核、开票、出函等环节；</w:t>
            </w:r>
          </w:p>
          <w:p>
            <w:pPr>
              <w:pStyle w:val="22"/>
              <w:tabs>
                <w:tab w:val="left" w:pos="5679"/>
              </w:tabs>
              <w:snapToGrid w:val="0"/>
              <w:spacing w:line="400" w:lineRule="exact"/>
              <w:ind w:left="107"/>
              <w:rPr>
                <w:rFonts w:hint="eastAsia"/>
                <w:sz w:val="24"/>
                <w:lang w:val="en-US" w:eastAsia="zh-CN"/>
              </w:rPr>
            </w:pPr>
            <w:r>
              <w:rPr>
                <w:rFonts w:hint="eastAsia"/>
                <w:sz w:val="24"/>
                <w:lang w:val="en-US" w:eastAsia="zh-CN"/>
              </w:rPr>
              <w:t>(2)如采用政采云电子保函形式，可按照以下形式进行在线申请，电子保函申请链接（https://jinrong.zcygov.cn/finance/letter/product/detail?id=30&amp;source=41），如遇问题可拨打客服电话：4009039583；</w:t>
            </w:r>
          </w:p>
          <w:p>
            <w:pPr>
              <w:pStyle w:val="22"/>
              <w:tabs>
                <w:tab w:val="left" w:pos="5679"/>
              </w:tabs>
              <w:snapToGrid w:val="0"/>
              <w:spacing w:line="400" w:lineRule="exact"/>
              <w:ind w:left="107"/>
              <w:rPr>
                <w:rFonts w:hint="eastAsia"/>
                <w:sz w:val="24"/>
                <w:lang w:eastAsia="zh-CN"/>
              </w:rPr>
            </w:pPr>
            <w:r>
              <w:rPr>
                <w:rFonts w:hint="eastAsia"/>
                <w:sz w:val="24"/>
                <w:lang w:val="en-US" w:eastAsia="zh-CN"/>
              </w:rPr>
              <w:t>(3)开标前将保函制作到电子响应文件即可。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5" w:hRule="atLeast"/>
        </w:trPr>
        <w:tc>
          <w:tcPr>
            <w:tcW w:w="862" w:type="dxa"/>
            <w:tcBorders>
              <w:tl2br w:val="nil"/>
              <w:tr2bl w:val="nil"/>
            </w:tcBorders>
            <w:vAlign w:val="center"/>
          </w:tcPr>
          <w:p>
            <w:pPr>
              <w:pStyle w:val="22"/>
              <w:snapToGrid w:val="0"/>
              <w:jc w:val="center"/>
              <w:rPr>
                <w:rFonts w:ascii="Times New Roman"/>
                <w:lang w:val="en-US"/>
              </w:rPr>
            </w:pPr>
            <w:r>
              <w:rPr>
                <w:rFonts w:hint="eastAsia" w:ascii="Times New Roman"/>
                <w:lang w:val="en-US"/>
              </w:rPr>
              <w:t>7</w:t>
            </w:r>
          </w:p>
        </w:tc>
        <w:tc>
          <w:tcPr>
            <w:tcW w:w="1807" w:type="dxa"/>
            <w:tcBorders>
              <w:tl2br w:val="nil"/>
              <w:tr2bl w:val="nil"/>
            </w:tcBorders>
            <w:vAlign w:val="center"/>
          </w:tcPr>
          <w:p>
            <w:pPr>
              <w:pStyle w:val="22"/>
              <w:snapToGrid w:val="0"/>
              <w:jc w:val="center"/>
              <w:rPr>
                <w:rFonts w:ascii="Times New Roman"/>
              </w:rPr>
            </w:pPr>
            <w:r>
              <w:rPr>
                <w:rFonts w:hint="eastAsia"/>
                <w:sz w:val="24"/>
              </w:rPr>
              <w:t>采购代理服务费</w:t>
            </w:r>
          </w:p>
        </w:tc>
        <w:tc>
          <w:tcPr>
            <w:tcW w:w="7232" w:type="dxa"/>
            <w:tcBorders>
              <w:tl2br w:val="nil"/>
              <w:tr2bl w:val="nil"/>
            </w:tcBorders>
            <w:vAlign w:val="center"/>
          </w:tcPr>
          <w:p>
            <w:pPr>
              <w:pStyle w:val="22"/>
              <w:snapToGrid w:val="0"/>
              <w:spacing w:line="400" w:lineRule="exact"/>
              <w:rPr>
                <w:rFonts w:hint="eastAsia"/>
                <w:b/>
                <w:bCs/>
                <w:color w:val="000000"/>
                <w:szCs w:val="21"/>
              </w:rPr>
            </w:pPr>
            <w:r>
              <w:rPr>
                <w:rFonts w:hint="eastAsia" w:ascii="宋体" w:hAnsi="宋体" w:cs="宋体"/>
                <w:bCs/>
                <w:color w:val="auto"/>
                <w:sz w:val="24"/>
                <w:highlight w:val="none"/>
                <w:lang w:eastAsia="zh-CN"/>
              </w:rPr>
              <w:t>采购</w:t>
            </w:r>
            <w:r>
              <w:rPr>
                <w:rFonts w:hint="eastAsia" w:ascii="宋体" w:hAnsi="宋体" w:cs="宋体"/>
                <w:bCs/>
                <w:color w:val="auto"/>
                <w:sz w:val="24"/>
                <w:highlight w:val="none"/>
              </w:rPr>
              <w:t>代理服务费</w:t>
            </w:r>
            <w:r>
              <w:rPr>
                <w:rFonts w:hint="eastAsia" w:ascii="宋体" w:hAnsi="宋体" w:cs="宋体"/>
                <w:bCs/>
                <w:color w:val="auto"/>
                <w:sz w:val="24"/>
                <w:highlight w:val="none"/>
                <w:lang w:eastAsia="zh-CN"/>
              </w:rPr>
              <w:t>：</w:t>
            </w:r>
            <w:r>
              <w:rPr>
                <w:rFonts w:hint="eastAsia" w:ascii="宋体" w:hAnsi="宋体" w:cs="宋体"/>
                <w:sz w:val="24"/>
              </w:rPr>
              <w:t>本项目</w:t>
            </w:r>
            <w:r>
              <w:rPr>
                <w:rFonts w:hint="eastAsia" w:ascii="宋体" w:hAnsi="宋体" w:cs="宋体"/>
                <w:sz w:val="24"/>
                <w:lang w:eastAsia="zh-CN"/>
              </w:rPr>
              <w:t>采购</w:t>
            </w:r>
            <w:r>
              <w:rPr>
                <w:rFonts w:hint="eastAsia" w:ascii="宋体" w:hAnsi="宋体" w:cs="宋体"/>
                <w:sz w:val="24"/>
              </w:rPr>
              <w:t>代理服务费参照原国家发展计划委员会文件（计价格[2002]1980号文）、（发改办价格[2003]857号文件）及财库[2018]2号文件所规定标准下浮</w:t>
            </w:r>
            <w:r>
              <w:rPr>
                <w:rFonts w:hint="eastAsia" w:ascii="宋体" w:hAnsi="宋体" w:cs="宋体"/>
                <w:sz w:val="24"/>
                <w:lang w:val="en-US" w:eastAsia="zh-CN"/>
              </w:rPr>
              <w:t>48</w:t>
            </w:r>
            <w:r>
              <w:rPr>
                <w:rFonts w:hint="eastAsia" w:ascii="宋体" w:hAnsi="宋体" w:cs="宋体"/>
                <w:sz w:val="24"/>
              </w:rPr>
              <w:t>%由</w:t>
            </w:r>
            <w:r>
              <w:rPr>
                <w:rFonts w:hint="eastAsia" w:ascii="宋体" w:hAnsi="宋体" w:cs="宋体"/>
                <w:sz w:val="24"/>
                <w:lang w:eastAsia="zh-CN"/>
              </w:rPr>
              <w:t>成交供应商</w:t>
            </w:r>
            <w:r>
              <w:rPr>
                <w:rFonts w:hint="eastAsia" w:ascii="宋体" w:hAnsi="宋体" w:cs="宋体"/>
                <w:sz w:val="24"/>
              </w:rPr>
              <w:t>向采购代理机构支付。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62" w:type="dxa"/>
            <w:tcBorders>
              <w:tl2br w:val="nil"/>
              <w:tr2bl w:val="nil"/>
            </w:tcBorders>
            <w:vAlign w:val="center"/>
          </w:tcPr>
          <w:p>
            <w:pPr>
              <w:pStyle w:val="22"/>
              <w:snapToGrid w:val="0"/>
              <w:ind w:right="-26" w:rightChars="-12"/>
              <w:jc w:val="center"/>
              <w:rPr>
                <w:rFonts w:hint="eastAsia" w:eastAsia="宋体"/>
                <w:sz w:val="24"/>
                <w:lang w:val="en-US" w:eastAsia="zh-CN"/>
              </w:rPr>
            </w:pPr>
            <w:r>
              <w:rPr>
                <w:rFonts w:hint="eastAsia"/>
                <w:sz w:val="24"/>
                <w:lang w:val="en-US" w:eastAsia="zh-CN"/>
              </w:rPr>
              <w:t>8</w:t>
            </w:r>
          </w:p>
        </w:tc>
        <w:tc>
          <w:tcPr>
            <w:tcW w:w="1807" w:type="dxa"/>
            <w:tcBorders>
              <w:tl2br w:val="nil"/>
              <w:tr2bl w:val="nil"/>
            </w:tcBorders>
            <w:vAlign w:val="center"/>
          </w:tcPr>
          <w:p>
            <w:pPr>
              <w:pStyle w:val="22"/>
              <w:snapToGrid w:val="0"/>
              <w:ind w:left="107" w:right="-26" w:rightChars="-12"/>
              <w:jc w:val="center"/>
              <w:rPr>
                <w:rFonts w:hint="eastAsia" w:eastAsia="宋体"/>
                <w:sz w:val="24"/>
                <w:lang w:eastAsia="zh-CN"/>
              </w:rPr>
            </w:pPr>
            <w:r>
              <w:rPr>
                <w:rFonts w:hint="eastAsia"/>
                <w:sz w:val="24"/>
                <w:lang w:val="en-US" w:eastAsia="zh-CN"/>
              </w:rPr>
              <w:t>开标程序</w:t>
            </w:r>
          </w:p>
        </w:tc>
        <w:tc>
          <w:tcPr>
            <w:tcW w:w="7232" w:type="dxa"/>
            <w:tcBorders>
              <w:tl2br w:val="nil"/>
              <w:tr2bl w:val="nil"/>
            </w:tcBorders>
          </w:tcPr>
          <w:p>
            <w:pPr>
              <w:pStyle w:val="22"/>
              <w:snapToGrid w:val="0"/>
              <w:spacing w:line="400" w:lineRule="exact"/>
              <w:rPr>
                <w:rFonts w:hint="eastAsia"/>
                <w:b/>
                <w:bCs/>
                <w:sz w:val="24"/>
              </w:rPr>
            </w:pPr>
            <w:r>
              <w:rPr>
                <w:rFonts w:hint="eastAsia"/>
                <w:b/>
                <w:bCs/>
                <w:sz w:val="24"/>
                <w:lang w:val="en-US" w:eastAsia="zh-CN"/>
              </w:rPr>
              <w:t>本项目</w:t>
            </w:r>
            <w:r>
              <w:rPr>
                <w:rFonts w:hint="eastAsia"/>
                <w:b/>
                <w:bCs/>
                <w:sz w:val="24"/>
              </w:rPr>
              <w:t>采用不见面开标：</w:t>
            </w:r>
          </w:p>
          <w:p>
            <w:pPr>
              <w:pStyle w:val="22"/>
              <w:snapToGrid w:val="0"/>
              <w:spacing w:line="400" w:lineRule="exact"/>
              <w:rPr>
                <w:rFonts w:hint="eastAsia"/>
                <w:b/>
                <w:bCs/>
                <w:sz w:val="24"/>
              </w:rPr>
            </w:pPr>
            <w:r>
              <w:rPr>
                <w:rFonts w:hint="eastAsia"/>
                <w:b/>
                <w:bCs/>
                <w:sz w:val="24"/>
              </w:rPr>
              <w:t>1．本项目采用不见面开标、</w:t>
            </w:r>
            <w:r>
              <w:rPr>
                <w:rFonts w:hint="eastAsia"/>
                <w:b/>
                <w:bCs/>
                <w:sz w:val="24"/>
                <w:lang w:eastAsia="zh-CN"/>
              </w:rPr>
              <w:t>供应商</w:t>
            </w:r>
            <w:r>
              <w:rPr>
                <w:rFonts w:hint="eastAsia"/>
                <w:b/>
                <w:bCs/>
                <w:sz w:val="24"/>
              </w:rPr>
              <w:t>需要递交电子</w:t>
            </w:r>
            <w:r>
              <w:rPr>
                <w:rFonts w:hint="eastAsia"/>
                <w:b/>
                <w:bCs/>
                <w:sz w:val="24"/>
                <w:lang w:eastAsia="zh-CN"/>
              </w:rPr>
              <w:t>投标文件</w:t>
            </w:r>
            <w:r>
              <w:rPr>
                <w:rFonts w:hint="eastAsia"/>
                <w:b/>
                <w:bCs/>
                <w:sz w:val="24"/>
              </w:rPr>
              <w:t>，加密的电子</w:t>
            </w:r>
            <w:r>
              <w:rPr>
                <w:rFonts w:hint="eastAsia"/>
                <w:b/>
                <w:bCs/>
                <w:sz w:val="24"/>
                <w:lang w:eastAsia="zh-CN"/>
              </w:rPr>
              <w:t>投标文件</w:t>
            </w:r>
            <w:r>
              <w:rPr>
                <w:rFonts w:hint="eastAsia"/>
                <w:b/>
                <w:bCs/>
                <w:sz w:val="24"/>
              </w:rPr>
              <w:t>，在投标截止时间前通过政采云平台上传到指定位置。无需递交纸质文件。</w:t>
            </w:r>
          </w:p>
          <w:p>
            <w:pPr>
              <w:pStyle w:val="22"/>
              <w:snapToGrid w:val="0"/>
              <w:spacing w:line="400" w:lineRule="exact"/>
              <w:rPr>
                <w:rFonts w:hint="eastAsia"/>
                <w:b/>
                <w:bCs/>
                <w:sz w:val="24"/>
              </w:rPr>
            </w:pPr>
            <w:r>
              <w:rPr>
                <w:rFonts w:hint="eastAsia"/>
                <w:b/>
                <w:bCs/>
                <w:sz w:val="24"/>
              </w:rPr>
              <w:t>2.本项目采用远程不见面交易的模式。</w:t>
            </w:r>
            <w:r>
              <w:rPr>
                <w:rFonts w:hint="eastAsia"/>
                <w:b/>
                <w:bCs/>
                <w:sz w:val="24"/>
                <w:lang w:val="en-US" w:eastAsia="zh-CN"/>
              </w:rPr>
              <w:t>招标</w:t>
            </w:r>
            <w:r>
              <w:rPr>
                <w:rFonts w:hint="eastAsia"/>
                <w:b/>
                <w:bCs/>
                <w:sz w:val="24"/>
              </w:rPr>
              <w:t>当日，</w:t>
            </w:r>
            <w:r>
              <w:rPr>
                <w:rFonts w:hint="eastAsia"/>
                <w:b/>
                <w:bCs/>
                <w:sz w:val="24"/>
                <w:lang w:eastAsia="zh-CN"/>
              </w:rPr>
              <w:t>供应商</w:t>
            </w:r>
            <w:r>
              <w:rPr>
                <w:rFonts w:hint="eastAsia"/>
                <w:b/>
                <w:bCs/>
                <w:sz w:val="24"/>
              </w:rPr>
              <w:t>无需到达开标现场，仅需在任意地点通过政采云平台完成投标截止时间前签到、开标过程中远程解密、提疑澄清、开标唱标、结果公布等交互环节。</w:t>
            </w:r>
            <w:r>
              <w:rPr>
                <w:rFonts w:hint="eastAsia"/>
                <w:b/>
                <w:bCs/>
                <w:sz w:val="24"/>
                <w:lang w:eastAsia="zh-CN"/>
              </w:rPr>
              <w:t>供应商</w:t>
            </w:r>
            <w:r>
              <w:rPr>
                <w:rFonts w:hint="eastAsia"/>
                <w:b/>
                <w:bCs/>
                <w:sz w:val="24"/>
              </w:rPr>
              <w:t>必须使用能正确解密</w:t>
            </w:r>
            <w:r>
              <w:rPr>
                <w:rFonts w:hint="eastAsia"/>
                <w:b/>
                <w:bCs/>
                <w:sz w:val="24"/>
                <w:lang w:eastAsia="zh-CN"/>
              </w:rPr>
              <w:t>投标文件</w:t>
            </w:r>
            <w:r>
              <w:rPr>
                <w:rFonts w:hint="eastAsia"/>
                <w:b/>
                <w:bCs/>
                <w:sz w:val="24"/>
              </w:rPr>
              <w:t>的“CA锁”在规定的时间内完成远程解密，因</w:t>
            </w:r>
            <w:r>
              <w:rPr>
                <w:rFonts w:hint="eastAsia"/>
                <w:b/>
                <w:bCs/>
                <w:sz w:val="24"/>
                <w:lang w:eastAsia="zh-CN"/>
              </w:rPr>
              <w:t>供应商</w:t>
            </w:r>
            <w:r>
              <w:rPr>
                <w:rFonts w:hint="eastAsia"/>
                <w:b/>
                <w:bCs/>
                <w:sz w:val="24"/>
              </w:rPr>
              <w:t>原因未能解密、解密失败或解密超时，视为</w:t>
            </w:r>
            <w:r>
              <w:rPr>
                <w:rFonts w:hint="eastAsia"/>
                <w:b/>
                <w:bCs/>
                <w:sz w:val="24"/>
                <w:lang w:eastAsia="zh-CN"/>
              </w:rPr>
              <w:t>供应商</w:t>
            </w:r>
            <w:r>
              <w:rPr>
                <w:rFonts w:hint="eastAsia"/>
                <w:b/>
                <w:bCs/>
                <w:sz w:val="24"/>
              </w:rPr>
              <w:t>撤销其</w:t>
            </w:r>
            <w:r>
              <w:rPr>
                <w:rFonts w:hint="eastAsia"/>
                <w:b/>
                <w:bCs/>
                <w:sz w:val="24"/>
                <w:lang w:eastAsia="zh-CN"/>
              </w:rPr>
              <w:t>投标文件</w:t>
            </w:r>
            <w:r>
              <w:rPr>
                <w:rFonts w:hint="eastAsia"/>
                <w:b/>
                <w:bCs/>
                <w:sz w:val="24"/>
              </w:rPr>
              <w:t>，系统内</w:t>
            </w:r>
            <w:r>
              <w:rPr>
                <w:rFonts w:hint="eastAsia"/>
                <w:b/>
                <w:bCs/>
                <w:sz w:val="24"/>
                <w:lang w:eastAsia="zh-CN"/>
              </w:rPr>
              <w:t>投标文件</w:t>
            </w:r>
            <w:r>
              <w:rPr>
                <w:rFonts w:hint="eastAsia"/>
                <w:b/>
                <w:bCs/>
                <w:sz w:val="24"/>
              </w:rPr>
              <w:t>将被退回；</w:t>
            </w:r>
          </w:p>
          <w:p>
            <w:pPr>
              <w:pStyle w:val="22"/>
              <w:snapToGrid w:val="0"/>
              <w:spacing w:line="400" w:lineRule="exact"/>
              <w:rPr>
                <w:rFonts w:hint="eastAsia"/>
                <w:b/>
                <w:bCs/>
                <w:sz w:val="24"/>
              </w:rPr>
            </w:pPr>
            <w:r>
              <w:rPr>
                <w:rFonts w:hint="eastAsia"/>
                <w:b/>
                <w:bCs/>
                <w:sz w:val="24"/>
              </w:rPr>
              <w:t>解密时长：30分钟。</w:t>
            </w:r>
          </w:p>
          <w:p>
            <w:pPr>
              <w:pStyle w:val="22"/>
              <w:snapToGrid w:val="0"/>
              <w:spacing w:line="400" w:lineRule="exact"/>
              <w:rPr>
                <w:rFonts w:hint="eastAsia"/>
                <w:b/>
                <w:bCs/>
                <w:sz w:val="24"/>
              </w:rPr>
            </w:pPr>
            <w:r>
              <w:rPr>
                <w:rFonts w:hint="eastAsia"/>
                <w:b/>
                <w:bCs/>
                <w:sz w:val="24"/>
                <w:lang w:val="en-US" w:eastAsia="zh-CN"/>
              </w:rPr>
              <w:t>2</w:t>
            </w:r>
            <w:r>
              <w:rPr>
                <w:rFonts w:hint="eastAsia"/>
                <w:b/>
                <w:bCs/>
                <w:sz w:val="24"/>
              </w:rPr>
              <w:t>. 参与“不见面”开标的</w:t>
            </w:r>
            <w:r>
              <w:rPr>
                <w:rFonts w:hint="eastAsia"/>
                <w:b/>
                <w:bCs/>
                <w:sz w:val="24"/>
                <w:lang w:eastAsia="zh-CN"/>
              </w:rPr>
              <w:t>采购人</w:t>
            </w:r>
            <w:r>
              <w:rPr>
                <w:rFonts w:hint="eastAsia"/>
                <w:b/>
                <w:bCs/>
                <w:sz w:val="24"/>
              </w:rPr>
              <w:t>或其委托代理机构、</w:t>
            </w:r>
            <w:r>
              <w:rPr>
                <w:rFonts w:hint="eastAsia"/>
                <w:b/>
                <w:bCs/>
                <w:sz w:val="24"/>
                <w:lang w:eastAsia="zh-CN"/>
              </w:rPr>
              <w:t>供应商</w:t>
            </w:r>
            <w:r>
              <w:rPr>
                <w:rFonts w:hint="eastAsia"/>
                <w:b/>
                <w:bCs/>
                <w:sz w:val="24"/>
              </w:rPr>
              <w:t>等各交易主体，应当按照规定使用CA数字证书及电子签章。各方主体在系统中所有操作均具有法律效力，并承担法律责任。</w:t>
            </w:r>
          </w:p>
          <w:p>
            <w:pPr>
              <w:pStyle w:val="22"/>
              <w:snapToGrid w:val="0"/>
              <w:spacing w:line="400" w:lineRule="exact"/>
              <w:rPr>
                <w:rFonts w:hint="eastAsia"/>
                <w:b/>
                <w:bCs/>
                <w:sz w:val="24"/>
              </w:rPr>
            </w:pPr>
            <w:r>
              <w:rPr>
                <w:rFonts w:hint="eastAsia"/>
                <w:b/>
                <w:bCs/>
                <w:sz w:val="24"/>
                <w:lang w:val="en-US" w:eastAsia="zh-CN"/>
              </w:rPr>
              <w:t>3</w:t>
            </w:r>
            <w:r>
              <w:rPr>
                <w:rFonts w:hint="eastAsia"/>
                <w:b/>
                <w:bCs/>
                <w:sz w:val="24"/>
              </w:rPr>
              <w:t>.</w:t>
            </w:r>
            <w:r>
              <w:rPr>
                <w:rFonts w:hint="eastAsia"/>
                <w:b/>
                <w:bCs/>
                <w:sz w:val="24"/>
                <w:lang w:eastAsia="zh-CN"/>
              </w:rPr>
              <w:t>供应商</w:t>
            </w:r>
            <w:r>
              <w:rPr>
                <w:rFonts w:hint="eastAsia"/>
                <w:b/>
                <w:bCs/>
                <w:sz w:val="24"/>
              </w:rPr>
              <w:t>由于数字证书遗失、损坏、更换、续期等情况导致</w:t>
            </w:r>
            <w:r>
              <w:rPr>
                <w:rFonts w:hint="eastAsia"/>
                <w:b/>
                <w:bCs/>
                <w:sz w:val="24"/>
                <w:lang w:eastAsia="zh-CN"/>
              </w:rPr>
              <w:t>投标文件</w:t>
            </w:r>
            <w:r>
              <w:rPr>
                <w:rFonts w:hint="eastAsia"/>
                <w:b/>
                <w:bCs/>
                <w:sz w:val="24"/>
              </w:rPr>
              <w:t>无法解密，由</w:t>
            </w:r>
            <w:r>
              <w:rPr>
                <w:rFonts w:hint="eastAsia"/>
                <w:b/>
                <w:bCs/>
                <w:sz w:val="24"/>
                <w:lang w:eastAsia="zh-CN"/>
              </w:rPr>
              <w:t>供应商</w:t>
            </w:r>
            <w:r>
              <w:rPr>
                <w:rFonts w:hint="eastAsia"/>
                <w:b/>
                <w:bCs/>
                <w:sz w:val="24"/>
              </w:rPr>
              <w:t>自行承担责任。</w:t>
            </w:r>
          </w:p>
          <w:p>
            <w:pPr>
              <w:pStyle w:val="22"/>
              <w:snapToGrid w:val="0"/>
              <w:spacing w:line="400" w:lineRule="exact"/>
              <w:rPr>
                <w:rFonts w:hint="eastAsia"/>
                <w:b/>
                <w:bCs/>
                <w:sz w:val="24"/>
              </w:rPr>
            </w:pPr>
            <w:r>
              <w:rPr>
                <w:rFonts w:hint="eastAsia"/>
                <w:b/>
                <w:bCs/>
                <w:sz w:val="24"/>
                <w:lang w:val="en-US" w:eastAsia="zh-CN"/>
              </w:rPr>
              <w:t>4</w:t>
            </w:r>
            <w:r>
              <w:rPr>
                <w:rFonts w:hint="eastAsia"/>
                <w:b/>
                <w:bCs/>
                <w:sz w:val="24"/>
              </w:rPr>
              <w:t>.</w:t>
            </w:r>
            <w:r>
              <w:rPr>
                <w:rFonts w:hint="eastAsia"/>
                <w:b/>
                <w:bCs/>
                <w:sz w:val="24"/>
                <w:lang w:eastAsia="zh-CN"/>
              </w:rPr>
              <w:t>供应商</w:t>
            </w:r>
            <w:r>
              <w:rPr>
                <w:rFonts w:hint="eastAsia"/>
                <w:b/>
                <w:bCs/>
                <w:sz w:val="24"/>
              </w:rPr>
              <w:t>在项目开标、评标（审）期间应随时保持在线状态，及时查阅消息，并根据消息提醒进行</w:t>
            </w:r>
            <w:r>
              <w:rPr>
                <w:rFonts w:hint="eastAsia"/>
                <w:b/>
                <w:bCs/>
                <w:sz w:val="24"/>
                <w:lang w:eastAsia="zh-CN"/>
              </w:rPr>
              <w:t>投标文件</w:t>
            </w:r>
            <w:r>
              <w:rPr>
                <w:rFonts w:hint="eastAsia"/>
                <w:b/>
                <w:bCs/>
                <w:sz w:val="24"/>
              </w:rPr>
              <w:t>在线解密等操作。随时通过交易系统接受评标（审）委员会发出的询标信息，并在规定时间内作出答复，未能按时答复的，评标（审）委员会将视同其放弃澄清。</w:t>
            </w:r>
          </w:p>
          <w:p>
            <w:pPr>
              <w:pStyle w:val="22"/>
              <w:snapToGrid w:val="0"/>
              <w:spacing w:line="400" w:lineRule="exact"/>
              <w:rPr>
                <w:sz w:val="24"/>
              </w:rPr>
            </w:pPr>
            <w:r>
              <w:rPr>
                <w:rFonts w:hint="eastAsia"/>
                <w:b/>
                <w:bCs/>
                <w:sz w:val="24"/>
                <w:lang w:val="en-US" w:eastAsia="zh-CN"/>
              </w:rPr>
              <w:t>5</w:t>
            </w:r>
            <w:r>
              <w:rPr>
                <w:rFonts w:hint="eastAsia"/>
                <w:b/>
                <w:bCs/>
                <w:sz w:val="24"/>
              </w:rPr>
              <w:t>.开标、评标过程中，</w:t>
            </w:r>
            <w:r>
              <w:rPr>
                <w:rFonts w:hint="eastAsia"/>
                <w:b/>
                <w:bCs/>
                <w:sz w:val="24"/>
                <w:lang w:eastAsia="zh-CN"/>
              </w:rPr>
              <w:t>供应商</w:t>
            </w:r>
            <w:r>
              <w:rPr>
                <w:rFonts w:hint="eastAsia"/>
                <w:b/>
                <w:bCs/>
                <w:sz w:val="24"/>
              </w:rPr>
              <w:t>参与远程音视频交互（以下简称“交互”）的法人代表或授权委托人应始终为同一人，中途不得更换，并保持签到的通讯畅通。</w:t>
            </w:r>
            <w:r>
              <w:rPr>
                <w:rFonts w:hint="eastAsia"/>
                <w:b/>
                <w:bCs/>
                <w:sz w:val="24"/>
                <w:lang w:eastAsia="zh-CN"/>
              </w:rPr>
              <w:t>供应商</w:t>
            </w:r>
            <w:r>
              <w:rPr>
                <w:rFonts w:hint="eastAsia"/>
                <w:b/>
                <w:bCs/>
                <w:sz w:val="24"/>
              </w:rPr>
              <w:t>端口操作人员均被视为</w:t>
            </w:r>
            <w:r>
              <w:rPr>
                <w:rFonts w:hint="eastAsia"/>
                <w:b/>
                <w:bCs/>
                <w:sz w:val="24"/>
                <w:lang w:eastAsia="zh-CN"/>
              </w:rPr>
              <w:t>供应商</w:t>
            </w:r>
            <w:r>
              <w:rPr>
                <w:rFonts w:hint="eastAsia"/>
                <w:b/>
                <w:bCs/>
                <w:sz w:val="24"/>
              </w:rPr>
              <w:t>法人代表或授权委托人，</w:t>
            </w:r>
            <w:r>
              <w:rPr>
                <w:rFonts w:hint="eastAsia"/>
                <w:b/>
                <w:bCs/>
                <w:sz w:val="24"/>
                <w:lang w:eastAsia="zh-CN"/>
              </w:rPr>
              <w:t>供应商</w:t>
            </w:r>
            <w:r>
              <w:rPr>
                <w:rFonts w:hint="eastAsia"/>
                <w:b/>
                <w:bCs/>
                <w:sz w:val="24"/>
              </w:rPr>
              <w:t>自行承担随意更换人员所导致的一切后果。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862" w:type="dxa"/>
            <w:tcBorders>
              <w:tl2br w:val="nil"/>
              <w:tr2bl w:val="nil"/>
            </w:tcBorders>
            <w:vAlign w:val="center"/>
          </w:tcPr>
          <w:p>
            <w:pPr>
              <w:pStyle w:val="22"/>
              <w:snapToGrid w:val="0"/>
              <w:ind w:right="-26" w:rightChars="-12"/>
              <w:jc w:val="center"/>
              <w:rPr>
                <w:rFonts w:hint="eastAsia" w:eastAsia="宋体"/>
                <w:sz w:val="24"/>
                <w:lang w:val="en-US" w:eastAsia="zh-CN"/>
              </w:rPr>
            </w:pPr>
            <w:r>
              <w:rPr>
                <w:rFonts w:hint="eastAsia"/>
                <w:sz w:val="24"/>
                <w:lang w:val="en-US" w:eastAsia="zh-CN"/>
              </w:rPr>
              <w:t>9</w:t>
            </w:r>
          </w:p>
        </w:tc>
        <w:tc>
          <w:tcPr>
            <w:tcW w:w="1807" w:type="dxa"/>
            <w:tcBorders>
              <w:tl2br w:val="nil"/>
              <w:tr2bl w:val="nil"/>
            </w:tcBorders>
            <w:vAlign w:val="center"/>
          </w:tcPr>
          <w:p>
            <w:pPr>
              <w:pStyle w:val="22"/>
              <w:snapToGrid w:val="0"/>
              <w:ind w:left="107" w:right="-26" w:rightChars="-12"/>
              <w:jc w:val="center"/>
              <w:rPr>
                <w:sz w:val="24"/>
              </w:rPr>
            </w:pPr>
            <w:r>
              <w:rPr>
                <w:sz w:val="24"/>
              </w:rPr>
              <w:t>采购资金支付</w:t>
            </w:r>
          </w:p>
          <w:p>
            <w:pPr>
              <w:pStyle w:val="22"/>
              <w:snapToGrid w:val="0"/>
              <w:ind w:left="107" w:right="-26" w:rightChars="-12"/>
              <w:jc w:val="center"/>
              <w:rPr>
                <w:sz w:val="24"/>
              </w:rPr>
            </w:pPr>
            <w:r>
              <w:rPr>
                <w:sz w:val="24"/>
              </w:rPr>
              <w:t>方式和时间</w:t>
            </w:r>
          </w:p>
        </w:tc>
        <w:tc>
          <w:tcPr>
            <w:tcW w:w="7232" w:type="dxa"/>
            <w:tcBorders>
              <w:tl2br w:val="nil"/>
              <w:tr2bl w:val="nil"/>
            </w:tcBorders>
            <w:vAlign w:val="center"/>
          </w:tcPr>
          <w:p>
            <w:pPr>
              <w:pStyle w:val="22"/>
              <w:snapToGrid w:val="0"/>
              <w:spacing w:line="400" w:lineRule="exact"/>
              <w:ind w:left="107"/>
              <w:jc w:val="both"/>
              <w:rPr>
                <w:sz w:val="24"/>
              </w:rPr>
            </w:pPr>
            <w:r>
              <w:rPr>
                <w:sz w:val="24"/>
              </w:rPr>
              <w:t>根据合同规定执行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62" w:type="dxa"/>
            <w:tcBorders>
              <w:tl2br w:val="nil"/>
              <w:tr2bl w:val="nil"/>
            </w:tcBorders>
            <w:vAlign w:val="center"/>
          </w:tcPr>
          <w:p>
            <w:pPr>
              <w:pStyle w:val="22"/>
              <w:snapToGrid w:val="0"/>
              <w:ind w:right="-26" w:rightChars="-12"/>
              <w:jc w:val="center"/>
              <w:rPr>
                <w:rFonts w:hint="eastAsia" w:eastAsia="宋体"/>
                <w:sz w:val="24"/>
                <w:lang w:val="en-US" w:eastAsia="zh-CN"/>
              </w:rPr>
            </w:pPr>
            <w:r>
              <w:rPr>
                <w:sz w:val="24"/>
              </w:rPr>
              <w:t>1</w:t>
            </w:r>
            <w:r>
              <w:rPr>
                <w:rFonts w:hint="eastAsia"/>
                <w:sz w:val="24"/>
                <w:lang w:val="en-US" w:eastAsia="zh-CN"/>
              </w:rPr>
              <w:t>0</w:t>
            </w:r>
          </w:p>
        </w:tc>
        <w:tc>
          <w:tcPr>
            <w:tcW w:w="1807" w:type="dxa"/>
            <w:tcBorders>
              <w:tl2br w:val="nil"/>
              <w:tr2bl w:val="nil"/>
            </w:tcBorders>
            <w:vAlign w:val="center"/>
          </w:tcPr>
          <w:p>
            <w:pPr>
              <w:pStyle w:val="22"/>
              <w:snapToGrid w:val="0"/>
              <w:ind w:left="107" w:right="-26" w:rightChars="-12"/>
              <w:jc w:val="center"/>
              <w:rPr>
                <w:sz w:val="24"/>
              </w:rPr>
            </w:pPr>
            <w:r>
              <w:rPr>
                <w:sz w:val="24"/>
              </w:rPr>
              <w:t>服务期限</w:t>
            </w:r>
          </w:p>
        </w:tc>
        <w:tc>
          <w:tcPr>
            <w:tcW w:w="7232" w:type="dxa"/>
            <w:tcBorders>
              <w:tl2br w:val="nil"/>
              <w:tr2bl w:val="nil"/>
            </w:tcBorders>
            <w:vAlign w:val="center"/>
          </w:tcPr>
          <w:p>
            <w:pPr>
              <w:pStyle w:val="22"/>
              <w:snapToGrid w:val="0"/>
              <w:ind w:left="108"/>
              <w:jc w:val="both"/>
              <w:rPr>
                <w:sz w:val="24"/>
              </w:rPr>
            </w:pPr>
            <w:r>
              <w:rPr>
                <w:sz w:val="24"/>
              </w:rPr>
              <w:t>根据合同规定执行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2" w:type="dxa"/>
            <w:tcBorders>
              <w:tl2br w:val="nil"/>
              <w:tr2bl w:val="nil"/>
            </w:tcBorders>
            <w:vAlign w:val="center"/>
          </w:tcPr>
          <w:p>
            <w:pPr>
              <w:pStyle w:val="22"/>
              <w:snapToGrid w:val="0"/>
              <w:ind w:right="-26" w:rightChars="-12"/>
              <w:jc w:val="center"/>
              <w:rPr>
                <w:rFonts w:hint="eastAsia" w:eastAsia="宋体"/>
                <w:sz w:val="24"/>
                <w:lang w:eastAsia="zh-CN"/>
              </w:rPr>
            </w:pPr>
            <w:r>
              <w:rPr>
                <w:sz w:val="24"/>
              </w:rPr>
              <w:t>1</w:t>
            </w:r>
            <w:r>
              <w:rPr>
                <w:rFonts w:hint="eastAsia"/>
                <w:sz w:val="24"/>
                <w:lang w:val="en-US" w:eastAsia="zh-CN"/>
              </w:rPr>
              <w:t>1</w:t>
            </w:r>
          </w:p>
        </w:tc>
        <w:tc>
          <w:tcPr>
            <w:tcW w:w="1807" w:type="dxa"/>
            <w:tcBorders>
              <w:tl2br w:val="nil"/>
              <w:tr2bl w:val="nil"/>
            </w:tcBorders>
            <w:vAlign w:val="center"/>
          </w:tcPr>
          <w:p>
            <w:pPr>
              <w:pStyle w:val="22"/>
              <w:snapToGrid w:val="0"/>
              <w:ind w:left="107" w:right="-26" w:rightChars="-12"/>
              <w:jc w:val="center"/>
              <w:rPr>
                <w:sz w:val="24"/>
              </w:rPr>
            </w:pPr>
            <w:r>
              <w:rPr>
                <w:sz w:val="24"/>
              </w:rPr>
              <w:t>响应有效期</w:t>
            </w:r>
          </w:p>
        </w:tc>
        <w:tc>
          <w:tcPr>
            <w:tcW w:w="7232" w:type="dxa"/>
            <w:tcBorders>
              <w:tl2br w:val="nil"/>
              <w:tr2bl w:val="nil"/>
            </w:tcBorders>
            <w:vAlign w:val="center"/>
          </w:tcPr>
          <w:p>
            <w:pPr>
              <w:pStyle w:val="22"/>
              <w:snapToGrid w:val="0"/>
              <w:ind w:left="108"/>
              <w:jc w:val="both"/>
              <w:rPr>
                <w:sz w:val="24"/>
              </w:rPr>
            </w:pPr>
            <w:r>
              <w:rPr>
                <w:sz w:val="24"/>
              </w:rPr>
              <w:t>自响应文件截止时间起</w:t>
            </w:r>
            <w:r>
              <w:rPr>
                <w:b/>
                <w:bCs/>
                <w:sz w:val="24"/>
                <w:u w:val="single"/>
              </w:rPr>
              <w:t xml:space="preserve"> </w:t>
            </w:r>
            <w:r>
              <w:rPr>
                <w:rFonts w:hint="eastAsia"/>
                <w:b/>
                <w:bCs/>
                <w:sz w:val="24"/>
                <w:u w:val="single"/>
                <w:lang w:val="en-US"/>
              </w:rPr>
              <w:t>90</w:t>
            </w:r>
            <w:r>
              <w:rPr>
                <w:b/>
                <w:bCs/>
                <w:sz w:val="24"/>
                <w:u w:val="single"/>
              </w:rPr>
              <w:t xml:space="preserve"> </w:t>
            </w:r>
            <w:r>
              <w:rPr>
                <w:sz w:val="24"/>
              </w:rPr>
              <w:t>日(日历日)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862" w:type="dxa"/>
            <w:tcBorders>
              <w:tl2br w:val="nil"/>
              <w:tr2bl w:val="nil"/>
            </w:tcBorders>
            <w:vAlign w:val="center"/>
          </w:tcPr>
          <w:p>
            <w:pPr>
              <w:pStyle w:val="22"/>
              <w:snapToGrid w:val="0"/>
              <w:jc w:val="center"/>
              <w:rPr>
                <w:rFonts w:hint="eastAsia" w:eastAsia="宋体"/>
                <w:sz w:val="24"/>
                <w:lang w:eastAsia="zh-CN"/>
              </w:rPr>
            </w:pPr>
            <w:r>
              <w:rPr>
                <w:sz w:val="24"/>
              </w:rPr>
              <w:t>1</w:t>
            </w:r>
            <w:r>
              <w:rPr>
                <w:rFonts w:hint="eastAsia"/>
                <w:sz w:val="24"/>
                <w:lang w:val="en-US" w:eastAsia="zh-CN"/>
              </w:rPr>
              <w:t>2</w:t>
            </w:r>
          </w:p>
        </w:tc>
        <w:tc>
          <w:tcPr>
            <w:tcW w:w="1807" w:type="dxa"/>
            <w:tcBorders>
              <w:tl2br w:val="nil"/>
              <w:tr2bl w:val="nil"/>
            </w:tcBorders>
            <w:vAlign w:val="center"/>
          </w:tcPr>
          <w:p>
            <w:pPr>
              <w:pStyle w:val="22"/>
              <w:snapToGrid w:val="0"/>
              <w:ind w:left="107" w:right="-26" w:rightChars="-12"/>
              <w:jc w:val="center"/>
              <w:rPr>
                <w:sz w:val="24"/>
              </w:rPr>
            </w:pPr>
            <w:r>
              <w:rPr>
                <w:sz w:val="24"/>
              </w:rPr>
              <w:t>履约保证金</w:t>
            </w:r>
          </w:p>
        </w:tc>
        <w:tc>
          <w:tcPr>
            <w:tcW w:w="7232" w:type="dxa"/>
            <w:tcBorders>
              <w:tl2br w:val="nil"/>
              <w:tr2bl w:val="nil"/>
            </w:tcBorders>
          </w:tcPr>
          <w:p>
            <w:pPr>
              <w:pStyle w:val="22"/>
              <w:snapToGrid w:val="0"/>
              <w:spacing w:line="400" w:lineRule="exact"/>
              <w:ind w:left="107"/>
              <w:rPr>
                <w:sz w:val="24"/>
              </w:rPr>
            </w:pPr>
            <w:r>
              <w:rPr>
                <w:rFonts w:hint="eastAsia"/>
                <w:sz w:val="24"/>
              </w:rPr>
              <w:t>☑</w:t>
            </w:r>
            <w:r>
              <w:rPr>
                <w:rFonts w:hint="eastAsia"/>
                <w:sz w:val="24"/>
                <w:lang w:val="en-US"/>
              </w:rPr>
              <w:t xml:space="preserve"> </w:t>
            </w:r>
            <w:r>
              <w:rPr>
                <w:sz w:val="24"/>
              </w:rPr>
              <w:t>要求提供</w:t>
            </w:r>
          </w:p>
          <w:p>
            <w:pPr>
              <w:spacing w:line="360" w:lineRule="auto"/>
              <w:rPr>
                <w:color w:val="000000"/>
                <w:sz w:val="24"/>
                <w:szCs w:val="22"/>
              </w:rPr>
            </w:pPr>
            <w:r>
              <w:rPr>
                <w:rFonts w:hint="eastAsia"/>
                <w:color w:val="000000"/>
                <w:sz w:val="24"/>
                <w:szCs w:val="22"/>
              </w:rPr>
              <w:t>履约保证金： 成交供应商收到成交通知书后10日内(签订合同前)向采购人缴纳履约保证金。否则视为自动放弃中标。收取履约保证金比例如下:</w:t>
            </w:r>
          </w:p>
          <w:p>
            <w:pPr>
              <w:spacing w:line="360" w:lineRule="auto"/>
              <w:rPr>
                <w:color w:val="000000"/>
                <w:sz w:val="24"/>
                <w:szCs w:val="22"/>
              </w:rPr>
            </w:pPr>
            <w:r>
              <w:rPr>
                <w:rFonts w:hint="eastAsia"/>
                <w:color w:val="000000"/>
                <w:sz w:val="24"/>
                <w:szCs w:val="22"/>
              </w:rPr>
              <w:t>货物类服务类：中标价*2％</w:t>
            </w:r>
          </w:p>
          <w:p>
            <w:pPr>
              <w:spacing w:line="360" w:lineRule="auto"/>
              <w:rPr>
                <w:color w:val="000000"/>
                <w:sz w:val="24"/>
                <w:szCs w:val="22"/>
              </w:rPr>
            </w:pPr>
            <w:r>
              <w:rPr>
                <w:rFonts w:hint="eastAsia"/>
                <w:color w:val="000000"/>
                <w:sz w:val="24"/>
                <w:szCs w:val="22"/>
              </w:rPr>
              <w:t>履约保证金递交:中标单位收到中标通知书后10日内(签订合同前)向采购人缴纳履约保证金形式:转账</w:t>
            </w:r>
          </w:p>
          <w:p>
            <w:pPr>
              <w:spacing w:line="360" w:lineRule="auto"/>
              <w:rPr>
                <w:color w:val="000000"/>
                <w:sz w:val="24"/>
                <w:szCs w:val="22"/>
              </w:rPr>
            </w:pPr>
            <w:r>
              <w:rPr>
                <w:rFonts w:hint="eastAsia"/>
                <w:color w:val="000000"/>
                <w:sz w:val="24"/>
                <w:szCs w:val="22"/>
              </w:rPr>
              <w:t>中标单位未按本文件规定纳履约保证金的，其投标保证金将不予退还。</w:t>
            </w:r>
          </w:p>
          <w:p>
            <w:pPr>
              <w:spacing w:line="360" w:lineRule="auto"/>
              <w:rPr>
                <w:color w:val="000000"/>
                <w:sz w:val="24"/>
                <w:szCs w:val="22"/>
              </w:rPr>
            </w:pPr>
            <w:r>
              <w:rPr>
                <w:rFonts w:hint="eastAsia"/>
                <w:color w:val="000000"/>
                <w:sz w:val="24"/>
                <w:szCs w:val="22"/>
              </w:rPr>
              <w:t>履约保证金缴纳账户信息:</w:t>
            </w:r>
          </w:p>
          <w:p>
            <w:pPr>
              <w:spacing w:line="360" w:lineRule="auto"/>
              <w:rPr>
                <w:color w:val="000000"/>
                <w:sz w:val="24"/>
                <w:szCs w:val="22"/>
              </w:rPr>
            </w:pPr>
            <w:r>
              <w:rPr>
                <w:rFonts w:hint="eastAsia"/>
                <w:color w:val="000000"/>
                <w:sz w:val="24"/>
                <w:szCs w:val="22"/>
              </w:rPr>
              <w:t>单位名称：新疆大学</w:t>
            </w:r>
          </w:p>
          <w:p>
            <w:pPr>
              <w:spacing w:line="360" w:lineRule="auto"/>
              <w:rPr>
                <w:color w:val="000000"/>
                <w:sz w:val="24"/>
                <w:szCs w:val="22"/>
              </w:rPr>
            </w:pPr>
            <w:r>
              <w:rPr>
                <w:rFonts w:hint="eastAsia"/>
                <w:color w:val="000000"/>
                <w:sz w:val="24"/>
                <w:szCs w:val="22"/>
              </w:rPr>
              <w:t>纳税人识别号:12650000457601471G</w:t>
            </w:r>
          </w:p>
          <w:p>
            <w:pPr>
              <w:spacing w:line="360" w:lineRule="auto"/>
              <w:rPr>
                <w:color w:val="000000"/>
                <w:sz w:val="24"/>
                <w:szCs w:val="22"/>
              </w:rPr>
            </w:pPr>
            <w:r>
              <w:rPr>
                <w:rFonts w:hint="eastAsia"/>
                <w:color w:val="000000"/>
                <w:sz w:val="24"/>
                <w:szCs w:val="22"/>
              </w:rPr>
              <w:t>地址:新疆乌鲁木齐市天山区胜利路666号</w:t>
            </w:r>
          </w:p>
          <w:p>
            <w:pPr>
              <w:spacing w:line="360" w:lineRule="auto"/>
              <w:rPr>
                <w:color w:val="000000"/>
                <w:sz w:val="24"/>
                <w:szCs w:val="22"/>
              </w:rPr>
            </w:pPr>
            <w:r>
              <w:rPr>
                <w:rFonts w:hint="eastAsia"/>
                <w:color w:val="000000"/>
                <w:sz w:val="24"/>
                <w:szCs w:val="22"/>
              </w:rPr>
              <w:t>联系电话:0991-8585360</w:t>
            </w:r>
          </w:p>
          <w:p>
            <w:pPr>
              <w:spacing w:line="360" w:lineRule="auto"/>
              <w:rPr>
                <w:color w:val="000000"/>
                <w:sz w:val="24"/>
                <w:szCs w:val="22"/>
              </w:rPr>
            </w:pPr>
            <w:r>
              <w:rPr>
                <w:rFonts w:hint="eastAsia"/>
                <w:color w:val="000000"/>
                <w:sz w:val="24"/>
                <w:szCs w:val="22"/>
              </w:rPr>
              <w:t>开户行:中国农业银行股份有限公司乌鲁木齐胜利路(兵团)支行</w:t>
            </w:r>
          </w:p>
          <w:p>
            <w:pPr>
              <w:spacing w:line="360" w:lineRule="auto"/>
              <w:rPr>
                <w:color w:val="000000"/>
                <w:sz w:val="24"/>
                <w:szCs w:val="22"/>
              </w:rPr>
            </w:pPr>
            <w:r>
              <w:rPr>
                <w:rFonts w:hint="eastAsia"/>
                <w:color w:val="000000"/>
                <w:sz w:val="24"/>
                <w:szCs w:val="22"/>
              </w:rPr>
              <w:t>账号:30704301040002348</w:t>
            </w:r>
          </w:p>
          <w:p>
            <w:pPr>
              <w:spacing w:line="360" w:lineRule="auto"/>
              <w:rPr>
                <w:color w:val="000000"/>
                <w:sz w:val="24"/>
                <w:szCs w:val="22"/>
              </w:rPr>
            </w:pPr>
            <w:r>
              <w:rPr>
                <w:rFonts w:hint="eastAsia"/>
                <w:color w:val="000000"/>
                <w:sz w:val="24"/>
                <w:szCs w:val="22"/>
              </w:rPr>
              <w:t>行号:103881070432</w:t>
            </w:r>
          </w:p>
          <w:p>
            <w:pPr>
              <w:spacing w:line="360" w:lineRule="auto"/>
              <w:rPr>
                <w:color w:val="000000"/>
                <w:sz w:val="24"/>
                <w:szCs w:val="22"/>
              </w:rPr>
            </w:pPr>
            <w:r>
              <w:rPr>
                <w:rFonts w:hint="eastAsia"/>
                <w:color w:val="000000"/>
                <w:sz w:val="24"/>
                <w:szCs w:val="22"/>
              </w:rPr>
              <w:t>统一社会信用代码:12650000457601471G</w:t>
            </w:r>
          </w:p>
          <w:p>
            <w:pPr>
              <w:pStyle w:val="22"/>
              <w:snapToGrid w:val="0"/>
              <w:spacing w:line="400" w:lineRule="exact"/>
              <w:ind w:left="107"/>
              <w:rPr>
                <w:sz w:val="24"/>
              </w:rPr>
            </w:pPr>
            <w:r>
              <w:rPr>
                <w:rFonts w:hint="eastAsia"/>
                <w:color w:val="000000"/>
                <w:sz w:val="24"/>
                <w:szCs w:val="22"/>
              </w:rPr>
              <w:t xml:space="preserve">履约保证金的退还:合同履约完成，货物验收合格后10日内，采购人无息退还履约保证金。中标单位未按照合同、法律法规、招标文件等相关规定履行责任，采购人有权扣除履约保证金，并解除合同，由此造成的一切损失，由中标单位自行承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862" w:type="dxa"/>
            <w:tcBorders>
              <w:tl2br w:val="nil"/>
              <w:tr2bl w:val="nil"/>
            </w:tcBorders>
            <w:vAlign w:val="center"/>
          </w:tcPr>
          <w:p>
            <w:pPr>
              <w:pStyle w:val="22"/>
              <w:snapToGrid w:val="0"/>
              <w:jc w:val="center"/>
              <w:rPr>
                <w:rFonts w:hint="eastAsia" w:eastAsia="宋体"/>
                <w:sz w:val="24"/>
                <w:lang w:eastAsia="zh-CN"/>
              </w:rPr>
            </w:pPr>
            <w:r>
              <w:rPr>
                <w:sz w:val="24"/>
              </w:rPr>
              <w:t>1</w:t>
            </w:r>
            <w:r>
              <w:rPr>
                <w:rFonts w:hint="eastAsia"/>
                <w:sz w:val="24"/>
                <w:lang w:val="en-US" w:eastAsia="zh-CN"/>
              </w:rPr>
              <w:t>3</w:t>
            </w:r>
          </w:p>
        </w:tc>
        <w:tc>
          <w:tcPr>
            <w:tcW w:w="1807" w:type="dxa"/>
            <w:tcBorders>
              <w:tl2br w:val="nil"/>
              <w:tr2bl w:val="nil"/>
            </w:tcBorders>
            <w:vAlign w:val="center"/>
          </w:tcPr>
          <w:p>
            <w:pPr>
              <w:pStyle w:val="22"/>
              <w:snapToGrid w:val="0"/>
              <w:ind w:left="107"/>
              <w:jc w:val="center"/>
              <w:rPr>
                <w:sz w:val="24"/>
              </w:rPr>
            </w:pPr>
            <w:r>
              <w:rPr>
                <w:sz w:val="24"/>
              </w:rPr>
              <w:t>协商原则</w:t>
            </w:r>
          </w:p>
        </w:tc>
        <w:tc>
          <w:tcPr>
            <w:tcW w:w="7232" w:type="dxa"/>
            <w:tcBorders>
              <w:tl2br w:val="nil"/>
              <w:tr2bl w:val="nil"/>
            </w:tcBorders>
          </w:tcPr>
          <w:p>
            <w:pPr>
              <w:pStyle w:val="22"/>
              <w:snapToGrid w:val="0"/>
              <w:spacing w:line="400" w:lineRule="exact"/>
              <w:ind w:left="107" w:right="152"/>
              <w:jc w:val="both"/>
              <w:rPr>
                <w:sz w:val="24"/>
              </w:rPr>
            </w:pPr>
            <w:r>
              <w:rPr>
                <w:sz w:val="24"/>
              </w:rPr>
              <w:t>在保证采购项目质量和双方商定的合理价格的基础上进行采购；采购人有决定是否成交的权利，供应商不得以任何理由对此决定做出异议。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62" w:type="dxa"/>
            <w:tcBorders>
              <w:tl2br w:val="nil"/>
              <w:tr2bl w:val="nil"/>
            </w:tcBorders>
            <w:vAlign w:val="center"/>
          </w:tcPr>
          <w:p>
            <w:pPr>
              <w:pStyle w:val="22"/>
              <w:snapToGrid w:val="0"/>
              <w:jc w:val="center"/>
              <w:rPr>
                <w:rFonts w:hint="default" w:eastAsia="宋体"/>
                <w:sz w:val="24"/>
                <w:lang w:val="en-US" w:eastAsia="zh-CN"/>
              </w:rPr>
            </w:pPr>
            <w:r>
              <w:rPr>
                <w:rFonts w:hint="eastAsia"/>
                <w:sz w:val="24"/>
                <w:lang w:val="en-US" w:eastAsia="zh-CN"/>
              </w:rPr>
              <w:t>14</w:t>
            </w:r>
          </w:p>
        </w:tc>
        <w:tc>
          <w:tcPr>
            <w:tcW w:w="1807" w:type="dxa"/>
            <w:tcBorders>
              <w:tl2br w:val="nil"/>
              <w:tr2bl w:val="nil"/>
            </w:tcBorders>
            <w:vAlign w:val="center"/>
          </w:tcPr>
          <w:p>
            <w:pPr>
              <w:pStyle w:val="22"/>
              <w:snapToGrid w:val="0"/>
              <w:ind w:left="107"/>
              <w:jc w:val="center"/>
              <w:rPr>
                <w:sz w:val="24"/>
              </w:rPr>
            </w:pPr>
            <w:r>
              <w:rPr>
                <w:rFonts w:hint="eastAsia"/>
                <w:sz w:val="24"/>
              </w:rPr>
              <w:t>质保期限</w:t>
            </w:r>
          </w:p>
        </w:tc>
        <w:tc>
          <w:tcPr>
            <w:tcW w:w="7232" w:type="dxa"/>
            <w:tcBorders>
              <w:tl2br w:val="nil"/>
              <w:tr2bl w:val="nil"/>
            </w:tcBorders>
            <w:vAlign w:val="center"/>
          </w:tcPr>
          <w:p>
            <w:pPr>
              <w:pStyle w:val="22"/>
              <w:snapToGrid w:val="0"/>
              <w:spacing w:line="400" w:lineRule="exact"/>
              <w:ind w:right="152"/>
              <w:jc w:val="both"/>
              <w:rPr>
                <w:rFonts w:hint="eastAsia" w:eastAsia="宋体"/>
                <w:sz w:val="24"/>
                <w:lang w:eastAsia="zh-CN"/>
              </w:rPr>
            </w:pPr>
            <w:r>
              <w:rPr>
                <w:rFonts w:hint="eastAsia"/>
                <w:sz w:val="24"/>
                <w:lang w:eastAsia="zh-CN"/>
              </w:rPr>
              <w:t>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862" w:type="dxa"/>
            <w:tcBorders>
              <w:tl2br w:val="nil"/>
              <w:tr2bl w:val="nil"/>
            </w:tcBorders>
            <w:vAlign w:val="center"/>
          </w:tcPr>
          <w:p>
            <w:pPr>
              <w:pStyle w:val="22"/>
              <w:snapToGrid w:val="0"/>
              <w:jc w:val="center"/>
              <w:rPr>
                <w:rFonts w:hint="eastAsia" w:eastAsia="宋体"/>
                <w:sz w:val="24"/>
                <w:lang w:val="en-US" w:eastAsia="zh-CN"/>
              </w:rPr>
            </w:pPr>
            <w:r>
              <w:rPr>
                <w:rFonts w:hint="eastAsia"/>
                <w:sz w:val="24"/>
                <w:lang w:val="en-US"/>
              </w:rPr>
              <w:t>1</w:t>
            </w:r>
            <w:r>
              <w:rPr>
                <w:rFonts w:hint="eastAsia"/>
                <w:sz w:val="24"/>
                <w:lang w:val="en-US" w:eastAsia="zh-CN"/>
              </w:rPr>
              <w:t>5</w:t>
            </w:r>
          </w:p>
        </w:tc>
        <w:tc>
          <w:tcPr>
            <w:tcW w:w="1807" w:type="dxa"/>
            <w:tcBorders>
              <w:tl2br w:val="nil"/>
              <w:tr2bl w:val="nil"/>
            </w:tcBorders>
            <w:vAlign w:val="center"/>
          </w:tcPr>
          <w:p>
            <w:pPr>
              <w:pStyle w:val="22"/>
              <w:snapToGrid w:val="0"/>
              <w:ind w:left="107"/>
              <w:jc w:val="center"/>
              <w:rPr>
                <w:sz w:val="24"/>
              </w:rPr>
            </w:pPr>
            <w:r>
              <w:rPr>
                <w:sz w:val="24"/>
              </w:rPr>
              <w:t>备注</w:t>
            </w:r>
          </w:p>
        </w:tc>
        <w:tc>
          <w:tcPr>
            <w:tcW w:w="7232" w:type="dxa"/>
            <w:tcBorders>
              <w:tl2br w:val="nil"/>
              <w:tr2bl w:val="nil"/>
            </w:tcBorders>
          </w:tcPr>
          <w:p>
            <w:pPr>
              <w:pStyle w:val="22"/>
              <w:snapToGrid w:val="0"/>
              <w:spacing w:line="400" w:lineRule="exact"/>
              <w:ind w:right="27"/>
              <w:rPr>
                <w:sz w:val="24"/>
                <w:lang w:val="en-US"/>
              </w:rPr>
            </w:pPr>
            <w:r>
              <w:rPr>
                <w:rFonts w:hint="eastAsia"/>
                <w:sz w:val="24"/>
                <w:lang w:val="en-US" w:eastAsia="zh-CN"/>
              </w:rPr>
              <w:t>注：请供应商按采购文件要求制作投标文件，认真阅读采购文件中所有的事项、格式、条款和规范等要求。如果没有按照采购文件要求提交全部资料或者投标文件没有对采购文件做出实质性响应，其投标将被拒绝。</w:t>
            </w:r>
          </w:p>
        </w:tc>
      </w:tr>
    </w:tbl>
    <w:p>
      <w:pPr>
        <w:spacing w:line="364" w:lineRule="auto"/>
        <w:rPr>
          <w:sz w:val="24"/>
        </w:rPr>
        <w:sectPr>
          <w:pgSz w:w="11910" w:h="16840"/>
          <w:pgMar w:top="1420" w:right="880" w:bottom="1080" w:left="880" w:header="0" w:footer="894" w:gutter="0"/>
          <w:cols w:space="720" w:num="1"/>
        </w:sectPr>
      </w:pPr>
    </w:p>
    <w:p>
      <w:pPr>
        <w:jc w:val="center"/>
        <w:rPr>
          <w:b/>
          <w:sz w:val="24"/>
        </w:rPr>
      </w:pPr>
      <w:r>
        <w:rPr>
          <w:b/>
          <w:sz w:val="24"/>
        </w:rPr>
        <w:t>协商须知正文</w:t>
      </w:r>
    </w:p>
    <w:p>
      <w:pPr>
        <w:pStyle w:val="10"/>
        <w:spacing w:before="199"/>
        <w:ind w:left="1400"/>
      </w:pPr>
      <w:r>
        <w:rPr>
          <w:b/>
          <w:bCs/>
        </w:rPr>
        <w:t>一、说明</w:t>
      </w:r>
    </w:p>
    <w:p>
      <w:pPr>
        <w:pStyle w:val="21"/>
        <w:numPr>
          <w:ilvl w:val="1"/>
          <w:numId w:val="3"/>
        </w:numPr>
        <w:tabs>
          <w:tab w:val="left" w:pos="1642"/>
        </w:tabs>
        <w:spacing w:before="161"/>
        <w:rPr>
          <w:sz w:val="24"/>
        </w:rPr>
      </w:pPr>
      <w:r>
        <w:rPr>
          <w:sz w:val="24"/>
        </w:rPr>
        <w:t>定义</w:t>
      </w:r>
    </w:p>
    <w:p>
      <w:pPr>
        <w:pStyle w:val="21"/>
        <w:numPr>
          <w:ilvl w:val="2"/>
          <w:numId w:val="3"/>
        </w:numPr>
        <w:tabs>
          <w:tab w:val="left" w:pos="1976"/>
          <w:tab w:val="left" w:pos="1977"/>
        </w:tabs>
        <w:spacing w:line="364" w:lineRule="auto"/>
        <w:ind w:right="801" w:firstLine="480"/>
        <w:rPr>
          <w:sz w:val="24"/>
        </w:rPr>
      </w:pPr>
      <w:r>
        <w:rPr>
          <w:spacing w:val="-8"/>
          <w:sz w:val="24"/>
        </w:rPr>
        <w:t>“采购人”系指依法进行政府采购的国家机关、事业单位、团体组织。</w:t>
      </w:r>
      <w:r>
        <w:rPr>
          <w:sz w:val="24"/>
        </w:rPr>
        <w:t>本次采购的采购人名称、地址、电话、联系人见协商须知前附表。</w:t>
      </w:r>
    </w:p>
    <w:p>
      <w:pPr>
        <w:pStyle w:val="21"/>
        <w:numPr>
          <w:ilvl w:val="2"/>
          <w:numId w:val="3"/>
        </w:numPr>
        <w:tabs>
          <w:tab w:val="left" w:pos="2001"/>
        </w:tabs>
        <w:spacing w:before="2" w:line="364" w:lineRule="auto"/>
        <w:ind w:right="919" w:firstLine="480"/>
        <w:jc w:val="both"/>
        <w:rPr>
          <w:sz w:val="24"/>
        </w:rPr>
      </w:pPr>
      <w:r>
        <w:rPr>
          <w:spacing w:val="-1"/>
          <w:sz w:val="24"/>
        </w:rPr>
        <w:t>“采购代理机构”系指集中采购机构和集中采购机构以外的采购代理</w:t>
      </w:r>
      <w:r>
        <w:rPr>
          <w:spacing w:val="-9"/>
          <w:sz w:val="24"/>
        </w:rPr>
        <w:t>机构。本次政府采购的采购代理机构名称、地址、电话、联系人见协商须知前附</w:t>
      </w:r>
      <w:r>
        <w:rPr>
          <w:sz w:val="24"/>
        </w:rPr>
        <w:t>表。</w:t>
      </w:r>
    </w:p>
    <w:p>
      <w:pPr>
        <w:pStyle w:val="21"/>
        <w:numPr>
          <w:ilvl w:val="2"/>
          <w:numId w:val="3"/>
        </w:numPr>
        <w:tabs>
          <w:tab w:val="left" w:pos="2000"/>
          <w:tab w:val="left" w:pos="2001"/>
        </w:tabs>
        <w:spacing w:before="2" w:line="364" w:lineRule="auto"/>
        <w:ind w:right="920" w:firstLine="480"/>
        <w:rPr>
          <w:sz w:val="24"/>
        </w:rPr>
      </w:pPr>
      <w:r>
        <w:rPr>
          <w:spacing w:val="-1"/>
          <w:sz w:val="24"/>
        </w:rPr>
        <w:t>“供应商”是指为向采购人提供货物、工程或者服务的法人、其他组</w:t>
      </w:r>
      <w:r>
        <w:rPr>
          <w:sz w:val="24"/>
        </w:rPr>
        <w:t>织或者自然人。</w:t>
      </w:r>
    </w:p>
    <w:p>
      <w:pPr>
        <w:pStyle w:val="21"/>
        <w:numPr>
          <w:ilvl w:val="2"/>
          <w:numId w:val="3"/>
        </w:numPr>
        <w:tabs>
          <w:tab w:val="left" w:pos="2000"/>
          <w:tab w:val="left" w:pos="2001"/>
        </w:tabs>
        <w:spacing w:before="1"/>
        <w:ind w:left="2000" w:hanging="600"/>
        <w:rPr>
          <w:sz w:val="24"/>
        </w:rPr>
      </w:pPr>
      <w:r>
        <w:rPr>
          <w:sz w:val="24"/>
        </w:rPr>
        <w:t>合格供应商</w:t>
      </w:r>
    </w:p>
    <w:p>
      <w:pPr>
        <w:pStyle w:val="21"/>
        <w:tabs>
          <w:tab w:val="left" w:pos="2240"/>
          <w:tab w:val="left" w:pos="2241"/>
        </w:tabs>
        <w:spacing w:before="161"/>
        <w:ind w:left="1400" w:firstLine="0"/>
        <w:rPr>
          <w:sz w:val="24"/>
        </w:rPr>
      </w:pPr>
      <w:r>
        <w:rPr>
          <w:spacing w:val="-4"/>
          <w:sz w:val="24"/>
        </w:rPr>
        <w:t xml:space="preserve">供应商资格要求已在协商须知前附表第 </w:t>
      </w:r>
      <w:r>
        <w:fldChar w:fldCharType="begin"/>
      </w:r>
      <w:r>
        <w:instrText xml:space="preserve"> HYPERLINK "NULL" \h </w:instrText>
      </w:r>
      <w:r>
        <w:fldChar w:fldCharType="separate"/>
      </w:r>
      <w:r>
        <w:rPr>
          <w:rFonts w:ascii="Times New Roman" w:eastAsia="Times New Roman"/>
          <w:sz w:val="24"/>
          <w:u w:val="single"/>
        </w:rPr>
        <w:t>4</w:t>
      </w:r>
      <w:r>
        <w:rPr>
          <w:rFonts w:ascii="Times New Roman" w:eastAsia="Times New Roman"/>
          <w:sz w:val="24"/>
        </w:rPr>
        <w:t xml:space="preserve"> </w:t>
      </w:r>
      <w:r>
        <w:rPr>
          <w:rFonts w:ascii="Times New Roman" w:eastAsia="Times New Roman"/>
          <w:sz w:val="24"/>
        </w:rPr>
        <w:fldChar w:fldCharType="end"/>
      </w:r>
      <w:r>
        <w:rPr>
          <w:sz w:val="24"/>
        </w:rPr>
        <w:t>项列清。</w:t>
      </w:r>
    </w:p>
    <w:p>
      <w:pPr>
        <w:pStyle w:val="21"/>
        <w:numPr>
          <w:ilvl w:val="1"/>
          <w:numId w:val="3"/>
        </w:numPr>
        <w:tabs>
          <w:tab w:val="left" w:pos="1642"/>
        </w:tabs>
        <w:rPr>
          <w:sz w:val="24"/>
        </w:rPr>
      </w:pPr>
      <w:r>
        <w:rPr>
          <w:sz w:val="24"/>
        </w:rPr>
        <w:t>参与协商的费用</w:t>
      </w:r>
    </w:p>
    <w:p>
      <w:pPr>
        <w:pStyle w:val="21"/>
        <w:numPr>
          <w:ilvl w:val="2"/>
          <w:numId w:val="3"/>
        </w:numPr>
        <w:tabs>
          <w:tab w:val="left" w:pos="2000"/>
          <w:tab w:val="left" w:pos="2001"/>
        </w:tabs>
        <w:spacing w:before="161" w:line="364" w:lineRule="auto"/>
        <w:ind w:right="920" w:firstLine="480"/>
        <w:rPr>
          <w:sz w:val="24"/>
        </w:rPr>
      </w:pPr>
      <w:r>
        <w:rPr>
          <w:spacing w:val="-1"/>
          <w:sz w:val="24"/>
        </w:rPr>
        <w:t>无论协商的结果如何，供应商应自行承担所有与采购活动有关的全部</w:t>
      </w:r>
      <w:r>
        <w:rPr>
          <w:sz w:val="24"/>
        </w:rPr>
        <w:t>费用。</w:t>
      </w:r>
    </w:p>
    <w:p>
      <w:pPr>
        <w:pStyle w:val="21"/>
        <w:numPr>
          <w:ilvl w:val="2"/>
          <w:numId w:val="3"/>
        </w:numPr>
        <w:tabs>
          <w:tab w:val="left" w:pos="2000"/>
          <w:tab w:val="left" w:pos="2001"/>
        </w:tabs>
        <w:spacing w:before="1" w:line="364" w:lineRule="auto"/>
        <w:ind w:right="920" w:firstLine="480"/>
        <w:rPr>
          <w:sz w:val="24"/>
        </w:rPr>
      </w:pPr>
      <w:r>
        <w:rPr>
          <w:spacing w:val="-1"/>
          <w:sz w:val="24"/>
        </w:rPr>
        <w:t>供应商被视为已熟悉本项目的各种情况以及与履行合同有关的一切情</w:t>
      </w:r>
      <w:r>
        <w:rPr>
          <w:sz w:val="24"/>
        </w:rPr>
        <w:t>况。</w:t>
      </w:r>
    </w:p>
    <w:p>
      <w:pPr>
        <w:pStyle w:val="21"/>
        <w:numPr>
          <w:ilvl w:val="1"/>
          <w:numId w:val="3"/>
        </w:numPr>
        <w:tabs>
          <w:tab w:val="left" w:pos="1642"/>
        </w:tabs>
        <w:spacing w:before="2"/>
        <w:rPr>
          <w:sz w:val="24"/>
        </w:rPr>
      </w:pPr>
      <w:r>
        <w:rPr>
          <w:sz w:val="24"/>
        </w:rPr>
        <w:t>授权委托</w:t>
      </w:r>
    </w:p>
    <w:p>
      <w:pPr>
        <w:pStyle w:val="21"/>
        <w:numPr>
          <w:ilvl w:val="2"/>
          <w:numId w:val="3"/>
        </w:numPr>
        <w:tabs>
          <w:tab w:val="left" w:pos="2000"/>
          <w:tab w:val="left" w:pos="2001"/>
        </w:tabs>
        <w:spacing w:line="364" w:lineRule="auto"/>
        <w:ind w:right="920" w:firstLine="480"/>
        <w:rPr>
          <w:sz w:val="24"/>
        </w:rPr>
      </w:pPr>
      <w:r>
        <w:rPr>
          <w:spacing w:val="-1"/>
          <w:sz w:val="24"/>
        </w:rPr>
        <w:t>供应商代表不是供应商法定代表人的，应持有法定代表人授权书，并</w:t>
      </w:r>
      <w:r>
        <w:rPr>
          <w:sz w:val="24"/>
        </w:rPr>
        <w:t>附供应商代表身份证明。</w:t>
      </w:r>
    </w:p>
    <w:p>
      <w:pPr>
        <w:pStyle w:val="10"/>
        <w:spacing w:before="1"/>
        <w:ind w:left="1400"/>
        <w:rPr>
          <w:b/>
          <w:bCs/>
        </w:rPr>
      </w:pPr>
      <w:r>
        <w:rPr>
          <w:b/>
          <w:bCs/>
        </w:rPr>
        <w:t>二、采购文件</w:t>
      </w:r>
    </w:p>
    <w:p>
      <w:pPr>
        <w:pStyle w:val="21"/>
        <w:numPr>
          <w:ilvl w:val="1"/>
          <w:numId w:val="3"/>
        </w:numPr>
        <w:tabs>
          <w:tab w:val="left" w:pos="1642"/>
        </w:tabs>
        <w:spacing w:before="161"/>
        <w:rPr>
          <w:sz w:val="24"/>
        </w:rPr>
      </w:pPr>
      <w:r>
        <w:rPr>
          <w:sz w:val="24"/>
        </w:rPr>
        <w:t>采购文件的组成</w:t>
      </w:r>
    </w:p>
    <w:p>
      <w:pPr>
        <w:pStyle w:val="21"/>
        <w:numPr>
          <w:ilvl w:val="2"/>
          <w:numId w:val="3"/>
        </w:numPr>
        <w:tabs>
          <w:tab w:val="left" w:pos="2000"/>
          <w:tab w:val="left" w:pos="2001"/>
        </w:tabs>
        <w:spacing w:before="161" w:line="364" w:lineRule="auto"/>
        <w:ind w:right="920" w:firstLine="480"/>
        <w:rPr>
          <w:sz w:val="24"/>
        </w:rPr>
      </w:pPr>
      <w:r>
        <w:rPr>
          <w:spacing w:val="-1"/>
          <w:sz w:val="24"/>
        </w:rPr>
        <w:t>单一来源采购文件由下列文件及在采购过程中发出的澄清或者修改文</w:t>
      </w:r>
      <w:r>
        <w:rPr>
          <w:sz w:val="24"/>
        </w:rPr>
        <w:t>件组成：</w:t>
      </w:r>
    </w:p>
    <w:p>
      <w:pPr>
        <w:pStyle w:val="10"/>
        <w:tabs>
          <w:tab w:val="left" w:pos="2360"/>
        </w:tabs>
        <w:spacing w:before="1" w:line="364" w:lineRule="auto"/>
        <w:ind w:left="1400" w:right="6824"/>
      </w:pPr>
      <w:r>
        <w:t>第一章</w:t>
      </w:r>
      <w:r>
        <w:tab/>
      </w:r>
      <w:r>
        <w:t>协商邀</w:t>
      </w:r>
      <w:r>
        <w:rPr>
          <w:spacing w:val="-18"/>
        </w:rPr>
        <w:t>请</w:t>
      </w:r>
      <w:r>
        <w:t>第二章</w:t>
      </w:r>
      <w:r>
        <w:tab/>
      </w:r>
      <w:r>
        <w:t>协商须</w:t>
      </w:r>
      <w:r>
        <w:rPr>
          <w:spacing w:val="-18"/>
        </w:rPr>
        <w:t>知</w:t>
      </w:r>
    </w:p>
    <w:p>
      <w:pPr>
        <w:pStyle w:val="10"/>
        <w:spacing w:before="1" w:line="364" w:lineRule="auto"/>
        <w:ind w:left="1400" w:right="6344"/>
        <w:jc w:val="both"/>
      </w:pPr>
      <w:r>
        <w:t>第三章 合同草案条款第四章 响应文件组成第五章 项目采购需求</w:t>
      </w:r>
    </w:p>
    <w:p>
      <w:pPr>
        <w:pStyle w:val="21"/>
        <w:numPr>
          <w:ilvl w:val="1"/>
          <w:numId w:val="3"/>
        </w:numPr>
        <w:tabs>
          <w:tab w:val="left" w:pos="1642"/>
        </w:tabs>
        <w:spacing w:before="41"/>
        <w:rPr>
          <w:sz w:val="24"/>
        </w:rPr>
      </w:pPr>
      <w:r>
        <w:rPr>
          <w:sz w:val="24"/>
        </w:rPr>
        <w:t>采购文件的澄清或者修改</w:t>
      </w:r>
    </w:p>
    <w:p>
      <w:pPr>
        <w:pStyle w:val="21"/>
        <w:numPr>
          <w:ilvl w:val="2"/>
          <w:numId w:val="3"/>
        </w:numPr>
        <w:tabs>
          <w:tab w:val="left" w:pos="2001"/>
        </w:tabs>
        <w:spacing w:line="364" w:lineRule="auto"/>
        <w:ind w:right="919" w:firstLine="480"/>
        <w:jc w:val="both"/>
        <w:rPr>
          <w:sz w:val="24"/>
        </w:rPr>
      </w:pPr>
      <w:r>
        <w:rPr>
          <w:spacing w:val="-1"/>
          <w:sz w:val="24"/>
        </w:rPr>
        <w:t>采购人或采购代理机构对已发出的单一来源采购文件进行必要澄清或</w:t>
      </w:r>
      <w:r>
        <w:rPr>
          <w:spacing w:val="-11"/>
          <w:sz w:val="24"/>
        </w:rPr>
        <w:t>者修改的，将以书面形式通知供应商。澄清或者修改文件作为单一来源采购文件</w:t>
      </w:r>
      <w:r>
        <w:rPr>
          <w:sz w:val="24"/>
        </w:rPr>
        <w:t>的组成部分。</w:t>
      </w:r>
    </w:p>
    <w:p>
      <w:pPr>
        <w:pStyle w:val="10"/>
        <w:spacing w:before="2"/>
        <w:ind w:left="1400"/>
        <w:rPr>
          <w:b/>
          <w:bCs/>
        </w:rPr>
      </w:pPr>
      <w:r>
        <w:rPr>
          <w:b/>
          <w:bCs/>
        </w:rPr>
        <w:t>三、响应文件</w:t>
      </w:r>
    </w:p>
    <w:p>
      <w:pPr>
        <w:pStyle w:val="21"/>
        <w:numPr>
          <w:ilvl w:val="1"/>
          <w:numId w:val="3"/>
        </w:numPr>
        <w:tabs>
          <w:tab w:val="left" w:pos="1642"/>
        </w:tabs>
        <w:spacing w:before="161"/>
        <w:rPr>
          <w:sz w:val="24"/>
        </w:rPr>
      </w:pPr>
      <w:r>
        <w:rPr>
          <w:sz w:val="24"/>
        </w:rPr>
        <w:t>一般要求</w:t>
      </w:r>
    </w:p>
    <w:p>
      <w:pPr>
        <w:pStyle w:val="21"/>
        <w:numPr>
          <w:ilvl w:val="2"/>
          <w:numId w:val="3"/>
        </w:numPr>
        <w:tabs>
          <w:tab w:val="left" w:pos="2000"/>
          <w:tab w:val="left" w:pos="2001"/>
        </w:tabs>
        <w:spacing w:line="364" w:lineRule="auto"/>
        <w:ind w:right="920" w:firstLine="480"/>
        <w:rPr>
          <w:sz w:val="24"/>
        </w:rPr>
      </w:pPr>
      <w:r>
        <w:rPr>
          <w:spacing w:val="-1"/>
          <w:sz w:val="24"/>
        </w:rPr>
        <w:t>供应商应当按照单一来源采购文件的要求编制响应文件，并对其提交</w:t>
      </w:r>
      <w:r>
        <w:rPr>
          <w:sz w:val="24"/>
        </w:rPr>
        <w:t>的响应文件的真实性、合法性承担法律责任。</w:t>
      </w:r>
    </w:p>
    <w:p>
      <w:pPr>
        <w:pStyle w:val="21"/>
        <w:numPr>
          <w:ilvl w:val="2"/>
          <w:numId w:val="3"/>
        </w:numPr>
        <w:tabs>
          <w:tab w:val="left" w:pos="2001"/>
        </w:tabs>
        <w:spacing w:before="2" w:line="364" w:lineRule="auto"/>
        <w:ind w:right="919" w:firstLine="480"/>
        <w:jc w:val="both"/>
        <w:rPr>
          <w:sz w:val="24"/>
        </w:rPr>
      </w:pPr>
      <w:r>
        <w:rPr>
          <w:spacing w:val="-1"/>
          <w:sz w:val="24"/>
        </w:rPr>
        <w:t>供应商提交的响应文件及供应商与采购人、采购代理机构、采购人员</w:t>
      </w:r>
      <w:r>
        <w:rPr>
          <w:spacing w:val="-6"/>
          <w:sz w:val="24"/>
        </w:rPr>
        <w:t>就有关协商的所有来往函电均使用中文。供应商可以提交其他语言的资料，但有</w:t>
      </w:r>
      <w:r>
        <w:rPr>
          <w:sz w:val="24"/>
        </w:rPr>
        <w:t>关响应内容附中文注释，在有差异时以中文为准。</w:t>
      </w:r>
    </w:p>
    <w:p>
      <w:pPr>
        <w:pStyle w:val="21"/>
        <w:numPr>
          <w:ilvl w:val="2"/>
          <w:numId w:val="3"/>
        </w:numPr>
        <w:tabs>
          <w:tab w:val="left" w:pos="2000"/>
          <w:tab w:val="left" w:pos="2001"/>
        </w:tabs>
        <w:spacing w:before="2" w:line="364" w:lineRule="auto"/>
        <w:ind w:right="920" w:firstLine="480"/>
        <w:rPr>
          <w:sz w:val="24"/>
        </w:rPr>
      </w:pPr>
      <w:r>
        <w:rPr>
          <w:spacing w:val="-1"/>
          <w:sz w:val="24"/>
        </w:rPr>
        <w:t>计量单位应使用我国法定计量单位，未列明时应默认为我国法定计量</w:t>
      </w:r>
      <w:r>
        <w:rPr>
          <w:sz w:val="24"/>
        </w:rPr>
        <w:t>单位。</w:t>
      </w:r>
    </w:p>
    <w:p>
      <w:pPr>
        <w:pStyle w:val="21"/>
        <w:numPr>
          <w:ilvl w:val="1"/>
          <w:numId w:val="3"/>
        </w:numPr>
        <w:tabs>
          <w:tab w:val="left" w:pos="1642"/>
        </w:tabs>
        <w:spacing w:before="1"/>
        <w:rPr>
          <w:sz w:val="24"/>
        </w:rPr>
      </w:pPr>
      <w:r>
        <w:rPr>
          <w:sz w:val="24"/>
        </w:rPr>
        <w:t>响应文件的组成</w:t>
      </w:r>
    </w:p>
    <w:p>
      <w:pPr>
        <w:pStyle w:val="21"/>
        <w:numPr>
          <w:ilvl w:val="2"/>
          <w:numId w:val="3"/>
        </w:numPr>
        <w:tabs>
          <w:tab w:val="left" w:pos="2000"/>
          <w:tab w:val="left" w:pos="2001"/>
        </w:tabs>
        <w:spacing w:before="161"/>
        <w:ind w:left="2000" w:hanging="600"/>
        <w:rPr>
          <w:sz w:val="24"/>
        </w:rPr>
      </w:pPr>
      <w:r>
        <w:rPr>
          <w:sz w:val="24"/>
        </w:rPr>
        <w:t>响应文件包括下列内容：</w:t>
      </w:r>
    </w:p>
    <w:p>
      <w:pPr>
        <w:pStyle w:val="21"/>
        <w:numPr>
          <w:ilvl w:val="3"/>
          <w:numId w:val="3"/>
        </w:numPr>
        <w:tabs>
          <w:tab w:val="left" w:pos="2240"/>
          <w:tab w:val="left" w:pos="2241"/>
        </w:tabs>
        <w:rPr>
          <w:sz w:val="24"/>
        </w:rPr>
      </w:pPr>
      <w:r>
        <w:rPr>
          <w:sz w:val="24"/>
        </w:rPr>
        <w:t>商务部分</w:t>
      </w:r>
    </w:p>
    <w:p>
      <w:pPr>
        <w:pStyle w:val="21"/>
        <w:numPr>
          <w:ilvl w:val="0"/>
          <w:numId w:val="4"/>
        </w:numPr>
        <w:tabs>
          <w:tab w:val="left" w:pos="1762"/>
        </w:tabs>
        <w:spacing w:before="161"/>
        <w:rPr>
          <w:sz w:val="24"/>
        </w:rPr>
      </w:pPr>
      <w:r>
        <w:rPr>
          <w:sz w:val="24"/>
        </w:rPr>
        <w:t>协商响应声明；</w:t>
      </w:r>
    </w:p>
    <w:p>
      <w:pPr>
        <w:pStyle w:val="21"/>
        <w:numPr>
          <w:ilvl w:val="0"/>
          <w:numId w:val="4"/>
        </w:numPr>
        <w:tabs>
          <w:tab w:val="left" w:pos="1762"/>
        </w:tabs>
        <w:rPr>
          <w:sz w:val="24"/>
        </w:rPr>
      </w:pPr>
      <w:r>
        <w:rPr>
          <w:sz w:val="24"/>
        </w:rPr>
        <w:t>供应商基本情况表；</w:t>
      </w:r>
    </w:p>
    <w:p>
      <w:pPr>
        <w:pStyle w:val="21"/>
        <w:numPr>
          <w:ilvl w:val="0"/>
          <w:numId w:val="4"/>
        </w:numPr>
        <w:tabs>
          <w:tab w:val="left" w:pos="1762"/>
        </w:tabs>
        <w:spacing w:before="161"/>
        <w:rPr>
          <w:sz w:val="24"/>
        </w:rPr>
      </w:pPr>
      <w:r>
        <w:rPr>
          <w:sz w:val="24"/>
        </w:rPr>
        <w:t>商务条款响应情况；</w:t>
      </w:r>
    </w:p>
    <w:p>
      <w:pPr>
        <w:pStyle w:val="21"/>
        <w:numPr>
          <w:ilvl w:val="0"/>
          <w:numId w:val="4"/>
        </w:numPr>
        <w:tabs>
          <w:tab w:val="left" w:pos="1762"/>
        </w:tabs>
        <w:rPr>
          <w:sz w:val="24"/>
        </w:rPr>
      </w:pPr>
      <w:r>
        <w:rPr>
          <w:sz w:val="24"/>
        </w:rPr>
        <w:t>报价文件。</w:t>
      </w:r>
    </w:p>
    <w:p>
      <w:pPr>
        <w:pStyle w:val="21"/>
        <w:numPr>
          <w:ilvl w:val="3"/>
          <w:numId w:val="3"/>
        </w:numPr>
        <w:tabs>
          <w:tab w:val="left" w:pos="2240"/>
          <w:tab w:val="left" w:pos="2241"/>
        </w:tabs>
        <w:spacing w:before="161"/>
        <w:rPr>
          <w:sz w:val="24"/>
        </w:rPr>
      </w:pPr>
      <w:r>
        <w:rPr>
          <w:sz w:val="24"/>
        </w:rPr>
        <w:t>技术部分</w:t>
      </w:r>
    </w:p>
    <w:p>
      <w:pPr>
        <w:pStyle w:val="21"/>
        <w:numPr>
          <w:ilvl w:val="0"/>
          <w:numId w:val="5"/>
        </w:numPr>
        <w:tabs>
          <w:tab w:val="left" w:pos="1762"/>
        </w:tabs>
        <w:rPr>
          <w:sz w:val="24"/>
        </w:rPr>
      </w:pPr>
      <w:r>
        <w:rPr>
          <w:sz w:val="24"/>
        </w:rPr>
        <w:t>服务说明、实施方案及技术方案；</w:t>
      </w:r>
    </w:p>
    <w:p>
      <w:pPr>
        <w:pStyle w:val="21"/>
        <w:numPr>
          <w:ilvl w:val="0"/>
          <w:numId w:val="5"/>
        </w:numPr>
        <w:tabs>
          <w:tab w:val="left" w:pos="1762"/>
        </w:tabs>
        <w:spacing w:before="162"/>
        <w:rPr>
          <w:sz w:val="24"/>
        </w:rPr>
      </w:pPr>
      <w:r>
        <w:rPr>
          <w:sz w:val="24"/>
        </w:rPr>
        <w:t>技术响应与偏离表；</w:t>
      </w:r>
    </w:p>
    <w:p>
      <w:pPr>
        <w:pStyle w:val="21"/>
        <w:numPr>
          <w:ilvl w:val="0"/>
          <w:numId w:val="5"/>
        </w:numPr>
        <w:tabs>
          <w:tab w:val="left" w:pos="1762"/>
        </w:tabs>
        <w:rPr>
          <w:sz w:val="24"/>
        </w:rPr>
      </w:pPr>
      <w:r>
        <w:rPr>
          <w:sz w:val="24"/>
        </w:rPr>
        <w:t>供应商认为需提供的其他资料。</w:t>
      </w:r>
    </w:p>
    <w:p>
      <w:pPr>
        <w:pStyle w:val="21"/>
        <w:numPr>
          <w:ilvl w:val="1"/>
          <w:numId w:val="3"/>
        </w:numPr>
        <w:tabs>
          <w:tab w:val="left" w:pos="1642"/>
        </w:tabs>
        <w:spacing w:before="161"/>
        <w:rPr>
          <w:sz w:val="24"/>
        </w:rPr>
      </w:pPr>
      <w:r>
        <w:rPr>
          <w:sz w:val="24"/>
        </w:rPr>
        <w:t>报价</w:t>
      </w:r>
    </w:p>
    <w:p>
      <w:pPr>
        <w:pStyle w:val="21"/>
        <w:numPr>
          <w:ilvl w:val="2"/>
          <w:numId w:val="3"/>
        </w:numPr>
        <w:tabs>
          <w:tab w:val="left" w:pos="2000"/>
          <w:tab w:val="left" w:pos="2001"/>
        </w:tabs>
        <w:ind w:left="2000" w:hanging="600"/>
        <w:rPr>
          <w:sz w:val="24"/>
        </w:rPr>
      </w:pPr>
      <w:r>
        <w:rPr>
          <w:sz w:val="24"/>
        </w:rPr>
        <w:t>供应商应当根据单一来源采购文件要求和范围以人民币报价。</w:t>
      </w:r>
    </w:p>
    <w:p>
      <w:pPr>
        <w:pStyle w:val="21"/>
        <w:numPr>
          <w:ilvl w:val="2"/>
          <w:numId w:val="3"/>
        </w:numPr>
        <w:tabs>
          <w:tab w:val="left" w:pos="2000"/>
          <w:tab w:val="left" w:pos="2001"/>
        </w:tabs>
        <w:spacing w:line="364" w:lineRule="auto"/>
        <w:ind w:right="920" w:firstLine="480"/>
        <w:rPr>
          <w:sz w:val="24"/>
        </w:rPr>
      </w:pPr>
      <w:r>
        <w:rPr>
          <w:spacing w:val="-1"/>
          <w:sz w:val="24"/>
        </w:rPr>
        <w:t xml:space="preserve">供应商应按第五章“项目采购需求”要求及第四章“响应文件组成” </w:t>
      </w:r>
      <w:r>
        <w:rPr>
          <w:sz w:val="24"/>
        </w:rPr>
        <w:t>格式填写。</w:t>
      </w:r>
    </w:p>
    <w:p>
      <w:pPr>
        <w:pStyle w:val="21"/>
        <w:numPr>
          <w:ilvl w:val="1"/>
          <w:numId w:val="3"/>
        </w:numPr>
        <w:tabs>
          <w:tab w:val="left" w:pos="1642"/>
        </w:tabs>
        <w:spacing w:before="2"/>
        <w:rPr>
          <w:sz w:val="24"/>
        </w:rPr>
      </w:pPr>
      <w:r>
        <w:rPr>
          <w:sz w:val="24"/>
        </w:rPr>
        <w:t>协商保证金</w:t>
      </w:r>
    </w:p>
    <w:p>
      <w:pPr>
        <w:rPr>
          <w:sz w:val="24"/>
        </w:rPr>
        <w:sectPr>
          <w:pgSz w:w="11910" w:h="16840"/>
          <w:pgMar w:top="1460" w:right="880" w:bottom="1160" w:left="880" w:header="0" w:footer="894" w:gutter="0"/>
          <w:cols w:space="720" w:num="1"/>
        </w:sectPr>
      </w:pPr>
    </w:p>
    <w:p>
      <w:pPr>
        <w:pStyle w:val="21"/>
        <w:numPr>
          <w:ilvl w:val="2"/>
          <w:numId w:val="3"/>
        </w:numPr>
        <w:tabs>
          <w:tab w:val="left" w:pos="880"/>
        </w:tabs>
        <w:spacing w:before="41"/>
        <w:ind w:left="880" w:leftChars="400" w:firstLine="518" w:firstLineChars="216"/>
        <w:rPr>
          <w:sz w:val="24"/>
        </w:rPr>
      </w:pPr>
      <w:r>
        <w:rPr>
          <w:sz w:val="24"/>
        </w:rPr>
        <w:t>本项目是否交纳协商保证金要求见协商须知前附表。</w:t>
      </w:r>
    </w:p>
    <w:p>
      <w:pPr>
        <w:pStyle w:val="21"/>
        <w:numPr>
          <w:ilvl w:val="2"/>
          <w:numId w:val="3"/>
        </w:numPr>
        <w:tabs>
          <w:tab w:val="left" w:pos="880"/>
        </w:tabs>
        <w:spacing w:line="364" w:lineRule="auto"/>
        <w:ind w:left="880" w:leftChars="400" w:right="823" w:firstLine="518" w:firstLineChars="216"/>
        <w:rPr>
          <w:sz w:val="24"/>
        </w:rPr>
      </w:pPr>
      <w:r>
        <w:rPr>
          <w:sz w:val="24"/>
        </w:rPr>
        <w:t>供应商应按照协商须知前附表规定向采购代理机构交纳缴纳协商保证</w:t>
      </w:r>
      <w:r>
        <w:rPr>
          <w:spacing w:val="-1"/>
          <w:sz w:val="24"/>
        </w:rPr>
        <w:t>金，协商保证金有效期应当与本章协商须知前附表规定的协商响应有效期一致。</w:t>
      </w:r>
      <w:r>
        <w:rPr>
          <w:spacing w:val="-7"/>
          <w:sz w:val="24"/>
        </w:rPr>
        <w:t>未按协商文件规定提交保证金的，采购人或采购代理机构应当拒绝接收供应商的响应文件。</w:t>
      </w:r>
    </w:p>
    <w:p>
      <w:pPr>
        <w:pStyle w:val="21"/>
        <w:numPr>
          <w:ilvl w:val="2"/>
          <w:numId w:val="3"/>
        </w:numPr>
        <w:tabs>
          <w:tab w:val="left" w:pos="880"/>
        </w:tabs>
        <w:spacing w:before="3" w:line="364" w:lineRule="auto"/>
        <w:ind w:left="880" w:leftChars="400" w:right="916" w:firstLine="505" w:firstLineChars="216"/>
        <w:jc w:val="both"/>
        <w:rPr>
          <w:sz w:val="24"/>
        </w:rPr>
      </w:pPr>
      <w:r>
        <w:rPr>
          <w:spacing w:val="-3"/>
          <w:sz w:val="24"/>
        </w:rPr>
        <w:t xml:space="preserve">未成交供应商的保证金，在成交通知书发出后 </w:t>
      </w:r>
      <w:r>
        <w:rPr>
          <w:sz w:val="24"/>
        </w:rPr>
        <w:t>5</w:t>
      </w:r>
      <w:r>
        <w:rPr>
          <w:spacing w:val="-8"/>
          <w:sz w:val="24"/>
        </w:rPr>
        <w:t xml:space="preserve"> 个工作日内退还；成</w:t>
      </w:r>
      <w:r>
        <w:rPr>
          <w:spacing w:val="-9"/>
          <w:sz w:val="24"/>
        </w:rPr>
        <w:t xml:space="preserve">交供应商的保证金，在采购合同签订后 </w:t>
      </w:r>
      <w:r>
        <w:rPr>
          <w:sz w:val="24"/>
        </w:rPr>
        <w:t>5</w:t>
      </w:r>
      <w:r>
        <w:rPr>
          <w:spacing w:val="-12"/>
          <w:sz w:val="24"/>
        </w:rPr>
        <w:t xml:space="preserve"> 个工作日内退还，但因供应商自身原因</w:t>
      </w:r>
      <w:r>
        <w:rPr>
          <w:sz w:val="24"/>
        </w:rPr>
        <w:t>导致无法及时退还的除外。</w:t>
      </w:r>
    </w:p>
    <w:p>
      <w:pPr>
        <w:pStyle w:val="21"/>
        <w:numPr>
          <w:ilvl w:val="2"/>
          <w:numId w:val="3"/>
        </w:numPr>
        <w:tabs>
          <w:tab w:val="left" w:pos="880"/>
        </w:tabs>
        <w:spacing w:before="2"/>
        <w:ind w:left="880" w:leftChars="400" w:firstLine="518" w:firstLineChars="216"/>
        <w:rPr>
          <w:sz w:val="24"/>
        </w:rPr>
      </w:pPr>
      <w:r>
        <w:rPr>
          <w:sz w:val="24"/>
        </w:rPr>
        <w:t>有下列情形之一的，保证金不予退还：</w:t>
      </w:r>
    </w:p>
    <w:p>
      <w:pPr>
        <w:pStyle w:val="21"/>
        <w:numPr>
          <w:ilvl w:val="0"/>
          <w:numId w:val="6"/>
        </w:numPr>
        <w:tabs>
          <w:tab w:val="left" w:pos="1762"/>
        </w:tabs>
        <w:spacing w:before="161" w:line="364" w:lineRule="auto"/>
        <w:ind w:left="880" w:leftChars="400" w:right="920" w:firstLine="514" w:firstLineChars="216"/>
        <w:rPr>
          <w:sz w:val="24"/>
        </w:rPr>
      </w:pPr>
      <w:r>
        <w:rPr>
          <w:spacing w:val="-1"/>
          <w:sz w:val="24"/>
        </w:rPr>
        <w:t>供应商在协商须知前附表规定的提交首次响应文件截止时间后撤回响应</w:t>
      </w:r>
      <w:r>
        <w:rPr>
          <w:sz w:val="24"/>
        </w:rPr>
        <w:t>文件的；</w:t>
      </w:r>
    </w:p>
    <w:p>
      <w:pPr>
        <w:pStyle w:val="21"/>
        <w:numPr>
          <w:ilvl w:val="0"/>
          <w:numId w:val="6"/>
        </w:numPr>
        <w:tabs>
          <w:tab w:val="left" w:pos="1762"/>
        </w:tabs>
        <w:spacing w:before="1"/>
        <w:ind w:left="880" w:leftChars="400" w:firstLine="518" w:firstLineChars="216"/>
        <w:rPr>
          <w:sz w:val="24"/>
        </w:rPr>
      </w:pPr>
      <w:r>
        <w:rPr>
          <w:sz w:val="24"/>
        </w:rPr>
        <w:t>供应商在响应文件中提供虚假材料的；</w:t>
      </w:r>
    </w:p>
    <w:p>
      <w:pPr>
        <w:pStyle w:val="21"/>
        <w:numPr>
          <w:ilvl w:val="0"/>
          <w:numId w:val="6"/>
        </w:numPr>
        <w:tabs>
          <w:tab w:val="left" w:pos="1762"/>
        </w:tabs>
        <w:spacing w:line="364" w:lineRule="auto"/>
        <w:ind w:left="880" w:leftChars="400" w:right="920" w:firstLine="514" w:firstLineChars="216"/>
        <w:rPr>
          <w:sz w:val="24"/>
        </w:rPr>
      </w:pPr>
      <w:r>
        <w:rPr>
          <w:spacing w:val="-1"/>
          <w:sz w:val="24"/>
        </w:rPr>
        <w:t>除因不可抗力或协商文件认可的情形以外，成交供应商不与采购人签订</w:t>
      </w:r>
      <w:r>
        <w:rPr>
          <w:sz w:val="24"/>
        </w:rPr>
        <w:t>合同的；</w:t>
      </w:r>
    </w:p>
    <w:p>
      <w:pPr>
        <w:pStyle w:val="21"/>
        <w:numPr>
          <w:ilvl w:val="0"/>
          <w:numId w:val="6"/>
        </w:numPr>
        <w:tabs>
          <w:tab w:val="left" w:pos="1762"/>
        </w:tabs>
        <w:spacing w:before="2"/>
        <w:ind w:left="880" w:leftChars="400" w:firstLine="518" w:firstLineChars="216"/>
        <w:rPr>
          <w:sz w:val="24"/>
        </w:rPr>
      </w:pPr>
      <w:r>
        <w:rPr>
          <w:sz w:val="24"/>
        </w:rPr>
        <w:t>供应商与采购人、其他供应商或者采购代理机构恶意串通的；</w:t>
      </w:r>
    </w:p>
    <w:p>
      <w:pPr>
        <w:pStyle w:val="21"/>
        <w:tabs>
          <w:tab w:val="left" w:pos="2121"/>
        </w:tabs>
        <w:spacing w:before="3" w:line="360" w:lineRule="auto"/>
        <w:ind w:left="880" w:leftChars="400" w:right="917" w:firstLine="509" w:firstLineChars="216"/>
        <w:jc w:val="both"/>
        <w:rPr>
          <w:spacing w:val="-2"/>
          <w:sz w:val="24"/>
        </w:rPr>
      </w:pPr>
      <w:r>
        <w:rPr>
          <w:spacing w:val="-2"/>
          <w:sz w:val="24"/>
        </w:rPr>
        <w:t>协商文件规定的其他情形。</w:t>
      </w:r>
    </w:p>
    <w:p>
      <w:pPr>
        <w:pStyle w:val="21"/>
        <w:tabs>
          <w:tab w:val="left" w:pos="2121"/>
        </w:tabs>
        <w:spacing w:before="3" w:line="360" w:lineRule="auto"/>
        <w:ind w:left="880" w:leftChars="400" w:right="917" w:firstLine="518" w:firstLineChars="216"/>
        <w:jc w:val="both"/>
        <w:rPr>
          <w:rFonts w:hint="eastAsia"/>
          <w:sz w:val="24"/>
        </w:rPr>
      </w:pPr>
      <w:r>
        <w:rPr>
          <w:sz w:val="24"/>
        </w:rPr>
        <w:t>10.</w:t>
      </w:r>
      <w:r>
        <w:rPr>
          <w:rFonts w:hint="eastAsia"/>
          <w:sz w:val="24"/>
        </w:rPr>
        <w:t>投标</w:t>
      </w:r>
    </w:p>
    <w:p>
      <w:pPr>
        <w:pStyle w:val="21"/>
        <w:tabs>
          <w:tab w:val="left" w:pos="2121"/>
        </w:tabs>
        <w:spacing w:before="3" w:line="360" w:lineRule="auto"/>
        <w:ind w:left="880" w:leftChars="400" w:right="917" w:firstLine="518" w:firstLineChars="216"/>
        <w:jc w:val="both"/>
        <w:rPr>
          <w:rFonts w:hint="eastAsia"/>
          <w:sz w:val="24"/>
        </w:rPr>
      </w:pPr>
      <w:r>
        <w:rPr>
          <w:rFonts w:hint="eastAsia"/>
          <w:sz w:val="24"/>
          <w:lang w:val="en-US" w:eastAsia="zh-CN"/>
        </w:rPr>
        <w:t>10</w:t>
      </w:r>
      <w:r>
        <w:rPr>
          <w:rFonts w:hint="eastAsia"/>
          <w:sz w:val="24"/>
        </w:rPr>
        <w:t>.1 加密的电子响应文件应在响应文件递交截止时间前通过政采云平台上传完成。</w:t>
      </w:r>
    </w:p>
    <w:p>
      <w:pPr>
        <w:pStyle w:val="21"/>
        <w:tabs>
          <w:tab w:val="left" w:pos="2121"/>
        </w:tabs>
        <w:spacing w:before="3" w:line="360" w:lineRule="auto"/>
        <w:ind w:left="880" w:leftChars="400" w:right="917" w:firstLine="518" w:firstLineChars="216"/>
        <w:jc w:val="both"/>
        <w:rPr>
          <w:rFonts w:hint="eastAsia"/>
          <w:sz w:val="24"/>
        </w:rPr>
      </w:pPr>
      <w:r>
        <w:rPr>
          <w:rFonts w:hint="eastAsia"/>
          <w:sz w:val="24"/>
          <w:lang w:val="en-US" w:eastAsia="zh-CN"/>
        </w:rPr>
        <w:t>10</w:t>
      </w:r>
      <w:r>
        <w:rPr>
          <w:rFonts w:hint="eastAsia"/>
          <w:sz w:val="24"/>
        </w:rPr>
        <w:t>.2 逾期上传或者未上传指定地点的响应文件，采购人不予受理。</w:t>
      </w:r>
    </w:p>
    <w:p>
      <w:pPr>
        <w:pStyle w:val="21"/>
        <w:tabs>
          <w:tab w:val="left" w:pos="2121"/>
        </w:tabs>
        <w:spacing w:before="3" w:line="360" w:lineRule="auto"/>
        <w:ind w:left="880" w:leftChars="400" w:right="917" w:firstLine="518" w:firstLineChars="216"/>
        <w:jc w:val="both"/>
        <w:rPr>
          <w:rFonts w:hint="eastAsia"/>
          <w:sz w:val="24"/>
        </w:rPr>
      </w:pPr>
      <w:r>
        <w:rPr>
          <w:rFonts w:hint="eastAsia"/>
          <w:sz w:val="24"/>
          <w:lang w:val="en-US" w:eastAsia="zh-CN"/>
        </w:rPr>
        <w:t>10</w:t>
      </w:r>
      <w:r>
        <w:rPr>
          <w:rFonts w:hint="eastAsia"/>
          <w:sz w:val="24"/>
        </w:rPr>
        <w:t>.3 响应文件的修改与撤回</w:t>
      </w:r>
    </w:p>
    <w:p>
      <w:pPr>
        <w:pStyle w:val="21"/>
        <w:tabs>
          <w:tab w:val="left" w:pos="2121"/>
        </w:tabs>
        <w:spacing w:before="3" w:line="360" w:lineRule="auto"/>
        <w:ind w:left="880" w:leftChars="400" w:right="917" w:firstLine="518" w:firstLineChars="216"/>
        <w:jc w:val="both"/>
        <w:rPr>
          <w:rFonts w:hint="eastAsia"/>
          <w:sz w:val="24"/>
        </w:rPr>
      </w:pPr>
      <w:r>
        <w:rPr>
          <w:rFonts w:hint="eastAsia"/>
          <w:sz w:val="24"/>
          <w:lang w:val="en-US" w:eastAsia="zh-CN"/>
        </w:rPr>
        <w:t>10</w:t>
      </w:r>
      <w:r>
        <w:rPr>
          <w:rFonts w:hint="eastAsia"/>
          <w:sz w:val="24"/>
        </w:rPr>
        <w:t>.3.1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21"/>
        <w:tabs>
          <w:tab w:val="left" w:pos="2121"/>
        </w:tabs>
        <w:spacing w:before="3" w:line="360" w:lineRule="auto"/>
        <w:ind w:left="880" w:leftChars="400" w:right="917" w:firstLine="518" w:firstLineChars="216"/>
        <w:jc w:val="both"/>
        <w:rPr>
          <w:rFonts w:hint="eastAsia"/>
          <w:sz w:val="24"/>
        </w:rPr>
      </w:pPr>
      <w:r>
        <w:rPr>
          <w:rFonts w:hint="eastAsia"/>
          <w:sz w:val="24"/>
          <w:lang w:val="en-US" w:eastAsia="zh-CN"/>
        </w:rPr>
        <w:t>10</w:t>
      </w:r>
      <w:r>
        <w:rPr>
          <w:rFonts w:hint="eastAsia"/>
          <w:sz w:val="24"/>
        </w:rPr>
        <w:t>.3.2供应商不得在开标时间起至投标有效期期满前撤回响应文件。</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11.开标</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11.1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络环境畅通，以便开标时解密。本项目解密时间定为30分钟，如因供应商自身原因导致无法正常解密，后果由供应商自行承担。</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11.2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12.组建协商小组</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12.1 采购方根据有关法律法规和本采购文件的规定，结合本采购项目的特点组建协商小组，对供应商采购文件进行评估和比较。</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12.2 开标前，由采购人代表和政采云平台专家库中随机抽取专家组成协商小组，协商小组成员人数为 3 人及以上的单数。</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12.3 协商会议由协商小组组长主持。协商小组首先对各响应文件进行初步</w:t>
      </w:r>
    </w:p>
    <w:p>
      <w:pPr>
        <w:pStyle w:val="21"/>
        <w:tabs>
          <w:tab w:val="left" w:pos="2121"/>
        </w:tabs>
        <w:spacing w:before="3" w:line="360" w:lineRule="auto"/>
        <w:ind w:left="0" w:leftChars="0" w:right="917" w:firstLine="960" w:firstLineChars="400"/>
        <w:jc w:val="both"/>
        <w:rPr>
          <w:rFonts w:hint="eastAsia"/>
          <w:sz w:val="24"/>
          <w:lang w:val="en-US" w:eastAsia="zh-CN"/>
        </w:rPr>
      </w:pPr>
      <w:r>
        <w:rPr>
          <w:rFonts w:hint="eastAsia"/>
          <w:sz w:val="24"/>
          <w:lang w:val="en-US" w:eastAsia="zh-CN"/>
        </w:rPr>
        <w:t>审查，初步审查包括资格性审查和符合性审查，未通过审查的为无效标。</w:t>
      </w:r>
    </w:p>
    <w:p>
      <w:pPr>
        <w:pStyle w:val="21"/>
        <w:tabs>
          <w:tab w:val="left" w:pos="2121"/>
        </w:tabs>
        <w:spacing w:before="3" w:line="360" w:lineRule="auto"/>
        <w:ind w:left="959" w:leftChars="436" w:right="917" w:firstLine="0" w:firstLineChars="0"/>
        <w:jc w:val="both"/>
        <w:rPr>
          <w:rFonts w:hint="eastAsia"/>
          <w:sz w:val="24"/>
          <w:lang w:val="en-US" w:eastAsia="zh-CN"/>
        </w:rPr>
      </w:pPr>
      <w:r>
        <w:rPr>
          <w:rFonts w:hint="eastAsia"/>
          <w:sz w:val="24"/>
          <w:lang w:val="en-US" w:eastAsia="zh-CN"/>
        </w:rPr>
        <w:t>⑴资格性检查：由采购人或采购代理机构进行资格审查，若供应商资格审查未通过，将认定整个响应文件不响应采购文件而予以投标无效。</w:t>
      </w:r>
    </w:p>
    <w:p>
      <w:pPr>
        <w:pStyle w:val="21"/>
        <w:tabs>
          <w:tab w:val="left" w:pos="2121"/>
        </w:tabs>
        <w:spacing w:before="3" w:line="360" w:lineRule="auto"/>
        <w:ind w:left="880" w:leftChars="400" w:right="917" w:firstLine="0" w:firstLineChars="0"/>
        <w:jc w:val="both"/>
        <w:rPr>
          <w:rFonts w:hint="eastAsia"/>
          <w:sz w:val="24"/>
          <w:lang w:val="en-US" w:eastAsia="zh-CN"/>
        </w:rPr>
      </w:pPr>
      <w:r>
        <w:rPr>
          <w:rFonts w:hint="eastAsia"/>
          <w:sz w:val="24"/>
          <w:lang w:val="en-US" w:eastAsia="zh-CN"/>
        </w:rPr>
        <w:t>⑵符合性检查：依单一来源采购文件的规定，从响应文件的有效性、完整性和对单一来源采购文件的响应程度进行审查，以确定是否对单一来源采购文件的要求做出了实质性的响应，存在重大偏离的响应文件为无效标。所谓重大偏离是指供应商响应文件中所述服务质量、技术、规格、数量、交货期等和服务明显不能满足单一来源采购文件要求。协商小组成员对需要共同认定的事项存在争议的，应当按照少数服从多数的原则作出结论。持不同意见的协商小组成员应当在评标报告上签署不同意见及理由，否则视为同意评标报告。</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12.4 协商小组判断“响应文件”的响应性，仅基于“响应文件”本身而不靠外部证据。对非实质性响应的响应文件，供应商不能通过修正或撤销不符之处，而使其成为实质性响应。</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12.5协商小组根据单一来源采购文件要求，讨论、通过协商工作流程和协商要点。</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12.6采购人按照供应商签到时间顺序通知有效供应商开始进行协商。</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13、知识产权</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13.1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13.2 采购人享有本项目实施过程中产生的知识成果及知识产权。</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13.3供应商如欲在项目实施过程中采用自有知识成果，需在响应文件中声明，并提供相关知识产权证明文件。使用该知识成果后，供应商需承诺提供无限期技术支持，采购人享有永久使用权。</w:t>
      </w:r>
    </w:p>
    <w:p>
      <w:pPr>
        <w:pStyle w:val="21"/>
        <w:tabs>
          <w:tab w:val="left" w:pos="2121"/>
        </w:tabs>
        <w:spacing w:before="3" w:line="360" w:lineRule="auto"/>
        <w:ind w:left="880" w:leftChars="400" w:right="917" w:firstLine="518" w:firstLineChars="216"/>
        <w:jc w:val="both"/>
        <w:rPr>
          <w:rFonts w:hint="eastAsia"/>
          <w:sz w:val="24"/>
          <w:lang w:val="en-US" w:eastAsia="zh-CN"/>
        </w:rPr>
      </w:pPr>
      <w:r>
        <w:rPr>
          <w:rFonts w:hint="eastAsia"/>
          <w:sz w:val="24"/>
          <w:lang w:val="en-US" w:eastAsia="zh-CN"/>
        </w:rPr>
        <w:t>13.4 供应商如采用其所不拥有的知识产权，则在其商务报价中必须包括合法获取该知识产权的相关费用。</w:t>
      </w:r>
    </w:p>
    <w:p>
      <w:pPr>
        <w:rPr>
          <w:rFonts w:hint="eastAsia"/>
          <w:lang w:val="en-US" w:eastAsia="zh-CN"/>
        </w:rPr>
      </w:pPr>
      <w:r>
        <w:rPr>
          <w:rFonts w:hint="eastAsia"/>
          <w:lang w:val="en-US" w:eastAsia="zh-CN"/>
        </w:rPr>
        <w:br w:type="page"/>
      </w:r>
    </w:p>
    <w:p>
      <w:pPr>
        <w:pStyle w:val="2"/>
        <w:rPr>
          <w:rFonts w:hint="eastAsia"/>
          <w:sz w:val="24"/>
          <w:szCs w:val="24"/>
          <w:lang w:val="en-US" w:eastAsia="zh-CN"/>
        </w:rPr>
      </w:pPr>
      <w:r>
        <w:rPr>
          <w:rFonts w:hint="eastAsia"/>
          <w:sz w:val="24"/>
          <w:szCs w:val="24"/>
          <w:lang w:val="en-US" w:eastAsia="zh-CN"/>
        </w:rPr>
        <w:t>资格审查(由采购人或采购代理机构进行资格审查，若供应商资格审查未通过，将认定整个响应文件不响应采购文件而予以投标无效）</w:t>
      </w:r>
    </w:p>
    <w:tbl>
      <w:tblPr>
        <w:tblStyle w:val="14"/>
        <w:tblpPr w:leftFromText="180" w:rightFromText="180" w:vertAnchor="text" w:horzAnchor="page" w:tblpX="1815" w:tblpY="4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97"/>
        <w:gridCol w:w="4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pStyle w:val="30"/>
              <w:jc w:val="center"/>
              <w:rPr>
                <w:rFonts w:hint="eastAsia" w:ascii="宋体" w:hAnsi="宋体" w:cs="宋体"/>
                <w:b/>
                <w:color w:val="000000"/>
                <w:spacing w:val="0"/>
                <w:kern w:val="2"/>
                <w:sz w:val="22"/>
                <w:szCs w:val="22"/>
              </w:rPr>
            </w:pPr>
            <w:r>
              <w:rPr>
                <w:rFonts w:hint="eastAsia" w:ascii="宋体" w:hAnsi="宋体" w:cs="宋体"/>
                <w:b/>
                <w:color w:val="000000"/>
                <w:spacing w:val="0"/>
                <w:kern w:val="2"/>
                <w:sz w:val="22"/>
                <w:szCs w:val="22"/>
              </w:rPr>
              <w:t>序号</w:t>
            </w:r>
          </w:p>
        </w:tc>
        <w:tc>
          <w:tcPr>
            <w:tcW w:w="3097" w:type="dxa"/>
            <w:noWrap w:val="0"/>
            <w:vAlign w:val="center"/>
          </w:tcPr>
          <w:p>
            <w:pPr>
              <w:pStyle w:val="30"/>
              <w:jc w:val="center"/>
              <w:rPr>
                <w:rFonts w:hint="eastAsia" w:ascii="宋体" w:hAnsi="宋体" w:cs="宋体"/>
                <w:b/>
                <w:color w:val="000000"/>
                <w:spacing w:val="0"/>
                <w:kern w:val="2"/>
                <w:sz w:val="22"/>
                <w:szCs w:val="22"/>
              </w:rPr>
            </w:pPr>
            <w:r>
              <w:rPr>
                <w:rFonts w:hint="eastAsia" w:ascii="宋体" w:hAnsi="宋体" w:cs="宋体"/>
                <w:b/>
                <w:color w:val="000000"/>
                <w:sz w:val="22"/>
                <w:szCs w:val="22"/>
              </w:rPr>
              <w:t>资格条件</w:t>
            </w:r>
          </w:p>
        </w:tc>
        <w:tc>
          <w:tcPr>
            <w:tcW w:w="4777" w:type="dxa"/>
            <w:noWrap w:val="0"/>
            <w:vAlign w:val="center"/>
          </w:tcPr>
          <w:p>
            <w:pPr>
              <w:pStyle w:val="30"/>
              <w:jc w:val="center"/>
              <w:rPr>
                <w:rFonts w:hint="eastAsia" w:ascii="宋体" w:hAnsi="宋体" w:cs="宋体"/>
                <w:b/>
                <w:color w:val="000000"/>
                <w:spacing w:val="0"/>
                <w:kern w:val="2"/>
                <w:sz w:val="22"/>
                <w:szCs w:val="22"/>
              </w:rPr>
            </w:pPr>
            <w:r>
              <w:rPr>
                <w:rFonts w:hint="eastAsia" w:ascii="宋体" w:hAnsi="宋体" w:cs="宋体"/>
                <w:b/>
                <w:color w:val="000000"/>
                <w:sz w:val="22"/>
                <w:szCs w:val="22"/>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pStyle w:val="30"/>
              <w:jc w:val="center"/>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1</w:t>
            </w:r>
          </w:p>
        </w:tc>
        <w:tc>
          <w:tcPr>
            <w:tcW w:w="309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具有独立承担民事责任的能力</w:t>
            </w:r>
          </w:p>
        </w:tc>
        <w:tc>
          <w:tcPr>
            <w:tcW w:w="477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须提供在中华人民共和国境内注册的法人或其他组织或自然人的营业执照副本或事业法人登记证或执业许可证或身份证等相关证明扫描件（除身份证外其余证件须加盖电子公章）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pStyle w:val="30"/>
              <w:jc w:val="center"/>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2</w:t>
            </w:r>
          </w:p>
        </w:tc>
        <w:tc>
          <w:tcPr>
            <w:tcW w:w="309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具有良好的商业信誉和健全的财务会计制度</w:t>
            </w:r>
          </w:p>
        </w:tc>
        <w:tc>
          <w:tcPr>
            <w:tcW w:w="477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须提供本单位上一年度由会计师事务所出具的财务审计报告（当上一年度审计报告未出来时，可提供前一年度审计报告），审计报告须包括资产负债表、利润表、现金流量表、所有者权益变动（如有）及其附注（扫描件并加盖本单位电子公章）。如投标人无法提供上年度审计报告，则需提供开标日前三个月内银行出具的资信证明。银行资信证明可提供原件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pStyle w:val="30"/>
              <w:jc w:val="center"/>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3</w:t>
            </w:r>
          </w:p>
        </w:tc>
        <w:tc>
          <w:tcPr>
            <w:tcW w:w="309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具有履行合同所必需的设备和专业技术能力</w:t>
            </w:r>
          </w:p>
        </w:tc>
        <w:tc>
          <w:tcPr>
            <w:tcW w:w="477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须提供具备履行合同所必需的设备和专业技术能力的证明材料或书面声明原件扫描件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pStyle w:val="30"/>
              <w:jc w:val="center"/>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4</w:t>
            </w:r>
          </w:p>
        </w:tc>
        <w:tc>
          <w:tcPr>
            <w:tcW w:w="309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有依法缴纳税收和依法缴纳社会保障资金的记录</w:t>
            </w:r>
          </w:p>
        </w:tc>
        <w:tc>
          <w:tcPr>
            <w:tcW w:w="4777" w:type="dxa"/>
            <w:noWrap w:val="0"/>
            <w:vAlign w:val="center"/>
          </w:tcPr>
          <w:p>
            <w:pPr>
              <w:pStyle w:val="30"/>
              <w:jc w:val="both"/>
              <w:rPr>
                <w:rFonts w:hint="eastAsia" w:ascii="宋体" w:hAnsi="宋体" w:cs="宋体"/>
                <w:color w:val="000000"/>
                <w:sz w:val="22"/>
                <w:szCs w:val="22"/>
              </w:rPr>
            </w:pPr>
            <w:r>
              <w:rPr>
                <w:rFonts w:hint="eastAsia" w:ascii="宋体" w:hAnsi="宋体" w:cs="宋体"/>
                <w:color w:val="000000"/>
                <w:sz w:val="22"/>
                <w:szCs w:val="22"/>
              </w:rPr>
              <w:t>须提供响应文件递交截止日期之前六个月内任何一期的纳税记录或证明文件原件扫描件加盖电子公章（依法免税的应提供相应文件说明）</w:t>
            </w:r>
          </w:p>
          <w:p>
            <w:pPr>
              <w:pStyle w:val="30"/>
              <w:jc w:val="both"/>
              <w:rPr>
                <w:rFonts w:hint="eastAsia" w:ascii="宋体" w:hAnsi="宋体" w:cs="宋体"/>
                <w:color w:val="000000"/>
                <w:sz w:val="22"/>
                <w:szCs w:val="22"/>
              </w:rPr>
            </w:pPr>
            <w:r>
              <w:rPr>
                <w:rFonts w:hint="eastAsia" w:ascii="宋体" w:hAnsi="宋体" w:cs="宋体"/>
                <w:color w:val="000000"/>
                <w:sz w:val="22"/>
                <w:szCs w:val="22"/>
              </w:rPr>
              <w:t>须提供响应文件递交截止日期之前六个月内为员工缴纳社会保障资金的证明材料原件扫描件加盖电子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pStyle w:val="30"/>
              <w:jc w:val="center"/>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5</w:t>
            </w:r>
          </w:p>
        </w:tc>
        <w:tc>
          <w:tcPr>
            <w:tcW w:w="309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参加政府采购活动前三年内，在经营活动中没有重大违法记录</w:t>
            </w:r>
          </w:p>
        </w:tc>
        <w:tc>
          <w:tcPr>
            <w:tcW w:w="477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须提供声明函原件扫描件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pStyle w:val="30"/>
              <w:jc w:val="center"/>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6</w:t>
            </w:r>
          </w:p>
        </w:tc>
        <w:tc>
          <w:tcPr>
            <w:tcW w:w="309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color w:val="000000"/>
                <w:sz w:val="22"/>
                <w:szCs w:val="22"/>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c>
          <w:tcPr>
            <w:tcW w:w="477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以采购代理机构在“信用中国”网站及“中国政府采购网”、</w:t>
            </w:r>
            <w:r>
              <w:rPr>
                <w:rFonts w:hint="eastAsia" w:ascii="宋体" w:hAnsi="宋体" w:cs="宋体"/>
                <w:color w:val="000000"/>
                <w:sz w:val="22"/>
                <w:szCs w:val="22"/>
              </w:rPr>
              <w:t>税务局失信惩戒企业名单截图</w:t>
            </w:r>
            <w:r>
              <w:rPr>
                <w:rFonts w:hint="eastAsia" w:ascii="宋体" w:hAnsi="宋体" w:cs="宋体"/>
                <w:bCs w:val="0"/>
                <w:color w:val="000000"/>
                <w:spacing w:val="0"/>
                <w:kern w:val="2"/>
                <w:sz w:val="22"/>
                <w:szCs w:val="22"/>
              </w:rPr>
              <w:t>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48" w:type="dxa"/>
            <w:noWrap w:val="0"/>
            <w:vAlign w:val="center"/>
          </w:tcPr>
          <w:p>
            <w:pPr>
              <w:pStyle w:val="30"/>
              <w:jc w:val="center"/>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rPr>
              <w:t>7</w:t>
            </w:r>
          </w:p>
        </w:tc>
        <w:tc>
          <w:tcPr>
            <w:tcW w:w="3097" w:type="dxa"/>
            <w:noWrap w:val="0"/>
            <w:vAlign w:val="center"/>
          </w:tcPr>
          <w:p>
            <w:pPr>
              <w:pStyle w:val="30"/>
              <w:jc w:val="both"/>
              <w:rPr>
                <w:rFonts w:hint="eastAsia" w:ascii="宋体" w:hAnsi="宋体" w:cs="宋体"/>
                <w:color w:val="000000"/>
                <w:sz w:val="22"/>
                <w:szCs w:val="22"/>
              </w:rPr>
            </w:pPr>
            <w:r>
              <w:rPr>
                <w:rFonts w:hint="eastAsia" w:ascii="宋体" w:hAnsi="宋体" w:cs="宋体"/>
                <w:bCs w:val="0"/>
                <w:color w:val="000000"/>
                <w:spacing w:val="0"/>
                <w:kern w:val="2"/>
                <w:sz w:val="22"/>
                <w:szCs w:val="22"/>
                <w:lang w:val="en-US" w:eastAsia="zh-CN"/>
              </w:rPr>
              <w:t>电子出版物为正式版物</w:t>
            </w:r>
          </w:p>
        </w:tc>
        <w:tc>
          <w:tcPr>
            <w:tcW w:w="4777" w:type="dxa"/>
            <w:noWrap w:val="0"/>
            <w:vAlign w:val="center"/>
          </w:tcPr>
          <w:p>
            <w:pPr>
              <w:pStyle w:val="30"/>
              <w:jc w:val="both"/>
              <w:rPr>
                <w:rFonts w:hint="eastAsia" w:ascii="宋体" w:hAnsi="宋体" w:cs="宋体"/>
                <w:bCs w:val="0"/>
                <w:color w:val="000000"/>
                <w:spacing w:val="0"/>
                <w:kern w:val="2"/>
                <w:sz w:val="22"/>
                <w:szCs w:val="22"/>
              </w:rPr>
            </w:pPr>
            <w:r>
              <w:rPr>
                <w:rFonts w:hint="eastAsia" w:ascii="宋体" w:hAnsi="宋体" w:cs="宋体"/>
                <w:bCs w:val="0"/>
                <w:color w:val="000000"/>
                <w:spacing w:val="0"/>
                <w:kern w:val="2"/>
                <w:sz w:val="22"/>
                <w:szCs w:val="22"/>
                <w:lang w:val="en-US" w:eastAsia="zh-CN"/>
              </w:rPr>
              <w:t>提供承诺书或其他相关证明材料</w:t>
            </w:r>
          </w:p>
        </w:tc>
      </w:tr>
    </w:tbl>
    <w:p>
      <w:pPr>
        <w:rPr>
          <w:rFonts w:hint="eastAsia"/>
          <w:lang w:val="en-US" w:eastAsia="zh-CN"/>
        </w:rPr>
      </w:pPr>
    </w:p>
    <w:p>
      <w:pPr>
        <w:pStyle w:val="2"/>
        <w:rPr>
          <w:rFonts w:hint="eastAsia"/>
          <w:lang w:val="en-US" w:eastAsia="zh-CN"/>
        </w:rPr>
      </w:pPr>
    </w:p>
    <w:p>
      <w:pPr>
        <w:tabs>
          <w:tab w:val="left" w:pos="4051"/>
        </w:tabs>
        <w:bidi w:val="0"/>
        <w:jc w:val="left"/>
        <w:rPr>
          <w:rFonts w:hint="eastAsia"/>
          <w:lang w:val="en-US" w:eastAsia="zh-CN"/>
        </w:rPr>
      </w:pPr>
      <w:r>
        <w:rPr>
          <w:rFonts w:hint="eastAsia"/>
          <w:lang w:val="en-US" w:eastAsia="zh-CN"/>
        </w:rPr>
        <w:tab/>
      </w:r>
      <w:r>
        <w:rPr>
          <w:rFonts w:hint="eastAsia"/>
          <w:sz w:val="24"/>
          <w:szCs w:val="24"/>
          <w:lang w:val="en-US" w:eastAsia="zh-CN"/>
        </w:rPr>
        <w:t>初步审查表</w:t>
      </w:r>
    </w:p>
    <w:p>
      <w:pPr>
        <w:tabs>
          <w:tab w:val="left" w:pos="4051"/>
        </w:tabs>
        <w:bidi w:val="0"/>
        <w:jc w:val="left"/>
        <w:rPr>
          <w:rFonts w:hint="eastAsia"/>
          <w:lang w:val="en-US" w:eastAsia="zh-CN"/>
        </w:rPr>
      </w:pPr>
    </w:p>
    <w:p>
      <w:pPr>
        <w:pStyle w:val="21"/>
        <w:tabs>
          <w:tab w:val="left" w:pos="2121"/>
        </w:tabs>
        <w:spacing w:before="3" w:line="360" w:lineRule="auto"/>
        <w:ind w:left="880" w:leftChars="400" w:right="917" w:firstLine="518" w:firstLineChars="216"/>
        <w:jc w:val="both"/>
        <w:rPr>
          <w:rFonts w:hint="eastAsia"/>
          <w:sz w:val="24"/>
          <w:lang w:val="en-US" w:eastAsia="zh-CN"/>
        </w:rPr>
      </w:pPr>
    </w:p>
    <w:p>
      <w:pPr>
        <w:spacing w:line="340" w:lineRule="exact"/>
        <w:rPr>
          <w:rFonts w:hint="eastAsia" w:ascii="宋体" w:hAnsi="宋体" w:cs="宋体"/>
        </w:rPr>
      </w:pPr>
    </w:p>
    <w:p>
      <w:pPr>
        <w:spacing w:line="340" w:lineRule="exact"/>
        <w:rPr>
          <w:rFonts w:hint="eastAsia" w:ascii="宋体" w:hAnsi="宋体" w:cs="宋体"/>
        </w:rPr>
      </w:pPr>
    </w:p>
    <w:p>
      <w:pPr>
        <w:spacing w:line="340" w:lineRule="exact"/>
        <w:rPr>
          <w:rFonts w:hint="eastAsia" w:ascii="宋体" w:hAnsi="宋体" w:cs="宋体"/>
        </w:rPr>
      </w:pPr>
    </w:p>
    <w:p>
      <w:pPr>
        <w:spacing w:line="340" w:lineRule="exact"/>
        <w:rPr>
          <w:rFonts w:hint="eastAsia" w:ascii="宋体" w:hAnsi="宋体" w:cs="宋体"/>
        </w:rPr>
      </w:pPr>
    </w:p>
    <w:p>
      <w:pPr>
        <w:spacing w:line="340" w:lineRule="exact"/>
        <w:rPr>
          <w:rFonts w:hint="eastAsia" w:ascii="宋体" w:hAnsi="宋体" w:cs="宋体"/>
        </w:rPr>
      </w:pPr>
    </w:p>
    <w:p>
      <w:pPr>
        <w:spacing w:line="340" w:lineRule="exact"/>
        <w:rPr>
          <w:rFonts w:hint="eastAsia" w:ascii="宋体" w:hAnsi="宋体" w:cs="宋体"/>
        </w:rPr>
      </w:pPr>
    </w:p>
    <w:p>
      <w:pPr>
        <w:spacing w:line="340" w:lineRule="exact"/>
        <w:rPr>
          <w:rFonts w:hint="eastAsia" w:ascii="宋体" w:hAnsi="宋体" w:cs="宋体"/>
        </w:rPr>
      </w:pPr>
    </w:p>
    <w:p>
      <w:pPr>
        <w:spacing w:line="340" w:lineRule="exact"/>
        <w:rPr>
          <w:rFonts w:hint="eastAsia" w:ascii="宋体" w:hAnsi="宋体" w:cs="宋体"/>
        </w:rPr>
      </w:pPr>
      <w:r>
        <w:rPr>
          <w:rFonts w:hint="eastAsia" w:ascii="宋体" w:hAnsi="宋体" w:cs="宋体"/>
        </w:rPr>
        <w:t>符合性审查：</w:t>
      </w:r>
    </w:p>
    <w:p>
      <w:pPr>
        <w:pStyle w:val="21"/>
        <w:tabs>
          <w:tab w:val="left" w:pos="2001"/>
        </w:tabs>
        <w:spacing w:before="1" w:line="364" w:lineRule="auto"/>
        <w:ind w:left="0" w:leftChars="0" w:right="916" w:firstLine="0" w:firstLineChars="0"/>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审查通过后，协商小组在与供应商代表进行协商。</w:t>
      </w:r>
    </w:p>
    <w:tbl>
      <w:tblPr>
        <w:tblStyle w:val="14"/>
        <w:tblpPr w:leftFromText="180" w:rightFromText="180" w:vertAnchor="text" w:horzAnchor="page" w:tblpX="1331" w:tblpY="3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586"/>
        <w:gridCol w:w="4907"/>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23" w:type="dxa"/>
            <w:tcBorders>
              <w:bottom w:val="single" w:color="auto" w:sz="4" w:space="0"/>
            </w:tcBorders>
            <w:vAlign w:val="center"/>
          </w:tcPr>
          <w:p>
            <w:pPr>
              <w:snapToGrid w:val="0"/>
              <w:jc w:val="center"/>
              <w:rPr>
                <w:color w:val="000000"/>
                <w:sz w:val="22"/>
                <w:szCs w:val="22"/>
              </w:rPr>
            </w:pPr>
            <w:bookmarkStart w:id="1" w:name="_Toc243907601"/>
            <w:bookmarkStart w:id="2" w:name="_Toc233274841"/>
            <w:bookmarkStart w:id="3" w:name="_Toc243906340"/>
            <w:bookmarkStart w:id="4" w:name="_Toc245897301"/>
            <w:r>
              <w:rPr>
                <w:rFonts w:hint="eastAsia"/>
                <w:color w:val="000000"/>
                <w:sz w:val="22"/>
                <w:szCs w:val="22"/>
              </w:rPr>
              <w:t>项目</w:t>
            </w:r>
          </w:p>
        </w:tc>
        <w:tc>
          <w:tcPr>
            <w:tcW w:w="5493" w:type="dxa"/>
            <w:gridSpan w:val="2"/>
            <w:tcBorders>
              <w:bottom w:val="single" w:color="auto" w:sz="4" w:space="0"/>
            </w:tcBorders>
            <w:vAlign w:val="center"/>
          </w:tcPr>
          <w:p>
            <w:pPr>
              <w:snapToGrid w:val="0"/>
              <w:jc w:val="center"/>
              <w:rPr>
                <w:color w:val="000000"/>
                <w:sz w:val="22"/>
                <w:szCs w:val="22"/>
              </w:rPr>
            </w:pPr>
            <w:r>
              <w:rPr>
                <w:rFonts w:hint="eastAsia"/>
                <w:color w:val="000000"/>
                <w:sz w:val="22"/>
                <w:szCs w:val="22"/>
              </w:rPr>
              <w:t>评  审  内  容</w:t>
            </w:r>
          </w:p>
        </w:tc>
        <w:tc>
          <w:tcPr>
            <w:tcW w:w="2441" w:type="dxa"/>
            <w:tcBorders>
              <w:bottom w:val="single" w:color="auto" w:sz="4" w:space="0"/>
            </w:tcBorders>
            <w:vAlign w:val="center"/>
          </w:tcPr>
          <w:p>
            <w:pPr>
              <w:snapToGrid w:val="0"/>
              <w:rPr>
                <w:color w:val="000000"/>
                <w:sz w:val="22"/>
                <w:szCs w:val="22"/>
              </w:rPr>
            </w:pPr>
            <w:r>
              <w:rPr>
                <w:rFonts w:hint="eastAsia"/>
                <w:color w:val="000000"/>
                <w:sz w:val="22"/>
                <w:szCs w:val="22"/>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1023" w:type="dxa"/>
            <w:vMerge w:val="restart"/>
            <w:vAlign w:val="center"/>
          </w:tcPr>
          <w:p>
            <w:pPr>
              <w:jc w:val="center"/>
              <w:outlineLvl w:val="0"/>
              <w:rPr>
                <w:color w:val="000000"/>
                <w:sz w:val="22"/>
                <w:szCs w:val="22"/>
              </w:rPr>
            </w:pPr>
            <w:bookmarkStart w:id="5" w:name="_Toc31821"/>
            <w:bookmarkStart w:id="6" w:name="_Toc480373576"/>
            <w:r>
              <w:rPr>
                <w:rFonts w:hint="eastAsia"/>
                <w:color w:val="000000"/>
                <w:sz w:val="22"/>
                <w:szCs w:val="22"/>
              </w:rPr>
              <w:t>符合性</w:t>
            </w:r>
            <w:bookmarkEnd w:id="5"/>
          </w:p>
          <w:p>
            <w:pPr>
              <w:snapToGrid w:val="0"/>
              <w:jc w:val="center"/>
              <w:rPr>
                <w:color w:val="000000"/>
                <w:sz w:val="22"/>
                <w:szCs w:val="22"/>
              </w:rPr>
            </w:pPr>
            <w:bookmarkStart w:id="7" w:name="_Toc22910"/>
            <w:r>
              <w:rPr>
                <w:rFonts w:hint="eastAsia"/>
                <w:color w:val="000000"/>
                <w:sz w:val="22"/>
                <w:szCs w:val="22"/>
              </w:rPr>
              <w:t>审查</w:t>
            </w:r>
            <w:bookmarkEnd w:id="6"/>
            <w:bookmarkEnd w:id="7"/>
          </w:p>
        </w:tc>
        <w:tc>
          <w:tcPr>
            <w:tcW w:w="586" w:type="dxa"/>
            <w:vAlign w:val="center"/>
          </w:tcPr>
          <w:p>
            <w:pPr>
              <w:snapToGrid w:val="0"/>
              <w:jc w:val="center"/>
              <w:rPr>
                <w:color w:val="000000"/>
                <w:sz w:val="22"/>
                <w:szCs w:val="22"/>
              </w:rPr>
            </w:pPr>
            <w:bookmarkStart w:id="8" w:name="_Toc480373577"/>
            <w:bookmarkStart w:id="9" w:name="_Toc18097"/>
            <w:r>
              <w:rPr>
                <w:rFonts w:hint="eastAsia"/>
                <w:color w:val="000000"/>
                <w:sz w:val="22"/>
                <w:szCs w:val="22"/>
              </w:rPr>
              <w:t>1</w:t>
            </w:r>
            <w:bookmarkEnd w:id="8"/>
            <w:bookmarkEnd w:id="9"/>
          </w:p>
        </w:tc>
        <w:tc>
          <w:tcPr>
            <w:tcW w:w="4907" w:type="dxa"/>
            <w:vAlign w:val="center"/>
          </w:tcPr>
          <w:p>
            <w:pPr>
              <w:snapToGrid w:val="0"/>
              <w:rPr>
                <w:color w:val="000000"/>
                <w:sz w:val="22"/>
                <w:szCs w:val="22"/>
              </w:rPr>
            </w:pPr>
            <w:bookmarkStart w:id="10" w:name="_Toc480373578"/>
            <w:bookmarkStart w:id="11" w:name="_Toc7604"/>
            <w:r>
              <w:rPr>
                <w:rFonts w:hint="eastAsia"/>
                <w:color w:val="000000"/>
                <w:sz w:val="22"/>
                <w:szCs w:val="22"/>
              </w:rPr>
              <w:t>响应文件正本是否按照</w:t>
            </w:r>
            <w:r>
              <w:rPr>
                <w:rFonts w:hint="eastAsia"/>
                <w:color w:val="000000"/>
                <w:sz w:val="22"/>
                <w:szCs w:val="22"/>
                <w:lang w:val="en-US"/>
              </w:rPr>
              <w:t>单一来源采购</w:t>
            </w:r>
            <w:r>
              <w:rPr>
                <w:rFonts w:hint="eastAsia"/>
                <w:color w:val="000000"/>
                <w:sz w:val="22"/>
                <w:szCs w:val="22"/>
              </w:rPr>
              <w:t>文件要求加盖了公章且有投标供应商法定代表人或其授权代表签字盖章处按要求盖章或签字；</w:t>
            </w:r>
            <w:bookmarkEnd w:id="10"/>
            <w:bookmarkEnd w:id="11"/>
          </w:p>
        </w:tc>
        <w:tc>
          <w:tcPr>
            <w:tcW w:w="2441" w:type="dxa"/>
            <w:vAlign w:val="center"/>
          </w:tcPr>
          <w:p>
            <w:pPr>
              <w:snapToGrid w:val="0"/>
              <w:rPr>
                <w:color w:val="000000"/>
                <w:sz w:val="22"/>
                <w:szCs w:val="22"/>
              </w:rPr>
            </w:pPr>
            <w:r>
              <w:rPr>
                <w:rFonts w:hint="eastAsia"/>
                <w:color w:val="000000"/>
                <w:sz w:val="22"/>
                <w:szCs w:val="22"/>
              </w:rPr>
              <w:t>按照规定在应由企业法人或法人授权代表在所有规定签字处逐一盖电子章或签字及加盖单位电子公章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23" w:type="dxa"/>
            <w:vMerge w:val="continue"/>
            <w:vAlign w:val="center"/>
          </w:tcPr>
          <w:p>
            <w:pPr>
              <w:snapToGrid w:val="0"/>
              <w:rPr>
                <w:color w:val="000000"/>
                <w:sz w:val="22"/>
                <w:szCs w:val="22"/>
              </w:rPr>
            </w:pPr>
          </w:p>
        </w:tc>
        <w:tc>
          <w:tcPr>
            <w:tcW w:w="586" w:type="dxa"/>
            <w:vAlign w:val="center"/>
          </w:tcPr>
          <w:p>
            <w:pPr>
              <w:snapToGrid w:val="0"/>
              <w:jc w:val="center"/>
              <w:rPr>
                <w:color w:val="000000"/>
                <w:sz w:val="22"/>
                <w:szCs w:val="22"/>
              </w:rPr>
            </w:pPr>
            <w:bookmarkStart w:id="12" w:name="_Toc30212"/>
            <w:bookmarkStart w:id="13" w:name="_Toc480373579"/>
            <w:r>
              <w:rPr>
                <w:rFonts w:hint="eastAsia"/>
                <w:color w:val="000000"/>
                <w:sz w:val="22"/>
                <w:szCs w:val="22"/>
              </w:rPr>
              <w:t>2</w:t>
            </w:r>
            <w:bookmarkEnd w:id="12"/>
            <w:bookmarkEnd w:id="13"/>
          </w:p>
        </w:tc>
        <w:tc>
          <w:tcPr>
            <w:tcW w:w="4907" w:type="dxa"/>
            <w:vAlign w:val="center"/>
          </w:tcPr>
          <w:p>
            <w:pPr>
              <w:snapToGrid w:val="0"/>
              <w:rPr>
                <w:color w:val="000000"/>
                <w:sz w:val="22"/>
                <w:szCs w:val="22"/>
              </w:rPr>
            </w:pPr>
            <w:bookmarkStart w:id="14" w:name="_Toc26998"/>
            <w:r>
              <w:rPr>
                <w:rFonts w:hint="eastAsia"/>
                <w:color w:val="000000"/>
                <w:sz w:val="22"/>
                <w:szCs w:val="22"/>
              </w:rPr>
              <w:t>响应文件是否按</w:t>
            </w:r>
            <w:r>
              <w:rPr>
                <w:rFonts w:hint="eastAsia"/>
                <w:color w:val="000000"/>
                <w:sz w:val="22"/>
                <w:szCs w:val="22"/>
                <w:lang w:val="en-US"/>
              </w:rPr>
              <w:t>单一来源采购</w:t>
            </w:r>
            <w:r>
              <w:rPr>
                <w:rFonts w:hint="eastAsia"/>
                <w:color w:val="000000"/>
                <w:sz w:val="22"/>
                <w:szCs w:val="22"/>
              </w:rPr>
              <w:t>文规定格式填写完整</w:t>
            </w:r>
            <w:bookmarkEnd w:id="14"/>
            <w:r>
              <w:rPr>
                <w:rFonts w:hint="eastAsia"/>
                <w:color w:val="000000"/>
                <w:sz w:val="22"/>
                <w:szCs w:val="22"/>
              </w:rPr>
              <w:t>，无重大缺漏项；</w:t>
            </w:r>
          </w:p>
        </w:tc>
        <w:tc>
          <w:tcPr>
            <w:tcW w:w="2441" w:type="dxa"/>
            <w:vAlign w:val="center"/>
          </w:tcPr>
          <w:p>
            <w:pPr>
              <w:snapToGrid w:val="0"/>
              <w:rPr>
                <w:color w:val="000000"/>
                <w:sz w:val="22"/>
                <w:szCs w:val="22"/>
              </w:rPr>
            </w:pPr>
            <w:r>
              <w:rPr>
                <w:rFonts w:hint="eastAsia"/>
                <w:color w:val="000000"/>
                <w:sz w:val="22"/>
                <w:szCs w:val="22"/>
              </w:rPr>
              <w:t>按照</w:t>
            </w:r>
            <w:r>
              <w:rPr>
                <w:rFonts w:hint="eastAsia"/>
                <w:color w:val="000000"/>
                <w:sz w:val="22"/>
                <w:szCs w:val="22"/>
                <w:lang w:val="en-US" w:eastAsia="zh-CN"/>
              </w:rPr>
              <w:t>采购</w:t>
            </w:r>
            <w:r>
              <w:rPr>
                <w:rFonts w:hint="eastAsia"/>
                <w:color w:val="000000"/>
                <w:sz w:val="22"/>
                <w:szCs w:val="22"/>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23" w:type="dxa"/>
            <w:vMerge w:val="continue"/>
            <w:vAlign w:val="center"/>
          </w:tcPr>
          <w:p>
            <w:pPr>
              <w:snapToGrid w:val="0"/>
              <w:rPr>
                <w:color w:val="000000"/>
                <w:sz w:val="22"/>
                <w:szCs w:val="22"/>
              </w:rPr>
            </w:pPr>
          </w:p>
        </w:tc>
        <w:tc>
          <w:tcPr>
            <w:tcW w:w="586" w:type="dxa"/>
            <w:vAlign w:val="center"/>
          </w:tcPr>
          <w:p>
            <w:pPr>
              <w:snapToGrid w:val="0"/>
              <w:jc w:val="center"/>
              <w:rPr>
                <w:rFonts w:hint="eastAsia" w:eastAsia="宋体"/>
                <w:color w:val="000000"/>
                <w:sz w:val="22"/>
                <w:szCs w:val="22"/>
                <w:lang w:val="en-US" w:eastAsia="zh-CN"/>
              </w:rPr>
            </w:pPr>
            <w:r>
              <w:rPr>
                <w:rFonts w:hint="eastAsia"/>
                <w:color w:val="000000"/>
                <w:sz w:val="22"/>
                <w:szCs w:val="22"/>
                <w:lang w:val="en-US" w:eastAsia="zh-CN"/>
              </w:rPr>
              <w:t>3</w:t>
            </w:r>
          </w:p>
        </w:tc>
        <w:tc>
          <w:tcPr>
            <w:tcW w:w="4907" w:type="dxa"/>
            <w:vAlign w:val="center"/>
          </w:tcPr>
          <w:p>
            <w:pPr>
              <w:snapToGrid w:val="0"/>
              <w:rPr>
                <w:sz w:val="22"/>
                <w:szCs w:val="22"/>
              </w:rPr>
            </w:pPr>
            <w:r>
              <w:rPr>
                <w:rFonts w:hint="eastAsia"/>
                <w:sz w:val="22"/>
                <w:szCs w:val="22"/>
              </w:rPr>
              <w:t>满足</w:t>
            </w:r>
            <w:r>
              <w:rPr>
                <w:rFonts w:hint="eastAsia"/>
                <w:sz w:val="22"/>
                <w:szCs w:val="22"/>
                <w:lang w:eastAsia="zh-CN"/>
              </w:rPr>
              <w:t>单一来源采购文件</w:t>
            </w:r>
            <w:r>
              <w:rPr>
                <w:rFonts w:hint="eastAsia"/>
                <w:sz w:val="22"/>
                <w:szCs w:val="22"/>
              </w:rPr>
              <w:t>提出的质量、技术要求。</w:t>
            </w:r>
          </w:p>
        </w:tc>
        <w:tc>
          <w:tcPr>
            <w:tcW w:w="2441" w:type="dxa"/>
            <w:vAlign w:val="center"/>
          </w:tcPr>
          <w:p>
            <w:pPr>
              <w:snapToGrid w:val="0"/>
              <w:rPr>
                <w:rFonts w:hint="default" w:eastAsia="宋体"/>
                <w:color w:val="000000"/>
                <w:sz w:val="22"/>
                <w:szCs w:val="22"/>
                <w:lang w:val="en-US" w:eastAsia="zh-CN"/>
              </w:rPr>
            </w:pPr>
            <w:r>
              <w:rPr>
                <w:rFonts w:hint="eastAsia"/>
                <w:color w:val="000000"/>
                <w:sz w:val="22"/>
                <w:szCs w:val="22"/>
                <w:lang w:val="en-US" w:eastAsia="zh-CN"/>
              </w:rPr>
              <w:t>满足采购文件提出的质量、技术要求。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023" w:type="dxa"/>
            <w:vMerge w:val="continue"/>
            <w:vAlign w:val="center"/>
          </w:tcPr>
          <w:p>
            <w:pPr>
              <w:snapToGrid w:val="0"/>
              <w:rPr>
                <w:color w:val="000000"/>
                <w:sz w:val="22"/>
                <w:szCs w:val="22"/>
              </w:rPr>
            </w:pPr>
          </w:p>
        </w:tc>
        <w:tc>
          <w:tcPr>
            <w:tcW w:w="586" w:type="dxa"/>
            <w:vAlign w:val="center"/>
          </w:tcPr>
          <w:p>
            <w:pPr>
              <w:snapToGrid w:val="0"/>
              <w:jc w:val="center"/>
              <w:rPr>
                <w:rFonts w:hint="eastAsia" w:eastAsia="宋体"/>
                <w:color w:val="000000"/>
                <w:sz w:val="22"/>
                <w:szCs w:val="22"/>
                <w:lang w:eastAsia="zh-CN"/>
              </w:rPr>
            </w:pPr>
            <w:r>
              <w:rPr>
                <w:rFonts w:hint="eastAsia"/>
                <w:color w:val="000000"/>
                <w:sz w:val="22"/>
                <w:szCs w:val="22"/>
                <w:lang w:val="en-US" w:eastAsia="zh-CN"/>
              </w:rPr>
              <w:t>4</w:t>
            </w:r>
          </w:p>
        </w:tc>
        <w:tc>
          <w:tcPr>
            <w:tcW w:w="4907" w:type="dxa"/>
            <w:vAlign w:val="center"/>
          </w:tcPr>
          <w:p>
            <w:pPr>
              <w:snapToGrid w:val="0"/>
              <w:rPr>
                <w:rFonts w:ascii="宋体" w:hAnsi="宋体" w:eastAsia="宋体" w:cs="宋体"/>
                <w:sz w:val="22"/>
                <w:szCs w:val="22"/>
                <w:lang w:val="zh-CN" w:eastAsia="zh-CN" w:bidi="zh-CN"/>
              </w:rPr>
            </w:pPr>
            <w:r>
              <w:rPr>
                <w:rFonts w:hint="eastAsia"/>
                <w:sz w:val="22"/>
                <w:szCs w:val="22"/>
              </w:rPr>
              <w:t>供应商的报价及分项报价</w:t>
            </w:r>
            <w:r>
              <w:rPr>
                <w:rFonts w:hint="eastAsia"/>
                <w:sz w:val="22"/>
                <w:szCs w:val="22"/>
                <w:lang w:val="en-US"/>
              </w:rPr>
              <w:t>范围在</w:t>
            </w:r>
            <w:r>
              <w:rPr>
                <w:rFonts w:hint="eastAsia"/>
                <w:sz w:val="22"/>
                <w:szCs w:val="22"/>
              </w:rPr>
              <w:t>本项目采购预算</w:t>
            </w:r>
            <w:r>
              <w:rPr>
                <w:rFonts w:hint="eastAsia"/>
                <w:sz w:val="22"/>
                <w:szCs w:val="22"/>
                <w:lang w:val="en-US"/>
              </w:rPr>
              <w:t>内；</w:t>
            </w:r>
          </w:p>
        </w:tc>
        <w:tc>
          <w:tcPr>
            <w:tcW w:w="2441" w:type="dxa"/>
            <w:vAlign w:val="center"/>
          </w:tcPr>
          <w:p>
            <w:pPr>
              <w:snapToGrid w:val="0"/>
              <w:rPr>
                <w:color w:val="000000"/>
                <w:sz w:val="22"/>
                <w:szCs w:val="22"/>
              </w:rPr>
            </w:pPr>
            <w:r>
              <w:rPr>
                <w:rFonts w:hint="eastAsia"/>
                <w:color w:val="000000"/>
                <w:sz w:val="22"/>
                <w:szCs w:val="22"/>
              </w:rPr>
              <w:t>报价未超过项目预算或最高限价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023" w:type="dxa"/>
            <w:vMerge w:val="continue"/>
            <w:vAlign w:val="center"/>
          </w:tcPr>
          <w:p>
            <w:pPr>
              <w:snapToGrid w:val="0"/>
              <w:rPr>
                <w:color w:val="000000"/>
                <w:sz w:val="22"/>
                <w:szCs w:val="22"/>
              </w:rPr>
            </w:pPr>
          </w:p>
        </w:tc>
        <w:tc>
          <w:tcPr>
            <w:tcW w:w="586" w:type="dxa"/>
            <w:vAlign w:val="center"/>
          </w:tcPr>
          <w:p>
            <w:pPr>
              <w:snapToGrid w:val="0"/>
              <w:jc w:val="center"/>
              <w:rPr>
                <w:rFonts w:hint="default"/>
                <w:color w:val="000000"/>
                <w:sz w:val="22"/>
                <w:szCs w:val="22"/>
                <w:lang w:val="en-US" w:eastAsia="zh-CN"/>
              </w:rPr>
            </w:pPr>
            <w:r>
              <w:rPr>
                <w:rFonts w:hint="eastAsia"/>
                <w:color w:val="000000"/>
                <w:sz w:val="22"/>
                <w:szCs w:val="22"/>
                <w:lang w:val="en-US" w:eastAsia="zh-CN"/>
              </w:rPr>
              <w:t>5</w:t>
            </w:r>
          </w:p>
        </w:tc>
        <w:tc>
          <w:tcPr>
            <w:tcW w:w="4907" w:type="dxa"/>
            <w:vAlign w:val="center"/>
          </w:tcPr>
          <w:p>
            <w:pPr>
              <w:snapToGrid w:val="0"/>
              <w:rPr>
                <w:rFonts w:hint="eastAsia" w:ascii="宋体" w:hAnsi="宋体" w:eastAsia="宋体" w:cs="宋体"/>
                <w:color w:val="000000"/>
                <w:sz w:val="22"/>
                <w:szCs w:val="22"/>
                <w:lang w:val="zh-CN" w:eastAsia="zh-CN" w:bidi="zh-CN"/>
              </w:rPr>
            </w:pPr>
            <w:r>
              <w:rPr>
                <w:rFonts w:hint="eastAsia"/>
                <w:color w:val="000000"/>
                <w:sz w:val="22"/>
                <w:szCs w:val="22"/>
              </w:rPr>
              <w:t>响应文件是否含有采购人不能接受的条件。</w:t>
            </w:r>
          </w:p>
        </w:tc>
        <w:tc>
          <w:tcPr>
            <w:tcW w:w="2441" w:type="dxa"/>
            <w:vAlign w:val="center"/>
          </w:tcPr>
          <w:p>
            <w:pPr>
              <w:snapToGrid w:val="0"/>
              <w:rPr>
                <w:color w:val="000000"/>
                <w:sz w:val="22"/>
                <w:szCs w:val="22"/>
              </w:rPr>
            </w:pPr>
            <w:r>
              <w:rPr>
                <w:rFonts w:hint="eastAsia"/>
                <w:color w:val="000000"/>
                <w:sz w:val="22"/>
                <w:szCs w:val="22"/>
                <w:lang w:val="en-US" w:eastAsia="zh-CN"/>
              </w:rPr>
              <w:t>响应</w:t>
            </w:r>
            <w:r>
              <w:rPr>
                <w:rFonts w:hint="eastAsia"/>
                <w:color w:val="000000"/>
                <w:sz w:val="22"/>
                <w:szCs w:val="22"/>
              </w:rPr>
              <w:t>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8957" w:type="dxa"/>
            <w:gridSpan w:val="4"/>
            <w:vAlign w:val="center"/>
          </w:tcPr>
          <w:p>
            <w:pPr>
              <w:pStyle w:val="21"/>
              <w:tabs>
                <w:tab w:val="left" w:pos="2001"/>
              </w:tabs>
              <w:spacing w:before="1" w:line="364" w:lineRule="auto"/>
              <w:ind w:left="0" w:right="-158" w:rightChars="0" w:firstLine="0"/>
              <w:rPr>
                <w:color w:val="000000"/>
                <w:sz w:val="22"/>
                <w:szCs w:val="22"/>
              </w:rPr>
            </w:pPr>
            <w:r>
              <w:rPr>
                <w:rFonts w:hint="eastAsia"/>
                <w:b/>
                <w:bCs/>
                <w:color w:val="000000"/>
                <w:sz w:val="22"/>
                <w:szCs w:val="22"/>
              </w:rPr>
              <w:t>注：如果供应商提供的响应文件中初步审查有一项未通过上述审查标准，</w:t>
            </w:r>
            <w:r>
              <w:rPr>
                <w:rFonts w:hint="eastAsia"/>
                <w:b/>
                <w:bCs/>
                <w:color w:val="000000"/>
                <w:sz w:val="22"/>
                <w:szCs w:val="22"/>
                <w:lang w:val="en-US"/>
              </w:rPr>
              <w:t>协</w:t>
            </w:r>
            <w:r>
              <w:rPr>
                <w:rFonts w:hint="eastAsia"/>
                <w:b/>
                <w:bCs/>
                <w:color w:val="000000"/>
                <w:sz w:val="22"/>
                <w:szCs w:val="22"/>
              </w:rPr>
              <w:t>商小组将认定整个响应文件不响应</w:t>
            </w:r>
            <w:r>
              <w:rPr>
                <w:rFonts w:hint="eastAsia"/>
                <w:b/>
                <w:bCs/>
                <w:color w:val="000000"/>
                <w:sz w:val="22"/>
                <w:szCs w:val="22"/>
                <w:lang w:val="en-US"/>
              </w:rPr>
              <w:t>单一来源采购</w:t>
            </w:r>
            <w:r>
              <w:rPr>
                <w:rFonts w:hint="eastAsia"/>
                <w:b/>
                <w:bCs/>
                <w:color w:val="000000"/>
                <w:sz w:val="22"/>
                <w:szCs w:val="22"/>
              </w:rPr>
              <w:t>文件而予以废标，不再进入</w:t>
            </w:r>
            <w:r>
              <w:rPr>
                <w:rFonts w:hint="eastAsia"/>
                <w:b/>
                <w:bCs/>
                <w:color w:val="000000"/>
                <w:sz w:val="22"/>
                <w:szCs w:val="22"/>
                <w:lang w:val="en-US"/>
              </w:rPr>
              <w:t>协商</w:t>
            </w:r>
            <w:r>
              <w:rPr>
                <w:rFonts w:hint="eastAsia"/>
                <w:b/>
                <w:bCs/>
                <w:color w:val="000000"/>
                <w:sz w:val="22"/>
                <w:szCs w:val="22"/>
              </w:rPr>
              <w:t>环节，并且不允许供应商通过修改或撤销其不符合要求的差异或保留。</w:t>
            </w:r>
          </w:p>
        </w:tc>
      </w:tr>
    </w:tbl>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14、</w:t>
      </w:r>
      <w:bookmarkEnd w:id="1"/>
      <w:bookmarkEnd w:id="2"/>
      <w:bookmarkEnd w:id="3"/>
      <w:bookmarkEnd w:id="4"/>
      <w:r>
        <w:rPr>
          <w:rFonts w:hint="eastAsia" w:ascii="宋体" w:hAnsi="宋体" w:eastAsia="宋体" w:cs="宋体"/>
          <w:sz w:val="24"/>
          <w:lang w:val="en-US" w:eastAsia="zh-CN"/>
        </w:rPr>
        <w:t>协商会议</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14.1采购人在本供应商须知前附表第8项规定的时间和地点组织协商会议。</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14.2供应商应委派代表参加协商会议。</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14.3协商会议由采购代理机构组织并主持。</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14.4在协商过程中，工作人员如发现响应文件组成部分不齐全，由协商小组认定其有效性。协商小组认定的无效响应文件将不进入协商。</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bookmarkStart w:id="15" w:name="_Toc233274842"/>
      <w:bookmarkStart w:id="16" w:name="_Toc243906341"/>
      <w:bookmarkStart w:id="17" w:name="_Toc243907602"/>
      <w:bookmarkStart w:id="18" w:name="_Toc245897302"/>
      <w:r>
        <w:rPr>
          <w:rFonts w:hint="eastAsia" w:ascii="宋体" w:hAnsi="宋体" w:eastAsia="宋体" w:cs="宋体"/>
          <w:sz w:val="24"/>
          <w:lang w:val="en-US" w:eastAsia="zh-CN"/>
        </w:rPr>
        <w:t>15、</w:t>
      </w:r>
      <w:bookmarkEnd w:id="15"/>
      <w:bookmarkEnd w:id="16"/>
      <w:bookmarkEnd w:id="17"/>
      <w:bookmarkEnd w:id="18"/>
      <w:r>
        <w:rPr>
          <w:rFonts w:hint="eastAsia" w:ascii="宋体" w:hAnsi="宋体" w:eastAsia="宋体" w:cs="宋体"/>
          <w:sz w:val="24"/>
          <w:lang w:val="en-US" w:eastAsia="zh-CN"/>
        </w:rPr>
        <w:t>协商小组</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15.1协商小组成员组成：按照《中华人民共和国政府采购法》、《中华人民共和国政府采购法实施条例》、《政府采购非招标采购方式管理办法》及相关法律、法规规定组建，由采购人代表和具有相关经验的专业人员组成。协商小组将负责对供应商提交的响应文件进行评审，确保协商过程公正、合法、保密。</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16、协商及商定成交价</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16.1信用查询</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16.1.1信用查询：按照《财政部关于在政府采购活动中查询及使用信用记录有关问题的通知》（财库〔2016〕125号）的要求，根据开标当日“信用中国”网站（</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"qq://txfile/"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www.creditchina.gov.cn</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t>）、中国政府采购网（</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"qq://txfile/"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www.ccgp.gov.cn</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r>
        <w:rPr>
          <w:rFonts w:hint="eastAsia" w:ascii="宋体" w:hAnsi="宋体" w:eastAsia="宋体" w:cs="宋体"/>
          <w:sz w:val="24"/>
          <w:lang w:val="en-US" w:eastAsia="zh-CN"/>
        </w:rPr>
        <w:br w:type="textWrapping"/>
      </w:r>
      <w:r>
        <w:rPr>
          <w:rFonts w:hint="eastAsia" w:ascii="宋体" w:hAnsi="宋体" w:eastAsia="宋体" w:cs="宋体"/>
          <w:sz w:val="24"/>
          <w:lang w:val="en-US" w:eastAsia="zh-CN"/>
        </w:rPr>
        <w:t xml:space="preserve">    16.2响应文件初审。初审分为资格性审查和符合性审查。响应文件初审由协商小组根据供应商响应文件进行评审，初审内容详见第六章，未通过初审的供应商其响应文件按照无效响应文件处理。</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16.2.1资格性审查。依据法律法规和采购文件的规定，对响应文件中的资格证明等进行审查，以确定供应商是否具备协商资格。</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16.2.2符合性审查。依据采购文件的规定，从响应文件的有效性、完整性和对采购文件的响应程度进行审查，以确定是否对采购文件的实质性要求作出响应。</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16.3协商小组在协商过程中，不得改变单一来源采购文件所确定的技术和服务等要求、评审程序、评定成交的标准和合同文本等事项。</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16.4协商小组将对实质性响应单一来源采购文件的响应文件进行详细评审。对设备、材料技术规格、性能、价格等进行评审，并与单一来源采购文件、项目采购需求和采购人的实际需要进行评审。</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16.5参加单一来源采购活动的供应商，应当按照单一来源采购文件的规定经协商后提交最后报价，最后报价是供应商响应文件的有效组成部分。</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16.6如果响应文件实质上没有响应单一来源采购文件的要求，协商小组将予以拒绝，供应商不得通过修正或撤消不符合要求的偏离或保留，而使其成为实质上响应。</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16.6协商结束后，协商小组应当要求实质性响应的供应商在规定时间内提交最后报价。两轮（若有）以上报价的，供应商在未提高响应文件中承诺的产品及其服务质量的情况下，其最后报价不得高于对该项目之前的报价，否则，协商小组应当对其响应文件按无效处理，并书面告知供应商，说明理由。</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16.7采购代理机构应当在协商结束后2个工作日内将单一来源采购协商记录送采购人确认。</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bookmarkStart w:id="19" w:name="_Toc245897306"/>
      <w:bookmarkStart w:id="20" w:name="_Toc243906346"/>
      <w:bookmarkStart w:id="21" w:name="_Toc233274845"/>
      <w:bookmarkStart w:id="22" w:name="_Toc243907607"/>
      <w:bookmarkStart w:id="23" w:name="_Toc243906344"/>
      <w:bookmarkStart w:id="24" w:name="_Toc243907605"/>
      <w:bookmarkStart w:id="25" w:name="_Toc245897304"/>
      <w:bookmarkStart w:id="26" w:name="_Toc233274843"/>
      <w:r>
        <w:rPr>
          <w:rFonts w:hint="eastAsia" w:ascii="宋体" w:hAnsi="宋体" w:eastAsia="宋体" w:cs="宋体"/>
          <w:sz w:val="24"/>
          <w:lang w:val="en-US" w:eastAsia="zh-CN"/>
        </w:rPr>
        <w:t>17、重大偏离</w:t>
      </w:r>
      <w:bookmarkEnd w:id="19"/>
      <w:bookmarkEnd w:id="20"/>
      <w:bookmarkEnd w:id="21"/>
      <w:bookmarkEnd w:id="22"/>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bookmarkStart w:id="27" w:name="_Toc245897307"/>
      <w:bookmarkStart w:id="28" w:name="_Toc243907608"/>
      <w:bookmarkStart w:id="29" w:name="_Toc233274846"/>
      <w:bookmarkStart w:id="30" w:name="_Toc243906347"/>
      <w:r>
        <w:rPr>
          <w:rFonts w:hint="eastAsia" w:ascii="宋体" w:hAnsi="宋体" w:eastAsia="宋体" w:cs="宋体"/>
          <w:sz w:val="24"/>
          <w:lang w:val="en-US" w:eastAsia="zh-CN"/>
        </w:rPr>
        <w:t>重大偏离是指实质上影响合同的采购范围、质量和性能、服务期限等，或者实质上不满足单一来源采购文件的要求，而且限制了采购人的权力或减轻了供应商的义务。</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18、</w:t>
      </w:r>
      <w:bookmarkEnd w:id="27"/>
      <w:bookmarkEnd w:id="28"/>
      <w:bookmarkEnd w:id="29"/>
      <w:bookmarkEnd w:id="30"/>
      <w:r>
        <w:rPr>
          <w:rFonts w:hint="eastAsia" w:ascii="宋体" w:hAnsi="宋体" w:eastAsia="宋体" w:cs="宋体"/>
          <w:sz w:val="24"/>
          <w:lang w:val="en-US" w:eastAsia="zh-CN"/>
        </w:rPr>
        <w:t>无效响应文件</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响应文件有下列情形之一的，由协商小组评审后按无效响应文件处理：</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18.1供应商递交两份或多份内容不同的响应文件；</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18.2供应商的商务报价高于采购预算；</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18.3响应文件附有采购人不能接受条件的；</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18.4出现重大偏离的；</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18.5对单一来源采购文件提出的实质性要求和条件未能实质性响应；</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18.6《中华人民共和国政府采购法》、《中华人民共和国政府采购法实施条例》、《政府采购非招标采购方式管理办法》及相关法律法规及单一来源采购文件明确规定可以作无效响应文件的其他情形。</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bookmarkStart w:id="31" w:name="_Toc245897308"/>
      <w:bookmarkStart w:id="32" w:name="_Toc243907609"/>
      <w:bookmarkStart w:id="33" w:name="_Toc233274847"/>
      <w:bookmarkStart w:id="34" w:name="_Toc243906348"/>
      <w:r>
        <w:rPr>
          <w:rFonts w:hint="eastAsia" w:ascii="宋体" w:hAnsi="宋体" w:eastAsia="宋体" w:cs="宋体"/>
          <w:sz w:val="24"/>
          <w:lang w:val="en-US" w:eastAsia="zh-CN"/>
        </w:rPr>
        <w:t>19、</w:t>
      </w:r>
      <w:bookmarkEnd w:id="23"/>
      <w:bookmarkEnd w:id="24"/>
      <w:bookmarkEnd w:id="25"/>
      <w:bookmarkEnd w:id="26"/>
      <w:bookmarkEnd w:id="31"/>
      <w:bookmarkEnd w:id="32"/>
      <w:bookmarkEnd w:id="33"/>
      <w:bookmarkEnd w:id="34"/>
      <w:r>
        <w:rPr>
          <w:rFonts w:hint="eastAsia" w:ascii="宋体" w:hAnsi="宋体" w:eastAsia="宋体" w:cs="宋体"/>
          <w:sz w:val="24"/>
          <w:lang w:val="en-US" w:eastAsia="zh-CN"/>
        </w:rPr>
        <w:t>商务报价错误的修正</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19.1如果发现商务报价存在计算或表达上错误，则按下列原则进行修正：</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bookmarkStart w:id="35" w:name="_Toc224623451"/>
      <w:bookmarkStart w:id="36" w:name="_Toc245897305"/>
      <w:bookmarkStart w:id="37" w:name="_Toc224624628"/>
      <w:bookmarkStart w:id="38" w:name="_Toc224624488"/>
      <w:bookmarkStart w:id="39" w:name="_Toc224623663"/>
      <w:bookmarkStart w:id="40" w:name="_Toc224620071"/>
      <w:bookmarkStart w:id="41" w:name="_Toc243907606"/>
      <w:bookmarkStart w:id="42" w:name="_Toc224622928"/>
      <w:bookmarkStart w:id="43" w:name="_Toc224624767"/>
      <w:bookmarkStart w:id="44" w:name="_Toc243906345"/>
      <w:bookmarkStart w:id="45" w:name="_Toc224623557"/>
      <w:bookmarkStart w:id="46" w:name="_Toc224620150"/>
      <w:r>
        <w:rPr>
          <w:rFonts w:hint="eastAsia" w:ascii="宋体" w:hAnsi="宋体" w:eastAsia="宋体" w:cs="宋体"/>
          <w:sz w:val="24"/>
          <w:lang w:val="en-US" w:eastAsia="zh-CN"/>
        </w:rPr>
        <w:t>（1）用数字表示的数额与用文字表示的数额不一致时，以文字数额为准；</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（2）单价与工程量的乘积与总价之间不一致时，以单价为准。若单价有明显小数点错位，应以总价为准，并修改单价。</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19.2协商小组将按第32.1条原则修正商务报价，并要求供应商进行确认。确认后的报价和文件将对供应商具有约束力。并以修正后的报价作为评审的依据。</w:t>
      </w:r>
    </w:p>
    <w:bookmarkEnd w:id="35"/>
    <w:bookmarkEnd w:id="36"/>
    <w:bookmarkEnd w:id="37"/>
    <w:bookmarkEnd w:id="38"/>
    <w:bookmarkEnd w:id="39"/>
    <w:bookmarkEnd w:id="40"/>
    <w:bookmarkEnd w:id="41"/>
    <w:bookmarkEnd w:id="42"/>
    <w:bookmarkEnd w:id="43"/>
    <w:bookmarkEnd w:id="44"/>
    <w:bookmarkEnd w:id="45"/>
    <w:bookmarkEnd w:id="46"/>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bookmarkStart w:id="47" w:name="_Toc243906349"/>
      <w:bookmarkStart w:id="48" w:name="_Toc245897309"/>
      <w:bookmarkStart w:id="49" w:name="_Toc233274848"/>
      <w:bookmarkStart w:id="50" w:name="_Toc243907610"/>
      <w:r>
        <w:rPr>
          <w:rFonts w:hint="eastAsia" w:ascii="宋体" w:hAnsi="宋体" w:eastAsia="宋体" w:cs="宋体"/>
          <w:sz w:val="24"/>
          <w:lang w:val="en-US" w:eastAsia="zh-CN"/>
        </w:rPr>
        <w:t>20、采购人依法接受和拒绝任一或所有供应商的权力</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采购人保留确定成交供应商之前的任何时候依法接受或拒绝任一或所有供应商的权力，对受影响的供应商不承担任何责任，也无义务向受影响的供应商解释采取这一行动的理由。</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21、成交通知</w:t>
      </w:r>
      <w:bookmarkEnd w:id="47"/>
      <w:bookmarkEnd w:id="48"/>
      <w:bookmarkEnd w:id="49"/>
      <w:bookmarkEnd w:id="50"/>
      <w:r>
        <w:rPr>
          <w:rFonts w:hint="eastAsia" w:ascii="宋体" w:hAnsi="宋体" w:eastAsia="宋体" w:cs="宋体"/>
          <w:sz w:val="24"/>
          <w:lang w:val="en-US" w:eastAsia="zh-CN"/>
        </w:rPr>
        <w:t>书</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21.1采购人确定成交供应商后，及时通知采购代理机构，采购代理机构将按程序公告成交结果，同时向成交供应商发出成交通知书，成交通知书一经发出即发生法律效力。</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21.2《成交通知书》将是合同的组成部分。</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bookmarkStart w:id="51" w:name="_Toc243906350"/>
      <w:bookmarkStart w:id="52" w:name="_Toc243907611"/>
      <w:bookmarkStart w:id="53" w:name="_Toc245897310"/>
      <w:bookmarkStart w:id="54" w:name="_Toc233274849"/>
      <w:r>
        <w:rPr>
          <w:rFonts w:hint="eastAsia" w:ascii="宋体" w:hAnsi="宋体" w:eastAsia="宋体" w:cs="宋体"/>
          <w:sz w:val="24"/>
          <w:lang w:val="en-US" w:eastAsia="zh-CN"/>
        </w:rPr>
        <w:t>22、纪律与保密事项</w:t>
      </w:r>
      <w:bookmarkEnd w:id="51"/>
      <w:bookmarkEnd w:id="52"/>
      <w:bookmarkEnd w:id="53"/>
      <w:bookmarkEnd w:id="54"/>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22.1凡参与采购工作的有关人员均应自觉接受有关主管部门的监督，不得向他人透露可能影响公平竞争的有关采购的其他情况。</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22.2领取本单一来源采购文件及其它相关资料者，应对文件进行保密，不得用作本次采购以外的任何用途。由采购人向供应商提供的技术资料和所有其它资料，均视为保密资料，除非得到采购人的同意，不得向第三方透露。</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22.3供应商不得与采购人串通采购，不得向采购人或者协商小组成员行贿谋取成交，不得以他人名义参与采购或者以其它任何方式弄虚作假骗取参与采购；供应商不得以任何方式干扰、影响评审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22.4采购之日起直至授予成交供应商合同为止，凡属于对响应文件的审查、澄清、评价、比较有关的资料和成交候选人的推荐情况及与评审有关的其他任何情况均严格保密。</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22.5从采购之日起至授予合同期间，供应商试图向协商小组、采购代理机构施加任何影响或对采购人的比较及授予合同的决定进行影响，都可能导致其响应文件被拒绝。</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22.6除供应商被要求对响应文件进行澄清外，从采购之时起至授予合同期间，供应商不得就与其响应文件有关的事项主动与协商小组、采购代理机构以及采购人联系。</w:t>
      </w:r>
    </w:p>
    <w:p>
      <w:pPr>
        <w:pStyle w:val="21"/>
        <w:tabs>
          <w:tab w:val="left" w:pos="2121"/>
        </w:tabs>
        <w:spacing w:before="3" w:line="360" w:lineRule="auto"/>
        <w:ind w:left="880" w:leftChars="400" w:right="917"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22.7成交供应商确定后，采购人不对未成交供应商就评审过程以及未能成交原因作出任何解释，未成交供应商不得向协商小组或其他有关人员询问评审过程的情况和索取评审过程的资料。</w:t>
      </w:r>
    </w:p>
    <w:p>
      <w:pPr>
        <w:pStyle w:val="21"/>
        <w:tabs>
          <w:tab w:val="left" w:pos="2121"/>
        </w:tabs>
        <w:spacing w:before="3" w:line="360" w:lineRule="auto"/>
        <w:ind w:left="880" w:leftChars="400" w:right="917" w:firstLine="520" w:firstLineChars="216"/>
        <w:jc w:val="both"/>
        <w:rPr>
          <w:rFonts w:hint="default" w:ascii="宋体" w:hAnsi="宋体" w:eastAsia="宋体" w:cs="宋体"/>
          <w:b/>
          <w:bCs/>
          <w:sz w:val="24"/>
          <w:lang w:val="en-US" w:eastAsia="zh-CN"/>
        </w:rPr>
      </w:pPr>
      <w:r>
        <w:rPr>
          <w:rFonts w:hint="eastAsia" w:ascii="宋体" w:hAnsi="宋体" w:eastAsia="宋体" w:cs="宋体"/>
          <w:b/>
          <w:bCs/>
          <w:sz w:val="24"/>
          <w:lang w:val="en-US" w:eastAsia="zh-CN"/>
        </w:rPr>
        <w:t>五、成交结果信息公布与签订合同</w:t>
      </w:r>
    </w:p>
    <w:p>
      <w:pPr>
        <w:pStyle w:val="10"/>
        <w:spacing w:before="161" w:line="364" w:lineRule="auto"/>
        <w:ind w:left="1400" w:right="5145"/>
      </w:pPr>
      <w:r>
        <w:rPr>
          <w:rFonts w:hint="eastAsia"/>
          <w:lang w:val="en-US" w:eastAsia="zh-CN"/>
        </w:rPr>
        <w:t>23</w:t>
      </w:r>
      <w:r>
        <w:t>.成交结果信息的公布</w:t>
      </w:r>
    </w:p>
    <w:p>
      <w:pPr>
        <w:pStyle w:val="10"/>
        <w:spacing w:before="1" w:line="364" w:lineRule="auto"/>
        <w:ind w:left="920" w:right="918" w:firstLine="479"/>
        <w:jc w:val="both"/>
      </w:pPr>
      <w:r>
        <w:rPr>
          <w:rFonts w:hint="eastAsia"/>
          <w:lang w:val="en-US" w:eastAsia="zh-CN"/>
        </w:rPr>
        <w:t>23</w:t>
      </w:r>
      <w:r>
        <w:t>.1 成交供应商确定之日起 2 个工作日内，采购人或者采购代理机构应将成交结果信息在财政部指定的媒体上公布。</w:t>
      </w:r>
    </w:p>
    <w:p>
      <w:pPr>
        <w:pStyle w:val="21"/>
        <w:numPr>
          <w:ilvl w:val="0"/>
          <w:numId w:val="0"/>
        </w:numPr>
        <w:tabs>
          <w:tab w:val="left" w:pos="1762"/>
        </w:tabs>
        <w:spacing w:before="2"/>
        <w:ind w:left="1400" w:leftChars="0"/>
        <w:rPr>
          <w:sz w:val="24"/>
        </w:rPr>
      </w:pPr>
      <w:r>
        <w:rPr>
          <w:rFonts w:hint="eastAsia"/>
          <w:sz w:val="24"/>
          <w:lang w:val="en-US" w:eastAsia="zh-CN"/>
        </w:rPr>
        <w:t>24、</w:t>
      </w:r>
      <w:r>
        <w:rPr>
          <w:sz w:val="24"/>
        </w:rPr>
        <w:t>成交通知</w:t>
      </w:r>
    </w:p>
    <w:p>
      <w:pPr>
        <w:pStyle w:val="21"/>
        <w:tabs>
          <w:tab w:val="left" w:pos="2121"/>
        </w:tabs>
        <w:spacing w:line="364" w:lineRule="auto"/>
        <w:ind w:left="880" w:right="916" w:firstLine="518" w:firstLineChars="216"/>
        <w:jc w:val="both"/>
        <w:rPr>
          <w:sz w:val="24"/>
        </w:rPr>
      </w:pPr>
      <w:r>
        <w:rPr>
          <w:sz w:val="24"/>
        </w:rPr>
        <w:t>成交供应商确定后，采购人或采购代理机构将在发布成交结果公告的同时以书面形式向成交供应商发出成交通知书。成交通知书对采购人和成交供应商具有同等法律效力。</w:t>
      </w:r>
    </w:p>
    <w:p>
      <w:pPr>
        <w:pStyle w:val="21"/>
        <w:numPr>
          <w:ilvl w:val="0"/>
          <w:numId w:val="0"/>
        </w:numPr>
        <w:tabs>
          <w:tab w:val="left" w:pos="1762"/>
        </w:tabs>
        <w:spacing w:before="2"/>
        <w:ind w:left="1400" w:leftChars="0"/>
        <w:rPr>
          <w:sz w:val="24"/>
        </w:rPr>
      </w:pPr>
      <w:r>
        <w:rPr>
          <w:rFonts w:hint="eastAsia"/>
          <w:sz w:val="24"/>
          <w:lang w:val="en-US" w:eastAsia="zh-CN"/>
        </w:rPr>
        <w:t>25、</w:t>
      </w:r>
      <w:r>
        <w:rPr>
          <w:sz w:val="24"/>
        </w:rPr>
        <w:t>履约保证金</w:t>
      </w:r>
    </w:p>
    <w:p>
      <w:pPr>
        <w:pStyle w:val="21"/>
        <w:tabs>
          <w:tab w:val="left" w:pos="2121"/>
        </w:tabs>
        <w:spacing w:before="161" w:line="364" w:lineRule="auto"/>
        <w:ind w:left="880" w:right="917" w:firstLine="518" w:firstLineChars="216"/>
        <w:jc w:val="both"/>
        <w:rPr>
          <w:sz w:val="24"/>
        </w:rPr>
      </w:pPr>
      <w:r>
        <w:rPr>
          <w:sz w:val="24"/>
        </w:rPr>
        <w:t>成交供应商按照协商须知前附表的规定，在签订采购合同前，向采购人提交履约保证金。</w:t>
      </w:r>
    </w:p>
    <w:p>
      <w:pPr>
        <w:pStyle w:val="21"/>
        <w:tabs>
          <w:tab w:val="left" w:pos="2121"/>
        </w:tabs>
        <w:spacing w:before="1" w:line="364" w:lineRule="auto"/>
        <w:ind w:left="880" w:right="917" w:firstLine="518" w:firstLineChars="216"/>
        <w:jc w:val="both"/>
        <w:rPr>
          <w:sz w:val="24"/>
        </w:rPr>
      </w:pPr>
      <w:r>
        <w:rPr>
          <w:sz w:val="24"/>
        </w:rPr>
        <w:t>成交供应商没有按照协商须知前附表的规定提交履约保证金的，视为放弃成交资格。</w:t>
      </w:r>
    </w:p>
    <w:p>
      <w:pPr>
        <w:pStyle w:val="21"/>
        <w:numPr>
          <w:ilvl w:val="0"/>
          <w:numId w:val="0"/>
        </w:numPr>
        <w:tabs>
          <w:tab w:val="left" w:pos="1762"/>
        </w:tabs>
        <w:spacing w:before="2"/>
        <w:ind w:left="1400" w:leftChars="0"/>
        <w:rPr>
          <w:sz w:val="24"/>
        </w:rPr>
      </w:pPr>
      <w:r>
        <w:rPr>
          <w:rFonts w:hint="eastAsia"/>
          <w:sz w:val="24"/>
          <w:lang w:val="en-US" w:eastAsia="zh-CN"/>
        </w:rPr>
        <w:t>26、</w:t>
      </w:r>
      <w:r>
        <w:rPr>
          <w:sz w:val="24"/>
        </w:rPr>
        <w:t>签订合同</w:t>
      </w:r>
    </w:p>
    <w:p>
      <w:pPr>
        <w:pStyle w:val="21"/>
        <w:tabs>
          <w:tab w:val="left" w:pos="2121"/>
        </w:tabs>
        <w:spacing w:line="364" w:lineRule="auto"/>
        <w:ind w:left="880" w:right="917" w:firstLine="518" w:firstLineChars="216"/>
        <w:jc w:val="both"/>
        <w:rPr>
          <w:sz w:val="24"/>
        </w:rPr>
      </w:pPr>
      <w:r>
        <w:rPr>
          <w:rFonts w:hint="eastAsia"/>
          <w:sz w:val="24"/>
          <w:lang w:val="en-US"/>
        </w:rPr>
        <w:t>2</w:t>
      </w:r>
      <w:r>
        <w:rPr>
          <w:rFonts w:hint="eastAsia"/>
          <w:sz w:val="24"/>
          <w:lang w:val="en-US" w:eastAsia="zh-CN"/>
        </w:rPr>
        <w:t>6</w:t>
      </w:r>
      <w:r>
        <w:rPr>
          <w:rFonts w:hint="eastAsia"/>
          <w:sz w:val="24"/>
          <w:lang w:val="en-US"/>
        </w:rPr>
        <w:t xml:space="preserve">.1 </w:t>
      </w:r>
      <w:r>
        <w:rPr>
          <w:sz w:val="24"/>
        </w:rPr>
        <w:t>单一来源采购文件、成交供应商的响应文件及其补充的响应文件等均为签订政府采购合同的依据。</w:t>
      </w:r>
    </w:p>
    <w:p>
      <w:pPr>
        <w:pStyle w:val="21"/>
        <w:tabs>
          <w:tab w:val="left" w:pos="2121"/>
        </w:tabs>
        <w:spacing w:before="1" w:line="364" w:lineRule="auto"/>
        <w:ind w:left="880" w:right="916" w:firstLine="518" w:firstLineChars="216"/>
        <w:jc w:val="both"/>
        <w:rPr>
          <w:sz w:val="24"/>
        </w:rPr>
      </w:pPr>
      <w:r>
        <w:rPr>
          <w:rFonts w:hint="eastAsia"/>
          <w:sz w:val="24"/>
          <w:lang w:val="en-US"/>
        </w:rPr>
        <w:t>2</w:t>
      </w:r>
      <w:r>
        <w:rPr>
          <w:rFonts w:hint="eastAsia"/>
          <w:sz w:val="24"/>
          <w:lang w:val="en-US" w:eastAsia="zh-CN"/>
        </w:rPr>
        <w:t>6</w:t>
      </w:r>
      <w:r>
        <w:rPr>
          <w:rFonts w:hint="eastAsia"/>
          <w:sz w:val="24"/>
          <w:lang w:val="en-US"/>
        </w:rPr>
        <w:t xml:space="preserve">.2 </w:t>
      </w:r>
      <w:r>
        <w:rPr>
          <w:sz w:val="24"/>
        </w:rPr>
        <w:t>成交供应商应当在成交通知书发出之日起 30 日内，与采购人签订政府采购合同。</w:t>
      </w:r>
    </w:p>
    <w:p>
      <w:pPr>
        <w:pStyle w:val="21"/>
        <w:tabs>
          <w:tab w:val="left" w:pos="2130"/>
        </w:tabs>
        <w:spacing w:before="2" w:line="364" w:lineRule="auto"/>
        <w:ind w:left="880" w:right="915" w:firstLine="518" w:firstLineChars="216"/>
        <w:jc w:val="both"/>
        <w:rPr>
          <w:sz w:val="24"/>
        </w:rPr>
      </w:pPr>
      <w:r>
        <w:rPr>
          <w:rFonts w:hint="eastAsia"/>
          <w:sz w:val="24"/>
          <w:lang w:val="en-US"/>
        </w:rPr>
        <w:t>2</w:t>
      </w:r>
      <w:r>
        <w:rPr>
          <w:rFonts w:hint="eastAsia"/>
          <w:sz w:val="24"/>
          <w:lang w:val="en-US" w:eastAsia="zh-CN"/>
        </w:rPr>
        <w:t>6</w:t>
      </w:r>
      <w:r>
        <w:rPr>
          <w:rFonts w:hint="eastAsia"/>
          <w:sz w:val="24"/>
          <w:lang w:val="en-US"/>
        </w:rPr>
        <w:t xml:space="preserve">.3 </w:t>
      </w:r>
      <w:r>
        <w:rPr>
          <w:sz w:val="24"/>
        </w:rPr>
        <w:t>采购人不得向成交供应商提出超出单一来源采购文件以外的任何要求作为签订合同的条件，不得与成交供应商订立背离单一来源采购文件确定的合同文本以及采购标的、采购金额、采购数量、技术和服务要求等实质性内容的协议。</w:t>
      </w:r>
    </w:p>
    <w:p>
      <w:pPr>
        <w:pStyle w:val="21"/>
        <w:tabs>
          <w:tab w:val="left" w:pos="2121"/>
        </w:tabs>
        <w:spacing w:before="2" w:line="364" w:lineRule="auto"/>
        <w:ind w:left="880" w:right="916" w:firstLine="518" w:firstLineChars="216"/>
        <w:jc w:val="both"/>
        <w:rPr>
          <w:sz w:val="24"/>
        </w:rPr>
      </w:pPr>
      <w:r>
        <w:rPr>
          <w:rFonts w:hint="eastAsia"/>
          <w:sz w:val="24"/>
          <w:lang w:val="en-US"/>
        </w:rPr>
        <w:t>2</w:t>
      </w:r>
      <w:r>
        <w:rPr>
          <w:rFonts w:hint="eastAsia"/>
          <w:sz w:val="24"/>
          <w:lang w:val="en-US" w:eastAsia="zh-CN"/>
        </w:rPr>
        <w:t>6</w:t>
      </w:r>
      <w:r>
        <w:rPr>
          <w:rFonts w:hint="eastAsia"/>
          <w:sz w:val="24"/>
          <w:lang w:val="en-US"/>
        </w:rPr>
        <w:t xml:space="preserve">.4 </w:t>
      </w:r>
      <w:r>
        <w:rPr>
          <w:sz w:val="24"/>
        </w:rPr>
        <w:t>自政府采购合同签订之日起 2 个工作日内，本项目政府采购合同在协商须知前附表规定的媒体上公告，但政府采购合同中涉及国家秘密、商业秘密的内容除外。</w:t>
      </w:r>
    </w:p>
    <w:p>
      <w:pPr>
        <w:pStyle w:val="21"/>
        <w:tabs>
          <w:tab w:val="left" w:pos="2121"/>
        </w:tabs>
        <w:spacing w:before="2" w:line="364" w:lineRule="auto"/>
        <w:ind w:left="880" w:right="916" w:firstLine="520" w:firstLineChars="216"/>
        <w:jc w:val="both"/>
        <w:rPr>
          <w:rFonts w:hint="eastAsia"/>
          <w:b/>
          <w:bCs/>
          <w:sz w:val="24"/>
          <w:lang w:val="en-US" w:eastAsia="zh-CN"/>
        </w:rPr>
      </w:pPr>
      <w:r>
        <w:rPr>
          <w:rFonts w:hint="eastAsia"/>
          <w:b/>
          <w:bCs/>
          <w:sz w:val="24"/>
          <w:lang w:val="en-US" w:eastAsia="zh-CN"/>
        </w:rPr>
        <w:t>六、 询问、质疑、投诉</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27、询问</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27.1供应商对采购活动事项有疑问的，可以向采购人或采购代理机构提出询问，采购人或采购代理机构应当在三个工作日内对供应商依法提出的询问作出答复，但答复的内容不得涉及商业秘密。</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28、质疑</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28.1 供应商认为采购文件、采购过程和中标、成交结果使自己的合法权益受到损害的，可以在知道或者应知其权益受到损害之日起七个工作日内，将质疑文件原件和必要的证明材料送达采购代理机构。</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 xml:space="preserve">28.2上述应知其权益受到损害之日是指： </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 xml:space="preserve">（1）对采购文件提出质疑的，为采购文件公告期限届满之日起计算； </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（2）对采购过程提出质疑的，自采购程序环节结束之日起计算；</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（3）对中标或者成交结果提出质疑的，自中标或者成交结果公告期限届满之日起计算。</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28.3质疑供应商在法定质疑期内应当一次性提出针对同一采购环节提出质疑。</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28.4质疑文件应包括以下主要内容，并按照“谁主张、谁举证”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新疆政府采购网→下载专区）】：　　　　　　　</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 xml:space="preserve">（1）供应商的姓名或者名称、地址、邮编、联系人及联系电话（包括座机、手机、传真号码等）； </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 xml:space="preserve">（2）质疑项目的名称、项目编号、包号、采购公告发布时间、递交响应文件或响应文件截止时间； </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 xml:space="preserve">（3）具体、明确的质疑事项和与质疑事项相关的请求； </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 xml:space="preserve">（4）事实依据（具体条款，认为自己合法权益受到损害或可能受到损害的相关证据材料。如涉及到产品功能或技术指标的，应出具相关制造商的证明文件）； </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 xml:space="preserve">（5）必要的法律依据； </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（6）提起质疑的日期；</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（7）质疑文件应当署名，质疑人为自然人的，应当由本人签字并附有效身份证明；质疑人为法人或其他组织的，应当由法定代表人签字并加盖单位公章；</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（8）供应商委托代理质疑的，应当提交授权委托书，并载明代理人的姓名或者名称、代理事项、 具体权限、期限和相关事项。</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28.5质疑供应商是指直接参加本项目采购活动的供应商，未参加政府采购活动的供应商或在采购活动中自身权益未受到损害的供应商所提出的质疑不予受理。</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28.6采购人、采购代理机构在收到供应商的书面质疑后将及时组织调查核实，在七个工作日内作出答复，并以书面形式通知质疑供应商和其他有关供应商，答复的内容不涉及商业秘密。</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29、投诉</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29.1质疑供应商对采购人、采购代理机构的答复不满意，或采购人、采购代理机构未在规定的时间内作出答复的，可以在答复期满后十五个工作日内向采购项目同级财政部门提起投诉。</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29.2供应商投诉的事项不得超出已质疑事项的范围，但基于质疑答复内容提出的投诉事项除外。</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30、诚实信用</w:t>
      </w:r>
    </w:p>
    <w:p>
      <w:pPr>
        <w:pStyle w:val="21"/>
        <w:tabs>
          <w:tab w:val="left" w:pos="2121"/>
        </w:tabs>
        <w:spacing w:before="2" w:line="364" w:lineRule="auto"/>
        <w:ind w:left="880" w:right="916" w:firstLine="518" w:firstLineChars="216"/>
        <w:jc w:val="both"/>
        <w:rPr>
          <w:rFonts w:hint="eastAsia"/>
          <w:sz w:val="24"/>
          <w:lang w:val="en-US" w:eastAsia="zh-CN"/>
        </w:rPr>
      </w:pPr>
      <w:r>
        <w:rPr>
          <w:rFonts w:hint="eastAsia"/>
          <w:sz w:val="24"/>
          <w:lang w:val="en-US" w:eastAsia="zh-CN"/>
        </w:rPr>
        <w:t>30.1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pStyle w:val="21"/>
        <w:tabs>
          <w:tab w:val="left" w:pos="2121"/>
        </w:tabs>
        <w:spacing w:before="2" w:line="364" w:lineRule="auto"/>
        <w:ind w:left="880" w:right="916" w:firstLine="518" w:firstLineChars="216"/>
        <w:jc w:val="both"/>
        <w:rPr>
          <w:rFonts w:hint="eastAsia" w:eastAsia="宋体"/>
          <w:sz w:val="24"/>
          <w:lang w:val="en-US" w:eastAsia="zh-CN"/>
        </w:rPr>
      </w:pPr>
      <w:r>
        <w:rPr>
          <w:rFonts w:hint="eastAsia"/>
          <w:sz w:val="24"/>
          <w:lang w:val="en-US" w:eastAsia="zh-CN"/>
        </w:rPr>
        <w:t>30.2 供应商不得虚假承诺，否则，按照提供虚假材料谋取中标或成交处理。</w:t>
      </w:r>
    </w:p>
    <w:p>
      <w:pPr>
        <w:pStyle w:val="10"/>
        <w:spacing w:before="41"/>
        <w:ind w:left="1400"/>
        <w:rPr>
          <w:b/>
          <w:bCs/>
        </w:rPr>
      </w:pPr>
      <w:r>
        <w:rPr>
          <w:b/>
          <w:bCs/>
        </w:rPr>
        <w:t>六、其他规定</w:t>
      </w:r>
    </w:p>
    <w:p>
      <w:pPr>
        <w:pStyle w:val="21"/>
        <w:tabs>
          <w:tab w:val="left" w:pos="2121"/>
        </w:tabs>
        <w:spacing w:before="2" w:line="364" w:lineRule="auto"/>
        <w:ind w:left="880" w:right="916" w:firstLine="518" w:firstLineChars="216"/>
        <w:jc w:val="both"/>
        <w:rPr>
          <w:rFonts w:hint="eastAsia" w:ascii="宋体" w:hAnsi="宋体" w:eastAsia="宋体" w:cs="宋体"/>
          <w:sz w:val="24"/>
          <w:lang w:val="en-US" w:eastAsia="zh-CN"/>
        </w:rPr>
      </w:pPr>
      <w:r>
        <w:rPr>
          <w:rFonts w:hint="eastAsia" w:ascii="宋体" w:hAnsi="宋体" w:eastAsia="宋体" w:cs="宋体"/>
          <w:sz w:val="24"/>
          <w:lang w:val="en-US" w:eastAsia="zh-CN"/>
        </w:rPr>
        <w:t>31、成交供应商有下列情形之一的，责令限期改正，情节严重的由采购人向财政部门报备，列入不良行为记录名单，在 1～3 年内禁止参加政府采购活动，并予以通报：</w:t>
      </w:r>
    </w:p>
    <w:p>
      <w:pPr>
        <w:pStyle w:val="10"/>
        <w:spacing w:before="2" w:line="364" w:lineRule="auto"/>
        <w:ind w:left="1400" w:right="920"/>
      </w:pPr>
      <w:r>
        <w:t xml:space="preserve">(1)成交后无正当理由不与采购人签订合同的；                      </w:t>
      </w:r>
    </w:p>
    <w:p>
      <w:pPr>
        <w:pStyle w:val="10"/>
        <w:spacing w:before="2" w:line="364" w:lineRule="auto"/>
        <w:ind w:left="1400" w:right="920"/>
      </w:pPr>
      <w:r>
        <w:t xml:space="preserve">(2)未按照采购文件确定的事项签订政府采购合同，或者与采购人另行订立背离合同实质性内容的协议的； </w:t>
      </w:r>
    </w:p>
    <w:p>
      <w:pPr>
        <w:pStyle w:val="10"/>
        <w:spacing w:before="2" w:line="364" w:lineRule="auto"/>
        <w:ind w:left="1400" w:right="920"/>
      </w:pPr>
      <w:r>
        <w:t>(3)拒绝履行合同义务的；</w:t>
      </w:r>
    </w:p>
    <w:p>
      <w:pPr>
        <w:pStyle w:val="10"/>
        <w:spacing w:before="2" w:line="364" w:lineRule="auto"/>
        <w:ind w:left="1400" w:right="5504"/>
      </w:pPr>
      <w:r>
        <w:t>(4)违反法律法规相关规定的。</w:t>
      </w:r>
      <w:r>
        <w:rPr>
          <w:rFonts w:hint="eastAsia"/>
          <w:lang w:val="en-US" w:eastAsia="zh-CN"/>
        </w:rPr>
        <w:t>32</w:t>
      </w:r>
      <w:r>
        <w:t>.未尽事宜</w:t>
      </w:r>
    </w:p>
    <w:p>
      <w:pPr>
        <w:pStyle w:val="10"/>
        <w:tabs>
          <w:tab w:val="left" w:pos="2120"/>
        </w:tabs>
        <w:spacing w:before="1" w:line="364" w:lineRule="auto"/>
        <w:ind w:left="1400" w:right="2985"/>
      </w:pPr>
      <w:r>
        <w:rPr>
          <w:rFonts w:hint="eastAsia"/>
          <w:lang w:val="en-US" w:eastAsia="zh-CN"/>
        </w:rPr>
        <w:t>32</w:t>
      </w:r>
      <w:r>
        <w:t>.1</w:t>
      </w:r>
      <w:r>
        <w:tab/>
      </w:r>
      <w:r>
        <w:t>其他未尽事宜按政府采购法律法规的规定执行。</w:t>
      </w:r>
      <w:r>
        <w:rPr>
          <w:rFonts w:hint="eastAsia"/>
          <w:lang w:val="en-US" w:eastAsia="zh-CN"/>
        </w:rPr>
        <w:t>33</w:t>
      </w:r>
      <w:r>
        <w:t>.文件解释权</w:t>
      </w:r>
    </w:p>
    <w:p>
      <w:pPr>
        <w:pStyle w:val="10"/>
        <w:tabs>
          <w:tab w:val="left" w:pos="2120"/>
        </w:tabs>
        <w:spacing w:before="1"/>
        <w:ind w:left="1400"/>
      </w:pPr>
      <w:r>
        <w:rPr>
          <w:rFonts w:hint="eastAsia"/>
          <w:lang w:val="en-US" w:eastAsia="zh-CN"/>
        </w:rPr>
        <w:t>33</w:t>
      </w:r>
      <w:r>
        <w:t>.1</w:t>
      </w:r>
      <w:r>
        <w:tab/>
      </w:r>
      <w:r>
        <w:t>本文件的解释权归采购人(或采购代理机构)所有。</w:t>
      </w:r>
    </w:p>
    <w:p>
      <w:pPr>
        <w:sectPr>
          <w:pgSz w:w="11910" w:h="16840"/>
          <w:pgMar w:top="1460" w:right="880" w:bottom="1160" w:left="1320" w:header="0" w:footer="894" w:gutter="0"/>
          <w:cols w:space="720" w:num="1"/>
        </w:sectPr>
      </w:pPr>
    </w:p>
    <w:p>
      <w:pPr>
        <w:pStyle w:val="4"/>
      </w:pPr>
      <w:r>
        <w:t>第三章</w:t>
      </w:r>
      <w:r>
        <w:tab/>
      </w:r>
      <w:r>
        <w:t>合同草案条款</w:t>
      </w:r>
    </w:p>
    <w:p>
      <w:pPr>
        <w:pStyle w:val="10"/>
        <w:spacing w:before="7"/>
        <w:rPr>
          <w:b/>
          <w:sz w:val="28"/>
        </w:rPr>
      </w:pPr>
    </w:p>
    <w:p>
      <w:pPr>
        <w:pStyle w:val="10"/>
        <w:spacing w:before="66"/>
        <w:ind w:left="920"/>
      </w:pPr>
      <w:r>
        <w:t>合同编号：</w:t>
      </w:r>
    </w:p>
    <w:p>
      <w:pPr>
        <w:pStyle w:val="10"/>
        <w:jc w:val="center"/>
        <w:rPr>
          <w:sz w:val="20"/>
        </w:rPr>
      </w:pPr>
    </w:p>
    <w:p>
      <w:pPr>
        <w:pStyle w:val="10"/>
        <w:jc w:val="center"/>
        <w:rPr>
          <w:sz w:val="20"/>
        </w:rPr>
      </w:pPr>
    </w:p>
    <w:p>
      <w:pPr>
        <w:pStyle w:val="10"/>
        <w:spacing w:before="4"/>
        <w:jc w:val="center"/>
        <w:rPr>
          <w:sz w:val="17"/>
        </w:rPr>
      </w:pPr>
    </w:p>
    <w:p>
      <w:pPr>
        <w:spacing w:before="27"/>
        <w:ind w:left="218" w:hanging="218" w:hangingChars="42"/>
        <w:jc w:val="center"/>
        <w:rPr>
          <w:sz w:val="52"/>
        </w:rPr>
      </w:pPr>
      <w:r>
        <w:rPr>
          <w:rFonts w:hint="eastAsia"/>
          <w:sz w:val="52"/>
          <w:lang w:val="en-US"/>
        </w:rPr>
        <w:t xml:space="preserve"> </w:t>
      </w:r>
      <w:r>
        <w:rPr>
          <w:sz w:val="52"/>
        </w:rPr>
        <w:t>新 疆 大 学</w:t>
      </w:r>
    </w:p>
    <w:p>
      <w:pPr>
        <w:spacing w:before="219"/>
        <w:ind w:right="30" w:hanging="17"/>
        <w:jc w:val="center"/>
        <w:rPr>
          <w:b/>
          <w:sz w:val="36"/>
        </w:rPr>
      </w:pPr>
      <w:r>
        <w:rPr>
          <w:b/>
          <w:sz w:val="36"/>
        </w:rPr>
        <w:t>(电子资源类)</w:t>
      </w:r>
    </w:p>
    <w:p>
      <w:pPr>
        <w:pStyle w:val="10"/>
        <w:jc w:val="center"/>
        <w:rPr>
          <w:b/>
          <w:sz w:val="36"/>
        </w:rPr>
      </w:pPr>
    </w:p>
    <w:p>
      <w:pPr>
        <w:spacing w:before="249" w:line="242" w:lineRule="auto"/>
        <w:ind w:left="4785" w:right="4639"/>
        <w:jc w:val="center"/>
        <w:rPr>
          <w:sz w:val="72"/>
        </w:rPr>
      </w:pPr>
      <w:r>
        <w:rPr>
          <w:rFonts w:hint="eastAsia"/>
          <w:sz w:val="72"/>
          <w:lang w:eastAsia="zh-CN"/>
        </w:rPr>
        <w:t>供货</w:t>
      </w:r>
      <w:r>
        <w:rPr>
          <w:sz w:val="72"/>
        </w:rPr>
        <w:t>合同</w:t>
      </w:r>
    </w:p>
    <w:p>
      <w:pPr>
        <w:spacing w:before="146" w:line="417" w:lineRule="auto"/>
        <w:ind w:left="1558" w:right="779" w:hanging="639"/>
        <w:jc w:val="center"/>
        <w:rPr>
          <w:b/>
          <w:sz w:val="28"/>
        </w:rPr>
      </w:pPr>
      <w:r>
        <w:rPr>
          <w:b/>
          <w:sz w:val="28"/>
        </w:rPr>
        <w:t>（</w:t>
      </w:r>
      <w:r>
        <w:rPr>
          <w:b/>
          <w:spacing w:val="-16"/>
          <w:sz w:val="28"/>
        </w:rPr>
        <w:t>因每个数据库都有各自的特点，资源类型不一样，</w:t>
      </w:r>
      <w:r>
        <w:rPr>
          <w:b/>
          <w:sz w:val="28"/>
        </w:rPr>
        <w:t>本合同仅供参考，</w:t>
      </w:r>
      <w:r>
        <w:rPr>
          <w:rFonts w:hint="eastAsia"/>
          <w:b/>
          <w:sz w:val="28"/>
        </w:rPr>
        <w:t>最终</w:t>
      </w:r>
      <w:r>
        <w:rPr>
          <w:b/>
          <w:sz w:val="28"/>
        </w:rPr>
        <w:t>以</w:t>
      </w:r>
      <w:r>
        <w:rPr>
          <w:rFonts w:hint="eastAsia"/>
          <w:b/>
          <w:sz w:val="28"/>
          <w:lang w:val="en-US"/>
        </w:rPr>
        <w:t>甲、乙双</w:t>
      </w:r>
      <w:r>
        <w:rPr>
          <w:b/>
          <w:sz w:val="28"/>
        </w:rPr>
        <w:t>方提供的实际合同为准）</w:t>
      </w:r>
    </w:p>
    <w:p>
      <w:pPr>
        <w:spacing w:before="146" w:line="417" w:lineRule="auto"/>
        <w:ind w:left="1558" w:right="779" w:hanging="639"/>
        <w:rPr>
          <w:b/>
          <w:sz w:val="28"/>
        </w:rPr>
      </w:pPr>
    </w:p>
    <w:p>
      <w:pPr>
        <w:pStyle w:val="10"/>
        <w:rPr>
          <w:b/>
          <w:sz w:val="28"/>
        </w:rPr>
      </w:pPr>
    </w:p>
    <w:p>
      <w:pPr>
        <w:pStyle w:val="10"/>
        <w:spacing w:before="8"/>
        <w:rPr>
          <w:b/>
          <w:sz w:val="25"/>
        </w:rPr>
      </w:pPr>
    </w:p>
    <w:p>
      <w:pPr>
        <w:spacing w:line="388" w:lineRule="auto"/>
        <w:ind w:left="920" w:right="7117"/>
        <w:rPr>
          <w:b/>
          <w:sz w:val="30"/>
        </w:rPr>
      </w:pPr>
      <w:r>
        <w:rPr>
          <w:rFonts w:hint="eastAsia"/>
          <w:b/>
          <w:sz w:val="30"/>
        </w:rPr>
        <w:t>采购</w:t>
      </w:r>
      <w:r>
        <w:rPr>
          <w:b/>
          <w:sz w:val="30"/>
        </w:rPr>
        <w:t>项目名称： 采购文件编号：</w:t>
      </w:r>
    </w:p>
    <w:p>
      <w:pPr>
        <w:pStyle w:val="7"/>
        <w:ind w:firstLine="602"/>
        <w:rPr>
          <w:b/>
          <w:sz w:val="30"/>
        </w:rPr>
      </w:pPr>
    </w:p>
    <w:p>
      <w:pPr>
        <w:pStyle w:val="8"/>
      </w:pPr>
    </w:p>
    <w:p>
      <w:pPr>
        <w:pStyle w:val="10"/>
        <w:rPr>
          <w:b/>
          <w:sz w:val="30"/>
        </w:rPr>
      </w:pPr>
    </w:p>
    <w:p>
      <w:pPr>
        <w:spacing w:before="243"/>
        <w:ind w:left="1153" w:right="551"/>
        <w:jc w:val="center"/>
        <w:rPr>
          <w:sz w:val="30"/>
        </w:rPr>
      </w:pPr>
      <w:r>
        <w:rPr>
          <w:sz w:val="30"/>
        </w:rPr>
        <w:t>二零</w:t>
      </w:r>
      <w:r>
        <w:rPr>
          <w:color w:val="000000" w:themeColor="text1"/>
          <w:sz w:val="28"/>
          <w14:textFill>
            <w14:solidFill>
              <w14:schemeClr w14:val="tx1"/>
            </w14:solidFill>
          </w14:textFill>
        </w:rPr>
        <w:t>二</w:t>
      </w:r>
      <w:r>
        <w:rPr>
          <w:rFonts w:hint="eastAsia"/>
          <w:color w:val="000000" w:themeColor="text1"/>
          <w:sz w:val="28"/>
          <w:lang w:val="en-US" w:eastAsia="zh-CN"/>
          <w14:textFill>
            <w14:solidFill>
              <w14:schemeClr w14:val="tx1"/>
            </w14:solidFill>
          </w14:textFill>
        </w:rPr>
        <w:t>三</w:t>
      </w:r>
      <w:r>
        <w:rPr>
          <w:sz w:val="30"/>
        </w:rPr>
        <w:t>年</w:t>
      </w:r>
      <w:r>
        <w:rPr>
          <w:rFonts w:hint="eastAsia"/>
          <w:sz w:val="30"/>
          <w:lang w:val="en-US" w:eastAsia="zh-CN"/>
        </w:rPr>
        <w:t>四</w:t>
      </w:r>
      <w:r>
        <w:rPr>
          <w:sz w:val="30"/>
        </w:rPr>
        <w:t>月</w:t>
      </w:r>
    </w:p>
    <w:p>
      <w:pPr>
        <w:jc w:val="center"/>
        <w:rPr>
          <w:sz w:val="30"/>
        </w:rPr>
        <w:sectPr>
          <w:pgSz w:w="11910" w:h="16840"/>
          <w:pgMar w:top="1420" w:right="880" w:bottom="1160" w:left="880" w:header="0" w:footer="894" w:gutter="0"/>
          <w:cols w:space="720" w:num="1"/>
        </w:sectPr>
      </w:pPr>
    </w:p>
    <w:p>
      <w:pPr>
        <w:spacing w:line="610" w:lineRule="exact"/>
        <w:ind w:left="1153" w:right="1149"/>
        <w:jc w:val="center"/>
        <w:rPr>
          <w:rFonts w:ascii="微软雅黑" w:eastAsia="微软雅黑"/>
          <w:b/>
          <w:sz w:val="34"/>
        </w:rPr>
      </w:pPr>
      <w:r>
        <w:rPr>
          <w:rFonts w:hint="eastAsia" w:ascii="微软雅黑" w:eastAsia="微软雅黑"/>
          <w:b/>
          <w:sz w:val="34"/>
        </w:rPr>
        <w:t>数据库订购合同</w:t>
      </w:r>
    </w:p>
    <w:p>
      <w:pPr>
        <w:pStyle w:val="10"/>
        <w:spacing w:before="14"/>
        <w:rPr>
          <w:rFonts w:ascii="微软雅黑"/>
          <w:b/>
          <w:sz w:val="5"/>
        </w:rPr>
      </w:pPr>
    </w:p>
    <w:p>
      <w:pPr>
        <w:ind w:right="909" w:rightChars="413"/>
        <w:jc w:val="right"/>
        <w:rPr>
          <w:rFonts w:ascii="楷体" w:eastAsia="楷体"/>
          <w:b/>
          <w:bCs/>
        </w:rPr>
      </w:pPr>
      <w:r>
        <w:rPr>
          <w:rFonts w:hint="eastAsia" w:ascii="楷体" w:eastAsia="楷体"/>
          <w:b/>
          <w:bCs/>
        </w:rPr>
        <w:t>合同号：</w:t>
      </w:r>
    </w:p>
    <w:p>
      <w:pPr>
        <w:pStyle w:val="13"/>
        <w:ind w:firstLine="180"/>
      </w:pPr>
    </w:p>
    <w:p>
      <w:pPr>
        <w:spacing w:before="84" w:line="312" w:lineRule="auto"/>
        <w:ind w:left="1402" w:right="6936"/>
        <w:rPr>
          <w:rFonts w:ascii="仿宋" w:eastAsia="仿宋"/>
          <w:sz w:val="24"/>
        </w:rPr>
      </w:pPr>
      <w:r>
        <w:rPr>
          <w:rFonts w:hint="eastAsia" w:ascii="仿宋" w:eastAsia="仿宋"/>
          <w:b/>
          <w:sz w:val="24"/>
        </w:rPr>
        <w:t>甲 方</w:t>
      </w:r>
      <w:r>
        <w:rPr>
          <w:rFonts w:hint="eastAsia" w:ascii="仿宋" w:eastAsia="仿宋"/>
          <w:sz w:val="24"/>
        </w:rPr>
        <w:t>：新疆大学</w:t>
      </w:r>
      <w:r>
        <w:rPr>
          <w:rFonts w:hint="eastAsia" w:ascii="仿宋" w:eastAsia="仿宋"/>
          <w:b/>
          <w:sz w:val="24"/>
        </w:rPr>
        <w:t>乙 方</w:t>
      </w:r>
      <w:r>
        <w:rPr>
          <w:rFonts w:hint="eastAsia" w:ascii="仿宋" w:eastAsia="仿宋"/>
          <w:sz w:val="24"/>
        </w:rPr>
        <w:t>：</w:t>
      </w:r>
    </w:p>
    <w:p>
      <w:pPr>
        <w:pStyle w:val="10"/>
        <w:spacing w:before="1"/>
        <w:rPr>
          <w:rFonts w:ascii="仿宋"/>
          <w:sz w:val="26"/>
        </w:rPr>
      </w:pPr>
    </w:p>
    <w:p>
      <w:pPr>
        <w:pStyle w:val="10"/>
        <w:spacing w:before="66" w:line="312" w:lineRule="auto"/>
        <w:ind w:left="920" w:right="825" w:firstLine="479"/>
        <w:rPr>
          <w:rFonts w:ascii="仿宋" w:eastAsia="仿宋"/>
        </w:rPr>
      </w:pPr>
      <w:r>
        <w:rPr>
          <w:rFonts w:hint="eastAsia" w:ascii="仿宋" w:eastAsia="仿宋"/>
          <w:spacing w:val="-1"/>
        </w:rPr>
        <w:t>甲乙双方本着平等自愿、诚实信用的原则，根据《</w:t>
      </w:r>
      <w:r>
        <w:rPr>
          <w:rFonts w:ascii="仿宋" w:hAnsi="仿宋" w:eastAsia="仿宋" w:cs="仿宋"/>
        </w:rPr>
        <w:t>中华人民共和国民法典</w:t>
      </w:r>
      <w:r>
        <w:rPr>
          <w:rFonts w:hint="eastAsia" w:ascii="仿宋" w:eastAsia="仿宋"/>
          <w:spacing w:val="-1"/>
        </w:rPr>
        <w:t>》</w:t>
      </w:r>
      <w:r>
        <w:rPr>
          <w:rFonts w:hint="eastAsia" w:ascii="仿宋" w:eastAsia="仿宋"/>
          <w:spacing w:val="-10"/>
        </w:rPr>
        <w:t>等法律、法规规定，就乙方向甲方提供数据库的供货及相关服务，经甲、乙双方协商一致，签订本合同，共同遵守如下条款：</w:t>
      </w:r>
    </w:p>
    <w:p>
      <w:pPr>
        <w:pStyle w:val="10"/>
        <w:spacing w:before="5"/>
        <w:rPr>
          <w:rFonts w:ascii="仿宋"/>
          <w:sz w:val="31"/>
        </w:rPr>
      </w:pPr>
    </w:p>
    <w:p>
      <w:pPr>
        <w:ind w:firstLine="964" w:firstLineChars="400"/>
        <w:rPr>
          <w:b/>
          <w:bCs/>
          <w:sz w:val="24"/>
          <w:szCs w:val="24"/>
        </w:rPr>
      </w:pPr>
      <w:r>
        <w:rPr>
          <w:rFonts w:hint="eastAsia"/>
          <w:b/>
          <w:bCs/>
          <w:sz w:val="24"/>
          <w:szCs w:val="24"/>
        </w:rPr>
        <w:t>第一条 产品名称、使用期限</w:t>
      </w:r>
    </w:p>
    <w:p>
      <w:pPr>
        <w:pStyle w:val="10"/>
        <w:spacing w:before="91"/>
        <w:ind w:left="1400"/>
      </w:pPr>
      <w:r>
        <w:rPr>
          <w:rFonts w:hint="eastAsia" w:ascii="仿宋" w:eastAsia="仿宋"/>
        </w:rPr>
        <w:t>1、产品名称：</w:t>
      </w:r>
    </w:p>
    <w:p>
      <w:pPr>
        <w:pStyle w:val="10"/>
        <w:spacing w:before="93"/>
        <w:ind w:left="1400"/>
        <w:rPr>
          <w:rFonts w:ascii="仿宋" w:eastAsia="仿宋"/>
        </w:rPr>
      </w:pPr>
      <w:r>
        <w:rPr>
          <w:rFonts w:hint="eastAsia" w:ascii="仿宋" w:eastAsia="仿宋"/>
        </w:rPr>
        <w:t>2、使用期限：</w:t>
      </w:r>
      <w:r>
        <w:rPr>
          <w:rFonts w:hint="eastAsia" w:ascii="仿宋" w:eastAsia="仿宋"/>
          <w:spacing w:val="-58"/>
          <w:u w:val="single"/>
          <w:lang w:val="en-US"/>
        </w:rPr>
        <w:t xml:space="preserve">        </w:t>
      </w:r>
      <w:r>
        <w:rPr>
          <w:rFonts w:hint="eastAsia" w:ascii="仿宋" w:eastAsia="仿宋"/>
        </w:rPr>
        <w:t>年</w:t>
      </w:r>
      <w:r>
        <w:rPr>
          <w:rFonts w:hint="eastAsia" w:ascii="仿宋" w:eastAsia="仿宋"/>
          <w:spacing w:val="-58"/>
          <w:u w:val="single"/>
          <w:lang w:val="en-US"/>
        </w:rPr>
        <w:t xml:space="preserve">        </w:t>
      </w:r>
      <w:r>
        <w:rPr>
          <w:rFonts w:hint="eastAsia" w:ascii="仿宋" w:eastAsia="仿宋"/>
        </w:rPr>
        <w:t>月</w:t>
      </w:r>
      <w:r>
        <w:rPr>
          <w:rFonts w:hint="eastAsia" w:ascii="仿宋" w:eastAsia="仿宋"/>
          <w:spacing w:val="-58"/>
          <w:u w:val="single"/>
          <w:lang w:val="en-US"/>
        </w:rPr>
        <w:t xml:space="preserve">       </w:t>
      </w:r>
      <w:r>
        <w:rPr>
          <w:rFonts w:hint="eastAsia" w:ascii="仿宋" w:eastAsia="仿宋"/>
        </w:rPr>
        <w:t>日至</w:t>
      </w:r>
      <w:r>
        <w:rPr>
          <w:rFonts w:hint="eastAsia" w:ascii="仿宋" w:eastAsia="仿宋"/>
          <w:spacing w:val="-58"/>
          <w:u w:val="single"/>
          <w:lang w:val="en-US"/>
        </w:rPr>
        <w:t xml:space="preserve">        </w:t>
      </w:r>
      <w:r>
        <w:rPr>
          <w:rFonts w:hint="eastAsia" w:ascii="仿宋" w:eastAsia="仿宋"/>
          <w:lang w:val="en-US"/>
        </w:rPr>
        <w:t xml:space="preserve"> </w:t>
      </w:r>
      <w:r>
        <w:rPr>
          <w:rFonts w:hint="eastAsia" w:ascii="仿宋" w:eastAsia="仿宋"/>
        </w:rPr>
        <w:t>年</w:t>
      </w:r>
      <w:r>
        <w:rPr>
          <w:rFonts w:hint="eastAsia" w:ascii="仿宋" w:eastAsia="仿宋"/>
          <w:spacing w:val="-58"/>
          <w:u w:val="single"/>
          <w:lang w:val="en-US"/>
        </w:rPr>
        <w:t xml:space="preserve">       </w:t>
      </w:r>
      <w:r>
        <w:rPr>
          <w:rFonts w:hint="eastAsia" w:ascii="仿宋" w:eastAsia="仿宋"/>
          <w:lang w:val="en-US"/>
        </w:rPr>
        <w:t xml:space="preserve"> </w:t>
      </w:r>
      <w:r>
        <w:rPr>
          <w:rFonts w:hint="eastAsia" w:ascii="仿宋" w:eastAsia="仿宋"/>
        </w:rPr>
        <w:t>月</w:t>
      </w:r>
      <w:r>
        <w:rPr>
          <w:rFonts w:hint="eastAsia" w:ascii="仿宋" w:eastAsia="仿宋"/>
          <w:spacing w:val="-58"/>
          <w:u w:val="single"/>
          <w:lang w:val="en-US"/>
        </w:rPr>
        <w:t xml:space="preserve">       </w:t>
      </w:r>
      <w:r>
        <w:rPr>
          <w:rFonts w:hint="eastAsia" w:ascii="仿宋" w:eastAsia="仿宋"/>
        </w:rPr>
        <w:t>日。</w:t>
      </w:r>
    </w:p>
    <w:p>
      <w:pPr>
        <w:pStyle w:val="10"/>
        <w:spacing w:before="94"/>
        <w:ind w:left="1400"/>
        <w:rPr>
          <w:rFonts w:ascii="仿宋" w:eastAsia="仿宋"/>
        </w:rPr>
      </w:pPr>
      <w:r>
        <w:rPr>
          <w:rFonts w:hint="eastAsia" w:ascii="仿宋" w:eastAsia="仿宋"/>
        </w:rPr>
        <w:t>3、使用载体形式：</w:t>
      </w:r>
    </w:p>
    <w:p>
      <w:pPr>
        <w:pStyle w:val="10"/>
        <w:spacing w:before="90"/>
        <w:ind w:left="1400"/>
        <w:rPr>
          <w:rFonts w:ascii="仿宋" w:eastAsia="仿宋"/>
        </w:rPr>
      </w:pPr>
      <w:r>
        <w:rPr>
          <w:rFonts w:hint="eastAsia" w:ascii="仿宋" w:eastAsia="仿宋"/>
        </w:rPr>
        <w:t>4、用户类型：</w:t>
      </w:r>
    </w:p>
    <w:p>
      <w:pPr>
        <w:pStyle w:val="10"/>
        <w:rPr>
          <w:rFonts w:ascii="仿宋"/>
          <w:sz w:val="20"/>
        </w:rPr>
      </w:pPr>
    </w:p>
    <w:p>
      <w:pPr>
        <w:pStyle w:val="10"/>
        <w:spacing w:before="7"/>
        <w:rPr>
          <w:rFonts w:ascii="仿宋"/>
          <w:sz w:val="18"/>
        </w:rPr>
      </w:pPr>
    </w:p>
    <w:p>
      <w:pPr>
        <w:ind w:firstLine="964" w:firstLineChars="400"/>
        <w:rPr>
          <w:b/>
          <w:bCs/>
          <w:sz w:val="24"/>
          <w:szCs w:val="24"/>
        </w:rPr>
      </w:pPr>
      <w:r>
        <w:rPr>
          <w:rFonts w:hint="eastAsia"/>
          <w:b/>
          <w:bCs/>
          <w:sz w:val="24"/>
          <w:szCs w:val="24"/>
        </w:rPr>
        <w:t>第二条 服务收费标准及支付方式</w:t>
      </w:r>
    </w:p>
    <w:p>
      <w:pPr>
        <w:pStyle w:val="10"/>
        <w:tabs>
          <w:tab w:val="left" w:pos="3080"/>
        </w:tabs>
        <w:spacing w:before="91" w:line="312" w:lineRule="auto"/>
        <w:ind w:left="920" w:right="798" w:firstLine="479"/>
        <w:rPr>
          <w:rFonts w:ascii="仿宋" w:eastAsia="仿宋"/>
        </w:rPr>
      </w:pPr>
      <w:r>
        <w:rPr>
          <w:rFonts w:hint="eastAsia" w:ascii="仿宋" w:eastAsia="仿宋"/>
        </w:rPr>
        <w:t>1</w:t>
      </w:r>
      <w:r>
        <w:rPr>
          <w:rFonts w:hint="eastAsia" w:ascii="仿宋" w:eastAsia="仿宋"/>
          <w:spacing w:val="-58"/>
        </w:rPr>
        <w:t>、</w:t>
      </w:r>
      <w:r>
        <w:rPr>
          <w:rFonts w:hint="eastAsia" w:ascii="仿宋" w:eastAsia="仿宋"/>
        </w:rPr>
        <w:t>本合同产品外币价格</w:t>
      </w:r>
      <w:r>
        <w:rPr>
          <w:rFonts w:hint="eastAsia" w:ascii="仿宋" w:eastAsia="仿宋"/>
          <w:spacing w:val="-58"/>
        </w:rPr>
        <w:t>：</w:t>
      </w:r>
      <w:r>
        <w:rPr>
          <w:rFonts w:hint="eastAsia" w:ascii="仿宋" w:eastAsia="仿宋"/>
          <w:spacing w:val="-58"/>
          <w:u w:val="single"/>
          <w:lang w:val="en-US"/>
        </w:rPr>
        <w:t xml:space="preserve">       </w:t>
      </w:r>
      <w:r>
        <w:rPr>
          <w:rFonts w:hint="eastAsia" w:ascii="仿宋" w:eastAsia="仿宋"/>
          <w:spacing w:val="-58"/>
        </w:rPr>
        <w:t>，</w:t>
      </w:r>
      <w:r>
        <w:rPr>
          <w:rFonts w:hint="eastAsia" w:ascii="仿宋" w:eastAsia="仿宋"/>
        </w:rPr>
        <w:t>汇率</w:t>
      </w:r>
      <w:r>
        <w:rPr>
          <w:rFonts w:hint="eastAsia" w:ascii="仿宋" w:eastAsia="仿宋"/>
          <w:spacing w:val="-58"/>
        </w:rPr>
        <w:t>：</w:t>
      </w:r>
      <w:r>
        <w:rPr>
          <w:rFonts w:hint="eastAsia" w:ascii="仿宋" w:eastAsia="仿宋"/>
          <w:spacing w:val="-58"/>
          <w:u w:val="single"/>
          <w:lang w:val="en-US"/>
        </w:rPr>
        <w:t xml:space="preserve">        </w:t>
      </w:r>
      <w:r>
        <w:rPr>
          <w:rFonts w:hint="eastAsia" w:ascii="仿宋" w:eastAsia="仿宋"/>
          <w:spacing w:val="-58"/>
        </w:rPr>
        <w:t>，</w:t>
      </w:r>
      <w:r>
        <w:rPr>
          <w:rFonts w:hint="eastAsia" w:ascii="仿宋" w:eastAsia="仿宋"/>
        </w:rPr>
        <w:t>手续费：</w:t>
      </w:r>
      <w:r>
        <w:rPr>
          <w:rFonts w:hint="eastAsia" w:ascii="仿宋" w:eastAsia="仿宋"/>
          <w:spacing w:val="-58"/>
          <w:u w:val="single"/>
          <w:lang w:val="en-US"/>
        </w:rPr>
        <w:t xml:space="preserve">         </w:t>
      </w:r>
      <w:r>
        <w:rPr>
          <w:rFonts w:hint="eastAsia" w:ascii="仿宋" w:eastAsia="仿宋"/>
          <w:spacing w:val="-58"/>
        </w:rPr>
        <w:t>，</w:t>
      </w:r>
      <w:r>
        <w:rPr>
          <w:rFonts w:hint="eastAsia" w:ascii="仿宋" w:eastAsia="仿宋"/>
        </w:rPr>
        <w:t>折合人民币总金额</w:t>
      </w:r>
      <w:r>
        <w:rPr>
          <w:rFonts w:hint="eastAsia" w:ascii="仿宋" w:eastAsia="仿宋"/>
          <w:spacing w:val="2"/>
        </w:rPr>
        <w:t xml:space="preserve"> </w:t>
      </w:r>
      <w:r>
        <w:rPr>
          <w:rFonts w:hint="eastAsia" w:ascii="仿宋" w:eastAsia="仿宋"/>
        </w:rPr>
        <w:t>：</w:t>
      </w:r>
      <w:r>
        <w:rPr>
          <w:rFonts w:hint="eastAsia" w:ascii="仿宋" w:eastAsia="仿宋"/>
          <w:spacing w:val="-58"/>
          <w:u w:val="single"/>
          <w:lang w:val="en-US"/>
        </w:rPr>
        <w:t xml:space="preserve">        </w:t>
      </w:r>
      <w:r>
        <w:rPr>
          <w:rFonts w:hint="eastAsia" w:ascii="仿宋" w:eastAsia="仿宋"/>
          <w:spacing w:val="-57"/>
        </w:rPr>
        <w:t xml:space="preserve"> </w:t>
      </w:r>
      <w:r>
        <w:rPr>
          <w:rFonts w:hint="eastAsia" w:ascii="仿宋" w:eastAsia="仿宋"/>
        </w:rPr>
        <w:t>元</w:t>
      </w:r>
      <w:r>
        <w:rPr>
          <w:rFonts w:hint="eastAsia" w:ascii="仿宋" w:eastAsia="仿宋"/>
          <w:spacing w:val="-13"/>
        </w:rPr>
        <w:t xml:space="preserve">， </w:t>
      </w:r>
      <w:r>
        <w:rPr>
          <w:rFonts w:hint="eastAsia" w:ascii="仿宋" w:eastAsia="仿宋"/>
        </w:rPr>
        <w:t>大写人民币</w:t>
      </w:r>
      <w:r>
        <w:rPr>
          <w:rFonts w:hint="eastAsia" w:ascii="仿宋" w:eastAsia="仿宋"/>
          <w:u w:val="single"/>
        </w:rPr>
        <w:tab/>
      </w:r>
      <w:r>
        <w:rPr>
          <w:rFonts w:hint="eastAsia" w:ascii="仿宋" w:eastAsia="仿宋"/>
          <w:u w:val="single"/>
          <w:lang w:val="en-US"/>
        </w:rPr>
        <w:t xml:space="preserve">  </w:t>
      </w:r>
      <w:r>
        <w:rPr>
          <w:rFonts w:hint="eastAsia" w:ascii="仿宋" w:eastAsia="仿宋"/>
        </w:rPr>
        <w:t>元整。</w:t>
      </w:r>
    </w:p>
    <w:p>
      <w:pPr>
        <w:pStyle w:val="10"/>
        <w:spacing w:before="2" w:line="312" w:lineRule="auto"/>
        <w:ind w:left="920" w:right="919" w:firstLine="479"/>
        <w:jc w:val="both"/>
        <w:rPr>
          <w:rFonts w:ascii="仿宋" w:eastAsia="仿宋"/>
        </w:rPr>
      </w:pPr>
      <w:r>
        <w:rPr>
          <w:rFonts w:hint="eastAsia" w:ascii="仿宋" w:eastAsia="仿宋"/>
        </w:rPr>
        <w:t>2</w:t>
      </w:r>
      <w:r>
        <w:rPr>
          <w:rFonts w:hint="eastAsia" w:ascii="仿宋" w:eastAsia="仿宋"/>
          <w:spacing w:val="-7"/>
        </w:rPr>
        <w:t>、本合同金额包含出版商</w:t>
      </w:r>
      <w:r>
        <w:rPr>
          <w:rFonts w:hint="eastAsia" w:ascii="仿宋" w:eastAsia="仿宋"/>
        </w:rPr>
        <w:t>/</w:t>
      </w:r>
      <w:r>
        <w:rPr>
          <w:rFonts w:hint="eastAsia" w:ascii="仿宋" w:eastAsia="仿宋"/>
          <w:spacing w:val="-4"/>
        </w:rPr>
        <w:t>数据库服务提供商须要收取的一切费用、进口代</w:t>
      </w:r>
      <w:r>
        <w:rPr>
          <w:rFonts w:hint="eastAsia" w:ascii="仿宋" w:eastAsia="仿宋"/>
          <w:spacing w:val="-12"/>
        </w:rPr>
        <w:t>理费、银行费用、报关费、商检费、税费等相关费用，乙方应保证不另收取任何</w:t>
      </w:r>
      <w:r>
        <w:rPr>
          <w:rFonts w:hint="eastAsia" w:ascii="仿宋" w:eastAsia="仿宋"/>
        </w:rPr>
        <w:t>其他费用。</w:t>
      </w:r>
    </w:p>
    <w:p>
      <w:pPr>
        <w:pStyle w:val="10"/>
        <w:spacing w:before="1" w:line="312" w:lineRule="auto"/>
        <w:ind w:left="920" w:right="924" w:firstLine="479"/>
        <w:rPr>
          <w:rFonts w:ascii="仿宋" w:eastAsia="仿宋"/>
        </w:rPr>
      </w:pPr>
      <w:r>
        <w:rPr>
          <w:rFonts w:hint="eastAsia" w:ascii="仿宋" w:eastAsia="仿宋"/>
        </w:rPr>
        <w:t>3、乙方为甲方开通数据库服务后，甲方经试用验收通过后应将上述人民币款一次性汇至乙方指定银行账号，为方便甲方支付，订单以人民币结算。</w:t>
      </w:r>
    </w:p>
    <w:p>
      <w:pPr>
        <w:pStyle w:val="10"/>
        <w:spacing w:line="314" w:lineRule="auto"/>
        <w:ind w:left="920" w:right="799" w:firstLine="479"/>
        <w:rPr>
          <w:rFonts w:ascii="仿宋" w:eastAsia="仿宋"/>
        </w:rPr>
      </w:pPr>
      <w:r>
        <w:rPr>
          <w:rFonts w:hint="eastAsia" w:ascii="仿宋" w:eastAsia="仿宋"/>
        </w:rPr>
        <w:t>4、甲方付款前，乙方应当提供符合甲方财务做账需求的合格增值税普通发</w:t>
      </w:r>
      <w:r>
        <w:rPr>
          <w:rFonts w:hint="eastAsia" w:ascii="仿宋" w:eastAsia="仿宋"/>
          <w:spacing w:val="-17"/>
        </w:rPr>
        <w:t>票，并经过甲方财务流程后支付，否则甲方有权不予支付且不承担任何违约责任。</w:t>
      </w:r>
    </w:p>
    <w:p>
      <w:pPr>
        <w:pStyle w:val="10"/>
        <w:spacing w:line="312" w:lineRule="auto"/>
        <w:ind w:left="1400" w:right="6583"/>
        <w:rPr>
          <w:rFonts w:ascii="仿宋" w:eastAsia="仿宋"/>
        </w:rPr>
      </w:pPr>
      <w:r>
        <w:rPr>
          <w:rFonts w:hint="eastAsia" w:ascii="仿宋" w:eastAsia="仿宋"/>
          <w:spacing w:val="-2"/>
        </w:rPr>
        <w:t xml:space="preserve">乙方账户信息如下： </w:t>
      </w:r>
      <w:r>
        <w:rPr>
          <w:rFonts w:hint="eastAsia" w:ascii="仿宋" w:eastAsia="仿宋"/>
        </w:rPr>
        <w:t>开户名称：</w:t>
      </w:r>
    </w:p>
    <w:p>
      <w:pPr>
        <w:pStyle w:val="10"/>
        <w:tabs>
          <w:tab w:val="left" w:pos="1880"/>
          <w:tab w:val="left" w:pos="2120"/>
        </w:tabs>
        <w:spacing w:line="312" w:lineRule="auto"/>
        <w:ind w:left="1400" w:right="7544"/>
      </w:pPr>
      <w:r>
        <w:rPr>
          <w:rFonts w:hint="eastAsia" w:ascii="仿宋" w:eastAsia="仿宋"/>
        </w:rPr>
        <w:t>开 户 行</w:t>
      </w:r>
      <w:r>
        <w:rPr>
          <w:rFonts w:hint="eastAsia" w:ascii="仿宋" w:eastAsia="仿宋"/>
          <w:spacing w:val="-18"/>
        </w:rPr>
        <w:t>：</w:t>
      </w:r>
    </w:p>
    <w:p>
      <w:pPr>
        <w:pStyle w:val="10"/>
        <w:tabs>
          <w:tab w:val="left" w:pos="1880"/>
          <w:tab w:val="left" w:pos="2120"/>
        </w:tabs>
        <w:spacing w:line="312" w:lineRule="auto"/>
        <w:ind w:left="1400" w:right="7544"/>
        <w:rPr>
          <w:rFonts w:ascii="仿宋" w:eastAsia="仿宋"/>
        </w:rPr>
      </w:pPr>
      <w:r>
        <w:rPr>
          <w:rFonts w:hint="eastAsia" w:ascii="仿宋" w:eastAsia="仿宋"/>
        </w:rPr>
        <w:t>账</w:t>
      </w:r>
      <w:r>
        <w:rPr>
          <w:rFonts w:hint="eastAsia" w:ascii="仿宋" w:eastAsia="仿宋"/>
        </w:rPr>
        <w:tab/>
      </w:r>
      <w:r>
        <w:rPr>
          <w:rFonts w:hint="eastAsia" w:ascii="仿宋" w:eastAsia="仿宋"/>
        </w:rPr>
        <w:t>号 ： 行</w:t>
      </w:r>
      <w:r>
        <w:rPr>
          <w:rFonts w:hint="eastAsia" w:ascii="仿宋" w:eastAsia="仿宋"/>
        </w:rPr>
        <w:tab/>
      </w:r>
      <w:r>
        <w:rPr>
          <w:rFonts w:hint="eastAsia" w:ascii="仿宋" w:eastAsia="仿宋"/>
        </w:rPr>
        <w:tab/>
      </w:r>
      <w:r>
        <w:rPr>
          <w:rFonts w:hint="eastAsia" w:ascii="仿宋" w:eastAsia="仿宋"/>
        </w:rPr>
        <w:t>号</w:t>
      </w:r>
      <w:r>
        <w:rPr>
          <w:rFonts w:hint="eastAsia" w:ascii="仿宋" w:eastAsia="仿宋"/>
          <w:spacing w:val="-18"/>
        </w:rPr>
        <w:t xml:space="preserve">： </w:t>
      </w:r>
      <w:r>
        <w:rPr>
          <w:rFonts w:hint="eastAsia" w:ascii="仿宋" w:eastAsia="仿宋"/>
        </w:rPr>
        <w:t>付款备注</w:t>
      </w:r>
      <w:r>
        <w:rPr>
          <w:rFonts w:hint="eastAsia" w:ascii="仿宋" w:eastAsia="仿宋"/>
          <w:spacing w:val="-18"/>
        </w:rPr>
        <w:t>：</w:t>
      </w:r>
    </w:p>
    <w:p>
      <w:pPr>
        <w:pStyle w:val="10"/>
        <w:spacing w:before="9"/>
        <w:rPr>
          <w:rFonts w:ascii="仿宋"/>
          <w:sz w:val="25"/>
        </w:rPr>
      </w:pPr>
    </w:p>
    <w:p>
      <w:pPr>
        <w:ind w:firstLine="964" w:firstLineChars="400"/>
        <w:rPr>
          <w:b/>
          <w:bCs/>
          <w:sz w:val="24"/>
          <w:szCs w:val="24"/>
        </w:rPr>
      </w:pPr>
      <w:r>
        <w:rPr>
          <w:rFonts w:hint="eastAsia"/>
          <w:b/>
          <w:bCs/>
          <w:sz w:val="24"/>
          <w:szCs w:val="24"/>
        </w:rPr>
        <w:t>第三条 质量服务标准</w:t>
      </w:r>
    </w:p>
    <w:p>
      <w:pPr>
        <w:pStyle w:val="10"/>
        <w:spacing w:before="93"/>
        <w:ind w:left="1400"/>
        <w:rPr>
          <w:rFonts w:ascii="仿宋" w:eastAsia="仿宋"/>
        </w:rPr>
      </w:pPr>
      <w:r>
        <w:rPr>
          <w:rFonts w:hint="eastAsia" w:ascii="仿宋" w:eastAsia="仿宋"/>
        </w:rPr>
        <w:t>乙方必须负责监督和协调，使出版商/数据库服务提供商按行业标准的服务</w:t>
      </w:r>
    </w:p>
    <w:p>
      <w:pPr>
        <w:rPr>
          <w:rFonts w:ascii="仿宋" w:eastAsia="仿宋"/>
        </w:rPr>
        <w:sectPr>
          <w:pgSz w:w="11910" w:h="16840"/>
          <w:pgMar w:top="1420" w:right="880" w:bottom="1160" w:left="880" w:header="0" w:footer="894" w:gutter="0"/>
          <w:cols w:space="720" w:num="1"/>
        </w:sectPr>
      </w:pPr>
    </w:p>
    <w:p>
      <w:pPr>
        <w:pStyle w:val="10"/>
        <w:spacing w:before="41" w:line="312" w:lineRule="auto"/>
        <w:ind w:left="920" w:right="919"/>
        <w:rPr>
          <w:rFonts w:ascii="仿宋" w:eastAsia="仿宋"/>
        </w:rPr>
      </w:pPr>
      <w:r>
        <w:rPr>
          <w:rFonts w:hint="eastAsia" w:ascii="仿宋" w:eastAsia="仿宋"/>
          <w:spacing w:val="-7"/>
        </w:rPr>
        <w:t>质量提供本合同约定的服务产品，服务质量标准包括但不限于如下内容：乙方应</w:t>
      </w:r>
      <w:r>
        <w:rPr>
          <w:rFonts w:hint="eastAsia" w:ascii="仿宋" w:eastAsia="仿宋"/>
          <w:spacing w:val="-5"/>
        </w:rPr>
        <w:t xml:space="preserve">确保该系统数据库能够每周 </w:t>
      </w:r>
      <w:r>
        <w:rPr>
          <w:rFonts w:hint="eastAsia" w:ascii="仿宋" w:eastAsia="仿宋"/>
        </w:rPr>
        <w:t>24（小时）*7（天）不间断的正常使用，如服务出现中断或暂停，则须尽快恢复服务。</w:t>
      </w:r>
    </w:p>
    <w:p>
      <w:pPr>
        <w:pStyle w:val="10"/>
        <w:spacing w:before="121" w:line="312" w:lineRule="auto"/>
        <w:ind w:left="920" w:right="943" w:firstLine="479"/>
        <w:jc w:val="both"/>
        <w:rPr>
          <w:rFonts w:ascii="仿宋" w:eastAsia="仿宋"/>
        </w:rPr>
      </w:pPr>
      <w:r>
        <w:rPr>
          <w:rFonts w:hint="eastAsia" w:ascii="仿宋" w:eastAsia="仿宋"/>
        </w:rPr>
        <w:t>若开通服务后，出版商/数据库服务提供商向甲方提供的服务质量达不到上述标准，则视为乙方违约。</w:t>
      </w:r>
    </w:p>
    <w:p>
      <w:pPr>
        <w:ind w:firstLine="964" w:firstLineChars="400"/>
        <w:rPr>
          <w:b/>
          <w:bCs/>
          <w:sz w:val="24"/>
          <w:szCs w:val="24"/>
        </w:rPr>
      </w:pPr>
      <w:r>
        <w:rPr>
          <w:rFonts w:hint="eastAsia"/>
          <w:b/>
          <w:bCs/>
          <w:sz w:val="24"/>
          <w:szCs w:val="24"/>
        </w:rPr>
        <w:t>第四条 甲方权利与义务</w:t>
      </w:r>
    </w:p>
    <w:p>
      <w:pPr>
        <w:pStyle w:val="10"/>
        <w:spacing w:before="94" w:line="312" w:lineRule="auto"/>
        <w:ind w:left="920" w:right="919" w:firstLine="479"/>
        <w:jc w:val="both"/>
        <w:rPr>
          <w:rFonts w:ascii="仿宋" w:eastAsia="仿宋"/>
        </w:rPr>
      </w:pPr>
      <w:r>
        <w:rPr>
          <w:rFonts w:hint="eastAsia" w:ascii="仿宋" w:eastAsia="仿宋"/>
        </w:rPr>
        <w:t xml:space="preserve">1、合同约定使用期限内，甲方可访问、检索、浏览和查看所订购的产品， </w:t>
      </w:r>
      <w:r>
        <w:rPr>
          <w:rFonts w:hint="eastAsia" w:ascii="仿宋" w:eastAsia="仿宋"/>
          <w:spacing w:val="-9"/>
        </w:rPr>
        <w:t>以使用为目的打印、下载并储存订购产品中合理部分的单个项目。拥有所订购产</w:t>
      </w:r>
      <w:r>
        <w:rPr>
          <w:rFonts w:hint="eastAsia" w:ascii="仿宋" w:eastAsia="仿宋"/>
        </w:rPr>
        <w:t>品在合理范围内的使用权。</w:t>
      </w:r>
    </w:p>
    <w:p>
      <w:pPr>
        <w:pStyle w:val="10"/>
        <w:spacing w:before="1" w:line="312" w:lineRule="auto"/>
        <w:ind w:left="920" w:right="945" w:firstLine="479"/>
        <w:jc w:val="both"/>
        <w:rPr>
          <w:rFonts w:ascii="仿宋" w:eastAsia="仿宋"/>
        </w:rPr>
      </w:pPr>
      <w:r>
        <w:rPr>
          <w:rFonts w:hint="eastAsia" w:ascii="仿宋" w:eastAsia="仿宋"/>
        </w:rPr>
        <w:t>2、甲方无权修改、改编、转换、翻译或创造任何衍生产品，或以其他类似</w:t>
      </w:r>
    </w:p>
    <w:p>
      <w:pPr>
        <w:pStyle w:val="10"/>
        <w:spacing w:before="1" w:line="312" w:lineRule="auto"/>
        <w:ind w:right="945" w:firstLine="960" w:firstLineChars="400"/>
        <w:jc w:val="both"/>
        <w:rPr>
          <w:rFonts w:ascii="仿宋" w:eastAsia="仿宋"/>
        </w:rPr>
      </w:pPr>
      <w:r>
        <w:rPr>
          <w:rFonts w:hint="eastAsia" w:ascii="仿宋" w:eastAsia="仿宋"/>
        </w:rPr>
        <w:t>方式改变产品的整体性、变更其含义，和/或损害其版权或其他专有权利。</w:t>
      </w:r>
    </w:p>
    <w:p>
      <w:pPr>
        <w:pStyle w:val="10"/>
        <w:spacing w:line="312" w:lineRule="auto"/>
        <w:ind w:left="920" w:right="918" w:firstLine="479"/>
        <w:jc w:val="both"/>
        <w:rPr>
          <w:rFonts w:ascii="仿宋" w:eastAsia="仿宋"/>
        </w:rPr>
      </w:pPr>
      <w:r>
        <w:rPr>
          <w:rFonts w:hint="eastAsia" w:ascii="仿宋" w:eastAsia="仿宋"/>
        </w:rPr>
        <w:t>3、甲方遵守知识产权条约，不得从事可能造成任何知识产权无效或与其知</w:t>
      </w:r>
      <w:r>
        <w:rPr>
          <w:rFonts w:hint="eastAsia" w:ascii="仿宋" w:eastAsia="仿宋"/>
          <w:spacing w:val="-9"/>
        </w:rPr>
        <w:t>识产权相抵触的任何行为。出版社保留从产品中撤回任何其不再享有许可权或其</w:t>
      </w:r>
      <w:r>
        <w:rPr>
          <w:rFonts w:hint="eastAsia" w:ascii="仿宋" w:eastAsia="仿宋"/>
        </w:rPr>
        <w:t>有合理依据认定为违法、有害、诽谤、虚假或侵权的内容。</w:t>
      </w:r>
    </w:p>
    <w:p>
      <w:pPr>
        <w:pStyle w:val="10"/>
        <w:spacing w:line="312" w:lineRule="auto"/>
        <w:ind w:left="920" w:right="945" w:firstLine="479"/>
        <w:jc w:val="both"/>
        <w:rPr>
          <w:rFonts w:ascii="仿宋" w:eastAsia="仿宋"/>
        </w:rPr>
      </w:pPr>
      <w:r>
        <w:rPr>
          <w:rFonts w:hint="eastAsia" w:ascii="仿宋" w:eastAsia="仿宋"/>
        </w:rPr>
        <w:t>4、如非因甲方原因导致数据库开通使用时间延后，则使用截止日期相应延后。</w:t>
      </w:r>
    </w:p>
    <w:p>
      <w:pPr>
        <w:pStyle w:val="10"/>
        <w:spacing w:before="3"/>
        <w:ind w:left="1400"/>
        <w:rPr>
          <w:rFonts w:ascii="仿宋" w:eastAsia="仿宋"/>
        </w:rPr>
      </w:pPr>
      <w:r>
        <w:rPr>
          <w:rFonts w:hint="eastAsia" w:ascii="仿宋" w:eastAsia="仿宋"/>
        </w:rPr>
        <w:t>5、甲方应按本合同第二条约定向乙方足额支付合同价款。</w:t>
      </w:r>
    </w:p>
    <w:p>
      <w:pPr>
        <w:pStyle w:val="10"/>
        <w:rPr>
          <w:rFonts w:ascii="仿宋"/>
        </w:rPr>
      </w:pPr>
    </w:p>
    <w:p>
      <w:pPr>
        <w:ind w:firstLine="964" w:firstLineChars="400"/>
        <w:rPr>
          <w:b/>
          <w:bCs/>
          <w:sz w:val="24"/>
          <w:szCs w:val="24"/>
        </w:rPr>
      </w:pPr>
      <w:r>
        <w:rPr>
          <w:rFonts w:hint="eastAsia"/>
          <w:b/>
          <w:bCs/>
          <w:sz w:val="24"/>
          <w:szCs w:val="24"/>
        </w:rPr>
        <w:t>第五条 乙方权利与义务</w:t>
      </w:r>
    </w:p>
    <w:p>
      <w:pPr>
        <w:pStyle w:val="10"/>
        <w:spacing w:before="93" w:line="312" w:lineRule="auto"/>
        <w:ind w:left="920" w:right="919" w:firstLine="479"/>
        <w:jc w:val="both"/>
        <w:rPr>
          <w:rFonts w:ascii="仿宋" w:eastAsia="仿宋"/>
        </w:rPr>
      </w:pPr>
      <w:r>
        <w:rPr>
          <w:rFonts w:hint="eastAsia" w:ascii="仿宋" w:eastAsia="仿宋"/>
        </w:rPr>
        <w:t>1</w:t>
      </w:r>
      <w:r>
        <w:rPr>
          <w:rFonts w:hint="eastAsia" w:ascii="仿宋" w:eastAsia="仿宋"/>
          <w:spacing w:val="-7"/>
        </w:rPr>
        <w:t>、乙方负责对外与出版商</w:t>
      </w:r>
      <w:r>
        <w:rPr>
          <w:rFonts w:hint="eastAsia" w:ascii="仿宋" w:eastAsia="仿宋"/>
        </w:rPr>
        <w:t>/</w:t>
      </w:r>
      <w:r>
        <w:rPr>
          <w:rFonts w:hint="eastAsia" w:ascii="仿宋" w:eastAsia="仿宋"/>
          <w:spacing w:val="-4"/>
        </w:rPr>
        <w:t>数据库服务提供商签订技术与服务合同，并负责</w:t>
      </w:r>
      <w:r>
        <w:rPr>
          <w:rFonts w:hint="eastAsia" w:ascii="仿宋" w:eastAsia="仿宋"/>
        </w:rPr>
        <w:t>本合同数据库产品的服务维护与联系工作。</w:t>
      </w:r>
    </w:p>
    <w:p>
      <w:pPr>
        <w:pStyle w:val="10"/>
        <w:spacing w:line="312" w:lineRule="auto"/>
        <w:ind w:left="920" w:right="917" w:firstLine="479"/>
        <w:jc w:val="both"/>
        <w:rPr>
          <w:rFonts w:ascii="仿宋" w:eastAsia="仿宋"/>
        </w:rPr>
      </w:pPr>
      <w:r>
        <w:rPr>
          <w:rFonts w:hint="eastAsia" w:ascii="仿宋" w:eastAsia="仿宋"/>
        </w:rPr>
        <w:t>2、乙方应及时告知甲方所订购数据库产品和其他服务范围的更新内容，并</w:t>
      </w:r>
      <w:r>
        <w:rPr>
          <w:rFonts w:hint="eastAsia" w:ascii="仿宋" w:eastAsia="仿宋"/>
          <w:spacing w:val="-8"/>
        </w:rPr>
        <w:t>提供必要的材料，协助售后服务事宜。联系日常服务与技术问题，向客户提供合</w:t>
      </w:r>
      <w:r>
        <w:rPr>
          <w:rFonts w:hint="eastAsia" w:ascii="仿宋" w:eastAsia="仿宋"/>
        </w:rPr>
        <w:t>理且必要的技术和服务支持。</w:t>
      </w:r>
    </w:p>
    <w:p>
      <w:pPr>
        <w:pStyle w:val="10"/>
        <w:spacing w:before="1"/>
        <w:ind w:left="1400"/>
      </w:pPr>
      <w:r>
        <w:rPr>
          <w:rFonts w:hint="eastAsia" w:ascii="仿宋" w:eastAsia="仿宋"/>
        </w:rPr>
        <w:t>3、乙方需保护甲方隐私权，不得将甲方信息转移给任何非关联的第三方。</w:t>
      </w:r>
    </w:p>
    <w:p>
      <w:pPr>
        <w:pStyle w:val="10"/>
        <w:spacing w:before="94"/>
        <w:ind w:left="1400"/>
        <w:rPr>
          <w:rFonts w:ascii="仿宋" w:eastAsia="仿宋"/>
        </w:rPr>
      </w:pPr>
      <w:r>
        <w:rPr>
          <w:rFonts w:hint="eastAsia" w:ascii="仿宋" w:eastAsia="仿宋"/>
        </w:rPr>
        <w:t>4、乙方应保证拥有数据库在中国大陆地区的产品代理权。</w:t>
      </w:r>
    </w:p>
    <w:p>
      <w:pPr>
        <w:pStyle w:val="10"/>
        <w:spacing w:before="91" w:line="312" w:lineRule="auto"/>
        <w:ind w:left="920" w:right="919" w:firstLine="479"/>
        <w:jc w:val="both"/>
        <w:rPr>
          <w:rFonts w:ascii="仿宋" w:eastAsia="仿宋"/>
        </w:rPr>
      </w:pPr>
      <w:r>
        <w:rPr>
          <w:rFonts w:hint="eastAsia" w:ascii="仿宋" w:eastAsia="仿宋"/>
        </w:rPr>
        <w:t>5、甲方在使用过程中，因该数据库版权问题引起的纠纷，由乙方负责与数</w:t>
      </w:r>
      <w:r>
        <w:rPr>
          <w:rFonts w:hint="eastAsia" w:ascii="仿宋" w:eastAsia="仿宋"/>
          <w:spacing w:val="-9"/>
        </w:rPr>
        <w:t>据库厂商协商解决，乙方确保所有数据符合国家进口要求。乙方严格按合同规定</w:t>
      </w:r>
      <w:r>
        <w:rPr>
          <w:rFonts w:hint="eastAsia" w:ascii="仿宋" w:eastAsia="仿宋"/>
          <w:spacing w:val="-6"/>
        </w:rPr>
        <w:t>履行向甲方提供数据库的全部责任，确保数据库的连续性和品质，保证提供的数据库未侵犯任何第三方的知识产权或所有权，并不断努力提高服务能力，如因乙方原因造成任何第三方向甲方主张权利的，乙方应自行承担全部责任，并按合同</w:t>
      </w:r>
    </w:p>
    <w:p>
      <w:pPr>
        <w:pStyle w:val="10"/>
        <w:tabs>
          <w:tab w:val="left" w:pos="2480"/>
        </w:tabs>
        <w:spacing w:before="3"/>
        <w:ind w:left="920"/>
        <w:rPr>
          <w:rFonts w:ascii="仿宋" w:eastAsia="仿宋"/>
        </w:rPr>
      </w:pPr>
      <w:r>
        <w:rPr>
          <w:rFonts w:hint="eastAsia" w:ascii="仿宋" w:eastAsia="仿宋"/>
        </w:rPr>
        <w:t>总额的</w:t>
      </w:r>
      <w:r>
        <w:rPr>
          <w:rFonts w:hint="eastAsia" w:ascii="仿宋" w:eastAsia="仿宋"/>
          <w:lang w:val="en-US"/>
        </w:rPr>
        <w:t>20%</w:t>
      </w:r>
      <w:r>
        <w:rPr>
          <w:rFonts w:hint="eastAsia" w:ascii="仿宋" w:eastAsia="仿宋"/>
        </w:rPr>
        <w:t>向甲方支付违约金。</w:t>
      </w:r>
    </w:p>
    <w:p>
      <w:pPr>
        <w:pStyle w:val="10"/>
        <w:numPr>
          <w:ilvl w:val="0"/>
          <w:numId w:val="7"/>
        </w:numPr>
        <w:tabs>
          <w:tab w:val="left" w:pos="5361"/>
        </w:tabs>
        <w:spacing w:before="90"/>
        <w:ind w:left="1400"/>
        <w:rPr>
          <w:rFonts w:ascii="仿宋" w:eastAsia="仿宋"/>
          <w:spacing w:val="-8"/>
        </w:rPr>
      </w:pPr>
      <w:r>
        <w:rPr>
          <w:rFonts w:hint="eastAsia" w:ascii="仿宋" w:eastAsia="仿宋"/>
        </w:rPr>
        <w:t>正式帐户开户后，乙方应在</w:t>
      </w:r>
      <w:r>
        <w:rPr>
          <w:rFonts w:hint="eastAsia" w:ascii="仿宋" w:eastAsia="仿宋"/>
          <w:lang w:val="en-US"/>
        </w:rPr>
        <w:t>15</w:t>
      </w:r>
      <w:r>
        <w:rPr>
          <w:rFonts w:hint="eastAsia" w:ascii="仿宋" w:eastAsia="仿宋"/>
        </w:rPr>
        <w:t>个工作日内向甲方提供相关的使用资</w:t>
      </w:r>
      <w:r>
        <w:rPr>
          <w:rFonts w:hint="eastAsia" w:ascii="仿宋" w:eastAsia="仿宋"/>
          <w:spacing w:val="-8"/>
        </w:rPr>
        <w:t>料并</w:t>
      </w:r>
    </w:p>
    <w:p>
      <w:pPr>
        <w:pStyle w:val="10"/>
        <w:tabs>
          <w:tab w:val="left" w:pos="5361"/>
        </w:tabs>
        <w:spacing w:before="90"/>
        <w:ind w:firstLine="896" w:firstLineChars="400"/>
        <w:rPr>
          <w:rFonts w:ascii="仿宋" w:eastAsia="仿宋"/>
        </w:rPr>
      </w:pPr>
      <w:r>
        <w:rPr>
          <w:rFonts w:hint="eastAsia" w:ascii="仿宋" w:eastAsia="仿宋"/>
          <w:spacing w:val="-8"/>
        </w:rPr>
        <w:t>与甲方协商安排培训。甲方在实际操作过程中如遇到任何问题可以随时向乙</w:t>
      </w:r>
      <w:r>
        <w:rPr>
          <w:rFonts w:hint="eastAsia" w:ascii="仿宋" w:eastAsia="仿宋"/>
        </w:rPr>
        <w:t>方提出</w:t>
      </w:r>
    </w:p>
    <w:p>
      <w:pPr>
        <w:pStyle w:val="10"/>
        <w:tabs>
          <w:tab w:val="left" w:pos="5361"/>
        </w:tabs>
        <w:spacing w:before="90"/>
        <w:ind w:firstLine="960" w:firstLineChars="400"/>
        <w:rPr>
          <w:rFonts w:ascii="仿宋" w:eastAsia="仿宋"/>
        </w:rPr>
      </w:pPr>
      <w:r>
        <w:rPr>
          <w:rFonts w:hint="eastAsia" w:ascii="仿宋" w:eastAsia="仿宋"/>
        </w:rPr>
        <w:t>咨询，乙方将会同数据库厂商给予及时解答。</w:t>
      </w:r>
    </w:p>
    <w:p/>
    <w:p>
      <w:pPr>
        <w:pStyle w:val="10"/>
        <w:numPr>
          <w:ilvl w:val="0"/>
          <w:numId w:val="8"/>
        </w:numPr>
        <w:spacing w:before="14" w:line="242" w:lineRule="auto"/>
        <w:ind w:left="920" w:right="916" w:firstLine="479"/>
        <w:rPr>
          <w:rFonts w:ascii="仿宋"/>
        </w:rPr>
      </w:pPr>
      <w:r>
        <w:rPr>
          <w:rFonts w:hint="eastAsia" w:ascii="仿宋" w:eastAsia="仿宋"/>
          <w:spacing w:val="-8"/>
        </w:rPr>
        <w:t>乙方中断甲方正常使用数据库时，需提前</w:t>
      </w:r>
      <w:r>
        <w:rPr>
          <w:rFonts w:hint="eastAsia" w:ascii="仿宋" w:eastAsia="仿宋"/>
          <w:spacing w:val="-8"/>
          <w:lang w:val="en-US"/>
        </w:rPr>
        <w:t xml:space="preserve"> </w:t>
      </w:r>
      <w:r>
        <w:rPr>
          <w:rFonts w:hint="eastAsia" w:ascii="仿宋" w:eastAsia="仿宋"/>
        </w:rPr>
        <w:t>3</w:t>
      </w:r>
      <w:r>
        <w:rPr>
          <w:rFonts w:hint="eastAsia" w:ascii="仿宋" w:eastAsia="仿宋"/>
          <w:spacing w:val="-6"/>
        </w:rPr>
        <w:t xml:space="preserve"> 天告知甲方；非因乙方原因</w:t>
      </w:r>
      <w:r>
        <w:rPr>
          <w:rFonts w:hint="eastAsia" w:ascii="仿宋" w:eastAsia="仿宋"/>
        </w:rPr>
        <w:t>中断甲方正常使用数据库，乙方应在知道后的第一时间告知甲方。</w:t>
      </w:r>
    </w:p>
    <w:p>
      <w:pPr>
        <w:pStyle w:val="10"/>
        <w:spacing w:before="11"/>
        <w:rPr>
          <w:rFonts w:ascii="仿宋"/>
          <w:sz w:val="22"/>
        </w:rPr>
      </w:pPr>
    </w:p>
    <w:p>
      <w:pPr>
        <w:ind w:firstLine="964" w:firstLineChars="400"/>
        <w:rPr>
          <w:b/>
          <w:bCs/>
          <w:sz w:val="24"/>
          <w:szCs w:val="24"/>
        </w:rPr>
      </w:pPr>
      <w:r>
        <w:rPr>
          <w:rFonts w:hint="eastAsia"/>
          <w:b/>
          <w:bCs/>
          <w:sz w:val="24"/>
          <w:szCs w:val="24"/>
        </w:rPr>
        <w:t>第六条 不可抗力</w:t>
      </w:r>
    </w:p>
    <w:p>
      <w:pPr>
        <w:pStyle w:val="10"/>
        <w:spacing w:before="93" w:line="312" w:lineRule="auto"/>
        <w:ind w:left="920" w:right="919" w:firstLine="479"/>
        <w:jc w:val="both"/>
        <w:rPr>
          <w:rFonts w:ascii="仿宋" w:hAnsi="仿宋" w:eastAsia="仿宋"/>
        </w:rPr>
      </w:pPr>
      <w:r>
        <w:rPr>
          <w:rFonts w:hint="eastAsia" w:ascii="仿宋" w:hAnsi="仿宋" w:eastAsia="仿宋"/>
          <w:spacing w:val="-10"/>
        </w:rPr>
        <w:t>“不可抗力”是指本协议任何一方不能合理控制、不可预见或即使预见亦无</w:t>
      </w:r>
      <w:r>
        <w:rPr>
          <w:rFonts w:hint="eastAsia" w:ascii="仿宋" w:hAnsi="仿宋" w:eastAsia="仿宋"/>
          <w:spacing w:val="-12"/>
        </w:rPr>
        <w:t>法避免的事件，该事件妨碍、影响或延误任何一方根据本协议履行其全部或部分</w:t>
      </w:r>
      <w:r>
        <w:rPr>
          <w:rFonts w:hint="eastAsia" w:ascii="仿宋" w:hAnsi="仿宋" w:eastAsia="仿宋"/>
        </w:rPr>
        <w:t>义务。</w:t>
      </w:r>
    </w:p>
    <w:p>
      <w:pPr>
        <w:pStyle w:val="10"/>
        <w:spacing w:before="1" w:line="312" w:lineRule="auto"/>
        <w:ind w:left="920" w:right="919" w:firstLine="479"/>
        <w:jc w:val="both"/>
        <w:rPr>
          <w:rFonts w:ascii="仿宋" w:eastAsia="仿宋"/>
        </w:rPr>
      </w:pPr>
      <w:r>
        <w:rPr>
          <w:rFonts w:hint="eastAsia" w:ascii="仿宋" w:eastAsia="仿宋"/>
          <w:spacing w:val="-8"/>
        </w:rPr>
        <w:t>如发生不可抗力事件，双方应根据实际情况协商决定是否部分履行、延期履行或终止履行本协议。在乙方部分履行及未届期满终止履行的情形下，乙方应退</w:t>
      </w:r>
      <w:r>
        <w:rPr>
          <w:rFonts w:hint="eastAsia" w:ascii="仿宋" w:eastAsia="仿宋"/>
        </w:rPr>
        <w:t>还未履行部分的服务费。</w:t>
      </w:r>
    </w:p>
    <w:p>
      <w:pPr>
        <w:pStyle w:val="10"/>
        <w:spacing w:before="5"/>
        <w:rPr>
          <w:rFonts w:ascii="仿宋"/>
          <w:sz w:val="31"/>
        </w:rPr>
      </w:pPr>
    </w:p>
    <w:p>
      <w:pPr>
        <w:ind w:firstLine="964" w:firstLineChars="400"/>
        <w:rPr>
          <w:b/>
          <w:bCs/>
          <w:sz w:val="24"/>
          <w:szCs w:val="24"/>
        </w:rPr>
      </w:pPr>
      <w:r>
        <w:rPr>
          <w:rFonts w:hint="eastAsia"/>
          <w:b/>
          <w:bCs/>
          <w:sz w:val="24"/>
          <w:szCs w:val="24"/>
        </w:rPr>
        <w:t>第七条 违约责任</w:t>
      </w:r>
    </w:p>
    <w:p>
      <w:pPr>
        <w:pStyle w:val="10"/>
        <w:spacing w:before="91" w:line="312" w:lineRule="auto"/>
        <w:ind w:left="920" w:right="943" w:firstLine="479"/>
        <w:rPr>
          <w:rFonts w:ascii="仿宋" w:eastAsia="仿宋"/>
        </w:rPr>
      </w:pPr>
      <w:r>
        <w:rPr>
          <w:rFonts w:hint="eastAsia" w:ascii="仿宋" w:eastAsia="仿宋"/>
        </w:rPr>
        <w:t>1、除非双方另有书面约定，若甲方违反本协议第二条，应承担违约责任， 但不得超过合同总额的 5%。</w:t>
      </w:r>
    </w:p>
    <w:p>
      <w:pPr>
        <w:pStyle w:val="10"/>
        <w:tabs>
          <w:tab w:val="left" w:pos="6441"/>
          <w:tab w:val="left" w:pos="7281"/>
        </w:tabs>
        <w:spacing w:before="122" w:line="312" w:lineRule="auto"/>
        <w:ind w:left="920" w:right="945" w:firstLine="479"/>
        <w:rPr>
          <w:rFonts w:ascii="仿宋" w:hAnsi="仿宋" w:eastAsia="仿宋"/>
        </w:rPr>
      </w:pPr>
      <w:r>
        <w:rPr>
          <w:rFonts w:hint="eastAsia" w:ascii="仿宋" w:hAnsi="仿宋" w:eastAsia="仿宋"/>
        </w:rPr>
        <w:t>2、乙方应确保甲方按合同第一条约定期限正常使用数据库产品服务，如</w:t>
      </w:r>
      <w:r>
        <w:rPr>
          <w:rFonts w:hint="eastAsia" w:ascii="仿宋" w:hAnsi="仿宋" w:eastAsia="仿宋"/>
          <w:spacing w:val="-18"/>
        </w:rPr>
        <w:t>因</w:t>
      </w:r>
      <w:r>
        <w:rPr>
          <w:rFonts w:hint="eastAsia" w:ascii="仿宋" w:hAnsi="仿宋" w:eastAsia="仿宋"/>
        </w:rPr>
        <w:t>乙方原因导致出版商/数据库服务提供商未开通或试用期间中止甲方使用权限</w:t>
      </w:r>
    </w:p>
    <w:p>
      <w:pPr>
        <w:pStyle w:val="10"/>
        <w:tabs>
          <w:tab w:val="left" w:pos="6441"/>
          <w:tab w:val="left" w:pos="7281"/>
        </w:tabs>
        <w:spacing w:before="122" w:line="312" w:lineRule="auto"/>
        <w:ind w:right="945" w:firstLine="960" w:firstLineChars="400"/>
        <w:rPr>
          <w:rFonts w:ascii="仿宋" w:hAnsi="仿宋" w:eastAsia="仿宋"/>
        </w:rPr>
      </w:pPr>
      <w:r>
        <w:rPr>
          <w:rFonts w:hint="eastAsia" w:ascii="仿宋" w:hAnsi="仿宋" w:eastAsia="仿宋"/>
        </w:rPr>
        <w:t xml:space="preserve"> 时，自使用权中止之日起，乙方应每日按总金额的</w:t>
      </w:r>
      <w:r>
        <w:rPr>
          <w:rFonts w:hint="eastAsia" w:ascii="仿宋" w:hAnsi="仿宋" w:eastAsia="仿宋"/>
        </w:rPr>
        <w:tab/>
      </w:r>
      <w:r>
        <w:rPr>
          <w:rFonts w:hint="eastAsia" w:ascii="仿宋" w:hAnsi="仿宋" w:eastAsia="仿宋"/>
        </w:rPr>
        <w:t>0.5‰</w:t>
      </w:r>
      <w:r>
        <w:rPr>
          <w:rFonts w:hint="eastAsia" w:ascii="仿宋" w:hAnsi="仿宋" w:eastAsia="仿宋"/>
        </w:rPr>
        <w:tab/>
      </w:r>
      <w:r>
        <w:rPr>
          <w:rFonts w:hint="eastAsia" w:ascii="仿宋" w:hAnsi="仿宋" w:eastAsia="仿宋"/>
        </w:rPr>
        <w:t>承担违约责任。</w:t>
      </w:r>
    </w:p>
    <w:p>
      <w:pPr>
        <w:pStyle w:val="10"/>
        <w:spacing w:before="121" w:line="312" w:lineRule="auto"/>
        <w:ind w:left="920" w:right="883" w:firstLine="479"/>
        <w:jc w:val="both"/>
        <w:rPr>
          <w:rFonts w:ascii="仿宋" w:hAnsi="仿宋" w:eastAsia="仿宋"/>
          <w:spacing w:val="-2"/>
        </w:rPr>
      </w:pPr>
      <w:r>
        <w:rPr>
          <w:rFonts w:hint="eastAsia" w:ascii="仿宋" w:hAnsi="仿宋" w:eastAsia="仿宋"/>
        </w:rPr>
        <w:t>3</w:t>
      </w:r>
      <w:r>
        <w:rPr>
          <w:rFonts w:hint="eastAsia" w:ascii="仿宋" w:hAnsi="仿宋" w:eastAsia="仿宋"/>
          <w:spacing w:val="-4"/>
        </w:rPr>
        <w:t xml:space="preserve">、乙方应确保该系统数据库能够 </w:t>
      </w:r>
      <w:r>
        <w:rPr>
          <w:rFonts w:hint="eastAsia" w:ascii="仿宋" w:hAnsi="仿宋" w:eastAsia="仿宋"/>
        </w:rPr>
        <w:t>24（小时）*7（天）</w:t>
      </w:r>
      <w:r>
        <w:rPr>
          <w:rFonts w:hint="eastAsia" w:ascii="仿宋" w:hAnsi="仿宋" w:eastAsia="仿宋"/>
          <w:spacing w:val="-2"/>
        </w:rPr>
        <w:t xml:space="preserve">不间断的正常使用， </w:t>
      </w:r>
    </w:p>
    <w:p>
      <w:pPr>
        <w:pStyle w:val="10"/>
        <w:spacing w:before="121" w:line="312" w:lineRule="auto"/>
        <w:ind w:left="959" w:leftChars="436" w:right="883"/>
        <w:jc w:val="both"/>
        <w:rPr>
          <w:rFonts w:ascii="仿宋" w:hAnsi="仿宋" w:eastAsia="仿宋"/>
        </w:rPr>
      </w:pPr>
      <w:r>
        <w:rPr>
          <w:rFonts w:hint="eastAsia" w:ascii="仿宋" w:hAnsi="仿宋" w:eastAsia="仿宋"/>
          <w:spacing w:val="-6"/>
        </w:rPr>
        <w:t>如服务出现中断或暂停，应在日内恢复正常服务，逾期未恢复的，按日承担合同</w:t>
      </w:r>
      <w:r>
        <w:rPr>
          <w:rFonts w:hint="eastAsia" w:ascii="仿宋" w:hAnsi="仿宋" w:eastAsia="仿宋"/>
          <w:spacing w:val="-25"/>
        </w:rPr>
        <w:t xml:space="preserve">总额 </w:t>
      </w:r>
      <w:r>
        <w:rPr>
          <w:rFonts w:hint="eastAsia" w:ascii="仿宋" w:hAnsi="仿宋" w:eastAsia="仿宋"/>
        </w:rPr>
        <w:t>0.5‰</w:t>
      </w:r>
      <w:r>
        <w:rPr>
          <w:rFonts w:hint="eastAsia" w:ascii="仿宋" w:hAnsi="仿宋" w:eastAsia="仿宋"/>
          <w:spacing w:val="-5"/>
        </w:rPr>
        <w:t>的违约金；逾期</w:t>
      </w:r>
      <w:r>
        <w:rPr>
          <w:rFonts w:hint="eastAsia" w:ascii="仿宋" w:hAnsi="仿宋" w:eastAsia="仿宋"/>
          <w:spacing w:val="-5"/>
          <w:lang w:val="en-US"/>
        </w:rPr>
        <w:t xml:space="preserve">  </w:t>
      </w:r>
      <w:r>
        <w:rPr>
          <w:rFonts w:hint="eastAsia" w:ascii="仿宋" w:hAnsi="仿宋" w:eastAsia="仿宋"/>
          <w:spacing w:val="-5"/>
        </w:rPr>
        <w:t>天仍未恢复数据库正常使用的，甲方有权单方解除合</w:t>
      </w:r>
      <w:r>
        <w:rPr>
          <w:rFonts w:hint="eastAsia" w:ascii="仿宋" w:hAnsi="仿宋" w:eastAsia="仿宋"/>
          <w:spacing w:val="-8"/>
        </w:rPr>
        <w:t xml:space="preserve">同，乙方应退还已收取的款项，并向甲方承担合同总额 </w:t>
      </w:r>
      <w:r>
        <w:rPr>
          <w:rFonts w:hint="eastAsia" w:ascii="仿宋" w:hAnsi="仿宋" w:eastAsia="仿宋"/>
        </w:rPr>
        <w:t>20%</w:t>
      </w:r>
      <w:r>
        <w:rPr>
          <w:rFonts w:hint="eastAsia" w:ascii="仿宋" w:hAnsi="仿宋" w:eastAsia="仿宋"/>
          <w:spacing w:val="-3"/>
        </w:rPr>
        <w:t>的违约金。造成甲方</w:t>
      </w:r>
      <w:r>
        <w:rPr>
          <w:rFonts w:hint="eastAsia" w:ascii="仿宋" w:hAnsi="仿宋" w:eastAsia="仿宋"/>
          <w:spacing w:val="-10"/>
        </w:rPr>
        <w:t>损失的，应当赔偿，该损失包括但不限于因此而产生的诉讼费、律师费等相关费用。</w:t>
      </w:r>
    </w:p>
    <w:p>
      <w:pPr>
        <w:pStyle w:val="10"/>
        <w:spacing w:before="3"/>
        <w:rPr>
          <w:rFonts w:ascii="仿宋"/>
          <w:sz w:val="31"/>
        </w:rPr>
      </w:pPr>
    </w:p>
    <w:p>
      <w:pPr>
        <w:ind w:firstLine="964" w:firstLineChars="400"/>
        <w:rPr>
          <w:b/>
          <w:bCs/>
          <w:sz w:val="24"/>
          <w:szCs w:val="24"/>
        </w:rPr>
      </w:pPr>
      <w:r>
        <w:rPr>
          <w:rFonts w:hint="eastAsia"/>
          <w:b/>
          <w:bCs/>
          <w:sz w:val="24"/>
          <w:szCs w:val="24"/>
        </w:rPr>
        <w:t>第八条 争议解决</w:t>
      </w:r>
    </w:p>
    <w:p>
      <w:pPr>
        <w:pStyle w:val="10"/>
        <w:spacing w:before="93" w:line="312" w:lineRule="auto"/>
        <w:ind w:left="920" w:right="917" w:firstLine="479"/>
        <w:rPr>
          <w:rFonts w:ascii="仿宋" w:eastAsia="仿宋"/>
        </w:rPr>
      </w:pPr>
      <w:r>
        <w:rPr>
          <w:rFonts w:hint="eastAsia" w:ascii="仿宋" w:eastAsia="仿宋"/>
          <w:spacing w:val="-6"/>
        </w:rPr>
        <w:t>本协议受中华人民共和国法律保护，如有分歧，应先通过友好协商解决。如</w:t>
      </w:r>
      <w:r>
        <w:rPr>
          <w:rFonts w:hint="eastAsia" w:ascii="仿宋" w:eastAsia="仿宋"/>
        </w:rPr>
        <w:t>协商不成，则提交甲方所在地人民法院起诉。</w:t>
      </w:r>
    </w:p>
    <w:p>
      <w:pPr>
        <w:pStyle w:val="10"/>
        <w:spacing w:before="3"/>
        <w:rPr>
          <w:rFonts w:ascii="仿宋"/>
          <w:sz w:val="31"/>
        </w:rPr>
      </w:pPr>
    </w:p>
    <w:p>
      <w:pPr>
        <w:ind w:firstLine="964" w:firstLineChars="400"/>
        <w:rPr>
          <w:b/>
          <w:bCs/>
          <w:sz w:val="24"/>
          <w:szCs w:val="24"/>
        </w:rPr>
      </w:pPr>
      <w:r>
        <w:rPr>
          <w:rFonts w:hint="eastAsia"/>
          <w:b/>
          <w:bCs/>
          <w:sz w:val="24"/>
          <w:szCs w:val="24"/>
        </w:rPr>
        <w:t>第九条 附则</w:t>
      </w:r>
    </w:p>
    <w:p>
      <w:pPr>
        <w:pStyle w:val="10"/>
        <w:spacing w:before="93"/>
        <w:ind w:left="1400"/>
        <w:rPr>
          <w:rFonts w:ascii="仿宋" w:eastAsia="仿宋"/>
        </w:rPr>
      </w:pPr>
      <w:r>
        <w:rPr>
          <w:rFonts w:hint="eastAsia" w:ascii="仿宋" w:eastAsia="仿宋"/>
        </w:rPr>
        <w:t>1、本合同未尽事宜，或本合同变更，由双方协商并以书面方式加以确定。</w:t>
      </w:r>
    </w:p>
    <w:p>
      <w:pPr>
        <w:pStyle w:val="10"/>
        <w:spacing w:before="91"/>
        <w:ind w:left="1400"/>
      </w:pPr>
      <w:r>
        <w:rPr>
          <w:rFonts w:hint="eastAsia" w:ascii="仿宋" w:eastAsia="仿宋"/>
        </w:rPr>
        <w:t>2、本合同自甲、乙双方法定代表人或授权代表签字、盖章之日起生效。</w:t>
      </w:r>
    </w:p>
    <w:p>
      <w:pPr>
        <w:pStyle w:val="10"/>
        <w:spacing w:before="94"/>
        <w:ind w:left="1400"/>
        <w:rPr>
          <w:rFonts w:ascii="仿宋" w:eastAsia="仿宋"/>
        </w:rPr>
      </w:pPr>
      <w:r>
        <w:rPr>
          <w:rFonts w:hint="eastAsia" w:ascii="仿宋" w:eastAsia="仿宋"/>
        </w:rPr>
        <w:t>3、本合同一式</w:t>
      </w:r>
      <w:r>
        <w:rPr>
          <w:rFonts w:hint="eastAsia" w:ascii="仿宋" w:eastAsia="仿宋"/>
          <w:lang w:val="en-US"/>
        </w:rPr>
        <w:t xml:space="preserve"> </w:t>
      </w:r>
      <w:r>
        <w:rPr>
          <w:rFonts w:hint="eastAsia" w:ascii="仿宋" w:eastAsia="仿宋"/>
        </w:rPr>
        <w:t>份，甲方执</w:t>
      </w:r>
      <w:r>
        <w:rPr>
          <w:rFonts w:hint="eastAsia" w:ascii="仿宋" w:eastAsia="仿宋"/>
          <w:u w:val="single"/>
          <w:lang w:val="en-US"/>
        </w:rPr>
        <w:t xml:space="preserve">   </w:t>
      </w:r>
      <w:r>
        <w:rPr>
          <w:rFonts w:hint="eastAsia" w:ascii="仿宋" w:eastAsia="仿宋"/>
        </w:rPr>
        <w:t>份，乙方执</w:t>
      </w:r>
      <w:r>
        <w:rPr>
          <w:rFonts w:hint="eastAsia" w:ascii="仿宋" w:eastAsia="仿宋"/>
          <w:u w:val="single"/>
          <w:lang w:val="en-US"/>
        </w:rPr>
        <w:t xml:space="preserve">    </w:t>
      </w:r>
      <w:r>
        <w:rPr>
          <w:rFonts w:hint="eastAsia" w:ascii="仿宋" w:eastAsia="仿宋"/>
        </w:rPr>
        <w:t>份，具有同等法律效力。</w:t>
      </w:r>
    </w:p>
    <w:p>
      <w:pPr>
        <w:pStyle w:val="10"/>
        <w:spacing w:before="93"/>
        <w:ind w:left="1400"/>
        <w:rPr>
          <w:rFonts w:ascii="仿宋" w:eastAsia="仿宋"/>
        </w:rPr>
      </w:pPr>
      <w:r>
        <w:rPr>
          <w:rFonts w:hint="eastAsia" w:ascii="仿宋" w:eastAsia="仿宋"/>
        </w:rPr>
        <w:t>4、本合同载明的双方地址、电话等信息，系双方有效联系方式，如发生变</w:t>
      </w:r>
    </w:p>
    <w:p>
      <w:pPr>
        <w:rPr>
          <w:rFonts w:ascii="仿宋" w:eastAsia="仿宋"/>
        </w:rPr>
        <w:sectPr>
          <w:pgSz w:w="11910" w:h="16840"/>
          <w:pgMar w:top="1460" w:right="880" w:bottom="1160" w:left="880" w:header="0" w:footer="894" w:gutter="0"/>
          <w:cols w:space="720" w:num="1"/>
        </w:sectPr>
      </w:pPr>
    </w:p>
    <w:p>
      <w:pPr>
        <w:pStyle w:val="10"/>
        <w:spacing w:before="41"/>
        <w:ind w:left="920"/>
        <w:rPr>
          <w:rFonts w:ascii="仿宋" w:eastAsia="仿宋"/>
        </w:rPr>
      </w:pPr>
      <w:r>
        <w:rPr>
          <w:rFonts w:hint="eastAsia" w:ascii="仿宋" w:eastAsia="仿宋"/>
        </w:rPr>
        <w:t>更，应提前书面通知另一方，否则依该联系方式送达相关文书的，视为送达成功。</w:t>
      </w:r>
    </w:p>
    <w:p>
      <w:pPr>
        <w:pStyle w:val="10"/>
        <w:spacing w:before="10"/>
        <w:rPr>
          <w:rFonts w:ascii="仿宋"/>
          <w:sz w:val="34"/>
        </w:rPr>
      </w:pPr>
    </w:p>
    <w:p>
      <w:pPr>
        <w:pStyle w:val="10"/>
        <w:ind w:left="1400"/>
        <w:rPr>
          <w:rFonts w:ascii="仿宋" w:eastAsia="仿宋"/>
        </w:rPr>
      </w:pPr>
      <w:r>
        <w:rPr>
          <w:rFonts w:hint="eastAsia" w:ascii="仿宋" w:eastAsia="仿宋"/>
        </w:rPr>
        <w:t>本协议附件如下：</w:t>
      </w:r>
    </w:p>
    <w:p>
      <w:pPr>
        <w:pStyle w:val="10"/>
        <w:spacing w:before="125"/>
        <w:ind w:left="1400"/>
        <w:rPr>
          <w:rFonts w:ascii="仿宋" w:eastAsia="仿宋"/>
        </w:rPr>
      </w:pPr>
      <w:r>
        <w:rPr>
          <w:rFonts w:hint="eastAsia" w:ascii="仿宋" w:eastAsia="仿宋"/>
        </w:rPr>
        <w:t>附件一：数据库产品清单；</w:t>
      </w:r>
    </w:p>
    <w:p>
      <w:pPr>
        <w:pStyle w:val="10"/>
        <w:spacing w:before="4" w:line="580" w:lineRule="auto"/>
        <w:ind w:left="1340" w:right="3103" w:firstLine="60"/>
        <w:rPr>
          <w:rFonts w:ascii="仿宋" w:eastAsia="仿宋"/>
        </w:rPr>
      </w:pPr>
      <w:r>
        <w:rPr>
          <w:rFonts w:hint="eastAsia" w:ascii="仿宋" w:eastAsia="仿宋"/>
        </w:rPr>
        <w:t>附件二：环境资料信息（</w:t>
      </w:r>
      <w:r>
        <w:rPr>
          <w:rFonts w:hint="eastAsia" w:ascii="仿宋" w:eastAsia="仿宋"/>
          <w:spacing w:val="-15"/>
        </w:rPr>
        <w:t xml:space="preserve">使用方 </w:t>
      </w:r>
      <w:r>
        <w:rPr>
          <w:rFonts w:hint="eastAsia" w:ascii="仿宋" w:eastAsia="仿宋"/>
        </w:rPr>
        <w:t>IP</w:t>
      </w:r>
      <w:r>
        <w:rPr>
          <w:rFonts w:hint="eastAsia" w:ascii="仿宋" w:eastAsia="仿宋"/>
          <w:spacing w:val="-9"/>
        </w:rPr>
        <w:t xml:space="preserve"> 地址范围确认）； </w:t>
      </w:r>
      <w:r>
        <w:rPr>
          <w:rFonts w:hint="eastAsia" w:ascii="仿宋" w:eastAsia="仿宋"/>
        </w:rPr>
        <w:t>以下无正文</w:t>
      </w:r>
    </w:p>
    <w:tbl>
      <w:tblPr>
        <w:tblStyle w:val="14"/>
        <w:tblpPr w:leftFromText="180" w:rightFromText="180" w:vertAnchor="text" w:horzAnchor="page" w:tblpX="1725" w:tblpY="285"/>
        <w:tblOverlap w:val="never"/>
        <w:tblW w:w="0" w:type="auto"/>
        <w:tblInd w:w="0" w:type="dxa"/>
        <w:tblLayout w:type="fixed"/>
        <w:tblCellMar>
          <w:top w:w="0" w:type="dxa"/>
          <w:left w:w="0" w:type="dxa"/>
          <w:bottom w:w="0" w:type="dxa"/>
          <w:right w:w="0" w:type="dxa"/>
        </w:tblCellMar>
      </w:tblPr>
      <w:tblGrid>
        <w:gridCol w:w="3809"/>
        <w:gridCol w:w="3809"/>
      </w:tblGrid>
      <w:tr>
        <w:tblPrEx>
          <w:tblCellMar>
            <w:top w:w="0" w:type="dxa"/>
            <w:left w:w="0" w:type="dxa"/>
            <w:bottom w:w="0" w:type="dxa"/>
            <w:right w:w="0" w:type="dxa"/>
          </w:tblCellMar>
        </w:tblPrEx>
        <w:trPr>
          <w:trHeight w:val="394" w:hRule="atLeast"/>
        </w:trPr>
        <w:tc>
          <w:tcPr>
            <w:tcW w:w="3809" w:type="dxa"/>
          </w:tcPr>
          <w:p>
            <w:pPr>
              <w:pStyle w:val="22"/>
              <w:spacing w:line="274" w:lineRule="exact"/>
              <w:ind w:left="200"/>
              <w:rPr>
                <w:rFonts w:ascii="仿宋" w:eastAsia="仿宋"/>
                <w:sz w:val="24"/>
              </w:rPr>
            </w:pPr>
            <w:r>
              <w:rPr>
                <w:rFonts w:hint="eastAsia" w:ascii="仿宋" w:eastAsia="仿宋"/>
                <w:sz w:val="24"/>
              </w:rPr>
              <w:t>甲方（盖章）:</w:t>
            </w:r>
          </w:p>
        </w:tc>
        <w:tc>
          <w:tcPr>
            <w:tcW w:w="3809" w:type="dxa"/>
          </w:tcPr>
          <w:p>
            <w:pPr>
              <w:pStyle w:val="22"/>
              <w:spacing w:line="274" w:lineRule="exact"/>
              <w:ind w:left="1088"/>
              <w:rPr>
                <w:rFonts w:ascii="仿宋" w:eastAsia="仿宋"/>
                <w:sz w:val="24"/>
              </w:rPr>
            </w:pPr>
            <w:r>
              <w:rPr>
                <w:rFonts w:hint="eastAsia" w:ascii="仿宋" w:eastAsia="仿宋"/>
                <w:sz w:val="24"/>
              </w:rPr>
              <w:t>乙方（盖章）:</w:t>
            </w:r>
          </w:p>
        </w:tc>
      </w:tr>
      <w:tr>
        <w:tblPrEx>
          <w:tblCellMar>
            <w:top w:w="0" w:type="dxa"/>
            <w:left w:w="0" w:type="dxa"/>
            <w:bottom w:w="0" w:type="dxa"/>
            <w:right w:w="0" w:type="dxa"/>
          </w:tblCellMar>
        </w:tblPrEx>
        <w:trPr>
          <w:trHeight w:val="574" w:hRule="atLeast"/>
        </w:trPr>
        <w:tc>
          <w:tcPr>
            <w:tcW w:w="3809" w:type="dxa"/>
          </w:tcPr>
          <w:p>
            <w:pPr>
              <w:pStyle w:val="22"/>
              <w:spacing w:before="121"/>
              <w:ind w:left="200"/>
              <w:rPr>
                <w:rFonts w:ascii="仿宋" w:eastAsia="仿宋"/>
                <w:sz w:val="24"/>
              </w:rPr>
            </w:pPr>
            <w:r>
              <w:rPr>
                <w:rFonts w:hint="eastAsia" w:ascii="仿宋" w:eastAsia="仿宋"/>
                <w:sz w:val="24"/>
              </w:rPr>
              <w:t>法人代表/委托代理人：</w:t>
            </w:r>
          </w:p>
        </w:tc>
        <w:tc>
          <w:tcPr>
            <w:tcW w:w="3809" w:type="dxa"/>
          </w:tcPr>
          <w:p>
            <w:pPr>
              <w:pStyle w:val="22"/>
              <w:spacing w:before="121"/>
              <w:ind w:left="1088"/>
              <w:rPr>
                <w:rFonts w:ascii="仿宋" w:eastAsia="仿宋"/>
                <w:sz w:val="24"/>
              </w:rPr>
            </w:pPr>
            <w:r>
              <w:rPr>
                <w:rFonts w:hint="eastAsia" w:ascii="仿宋" w:eastAsia="仿宋"/>
                <w:sz w:val="24"/>
              </w:rPr>
              <w:t>法人代表/委托代理人：</w:t>
            </w:r>
          </w:p>
        </w:tc>
      </w:tr>
      <w:tr>
        <w:tblPrEx>
          <w:tblCellMar>
            <w:top w:w="0" w:type="dxa"/>
            <w:left w:w="0" w:type="dxa"/>
            <w:bottom w:w="0" w:type="dxa"/>
            <w:right w:w="0" w:type="dxa"/>
          </w:tblCellMar>
        </w:tblPrEx>
        <w:trPr>
          <w:trHeight w:val="574" w:hRule="atLeast"/>
        </w:trPr>
        <w:tc>
          <w:tcPr>
            <w:tcW w:w="3809" w:type="dxa"/>
          </w:tcPr>
          <w:p>
            <w:pPr>
              <w:pStyle w:val="22"/>
              <w:spacing w:before="146"/>
              <w:ind w:left="200"/>
              <w:rPr>
                <w:rFonts w:ascii="仿宋" w:eastAsia="仿宋"/>
                <w:sz w:val="24"/>
              </w:rPr>
            </w:pPr>
            <w:r>
              <w:rPr>
                <w:rFonts w:hint="eastAsia" w:ascii="仿宋" w:eastAsia="仿宋"/>
                <w:sz w:val="24"/>
              </w:rPr>
              <w:t>通讯地址:</w:t>
            </w:r>
          </w:p>
        </w:tc>
        <w:tc>
          <w:tcPr>
            <w:tcW w:w="3809" w:type="dxa"/>
          </w:tcPr>
          <w:p>
            <w:pPr>
              <w:pStyle w:val="22"/>
              <w:spacing w:before="146"/>
              <w:ind w:left="1088"/>
              <w:rPr>
                <w:rFonts w:ascii="仿宋" w:eastAsia="仿宋"/>
                <w:sz w:val="24"/>
              </w:rPr>
            </w:pPr>
            <w:r>
              <w:rPr>
                <w:rFonts w:hint="eastAsia" w:ascii="仿宋" w:eastAsia="仿宋"/>
                <w:sz w:val="24"/>
              </w:rPr>
              <w:t>通讯地址:</w:t>
            </w:r>
          </w:p>
        </w:tc>
      </w:tr>
      <w:tr>
        <w:tblPrEx>
          <w:tblCellMar>
            <w:top w:w="0" w:type="dxa"/>
            <w:left w:w="0" w:type="dxa"/>
            <w:bottom w:w="0" w:type="dxa"/>
            <w:right w:w="0" w:type="dxa"/>
          </w:tblCellMar>
        </w:tblPrEx>
        <w:trPr>
          <w:trHeight w:val="544" w:hRule="atLeast"/>
        </w:trPr>
        <w:tc>
          <w:tcPr>
            <w:tcW w:w="3809" w:type="dxa"/>
          </w:tcPr>
          <w:p>
            <w:pPr>
              <w:pStyle w:val="22"/>
              <w:spacing w:before="121"/>
              <w:ind w:left="200"/>
              <w:rPr>
                <w:rFonts w:ascii="仿宋" w:eastAsia="仿宋"/>
                <w:sz w:val="24"/>
              </w:rPr>
            </w:pPr>
            <w:r>
              <w:rPr>
                <w:rFonts w:hint="eastAsia" w:ascii="仿宋" w:eastAsia="仿宋"/>
                <w:sz w:val="24"/>
              </w:rPr>
              <w:t>联 系 人:</w:t>
            </w:r>
          </w:p>
        </w:tc>
        <w:tc>
          <w:tcPr>
            <w:tcW w:w="3809" w:type="dxa"/>
          </w:tcPr>
          <w:p>
            <w:pPr>
              <w:pStyle w:val="22"/>
              <w:spacing w:before="121"/>
              <w:ind w:left="1088"/>
              <w:rPr>
                <w:rFonts w:ascii="仿宋" w:eastAsia="仿宋"/>
                <w:sz w:val="24"/>
              </w:rPr>
            </w:pPr>
            <w:r>
              <w:rPr>
                <w:rFonts w:hint="eastAsia" w:ascii="仿宋" w:eastAsia="仿宋"/>
                <w:sz w:val="24"/>
              </w:rPr>
              <w:t>联 系 人:</w:t>
            </w:r>
          </w:p>
        </w:tc>
      </w:tr>
      <w:tr>
        <w:tblPrEx>
          <w:tblCellMar>
            <w:top w:w="0" w:type="dxa"/>
            <w:left w:w="0" w:type="dxa"/>
            <w:bottom w:w="0" w:type="dxa"/>
            <w:right w:w="0" w:type="dxa"/>
          </w:tblCellMar>
        </w:tblPrEx>
        <w:trPr>
          <w:trHeight w:val="560" w:hRule="atLeast"/>
        </w:trPr>
        <w:tc>
          <w:tcPr>
            <w:tcW w:w="3809" w:type="dxa"/>
          </w:tcPr>
          <w:p>
            <w:pPr>
              <w:pStyle w:val="22"/>
              <w:tabs>
                <w:tab w:val="left" w:pos="919"/>
              </w:tabs>
              <w:spacing w:before="116"/>
              <w:ind w:left="200"/>
              <w:rPr>
                <w:rFonts w:ascii="仿宋" w:eastAsia="仿宋"/>
                <w:sz w:val="24"/>
              </w:rPr>
            </w:pPr>
            <w:r>
              <w:rPr>
                <w:rFonts w:hint="eastAsia" w:ascii="仿宋" w:eastAsia="仿宋"/>
                <w:sz w:val="24"/>
              </w:rPr>
              <w:t>邮</w:t>
            </w:r>
            <w:r>
              <w:rPr>
                <w:rFonts w:hint="eastAsia" w:ascii="仿宋" w:eastAsia="仿宋"/>
                <w:sz w:val="24"/>
              </w:rPr>
              <w:tab/>
            </w:r>
            <w:r>
              <w:rPr>
                <w:rFonts w:hint="eastAsia" w:ascii="仿宋" w:eastAsia="仿宋"/>
                <w:sz w:val="24"/>
              </w:rPr>
              <w:t>编:</w:t>
            </w:r>
          </w:p>
        </w:tc>
        <w:tc>
          <w:tcPr>
            <w:tcW w:w="3809" w:type="dxa"/>
          </w:tcPr>
          <w:p>
            <w:pPr>
              <w:pStyle w:val="22"/>
              <w:tabs>
                <w:tab w:val="left" w:pos="1808"/>
              </w:tabs>
              <w:spacing w:before="116"/>
              <w:ind w:left="1088"/>
              <w:rPr>
                <w:rFonts w:ascii="仿宋" w:eastAsia="仿宋"/>
                <w:sz w:val="24"/>
              </w:rPr>
            </w:pPr>
            <w:r>
              <w:rPr>
                <w:rFonts w:hint="eastAsia" w:ascii="仿宋" w:eastAsia="仿宋"/>
                <w:sz w:val="24"/>
              </w:rPr>
              <w:t>邮</w:t>
            </w:r>
            <w:r>
              <w:rPr>
                <w:rFonts w:hint="eastAsia" w:ascii="仿宋" w:eastAsia="仿宋"/>
                <w:sz w:val="24"/>
              </w:rPr>
              <w:tab/>
            </w:r>
            <w:r>
              <w:rPr>
                <w:rFonts w:hint="eastAsia" w:ascii="仿宋" w:eastAsia="仿宋"/>
                <w:sz w:val="24"/>
              </w:rPr>
              <w:t>编:</w:t>
            </w:r>
          </w:p>
        </w:tc>
      </w:tr>
      <w:tr>
        <w:tblPrEx>
          <w:tblCellMar>
            <w:top w:w="0" w:type="dxa"/>
            <w:left w:w="0" w:type="dxa"/>
            <w:bottom w:w="0" w:type="dxa"/>
            <w:right w:w="0" w:type="dxa"/>
          </w:tblCellMar>
        </w:tblPrEx>
        <w:trPr>
          <w:trHeight w:val="545" w:hRule="atLeast"/>
        </w:trPr>
        <w:tc>
          <w:tcPr>
            <w:tcW w:w="3809" w:type="dxa"/>
          </w:tcPr>
          <w:p>
            <w:pPr>
              <w:pStyle w:val="22"/>
              <w:spacing w:before="136"/>
              <w:ind w:left="200"/>
              <w:rPr>
                <w:rFonts w:ascii="仿宋"/>
                <w:sz w:val="24"/>
              </w:rPr>
            </w:pPr>
            <w:r>
              <w:rPr>
                <w:rFonts w:ascii="仿宋"/>
                <w:sz w:val="24"/>
              </w:rPr>
              <w:t>Email:</w:t>
            </w:r>
          </w:p>
        </w:tc>
        <w:tc>
          <w:tcPr>
            <w:tcW w:w="3809" w:type="dxa"/>
          </w:tcPr>
          <w:p>
            <w:pPr>
              <w:pStyle w:val="22"/>
              <w:spacing w:before="136"/>
              <w:ind w:left="1088"/>
              <w:rPr>
                <w:rFonts w:ascii="仿宋"/>
                <w:sz w:val="24"/>
              </w:rPr>
            </w:pPr>
            <w:r>
              <w:rPr>
                <w:rFonts w:ascii="仿宋"/>
                <w:sz w:val="24"/>
              </w:rPr>
              <w:t>Email:</w:t>
            </w:r>
          </w:p>
        </w:tc>
      </w:tr>
      <w:tr>
        <w:tblPrEx>
          <w:tblCellMar>
            <w:top w:w="0" w:type="dxa"/>
            <w:left w:w="0" w:type="dxa"/>
            <w:bottom w:w="0" w:type="dxa"/>
            <w:right w:w="0" w:type="dxa"/>
          </w:tblCellMar>
        </w:tblPrEx>
        <w:trPr>
          <w:trHeight w:val="525" w:hRule="atLeast"/>
        </w:trPr>
        <w:tc>
          <w:tcPr>
            <w:tcW w:w="3809" w:type="dxa"/>
          </w:tcPr>
          <w:p>
            <w:pPr>
              <w:pStyle w:val="22"/>
              <w:spacing w:before="101"/>
              <w:ind w:left="200"/>
              <w:rPr>
                <w:rFonts w:ascii="仿宋" w:eastAsia="仿宋"/>
                <w:sz w:val="24"/>
              </w:rPr>
            </w:pPr>
            <w:r>
              <w:rPr>
                <w:rFonts w:hint="eastAsia" w:ascii="仿宋" w:eastAsia="仿宋"/>
                <w:sz w:val="24"/>
              </w:rPr>
              <w:t>电话:</w:t>
            </w:r>
          </w:p>
        </w:tc>
        <w:tc>
          <w:tcPr>
            <w:tcW w:w="3809" w:type="dxa"/>
          </w:tcPr>
          <w:p>
            <w:pPr>
              <w:pStyle w:val="22"/>
              <w:spacing w:before="101"/>
              <w:ind w:left="1088"/>
              <w:rPr>
                <w:rFonts w:ascii="仿宋" w:eastAsia="仿宋"/>
                <w:sz w:val="24"/>
              </w:rPr>
            </w:pPr>
            <w:r>
              <w:rPr>
                <w:rFonts w:hint="eastAsia" w:ascii="仿宋" w:eastAsia="仿宋"/>
                <w:sz w:val="24"/>
              </w:rPr>
              <w:t>电话:</w:t>
            </w:r>
          </w:p>
        </w:tc>
      </w:tr>
      <w:tr>
        <w:tblPrEx>
          <w:tblCellMar>
            <w:top w:w="0" w:type="dxa"/>
            <w:left w:w="0" w:type="dxa"/>
            <w:bottom w:w="0" w:type="dxa"/>
            <w:right w:w="0" w:type="dxa"/>
          </w:tblCellMar>
        </w:tblPrEx>
        <w:trPr>
          <w:trHeight w:val="391" w:hRule="atLeast"/>
        </w:trPr>
        <w:tc>
          <w:tcPr>
            <w:tcW w:w="3809" w:type="dxa"/>
          </w:tcPr>
          <w:p>
            <w:pPr>
              <w:pStyle w:val="22"/>
              <w:spacing w:before="117" w:line="254" w:lineRule="exact"/>
              <w:ind w:left="200"/>
              <w:rPr>
                <w:rFonts w:ascii="仿宋" w:eastAsia="仿宋"/>
                <w:sz w:val="24"/>
              </w:rPr>
            </w:pPr>
            <w:r>
              <w:rPr>
                <w:rFonts w:hint="eastAsia" w:ascii="仿宋" w:eastAsia="仿宋"/>
                <w:sz w:val="24"/>
              </w:rPr>
              <w:t>传真:</w:t>
            </w:r>
          </w:p>
        </w:tc>
        <w:tc>
          <w:tcPr>
            <w:tcW w:w="3809" w:type="dxa"/>
          </w:tcPr>
          <w:p>
            <w:pPr>
              <w:pStyle w:val="22"/>
              <w:spacing w:before="117" w:line="254" w:lineRule="exact"/>
              <w:ind w:left="1088"/>
              <w:rPr>
                <w:rFonts w:ascii="仿宋" w:eastAsia="仿宋"/>
                <w:sz w:val="24"/>
              </w:rPr>
            </w:pPr>
            <w:r>
              <w:rPr>
                <w:rFonts w:hint="eastAsia" w:ascii="仿宋" w:eastAsia="仿宋"/>
                <w:sz w:val="24"/>
              </w:rPr>
              <w:t>传真:</w:t>
            </w:r>
          </w:p>
        </w:tc>
      </w:tr>
    </w:tbl>
    <w:p>
      <w:pPr>
        <w:pStyle w:val="10"/>
        <w:spacing w:before="11"/>
        <w:rPr>
          <w:rFonts w:ascii="仿宋"/>
          <w:sz w:val="23"/>
        </w:rPr>
      </w:pPr>
    </w:p>
    <w:p>
      <w:pPr>
        <w:spacing w:line="254" w:lineRule="exact"/>
        <w:rPr>
          <w:rFonts w:ascii="仿宋" w:eastAsia="仿宋"/>
          <w:sz w:val="24"/>
        </w:rPr>
        <w:sectPr>
          <w:pgSz w:w="11910" w:h="16840"/>
          <w:pgMar w:top="1460" w:right="880" w:bottom="1160" w:left="880" w:header="0" w:footer="894" w:gutter="0"/>
          <w:cols w:space="720" w:num="1"/>
        </w:sectPr>
      </w:pPr>
    </w:p>
    <w:p>
      <w:pPr>
        <w:pStyle w:val="10"/>
        <w:rPr>
          <w:rFonts w:ascii="仿宋"/>
          <w:sz w:val="20"/>
        </w:rPr>
      </w:pPr>
    </w:p>
    <w:p>
      <w:pPr>
        <w:pStyle w:val="10"/>
        <w:rPr>
          <w:rFonts w:ascii="仿宋"/>
          <w:sz w:val="20"/>
        </w:rPr>
      </w:pPr>
    </w:p>
    <w:p>
      <w:pPr>
        <w:pStyle w:val="10"/>
        <w:spacing w:before="10"/>
        <w:rPr>
          <w:rFonts w:ascii="仿宋"/>
          <w:sz w:val="18"/>
        </w:rPr>
      </w:pPr>
    </w:p>
    <w:p>
      <w:pPr>
        <w:spacing w:before="58"/>
        <w:ind w:left="100"/>
        <w:rPr>
          <w:rFonts w:ascii="仿宋" w:eastAsia="仿宋"/>
          <w:sz w:val="30"/>
        </w:rPr>
      </w:pPr>
      <w:r>
        <w:rPr>
          <w:rFonts w:hint="eastAsia" w:ascii="仿宋" w:eastAsia="仿宋"/>
          <w:sz w:val="30"/>
        </w:rPr>
        <w:t>附件 1：产品清单</w:t>
      </w:r>
    </w:p>
    <w:p>
      <w:pPr>
        <w:pStyle w:val="10"/>
        <w:rPr>
          <w:rFonts w:ascii="仿宋"/>
          <w:sz w:val="20"/>
        </w:rPr>
      </w:pPr>
    </w:p>
    <w:p>
      <w:pPr>
        <w:pStyle w:val="10"/>
        <w:spacing w:before="11"/>
        <w:rPr>
          <w:rFonts w:ascii="仿宋"/>
          <w:sz w:val="13"/>
        </w:rPr>
      </w:pPr>
    </w:p>
    <w:tbl>
      <w:tblPr>
        <w:tblStyle w:val="14"/>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269"/>
        <w:gridCol w:w="1547"/>
        <w:gridCol w:w="1581"/>
        <w:gridCol w:w="1400"/>
        <w:gridCol w:w="1132"/>
        <w:gridCol w:w="1432"/>
        <w:gridCol w:w="1433"/>
        <w:gridCol w:w="2052"/>
        <w:gridCol w:w="1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36" w:type="dxa"/>
          </w:tcPr>
          <w:p>
            <w:pPr>
              <w:pStyle w:val="22"/>
              <w:spacing w:before="1"/>
              <w:rPr>
                <w:rFonts w:ascii="仿宋"/>
                <w:sz w:val="26"/>
              </w:rPr>
            </w:pPr>
          </w:p>
          <w:p>
            <w:pPr>
              <w:pStyle w:val="22"/>
              <w:ind w:left="89" w:right="77"/>
              <w:jc w:val="center"/>
              <w:rPr>
                <w:sz w:val="21"/>
              </w:rPr>
            </w:pPr>
            <w:r>
              <w:rPr>
                <w:sz w:val="21"/>
              </w:rPr>
              <w:t>序号</w:t>
            </w:r>
          </w:p>
        </w:tc>
        <w:tc>
          <w:tcPr>
            <w:tcW w:w="1269" w:type="dxa"/>
          </w:tcPr>
          <w:p>
            <w:pPr>
              <w:pStyle w:val="22"/>
              <w:spacing w:before="1"/>
              <w:rPr>
                <w:rFonts w:ascii="仿宋"/>
                <w:sz w:val="26"/>
              </w:rPr>
            </w:pPr>
          </w:p>
          <w:p>
            <w:pPr>
              <w:pStyle w:val="22"/>
              <w:ind w:left="108"/>
              <w:rPr>
                <w:sz w:val="21"/>
              </w:rPr>
            </w:pPr>
            <w:r>
              <w:rPr>
                <w:sz w:val="21"/>
              </w:rPr>
              <w:t>数据库名称</w:t>
            </w:r>
          </w:p>
        </w:tc>
        <w:tc>
          <w:tcPr>
            <w:tcW w:w="1547" w:type="dxa"/>
          </w:tcPr>
          <w:p>
            <w:pPr>
              <w:pStyle w:val="22"/>
              <w:spacing w:before="1"/>
              <w:rPr>
                <w:rFonts w:ascii="仿宋"/>
                <w:sz w:val="26"/>
              </w:rPr>
            </w:pPr>
          </w:p>
          <w:p>
            <w:pPr>
              <w:pStyle w:val="22"/>
              <w:ind w:left="459"/>
              <w:rPr>
                <w:sz w:val="21"/>
              </w:rPr>
            </w:pPr>
            <w:r>
              <w:rPr>
                <w:sz w:val="21"/>
              </w:rPr>
              <w:t>供应商</w:t>
            </w:r>
          </w:p>
        </w:tc>
        <w:tc>
          <w:tcPr>
            <w:tcW w:w="1581" w:type="dxa"/>
          </w:tcPr>
          <w:p>
            <w:pPr>
              <w:pStyle w:val="22"/>
              <w:spacing w:before="1"/>
              <w:rPr>
                <w:rFonts w:ascii="仿宋"/>
                <w:sz w:val="26"/>
              </w:rPr>
            </w:pPr>
          </w:p>
          <w:p>
            <w:pPr>
              <w:pStyle w:val="22"/>
              <w:ind w:left="163"/>
              <w:rPr>
                <w:sz w:val="21"/>
              </w:rPr>
            </w:pPr>
            <w:r>
              <w:rPr>
                <w:sz w:val="21"/>
              </w:rPr>
              <w:t>订购学科内容</w:t>
            </w:r>
          </w:p>
        </w:tc>
        <w:tc>
          <w:tcPr>
            <w:tcW w:w="1400" w:type="dxa"/>
          </w:tcPr>
          <w:p>
            <w:pPr>
              <w:pStyle w:val="22"/>
              <w:spacing w:before="1"/>
              <w:rPr>
                <w:rFonts w:ascii="仿宋"/>
                <w:sz w:val="26"/>
              </w:rPr>
            </w:pPr>
          </w:p>
          <w:p>
            <w:pPr>
              <w:pStyle w:val="22"/>
              <w:ind w:left="281"/>
              <w:rPr>
                <w:sz w:val="21"/>
              </w:rPr>
            </w:pPr>
            <w:r>
              <w:rPr>
                <w:sz w:val="21"/>
              </w:rPr>
              <w:t>服务方式</w:t>
            </w:r>
          </w:p>
        </w:tc>
        <w:tc>
          <w:tcPr>
            <w:tcW w:w="1132" w:type="dxa"/>
          </w:tcPr>
          <w:p>
            <w:pPr>
              <w:pStyle w:val="22"/>
              <w:spacing w:before="1"/>
              <w:rPr>
                <w:rFonts w:ascii="仿宋"/>
                <w:sz w:val="26"/>
              </w:rPr>
            </w:pPr>
          </w:p>
          <w:p>
            <w:pPr>
              <w:pStyle w:val="22"/>
              <w:ind w:left="151"/>
              <w:rPr>
                <w:sz w:val="21"/>
              </w:rPr>
            </w:pPr>
            <w:r>
              <w:rPr>
                <w:sz w:val="21"/>
              </w:rPr>
              <w:t>文献级别</w:t>
            </w:r>
          </w:p>
        </w:tc>
        <w:tc>
          <w:tcPr>
            <w:tcW w:w="1432" w:type="dxa"/>
          </w:tcPr>
          <w:p>
            <w:pPr>
              <w:pStyle w:val="22"/>
              <w:spacing w:before="1"/>
              <w:rPr>
                <w:rFonts w:ascii="仿宋"/>
                <w:sz w:val="26"/>
              </w:rPr>
            </w:pPr>
          </w:p>
          <w:p>
            <w:pPr>
              <w:pStyle w:val="22"/>
              <w:ind w:left="301"/>
              <w:rPr>
                <w:sz w:val="21"/>
              </w:rPr>
            </w:pPr>
            <w:r>
              <w:rPr>
                <w:sz w:val="21"/>
              </w:rPr>
              <w:t>订购需求</w:t>
            </w:r>
          </w:p>
        </w:tc>
        <w:tc>
          <w:tcPr>
            <w:tcW w:w="1433" w:type="dxa"/>
          </w:tcPr>
          <w:p>
            <w:pPr>
              <w:pStyle w:val="22"/>
              <w:spacing w:before="1"/>
              <w:rPr>
                <w:rFonts w:ascii="仿宋"/>
                <w:sz w:val="26"/>
              </w:rPr>
            </w:pPr>
          </w:p>
          <w:p>
            <w:pPr>
              <w:pStyle w:val="22"/>
              <w:ind w:left="114" w:right="-29"/>
              <w:rPr>
                <w:sz w:val="21"/>
              </w:rPr>
            </w:pPr>
            <w:r>
              <w:rPr>
                <w:spacing w:val="-14"/>
                <w:sz w:val="21"/>
              </w:rPr>
              <w:t xml:space="preserve">价格 </w:t>
            </w:r>
            <w:r>
              <w:rPr>
                <w:sz w:val="21"/>
              </w:rPr>
              <w:t>（</w:t>
            </w:r>
            <w:r>
              <w:rPr>
                <w:spacing w:val="-2"/>
                <w:sz w:val="21"/>
              </w:rPr>
              <w:t>万元</w:t>
            </w:r>
            <w:r>
              <w:rPr>
                <w:sz w:val="21"/>
              </w:rPr>
              <w:t>）</w:t>
            </w:r>
          </w:p>
        </w:tc>
        <w:tc>
          <w:tcPr>
            <w:tcW w:w="2052" w:type="dxa"/>
          </w:tcPr>
          <w:p>
            <w:pPr>
              <w:pStyle w:val="22"/>
              <w:spacing w:before="22" w:line="278" w:lineRule="auto"/>
              <w:ind w:left="114" w:right="88"/>
              <w:jc w:val="center"/>
              <w:rPr>
                <w:sz w:val="21"/>
              </w:rPr>
            </w:pPr>
            <w:r>
              <w:rPr>
                <w:spacing w:val="-3"/>
                <w:sz w:val="21"/>
              </w:rPr>
              <w:t>停库后是否有平台</w:t>
            </w:r>
            <w:r>
              <w:rPr>
                <w:spacing w:val="-22"/>
                <w:sz w:val="21"/>
              </w:rPr>
              <w:t>使用费</w:t>
            </w:r>
            <w:r>
              <w:rPr>
                <w:spacing w:val="-3"/>
                <w:sz w:val="21"/>
              </w:rPr>
              <w:t>（</w:t>
            </w:r>
            <w:r>
              <w:rPr>
                <w:spacing w:val="-6"/>
                <w:sz w:val="21"/>
              </w:rPr>
              <w:t>针对永久访</w:t>
            </w:r>
          </w:p>
          <w:p>
            <w:pPr>
              <w:pStyle w:val="22"/>
              <w:spacing w:line="269" w:lineRule="exact"/>
              <w:ind w:left="109" w:right="88"/>
              <w:jc w:val="center"/>
              <w:rPr>
                <w:sz w:val="21"/>
              </w:rPr>
            </w:pPr>
            <w:r>
              <w:rPr>
                <w:sz w:val="21"/>
              </w:rPr>
              <w:t>权的数据库）</w:t>
            </w:r>
          </w:p>
        </w:tc>
        <w:tc>
          <w:tcPr>
            <w:tcW w:w="1352" w:type="dxa"/>
          </w:tcPr>
          <w:p>
            <w:pPr>
              <w:pStyle w:val="22"/>
              <w:spacing w:before="1"/>
              <w:rPr>
                <w:rFonts w:ascii="仿宋"/>
                <w:sz w:val="26"/>
              </w:rPr>
            </w:pPr>
          </w:p>
          <w:p>
            <w:pPr>
              <w:pStyle w:val="22"/>
              <w:ind w:left="451" w:right="431"/>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36" w:type="dxa"/>
          </w:tcPr>
          <w:p>
            <w:pPr>
              <w:pStyle w:val="22"/>
              <w:spacing w:before="62"/>
              <w:ind w:left="10"/>
              <w:jc w:val="center"/>
              <w:rPr>
                <w:rFonts w:ascii="Arial"/>
                <w:sz w:val="21"/>
              </w:rPr>
            </w:pPr>
            <w:r>
              <w:rPr>
                <w:rFonts w:ascii="Arial"/>
                <w:sz w:val="21"/>
              </w:rPr>
              <w:t>1</w:t>
            </w:r>
          </w:p>
        </w:tc>
        <w:tc>
          <w:tcPr>
            <w:tcW w:w="1269" w:type="dxa"/>
          </w:tcPr>
          <w:p>
            <w:pPr>
              <w:pStyle w:val="22"/>
              <w:rPr>
                <w:rFonts w:ascii="Times New Roman"/>
              </w:rPr>
            </w:pPr>
          </w:p>
        </w:tc>
        <w:tc>
          <w:tcPr>
            <w:tcW w:w="1547" w:type="dxa"/>
          </w:tcPr>
          <w:p>
            <w:pPr>
              <w:pStyle w:val="22"/>
              <w:rPr>
                <w:rFonts w:ascii="Times New Roman"/>
              </w:rPr>
            </w:pPr>
          </w:p>
        </w:tc>
        <w:tc>
          <w:tcPr>
            <w:tcW w:w="1581" w:type="dxa"/>
          </w:tcPr>
          <w:p>
            <w:pPr>
              <w:pStyle w:val="22"/>
              <w:rPr>
                <w:rFonts w:ascii="Times New Roman"/>
              </w:rPr>
            </w:pPr>
          </w:p>
        </w:tc>
        <w:tc>
          <w:tcPr>
            <w:tcW w:w="1400" w:type="dxa"/>
          </w:tcPr>
          <w:p>
            <w:pPr>
              <w:pStyle w:val="22"/>
              <w:rPr>
                <w:rFonts w:ascii="Times New Roman"/>
              </w:rPr>
            </w:pPr>
          </w:p>
        </w:tc>
        <w:tc>
          <w:tcPr>
            <w:tcW w:w="1132" w:type="dxa"/>
          </w:tcPr>
          <w:p>
            <w:pPr>
              <w:pStyle w:val="22"/>
              <w:rPr>
                <w:rFonts w:ascii="Times New Roman"/>
              </w:rPr>
            </w:pPr>
          </w:p>
        </w:tc>
        <w:tc>
          <w:tcPr>
            <w:tcW w:w="1432" w:type="dxa"/>
          </w:tcPr>
          <w:p>
            <w:pPr>
              <w:pStyle w:val="22"/>
              <w:rPr>
                <w:rFonts w:ascii="Times New Roman"/>
              </w:rPr>
            </w:pPr>
          </w:p>
        </w:tc>
        <w:tc>
          <w:tcPr>
            <w:tcW w:w="1433" w:type="dxa"/>
          </w:tcPr>
          <w:p>
            <w:pPr>
              <w:pStyle w:val="22"/>
              <w:rPr>
                <w:rFonts w:ascii="Times New Roman"/>
              </w:rPr>
            </w:pPr>
          </w:p>
        </w:tc>
        <w:tc>
          <w:tcPr>
            <w:tcW w:w="2052" w:type="dxa"/>
          </w:tcPr>
          <w:p>
            <w:pPr>
              <w:pStyle w:val="22"/>
              <w:rPr>
                <w:rFonts w:ascii="Times New Roman"/>
              </w:rPr>
            </w:pPr>
          </w:p>
        </w:tc>
        <w:tc>
          <w:tcPr>
            <w:tcW w:w="1352"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36" w:type="dxa"/>
          </w:tcPr>
          <w:p>
            <w:pPr>
              <w:pStyle w:val="22"/>
              <w:spacing w:before="33"/>
              <w:ind w:left="10"/>
              <w:jc w:val="center"/>
              <w:rPr>
                <w:rFonts w:ascii="Arial"/>
                <w:sz w:val="21"/>
              </w:rPr>
            </w:pPr>
            <w:r>
              <w:rPr>
                <w:rFonts w:ascii="Arial"/>
                <w:sz w:val="21"/>
              </w:rPr>
              <w:t>2</w:t>
            </w:r>
          </w:p>
        </w:tc>
        <w:tc>
          <w:tcPr>
            <w:tcW w:w="1269" w:type="dxa"/>
          </w:tcPr>
          <w:p>
            <w:pPr>
              <w:pStyle w:val="22"/>
              <w:rPr>
                <w:rFonts w:ascii="Times New Roman"/>
              </w:rPr>
            </w:pPr>
          </w:p>
        </w:tc>
        <w:tc>
          <w:tcPr>
            <w:tcW w:w="1547" w:type="dxa"/>
          </w:tcPr>
          <w:p>
            <w:pPr>
              <w:pStyle w:val="22"/>
              <w:rPr>
                <w:rFonts w:ascii="Times New Roman"/>
              </w:rPr>
            </w:pPr>
          </w:p>
        </w:tc>
        <w:tc>
          <w:tcPr>
            <w:tcW w:w="1581" w:type="dxa"/>
          </w:tcPr>
          <w:p>
            <w:pPr>
              <w:pStyle w:val="22"/>
              <w:rPr>
                <w:rFonts w:ascii="Times New Roman"/>
              </w:rPr>
            </w:pPr>
          </w:p>
        </w:tc>
        <w:tc>
          <w:tcPr>
            <w:tcW w:w="1400" w:type="dxa"/>
          </w:tcPr>
          <w:p>
            <w:pPr>
              <w:pStyle w:val="22"/>
              <w:rPr>
                <w:rFonts w:ascii="Times New Roman"/>
              </w:rPr>
            </w:pPr>
          </w:p>
        </w:tc>
        <w:tc>
          <w:tcPr>
            <w:tcW w:w="1132" w:type="dxa"/>
          </w:tcPr>
          <w:p>
            <w:pPr>
              <w:pStyle w:val="22"/>
              <w:rPr>
                <w:rFonts w:ascii="Times New Roman"/>
              </w:rPr>
            </w:pPr>
          </w:p>
        </w:tc>
        <w:tc>
          <w:tcPr>
            <w:tcW w:w="1432" w:type="dxa"/>
          </w:tcPr>
          <w:p>
            <w:pPr>
              <w:pStyle w:val="22"/>
              <w:rPr>
                <w:rFonts w:ascii="Times New Roman"/>
              </w:rPr>
            </w:pPr>
          </w:p>
        </w:tc>
        <w:tc>
          <w:tcPr>
            <w:tcW w:w="1433" w:type="dxa"/>
          </w:tcPr>
          <w:p>
            <w:pPr>
              <w:pStyle w:val="22"/>
              <w:rPr>
                <w:rFonts w:ascii="Times New Roman"/>
              </w:rPr>
            </w:pPr>
          </w:p>
        </w:tc>
        <w:tc>
          <w:tcPr>
            <w:tcW w:w="2052" w:type="dxa"/>
          </w:tcPr>
          <w:p>
            <w:pPr>
              <w:pStyle w:val="22"/>
              <w:rPr>
                <w:rFonts w:ascii="Times New Roman"/>
              </w:rPr>
            </w:pPr>
          </w:p>
        </w:tc>
        <w:tc>
          <w:tcPr>
            <w:tcW w:w="1352"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36" w:type="dxa"/>
          </w:tcPr>
          <w:p>
            <w:pPr>
              <w:pStyle w:val="22"/>
              <w:spacing w:before="33"/>
              <w:ind w:left="10"/>
              <w:jc w:val="center"/>
              <w:rPr>
                <w:rFonts w:ascii="Arial"/>
                <w:sz w:val="21"/>
              </w:rPr>
            </w:pPr>
            <w:r>
              <w:rPr>
                <w:rFonts w:ascii="Arial"/>
                <w:sz w:val="21"/>
              </w:rPr>
              <w:t>3</w:t>
            </w:r>
          </w:p>
        </w:tc>
        <w:tc>
          <w:tcPr>
            <w:tcW w:w="1269" w:type="dxa"/>
          </w:tcPr>
          <w:p>
            <w:pPr>
              <w:pStyle w:val="22"/>
              <w:rPr>
                <w:rFonts w:ascii="Times New Roman"/>
              </w:rPr>
            </w:pPr>
          </w:p>
        </w:tc>
        <w:tc>
          <w:tcPr>
            <w:tcW w:w="1547" w:type="dxa"/>
          </w:tcPr>
          <w:p>
            <w:pPr>
              <w:pStyle w:val="22"/>
              <w:rPr>
                <w:rFonts w:ascii="Times New Roman"/>
              </w:rPr>
            </w:pPr>
          </w:p>
        </w:tc>
        <w:tc>
          <w:tcPr>
            <w:tcW w:w="1581" w:type="dxa"/>
          </w:tcPr>
          <w:p>
            <w:pPr>
              <w:pStyle w:val="22"/>
              <w:rPr>
                <w:rFonts w:ascii="Times New Roman"/>
              </w:rPr>
            </w:pPr>
          </w:p>
        </w:tc>
        <w:tc>
          <w:tcPr>
            <w:tcW w:w="1400" w:type="dxa"/>
          </w:tcPr>
          <w:p>
            <w:pPr>
              <w:pStyle w:val="22"/>
              <w:rPr>
                <w:rFonts w:ascii="Times New Roman"/>
              </w:rPr>
            </w:pPr>
          </w:p>
        </w:tc>
        <w:tc>
          <w:tcPr>
            <w:tcW w:w="1132" w:type="dxa"/>
          </w:tcPr>
          <w:p>
            <w:pPr>
              <w:pStyle w:val="22"/>
              <w:rPr>
                <w:rFonts w:ascii="Times New Roman"/>
              </w:rPr>
            </w:pPr>
          </w:p>
        </w:tc>
        <w:tc>
          <w:tcPr>
            <w:tcW w:w="1432" w:type="dxa"/>
          </w:tcPr>
          <w:p>
            <w:pPr>
              <w:pStyle w:val="22"/>
              <w:rPr>
                <w:rFonts w:ascii="Times New Roman"/>
              </w:rPr>
            </w:pPr>
          </w:p>
        </w:tc>
        <w:tc>
          <w:tcPr>
            <w:tcW w:w="1433" w:type="dxa"/>
          </w:tcPr>
          <w:p>
            <w:pPr>
              <w:pStyle w:val="22"/>
              <w:rPr>
                <w:rFonts w:ascii="Times New Roman"/>
              </w:rPr>
            </w:pPr>
          </w:p>
        </w:tc>
        <w:tc>
          <w:tcPr>
            <w:tcW w:w="2052" w:type="dxa"/>
          </w:tcPr>
          <w:p>
            <w:pPr>
              <w:pStyle w:val="22"/>
              <w:rPr>
                <w:rFonts w:ascii="Times New Roman"/>
              </w:rPr>
            </w:pPr>
          </w:p>
        </w:tc>
        <w:tc>
          <w:tcPr>
            <w:tcW w:w="1352"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36" w:type="dxa"/>
          </w:tcPr>
          <w:p>
            <w:pPr>
              <w:pStyle w:val="22"/>
              <w:spacing w:before="35"/>
              <w:ind w:left="10"/>
              <w:jc w:val="center"/>
              <w:rPr>
                <w:rFonts w:ascii="Arial"/>
                <w:sz w:val="21"/>
              </w:rPr>
            </w:pPr>
            <w:r>
              <w:rPr>
                <w:rFonts w:ascii="Arial"/>
                <w:sz w:val="21"/>
              </w:rPr>
              <w:t>4</w:t>
            </w:r>
          </w:p>
        </w:tc>
        <w:tc>
          <w:tcPr>
            <w:tcW w:w="1269" w:type="dxa"/>
          </w:tcPr>
          <w:p>
            <w:pPr>
              <w:pStyle w:val="22"/>
              <w:rPr>
                <w:rFonts w:ascii="Times New Roman"/>
              </w:rPr>
            </w:pPr>
          </w:p>
        </w:tc>
        <w:tc>
          <w:tcPr>
            <w:tcW w:w="1547" w:type="dxa"/>
          </w:tcPr>
          <w:p>
            <w:pPr>
              <w:pStyle w:val="22"/>
              <w:rPr>
                <w:rFonts w:ascii="Times New Roman"/>
              </w:rPr>
            </w:pPr>
          </w:p>
        </w:tc>
        <w:tc>
          <w:tcPr>
            <w:tcW w:w="1581" w:type="dxa"/>
          </w:tcPr>
          <w:p>
            <w:pPr>
              <w:pStyle w:val="22"/>
              <w:rPr>
                <w:rFonts w:ascii="Times New Roman"/>
              </w:rPr>
            </w:pPr>
          </w:p>
        </w:tc>
        <w:tc>
          <w:tcPr>
            <w:tcW w:w="1400" w:type="dxa"/>
          </w:tcPr>
          <w:p>
            <w:pPr>
              <w:pStyle w:val="22"/>
              <w:rPr>
                <w:rFonts w:ascii="Times New Roman"/>
              </w:rPr>
            </w:pPr>
          </w:p>
        </w:tc>
        <w:tc>
          <w:tcPr>
            <w:tcW w:w="1132" w:type="dxa"/>
          </w:tcPr>
          <w:p>
            <w:pPr>
              <w:pStyle w:val="22"/>
              <w:rPr>
                <w:rFonts w:ascii="Times New Roman"/>
              </w:rPr>
            </w:pPr>
          </w:p>
        </w:tc>
        <w:tc>
          <w:tcPr>
            <w:tcW w:w="1432" w:type="dxa"/>
          </w:tcPr>
          <w:p>
            <w:pPr>
              <w:pStyle w:val="22"/>
              <w:rPr>
                <w:rFonts w:ascii="Times New Roman"/>
              </w:rPr>
            </w:pPr>
          </w:p>
        </w:tc>
        <w:tc>
          <w:tcPr>
            <w:tcW w:w="1433" w:type="dxa"/>
          </w:tcPr>
          <w:p>
            <w:pPr>
              <w:pStyle w:val="22"/>
              <w:rPr>
                <w:rFonts w:ascii="Times New Roman"/>
              </w:rPr>
            </w:pPr>
          </w:p>
        </w:tc>
        <w:tc>
          <w:tcPr>
            <w:tcW w:w="2052" w:type="dxa"/>
          </w:tcPr>
          <w:p>
            <w:pPr>
              <w:pStyle w:val="22"/>
              <w:rPr>
                <w:rFonts w:ascii="Times New Roman"/>
              </w:rPr>
            </w:pPr>
          </w:p>
        </w:tc>
        <w:tc>
          <w:tcPr>
            <w:tcW w:w="1352"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36" w:type="dxa"/>
          </w:tcPr>
          <w:p>
            <w:pPr>
              <w:pStyle w:val="22"/>
              <w:spacing w:before="33"/>
              <w:ind w:left="10"/>
              <w:jc w:val="center"/>
              <w:rPr>
                <w:rFonts w:ascii="Arial"/>
                <w:sz w:val="21"/>
              </w:rPr>
            </w:pPr>
            <w:r>
              <w:rPr>
                <w:rFonts w:ascii="Arial"/>
                <w:sz w:val="21"/>
              </w:rPr>
              <w:t>5</w:t>
            </w:r>
          </w:p>
        </w:tc>
        <w:tc>
          <w:tcPr>
            <w:tcW w:w="1269" w:type="dxa"/>
          </w:tcPr>
          <w:p>
            <w:pPr>
              <w:pStyle w:val="22"/>
              <w:rPr>
                <w:rFonts w:ascii="Times New Roman"/>
              </w:rPr>
            </w:pPr>
          </w:p>
        </w:tc>
        <w:tc>
          <w:tcPr>
            <w:tcW w:w="1547" w:type="dxa"/>
          </w:tcPr>
          <w:p>
            <w:pPr>
              <w:pStyle w:val="22"/>
              <w:rPr>
                <w:rFonts w:ascii="Times New Roman"/>
              </w:rPr>
            </w:pPr>
          </w:p>
        </w:tc>
        <w:tc>
          <w:tcPr>
            <w:tcW w:w="1581" w:type="dxa"/>
          </w:tcPr>
          <w:p>
            <w:pPr>
              <w:pStyle w:val="22"/>
              <w:rPr>
                <w:rFonts w:ascii="Times New Roman"/>
              </w:rPr>
            </w:pPr>
          </w:p>
        </w:tc>
        <w:tc>
          <w:tcPr>
            <w:tcW w:w="1400" w:type="dxa"/>
          </w:tcPr>
          <w:p>
            <w:pPr>
              <w:pStyle w:val="22"/>
              <w:rPr>
                <w:rFonts w:ascii="Times New Roman"/>
              </w:rPr>
            </w:pPr>
          </w:p>
        </w:tc>
        <w:tc>
          <w:tcPr>
            <w:tcW w:w="1132" w:type="dxa"/>
          </w:tcPr>
          <w:p>
            <w:pPr>
              <w:pStyle w:val="22"/>
              <w:rPr>
                <w:rFonts w:ascii="Times New Roman"/>
              </w:rPr>
            </w:pPr>
          </w:p>
        </w:tc>
        <w:tc>
          <w:tcPr>
            <w:tcW w:w="1432" w:type="dxa"/>
          </w:tcPr>
          <w:p>
            <w:pPr>
              <w:pStyle w:val="22"/>
              <w:rPr>
                <w:rFonts w:ascii="Times New Roman"/>
              </w:rPr>
            </w:pPr>
          </w:p>
        </w:tc>
        <w:tc>
          <w:tcPr>
            <w:tcW w:w="1433" w:type="dxa"/>
          </w:tcPr>
          <w:p>
            <w:pPr>
              <w:pStyle w:val="22"/>
              <w:rPr>
                <w:rFonts w:ascii="Times New Roman"/>
              </w:rPr>
            </w:pPr>
          </w:p>
        </w:tc>
        <w:tc>
          <w:tcPr>
            <w:tcW w:w="2052" w:type="dxa"/>
          </w:tcPr>
          <w:p>
            <w:pPr>
              <w:pStyle w:val="22"/>
              <w:rPr>
                <w:rFonts w:ascii="Times New Roman"/>
              </w:rPr>
            </w:pPr>
          </w:p>
        </w:tc>
        <w:tc>
          <w:tcPr>
            <w:tcW w:w="1352"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36" w:type="dxa"/>
          </w:tcPr>
          <w:p>
            <w:pPr>
              <w:pStyle w:val="22"/>
              <w:spacing w:before="33"/>
              <w:ind w:left="10"/>
              <w:jc w:val="center"/>
              <w:rPr>
                <w:rFonts w:ascii="Arial"/>
                <w:sz w:val="21"/>
              </w:rPr>
            </w:pPr>
            <w:r>
              <w:rPr>
                <w:rFonts w:ascii="Arial"/>
                <w:sz w:val="21"/>
              </w:rPr>
              <w:t>6</w:t>
            </w:r>
          </w:p>
        </w:tc>
        <w:tc>
          <w:tcPr>
            <w:tcW w:w="1269" w:type="dxa"/>
          </w:tcPr>
          <w:p>
            <w:pPr>
              <w:pStyle w:val="22"/>
              <w:rPr>
                <w:rFonts w:ascii="Times New Roman"/>
              </w:rPr>
            </w:pPr>
          </w:p>
        </w:tc>
        <w:tc>
          <w:tcPr>
            <w:tcW w:w="1547" w:type="dxa"/>
          </w:tcPr>
          <w:p>
            <w:pPr>
              <w:pStyle w:val="22"/>
              <w:rPr>
                <w:rFonts w:ascii="Times New Roman"/>
              </w:rPr>
            </w:pPr>
          </w:p>
        </w:tc>
        <w:tc>
          <w:tcPr>
            <w:tcW w:w="1581" w:type="dxa"/>
          </w:tcPr>
          <w:p>
            <w:pPr>
              <w:pStyle w:val="22"/>
              <w:rPr>
                <w:rFonts w:ascii="Times New Roman"/>
              </w:rPr>
            </w:pPr>
          </w:p>
        </w:tc>
        <w:tc>
          <w:tcPr>
            <w:tcW w:w="1400" w:type="dxa"/>
          </w:tcPr>
          <w:p>
            <w:pPr>
              <w:pStyle w:val="22"/>
              <w:rPr>
                <w:rFonts w:ascii="Times New Roman"/>
              </w:rPr>
            </w:pPr>
          </w:p>
        </w:tc>
        <w:tc>
          <w:tcPr>
            <w:tcW w:w="1132" w:type="dxa"/>
          </w:tcPr>
          <w:p>
            <w:pPr>
              <w:pStyle w:val="22"/>
              <w:rPr>
                <w:rFonts w:ascii="Times New Roman"/>
              </w:rPr>
            </w:pPr>
          </w:p>
        </w:tc>
        <w:tc>
          <w:tcPr>
            <w:tcW w:w="1432" w:type="dxa"/>
          </w:tcPr>
          <w:p>
            <w:pPr>
              <w:pStyle w:val="22"/>
              <w:rPr>
                <w:rFonts w:ascii="Times New Roman"/>
              </w:rPr>
            </w:pPr>
          </w:p>
        </w:tc>
        <w:tc>
          <w:tcPr>
            <w:tcW w:w="1433" w:type="dxa"/>
          </w:tcPr>
          <w:p>
            <w:pPr>
              <w:pStyle w:val="22"/>
              <w:rPr>
                <w:rFonts w:ascii="Times New Roman"/>
              </w:rPr>
            </w:pPr>
          </w:p>
        </w:tc>
        <w:tc>
          <w:tcPr>
            <w:tcW w:w="2052" w:type="dxa"/>
          </w:tcPr>
          <w:p>
            <w:pPr>
              <w:pStyle w:val="22"/>
              <w:rPr>
                <w:rFonts w:ascii="Times New Roman"/>
              </w:rPr>
            </w:pPr>
          </w:p>
        </w:tc>
        <w:tc>
          <w:tcPr>
            <w:tcW w:w="1352"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36" w:type="dxa"/>
          </w:tcPr>
          <w:p>
            <w:pPr>
              <w:pStyle w:val="22"/>
              <w:spacing w:before="33"/>
              <w:ind w:left="10"/>
              <w:jc w:val="center"/>
              <w:rPr>
                <w:rFonts w:ascii="Arial"/>
                <w:sz w:val="21"/>
              </w:rPr>
            </w:pPr>
            <w:r>
              <w:rPr>
                <w:rFonts w:ascii="Arial"/>
                <w:sz w:val="21"/>
              </w:rPr>
              <w:t>7</w:t>
            </w:r>
          </w:p>
        </w:tc>
        <w:tc>
          <w:tcPr>
            <w:tcW w:w="1269" w:type="dxa"/>
          </w:tcPr>
          <w:p>
            <w:pPr>
              <w:pStyle w:val="22"/>
              <w:rPr>
                <w:rFonts w:ascii="Times New Roman"/>
              </w:rPr>
            </w:pPr>
          </w:p>
        </w:tc>
        <w:tc>
          <w:tcPr>
            <w:tcW w:w="1547" w:type="dxa"/>
          </w:tcPr>
          <w:p>
            <w:pPr>
              <w:pStyle w:val="22"/>
              <w:rPr>
                <w:rFonts w:ascii="Times New Roman"/>
              </w:rPr>
            </w:pPr>
          </w:p>
        </w:tc>
        <w:tc>
          <w:tcPr>
            <w:tcW w:w="1581" w:type="dxa"/>
          </w:tcPr>
          <w:p>
            <w:pPr>
              <w:pStyle w:val="22"/>
              <w:rPr>
                <w:rFonts w:ascii="Times New Roman"/>
              </w:rPr>
            </w:pPr>
          </w:p>
        </w:tc>
        <w:tc>
          <w:tcPr>
            <w:tcW w:w="1400" w:type="dxa"/>
          </w:tcPr>
          <w:p>
            <w:pPr>
              <w:pStyle w:val="22"/>
              <w:rPr>
                <w:rFonts w:ascii="Times New Roman"/>
              </w:rPr>
            </w:pPr>
          </w:p>
        </w:tc>
        <w:tc>
          <w:tcPr>
            <w:tcW w:w="1132" w:type="dxa"/>
          </w:tcPr>
          <w:p>
            <w:pPr>
              <w:pStyle w:val="22"/>
              <w:rPr>
                <w:rFonts w:ascii="Times New Roman"/>
              </w:rPr>
            </w:pPr>
          </w:p>
        </w:tc>
        <w:tc>
          <w:tcPr>
            <w:tcW w:w="1432" w:type="dxa"/>
          </w:tcPr>
          <w:p>
            <w:pPr>
              <w:pStyle w:val="22"/>
              <w:rPr>
                <w:rFonts w:ascii="Times New Roman"/>
              </w:rPr>
            </w:pPr>
          </w:p>
        </w:tc>
        <w:tc>
          <w:tcPr>
            <w:tcW w:w="1433" w:type="dxa"/>
          </w:tcPr>
          <w:p>
            <w:pPr>
              <w:pStyle w:val="22"/>
              <w:rPr>
                <w:rFonts w:ascii="Times New Roman"/>
              </w:rPr>
            </w:pPr>
          </w:p>
        </w:tc>
        <w:tc>
          <w:tcPr>
            <w:tcW w:w="2052" w:type="dxa"/>
          </w:tcPr>
          <w:p>
            <w:pPr>
              <w:pStyle w:val="22"/>
              <w:rPr>
                <w:rFonts w:ascii="Times New Roman"/>
              </w:rPr>
            </w:pPr>
          </w:p>
        </w:tc>
        <w:tc>
          <w:tcPr>
            <w:tcW w:w="1352"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36" w:type="dxa"/>
          </w:tcPr>
          <w:p>
            <w:pPr>
              <w:pStyle w:val="22"/>
              <w:spacing w:before="33"/>
              <w:ind w:left="10"/>
              <w:jc w:val="center"/>
              <w:rPr>
                <w:rFonts w:ascii="Arial"/>
                <w:sz w:val="21"/>
              </w:rPr>
            </w:pPr>
            <w:r>
              <w:rPr>
                <w:rFonts w:ascii="Arial"/>
                <w:sz w:val="21"/>
              </w:rPr>
              <w:t>8</w:t>
            </w:r>
          </w:p>
        </w:tc>
        <w:tc>
          <w:tcPr>
            <w:tcW w:w="1269" w:type="dxa"/>
          </w:tcPr>
          <w:p>
            <w:pPr>
              <w:pStyle w:val="22"/>
              <w:rPr>
                <w:rFonts w:ascii="Times New Roman"/>
              </w:rPr>
            </w:pPr>
          </w:p>
        </w:tc>
        <w:tc>
          <w:tcPr>
            <w:tcW w:w="1547" w:type="dxa"/>
          </w:tcPr>
          <w:p>
            <w:pPr>
              <w:pStyle w:val="22"/>
              <w:rPr>
                <w:rFonts w:ascii="Times New Roman"/>
              </w:rPr>
            </w:pPr>
          </w:p>
        </w:tc>
        <w:tc>
          <w:tcPr>
            <w:tcW w:w="1581" w:type="dxa"/>
          </w:tcPr>
          <w:p>
            <w:pPr>
              <w:pStyle w:val="22"/>
              <w:rPr>
                <w:rFonts w:ascii="Times New Roman"/>
              </w:rPr>
            </w:pPr>
          </w:p>
        </w:tc>
        <w:tc>
          <w:tcPr>
            <w:tcW w:w="1400" w:type="dxa"/>
          </w:tcPr>
          <w:p>
            <w:pPr>
              <w:pStyle w:val="22"/>
              <w:rPr>
                <w:rFonts w:ascii="Times New Roman"/>
              </w:rPr>
            </w:pPr>
          </w:p>
        </w:tc>
        <w:tc>
          <w:tcPr>
            <w:tcW w:w="1132" w:type="dxa"/>
          </w:tcPr>
          <w:p>
            <w:pPr>
              <w:pStyle w:val="22"/>
              <w:rPr>
                <w:rFonts w:ascii="Times New Roman"/>
              </w:rPr>
            </w:pPr>
          </w:p>
        </w:tc>
        <w:tc>
          <w:tcPr>
            <w:tcW w:w="1432" w:type="dxa"/>
          </w:tcPr>
          <w:p>
            <w:pPr>
              <w:pStyle w:val="22"/>
              <w:rPr>
                <w:rFonts w:ascii="Times New Roman"/>
              </w:rPr>
            </w:pPr>
          </w:p>
        </w:tc>
        <w:tc>
          <w:tcPr>
            <w:tcW w:w="1433" w:type="dxa"/>
          </w:tcPr>
          <w:p>
            <w:pPr>
              <w:pStyle w:val="22"/>
              <w:rPr>
                <w:rFonts w:ascii="Times New Roman"/>
              </w:rPr>
            </w:pPr>
          </w:p>
        </w:tc>
        <w:tc>
          <w:tcPr>
            <w:tcW w:w="2052" w:type="dxa"/>
          </w:tcPr>
          <w:p>
            <w:pPr>
              <w:pStyle w:val="22"/>
              <w:rPr>
                <w:rFonts w:ascii="Times New Roman"/>
              </w:rPr>
            </w:pPr>
          </w:p>
        </w:tc>
        <w:tc>
          <w:tcPr>
            <w:tcW w:w="1352" w:type="dxa"/>
          </w:tcPr>
          <w:p>
            <w:pPr>
              <w:pStyle w:val="22"/>
              <w:rPr>
                <w:rFonts w:ascii="Times New Roman"/>
              </w:rPr>
            </w:pPr>
          </w:p>
        </w:tc>
      </w:tr>
    </w:tbl>
    <w:p>
      <w:pPr>
        <w:rPr>
          <w:rFonts w:ascii="Times New Roman"/>
        </w:rPr>
        <w:sectPr>
          <w:footerReference r:id="rId4" w:type="default"/>
          <w:pgSz w:w="16840" w:h="11910" w:orient="landscape"/>
          <w:pgMar w:top="1100" w:right="1380" w:bottom="1160" w:left="1340" w:header="0" w:footer="974" w:gutter="0"/>
          <w:cols w:space="720" w:num="1"/>
        </w:sectPr>
      </w:pPr>
    </w:p>
    <w:p>
      <w:pPr>
        <w:spacing w:before="43" w:after="14"/>
        <w:ind w:left="880"/>
        <w:rPr>
          <w:rFonts w:ascii="仿宋" w:eastAsia="仿宋"/>
          <w:sz w:val="30"/>
        </w:rPr>
      </w:pPr>
      <w:r>
        <w:rPr>
          <w:rFonts w:hint="eastAsia" w:ascii="仿宋" w:eastAsia="仿宋"/>
          <w:sz w:val="30"/>
        </w:rPr>
        <w:t>附件 2：环境资料信息：</w:t>
      </w:r>
    </w:p>
    <w:tbl>
      <w:tblPr>
        <w:tblStyle w:val="14"/>
        <w:tblW w:w="0" w:type="auto"/>
        <w:tblInd w:w="5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8"/>
        <w:gridCol w:w="7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2" w:hRule="atLeast"/>
        </w:trPr>
        <w:tc>
          <w:tcPr>
            <w:tcW w:w="1898" w:type="dxa"/>
          </w:tcPr>
          <w:p>
            <w:pPr>
              <w:pStyle w:val="22"/>
              <w:rPr>
                <w:rFonts w:ascii="仿宋"/>
                <w:sz w:val="20"/>
              </w:rPr>
            </w:pPr>
          </w:p>
          <w:p>
            <w:pPr>
              <w:pStyle w:val="22"/>
              <w:rPr>
                <w:rFonts w:ascii="仿宋"/>
                <w:sz w:val="20"/>
              </w:rPr>
            </w:pPr>
          </w:p>
          <w:p>
            <w:pPr>
              <w:pStyle w:val="22"/>
              <w:rPr>
                <w:rFonts w:ascii="仿宋"/>
                <w:sz w:val="20"/>
              </w:rPr>
            </w:pPr>
          </w:p>
          <w:p>
            <w:pPr>
              <w:pStyle w:val="22"/>
              <w:rPr>
                <w:rFonts w:ascii="仿宋"/>
                <w:sz w:val="20"/>
              </w:rPr>
            </w:pPr>
          </w:p>
          <w:p>
            <w:pPr>
              <w:pStyle w:val="22"/>
              <w:rPr>
                <w:rFonts w:ascii="仿宋"/>
                <w:sz w:val="20"/>
              </w:rPr>
            </w:pPr>
          </w:p>
          <w:p>
            <w:pPr>
              <w:pStyle w:val="22"/>
              <w:rPr>
                <w:rFonts w:ascii="仿宋"/>
                <w:sz w:val="20"/>
              </w:rPr>
            </w:pPr>
          </w:p>
          <w:p>
            <w:pPr>
              <w:pStyle w:val="22"/>
              <w:rPr>
                <w:rFonts w:ascii="仿宋"/>
                <w:sz w:val="20"/>
              </w:rPr>
            </w:pPr>
          </w:p>
          <w:p>
            <w:pPr>
              <w:pStyle w:val="22"/>
              <w:rPr>
                <w:rFonts w:ascii="仿宋"/>
                <w:sz w:val="20"/>
              </w:rPr>
            </w:pPr>
          </w:p>
          <w:p>
            <w:pPr>
              <w:pStyle w:val="22"/>
              <w:rPr>
                <w:rFonts w:ascii="仿宋"/>
                <w:sz w:val="20"/>
              </w:rPr>
            </w:pPr>
          </w:p>
          <w:p>
            <w:pPr>
              <w:pStyle w:val="22"/>
              <w:rPr>
                <w:rFonts w:ascii="仿宋"/>
                <w:sz w:val="20"/>
              </w:rPr>
            </w:pPr>
          </w:p>
          <w:p>
            <w:pPr>
              <w:pStyle w:val="22"/>
              <w:rPr>
                <w:rFonts w:ascii="仿宋"/>
                <w:sz w:val="20"/>
              </w:rPr>
            </w:pPr>
          </w:p>
          <w:p>
            <w:pPr>
              <w:pStyle w:val="22"/>
              <w:rPr>
                <w:rFonts w:ascii="仿宋"/>
                <w:sz w:val="20"/>
              </w:rPr>
            </w:pPr>
          </w:p>
          <w:p>
            <w:pPr>
              <w:pStyle w:val="22"/>
              <w:spacing w:before="142"/>
              <w:ind w:left="86" w:right="79"/>
              <w:jc w:val="center"/>
              <w:rPr>
                <w:sz w:val="21"/>
              </w:rPr>
            </w:pPr>
            <w:r>
              <w:rPr>
                <w:sz w:val="21"/>
              </w:rPr>
              <w:t>IP 范围</w:t>
            </w:r>
          </w:p>
        </w:tc>
        <w:tc>
          <w:tcPr>
            <w:tcW w:w="7096" w:type="dxa"/>
          </w:tcPr>
          <w:p>
            <w:pPr>
              <w:pStyle w:val="22"/>
              <w:spacing w:before="43"/>
              <w:ind w:left="105"/>
              <w:rPr>
                <w:sz w:val="21"/>
                <w:highlight w:val="none"/>
              </w:rPr>
            </w:pPr>
            <w:r>
              <w:rPr>
                <w:rFonts w:hint="eastAsia"/>
                <w:sz w:val="21"/>
                <w:highlight w:val="none"/>
              </w:rPr>
              <w:t>202.201.240.1-202.201.255.255</w:t>
            </w:r>
          </w:p>
          <w:p>
            <w:pPr>
              <w:pStyle w:val="22"/>
              <w:spacing w:before="43"/>
              <w:ind w:left="105"/>
              <w:rPr>
                <w:sz w:val="21"/>
                <w:highlight w:val="none"/>
              </w:rPr>
            </w:pPr>
            <w:r>
              <w:rPr>
                <w:rFonts w:hint="eastAsia"/>
                <w:sz w:val="21"/>
                <w:highlight w:val="none"/>
              </w:rPr>
              <w:t>202.201.216.1-202.201.219.255</w:t>
            </w:r>
          </w:p>
          <w:p>
            <w:pPr>
              <w:pStyle w:val="22"/>
              <w:spacing w:before="43"/>
              <w:ind w:left="105"/>
              <w:rPr>
                <w:sz w:val="21"/>
                <w:highlight w:val="none"/>
              </w:rPr>
            </w:pPr>
            <w:r>
              <w:rPr>
                <w:rFonts w:hint="eastAsia"/>
                <w:sz w:val="21"/>
                <w:highlight w:val="none"/>
              </w:rPr>
              <w:t>218.195.224.1-218.195.255.255</w:t>
            </w:r>
          </w:p>
          <w:p>
            <w:pPr>
              <w:pStyle w:val="22"/>
              <w:spacing w:before="43"/>
              <w:ind w:left="105"/>
              <w:rPr>
                <w:sz w:val="21"/>
                <w:highlight w:val="none"/>
              </w:rPr>
            </w:pPr>
            <w:r>
              <w:rPr>
                <w:rFonts w:hint="eastAsia"/>
                <w:sz w:val="21"/>
                <w:highlight w:val="none"/>
              </w:rPr>
              <w:t>219.247.48.1-219.247.63.255</w:t>
            </w:r>
          </w:p>
          <w:p>
            <w:pPr>
              <w:pStyle w:val="22"/>
              <w:spacing w:before="43"/>
              <w:ind w:left="105"/>
              <w:rPr>
                <w:sz w:val="21"/>
                <w:highlight w:val="none"/>
              </w:rPr>
            </w:pPr>
            <w:r>
              <w:rPr>
                <w:rFonts w:hint="eastAsia"/>
                <w:sz w:val="21"/>
                <w:highlight w:val="none"/>
              </w:rPr>
              <w:t>59.75.128.1-59.75.135.255</w:t>
            </w:r>
          </w:p>
          <w:p>
            <w:pPr>
              <w:pStyle w:val="22"/>
              <w:spacing w:before="43"/>
              <w:ind w:left="105"/>
              <w:rPr>
                <w:sz w:val="21"/>
                <w:highlight w:val="none"/>
              </w:rPr>
            </w:pPr>
            <w:r>
              <w:rPr>
                <w:rFonts w:hint="eastAsia"/>
                <w:sz w:val="21"/>
                <w:highlight w:val="none"/>
              </w:rPr>
              <w:t>120.95.240.1-120.95.255.255</w:t>
            </w:r>
          </w:p>
          <w:p>
            <w:pPr>
              <w:pStyle w:val="22"/>
              <w:spacing w:before="43"/>
              <w:ind w:left="105"/>
              <w:rPr>
                <w:sz w:val="21"/>
                <w:highlight w:val="none"/>
              </w:rPr>
            </w:pPr>
            <w:r>
              <w:rPr>
                <w:rFonts w:hint="eastAsia"/>
                <w:sz w:val="21"/>
                <w:highlight w:val="none"/>
              </w:rPr>
              <w:t>111.115.64.1-111.115.79.255</w:t>
            </w:r>
          </w:p>
          <w:p>
            <w:pPr>
              <w:pStyle w:val="22"/>
              <w:spacing w:before="43"/>
              <w:ind w:left="105"/>
              <w:rPr>
                <w:sz w:val="21"/>
                <w:highlight w:val="none"/>
              </w:rPr>
            </w:pPr>
            <w:r>
              <w:rPr>
                <w:rFonts w:hint="eastAsia"/>
                <w:sz w:val="21"/>
                <w:highlight w:val="none"/>
              </w:rPr>
              <w:t>202..127.253.1-202.127.253.63</w:t>
            </w:r>
          </w:p>
          <w:p>
            <w:pPr>
              <w:pStyle w:val="22"/>
              <w:spacing w:before="43"/>
              <w:ind w:left="105"/>
              <w:rPr>
                <w:sz w:val="21"/>
                <w:highlight w:val="none"/>
              </w:rPr>
            </w:pPr>
            <w:r>
              <w:rPr>
                <w:rFonts w:hint="eastAsia"/>
                <w:sz w:val="21"/>
                <w:highlight w:val="none"/>
              </w:rPr>
              <w:t>202.201.188.1-202.201.191.255</w:t>
            </w:r>
          </w:p>
          <w:p>
            <w:pPr>
              <w:pStyle w:val="22"/>
              <w:spacing w:before="43"/>
              <w:ind w:left="105"/>
              <w:rPr>
                <w:sz w:val="21"/>
                <w:highlight w:val="none"/>
              </w:rPr>
            </w:pPr>
            <w:r>
              <w:rPr>
                <w:rFonts w:hint="eastAsia"/>
                <w:sz w:val="21"/>
                <w:highlight w:val="none"/>
              </w:rPr>
              <w:t>124.117.210.64-124.117.210.127</w:t>
            </w:r>
          </w:p>
          <w:p>
            <w:pPr>
              <w:pStyle w:val="22"/>
              <w:spacing w:before="43"/>
              <w:ind w:left="105"/>
              <w:rPr>
                <w:sz w:val="21"/>
                <w:highlight w:val="none"/>
              </w:rPr>
            </w:pPr>
            <w:r>
              <w:rPr>
                <w:rFonts w:hint="eastAsia"/>
                <w:sz w:val="21"/>
                <w:highlight w:val="none"/>
              </w:rPr>
              <w:t>220.171.158.96-220.171.158.127</w:t>
            </w:r>
          </w:p>
          <w:p>
            <w:pPr>
              <w:pStyle w:val="22"/>
              <w:spacing w:before="43"/>
              <w:ind w:left="105"/>
              <w:rPr>
                <w:sz w:val="21"/>
                <w:highlight w:val="none"/>
              </w:rPr>
            </w:pPr>
            <w:r>
              <w:rPr>
                <w:rFonts w:hint="eastAsia"/>
                <w:sz w:val="21"/>
                <w:highlight w:val="none"/>
              </w:rPr>
              <w:t>117.146.58.64-117.146.58.127</w:t>
            </w:r>
          </w:p>
          <w:p>
            <w:pPr>
              <w:pStyle w:val="22"/>
              <w:spacing w:before="43"/>
              <w:ind w:left="105"/>
              <w:rPr>
                <w:sz w:val="21"/>
                <w:highlight w:val="none"/>
              </w:rPr>
            </w:pPr>
            <w:r>
              <w:rPr>
                <w:rFonts w:hint="eastAsia"/>
                <w:sz w:val="21"/>
                <w:highlight w:val="none"/>
              </w:rPr>
              <w:t>117.190.27.1-117.190.27.63</w:t>
            </w:r>
          </w:p>
          <w:p>
            <w:pPr>
              <w:pStyle w:val="22"/>
              <w:spacing w:before="43"/>
              <w:ind w:left="105"/>
              <w:rPr>
                <w:sz w:val="21"/>
                <w:highlight w:val="none"/>
              </w:rPr>
            </w:pPr>
            <w:r>
              <w:rPr>
                <w:rFonts w:hint="eastAsia"/>
                <w:sz w:val="21"/>
                <w:highlight w:val="none"/>
              </w:rPr>
              <w:t>124.88.101.192-124.88.101.223</w:t>
            </w:r>
          </w:p>
          <w:p>
            <w:pPr>
              <w:pStyle w:val="22"/>
              <w:spacing w:before="43"/>
              <w:ind w:left="105"/>
              <w:rPr>
                <w:sz w:val="21"/>
              </w:rPr>
            </w:pPr>
            <w:r>
              <w:rPr>
                <w:rFonts w:hint="eastAsia"/>
                <w:sz w:val="21"/>
                <w:highlight w:val="none"/>
              </w:rPr>
              <w:t>124.88.101.224-124.88.101.240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898" w:type="dxa"/>
          </w:tcPr>
          <w:p>
            <w:pPr>
              <w:pStyle w:val="22"/>
              <w:rPr>
                <w:rFonts w:ascii="仿宋"/>
                <w:sz w:val="15"/>
              </w:rPr>
            </w:pPr>
          </w:p>
          <w:p>
            <w:pPr>
              <w:pStyle w:val="22"/>
              <w:spacing w:before="1"/>
              <w:ind w:left="89" w:right="79"/>
              <w:jc w:val="center"/>
              <w:rPr>
                <w:sz w:val="21"/>
              </w:rPr>
            </w:pPr>
            <w:r>
              <w:rPr>
                <w:sz w:val="21"/>
              </w:rPr>
              <w:t>托管数据光盘更新</w:t>
            </w:r>
          </w:p>
        </w:tc>
        <w:tc>
          <w:tcPr>
            <w:tcW w:w="7096" w:type="dxa"/>
          </w:tcPr>
          <w:p>
            <w:pPr>
              <w:pStyle w:val="22"/>
              <w:rPr>
                <w:rFonts w:ascii="仿宋"/>
                <w:sz w:val="15"/>
              </w:rPr>
            </w:pPr>
          </w:p>
          <w:p>
            <w:pPr>
              <w:pStyle w:val="22"/>
              <w:tabs>
                <w:tab w:val="left" w:pos="3046"/>
              </w:tabs>
              <w:spacing w:before="1"/>
              <w:ind w:left="105"/>
              <w:rPr>
                <w:sz w:val="21"/>
              </w:rPr>
            </w:pPr>
            <w:r>
              <w:rPr>
                <w:sz w:val="21"/>
              </w:rPr>
              <w:t>□不</w:t>
            </w:r>
            <w:r>
              <w:rPr>
                <w:spacing w:val="-3"/>
                <w:sz w:val="21"/>
              </w:rPr>
              <w:t>邮</w:t>
            </w:r>
            <w:r>
              <w:rPr>
                <w:sz w:val="21"/>
              </w:rPr>
              <w:t>寄</w:t>
            </w:r>
            <w:r>
              <w:rPr>
                <w:spacing w:val="-3"/>
                <w:sz w:val="21"/>
              </w:rPr>
              <w:t>光</w:t>
            </w:r>
            <w:r>
              <w:rPr>
                <w:sz w:val="21"/>
              </w:rPr>
              <w:t>盘□每</w:t>
            </w:r>
            <w:r>
              <w:rPr>
                <w:spacing w:val="-3"/>
                <w:sz w:val="21"/>
              </w:rPr>
              <w:t>年</w:t>
            </w:r>
            <w:r>
              <w:rPr>
                <w:sz w:val="21"/>
              </w:rPr>
              <w:t>邮寄</w:t>
            </w:r>
            <w:r>
              <w:rPr>
                <w:sz w:val="21"/>
              </w:rPr>
              <w:tab/>
            </w:r>
            <w:r>
              <w:rPr>
                <w:sz w:val="21"/>
              </w:rPr>
              <w:t>其</w:t>
            </w:r>
            <w:r>
              <w:rPr>
                <w:spacing w:val="-3"/>
                <w:sz w:val="21"/>
              </w:rPr>
              <w:t>他</w:t>
            </w:r>
            <w:r>
              <w:rPr>
                <w:sz w:val="21"/>
              </w:rPr>
              <w:t>：</w:t>
            </w:r>
          </w:p>
        </w:tc>
      </w:tr>
    </w:tbl>
    <w:p>
      <w:pPr>
        <w:pStyle w:val="10"/>
        <w:spacing w:before="9"/>
        <w:rPr>
          <w:rFonts w:ascii="仿宋"/>
          <w:sz w:val="42"/>
        </w:rPr>
      </w:pPr>
    </w:p>
    <w:p>
      <w:pPr>
        <w:pStyle w:val="10"/>
        <w:spacing w:line="410" w:lineRule="auto"/>
        <w:ind w:left="220" w:leftChars="100" w:right="389" w:rightChars="177" w:firstLine="1756" w:firstLineChars="732"/>
      </w:pPr>
      <w:r>
        <w:rPr>
          <w:rFonts w:hint="eastAsia"/>
        </w:rPr>
        <w:t>甲方（盖章）:</w:t>
      </w:r>
      <w:r>
        <w:rPr>
          <w:rFonts w:hint="eastAsia"/>
          <w:lang w:val="en-US"/>
        </w:rPr>
        <w:t xml:space="preserve">                    </w:t>
      </w:r>
      <w:r>
        <w:rPr>
          <w:rFonts w:hint="eastAsia"/>
        </w:rPr>
        <w:t xml:space="preserve">乙方（盖章）: </w:t>
      </w:r>
    </w:p>
    <w:p>
      <w:pPr>
        <w:pStyle w:val="10"/>
        <w:spacing w:line="410" w:lineRule="auto"/>
        <w:ind w:left="220" w:leftChars="100" w:right="389" w:rightChars="177" w:firstLine="1756" w:firstLineChars="732"/>
        <w:rPr>
          <w:sz w:val="27"/>
        </w:rPr>
      </w:pPr>
      <w:r>
        <w:rPr>
          <w:rFonts w:hint="eastAsia"/>
        </w:rPr>
        <w:t xml:space="preserve">甲方代表： </w:t>
      </w:r>
      <w:r>
        <w:rPr>
          <w:rFonts w:hint="eastAsia"/>
          <w:lang w:val="en-US"/>
        </w:rPr>
        <w:t xml:space="preserve">                      </w:t>
      </w:r>
      <w:r>
        <w:rPr>
          <w:rFonts w:hint="eastAsia"/>
        </w:rPr>
        <w:t>乙方代表：</w:t>
      </w:r>
    </w:p>
    <w:p>
      <w:pPr>
        <w:spacing w:line="410" w:lineRule="auto"/>
        <w:ind w:left="220" w:leftChars="100" w:right="389" w:rightChars="177" w:firstLine="1976" w:firstLineChars="732"/>
        <w:jc w:val="center"/>
        <w:rPr>
          <w:sz w:val="27"/>
        </w:rPr>
        <w:sectPr>
          <w:footerReference r:id="rId5" w:type="default"/>
          <w:pgSz w:w="11910" w:h="16840"/>
          <w:pgMar w:top="1480" w:right="920" w:bottom="1160" w:left="920" w:header="0" w:footer="974" w:gutter="0"/>
          <w:pgNumType w:start="27"/>
          <w:cols w:space="720" w:num="1"/>
        </w:sectPr>
      </w:pPr>
    </w:p>
    <w:p>
      <w:pPr>
        <w:jc w:val="center"/>
        <w:rPr>
          <w:sz w:val="30"/>
          <w:szCs w:val="30"/>
        </w:rPr>
      </w:pPr>
      <w:r>
        <w:rPr>
          <w:b/>
          <w:bCs/>
          <w:sz w:val="30"/>
          <w:szCs w:val="30"/>
        </w:rPr>
        <w:t>合同特殊条款</w:t>
      </w:r>
    </w:p>
    <w:p>
      <w:pPr>
        <w:spacing w:before="233"/>
        <w:ind w:left="1302"/>
        <w:rPr>
          <w:b/>
          <w:sz w:val="21"/>
        </w:rPr>
      </w:pPr>
    </w:p>
    <w:p>
      <w:pPr>
        <w:spacing w:before="233"/>
        <w:ind w:left="1302"/>
        <w:rPr>
          <w:b/>
          <w:sz w:val="24"/>
          <w:szCs w:val="24"/>
        </w:rPr>
      </w:pPr>
      <w:r>
        <w:rPr>
          <w:b/>
          <w:sz w:val="24"/>
          <w:szCs w:val="24"/>
        </w:rPr>
        <w:t>付款方式及服务期限</w:t>
      </w:r>
    </w:p>
    <w:p>
      <w:pPr>
        <w:pStyle w:val="10"/>
        <w:spacing w:before="6"/>
        <w:rPr>
          <w:b/>
          <w:sz w:val="15"/>
        </w:rPr>
      </w:pPr>
    </w:p>
    <w:p>
      <w:pPr>
        <w:pStyle w:val="21"/>
        <w:numPr>
          <w:ilvl w:val="0"/>
          <w:numId w:val="9"/>
        </w:numPr>
        <w:tabs>
          <w:tab w:val="left" w:pos="1513"/>
        </w:tabs>
        <w:spacing w:before="0" w:line="417" w:lineRule="auto"/>
        <w:ind w:right="732" w:firstLine="420"/>
        <w:rPr>
          <w:sz w:val="24"/>
          <w:szCs w:val="24"/>
        </w:rPr>
      </w:pPr>
      <w:r>
        <w:rPr>
          <w:sz w:val="24"/>
          <w:szCs w:val="24"/>
        </w:rPr>
        <w:t>开通电子资源访问</w:t>
      </w:r>
      <w:r>
        <w:rPr>
          <w:rFonts w:hint="eastAsia"/>
          <w:sz w:val="24"/>
          <w:szCs w:val="24"/>
          <w:lang w:val="en-US"/>
        </w:rPr>
        <w:t>且</w:t>
      </w:r>
      <w:r>
        <w:rPr>
          <w:sz w:val="24"/>
          <w:szCs w:val="24"/>
        </w:rPr>
        <w:t>双方对账无误后供应商向需方提供正规发票。需方收到发票后将款项付至供应商提供的账号。</w:t>
      </w:r>
    </w:p>
    <w:p>
      <w:pPr>
        <w:pStyle w:val="21"/>
        <w:numPr>
          <w:ilvl w:val="0"/>
          <w:numId w:val="9"/>
        </w:numPr>
        <w:tabs>
          <w:tab w:val="left" w:pos="1513"/>
        </w:tabs>
        <w:spacing w:before="0" w:line="269" w:lineRule="exact"/>
        <w:ind w:left="1512" w:hanging="212"/>
        <w:rPr>
          <w:sz w:val="24"/>
          <w:szCs w:val="24"/>
        </w:rPr>
      </w:pPr>
      <w:r>
        <w:rPr>
          <w:sz w:val="24"/>
          <w:szCs w:val="24"/>
        </w:rPr>
        <w:t>服务期限：根据合同规定执行。</w:t>
      </w:r>
    </w:p>
    <w:p>
      <w:pPr>
        <w:spacing w:line="269" w:lineRule="exact"/>
        <w:rPr>
          <w:sz w:val="21"/>
        </w:rPr>
        <w:sectPr>
          <w:pgSz w:w="11910" w:h="16840"/>
          <w:pgMar w:top="1520" w:right="920" w:bottom="1160" w:left="920" w:header="0" w:footer="974" w:gutter="0"/>
          <w:cols w:space="720" w:num="1"/>
        </w:sectPr>
      </w:pPr>
    </w:p>
    <w:p>
      <w:pPr>
        <w:spacing w:before="21" w:line="312" w:lineRule="auto"/>
        <w:ind w:right="470"/>
        <w:rPr>
          <w:bCs/>
          <w:color w:val="000000"/>
          <w:sz w:val="24"/>
          <w:u w:val="single"/>
        </w:rPr>
      </w:pPr>
      <w:bookmarkStart w:id="55" w:name="_Toc520394014"/>
      <w:r>
        <w:rPr>
          <w:rFonts w:hint="eastAsia"/>
          <w:bCs/>
          <w:color w:val="000000"/>
          <w:sz w:val="24"/>
          <w:u w:val="single"/>
        </w:rPr>
        <w:t>响应文件封面示例</w:t>
      </w:r>
      <w:bookmarkEnd w:id="55"/>
    </w:p>
    <w:p>
      <w:pPr>
        <w:jc w:val="right"/>
        <w:rPr>
          <w:b/>
          <w:color w:val="000000"/>
          <w:sz w:val="30"/>
          <w:szCs w:val="30"/>
          <w:bdr w:val="single" w:color="auto" w:sz="4" w:space="0"/>
        </w:rPr>
      </w:pPr>
      <w:bookmarkStart w:id="56" w:name="_Toc520394015"/>
      <w:r>
        <w:rPr>
          <w:rFonts w:hint="eastAsia"/>
          <w:b/>
          <w:color w:val="000000"/>
          <w:sz w:val="30"/>
          <w:szCs w:val="30"/>
          <w:bdr w:val="single" w:color="auto" w:sz="4" w:space="0"/>
        </w:rPr>
        <w:t>正/副本</w:t>
      </w:r>
      <w:bookmarkEnd w:id="56"/>
    </w:p>
    <w:p>
      <w:pPr>
        <w:pStyle w:val="13"/>
        <w:ind w:firstLine="240"/>
        <w:rPr>
          <w:rFonts w:ascii="宋体" w:hAnsi="宋体"/>
          <w:bCs/>
          <w:color w:val="000000"/>
          <w:sz w:val="24"/>
          <w:u w:val="single"/>
        </w:rPr>
      </w:pPr>
    </w:p>
    <w:p>
      <w:pPr>
        <w:pStyle w:val="13"/>
        <w:ind w:firstLine="240"/>
        <w:rPr>
          <w:rFonts w:ascii="宋体" w:hAnsi="宋体"/>
          <w:bCs/>
          <w:color w:val="000000"/>
          <w:sz w:val="24"/>
          <w:u w:val="single"/>
        </w:rPr>
      </w:pPr>
    </w:p>
    <w:p>
      <w:pPr>
        <w:jc w:val="right"/>
        <w:rPr>
          <w:b/>
          <w:color w:val="000000"/>
          <w:sz w:val="24"/>
          <w:bdr w:val="single" w:color="auto" w:sz="4" w:space="0"/>
        </w:rPr>
      </w:pPr>
    </w:p>
    <w:p>
      <w:pPr>
        <w:rPr>
          <w:b/>
          <w:color w:val="000000"/>
          <w:sz w:val="24"/>
        </w:rPr>
      </w:pPr>
    </w:p>
    <w:p>
      <w:pPr>
        <w:pStyle w:val="7"/>
        <w:ind w:firstLine="482"/>
        <w:rPr>
          <w:b/>
          <w:color w:val="000000"/>
          <w:sz w:val="24"/>
        </w:rPr>
      </w:pPr>
    </w:p>
    <w:p>
      <w:pPr>
        <w:pStyle w:val="8"/>
      </w:pPr>
    </w:p>
    <w:p>
      <w:pPr>
        <w:widowControl/>
        <w:spacing w:line="480" w:lineRule="auto"/>
        <w:jc w:val="center"/>
        <w:rPr>
          <w:b/>
          <w:sz w:val="84"/>
          <w:szCs w:val="84"/>
        </w:rPr>
      </w:pPr>
      <w:r>
        <w:rPr>
          <w:rFonts w:hint="eastAsia"/>
          <w:b/>
          <w:bCs/>
          <w:spacing w:val="2"/>
          <w:sz w:val="84"/>
          <w:szCs w:val="84"/>
        </w:rPr>
        <w:t>单一来源响应文件</w:t>
      </w:r>
    </w:p>
    <w:p>
      <w:pPr>
        <w:widowControl/>
        <w:spacing w:line="480" w:lineRule="auto"/>
        <w:ind w:firstLine="1325" w:firstLineChars="440"/>
        <w:rPr>
          <w:b/>
          <w:szCs w:val="30"/>
          <w:u w:val="single"/>
          <w:lang w:val="en-US"/>
        </w:rPr>
      </w:pPr>
      <w:r>
        <w:rPr>
          <w:rFonts w:hint="eastAsia"/>
          <w:b/>
          <w:sz w:val="30"/>
          <w:szCs w:val="30"/>
          <w:lang w:bidi="ar"/>
        </w:rPr>
        <w:t>项目名称：</w:t>
      </w:r>
      <w:r>
        <w:rPr>
          <w:rFonts w:hint="eastAsia"/>
          <w:b/>
          <w:szCs w:val="30"/>
          <w:u w:val="single"/>
          <w:lang w:val="en-US"/>
        </w:rPr>
        <w:t xml:space="preserve">                                                    </w:t>
      </w:r>
    </w:p>
    <w:p>
      <w:pPr>
        <w:widowControl/>
        <w:spacing w:line="480" w:lineRule="auto"/>
        <w:ind w:firstLine="1325" w:firstLineChars="440"/>
        <w:rPr>
          <w:b/>
          <w:sz w:val="30"/>
          <w:szCs w:val="30"/>
          <w:u w:val="single"/>
          <w:lang w:val="en-US" w:bidi="ar"/>
        </w:rPr>
      </w:pPr>
      <w:r>
        <w:rPr>
          <w:rFonts w:hint="eastAsia"/>
          <w:b/>
          <w:sz w:val="30"/>
          <w:szCs w:val="30"/>
          <w:lang w:bidi="ar"/>
        </w:rPr>
        <w:t>项目编号：</w:t>
      </w:r>
      <w:r>
        <w:rPr>
          <w:rFonts w:hint="eastAsia"/>
          <w:b/>
          <w:sz w:val="30"/>
          <w:szCs w:val="30"/>
          <w:u w:val="single"/>
          <w:lang w:val="en-US" w:bidi="ar"/>
        </w:rPr>
        <w:t xml:space="preserve">                                      </w:t>
      </w:r>
    </w:p>
    <w:p>
      <w:pPr>
        <w:pStyle w:val="7"/>
        <w:ind w:firstLine="1325" w:firstLineChars="440"/>
        <w:rPr>
          <w:b/>
          <w:sz w:val="30"/>
          <w:szCs w:val="30"/>
          <w:u w:val="single"/>
          <w:lang w:val="en-US" w:bidi="ar"/>
        </w:rPr>
      </w:pPr>
      <w:r>
        <w:rPr>
          <w:rFonts w:hint="eastAsia"/>
          <w:b/>
          <w:sz w:val="30"/>
          <w:szCs w:val="30"/>
          <w:lang w:val="en-US" w:bidi="ar"/>
        </w:rPr>
        <w:t>标项号及标项名称：</w:t>
      </w:r>
      <w:r>
        <w:rPr>
          <w:rFonts w:hint="eastAsia"/>
          <w:b/>
          <w:sz w:val="30"/>
          <w:szCs w:val="30"/>
          <w:u w:val="single"/>
          <w:lang w:val="en-US" w:bidi="ar"/>
        </w:rPr>
        <w:t xml:space="preserve">                              </w:t>
      </w:r>
    </w:p>
    <w:p>
      <w:pPr>
        <w:widowControl/>
        <w:spacing w:line="480" w:lineRule="auto"/>
        <w:ind w:firstLine="1325" w:firstLineChars="440"/>
        <w:rPr>
          <w:b/>
          <w:sz w:val="30"/>
          <w:szCs w:val="30"/>
          <w:lang w:bidi="ar"/>
        </w:rPr>
      </w:pPr>
    </w:p>
    <w:p>
      <w:pPr>
        <w:widowControl/>
        <w:spacing w:line="480" w:lineRule="auto"/>
        <w:ind w:firstLine="1584" w:firstLineChars="440"/>
        <w:jc w:val="center"/>
        <w:rPr>
          <w:sz w:val="36"/>
          <w:szCs w:val="36"/>
        </w:rPr>
      </w:pPr>
    </w:p>
    <w:p>
      <w:pPr>
        <w:pStyle w:val="8"/>
      </w:pPr>
    </w:p>
    <w:p>
      <w:pPr>
        <w:widowControl/>
        <w:spacing w:line="480" w:lineRule="auto"/>
        <w:ind w:firstLine="1325" w:firstLineChars="440"/>
        <w:rPr>
          <w:b/>
          <w:sz w:val="30"/>
          <w:szCs w:val="30"/>
          <w:lang w:bidi="ar"/>
        </w:rPr>
      </w:pPr>
    </w:p>
    <w:p>
      <w:pPr>
        <w:widowControl/>
        <w:spacing w:line="480" w:lineRule="auto"/>
        <w:ind w:firstLine="1325" w:firstLineChars="440"/>
        <w:rPr>
          <w:rFonts w:ascii="Times New Roman" w:eastAsia="Times New Roman"/>
        </w:rPr>
      </w:pPr>
      <w:r>
        <w:rPr>
          <w:rFonts w:hint="eastAsia"/>
          <w:b/>
          <w:sz w:val="30"/>
          <w:szCs w:val="30"/>
          <w:lang w:bidi="ar"/>
        </w:rPr>
        <w:t>供应商名称（公章）：</w:t>
      </w:r>
      <w:r>
        <w:rPr>
          <w:rFonts w:hint="eastAsia"/>
          <w:b/>
          <w:sz w:val="30"/>
          <w:szCs w:val="30"/>
          <w:u w:val="single"/>
          <w:lang w:val="en-US" w:bidi="ar"/>
        </w:rPr>
        <w:t xml:space="preserve">                               </w:t>
      </w:r>
      <w:r>
        <w:rPr>
          <w:rFonts w:hint="eastAsia"/>
          <w:b/>
          <w:sz w:val="30"/>
          <w:szCs w:val="30"/>
          <w:lang w:bidi="ar"/>
        </w:rPr>
        <w:t xml:space="preserve"> </w:t>
      </w:r>
      <w:r>
        <w:rPr>
          <w:rFonts w:hint="eastAsia"/>
          <w:b/>
          <w:sz w:val="30"/>
          <w:szCs w:val="30"/>
          <w:lang w:bidi="ar"/>
        </w:rPr>
        <w:tab/>
      </w:r>
    </w:p>
    <w:p>
      <w:pPr>
        <w:widowControl/>
        <w:spacing w:line="480" w:lineRule="auto"/>
        <w:ind w:firstLine="1325" w:firstLineChars="440"/>
        <w:rPr>
          <w:b/>
          <w:sz w:val="30"/>
          <w:szCs w:val="30"/>
          <w:lang w:bidi="ar"/>
        </w:rPr>
      </w:pPr>
      <w:r>
        <w:rPr>
          <w:rFonts w:hint="eastAsia"/>
          <w:b/>
          <w:sz w:val="30"/>
          <w:szCs w:val="30"/>
          <w:lang w:bidi="ar"/>
        </w:rPr>
        <w:t>法定代表人或其授权代表（签字或盖章）：</w:t>
      </w:r>
      <w:r>
        <w:rPr>
          <w:rFonts w:hint="eastAsia"/>
          <w:b/>
          <w:sz w:val="30"/>
          <w:szCs w:val="30"/>
          <w:u w:val="single"/>
          <w:lang w:val="en-US" w:bidi="ar"/>
        </w:rPr>
        <w:t xml:space="preserve">             </w:t>
      </w:r>
      <w:r>
        <w:rPr>
          <w:rFonts w:hint="eastAsia"/>
          <w:b/>
          <w:sz w:val="30"/>
          <w:szCs w:val="30"/>
          <w:lang w:bidi="ar"/>
        </w:rPr>
        <w:t xml:space="preserve"> </w:t>
      </w:r>
      <w:r>
        <w:rPr>
          <w:rFonts w:hint="eastAsia"/>
          <w:b/>
          <w:sz w:val="30"/>
          <w:szCs w:val="30"/>
          <w:lang w:bidi="ar"/>
        </w:rPr>
        <w:tab/>
      </w:r>
      <w:r>
        <w:rPr>
          <w:rFonts w:hint="eastAsia"/>
          <w:b/>
          <w:sz w:val="30"/>
          <w:szCs w:val="30"/>
          <w:lang w:bidi="ar"/>
        </w:rPr>
        <w:t xml:space="preserve"> </w:t>
      </w:r>
    </w:p>
    <w:p>
      <w:pPr>
        <w:widowControl/>
        <w:spacing w:line="480" w:lineRule="auto"/>
        <w:ind w:firstLine="1325" w:firstLineChars="440"/>
        <w:rPr>
          <w:b/>
          <w:sz w:val="30"/>
          <w:szCs w:val="30"/>
          <w:u w:val="single"/>
          <w:lang w:val="en-US" w:bidi="ar"/>
        </w:rPr>
      </w:pPr>
      <w:r>
        <w:rPr>
          <w:rFonts w:hint="eastAsia"/>
          <w:b/>
          <w:sz w:val="30"/>
          <w:szCs w:val="30"/>
          <w:lang w:bidi="ar"/>
        </w:rPr>
        <w:t>联系电话：</w:t>
      </w:r>
      <w:r>
        <w:rPr>
          <w:rFonts w:hint="eastAsia"/>
          <w:b/>
          <w:sz w:val="30"/>
          <w:szCs w:val="30"/>
          <w:u w:val="single"/>
          <w:lang w:val="en-US" w:bidi="ar"/>
        </w:rPr>
        <w:t xml:space="preserve">                                         </w:t>
      </w:r>
    </w:p>
    <w:p>
      <w:pPr>
        <w:widowControl/>
        <w:spacing w:line="480" w:lineRule="auto"/>
        <w:ind w:firstLine="1325" w:firstLineChars="440"/>
        <w:rPr>
          <w:b/>
          <w:sz w:val="30"/>
          <w:szCs w:val="30"/>
          <w:lang w:bidi="ar"/>
        </w:rPr>
        <w:sectPr>
          <w:footerReference r:id="rId6" w:type="default"/>
          <w:pgSz w:w="11910" w:h="16840"/>
          <w:pgMar w:top="1580" w:right="880" w:bottom="1080" w:left="880" w:header="720" w:footer="894" w:gutter="0"/>
          <w:pgNumType w:start="1"/>
          <w:cols w:space="720" w:num="1"/>
        </w:sectPr>
      </w:pPr>
      <w:r>
        <w:rPr>
          <w:rFonts w:hint="eastAsia"/>
          <w:b/>
          <w:sz w:val="30"/>
          <w:szCs w:val="30"/>
          <w:lang w:bidi="ar"/>
        </w:rPr>
        <w:t>日</w:t>
      </w:r>
      <w:r>
        <w:rPr>
          <w:rFonts w:hint="eastAsia"/>
          <w:b/>
          <w:sz w:val="30"/>
          <w:szCs w:val="30"/>
          <w:lang w:val="en-US" w:bidi="ar"/>
        </w:rPr>
        <w:t xml:space="preserve">    </w:t>
      </w:r>
      <w:r>
        <w:rPr>
          <w:rFonts w:hint="eastAsia"/>
          <w:b/>
          <w:sz w:val="30"/>
          <w:szCs w:val="30"/>
          <w:lang w:bidi="ar"/>
        </w:rPr>
        <w:t>期：</w:t>
      </w:r>
      <w:r>
        <w:rPr>
          <w:rFonts w:hint="eastAsia"/>
          <w:b/>
          <w:sz w:val="30"/>
          <w:szCs w:val="30"/>
          <w:u w:val="single"/>
          <w:lang w:bidi="ar"/>
        </w:rPr>
        <w:t xml:space="preserve"> </w:t>
      </w:r>
      <w:r>
        <w:rPr>
          <w:rFonts w:hint="eastAsia"/>
          <w:b/>
          <w:sz w:val="30"/>
          <w:szCs w:val="30"/>
          <w:u w:val="single"/>
          <w:lang w:val="en-US" w:bidi="ar"/>
        </w:rPr>
        <w:t xml:space="preserve">     </w:t>
      </w:r>
      <w:r>
        <w:rPr>
          <w:rFonts w:hint="eastAsia"/>
          <w:b/>
          <w:sz w:val="30"/>
          <w:szCs w:val="30"/>
          <w:u w:val="single"/>
          <w:lang w:bidi="ar"/>
        </w:rPr>
        <w:tab/>
      </w:r>
      <w:r>
        <w:rPr>
          <w:rFonts w:hint="eastAsia"/>
          <w:b/>
          <w:sz w:val="30"/>
          <w:szCs w:val="30"/>
          <w:lang w:bidi="ar"/>
        </w:rPr>
        <w:t>年</w:t>
      </w:r>
      <w:r>
        <w:rPr>
          <w:rFonts w:hint="eastAsia"/>
          <w:b/>
          <w:sz w:val="30"/>
          <w:szCs w:val="30"/>
          <w:u w:val="single"/>
          <w:lang w:bidi="ar"/>
        </w:rPr>
        <w:t xml:space="preserve"> </w:t>
      </w:r>
      <w:r>
        <w:rPr>
          <w:rFonts w:hint="eastAsia"/>
          <w:b/>
          <w:sz w:val="30"/>
          <w:szCs w:val="30"/>
          <w:u w:val="single"/>
          <w:lang w:val="en-US" w:bidi="ar"/>
        </w:rPr>
        <w:t xml:space="preserve">  </w:t>
      </w:r>
      <w:r>
        <w:rPr>
          <w:rFonts w:hint="eastAsia"/>
          <w:b/>
          <w:sz w:val="30"/>
          <w:szCs w:val="30"/>
          <w:u w:val="single"/>
          <w:lang w:bidi="ar"/>
        </w:rPr>
        <w:tab/>
      </w:r>
      <w:r>
        <w:rPr>
          <w:rFonts w:hint="eastAsia"/>
          <w:b/>
          <w:sz w:val="30"/>
          <w:szCs w:val="30"/>
          <w:lang w:bidi="ar"/>
        </w:rPr>
        <w:t>月</w:t>
      </w:r>
      <w:r>
        <w:rPr>
          <w:rFonts w:hint="eastAsia"/>
          <w:b/>
          <w:sz w:val="30"/>
          <w:szCs w:val="30"/>
          <w:u w:val="single"/>
          <w:lang w:bidi="ar"/>
        </w:rPr>
        <w:t xml:space="preserve"> </w:t>
      </w:r>
      <w:r>
        <w:rPr>
          <w:rFonts w:hint="eastAsia"/>
          <w:b/>
          <w:sz w:val="30"/>
          <w:szCs w:val="30"/>
          <w:u w:val="single"/>
          <w:lang w:bidi="ar"/>
        </w:rPr>
        <w:tab/>
      </w:r>
      <w:r>
        <w:rPr>
          <w:rFonts w:hint="eastAsia"/>
          <w:b/>
          <w:sz w:val="30"/>
          <w:szCs w:val="30"/>
          <w:u w:val="single"/>
          <w:lang w:val="en-US" w:bidi="ar"/>
        </w:rPr>
        <w:t xml:space="preserve">    </w:t>
      </w:r>
      <w:r>
        <w:rPr>
          <w:rFonts w:hint="eastAsia"/>
          <w:b/>
          <w:sz w:val="30"/>
          <w:szCs w:val="30"/>
          <w:lang w:bidi="ar"/>
        </w:rPr>
        <w:t>日</w:t>
      </w:r>
    </w:p>
    <w:p>
      <w:pPr>
        <w:pStyle w:val="10"/>
        <w:spacing w:before="11"/>
        <w:rPr>
          <w:sz w:val="16"/>
        </w:rPr>
      </w:pPr>
    </w:p>
    <w:p>
      <w:pPr>
        <w:pStyle w:val="4"/>
        <w:rPr>
          <w:sz w:val="24"/>
        </w:rPr>
      </w:pPr>
      <w:r>
        <w:rPr>
          <w:sz w:val="24"/>
        </w:rPr>
        <w:t>第四章</w:t>
      </w:r>
      <w:r>
        <w:rPr>
          <w:sz w:val="24"/>
        </w:rPr>
        <w:tab/>
      </w:r>
      <w:r>
        <w:rPr>
          <w:sz w:val="24"/>
        </w:rPr>
        <w:t>响应文件组成</w:t>
      </w:r>
    </w:p>
    <w:p>
      <w:pPr>
        <w:jc w:val="center"/>
        <w:rPr>
          <w:sz w:val="24"/>
        </w:rPr>
      </w:pPr>
    </w:p>
    <w:p>
      <w:pPr>
        <w:jc w:val="center"/>
        <w:rPr>
          <w:b/>
          <w:bCs/>
          <w:sz w:val="24"/>
        </w:rPr>
      </w:pPr>
      <w:r>
        <w:rPr>
          <w:b/>
          <w:bCs/>
          <w:sz w:val="24"/>
        </w:rPr>
        <w:t>商务部</w:t>
      </w:r>
      <w:r>
        <w:rPr>
          <w:b/>
          <w:bCs/>
          <w:spacing w:val="-18"/>
          <w:sz w:val="24"/>
        </w:rPr>
        <w:t>分</w:t>
      </w:r>
      <w:r>
        <w:rPr>
          <w:rFonts w:hint="eastAsia"/>
          <w:b/>
          <w:bCs/>
          <w:spacing w:val="-18"/>
          <w:sz w:val="24"/>
        </w:rPr>
        <w:t>格式</w:t>
      </w:r>
    </w:p>
    <w:p>
      <w:pPr>
        <w:pStyle w:val="10"/>
        <w:spacing w:line="244" w:lineRule="exact"/>
        <w:ind w:left="1360"/>
      </w:pPr>
    </w:p>
    <w:p>
      <w:pPr>
        <w:pStyle w:val="10"/>
        <w:spacing w:line="244" w:lineRule="exact"/>
        <w:ind w:left="1360"/>
        <w:rPr>
          <w:b/>
          <w:bCs/>
        </w:rPr>
      </w:pPr>
      <w:r>
        <w:rPr>
          <w:b/>
          <w:bCs/>
        </w:rPr>
        <w:t>一、协商响应声明(格式附后)</w:t>
      </w:r>
    </w:p>
    <w:p>
      <w:pPr>
        <w:pStyle w:val="10"/>
        <w:tabs>
          <w:tab w:val="left" w:pos="2620"/>
        </w:tabs>
        <w:spacing w:before="160" w:line="364" w:lineRule="auto"/>
        <w:ind w:left="1360" w:right="2162"/>
      </w:pPr>
      <w:r>
        <w:t>附件</w:t>
      </w:r>
      <w:r>
        <w:rPr>
          <w:spacing w:val="-60"/>
        </w:rPr>
        <w:t xml:space="preserve"> </w:t>
      </w:r>
      <w:r>
        <w:t>1－1</w:t>
      </w:r>
      <w:r>
        <w:tab/>
      </w:r>
      <w:r>
        <w:t>法定代表人身份证明复印件(法定代表人参加协商</w:t>
      </w:r>
      <w:r>
        <w:rPr>
          <w:spacing w:val="-17"/>
        </w:rPr>
        <w:t xml:space="preserve">) </w:t>
      </w:r>
      <w:r>
        <w:t>附件</w:t>
      </w:r>
      <w:r>
        <w:rPr>
          <w:spacing w:val="-60"/>
        </w:rPr>
        <w:t xml:space="preserve"> </w:t>
      </w:r>
      <w:r>
        <w:t>1－2</w:t>
      </w:r>
      <w:r>
        <w:tab/>
      </w:r>
      <w:r>
        <w:t>法定代表人授权书(非法定代表人参加协商)</w:t>
      </w:r>
    </w:p>
    <w:p>
      <w:pPr>
        <w:pStyle w:val="10"/>
        <w:tabs>
          <w:tab w:val="left" w:pos="2620"/>
        </w:tabs>
        <w:spacing w:before="1" w:line="364" w:lineRule="auto"/>
        <w:ind w:left="1360" w:right="4383"/>
      </w:pPr>
      <w:r>
        <w:rPr>
          <w:b/>
          <w:bCs/>
        </w:rPr>
        <w:t>二、报价一览表及分项价格表(格式附后</w:t>
      </w:r>
      <w:r>
        <w:rPr>
          <w:b/>
          <w:bCs/>
          <w:spacing w:val="-17"/>
        </w:rPr>
        <w:t xml:space="preserve">) </w:t>
      </w:r>
      <w:r>
        <w:t>附件</w:t>
      </w:r>
      <w:r>
        <w:rPr>
          <w:spacing w:val="-60"/>
        </w:rPr>
        <w:t xml:space="preserve"> </w:t>
      </w:r>
      <w:r>
        <w:t>2－1</w:t>
      </w:r>
      <w:r>
        <w:tab/>
      </w:r>
      <w:r>
        <w:t>报价一览表</w:t>
      </w:r>
    </w:p>
    <w:p>
      <w:pPr>
        <w:pStyle w:val="10"/>
        <w:tabs>
          <w:tab w:val="left" w:pos="2620"/>
        </w:tabs>
        <w:spacing w:before="2" w:line="364" w:lineRule="auto"/>
        <w:ind w:left="1360" w:right="6004"/>
      </w:pPr>
      <w:r>
        <w:t>附件</w:t>
      </w:r>
      <w:r>
        <w:rPr>
          <w:spacing w:val="-60"/>
        </w:rPr>
        <w:t xml:space="preserve"> </w:t>
      </w:r>
      <w:r>
        <w:t>2－2</w:t>
      </w:r>
      <w:r>
        <w:tab/>
      </w:r>
      <w:r>
        <w:t>分项价格表</w:t>
      </w:r>
    </w:p>
    <w:p>
      <w:pPr>
        <w:pStyle w:val="10"/>
        <w:tabs>
          <w:tab w:val="left" w:pos="2620"/>
        </w:tabs>
        <w:spacing w:before="2" w:line="364" w:lineRule="auto"/>
        <w:ind w:left="1360" w:right="6004"/>
      </w:pPr>
      <w:r>
        <w:t>附件</w:t>
      </w:r>
      <w:r>
        <w:rPr>
          <w:spacing w:val="-60"/>
        </w:rPr>
        <w:t xml:space="preserve"> </w:t>
      </w:r>
      <w:r>
        <w:t>2－</w:t>
      </w:r>
      <w:r>
        <w:rPr>
          <w:rFonts w:hint="eastAsia"/>
          <w:lang w:val="en-US"/>
        </w:rPr>
        <w:t>3</w:t>
      </w:r>
      <w:r>
        <w:tab/>
      </w:r>
      <w:r>
        <w:rPr>
          <w:rFonts w:hint="eastAsia"/>
        </w:rPr>
        <w:t>最终报价</w:t>
      </w:r>
      <w:r>
        <w:t>表</w:t>
      </w:r>
    </w:p>
    <w:p>
      <w:pPr>
        <w:pStyle w:val="10"/>
        <w:tabs>
          <w:tab w:val="left" w:pos="2620"/>
        </w:tabs>
        <w:spacing w:before="2" w:line="360" w:lineRule="auto"/>
        <w:ind w:left="1360" w:right="6004"/>
      </w:pPr>
      <w:r>
        <w:rPr>
          <w:b/>
          <w:bCs/>
        </w:rPr>
        <w:t xml:space="preserve">三、供应商基本情况表 </w:t>
      </w:r>
      <w:r>
        <w:t>附件</w:t>
      </w:r>
      <w:r>
        <w:rPr>
          <w:spacing w:val="-60"/>
        </w:rPr>
        <w:t xml:space="preserve"> </w:t>
      </w:r>
      <w:r>
        <w:t>3－1</w:t>
      </w:r>
      <w:r>
        <w:tab/>
      </w:r>
      <w:r>
        <w:t>营业执照</w:t>
      </w:r>
    </w:p>
    <w:p>
      <w:pPr>
        <w:pStyle w:val="10"/>
        <w:spacing w:before="160" w:line="360" w:lineRule="auto"/>
        <w:ind w:left="880" w:right="870" w:firstLine="479"/>
      </w:pPr>
      <w:r>
        <w:rPr>
          <w:rFonts w:hint="eastAsia"/>
        </w:rPr>
        <w:t>附件</w:t>
      </w:r>
      <w:r>
        <w:rPr>
          <w:rFonts w:hint="eastAsia"/>
          <w:lang w:val="en-US"/>
        </w:rPr>
        <w:t xml:space="preserve"> 3</w:t>
      </w:r>
      <w:r>
        <w:t>－</w:t>
      </w:r>
      <w:r>
        <w:rPr>
          <w:rFonts w:hint="eastAsia"/>
          <w:lang w:val="en-US" w:eastAsia="zh-CN"/>
        </w:rPr>
        <w:t>2</w:t>
      </w:r>
      <w:r>
        <w:rPr>
          <w:rFonts w:hint="eastAsia"/>
          <w:lang w:val="en-US"/>
        </w:rPr>
        <w:t xml:space="preserve">  </w:t>
      </w:r>
      <w:r>
        <w:t>财务状况报告、依法缴纳税收和社会保障资金的证明材料</w:t>
      </w:r>
    </w:p>
    <w:p>
      <w:pPr>
        <w:pStyle w:val="10"/>
        <w:spacing w:before="160" w:line="360" w:lineRule="auto"/>
        <w:ind w:left="880" w:right="870" w:firstLine="479"/>
      </w:pPr>
      <w:r>
        <w:t>附件 3－</w:t>
      </w:r>
      <w:r>
        <w:rPr>
          <w:rFonts w:hint="eastAsia"/>
          <w:lang w:val="en-US" w:eastAsia="zh-CN"/>
        </w:rPr>
        <w:t>3</w:t>
      </w:r>
      <w:r>
        <w:t xml:space="preserve"> </w:t>
      </w:r>
      <w:r>
        <w:rPr>
          <w:rFonts w:hint="eastAsia"/>
          <w:lang w:val="en-US"/>
        </w:rPr>
        <w:t xml:space="preserve"> </w:t>
      </w:r>
      <w:r>
        <w:t>参加政府采购活动前三年内在经营活动中没有重大违法记录的书面声明</w:t>
      </w:r>
    </w:p>
    <w:p>
      <w:pPr>
        <w:pStyle w:val="10"/>
        <w:tabs>
          <w:tab w:val="left" w:pos="2620"/>
        </w:tabs>
        <w:spacing w:before="2" w:line="360" w:lineRule="auto"/>
        <w:ind w:left="1360" w:right="2883"/>
        <w:rPr>
          <w:spacing w:val="-17"/>
        </w:rPr>
      </w:pPr>
      <w:r>
        <w:t>附件</w:t>
      </w:r>
      <w:r>
        <w:rPr>
          <w:spacing w:val="-60"/>
        </w:rPr>
        <w:t xml:space="preserve"> </w:t>
      </w:r>
      <w:r>
        <w:t>3－</w:t>
      </w:r>
      <w:r>
        <w:rPr>
          <w:rFonts w:hint="eastAsia"/>
          <w:lang w:val="en-US" w:eastAsia="zh-CN"/>
        </w:rPr>
        <w:t>4</w:t>
      </w:r>
      <w:r>
        <w:tab/>
      </w:r>
      <w:r>
        <w:t>无不良信用记录诺函(</w:t>
      </w:r>
      <w:r>
        <w:rPr>
          <w:rFonts w:hint="eastAsia"/>
        </w:rPr>
        <w:t>响应</w:t>
      </w:r>
      <w:r>
        <w:t>人自行查询适用</w:t>
      </w:r>
      <w:r>
        <w:rPr>
          <w:spacing w:val="-17"/>
        </w:rPr>
        <w:t xml:space="preserve">) </w:t>
      </w:r>
    </w:p>
    <w:p>
      <w:pPr>
        <w:spacing w:line="360" w:lineRule="auto"/>
        <w:ind w:firstLine="1440" w:firstLineChars="600"/>
        <w:rPr>
          <w:sz w:val="24"/>
          <w:szCs w:val="24"/>
          <w:lang w:val="en-US"/>
        </w:rPr>
      </w:pPr>
      <w:r>
        <w:rPr>
          <w:rFonts w:hint="eastAsia"/>
          <w:sz w:val="24"/>
          <w:szCs w:val="24"/>
          <w:lang w:val="en-US"/>
        </w:rPr>
        <w:t>附件 3-</w:t>
      </w:r>
      <w:r>
        <w:rPr>
          <w:rFonts w:hint="eastAsia"/>
          <w:sz w:val="24"/>
          <w:szCs w:val="24"/>
          <w:lang w:val="en-US" w:eastAsia="zh-CN"/>
        </w:rPr>
        <w:t>5</w:t>
      </w:r>
      <w:r>
        <w:rPr>
          <w:rFonts w:hint="eastAsia"/>
          <w:sz w:val="24"/>
          <w:szCs w:val="24"/>
          <w:lang w:val="en-US"/>
        </w:rPr>
        <w:t xml:space="preserve">  具有履行合同所必须的设备和专业技术能力声明函</w:t>
      </w:r>
    </w:p>
    <w:p>
      <w:pPr>
        <w:pStyle w:val="7"/>
        <w:spacing w:line="360" w:lineRule="auto"/>
        <w:ind w:firstLine="480"/>
        <w:rPr>
          <w:rFonts w:hint="eastAsia"/>
          <w:sz w:val="24"/>
          <w:szCs w:val="24"/>
          <w:lang w:val="en-US"/>
        </w:rPr>
      </w:pPr>
      <w:r>
        <w:rPr>
          <w:rFonts w:hint="eastAsia"/>
          <w:sz w:val="24"/>
          <w:szCs w:val="24"/>
          <w:lang w:val="en-US"/>
        </w:rPr>
        <w:t xml:space="preserve">        附件3-</w:t>
      </w:r>
      <w:r>
        <w:rPr>
          <w:rFonts w:hint="eastAsia"/>
          <w:sz w:val="24"/>
          <w:szCs w:val="24"/>
          <w:lang w:val="en-US" w:eastAsia="zh-CN"/>
        </w:rPr>
        <w:t>6</w:t>
      </w:r>
      <w:r>
        <w:rPr>
          <w:rFonts w:hint="eastAsia"/>
          <w:sz w:val="24"/>
          <w:szCs w:val="24"/>
          <w:lang w:val="en-US"/>
        </w:rPr>
        <w:t xml:space="preserve">   协商保证金（附保证金汇款电子凭证）</w:t>
      </w:r>
    </w:p>
    <w:p>
      <w:pPr>
        <w:pStyle w:val="8"/>
        <w:rPr>
          <w:rFonts w:hint="default" w:eastAsia="宋体"/>
          <w:lang w:val="en-US" w:eastAsia="zh-CN"/>
        </w:rPr>
      </w:pPr>
      <w:r>
        <w:rPr>
          <w:rFonts w:hint="eastAsia"/>
          <w:sz w:val="24"/>
          <w:szCs w:val="24"/>
          <w:lang w:val="en-US" w:eastAsia="zh-CN"/>
        </w:rPr>
        <w:t xml:space="preserve">               附件3-7        电子出版物为正式版物（</w:t>
      </w:r>
      <w:r>
        <w:rPr>
          <w:rFonts w:hint="eastAsia"/>
          <w:sz w:val="24"/>
          <w:highlight w:val="none"/>
          <w:lang w:val="en-US" w:eastAsia="zh-CN"/>
        </w:rPr>
        <w:t>提供承诺书或其他相关证明材料）</w:t>
      </w:r>
    </w:p>
    <w:p/>
    <w:p>
      <w:pPr>
        <w:pStyle w:val="10"/>
        <w:tabs>
          <w:tab w:val="left" w:pos="2620"/>
        </w:tabs>
        <w:spacing w:before="2" w:line="364" w:lineRule="auto"/>
        <w:ind w:left="1360" w:right="2883"/>
        <w:rPr>
          <w:b/>
          <w:bCs/>
        </w:rPr>
      </w:pPr>
      <w:r>
        <w:rPr>
          <w:b/>
          <w:bCs/>
        </w:rPr>
        <w:t>四、商务条款响应情况</w:t>
      </w:r>
    </w:p>
    <w:p>
      <w:pPr>
        <w:pStyle w:val="10"/>
        <w:tabs>
          <w:tab w:val="left" w:pos="2620"/>
        </w:tabs>
        <w:spacing w:before="1"/>
        <w:ind w:left="1360"/>
      </w:pPr>
      <w:r>
        <w:t>附件</w:t>
      </w:r>
      <w:r>
        <w:rPr>
          <w:spacing w:val="-60"/>
        </w:rPr>
        <w:t xml:space="preserve"> </w:t>
      </w:r>
      <w:r>
        <w:t>4－1</w:t>
      </w:r>
      <w:r>
        <w:tab/>
      </w:r>
      <w:r>
        <w:t>商务条款偏离表</w:t>
      </w:r>
    </w:p>
    <w:p>
      <w:pPr>
        <w:pStyle w:val="10"/>
        <w:tabs>
          <w:tab w:val="left" w:pos="2620"/>
        </w:tabs>
        <w:spacing w:before="161"/>
        <w:ind w:left="1360"/>
      </w:pPr>
      <w:r>
        <w:t>附件</w:t>
      </w:r>
      <w:r>
        <w:rPr>
          <w:spacing w:val="-60"/>
        </w:rPr>
        <w:t xml:space="preserve"> </w:t>
      </w:r>
      <w:r>
        <w:t>4－2</w:t>
      </w:r>
      <w:r>
        <w:tab/>
      </w:r>
      <w:r>
        <w:t>供应商相关优势情况说明</w:t>
      </w:r>
    </w:p>
    <w:p>
      <w:pPr>
        <w:pStyle w:val="10"/>
        <w:tabs>
          <w:tab w:val="left" w:pos="2620"/>
        </w:tabs>
        <w:spacing w:before="160"/>
        <w:ind w:left="1360"/>
      </w:pPr>
      <w:r>
        <w:t>附件</w:t>
      </w:r>
      <w:r>
        <w:rPr>
          <w:spacing w:val="-60"/>
        </w:rPr>
        <w:t xml:space="preserve"> </w:t>
      </w:r>
      <w:r>
        <w:t>4－3</w:t>
      </w:r>
      <w:r>
        <w:tab/>
      </w:r>
      <w:r>
        <w:t>供应商认为需提供的其他资料</w:t>
      </w:r>
    </w:p>
    <w:p>
      <w:pPr>
        <w:jc w:val="center"/>
        <w:rPr>
          <w:b/>
          <w:bCs/>
          <w:sz w:val="24"/>
        </w:rPr>
      </w:pPr>
    </w:p>
    <w:p>
      <w:pPr>
        <w:jc w:val="center"/>
        <w:rPr>
          <w:b/>
          <w:bCs/>
          <w:sz w:val="24"/>
        </w:rPr>
      </w:pPr>
      <w:r>
        <w:rPr>
          <w:b/>
          <w:bCs/>
          <w:sz w:val="24"/>
        </w:rPr>
        <w:t>技术部分</w:t>
      </w:r>
      <w:r>
        <w:rPr>
          <w:rFonts w:hint="eastAsia"/>
          <w:b/>
          <w:bCs/>
          <w:sz w:val="24"/>
        </w:rPr>
        <w:t>格式</w:t>
      </w:r>
    </w:p>
    <w:p>
      <w:pPr>
        <w:pStyle w:val="10"/>
        <w:tabs>
          <w:tab w:val="left" w:pos="5393"/>
        </w:tabs>
        <w:spacing w:before="161" w:line="364" w:lineRule="auto"/>
        <w:ind w:left="1360" w:right="3711" w:hanging="40"/>
      </w:pPr>
      <w:r>
        <w:t>一、拟投入设备一览表、实施方案及技术方案</w:t>
      </w:r>
    </w:p>
    <w:p>
      <w:pPr>
        <w:pStyle w:val="10"/>
        <w:tabs>
          <w:tab w:val="left" w:pos="5393"/>
        </w:tabs>
        <w:spacing w:before="161" w:line="364" w:lineRule="auto"/>
        <w:ind w:left="1360" w:right="3711" w:hanging="40"/>
      </w:pPr>
      <w:r>
        <w:t>二、技术响应与偏离表</w:t>
      </w:r>
    </w:p>
    <w:p>
      <w:pPr>
        <w:pStyle w:val="10"/>
        <w:spacing w:before="2"/>
        <w:ind w:left="1360"/>
      </w:pPr>
      <w:r>
        <w:t>三、供应商认为需提供的其他资料</w:t>
      </w:r>
    </w:p>
    <w:p>
      <w:pPr>
        <w:sectPr>
          <w:pgSz w:w="11910" w:h="16840"/>
          <w:pgMar w:top="1580" w:right="920" w:bottom="1160" w:left="920" w:header="0" w:footer="974" w:gutter="0"/>
          <w:cols w:space="720" w:num="1"/>
        </w:sectPr>
      </w:pPr>
    </w:p>
    <w:p>
      <w:pPr>
        <w:pStyle w:val="5"/>
        <w:ind w:left="882" w:hanging="882" w:hangingChars="366"/>
        <w:jc w:val="center"/>
      </w:pPr>
      <w:r>
        <w:t>商务部分</w:t>
      </w:r>
      <w:r>
        <w:rPr>
          <w:rFonts w:hint="eastAsia"/>
        </w:rPr>
        <w:t>格式</w:t>
      </w:r>
    </w:p>
    <w:p>
      <w:pPr>
        <w:pStyle w:val="6"/>
        <w:ind w:firstLine="663" w:firstLineChars="275"/>
      </w:pPr>
      <w:r>
        <w:t>一、协商响应声明</w:t>
      </w:r>
    </w:p>
    <w:p>
      <w:pPr>
        <w:tabs>
          <w:tab w:val="left" w:pos="2560"/>
        </w:tabs>
        <w:spacing w:before="67" w:line="415" w:lineRule="auto"/>
        <w:ind w:left="880" w:right="4309" w:firstLine="3430"/>
        <w:rPr>
          <w:sz w:val="24"/>
        </w:rPr>
      </w:pPr>
      <w:r>
        <w:rPr>
          <w:b/>
          <w:sz w:val="24"/>
        </w:rPr>
        <w:t>协商响应声</w:t>
      </w:r>
      <w:r>
        <w:rPr>
          <w:b/>
          <w:spacing w:val="-17"/>
          <w:sz w:val="24"/>
        </w:rPr>
        <w:t>明</w:t>
      </w:r>
      <w:r>
        <w:rPr>
          <w:sz w:val="24"/>
        </w:rPr>
        <w:t>致</w:t>
      </w:r>
      <w:r>
        <w:rPr>
          <w:sz w:val="24"/>
          <w:u w:val="single"/>
        </w:rPr>
        <w:t xml:space="preserve"> </w:t>
      </w:r>
      <w:r>
        <w:rPr>
          <w:sz w:val="24"/>
          <w:u w:val="single"/>
        </w:rPr>
        <w:tab/>
      </w:r>
      <w:r>
        <w:rPr>
          <w:sz w:val="24"/>
        </w:rPr>
        <w:t>(采购人或采购代理机构)：</w:t>
      </w:r>
    </w:p>
    <w:p>
      <w:pPr>
        <w:pStyle w:val="10"/>
        <w:tabs>
          <w:tab w:val="left" w:pos="4802"/>
        </w:tabs>
        <w:spacing w:line="244" w:lineRule="exact"/>
        <w:ind w:left="1360"/>
      </w:pPr>
      <w:r>
        <w:rPr>
          <w:spacing w:val="9"/>
        </w:rPr>
        <w:t>我方已仔</w:t>
      </w:r>
      <w:r>
        <w:rPr>
          <w:spacing w:val="11"/>
        </w:rPr>
        <w:t>细</w:t>
      </w:r>
      <w:r>
        <w:rPr>
          <w:spacing w:val="9"/>
        </w:rPr>
        <w:t>研究</w:t>
      </w:r>
      <w:r>
        <w:rPr>
          <w:spacing w:val="11"/>
        </w:rPr>
        <w:t>了</w:t>
      </w:r>
      <w:r>
        <w:rPr>
          <w:spacing w:val="11"/>
          <w:u w:val="single"/>
        </w:rPr>
        <w:t xml:space="preserve"> </w:t>
      </w:r>
      <w:r>
        <w:rPr>
          <w:spacing w:val="11"/>
          <w:u w:val="single"/>
        </w:rPr>
        <w:tab/>
      </w:r>
      <w:r>
        <w:rPr>
          <w:spacing w:val="9"/>
        </w:rPr>
        <w:t>(项目名</w:t>
      </w:r>
      <w:r>
        <w:rPr>
          <w:spacing w:val="12"/>
        </w:rPr>
        <w:t>称</w:t>
      </w:r>
      <w:r>
        <w:rPr>
          <w:rFonts w:hint="eastAsia"/>
          <w:spacing w:val="12"/>
          <w:lang w:val="en-US" w:eastAsia="zh-CN"/>
        </w:rPr>
        <w:t>+标项号及标项名称</w:t>
      </w:r>
      <w:r>
        <w:rPr>
          <w:spacing w:val="12"/>
        </w:rPr>
        <w:t>)</w:t>
      </w:r>
      <w:r>
        <w:rPr>
          <w:spacing w:val="9"/>
        </w:rPr>
        <w:t>的单一来</w:t>
      </w:r>
      <w:r>
        <w:rPr>
          <w:spacing w:val="11"/>
        </w:rPr>
        <w:t>源</w:t>
      </w:r>
      <w:r>
        <w:rPr>
          <w:spacing w:val="9"/>
        </w:rPr>
        <w:t>采购文</w:t>
      </w:r>
      <w:r>
        <w:rPr>
          <w:spacing w:val="14"/>
        </w:rPr>
        <w:t>件</w:t>
      </w:r>
      <w:r>
        <w:rPr>
          <w:spacing w:val="12"/>
        </w:rPr>
        <w:t>(</w:t>
      </w:r>
      <w:r>
        <w:rPr>
          <w:spacing w:val="9"/>
        </w:rPr>
        <w:t>项目编</w:t>
      </w:r>
    </w:p>
    <w:p>
      <w:pPr>
        <w:pStyle w:val="10"/>
        <w:tabs>
          <w:tab w:val="left" w:pos="2800"/>
        </w:tabs>
        <w:spacing w:before="160" w:line="364" w:lineRule="auto"/>
        <w:ind w:left="880" w:right="879"/>
      </w:pPr>
      <w:r>
        <w:t>号：</w:t>
      </w:r>
      <w:r>
        <w:rPr>
          <w:u w:val="single"/>
        </w:rPr>
        <w:t xml:space="preserve"> </w:t>
      </w:r>
      <w:r>
        <w:rPr>
          <w:u w:val="single"/>
        </w:rPr>
        <w:tab/>
      </w:r>
      <w:r>
        <w:rPr>
          <w:spacing w:val="3"/>
        </w:rPr>
        <w:t>)</w:t>
      </w:r>
      <w:r>
        <w:t>的全部内容，我方承诺接受采购文件的全部条款且无任何</w:t>
      </w:r>
      <w:r>
        <w:rPr>
          <w:spacing w:val="-16"/>
        </w:rPr>
        <w:t>异</w:t>
      </w:r>
      <w:r>
        <w:t>议。</w:t>
      </w:r>
    </w:p>
    <w:p>
      <w:pPr>
        <w:pStyle w:val="10"/>
        <w:tabs>
          <w:tab w:val="left" w:pos="5393"/>
          <w:tab w:val="left" w:pos="7073"/>
        </w:tabs>
        <w:spacing w:before="2" w:line="364" w:lineRule="auto"/>
        <w:ind w:left="880" w:right="877" w:firstLine="479"/>
        <w:jc w:val="both"/>
      </w:pPr>
      <w:r>
        <w:t>一</w:t>
      </w:r>
      <w:r>
        <w:rPr>
          <w:spacing w:val="-48"/>
        </w:rPr>
        <w:t>、</w:t>
      </w:r>
      <w:r>
        <w:t>我方保证响应文</w:t>
      </w:r>
      <w:r>
        <w:rPr>
          <w:spacing w:val="-16"/>
        </w:rPr>
        <w:t>件</w:t>
      </w:r>
      <w:r>
        <w:t>提供的数据和材料是真实</w:t>
      </w:r>
      <w:r>
        <w:rPr>
          <w:spacing w:val="-20"/>
        </w:rPr>
        <w:t>、</w:t>
      </w:r>
      <w:r>
        <w:t>准确的</w:t>
      </w:r>
      <w:r>
        <w:rPr>
          <w:spacing w:val="-20"/>
        </w:rPr>
        <w:t>。</w:t>
      </w:r>
      <w:r>
        <w:t>否则</w:t>
      </w:r>
      <w:r>
        <w:rPr>
          <w:spacing w:val="-20"/>
        </w:rPr>
        <w:t>，</w:t>
      </w:r>
      <w:r>
        <w:t>愿承</w:t>
      </w:r>
      <w:r>
        <w:rPr>
          <w:spacing w:val="-20"/>
        </w:rPr>
        <w:t>担</w:t>
      </w:r>
      <w:r>
        <w:t>《政府采购法</w:t>
      </w:r>
      <w:r>
        <w:rPr>
          <w:spacing w:val="-20"/>
        </w:rPr>
        <w:t>》</w:t>
      </w:r>
      <w:r>
        <w:t>第七十七条</w:t>
      </w:r>
      <w:r>
        <w:rPr>
          <w:spacing w:val="-13"/>
        </w:rPr>
        <w:t>规</w:t>
      </w:r>
      <w:r>
        <w:t>定的法律责任。</w:t>
      </w:r>
    </w:p>
    <w:p>
      <w:pPr>
        <w:pStyle w:val="10"/>
        <w:spacing w:before="2" w:line="364" w:lineRule="auto"/>
        <w:ind w:left="880" w:right="877" w:firstLine="479"/>
        <w:jc w:val="both"/>
      </w:pPr>
      <w:r>
        <w:rPr>
          <w:spacing w:val="-10"/>
        </w:rPr>
        <w:t>二、我方愿意向贵方提供任何与本项采购有关的数据、情况和技术资料。若</w:t>
      </w:r>
      <w:r>
        <w:t>贵方需要，我方愿意提供我方作出的一切承诺的证明材料。</w:t>
      </w:r>
    </w:p>
    <w:p>
      <w:pPr>
        <w:pStyle w:val="10"/>
        <w:spacing w:before="1" w:line="364" w:lineRule="auto"/>
        <w:ind w:left="880" w:right="881" w:firstLine="479"/>
        <w:jc w:val="both"/>
      </w:pPr>
      <w:r>
        <w:rPr>
          <w:spacing w:val="-10"/>
        </w:rPr>
        <w:t>三、我方愿意按单一来源采购文件规定和采购人员进行协商，并按要求作出</w:t>
      </w:r>
      <w:r>
        <w:t>响应。</w:t>
      </w:r>
    </w:p>
    <w:p>
      <w:pPr>
        <w:pStyle w:val="10"/>
        <w:spacing w:before="2" w:line="364" w:lineRule="auto"/>
        <w:ind w:left="880" w:right="879" w:firstLine="479"/>
        <w:jc w:val="both"/>
      </w:pPr>
      <w:r>
        <w:rPr>
          <w:spacing w:val="-11"/>
        </w:rPr>
        <w:t>四、我方承诺遵守《政府采购法》的有关规定，保证在获得成交资格后，按</w:t>
      </w:r>
      <w:r>
        <w:rPr>
          <w:spacing w:val="-6"/>
        </w:rPr>
        <w:t>照单一来源采购文件确定的事项签订政府采购合同，履行双方所签订的合同，并</w:t>
      </w:r>
      <w:r>
        <w:t>承担合同规定的责任和义务。</w:t>
      </w:r>
    </w:p>
    <w:p>
      <w:pPr>
        <w:pStyle w:val="10"/>
        <w:spacing w:before="1" w:line="364" w:lineRule="auto"/>
        <w:ind w:left="1360" w:right="2096"/>
      </w:pPr>
      <w:r>
        <w:t>附件 1－1：法定代表人身份证明复印件(法定代表人参加协商) 附件 1－2：法定代表人授权书(非法定代表人参加协商)</w:t>
      </w:r>
    </w:p>
    <w:p>
      <w:pPr>
        <w:pStyle w:val="10"/>
      </w:pPr>
    </w:p>
    <w:p>
      <w:pPr>
        <w:pStyle w:val="10"/>
        <w:tabs>
          <w:tab w:val="left" w:pos="5015"/>
        </w:tabs>
        <w:spacing w:before="162"/>
        <w:ind w:left="136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10"/>
        <w:tabs>
          <w:tab w:val="left" w:pos="2800"/>
          <w:tab w:val="left" w:pos="3520"/>
          <w:tab w:val="left" w:pos="4240"/>
          <w:tab w:val="left" w:pos="6936"/>
        </w:tabs>
        <w:spacing w:before="161" w:line="364" w:lineRule="auto"/>
        <w:ind w:left="1360" w:right="3128"/>
      </w:pPr>
      <w:r>
        <w:t>法定代表人或授权代表(签字或盖章)：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364" w:lineRule="auto"/>
        <w:sectPr>
          <w:pgSz w:w="11910" w:h="16840"/>
          <w:pgMar w:top="1460" w:right="920" w:bottom="1160" w:left="920" w:header="0" w:footer="974" w:gutter="0"/>
          <w:cols w:space="720" w:num="1"/>
        </w:sectPr>
      </w:pPr>
    </w:p>
    <w:p>
      <w:pPr>
        <w:pStyle w:val="10"/>
        <w:spacing w:before="41"/>
        <w:ind w:left="477" w:leftChars="217" w:firstLine="794" w:firstLineChars="331"/>
      </w:pPr>
      <w:r>
        <w:t>附件</w:t>
      </w:r>
      <w:r>
        <w:rPr>
          <w:spacing w:val="-60"/>
        </w:rPr>
        <w:t xml:space="preserve"> </w:t>
      </w:r>
      <w:r>
        <w:t>1－1</w:t>
      </w:r>
      <w:r>
        <w:tab/>
      </w:r>
      <w:r>
        <w:t>法定</w:t>
      </w:r>
      <w:r>
        <w:rPr>
          <w:spacing w:val="-3"/>
        </w:rPr>
        <w:t>代</w:t>
      </w:r>
      <w:r>
        <w:t>表人身份证明复印件(法定代表人参加协商)</w:t>
      </w:r>
    </w:p>
    <w:p>
      <w:pPr>
        <w:pStyle w:val="10"/>
        <w:rPr>
          <w:sz w:val="20"/>
        </w:rPr>
      </w:pPr>
    </w:p>
    <w:p>
      <w:pPr>
        <w:pStyle w:val="10"/>
        <w:spacing w:before="10"/>
        <w:rPr>
          <w:sz w:val="19"/>
        </w:rPr>
      </w:pPr>
      <w:r>
        <w:rPr>
          <w:lang w:val="en-US" w:bidi="ar-SA"/>
        </w:rPr>
        <mc:AlternateContent>
          <mc:Choice Requires="wps">
            <w:drawing>
              <wp:anchor distT="0" distB="0" distL="0" distR="0" simplePos="0" relativeHeight="251661312" behindDoc="1" locked="0" layoutInCell="1" allowOverlap="1">
                <wp:simplePos x="0" y="0"/>
                <wp:positionH relativeFrom="page">
                  <wp:posOffset>2116455</wp:posOffset>
                </wp:positionH>
                <wp:positionV relativeFrom="paragraph">
                  <wp:posOffset>189230</wp:posOffset>
                </wp:positionV>
                <wp:extent cx="3328035" cy="1079500"/>
                <wp:effectExtent l="4445" t="4445" r="20320" b="20955"/>
                <wp:wrapTopAndBottom/>
                <wp:docPr id="163" name="文本框 164"/>
                <wp:cNvGraphicFramePr/>
                <a:graphic xmlns:a="http://schemas.openxmlformats.org/drawingml/2006/main">
                  <a:graphicData uri="http://schemas.microsoft.com/office/word/2010/wordprocessingShape">
                    <wps:wsp>
                      <wps:cNvSpPr txBox="1"/>
                      <wps:spPr>
                        <a:xfrm>
                          <a:off x="0" y="0"/>
                          <a:ext cx="3328035" cy="1079500"/>
                        </a:xfrm>
                        <a:prstGeom prst="rect">
                          <a:avLst/>
                        </a:prstGeom>
                        <a:noFill/>
                        <a:ln w="6096" cap="flat" cmpd="sng">
                          <a:solidFill>
                            <a:srgbClr val="000000"/>
                          </a:solidFill>
                          <a:prstDash val="solid"/>
                          <a:miter/>
                          <a:headEnd type="none" w="med" len="med"/>
                          <a:tailEnd type="none" w="med" len="med"/>
                        </a:ln>
                      </wps:spPr>
                      <wps:txbx>
                        <w:txbxContent>
                          <w:p>
                            <w:pPr>
                              <w:pStyle w:val="10"/>
                            </w:pPr>
                          </w:p>
                          <w:p>
                            <w:pPr>
                              <w:pStyle w:val="10"/>
                              <w:spacing w:before="12"/>
                              <w:rPr>
                                <w:sz w:val="29"/>
                              </w:rPr>
                            </w:pPr>
                          </w:p>
                          <w:p>
                            <w:pPr>
                              <w:pStyle w:val="10"/>
                              <w:ind w:left="1174"/>
                            </w:pPr>
                            <w:r>
                              <w:t>法定代表人身份证明复印件</w:t>
                            </w:r>
                          </w:p>
                        </w:txbxContent>
                      </wps:txbx>
                      <wps:bodyPr lIns="0" tIns="0" rIns="0" bIns="0" upright="1"/>
                    </wps:wsp>
                  </a:graphicData>
                </a:graphic>
              </wp:anchor>
            </w:drawing>
          </mc:Choice>
          <mc:Fallback>
            <w:pict>
              <v:shape id="文本框 164" o:spid="_x0000_s1026" o:spt="202" type="#_x0000_t202" style="position:absolute;left:0pt;margin-left:166.65pt;margin-top:14.9pt;height:85pt;width:262.05pt;mso-position-horizontal-relative:page;mso-wrap-distance-bottom:0pt;mso-wrap-distance-top:0pt;z-index:-251655168;mso-width-relative:page;mso-height-relative:page;" filled="f" stroked="t" coordsize="21600,21600" o:gfxdata="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Z8hybWAAAACgEAAA8A&#10;AAAAAAAAAQAgAAAAIgAAAGRycy9kb3ducmV2LnhtbFBLAQIUABQAAAAIAIdO4kAEmAchGQIAADYE&#10;AAAOAAAAAAAAAAEAIAAAACUBAABkcnMvZTJvRG9jLnhtbFBLBQYAAAAABgAGAFkBAACwBQAAAAA=&#10;">
                <v:fill on="f" focussize="0,0"/>
                <v:stroke weight="0.48pt" color="#000000" joinstyle="miter"/>
                <v:imagedata o:title=""/>
                <o:lock v:ext="edit" aspectratio="f"/>
                <v:textbox inset="0mm,0mm,0mm,0mm">
                  <w:txbxContent>
                    <w:p>
                      <w:pPr>
                        <w:pStyle w:val="10"/>
                      </w:pPr>
                    </w:p>
                    <w:p>
                      <w:pPr>
                        <w:pStyle w:val="10"/>
                        <w:spacing w:before="12"/>
                        <w:rPr>
                          <w:sz w:val="29"/>
                        </w:rPr>
                      </w:pPr>
                    </w:p>
                    <w:p>
                      <w:pPr>
                        <w:pStyle w:val="10"/>
                        <w:ind w:left="1174"/>
                      </w:pPr>
                      <w:r>
                        <w:t>法定代表人身份证明复印件</w:t>
                      </w:r>
                    </w:p>
                  </w:txbxContent>
                </v:textbox>
                <w10:wrap type="topAndBottom"/>
              </v:shape>
            </w:pict>
          </mc:Fallback>
        </mc:AlternateContent>
      </w:r>
    </w:p>
    <w:p>
      <w:pPr>
        <w:pStyle w:val="10"/>
        <w:rPr>
          <w:sz w:val="20"/>
        </w:rPr>
      </w:pPr>
    </w:p>
    <w:p>
      <w:pPr>
        <w:pStyle w:val="10"/>
        <w:spacing w:before="3"/>
        <w:rPr>
          <w:sz w:val="15"/>
        </w:rPr>
      </w:pPr>
    </w:p>
    <w:p>
      <w:pPr>
        <w:pStyle w:val="10"/>
        <w:spacing w:before="66"/>
        <w:ind w:left="1360"/>
      </w:pPr>
      <w:r>
        <w:t>附件 1－2</w:t>
      </w:r>
    </w:p>
    <w:p>
      <w:pPr>
        <w:pStyle w:val="10"/>
        <w:spacing w:before="2"/>
        <w:rPr>
          <w:sz w:val="26"/>
        </w:rPr>
      </w:pPr>
    </w:p>
    <w:p>
      <w:pPr>
        <w:pStyle w:val="10"/>
        <w:spacing w:before="41"/>
        <w:ind w:left="477" w:leftChars="217" w:firstLine="798" w:firstLineChars="331"/>
        <w:jc w:val="center"/>
        <w:rPr>
          <w:b/>
          <w:bCs/>
        </w:rPr>
      </w:pPr>
      <w:r>
        <w:rPr>
          <w:b/>
          <w:bCs/>
        </w:rPr>
        <w:t>法定代表人授权书(非法定代表人参加协商)</w:t>
      </w:r>
    </w:p>
    <w:p>
      <w:pPr>
        <w:pStyle w:val="10"/>
        <w:spacing w:before="5"/>
        <w:rPr>
          <w:b/>
          <w:sz w:val="12"/>
        </w:rPr>
      </w:pPr>
    </w:p>
    <w:p>
      <w:pPr>
        <w:pStyle w:val="10"/>
        <w:tabs>
          <w:tab w:val="left" w:pos="2800"/>
          <w:tab w:val="left" w:pos="7745"/>
        </w:tabs>
        <w:spacing w:before="67"/>
        <w:ind w:left="1360"/>
      </w:pPr>
      <w:r>
        <w:rPr>
          <w:u w:val="single"/>
        </w:rPr>
        <w:t xml:space="preserve"> </w:t>
      </w:r>
      <w:r>
        <w:rPr>
          <w:u w:val="single"/>
        </w:rPr>
        <w:tab/>
      </w:r>
      <w:r>
        <w:t>(</w:t>
      </w:r>
      <w:r>
        <w:rPr>
          <w:spacing w:val="-72"/>
        </w:rPr>
        <w:t xml:space="preserve"> </w:t>
      </w:r>
      <w:r>
        <w:rPr>
          <w:spacing w:val="48"/>
        </w:rPr>
        <w:t>供应商名称</w:t>
      </w:r>
      <w:r>
        <w:t>)</w:t>
      </w:r>
      <w:r>
        <w:rPr>
          <w:spacing w:val="-72"/>
        </w:rPr>
        <w:t xml:space="preserve"> </w:t>
      </w:r>
      <w:r>
        <w:rPr>
          <w:spacing w:val="48"/>
        </w:rPr>
        <w:t>的法定代表</w:t>
      </w:r>
      <w:r>
        <w:t>人</w:t>
      </w:r>
      <w:r>
        <w:rPr>
          <w:u w:val="single"/>
        </w:rPr>
        <w:t xml:space="preserve"> </w:t>
      </w:r>
      <w:r>
        <w:rPr>
          <w:u w:val="single"/>
        </w:rPr>
        <w:tab/>
      </w:r>
      <w:r>
        <w:t>(</w:t>
      </w:r>
      <w:r>
        <w:rPr>
          <w:spacing w:val="-72"/>
        </w:rPr>
        <w:t xml:space="preserve"> </w:t>
      </w:r>
      <w:r>
        <w:rPr>
          <w:spacing w:val="48"/>
        </w:rPr>
        <w:t>姓名</w:t>
      </w:r>
      <w:r>
        <w:t>)</w:t>
      </w:r>
      <w:r>
        <w:rPr>
          <w:spacing w:val="-72"/>
        </w:rPr>
        <w:t xml:space="preserve"> </w:t>
      </w:r>
      <w:r>
        <w:rPr>
          <w:spacing w:val="48"/>
        </w:rPr>
        <w:t>授</w:t>
      </w:r>
      <w:r>
        <w:t>权</w:t>
      </w:r>
      <w:r>
        <w:rPr>
          <w:spacing w:val="-72"/>
        </w:rPr>
        <w:t xml:space="preserve"> </w:t>
      </w:r>
    </w:p>
    <w:p>
      <w:pPr>
        <w:pStyle w:val="10"/>
        <w:tabs>
          <w:tab w:val="left" w:pos="2320"/>
          <w:tab w:val="left" w:pos="8827"/>
        </w:tabs>
        <w:spacing w:before="160" w:line="364" w:lineRule="auto"/>
        <w:ind w:left="880" w:right="876"/>
      </w:pPr>
      <w:r>
        <w:rPr>
          <w:u w:val="single"/>
        </w:rPr>
        <w:t xml:space="preserve"> </w:t>
      </w:r>
      <w:r>
        <w:rPr>
          <w:u w:val="single"/>
        </w:rPr>
        <w:tab/>
      </w:r>
      <w:r>
        <w:t>(授权代表姓名、职务)为本公司的协商代表，就</w:t>
      </w:r>
      <w:r>
        <w:rPr>
          <w:u w:val="single"/>
        </w:rPr>
        <w:t xml:space="preserve"> </w:t>
      </w:r>
      <w:r>
        <w:rPr>
          <w:u w:val="single"/>
        </w:rPr>
        <w:tab/>
      </w:r>
      <w:r>
        <w:t>(</w:t>
      </w:r>
      <w:r>
        <w:rPr>
          <w:spacing w:val="-17"/>
        </w:rPr>
        <w:t>项</w:t>
      </w:r>
      <w:r>
        <w:t>目名称</w:t>
      </w:r>
      <w:r>
        <w:rPr>
          <w:rFonts w:hint="eastAsia"/>
        </w:rPr>
        <w:t>、标项号及标项名称</w:t>
      </w:r>
      <w:r>
        <w:t>)协商及相关事务代表本公司处理与之有关的一切事务。</w:t>
      </w:r>
    </w:p>
    <w:p>
      <w:pPr>
        <w:pStyle w:val="10"/>
        <w:tabs>
          <w:tab w:val="left" w:pos="5441"/>
        </w:tabs>
        <w:spacing w:before="1" w:line="364" w:lineRule="auto"/>
        <w:ind w:left="1360" w:right="4383"/>
      </w:pPr>
      <w:r>
        <w:t>委托期限：</w:t>
      </w:r>
      <w:r>
        <w:rPr>
          <w:u w:val="single"/>
        </w:rPr>
        <w:t xml:space="preserve"> </w:t>
      </w:r>
      <w:r>
        <w:rPr>
          <w:u w:val="single"/>
        </w:rPr>
        <w:tab/>
      </w:r>
      <w:r>
        <w:rPr>
          <w:spacing w:val="-18"/>
        </w:rPr>
        <w:t>。</w:t>
      </w:r>
      <w:r>
        <w:t>授权代表无转委托权。</w:t>
      </w:r>
    </w:p>
    <w:p>
      <w:pPr>
        <w:pStyle w:val="10"/>
        <w:tabs>
          <w:tab w:val="left" w:pos="3280"/>
          <w:tab w:val="left" w:pos="4000"/>
          <w:tab w:val="left" w:pos="4720"/>
        </w:tabs>
        <w:spacing w:before="2" w:line="364" w:lineRule="auto"/>
        <w:ind w:left="1360" w:right="2703"/>
      </w:pPr>
      <w:r>
        <w:t>本授权书于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r>
        <w:rPr>
          <w:spacing w:val="-17"/>
        </w:rPr>
        <w:t>。</w:t>
      </w:r>
      <w:r>
        <w:t>附件</w:t>
      </w:r>
      <w:r>
        <w:rPr>
          <w:spacing w:val="-60"/>
        </w:rPr>
        <w:t xml:space="preserve"> </w:t>
      </w:r>
      <w:r>
        <w:t>1：授权代表身份证明复印件</w:t>
      </w:r>
    </w:p>
    <w:p>
      <w:pPr>
        <w:pStyle w:val="10"/>
        <w:tabs>
          <w:tab w:val="left" w:pos="3280"/>
          <w:tab w:val="left" w:pos="4000"/>
          <w:tab w:val="left" w:pos="4720"/>
        </w:tabs>
        <w:spacing w:before="2" w:line="364" w:lineRule="auto"/>
        <w:ind w:left="1360" w:right="2703" w:firstLine="480" w:firstLineChars="200"/>
      </w:pPr>
      <w:r>
        <w:t>2：法定代表人身份证明复印件</w:t>
      </w:r>
    </w:p>
    <w:p>
      <w:pPr>
        <w:pStyle w:val="10"/>
        <w:rPr>
          <w:sz w:val="20"/>
        </w:rPr>
      </w:pPr>
    </w:p>
    <w:p>
      <w:pPr>
        <w:pStyle w:val="10"/>
        <w:spacing w:before="11"/>
        <w:rPr>
          <w:sz w:val="19"/>
        </w:rPr>
      </w:pPr>
      <w:r>
        <w:rPr>
          <w:lang w:val="en-US" w:bidi="ar-SA"/>
        </w:rPr>
        <mc:AlternateContent>
          <mc:Choice Requires="wps">
            <w:drawing>
              <wp:anchor distT="0" distB="0" distL="0" distR="0" simplePos="0" relativeHeight="251662336" behindDoc="1" locked="0" layoutInCell="1" allowOverlap="1">
                <wp:simplePos x="0" y="0"/>
                <wp:positionH relativeFrom="page">
                  <wp:posOffset>2035810</wp:posOffset>
                </wp:positionH>
                <wp:positionV relativeFrom="paragraph">
                  <wp:posOffset>189230</wp:posOffset>
                </wp:positionV>
                <wp:extent cx="3489960" cy="1014095"/>
                <wp:effectExtent l="4445" t="4445" r="10795" b="10160"/>
                <wp:wrapTopAndBottom/>
                <wp:docPr id="164" name="文本框 165"/>
                <wp:cNvGraphicFramePr/>
                <a:graphic xmlns:a="http://schemas.openxmlformats.org/drawingml/2006/main">
                  <a:graphicData uri="http://schemas.microsoft.com/office/word/2010/wordprocessingShape">
                    <wps:wsp>
                      <wps:cNvSpPr txBox="1"/>
                      <wps:spPr>
                        <a:xfrm>
                          <a:off x="0" y="0"/>
                          <a:ext cx="3489960" cy="1014095"/>
                        </a:xfrm>
                        <a:prstGeom prst="rect">
                          <a:avLst/>
                        </a:prstGeom>
                        <a:noFill/>
                        <a:ln w="6096" cap="flat" cmpd="sng">
                          <a:solidFill>
                            <a:srgbClr val="000000"/>
                          </a:solidFill>
                          <a:prstDash val="solid"/>
                          <a:miter/>
                          <a:headEnd type="none" w="med" len="med"/>
                          <a:tailEnd type="none" w="med" len="med"/>
                        </a:ln>
                      </wps:spPr>
                      <wps:txbx>
                        <w:txbxContent>
                          <w:p>
                            <w:pPr>
                              <w:pStyle w:val="10"/>
                            </w:pPr>
                          </w:p>
                          <w:p>
                            <w:pPr>
                              <w:pStyle w:val="10"/>
                              <w:spacing w:before="10"/>
                              <w:rPr>
                                <w:sz w:val="25"/>
                              </w:rPr>
                            </w:pPr>
                          </w:p>
                          <w:p>
                            <w:pPr>
                              <w:pStyle w:val="10"/>
                              <w:ind w:left="1421" w:hanging="1420" w:hangingChars="592"/>
                              <w:jc w:val="center"/>
                            </w:pPr>
                            <w:r>
                              <w:t>授权代表</w:t>
                            </w:r>
                            <w:r>
                              <w:rPr>
                                <w:rFonts w:hint="eastAsia"/>
                              </w:rPr>
                              <w:t>及法定代表人</w:t>
                            </w:r>
                            <w:r>
                              <w:t>身份证明复印件</w:t>
                            </w:r>
                          </w:p>
                        </w:txbxContent>
                      </wps:txbx>
                      <wps:bodyPr lIns="0" tIns="0" rIns="0" bIns="0" upright="1"/>
                    </wps:wsp>
                  </a:graphicData>
                </a:graphic>
              </wp:anchor>
            </w:drawing>
          </mc:Choice>
          <mc:Fallback>
            <w:pict>
              <v:shape id="文本框 165" o:spid="_x0000_s1026" o:spt="202" type="#_x0000_t202" style="position:absolute;left:0pt;margin-left:160.3pt;margin-top:14.9pt;height:79.85pt;width:274.8pt;mso-position-horizontal-relative:page;mso-wrap-distance-bottom:0pt;mso-wrap-distance-top:0pt;z-index:-251654144;mso-width-relative:page;mso-height-relative:page;" filled="f" stroked="t" coordsize="21600,21600" o:gfxdata="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uKE6jXAAAACgEAAA8A&#10;AAAAAAAAAQAgAAAAIgAAAGRycy9kb3ducmV2LnhtbFBLAQIUABQAAAAIAIdO4kAJB8vxGAIAADYE&#10;AAAOAAAAAAAAAAEAIAAAACYBAABkcnMvZTJvRG9jLnhtbFBLBQYAAAAABgAGAFkBAACwBQAAAAA=&#10;">
                <v:fill on="f" focussize="0,0"/>
                <v:stroke weight="0.48pt" color="#000000" joinstyle="miter"/>
                <v:imagedata o:title=""/>
                <o:lock v:ext="edit" aspectratio="f"/>
                <v:textbox inset="0mm,0mm,0mm,0mm">
                  <w:txbxContent>
                    <w:p>
                      <w:pPr>
                        <w:pStyle w:val="10"/>
                      </w:pPr>
                    </w:p>
                    <w:p>
                      <w:pPr>
                        <w:pStyle w:val="10"/>
                        <w:spacing w:before="10"/>
                        <w:rPr>
                          <w:sz w:val="25"/>
                        </w:rPr>
                      </w:pPr>
                    </w:p>
                    <w:p>
                      <w:pPr>
                        <w:pStyle w:val="10"/>
                        <w:ind w:left="1421" w:hanging="1420" w:hangingChars="592"/>
                        <w:jc w:val="center"/>
                      </w:pPr>
                      <w:r>
                        <w:t>授权代表</w:t>
                      </w:r>
                      <w:r>
                        <w:rPr>
                          <w:rFonts w:hint="eastAsia"/>
                        </w:rPr>
                        <w:t>及法定代表人</w:t>
                      </w:r>
                      <w:r>
                        <w:t>身份证明复印件</w:t>
                      </w:r>
                    </w:p>
                  </w:txbxContent>
                </v:textbox>
                <w10:wrap type="topAndBottom"/>
              </v:shape>
            </w:pict>
          </mc:Fallback>
        </mc:AlternateContent>
      </w:r>
    </w:p>
    <w:p>
      <w:pPr>
        <w:pStyle w:val="10"/>
        <w:rPr>
          <w:sz w:val="20"/>
        </w:rPr>
      </w:pPr>
    </w:p>
    <w:p>
      <w:pPr>
        <w:pStyle w:val="10"/>
        <w:spacing w:before="3"/>
        <w:rPr>
          <w:sz w:val="15"/>
        </w:rPr>
      </w:pPr>
    </w:p>
    <w:p>
      <w:pPr>
        <w:pStyle w:val="10"/>
        <w:tabs>
          <w:tab w:val="left" w:pos="5015"/>
        </w:tabs>
        <w:spacing w:before="66"/>
        <w:ind w:left="136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10"/>
        <w:tabs>
          <w:tab w:val="left" w:pos="2800"/>
          <w:tab w:val="left" w:pos="3520"/>
          <w:tab w:val="left" w:pos="4240"/>
          <w:tab w:val="left" w:pos="5495"/>
          <w:tab w:val="left" w:pos="5735"/>
        </w:tabs>
        <w:spacing w:before="161" w:line="364" w:lineRule="auto"/>
        <w:ind w:left="1360" w:right="4328"/>
      </w:pPr>
      <w:r>
        <w:t>法定代表人(签字或盖章)：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t xml:space="preserve"> 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364" w:lineRule="auto"/>
        <w:sectPr>
          <w:pgSz w:w="11910" w:h="16840"/>
          <w:pgMar w:top="1460" w:right="920" w:bottom="1160" w:left="920" w:header="0" w:footer="974" w:gutter="0"/>
          <w:cols w:space="720" w:num="1"/>
        </w:sectPr>
      </w:pPr>
    </w:p>
    <w:p>
      <w:pPr>
        <w:pStyle w:val="6"/>
        <w:ind w:firstLine="663" w:firstLineChars="275"/>
      </w:pPr>
      <w:r>
        <w:t>二、报价一览表及分项价格表</w:t>
      </w:r>
    </w:p>
    <w:p>
      <w:pPr>
        <w:pStyle w:val="10"/>
        <w:spacing w:before="41" w:line="364" w:lineRule="auto"/>
        <w:ind w:left="1360" w:right="390"/>
      </w:pPr>
      <w:r>
        <w:t>附件 2－1</w:t>
      </w:r>
    </w:p>
    <w:p>
      <w:pPr>
        <w:pStyle w:val="10"/>
        <w:rPr>
          <w:sz w:val="20"/>
        </w:rPr>
      </w:pPr>
    </w:p>
    <w:p>
      <w:pPr>
        <w:pStyle w:val="10"/>
        <w:spacing w:before="213"/>
        <w:ind w:left="4672"/>
        <w:rPr>
          <w:b/>
          <w:bCs/>
        </w:rPr>
      </w:pPr>
      <w:r>
        <w:rPr>
          <w:b/>
          <w:bCs/>
        </w:rPr>
        <w:t>报价一览表</w:t>
      </w:r>
    </w:p>
    <w:p>
      <w:pPr>
        <w:pStyle w:val="10"/>
        <w:tabs>
          <w:tab w:val="left" w:pos="7601"/>
        </w:tabs>
        <w:spacing w:before="161"/>
        <w:ind w:left="497" w:leftChars="226" w:firstLine="379" w:firstLineChars="158"/>
      </w:pPr>
      <w:r>
        <w:rPr>
          <w:rFonts w:hint="eastAsia"/>
          <w:lang w:val="en-US"/>
        </w:rPr>
        <w:t>标项号及标项名称</w:t>
      </w:r>
      <w:r>
        <w:t>：</w:t>
      </w:r>
      <w:r>
        <w:rPr>
          <w:rFonts w:hint="eastAsia"/>
          <w:lang w:val="en-US"/>
        </w:rPr>
        <w:t xml:space="preserve">                                    </w:t>
      </w:r>
      <w:r>
        <w:t>金额单位：</w:t>
      </w:r>
      <w:r>
        <w:rPr>
          <w:rFonts w:hint="eastAsia"/>
        </w:rPr>
        <w:t>人民币</w:t>
      </w:r>
      <w:r>
        <w:t>元</w:t>
      </w:r>
    </w:p>
    <w:p>
      <w:pPr>
        <w:pStyle w:val="10"/>
        <w:spacing w:before="4"/>
        <w:rPr>
          <w:sz w:val="6"/>
        </w:rPr>
      </w:pPr>
    </w:p>
    <w:tbl>
      <w:tblPr>
        <w:tblStyle w:val="14"/>
        <w:tblW w:w="9131" w:type="dxa"/>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1716"/>
        <w:gridCol w:w="3953"/>
        <w:gridCol w:w="1237"/>
        <w:gridCol w:w="1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32" w:type="dxa"/>
            <w:vAlign w:val="center"/>
          </w:tcPr>
          <w:p>
            <w:pPr>
              <w:pStyle w:val="22"/>
              <w:spacing w:before="79"/>
              <w:ind w:left="219" w:right="210"/>
              <w:jc w:val="center"/>
              <w:rPr>
                <w:sz w:val="24"/>
              </w:rPr>
            </w:pPr>
            <w:r>
              <w:rPr>
                <w:sz w:val="24"/>
              </w:rPr>
              <w:t>序号</w:t>
            </w:r>
          </w:p>
        </w:tc>
        <w:tc>
          <w:tcPr>
            <w:tcW w:w="1716" w:type="dxa"/>
            <w:vAlign w:val="center"/>
          </w:tcPr>
          <w:p>
            <w:pPr>
              <w:pStyle w:val="22"/>
              <w:spacing w:before="79"/>
              <w:ind w:left="109" w:right="103"/>
              <w:jc w:val="center"/>
              <w:rPr>
                <w:sz w:val="24"/>
              </w:rPr>
            </w:pPr>
            <w:r>
              <w:rPr>
                <w:rFonts w:hint="eastAsia"/>
                <w:sz w:val="24"/>
              </w:rPr>
              <w:t>项目名称</w:t>
            </w:r>
          </w:p>
        </w:tc>
        <w:tc>
          <w:tcPr>
            <w:tcW w:w="3953" w:type="dxa"/>
            <w:vAlign w:val="center"/>
          </w:tcPr>
          <w:p>
            <w:pPr>
              <w:pStyle w:val="22"/>
              <w:jc w:val="both"/>
              <w:rPr>
                <w:rFonts w:ascii="Times New Roman"/>
              </w:rPr>
            </w:pPr>
          </w:p>
        </w:tc>
        <w:tc>
          <w:tcPr>
            <w:tcW w:w="1237" w:type="dxa"/>
            <w:vAlign w:val="center"/>
          </w:tcPr>
          <w:p>
            <w:pPr>
              <w:pStyle w:val="22"/>
              <w:spacing w:before="79"/>
              <w:ind w:left="136"/>
              <w:jc w:val="both"/>
              <w:rPr>
                <w:sz w:val="24"/>
              </w:rPr>
            </w:pPr>
            <w:r>
              <w:rPr>
                <w:rFonts w:hint="eastAsia"/>
                <w:sz w:val="24"/>
              </w:rPr>
              <w:t>项目编号</w:t>
            </w:r>
          </w:p>
        </w:tc>
        <w:tc>
          <w:tcPr>
            <w:tcW w:w="1293" w:type="dxa"/>
            <w:vAlign w:val="center"/>
          </w:tcPr>
          <w:p>
            <w:pPr>
              <w:pStyle w:val="22"/>
              <w:jc w:val="both"/>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2" w:type="dxa"/>
            <w:vAlign w:val="center"/>
          </w:tcPr>
          <w:p>
            <w:pPr>
              <w:pStyle w:val="22"/>
              <w:ind w:left="9"/>
              <w:jc w:val="center"/>
              <w:rPr>
                <w:sz w:val="24"/>
              </w:rPr>
            </w:pPr>
            <w:r>
              <w:rPr>
                <w:sz w:val="24"/>
              </w:rPr>
              <w:t>1</w:t>
            </w:r>
          </w:p>
        </w:tc>
        <w:tc>
          <w:tcPr>
            <w:tcW w:w="1716" w:type="dxa"/>
            <w:vAlign w:val="center"/>
          </w:tcPr>
          <w:p>
            <w:pPr>
              <w:pStyle w:val="22"/>
              <w:ind w:left="109" w:right="103"/>
              <w:jc w:val="center"/>
              <w:rPr>
                <w:sz w:val="24"/>
              </w:rPr>
            </w:pPr>
            <w:r>
              <w:rPr>
                <w:sz w:val="24"/>
              </w:rPr>
              <w:t>总报价</w:t>
            </w:r>
          </w:p>
          <w:p>
            <w:pPr>
              <w:pStyle w:val="22"/>
              <w:ind w:left="109" w:right="103"/>
              <w:jc w:val="center"/>
              <w:rPr>
                <w:sz w:val="24"/>
              </w:rPr>
            </w:pPr>
            <w:r>
              <w:rPr>
                <w:rFonts w:hint="eastAsia"/>
                <w:sz w:val="24"/>
              </w:rPr>
              <w:t>（</w:t>
            </w:r>
            <w:r>
              <w:rPr>
                <w:sz w:val="24"/>
              </w:rPr>
              <w:t>人民币</w:t>
            </w:r>
            <w:r>
              <w:rPr>
                <w:rFonts w:hint="eastAsia"/>
                <w:sz w:val="24"/>
              </w:rPr>
              <w:t>元）</w:t>
            </w:r>
          </w:p>
        </w:tc>
        <w:tc>
          <w:tcPr>
            <w:tcW w:w="6483" w:type="dxa"/>
            <w:gridSpan w:val="3"/>
            <w:vAlign w:val="center"/>
          </w:tcPr>
          <w:p>
            <w:pPr>
              <w:pStyle w:val="22"/>
              <w:tabs>
                <w:tab w:val="left" w:pos="2268"/>
              </w:tabs>
              <w:spacing w:before="79"/>
              <w:ind w:left="107"/>
              <w:jc w:val="both"/>
              <w:rPr>
                <w:sz w:val="24"/>
              </w:rPr>
            </w:pPr>
            <w:r>
              <w:rPr>
                <w:sz w:val="24"/>
              </w:rPr>
              <w:t>大写：人民币</w:t>
            </w:r>
            <w:r>
              <w:rPr>
                <w:sz w:val="24"/>
                <w:u w:val="single"/>
              </w:rPr>
              <w:t xml:space="preserve"> </w:t>
            </w:r>
            <w:r>
              <w:rPr>
                <w:rFonts w:hint="eastAsia"/>
                <w:sz w:val="24"/>
                <w:u w:val="single"/>
                <w:lang w:val="en-US"/>
              </w:rPr>
              <w:t xml:space="preserve">           </w:t>
            </w:r>
            <w:r>
              <w:rPr>
                <w:sz w:val="24"/>
                <w:u w:val="single"/>
              </w:rPr>
              <w:tab/>
            </w:r>
            <w:bookmarkStart w:id="57" w:name="_GoBack"/>
            <w:bookmarkEnd w:id="57"/>
            <w:r>
              <w:rPr>
                <w:sz w:val="24"/>
              </w:rPr>
              <w:t>元</w:t>
            </w:r>
          </w:p>
          <w:p>
            <w:pPr>
              <w:pStyle w:val="22"/>
              <w:tabs>
                <w:tab w:val="left" w:pos="1842"/>
              </w:tabs>
              <w:spacing w:before="160"/>
              <w:ind w:left="107"/>
              <w:jc w:val="both"/>
              <w:rPr>
                <w:rFonts w:ascii="Times New Roman"/>
                <w:sz w:val="24"/>
                <w:lang w:val="en-US"/>
              </w:rPr>
            </w:pPr>
            <w:r>
              <w:rPr>
                <w:sz w:val="24"/>
              </w:rPr>
              <w:t>小写：￥</w:t>
            </w:r>
            <w:r>
              <w:rPr>
                <w:rFonts w:ascii="Times New Roman" w:eastAsia="Times New Roman"/>
                <w:sz w:val="24"/>
                <w:u w:val="single"/>
              </w:rPr>
              <w:t xml:space="preserve"> </w:t>
            </w:r>
            <w:r>
              <w:rPr>
                <w:rFonts w:ascii="Times New Roman" w:eastAsia="Times New Roman"/>
                <w:sz w:val="24"/>
                <w:u w:val="single"/>
              </w:rPr>
              <w:tab/>
            </w:r>
            <w:r>
              <w:rPr>
                <w:rFonts w:hint="eastAsia" w:ascii="Times New Roman"/>
                <w:sz w:val="24"/>
                <w:u w:val="single"/>
                <w:lang w:val="en-US"/>
              </w:rPr>
              <w:t xml:space="preserve">       </w:t>
            </w:r>
            <w:r>
              <w:rPr>
                <w:rFonts w:hint="eastAsia" w:ascii="Times New Roman"/>
                <w:sz w:val="24"/>
                <w:lang w:val="en-US"/>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32" w:type="dxa"/>
            <w:vAlign w:val="center"/>
          </w:tcPr>
          <w:p>
            <w:pPr>
              <w:pStyle w:val="22"/>
              <w:spacing w:before="81"/>
              <w:ind w:left="9"/>
              <w:jc w:val="center"/>
              <w:rPr>
                <w:rFonts w:hint="eastAsia" w:eastAsia="宋体"/>
                <w:sz w:val="24"/>
                <w:lang w:eastAsia="zh-CN"/>
              </w:rPr>
            </w:pPr>
            <w:r>
              <w:rPr>
                <w:rFonts w:hint="eastAsia"/>
                <w:sz w:val="24"/>
                <w:lang w:val="en-US" w:eastAsia="zh-CN"/>
              </w:rPr>
              <w:t>2</w:t>
            </w:r>
          </w:p>
        </w:tc>
        <w:tc>
          <w:tcPr>
            <w:tcW w:w="1716" w:type="dxa"/>
            <w:vAlign w:val="center"/>
          </w:tcPr>
          <w:p>
            <w:pPr>
              <w:pStyle w:val="22"/>
              <w:spacing w:before="81"/>
              <w:ind w:left="109" w:right="103"/>
              <w:jc w:val="center"/>
              <w:rPr>
                <w:sz w:val="24"/>
              </w:rPr>
            </w:pPr>
            <w:r>
              <w:rPr>
                <w:sz w:val="24"/>
              </w:rPr>
              <w:t>响应有效期</w:t>
            </w:r>
          </w:p>
        </w:tc>
        <w:tc>
          <w:tcPr>
            <w:tcW w:w="6483" w:type="dxa"/>
            <w:gridSpan w:val="3"/>
            <w:vAlign w:val="center"/>
          </w:tcPr>
          <w:p>
            <w:pPr>
              <w:pStyle w:val="22"/>
              <w:ind w:firstLine="660" w:firstLineChars="300"/>
              <w:jc w:val="both"/>
              <w:rPr>
                <w:rFonts w:ascii="Times New Roman"/>
              </w:rPr>
            </w:pPr>
            <w:r>
              <w:rPr>
                <w:rFonts w:hint="eastAsia" w:ascii="Times New Roman"/>
                <w:lang w:val="en-US"/>
              </w:rPr>
              <w:t>90</w:t>
            </w:r>
            <w:r>
              <w:rPr>
                <w:rFonts w:ascii="Times New Roman"/>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32" w:type="dxa"/>
            <w:vAlign w:val="center"/>
          </w:tcPr>
          <w:p>
            <w:pPr>
              <w:pStyle w:val="22"/>
              <w:jc w:val="center"/>
              <w:rPr>
                <w:rFonts w:hint="eastAsia" w:ascii="Times New Roman" w:eastAsia="宋体"/>
                <w:lang w:val="en-US" w:eastAsia="zh-CN"/>
              </w:rPr>
            </w:pPr>
            <w:r>
              <w:rPr>
                <w:rFonts w:hint="eastAsia"/>
                <w:sz w:val="24"/>
                <w:lang w:val="en-US" w:eastAsia="zh-CN"/>
              </w:rPr>
              <w:t>3</w:t>
            </w:r>
          </w:p>
        </w:tc>
        <w:tc>
          <w:tcPr>
            <w:tcW w:w="1716" w:type="dxa"/>
            <w:vAlign w:val="center"/>
          </w:tcPr>
          <w:p>
            <w:pPr>
              <w:pStyle w:val="22"/>
              <w:spacing w:before="79"/>
              <w:ind w:left="109" w:right="103"/>
              <w:jc w:val="center"/>
              <w:rPr>
                <w:sz w:val="24"/>
              </w:rPr>
            </w:pPr>
            <w:r>
              <w:rPr>
                <w:sz w:val="24"/>
              </w:rPr>
              <w:t>备注</w:t>
            </w:r>
          </w:p>
        </w:tc>
        <w:tc>
          <w:tcPr>
            <w:tcW w:w="6483" w:type="dxa"/>
            <w:gridSpan w:val="3"/>
            <w:vAlign w:val="center"/>
          </w:tcPr>
          <w:p>
            <w:pPr>
              <w:pStyle w:val="22"/>
              <w:jc w:val="both"/>
              <w:rPr>
                <w:rFonts w:ascii="Times New Roman"/>
              </w:rPr>
            </w:pPr>
          </w:p>
        </w:tc>
      </w:tr>
    </w:tbl>
    <w:p>
      <w:pPr>
        <w:pStyle w:val="10"/>
      </w:pPr>
    </w:p>
    <w:p>
      <w:pPr>
        <w:pStyle w:val="10"/>
        <w:spacing w:before="9"/>
        <w:rPr>
          <w:sz w:val="18"/>
        </w:rPr>
      </w:pPr>
    </w:p>
    <w:p>
      <w:pPr>
        <w:pStyle w:val="10"/>
        <w:tabs>
          <w:tab w:val="left" w:pos="5015"/>
        </w:tabs>
        <w:ind w:left="136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10"/>
        <w:tabs>
          <w:tab w:val="left" w:pos="2800"/>
          <w:tab w:val="left" w:pos="3520"/>
          <w:tab w:val="left" w:pos="4240"/>
          <w:tab w:val="left" w:pos="7176"/>
        </w:tabs>
        <w:spacing w:before="161" w:line="364" w:lineRule="auto"/>
        <w:ind w:left="1360" w:right="288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364" w:lineRule="auto"/>
        <w:sectPr>
          <w:pgSz w:w="11910" w:h="16840"/>
          <w:pgMar w:top="1460" w:right="920" w:bottom="1160" w:left="920" w:header="0" w:footer="974" w:gutter="0"/>
          <w:cols w:space="720" w:num="1"/>
        </w:sectPr>
      </w:pPr>
    </w:p>
    <w:p>
      <w:pPr>
        <w:pStyle w:val="10"/>
        <w:spacing w:before="41" w:line="364" w:lineRule="auto"/>
        <w:ind w:right="390" w:firstLine="720" w:firstLineChars="300"/>
      </w:pPr>
      <w:r>
        <w:t>附件 2－</w:t>
      </w:r>
      <w:r>
        <w:rPr>
          <w:rFonts w:hint="eastAsia"/>
          <w:lang w:val="en-US"/>
        </w:rPr>
        <w:t>2</w:t>
      </w:r>
    </w:p>
    <w:p>
      <w:pPr>
        <w:jc w:val="center"/>
        <w:rPr>
          <w:b/>
          <w:bCs/>
          <w:sz w:val="24"/>
          <w:szCs w:val="24"/>
        </w:rPr>
      </w:pPr>
      <w:r>
        <w:rPr>
          <w:b/>
          <w:bCs/>
          <w:sz w:val="24"/>
          <w:szCs w:val="24"/>
        </w:rPr>
        <w:t>分项价格表</w:t>
      </w:r>
    </w:p>
    <w:p>
      <w:pPr>
        <w:pStyle w:val="10"/>
        <w:tabs>
          <w:tab w:val="left" w:pos="7601"/>
        </w:tabs>
        <w:spacing w:before="160"/>
        <w:ind w:left="497" w:leftChars="226" w:firstLine="379" w:firstLineChars="158"/>
      </w:pPr>
      <w:r>
        <w:t>项目名称：</w:t>
      </w:r>
      <w:r>
        <w:rPr>
          <w:rFonts w:hint="eastAsia"/>
          <w:lang w:val="en-US"/>
        </w:rPr>
        <w:t xml:space="preserve">                                     </w:t>
      </w:r>
      <w:r>
        <w:t>项目编号：</w:t>
      </w:r>
    </w:p>
    <w:p>
      <w:pPr>
        <w:pStyle w:val="10"/>
        <w:tabs>
          <w:tab w:val="left" w:pos="7601"/>
        </w:tabs>
        <w:spacing w:before="161"/>
        <w:ind w:left="497" w:leftChars="226" w:firstLine="379" w:firstLineChars="158"/>
      </w:pPr>
      <w:r>
        <w:rPr>
          <w:rFonts w:hint="eastAsia"/>
          <w:lang w:val="en-US"/>
        </w:rPr>
        <w:t>标项号及标项名称</w:t>
      </w:r>
      <w:r>
        <w:t>：</w:t>
      </w:r>
      <w:r>
        <w:rPr>
          <w:rFonts w:hint="eastAsia"/>
          <w:lang w:val="en-US"/>
        </w:rPr>
        <w:t xml:space="preserve">                                   </w:t>
      </w:r>
      <w:r>
        <w:t>金额单位：</w:t>
      </w:r>
      <w:r>
        <w:rPr>
          <w:rFonts w:hint="eastAsia"/>
        </w:rPr>
        <w:t>人民币</w:t>
      </w:r>
      <w:r>
        <w:t>元</w:t>
      </w:r>
    </w:p>
    <w:p>
      <w:pPr>
        <w:pStyle w:val="10"/>
        <w:spacing w:before="4"/>
        <w:rPr>
          <w:sz w:val="6"/>
        </w:rPr>
      </w:pPr>
    </w:p>
    <w:tbl>
      <w:tblPr>
        <w:tblStyle w:val="14"/>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2301"/>
        <w:gridCol w:w="2552"/>
        <w:gridCol w:w="3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7" w:type="dxa"/>
          </w:tcPr>
          <w:p>
            <w:pPr>
              <w:pStyle w:val="22"/>
              <w:spacing w:before="79"/>
              <w:ind w:left="215"/>
              <w:rPr>
                <w:sz w:val="24"/>
              </w:rPr>
            </w:pPr>
            <w:r>
              <w:rPr>
                <w:sz w:val="24"/>
              </w:rPr>
              <w:t>序</w:t>
            </w:r>
          </w:p>
          <w:p>
            <w:pPr>
              <w:pStyle w:val="22"/>
              <w:spacing w:before="160"/>
              <w:ind w:left="215"/>
              <w:rPr>
                <w:sz w:val="24"/>
              </w:rPr>
            </w:pPr>
            <w:r>
              <w:rPr>
                <w:sz w:val="24"/>
              </w:rPr>
              <w:t>号</w:t>
            </w:r>
          </w:p>
        </w:tc>
        <w:tc>
          <w:tcPr>
            <w:tcW w:w="2301" w:type="dxa"/>
          </w:tcPr>
          <w:p>
            <w:pPr>
              <w:pStyle w:val="22"/>
              <w:spacing w:before="6"/>
              <w:rPr>
                <w:sz w:val="24"/>
              </w:rPr>
            </w:pPr>
          </w:p>
          <w:p>
            <w:pPr>
              <w:pStyle w:val="22"/>
              <w:ind w:left="441"/>
              <w:rPr>
                <w:sz w:val="24"/>
              </w:rPr>
            </w:pPr>
            <w:r>
              <w:rPr>
                <w:sz w:val="24"/>
              </w:rPr>
              <w:t>服务内容</w:t>
            </w:r>
          </w:p>
        </w:tc>
        <w:tc>
          <w:tcPr>
            <w:tcW w:w="2552" w:type="dxa"/>
          </w:tcPr>
          <w:p>
            <w:pPr>
              <w:pStyle w:val="22"/>
              <w:spacing w:before="6"/>
              <w:rPr>
                <w:sz w:val="24"/>
              </w:rPr>
            </w:pPr>
          </w:p>
          <w:p>
            <w:pPr>
              <w:pStyle w:val="22"/>
              <w:ind w:left="1013" w:right="1008"/>
              <w:jc w:val="center"/>
              <w:rPr>
                <w:sz w:val="24"/>
              </w:rPr>
            </w:pPr>
            <w:r>
              <w:rPr>
                <w:sz w:val="24"/>
              </w:rPr>
              <w:t>报价</w:t>
            </w:r>
          </w:p>
        </w:tc>
        <w:tc>
          <w:tcPr>
            <w:tcW w:w="3546" w:type="dxa"/>
          </w:tcPr>
          <w:p>
            <w:pPr>
              <w:pStyle w:val="22"/>
              <w:spacing w:before="6"/>
              <w:rPr>
                <w:sz w:val="24"/>
              </w:rPr>
            </w:pPr>
          </w:p>
          <w:p>
            <w:pPr>
              <w:pStyle w:val="22"/>
              <w:ind w:left="1512" w:right="1503"/>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7" w:type="dxa"/>
          </w:tcPr>
          <w:p>
            <w:pPr>
              <w:pStyle w:val="22"/>
              <w:spacing w:before="79"/>
              <w:ind w:left="4"/>
              <w:jc w:val="center"/>
              <w:rPr>
                <w:sz w:val="24"/>
              </w:rPr>
            </w:pPr>
            <w:r>
              <w:rPr>
                <w:sz w:val="24"/>
              </w:rPr>
              <w:t>1</w:t>
            </w:r>
          </w:p>
        </w:tc>
        <w:tc>
          <w:tcPr>
            <w:tcW w:w="2301" w:type="dxa"/>
          </w:tcPr>
          <w:p>
            <w:pPr>
              <w:pStyle w:val="22"/>
              <w:rPr>
                <w:rFonts w:ascii="Times New Roman"/>
              </w:rPr>
            </w:pPr>
          </w:p>
        </w:tc>
        <w:tc>
          <w:tcPr>
            <w:tcW w:w="2552" w:type="dxa"/>
          </w:tcPr>
          <w:p>
            <w:pPr>
              <w:pStyle w:val="22"/>
              <w:rPr>
                <w:rFonts w:ascii="Times New Roman"/>
              </w:rPr>
            </w:pPr>
          </w:p>
        </w:tc>
        <w:tc>
          <w:tcPr>
            <w:tcW w:w="3546"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7" w:type="dxa"/>
          </w:tcPr>
          <w:p>
            <w:pPr>
              <w:pStyle w:val="22"/>
              <w:spacing w:before="79"/>
              <w:ind w:left="4"/>
              <w:jc w:val="center"/>
              <w:rPr>
                <w:sz w:val="24"/>
              </w:rPr>
            </w:pPr>
            <w:r>
              <w:rPr>
                <w:sz w:val="24"/>
              </w:rPr>
              <w:t>2</w:t>
            </w:r>
          </w:p>
        </w:tc>
        <w:tc>
          <w:tcPr>
            <w:tcW w:w="2301" w:type="dxa"/>
          </w:tcPr>
          <w:p>
            <w:pPr>
              <w:pStyle w:val="22"/>
              <w:rPr>
                <w:rFonts w:ascii="Times New Roman"/>
              </w:rPr>
            </w:pPr>
          </w:p>
        </w:tc>
        <w:tc>
          <w:tcPr>
            <w:tcW w:w="2552" w:type="dxa"/>
          </w:tcPr>
          <w:p>
            <w:pPr>
              <w:pStyle w:val="22"/>
              <w:rPr>
                <w:rFonts w:ascii="Times New Roman"/>
              </w:rPr>
            </w:pPr>
          </w:p>
        </w:tc>
        <w:tc>
          <w:tcPr>
            <w:tcW w:w="3546"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77" w:type="dxa"/>
          </w:tcPr>
          <w:p>
            <w:pPr>
              <w:pStyle w:val="22"/>
              <w:spacing w:before="81"/>
              <w:ind w:left="4"/>
              <w:jc w:val="center"/>
              <w:rPr>
                <w:sz w:val="24"/>
              </w:rPr>
            </w:pPr>
            <w:r>
              <w:rPr>
                <w:sz w:val="24"/>
              </w:rPr>
              <w:t>3</w:t>
            </w:r>
          </w:p>
        </w:tc>
        <w:tc>
          <w:tcPr>
            <w:tcW w:w="2301" w:type="dxa"/>
          </w:tcPr>
          <w:p>
            <w:pPr>
              <w:pStyle w:val="22"/>
              <w:rPr>
                <w:rFonts w:ascii="Times New Roman"/>
              </w:rPr>
            </w:pPr>
          </w:p>
        </w:tc>
        <w:tc>
          <w:tcPr>
            <w:tcW w:w="2552" w:type="dxa"/>
          </w:tcPr>
          <w:p>
            <w:pPr>
              <w:pStyle w:val="22"/>
              <w:rPr>
                <w:rFonts w:ascii="Times New Roman"/>
              </w:rPr>
            </w:pPr>
          </w:p>
        </w:tc>
        <w:tc>
          <w:tcPr>
            <w:tcW w:w="3546"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7" w:type="dxa"/>
          </w:tcPr>
          <w:p>
            <w:pPr>
              <w:pStyle w:val="22"/>
              <w:spacing w:before="79"/>
              <w:ind w:left="4"/>
              <w:jc w:val="center"/>
              <w:rPr>
                <w:sz w:val="24"/>
              </w:rPr>
            </w:pPr>
            <w:r>
              <w:rPr>
                <w:sz w:val="24"/>
              </w:rPr>
              <w:t>4</w:t>
            </w:r>
          </w:p>
        </w:tc>
        <w:tc>
          <w:tcPr>
            <w:tcW w:w="2301" w:type="dxa"/>
          </w:tcPr>
          <w:p>
            <w:pPr>
              <w:pStyle w:val="22"/>
              <w:rPr>
                <w:rFonts w:ascii="Times New Roman"/>
              </w:rPr>
            </w:pPr>
          </w:p>
        </w:tc>
        <w:tc>
          <w:tcPr>
            <w:tcW w:w="2552" w:type="dxa"/>
          </w:tcPr>
          <w:p>
            <w:pPr>
              <w:pStyle w:val="22"/>
              <w:rPr>
                <w:rFonts w:ascii="Times New Roman"/>
              </w:rPr>
            </w:pPr>
          </w:p>
        </w:tc>
        <w:tc>
          <w:tcPr>
            <w:tcW w:w="3546"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7" w:type="dxa"/>
          </w:tcPr>
          <w:p>
            <w:pPr>
              <w:pStyle w:val="22"/>
              <w:spacing w:before="79"/>
              <w:ind w:left="4"/>
              <w:jc w:val="center"/>
              <w:rPr>
                <w:sz w:val="24"/>
              </w:rPr>
            </w:pPr>
            <w:r>
              <w:rPr>
                <w:sz w:val="24"/>
              </w:rPr>
              <w:t>5</w:t>
            </w:r>
          </w:p>
        </w:tc>
        <w:tc>
          <w:tcPr>
            <w:tcW w:w="2301" w:type="dxa"/>
          </w:tcPr>
          <w:p>
            <w:pPr>
              <w:pStyle w:val="22"/>
              <w:rPr>
                <w:rFonts w:ascii="Times New Roman"/>
              </w:rPr>
            </w:pPr>
          </w:p>
        </w:tc>
        <w:tc>
          <w:tcPr>
            <w:tcW w:w="2552" w:type="dxa"/>
          </w:tcPr>
          <w:p>
            <w:pPr>
              <w:pStyle w:val="22"/>
              <w:rPr>
                <w:rFonts w:ascii="Times New Roman"/>
              </w:rPr>
            </w:pPr>
          </w:p>
        </w:tc>
        <w:tc>
          <w:tcPr>
            <w:tcW w:w="3546"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77" w:type="dxa"/>
          </w:tcPr>
          <w:p>
            <w:pPr>
              <w:pStyle w:val="22"/>
              <w:spacing w:before="79"/>
              <w:ind w:left="4"/>
              <w:jc w:val="center"/>
              <w:rPr>
                <w:sz w:val="24"/>
              </w:rPr>
            </w:pPr>
            <w:r>
              <w:rPr>
                <w:sz w:val="24"/>
              </w:rPr>
              <w:t>6</w:t>
            </w:r>
          </w:p>
        </w:tc>
        <w:tc>
          <w:tcPr>
            <w:tcW w:w="2301" w:type="dxa"/>
          </w:tcPr>
          <w:p>
            <w:pPr>
              <w:pStyle w:val="22"/>
              <w:rPr>
                <w:rFonts w:ascii="Times New Roman"/>
              </w:rPr>
            </w:pPr>
          </w:p>
        </w:tc>
        <w:tc>
          <w:tcPr>
            <w:tcW w:w="2552" w:type="dxa"/>
          </w:tcPr>
          <w:p>
            <w:pPr>
              <w:pStyle w:val="22"/>
              <w:rPr>
                <w:rFonts w:ascii="Times New Roman"/>
              </w:rPr>
            </w:pPr>
          </w:p>
        </w:tc>
        <w:tc>
          <w:tcPr>
            <w:tcW w:w="3546"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7" w:type="dxa"/>
          </w:tcPr>
          <w:p>
            <w:pPr>
              <w:pStyle w:val="22"/>
              <w:spacing w:before="79"/>
              <w:ind w:left="4"/>
              <w:jc w:val="center"/>
              <w:rPr>
                <w:sz w:val="24"/>
              </w:rPr>
            </w:pPr>
            <w:r>
              <w:rPr>
                <w:sz w:val="24"/>
              </w:rPr>
              <w:t>7</w:t>
            </w:r>
          </w:p>
        </w:tc>
        <w:tc>
          <w:tcPr>
            <w:tcW w:w="2301" w:type="dxa"/>
          </w:tcPr>
          <w:p>
            <w:pPr>
              <w:pStyle w:val="22"/>
              <w:rPr>
                <w:rFonts w:ascii="Times New Roman"/>
              </w:rPr>
            </w:pPr>
          </w:p>
        </w:tc>
        <w:tc>
          <w:tcPr>
            <w:tcW w:w="2552" w:type="dxa"/>
          </w:tcPr>
          <w:p>
            <w:pPr>
              <w:pStyle w:val="22"/>
              <w:rPr>
                <w:rFonts w:ascii="Times New Roman"/>
              </w:rPr>
            </w:pPr>
          </w:p>
        </w:tc>
        <w:tc>
          <w:tcPr>
            <w:tcW w:w="3546"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7" w:type="dxa"/>
          </w:tcPr>
          <w:p>
            <w:pPr>
              <w:pStyle w:val="22"/>
              <w:spacing w:before="79"/>
              <w:ind w:left="4"/>
              <w:jc w:val="center"/>
              <w:rPr>
                <w:sz w:val="24"/>
              </w:rPr>
            </w:pPr>
            <w:r>
              <w:rPr>
                <w:sz w:val="24"/>
              </w:rPr>
              <w:t>8</w:t>
            </w:r>
          </w:p>
        </w:tc>
        <w:tc>
          <w:tcPr>
            <w:tcW w:w="2301" w:type="dxa"/>
          </w:tcPr>
          <w:p>
            <w:pPr>
              <w:pStyle w:val="22"/>
              <w:rPr>
                <w:rFonts w:ascii="Times New Roman"/>
              </w:rPr>
            </w:pPr>
          </w:p>
        </w:tc>
        <w:tc>
          <w:tcPr>
            <w:tcW w:w="2552" w:type="dxa"/>
          </w:tcPr>
          <w:p>
            <w:pPr>
              <w:pStyle w:val="22"/>
              <w:rPr>
                <w:rFonts w:ascii="Times New Roman"/>
              </w:rPr>
            </w:pPr>
          </w:p>
        </w:tc>
        <w:tc>
          <w:tcPr>
            <w:tcW w:w="3546"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978" w:type="dxa"/>
            <w:gridSpan w:val="2"/>
          </w:tcPr>
          <w:p>
            <w:pPr>
              <w:pStyle w:val="22"/>
              <w:spacing w:before="7"/>
              <w:rPr>
                <w:sz w:val="24"/>
              </w:rPr>
            </w:pPr>
          </w:p>
          <w:p>
            <w:pPr>
              <w:pStyle w:val="22"/>
              <w:ind w:left="997" w:right="994"/>
              <w:jc w:val="center"/>
              <w:rPr>
                <w:sz w:val="24"/>
              </w:rPr>
            </w:pPr>
            <w:r>
              <w:rPr>
                <w:sz w:val="24"/>
              </w:rPr>
              <w:t>总</w:t>
            </w:r>
            <w:r>
              <w:rPr>
                <w:rFonts w:hint="eastAsia"/>
                <w:sz w:val="24"/>
              </w:rPr>
              <w:t>报价</w:t>
            </w:r>
          </w:p>
        </w:tc>
        <w:tc>
          <w:tcPr>
            <w:tcW w:w="6098" w:type="dxa"/>
            <w:gridSpan w:val="2"/>
          </w:tcPr>
          <w:p>
            <w:pPr>
              <w:pStyle w:val="22"/>
              <w:tabs>
                <w:tab w:val="left" w:pos="3947"/>
              </w:tabs>
              <w:spacing w:before="81"/>
              <w:ind w:left="107"/>
              <w:rPr>
                <w:sz w:val="24"/>
              </w:rPr>
            </w:pPr>
            <w:r>
              <w:rPr>
                <w:sz w:val="24"/>
              </w:rPr>
              <w:t>大写：人民币</w:t>
            </w:r>
            <w:r>
              <w:rPr>
                <w:sz w:val="24"/>
                <w:u w:val="single"/>
              </w:rPr>
              <w:t xml:space="preserve"> </w:t>
            </w:r>
            <w:r>
              <w:rPr>
                <w:sz w:val="24"/>
                <w:u w:val="single"/>
              </w:rPr>
              <w:tab/>
            </w:r>
            <w:r>
              <w:rPr>
                <w:sz w:val="24"/>
              </w:rPr>
              <w:t>元</w:t>
            </w:r>
          </w:p>
          <w:p>
            <w:pPr>
              <w:pStyle w:val="22"/>
              <w:tabs>
                <w:tab w:val="left" w:pos="3522"/>
              </w:tabs>
              <w:spacing w:before="161"/>
              <w:ind w:left="107"/>
              <w:rPr>
                <w:rFonts w:ascii="Times New Roman"/>
                <w:sz w:val="24"/>
              </w:rPr>
            </w:pPr>
            <w:r>
              <w:rPr>
                <w:sz w:val="24"/>
              </w:rPr>
              <w:t>小写：￥</w:t>
            </w:r>
            <w:r>
              <w:rPr>
                <w:rFonts w:ascii="Times New Roman" w:eastAsia="Times New Roman"/>
                <w:sz w:val="24"/>
                <w:u w:val="single"/>
              </w:rPr>
              <w:t xml:space="preserve"> </w:t>
            </w:r>
            <w:r>
              <w:rPr>
                <w:rFonts w:ascii="Times New Roman" w:eastAsia="Times New Roman"/>
                <w:sz w:val="24"/>
                <w:u w:val="single"/>
              </w:rPr>
              <w:tab/>
            </w:r>
            <w:r>
              <w:rPr>
                <w:rFonts w:hint="eastAsia" w:ascii="Times New Roman"/>
                <w:sz w:val="24"/>
              </w:rPr>
              <w:t>元</w:t>
            </w:r>
          </w:p>
        </w:tc>
      </w:tr>
    </w:tbl>
    <w:p>
      <w:pPr>
        <w:pStyle w:val="10"/>
      </w:pPr>
    </w:p>
    <w:p>
      <w:pPr>
        <w:pStyle w:val="10"/>
        <w:spacing w:before="9"/>
        <w:rPr>
          <w:sz w:val="18"/>
        </w:rPr>
      </w:pPr>
    </w:p>
    <w:p>
      <w:pPr>
        <w:pStyle w:val="10"/>
        <w:tabs>
          <w:tab w:val="left" w:pos="5015"/>
        </w:tabs>
        <w:ind w:left="136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10"/>
        <w:tabs>
          <w:tab w:val="left" w:pos="2800"/>
          <w:tab w:val="left" w:pos="3520"/>
          <w:tab w:val="left" w:pos="4240"/>
          <w:tab w:val="left" w:pos="7176"/>
        </w:tabs>
        <w:spacing w:before="161" w:line="364" w:lineRule="auto"/>
        <w:ind w:left="1360" w:right="288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0"/>
        <w:spacing w:before="8"/>
        <w:rPr>
          <w:sz w:val="36"/>
        </w:rPr>
      </w:pPr>
    </w:p>
    <w:p>
      <w:pPr>
        <w:ind w:firstLine="964" w:firstLineChars="400"/>
        <w:rPr>
          <w:b/>
          <w:bCs/>
          <w:sz w:val="24"/>
          <w:szCs w:val="24"/>
        </w:rPr>
      </w:pPr>
      <w:r>
        <w:rPr>
          <w:rFonts w:hint="eastAsia"/>
          <w:b/>
          <w:bCs/>
          <w:sz w:val="24"/>
          <w:szCs w:val="24"/>
        </w:rPr>
        <w:t>注：</w:t>
      </w:r>
      <w:r>
        <w:rPr>
          <w:rFonts w:hint="eastAsia"/>
          <w:b/>
          <w:bCs/>
          <w:sz w:val="24"/>
          <w:szCs w:val="24"/>
          <w:lang w:val="en-US"/>
        </w:rPr>
        <w:t>1、</w:t>
      </w:r>
      <w:r>
        <w:rPr>
          <w:b/>
          <w:bCs/>
          <w:sz w:val="24"/>
          <w:szCs w:val="24"/>
        </w:rPr>
        <w:t>报价应包括但不限于以下内容：报价包含交通、食宿等所有产生的费用</w:t>
      </w:r>
    </w:p>
    <w:p>
      <w:pPr>
        <w:ind w:firstLine="964" w:firstLineChars="400"/>
        <w:rPr>
          <w:b/>
          <w:bCs/>
          <w:sz w:val="24"/>
          <w:szCs w:val="24"/>
          <w:lang w:val="en-US"/>
        </w:rPr>
      </w:pPr>
      <w:r>
        <w:rPr>
          <w:rFonts w:hint="eastAsia"/>
          <w:b/>
          <w:bCs/>
          <w:sz w:val="24"/>
          <w:szCs w:val="24"/>
          <w:lang w:val="en-US"/>
        </w:rPr>
        <w:t xml:space="preserve">    2、本《分项报价表》内的总报价应与《报价一览表》内总报价一致。</w:t>
      </w:r>
    </w:p>
    <w:p>
      <w:pPr>
        <w:ind w:firstLine="964" w:firstLineChars="400"/>
        <w:rPr>
          <w:b/>
          <w:bCs/>
          <w:sz w:val="24"/>
          <w:szCs w:val="24"/>
        </w:rPr>
        <w:sectPr>
          <w:pgSz w:w="11910" w:h="16840"/>
          <w:pgMar w:top="1380" w:right="920" w:bottom="1160" w:left="920" w:header="0" w:footer="974" w:gutter="0"/>
          <w:cols w:space="720" w:num="1"/>
        </w:sectPr>
      </w:pPr>
    </w:p>
    <w:p>
      <w:pPr>
        <w:spacing w:before="64"/>
        <w:ind w:left="836" w:leftChars="380"/>
        <w:rPr>
          <w:rFonts w:ascii="Times New Roman"/>
          <w:sz w:val="24"/>
          <w:szCs w:val="24"/>
          <w:lang w:val="en-US"/>
        </w:rPr>
      </w:pPr>
      <w:r>
        <w:rPr>
          <w:sz w:val="24"/>
          <w:szCs w:val="24"/>
        </w:rPr>
        <w:t xml:space="preserve">附件 </w:t>
      </w:r>
      <w:r>
        <w:rPr>
          <w:rFonts w:ascii="Times New Roman" w:eastAsia="Times New Roman"/>
          <w:sz w:val="24"/>
          <w:szCs w:val="24"/>
        </w:rPr>
        <w:t>2</w:t>
      </w:r>
      <w:r>
        <w:rPr>
          <w:sz w:val="24"/>
          <w:szCs w:val="24"/>
        </w:rPr>
        <w:t>－</w:t>
      </w:r>
      <w:r>
        <w:rPr>
          <w:rFonts w:hint="eastAsia" w:ascii="Times New Roman"/>
          <w:sz w:val="24"/>
          <w:szCs w:val="24"/>
          <w:lang w:val="en-US"/>
        </w:rPr>
        <w:t>3</w:t>
      </w:r>
    </w:p>
    <w:p>
      <w:pPr>
        <w:pStyle w:val="7"/>
        <w:ind w:firstLine="440"/>
      </w:pPr>
    </w:p>
    <w:p>
      <w:pPr>
        <w:pStyle w:val="10"/>
        <w:spacing w:before="213"/>
        <w:ind w:left="4689" w:hanging="4689" w:hangingChars="1946"/>
        <w:jc w:val="center"/>
        <w:rPr>
          <w:b/>
          <w:bCs/>
        </w:rPr>
      </w:pPr>
      <w:r>
        <w:rPr>
          <w:rFonts w:hint="eastAsia"/>
          <w:b/>
          <w:bCs/>
        </w:rPr>
        <w:t>最终</w:t>
      </w:r>
      <w:r>
        <w:rPr>
          <w:b/>
          <w:bCs/>
        </w:rPr>
        <w:t>报价表</w:t>
      </w:r>
    </w:p>
    <w:p>
      <w:pPr>
        <w:pStyle w:val="10"/>
        <w:tabs>
          <w:tab w:val="left" w:pos="7601"/>
        </w:tabs>
        <w:spacing w:before="161"/>
        <w:ind w:left="497" w:leftChars="226" w:firstLine="379" w:firstLineChars="158"/>
      </w:pPr>
    </w:p>
    <w:p>
      <w:pPr>
        <w:pStyle w:val="10"/>
        <w:tabs>
          <w:tab w:val="left" w:pos="7601"/>
        </w:tabs>
        <w:spacing w:before="161"/>
        <w:ind w:left="497" w:leftChars="226" w:firstLine="379" w:firstLineChars="158"/>
      </w:pPr>
      <w:r>
        <w:rPr>
          <w:rFonts w:hint="eastAsia"/>
          <w:lang w:val="en-US"/>
        </w:rPr>
        <w:t>标项号及标项名称</w:t>
      </w:r>
      <w:r>
        <w:t>：</w:t>
      </w:r>
      <w:r>
        <w:rPr>
          <w:rFonts w:hint="eastAsia"/>
          <w:lang w:val="en-US"/>
        </w:rPr>
        <w:t xml:space="preserve">                                   </w:t>
      </w:r>
      <w:r>
        <w:t>金额单位：</w:t>
      </w:r>
      <w:r>
        <w:rPr>
          <w:rFonts w:hint="eastAsia"/>
        </w:rPr>
        <w:t>人民币</w:t>
      </w:r>
      <w:r>
        <w:t>元</w:t>
      </w:r>
    </w:p>
    <w:p>
      <w:pPr>
        <w:pStyle w:val="10"/>
        <w:spacing w:before="4"/>
        <w:rPr>
          <w:sz w:val="6"/>
        </w:rPr>
      </w:pPr>
    </w:p>
    <w:tbl>
      <w:tblPr>
        <w:tblStyle w:val="14"/>
        <w:tblW w:w="9117" w:type="dxa"/>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1713"/>
        <w:gridCol w:w="3948"/>
        <w:gridCol w:w="1235"/>
        <w:gridCol w:w="1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30" w:type="dxa"/>
            <w:vAlign w:val="center"/>
          </w:tcPr>
          <w:p>
            <w:pPr>
              <w:pStyle w:val="22"/>
              <w:spacing w:before="79"/>
              <w:ind w:left="219" w:right="210"/>
              <w:jc w:val="center"/>
              <w:rPr>
                <w:sz w:val="24"/>
              </w:rPr>
            </w:pPr>
            <w:r>
              <w:rPr>
                <w:sz w:val="24"/>
              </w:rPr>
              <w:t>序号</w:t>
            </w:r>
          </w:p>
        </w:tc>
        <w:tc>
          <w:tcPr>
            <w:tcW w:w="1713" w:type="dxa"/>
            <w:vAlign w:val="center"/>
          </w:tcPr>
          <w:p>
            <w:pPr>
              <w:pStyle w:val="22"/>
              <w:spacing w:before="79"/>
              <w:ind w:left="109" w:right="103"/>
              <w:jc w:val="center"/>
              <w:rPr>
                <w:sz w:val="24"/>
              </w:rPr>
            </w:pPr>
            <w:r>
              <w:rPr>
                <w:rFonts w:hint="eastAsia"/>
                <w:sz w:val="24"/>
              </w:rPr>
              <w:t>项目名称</w:t>
            </w:r>
          </w:p>
        </w:tc>
        <w:tc>
          <w:tcPr>
            <w:tcW w:w="3948" w:type="dxa"/>
            <w:vAlign w:val="center"/>
          </w:tcPr>
          <w:p>
            <w:pPr>
              <w:pStyle w:val="22"/>
              <w:jc w:val="both"/>
              <w:rPr>
                <w:rFonts w:ascii="Times New Roman"/>
              </w:rPr>
            </w:pPr>
          </w:p>
        </w:tc>
        <w:tc>
          <w:tcPr>
            <w:tcW w:w="1235" w:type="dxa"/>
            <w:vAlign w:val="center"/>
          </w:tcPr>
          <w:p>
            <w:pPr>
              <w:pStyle w:val="22"/>
              <w:spacing w:before="79"/>
              <w:ind w:left="136"/>
              <w:jc w:val="both"/>
              <w:rPr>
                <w:sz w:val="24"/>
              </w:rPr>
            </w:pPr>
            <w:r>
              <w:rPr>
                <w:rFonts w:hint="eastAsia"/>
                <w:sz w:val="24"/>
              </w:rPr>
              <w:t>项目编号</w:t>
            </w:r>
          </w:p>
        </w:tc>
        <w:tc>
          <w:tcPr>
            <w:tcW w:w="1291" w:type="dxa"/>
            <w:vAlign w:val="center"/>
          </w:tcPr>
          <w:p>
            <w:pPr>
              <w:pStyle w:val="22"/>
              <w:jc w:val="both"/>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trPr>
        <w:tc>
          <w:tcPr>
            <w:tcW w:w="930" w:type="dxa"/>
            <w:vAlign w:val="center"/>
          </w:tcPr>
          <w:p>
            <w:pPr>
              <w:pStyle w:val="22"/>
              <w:ind w:left="9"/>
              <w:jc w:val="center"/>
              <w:rPr>
                <w:sz w:val="24"/>
              </w:rPr>
            </w:pPr>
            <w:r>
              <w:rPr>
                <w:sz w:val="24"/>
              </w:rPr>
              <w:t>1</w:t>
            </w:r>
          </w:p>
        </w:tc>
        <w:tc>
          <w:tcPr>
            <w:tcW w:w="1713" w:type="dxa"/>
            <w:vAlign w:val="center"/>
          </w:tcPr>
          <w:p>
            <w:pPr>
              <w:pStyle w:val="22"/>
              <w:ind w:left="109" w:right="103"/>
              <w:jc w:val="center"/>
              <w:rPr>
                <w:sz w:val="24"/>
              </w:rPr>
            </w:pPr>
            <w:r>
              <w:rPr>
                <w:rFonts w:hint="eastAsia"/>
                <w:sz w:val="24"/>
              </w:rPr>
              <w:t>最终</w:t>
            </w:r>
            <w:r>
              <w:rPr>
                <w:sz w:val="24"/>
              </w:rPr>
              <w:t>总报价</w:t>
            </w:r>
          </w:p>
        </w:tc>
        <w:tc>
          <w:tcPr>
            <w:tcW w:w="6474" w:type="dxa"/>
            <w:gridSpan w:val="3"/>
            <w:vAlign w:val="center"/>
          </w:tcPr>
          <w:p>
            <w:pPr>
              <w:pStyle w:val="22"/>
              <w:tabs>
                <w:tab w:val="left" w:pos="2268"/>
              </w:tabs>
              <w:spacing w:before="79"/>
              <w:ind w:left="107"/>
              <w:jc w:val="both"/>
              <w:rPr>
                <w:sz w:val="24"/>
              </w:rPr>
            </w:pPr>
            <w:r>
              <w:rPr>
                <w:sz w:val="24"/>
              </w:rPr>
              <w:t>大写：人民币</w:t>
            </w:r>
            <w:r>
              <w:rPr>
                <w:sz w:val="24"/>
                <w:u w:val="single"/>
              </w:rPr>
              <w:t xml:space="preserve"> </w:t>
            </w:r>
            <w:r>
              <w:rPr>
                <w:rFonts w:hint="eastAsia"/>
                <w:sz w:val="24"/>
                <w:u w:val="single"/>
                <w:lang w:val="en-US"/>
              </w:rPr>
              <w:t xml:space="preserve">           </w:t>
            </w:r>
            <w:r>
              <w:rPr>
                <w:sz w:val="24"/>
                <w:u w:val="single"/>
              </w:rPr>
              <w:tab/>
            </w:r>
            <w:r>
              <w:rPr>
                <w:sz w:val="24"/>
              </w:rPr>
              <w:t>元</w:t>
            </w:r>
          </w:p>
          <w:p>
            <w:pPr>
              <w:pStyle w:val="22"/>
              <w:tabs>
                <w:tab w:val="left" w:pos="1842"/>
              </w:tabs>
              <w:spacing w:before="160"/>
              <w:ind w:left="107"/>
              <w:jc w:val="both"/>
              <w:rPr>
                <w:rFonts w:ascii="Times New Roman"/>
                <w:sz w:val="24"/>
                <w:lang w:val="en-US"/>
              </w:rPr>
            </w:pPr>
            <w:r>
              <w:rPr>
                <w:sz w:val="24"/>
              </w:rPr>
              <w:t>小写：￥</w:t>
            </w:r>
            <w:r>
              <w:rPr>
                <w:rFonts w:ascii="Times New Roman" w:eastAsia="Times New Roman"/>
                <w:sz w:val="24"/>
                <w:u w:val="single"/>
              </w:rPr>
              <w:t xml:space="preserve"> </w:t>
            </w:r>
            <w:r>
              <w:rPr>
                <w:rFonts w:ascii="Times New Roman" w:eastAsia="Times New Roman"/>
                <w:sz w:val="24"/>
                <w:u w:val="single"/>
              </w:rPr>
              <w:tab/>
            </w:r>
            <w:r>
              <w:rPr>
                <w:rFonts w:hint="eastAsia" w:ascii="Times New Roman"/>
                <w:sz w:val="24"/>
                <w:u w:val="single"/>
                <w:lang w:val="en-US"/>
              </w:rPr>
              <w:t xml:space="preserve">                             </w:t>
            </w:r>
            <w:r>
              <w:rPr>
                <w:rFonts w:hint="eastAsia" w:ascii="Times New Roman"/>
                <w:sz w:val="24"/>
                <w:lang w:val="en-US"/>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930" w:type="dxa"/>
            <w:vAlign w:val="center"/>
          </w:tcPr>
          <w:p>
            <w:pPr>
              <w:pStyle w:val="22"/>
              <w:spacing w:before="81"/>
              <w:ind w:left="9"/>
              <w:jc w:val="center"/>
              <w:rPr>
                <w:rFonts w:hint="eastAsia" w:eastAsia="宋体"/>
                <w:sz w:val="24"/>
                <w:lang w:eastAsia="zh-CN"/>
              </w:rPr>
            </w:pPr>
            <w:r>
              <w:rPr>
                <w:rFonts w:hint="eastAsia"/>
                <w:sz w:val="24"/>
                <w:lang w:val="en-US" w:eastAsia="zh-CN"/>
              </w:rPr>
              <w:t>2</w:t>
            </w:r>
          </w:p>
        </w:tc>
        <w:tc>
          <w:tcPr>
            <w:tcW w:w="1713" w:type="dxa"/>
            <w:vAlign w:val="center"/>
          </w:tcPr>
          <w:p>
            <w:pPr>
              <w:pStyle w:val="22"/>
              <w:spacing w:before="81"/>
              <w:ind w:left="109" w:right="103"/>
              <w:jc w:val="center"/>
              <w:rPr>
                <w:sz w:val="24"/>
              </w:rPr>
            </w:pPr>
            <w:r>
              <w:rPr>
                <w:sz w:val="24"/>
              </w:rPr>
              <w:t>响应有效期</w:t>
            </w:r>
          </w:p>
        </w:tc>
        <w:tc>
          <w:tcPr>
            <w:tcW w:w="6474" w:type="dxa"/>
            <w:gridSpan w:val="3"/>
            <w:vAlign w:val="center"/>
          </w:tcPr>
          <w:p>
            <w:pPr>
              <w:pStyle w:val="22"/>
              <w:jc w:val="both"/>
              <w:rPr>
                <w:rFonts w:ascii="Times New Roman"/>
                <w:lang w:val="en-US"/>
              </w:rPr>
            </w:pPr>
            <w:r>
              <w:rPr>
                <w:rFonts w:hint="eastAsia" w:ascii="Times New Roman"/>
                <w:lang w:val="en-US"/>
              </w:rPr>
              <w:t xml:space="preserve">            90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930" w:type="dxa"/>
            <w:vAlign w:val="center"/>
          </w:tcPr>
          <w:p>
            <w:pPr>
              <w:pStyle w:val="22"/>
              <w:jc w:val="center"/>
              <w:rPr>
                <w:rFonts w:hint="eastAsia" w:ascii="Times New Roman" w:eastAsia="宋体"/>
                <w:lang w:val="en-US" w:eastAsia="zh-CN"/>
              </w:rPr>
            </w:pPr>
            <w:r>
              <w:rPr>
                <w:rFonts w:hint="eastAsia"/>
                <w:sz w:val="24"/>
                <w:lang w:val="en-US" w:eastAsia="zh-CN"/>
              </w:rPr>
              <w:t>3</w:t>
            </w:r>
          </w:p>
        </w:tc>
        <w:tc>
          <w:tcPr>
            <w:tcW w:w="1713" w:type="dxa"/>
            <w:vAlign w:val="center"/>
          </w:tcPr>
          <w:p>
            <w:pPr>
              <w:pStyle w:val="22"/>
              <w:spacing w:before="79"/>
              <w:ind w:left="109" w:right="103"/>
              <w:jc w:val="center"/>
              <w:rPr>
                <w:sz w:val="24"/>
              </w:rPr>
            </w:pPr>
            <w:r>
              <w:rPr>
                <w:sz w:val="24"/>
              </w:rPr>
              <w:t>备注</w:t>
            </w:r>
          </w:p>
        </w:tc>
        <w:tc>
          <w:tcPr>
            <w:tcW w:w="6474" w:type="dxa"/>
            <w:gridSpan w:val="3"/>
            <w:vAlign w:val="center"/>
          </w:tcPr>
          <w:p>
            <w:pPr>
              <w:pStyle w:val="22"/>
              <w:jc w:val="both"/>
              <w:rPr>
                <w:rFonts w:ascii="Times New Roman"/>
              </w:rPr>
            </w:pPr>
          </w:p>
        </w:tc>
      </w:tr>
    </w:tbl>
    <w:p>
      <w:pPr>
        <w:pStyle w:val="10"/>
      </w:pPr>
    </w:p>
    <w:p>
      <w:pPr>
        <w:pStyle w:val="10"/>
        <w:spacing w:before="9"/>
        <w:rPr>
          <w:sz w:val="18"/>
        </w:rPr>
      </w:pPr>
    </w:p>
    <w:p>
      <w:pPr>
        <w:pStyle w:val="10"/>
        <w:tabs>
          <w:tab w:val="left" w:pos="5015"/>
        </w:tabs>
        <w:spacing w:line="480" w:lineRule="auto"/>
        <w:ind w:left="136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10"/>
        <w:tabs>
          <w:tab w:val="left" w:pos="2800"/>
          <w:tab w:val="left" w:pos="3520"/>
          <w:tab w:val="left" w:pos="4240"/>
          <w:tab w:val="left" w:pos="7176"/>
        </w:tabs>
        <w:spacing w:before="161" w:line="480" w:lineRule="auto"/>
        <w:ind w:left="1360" w:right="288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480" w:lineRule="auto"/>
      </w:pPr>
    </w:p>
    <w:p>
      <w:pPr>
        <w:pStyle w:val="7"/>
        <w:ind w:firstLine="440"/>
      </w:pPr>
    </w:p>
    <w:p>
      <w:pPr>
        <w:pStyle w:val="11"/>
        <w:spacing w:line="360" w:lineRule="auto"/>
        <w:ind w:left="1101" w:leftChars="300" w:hanging="441" w:hangingChars="183"/>
        <w:rPr>
          <w:rFonts w:hAnsi="宋体"/>
          <w:b/>
          <w:bCs/>
          <w:sz w:val="24"/>
          <w:szCs w:val="24"/>
        </w:rPr>
      </w:pPr>
      <w:r>
        <w:rPr>
          <w:rFonts w:hint="eastAsia" w:hAnsi="宋体"/>
          <w:b/>
          <w:bCs/>
          <w:sz w:val="24"/>
          <w:szCs w:val="24"/>
        </w:rPr>
        <w:t>注：本页《最终报价表》由供应商依协商情况填写</w:t>
      </w:r>
      <w:r>
        <w:rPr>
          <w:rFonts w:hint="eastAsia" w:hAnsi="宋体" w:cs="MingLiU_HKSCS"/>
          <w:b/>
          <w:bCs/>
          <w:sz w:val="24"/>
          <w:szCs w:val="24"/>
        </w:rPr>
        <w:t>，</w:t>
      </w:r>
      <w:r>
        <w:rPr>
          <w:rFonts w:hint="eastAsia" w:hAnsi="宋体"/>
          <w:b/>
          <w:bCs/>
          <w:sz w:val="24"/>
          <w:szCs w:val="24"/>
        </w:rPr>
        <w:t>请加盖公章后</w:t>
      </w:r>
      <w:r>
        <w:rPr>
          <w:rFonts w:hint="eastAsia" w:hAnsi="宋体"/>
          <w:b/>
          <w:bCs/>
          <w:sz w:val="24"/>
          <w:szCs w:val="24"/>
          <w:lang w:val="en-US" w:eastAsia="zh-CN"/>
        </w:rPr>
        <w:t>上传至不见面开标系统</w:t>
      </w:r>
      <w:r>
        <w:rPr>
          <w:rFonts w:hint="eastAsia" w:hAnsi="宋体"/>
          <w:b/>
          <w:bCs/>
          <w:sz w:val="24"/>
          <w:szCs w:val="24"/>
        </w:rPr>
        <w:t>（不需装订在响应文件内）。</w:t>
      </w:r>
    </w:p>
    <w:p>
      <w:pPr>
        <w:pStyle w:val="8"/>
        <w:ind w:left="1101" w:leftChars="300" w:hanging="441" w:hangingChars="183"/>
        <w:rPr>
          <w:b/>
          <w:bCs/>
          <w:sz w:val="24"/>
          <w:szCs w:val="24"/>
        </w:rPr>
        <w:sectPr>
          <w:pgSz w:w="11910" w:h="16840"/>
          <w:pgMar w:top="1460" w:right="920" w:bottom="1160" w:left="920" w:header="0" w:footer="974" w:gutter="0"/>
          <w:cols w:space="720" w:num="1"/>
        </w:sectPr>
      </w:pPr>
    </w:p>
    <w:p>
      <w:pPr>
        <w:pStyle w:val="6"/>
        <w:ind w:firstLine="663" w:firstLineChars="275"/>
      </w:pPr>
      <w:r>
        <w:t>三、供应商基本情况表</w:t>
      </w:r>
    </w:p>
    <w:p>
      <w:pPr>
        <w:pStyle w:val="10"/>
        <w:rPr>
          <w:sz w:val="25"/>
        </w:rPr>
      </w:pPr>
    </w:p>
    <w:p>
      <w:pPr>
        <w:pStyle w:val="10"/>
        <w:tabs>
          <w:tab w:val="left" w:pos="5790"/>
        </w:tabs>
        <w:spacing w:before="1" w:line="364" w:lineRule="auto"/>
        <w:ind w:left="1600" w:right="3831" w:firstLine="2712"/>
      </w:pPr>
      <w:r>
        <w:rPr>
          <w:b/>
          <w:bCs/>
          <w:lang w:val="en-US" w:bidi="ar-SA"/>
        </w:rPr>
        <mc:AlternateContent>
          <mc:Choice Requires="wps">
            <w:drawing>
              <wp:anchor distT="0" distB="0" distL="114300" distR="114300" simplePos="0" relativeHeight="251659264" behindDoc="0" locked="0" layoutInCell="1" allowOverlap="1">
                <wp:simplePos x="0" y="0"/>
                <wp:positionH relativeFrom="page">
                  <wp:posOffset>1071245</wp:posOffset>
                </wp:positionH>
                <wp:positionV relativeFrom="paragraph">
                  <wp:posOffset>544195</wp:posOffset>
                </wp:positionV>
                <wp:extent cx="5422265" cy="3474720"/>
                <wp:effectExtent l="0" t="0" r="0" b="0"/>
                <wp:wrapNone/>
                <wp:docPr id="1" name="文本框 166"/>
                <wp:cNvGraphicFramePr/>
                <a:graphic xmlns:a="http://schemas.openxmlformats.org/drawingml/2006/main">
                  <a:graphicData uri="http://schemas.microsoft.com/office/word/2010/wordprocessingShape">
                    <wps:wsp>
                      <wps:cNvSpPr txBox="1"/>
                      <wps:spPr>
                        <a:xfrm>
                          <a:off x="0" y="0"/>
                          <a:ext cx="5422265" cy="3474720"/>
                        </a:xfrm>
                        <a:prstGeom prst="rect">
                          <a:avLst/>
                        </a:prstGeom>
                        <a:noFill/>
                        <a:ln>
                          <a:noFill/>
                        </a:ln>
                      </wps:spPr>
                      <wps:txbx>
                        <w:txbxContent>
                          <w:tbl>
                            <w:tblPr>
                              <w:tblStyle w:val="14"/>
                              <w:tblW w:w="8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0"/>
                              <w:gridCol w:w="701"/>
                              <w:gridCol w:w="1829"/>
                              <w:gridCol w:w="2132"/>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50" w:type="dxa"/>
                                  <w:tcBorders>
                                    <w:tl2br w:val="nil"/>
                                    <w:tr2bl w:val="nil"/>
                                  </w:tcBorders>
                                  <w:vAlign w:val="center"/>
                                </w:tcPr>
                                <w:p>
                                  <w:pPr>
                                    <w:pStyle w:val="22"/>
                                    <w:spacing w:before="79"/>
                                    <w:ind w:left="193" w:right="187"/>
                                    <w:jc w:val="center"/>
                                    <w:rPr>
                                      <w:sz w:val="24"/>
                                    </w:rPr>
                                  </w:pPr>
                                  <w:r>
                                    <w:rPr>
                                      <w:sz w:val="24"/>
                                    </w:rPr>
                                    <w:t>供应商名称</w:t>
                                  </w:r>
                                </w:p>
                              </w:tc>
                              <w:tc>
                                <w:tcPr>
                                  <w:tcW w:w="2530" w:type="dxa"/>
                                  <w:gridSpan w:val="2"/>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spacing w:before="79"/>
                                    <w:ind w:left="445" w:right="436"/>
                                    <w:jc w:val="center"/>
                                    <w:rPr>
                                      <w:sz w:val="24"/>
                                    </w:rPr>
                                  </w:pPr>
                                  <w:r>
                                    <w:rPr>
                                      <w:sz w:val="24"/>
                                    </w:rPr>
                                    <w:t>法定代表人</w:t>
                                  </w:r>
                                </w:p>
                              </w:tc>
                              <w:tc>
                                <w:tcPr>
                                  <w:tcW w:w="1309" w:type="dxa"/>
                                  <w:tcBorders>
                                    <w:tl2br w:val="nil"/>
                                    <w:tr2bl w:val="nil"/>
                                  </w:tcBorders>
                                  <w:vAlign w:val="center"/>
                                </w:tcPr>
                                <w:p>
                                  <w:pPr>
                                    <w:pStyle w:val="22"/>
                                    <w:ind w:right="297" w:rightChars="135"/>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50" w:type="dxa"/>
                                  <w:tcBorders>
                                    <w:tl2br w:val="nil"/>
                                    <w:tr2bl w:val="nil"/>
                                  </w:tcBorders>
                                  <w:vAlign w:val="center"/>
                                </w:tcPr>
                                <w:p>
                                  <w:pPr>
                                    <w:pStyle w:val="22"/>
                                    <w:spacing w:before="79"/>
                                    <w:ind w:left="193" w:right="187"/>
                                    <w:jc w:val="center"/>
                                    <w:rPr>
                                      <w:sz w:val="24"/>
                                    </w:rPr>
                                  </w:pPr>
                                  <w:r>
                                    <w:rPr>
                                      <w:sz w:val="24"/>
                                    </w:rPr>
                                    <w:t>统一社会信用代码</w:t>
                                  </w:r>
                                </w:p>
                              </w:tc>
                              <w:tc>
                                <w:tcPr>
                                  <w:tcW w:w="2530" w:type="dxa"/>
                                  <w:gridSpan w:val="2"/>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spacing w:before="79"/>
                                    <w:ind w:left="445" w:right="436"/>
                                    <w:jc w:val="center"/>
                                    <w:rPr>
                                      <w:sz w:val="24"/>
                                    </w:rPr>
                                  </w:pPr>
                                  <w:r>
                                    <w:rPr>
                                      <w:sz w:val="24"/>
                                    </w:rPr>
                                    <w:t>邮政编码</w:t>
                                  </w: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50" w:type="dxa"/>
                                  <w:tcBorders>
                                    <w:tl2br w:val="nil"/>
                                    <w:tr2bl w:val="nil"/>
                                  </w:tcBorders>
                                  <w:vAlign w:val="center"/>
                                </w:tcPr>
                                <w:p>
                                  <w:pPr>
                                    <w:pStyle w:val="22"/>
                                    <w:spacing w:before="79"/>
                                    <w:ind w:left="193" w:right="187"/>
                                    <w:jc w:val="center"/>
                                    <w:rPr>
                                      <w:sz w:val="24"/>
                                    </w:rPr>
                                  </w:pPr>
                                  <w:r>
                                    <w:rPr>
                                      <w:sz w:val="24"/>
                                    </w:rPr>
                                    <w:t>授权代表</w:t>
                                  </w:r>
                                </w:p>
                              </w:tc>
                              <w:tc>
                                <w:tcPr>
                                  <w:tcW w:w="2530" w:type="dxa"/>
                                  <w:gridSpan w:val="2"/>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spacing w:before="79"/>
                                    <w:ind w:left="445" w:right="436"/>
                                    <w:jc w:val="center"/>
                                    <w:rPr>
                                      <w:sz w:val="24"/>
                                    </w:rPr>
                                  </w:pPr>
                                  <w:r>
                                    <w:rPr>
                                      <w:sz w:val="24"/>
                                    </w:rPr>
                                    <w:t>联系电话</w:t>
                                  </w: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350" w:type="dxa"/>
                                  <w:tcBorders>
                                    <w:tl2br w:val="nil"/>
                                    <w:tr2bl w:val="nil"/>
                                  </w:tcBorders>
                                  <w:vAlign w:val="center"/>
                                </w:tcPr>
                                <w:p>
                                  <w:pPr>
                                    <w:pStyle w:val="22"/>
                                    <w:spacing w:before="82"/>
                                    <w:ind w:left="193" w:right="187"/>
                                    <w:jc w:val="center"/>
                                    <w:rPr>
                                      <w:sz w:val="24"/>
                                    </w:rPr>
                                  </w:pPr>
                                  <w:r>
                                    <w:rPr>
                                      <w:sz w:val="24"/>
                                    </w:rPr>
                                    <w:t>电子邮箱</w:t>
                                  </w:r>
                                </w:p>
                              </w:tc>
                              <w:tc>
                                <w:tcPr>
                                  <w:tcW w:w="2530" w:type="dxa"/>
                                  <w:gridSpan w:val="2"/>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spacing w:before="82"/>
                                    <w:ind w:left="445" w:right="436"/>
                                    <w:jc w:val="center"/>
                                    <w:rPr>
                                      <w:sz w:val="24"/>
                                    </w:rPr>
                                  </w:pPr>
                                  <w:r>
                                    <w:rPr>
                                      <w:sz w:val="24"/>
                                    </w:rPr>
                                    <w:t>传真</w:t>
                                  </w: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50" w:type="dxa"/>
                                  <w:tcBorders>
                                    <w:tl2br w:val="nil"/>
                                    <w:tr2bl w:val="nil"/>
                                  </w:tcBorders>
                                  <w:vAlign w:val="center"/>
                                </w:tcPr>
                                <w:p>
                                  <w:pPr>
                                    <w:pStyle w:val="22"/>
                                    <w:spacing w:before="79"/>
                                    <w:ind w:left="193" w:right="187"/>
                                    <w:jc w:val="center"/>
                                    <w:rPr>
                                      <w:sz w:val="24"/>
                                    </w:rPr>
                                  </w:pPr>
                                  <w:r>
                                    <w:rPr>
                                      <w:sz w:val="24"/>
                                    </w:rPr>
                                    <w:t>上年营业收入</w:t>
                                  </w:r>
                                </w:p>
                              </w:tc>
                              <w:tc>
                                <w:tcPr>
                                  <w:tcW w:w="2530" w:type="dxa"/>
                                  <w:gridSpan w:val="2"/>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spacing w:before="79"/>
                                    <w:ind w:left="445" w:right="436"/>
                                    <w:jc w:val="center"/>
                                    <w:rPr>
                                      <w:sz w:val="24"/>
                                    </w:rPr>
                                  </w:pPr>
                                  <w:r>
                                    <w:rPr>
                                      <w:sz w:val="24"/>
                                    </w:rPr>
                                    <w:t>员工总人数</w:t>
                                  </w: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051" w:type="dxa"/>
                                  <w:gridSpan w:val="2"/>
                                  <w:tcBorders>
                                    <w:tl2br w:val="nil"/>
                                    <w:tr2bl w:val="nil"/>
                                  </w:tcBorders>
                                  <w:vAlign w:val="center"/>
                                </w:tcPr>
                                <w:p>
                                  <w:pPr>
                                    <w:pStyle w:val="22"/>
                                    <w:spacing w:before="79"/>
                                    <w:ind w:left="323"/>
                                    <w:jc w:val="center"/>
                                    <w:rPr>
                                      <w:sz w:val="24"/>
                                    </w:rPr>
                                  </w:pPr>
                                  <w:r>
                                    <w:rPr>
                                      <w:sz w:val="24"/>
                                    </w:rPr>
                                    <w:t>基本账户开户行及账号</w:t>
                                  </w:r>
                                </w:p>
                              </w:tc>
                              <w:tc>
                                <w:tcPr>
                                  <w:tcW w:w="5270" w:type="dxa"/>
                                  <w:gridSpan w:val="3"/>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051" w:type="dxa"/>
                                  <w:gridSpan w:val="2"/>
                                  <w:tcBorders>
                                    <w:tl2br w:val="nil"/>
                                    <w:tr2bl w:val="nil"/>
                                  </w:tcBorders>
                                  <w:vAlign w:val="center"/>
                                </w:tcPr>
                                <w:p>
                                  <w:pPr>
                                    <w:pStyle w:val="22"/>
                                    <w:spacing w:before="79"/>
                                    <w:ind w:left="803"/>
                                    <w:jc w:val="center"/>
                                    <w:rPr>
                                      <w:sz w:val="24"/>
                                    </w:rPr>
                                  </w:pPr>
                                  <w:r>
                                    <w:rPr>
                                      <w:sz w:val="24"/>
                                    </w:rPr>
                                    <w:t>税务登记机关</w:t>
                                  </w:r>
                                </w:p>
                              </w:tc>
                              <w:tc>
                                <w:tcPr>
                                  <w:tcW w:w="5270" w:type="dxa"/>
                                  <w:gridSpan w:val="3"/>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051" w:type="dxa"/>
                                  <w:gridSpan w:val="2"/>
                                  <w:tcBorders>
                                    <w:tl2br w:val="nil"/>
                                    <w:tr2bl w:val="nil"/>
                                  </w:tcBorders>
                                  <w:vAlign w:val="center"/>
                                </w:tcPr>
                                <w:p>
                                  <w:pPr>
                                    <w:pStyle w:val="22"/>
                                    <w:spacing w:before="79"/>
                                    <w:ind w:left="1023" w:right="1017"/>
                                    <w:jc w:val="center"/>
                                    <w:rPr>
                                      <w:sz w:val="24"/>
                                    </w:rPr>
                                  </w:pPr>
                                  <w:r>
                                    <w:rPr>
                                      <w:sz w:val="24"/>
                                    </w:rPr>
                                    <w:t>资质名称</w:t>
                                  </w:r>
                                </w:p>
                              </w:tc>
                              <w:tc>
                                <w:tcPr>
                                  <w:tcW w:w="1829" w:type="dxa"/>
                                  <w:tcBorders>
                                    <w:tl2br w:val="nil"/>
                                    <w:tr2bl w:val="nil"/>
                                  </w:tcBorders>
                                  <w:vAlign w:val="center"/>
                                </w:tcPr>
                                <w:p>
                                  <w:pPr>
                                    <w:pStyle w:val="22"/>
                                    <w:spacing w:before="79"/>
                                    <w:ind w:left="654" w:right="645"/>
                                    <w:jc w:val="center"/>
                                    <w:rPr>
                                      <w:sz w:val="24"/>
                                    </w:rPr>
                                  </w:pPr>
                                  <w:r>
                                    <w:rPr>
                                      <w:sz w:val="24"/>
                                    </w:rPr>
                                    <w:t>等级</w:t>
                                  </w:r>
                                </w:p>
                              </w:tc>
                              <w:tc>
                                <w:tcPr>
                                  <w:tcW w:w="2132" w:type="dxa"/>
                                  <w:tcBorders>
                                    <w:tl2br w:val="nil"/>
                                    <w:tr2bl w:val="nil"/>
                                  </w:tcBorders>
                                  <w:vAlign w:val="center"/>
                                </w:tcPr>
                                <w:p>
                                  <w:pPr>
                                    <w:pStyle w:val="22"/>
                                    <w:spacing w:before="79"/>
                                    <w:ind w:left="445" w:right="436"/>
                                    <w:jc w:val="center"/>
                                    <w:rPr>
                                      <w:sz w:val="24"/>
                                    </w:rPr>
                                  </w:pPr>
                                  <w:r>
                                    <w:rPr>
                                      <w:sz w:val="24"/>
                                    </w:rPr>
                                    <w:t>发证机关</w:t>
                                  </w:r>
                                </w:p>
                              </w:tc>
                              <w:tc>
                                <w:tcPr>
                                  <w:tcW w:w="1309" w:type="dxa"/>
                                  <w:tcBorders>
                                    <w:tl2br w:val="nil"/>
                                    <w:tr2bl w:val="nil"/>
                                  </w:tcBorders>
                                  <w:vAlign w:val="center"/>
                                </w:tcPr>
                                <w:p>
                                  <w:pPr>
                                    <w:pStyle w:val="22"/>
                                    <w:spacing w:before="79"/>
                                    <w:ind w:left="12" w:hanging="12" w:hangingChars="5"/>
                                    <w:jc w:val="center"/>
                                    <w:rPr>
                                      <w:sz w:val="24"/>
                                    </w:rPr>
                                  </w:pPr>
                                  <w:r>
                                    <w:rPr>
                                      <w:sz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051" w:type="dxa"/>
                                  <w:gridSpan w:val="2"/>
                                  <w:tcBorders>
                                    <w:tl2br w:val="nil"/>
                                    <w:tr2bl w:val="nil"/>
                                  </w:tcBorders>
                                  <w:vAlign w:val="center"/>
                                </w:tcPr>
                                <w:p>
                                  <w:pPr>
                                    <w:pStyle w:val="22"/>
                                    <w:jc w:val="center"/>
                                    <w:rPr>
                                      <w:rFonts w:ascii="Times New Roman"/>
                                    </w:rPr>
                                  </w:pPr>
                                </w:p>
                              </w:tc>
                              <w:tc>
                                <w:tcPr>
                                  <w:tcW w:w="1829" w:type="dxa"/>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jc w:val="center"/>
                                    <w:rPr>
                                      <w:rFonts w:ascii="Times New Roman"/>
                                    </w:rPr>
                                  </w:pP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051" w:type="dxa"/>
                                  <w:gridSpan w:val="2"/>
                                  <w:tcBorders>
                                    <w:tl2br w:val="nil"/>
                                    <w:tr2bl w:val="nil"/>
                                  </w:tcBorders>
                                  <w:vAlign w:val="center"/>
                                </w:tcPr>
                                <w:p>
                                  <w:pPr>
                                    <w:pStyle w:val="22"/>
                                    <w:jc w:val="center"/>
                                    <w:rPr>
                                      <w:rFonts w:ascii="Times New Roman"/>
                                    </w:rPr>
                                  </w:pPr>
                                </w:p>
                              </w:tc>
                              <w:tc>
                                <w:tcPr>
                                  <w:tcW w:w="1829" w:type="dxa"/>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jc w:val="center"/>
                                    <w:rPr>
                                      <w:rFonts w:ascii="Times New Roman"/>
                                    </w:rPr>
                                  </w:pP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350" w:type="dxa"/>
                                  <w:tcBorders>
                                    <w:tl2br w:val="nil"/>
                                    <w:tr2bl w:val="nil"/>
                                  </w:tcBorders>
                                  <w:vAlign w:val="center"/>
                                </w:tcPr>
                                <w:p>
                                  <w:pPr>
                                    <w:pStyle w:val="22"/>
                                    <w:spacing w:before="79"/>
                                    <w:ind w:left="193" w:right="187"/>
                                    <w:jc w:val="center"/>
                                    <w:rPr>
                                      <w:sz w:val="24"/>
                                    </w:rPr>
                                  </w:pPr>
                                  <w:r>
                                    <w:rPr>
                                      <w:sz w:val="24"/>
                                    </w:rPr>
                                    <w:t>备注</w:t>
                                  </w:r>
                                </w:p>
                              </w:tc>
                              <w:tc>
                                <w:tcPr>
                                  <w:tcW w:w="5971" w:type="dxa"/>
                                  <w:gridSpan w:val="4"/>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trPr>
                              <w:tc>
                                <w:tcPr>
                                  <w:tcW w:w="2350" w:type="dxa"/>
                                  <w:tcBorders>
                                    <w:tl2br w:val="nil"/>
                                    <w:tr2bl w:val="nil"/>
                                  </w:tcBorders>
                                  <w:vAlign w:val="center"/>
                                </w:tcPr>
                                <w:p>
                                  <w:pPr>
                                    <w:pStyle w:val="22"/>
                                    <w:spacing w:before="79"/>
                                    <w:ind w:left="193" w:right="187"/>
                                    <w:jc w:val="center"/>
                                    <w:rPr>
                                      <w:sz w:val="24"/>
                                    </w:rPr>
                                  </w:pPr>
                                </w:p>
                              </w:tc>
                              <w:tc>
                                <w:tcPr>
                                  <w:tcW w:w="5971" w:type="dxa"/>
                                  <w:gridSpan w:val="4"/>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 w:hRule="atLeast"/>
                              </w:trPr>
                              <w:tc>
                                <w:tcPr>
                                  <w:tcW w:w="2350" w:type="dxa"/>
                                  <w:tcBorders>
                                    <w:tl2br w:val="nil"/>
                                    <w:tr2bl w:val="nil"/>
                                  </w:tcBorders>
                                  <w:vAlign w:val="center"/>
                                </w:tcPr>
                                <w:p>
                                  <w:pPr>
                                    <w:pStyle w:val="22"/>
                                    <w:spacing w:before="79"/>
                                    <w:ind w:left="193" w:right="187"/>
                                    <w:jc w:val="center"/>
                                    <w:rPr>
                                      <w:sz w:val="24"/>
                                    </w:rPr>
                                  </w:pPr>
                                </w:p>
                              </w:tc>
                              <w:tc>
                                <w:tcPr>
                                  <w:tcW w:w="5971" w:type="dxa"/>
                                  <w:gridSpan w:val="4"/>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50" w:type="dxa"/>
                                  <w:tcBorders>
                                    <w:tl2br w:val="nil"/>
                                    <w:tr2bl w:val="nil"/>
                                  </w:tcBorders>
                                  <w:vAlign w:val="center"/>
                                </w:tcPr>
                                <w:p>
                                  <w:pPr>
                                    <w:pStyle w:val="22"/>
                                    <w:spacing w:before="79"/>
                                    <w:ind w:left="193" w:right="187"/>
                                    <w:jc w:val="center"/>
                                    <w:rPr>
                                      <w:sz w:val="24"/>
                                    </w:rPr>
                                  </w:pPr>
                                </w:p>
                              </w:tc>
                              <w:tc>
                                <w:tcPr>
                                  <w:tcW w:w="5971" w:type="dxa"/>
                                  <w:gridSpan w:val="4"/>
                                  <w:tcBorders>
                                    <w:tl2br w:val="nil"/>
                                    <w:tr2bl w:val="nil"/>
                                  </w:tcBorders>
                                  <w:vAlign w:val="center"/>
                                </w:tcPr>
                                <w:p>
                                  <w:pPr>
                                    <w:pStyle w:val="22"/>
                                    <w:jc w:val="center"/>
                                    <w:rPr>
                                      <w:rFonts w:ascii="Times New Roman"/>
                                    </w:rPr>
                                  </w:pPr>
                                </w:p>
                              </w:tc>
                            </w:tr>
                          </w:tbl>
                          <w:p>
                            <w:pPr>
                              <w:pStyle w:val="10"/>
                            </w:pPr>
                          </w:p>
                        </w:txbxContent>
                      </wps:txbx>
                      <wps:bodyPr lIns="0" tIns="0" rIns="0" bIns="0" upright="1"/>
                    </wps:wsp>
                  </a:graphicData>
                </a:graphic>
              </wp:anchor>
            </w:drawing>
          </mc:Choice>
          <mc:Fallback>
            <w:pict>
              <v:shape id="文本框 166" o:spid="_x0000_s1026" o:spt="202" type="#_x0000_t202" style="position:absolute;left:0pt;margin-left:84.35pt;margin-top:42.85pt;height:273.6pt;width:426.95pt;mso-position-horizontal-relative:page;z-index:251659264;mso-width-relative:page;mso-height-relative:page;" filled="f" stroked="f" coordsize="21600,21600" o:gfxdata="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xqZ+tkAAAALAQAADwAAAAAAAAABACAAAAAiAAAAZHJzL2Rvd25yZXYueG1s&#10;UEsBAhQAFAAAAAgAh07iQHSgZ/G+AQAAdQMAAA4AAAAAAAAAAQAgAAAAKAEAAGRycy9lMm9Eb2Mu&#10;eG1sUEsFBgAAAAAGAAYAWQEAAFgFAAAAAA==&#10;">
                <v:fill on="f" focussize="0,0"/>
                <v:stroke on="f"/>
                <v:imagedata o:title=""/>
                <o:lock v:ext="edit" aspectratio="f"/>
                <v:textbox inset="0mm,0mm,0mm,0mm">
                  <w:txbxContent>
                    <w:tbl>
                      <w:tblPr>
                        <w:tblStyle w:val="14"/>
                        <w:tblW w:w="8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0"/>
                        <w:gridCol w:w="701"/>
                        <w:gridCol w:w="1829"/>
                        <w:gridCol w:w="2132"/>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50" w:type="dxa"/>
                            <w:tcBorders>
                              <w:tl2br w:val="nil"/>
                              <w:tr2bl w:val="nil"/>
                            </w:tcBorders>
                            <w:vAlign w:val="center"/>
                          </w:tcPr>
                          <w:p>
                            <w:pPr>
                              <w:pStyle w:val="22"/>
                              <w:spacing w:before="79"/>
                              <w:ind w:left="193" w:right="187"/>
                              <w:jc w:val="center"/>
                              <w:rPr>
                                <w:sz w:val="24"/>
                              </w:rPr>
                            </w:pPr>
                            <w:r>
                              <w:rPr>
                                <w:sz w:val="24"/>
                              </w:rPr>
                              <w:t>供应商名称</w:t>
                            </w:r>
                          </w:p>
                        </w:tc>
                        <w:tc>
                          <w:tcPr>
                            <w:tcW w:w="2530" w:type="dxa"/>
                            <w:gridSpan w:val="2"/>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spacing w:before="79"/>
                              <w:ind w:left="445" w:right="436"/>
                              <w:jc w:val="center"/>
                              <w:rPr>
                                <w:sz w:val="24"/>
                              </w:rPr>
                            </w:pPr>
                            <w:r>
                              <w:rPr>
                                <w:sz w:val="24"/>
                              </w:rPr>
                              <w:t>法定代表人</w:t>
                            </w:r>
                          </w:p>
                        </w:tc>
                        <w:tc>
                          <w:tcPr>
                            <w:tcW w:w="1309" w:type="dxa"/>
                            <w:tcBorders>
                              <w:tl2br w:val="nil"/>
                              <w:tr2bl w:val="nil"/>
                            </w:tcBorders>
                            <w:vAlign w:val="center"/>
                          </w:tcPr>
                          <w:p>
                            <w:pPr>
                              <w:pStyle w:val="22"/>
                              <w:ind w:right="297" w:rightChars="135"/>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50" w:type="dxa"/>
                            <w:tcBorders>
                              <w:tl2br w:val="nil"/>
                              <w:tr2bl w:val="nil"/>
                            </w:tcBorders>
                            <w:vAlign w:val="center"/>
                          </w:tcPr>
                          <w:p>
                            <w:pPr>
                              <w:pStyle w:val="22"/>
                              <w:spacing w:before="79"/>
                              <w:ind w:left="193" w:right="187"/>
                              <w:jc w:val="center"/>
                              <w:rPr>
                                <w:sz w:val="24"/>
                              </w:rPr>
                            </w:pPr>
                            <w:r>
                              <w:rPr>
                                <w:sz w:val="24"/>
                              </w:rPr>
                              <w:t>统一社会信用代码</w:t>
                            </w:r>
                          </w:p>
                        </w:tc>
                        <w:tc>
                          <w:tcPr>
                            <w:tcW w:w="2530" w:type="dxa"/>
                            <w:gridSpan w:val="2"/>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spacing w:before="79"/>
                              <w:ind w:left="445" w:right="436"/>
                              <w:jc w:val="center"/>
                              <w:rPr>
                                <w:sz w:val="24"/>
                              </w:rPr>
                            </w:pPr>
                            <w:r>
                              <w:rPr>
                                <w:sz w:val="24"/>
                              </w:rPr>
                              <w:t>邮政编码</w:t>
                            </w: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50" w:type="dxa"/>
                            <w:tcBorders>
                              <w:tl2br w:val="nil"/>
                              <w:tr2bl w:val="nil"/>
                            </w:tcBorders>
                            <w:vAlign w:val="center"/>
                          </w:tcPr>
                          <w:p>
                            <w:pPr>
                              <w:pStyle w:val="22"/>
                              <w:spacing w:before="79"/>
                              <w:ind w:left="193" w:right="187"/>
                              <w:jc w:val="center"/>
                              <w:rPr>
                                <w:sz w:val="24"/>
                              </w:rPr>
                            </w:pPr>
                            <w:r>
                              <w:rPr>
                                <w:sz w:val="24"/>
                              </w:rPr>
                              <w:t>授权代表</w:t>
                            </w:r>
                          </w:p>
                        </w:tc>
                        <w:tc>
                          <w:tcPr>
                            <w:tcW w:w="2530" w:type="dxa"/>
                            <w:gridSpan w:val="2"/>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spacing w:before="79"/>
                              <w:ind w:left="445" w:right="436"/>
                              <w:jc w:val="center"/>
                              <w:rPr>
                                <w:sz w:val="24"/>
                              </w:rPr>
                            </w:pPr>
                            <w:r>
                              <w:rPr>
                                <w:sz w:val="24"/>
                              </w:rPr>
                              <w:t>联系电话</w:t>
                            </w: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350" w:type="dxa"/>
                            <w:tcBorders>
                              <w:tl2br w:val="nil"/>
                              <w:tr2bl w:val="nil"/>
                            </w:tcBorders>
                            <w:vAlign w:val="center"/>
                          </w:tcPr>
                          <w:p>
                            <w:pPr>
                              <w:pStyle w:val="22"/>
                              <w:spacing w:before="82"/>
                              <w:ind w:left="193" w:right="187"/>
                              <w:jc w:val="center"/>
                              <w:rPr>
                                <w:sz w:val="24"/>
                              </w:rPr>
                            </w:pPr>
                            <w:r>
                              <w:rPr>
                                <w:sz w:val="24"/>
                              </w:rPr>
                              <w:t>电子邮箱</w:t>
                            </w:r>
                          </w:p>
                        </w:tc>
                        <w:tc>
                          <w:tcPr>
                            <w:tcW w:w="2530" w:type="dxa"/>
                            <w:gridSpan w:val="2"/>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spacing w:before="82"/>
                              <w:ind w:left="445" w:right="436"/>
                              <w:jc w:val="center"/>
                              <w:rPr>
                                <w:sz w:val="24"/>
                              </w:rPr>
                            </w:pPr>
                            <w:r>
                              <w:rPr>
                                <w:sz w:val="24"/>
                              </w:rPr>
                              <w:t>传真</w:t>
                            </w: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50" w:type="dxa"/>
                            <w:tcBorders>
                              <w:tl2br w:val="nil"/>
                              <w:tr2bl w:val="nil"/>
                            </w:tcBorders>
                            <w:vAlign w:val="center"/>
                          </w:tcPr>
                          <w:p>
                            <w:pPr>
                              <w:pStyle w:val="22"/>
                              <w:spacing w:before="79"/>
                              <w:ind w:left="193" w:right="187"/>
                              <w:jc w:val="center"/>
                              <w:rPr>
                                <w:sz w:val="24"/>
                              </w:rPr>
                            </w:pPr>
                            <w:r>
                              <w:rPr>
                                <w:sz w:val="24"/>
                              </w:rPr>
                              <w:t>上年营业收入</w:t>
                            </w:r>
                          </w:p>
                        </w:tc>
                        <w:tc>
                          <w:tcPr>
                            <w:tcW w:w="2530" w:type="dxa"/>
                            <w:gridSpan w:val="2"/>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spacing w:before="79"/>
                              <w:ind w:left="445" w:right="436"/>
                              <w:jc w:val="center"/>
                              <w:rPr>
                                <w:sz w:val="24"/>
                              </w:rPr>
                            </w:pPr>
                            <w:r>
                              <w:rPr>
                                <w:sz w:val="24"/>
                              </w:rPr>
                              <w:t>员工总人数</w:t>
                            </w: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051" w:type="dxa"/>
                            <w:gridSpan w:val="2"/>
                            <w:tcBorders>
                              <w:tl2br w:val="nil"/>
                              <w:tr2bl w:val="nil"/>
                            </w:tcBorders>
                            <w:vAlign w:val="center"/>
                          </w:tcPr>
                          <w:p>
                            <w:pPr>
                              <w:pStyle w:val="22"/>
                              <w:spacing w:before="79"/>
                              <w:ind w:left="323"/>
                              <w:jc w:val="center"/>
                              <w:rPr>
                                <w:sz w:val="24"/>
                              </w:rPr>
                            </w:pPr>
                            <w:r>
                              <w:rPr>
                                <w:sz w:val="24"/>
                              </w:rPr>
                              <w:t>基本账户开户行及账号</w:t>
                            </w:r>
                          </w:p>
                        </w:tc>
                        <w:tc>
                          <w:tcPr>
                            <w:tcW w:w="5270" w:type="dxa"/>
                            <w:gridSpan w:val="3"/>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051" w:type="dxa"/>
                            <w:gridSpan w:val="2"/>
                            <w:tcBorders>
                              <w:tl2br w:val="nil"/>
                              <w:tr2bl w:val="nil"/>
                            </w:tcBorders>
                            <w:vAlign w:val="center"/>
                          </w:tcPr>
                          <w:p>
                            <w:pPr>
                              <w:pStyle w:val="22"/>
                              <w:spacing w:before="79"/>
                              <w:ind w:left="803"/>
                              <w:jc w:val="center"/>
                              <w:rPr>
                                <w:sz w:val="24"/>
                              </w:rPr>
                            </w:pPr>
                            <w:r>
                              <w:rPr>
                                <w:sz w:val="24"/>
                              </w:rPr>
                              <w:t>税务登记机关</w:t>
                            </w:r>
                          </w:p>
                        </w:tc>
                        <w:tc>
                          <w:tcPr>
                            <w:tcW w:w="5270" w:type="dxa"/>
                            <w:gridSpan w:val="3"/>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051" w:type="dxa"/>
                            <w:gridSpan w:val="2"/>
                            <w:tcBorders>
                              <w:tl2br w:val="nil"/>
                              <w:tr2bl w:val="nil"/>
                            </w:tcBorders>
                            <w:vAlign w:val="center"/>
                          </w:tcPr>
                          <w:p>
                            <w:pPr>
                              <w:pStyle w:val="22"/>
                              <w:spacing w:before="79"/>
                              <w:ind w:left="1023" w:right="1017"/>
                              <w:jc w:val="center"/>
                              <w:rPr>
                                <w:sz w:val="24"/>
                              </w:rPr>
                            </w:pPr>
                            <w:r>
                              <w:rPr>
                                <w:sz w:val="24"/>
                              </w:rPr>
                              <w:t>资质名称</w:t>
                            </w:r>
                          </w:p>
                        </w:tc>
                        <w:tc>
                          <w:tcPr>
                            <w:tcW w:w="1829" w:type="dxa"/>
                            <w:tcBorders>
                              <w:tl2br w:val="nil"/>
                              <w:tr2bl w:val="nil"/>
                            </w:tcBorders>
                            <w:vAlign w:val="center"/>
                          </w:tcPr>
                          <w:p>
                            <w:pPr>
                              <w:pStyle w:val="22"/>
                              <w:spacing w:before="79"/>
                              <w:ind w:left="654" w:right="645"/>
                              <w:jc w:val="center"/>
                              <w:rPr>
                                <w:sz w:val="24"/>
                              </w:rPr>
                            </w:pPr>
                            <w:r>
                              <w:rPr>
                                <w:sz w:val="24"/>
                              </w:rPr>
                              <w:t>等级</w:t>
                            </w:r>
                          </w:p>
                        </w:tc>
                        <w:tc>
                          <w:tcPr>
                            <w:tcW w:w="2132" w:type="dxa"/>
                            <w:tcBorders>
                              <w:tl2br w:val="nil"/>
                              <w:tr2bl w:val="nil"/>
                            </w:tcBorders>
                            <w:vAlign w:val="center"/>
                          </w:tcPr>
                          <w:p>
                            <w:pPr>
                              <w:pStyle w:val="22"/>
                              <w:spacing w:before="79"/>
                              <w:ind w:left="445" w:right="436"/>
                              <w:jc w:val="center"/>
                              <w:rPr>
                                <w:sz w:val="24"/>
                              </w:rPr>
                            </w:pPr>
                            <w:r>
                              <w:rPr>
                                <w:sz w:val="24"/>
                              </w:rPr>
                              <w:t>发证机关</w:t>
                            </w:r>
                          </w:p>
                        </w:tc>
                        <w:tc>
                          <w:tcPr>
                            <w:tcW w:w="1309" w:type="dxa"/>
                            <w:tcBorders>
                              <w:tl2br w:val="nil"/>
                              <w:tr2bl w:val="nil"/>
                            </w:tcBorders>
                            <w:vAlign w:val="center"/>
                          </w:tcPr>
                          <w:p>
                            <w:pPr>
                              <w:pStyle w:val="22"/>
                              <w:spacing w:before="79"/>
                              <w:ind w:left="12" w:hanging="12" w:hangingChars="5"/>
                              <w:jc w:val="center"/>
                              <w:rPr>
                                <w:sz w:val="24"/>
                              </w:rPr>
                            </w:pPr>
                            <w:r>
                              <w:rPr>
                                <w:sz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051" w:type="dxa"/>
                            <w:gridSpan w:val="2"/>
                            <w:tcBorders>
                              <w:tl2br w:val="nil"/>
                              <w:tr2bl w:val="nil"/>
                            </w:tcBorders>
                            <w:vAlign w:val="center"/>
                          </w:tcPr>
                          <w:p>
                            <w:pPr>
                              <w:pStyle w:val="22"/>
                              <w:jc w:val="center"/>
                              <w:rPr>
                                <w:rFonts w:ascii="Times New Roman"/>
                              </w:rPr>
                            </w:pPr>
                          </w:p>
                        </w:tc>
                        <w:tc>
                          <w:tcPr>
                            <w:tcW w:w="1829" w:type="dxa"/>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jc w:val="center"/>
                              <w:rPr>
                                <w:rFonts w:ascii="Times New Roman"/>
                              </w:rPr>
                            </w:pP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051" w:type="dxa"/>
                            <w:gridSpan w:val="2"/>
                            <w:tcBorders>
                              <w:tl2br w:val="nil"/>
                              <w:tr2bl w:val="nil"/>
                            </w:tcBorders>
                            <w:vAlign w:val="center"/>
                          </w:tcPr>
                          <w:p>
                            <w:pPr>
                              <w:pStyle w:val="22"/>
                              <w:jc w:val="center"/>
                              <w:rPr>
                                <w:rFonts w:ascii="Times New Roman"/>
                              </w:rPr>
                            </w:pPr>
                          </w:p>
                        </w:tc>
                        <w:tc>
                          <w:tcPr>
                            <w:tcW w:w="1829" w:type="dxa"/>
                            <w:tcBorders>
                              <w:tl2br w:val="nil"/>
                              <w:tr2bl w:val="nil"/>
                            </w:tcBorders>
                            <w:vAlign w:val="center"/>
                          </w:tcPr>
                          <w:p>
                            <w:pPr>
                              <w:pStyle w:val="22"/>
                              <w:jc w:val="center"/>
                              <w:rPr>
                                <w:rFonts w:ascii="Times New Roman"/>
                              </w:rPr>
                            </w:pPr>
                          </w:p>
                        </w:tc>
                        <w:tc>
                          <w:tcPr>
                            <w:tcW w:w="2132" w:type="dxa"/>
                            <w:tcBorders>
                              <w:tl2br w:val="nil"/>
                              <w:tr2bl w:val="nil"/>
                            </w:tcBorders>
                            <w:vAlign w:val="center"/>
                          </w:tcPr>
                          <w:p>
                            <w:pPr>
                              <w:pStyle w:val="22"/>
                              <w:jc w:val="center"/>
                              <w:rPr>
                                <w:rFonts w:ascii="Times New Roman"/>
                              </w:rPr>
                            </w:pPr>
                          </w:p>
                        </w:tc>
                        <w:tc>
                          <w:tcPr>
                            <w:tcW w:w="1309" w:type="dxa"/>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350" w:type="dxa"/>
                            <w:tcBorders>
                              <w:tl2br w:val="nil"/>
                              <w:tr2bl w:val="nil"/>
                            </w:tcBorders>
                            <w:vAlign w:val="center"/>
                          </w:tcPr>
                          <w:p>
                            <w:pPr>
                              <w:pStyle w:val="22"/>
                              <w:spacing w:before="79"/>
                              <w:ind w:left="193" w:right="187"/>
                              <w:jc w:val="center"/>
                              <w:rPr>
                                <w:sz w:val="24"/>
                              </w:rPr>
                            </w:pPr>
                            <w:r>
                              <w:rPr>
                                <w:sz w:val="24"/>
                              </w:rPr>
                              <w:t>备注</w:t>
                            </w:r>
                          </w:p>
                        </w:tc>
                        <w:tc>
                          <w:tcPr>
                            <w:tcW w:w="5971" w:type="dxa"/>
                            <w:gridSpan w:val="4"/>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trPr>
                        <w:tc>
                          <w:tcPr>
                            <w:tcW w:w="2350" w:type="dxa"/>
                            <w:tcBorders>
                              <w:tl2br w:val="nil"/>
                              <w:tr2bl w:val="nil"/>
                            </w:tcBorders>
                            <w:vAlign w:val="center"/>
                          </w:tcPr>
                          <w:p>
                            <w:pPr>
                              <w:pStyle w:val="22"/>
                              <w:spacing w:before="79"/>
                              <w:ind w:left="193" w:right="187"/>
                              <w:jc w:val="center"/>
                              <w:rPr>
                                <w:sz w:val="24"/>
                              </w:rPr>
                            </w:pPr>
                          </w:p>
                        </w:tc>
                        <w:tc>
                          <w:tcPr>
                            <w:tcW w:w="5971" w:type="dxa"/>
                            <w:gridSpan w:val="4"/>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 w:hRule="atLeast"/>
                        </w:trPr>
                        <w:tc>
                          <w:tcPr>
                            <w:tcW w:w="2350" w:type="dxa"/>
                            <w:tcBorders>
                              <w:tl2br w:val="nil"/>
                              <w:tr2bl w:val="nil"/>
                            </w:tcBorders>
                            <w:vAlign w:val="center"/>
                          </w:tcPr>
                          <w:p>
                            <w:pPr>
                              <w:pStyle w:val="22"/>
                              <w:spacing w:before="79"/>
                              <w:ind w:left="193" w:right="187"/>
                              <w:jc w:val="center"/>
                              <w:rPr>
                                <w:sz w:val="24"/>
                              </w:rPr>
                            </w:pPr>
                          </w:p>
                        </w:tc>
                        <w:tc>
                          <w:tcPr>
                            <w:tcW w:w="5971" w:type="dxa"/>
                            <w:gridSpan w:val="4"/>
                            <w:tcBorders>
                              <w:tl2br w:val="nil"/>
                              <w:tr2bl w:val="nil"/>
                            </w:tcBorders>
                            <w:vAlign w:val="center"/>
                          </w:tcPr>
                          <w:p>
                            <w:pPr>
                              <w:pStyle w:val="2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50" w:type="dxa"/>
                            <w:tcBorders>
                              <w:tl2br w:val="nil"/>
                              <w:tr2bl w:val="nil"/>
                            </w:tcBorders>
                            <w:vAlign w:val="center"/>
                          </w:tcPr>
                          <w:p>
                            <w:pPr>
                              <w:pStyle w:val="22"/>
                              <w:spacing w:before="79"/>
                              <w:ind w:left="193" w:right="187"/>
                              <w:jc w:val="center"/>
                              <w:rPr>
                                <w:sz w:val="24"/>
                              </w:rPr>
                            </w:pPr>
                          </w:p>
                        </w:tc>
                        <w:tc>
                          <w:tcPr>
                            <w:tcW w:w="5971" w:type="dxa"/>
                            <w:gridSpan w:val="4"/>
                            <w:tcBorders>
                              <w:tl2br w:val="nil"/>
                              <w:tr2bl w:val="nil"/>
                            </w:tcBorders>
                            <w:vAlign w:val="center"/>
                          </w:tcPr>
                          <w:p>
                            <w:pPr>
                              <w:pStyle w:val="22"/>
                              <w:jc w:val="center"/>
                              <w:rPr>
                                <w:rFonts w:ascii="Times New Roman"/>
                              </w:rPr>
                            </w:pPr>
                          </w:p>
                        </w:tc>
                      </w:tr>
                    </w:tbl>
                    <w:p>
                      <w:pPr>
                        <w:pStyle w:val="10"/>
                      </w:pPr>
                    </w:p>
                  </w:txbxContent>
                </v:textbox>
              </v:shape>
            </w:pict>
          </mc:Fallback>
        </mc:AlternateContent>
      </w:r>
      <w:r>
        <w:rPr>
          <w:b/>
          <w:bCs/>
        </w:rPr>
        <w:t>供应商基本情况</w:t>
      </w:r>
      <w:r>
        <w:rPr>
          <w:b/>
          <w:bCs/>
          <w:spacing w:val="-17"/>
        </w:rPr>
        <w:t>表</w:t>
      </w:r>
      <w:r>
        <w:t>供应商：(公章)</w:t>
      </w:r>
      <w:r>
        <w:rPr>
          <w:u w:val="single"/>
        </w:rPr>
        <w:t xml:space="preserve"> </w:t>
      </w:r>
      <w:r>
        <w:rPr>
          <w:u w:val="single"/>
        </w:rPr>
        <w:tab/>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
    <w:p/>
    <w:p>
      <w:pPr>
        <w:pStyle w:val="10"/>
        <w:ind w:left="1360"/>
      </w:pPr>
      <w:r>
        <w:t>附件 3－1 提供营业执照副本复印件</w:t>
      </w:r>
    </w:p>
    <w:p>
      <w:pPr>
        <w:pStyle w:val="10"/>
        <w:spacing w:before="161"/>
        <w:ind w:left="1360"/>
      </w:pPr>
      <w:r>
        <w:t>(示例略)</w:t>
      </w:r>
    </w:p>
    <w:p>
      <w:pPr>
        <w:pStyle w:val="10"/>
        <w:tabs>
          <w:tab w:val="left" w:pos="2620"/>
        </w:tabs>
        <w:spacing w:before="160"/>
        <w:ind w:left="1360"/>
      </w:pPr>
      <w:r>
        <w:rPr>
          <w:rFonts w:hint="eastAsia"/>
        </w:rPr>
        <w:t>附件</w:t>
      </w:r>
      <w:r>
        <w:rPr>
          <w:rFonts w:hint="eastAsia"/>
          <w:lang w:val="en-US"/>
        </w:rPr>
        <w:t xml:space="preserve"> </w:t>
      </w:r>
      <w:r>
        <w:t>3－</w:t>
      </w:r>
      <w:r>
        <w:rPr>
          <w:rFonts w:hint="eastAsia"/>
          <w:lang w:val="en-US" w:eastAsia="zh-CN"/>
        </w:rPr>
        <w:t>2</w:t>
      </w:r>
      <w:r>
        <w:rPr>
          <w:rFonts w:hint="eastAsia"/>
          <w:lang w:val="en-US"/>
        </w:rPr>
        <w:t xml:space="preserve">  </w:t>
      </w:r>
      <w:r>
        <w:t>财务状况报告、依法缴纳税收和社会保障资金的证明材料</w:t>
      </w:r>
    </w:p>
    <w:p>
      <w:pPr>
        <w:pStyle w:val="10"/>
        <w:spacing w:before="161"/>
        <w:ind w:left="1360"/>
      </w:pPr>
      <w:r>
        <w:t>(示例略)</w:t>
      </w:r>
    </w:p>
    <w:p>
      <w:pPr>
        <w:pStyle w:val="10"/>
      </w:pPr>
    </w:p>
    <w:p>
      <w:pPr>
        <w:pStyle w:val="10"/>
        <w:rPr>
          <w:sz w:val="25"/>
        </w:rPr>
      </w:pPr>
    </w:p>
    <w:p>
      <w:pPr>
        <w:pStyle w:val="10"/>
        <w:spacing w:before="1" w:line="364" w:lineRule="auto"/>
        <w:ind w:left="2200" w:right="873" w:hanging="880"/>
        <w:rPr>
          <w:b/>
          <w:bCs/>
        </w:rPr>
      </w:pPr>
      <w:r>
        <w:rPr>
          <w:b/>
          <w:bCs/>
          <w:spacing w:val="-7"/>
        </w:rPr>
        <w:t>备注：</w:t>
      </w:r>
      <w:r>
        <w:rPr>
          <w:b/>
          <w:bCs/>
          <w:spacing w:val="-18"/>
        </w:rPr>
        <w:t>1.</w:t>
      </w:r>
      <w:r>
        <w:rPr>
          <w:rFonts w:hint="eastAsia"/>
          <w:b/>
          <w:bCs/>
          <w:spacing w:val="-18"/>
        </w:rPr>
        <w:t>须提供本单位上一年度由会计师事务所出具的财务审计报告（当上一年度审计报告未出来时，可提供前一年度审计报告），审计报告须包括资产负债表、利润表、现金流量表、所有者权益变动（如有）及其附注（扫描件并加盖本单位电子公章）。如投标人无法提供上年度审计报告，则需提供开标日前三个月内银行出具的资信证明。银行资信证明可提供原件扫描件加盖电子公章</w:t>
      </w:r>
      <w:r>
        <w:rPr>
          <w:rFonts w:hint="eastAsia"/>
          <w:b/>
          <w:bCs/>
          <w:lang w:val="en-US"/>
        </w:rPr>
        <w:t>。</w:t>
      </w:r>
    </w:p>
    <w:p>
      <w:pPr>
        <w:pStyle w:val="10"/>
        <w:spacing w:before="1"/>
        <w:ind w:left="1360" w:firstLine="723" w:firstLineChars="300"/>
        <w:rPr>
          <w:b/>
          <w:bCs/>
        </w:rPr>
      </w:pPr>
      <w:r>
        <w:rPr>
          <w:b/>
          <w:bCs/>
        </w:rPr>
        <w:t>2.提供依法缴纳税收和社会保障资金证明材料的复印件。</w:t>
      </w:r>
    </w:p>
    <w:p>
      <w:pPr>
        <w:rPr>
          <w:b/>
          <w:bCs/>
        </w:rPr>
        <w:sectPr>
          <w:pgSz w:w="11910" w:h="16840"/>
          <w:pgMar w:top="1460" w:right="920" w:bottom="1160" w:left="920" w:header="0" w:footer="974" w:gutter="0"/>
          <w:cols w:space="720" w:num="1"/>
        </w:sectPr>
      </w:pPr>
    </w:p>
    <w:p>
      <w:pPr>
        <w:pStyle w:val="10"/>
        <w:spacing w:before="41"/>
        <w:ind w:left="1360"/>
        <w:rPr>
          <w:rFonts w:hint="eastAsia" w:eastAsia="宋体"/>
          <w:lang w:eastAsia="zh-CN"/>
        </w:rPr>
      </w:pPr>
      <w:r>
        <w:t>附件 3－</w:t>
      </w:r>
      <w:r>
        <w:rPr>
          <w:rFonts w:hint="eastAsia"/>
          <w:lang w:val="en-US" w:eastAsia="zh-CN"/>
        </w:rPr>
        <w:t>3</w:t>
      </w:r>
    </w:p>
    <w:p>
      <w:pPr>
        <w:jc w:val="center"/>
        <w:rPr>
          <w:b/>
          <w:bCs/>
          <w:sz w:val="24"/>
          <w:szCs w:val="24"/>
        </w:rPr>
      </w:pPr>
    </w:p>
    <w:p>
      <w:pPr>
        <w:jc w:val="center"/>
        <w:rPr>
          <w:b/>
          <w:bCs/>
          <w:sz w:val="24"/>
          <w:szCs w:val="24"/>
        </w:rPr>
      </w:pPr>
      <w:r>
        <w:rPr>
          <w:b/>
          <w:bCs/>
          <w:sz w:val="24"/>
          <w:szCs w:val="24"/>
        </w:rPr>
        <w:t>参加政府采购活动前三年内在经营活动中</w:t>
      </w:r>
    </w:p>
    <w:p>
      <w:pPr>
        <w:jc w:val="center"/>
        <w:rPr>
          <w:b/>
          <w:bCs/>
          <w:sz w:val="24"/>
          <w:szCs w:val="24"/>
        </w:rPr>
      </w:pPr>
      <w:r>
        <w:rPr>
          <w:b/>
          <w:bCs/>
          <w:sz w:val="24"/>
          <w:szCs w:val="24"/>
        </w:rPr>
        <w:t>没有重大违法记录的书面声明</w:t>
      </w:r>
    </w:p>
    <w:p>
      <w:pPr>
        <w:pStyle w:val="10"/>
        <w:spacing w:before="2"/>
        <w:ind w:left="1360"/>
      </w:pPr>
    </w:p>
    <w:p>
      <w:pPr>
        <w:pStyle w:val="10"/>
        <w:spacing w:before="2"/>
        <w:ind w:left="1360"/>
      </w:pPr>
      <w:r>
        <w:t>本单位郑重声明：</w:t>
      </w:r>
    </w:p>
    <w:p>
      <w:pPr>
        <w:pStyle w:val="10"/>
        <w:spacing w:before="160" w:line="364" w:lineRule="auto"/>
        <w:ind w:left="880" w:right="877" w:firstLine="479"/>
      </w:pPr>
      <w:r>
        <w:rPr>
          <w:spacing w:val="-6"/>
        </w:rPr>
        <w:t>我单位在参加采购活动前三年内在经营活动中没有《政府采购法》第二十二</w:t>
      </w:r>
      <w:r>
        <w:t>条第一款第(五)项所称重大违法记录，包括：</w:t>
      </w:r>
    </w:p>
    <w:p>
      <w:pPr>
        <w:pStyle w:val="10"/>
        <w:spacing w:before="1" w:line="364" w:lineRule="auto"/>
        <w:ind w:left="880" w:right="877" w:firstLine="479"/>
        <w:jc w:val="both"/>
      </w:pPr>
      <w:r>
        <w:rPr>
          <w:spacing w:val="-8"/>
        </w:rPr>
        <w:t>我单位或者其法定代表人、董事、监事、高级管理人员未因经营活动中的违</w:t>
      </w:r>
      <w:r>
        <w:rPr>
          <w:spacing w:val="-6"/>
        </w:rPr>
        <w:t>法行为受到刑事处罚或者责令停产停业、吊销许可证或者执照、较大数额罚款等</w:t>
      </w:r>
      <w:r>
        <w:t>行政处罚。</w:t>
      </w:r>
    </w:p>
    <w:p>
      <w:pPr>
        <w:pStyle w:val="10"/>
        <w:spacing w:before="3"/>
        <w:ind w:left="1360"/>
      </w:pPr>
      <w:r>
        <w:t>特此声明！</w:t>
      </w:r>
    </w:p>
    <w:p>
      <w:pPr>
        <w:pStyle w:val="10"/>
      </w:pPr>
    </w:p>
    <w:p>
      <w:pPr>
        <w:pStyle w:val="10"/>
        <w:rPr>
          <w:sz w:val="25"/>
        </w:rPr>
      </w:pPr>
    </w:p>
    <w:p>
      <w:pPr>
        <w:pStyle w:val="10"/>
        <w:tabs>
          <w:tab w:val="left" w:pos="5015"/>
        </w:tabs>
        <w:ind w:left="136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10"/>
        <w:tabs>
          <w:tab w:val="left" w:pos="2800"/>
          <w:tab w:val="left" w:pos="3520"/>
          <w:tab w:val="left" w:pos="4240"/>
          <w:tab w:val="left" w:pos="7176"/>
        </w:tabs>
        <w:spacing w:before="161" w:line="364" w:lineRule="auto"/>
        <w:ind w:left="1360" w:right="288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364" w:lineRule="auto"/>
        <w:sectPr>
          <w:pgSz w:w="11910" w:h="16840"/>
          <w:pgMar w:top="1460" w:right="920" w:bottom="1160" w:left="920" w:header="0" w:footer="974" w:gutter="0"/>
          <w:cols w:space="720" w:num="1"/>
        </w:sectPr>
      </w:pPr>
    </w:p>
    <w:p>
      <w:pPr>
        <w:pStyle w:val="10"/>
        <w:spacing w:before="41"/>
        <w:ind w:firstLine="480" w:firstLineChars="200"/>
        <w:rPr>
          <w:rFonts w:hint="eastAsia" w:eastAsia="宋体"/>
          <w:lang w:val="en-US" w:eastAsia="zh-CN"/>
        </w:rPr>
      </w:pPr>
      <w:r>
        <w:t>附件 3－</w:t>
      </w:r>
      <w:r>
        <w:rPr>
          <w:rFonts w:hint="eastAsia"/>
          <w:lang w:val="en-US" w:eastAsia="zh-CN"/>
        </w:rPr>
        <w:t>4</w:t>
      </w:r>
    </w:p>
    <w:p>
      <w:pPr>
        <w:pStyle w:val="10"/>
        <w:spacing w:before="3"/>
        <w:rPr>
          <w:sz w:val="31"/>
        </w:rPr>
      </w:pPr>
    </w:p>
    <w:p>
      <w:pPr>
        <w:tabs>
          <w:tab w:val="left" w:pos="1840"/>
        </w:tabs>
        <w:spacing w:line="415" w:lineRule="auto"/>
        <w:ind w:left="880" w:right="2621" w:firstLine="1742"/>
        <w:rPr>
          <w:sz w:val="24"/>
        </w:rPr>
      </w:pPr>
      <w:r>
        <w:rPr>
          <w:b/>
          <w:sz w:val="24"/>
        </w:rPr>
        <w:t>无不良信用记录承诺函(</w:t>
      </w:r>
      <w:r>
        <w:rPr>
          <w:rFonts w:hint="eastAsia"/>
          <w:b/>
          <w:sz w:val="24"/>
        </w:rPr>
        <w:t>响应</w:t>
      </w:r>
      <w:r>
        <w:rPr>
          <w:b/>
          <w:sz w:val="24"/>
        </w:rPr>
        <w:t>人自行查询适用</w:t>
      </w:r>
      <w:r>
        <w:rPr>
          <w:b/>
          <w:spacing w:val="-14"/>
          <w:sz w:val="24"/>
        </w:rPr>
        <w:t xml:space="preserve">) </w:t>
      </w:r>
      <w:r>
        <w:rPr>
          <w:sz w:val="24"/>
        </w:rPr>
        <w:t>致</w:t>
      </w:r>
      <w:r>
        <w:rPr>
          <w:sz w:val="24"/>
          <w:u w:val="single"/>
        </w:rPr>
        <w:t xml:space="preserve"> </w:t>
      </w:r>
      <w:r>
        <w:rPr>
          <w:sz w:val="24"/>
          <w:u w:val="single"/>
        </w:rPr>
        <w:tab/>
      </w:r>
      <w:r>
        <w:rPr>
          <w:sz w:val="24"/>
        </w:rPr>
        <w:t>(采购人或采购代理机构)：</w:t>
      </w:r>
    </w:p>
    <w:p>
      <w:pPr>
        <w:pStyle w:val="10"/>
        <w:spacing w:line="244" w:lineRule="exact"/>
        <w:ind w:left="1360"/>
      </w:pPr>
      <w:r>
        <w:t>本单位郑重承诺，我单位无以下不良信用记录情形：</w:t>
      </w:r>
    </w:p>
    <w:p>
      <w:pPr>
        <w:pStyle w:val="21"/>
        <w:numPr>
          <w:ilvl w:val="0"/>
          <w:numId w:val="10"/>
        </w:numPr>
        <w:tabs>
          <w:tab w:val="left" w:pos="1602"/>
        </w:tabs>
        <w:spacing w:before="161"/>
        <w:rPr>
          <w:sz w:val="24"/>
        </w:rPr>
      </w:pPr>
      <w:r>
        <w:rPr>
          <w:sz w:val="24"/>
        </w:rPr>
        <w:t>被人民法院列入失信被执行人；</w:t>
      </w:r>
    </w:p>
    <w:p>
      <w:pPr>
        <w:pStyle w:val="21"/>
        <w:numPr>
          <w:ilvl w:val="0"/>
          <w:numId w:val="10"/>
        </w:numPr>
        <w:tabs>
          <w:tab w:val="left" w:pos="1602"/>
        </w:tabs>
        <w:rPr>
          <w:sz w:val="24"/>
        </w:rPr>
      </w:pPr>
      <w:r>
        <w:rPr>
          <w:sz w:val="24"/>
        </w:rPr>
        <w:t>被税务部门列入重大税收违法案件当事人名单；</w:t>
      </w:r>
    </w:p>
    <w:p>
      <w:pPr>
        <w:pStyle w:val="21"/>
        <w:numPr>
          <w:ilvl w:val="0"/>
          <w:numId w:val="10"/>
        </w:numPr>
        <w:tabs>
          <w:tab w:val="left" w:pos="1602"/>
        </w:tabs>
        <w:spacing w:before="161"/>
        <w:rPr>
          <w:sz w:val="24"/>
        </w:rPr>
      </w:pPr>
      <w:r>
        <w:rPr>
          <w:sz w:val="24"/>
        </w:rPr>
        <w:t>被政府采购监管部门列入政府采购严重违法失信行为记录名单；</w:t>
      </w:r>
    </w:p>
    <w:p>
      <w:pPr>
        <w:pStyle w:val="21"/>
        <w:numPr>
          <w:ilvl w:val="0"/>
          <w:numId w:val="10"/>
        </w:numPr>
        <w:tabs>
          <w:tab w:val="left" w:pos="1602"/>
        </w:tabs>
        <w:spacing w:before="161"/>
        <w:rPr>
          <w:sz w:val="24"/>
        </w:rPr>
      </w:pPr>
      <w:r>
        <w:rPr>
          <w:sz w:val="24"/>
        </w:rPr>
        <w:t>不符合《政府采购法》第二十二条规定的条件。</w:t>
      </w:r>
    </w:p>
    <w:p>
      <w:pPr>
        <w:pStyle w:val="10"/>
        <w:spacing w:before="160" w:line="364" w:lineRule="auto"/>
        <w:ind w:left="880" w:right="870" w:firstLine="479"/>
        <w:jc w:val="both"/>
      </w:pPr>
      <w:r>
        <w:rPr>
          <w:spacing w:val="4"/>
        </w:rPr>
        <w:t>我单位已就上述不良信用行为按照协商文件中协商须知前附表规定进行了</w:t>
      </w:r>
      <w:r>
        <w:rPr>
          <w:spacing w:val="-11"/>
        </w:rPr>
        <w:t>查询。我单位承诺：合同签订前，若我单位具有不良信用记录情形，贵方可取消</w:t>
      </w:r>
      <w:r>
        <w:rPr>
          <w:spacing w:val="-15"/>
        </w:rPr>
        <w:t>我单位成交资格或者不授予合同，所有责任由我单位自行承担。同时，我单位愿意无条件接受监管部门的调查处理。</w:t>
      </w:r>
    </w:p>
    <w:p>
      <w:pPr>
        <w:pStyle w:val="10"/>
      </w:pPr>
    </w:p>
    <w:p>
      <w:pPr>
        <w:pStyle w:val="10"/>
        <w:tabs>
          <w:tab w:val="left" w:pos="5255"/>
        </w:tabs>
        <w:spacing w:before="163"/>
        <w:ind w:left="1360"/>
        <w:rPr>
          <w:rFonts w:ascii="Times New Roman" w:eastAsia="Times New Roman"/>
        </w:rPr>
      </w:pPr>
      <w:r>
        <w:t>供应商名称(盖公章)：</w:t>
      </w:r>
      <w:r>
        <w:rPr>
          <w:rFonts w:ascii="Times New Roman" w:eastAsia="Times New Roman"/>
          <w:u w:val="single"/>
        </w:rPr>
        <w:t xml:space="preserve"> </w:t>
      </w:r>
      <w:r>
        <w:rPr>
          <w:rFonts w:ascii="Times New Roman" w:eastAsia="Times New Roman"/>
          <w:u w:val="single"/>
        </w:rPr>
        <w:tab/>
      </w:r>
    </w:p>
    <w:p>
      <w:pPr>
        <w:pStyle w:val="10"/>
        <w:tabs>
          <w:tab w:val="left" w:pos="2800"/>
          <w:tab w:val="left" w:pos="3520"/>
          <w:tab w:val="left" w:pos="4240"/>
          <w:tab w:val="left" w:pos="7176"/>
        </w:tabs>
        <w:spacing w:before="161" w:line="364" w:lineRule="auto"/>
        <w:ind w:left="1360" w:right="288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0"/>
        <w:rPr>
          <w:sz w:val="26"/>
        </w:rPr>
      </w:pPr>
    </w:p>
    <w:p>
      <w:pPr>
        <w:pStyle w:val="10"/>
        <w:rPr>
          <w:sz w:val="26"/>
        </w:rPr>
      </w:pPr>
    </w:p>
    <w:p>
      <w:pPr>
        <w:pStyle w:val="10"/>
        <w:rPr>
          <w:sz w:val="26"/>
        </w:rPr>
      </w:pPr>
    </w:p>
    <w:p>
      <w:pPr>
        <w:pStyle w:val="10"/>
        <w:spacing w:before="9"/>
        <w:rPr>
          <w:sz w:val="31"/>
        </w:rPr>
      </w:pPr>
    </w:p>
    <w:p>
      <w:pPr>
        <w:pStyle w:val="10"/>
        <w:spacing w:line="364" w:lineRule="auto"/>
        <w:ind w:left="880" w:right="805" w:firstLine="479"/>
      </w:pPr>
      <w:r>
        <w:fldChar w:fldCharType="begin"/>
      </w:r>
      <w:r>
        <w:instrText xml:space="preserve"> HYPERLINK "http://www/" \h </w:instrText>
      </w:r>
      <w:r>
        <w:fldChar w:fldCharType="separate"/>
      </w:r>
      <w:r>
        <w:t>备注：</w:t>
      </w:r>
      <w:r>
        <w:rPr>
          <w:rFonts w:hint="eastAsia"/>
          <w:lang w:val="en-US"/>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与本次单一来源采购活动</w:t>
      </w:r>
      <w:r>
        <w:rPr>
          <w:rFonts w:hint="eastAsia"/>
        </w:rPr>
        <w:t>；</w:t>
      </w:r>
    </w:p>
    <w:p>
      <w:pPr>
        <w:pStyle w:val="10"/>
        <w:spacing w:line="364" w:lineRule="auto"/>
        <w:ind w:left="880" w:right="805" w:firstLine="479"/>
      </w:pPr>
      <w:r>
        <w:fldChar w:fldCharType="end"/>
      </w:r>
    </w:p>
    <w:p>
      <w:pPr>
        <w:spacing w:line="364" w:lineRule="auto"/>
      </w:pPr>
    </w:p>
    <w:p>
      <w:pPr>
        <w:pStyle w:val="7"/>
        <w:ind w:firstLine="440"/>
      </w:pPr>
    </w:p>
    <w:p>
      <w:pPr>
        <w:pStyle w:val="7"/>
        <w:ind w:firstLine="440"/>
      </w:pPr>
    </w:p>
    <w:p>
      <w:pPr>
        <w:pStyle w:val="8"/>
        <w:ind w:left="0"/>
        <w:rPr>
          <w:rFonts w:hint="eastAsia" w:ascii="宋体" w:hAnsi="宋体" w:eastAsia="宋体" w:cs="宋体"/>
          <w:b/>
          <w:color w:val="000000"/>
          <w:sz w:val="21"/>
          <w:szCs w:val="21"/>
          <w:lang w:val="en-US" w:eastAsia="zh-CN" w:bidi="ar-SA"/>
        </w:rPr>
      </w:pPr>
      <w:r>
        <w:rPr>
          <w:rFonts w:hint="eastAsia" w:ascii="宋体" w:hAnsi="宋体" w:cs="宋体"/>
          <w:bCs/>
          <w:color w:val="000000"/>
          <w:sz w:val="21"/>
          <w:szCs w:val="21"/>
          <w:lang w:val="en-US" w:bidi="ar-SA"/>
        </w:rPr>
        <w:t>附件 3-</w:t>
      </w:r>
      <w:r>
        <w:rPr>
          <w:rFonts w:hint="eastAsia" w:ascii="宋体" w:hAnsi="宋体" w:cs="宋体"/>
          <w:bCs/>
          <w:color w:val="000000"/>
          <w:sz w:val="21"/>
          <w:szCs w:val="21"/>
          <w:lang w:val="en-US" w:eastAsia="zh-CN" w:bidi="ar-SA"/>
        </w:rPr>
        <w:t>5</w:t>
      </w:r>
    </w:p>
    <w:p>
      <w:pPr>
        <w:jc w:val="center"/>
        <w:rPr>
          <w:b/>
          <w:sz w:val="28"/>
          <w:szCs w:val="28"/>
          <w:lang w:val="en-US"/>
        </w:rPr>
      </w:pPr>
    </w:p>
    <w:p>
      <w:pPr>
        <w:jc w:val="center"/>
        <w:rPr>
          <w:b/>
          <w:sz w:val="28"/>
          <w:szCs w:val="28"/>
          <w:lang w:val="en-US"/>
        </w:rPr>
      </w:pPr>
      <w:r>
        <w:rPr>
          <w:rFonts w:hint="eastAsia"/>
          <w:b/>
          <w:sz w:val="28"/>
          <w:szCs w:val="28"/>
          <w:lang w:val="en-US"/>
        </w:rPr>
        <w:t>具有履行合同所必须的设备和专业技术能力声明函</w:t>
      </w:r>
    </w:p>
    <w:p>
      <w:pPr>
        <w:rPr>
          <w:lang w:val="en-US"/>
        </w:rPr>
      </w:pPr>
    </w:p>
    <w:p>
      <w:pPr>
        <w:adjustRightInd w:val="0"/>
        <w:spacing w:line="500" w:lineRule="exact"/>
        <w:ind w:firstLine="440" w:firstLineChars="200"/>
        <w:rPr>
          <w:bCs/>
          <w:color w:val="000000"/>
          <w:szCs w:val="21"/>
          <w:lang w:val="en-US"/>
        </w:rPr>
      </w:pPr>
      <w:r>
        <w:rPr>
          <w:rFonts w:hint="eastAsia"/>
          <w:bCs/>
          <w:color w:val="000000"/>
          <w:szCs w:val="21"/>
          <w:lang w:val="en-US"/>
        </w:rPr>
        <w:t>致:(采购人)</w:t>
      </w:r>
    </w:p>
    <w:p>
      <w:pPr>
        <w:adjustRightInd w:val="0"/>
        <w:spacing w:line="500" w:lineRule="exact"/>
        <w:ind w:firstLine="1100" w:firstLineChars="500"/>
        <w:rPr>
          <w:bCs/>
          <w:color w:val="000000"/>
          <w:szCs w:val="21"/>
          <w:lang w:val="en-US"/>
        </w:rPr>
      </w:pPr>
      <w:r>
        <w:rPr>
          <w:rFonts w:hint="eastAsia"/>
          <w:bCs/>
          <w:color w:val="000000"/>
          <w:szCs w:val="21"/>
          <w:lang w:val="en-US"/>
        </w:rPr>
        <w:t>我公司在完全理解本项目招标的技术要求，商务条款及其他内容后，决定参与该</w:t>
      </w:r>
    </w:p>
    <w:p>
      <w:pPr>
        <w:adjustRightInd w:val="0"/>
        <w:spacing w:line="500" w:lineRule="exact"/>
        <w:ind w:firstLine="440" w:firstLineChars="200"/>
        <w:rPr>
          <w:bCs/>
          <w:color w:val="000000"/>
          <w:szCs w:val="21"/>
          <w:lang w:val="en-US"/>
        </w:rPr>
      </w:pPr>
      <w:r>
        <w:rPr>
          <w:rFonts w:hint="eastAsia"/>
          <w:bCs/>
          <w:color w:val="000000"/>
          <w:szCs w:val="21"/>
          <w:lang w:val="en-US"/>
        </w:rPr>
        <w:t>项目的投标活动。并声明，如中标，我公司将提供足够的设备和专业技术能力保证合同</w:t>
      </w:r>
    </w:p>
    <w:p>
      <w:pPr>
        <w:adjustRightInd w:val="0"/>
        <w:spacing w:line="500" w:lineRule="exact"/>
        <w:ind w:firstLine="440" w:firstLineChars="200"/>
        <w:rPr>
          <w:bCs/>
          <w:color w:val="000000"/>
          <w:szCs w:val="21"/>
          <w:lang w:val="en-US"/>
        </w:rPr>
      </w:pPr>
      <w:r>
        <w:rPr>
          <w:rFonts w:hint="eastAsia"/>
          <w:bCs/>
          <w:color w:val="000000"/>
          <w:szCs w:val="21"/>
          <w:lang w:val="en-US"/>
        </w:rPr>
        <w:t>履行。货物及服务满足招标文件中的要求。</w:t>
      </w:r>
    </w:p>
    <w:p>
      <w:pPr>
        <w:adjustRightInd w:val="0"/>
        <w:spacing w:line="500" w:lineRule="exact"/>
        <w:ind w:firstLine="1100" w:firstLineChars="500"/>
        <w:rPr>
          <w:bCs/>
          <w:color w:val="000000"/>
          <w:szCs w:val="21"/>
          <w:lang w:val="en-US"/>
        </w:rPr>
      </w:pPr>
      <w:r>
        <w:rPr>
          <w:rFonts w:hint="eastAsia"/>
          <w:bCs/>
          <w:color w:val="000000"/>
          <w:szCs w:val="21"/>
          <w:lang w:val="en-US"/>
        </w:rPr>
        <w:t>本公司对上述声明的真实性负责。如有虚假，我公司同意按我方合同违约处理，</w:t>
      </w:r>
    </w:p>
    <w:p>
      <w:pPr>
        <w:adjustRightInd w:val="0"/>
        <w:spacing w:line="500" w:lineRule="exact"/>
        <w:ind w:firstLine="440" w:firstLineChars="200"/>
        <w:rPr>
          <w:bCs/>
          <w:color w:val="000000"/>
          <w:szCs w:val="21"/>
          <w:lang w:val="en-US"/>
        </w:rPr>
      </w:pPr>
      <w:r>
        <w:rPr>
          <w:rFonts w:hint="eastAsia"/>
          <w:bCs/>
          <w:color w:val="000000"/>
          <w:szCs w:val="21"/>
          <w:lang w:val="en-US"/>
        </w:rPr>
        <w:t>并依法承担相应法律责任。</w:t>
      </w:r>
    </w:p>
    <w:p>
      <w:pPr>
        <w:adjustRightInd w:val="0"/>
        <w:spacing w:line="500" w:lineRule="exact"/>
        <w:ind w:firstLine="440" w:firstLineChars="200"/>
        <w:rPr>
          <w:bCs/>
          <w:color w:val="000000"/>
          <w:szCs w:val="21"/>
          <w:lang w:val="en-US"/>
        </w:rPr>
      </w:pPr>
    </w:p>
    <w:p>
      <w:pPr>
        <w:adjustRightInd w:val="0"/>
        <w:spacing w:line="500" w:lineRule="exact"/>
        <w:ind w:firstLine="5940" w:firstLineChars="2700"/>
        <w:jc w:val="both"/>
        <w:rPr>
          <w:bCs/>
          <w:color w:val="000000"/>
          <w:szCs w:val="21"/>
          <w:lang w:val="en-US"/>
        </w:rPr>
      </w:pPr>
      <w:r>
        <w:rPr>
          <w:rFonts w:hint="eastAsia"/>
          <w:bCs/>
          <w:color w:val="000000"/>
          <w:szCs w:val="21"/>
          <w:lang w:val="en-US"/>
        </w:rPr>
        <w:t>供应商名称(盖章):</w:t>
      </w:r>
    </w:p>
    <w:p>
      <w:pPr>
        <w:adjustRightInd w:val="0"/>
        <w:spacing w:line="500" w:lineRule="exact"/>
        <w:ind w:firstLine="5940" w:firstLineChars="2700"/>
        <w:jc w:val="both"/>
        <w:rPr>
          <w:bCs/>
          <w:color w:val="000000"/>
          <w:szCs w:val="21"/>
          <w:lang w:val="en-US"/>
        </w:rPr>
      </w:pPr>
      <w:r>
        <w:rPr>
          <w:rFonts w:hint="eastAsia"/>
          <w:bCs/>
          <w:color w:val="000000"/>
          <w:szCs w:val="21"/>
          <w:lang w:val="en-US"/>
        </w:rPr>
        <w:t>法定代表人或授权代表(签字):</w:t>
      </w:r>
    </w:p>
    <w:p>
      <w:pPr>
        <w:adjustRightInd w:val="0"/>
        <w:spacing w:line="500" w:lineRule="exact"/>
        <w:ind w:firstLine="5940" w:firstLineChars="2700"/>
        <w:jc w:val="both"/>
        <w:rPr>
          <w:bCs/>
          <w:color w:val="000000"/>
          <w:szCs w:val="21"/>
          <w:lang w:val="en-US"/>
        </w:rPr>
      </w:pPr>
      <w:r>
        <w:rPr>
          <w:rFonts w:hint="eastAsia"/>
          <w:bCs/>
          <w:color w:val="000000"/>
          <w:szCs w:val="21"/>
          <w:lang w:val="en-US"/>
        </w:rPr>
        <w:t>投标日期:</w:t>
      </w:r>
    </w:p>
    <w:p/>
    <w:p>
      <w:pPr>
        <w:pStyle w:val="7"/>
        <w:ind w:firstLine="440"/>
      </w:pPr>
    </w:p>
    <w:p>
      <w:pPr>
        <w:pStyle w:val="8"/>
      </w:pPr>
    </w:p>
    <w:p/>
    <w:p>
      <w:pPr>
        <w:pStyle w:val="7"/>
        <w:ind w:firstLine="440"/>
      </w:pPr>
    </w:p>
    <w:p>
      <w:pPr>
        <w:pStyle w:val="8"/>
      </w:pPr>
    </w:p>
    <w:p/>
    <w:p>
      <w:pPr>
        <w:pStyle w:val="7"/>
        <w:ind w:firstLine="440"/>
      </w:pPr>
    </w:p>
    <w:p>
      <w:pPr>
        <w:pStyle w:val="8"/>
      </w:pPr>
    </w:p>
    <w:p/>
    <w:p>
      <w:pPr>
        <w:pStyle w:val="7"/>
        <w:ind w:firstLine="440"/>
      </w:pPr>
    </w:p>
    <w:p>
      <w:pPr>
        <w:pStyle w:val="8"/>
      </w:pPr>
    </w:p>
    <w:p/>
    <w:p>
      <w:pPr>
        <w:pStyle w:val="7"/>
        <w:ind w:firstLine="440"/>
      </w:pPr>
    </w:p>
    <w:p>
      <w:pPr>
        <w:pStyle w:val="8"/>
      </w:pPr>
    </w:p>
    <w:p/>
    <w:p>
      <w:pPr>
        <w:pStyle w:val="7"/>
        <w:ind w:firstLine="440"/>
      </w:pPr>
    </w:p>
    <w:p>
      <w:pPr>
        <w:pStyle w:val="8"/>
      </w:pPr>
    </w:p>
    <w:p/>
    <w:p>
      <w:pPr>
        <w:pStyle w:val="7"/>
        <w:ind w:firstLine="440"/>
      </w:pPr>
    </w:p>
    <w:p>
      <w:pPr>
        <w:pStyle w:val="8"/>
      </w:pPr>
    </w:p>
    <w:p/>
    <w:p>
      <w:pPr>
        <w:pStyle w:val="7"/>
        <w:ind w:firstLine="440"/>
      </w:pPr>
    </w:p>
    <w:p>
      <w:pPr>
        <w:pStyle w:val="8"/>
      </w:pPr>
    </w:p>
    <w:p/>
    <w:p>
      <w:pPr>
        <w:pStyle w:val="7"/>
        <w:ind w:firstLine="440"/>
      </w:pPr>
    </w:p>
    <w:p>
      <w:pPr>
        <w:pStyle w:val="8"/>
      </w:pPr>
    </w:p>
    <w:p/>
    <w:p>
      <w:pPr>
        <w:pStyle w:val="7"/>
        <w:ind w:firstLine="440"/>
      </w:pPr>
    </w:p>
    <w:p>
      <w:pPr>
        <w:pStyle w:val="8"/>
        <w:ind w:left="0"/>
        <w:rPr>
          <w:rFonts w:hint="eastAsia" w:ascii="宋体" w:hAnsi="宋体" w:eastAsia="宋体" w:cs="宋体"/>
          <w:bCs/>
          <w:color w:val="000000"/>
          <w:sz w:val="21"/>
          <w:szCs w:val="21"/>
          <w:lang w:val="en-US" w:eastAsia="zh-CN" w:bidi="ar-SA"/>
        </w:rPr>
      </w:pPr>
      <w:r>
        <w:rPr>
          <w:rFonts w:hint="eastAsia" w:ascii="宋体" w:hAnsi="宋体" w:cs="宋体"/>
          <w:bCs/>
          <w:color w:val="000000"/>
          <w:sz w:val="21"/>
          <w:szCs w:val="21"/>
          <w:lang w:val="en-US" w:bidi="ar-SA"/>
        </w:rPr>
        <w:t>附件  3-</w:t>
      </w:r>
      <w:r>
        <w:rPr>
          <w:rFonts w:hint="eastAsia" w:ascii="宋体" w:hAnsi="宋体" w:cs="宋体"/>
          <w:bCs/>
          <w:color w:val="000000"/>
          <w:sz w:val="21"/>
          <w:szCs w:val="21"/>
          <w:lang w:val="en-US" w:eastAsia="zh-CN" w:bidi="ar-SA"/>
        </w:rPr>
        <w:t>6</w:t>
      </w:r>
    </w:p>
    <w:p>
      <w:pPr>
        <w:pStyle w:val="7"/>
        <w:ind w:firstLine="440"/>
      </w:pPr>
    </w:p>
    <w:p>
      <w:pPr>
        <w:pStyle w:val="8"/>
      </w:pPr>
    </w:p>
    <w:p/>
    <w:p>
      <w:pPr>
        <w:pStyle w:val="7"/>
        <w:ind w:firstLine="440"/>
      </w:pPr>
    </w:p>
    <w:p>
      <w:pPr>
        <w:pStyle w:val="8"/>
      </w:pPr>
    </w:p>
    <w:p/>
    <w:p>
      <w:pPr>
        <w:pStyle w:val="7"/>
        <w:ind w:firstLine="440"/>
      </w:pPr>
    </w:p>
    <w:p>
      <w:pPr>
        <w:spacing w:line="360" w:lineRule="auto"/>
        <w:jc w:val="center"/>
        <w:rPr>
          <w:rStyle w:val="25"/>
          <w:rFonts w:ascii="Times New Roman" w:hAnsi="Times New Roman" w:cs="Times New Roman"/>
        </w:rPr>
      </w:pPr>
      <w:r>
        <w:rPr>
          <w:rStyle w:val="25"/>
          <w:rFonts w:hint="eastAsia" w:ascii="Times New Roman" w:hAnsi="Times New Roman" w:cs="Times New Roman"/>
          <w:lang w:val="en-US"/>
        </w:rPr>
        <w:t>协商</w:t>
      </w:r>
      <w:r>
        <w:rPr>
          <w:rStyle w:val="25"/>
          <w:rFonts w:hint="eastAsia" w:ascii="Times New Roman" w:hAnsi="Times New Roman" w:cs="Times New Roman"/>
        </w:rPr>
        <w:t>保证金</w:t>
      </w:r>
    </w:p>
    <w:p>
      <w:pPr>
        <w:spacing w:line="360" w:lineRule="auto"/>
        <w:jc w:val="center"/>
        <w:rPr>
          <w:rFonts w:hint="eastAsia"/>
          <w:b/>
          <w:color w:val="000000"/>
          <w:sz w:val="28"/>
          <w:szCs w:val="28"/>
        </w:rPr>
      </w:pPr>
      <w:r>
        <w:rPr>
          <w:rFonts w:hint="eastAsia"/>
          <w:b/>
          <w:color w:val="000000"/>
          <w:sz w:val="28"/>
          <w:szCs w:val="28"/>
        </w:rPr>
        <w:t>（附保证金汇款电子凭证</w:t>
      </w:r>
      <w:r>
        <w:rPr>
          <w:rFonts w:hint="eastAsia"/>
          <w:b/>
          <w:color w:val="000000"/>
          <w:sz w:val="28"/>
          <w:szCs w:val="28"/>
          <w:lang w:val="en-US" w:eastAsia="zh-CN"/>
        </w:rPr>
        <w:t>或电子保函凭证</w:t>
      </w:r>
      <w:r>
        <w:rPr>
          <w:rFonts w:hint="eastAsia"/>
          <w:b/>
          <w:color w:val="000000"/>
          <w:sz w:val="28"/>
          <w:szCs w:val="28"/>
        </w:rPr>
        <w:t>）</w:t>
      </w: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13"/>
        <w:rPr>
          <w:rFonts w:hint="eastAsia"/>
          <w:b/>
          <w:color w:val="000000"/>
          <w:sz w:val="28"/>
          <w:szCs w:val="28"/>
        </w:rPr>
      </w:pPr>
    </w:p>
    <w:p>
      <w:pPr>
        <w:pStyle w:val="8"/>
        <w:ind w:left="0"/>
        <w:rPr>
          <w:rFonts w:hint="eastAsia" w:ascii="宋体" w:hAnsi="宋体" w:cs="宋体"/>
          <w:bCs/>
          <w:color w:val="000000"/>
          <w:sz w:val="21"/>
          <w:szCs w:val="21"/>
          <w:lang w:val="en-US" w:eastAsia="zh-CN" w:bidi="ar-SA"/>
        </w:rPr>
      </w:pPr>
      <w:r>
        <w:rPr>
          <w:rFonts w:hint="eastAsia" w:ascii="宋体" w:hAnsi="宋体" w:cs="宋体"/>
          <w:bCs/>
          <w:color w:val="000000"/>
          <w:sz w:val="21"/>
          <w:szCs w:val="21"/>
          <w:lang w:val="en-US" w:eastAsia="zh-CN" w:bidi="ar-SA"/>
        </w:rPr>
        <w:t>附件  3-7</w:t>
      </w:r>
    </w:p>
    <w:p>
      <w:pPr>
        <w:rPr>
          <w:rFonts w:hint="eastAsia" w:ascii="宋体" w:hAnsi="宋体" w:cs="宋体"/>
          <w:bCs/>
          <w:color w:val="000000"/>
          <w:sz w:val="21"/>
          <w:szCs w:val="21"/>
          <w:lang w:val="en-US" w:eastAsia="zh-CN" w:bidi="ar-SA"/>
        </w:rPr>
      </w:pPr>
    </w:p>
    <w:p>
      <w:pPr>
        <w:pStyle w:val="13"/>
        <w:jc w:val="center"/>
        <w:rPr>
          <w:rStyle w:val="25"/>
          <w:rFonts w:hint="eastAsia" w:ascii="Times New Roman" w:hAnsi="Times New Roman" w:cs="Times New Roman"/>
          <w:lang w:val="en-US" w:eastAsia="zh-CN" w:bidi="zh-CN"/>
        </w:rPr>
      </w:pPr>
      <w:r>
        <w:rPr>
          <w:rStyle w:val="25"/>
          <w:rFonts w:hint="eastAsia" w:ascii="Times New Roman" w:hAnsi="Times New Roman" w:cs="Times New Roman"/>
          <w:lang w:val="en-US" w:eastAsia="zh-CN" w:bidi="zh-CN"/>
        </w:rPr>
        <w:t>电子出版物为正式版物</w:t>
      </w:r>
    </w:p>
    <w:p>
      <w:pPr>
        <w:pStyle w:val="13"/>
        <w:jc w:val="center"/>
        <w:rPr>
          <w:rStyle w:val="23"/>
          <w:b/>
          <w:bCs/>
        </w:rPr>
      </w:pPr>
      <w:r>
        <w:rPr>
          <w:rStyle w:val="25"/>
          <w:rFonts w:hint="eastAsia" w:ascii="Times New Roman" w:hAnsi="Times New Roman" w:cs="Times New Roman"/>
          <w:lang w:val="en-US" w:eastAsia="zh-CN" w:bidi="zh-CN"/>
        </w:rPr>
        <w:t>提供承诺书</w:t>
      </w:r>
      <w:r>
        <w:rPr>
          <w:rStyle w:val="25"/>
          <w:rFonts w:hint="eastAsia" w:cs="Times New Roman"/>
          <w:lang w:val="en-US" w:eastAsia="zh-CN" w:bidi="zh-CN"/>
        </w:rPr>
        <w:t>（格式自拟）</w:t>
      </w:r>
      <w:r>
        <w:rPr>
          <w:rStyle w:val="25"/>
          <w:rFonts w:hint="eastAsia" w:ascii="Times New Roman" w:hAnsi="Times New Roman" w:cs="Times New Roman"/>
          <w:lang w:val="en-US" w:eastAsia="zh-CN" w:bidi="zh-CN"/>
        </w:rPr>
        <w:t>或其他相关证明材料</w:t>
      </w:r>
    </w:p>
    <w:p>
      <w:pPr>
        <w:pStyle w:val="5"/>
        <w:rPr>
          <w:rStyle w:val="23"/>
          <w:b/>
          <w:bCs/>
        </w:rPr>
      </w:pPr>
    </w:p>
    <w:p>
      <w:pPr>
        <w:pStyle w:val="5"/>
        <w:rPr>
          <w:rStyle w:val="23"/>
          <w:b/>
          <w:bCs/>
        </w:rPr>
      </w:pPr>
    </w:p>
    <w:p>
      <w:pPr>
        <w:rPr>
          <w:rStyle w:val="23"/>
          <w:b/>
          <w:bCs/>
        </w:rPr>
      </w:pPr>
    </w:p>
    <w:p>
      <w:pPr>
        <w:pStyle w:val="13"/>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p>
    <w:p>
      <w:pPr>
        <w:pStyle w:val="5"/>
        <w:rPr>
          <w:rStyle w:val="23"/>
          <w:b/>
          <w:bCs/>
        </w:rPr>
      </w:pPr>
      <w:r>
        <w:rPr>
          <w:rStyle w:val="23"/>
          <w:b/>
          <w:bCs/>
        </w:rPr>
        <w:t>四、商务条款响应情况</w:t>
      </w:r>
    </w:p>
    <w:p>
      <w:pPr>
        <w:pStyle w:val="10"/>
        <w:spacing w:before="41" w:line="364" w:lineRule="auto"/>
        <w:ind w:left="1360" w:right="6110" w:hanging="60"/>
      </w:pPr>
    </w:p>
    <w:p>
      <w:pPr>
        <w:pStyle w:val="10"/>
        <w:spacing w:before="41" w:line="364" w:lineRule="auto"/>
        <w:ind w:right="6110" w:firstLine="480" w:firstLineChars="200"/>
      </w:pPr>
      <w:r>
        <w:t>附件 4－1</w:t>
      </w:r>
    </w:p>
    <w:p>
      <w:pPr>
        <w:pStyle w:val="10"/>
      </w:pPr>
    </w:p>
    <w:p>
      <w:pPr>
        <w:pStyle w:val="10"/>
        <w:spacing w:before="162"/>
        <w:ind w:left="3525" w:right="3046"/>
        <w:jc w:val="center"/>
        <w:rPr>
          <w:b/>
          <w:bCs/>
        </w:rPr>
      </w:pPr>
      <w:r>
        <w:rPr>
          <w:b/>
          <w:bCs/>
        </w:rPr>
        <w:t>商务条款偏离表</w:t>
      </w:r>
    </w:p>
    <w:p>
      <w:pPr>
        <w:pStyle w:val="10"/>
        <w:tabs>
          <w:tab w:val="left" w:pos="7181"/>
        </w:tabs>
        <w:spacing w:before="160"/>
        <w:ind w:firstLine="480" w:firstLineChars="200"/>
        <w:rPr>
          <w:lang w:val="en-US"/>
        </w:rPr>
      </w:pPr>
      <w:r>
        <w:t>项目名称：</w:t>
      </w:r>
      <w:r>
        <w:rPr>
          <w:rFonts w:hint="eastAsia"/>
          <w:lang w:val="en-US"/>
        </w:rPr>
        <w:t xml:space="preserve">                                          </w:t>
      </w:r>
    </w:p>
    <w:p>
      <w:pPr>
        <w:pStyle w:val="10"/>
        <w:tabs>
          <w:tab w:val="left" w:pos="7181"/>
        </w:tabs>
        <w:spacing w:before="160"/>
        <w:ind w:firstLine="480" w:firstLineChars="200"/>
      </w:pPr>
      <w:r>
        <w:t>项目编号：</w:t>
      </w:r>
      <w:r>
        <w:rPr>
          <w:rFonts w:hint="eastAsia"/>
          <w:lang w:val="en-US"/>
        </w:rPr>
        <w:t xml:space="preserve">                   标项号及标项名称</w:t>
      </w:r>
      <w:r>
        <w:t>：</w:t>
      </w:r>
      <w:r>
        <w:rPr>
          <w:rFonts w:hint="eastAsia"/>
          <w:lang w:val="en-US"/>
        </w:rPr>
        <w:t xml:space="preserve">  </w:t>
      </w:r>
    </w:p>
    <w:p>
      <w:pPr>
        <w:pStyle w:val="10"/>
        <w:spacing w:before="4"/>
        <w:rPr>
          <w:sz w:val="6"/>
        </w:rPr>
      </w:pPr>
    </w:p>
    <w:tbl>
      <w:tblPr>
        <w:tblStyle w:val="14"/>
        <w:tblW w:w="0" w:type="auto"/>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876"/>
        <w:gridCol w:w="1237"/>
        <w:gridCol w:w="2411"/>
        <w:gridCol w:w="853"/>
        <w:gridCol w:w="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80" w:type="dxa"/>
          </w:tcPr>
          <w:p>
            <w:pPr>
              <w:pStyle w:val="22"/>
              <w:spacing w:before="79"/>
              <w:ind w:left="299"/>
              <w:rPr>
                <w:sz w:val="24"/>
              </w:rPr>
            </w:pPr>
            <w:r>
              <w:rPr>
                <w:sz w:val="24"/>
              </w:rPr>
              <w:t>序号</w:t>
            </w:r>
          </w:p>
        </w:tc>
        <w:tc>
          <w:tcPr>
            <w:tcW w:w="2876" w:type="dxa"/>
          </w:tcPr>
          <w:p>
            <w:pPr>
              <w:pStyle w:val="22"/>
              <w:spacing w:before="79"/>
              <w:ind w:left="114"/>
              <w:rPr>
                <w:sz w:val="24"/>
              </w:rPr>
            </w:pPr>
            <w:r>
              <w:rPr>
                <w:sz w:val="24"/>
              </w:rPr>
              <w:t>单一来源采购文件条目号</w:t>
            </w:r>
          </w:p>
        </w:tc>
        <w:tc>
          <w:tcPr>
            <w:tcW w:w="1237" w:type="dxa"/>
          </w:tcPr>
          <w:p>
            <w:pPr>
              <w:pStyle w:val="22"/>
              <w:spacing w:before="79"/>
              <w:ind w:left="136"/>
              <w:rPr>
                <w:sz w:val="24"/>
              </w:rPr>
            </w:pPr>
            <w:r>
              <w:rPr>
                <w:sz w:val="24"/>
              </w:rPr>
              <w:t>商务条款</w:t>
            </w:r>
          </w:p>
        </w:tc>
        <w:tc>
          <w:tcPr>
            <w:tcW w:w="2411" w:type="dxa"/>
          </w:tcPr>
          <w:p>
            <w:pPr>
              <w:pStyle w:val="22"/>
              <w:spacing w:before="79"/>
              <w:ind w:left="123"/>
              <w:rPr>
                <w:sz w:val="24"/>
              </w:rPr>
            </w:pPr>
            <w:r>
              <w:rPr>
                <w:sz w:val="24"/>
              </w:rPr>
              <w:t>响应文件的商务条款</w:t>
            </w:r>
          </w:p>
        </w:tc>
        <w:tc>
          <w:tcPr>
            <w:tcW w:w="853" w:type="dxa"/>
          </w:tcPr>
          <w:p>
            <w:pPr>
              <w:pStyle w:val="22"/>
              <w:spacing w:before="79"/>
              <w:ind w:left="182"/>
              <w:rPr>
                <w:sz w:val="24"/>
              </w:rPr>
            </w:pPr>
            <w:r>
              <w:rPr>
                <w:sz w:val="24"/>
              </w:rPr>
              <w:t>偏离</w:t>
            </w:r>
          </w:p>
        </w:tc>
        <w:tc>
          <w:tcPr>
            <w:tcW w:w="879" w:type="dxa"/>
          </w:tcPr>
          <w:p>
            <w:pPr>
              <w:pStyle w:val="22"/>
              <w:spacing w:before="79"/>
              <w:ind w:left="193"/>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80" w:type="dxa"/>
          </w:tcPr>
          <w:p>
            <w:pPr>
              <w:pStyle w:val="22"/>
              <w:rPr>
                <w:rFonts w:ascii="Times New Roman"/>
              </w:rPr>
            </w:pPr>
          </w:p>
        </w:tc>
        <w:tc>
          <w:tcPr>
            <w:tcW w:w="2876" w:type="dxa"/>
          </w:tcPr>
          <w:p>
            <w:pPr>
              <w:pStyle w:val="22"/>
              <w:rPr>
                <w:rFonts w:ascii="Times New Roman"/>
              </w:rPr>
            </w:pPr>
          </w:p>
        </w:tc>
        <w:tc>
          <w:tcPr>
            <w:tcW w:w="1237" w:type="dxa"/>
          </w:tcPr>
          <w:p>
            <w:pPr>
              <w:pStyle w:val="22"/>
              <w:rPr>
                <w:rFonts w:ascii="Times New Roman"/>
              </w:rPr>
            </w:pPr>
          </w:p>
        </w:tc>
        <w:tc>
          <w:tcPr>
            <w:tcW w:w="2411" w:type="dxa"/>
          </w:tcPr>
          <w:p>
            <w:pPr>
              <w:pStyle w:val="22"/>
              <w:rPr>
                <w:rFonts w:ascii="Times New Roman"/>
              </w:rPr>
            </w:pPr>
          </w:p>
        </w:tc>
        <w:tc>
          <w:tcPr>
            <w:tcW w:w="853" w:type="dxa"/>
          </w:tcPr>
          <w:p>
            <w:pPr>
              <w:pStyle w:val="22"/>
              <w:rPr>
                <w:rFonts w:ascii="Times New Roman"/>
              </w:rPr>
            </w:pPr>
          </w:p>
        </w:tc>
        <w:tc>
          <w:tcPr>
            <w:tcW w:w="879"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080" w:type="dxa"/>
          </w:tcPr>
          <w:p>
            <w:pPr>
              <w:pStyle w:val="22"/>
              <w:rPr>
                <w:rFonts w:ascii="Times New Roman"/>
              </w:rPr>
            </w:pPr>
          </w:p>
        </w:tc>
        <w:tc>
          <w:tcPr>
            <w:tcW w:w="2876" w:type="dxa"/>
          </w:tcPr>
          <w:p>
            <w:pPr>
              <w:pStyle w:val="22"/>
              <w:rPr>
                <w:rFonts w:ascii="Times New Roman"/>
              </w:rPr>
            </w:pPr>
          </w:p>
        </w:tc>
        <w:tc>
          <w:tcPr>
            <w:tcW w:w="1237" w:type="dxa"/>
          </w:tcPr>
          <w:p>
            <w:pPr>
              <w:pStyle w:val="22"/>
              <w:rPr>
                <w:rFonts w:ascii="Times New Roman"/>
              </w:rPr>
            </w:pPr>
          </w:p>
        </w:tc>
        <w:tc>
          <w:tcPr>
            <w:tcW w:w="2411" w:type="dxa"/>
          </w:tcPr>
          <w:p>
            <w:pPr>
              <w:pStyle w:val="22"/>
              <w:rPr>
                <w:rFonts w:ascii="Times New Roman"/>
              </w:rPr>
            </w:pPr>
          </w:p>
        </w:tc>
        <w:tc>
          <w:tcPr>
            <w:tcW w:w="853" w:type="dxa"/>
          </w:tcPr>
          <w:p>
            <w:pPr>
              <w:pStyle w:val="22"/>
              <w:rPr>
                <w:rFonts w:ascii="Times New Roman"/>
              </w:rPr>
            </w:pPr>
          </w:p>
        </w:tc>
        <w:tc>
          <w:tcPr>
            <w:tcW w:w="879"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1080" w:type="dxa"/>
          </w:tcPr>
          <w:p>
            <w:pPr>
              <w:pStyle w:val="22"/>
              <w:rPr>
                <w:rFonts w:ascii="Times New Roman"/>
              </w:rPr>
            </w:pPr>
          </w:p>
        </w:tc>
        <w:tc>
          <w:tcPr>
            <w:tcW w:w="2876" w:type="dxa"/>
          </w:tcPr>
          <w:p>
            <w:pPr>
              <w:pStyle w:val="22"/>
              <w:rPr>
                <w:rFonts w:ascii="Times New Roman"/>
              </w:rPr>
            </w:pPr>
          </w:p>
        </w:tc>
        <w:tc>
          <w:tcPr>
            <w:tcW w:w="1237" w:type="dxa"/>
          </w:tcPr>
          <w:p>
            <w:pPr>
              <w:pStyle w:val="22"/>
              <w:rPr>
                <w:rFonts w:ascii="Times New Roman"/>
              </w:rPr>
            </w:pPr>
          </w:p>
        </w:tc>
        <w:tc>
          <w:tcPr>
            <w:tcW w:w="2411" w:type="dxa"/>
          </w:tcPr>
          <w:p>
            <w:pPr>
              <w:pStyle w:val="22"/>
              <w:rPr>
                <w:rFonts w:ascii="Times New Roman"/>
              </w:rPr>
            </w:pPr>
          </w:p>
        </w:tc>
        <w:tc>
          <w:tcPr>
            <w:tcW w:w="853" w:type="dxa"/>
          </w:tcPr>
          <w:p>
            <w:pPr>
              <w:pStyle w:val="22"/>
              <w:rPr>
                <w:rFonts w:ascii="Times New Roman"/>
              </w:rPr>
            </w:pPr>
          </w:p>
        </w:tc>
        <w:tc>
          <w:tcPr>
            <w:tcW w:w="879"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80" w:type="dxa"/>
          </w:tcPr>
          <w:p>
            <w:pPr>
              <w:pStyle w:val="22"/>
              <w:rPr>
                <w:rFonts w:ascii="Times New Roman"/>
              </w:rPr>
            </w:pPr>
          </w:p>
        </w:tc>
        <w:tc>
          <w:tcPr>
            <w:tcW w:w="2876" w:type="dxa"/>
          </w:tcPr>
          <w:p>
            <w:pPr>
              <w:pStyle w:val="22"/>
              <w:rPr>
                <w:rFonts w:ascii="Times New Roman"/>
              </w:rPr>
            </w:pPr>
          </w:p>
        </w:tc>
        <w:tc>
          <w:tcPr>
            <w:tcW w:w="1237" w:type="dxa"/>
          </w:tcPr>
          <w:p>
            <w:pPr>
              <w:pStyle w:val="22"/>
              <w:rPr>
                <w:rFonts w:ascii="Times New Roman"/>
              </w:rPr>
            </w:pPr>
          </w:p>
        </w:tc>
        <w:tc>
          <w:tcPr>
            <w:tcW w:w="2411" w:type="dxa"/>
          </w:tcPr>
          <w:p>
            <w:pPr>
              <w:pStyle w:val="22"/>
              <w:rPr>
                <w:rFonts w:ascii="Times New Roman"/>
              </w:rPr>
            </w:pPr>
          </w:p>
        </w:tc>
        <w:tc>
          <w:tcPr>
            <w:tcW w:w="853" w:type="dxa"/>
          </w:tcPr>
          <w:p>
            <w:pPr>
              <w:pStyle w:val="22"/>
              <w:rPr>
                <w:rFonts w:ascii="Times New Roman"/>
              </w:rPr>
            </w:pPr>
          </w:p>
        </w:tc>
        <w:tc>
          <w:tcPr>
            <w:tcW w:w="879"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80" w:type="dxa"/>
          </w:tcPr>
          <w:p>
            <w:pPr>
              <w:pStyle w:val="22"/>
              <w:rPr>
                <w:rFonts w:ascii="Times New Roman"/>
              </w:rPr>
            </w:pPr>
          </w:p>
        </w:tc>
        <w:tc>
          <w:tcPr>
            <w:tcW w:w="2876" w:type="dxa"/>
          </w:tcPr>
          <w:p>
            <w:pPr>
              <w:pStyle w:val="22"/>
              <w:rPr>
                <w:rFonts w:ascii="Times New Roman"/>
              </w:rPr>
            </w:pPr>
          </w:p>
        </w:tc>
        <w:tc>
          <w:tcPr>
            <w:tcW w:w="1237" w:type="dxa"/>
          </w:tcPr>
          <w:p>
            <w:pPr>
              <w:pStyle w:val="22"/>
              <w:rPr>
                <w:rFonts w:ascii="Times New Roman"/>
              </w:rPr>
            </w:pPr>
          </w:p>
        </w:tc>
        <w:tc>
          <w:tcPr>
            <w:tcW w:w="2411" w:type="dxa"/>
          </w:tcPr>
          <w:p>
            <w:pPr>
              <w:pStyle w:val="22"/>
              <w:rPr>
                <w:rFonts w:ascii="Times New Roman"/>
              </w:rPr>
            </w:pPr>
          </w:p>
        </w:tc>
        <w:tc>
          <w:tcPr>
            <w:tcW w:w="853" w:type="dxa"/>
          </w:tcPr>
          <w:p>
            <w:pPr>
              <w:pStyle w:val="22"/>
              <w:rPr>
                <w:rFonts w:ascii="Times New Roman"/>
              </w:rPr>
            </w:pPr>
          </w:p>
        </w:tc>
        <w:tc>
          <w:tcPr>
            <w:tcW w:w="879" w:type="dxa"/>
          </w:tcPr>
          <w:p>
            <w:pPr>
              <w:pStyle w:val="22"/>
              <w:rPr>
                <w:rFonts w:ascii="Times New Roman"/>
              </w:rPr>
            </w:pPr>
          </w:p>
        </w:tc>
      </w:tr>
    </w:tbl>
    <w:p>
      <w:pPr>
        <w:pStyle w:val="10"/>
        <w:spacing w:before="80"/>
        <w:ind w:left="1360"/>
      </w:pPr>
      <w:r>
        <w:t>说明：如有偏离，则必须注明“偏离”；未注明偏离的，视为完全响应。</w:t>
      </w:r>
    </w:p>
    <w:p>
      <w:pPr>
        <w:pStyle w:val="10"/>
      </w:pPr>
    </w:p>
    <w:p>
      <w:pPr>
        <w:pStyle w:val="10"/>
        <w:rPr>
          <w:sz w:val="25"/>
        </w:rPr>
      </w:pPr>
    </w:p>
    <w:p>
      <w:pPr>
        <w:pStyle w:val="10"/>
        <w:tabs>
          <w:tab w:val="left" w:pos="6455"/>
        </w:tabs>
        <w:ind w:left="136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10"/>
        <w:tabs>
          <w:tab w:val="left" w:pos="2800"/>
          <w:tab w:val="left" w:pos="3520"/>
          <w:tab w:val="left" w:pos="4240"/>
          <w:tab w:val="left" w:pos="8376"/>
        </w:tabs>
        <w:spacing w:before="161" w:line="364" w:lineRule="auto"/>
        <w:ind w:left="1360" w:right="1688"/>
      </w:pPr>
      <w:r>
        <w:t>法定代表人或授权代表(签字或盖章)：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line="364" w:lineRule="auto"/>
        <w:sectPr>
          <w:pgSz w:w="11910" w:h="16840"/>
          <w:pgMar w:top="1460" w:right="920" w:bottom="1160" w:left="920" w:header="0" w:footer="974" w:gutter="0"/>
          <w:cols w:space="720" w:num="1"/>
        </w:sectPr>
      </w:pPr>
    </w:p>
    <w:p>
      <w:pPr>
        <w:pStyle w:val="10"/>
        <w:tabs>
          <w:tab w:val="left" w:pos="2560"/>
        </w:tabs>
        <w:spacing w:before="41"/>
        <w:ind w:left="1300"/>
      </w:pPr>
      <w:r>
        <w:t>附件</w:t>
      </w:r>
      <w:r>
        <w:rPr>
          <w:spacing w:val="-60"/>
        </w:rPr>
        <w:t xml:space="preserve"> </w:t>
      </w:r>
      <w:r>
        <w:t>4－2</w:t>
      </w:r>
      <w:r>
        <w:tab/>
      </w:r>
      <w:r>
        <w:t>供应商相关优势情况说明</w:t>
      </w:r>
    </w:p>
    <w:p>
      <w:pPr>
        <w:pStyle w:val="10"/>
        <w:spacing w:before="160"/>
        <w:ind w:left="1360"/>
      </w:pPr>
      <w:r>
        <w:t>(示例略)</w:t>
      </w:r>
    </w:p>
    <w:p>
      <w:pPr>
        <w:pStyle w:val="10"/>
      </w:pPr>
    </w:p>
    <w:p>
      <w:pPr>
        <w:pStyle w:val="10"/>
        <w:spacing w:before="1"/>
        <w:rPr>
          <w:sz w:val="25"/>
        </w:rPr>
      </w:pPr>
    </w:p>
    <w:p>
      <w:pPr>
        <w:pStyle w:val="10"/>
        <w:tabs>
          <w:tab w:val="left" w:pos="2620"/>
        </w:tabs>
        <w:ind w:left="1360"/>
      </w:pPr>
      <w:r>
        <w:t>附件</w:t>
      </w:r>
      <w:r>
        <w:rPr>
          <w:spacing w:val="-60"/>
        </w:rPr>
        <w:t xml:space="preserve"> </w:t>
      </w:r>
      <w:r>
        <w:t>4－3</w:t>
      </w:r>
      <w:r>
        <w:tab/>
      </w:r>
      <w:r>
        <w:t>供应商认为需提供的其他资料</w:t>
      </w:r>
    </w:p>
    <w:p>
      <w:pPr>
        <w:pStyle w:val="10"/>
        <w:spacing w:before="160"/>
        <w:ind w:left="1360"/>
      </w:pPr>
      <w:r>
        <w:t>(示例略)</w:t>
      </w:r>
    </w:p>
    <w:p>
      <w:pPr>
        <w:pStyle w:val="13"/>
        <w:ind w:firstLine="180"/>
        <w:sectPr>
          <w:pgSz w:w="11910" w:h="16840"/>
          <w:pgMar w:top="1460" w:right="920" w:bottom="1160" w:left="920" w:header="0" w:footer="974" w:gutter="0"/>
          <w:cols w:space="720" w:num="1"/>
        </w:sectPr>
      </w:pPr>
    </w:p>
    <w:p>
      <w:pPr>
        <w:pStyle w:val="5"/>
        <w:ind w:left="882" w:hanging="882" w:hangingChars="366"/>
        <w:jc w:val="center"/>
        <w:rPr>
          <w:spacing w:val="-17"/>
        </w:rPr>
      </w:pPr>
      <w:r>
        <w:t>技术部</w:t>
      </w:r>
      <w:r>
        <w:rPr>
          <w:spacing w:val="-17"/>
        </w:rPr>
        <w:t>分</w:t>
      </w:r>
      <w:r>
        <w:rPr>
          <w:rFonts w:hint="eastAsia"/>
          <w:spacing w:val="-17"/>
        </w:rPr>
        <w:t>格式</w:t>
      </w:r>
    </w:p>
    <w:p>
      <w:pPr>
        <w:pStyle w:val="10"/>
        <w:tabs>
          <w:tab w:val="left" w:pos="5364"/>
        </w:tabs>
        <w:spacing w:before="41" w:line="364" w:lineRule="auto"/>
        <w:ind w:left="1360" w:right="3739" w:hanging="40"/>
      </w:pPr>
    </w:p>
    <w:p>
      <w:pPr>
        <w:pStyle w:val="6"/>
        <w:ind w:firstLine="663" w:firstLineChars="275"/>
      </w:pPr>
      <w:r>
        <w:t>一、拟投入</w:t>
      </w:r>
      <w:r>
        <w:rPr>
          <w:rFonts w:hint="eastAsia"/>
          <w:lang w:val="en-US"/>
        </w:rPr>
        <w:t>货物</w:t>
      </w:r>
      <w:r>
        <w:t>一览表、实施方案及技术方案</w:t>
      </w:r>
    </w:p>
    <w:p>
      <w:pPr>
        <w:pStyle w:val="10"/>
      </w:pPr>
    </w:p>
    <w:p>
      <w:pPr>
        <w:pStyle w:val="10"/>
        <w:spacing w:before="162"/>
        <w:ind w:left="3525" w:right="3046"/>
        <w:jc w:val="center"/>
        <w:rPr>
          <w:b/>
          <w:bCs/>
        </w:rPr>
      </w:pPr>
      <w:r>
        <w:rPr>
          <w:b/>
          <w:bCs/>
        </w:rPr>
        <w:t>拟投入</w:t>
      </w:r>
      <w:r>
        <w:rPr>
          <w:rFonts w:hint="eastAsia"/>
          <w:b/>
          <w:bCs/>
          <w:lang w:val="en-US"/>
        </w:rPr>
        <w:t>货物</w:t>
      </w:r>
      <w:r>
        <w:rPr>
          <w:b/>
          <w:bCs/>
        </w:rPr>
        <w:t>一览表</w:t>
      </w:r>
    </w:p>
    <w:p>
      <w:pPr>
        <w:pStyle w:val="10"/>
        <w:tabs>
          <w:tab w:val="left" w:pos="6337"/>
        </w:tabs>
        <w:spacing w:before="160"/>
        <w:ind w:left="335" w:firstLine="720" w:firstLineChars="300"/>
        <w:jc w:val="both"/>
      </w:pPr>
      <w:r>
        <w:t>项目名称：</w:t>
      </w:r>
      <w:r>
        <w:tab/>
      </w:r>
    </w:p>
    <w:p>
      <w:pPr>
        <w:pStyle w:val="10"/>
        <w:tabs>
          <w:tab w:val="left" w:pos="6337"/>
        </w:tabs>
        <w:spacing w:before="160"/>
        <w:ind w:left="335" w:firstLine="720" w:firstLineChars="300"/>
        <w:jc w:val="both"/>
        <w:rPr>
          <w:lang w:val="en-US"/>
        </w:rPr>
      </w:pPr>
      <w:r>
        <w:t>项目编号：</w:t>
      </w:r>
      <w:r>
        <w:rPr>
          <w:rFonts w:hint="eastAsia"/>
          <w:lang w:val="en-US"/>
        </w:rPr>
        <w:t xml:space="preserve">             标项号及标项名称</w:t>
      </w:r>
      <w:r>
        <w:t>：</w:t>
      </w:r>
      <w:r>
        <w:rPr>
          <w:rFonts w:hint="eastAsia"/>
          <w:lang w:val="en-US"/>
        </w:rPr>
        <w:t xml:space="preserve">  </w:t>
      </w:r>
    </w:p>
    <w:p>
      <w:pPr>
        <w:pStyle w:val="10"/>
        <w:spacing w:before="4"/>
        <w:rPr>
          <w:sz w:val="6"/>
        </w:rPr>
      </w:pPr>
    </w:p>
    <w:tbl>
      <w:tblPr>
        <w:tblStyle w:val="14"/>
        <w:tblW w:w="0" w:type="auto"/>
        <w:tblInd w:w="4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1419"/>
        <w:gridCol w:w="1560"/>
        <w:gridCol w:w="1275"/>
        <w:gridCol w:w="2979"/>
        <w:gridCol w:w="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58" w:type="dxa"/>
          </w:tcPr>
          <w:p>
            <w:pPr>
              <w:pStyle w:val="22"/>
              <w:spacing w:before="79"/>
              <w:ind w:left="237"/>
              <w:rPr>
                <w:sz w:val="24"/>
              </w:rPr>
            </w:pPr>
            <w:r>
              <w:rPr>
                <w:sz w:val="24"/>
              </w:rPr>
              <w:t>序号</w:t>
            </w:r>
          </w:p>
        </w:tc>
        <w:tc>
          <w:tcPr>
            <w:tcW w:w="1419" w:type="dxa"/>
          </w:tcPr>
          <w:p>
            <w:pPr>
              <w:pStyle w:val="22"/>
              <w:spacing w:before="79"/>
              <w:ind w:left="227"/>
              <w:rPr>
                <w:sz w:val="24"/>
              </w:rPr>
            </w:pPr>
            <w:r>
              <w:rPr>
                <w:sz w:val="24"/>
              </w:rPr>
              <w:t>货物名称</w:t>
            </w:r>
          </w:p>
        </w:tc>
        <w:tc>
          <w:tcPr>
            <w:tcW w:w="1560" w:type="dxa"/>
          </w:tcPr>
          <w:p>
            <w:pPr>
              <w:pStyle w:val="22"/>
              <w:spacing w:before="79"/>
              <w:ind w:left="179"/>
              <w:rPr>
                <w:sz w:val="24"/>
              </w:rPr>
            </w:pPr>
            <w:r>
              <w:rPr>
                <w:sz w:val="24"/>
              </w:rPr>
              <w:t>制造商名称</w:t>
            </w:r>
          </w:p>
        </w:tc>
        <w:tc>
          <w:tcPr>
            <w:tcW w:w="1275" w:type="dxa"/>
          </w:tcPr>
          <w:p>
            <w:pPr>
              <w:pStyle w:val="22"/>
              <w:spacing w:before="79"/>
              <w:ind w:left="157"/>
              <w:rPr>
                <w:sz w:val="24"/>
              </w:rPr>
            </w:pPr>
            <w:r>
              <w:rPr>
                <w:sz w:val="24"/>
              </w:rPr>
              <w:t>型号规格</w:t>
            </w:r>
          </w:p>
        </w:tc>
        <w:tc>
          <w:tcPr>
            <w:tcW w:w="2979" w:type="dxa"/>
          </w:tcPr>
          <w:p>
            <w:pPr>
              <w:pStyle w:val="22"/>
              <w:spacing w:before="79"/>
              <w:ind w:left="167"/>
              <w:rPr>
                <w:sz w:val="24"/>
              </w:rPr>
            </w:pPr>
            <w:r>
              <w:rPr>
                <w:sz w:val="24"/>
              </w:rPr>
              <w:t>主要技术参数和技术指标</w:t>
            </w:r>
          </w:p>
        </w:tc>
        <w:tc>
          <w:tcPr>
            <w:tcW w:w="898" w:type="dxa"/>
          </w:tcPr>
          <w:p>
            <w:pPr>
              <w:pStyle w:val="22"/>
              <w:spacing w:before="79"/>
              <w:ind w:left="207"/>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58" w:type="dxa"/>
          </w:tcPr>
          <w:p>
            <w:pPr>
              <w:pStyle w:val="22"/>
              <w:rPr>
                <w:rFonts w:ascii="Times New Roman"/>
              </w:rPr>
            </w:pPr>
          </w:p>
        </w:tc>
        <w:tc>
          <w:tcPr>
            <w:tcW w:w="1419" w:type="dxa"/>
          </w:tcPr>
          <w:p>
            <w:pPr>
              <w:pStyle w:val="22"/>
              <w:rPr>
                <w:rFonts w:ascii="Times New Roman"/>
              </w:rPr>
            </w:pPr>
          </w:p>
        </w:tc>
        <w:tc>
          <w:tcPr>
            <w:tcW w:w="1560" w:type="dxa"/>
          </w:tcPr>
          <w:p>
            <w:pPr>
              <w:pStyle w:val="22"/>
              <w:rPr>
                <w:rFonts w:ascii="Times New Roman"/>
              </w:rPr>
            </w:pPr>
          </w:p>
        </w:tc>
        <w:tc>
          <w:tcPr>
            <w:tcW w:w="1275" w:type="dxa"/>
          </w:tcPr>
          <w:p>
            <w:pPr>
              <w:pStyle w:val="22"/>
              <w:rPr>
                <w:rFonts w:ascii="Times New Roman"/>
              </w:rPr>
            </w:pPr>
          </w:p>
        </w:tc>
        <w:tc>
          <w:tcPr>
            <w:tcW w:w="2979" w:type="dxa"/>
          </w:tcPr>
          <w:p>
            <w:pPr>
              <w:pStyle w:val="22"/>
              <w:rPr>
                <w:rFonts w:ascii="Times New Roman"/>
              </w:rPr>
            </w:pPr>
          </w:p>
        </w:tc>
        <w:tc>
          <w:tcPr>
            <w:tcW w:w="898"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58" w:type="dxa"/>
          </w:tcPr>
          <w:p>
            <w:pPr>
              <w:pStyle w:val="22"/>
              <w:rPr>
                <w:rFonts w:ascii="Times New Roman"/>
              </w:rPr>
            </w:pPr>
          </w:p>
        </w:tc>
        <w:tc>
          <w:tcPr>
            <w:tcW w:w="1419" w:type="dxa"/>
          </w:tcPr>
          <w:p>
            <w:pPr>
              <w:pStyle w:val="22"/>
              <w:rPr>
                <w:rFonts w:ascii="Times New Roman"/>
              </w:rPr>
            </w:pPr>
          </w:p>
        </w:tc>
        <w:tc>
          <w:tcPr>
            <w:tcW w:w="1560" w:type="dxa"/>
          </w:tcPr>
          <w:p>
            <w:pPr>
              <w:pStyle w:val="22"/>
              <w:rPr>
                <w:rFonts w:ascii="Times New Roman"/>
              </w:rPr>
            </w:pPr>
          </w:p>
        </w:tc>
        <w:tc>
          <w:tcPr>
            <w:tcW w:w="1275" w:type="dxa"/>
          </w:tcPr>
          <w:p>
            <w:pPr>
              <w:pStyle w:val="22"/>
              <w:rPr>
                <w:rFonts w:ascii="Times New Roman"/>
              </w:rPr>
            </w:pPr>
          </w:p>
        </w:tc>
        <w:tc>
          <w:tcPr>
            <w:tcW w:w="2979" w:type="dxa"/>
          </w:tcPr>
          <w:p>
            <w:pPr>
              <w:pStyle w:val="22"/>
              <w:rPr>
                <w:rFonts w:ascii="Times New Roman"/>
              </w:rPr>
            </w:pPr>
          </w:p>
        </w:tc>
        <w:tc>
          <w:tcPr>
            <w:tcW w:w="898"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58" w:type="dxa"/>
          </w:tcPr>
          <w:p>
            <w:pPr>
              <w:pStyle w:val="22"/>
              <w:rPr>
                <w:rFonts w:ascii="Times New Roman"/>
              </w:rPr>
            </w:pPr>
          </w:p>
        </w:tc>
        <w:tc>
          <w:tcPr>
            <w:tcW w:w="1419" w:type="dxa"/>
          </w:tcPr>
          <w:p>
            <w:pPr>
              <w:pStyle w:val="22"/>
              <w:rPr>
                <w:rFonts w:ascii="Times New Roman"/>
              </w:rPr>
            </w:pPr>
          </w:p>
        </w:tc>
        <w:tc>
          <w:tcPr>
            <w:tcW w:w="1560" w:type="dxa"/>
          </w:tcPr>
          <w:p>
            <w:pPr>
              <w:pStyle w:val="22"/>
              <w:rPr>
                <w:rFonts w:ascii="Times New Roman"/>
              </w:rPr>
            </w:pPr>
          </w:p>
        </w:tc>
        <w:tc>
          <w:tcPr>
            <w:tcW w:w="1275" w:type="dxa"/>
          </w:tcPr>
          <w:p>
            <w:pPr>
              <w:pStyle w:val="22"/>
              <w:rPr>
                <w:rFonts w:ascii="Times New Roman"/>
              </w:rPr>
            </w:pPr>
          </w:p>
        </w:tc>
        <w:tc>
          <w:tcPr>
            <w:tcW w:w="2979" w:type="dxa"/>
          </w:tcPr>
          <w:p>
            <w:pPr>
              <w:pStyle w:val="22"/>
              <w:rPr>
                <w:rFonts w:ascii="Times New Roman"/>
              </w:rPr>
            </w:pPr>
          </w:p>
        </w:tc>
        <w:tc>
          <w:tcPr>
            <w:tcW w:w="898"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58" w:type="dxa"/>
          </w:tcPr>
          <w:p>
            <w:pPr>
              <w:pStyle w:val="22"/>
              <w:rPr>
                <w:rFonts w:ascii="Times New Roman"/>
              </w:rPr>
            </w:pPr>
          </w:p>
        </w:tc>
        <w:tc>
          <w:tcPr>
            <w:tcW w:w="1419" w:type="dxa"/>
          </w:tcPr>
          <w:p>
            <w:pPr>
              <w:pStyle w:val="22"/>
              <w:rPr>
                <w:rFonts w:ascii="Times New Roman"/>
              </w:rPr>
            </w:pPr>
          </w:p>
        </w:tc>
        <w:tc>
          <w:tcPr>
            <w:tcW w:w="1560" w:type="dxa"/>
          </w:tcPr>
          <w:p>
            <w:pPr>
              <w:pStyle w:val="22"/>
              <w:rPr>
                <w:rFonts w:ascii="Times New Roman"/>
              </w:rPr>
            </w:pPr>
          </w:p>
        </w:tc>
        <w:tc>
          <w:tcPr>
            <w:tcW w:w="1275" w:type="dxa"/>
          </w:tcPr>
          <w:p>
            <w:pPr>
              <w:pStyle w:val="22"/>
              <w:rPr>
                <w:rFonts w:ascii="Times New Roman"/>
              </w:rPr>
            </w:pPr>
          </w:p>
        </w:tc>
        <w:tc>
          <w:tcPr>
            <w:tcW w:w="2979" w:type="dxa"/>
          </w:tcPr>
          <w:p>
            <w:pPr>
              <w:pStyle w:val="22"/>
              <w:rPr>
                <w:rFonts w:ascii="Times New Roman"/>
              </w:rPr>
            </w:pPr>
          </w:p>
        </w:tc>
        <w:tc>
          <w:tcPr>
            <w:tcW w:w="898" w:type="dxa"/>
          </w:tcPr>
          <w:p>
            <w:pPr>
              <w:pStyle w:val="22"/>
              <w:rPr>
                <w:rFonts w:ascii="Times New Roman"/>
              </w:rPr>
            </w:pPr>
          </w:p>
        </w:tc>
      </w:tr>
    </w:tbl>
    <w:p>
      <w:pPr>
        <w:pStyle w:val="10"/>
        <w:spacing w:before="80"/>
        <w:ind w:left="1360"/>
      </w:pPr>
      <w:r>
        <w:t>备注：货物的主要技术参数和技术指标可另页描述。</w:t>
      </w:r>
    </w:p>
    <w:p>
      <w:pPr>
        <w:pStyle w:val="10"/>
      </w:pPr>
    </w:p>
    <w:p>
      <w:pPr>
        <w:pStyle w:val="10"/>
        <w:rPr>
          <w:sz w:val="25"/>
        </w:rPr>
      </w:pPr>
    </w:p>
    <w:p>
      <w:pPr>
        <w:pStyle w:val="10"/>
        <w:tabs>
          <w:tab w:val="left" w:pos="5015"/>
        </w:tabs>
        <w:ind w:left="136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10"/>
        <w:tabs>
          <w:tab w:val="left" w:pos="2800"/>
          <w:tab w:val="left" w:pos="3520"/>
          <w:tab w:val="left" w:pos="4240"/>
          <w:tab w:val="left" w:pos="7176"/>
        </w:tabs>
        <w:spacing w:before="161" w:line="364" w:lineRule="auto"/>
        <w:ind w:left="1360" w:right="288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7"/>
        <w:rPr>
          <w:sz w:val="17"/>
        </w:rPr>
      </w:pPr>
    </w:p>
    <w:p>
      <w:pPr>
        <w:pStyle w:val="10"/>
        <w:spacing w:before="67"/>
        <w:ind w:left="3524" w:right="3524"/>
        <w:jc w:val="center"/>
      </w:pPr>
      <w:r>
        <w:t>实施方案</w:t>
      </w:r>
    </w:p>
    <w:p>
      <w:pPr>
        <w:pStyle w:val="10"/>
        <w:spacing w:before="161"/>
        <w:ind w:left="1360"/>
      </w:pPr>
      <w:r>
        <w:t>(示例略)</w:t>
      </w:r>
    </w:p>
    <w:p>
      <w:pPr>
        <w:pStyle w:val="10"/>
        <w:rPr>
          <w:sz w:val="20"/>
        </w:rPr>
      </w:pPr>
    </w:p>
    <w:p>
      <w:pPr>
        <w:pStyle w:val="10"/>
        <w:spacing w:before="11"/>
        <w:rPr>
          <w:sz w:val="23"/>
        </w:rPr>
      </w:pPr>
    </w:p>
    <w:p>
      <w:pPr>
        <w:pStyle w:val="10"/>
        <w:spacing w:before="66"/>
        <w:ind w:left="3382" w:right="3524"/>
        <w:jc w:val="center"/>
      </w:pPr>
      <w:r>
        <w:t>技术方案</w:t>
      </w:r>
    </w:p>
    <w:p>
      <w:pPr>
        <w:pStyle w:val="10"/>
        <w:spacing w:before="161"/>
        <w:ind w:left="1360"/>
      </w:pPr>
      <w:r>
        <w:t>(示例略)</w:t>
      </w:r>
    </w:p>
    <w:p>
      <w:pPr>
        <w:sectPr>
          <w:pgSz w:w="11910" w:h="16840"/>
          <w:pgMar w:top="1460" w:right="920" w:bottom="1160" w:left="920" w:header="0" w:footer="974" w:gutter="0"/>
          <w:cols w:space="720" w:num="1"/>
        </w:sectPr>
      </w:pPr>
    </w:p>
    <w:p>
      <w:pPr>
        <w:pStyle w:val="6"/>
        <w:ind w:firstLine="663" w:firstLineChars="275"/>
      </w:pPr>
      <w:r>
        <w:t>二、技术响应与偏离表</w:t>
      </w:r>
    </w:p>
    <w:p>
      <w:pPr>
        <w:pStyle w:val="10"/>
      </w:pPr>
    </w:p>
    <w:p>
      <w:pPr>
        <w:pStyle w:val="10"/>
        <w:rPr>
          <w:sz w:val="25"/>
        </w:rPr>
      </w:pPr>
    </w:p>
    <w:p>
      <w:pPr>
        <w:pStyle w:val="10"/>
        <w:spacing w:before="1"/>
        <w:ind w:left="3525" w:right="3046"/>
        <w:jc w:val="center"/>
        <w:rPr>
          <w:b/>
          <w:bCs/>
        </w:rPr>
      </w:pPr>
      <w:r>
        <w:rPr>
          <w:b/>
          <w:bCs/>
        </w:rPr>
        <w:t>技术响应与偏离表</w:t>
      </w:r>
    </w:p>
    <w:p>
      <w:pPr>
        <w:pStyle w:val="10"/>
        <w:tabs>
          <w:tab w:val="left" w:pos="6337"/>
        </w:tabs>
        <w:spacing w:before="160"/>
        <w:ind w:left="335" w:firstLine="720" w:firstLineChars="300"/>
        <w:jc w:val="both"/>
      </w:pPr>
      <w:r>
        <w:t>项目名称：</w:t>
      </w:r>
      <w:r>
        <w:tab/>
      </w:r>
    </w:p>
    <w:p>
      <w:pPr>
        <w:pStyle w:val="10"/>
        <w:tabs>
          <w:tab w:val="left" w:pos="6337"/>
        </w:tabs>
        <w:spacing w:before="160"/>
        <w:ind w:left="335" w:firstLine="720" w:firstLineChars="300"/>
        <w:jc w:val="both"/>
        <w:rPr>
          <w:b/>
          <w:bCs/>
          <w:lang w:val="en-US"/>
        </w:rPr>
      </w:pPr>
      <w:r>
        <w:t>项目编号：</w:t>
      </w:r>
      <w:r>
        <w:rPr>
          <w:rFonts w:hint="eastAsia"/>
          <w:lang w:val="en-US"/>
        </w:rPr>
        <w:t xml:space="preserve">       </w:t>
      </w:r>
      <w:r>
        <w:rPr>
          <w:rFonts w:hint="eastAsia"/>
          <w:lang w:val="en-US" w:eastAsia="zh-CN"/>
        </w:rPr>
        <w:t xml:space="preserve">   </w:t>
      </w:r>
      <w:r>
        <w:rPr>
          <w:rFonts w:hint="eastAsia"/>
          <w:lang w:val="en-US"/>
        </w:rPr>
        <w:t xml:space="preserve">  标项号及标项名称</w:t>
      </w:r>
      <w:r>
        <w:t>：</w:t>
      </w:r>
      <w:r>
        <w:rPr>
          <w:rFonts w:hint="eastAsia"/>
          <w:lang w:val="en-US"/>
        </w:rPr>
        <w:t xml:space="preserve">  </w:t>
      </w:r>
    </w:p>
    <w:p>
      <w:pPr>
        <w:pStyle w:val="10"/>
        <w:spacing w:before="4"/>
        <w:rPr>
          <w:sz w:val="6"/>
        </w:rPr>
      </w:pPr>
    </w:p>
    <w:tbl>
      <w:tblPr>
        <w:tblStyle w:val="14"/>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7"/>
        <w:gridCol w:w="1419"/>
        <w:gridCol w:w="1986"/>
        <w:gridCol w:w="1844"/>
        <w:gridCol w:w="1275"/>
        <w:gridCol w:w="1418"/>
        <w:gridCol w:w="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47" w:type="dxa"/>
          </w:tcPr>
          <w:p>
            <w:pPr>
              <w:pStyle w:val="22"/>
              <w:spacing w:before="79"/>
              <w:ind w:left="403"/>
              <w:rPr>
                <w:sz w:val="24"/>
              </w:rPr>
            </w:pPr>
            <w:r>
              <w:rPr>
                <w:sz w:val="24"/>
              </w:rPr>
              <w:t>序号</w:t>
            </w:r>
          </w:p>
        </w:tc>
        <w:tc>
          <w:tcPr>
            <w:tcW w:w="1419" w:type="dxa"/>
          </w:tcPr>
          <w:p>
            <w:pPr>
              <w:pStyle w:val="22"/>
              <w:spacing w:before="79"/>
              <w:ind w:left="227"/>
              <w:rPr>
                <w:sz w:val="24"/>
              </w:rPr>
            </w:pPr>
            <w:r>
              <w:rPr>
                <w:sz w:val="24"/>
              </w:rPr>
              <w:t>货物名称</w:t>
            </w:r>
          </w:p>
        </w:tc>
        <w:tc>
          <w:tcPr>
            <w:tcW w:w="1986" w:type="dxa"/>
          </w:tcPr>
          <w:p>
            <w:pPr>
              <w:pStyle w:val="22"/>
              <w:spacing w:before="79"/>
              <w:ind w:left="150"/>
              <w:rPr>
                <w:sz w:val="24"/>
              </w:rPr>
            </w:pPr>
            <w:r>
              <w:rPr>
                <w:sz w:val="24"/>
              </w:rPr>
              <w:t>采购需求条款号</w:t>
            </w:r>
          </w:p>
        </w:tc>
        <w:tc>
          <w:tcPr>
            <w:tcW w:w="1844" w:type="dxa"/>
          </w:tcPr>
          <w:p>
            <w:pPr>
              <w:pStyle w:val="22"/>
              <w:spacing w:before="79"/>
              <w:ind w:left="199"/>
              <w:rPr>
                <w:sz w:val="24"/>
              </w:rPr>
            </w:pPr>
            <w:r>
              <w:rPr>
                <w:sz w:val="24"/>
              </w:rPr>
              <w:t>采购规格条款</w:t>
            </w:r>
          </w:p>
        </w:tc>
        <w:tc>
          <w:tcPr>
            <w:tcW w:w="1275" w:type="dxa"/>
          </w:tcPr>
          <w:p>
            <w:pPr>
              <w:pStyle w:val="22"/>
              <w:spacing w:before="79"/>
              <w:ind w:left="153"/>
              <w:rPr>
                <w:sz w:val="24"/>
              </w:rPr>
            </w:pPr>
            <w:r>
              <w:rPr>
                <w:sz w:val="24"/>
              </w:rPr>
              <w:t>响应规格</w:t>
            </w:r>
          </w:p>
        </w:tc>
        <w:tc>
          <w:tcPr>
            <w:tcW w:w="1418" w:type="dxa"/>
          </w:tcPr>
          <w:p>
            <w:pPr>
              <w:pStyle w:val="22"/>
              <w:spacing w:before="79"/>
              <w:ind w:left="105"/>
              <w:rPr>
                <w:sz w:val="24"/>
              </w:rPr>
            </w:pPr>
            <w:r>
              <w:rPr>
                <w:sz w:val="24"/>
              </w:rPr>
              <w:t>响应与偏离</w:t>
            </w:r>
          </w:p>
        </w:tc>
        <w:tc>
          <w:tcPr>
            <w:tcW w:w="845" w:type="dxa"/>
          </w:tcPr>
          <w:p>
            <w:pPr>
              <w:pStyle w:val="22"/>
              <w:spacing w:before="79"/>
              <w:ind w:left="180"/>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47" w:type="dxa"/>
          </w:tcPr>
          <w:p>
            <w:pPr>
              <w:pStyle w:val="22"/>
              <w:rPr>
                <w:rFonts w:ascii="Times New Roman"/>
              </w:rPr>
            </w:pPr>
          </w:p>
        </w:tc>
        <w:tc>
          <w:tcPr>
            <w:tcW w:w="1419" w:type="dxa"/>
          </w:tcPr>
          <w:p>
            <w:pPr>
              <w:pStyle w:val="22"/>
              <w:rPr>
                <w:rFonts w:ascii="Times New Roman"/>
              </w:rPr>
            </w:pPr>
          </w:p>
        </w:tc>
        <w:tc>
          <w:tcPr>
            <w:tcW w:w="1986" w:type="dxa"/>
          </w:tcPr>
          <w:p>
            <w:pPr>
              <w:pStyle w:val="22"/>
              <w:rPr>
                <w:rFonts w:ascii="Times New Roman"/>
              </w:rPr>
            </w:pPr>
          </w:p>
        </w:tc>
        <w:tc>
          <w:tcPr>
            <w:tcW w:w="1844" w:type="dxa"/>
          </w:tcPr>
          <w:p>
            <w:pPr>
              <w:pStyle w:val="22"/>
              <w:rPr>
                <w:rFonts w:ascii="Times New Roman"/>
              </w:rPr>
            </w:pPr>
          </w:p>
        </w:tc>
        <w:tc>
          <w:tcPr>
            <w:tcW w:w="1275" w:type="dxa"/>
          </w:tcPr>
          <w:p>
            <w:pPr>
              <w:pStyle w:val="22"/>
              <w:rPr>
                <w:rFonts w:ascii="Times New Roman"/>
              </w:rPr>
            </w:pPr>
          </w:p>
        </w:tc>
        <w:tc>
          <w:tcPr>
            <w:tcW w:w="1418" w:type="dxa"/>
          </w:tcPr>
          <w:p>
            <w:pPr>
              <w:pStyle w:val="22"/>
              <w:rPr>
                <w:rFonts w:ascii="Times New Roman"/>
              </w:rPr>
            </w:pPr>
          </w:p>
        </w:tc>
        <w:tc>
          <w:tcPr>
            <w:tcW w:w="845"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47" w:type="dxa"/>
          </w:tcPr>
          <w:p>
            <w:pPr>
              <w:pStyle w:val="22"/>
              <w:rPr>
                <w:rFonts w:ascii="Times New Roman"/>
              </w:rPr>
            </w:pPr>
          </w:p>
        </w:tc>
        <w:tc>
          <w:tcPr>
            <w:tcW w:w="1419" w:type="dxa"/>
          </w:tcPr>
          <w:p>
            <w:pPr>
              <w:pStyle w:val="22"/>
              <w:rPr>
                <w:rFonts w:ascii="Times New Roman"/>
              </w:rPr>
            </w:pPr>
          </w:p>
        </w:tc>
        <w:tc>
          <w:tcPr>
            <w:tcW w:w="1986" w:type="dxa"/>
          </w:tcPr>
          <w:p>
            <w:pPr>
              <w:pStyle w:val="22"/>
              <w:rPr>
                <w:rFonts w:ascii="Times New Roman"/>
              </w:rPr>
            </w:pPr>
          </w:p>
        </w:tc>
        <w:tc>
          <w:tcPr>
            <w:tcW w:w="1844" w:type="dxa"/>
          </w:tcPr>
          <w:p>
            <w:pPr>
              <w:pStyle w:val="22"/>
              <w:rPr>
                <w:rFonts w:ascii="Times New Roman"/>
              </w:rPr>
            </w:pPr>
          </w:p>
        </w:tc>
        <w:tc>
          <w:tcPr>
            <w:tcW w:w="1275" w:type="dxa"/>
          </w:tcPr>
          <w:p>
            <w:pPr>
              <w:pStyle w:val="22"/>
              <w:rPr>
                <w:rFonts w:ascii="Times New Roman"/>
              </w:rPr>
            </w:pPr>
          </w:p>
        </w:tc>
        <w:tc>
          <w:tcPr>
            <w:tcW w:w="1418" w:type="dxa"/>
          </w:tcPr>
          <w:p>
            <w:pPr>
              <w:pStyle w:val="22"/>
              <w:rPr>
                <w:rFonts w:ascii="Times New Roman"/>
              </w:rPr>
            </w:pPr>
          </w:p>
        </w:tc>
        <w:tc>
          <w:tcPr>
            <w:tcW w:w="845"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47" w:type="dxa"/>
          </w:tcPr>
          <w:p>
            <w:pPr>
              <w:pStyle w:val="22"/>
              <w:rPr>
                <w:rFonts w:ascii="Times New Roman"/>
              </w:rPr>
            </w:pPr>
          </w:p>
        </w:tc>
        <w:tc>
          <w:tcPr>
            <w:tcW w:w="1419" w:type="dxa"/>
          </w:tcPr>
          <w:p>
            <w:pPr>
              <w:pStyle w:val="22"/>
              <w:rPr>
                <w:rFonts w:ascii="Times New Roman"/>
              </w:rPr>
            </w:pPr>
          </w:p>
        </w:tc>
        <w:tc>
          <w:tcPr>
            <w:tcW w:w="1986" w:type="dxa"/>
          </w:tcPr>
          <w:p>
            <w:pPr>
              <w:pStyle w:val="22"/>
              <w:rPr>
                <w:rFonts w:ascii="Times New Roman"/>
              </w:rPr>
            </w:pPr>
          </w:p>
        </w:tc>
        <w:tc>
          <w:tcPr>
            <w:tcW w:w="1844" w:type="dxa"/>
          </w:tcPr>
          <w:p>
            <w:pPr>
              <w:pStyle w:val="22"/>
              <w:rPr>
                <w:rFonts w:ascii="Times New Roman"/>
              </w:rPr>
            </w:pPr>
          </w:p>
        </w:tc>
        <w:tc>
          <w:tcPr>
            <w:tcW w:w="1275" w:type="dxa"/>
          </w:tcPr>
          <w:p>
            <w:pPr>
              <w:pStyle w:val="22"/>
              <w:rPr>
                <w:rFonts w:ascii="Times New Roman"/>
              </w:rPr>
            </w:pPr>
          </w:p>
        </w:tc>
        <w:tc>
          <w:tcPr>
            <w:tcW w:w="1418" w:type="dxa"/>
          </w:tcPr>
          <w:p>
            <w:pPr>
              <w:pStyle w:val="22"/>
              <w:rPr>
                <w:rFonts w:ascii="Times New Roman"/>
              </w:rPr>
            </w:pPr>
          </w:p>
        </w:tc>
        <w:tc>
          <w:tcPr>
            <w:tcW w:w="845"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47" w:type="dxa"/>
          </w:tcPr>
          <w:p>
            <w:pPr>
              <w:pStyle w:val="22"/>
              <w:rPr>
                <w:rFonts w:ascii="Times New Roman"/>
              </w:rPr>
            </w:pPr>
          </w:p>
        </w:tc>
        <w:tc>
          <w:tcPr>
            <w:tcW w:w="1419" w:type="dxa"/>
          </w:tcPr>
          <w:p>
            <w:pPr>
              <w:pStyle w:val="22"/>
              <w:rPr>
                <w:rFonts w:ascii="Times New Roman"/>
              </w:rPr>
            </w:pPr>
          </w:p>
        </w:tc>
        <w:tc>
          <w:tcPr>
            <w:tcW w:w="1986" w:type="dxa"/>
          </w:tcPr>
          <w:p>
            <w:pPr>
              <w:pStyle w:val="22"/>
              <w:rPr>
                <w:rFonts w:ascii="Times New Roman"/>
              </w:rPr>
            </w:pPr>
          </w:p>
        </w:tc>
        <w:tc>
          <w:tcPr>
            <w:tcW w:w="1844" w:type="dxa"/>
          </w:tcPr>
          <w:p>
            <w:pPr>
              <w:pStyle w:val="22"/>
              <w:rPr>
                <w:rFonts w:ascii="Times New Roman"/>
              </w:rPr>
            </w:pPr>
          </w:p>
        </w:tc>
        <w:tc>
          <w:tcPr>
            <w:tcW w:w="1275" w:type="dxa"/>
          </w:tcPr>
          <w:p>
            <w:pPr>
              <w:pStyle w:val="22"/>
              <w:rPr>
                <w:rFonts w:ascii="Times New Roman"/>
              </w:rPr>
            </w:pPr>
          </w:p>
        </w:tc>
        <w:tc>
          <w:tcPr>
            <w:tcW w:w="1418" w:type="dxa"/>
          </w:tcPr>
          <w:p>
            <w:pPr>
              <w:pStyle w:val="22"/>
              <w:rPr>
                <w:rFonts w:ascii="Times New Roman"/>
              </w:rPr>
            </w:pPr>
          </w:p>
        </w:tc>
        <w:tc>
          <w:tcPr>
            <w:tcW w:w="845"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47" w:type="dxa"/>
          </w:tcPr>
          <w:p>
            <w:pPr>
              <w:pStyle w:val="22"/>
              <w:rPr>
                <w:rFonts w:ascii="Times New Roman"/>
              </w:rPr>
            </w:pPr>
          </w:p>
        </w:tc>
        <w:tc>
          <w:tcPr>
            <w:tcW w:w="1419" w:type="dxa"/>
          </w:tcPr>
          <w:p>
            <w:pPr>
              <w:pStyle w:val="22"/>
              <w:rPr>
                <w:rFonts w:ascii="Times New Roman"/>
              </w:rPr>
            </w:pPr>
          </w:p>
        </w:tc>
        <w:tc>
          <w:tcPr>
            <w:tcW w:w="1986" w:type="dxa"/>
          </w:tcPr>
          <w:p>
            <w:pPr>
              <w:pStyle w:val="22"/>
              <w:rPr>
                <w:rFonts w:ascii="Times New Roman"/>
              </w:rPr>
            </w:pPr>
          </w:p>
        </w:tc>
        <w:tc>
          <w:tcPr>
            <w:tcW w:w="1844" w:type="dxa"/>
          </w:tcPr>
          <w:p>
            <w:pPr>
              <w:pStyle w:val="22"/>
              <w:rPr>
                <w:rFonts w:ascii="Times New Roman"/>
              </w:rPr>
            </w:pPr>
          </w:p>
        </w:tc>
        <w:tc>
          <w:tcPr>
            <w:tcW w:w="1275" w:type="dxa"/>
          </w:tcPr>
          <w:p>
            <w:pPr>
              <w:pStyle w:val="22"/>
              <w:rPr>
                <w:rFonts w:ascii="Times New Roman"/>
              </w:rPr>
            </w:pPr>
          </w:p>
        </w:tc>
        <w:tc>
          <w:tcPr>
            <w:tcW w:w="1418" w:type="dxa"/>
          </w:tcPr>
          <w:p>
            <w:pPr>
              <w:pStyle w:val="22"/>
              <w:rPr>
                <w:rFonts w:ascii="Times New Roman"/>
              </w:rPr>
            </w:pPr>
          </w:p>
        </w:tc>
        <w:tc>
          <w:tcPr>
            <w:tcW w:w="845" w:type="dxa"/>
          </w:tcPr>
          <w:p>
            <w:pPr>
              <w:pStyle w:val="22"/>
              <w:rPr>
                <w:rFonts w:ascii="Times New Roman"/>
              </w:rPr>
            </w:pPr>
          </w:p>
        </w:tc>
      </w:tr>
    </w:tbl>
    <w:p>
      <w:pPr>
        <w:pStyle w:val="10"/>
        <w:spacing w:before="80"/>
        <w:ind w:left="1360"/>
      </w:pPr>
      <w:r>
        <w:t>说明：在偏离项必须注明正偏离、负偏离或无偏离。</w:t>
      </w:r>
    </w:p>
    <w:p>
      <w:pPr>
        <w:pStyle w:val="10"/>
      </w:pPr>
    </w:p>
    <w:p>
      <w:pPr>
        <w:pStyle w:val="10"/>
        <w:rPr>
          <w:sz w:val="25"/>
        </w:rPr>
      </w:pPr>
    </w:p>
    <w:p>
      <w:pPr>
        <w:pStyle w:val="10"/>
        <w:tabs>
          <w:tab w:val="left" w:pos="6455"/>
        </w:tabs>
        <w:ind w:left="136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pPr>
        <w:pStyle w:val="10"/>
        <w:tabs>
          <w:tab w:val="left" w:pos="2800"/>
          <w:tab w:val="left" w:pos="3520"/>
          <w:tab w:val="left" w:pos="4240"/>
          <w:tab w:val="left" w:pos="8376"/>
        </w:tabs>
        <w:spacing w:before="161" w:line="364" w:lineRule="auto"/>
        <w:ind w:left="1360" w:right="1688"/>
      </w:pPr>
      <w:r>
        <w:t>法定代表人或授权代表(签字或盖章)：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0"/>
        <w:rPr>
          <w:sz w:val="26"/>
        </w:rPr>
      </w:pPr>
    </w:p>
    <w:p>
      <w:pPr>
        <w:pStyle w:val="10"/>
        <w:rPr>
          <w:sz w:val="26"/>
        </w:rPr>
      </w:pPr>
    </w:p>
    <w:p>
      <w:pPr>
        <w:pStyle w:val="10"/>
        <w:spacing w:before="2"/>
        <w:rPr>
          <w:sz w:val="21"/>
        </w:rPr>
      </w:pPr>
    </w:p>
    <w:p>
      <w:pPr>
        <w:pStyle w:val="6"/>
        <w:ind w:firstLine="663" w:firstLineChars="275"/>
      </w:pPr>
      <w:r>
        <w:t>三、供应商认为需提供的其他资料</w:t>
      </w:r>
    </w:p>
    <w:p>
      <w:pPr>
        <w:pStyle w:val="10"/>
        <w:spacing w:before="161"/>
        <w:ind w:left="1360"/>
      </w:pPr>
      <w:r>
        <w:t>(示例略)</w:t>
      </w:r>
    </w:p>
    <w:p>
      <w:pPr>
        <w:sectPr>
          <w:pgSz w:w="11910" w:h="16840"/>
          <w:pgMar w:top="1460" w:right="920" w:bottom="1160" w:left="920" w:header="0" w:footer="974" w:gutter="0"/>
          <w:cols w:space="720" w:num="1"/>
        </w:sectPr>
      </w:pPr>
    </w:p>
    <w:p>
      <w:pPr>
        <w:pStyle w:val="3"/>
        <w:ind w:left="922" w:hanging="922" w:hangingChars="306"/>
        <w:rPr>
          <w:lang w:val="en-US"/>
        </w:rPr>
      </w:pPr>
      <w:r>
        <w:rPr>
          <w:rFonts w:hint="eastAsia"/>
        </w:rPr>
        <w:t>第二部分</w:t>
      </w:r>
      <w:r>
        <w:rPr>
          <w:rFonts w:hint="eastAsia"/>
          <w:lang w:val="en-US"/>
        </w:rPr>
        <w:t xml:space="preserve">  技术部分</w:t>
      </w:r>
    </w:p>
    <w:p/>
    <w:p>
      <w:pPr>
        <w:pStyle w:val="4"/>
        <w:numPr>
          <w:ilvl w:val="0"/>
          <w:numId w:val="1"/>
        </w:numPr>
        <w:ind w:left="1400" w:leftChars="0" w:firstLine="0" w:firstLineChars="0"/>
      </w:pPr>
      <w:r>
        <w:rPr>
          <w:rFonts w:hint="eastAsia"/>
          <w:lang w:val="en-US"/>
        </w:rPr>
        <w:t xml:space="preserve"> </w:t>
      </w:r>
      <w:r>
        <w:t>项目采购需求</w:t>
      </w:r>
    </w:p>
    <w:p>
      <w:pPr>
        <w:numPr>
          <w:ilvl w:val="0"/>
          <w:numId w:val="11"/>
        </w:numPr>
        <w:rPr>
          <w:rFonts w:hint="eastAsia"/>
          <w:b/>
          <w:bCs/>
          <w:sz w:val="24"/>
          <w:szCs w:val="24"/>
        </w:rPr>
      </w:pPr>
      <w:r>
        <w:rPr>
          <w:rFonts w:hint="eastAsia"/>
          <w:b/>
          <w:bCs/>
          <w:sz w:val="24"/>
          <w:szCs w:val="24"/>
        </w:rPr>
        <w:t>项目规格与详细参数</w:t>
      </w:r>
    </w:p>
    <w:p>
      <w:pPr>
        <w:pStyle w:val="13"/>
        <w:ind w:left="0" w:leftChars="0" w:firstLine="0" w:firstLineChars="0"/>
      </w:pPr>
    </w:p>
    <w:tbl>
      <w:tblPr>
        <w:tblStyle w:val="14"/>
        <w:tblpPr w:leftFromText="180" w:rightFromText="180" w:vertAnchor="text" w:horzAnchor="page" w:tblpX="697" w:tblpY="504"/>
        <w:tblOverlap w:val="never"/>
        <w:tblW w:w="48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
        <w:gridCol w:w="586"/>
        <w:gridCol w:w="879"/>
        <w:gridCol w:w="5159"/>
        <w:gridCol w:w="768"/>
        <w:gridCol w:w="1054"/>
        <w:gridCol w:w="446"/>
        <w:gridCol w:w="482"/>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标项号</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电子资源</w:t>
            </w:r>
          </w:p>
          <w:p>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名称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供应商</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电子资源类型与技术参数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服务方式</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订购需求</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数量</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预算金额（万元）</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质保期限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CNKI系列数据库</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同方知网数字出版技术股份有限公司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包括期刊、辑刊、博硕士学位论文、中国会议、国际会议、报纸、年鉴专辑版、工具书总库、标准全文中标、专利检索分析系统、学术图片、中国党建期刊、中国政报公报期刊文献总库、高等教育、 经济信息期刊、引文数据库、经济社会大数据研究平台，共计19个数据，其中学术期刊逾八千余种，总文献高达6040万篇；博士学位论文计划出版500000篇，硕士学位论文计划出版5300000篇。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订购 2023-1-1-2023-12-31  数据</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92.51</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万方数据知识服务云平台V2.0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北京万方数据股份有限公司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万方数据知识服务平台整合数亿条全球优质知识资源，集成期刊、学位、会议、科技报告、专利、标准、科技成果、法规、地方志、视频等十余种知识资源类型，覆盖自然科学、工程技术、医药卫生、农业科学、哲学政法、社会科学、科教文艺等全学科领域，实现海量学术文献统一发现及分析，支持多维度组合检索，适合不同用户群研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中国学位论文全文数据库：收录始于1980年，全文数量400余万篇，年增35余万篇，涵盖基础科学、理学、工业技术、人文科学、社会科学、医药卫生、农业科学交通运输、航空航天和环境科学等各学科领域，与国内900余所高校、科研院所合作，占研究生学位授予单位90%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中国学术期刊数据库：收录始于1998年，包含8200余种期刊，其中包含北京大学、中国科学技术信息研究所、中国科学院文献情报中心、南京大学、中国社会科学院历年收录的核心期刊3300余种，年增300万篇，每天更新，涵盖自然科学、工程技术、医药卫生、农业科学、哲学政法、社会科学、科教文艺等各个学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中国学术会议文献数据库：全文数量300多万篇，年增20多万篇。会议资源包括中文会议和外文会议，中文会议收录始于1982年，年收集约2000个重要学术会议，每月更新。外文会议主要来源于NSTL外文文献数据库，收录了1985年以来世界各主要学协会、出版机构出版的学术会议论文共计1100万篇全文（部分文献有少量回溯），每月更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2023-1-1-2023-12-31 数据</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ind w:left="0" w:leftChars="0" w:firstLine="0" w:firstLineChars="0"/>
              <w:jc w:val="center"/>
              <w:rPr>
                <w:rFonts w:hint="default"/>
                <w:lang w:val="en-US" w:eastAsia="zh-CN"/>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26</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读秀知识库</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北京世纪读秀技术有限公司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1.平台需满足书名、作者、主题词等基本字段搜索、章节名称搜索、正文搜索。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2.提供二次搜索、且提供布尔逻辑的高级搜索、专业搜索等功能。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3.平台需支持知识点搜索，用户可在不少于17.7亿页图书资料中通过搜索找到所需知识点并直接阅读，阅读中提供文字提取、查看来源等功能。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4.平台需涵盖知识点、图书类型，为读者提供海量信息资源多面搜索服务。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5.平台中至少包含680万种中文图书信息，涵盖中国图书馆分类法22个分类，每个分类细分到第三级子类。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6.平台需支持千余家单位馆藏的联合目录查询。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7.平台支持纸质图书和电子图书统一检索，平台支持按照馆藏纸书和电子图书进行筛选。且针对图书的检索结果可按照类型、年代、学科、作者进行筛选。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8.平台可以提供图书试读功能，可以对封面页、前言页、目次页、版权页、正文部分页等进行试读。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9.平台需提供通过Email的方式向读者进行文献资源的传递服务，可提供文献传递服务的图书总量不低于343万种。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10.对于本馆没有的图书，需支持荐购功能，有关图书信息不需手动填写，系统自动填充。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11.提供中外文词典翻译、同义词、相关词、共现词的提示。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12.需要能查询到图书的被引用情况。提供100年来中文图书被引用情况的分析，尤其可对每种中文图书是否有被引用及具体的被引用情况进行查询，从而作为评价中文图书学术影响力的重要指标和依据。</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2023-7-1-2024-6-30 数据</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百链</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北京世纪超星信息技术发展有限责任公司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bidi="zh-CN"/>
              </w:rPr>
            </w:pPr>
            <w:r>
              <w:rPr>
                <w:rFonts w:hint="eastAsia" w:ascii="仿宋" w:hAnsi="仿宋" w:eastAsia="仿宋" w:cs="仿宋"/>
                <w:i w:val="0"/>
                <w:iCs w:val="0"/>
                <w:color w:val="000000"/>
                <w:kern w:val="0"/>
                <w:sz w:val="20"/>
                <w:szCs w:val="20"/>
                <w:u w:val="none"/>
                <w:lang w:val="en-US" w:eastAsia="zh-CN" w:bidi="ar"/>
              </w:rPr>
              <w:t>百链拥有7.5亿条元数据包括文献有：外文期刊、外文学位论文、会议论文、专利、标准等.，并且数据数量还在不断增加中，百链可以通过368个中外文数据库中获取元数据，其中收录中文期刊10550万篇元数据，外文期刊26241万篇元数据。利用百链不仅可以从获取到图书馆所有的文献资料，包括纸本和电子资源，例如外文图书、期刊、论文，标准，专利和报纸等，还可以通过文献传递方式获取到图书馆中没有的文献资料。中文资源的文献传递满足率可以达到99%，外文资源的文献传递满足率可以达到99%。</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2023-7-1-2024-6-30 数据</w:t>
            </w:r>
          </w:p>
        </w:tc>
        <w:tc>
          <w:tcPr>
            <w:tcW w:w="22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w:t>
            </w:r>
          </w:p>
        </w:tc>
        <w:tc>
          <w:tcPr>
            <w:tcW w:w="11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21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91" w:type="pct"/>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国务院发展研究中心信息网数据库</w:t>
            </w:r>
          </w:p>
        </w:tc>
        <w:tc>
          <w:tcPr>
            <w:tcW w:w="437"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北京国研网信息股份有限公司</w:t>
            </w:r>
          </w:p>
        </w:tc>
        <w:tc>
          <w:tcPr>
            <w:tcW w:w="2570" w:type="pct"/>
            <w:tcBorders>
              <w:top w:val="single" w:color="auto" w:sz="4" w:space="0"/>
              <w:left w:val="single" w:color="000000" w:sz="4" w:space="0"/>
              <w:bottom w:val="single" w:color="auto" w:sz="4" w:space="0"/>
              <w:right w:val="nil"/>
            </w:tcBorders>
            <w:shd w:val="clear" w:color="auto" w:fill="auto"/>
            <w:vAlign w:val="center"/>
          </w:tcPr>
          <w:p>
            <w:pPr>
              <w:keepNext w:val="0"/>
              <w:keepLines w:val="0"/>
              <w:widowControl/>
              <w:numPr>
                <w:ilvl w:val="0"/>
                <w:numId w:val="12"/>
              </w:numPr>
              <w:suppressLineNumbers w:val="0"/>
              <w:jc w:val="left"/>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所提供的数据库获得信息网络传播权，保证所供数据库信息内容符合中华人民共和国相关法律，并保证所供信息不会引起知识产权纠纷等法律责任；</w:t>
            </w:r>
          </w:p>
          <w:p>
            <w:pPr>
              <w:keepNext w:val="0"/>
              <w:keepLines w:val="0"/>
              <w:widowControl/>
              <w:numPr>
                <w:ilvl w:val="0"/>
                <w:numId w:val="12"/>
              </w:numPr>
              <w:suppressLineNumbers w:val="0"/>
              <w:jc w:val="left"/>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内容须涉及国家宏观经济政策、中长期发展战略、区域经济政策、产业及技术经济发展动态、对外开放战略、企业改革与发展和农村改革等诸多经济热点问题；应收录国家级经济学专家的研究报告、国内外著名权威研究机构的各类研究成果；包含国务院发展研究中心调研报告；统计数据应全面地涵盖国内官方经济统计数据，收录从全国到地方的各类数据，统计数据应来源于权威机构；</w:t>
            </w:r>
          </w:p>
          <w:p>
            <w:pPr>
              <w:pStyle w:val="13"/>
              <w:numPr>
                <w:ilvl w:val="0"/>
                <w:numId w:val="12"/>
              </w:numPr>
              <w:ind w:left="0" w:leftChars="0" w:firstLine="0" w:firstLineChars="0"/>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内容包含有：《国研视点》、《宏观经济》《金融中国》、《行业经济》、《区域经济》、《世界经济与金融评论》、《发展规划报告》、《经济普查报告》、行业月报、行业季报、金融统计数据库、教育统计数据库、区域经济数据库、重点行业数据库、世界经济统计数据库等；</w:t>
            </w:r>
          </w:p>
          <w:p>
            <w:pPr>
              <w:pStyle w:val="13"/>
              <w:numPr>
                <w:ilvl w:val="0"/>
                <w:numId w:val="12"/>
              </w:numPr>
              <w:ind w:left="0" w:leftChars="0" w:firstLine="0" w:firstLineChars="0"/>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收录年限：1960年至今；更新频率：每日在线更新，全文数据年更新量须在10万篇以上，统计数据月更新量须在600M左右；</w:t>
            </w:r>
          </w:p>
          <w:p>
            <w:pPr>
              <w:pStyle w:val="13"/>
              <w:numPr>
                <w:ilvl w:val="0"/>
                <w:numId w:val="12"/>
              </w:numPr>
              <w:ind w:left="0" w:leftChars="0" w:firstLine="0" w:firstLineChars="0"/>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提供完备的检索功能，能进行多维立体查询；</w:t>
            </w:r>
          </w:p>
          <w:p>
            <w:pPr>
              <w:pStyle w:val="13"/>
              <w:numPr>
                <w:ilvl w:val="0"/>
                <w:numId w:val="12"/>
              </w:numPr>
              <w:ind w:left="0" w:leftChars="0" w:firstLine="0" w:firstLineChars="0"/>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提供包库使用方式；通过电话、EMAIL等方式进行的后续技术及内容需求服务，保证数据库的正常使用，及时解决使用过程中出现的问题。</w:t>
            </w:r>
          </w:p>
        </w:tc>
        <w:tc>
          <w:tcPr>
            <w:tcW w:w="382" w:type="pct"/>
            <w:tcBorders>
              <w:top w:val="single" w:color="auto" w:sz="4"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2023-6-16--2024-6-15 数据</w:t>
            </w:r>
          </w:p>
        </w:tc>
        <w:tc>
          <w:tcPr>
            <w:tcW w:w="222"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16.465</w:t>
            </w:r>
          </w:p>
        </w:tc>
        <w:tc>
          <w:tcPr>
            <w:tcW w:w="119"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21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91"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维普考试服务平台</w:t>
            </w:r>
          </w:p>
        </w:tc>
        <w:tc>
          <w:tcPr>
            <w:tcW w:w="43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重庆维普智图数据科技有限公司</w:t>
            </w:r>
          </w:p>
        </w:tc>
        <w:tc>
          <w:tcPr>
            <w:tcW w:w="257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《维普考试服务平台》是集各项职业资格与高校课程考试资源于一体，包含海量试题试卷，并提供试题试卷浏览及查询、多渠道考前练习的考试、学习辅助系统。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共有三个功能模块——职业资格、高教题库、移动应用。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职业资格模块包含公职考试、建筑工程、语言考试、金融财会、计算机类、医药卫生、研究生类、学历考试、执业资格、综合技能十大行业，超300个考试分类3000余门考试科目，共42万套试卷，其中真题试卷5.2万套，总试题量超过2200万道。提供在线模考、单题练习、章节练习、每日一练、专项训练、随机组卷等多途径考前练习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高教题库模块按教育部学科分类收录整理了哲学、经济学、法学、教育学、文学、历史学、理学、工学、农学、医学、管理学、艺术学十二个学科下数百门专业课的考试资源，包含4.5万套试卷，其中真题试卷1万套，总试题量186万余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移动应用模块提供了两种移动服务解决方案——“维普考试”和“维普掌上 题库”，前者通过APP应用提供服务，后者针对机构提供APP或微信公众号嵌入式服务。</w:t>
            </w:r>
          </w:p>
        </w:tc>
        <w:tc>
          <w:tcPr>
            <w:tcW w:w="38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2023-1-1--2023-12-31 数据</w:t>
            </w:r>
          </w:p>
        </w:tc>
        <w:tc>
          <w:tcPr>
            <w:tcW w:w="22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6.9</w:t>
            </w:r>
          </w:p>
        </w:tc>
        <w:tc>
          <w:tcPr>
            <w:tcW w:w="11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21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91"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维普中文期刊服务平台</w:t>
            </w:r>
          </w:p>
        </w:tc>
        <w:tc>
          <w:tcPr>
            <w:tcW w:w="43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重庆维普智图数据科技有限公司</w:t>
            </w:r>
          </w:p>
        </w:tc>
        <w:tc>
          <w:tcPr>
            <w:tcW w:w="257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期刊收录量：累计收录期刊15300余种，其中现刊现刊9300余种，独有期刊4300余种，收录年限从1989年开始（部分期刊可回溯到更早（1920年）或创刊年）。唯一完整标引多版本核心期刊（北大核心：1992版、1996版…2020版；CSSCI：1998版、1999版、2021-2022版；CSCD：2011-2012版、2013-2014版…2021-2022版）的中文期刊数据库产品，核心期刊收录最全：北大核心2020版1982种，CSSCI（2021-2022）802种，CSCD（2021-2022）1257种，收录率均达98%以上。文献总量：7300余万篇，全文率99.8%。学科范围：社会科学、经济管理、图书情报、教育科学、自然科学、医药卫生、农业科学、工程技术八大专辑，全学科覆盖。原文保障：提供多种渠道的原文保障服务，包括在线阅读、下载全文和OA链接、文献传递等。</w:t>
            </w:r>
          </w:p>
          <w:p>
            <w:pPr>
              <w:pStyle w:val="13"/>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产品价值：满足用户期刊文献检索及文献保障的需求。</w:t>
            </w:r>
          </w:p>
          <w:p>
            <w:pPr>
              <w:pStyle w:val="13"/>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服务模式：WEB版网络远程包库.、镜像站版、流量计费。</w:t>
            </w:r>
          </w:p>
        </w:tc>
        <w:tc>
          <w:tcPr>
            <w:tcW w:w="38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2023-1-1--2023-12-31 数据</w:t>
            </w:r>
          </w:p>
        </w:tc>
        <w:tc>
          <w:tcPr>
            <w:tcW w:w="22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13.8</w:t>
            </w:r>
          </w:p>
        </w:tc>
        <w:tc>
          <w:tcPr>
            <w:tcW w:w="11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超星电子图书数据库系统</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北京世纪超星信息技术发展有限责任公司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超星电子书目前已经数字化制作完成的中文电子图书超340万种，而且解决版权的书达到了140万种图书供用户选择，每年新增图书超过10万种，基本涵盖了当年出版的图书。1.数字图书资源涵盖科普、社科、历史、文学、传记、经济、政治、教育等类别，并提供适学生、老师阅读的专题分类方法，如学科文学艺术、科普百科、德育教育、政治法律、军事等等。这些资源可以持续更新，给每位读者提供及时的数字阅读资源服务。2.图书资源必须以PDG格式为主。3.对图书中的句段可以通过文本识别工具进行摘录使用，对图表、图片内容可通过图象剪贴进行使用；4.提供对数据库的书名、作者、分类、主题词等标准检索，同时实现数据库目录及全文检索； 5.图书数据必须满足网上访问速度快，采用边下载边显示及多线程下载等技术；6.兼容普通网页浏览器,满足直接连接到校园网主页,用户可以在校园网上利用IE浏览器进行阅读，同时，数字图书馆必须具备强大的网络传输功能，支持数字资源的异地访问和使用；7.支持平台双认证访问：支持IP范围内用户判断IP地址范围登录、支持IP范围外用户判断用户名和密码登录；</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2023-1-1--2023-12-31 数据</w:t>
            </w:r>
          </w:p>
        </w:tc>
        <w:tc>
          <w:tcPr>
            <w:tcW w:w="222" w:type="pct"/>
            <w:tcBorders>
              <w:top w:val="single" w:color="000000" w:sz="4" w:space="0"/>
              <w:left w:val="single" w:color="000000" w:sz="4" w:space="0"/>
              <w:right w:val="single" w:color="000000" w:sz="4" w:space="0"/>
            </w:tcBorders>
            <w:shd w:val="clear" w:color="auto" w:fill="auto"/>
            <w:vAlign w:val="center"/>
          </w:tcPr>
          <w:p>
            <w:pPr>
              <w:jc w:val="center"/>
              <w:rPr>
                <w:rFonts w:hint="eastAsia"/>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119" w:type="pct"/>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yellow"/>
                <w:u w:val="none"/>
              </w:rPr>
            </w:pPr>
            <w:r>
              <w:rPr>
                <w:rFonts w:hint="eastAsia" w:ascii="仿宋" w:hAnsi="仿宋" w:eastAsia="仿宋" w:cs="仿宋"/>
                <w:i w:val="0"/>
                <w:iCs w:val="0"/>
                <w:color w:val="000000"/>
                <w:kern w:val="0"/>
                <w:sz w:val="20"/>
                <w:szCs w:val="20"/>
                <w:highlight w:val="yellow"/>
                <w:u w:val="none"/>
                <w:lang w:val="en-US" w:eastAsia="zh-CN" w:bidi="ar"/>
              </w:rPr>
              <w:t>9</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yellow"/>
                <w:u w:val="none"/>
              </w:rPr>
            </w:pPr>
            <w:r>
              <w:rPr>
                <w:rFonts w:hint="eastAsia" w:ascii="仿宋" w:hAnsi="仿宋" w:eastAsia="仿宋" w:cs="仿宋"/>
                <w:i w:val="0"/>
                <w:iCs w:val="0"/>
                <w:color w:val="000000"/>
                <w:kern w:val="0"/>
                <w:sz w:val="20"/>
                <w:szCs w:val="20"/>
                <w:highlight w:val="yellow"/>
                <w:u w:val="none"/>
                <w:lang w:val="en-US" w:eastAsia="zh-CN" w:bidi="ar"/>
              </w:rPr>
              <w:t>新东方多媒体学习库</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yellow"/>
                <w:u w:val="none"/>
              </w:rPr>
            </w:pPr>
            <w:r>
              <w:rPr>
                <w:rFonts w:hint="eastAsia" w:ascii="仿宋" w:hAnsi="仿宋" w:eastAsia="仿宋" w:cs="仿宋"/>
                <w:i w:val="0"/>
                <w:iCs w:val="0"/>
                <w:color w:val="000000"/>
                <w:kern w:val="0"/>
                <w:sz w:val="20"/>
                <w:szCs w:val="20"/>
                <w:highlight w:val="yellow"/>
                <w:u w:val="none"/>
                <w:lang w:val="en-US" w:eastAsia="zh-CN" w:bidi="ar"/>
              </w:rPr>
              <w:t>西安品学网络科技有限公司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jc w:val="left"/>
              <w:textAlignment w:val="center"/>
              <w:rPr>
                <w:rFonts w:hint="eastAsia" w:ascii="仿宋" w:hAnsi="仿宋" w:eastAsia="仿宋" w:cs="仿宋"/>
                <w:sz w:val="20"/>
                <w:szCs w:val="20"/>
                <w:highlight w:val="yellow"/>
                <w:lang w:val="en-US" w:eastAsia="zh-CN"/>
              </w:rPr>
            </w:pPr>
            <w:r>
              <w:rPr>
                <w:rFonts w:hint="eastAsia" w:ascii="仿宋" w:hAnsi="仿宋" w:eastAsia="仿宋" w:cs="仿宋"/>
                <w:sz w:val="20"/>
                <w:szCs w:val="20"/>
                <w:highlight w:val="yellow"/>
                <w:lang w:val="en-US" w:eastAsia="zh-CN"/>
              </w:rPr>
              <w:t>数据库应包含分级词汇、语法、四级、六级、考研、雅思、托福、GRE、GMAT、德福、日语、韩语、德语、西班牙语、意大利语、法语、俄语、专硕、考博、专四、专八、PETS、BEC、口译初中高级、医护英语、信息素养课程供采购选择。</w:t>
            </w:r>
          </w:p>
          <w:p>
            <w:pPr>
              <w:pStyle w:val="13"/>
              <w:numPr>
                <w:ilvl w:val="0"/>
                <w:numId w:val="13"/>
              </w:numPr>
              <w:rPr>
                <w:rFonts w:hint="eastAsia" w:ascii="仿宋" w:hAnsi="仿宋" w:eastAsia="仿宋" w:cs="仿宋"/>
                <w:sz w:val="20"/>
                <w:szCs w:val="20"/>
                <w:highlight w:val="yellow"/>
                <w:lang w:val="en-US" w:eastAsia="zh-CN"/>
              </w:rPr>
            </w:pPr>
            <w:r>
              <w:rPr>
                <w:rFonts w:hint="eastAsia" w:ascii="仿宋" w:hAnsi="仿宋" w:eastAsia="仿宋" w:cs="仿宋"/>
                <w:i w:val="0"/>
                <w:iCs w:val="0"/>
                <w:color w:val="000000"/>
                <w:kern w:val="0"/>
                <w:sz w:val="20"/>
                <w:szCs w:val="20"/>
                <w:highlight w:val="yellow"/>
                <w:u w:val="none"/>
                <w:lang w:val="en-US" w:eastAsia="zh-CN" w:bidi="ar"/>
              </w:rPr>
              <w:t>课程内容为原创资源，拥有自主知识产权、著作权，新东方一线名师授课。</w:t>
            </w:r>
          </w:p>
          <w:p>
            <w:pPr>
              <w:pStyle w:val="13"/>
              <w:numPr>
                <w:ilvl w:val="0"/>
                <w:numId w:val="13"/>
              </w:numPr>
              <w:rPr>
                <w:rFonts w:hint="eastAsia" w:ascii="仿宋" w:hAnsi="仿宋" w:eastAsia="仿宋" w:cs="仿宋"/>
                <w:sz w:val="20"/>
                <w:szCs w:val="20"/>
                <w:highlight w:val="yellow"/>
                <w:lang w:val="en-US" w:eastAsia="zh-CN"/>
              </w:rPr>
            </w:pPr>
            <w:r>
              <w:rPr>
                <w:rFonts w:hint="eastAsia" w:ascii="仿宋" w:hAnsi="仿宋" w:eastAsia="仿宋" w:cs="仿宋"/>
                <w:i w:val="0"/>
                <w:iCs w:val="0"/>
                <w:color w:val="000000"/>
                <w:kern w:val="0"/>
                <w:sz w:val="20"/>
                <w:szCs w:val="20"/>
                <w:highlight w:val="yellow"/>
                <w:u w:val="none"/>
                <w:lang w:val="en-US" w:eastAsia="zh-CN" w:bidi="ar"/>
              </w:rPr>
              <w:t>视频内容使用MP4格式+Html5制作。 MP4课件类型，视频编码为AVC（H264），屏幕大小分辨率不低于640x360，比特率300KB/秒，每秒25帧，音频采样率44100赫兹，声道为双声道立体声，可以提供1080p高清视频，听课进度可自行调节。单个课件在2M左右, 支持远程播放，课件最终输出文件格式为Mp4流。</w:t>
            </w:r>
          </w:p>
          <w:p>
            <w:pPr>
              <w:pStyle w:val="13"/>
              <w:numPr>
                <w:ilvl w:val="0"/>
                <w:numId w:val="13"/>
              </w:numPr>
              <w:rPr>
                <w:rFonts w:hint="eastAsia" w:ascii="仿宋" w:hAnsi="仿宋" w:eastAsia="仿宋" w:cs="仿宋"/>
                <w:sz w:val="20"/>
                <w:szCs w:val="20"/>
                <w:highlight w:val="yellow"/>
                <w:lang w:val="en-US" w:eastAsia="zh-CN"/>
              </w:rPr>
            </w:pPr>
            <w:r>
              <w:rPr>
                <w:rFonts w:hint="eastAsia" w:ascii="仿宋" w:hAnsi="仿宋" w:eastAsia="仿宋" w:cs="仿宋"/>
                <w:i w:val="0"/>
                <w:iCs w:val="0"/>
                <w:color w:val="000000"/>
                <w:kern w:val="0"/>
                <w:sz w:val="20"/>
                <w:szCs w:val="20"/>
                <w:highlight w:val="yellow"/>
                <w:u w:val="none"/>
                <w:lang w:val="en-US" w:eastAsia="zh-CN" w:bidi="ar"/>
              </w:rPr>
              <w:t>课件符合QA标准：课件中的文字错误率，要求在3/10000字以下；课件中声音和文字完全匹配；</w:t>
            </w:r>
          </w:p>
          <w:p>
            <w:pPr>
              <w:pStyle w:val="13"/>
              <w:numPr>
                <w:ilvl w:val="0"/>
                <w:numId w:val="13"/>
              </w:numPr>
              <w:rPr>
                <w:rFonts w:hint="eastAsia" w:ascii="仿宋" w:hAnsi="仿宋" w:eastAsia="仿宋" w:cs="仿宋"/>
                <w:sz w:val="20"/>
                <w:szCs w:val="20"/>
                <w:highlight w:val="yellow"/>
                <w:lang w:val="en-US" w:eastAsia="zh-CN"/>
              </w:rPr>
            </w:pPr>
            <w:r>
              <w:rPr>
                <w:rFonts w:hint="eastAsia" w:ascii="仿宋" w:hAnsi="仿宋" w:eastAsia="仿宋" w:cs="仿宋"/>
                <w:i w:val="0"/>
                <w:iCs w:val="0"/>
                <w:color w:val="000000"/>
                <w:kern w:val="0"/>
                <w:sz w:val="20"/>
                <w:szCs w:val="20"/>
                <w:highlight w:val="yellow"/>
                <w:u w:val="none"/>
                <w:lang w:val="en-US" w:eastAsia="zh-CN" w:bidi="ar"/>
              </w:rPr>
              <w:t>课件的声音要求符合的标准为：+音频格式：MPEG1 Audio Layer-2+通道：立体声+音频比特率：384K 采样率：48000HZ</w:t>
            </w:r>
          </w:p>
          <w:p>
            <w:pPr>
              <w:pStyle w:val="13"/>
              <w:numPr>
                <w:ilvl w:val="0"/>
                <w:numId w:val="13"/>
              </w:numPr>
              <w:rPr>
                <w:rFonts w:hint="eastAsia" w:ascii="仿宋" w:hAnsi="仿宋" w:eastAsia="仿宋" w:cs="仿宋"/>
                <w:sz w:val="20"/>
                <w:szCs w:val="20"/>
                <w:highlight w:val="yellow"/>
                <w:lang w:val="en-US" w:eastAsia="zh-CN"/>
              </w:rPr>
            </w:pPr>
            <w:r>
              <w:rPr>
                <w:rFonts w:hint="eastAsia" w:ascii="仿宋" w:hAnsi="仿宋" w:eastAsia="仿宋" w:cs="仿宋"/>
                <w:i w:val="0"/>
                <w:iCs w:val="0"/>
                <w:color w:val="000000"/>
                <w:kern w:val="0"/>
                <w:sz w:val="20"/>
                <w:szCs w:val="20"/>
                <w:highlight w:val="yellow"/>
                <w:u w:val="none"/>
                <w:lang w:val="en-US" w:eastAsia="zh-CN" w:bidi="ar"/>
              </w:rPr>
              <w:t>课件的视频要求为：视频亮度对比度合适，不能出现逆光，光线过强或过暗；画面构图合理，比如不能出现如人物削掉头或削掉半边身体之类；画面稳定清晰，不能模糊，也不能画面抖动；课堂拍摄，画面紧跟随老师和焦点；无内容残缺和马赛克之类视频损伤。</w:t>
            </w:r>
          </w:p>
          <w:p>
            <w:pPr>
              <w:pStyle w:val="13"/>
              <w:numPr>
                <w:ilvl w:val="0"/>
                <w:numId w:val="13"/>
              </w:numPr>
              <w:rPr>
                <w:rFonts w:hint="eastAsia" w:ascii="仿宋" w:hAnsi="仿宋" w:eastAsia="仿宋" w:cs="仿宋"/>
                <w:sz w:val="20"/>
                <w:szCs w:val="20"/>
                <w:highlight w:val="yellow"/>
                <w:lang w:val="en-US" w:eastAsia="zh-CN"/>
              </w:rPr>
            </w:pPr>
            <w:r>
              <w:rPr>
                <w:rFonts w:hint="eastAsia" w:ascii="仿宋" w:hAnsi="仿宋" w:eastAsia="仿宋" w:cs="仿宋"/>
                <w:i w:val="0"/>
                <w:iCs w:val="0"/>
                <w:color w:val="000000"/>
                <w:kern w:val="0"/>
                <w:sz w:val="20"/>
                <w:szCs w:val="20"/>
                <w:highlight w:val="yellow"/>
                <w:u w:val="none"/>
                <w:lang w:val="en-US" w:eastAsia="zh-CN" w:bidi="ar"/>
              </w:rPr>
              <w:t>课件全部用多媒体音视频技术制作，且支持本地缓存播放,具有语音识别技术，清晰详细的版书，听课进度自行调节，保证每课时内容按照标准课时45分钟时间计算。</w:t>
            </w:r>
          </w:p>
          <w:p>
            <w:pPr>
              <w:pStyle w:val="13"/>
              <w:numPr>
                <w:ilvl w:val="0"/>
                <w:numId w:val="13"/>
              </w:numPr>
              <w:rPr>
                <w:rFonts w:hint="eastAsia" w:ascii="仿宋" w:hAnsi="仿宋" w:eastAsia="仿宋" w:cs="仿宋"/>
                <w:sz w:val="20"/>
                <w:szCs w:val="20"/>
                <w:highlight w:val="yellow"/>
                <w:lang w:val="en-US" w:eastAsia="zh-CN"/>
              </w:rPr>
            </w:pPr>
            <w:r>
              <w:rPr>
                <w:rFonts w:hint="eastAsia" w:ascii="仿宋" w:hAnsi="仿宋" w:eastAsia="仿宋" w:cs="仿宋"/>
                <w:i w:val="0"/>
                <w:iCs w:val="0"/>
                <w:color w:val="000000"/>
                <w:kern w:val="0"/>
                <w:sz w:val="20"/>
                <w:szCs w:val="20"/>
                <w:highlight w:val="yellow"/>
                <w:u w:val="none"/>
                <w:lang w:val="en-US" w:eastAsia="zh-CN" w:bidi="ar"/>
              </w:rPr>
              <w:t>提供免费教材下载、在线练习、模拟考试、直播课等功能并且提供远程访问，动态更新。</w:t>
            </w:r>
          </w:p>
          <w:p>
            <w:pPr>
              <w:pStyle w:val="13"/>
              <w:numPr>
                <w:ilvl w:val="0"/>
                <w:numId w:val="13"/>
              </w:numPr>
              <w:rPr>
                <w:rFonts w:hint="eastAsia" w:ascii="仿宋" w:hAnsi="仿宋" w:eastAsia="仿宋" w:cs="仿宋"/>
                <w:sz w:val="20"/>
                <w:szCs w:val="20"/>
                <w:highlight w:val="yellow"/>
                <w:lang w:val="en-US" w:eastAsia="zh-CN"/>
              </w:rPr>
            </w:pPr>
            <w:r>
              <w:rPr>
                <w:rFonts w:hint="eastAsia" w:ascii="仿宋" w:hAnsi="仿宋" w:eastAsia="仿宋" w:cs="仿宋"/>
                <w:i w:val="0"/>
                <w:iCs w:val="0"/>
                <w:color w:val="000000"/>
                <w:kern w:val="0"/>
                <w:sz w:val="20"/>
                <w:szCs w:val="20"/>
                <w:highlight w:val="yellow"/>
                <w:u w:val="none"/>
                <w:lang w:val="en-US" w:eastAsia="zh-CN" w:bidi="ar"/>
              </w:rPr>
              <w:t>供应商为采购人提供售后服务，热线咨询1小时内解决，电话咨询无法处理的2天内现场解决。</w:t>
            </w:r>
          </w:p>
          <w:p>
            <w:pPr>
              <w:pStyle w:val="13"/>
              <w:numPr>
                <w:ilvl w:val="0"/>
                <w:numId w:val="13"/>
              </w:numPr>
              <w:rPr>
                <w:rFonts w:hint="eastAsia" w:ascii="仿宋" w:hAnsi="仿宋" w:eastAsia="仿宋" w:cs="仿宋"/>
                <w:sz w:val="20"/>
                <w:szCs w:val="20"/>
                <w:highlight w:val="yellow"/>
                <w:lang w:val="en-US" w:eastAsia="zh-CN"/>
              </w:rPr>
            </w:pPr>
            <w:r>
              <w:rPr>
                <w:rFonts w:hint="eastAsia" w:ascii="仿宋" w:hAnsi="仿宋" w:eastAsia="仿宋" w:cs="仿宋"/>
                <w:i w:val="0"/>
                <w:iCs w:val="0"/>
                <w:color w:val="000000"/>
                <w:kern w:val="0"/>
                <w:sz w:val="20"/>
                <w:szCs w:val="20"/>
                <w:highlight w:val="yellow"/>
                <w:u w:val="none"/>
                <w:lang w:val="en-US" w:eastAsia="zh-CN" w:bidi="ar"/>
              </w:rPr>
              <w:t>供应商为采购人提供合同有效期内的软件免费升级服务。</w:t>
            </w:r>
          </w:p>
          <w:p>
            <w:pPr>
              <w:pStyle w:val="13"/>
              <w:numPr>
                <w:ilvl w:val="0"/>
                <w:numId w:val="13"/>
              </w:numPr>
              <w:rPr>
                <w:rFonts w:hint="eastAsia" w:ascii="仿宋" w:hAnsi="仿宋" w:eastAsia="仿宋" w:cs="仿宋"/>
                <w:sz w:val="20"/>
                <w:szCs w:val="20"/>
                <w:highlight w:val="yellow"/>
                <w:lang w:val="en-US" w:eastAsia="zh-CN"/>
              </w:rPr>
            </w:pPr>
            <w:r>
              <w:rPr>
                <w:rFonts w:hint="eastAsia" w:ascii="仿宋" w:hAnsi="仿宋" w:eastAsia="仿宋" w:cs="仿宋"/>
                <w:i w:val="0"/>
                <w:iCs w:val="0"/>
                <w:color w:val="000000"/>
                <w:kern w:val="0"/>
                <w:sz w:val="20"/>
                <w:szCs w:val="20"/>
                <w:highlight w:val="yellow"/>
                <w:u w:val="none"/>
                <w:lang w:val="en-US" w:eastAsia="zh-CN" w:bidi="ar"/>
              </w:rPr>
              <w:t>供应商须负责承担所供数据的知识产权和软件专利的所有权问题，若因此发生的一切纠纷，均与采购人无关。</w:t>
            </w:r>
          </w:p>
          <w:p>
            <w:pPr>
              <w:pStyle w:val="13"/>
              <w:numPr>
                <w:ilvl w:val="0"/>
                <w:numId w:val="13"/>
              </w:numPr>
              <w:rPr>
                <w:rFonts w:hint="eastAsia" w:ascii="仿宋" w:hAnsi="仿宋" w:eastAsia="仿宋" w:cs="仿宋"/>
                <w:sz w:val="20"/>
                <w:szCs w:val="20"/>
                <w:highlight w:val="yellow"/>
                <w:lang w:val="en-US" w:eastAsia="zh-CN"/>
              </w:rPr>
            </w:pPr>
            <w:r>
              <w:rPr>
                <w:rFonts w:hint="eastAsia" w:ascii="仿宋" w:hAnsi="仿宋" w:eastAsia="仿宋" w:cs="仿宋"/>
                <w:i w:val="0"/>
                <w:iCs w:val="0"/>
                <w:color w:val="000000"/>
                <w:kern w:val="0"/>
                <w:sz w:val="20"/>
                <w:szCs w:val="20"/>
                <w:highlight w:val="yellow"/>
                <w:u w:val="none"/>
                <w:lang w:val="en-US" w:eastAsia="zh-CN" w:bidi="ar"/>
              </w:rPr>
              <w:t>供应商为采购人提供免费的校内宣传及推广，免费提供数据库介绍，使用指导，课程说明，易拉宝等宣传物品。</w:t>
            </w:r>
          </w:p>
          <w:p>
            <w:pPr>
              <w:pStyle w:val="13"/>
              <w:numPr>
                <w:ilvl w:val="0"/>
                <w:numId w:val="0"/>
              </w:numPr>
              <w:rPr>
                <w:rFonts w:hint="eastAsia"/>
                <w:highlight w:val="yellow"/>
                <w:lang w:val="en-US" w:eastAsia="zh-CN"/>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yellow"/>
                <w:u w:val="none"/>
              </w:rPr>
            </w:pPr>
            <w:r>
              <w:rPr>
                <w:rFonts w:hint="eastAsia" w:ascii="仿宋" w:hAnsi="仿宋" w:eastAsia="仿宋" w:cs="仿宋"/>
                <w:i w:val="0"/>
                <w:iCs w:val="0"/>
                <w:color w:val="000000"/>
                <w:kern w:val="0"/>
                <w:sz w:val="20"/>
                <w:szCs w:val="20"/>
                <w:highlight w:val="yellow"/>
                <w:u w:val="none"/>
                <w:lang w:val="en-US" w:eastAsia="zh-CN" w:bidi="ar"/>
              </w:rPr>
              <w:t>远程包库使用</w:t>
            </w:r>
          </w:p>
        </w:tc>
        <w:tc>
          <w:tcPr>
            <w:tcW w:w="525"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yellow"/>
                <w:u w:val="none"/>
              </w:rPr>
            </w:pPr>
            <w:r>
              <w:rPr>
                <w:rFonts w:hint="eastAsia" w:ascii="仿宋" w:hAnsi="仿宋" w:eastAsia="仿宋" w:cs="仿宋"/>
                <w:i w:val="0"/>
                <w:iCs w:val="0"/>
                <w:color w:val="000000"/>
                <w:kern w:val="0"/>
                <w:sz w:val="20"/>
                <w:szCs w:val="20"/>
                <w:highlight w:val="yellow"/>
                <w:u w:val="none"/>
                <w:lang w:val="en-US" w:eastAsia="zh-CN" w:bidi="ar"/>
              </w:rPr>
              <w:t>订购 2023-8-31-2024-8-30 数据</w:t>
            </w:r>
          </w:p>
        </w:tc>
        <w:tc>
          <w:tcPr>
            <w:tcW w:w="222"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yellow"/>
                <w:u w:val="none"/>
                <w:lang w:val="en-US" w:eastAsia="zh-CN" w:bidi="ar"/>
              </w:rPr>
            </w:pPr>
            <w:r>
              <w:rPr>
                <w:rFonts w:hint="eastAsia" w:ascii="仿宋" w:hAnsi="仿宋" w:eastAsia="仿宋" w:cs="仿宋"/>
                <w:i w:val="0"/>
                <w:iCs w:val="0"/>
                <w:color w:val="000000"/>
                <w:kern w:val="0"/>
                <w:sz w:val="20"/>
                <w:szCs w:val="20"/>
                <w:highlight w:val="yellow"/>
                <w:u w:val="none"/>
                <w:lang w:val="en-US" w:eastAsia="zh-CN" w:bidi="ar"/>
              </w:rPr>
              <w:t>1</w:t>
            </w:r>
          </w:p>
        </w:tc>
        <w:tc>
          <w:tcPr>
            <w:tcW w:w="24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7.08</w:t>
            </w:r>
          </w:p>
        </w:tc>
        <w:tc>
          <w:tcPr>
            <w:tcW w:w="119"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人大《复印报刊资料》全文、索引数据库信息系统</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人大数媒科技（北京）有限公司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人大复印报刊资料全文数据库1. 收录内容：复印报刊资料全文数据库九大专题数据：政治学与社会学类、法律类、哲学类、文学与艺术类、教育学类、经济学与经济管理类、历史类、文化信息传播类及其他类。2. 期刊总量达五千多种，文献总量达三千多万篇。3. 检索功能：支持多种检索手段，允许使用任意字、词、片段、语句进行全匹配检索，支持繁体字检索；支持多条件组合检索、二次检索、精确-模糊检索，提高查找准确率。4. 服务模式：镜像；5. 数据更新：每周不定期更新6. 具备在线浏览及本地下载全文功能7.数据格式：提供文本格式txt或word格式.</w:t>
            </w:r>
          </w:p>
          <w:p>
            <w:pPr>
              <w:pStyle w:val="13"/>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人大报刊索引库</w:t>
            </w:r>
          </w:p>
          <w:p>
            <w:pPr>
              <w:pStyle w:val="13"/>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题录型数据库，汇集了自1978 年至今的国内公开发行人文社科报刊上的全部题录。按专题和学科体系分为九大类，包括：法律类、经济学与经济管理类、教育类、历史类、文学与艺术类、文化信息传播类、哲学类、政治学与社会学类和其他类。600 多万条数据包含专题代号、类目、篇名、著者、原载报刊名称及刊期、“复印报刊资料”专题期刊名称及刊期等多项信息。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2023-7-1-2024-6-30 数据</w:t>
            </w:r>
          </w:p>
        </w:tc>
        <w:tc>
          <w:tcPr>
            <w:tcW w:w="222"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119"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起点考研网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北京智联起点信息技术有限公司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4"/>
              </w:numPr>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考研网作为考研专题数据库要求：包含最新的视频课程、讲义、配套的历年真题、模拟题试卷、名师讲堂、考研资讯等内容，学、考、练在同一平台进行。</w:t>
            </w:r>
          </w:p>
          <w:p>
            <w:pPr>
              <w:pStyle w:val="13"/>
              <w:numPr>
                <w:ilvl w:val="0"/>
                <w:numId w:val="14"/>
              </w:numPr>
              <w:rPr>
                <w:rFonts w:hint="eastAsia" w:ascii="仿宋" w:hAnsi="仿宋" w:eastAsia="仿宋" w:cs="仿宋"/>
                <w:lang w:val="en-US" w:eastAsia="zh-CN"/>
              </w:rPr>
            </w:pPr>
            <w:r>
              <w:rPr>
                <w:rFonts w:hint="eastAsia" w:ascii="仿宋" w:hAnsi="仿宋" w:eastAsia="仿宋" w:cs="仿宋"/>
                <w:i w:val="0"/>
                <w:iCs w:val="0"/>
                <w:color w:val="000000"/>
                <w:kern w:val="0"/>
                <w:sz w:val="20"/>
                <w:szCs w:val="20"/>
                <w:u w:val="none"/>
                <w:lang w:val="en-US" w:eastAsia="zh-CN" w:bidi="ar"/>
              </w:rPr>
              <w:t>应包括17大类考研类视频课件，包括公共课程考研政治、考研数学、英语一、英语二、经济类综合、管理类综合，以及考研专业课：计算机、教育学、心理学、法律硕士、金融硕士、管理硕士、经济硕士等。视频资源总量不少于8000课时。</w:t>
            </w:r>
          </w:p>
          <w:p>
            <w:pPr>
              <w:pStyle w:val="13"/>
              <w:numPr>
                <w:ilvl w:val="0"/>
                <w:numId w:val="14"/>
              </w:numPr>
              <w:rPr>
                <w:rFonts w:hint="eastAsia" w:ascii="仿宋" w:hAnsi="仿宋" w:eastAsia="仿宋" w:cs="仿宋"/>
                <w:lang w:val="en-US" w:eastAsia="zh-CN"/>
              </w:rPr>
            </w:pPr>
            <w:r>
              <w:rPr>
                <w:rFonts w:hint="eastAsia" w:ascii="仿宋" w:hAnsi="仿宋" w:eastAsia="仿宋" w:cs="仿宋"/>
                <w:i w:val="0"/>
                <w:iCs w:val="0"/>
                <w:color w:val="000000"/>
                <w:kern w:val="0"/>
                <w:sz w:val="20"/>
                <w:szCs w:val="20"/>
                <w:u w:val="none"/>
                <w:lang w:val="en-US" w:eastAsia="zh-CN" w:bidi="ar"/>
              </w:rPr>
              <w:t>视频课程收录时间要求：视频需包含2014年至2023年的考研课程及历年真题模拟题近10年时间跨度。</w:t>
            </w:r>
          </w:p>
          <w:p>
            <w:pPr>
              <w:pStyle w:val="13"/>
              <w:numPr>
                <w:ilvl w:val="0"/>
                <w:numId w:val="14"/>
              </w:numPr>
              <w:rPr>
                <w:rFonts w:hint="eastAsia" w:ascii="仿宋" w:hAnsi="仿宋" w:eastAsia="仿宋" w:cs="仿宋"/>
                <w:lang w:val="en-US" w:eastAsia="zh-CN"/>
              </w:rPr>
            </w:pPr>
            <w:r>
              <w:rPr>
                <w:rFonts w:hint="eastAsia" w:ascii="仿宋" w:hAnsi="仿宋" w:eastAsia="仿宋" w:cs="仿宋"/>
                <w:i w:val="0"/>
                <w:iCs w:val="0"/>
                <w:color w:val="000000"/>
                <w:kern w:val="0"/>
                <w:sz w:val="20"/>
                <w:szCs w:val="20"/>
                <w:u w:val="none"/>
                <w:lang w:val="en-US" w:eastAsia="zh-CN" w:bidi="ar"/>
              </w:rPr>
              <w:t>视频更新模式要求：按课程学习进度安排，设置有真题解析班、导学班、基础班、强化班、冲刺班课程。依据跨考考研独特的学习辅导体系即五轮四阶课程体系，按照基础班、强化班、和冲刺班划分,并按阶梯分批次更新。</w:t>
            </w:r>
          </w:p>
          <w:p>
            <w:pPr>
              <w:pStyle w:val="13"/>
              <w:numPr>
                <w:ilvl w:val="0"/>
                <w:numId w:val="14"/>
              </w:numPr>
              <w:rPr>
                <w:rFonts w:hint="eastAsia" w:ascii="仿宋" w:hAnsi="仿宋" w:eastAsia="仿宋" w:cs="仿宋"/>
                <w:lang w:val="en-US" w:eastAsia="zh-CN"/>
              </w:rPr>
            </w:pPr>
            <w:r>
              <w:rPr>
                <w:rFonts w:hint="eastAsia" w:ascii="仿宋" w:hAnsi="仿宋" w:eastAsia="仿宋" w:cs="仿宋"/>
                <w:i w:val="0"/>
                <w:iCs w:val="0"/>
                <w:color w:val="000000"/>
                <w:kern w:val="0"/>
                <w:sz w:val="20"/>
                <w:szCs w:val="20"/>
                <w:u w:val="none"/>
                <w:lang w:val="en-US" w:eastAsia="zh-CN" w:bidi="ar"/>
              </w:rPr>
              <w:t>视频个人管理要求：可对每个视频课程记录随堂笔记，记录有笔记的视频会一同保存进个人中心，方便读者下次使用。</w:t>
            </w:r>
          </w:p>
          <w:p>
            <w:pPr>
              <w:pStyle w:val="13"/>
              <w:numPr>
                <w:ilvl w:val="0"/>
                <w:numId w:val="14"/>
              </w:numPr>
              <w:rPr>
                <w:rFonts w:hint="eastAsia" w:ascii="仿宋" w:hAnsi="仿宋" w:eastAsia="仿宋" w:cs="仿宋"/>
                <w:lang w:val="en-US" w:eastAsia="zh-CN"/>
              </w:rPr>
            </w:pPr>
            <w:r>
              <w:rPr>
                <w:rFonts w:hint="eastAsia" w:ascii="仿宋" w:hAnsi="仿宋" w:eastAsia="仿宋" w:cs="仿宋"/>
                <w:i w:val="0"/>
                <w:iCs w:val="0"/>
                <w:color w:val="000000"/>
                <w:kern w:val="0"/>
                <w:sz w:val="20"/>
                <w:szCs w:val="20"/>
                <w:u w:val="none"/>
                <w:lang w:val="en-US" w:eastAsia="zh-CN" w:bidi="ar"/>
              </w:rPr>
              <w:t>视频授课老师要求：所有课程由专业讲师录制包含陈正康、张宇、张鑫、李煋等名师。</w:t>
            </w:r>
          </w:p>
          <w:p>
            <w:pPr>
              <w:pStyle w:val="13"/>
              <w:numPr>
                <w:ilvl w:val="0"/>
                <w:numId w:val="14"/>
              </w:numPr>
              <w:rPr>
                <w:rFonts w:hint="eastAsia" w:ascii="仿宋" w:hAnsi="仿宋" w:eastAsia="仿宋" w:cs="仿宋"/>
                <w:lang w:val="en-US" w:eastAsia="zh-CN"/>
              </w:rPr>
            </w:pPr>
            <w:r>
              <w:rPr>
                <w:rFonts w:hint="eastAsia" w:ascii="仿宋" w:hAnsi="仿宋" w:eastAsia="仿宋" w:cs="仿宋"/>
                <w:i w:val="0"/>
                <w:iCs w:val="0"/>
                <w:color w:val="000000"/>
                <w:kern w:val="0"/>
                <w:sz w:val="20"/>
                <w:szCs w:val="20"/>
                <w:u w:val="none"/>
                <w:lang w:val="en-US" w:eastAsia="zh-CN" w:bidi="ar"/>
              </w:rPr>
              <w:t>支持PC版、微信移动版多种使用方式，满足不同读者对数据库不同的使用习惯。</w:t>
            </w:r>
          </w:p>
          <w:p>
            <w:pPr>
              <w:pStyle w:val="13"/>
              <w:numPr>
                <w:ilvl w:val="0"/>
                <w:numId w:val="14"/>
              </w:numPr>
              <w:rPr>
                <w:rFonts w:hint="eastAsia" w:ascii="仿宋" w:hAnsi="仿宋" w:eastAsia="仿宋" w:cs="仿宋"/>
                <w:lang w:val="en-US" w:eastAsia="zh-CN"/>
              </w:rPr>
            </w:pPr>
            <w:r>
              <w:rPr>
                <w:rFonts w:hint="eastAsia" w:ascii="仿宋" w:hAnsi="仿宋" w:eastAsia="仿宋" w:cs="仿宋"/>
                <w:i w:val="0"/>
                <w:iCs w:val="0"/>
                <w:color w:val="000000"/>
                <w:kern w:val="0"/>
                <w:sz w:val="20"/>
                <w:szCs w:val="20"/>
                <w:u w:val="none"/>
                <w:lang w:val="en-US" w:eastAsia="zh-CN" w:bidi="ar"/>
              </w:rPr>
              <w:t>微信版校内注册后，可实现在校外的登陆访问，使读者不受时间、空间限制，随时可利用碎片化时间登陆数据库进行学习。</w:t>
            </w:r>
          </w:p>
          <w:p>
            <w:pPr>
              <w:pStyle w:val="13"/>
              <w:numPr>
                <w:ilvl w:val="0"/>
                <w:numId w:val="14"/>
              </w:numPr>
              <w:rPr>
                <w:rFonts w:hint="eastAsia" w:ascii="仿宋" w:hAnsi="仿宋" w:eastAsia="仿宋" w:cs="仿宋"/>
                <w:lang w:val="en-US" w:eastAsia="zh-CN"/>
              </w:rPr>
            </w:pPr>
            <w:r>
              <w:rPr>
                <w:rFonts w:hint="eastAsia" w:ascii="仿宋" w:hAnsi="仿宋" w:eastAsia="仿宋" w:cs="仿宋"/>
                <w:i w:val="0"/>
                <w:iCs w:val="0"/>
                <w:color w:val="000000"/>
                <w:kern w:val="0"/>
                <w:sz w:val="20"/>
                <w:szCs w:val="20"/>
                <w:u w:val="none"/>
                <w:lang w:val="en-US" w:eastAsia="zh-CN" w:bidi="ar"/>
              </w:rPr>
              <w:t>微信移动版版可实现与我馆微信公众号对接，与我馆微信公众号做嵌入使用，通过我馆微信客户端移动图书馆直接访问移动版，无需另外下载APP。</w:t>
            </w:r>
          </w:p>
          <w:p>
            <w:pPr>
              <w:pStyle w:val="13"/>
              <w:numPr>
                <w:ilvl w:val="0"/>
                <w:numId w:val="14"/>
              </w:numPr>
              <w:rPr>
                <w:rFonts w:hint="eastAsia"/>
                <w:lang w:val="en-US" w:eastAsia="zh-CN"/>
              </w:rPr>
            </w:pPr>
            <w:r>
              <w:rPr>
                <w:rFonts w:hint="eastAsia" w:ascii="仿宋" w:hAnsi="仿宋" w:eastAsia="仿宋" w:cs="仿宋"/>
                <w:i w:val="0"/>
                <w:iCs w:val="0"/>
                <w:color w:val="000000"/>
                <w:kern w:val="0"/>
                <w:sz w:val="20"/>
                <w:szCs w:val="20"/>
                <w:u w:val="none"/>
                <w:lang w:val="en-US" w:eastAsia="zh-CN" w:bidi="ar"/>
              </w:rPr>
              <w:t>可保证PC版和微信移动版的资源完成同步更新。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2023-8-1-2024-7-31 数据</w:t>
            </w:r>
          </w:p>
        </w:tc>
        <w:tc>
          <w:tcPr>
            <w:tcW w:w="222"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4.8</w:t>
            </w:r>
          </w:p>
        </w:tc>
        <w:tc>
          <w:tcPr>
            <w:tcW w:w="119"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北大法宝</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北京北大英华科技有限公司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1.北大法宝数据库属于法学综合性数据库，数据涵盖法律信息的方方面面。内容包含：法律法规检索系统、司法案例检索系统、英文译本检索系统等三个子库。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法律法规检索系统，收录法律法规自1949年至不低于330万篇，法规内容采用全国人大常委会、最高人民法院等有关机关提供的法规文本，保证法规准确性。具有“智能联想”功能，可使法规条文和相关案例、裁判文书、法学文献等信息之间直接印证。具有信息聚类功能，可对检索结果的效力级别、发布部门、时效性、分类做统计汇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3.司法案例检索系统，收录我国大陆法院的各类案例不少于1.3亿篇，可根据用户需求提供全方位检索、导航功能，并提供个案系统呈现、案例帮助系统及刑事比对功能。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英文译本数据检索系统包含中国法律法规的英文译本，最高人民法院、最高人民检察院分别通过和发布的指导性案例、公报案例和典型案例的英文译本，中国与外国政府、地区或组织达成的所有现行有效的国际条约，中国中央、地方政府或者其它组织发布的白皮书的英文译本等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5.能实现法条联想技术，将法条、案例、裁判标准、疑难问题、实务专题进行有效关联，为用户提供便捷的检索服务。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6.保障了高校教研理论来源的官方性和数据的准确性，为学生提供一个专业的学习辅助工具，极大的提高了工作效率。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远程访问</w:t>
            </w:r>
          </w:p>
        </w:tc>
        <w:tc>
          <w:tcPr>
            <w:tcW w:w="52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2023-1-1至2023-12-31</w:t>
            </w:r>
          </w:p>
        </w:tc>
        <w:tc>
          <w:tcPr>
            <w:tcW w:w="222"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11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Wind资讯数据终端</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南京万得资讯科技有限公司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容覆盖股票、债券、基金、指数、权证、商品期货、外汇等多项品种，7×24×365不间断的提供最准确、最及时、最完整的金融资讯。1、非核心数据在数据源发布相应数据后及时更新约半个小时.；2、公司公告更新速度30秒-波；3、财经新闻实时更新每天大约2万条。数据涵盖国内、港台及海外上市公司超过2万家，非上市公司数据约为8万家。全球40多个交易所实时行情，超过十万家中、港、台、美等上市公司和非上市公司数据，5000个基金产品的数据资料。日均原创及引用第三方新闻超过2万篇。为高校师生提供标准化的数据接口，接口可获取基本面、历史数据等时间序列数据，分钟、逐笔成交等高频数据，支持实时行情数据订阅。接口支持Matlab-R-VBA-C-C＋＋-C＃-Python等主流开发语言，让高校各类金融工程和量化统计用户无需更换平台即可上手操作。</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安装客户端，帐号绑定电脑，只能在我校指定的专用电脑上使用。</w:t>
            </w:r>
          </w:p>
        </w:tc>
        <w:tc>
          <w:tcPr>
            <w:tcW w:w="52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2023-3-15-2024-3-14 数据</w:t>
            </w:r>
          </w:p>
        </w:tc>
        <w:tc>
          <w:tcPr>
            <w:tcW w:w="222"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11.94</w:t>
            </w:r>
          </w:p>
        </w:tc>
        <w:tc>
          <w:tcPr>
            <w:tcW w:w="119"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1" w:hRule="atLeast"/>
        </w:trPr>
        <w:tc>
          <w:tcPr>
            <w:tcW w:w="210" w:type="pct"/>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91" w:type="pct"/>
            <w:tcBorders>
              <w:top w:val="single" w:color="000000" w:sz="4" w:space="0"/>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51CTO学堂-IT技能学习在线数据库（普及版）</w:t>
            </w:r>
          </w:p>
        </w:tc>
        <w:tc>
          <w:tcPr>
            <w:tcW w:w="43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北京创信天华信息技术有限公司</w:t>
            </w:r>
          </w:p>
        </w:tc>
        <w:tc>
          <w:tcPr>
            <w:tcW w:w="257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涵盖技术类别：云计算、大数据、移动开发、游戏开发、系统-运维、考试认证、编程语言、Web开发、软件研发、数据库、网络技术、服务器存储、大学课程、嵌入式、企业信息化、Office、设计、其它；2.师资力量：有1100位独家签约讲师，其中52%为一线工程师，20%为国内著名讲师，能够从师资上保证课程质量；                                                                                            3.课程信息：a.总量：整个数据库的课程总量不低于8256门，学习视频数量不低于156236个，课程总时长达不低于41426.8多小时，可以充分满足校内各专业学生的IT技能学习需求。b.考试认证课程：可以提供微软认证、计算机等级考试等方面的课程，作为学生进行计算机类相关考试的辅助学习资源；c.数据库的课程构成，除简单的普遍性IT视频课程，还需要提供部分拥有独家版权的原创课程；4.题库：包括历年考试认证真题、模拟题，各大名企面试题、笔试题以及各技术领域能力自测题，每一道试题都配备有专业的答案解析；5.检索功能：包括课程检索、讲师检索，可以让使用者快速锁定所需课程及已选定的授课讲师；课程检索：使用者只需输入想要学习的技术类别，就可以查找到平台内所有与之相关的课程，并查看到课程介绍及讲师信息；</w:t>
            </w:r>
          </w:p>
        </w:tc>
        <w:tc>
          <w:tcPr>
            <w:tcW w:w="38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订购 2023-7-1--2024-6-30 数据 </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1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中文社会科学引文索引（CSSCI）数据库</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南京大学</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CSSCI是国家、教育部重点课题攻关项目。CSSCI遵循文献计量学规律，采取定量与定性评价相结合的方法从全国2700余种中文人文社会科学学术性期刊中精选出学术性强、编辑规范的期刊作为来源期刊。目前收录包括法学、管理学、经济学、历史学、政治学等在内的25大类的500多种学术期刊，现已开发的CSSCI1998—2022年25年度数据，来源文献近200余万篇，引文文献2300万余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2023-8-1-2024-7-30 数据</w:t>
            </w:r>
          </w:p>
        </w:tc>
        <w:tc>
          <w:tcPr>
            <w:tcW w:w="222"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1.52</w:t>
            </w:r>
          </w:p>
        </w:tc>
        <w:tc>
          <w:tcPr>
            <w:tcW w:w="119"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搜数网数据库</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北京精讯云顿数据软件有限公司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搜数网截止2022年2月21日，已加载到搜数网站的统计资料达到11,813本,涵盖2,798,878张统计表格和545,800,293个统计数据。时间跨度自1949年至今，覆盖全国31个省级行政区并深入380个地级、市级、县级行政区域，同时包括部分台港澳以及国际部分地区统计资料。数据内容涉及54个行业大类。搜数网日增新3-4本统计资料、1,000张表格、2,000,000个数据。1、搜数网的时间跨度：自1949年至今；2、搜数网收录的652种统计资料具体分类：A国家级统计年鉴71种；B省级统计年鉴73种；C地市县级统计年鉴299种；D行业统计年鉴116种；E海外及台港澳统计出版物16种；F非年度定期统计出版物如月报、季报等.60种；G报告类出版物主要是年报.18种；H其他如源自网络、报刊来源的数据.若干种。</w:t>
            </w:r>
          </w:p>
        </w:tc>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2023-1-1-2023-12-31 数据</w:t>
            </w:r>
          </w:p>
        </w:tc>
        <w:tc>
          <w:tcPr>
            <w:tcW w:w="22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119"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infobank高校财经数据库</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北京精讯云顿数据软件有限公司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INFOBANK数据库包含14个子数据库，收录了中国内地从中央到地方1000多种主流媒体，包括报纸、杂志、学报、书籍和各类年鉴，以及部分海外综合类、财经类报纸，部分政府或民间专业信息机构的宏观经济分析或行业报告，反映了全国各地区、各行业的经济动态。目前数据库容量超过1000万篇报道，数据内容涉及19个大类，197个行业，每日更新2000万汉字。7)从2015年9月开始，中国资讯行推出INFOBANK数据分析系统，</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订购 2023-1-1-2023-12-31 数据</w:t>
            </w:r>
          </w:p>
        </w:tc>
        <w:tc>
          <w:tcPr>
            <w:tcW w:w="22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3.15</w:t>
            </w:r>
          </w:p>
        </w:tc>
        <w:tc>
          <w:tcPr>
            <w:tcW w:w="11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21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MathSciNet数据库</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中国教育图书进出口有限公司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于20年来积累的《中国经济新闻库》内容，将各种分析工具整合在一起的开放平台。INFOBANK数据分析系统通过“在线词频跟踪查看器”对《中国经济新闻库》中的500多万篇文章的文本数据中的任何词汇或短语，根据年、月、周、日时间间隔，对每篇文章的文件格式做制表符分隔和选项卡标签管理，用户输入关键词进行搜索，系统自动绘制出时间段内的折线图、饼图、柱状图。作为开放的数据分析系统，不仅能为用户提供系统内嵌的数据资源，而且能够为用户提供趋势分析与建立各种数据建模方法。</w:t>
            </w:r>
          </w:p>
        </w:tc>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2023/1/1--2023/12/31 数据</w:t>
            </w:r>
          </w:p>
        </w:tc>
        <w:tc>
          <w:tcPr>
            <w:tcW w:w="222"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11.99</w:t>
            </w:r>
          </w:p>
        </w:tc>
        <w:tc>
          <w:tcPr>
            <w:tcW w:w="119"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21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ProQuest Dialog</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广州奥凯信息咨询有限公司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ProQuest Dialog是国际联机检索系统，为综合性数据库，收录了工学、农学、医学、管理学等学科资源，包含工程与科技类、药学类、新闻贸易类及专利类型的数据。可用于同时对多个数据库的检索，具有中文和其他多种语言检索界面，支持简单检索，高级检索，指令检索等检索模式，支持原文检索，支持收藏和导出。每年更新的电子期刊数据1400万多条，电子报纸1300万多条，会议论文87万多条，学位论文10万多条，专利790万多条。平台收录了180个数据库的数据，各数据库回溯时间不一致，最早回溯至1743年，总体上每周自动更新数据但不同数据库更新频率略有差异。</w:t>
            </w:r>
          </w:p>
        </w:tc>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远程流量使用</w:t>
            </w:r>
          </w:p>
        </w:tc>
        <w:tc>
          <w:tcPr>
            <w:tcW w:w="52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2023-7-1-2024-6-30 数据</w:t>
            </w:r>
          </w:p>
        </w:tc>
        <w:tc>
          <w:tcPr>
            <w:tcW w:w="22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2.06</w:t>
            </w:r>
          </w:p>
        </w:tc>
        <w:tc>
          <w:tcPr>
            <w:tcW w:w="11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 w:hRule="atLeast"/>
        </w:trPr>
        <w:tc>
          <w:tcPr>
            <w:tcW w:w="21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WorldSciNet数据库</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中国教育图书进出口有限公司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新加坡世界科技出版公司World Scientific Publishing Co. Pte Ltd.出版了众多学术期刊，其电子版期刊共有120种，其中大部分都被SCI收录，数据回溯到2001年。 WSN的期刊涉及的学科如下：化学，计算机科学，经济贸易与管理，工程学，环境科学，材料科学，数学，医学与生命科学，非线性科学，物理学，社会科学等。内容具有单一性和不可替代性，其所有的内容均为世界科技独家出版的、拥有版权的同行评议期刊的文章。世界科技出版的学术期刊，尤其是基础自然科学领域的学术期刊，在学术界享有很高的声誉。世界科技一直重视新兴领域的发展，并力求通过出版的学术期刊，反映当前热点研究领域的动态。近年来，世界科技也重视加强同华人学者乃至中国学者的密切联系，大量高水平的华裔科学家加入世界科技的期刊编委阵容，为世界科技的出版物带来更多中国学者关注的研究内容。                          WorldSciNet数据库可浏览120余种高质量科技期刊的电子全文，了解并掌握所需研究领域的最新科技进展。最新发布的世界科技官方网站：将世界科技的出版资源整合在一起，更加方便读者查询检索。</w:t>
            </w:r>
          </w:p>
        </w:tc>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2023-1-1-2023-12-31 数据</w:t>
            </w:r>
          </w:p>
        </w:tc>
        <w:tc>
          <w:tcPr>
            <w:tcW w:w="222"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13.2094</w:t>
            </w:r>
          </w:p>
        </w:tc>
        <w:tc>
          <w:tcPr>
            <w:tcW w:w="119"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科研成果检测系统</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同方知网数字出版技术股份有限公司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知网学术不端检测系统拥有全面专业的比对资源，涵盖期刊、博硕士学术论文、会议论文、报纸、专利全文的海量比对数据库，以及高等教育、文化文艺、社会与经济发展综合信息等特色资源。是目前市场上用户使用最多，公认最好、认同度最高的检测系统；同时也是全国唯一一家基于全面专业的比对资源的检测系统（比对库资源涵盖国内主要学术期刊8000种以上，总量至少达1.2亿篇以上；涵盖国内大多数高校的博硕士学位论文，总量至少达580万篇以上；涵盖国内外学术会议论文200万篇以上；含40亿条以上互联网资源，港澳台数据资源和第三方英文数据库。</w:t>
            </w:r>
          </w:p>
        </w:tc>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在线服务</w:t>
            </w:r>
          </w:p>
        </w:tc>
        <w:tc>
          <w:tcPr>
            <w:tcW w:w="52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2023-7-1-2024-6-30 数据</w:t>
            </w:r>
          </w:p>
        </w:tc>
        <w:tc>
          <w:tcPr>
            <w:tcW w:w="22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11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科研人事论文诚信档案管理系统</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同方知网数字出版技术股份有限公司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知网学术不端检测系统拥有全面专业的比对资源，涵盖期刊、博硕士学术论文、会议论文、报纸、专利全文的海量比对数据库，以及高等教育、文化文艺、社会与经济发展综合信息等特色资源。是目前市场上用户使用最多，公认最好、认同度最高的检测系统；同时也是全国唯一一家基于全面专业的比对资源的检测系统（比对库资源涵盖国内主要学术期刊8000种以上，总量至少达1.2亿篇以上；涵盖国内大多数高校的博硕士学位论文，总量至少达580万篇以上；涵盖国内外学术会议论文200万篇以上；含40亿条以上互联网资源，港澳台数据资源和第三方英文数据库。</w:t>
            </w:r>
          </w:p>
        </w:tc>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在线服务</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2023-7-1-2024-6-30 数据</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1"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Worldlib人工智能在线咨询平台</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北京华宇星航国际教育科技有限公司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orldlib人工智能在线咨询平台是一款以微信公众号（服务号、非小程序）和网页端为载体，运用最新网络技术接入多个搜索引擎（百度学术、微软学术、pubmed等），为广大师生提供文献获取的互联网在线服务平台。</w:t>
            </w:r>
          </w:p>
          <w:p>
            <w:pPr>
              <w:pStyle w:val="13"/>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微信公众号可以随时随地满足用户对外文文献的需求，支持外文文献的关键词、作者、题名、DOI号、PMID号及图片查询，所查询的文献会在10秒左右以第三方链接的方式发送给用户，用户直接点击链接即可下载全文。同时支持中文文献查找，校内打开WIFI,查找的中文文献（中文期刊为主）如果本馆已订购，可以通过提供的来源链接（知网、万方、维普等）直接下载全文，未订购的文献可以尝试通过推送的其他来源链接进行获取。</w:t>
            </w:r>
          </w:p>
          <w:p>
            <w:pPr>
              <w:pStyle w:val="13"/>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页端接入多个搜索引擎（百度学术、微软学术、pubmed等），所查询的文献如果本馆购买了访问权，则可直接下载全文，可提高已购数据库的使用率；无法获取全文的文献，则可通过网页端首页集成的文献查找工具进行获取（使用方法同微信公众号）。</w:t>
            </w:r>
          </w:p>
          <w:p>
            <w:pPr>
              <w:pStyle w:val="13"/>
              <w:numPr>
                <w:ilvl w:val="0"/>
                <w:numId w:val="15"/>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可以通过微信公众号（服务号、非小程序）、网页端和嵌入到图书馆公众号向用户提供在线查询服务；</w:t>
            </w:r>
          </w:p>
          <w:p>
            <w:pPr>
              <w:pStyle w:val="13"/>
              <w:numPr>
                <w:ilvl w:val="0"/>
                <w:numId w:val="15"/>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微信公众号和网页端均采用地理位置控制；</w:t>
            </w:r>
          </w:p>
          <w:p>
            <w:pPr>
              <w:pStyle w:val="13"/>
              <w:numPr>
                <w:ilvl w:val="0"/>
                <w:numId w:val="15"/>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支持文献关键词、作者、题名、DOI号、PMID号查询；</w:t>
            </w:r>
          </w:p>
          <w:p>
            <w:pPr>
              <w:pStyle w:val="13"/>
              <w:numPr>
                <w:ilvl w:val="0"/>
                <w:numId w:val="15"/>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在微信公众号和网页端集成的文献查询模块查询文献时，平台会在10秒左右将文献全文所在链接发送给用户，用户可以通过链接从第三方直接下载全文数据，不直接提供全文数据；</w:t>
            </w:r>
          </w:p>
          <w:p>
            <w:pPr>
              <w:pStyle w:val="13"/>
              <w:numPr>
                <w:ilvl w:val="0"/>
                <w:numId w:val="15"/>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平台具备不低于8000万的系统词表做支撑，且词表不得重复。</w:t>
            </w:r>
          </w:p>
          <w:p>
            <w:pPr>
              <w:pStyle w:val="13"/>
              <w:numPr>
                <w:ilvl w:val="0"/>
                <w:numId w:val="15"/>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微信公众号提供22个学科的全球高被引期刊论文排行榜（每个学科提供前10篇），定期更新；</w:t>
            </w:r>
          </w:p>
          <w:p>
            <w:pPr>
              <w:pStyle w:val="13"/>
              <w:numPr>
                <w:ilvl w:val="0"/>
                <w:numId w:val="15"/>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微信公众号关注人数达到13万人以上，提供证明材料；</w:t>
            </w:r>
          </w:p>
          <w:p>
            <w:pPr>
              <w:pStyle w:val="13"/>
              <w:numPr>
                <w:ilvl w:val="0"/>
                <w:numId w:val="15"/>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网页端平台接入的是第三方搜索引擎，网页端平台上不得存储未经数据商授权的商业元数据和全文数据，无版权风险和隐患。</w:t>
            </w:r>
          </w:p>
          <w:p>
            <w:pPr>
              <w:pStyle w:val="13"/>
              <w:numPr>
                <w:ilvl w:val="0"/>
                <w:numId w:val="15"/>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网页端平台上需具有同微信公众号一样功能的文献实时查找和获取模块。</w:t>
            </w:r>
          </w:p>
        </w:tc>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2023-6-30-2024-6-29数据</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中国知网研学平台</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同方知网数字出版技术股份有限公司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平台可对接使用已购买中国知网数据库资源，包含XML碎片化数据和PDF数据，XML碎片化数据与机构数据库权限和专辑专题权限一致；提供XML、PDF文献全文在线阅读。要求包含期刊、博硕、会议、报纸、年鉴数据库所有PDF和XML文献资源，数据保持与知网总库一致，其中收录期刊文献总量不少于5700万，博硕士论文不少于400万篇，国内外学术会议论文不少于300万篇，各级党报及特色行业报等重要报纸数据不少于1800万条数据，各类年鉴数据不少于3000万条；其中XML资源不低于3000万篇，并保证XML资源实时更新；提供PDF、XML文献全文在线阅读；提供云租用服务模式。</w:t>
            </w:r>
          </w:p>
        </w:tc>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2023-6-21-2024-6-20 数据</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大为innojoy专利搜索引擎系统</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保定市大为计算机软件开发有限公司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大为innojoy专利搜索引擎系统（www.innojoy.com）是一款集全球专利检索、分析、管理、转化、自主建库等功能于一体的专利情报综合应用平台。一站式实现专利数据信息资源的有效利用和管理。</w:t>
            </w:r>
          </w:p>
          <w:p>
            <w:pPr>
              <w:pStyle w:val="13"/>
              <w:numPr>
                <w:ilvl w:val="0"/>
                <w:numId w:val="16"/>
              </w:numPr>
              <w:rPr>
                <w:rStyle w:val="26"/>
                <w:lang w:val="en-US" w:eastAsia="zh-CN" w:bidi="ar"/>
              </w:rPr>
            </w:pPr>
            <w:r>
              <w:rPr>
                <w:rStyle w:val="26"/>
                <w:lang w:val="en-US" w:eastAsia="zh-CN" w:bidi="ar"/>
              </w:rPr>
              <w:t>数据范围。收录全球不低于106个国家/地区专利数据，不低于1.6亿件全球专利信息，60个国家/地区的法律状态，不低于19个国家/地区的代码化全文，14个国家/地区的小语种优质英文翻译；支持提供美国增值数据，可自动计算续展天数，明确公知技术，INPADOC同族专利数据，DOCDB引证数据。</w:t>
            </w:r>
          </w:p>
          <w:p>
            <w:pPr>
              <w:pStyle w:val="13"/>
              <w:numPr>
                <w:ilvl w:val="0"/>
                <w:numId w:val="16"/>
              </w:numPr>
              <w:rPr>
                <w:rStyle w:val="26"/>
                <w:rFonts w:hint="eastAsia"/>
                <w:lang w:val="en-US" w:eastAsia="zh-CN" w:bidi="ar"/>
              </w:rPr>
            </w:pPr>
            <w:r>
              <w:rPr>
                <w:rFonts w:hint="eastAsia" w:ascii="仿宋" w:hAnsi="仿宋" w:eastAsia="仿宋" w:cs="仿宋"/>
                <w:i w:val="0"/>
                <w:iCs w:val="0"/>
                <w:color w:val="000000"/>
                <w:kern w:val="0"/>
                <w:sz w:val="20"/>
                <w:szCs w:val="20"/>
                <w:u w:val="none"/>
                <w:lang w:val="en-US" w:eastAsia="zh-CN" w:bidi="ar"/>
              </w:rPr>
              <w:t>数据更新。支持中国数据每周2+次以上更新，国外数据每周5+次以上更新。</w:t>
            </w:r>
          </w:p>
          <w:p>
            <w:pPr>
              <w:pStyle w:val="13"/>
              <w:numPr>
                <w:ilvl w:val="0"/>
                <w:numId w:val="16"/>
              </w:numPr>
              <w:rPr>
                <w:rStyle w:val="26"/>
                <w:rFonts w:hint="eastAsia"/>
                <w:lang w:val="en-US" w:eastAsia="zh-CN" w:bidi="ar"/>
              </w:rPr>
            </w:pPr>
            <w:r>
              <w:rPr>
                <w:rFonts w:hint="eastAsia" w:ascii="仿宋" w:hAnsi="仿宋" w:eastAsia="仿宋" w:cs="仿宋"/>
                <w:i w:val="0"/>
                <w:iCs w:val="0"/>
                <w:color w:val="000000"/>
                <w:kern w:val="0"/>
                <w:sz w:val="20"/>
                <w:szCs w:val="20"/>
                <w:u w:val="none"/>
                <w:lang w:val="en-US" w:eastAsia="zh-CN" w:bidi="ar"/>
              </w:rPr>
              <w:t>检索方式。支持DPI检索、AI智能检索、法律状态检索、复审无效检索等不低于十五种检索方式。</w:t>
            </w:r>
          </w:p>
          <w:p>
            <w:pPr>
              <w:pStyle w:val="13"/>
              <w:numPr>
                <w:ilvl w:val="0"/>
                <w:numId w:val="16"/>
              </w:numPr>
              <w:rPr>
                <w:rStyle w:val="26"/>
                <w:rFonts w:hint="eastAsia"/>
                <w:lang w:val="en-US" w:eastAsia="zh-CN" w:bidi="ar"/>
              </w:rPr>
            </w:pPr>
            <w:r>
              <w:rPr>
                <w:rFonts w:hint="eastAsia" w:ascii="仿宋" w:hAnsi="仿宋" w:eastAsia="仿宋" w:cs="仿宋"/>
                <w:i w:val="0"/>
                <w:iCs w:val="0"/>
                <w:color w:val="000000"/>
                <w:kern w:val="0"/>
                <w:sz w:val="20"/>
                <w:szCs w:val="20"/>
                <w:u w:val="none"/>
                <w:lang w:val="en-US" w:eastAsia="zh-CN" w:bidi="ar"/>
              </w:rPr>
              <w:t>检索字段。支持同族信息、引证信息、法律状态信息等近百个混合检索字段。</w:t>
            </w:r>
          </w:p>
          <w:p>
            <w:pPr>
              <w:pStyle w:val="13"/>
              <w:numPr>
                <w:ilvl w:val="0"/>
                <w:numId w:val="16"/>
              </w:numPr>
              <w:rPr>
                <w:rStyle w:val="26"/>
                <w:rFonts w:hint="eastAsia"/>
                <w:lang w:val="en-US" w:eastAsia="zh-CN" w:bidi="ar"/>
              </w:rPr>
            </w:pPr>
            <w:r>
              <w:rPr>
                <w:rFonts w:hint="eastAsia" w:ascii="仿宋" w:hAnsi="仿宋" w:eastAsia="仿宋" w:cs="仿宋"/>
                <w:i w:val="0"/>
                <w:iCs w:val="0"/>
                <w:color w:val="000000"/>
                <w:kern w:val="0"/>
                <w:sz w:val="20"/>
                <w:szCs w:val="20"/>
                <w:u w:val="none"/>
                <w:lang w:val="en-US" w:eastAsia="zh-CN" w:bidi="ar"/>
              </w:rPr>
              <w:t>在线翻译。支持中英日文在线翻译，可自由切换。</w:t>
            </w:r>
          </w:p>
          <w:p>
            <w:pPr>
              <w:pStyle w:val="13"/>
              <w:numPr>
                <w:ilvl w:val="0"/>
                <w:numId w:val="16"/>
              </w:numPr>
              <w:rPr>
                <w:rStyle w:val="26"/>
                <w:rFonts w:hint="eastAsia"/>
                <w:lang w:val="en-US" w:eastAsia="zh-CN" w:bidi="ar"/>
              </w:rPr>
            </w:pPr>
            <w:r>
              <w:rPr>
                <w:rFonts w:hint="eastAsia" w:ascii="仿宋" w:hAnsi="仿宋" w:eastAsia="仿宋" w:cs="仿宋"/>
                <w:i w:val="0"/>
                <w:iCs w:val="0"/>
                <w:color w:val="000000"/>
                <w:kern w:val="0"/>
                <w:sz w:val="20"/>
                <w:szCs w:val="20"/>
                <w:u w:val="none"/>
                <w:lang w:val="en-US" w:eastAsia="zh-CN" w:bidi="ar"/>
              </w:rPr>
              <w:t>辅助查询工具。支持申请人字典、同族、引证、复审、无效、审查信息等不低于二十种辅助查询工具。</w:t>
            </w:r>
          </w:p>
          <w:p>
            <w:pPr>
              <w:pStyle w:val="13"/>
              <w:numPr>
                <w:ilvl w:val="0"/>
                <w:numId w:val="16"/>
              </w:numPr>
              <w:rPr>
                <w:rStyle w:val="26"/>
                <w:rFonts w:hint="eastAsia"/>
                <w:lang w:val="en-US" w:eastAsia="zh-CN" w:bidi="ar"/>
              </w:rPr>
            </w:pPr>
            <w:r>
              <w:rPr>
                <w:rFonts w:hint="eastAsia" w:ascii="仿宋" w:hAnsi="仿宋" w:eastAsia="仿宋" w:cs="仿宋"/>
                <w:i w:val="0"/>
                <w:iCs w:val="0"/>
                <w:color w:val="000000"/>
                <w:kern w:val="0"/>
                <w:sz w:val="20"/>
                <w:szCs w:val="20"/>
                <w:u w:val="none"/>
                <w:lang w:val="en-US" w:eastAsia="zh-CN" w:bidi="ar"/>
              </w:rPr>
              <w:t>数据浏览与筛选。支持DPI、同族、被引证数等不低于13种排序展示方式；支持高亮显示；不低于50件的对比阅读；支持公开、授权两个阶段的权利要求书支持对比查看，并高亮显示区别点。</w:t>
            </w:r>
          </w:p>
          <w:p>
            <w:pPr>
              <w:pStyle w:val="13"/>
              <w:numPr>
                <w:ilvl w:val="0"/>
                <w:numId w:val="16"/>
              </w:numPr>
              <w:rPr>
                <w:rStyle w:val="26"/>
                <w:rFonts w:hint="eastAsia"/>
                <w:lang w:val="en-US" w:eastAsia="zh-CN" w:bidi="ar"/>
              </w:rPr>
            </w:pPr>
            <w:r>
              <w:rPr>
                <w:rFonts w:hint="eastAsia" w:ascii="仿宋" w:hAnsi="仿宋" w:eastAsia="仿宋" w:cs="仿宋"/>
                <w:i w:val="0"/>
                <w:iCs w:val="0"/>
                <w:color w:val="000000"/>
                <w:kern w:val="0"/>
                <w:sz w:val="20"/>
                <w:szCs w:val="20"/>
                <w:u w:val="none"/>
                <w:lang w:val="en-US" w:eastAsia="zh-CN" w:bidi="ar"/>
              </w:rPr>
              <w:t>数据分析。支持不低于12个维度100种分析模板；支持聚类分析并以热力图、关系图呈现。支持审查员印证等各类引证分析；支持自定义与三位分析。</w:t>
            </w:r>
          </w:p>
          <w:p>
            <w:pPr>
              <w:pStyle w:val="13"/>
              <w:numPr>
                <w:ilvl w:val="0"/>
                <w:numId w:val="16"/>
              </w:numPr>
              <w:rPr>
                <w:rStyle w:val="26"/>
                <w:rFonts w:hint="eastAsia"/>
                <w:lang w:val="en-US" w:eastAsia="zh-CN" w:bidi="ar"/>
              </w:rPr>
            </w:pPr>
            <w:r>
              <w:rPr>
                <w:rFonts w:hint="eastAsia" w:ascii="仿宋" w:hAnsi="仿宋" w:eastAsia="仿宋" w:cs="仿宋"/>
                <w:i w:val="0"/>
                <w:iCs w:val="0"/>
                <w:color w:val="000000"/>
                <w:kern w:val="0"/>
                <w:sz w:val="20"/>
                <w:szCs w:val="20"/>
                <w:u w:val="none"/>
                <w:lang w:val="en-US" w:eastAsia="zh-CN" w:bidi="ar"/>
              </w:rPr>
              <w:t>专利价值分析。支持通过DPI专利指数生成5个维度的价值指数，通过技术价值、法律价值、市场价值、战略价值、经济价值，综合评价专利的价值。</w:t>
            </w:r>
          </w:p>
          <w:p>
            <w:pPr>
              <w:pStyle w:val="13"/>
              <w:numPr>
                <w:ilvl w:val="0"/>
                <w:numId w:val="16"/>
              </w:numPr>
              <w:rPr>
                <w:rStyle w:val="26"/>
                <w:rFonts w:hint="eastAsia"/>
                <w:lang w:val="en-US" w:eastAsia="zh-CN" w:bidi="ar"/>
              </w:rPr>
            </w:pPr>
            <w:r>
              <w:rPr>
                <w:rFonts w:hint="eastAsia" w:ascii="仿宋" w:hAnsi="仿宋" w:eastAsia="仿宋" w:cs="仿宋"/>
                <w:i w:val="0"/>
                <w:iCs w:val="0"/>
                <w:color w:val="000000"/>
                <w:kern w:val="0"/>
                <w:sz w:val="20"/>
                <w:szCs w:val="20"/>
                <w:u w:val="none"/>
                <w:lang w:val="en-US" w:eastAsia="zh-CN" w:bidi="ar"/>
              </w:rPr>
              <w:t>监控与下载。支持监控专利数据的法律状态、同族、引证等各类信息；支持Excel\HTML\Word\PDF格式的自定义格式、自定义模板的下载。</w:t>
            </w:r>
          </w:p>
          <w:p>
            <w:pPr>
              <w:pStyle w:val="13"/>
              <w:numPr>
                <w:ilvl w:val="0"/>
                <w:numId w:val="16"/>
              </w:numPr>
              <w:rPr>
                <w:rStyle w:val="26"/>
                <w:rFonts w:hint="eastAsia"/>
                <w:lang w:val="en-US" w:eastAsia="zh-CN" w:bidi="ar"/>
              </w:rPr>
            </w:pPr>
            <w:r>
              <w:rPr>
                <w:rFonts w:hint="eastAsia" w:ascii="仿宋" w:hAnsi="仿宋" w:eastAsia="仿宋" w:cs="仿宋"/>
                <w:i w:val="0"/>
                <w:iCs w:val="0"/>
                <w:color w:val="000000"/>
                <w:kern w:val="0"/>
                <w:sz w:val="20"/>
                <w:szCs w:val="20"/>
                <w:u w:val="none"/>
                <w:lang w:val="en-US" w:eastAsia="zh-CN" w:bidi="ar"/>
              </w:rPr>
              <w:t>支持在线创建专题数据库。支持在线创建各类技术主题的专题数据库，自定义设置无限极数据导航，支持专利数据批量标引操作。</w:t>
            </w:r>
          </w:p>
          <w:p>
            <w:pPr>
              <w:pStyle w:val="13"/>
              <w:numPr>
                <w:ilvl w:val="0"/>
                <w:numId w:val="16"/>
              </w:numPr>
              <w:rPr>
                <w:rStyle w:val="26"/>
                <w:rFonts w:hint="eastAsia"/>
                <w:lang w:val="en-US" w:eastAsia="zh-CN" w:bidi="ar"/>
              </w:rPr>
            </w:pPr>
            <w:r>
              <w:rPr>
                <w:rFonts w:hint="eastAsia" w:ascii="仿宋" w:hAnsi="仿宋" w:eastAsia="仿宋" w:cs="仿宋"/>
                <w:i w:val="0"/>
                <w:iCs w:val="0"/>
                <w:color w:val="000000"/>
                <w:kern w:val="0"/>
                <w:sz w:val="20"/>
                <w:szCs w:val="20"/>
                <w:u w:val="none"/>
                <w:lang w:val="en-US" w:eastAsia="zh-CN" w:bidi="ar"/>
              </w:rPr>
              <w:t>支持以主题的形式创建分析项目。支持专利自定义项目的添加，查看权限自定义设定；支持同族专利自动扩展，支持技术原创国分析；支持自定义设置DPI指标，对数据进行二次加工清洗，支持对所分析数据批量修改，批量标引操作。</w:t>
            </w:r>
          </w:p>
        </w:tc>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2023-6-30-2024-6-29 数据</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Worldlib国外文献整合平台</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color w:val="auto"/>
                <w:sz w:val="20"/>
                <w:szCs w:val="20"/>
                <w:highlight w:val="none"/>
              </w:rPr>
              <w:t>北京华宇星航国际教育科技有限公司</w:t>
            </w:r>
          </w:p>
        </w:tc>
        <w:tc>
          <w:tcPr>
            <w:tcW w:w="2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orldlib国外文献整合平台包含来自国外各大出版商的开放数据文献，该平台按照文献类型包含8个文献类型，其中期刊3500万篇（期刊品种不少于30000种）、国外博硕士论文430万篇、科技报告150万篇、艺术图片90万幅、外文电子图书及章节140万、专利100万篇、会议论文130万篇、预印本120万篇，共计4600多万国外优秀文献。可以按照检索点导航、学科导航、日期导航、语种导航等多种途径导航，8个文献类型可以实现一站式跨库检索。</w:t>
            </w:r>
          </w:p>
          <w:p>
            <w:pPr>
              <w:pStyle w:val="13"/>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该平台文献范围涵盖全学科（包括医学、化学、物理、农业、教育、应用科学、经济、天文学、工业技术、交通运输、环境、生物等）。可以按照检索点导航、学科导航、日期导航、语种导航等多种途径导航。</w:t>
            </w:r>
          </w:p>
          <w:p>
            <w:pPr>
              <w:pStyle w:val="13"/>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平台上所有文献均可通过访问其所在第三方网站下载全文数据，且支持手机二维码下载阅读。</w:t>
            </w:r>
          </w:p>
          <w:p>
            <w:pPr>
              <w:pStyle w:val="13"/>
              <w:numPr>
                <w:ilvl w:val="0"/>
                <w:numId w:val="17"/>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平台文献量不低于4600万，且8个文献类型可以实现一站式跨库检索。</w:t>
            </w:r>
          </w:p>
          <w:p>
            <w:pPr>
              <w:pStyle w:val="13"/>
              <w:numPr>
                <w:ilvl w:val="0"/>
                <w:numId w:val="17"/>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2、平台上的文献均来源于第三方链接，且支持手机二维码下载阅读，本地不存储商业元数据及全文。</w:t>
            </w:r>
          </w:p>
          <w:p>
            <w:pPr>
              <w:pStyle w:val="13"/>
              <w:numPr>
                <w:ilvl w:val="0"/>
                <w:numId w:val="17"/>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平台支持跨库检索且平均检索速度必须&lt;0.1S，平台具备不低于8000万的系统词表做支撑，且词表不得重复。</w:t>
            </w:r>
          </w:p>
          <w:p>
            <w:pPr>
              <w:pStyle w:val="13"/>
              <w:numPr>
                <w:ilvl w:val="0"/>
                <w:numId w:val="17"/>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提供方便快捷的安装维护，内置Sqlserver、文本等可视化导入工具、自带Web服务器功能，包括用户认证管理、数据存储服务、搜索引擎服务、WEB发布服务、访问监控服务等功能，并且可以镜像派发生成专题数据库并且不需要安装任何数据库。</w:t>
            </w:r>
          </w:p>
          <w:p>
            <w:pPr>
              <w:pStyle w:val="13"/>
              <w:numPr>
                <w:ilvl w:val="0"/>
                <w:numId w:val="17"/>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做好安全加密工作，平台网站及数据库文件都应该加密，确保网络数据安全。</w:t>
            </w:r>
          </w:p>
          <w:p>
            <w:pPr>
              <w:pStyle w:val="13"/>
              <w:numPr>
                <w:ilvl w:val="0"/>
                <w:numId w:val="17"/>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平台易用性，可以按照检索点导航、学科导航、日期导航、语种导航等多种途径导航且允许用户修改或自定义分类法。</w:t>
            </w:r>
          </w:p>
          <w:p>
            <w:pPr>
              <w:pStyle w:val="13"/>
              <w:numPr>
                <w:ilvl w:val="0"/>
                <w:numId w:val="17"/>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平台提供域名绑定功能，具备统计访问数据文件大小流量功能，具备用户检索记录还原功能,具备B类ip访问地址统计功能，对用户访问实时监控并追踪用户IP和访问资源url。</w:t>
            </w:r>
          </w:p>
          <w:p>
            <w:pPr>
              <w:pStyle w:val="13"/>
              <w:numPr>
                <w:ilvl w:val="0"/>
                <w:numId w:val="17"/>
              </w:num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平台上不得存储未经数据商授权的商业元数据和全文数据，无版权风险和隐患。</w:t>
            </w:r>
          </w:p>
        </w:tc>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远程包库使用</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订购 2023-6-30-2024-6-29 数据</w:t>
            </w:r>
          </w:p>
        </w:tc>
        <w:tc>
          <w:tcPr>
            <w:tcW w:w="222"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教参资源管理平台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北京世纪超星信息技术发展有限责任公司</w:t>
            </w:r>
          </w:p>
        </w:tc>
        <w:tc>
          <w:tcPr>
            <w:tcW w:w="2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1．检索结果中提供按照首字母、学院、学年学期、学段、专业等多种筛选方式进行聚类，可实现组合筛选。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2．检索结果提供默认排序、入库时间、浏览量排序。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3．支持检索时简繁互检。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4．支持多种全文获取方式，包括本馆馆藏资源、已购买的全文数据库全文链接、本馆自加工数据。支持全文附件和全文链接。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5．支持对课程数据的统一检索，支持以课程为维度查看课程下的教材教参资源。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6．元数据检索性能：支持检索时，结果页聚类、列表毫秒级返回。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7．多种阅读模式的支持，上下、左右翻页模式切换，章节导航的快速定位；支持对全文内容OCR 画框取词。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教材教参资源管理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1．支持按课程上传及管理课程相关的教材教参资源。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录入教材教参资源方式上，支持按照不同文献类型的模板，通过批量导入、单篇上传2种方式添加文献数据，同时提供不少于10亿元数据用于教参资源的检索。同时在数据管理上，支持按本科生、研究生，分不同的学期对教材教参数据进行灵活管理。</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本地镜像</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以实际合同签署日期为准</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42</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Cs/>
                <w:lang w:eastAsia="zh-CN"/>
              </w:rPr>
              <w:t>一年</w:t>
            </w:r>
          </w:p>
        </w:tc>
      </w:tr>
    </w:tbl>
    <w:p>
      <w:pPr>
        <w:rPr>
          <w:b/>
          <w:bCs/>
          <w:sz w:val="24"/>
          <w:szCs w:val="24"/>
        </w:rPr>
      </w:pPr>
    </w:p>
    <w:p>
      <w:pPr>
        <w:pStyle w:val="7"/>
        <w:numPr>
          <w:ilvl w:val="0"/>
          <w:numId w:val="0"/>
        </w:numPr>
        <w:rPr>
          <w:rFonts w:hint="eastAsia"/>
        </w:rPr>
      </w:pPr>
    </w:p>
    <w:p>
      <w:pPr>
        <w:tabs>
          <w:tab w:val="left" w:pos="4140"/>
        </w:tabs>
        <w:spacing w:line="400" w:lineRule="exact"/>
        <w:ind w:firstLine="482" w:firstLineChars="200"/>
        <w:rPr>
          <w:rFonts w:ascii="仿宋" w:hAnsi="仿宋" w:eastAsia="仿宋"/>
          <w:b/>
          <w:bCs/>
          <w:sz w:val="24"/>
          <w:szCs w:val="24"/>
        </w:rPr>
      </w:pPr>
      <w:r>
        <w:rPr>
          <w:rFonts w:hint="eastAsia" w:ascii="仿宋" w:hAnsi="仿宋" w:eastAsia="仿宋"/>
          <w:b/>
          <w:bCs/>
          <w:sz w:val="24"/>
          <w:szCs w:val="24"/>
        </w:rPr>
        <w:t>二、供应商资质及技术要求</w:t>
      </w:r>
    </w:p>
    <w:p>
      <w:pPr>
        <w:tabs>
          <w:tab w:val="left" w:pos="0"/>
        </w:tabs>
        <w:spacing w:line="400" w:lineRule="exact"/>
        <w:ind w:left="-2" w:leftChars="-1" w:firstLine="480" w:firstLineChars="200"/>
        <w:rPr>
          <w:rFonts w:ascii="仿宋" w:hAnsi="仿宋" w:eastAsia="仿宋"/>
          <w:color w:val="000000"/>
          <w:sz w:val="24"/>
          <w:szCs w:val="24"/>
          <w:lang w:val="en-US"/>
        </w:rPr>
      </w:pPr>
      <w:r>
        <w:rPr>
          <w:rFonts w:hint="eastAsia" w:ascii="仿宋" w:hAnsi="仿宋" w:eastAsia="仿宋"/>
          <w:color w:val="000000"/>
          <w:sz w:val="24"/>
          <w:szCs w:val="24"/>
        </w:rPr>
        <w:t>1.中外文电子资源供应</w:t>
      </w:r>
      <w:r>
        <w:rPr>
          <w:rFonts w:hint="eastAsia" w:ascii="仿宋" w:hAnsi="仿宋" w:eastAsia="仿宋"/>
          <w:sz w:val="24"/>
          <w:szCs w:val="24"/>
        </w:rPr>
        <w:t>商</w:t>
      </w:r>
      <w:r>
        <w:rPr>
          <w:rFonts w:hint="eastAsia" w:ascii="仿宋" w:hAnsi="仿宋" w:eastAsia="仿宋"/>
          <w:color w:val="000000"/>
          <w:sz w:val="24"/>
          <w:szCs w:val="24"/>
        </w:rPr>
        <w:t>应为专门从事电子出版物的法人单位，所经销的电子出版物均为正式出版物</w:t>
      </w:r>
      <w:r>
        <w:rPr>
          <w:rFonts w:hint="eastAsia" w:ascii="仿宋" w:hAnsi="仿宋" w:eastAsia="仿宋"/>
          <w:color w:val="000000"/>
          <w:sz w:val="24"/>
          <w:szCs w:val="24"/>
          <w:lang w:val="en-US"/>
        </w:rPr>
        <w:t>；</w:t>
      </w:r>
    </w:p>
    <w:p>
      <w:pPr>
        <w:tabs>
          <w:tab w:val="left" w:pos="0"/>
        </w:tabs>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lang w:val="en-US"/>
        </w:rPr>
        <w:t>2</w:t>
      </w:r>
      <w:r>
        <w:rPr>
          <w:rFonts w:hint="eastAsia" w:ascii="仿宋" w:hAnsi="仿宋" w:eastAsia="仿宋"/>
          <w:color w:val="000000"/>
          <w:sz w:val="24"/>
          <w:szCs w:val="24"/>
        </w:rPr>
        <w:t>.供应商应建有较完善、稳定的专业化电子商务网站，便于供需双方通过网络开展业务工作</w:t>
      </w:r>
      <w:r>
        <w:rPr>
          <w:rFonts w:hint="eastAsia" w:ascii="仿宋" w:hAnsi="仿宋" w:eastAsia="仿宋"/>
          <w:color w:val="000000"/>
          <w:sz w:val="24"/>
          <w:szCs w:val="24"/>
          <w:lang w:val="en-US"/>
        </w:rPr>
        <w:t>；</w:t>
      </w:r>
    </w:p>
    <w:p>
      <w:pPr>
        <w:tabs>
          <w:tab w:val="left" w:pos="0"/>
        </w:tabs>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lang w:val="en-US"/>
        </w:rPr>
        <w:t>3</w:t>
      </w:r>
      <w:r>
        <w:rPr>
          <w:rFonts w:hint="eastAsia" w:ascii="仿宋" w:hAnsi="仿宋" w:eastAsia="仿宋"/>
          <w:color w:val="000000"/>
          <w:sz w:val="24"/>
          <w:szCs w:val="24"/>
        </w:rPr>
        <w:t>.供应商定期更新电子资源信息</w:t>
      </w:r>
      <w:r>
        <w:rPr>
          <w:rFonts w:hint="eastAsia" w:ascii="仿宋" w:hAnsi="仿宋" w:eastAsia="仿宋"/>
          <w:color w:val="000000"/>
          <w:sz w:val="24"/>
          <w:szCs w:val="24"/>
          <w:lang w:val="en-US"/>
        </w:rPr>
        <w:t>；</w:t>
      </w:r>
    </w:p>
    <w:p>
      <w:pPr>
        <w:tabs>
          <w:tab w:val="left" w:pos="4140"/>
        </w:tabs>
        <w:spacing w:line="400" w:lineRule="exact"/>
        <w:ind w:firstLine="482" w:firstLineChars="200"/>
        <w:rPr>
          <w:rFonts w:ascii="仿宋" w:hAnsi="仿宋" w:eastAsia="仿宋"/>
          <w:b/>
          <w:bCs/>
          <w:sz w:val="24"/>
          <w:szCs w:val="24"/>
        </w:rPr>
      </w:pPr>
      <w:r>
        <w:rPr>
          <w:rFonts w:hint="eastAsia" w:ascii="仿宋" w:hAnsi="仿宋" w:eastAsia="仿宋"/>
          <w:b/>
          <w:bCs/>
          <w:sz w:val="24"/>
          <w:szCs w:val="24"/>
        </w:rPr>
        <w:t>三、服务要求</w:t>
      </w:r>
    </w:p>
    <w:p>
      <w:pPr>
        <w:tabs>
          <w:tab w:val="left" w:pos="0"/>
        </w:tabs>
        <w:spacing w:line="400" w:lineRule="exact"/>
        <w:ind w:firstLine="480" w:firstLineChars="200"/>
        <w:rPr>
          <w:rFonts w:hint="eastAsia" w:ascii="仿宋" w:hAnsi="仿宋" w:eastAsia="仿宋"/>
          <w:b w:val="0"/>
          <w:bCs w:val="0"/>
          <w:sz w:val="24"/>
          <w:szCs w:val="24"/>
          <w:lang w:val="en-US"/>
        </w:rPr>
      </w:pPr>
      <w:r>
        <w:rPr>
          <w:rFonts w:hint="eastAsia" w:ascii="仿宋" w:hAnsi="仿宋" w:eastAsia="仿宋"/>
          <w:b w:val="0"/>
          <w:bCs w:val="0"/>
          <w:sz w:val="24"/>
          <w:szCs w:val="24"/>
          <w:lang w:val="en-US"/>
        </w:rPr>
        <w:t>合同条款服务：</w:t>
      </w:r>
    </w:p>
    <w:p>
      <w:pPr>
        <w:tabs>
          <w:tab w:val="left" w:pos="0"/>
        </w:tabs>
        <w:spacing w:line="400" w:lineRule="exact"/>
        <w:ind w:firstLine="480" w:firstLineChars="200"/>
        <w:rPr>
          <w:rFonts w:hint="eastAsia" w:ascii="仿宋" w:hAnsi="仿宋" w:eastAsia="仿宋"/>
          <w:b w:val="0"/>
          <w:bCs w:val="0"/>
          <w:sz w:val="24"/>
          <w:szCs w:val="24"/>
          <w:lang w:val="en-US"/>
        </w:rPr>
      </w:pPr>
      <w:r>
        <w:rPr>
          <w:rFonts w:hint="eastAsia" w:ascii="仿宋" w:hAnsi="仿宋" w:eastAsia="仿宋"/>
          <w:b w:val="0"/>
          <w:bCs w:val="0"/>
          <w:sz w:val="24"/>
          <w:szCs w:val="24"/>
          <w:lang w:val="en-US"/>
        </w:rPr>
        <w:t>1.提供电子资源的安装、更新、调试，确保电子资源的正常访问。</w:t>
      </w:r>
    </w:p>
    <w:p>
      <w:pPr>
        <w:tabs>
          <w:tab w:val="left" w:pos="0"/>
        </w:tabs>
        <w:spacing w:line="400" w:lineRule="exact"/>
        <w:ind w:firstLine="480" w:firstLineChars="200"/>
        <w:rPr>
          <w:rFonts w:hint="eastAsia" w:ascii="仿宋" w:hAnsi="仿宋" w:eastAsia="仿宋"/>
          <w:b w:val="0"/>
          <w:bCs w:val="0"/>
          <w:sz w:val="24"/>
          <w:szCs w:val="24"/>
          <w:lang w:val="en-US"/>
        </w:rPr>
      </w:pPr>
      <w:r>
        <w:rPr>
          <w:rFonts w:hint="eastAsia" w:ascii="仿宋" w:hAnsi="仿宋" w:eastAsia="仿宋"/>
          <w:b w:val="0"/>
          <w:bCs w:val="0"/>
          <w:sz w:val="24"/>
          <w:szCs w:val="24"/>
          <w:lang w:val="en-US"/>
        </w:rPr>
        <w:t>2.供应商能够及时提供电子资源使用统计，供订户使用。</w:t>
      </w:r>
    </w:p>
    <w:p>
      <w:pPr>
        <w:tabs>
          <w:tab w:val="left" w:pos="0"/>
        </w:tabs>
        <w:spacing w:line="400" w:lineRule="exact"/>
        <w:ind w:firstLine="480" w:firstLineChars="200"/>
        <w:rPr>
          <w:rFonts w:hint="eastAsia" w:ascii="仿宋" w:hAnsi="仿宋" w:eastAsia="仿宋"/>
          <w:b w:val="0"/>
          <w:bCs w:val="0"/>
          <w:sz w:val="24"/>
          <w:szCs w:val="24"/>
          <w:lang w:val="en-US"/>
        </w:rPr>
      </w:pPr>
      <w:r>
        <w:rPr>
          <w:rFonts w:hint="eastAsia" w:ascii="仿宋" w:hAnsi="仿宋" w:eastAsia="仿宋"/>
          <w:b w:val="0"/>
          <w:bCs w:val="0"/>
          <w:sz w:val="24"/>
          <w:szCs w:val="24"/>
          <w:lang w:val="en-US"/>
        </w:rPr>
        <w:t>3.供应商应及时反馈电子资源出版变化信息。</w:t>
      </w:r>
    </w:p>
    <w:p>
      <w:pPr>
        <w:tabs>
          <w:tab w:val="left" w:pos="0"/>
        </w:tabs>
        <w:spacing w:line="400" w:lineRule="exact"/>
        <w:ind w:firstLine="480" w:firstLineChars="200"/>
        <w:rPr>
          <w:rFonts w:hint="eastAsia" w:ascii="仿宋" w:hAnsi="仿宋" w:eastAsia="仿宋"/>
          <w:b w:val="0"/>
          <w:bCs w:val="0"/>
          <w:sz w:val="24"/>
          <w:szCs w:val="24"/>
          <w:lang w:val="en-US"/>
        </w:rPr>
      </w:pPr>
      <w:r>
        <w:rPr>
          <w:rFonts w:hint="eastAsia" w:ascii="仿宋" w:hAnsi="仿宋" w:eastAsia="仿宋"/>
          <w:b w:val="0"/>
          <w:bCs w:val="0"/>
          <w:sz w:val="24"/>
          <w:szCs w:val="24"/>
          <w:lang w:val="en-US"/>
        </w:rPr>
        <w:t>4.提供完备的检索功能，能进行多维立体查询。</w:t>
      </w:r>
    </w:p>
    <w:p>
      <w:pPr>
        <w:tabs>
          <w:tab w:val="left" w:pos="0"/>
        </w:tabs>
        <w:spacing w:line="400" w:lineRule="exact"/>
        <w:ind w:firstLine="480" w:firstLineChars="200"/>
        <w:rPr>
          <w:rFonts w:hint="eastAsia" w:ascii="仿宋" w:hAnsi="仿宋" w:eastAsia="仿宋"/>
          <w:b w:val="0"/>
          <w:bCs w:val="0"/>
          <w:sz w:val="24"/>
          <w:szCs w:val="24"/>
          <w:lang w:val="en-US"/>
        </w:rPr>
      </w:pPr>
      <w:r>
        <w:rPr>
          <w:rFonts w:hint="eastAsia" w:ascii="仿宋" w:hAnsi="仿宋" w:eastAsia="仿宋"/>
          <w:b w:val="0"/>
          <w:bCs w:val="0"/>
          <w:sz w:val="24"/>
          <w:szCs w:val="24"/>
          <w:lang w:val="en-US"/>
        </w:rPr>
        <w:t>5.通过电话、EMAIL等方式进行的后续技术及内容需求服务，保证电子资源的正常使用，及时解决使用过程中出现的问题。</w:t>
      </w:r>
    </w:p>
    <w:p>
      <w:pPr>
        <w:tabs>
          <w:tab w:val="left" w:pos="0"/>
        </w:tabs>
        <w:spacing w:line="400" w:lineRule="exact"/>
        <w:ind w:firstLine="480" w:firstLineChars="200"/>
        <w:rPr>
          <w:rFonts w:hint="eastAsia" w:ascii="仿宋" w:hAnsi="仿宋" w:eastAsia="仿宋"/>
          <w:b w:val="0"/>
          <w:bCs w:val="0"/>
          <w:sz w:val="24"/>
          <w:szCs w:val="24"/>
          <w:lang w:val="en-US"/>
        </w:rPr>
      </w:pPr>
      <w:r>
        <w:rPr>
          <w:rFonts w:hint="eastAsia" w:ascii="仿宋" w:hAnsi="仿宋" w:eastAsia="仿宋"/>
          <w:b w:val="0"/>
          <w:bCs w:val="0"/>
          <w:sz w:val="24"/>
          <w:szCs w:val="24"/>
          <w:lang w:val="en-US" w:eastAsia="zh-CN"/>
        </w:rPr>
        <w:t>6</w:t>
      </w:r>
      <w:r>
        <w:rPr>
          <w:rFonts w:hint="eastAsia" w:ascii="仿宋" w:hAnsi="仿宋" w:eastAsia="仿宋"/>
          <w:b w:val="0"/>
          <w:bCs w:val="0"/>
          <w:sz w:val="24"/>
          <w:szCs w:val="24"/>
          <w:lang w:val="en-US"/>
        </w:rPr>
        <w:t>.供应商参加政府采购活动前3年内，在经营活动中没有重大违法记录，需提供在“中国裁判文书网”的查询结果证明；</w:t>
      </w:r>
    </w:p>
    <w:p>
      <w:pPr>
        <w:tabs>
          <w:tab w:val="left" w:pos="0"/>
        </w:tabs>
        <w:spacing w:line="400" w:lineRule="exact"/>
        <w:ind w:firstLine="480" w:firstLineChars="200"/>
        <w:rPr>
          <w:rFonts w:hint="eastAsia" w:ascii="仿宋" w:hAnsi="仿宋" w:eastAsia="仿宋"/>
          <w:b w:val="0"/>
          <w:bCs w:val="0"/>
          <w:sz w:val="24"/>
          <w:szCs w:val="24"/>
          <w:lang w:val="en-US"/>
        </w:rPr>
      </w:pPr>
      <w:r>
        <w:rPr>
          <w:rFonts w:hint="eastAsia" w:ascii="仿宋" w:hAnsi="仿宋" w:eastAsia="仿宋"/>
          <w:b w:val="0"/>
          <w:bCs w:val="0"/>
          <w:sz w:val="24"/>
          <w:szCs w:val="24"/>
          <w:lang w:val="en-US" w:eastAsia="zh-CN"/>
        </w:rPr>
        <w:t>7</w:t>
      </w:r>
      <w:r>
        <w:rPr>
          <w:rFonts w:hint="eastAsia" w:ascii="仿宋" w:hAnsi="仿宋" w:eastAsia="仿宋"/>
          <w:b w:val="0"/>
          <w:bCs w:val="0"/>
          <w:sz w:val="24"/>
          <w:szCs w:val="24"/>
          <w:lang w:val="en-US"/>
        </w:rPr>
        <w:t>.按照图书馆的要求提供相应的电子资源使用培训。</w:t>
      </w:r>
    </w:p>
    <w:p>
      <w:pPr>
        <w:tabs>
          <w:tab w:val="left" w:pos="0"/>
        </w:tabs>
        <w:spacing w:line="400" w:lineRule="exact"/>
        <w:ind w:firstLine="480" w:firstLineChars="200"/>
        <w:rPr>
          <w:rFonts w:hint="eastAsia" w:ascii="仿宋" w:hAnsi="仿宋" w:eastAsia="仿宋"/>
          <w:b w:val="0"/>
          <w:bCs w:val="0"/>
          <w:sz w:val="24"/>
          <w:szCs w:val="24"/>
          <w:lang w:val="en-US"/>
        </w:rPr>
      </w:pPr>
      <w:r>
        <w:rPr>
          <w:rFonts w:hint="eastAsia" w:ascii="仿宋" w:hAnsi="仿宋" w:eastAsia="仿宋"/>
          <w:b w:val="0"/>
          <w:bCs w:val="0"/>
          <w:sz w:val="24"/>
          <w:szCs w:val="24"/>
          <w:lang w:val="en-US" w:eastAsia="zh-CN"/>
        </w:rPr>
        <w:t>8</w:t>
      </w:r>
      <w:r>
        <w:rPr>
          <w:rFonts w:hint="eastAsia" w:ascii="仿宋" w:hAnsi="仿宋" w:eastAsia="仿宋"/>
          <w:b w:val="0"/>
          <w:bCs w:val="0"/>
          <w:sz w:val="24"/>
          <w:szCs w:val="24"/>
          <w:lang w:val="en-US"/>
        </w:rPr>
        <w:t>.由于各种原因无法访问电子资源，应及时告知图书馆并快速解决访问故障。</w:t>
      </w:r>
    </w:p>
    <w:p>
      <w:pPr>
        <w:tabs>
          <w:tab w:val="left" w:pos="0"/>
        </w:tabs>
        <w:spacing w:line="400" w:lineRule="exact"/>
        <w:ind w:firstLine="480" w:firstLineChars="200"/>
        <w:rPr>
          <w:rFonts w:hint="eastAsia" w:ascii="仿宋" w:hAnsi="仿宋" w:eastAsia="仿宋"/>
          <w:b w:val="0"/>
          <w:bCs w:val="0"/>
          <w:sz w:val="24"/>
          <w:szCs w:val="24"/>
          <w:lang w:val="en-US"/>
        </w:rPr>
      </w:pPr>
      <w:r>
        <w:rPr>
          <w:rFonts w:hint="eastAsia" w:ascii="仿宋" w:hAnsi="仿宋" w:eastAsia="仿宋"/>
          <w:b w:val="0"/>
          <w:bCs w:val="0"/>
          <w:sz w:val="24"/>
          <w:szCs w:val="24"/>
          <w:lang w:val="en-US" w:eastAsia="zh-CN"/>
        </w:rPr>
        <w:t>9</w:t>
      </w:r>
      <w:r>
        <w:rPr>
          <w:rFonts w:hint="eastAsia" w:ascii="仿宋" w:hAnsi="仿宋" w:eastAsia="仿宋"/>
          <w:b w:val="0"/>
          <w:bCs w:val="0"/>
          <w:sz w:val="24"/>
          <w:szCs w:val="24"/>
          <w:lang w:val="en-US"/>
        </w:rPr>
        <w:t>.供应商需要具有中外文电子资源的供应条件和经验，满足我馆对中外文电子资源的全部要求。</w:t>
      </w:r>
    </w:p>
    <w:p>
      <w:pPr>
        <w:tabs>
          <w:tab w:val="left" w:pos="0"/>
        </w:tabs>
        <w:spacing w:line="400" w:lineRule="exact"/>
        <w:ind w:firstLine="480" w:firstLineChars="200"/>
        <w:rPr>
          <w:rFonts w:hint="eastAsia" w:ascii="仿宋" w:hAnsi="仿宋" w:eastAsia="仿宋"/>
          <w:b w:val="0"/>
          <w:bCs w:val="0"/>
          <w:sz w:val="24"/>
          <w:szCs w:val="24"/>
          <w:lang w:val="en-US"/>
        </w:rPr>
      </w:pPr>
      <w:r>
        <w:rPr>
          <w:rFonts w:hint="eastAsia" w:ascii="仿宋" w:hAnsi="仿宋" w:eastAsia="仿宋"/>
          <w:b w:val="0"/>
          <w:bCs w:val="0"/>
          <w:sz w:val="24"/>
          <w:szCs w:val="24"/>
          <w:lang w:val="en-US" w:eastAsia="zh-CN"/>
        </w:rPr>
        <w:t>10</w:t>
      </w:r>
      <w:r>
        <w:rPr>
          <w:rFonts w:hint="eastAsia" w:ascii="仿宋" w:hAnsi="仿宋" w:eastAsia="仿宋"/>
          <w:b w:val="0"/>
          <w:bCs w:val="0"/>
          <w:sz w:val="24"/>
          <w:szCs w:val="24"/>
          <w:lang w:val="en-US"/>
        </w:rPr>
        <w:t>.供应商应提供符合国家财税法规要求的订购发票。</w:t>
      </w:r>
    </w:p>
    <w:p>
      <w:pPr>
        <w:tabs>
          <w:tab w:val="left" w:pos="0"/>
        </w:tabs>
        <w:spacing w:line="400" w:lineRule="exact"/>
        <w:ind w:firstLine="482" w:firstLineChars="200"/>
        <w:rPr>
          <w:rFonts w:hint="eastAsia" w:ascii="仿宋" w:hAnsi="仿宋" w:eastAsia="仿宋"/>
          <w:b w:val="0"/>
          <w:bCs w:val="0"/>
          <w:sz w:val="24"/>
          <w:szCs w:val="24"/>
          <w:highlight w:val="none"/>
        </w:rPr>
      </w:pPr>
      <w:r>
        <w:rPr>
          <w:rFonts w:hint="eastAsia" w:ascii="仿宋" w:hAnsi="仿宋" w:eastAsia="仿宋"/>
          <w:b/>
          <w:bCs/>
          <w:sz w:val="24"/>
          <w:szCs w:val="24"/>
          <w:lang w:val="en-US"/>
        </w:rPr>
        <w:t>四、</w:t>
      </w:r>
      <w:r>
        <w:rPr>
          <w:rFonts w:hint="eastAsia" w:ascii="仿宋" w:hAnsi="仿宋" w:eastAsia="仿宋"/>
          <w:b/>
          <w:bCs/>
          <w:sz w:val="24"/>
          <w:szCs w:val="24"/>
        </w:rPr>
        <w:t>质保要求</w:t>
      </w:r>
      <w:r>
        <w:rPr>
          <w:rFonts w:hint="eastAsia" w:ascii="仿宋" w:hAnsi="仿宋" w:eastAsia="仿宋"/>
          <w:b w:val="0"/>
          <w:bCs w:val="0"/>
          <w:sz w:val="24"/>
          <w:szCs w:val="24"/>
          <w:highlight w:val="none"/>
        </w:rPr>
        <w:fldChar w:fldCharType="begin"/>
      </w:r>
      <w:r>
        <w:rPr>
          <w:rFonts w:hint="eastAsia" w:ascii="仿宋" w:hAnsi="仿宋" w:eastAsia="仿宋"/>
          <w:b w:val="0"/>
          <w:bCs w:val="0"/>
          <w:sz w:val="24"/>
          <w:szCs w:val="24"/>
          <w:highlight w:val="none"/>
        </w:rPr>
        <w:instrText xml:space="preserve"> HYPERLINK "http://www.creditchina.gov.cn）和中国政府采购网（www.ccgp.gov.cn）网站上未被列入失信被执行人、重大税收违法案件当事人名单以及政府采购严重违法失信行为记录名单里。政府采购严重违法失信行为记录名单的供应商，拒绝参与本项目政府采购活动。"</w:instrText>
      </w:r>
      <w:r>
        <w:rPr>
          <w:rFonts w:hint="eastAsia" w:ascii="仿宋" w:hAnsi="仿宋" w:eastAsia="仿宋"/>
          <w:b w:val="0"/>
          <w:bCs w:val="0"/>
          <w:sz w:val="24"/>
          <w:szCs w:val="24"/>
          <w:highlight w:val="none"/>
        </w:rPr>
        <w:fldChar w:fldCharType="separate"/>
      </w:r>
    </w:p>
    <w:p>
      <w:pPr>
        <w:tabs>
          <w:tab w:val="left" w:pos="0"/>
        </w:tabs>
        <w:spacing w:line="400" w:lineRule="exact"/>
        <w:ind w:firstLine="480" w:firstLineChars="200"/>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1.供应商具有独立承担民事责任的能力；</w:t>
      </w:r>
    </w:p>
    <w:p>
      <w:pPr>
        <w:tabs>
          <w:tab w:val="left" w:pos="0"/>
        </w:tabs>
        <w:spacing w:line="400" w:lineRule="exact"/>
        <w:ind w:firstLine="480" w:firstLineChars="200"/>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2.供应商具有良好的商业信誉和健全的财务会计制度；</w:t>
      </w:r>
    </w:p>
    <w:p>
      <w:pPr>
        <w:tabs>
          <w:tab w:val="left" w:pos="0"/>
        </w:tabs>
        <w:spacing w:line="400" w:lineRule="exact"/>
        <w:ind w:firstLine="480" w:firstLineChars="200"/>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3.供应商具有履行合同所必需的设备和专业技术能力；</w:t>
      </w:r>
    </w:p>
    <w:p>
      <w:pPr>
        <w:tabs>
          <w:tab w:val="left" w:pos="0"/>
        </w:tabs>
        <w:spacing w:line="400" w:lineRule="exact"/>
        <w:ind w:firstLine="480" w:firstLineChars="200"/>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4.供应商有依法缴纳税收和社会保障资金的良好记录；</w:t>
      </w:r>
    </w:p>
    <w:p>
      <w:pPr>
        <w:tabs>
          <w:tab w:val="left" w:pos="0"/>
        </w:tabs>
        <w:spacing w:line="400" w:lineRule="exact"/>
        <w:ind w:firstLine="480" w:firstLineChars="200"/>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lang w:val="en-US" w:eastAsia="zh-CN"/>
        </w:rPr>
        <w:t>5</w:t>
      </w:r>
      <w:r>
        <w:rPr>
          <w:rFonts w:hint="eastAsia" w:ascii="仿宋" w:hAnsi="仿宋" w:eastAsia="仿宋"/>
          <w:b w:val="0"/>
          <w:bCs w:val="0"/>
          <w:sz w:val="24"/>
          <w:szCs w:val="24"/>
          <w:highlight w:val="none"/>
        </w:rPr>
        <w:t>.供应商在“信用中国”网站（www.creditchina.gov.cn）未被列入失信被执行人名单，未被列入重大税收违法案件当事人名单。且在“中国政府采购网”（www.ccgp.gov.cn）没有政府采购严重违法失信行为记录（被禁止在一定期限内参加政府采购活动，但期限届满的除外）；</w:t>
      </w:r>
    </w:p>
    <w:p>
      <w:pPr>
        <w:tabs>
          <w:tab w:val="left" w:pos="0"/>
        </w:tabs>
        <w:spacing w:line="400" w:lineRule="exact"/>
        <w:ind w:firstLine="480" w:firstLineChars="200"/>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lang w:val="en-US" w:eastAsia="zh-CN"/>
        </w:rPr>
        <w:t>6</w:t>
      </w:r>
      <w:r>
        <w:rPr>
          <w:rFonts w:hint="eastAsia" w:ascii="仿宋" w:hAnsi="仿宋" w:eastAsia="仿宋"/>
          <w:b w:val="0"/>
          <w:bCs w:val="0"/>
          <w:sz w:val="24"/>
          <w:szCs w:val="24"/>
          <w:highlight w:val="none"/>
        </w:rPr>
        <w:t>.所提供的数据库必须获得信息网络传播权，保证所供数据库信息内容符合中华人民共和国相关法律，并保证所供信息不会引起知识产权纠纷等法律责任。</w:t>
      </w:r>
    </w:p>
    <w:p>
      <w:pPr>
        <w:tabs>
          <w:tab w:val="left" w:pos="0"/>
        </w:tabs>
        <w:spacing w:line="400" w:lineRule="exact"/>
        <w:ind w:firstLine="480" w:firstLineChars="200"/>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lang w:val="en-US" w:eastAsia="zh-CN"/>
        </w:rPr>
        <w:t>7</w:t>
      </w:r>
      <w:r>
        <w:rPr>
          <w:rFonts w:hint="eastAsia" w:ascii="仿宋" w:hAnsi="仿宋" w:eastAsia="仿宋"/>
          <w:b w:val="0"/>
          <w:bCs w:val="0"/>
          <w:sz w:val="24"/>
          <w:szCs w:val="24"/>
          <w:highlight w:val="none"/>
        </w:rPr>
        <w:t>.法律行政法规规定的其他条件；</w:t>
      </w:r>
    </w:p>
    <w:p>
      <w:pPr>
        <w:tabs>
          <w:tab w:val="left" w:pos="0"/>
        </w:tabs>
        <w:spacing w:line="400" w:lineRule="exact"/>
        <w:ind w:firstLine="480" w:firstLineChars="200"/>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lang w:val="en-US" w:eastAsia="zh-CN"/>
        </w:rPr>
        <w:t>8</w:t>
      </w:r>
      <w:r>
        <w:rPr>
          <w:rFonts w:hint="eastAsia" w:ascii="仿宋" w:hAnsi="仿宋" w:eastAsia="仿宋"/>
          <w:b w:val="0"/>
          <w:bCs w:val="0"/>
          <w:sz w:val="24"/>
          <w:szCs w:val="24"/>
          <w:highlight w:val="none"/>
        </w:rPr>
        <w:t>.本项目不接受联合体投标；</w:t>
      </w:r>
    </w:p>
    <w:p>
      <w:pPr>
        <w:tabs>
          <w:tab w:val="left" w:pos="0"/>
        </w:tabs>
        <w:spacing w:line="400" w:lineRule="exact"/>
        <w:ind w:firstLine="480" w:firstLineChars="200"/>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fldChar w:fldCharType="end"/>
      </w:r>
      <w:r>
        <w:rPr>
          <w:rFonts w:hint="eastAsia" w:ascii="仿宋" w:hAnsi="仿宋" w:eastAsia="仿宋"/>
          <w:b w:val="0"/>
          <w:bCs w:val="0"/>
          <w:sz w:val="24"/>
          <w:szCs w:val="24"/>
          <w:highlight w:val="none"/>
          <w:lang w:val="en-US" w:eastAsia="zh-CN"/>
        </w:rPr>
        <w:t>9</w:t>
      </w:r>
      <w:r>
        <w:rPr>
          <w:rFonts w:hint="eastAsia" w:ascii="仿宋" w:hAnsi="仿宋" w:eastAsia="仿宋"/>
          <w:b w:val="0"/>
          <w:bCs w:val="0"/>
          <w:sz w:val="24"/>
          <w:szCs w:val="24"/>
          <w:highlight w:val="none"/>
        </w:rPr>
        <w:t>.供应商应为专门从事电子出版物的法人单位，所经销的电子出版物均为正式</w:t>
      </w:r>
      <w:r>
        <w:rPr>
          <w:rFonts w:hint="eastAsia" w:ascii="仿宋" w:hAnsi="仿宋" w:eastAsia="仿宋"/>
          <w:b w:val="0"/>
          <w:bCs w:val="0"/>
          <w:sz w:val="24"/>
          <w:szCs w:val="24"/>
          <w:highlight w:val="none"/>
          <w:lang w:val="en-US" w:eastAsia="zh-CN"/>
        </w:rPr>
        <w:t>出</w:t>
      </w:r>
      <w:r>
        <w:rPr>
          <w:rFonts w:hint="eastAsia" w:ascii="仿宋" w:hAnsi="仿宋" w:eastAsia="仿宋"/>
          <w:b w:val="0"/>
          <w:bCs w:val="0"/>
          <w:sz w:val="24"/>
          <w:szCs w:val="24"/>
          <w:highlight w:val="none"/>
        </w:rPr>
        <w:t>版物。</w:t>
      </w:r>
    </w:p>
    <w:p>
      <w:pPr>
        <w:tabs>
          <w:tab w:val="left" w:pos="0"/>
        </w:tabs>
        <w:spacing w:line="400" w:lineRule="exact"/>
        <w:ind w:firstLine="480" w:firstLineChars="200"/>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1</w:t>
      </w:r>
      <w:r>
        <w:rPr>
          <w:rFonts w:hint="eastAsia" w:ascii="仿宋" w:hAnsi="仿宋" w:eastAsia="仿宋"/>
          <w:b w:val="0"/>
          <w:bCs w:val="0"/>
          <w:sz w:val="24"/>
          <w:szCs w:val="24"/>
          <w:highlight w:val="none"/>
          <w:lang w:val="en-US" w:eastAsia="zh-CN"/>
        </w:rPr>
        <w:t>0</w:t>
      </w:r>
      <w:r>
        <w:rPr>
          <w:rFonts w:hint="eastAsia" w:ascii="仿宋" w:hAnsi="仿宋" w:eastAsia="仿宋"/>
          <w:b w:val="0"/>
          <w:bCs w:val="0"/>
          <w:sz w:val="24"/>
          <w:szCs w:val="24"/>
          <w:highlight w:val="none"/>
        </w:rPr>
        <w:t>.供应商应建有较完善、稳定的专业化电子商务网站，便于供需双方通过网络开展业务工作。</w:t>
      </w:r>
    </w:p>
    <w:p>
      <w:pPr>
        <w:tabs>
          <w:tab w:val="left" w:pos="0"/>
        </w:tabs>
        <w:spacing w:line="400" w:lineRule="exact"/>
        <w:ind w:firstLine="480" w:firstLineChars="200"/>
        <w:rPr>
          <w:rFonts w:ascii="仿宋" w:hAnsi="仿宋" w:eastAsia="仿宋"/>
          <w:color w:val="000000"/>
          <w:sz w:val="24"/>
          <w:szCs w:val="24"/>
        </w:rPr>
      </w:pPr>
    </w:p>
    <w:p>
      <w:pPr>
        <w:tabs>
          <w:tab w:val="left" w:pos="0"/>
        </w:tabs>
        <w:spacing w:line="400" w:lineRule="exact"/>
        <w:ind w:firstLine="480" w:firstLineChars="200"/>
        <w:rPr>
          <w:rFonts w:ascii="仿宋" w:hAnsi="仿宋" w:eastAsia="仿宋"/>
          <w:color w:val="000000"/>
          <w:sz w:val="24"/>
          <w:szCs w:val="24"/>
        </w:rPr>
      </w:pPr>
    </w:p>
    <w:sectPr>
      <w:pgSz w:w="11910" w:h="16840"/>
      <w:pgMar w:top="1500" w:right="920" w:bottom="1160" w:left="920" w:header="0" w:footer="97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9933940</wp:posOffset>
              </wp:positionV>
              <wp:extent cx="167005" cy="139700"/>
              <wp:effectExtent l="0" t="0" r="0" b="0"/>
              <wp:wrapNone/>
              <wp:docPr id="166"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7</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05pt;margin-top:782.2pt;height:11pt;width:13.15pt;mso-position-horizontal-relative:page;mso-position-vertical-relative:page;z-index:-251657216;mso-width-relative:page;mso-height-relative:page;" filled="f" stroked="f" coordsize="21600,21600" o:gfxdata="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s1cfdsAAAANAQAADwAAAAAAAAABACAAAAAiAAAAZHJzL2Rvd25yZXYueG1sUEsB&#10;AhQAFAAAAAgAh07iQAUMEQK5AQAAcwMAAA4AAAAAAAAAAQAgAAAAKgEAAGRycy9lMm9Eb2MueG1s&#10;UEsFBgAAAAAGAAYAWQEAAFUFA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5276215</wp:posOffset>
              </wp:positionH>
              <wp:positionV relativeFrom="page">
                <wp:posOffset>6802120</wp:posOffset>
              </wp:positionV>
              <wp:extent cx="141605" cy="139700"/>
              <wp:effectExtent l="0" t="0" r="0" b="0"/>
              <wp:wrapNone/>
              <wp:docPr id="167" name="文本框 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ascii="Calibri"/>
                              <w:sz w:val="18"/>
                            </w:rPr>
                          </w:pPr>
                          <w:r>
                            <w:rPr>
                              <w:rFonts w:ascii="Calibri"/>
                              <w:sz w:val="18"/>
                            </w:rPr>
                            <w:t>26</w:t>
                          </w:r>
                        </w:p>
                      </w:txbxContent>
                    </wps:txbx>
                    <wps:bodyPr lIns="0" tIns="0" rIns="0" bIns="0" upright="1"/>
                  </wps:wsp>
                </a:graphicData>
              </a:graphic>
            </wp:anchor>
          </w:drawing>
        </mc:Choice>
        <mc:Fallback>
          <w:pict>
            <v:shape id="文本框 2" o:spid="_x0000_s1026" o:spt="202" type="#_x0000_t202" style="position:absolute;left:0pt;margin-left:415.45pt;margin-top:535.6pt;height:11pt;width:11.15pt;mso-position-horizontal-relative:page;mso-position-vertical-relative:page;z-index:-251656192;mso-width-relative:page;mso-height-relative:page;" filled="f" stroked="f" coordsize="21600,21600" o:gfxdata="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by+eXZAAAADQEAAA8AAAAAAAAAAQAgAAAAIgAAAGRycy9kb3ducmV2LnhtbFBL&#10;AQIUABQAAAAIAIdO4kB+Kz+VvAEAAHMDAAAOAAAAAAAAAAEAIAAAACgBAABkcnMvZTJvRG9jLnht&#10;bFBLBQYAAAAABgAGAFkBAABWBQAAAAA=&#10;">
              <v:fill on="f" focussize="0,0"/>
              <v:stroke on="f"/>
              <v:imagedata o:title=""/>
              <o:lock v:ext="edit" aspectratio="f"/>
              <v:textbox inset="0mm,0mm,0mm,0mm">
                <w:txbxContent>
                  <w:p>
                    <w:pPr>
                      <w:spacing w:line="203" w:lineRule="exact"/>
                      <w:ind w:left="20"/>
                      <w:rPr>
                        <w:rFonts w:ascii="Calibri"/>
                        <w:sz w:val="18"/>
                      </w:rPr>
                    </w:pPr>
                    <w:r>
                      <w:rPr>
                        <w:rFonts w:ascii="Calibri"/>
                        <w:sz w:val="18"/>
                      </w:rPr>
                      <w:t>26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3696335</wp:posOffset>
              </wp:positionH>
              <wp:positionV relativeFrom="page">
                <wp:posOffset>9933940</wp:posOffset>
              </wp:positionV>
              <wp:extent cx="167005" cy="139700"/>
              <wp:effectExtent l="0" t="0" r="0" b="0"/>
              <wp:wrapNone/>
              <wp:docPr id="168"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28</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05pt;margin-top:782.2pt;height:11pt;width:13.15pt;mso-position-horizontal-relative:page;mso-position-vertical-relative:page;z-index:-251655168;mso-width-relative:page;mso-height-relative:page;" filled="f" stroked="f" coordsize="21600,21600" o:gfxdata="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CzVx92wAAAA0BAAAPAAAAAAAAAAEAIAAAACIAAABkcnMvZG93bnJldi54bWxQSwEC&#10;FAAUAAAACACHTuJAnNgEDrgBAABzAwAADgAAAAAAAAABACAAAAAqAQAAZHJzL2Uyb0RvYy54bWxQ&#10;SwUGAAAAAAYABgBZAQAAVA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3696335</wp:posOffset>
              </wp:positionH>
              <wp:positionV relativeFrom="page">
                <wp:posOffset>9933940</wp:posOffset>
              </wp:positionV>
              <wp:extent cx="167005" cy="139700"/>
              <wp:effectExtent l="0" t="0" r="0" b="0"/>
              <wp:wrapNone/>
              <wp:docPr id="169"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05pt;margin-top:782.2pt;height:11pt;width:13.15pt;mso-position-horizontal-relative:page;mso-position-vertical-relative:page;z-index:-251654144;mso-width-relative:page;mso-height-relative:page;" filled="f" stroked="f" coordsize="21600,21600" o:gfxdata="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s1cfdsAAAANAQAADwAAAAAAAAABACAAAAAiAAAAZHJzL2Rvd25yZXYueG1sUEsB&#10;AhQAFAAAAAgAh07iQFty01q5AQAAcwMAAA4AAAAAAAAAAQAgAAAAKgEAAGRycy9lMm9Eb2MueG1s&#10;UEsFBgAAAAAGAAYAWQEAAFUFA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CE7C4"/>
    <w:multiLevelType w:val="singleLevel"/>
    <w:tmpl w:val="9DCCE7C4"/>
    <w:lvl w:ilvl="0" w:tentative="0">
      <w:start w:val="6"/>
      <w:numFmt w:val="decimal"/>
      <w:suff w:val="nothing"/>
      <w:lvlText w:val="%1、"/>
      <w:lvlJc w:val="left"/>
    </w:lvl>
  </w:abstractNum>
  <w:abstractNum w:abstractNumId="1">
    <w:nsid w:val="9F103FDC"/>
    <w:multiLevelType w:val="singleLevel"/>
    <w:tmpl w:val="9F103FDC"/>
    <w:lvl w:ilvl="0" w:tentative="0">
      <w:start w:val="7"/>
      <w:numFmt w:val="decimal"/>
      <w:suff w:val="nothing"/>
      <w:lvlText w:val="%1、"/>
      <w:lvlJc w:val="left"/>
    </w:lvl>
  </w:abstractNum>
  <w:abstractNum w:abstractNumId="2">
    <w:nsid w:val="CF092B84"/>
    <w:multiLevelType w:val="multilevel"/>
    <w:tmpl w:val="CF092B84"/>
    <w:lvl w:ilvl="0" w:tentative="0">
      <w:start w:val="1"/>
      <w:numFmt w:val="lowerLetter"/>
      <w:lvlText w:val="（%1）"/>
      <w:lvlJc w:val="left"/>
      <w:pPr>
        <w:ind w:left="920" w:hanging="601"/>
        <w:jc w:val="left"/>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1641" w:hanging="241"/>
        <w:jc w:val="left"/>
      </w:pPr>
      <w:rPr>
        <w:rFonts w:hint="default" w:ascii="宋体" w:hAnsi="宋体" w:eastAsia="宋体" w:cs="宋体"/>
        <w:w w:val="100"/>
        <w:sz w:val="22"/>
        <w:szCs w:val="22"/>
        <w:lang w:val="zh-CN" w:eastAsia="zh-CN" w:bidi="zh-CN"/>
      </w:rPr>
    </w:lvl>
    <w:lvl w:ilvl="2" w:tentative="0">
      <w:start w:val="1"/>
      <w:numFmt w:val="decimal"/>
      <w:lvlText w:val="%2.%3"/>
      <w:lvlJc w:val="left"/>
      <w:pPr>
        <w:ind w:left="920" w:hanging="576"/>
        <w:jc w:val="left"/>
      </w:pPr>
      <w:rPr>
        <w:rFonts w:hint="default" w:ascii="宋体" w:hAnsi="宋体" w:eastAsia="宋体" w:cs="宋体"/>
        <w:spacing w:val="-24"/>
        <w:w w:val="100"/>
        <w:sz w:val="24"/>
        <w:szCs w:val="24"/>
        <w:lang w:val="zh-CN" w:eastAsia="zh-CN" w:bidi="zh-CN"/>
      </w:rPr>
    </w:lvl>
    <w:lvl w:ilvl="3" w:tentative="0">
      <w:start w:val="1"/>
      <w:numFmt w:val="decimal"/>
      <w:lvlText w:val="%2.%3.%4"/>
      <w:lvlJc w:val="left"/>
      <w:pPr>
        <w:ind w:left="2240" w:hanging="840"/>
        <w:jc w:val="left"/>
      </w:pPr>
      <w:rPr>
        <w:rFonts w:hint="default" w:ascii="宋体" w:hAnsi="宋体" w:eastAsia="宋体" w:cs="宋体"/>
        <w:spacing w:val="-60"/>
        <w:w w:val="100"/>
        <w:sz w:val="24"/>
        <w:szCs w:val="24"/>
        <w:lang w:val="zh-CN" w:eastAsia="zh-CN" w:bidi="zh-CN"/>
      </w:rPr>
    </w:lvl>
    <w:lvl w:ilvl="4" w:tentative="0">
      <w:start w:val="0"/>
      <w:numFmt w:val="bullet"/>
      <w:lvlText w:val="•"/>
      <w:lvlJc w:val="left"/>
      <w:pPr>
        <w:ind w:left="3369" w:hanging="840"/>
      </w:pPr>
      <w:rPr>
        <w:rFonts w:hint="default"/>
        <w:lang w:val="zh-CN" w:eastAsia="zh-CN" w:bidi="zh-CN"/>
      </w:rPr>
    </w:lvl>
    <w:lvl w:ilvl="5" w:tentative="0">
      <w:start w:val="0"/>
      <w:numFmt w:val="bullet"/>
      <w:lvlText w:val="•"/>
      <w:lvlJc w:val="left"/>
      <w:pPr>
        <w:ind w:left="4498" w:hanging="840"/>
      </w:pPr>
      <w:rPr>
        <w:rFonts w:hint="default"/>
        <w:lang w:val="zh-CN" w:eastAsia="zh-CN" w:bidi="zh-CN"/>
      </w:rPr>
    </w:lvl>
    <w:lvl w:ilvl="6" w:tentative="0">
      <w:start w:val="0"/>
      <w:numFmt w:val="bullet"/>
      <w:lvlText w:val="•"/>
      <w:lvlJc w:val="left"/>
      <w:pPr>
        <w:ind w:left="5628" w:hanging="840"/>
      </w:pPr>
      <w:rPr>
        <w:rFonts w:hint="default"/>
        <w:lang w:val="zh-CN" w:eastAsia="zh-CN" w:bidi="zh-CN"/>
      </w:rPr>
    </w:lvl>
    <w:lvl w:ilvl="7" w:tentative="0">
      <w:start w:val="0"/>
      <w:numFmt w:val="bullet"/>
      <w:lvlText w:val="•"/>
      <w:lvlJc w:val="left"/>
      <w:pPr>
        <w:ind w:left="6757" w:hanging="840"/>
      </w:pPr>
      <w:rPr>
        <w:rFonts w:hint="default"/>
        <w:lang w:val="zh-CN" w:eastAsia="zh-CN" w:bidi="zh-CN"/>
      </w:rPr>
    </w:lvl>
    <w:lvl w:ilvl="8" w:tentative="0">
      <w:start w:val="0"/>
      <w:numFmt w:val="bullet"/>
      <w:lvlText w:val="•"/>
      <w:lvlJc w:val="left"/>
      <w:pPr>
        <w:ind w:left="7887" w:hanging="840"/>
      </w:pPr>
      <w:rPr>
        <w:rFonts w:hint="default"/>
        <w:lang w:val="zh-CN" w:eastAsia="zh-CN" w:bidi="zh-CN"/>
      </w:rPr>
    </w:lvl>
  </w:abstractNum>
  <w:abstractNum w:abstractNumId="3">
    <w:nsid w:val="D1D18E85"/>
    <w:multiLevelType w:val="singleLevel"/>
    <w:tmpl w:val="D1D18E85"/>
    <w:lvl w:ilvl="0" w:tentative="0">
      <w:start w:val="1"/>
      <w:numFmt w:val="decimal"/>
      <w:suff w:val="space"/>
      <w:lvlText w:val="%1."/>
      <w:lvlJc w:val="left"/>
    </w:lvl>
  </w:abstractNum>
  <w:abstractNum w:abstractNumId="4">
    <w:nsid w:val="DCBA6B53"/>
    <w:multiLevelType w:val="multilevel"/>
    <w:tmpl w:val="DCBA6B53"/>
    <w:lvl w:ilvl="0" w:tentative="0">
      <w:start w:val="1"/>
      <w:numFmt w:val="decimal"/>
      <w:lvlText w:val="%1."/>
      <w:lvlJc w:val="left"/>
      <w:pPr>
        <w:ind w:left="1601"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446" w:hanging="241"/>
      </w:pPr>
      <w:rPr>
        <w:rFonts w:hint="default"/>
        <w:lang w:val="zh-CN" w:eastAsia="zh-CN" w:bidi="zh-CN"/>
      </w:rPr>
    </w:lvl>
    <w:lvl w:ilvl="2" w:tentative="0">
      <w:start w:val="0"/>
      <w:numFmt w:val="bullet"/>
      <w:lvlText w:val="•"/>
      <w:lvlJc w:val="left"/>
      <w:pPr>
        <w:ind w:left="3293" w:hanging="241"/>
      </w:pPr>
      <w:rPr>
        <w:rFonts w:hint="default"/>
        <w:lang w:val="zh-CN" w:eastAsia="zh-CN" w:bidi="zh-CN"/>
      </w:rPr>
    </w:lvl>
    <w:lvl w:ilvl="3" w:tentative="0">
      <w:start w:val="0"/>
      <w:numFmt w:val="bullet"/>
      <w:lvlText w:val="•"/>
      <w:lvlJc w:val="left"/>
      <w:pPr>
        <w:ind w:left="4139" w:hanging="241"/>
      </w:pPr>
      <w:rPr>
        <w:rFonts w:hint="default"/>
        <w:lang w:val="zh-CN" w:eastAsia="zh-CN" w:bidi="zh-CN"/>
      </w:rPr>
    </w:lvl>
    <w:lvl w:ilvl="4" w:tentative="0">
      <w:start w:val="0"/>
      <w:numFmt w:val="bullet"/>
      <w:lvlText w:val="•"/>
      <w:lvlJc w:val="left"/>
      <w:pPr>
        <w:ind w:left="4986" w:hanging="241"/>
      </w:pPr>
      <w:rPr>
        <w:rFonts w:hint="default"/>
        <w:lang w:val="zh-CN" w:eastAsia="zh-CN" w:bidi="zh-CN"/>
      </w:rPr>
    </w:lvl>
    <w:lvl w:ilvl="5" w:tentative="0">
      <w:start w:val="0"/>
      <w:numFmt w:val="bullet"/>
      <w:lvlText w:val="•"/>
      <w:lvlJc w:val="left"/>
      <w:pPr>
        <w:ind w:left="5833" w:hanging="241"/>
      </w:pPr>
      <w:rPr>
        <w:rFonts w:hint="default"/>
        <w:lang w:val="zh-CN" w:eastAsia="zh-CN" w:bidi="zh-CN"/>
      </w:rPr>
    </w:lvl>
    <w:lvl w:ilvl="6" w:tentative="0">
      <w:start w:val="0"/>
      <w:numFmt w:val="bullet"/>
      <w:lvlText w:val="•"/>
      <w:lvlJc w:val="left"/>
      <w:pPr>
        <w:ind w:left="6679" w:hanging="241"/>
      </w:pPr>
      <w:rPr>
        <w:rFonts w:hint="default"/>
        <w:lang w:val="zh-CN" w:eastAsia="zh-CN" w:bidi="zh-CN"/>
      </w:rPr>
    </w:lvl>
    <w:lvl w:ilvl="7" w:tentative="0">
      <w:start w:val="0"/>
      <w:numFmt w:val="bullet"/>
      <w:lvlText w:val="•"/>
      <w:lvlJc w:val="left"/>
      <w:pPr>
        <w:ind w:left="7526" w:hanging="241"/>
      </w:pPr>
      <w:rPr>
        <w:rFonts w:hint="default"/>
        <w:lang w:val="zh-CN" w:eastAsia="zh-CN" w:bidi="zh-CN"/>
      </w:rPr>
    </w:lvl>
    <w:lvl w:ilvl="8" w:tentative="0">
      <w:start w:val="0"/>
      <w:numFmt w:val="bullet"/>
      <w:lvlText w:val="•"/>
      <w:lvlJc w:val="left"/>
      <w:pPr>
        <w:ind w:left="8373" w:hanging="241"/>
      </w:pPr>
      <w:rPr>
        <w:rFonts w:hint="default"/>
        <w:lang w:val="zh-CN" w:eastAsia="zh-CN" w:bidi="zh-CN"/>
      </w:rPr>
    </w:lvl>
  </w:abstractNum>
  <w:abstractNum w:abstractNumId="5">
    <w:nsid w:val="FBB07128"/>
    <w:multiLevelType w:val="singleLevel"/>
    <w:tmpl w:val="FBB07128"/>
    <w:lvl w:ilvl="0" w:tentative="0">
      <w:start w:val="1"/>
      <w:numFmt w:val="decimal"/>
      <w:suff w:val="nothing"/>
      <w:lvlText w:val="%1、"/>
      <w:lvlJc w:val="left"/>
    </w:lvl>
  </w:abstractNum>
  <w:abstractNum w:abstractNumId="6">
    <w:nsid w:val="03D62ECE"/>
    <w:multiLevelType w:val="multilevel"/>
    <w:tmpl w:val="03D62ECE"/>
    <w:lvl w:ilvl="0" w:tentative="0">
      <w:start w:val="1"/>
      <w:numFmt w:val="decimal"/>
      <w:lvlText w:val="(%1)"/>
      <w:lvlJc w:val="left"/>
      <w:pPr>
        <w:ind w:left="1761"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598" w:hanging="361"/>
      </w:pPr>
      <w:rPr>
        <w:rFonts w:hint="default"/>
        <w:lang w:val="zh-CN" w:eastAsia="zh-CN" w:bidi="zh-CN"/>
      </w:rPr>
    </w:lvl>
    <w:lvl w:ilvl="2" w:tentative="0">
      <w:start w:val="0"/>
      <w:numFmt w:val="bullet"/>
      <w:lvlText w:val="•"/>
      <w:lvlJc w:val="left"/>
      <w:pPr>
        <w:ind w:left="3437" w:hanging="361"/>
      </w:pPr>
      <w:rPr>
        <w:rFonts w:hint="default"/>
        <w:lang w:val="zh-CN" w:eastAsia="zh-CN" w:bidi="zh-CN"/>
      </w:rPr>
    </w:lvl>
    <w:lvl w:ilvl="3" w:tentative="0">
      <w:start w:val="0"/>
      <w:numFmt w:val="bullet"/>
      <w:lvlText w:val="•"/>
      <w:lvlJc w:val="left"/>
      <w:pPr>
        <w:ind w:left="4275" w:hanging="361"/>
      </w:pPr>
      <w:rPr>
        <w:rFonts w:hint="default"/>
        <w:lang w:val="zh-CN" w:eastAsia="zh-CN" w:bidi="zh-CN"/>
      </w:rPr>
    </w:lvl>
    <w:lvl w:ilvl="4" w:tentative="0">
      <w:start w:val="0"/>
      <w:numFmt w:val="bullet"/>
      <w:lvlText w:val="•"/>
      <w:lvlJc w:val="left"/>
      <w:pPr>
        <w:ind w:left="5114" w:hanging="361"/>
      </w:pPr>
      <w:rPr>
        <w:rFonts w:hint="default"/>
        <w:lang w:val="zh-CN" w:eastAsia="zh-CN" w:bidi="zh-CN"/>
      </w:rPr>
    </w:lvl>
    <w:lvl w:ilvl="5" w:tentative="0">
      <w:start w:val="0"/>
      <w:numFmt w:val="bullet"/>
      <w:lvlText w:val="•"/>
      <w:lvlJc w:val="left"/>
      <w:pPr>
        <w:ind w:left="5953" w:hanging="361"/>
      </w:pPr>
      <w:rPr>
        <w:rFonts w:hint="default"/>
        <w:lang w:val="zh-CN" w:eastAsia="zh-CN" w:bidi="zh-CN"/>
      </w:rPr>
    </w:lvl>
    <w:lvl w:ilvl="6" w:tentative="0">
      <w:start w:val="0"/>
      <w:numFmt w:val="bullet"/>
      <w:lvlText w:val="•"/>
      <w:lvlJc w:val="left"/>
      <w:pPr>
        <w:ind w:left="6791" w:hanging="361"/>
      </w:pPr>
      <w:rPr>
        <w:rFonts w:hint="default"/>
        <w:lang w:val="zh-CN" w:eastAsia="zh-CN" w:bidi="zh-CN"/>
      </w:rPr>
    </w:lvl>
    <w:lvl w:ilvl="7" w:tentative="0">
      <w:start w:val="0"/>
      <w:numFmt w:val="bullet"/>
      <w:lvlText w:val="•"/>
      <w:lvlJc w:val="left"/>
      <w:pPr>
        <w:ind w:left="7630" w:hanging="361"/>
      </w:pPr>
      <w:rPr>
        <w:rFonts w:hint="default"/>
        <w:lang w:val="zh-CN" w:eastAsia="zh-CN" w:bidi="zh-CN"/>
      </w:rPr>
    </w:lvl>
    <w:lvl w:ilvl="8" w:tentative="0">
      <w:start w:val="0"/>
      <w:numFmt w:val="bullet"/>
      <w:lvlText w:val="•"/>
      <w:lvlJc w:val="left"/>
      <w:pPr>
        <w:ind w:left="8469" w:hanging="361"/>
      </w:pPr>
      <w:rPr>
        <w:rFonts w:hint="default"/>
        <w:lang w:val="zh-CN" w:eastAsia="zh-CN" w:bidi="zh-CN"/>
      </w:rPr>
    </w:lvl>
  </w:abstractNum>
  <w:abstractNum w:abstractNumId="7">
    <w:nsid w:val="220E9CC8"/>
    <w:multiLevelType w:val="singleLevel"/>
    <w:tmpl w:val="220E9CC8"/>
    <w:lvl w:ilvl="0" w:tentative="0">
      <w:start w:val="1"/>
      <w:numFmt w:val="decimal"/>
      <w:suff w:val="nothing"/>
      <w:lvlText w:val="%1、"/>
      <w:lvlJc w:val="left"/>
    </w:lvl>
  </w:abstractNum>
  <w:abstractNum w:abstractNumId="8">
    <w:nsid w:val="2470EC97"/>
    <w:multiLevelType w:val="multilevel"/>
    <w:tmpl w:val="2470EC97"/>
    <w:lvl w:ilvl="0" w:tentative="0">
      <w:start w:val="1"/>
      <w:numFmt w:val="decimal"/>
      <w:lvlText w:val="%1."/>
      <w:lvlJc w:val="left"/>
      <w:pPr>
        <w:ind w:left="880" w:hanging="213"/>
        <w:jc w:val="left"/>
      </w:pPr>
      <w:rPr>
        <w:rFonts w:hint="default" w:ascii="宋体" w:hAnsi="宋体" w:eastAsia="宋体" w:cs="宋体"/>
        <w:spacing w:val="-17"/>
        <w:w w:val="100"/>
        <w:sz w:val="19"/>
        <w:szCs w:val="19"/>
        <w:lang w:val="zh-CN" w:eastAsia="zh-CN" w:bidi="zh-CN"/>
      </w:rPr>
    </w:lvl>
    <w:lvl w:ilvl="1" w:tentative="0">
      <w:start w:val="0"/>
      <w:numFmt w:val="bullet"/>
      <w:lvlText w:val="•"/>
      <w:lvlJc w:val="left"/>
      <w:pPr>
        <w:ind w:left="1798" w:hanging="213"/>
      </w:pPr>
      <w:rPr>
        <w:rFonts w:hint="default"/>
        <w:lang w:val="zh-CN" w:eastAsia="zh-CN" w:bidi="zh-CN"/>
      </w:rPr>
    </w:lvl>
    <w:lvl w:ilvl="2" w:tentative="0">
      <w:start w:val="0"/>
      <w:numFmt w:val="bullet"/>
      <w:lvlText w:val="•"/>
      <w:lvlJc w:val="left"/>
      <w:pPr>
        <w:ind w:left="2717" w:hanging="213"/>
      </w:pPr>
      <w:rPr>
        <w:rFonts w:hint="default"/>
        <w:lang w:val="zh-CN" w:eastAsia="zh-CN" w:bidi="zh-CN"/>
      </w:rPr>
    </w:lvl>
    <w:lvl w:ilvl="3" w:tentative="0">
      <w:start w:val="0"/>
      <w:numFmt w:val="bullet"/>
      <w:lvlText w:val="•"/>
      <w:lvlJc w:val="left"/>
      <w:pPr>
        <w:ind w:left="3635" w:hanging="213"/>
      </w:pPr>
      <w:rPr>
        <w:rFonts w:hint="default"/>
        <w:lang w:val="zh-CN" w:eastAsia="zh-CN" w:bidi="zh-CN"/>
      </w:rPr>
    </w:lvl>
    <w:lvl w:ilvl="4" w:tentative="0">
      <w:start w:val="0"/>
      <w:numFmt w:val="bullet"/>
      <w:lvlText w:val="•"/>
      <w:lvlJc w:val="left"/>
      <w:pPr>
        <w:ind w:left="4554" w:hanging="213"/>
      </w:pPr>
      <w:rPr>
        <w:rFonts w:hint="default"/>
        <w:lang w:val="zh-CN" w:eastAsia="zh-CN" w:bidi="zh-CN"/>
      </w:rPr>
    </w:lvl>
    <w:lvl w:ilvl="5" w:tentative="0">
      <w:start w:val="0"/>
      <w:numFmt w:val="bullet"/>
      <w:lvlText w:val="•"/>
      <w:lvlJc w:val="left"/>
      <w:pPr>
        <w:ind w:left="5473" w:hanging="213"/>
      </w:pPr>
      <w:rPr>
        <w:rFonts w:hint="default"/>
        <w:lang w:val="zh-CN" w:eastAsia="zh-CN" w:bidi="zh-CN"/>
      </w:rPr>
    </w:lvl>
    <w:lvl w:ilvl="6" w:tentative="0">
      <w:start w:val="0"/>
      <w:numFmt w:val="bullet"/>
      <w:lvlText w:val="•"/>
      <w:lvlJc w:val="left"/>
      <w:pPr>
        <w:ind w:left="6391" w:hanging="213"/>
      </w:pPr>
      <w:rPr>
        <w:rFonts w:hint="default"/>
        <w:lang w:val="zh-CN" w:eastAsia="zh-CN" w:bidi="zh-CN"/>
      </w:rPr>
    </w:lvl>
    <w:lvl w:ilvl="7" w:tentative="0">
      <w:start w:val="0"/>
      <w:numFmt w:val="bullet"/>
      <w:lvlText w:val="•"/>
      <w:lvlJc w:val="left"/>
      <w:pPr>
        <w:ind w:left="7310" w:hanging="213"/>
      </w:pPr>
      <w:rPr>
        <w:rFonts w:hint="default"/>
        <w:lang w:val="zh-CN" w:eastAsia="zh-CN" w:bidi="zh-CN"/>
      </w:rPr>
    </w:lvl>
    <w:lvl w:ilvl="8" w:tentative="0">
      <w:start w:val="0"/>
      <w:numFmt w:val="bullet"/>
      <w:lvlText w:val="•"/>
      <w:lvlJc w:val="left"/>
      <w:pPr>
        <w:ind w:left="8229" w:hanging="213"/>
      </w:pPr>
      <w:rPr>
        <w:rFonts w:hint="default"/>
        <w:lang w:val="zh-CN" w:eastAsia="zh-CN" w:bidi="zh-CN"/>
      </w:rPr>
    </w:lvl>
  </w:abstractNum>
  <w:abstractNum w:abstractNumId="9">
    <w:nsid w:val="25B654F3"/>
    <w:multiLevelType w:val="multilevel"/>
    <w:tmpl w:val="25B654F3"/>
    <w:lvl w:ilvl="0" w:tentative="0">
      <w:start w:val="1"/>
      <w:numFmt w:val="decimal"/>
      <w:lvlText w:val="(%1)"/>
      <w:lvlJc w:val="left"/>
      <w:pPr>
        <w:ind w:left="1761"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598" w:hanging="361"/>
      </w:pPr>
      <w:rPr>
        <w:rFonts w:hint="default"/>
        <w:lang w:val="zh-CN" w:eastAsia="zh-CN" w:bidi="zh-CN"/>
      </w:rPr>
    </w:lvl>
    <w:lvl w:ilvl="2" w:tentative="0">
      <w:start w:val="0"/>
      <w:numFmt w:val="bullet"/>
      <w:lvlText w:val="•"/>
      <w:lvlJc w:val="left"/>
      <w:pPr>
        <w:ind w:left="3437" w:hanging="361"/>
      </w:pPr>
      <w:rPr>
        <w:rFonts w:hint="default"/>
        <w:lang w:val="zh-CN" w:eastAsia="zh-CN" w:bidi="zh-CN"/>
      </w:rPr>
    </w:lvl>
    <w:lvl w:ilvl="3" w:tentative="0">
      <w:start w:val="0"/>
      <w:numFmt w:val="bullet"/>
      <w:lvlText w:val="•"/>
      <w:lvlJc w:val="left"/>
      <w:pPr>
        <w:ind w:left="4275" w:hanging="361"/>
      </w:pPr>
      <w:rPr>
        <w:rFonts w:hint="default"/>
        <w:lang w:val="zh-CN" w:eastAsia="zh-CN" w:bidi="zh-CN"/>
      </w:rPr>
    </w:lvl>
    <w:lvl w:ilvl="4" w:tentative="0">
      <w:start w:val="0"/>
      <w:numFmt w:val="bullet"/>
      <w:lvlText w:val="•"/>
      <w:lvlJc w:val="left"/>
      <w:pPr>
        <w:ind w:left="5114" w:hanging="361"/>
      </w:pPr>
      <w:rPr>
        <w:rFonts w:hint="default"/>
        <w:lang w:val="zh-CN" w:eastAsia="zh-CN" w:bidi="zh-CN"/>
      </w:rPr>
    </w:lvl>
    <w:lvl w:ilvl="5" w:tentative="0">
      <w:start w:val="0"/>
      <w:numFmt w:val="bullet"/>
      <w:lvlText w:val="•"/>
      <w:lvlJc w:val="left"/>
      <w:pPr>
        <w:ind w:left="5953" w:hanging="361"/>
      </w:pPr>
      <w:rPr>
        <w:rFonts w:hint="default"/>
        <w:lang w:val="zh-CN" w:eastAsia="zh-CN" w:bidi="zh-CN"/>
      </w:rPr>
    </w:lvl>
    <w:lvl w:ilvl="6" w:tentative="0">
      <w:start w:val="0"/>
      <w:numFmt w:val="bullet"/>
      <w:lvlText w:val="•"/>
      <w:lvlJc w:val="left"/>
      <w:pPr>
        <w:ind w:left="6791" w:hanging="361"/>
      </w:pPr>
      <w:rPr>
        <w:rFonts w:hint="default"/>
        <w:lang w:val="zh-CN" w:eastAsia="zh-CN" w:bidi="zh-CN"/>
      </w:rPr>
    </w:lvl>
    <w:lvl w:ilvl="7" w:tentative="0">
      <w:start w:val="0"/>
      <w:numFmt w:val="bullet"/>
      <w:lvlText w:val="•"/>
      <w:lvlJc w:val="left"/>
      <w:pPr>
        <w:ind w:left="7630" w:hanging="361"/>
      </w:pPr>
      <w:rPr>
        <w:rFonts w:hint="default"/>
        <w:lang w:val="zh-CN" w:eastAsia="zh-CN" w:bidi="zh-CN"/>
      </w:rPr>
    </w:lvl>
    <w:lvl w:ilvl="8" w:tentative="0">
      <w:start w:val="0"/>
      <w:numFmt w:val="bullet"/>
      <w:lvlText w:val="•"/>
      <w:lvlJc w:val="left"/>
      <w:pPr>
        <w:ind w:left="8469" w:hanging="361"/>
      </w:pPr>
      <w:rPr>
        <w:rFonts w:hint="default"/>
        <w:lang w:val="zh-CN" w:eastAsia="zh-CN" w:bidi="zh-CN"/>
      </w:rPr>
    </w:lvl>
  </w:abstractNum>
  <w:abstractNum w:abstractNumId="10">
    <w:nsid w:val="25BE7B82"/>
    <w:multiLevelType w:val="singleLevel"/>
    <w:tmpl w:val="25BE7B82"/>
    <w:lvl w:ilvl="0" w:tentative="0">
      <w:start w:val="1"/>
      <w:numFmt w:val="decimal"/>
      <w:suff w:val="nothing"/>
      <w:lvlText w:val="%1、"/>
      <w:lvlJc w:val="left"/>
    </w:lvl>
  </w:abstractNum>
  <w:abstractNum w:abstractNumId="11">
    <w:nsid w:val="2A3A3944"/>
    <w:multiLevelType w:val="singleLevel"/>
    <w:tmpl w:val="2A3A3944"/>
    <w:lvl w:ilvl="0" w:tentative="0">
      <w:start w:val="1"/>
      <w:numFmt w:val="decimal"/>
      <w:suff w:val="nothing"/>
      <w:lvlText w:val="%1、"/>
      <w:lvlJc w:val="left"/>
    </w:lvl>
  </w:abstractNum>
  <w:abstractNum w:abstractNumId="12">
    <w:nsid w:val="36508BE4"/>
    <w:multiLevelType w:val="singleLevel"/>
    <w:tmpl w:val="36508BE4"/>
    <w:lvl w:ilvl="0" w:tentative="0">
      <w:start w:val="5"/>
      <w:numFmt w:val="chineseCounting"/>
      <w:lvlText w:val="第%1章"/>
      <w:lvlJc w:val="left"/>
      <w:rPr>
        <w:rFonts w:hint="eastAsia"/>
      </w:rPr>
    </w:lvl>
  </w:abstractNum>
  <w:abstractNum w:abstractNumId="13">
    <w:nsid w:val="373DDF50"/>
    <w:multiLevelType w:val="singleLevel"/>
    <w:tmpl w:val="373DDF50"/>
    <w:lvl w:ilvl="0" w:tentative="0">
      <w:start w:val="1"/>
      <w:numFmt w:val="decimal"/>
      <w:suff w:val="nothing"/>
      <w:lvlText w:val="%1、"/>
      <w:lvlJc w:val="left"/>
    </w:lvl>
  </w:abstractNum>
  <w:abstractNum w:abstractNumId="14">
    <w:nsid w:val="5527EC8B"/>
    <w:multiLevelType w:val="singleLevel"/>
    <w:tmpl w:val="5527EC8B"/>
    <w:lvl w:ilvl="0" w:tentative="0">
      <w:start w:val="1"/>
      <w:numFmt w:val="chineseCounting"/>
      <w:suff w:val="nothing"/>
      <w:lvlText w:val="%1、"/>
      <w:lvlJc w:val="left"/>
      <w:rPr>
        <w:rFonts w:hint="eastAsia"/>
      </w:rPr>
    </w:lvl>
  </w:abstractNum>
  <w:abstractNum w:abstractNumId="15">
    <w:nsid w:val="66398EAC"/>
    <w:multiLevelType w:val="singleLevel"/>
    <w:tmpl w:val="66398EAC"/>
    <w:lvl w:ilvl="0" w:tentative="0">
      <w:start w:val="7"/>
      <w:numFmt w:val="decimal"/>
      <w:suff w:val="nothing"/>
      <w:lvlText w:val="%1、"/>
      <w:lvlJc w:val="left"/>
    </w:lvl>
  </w:abstractNum>
  <w:abstractNum w:abstractNumId="16">
    <w:nsid w:val="72183CF9"/>
    <w:multiLevelType w:val="multilevel"/>
    <w:tmpl w:val="72183CF9"/>
    <w:lvl w:ilvl="0" w:tentative="0">
      <w:start w:val="1"/>
      <w:numFmt w:val="decimal"/>
      <w:lvlText w:val="(%1)"/>
      <w:lvlJc w:val="left"/>
      <w:pPr>
        <w:ind w:left="920" w:hanging="361"/>
        <w:jc w:val="left"/>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1842" w:hanging="361"/>
      </w:pPr>
      <w:rPr>
        <w:rFonts w:hint="default"/>
        <w:lang w:val="zh-CN" w:eastAsia="zh-CN" w:bidi="zh-CN"/>
      </w:rPr>
    </w:lvl>
    <w:lvl w:ilvl="2" w:tentative="0">
      <w:start w:val="0"/>
      <w:numFmt w:val="bullet"/>
      <w:lvlText w:val="•"/>
      <w:lvlJc w:val="left"/>
      <w:pPr>
        <w:ind w:left="2765" w:hanging="361"/>
      </w:pPr>
      <w:rPr>
        <w:rFonts w:hint="default"/>
        <w:lang w:val="zh-CN" w:eastAsia="zh-CN" w:bidi="zh-CN"/>
      </w:rPr>
    </w:lvl>
    <w:lvl w:ilvl="3" w:tentative="0">
      <w:start w:val="0"/>
      <w:numFmt w:val="bullet"/>
      <w:lvlText w:val="•"/>
      <w:lvlJc w:val="left"/>
      <w:pPr>
        <w:ind w:left="3687" w:hanging="361"/>
      </w:pPr>
      <w:rPr>
        <w:rFonts w:hint="default"/>
        <w:lang w:val="zh-CN" w:eastAsia="zh-CN" w:bidi="zh-CN"/>
      </w:rPr>
    </w:lvl>
    <w:lvl w:ilvl="4" w:tentative="0">
      <w:start w:val="0"/>
      <w:numFmt w:val="bullet"/>
      <w:lvlText w:val="•"/>
      <w:lvlJc w:val="left"/>
      <w:pPr>
        <w:ind w:left="4610" w:hanging="361"/>
      </w:pPr>
      <w:rPr>
        <w:rFonts w:hint="default"/>
        <w:lang w:val="zh-CN" w:eastAsia="zh-CN" w:bidi="zh-CN"/>
      </w:rPr>
    </w:lvl>
    <w:lvl w:ilvl="5" w:tentative="0">
      <w:start w:val="0"/>
      <w:numFmt w:val="bullet"/>
      <w:lvlText w:val="•"/>
      <w:lvlJc w:val="left"/>
      <w:pPr>
        <w:ind w:left="5533" w:hanging="361"/>
      </w:pPr>
      <w:rPr>
        <w:rFonts w:hint="default"/>
        <w:lang w:val="zh-CN" w:eastAsia="zh-CN" w:bidi="zh-CN"/>
      </w:rPr>
    </w:lvl>
    <w:lvl w:ilvl="6" w:tentative="0">
      <w:start w:val="0"/>
      <w:numFmt w:val="bullet"/>
      <w:lvlText w:val="•"/>
      <w:lvlJc w:val="left"/>
      <w:pPr>
        <w:ind w:left="6455" w:hanging="361"/>
      </w:pPr>
      <w:rPr>
        <w:rFonts w:hint="default"/>
        <w:lang w:val="zh-CN" w:eastAsia="zh-CN" w:bidi="zh-CN"/>
      </w:rPr>
    </w:lvl>
    <w:lvl w:ilvl="7" w:tentative="0">
      <w:start w:val="0"/>
      <w:numFmt w:val="bullet"/>
      <w:lvlText w:val="•"/>
      <w:lvlJc w:val="left"/>
      <w:pPr>
        <w:ind w:left="7378" w:hanging="361"/>
      </w:pPr>
      <w:rPr>
        <w:rFonts w:hint="default"/>
        <w:lang w:val="zh-CN" w:eastAsia="zh-CN" w:bidi="zh-CN"/>
      </w:rPr>
    </w:lvl>
    <w:lvl w:ilvl="8" w:tentative="0">
      <w:start w:val="0"/>
      <w:numFmt w:val="bullet"/>
      <w:lvlText w:val="•"/>
      <w:lvlJc w:val="left"/>
      <w:pPr>
        <w:ind w:left="8301" w:hanging="361"/>
      </w:pPr>
      <w:rPr>
        <w:rFonts w:hint="default"/>
        <w:lang w:val="zh-CN" w:eastAsia="zh-CN" w:bidi="zh-CN"/>
      </w:rPr>
    </w:lvl>
  </w:abstractNum>
  <w:num w:numId="1">
    <w:abstractNumId w:val="12"/>
  </w:num>
  <w:num w:numId="2">
    <w:abstractNumId w:val="1"/>
  </w:num>
  <w:num w:numId="3">
    <w:abstractNumId w:val="2"/>
  </w:num>
  <w:num w:numId="4">
    <w:abstractNumId w:val="6"/>
  </w:num>
  <w:num w:numId="5">
    <w:abstractNumId w:val="9"/>
  </w:num>
  <w:num w:numId="6">
    <w:abstractNumId w:val="16"/>
  </w:num>
  <w:num w:numId="7">
    <w:abstractNumId w:val="0"/>
  </w:num>
  <w:num w:numId="8">
    <w:abstractNumId w:val="15"/>
  </w:num>
  <w:num w:numId="9">
    <w:abstractNumId w:val="8"/>
  </w:num>
  <w:num w:numId="10">
    <w:abstractNumId w:val="4"/>
  </w:num>
  <w:num w:numId="11">
    <w:abstractNumId w:val="14"/>
  </w:num>
  <w:num w:numId="12">
    <w:abstractNumId w:val="7"/>
  </w:num>
  <w:num w:numId="13">
    <w:abstractNumId w:val="10"/>
  </w:num>
  <w:num w:numId="14">
    <w:abstractNumId w:val="13"/>
  </w:num>
  <w:num w:numId="15">
    <w:abstractNumId w:val="5"/>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YzNjNjc4NWQ0N2RjMjlhOGUyMjY1MWZiZDVhM2MifQ=="/>
  </w:docVars>
  <w:rsids>
    <w:rsidRoot w:val="00B618CB"/>
    <w:rsid w:val="002661C5"/>
    <w:rsid w:val="002B1B3B"/>
    <w:rsid w:val="002E01C1"/>
    <w:rsid w:val="004B0D73"/>
    <w:rsid w:val="004E63A8"/>
    <w:rsid w:val="007D21EE"/>
    <w:rsid w:val="00A75DC2"/>
    <w:rsid w:val="00B618CB"/>
    <w:rsid w:val="00ED68EC"/>
    <w:rsid w:val="010466D9"/>
    <w:rsid w:val="012A0989"/>
    <w:rsid w:val="0154263D"/>
    <w:rsid w:val="015754F6"/>
    <w:rsid w:val="01741B95"/>
    <w:rsid w:val="02162265"/>
    <w:rsid w:val="022C2B30"/>
    <w:rsid w:val="02327432"/>
    <w:rsid w:val="027125E7"/>
    <w:rsid w:val="02DC5CB3"/>
    <w:rsid w:val="030E1767"/>
    <w:rsid w:val="03575C81"/>
    <w:rsid w:val="03727102"/>
    <w:rsid w:val="03AF786B"/>
    <w:rsid w:val="0402799B"/>
    <w:rsid w:val="04080B41"/>
    <w:rsid w:val="04A10A35"/>
    <w:rsid w:val="052778F4"/>
    <w:rsid w:val="055B3806"/>
    <w:rsid w:val="05F477B7"/>
    <w:rsid w:val="061D0ABC"/>
    <w:rsid w:val="064E336B"/>
    <w:rsid w:val="0680104B"/>
    <w:rsid w:val="06856661"/>
    <w:rsid w:val="072A0A37"/>
    <w:rsid w:val="07726BE5"/>
    <w:rsid w:val="078B5EF9"/>
    <w:rsid w:val="07AF1BE8"/>
    <w:rsid w:val="07C37441"/>
    <w:rsid w:val="08302EF4"/>
    <w:rsid w:val="086504F8"/>
    <w:rsid w:val="08AE6343"/>
    <w:rsid w:val="08DD2784"/>
    <w:rsid w:val="09747FE3"/>
    <w:rsid w:val="099C43EE"/>
    <w:rsid w:val="09B27422"/>
    <w:rsid w:val="0A334D52"/>
    <w:rsid w:val="0A510C86"/>
    <w:rsid w:val="0A5D3B7D"/>
    <w:rsid w:val="0A7809B7"/>
    <w:rsid w:val="0A9652E1"/>
    <w:rsid w:val="0B137E7B"/>
    <w:rsid w:val="0B2B77D7"/>
    <w:rsid w:val="0BFC5617"/>
    <w:rsid w:val="0C012C2E"/>
    <w:rsid w:val="0C01678A"/>
    <w:rsid w:val="0C0F297A"/>
    <w:rsid w:val="0C5C560D"/>
    <w:rsid w:val="0C8528A8"/>
    <w:rsid w:val="0C965163"/>
    <w:rsid w:val="0CBB044F"/>
    <w:rsid w:val="0CED040D"/>
    <w:rsid w:val="0D1335B8"/>
    <w:rsid w:val="0D9A6E96"/>
    <w:rsid w:val="0DBA12E6"/>
    <w:rsid w:val="0DC86CA9"/>
    <w:rsid w:val="0E895D64"/>
    <w:rsid w:val="0EA33B28"/>
    <w:rsid w:val="0EB7426A"/>
    <w:rsid w:val="0F1862C4"/>
    <w:rsid w:val="0F423341"/>
    <w:rsid w:val="0FDC3796"/>
    <w:rsid w:val="101756B0"/>
    <w:rsid w:val="10857989"/>
    <w:rsid w:val="10E87F18"/>
    <w:rsid w:val="11005262"/>
    <w:rsid w:val="11365902"/>
    <w:rsid w:val="119726AC"/>
    <w:rsid w:val="11F27DA3"/>
    <w:rsid w:val="1202325C"/>
    <w:rsid w:val="120F120F"/>
    <w:rsid w:val="121F796A"/>
    <w:rsid w:val="12333415"/>
    <w:rsid w:val="123644FB"/>
    <w:rsid w:val="125A6BF4"/>
    <w:rsid w:val="12647A72"/>
    <w:rsid w:val="12DB0C62"/>
    <w:rsid w:val="12F06FA4"/>
    <w:rsid w:val="13274F64"/>
    <w:rsid w:val="13C407C9"/>
    <w:rsid w:val="13D86F80"/>
    <w:rsid w:val="14C60571"/>
    <w:rsid w:val="14CD18FF"/>
    <w:rsid w:val="15542467"/>
    <w:rsid w:val="15793835"/>
    <w:rsid w:val="157C1125"/>
    <w:rsid w:val="159643E7"/>
    <w:rsid w:val="15B17473"/>
    <w:rsid w:val="15B35F47"/>
    <w:rsid w:val="15CB4232"/>
    <w:rsid w:val="15EB4733"/>
    <w:rsid w:val="15F5110D"/>
    <w:rsid w:val="162723E1"/>
    <w:rsid w:val="162B0FD3"/>
    <w:rsid w:val="165D77A7"/>
    <w:rsid w:val="16917AAF"/>
    <w:rsid w:val="16996B5E"/>
    <w:rsid w:val="16B03286"/>
    <w:rsid w:val="16DA6555"/>
    <w:rsid w:val="176815D0"/>
    <w:rsid w:val="176D73C9"/>
    <w:rsid w:val="178070FD"/>
    <w:rsid w:val="189A5F9C"/>
    <w:rsid w:val="18A46E1B"/>
    <w:rsid w:val="18FA6A3B"/>
    <w:rsid w:val="191D3146"/>
    <w:rsid w:val="1946124F"/>
    <w:rsid w:val="19BC77C7"/>
    <w:rsid w:val="19C257AA"/>
    <w:rsid w:val="1A3E4A72"/>
    <w:rsid w:val="1A97693B"/>
    <w:rsid w:val="1B104AF5"/>
    <w:rsid w:val="1B481CDF"/>
    <w:rsid w:val="1B5E1503"/>
    <w:rsid w:val="1C3062A6"/>
    <w:rsid w:val="1C7A1B17"/>
    <w:rsid w:val="1CBF2475"/>
    <w:rsid w:val="1CC730D8"/>
    <w:rsid w:val="1CD27C09"/>
    <w:rsid w:val="1CF1553C"/>
    <w:rsid w:val="1D557AE9"/>
    <w:rsid w:val="1D5D0701"/>
    <w:rsid w:val="1D864D41"/>
    <w:rsid w:val="1DA00715"/>
    <w:rsid w:val="1DFF5802"/>
    <w:rsid w:val="1E0D224B"/>
    <w:rsid w:val="1E6E0C44"/>
    <w:rsid w:val="1EB4768C"/>
    <w:rsid w:val="1EC92CDD"/>
    <w:rsid w:val="1F1C3BAF"/>
    <w:rsid w:val="1F1F0CF1"/>
    <w:rsid w:val="1F500C70"/>
    <w:rsid w:val="1F8D5151"/>
    <w:rsid w:val="1F9438C0"/>
    <w:rsid w:val="1FDA5FE9"/>
    <w:rsid w:val="1FE551D6"/>
    <w:rsid w:val="202D5948"/>
    <w:rsid w:val="208D0554"/>
    <w:rsid w:val="212D49A1"/>
    <w:rsid w:val="212E1977"/>
    <w:rsid w:val="214178FD"/>
    <w:rsid w:val="21A8564D"/>
    <w:rsid w:val="21BC6F83"/>
    <w:rsid w:val="22826954"/>
    <w:rsid w:val="23025463"/>
    <w:rsid w:val="23571659"/>
    <w:rsid w:val="235F1582"/>
    <w:rsid w:val="23B1063E"/>
    <w:rsid w:val="241C1C27"/>
    <w:rsid w:val="2432352D"/>
    <w:rsid w:val="248919DA"/>
    <w:rsid w:val="24C83FE4"/>
    <w:rsid w:val="24DB0068"/>
    <w:rsid w:val="24F5112A"/>
    <w:rsid w:val="25140E84"/>
    <w:rsid w:val="256B13EC"/>
    <w:rsid w:val="257310AD"/>
    <w:rsid w:val="25A223B4"/>
    <w:rsid w:val="25C24D84"/>
    <w:rsid w:val="260D030C"/>
    <w:rsid w:val="26235823"/>
    <w:rsid w:val="262D4B8D"/>
    <w:rsid w:val="267C3185"/>
    <w:rsid w:val="26F64CE5"/>
    <w:rsid w:val="27406AC0"/>
    <w:rsid w:val="275F0ADD"/>
    <w:rsid w:val="2772370E"/>
    <w:rsid w:val="27AF3208"/>
    <w:rsid w:val="27F34A2E"/>
    <w:rsid w:val="282F380E"/>
    <w:rsid w:val="28355CE1"/>
    <w:rsid w:val="285E6FE6"/>
    <w:rsid w:val="28701B39"/>
    <w:rsid w:val="28893937"/>
    <w:rsid w:val="289D2B5A"/>
    <w:rsid w:val="28E93AAD"/>
    <w:rsid w:val="28ED1885"/>
    <w:rsid w:val="28FD67FF"/>
    <w:rsid w:val="292B22C6"/>
    <w:rsid w:val="29606D8E"/>
    <w:rsid w:val="29BF1D06"/>
    <w:rsid w:val="2A88659C"/>
    <w:rsid w:val="2AB033FD"/>
    <w:rsid w:val="2B0C7ADF"/>
    <w:rsid w:val="2B9806B3"/>
    <w:rsid w:val="2B9B22FF"/>
    <w:rsid w:val="2C282E66"/>
    <w:rsid w:val="2C970D19"/>
    <w:rsid w:val="2D2A01D1"/>
    <w:rsid w:val="2D5E4147"/>
    <w:rsid w:val="2D765AAA"/>
    <w:rsid w:val="2DA208E0"/>
    <w:rsid w:val="2DE97352"/>
    <w:rsid w:val="2E101F25"/>
    <w:rsid w:val="2E3955E9"/>
    <w:rsid w:val="2E7721B7"/>
    <w:rsid w:val="2EF56BC4"/>
    <w:rsid w:val="2F3960B7"/>
    <w:rsid w:val="2F807842"/>
    <w:rsid w:val="2FD625AF"/>
    <w:rsid w:val="30224D9D"/>
    <w:rsid w:val="30717AD3"/>
    <w:rsid w:val="30896F9D"/>
    <w:rsid w:val="30F524B2"/>
    <w:rsid w:val="31FC33CC"/>
    <w:rsid w:val="3208623F"/>
    <w:rsid w:val="327A6B54"/>
    <w:rsid w:val="32AA2E28"/>
    <w:rsid w:val="32F10BFB"/>
    <w:rsid w:val="334F40FB"/>
    <w:rsid w:val="33534D78"/>
    <w:rsid w:val="337B17FD"/>
    <w:rsid w:val="33821C98"/>
    <w:rsid w:val="33ED56C2"/>
    <w:rsid w:val="33FA6D7F"/>
    <w:rsid w:val="33FB1B8D"/>
    <w:rsid w:val="341B4D0A"/>
    <w:rsid w:val="349B3370"/>
    <w:rsid w:val="34D93035"/>
    <w:rsid w:val="34DA3E98"/>
    <w:rsid w:val="35154ED0"/>
    <w:rsid w:val="35197939"/>
    <w:rsid w:val="3569521C"/>
    <w:rsid w:val="359C73A0"/>
    <w:rsid w:val="35A23A12"/>
    <w:rsid w:val="35B4322D"/>
    <w:rsid w:val="35F22F2C"/>
    <w:rsid w:val="35F5085E"/>
    <w:rsid w:val="35F9034E"/>
    <w:rsid w:val="360C59BA"/>
    <w:rsid w:val="366854D4"/>
    <w:rsid w:val="36CC4BBF"/>
    <w:rsid w:val="376F5D97"/>
    <w:rsid w:val="38726196"/>
    <w:rsid w:val="38806B05"/>
    <w:rsid w:val="3885411B"/>
    <w:rsid w:val="3953395C"/>
    <w:rsid w:val="39971074"/>
    <w:rsid w:val="39D05F51"/>
    <w:rsid w:val="3A35391F"/>
    <w:rsid w:val="3ABD5DEE"/>
    <w:rsid w:val="3B7064DC"/>
    <w:rsid w:val="3C4165AB"/>
    <w:rsid w:val="3C553E04"/>
    <w:rsid w:val="3C7921E9"/>
    <w:rsid w:val="3C9C64EF"/>
    <w:rsid w:val="3CB7061B"/>
    <w:rsid w:val="3CD56130"/>
    <w:rsid w:val="3D355244"/>
    <w:rsid w:val="3E780848"/>
    <w:rsid w:val="3E7B068F"/>
    <w:rsid w:val="3E8F7AA2"/>
    <w:rsid w:val="3EDF37AC"/>
    <w:rsid w:val="3F0F0BE2"/>
    <w:rsid w:val="3FCE63A8"/>
    <w:rsid w:val="3FCF3ECE"/>
    <w:rsid w:val="3FD32AEC"/>
    <w:rsid w:val="3FDF2363"/>
    <w:rsid w:val="40386931"/>
    <w:rsid w:val="40704517"/>
    <w:rsid w:val="40A2643A"/>
    <w:rsid w:val="40AD5BB4"/>
    <w:rsid w:val="40CF687B"/>
    <w:rsid w:val="40D53766"/>
    <w:rsid w:val="41086C4A"/>
    <w:rsid w:val="413A2180"/>
    <w:rsid w:val="418A09F4"/>
    <w:rsid w:val="42311E25"/>
    <w:rsid w:val="42440BA3"/>
    <w:rsid w:val="42741713"/>
    <w:rsid w:val="42F036D5"/>
    <w:rsid w:val="42F44377"/>
    <w:rsid w:val="431E7230"/>
    <w:rsid w:val="436400CE"/>
    <w:rsid w:val="438C45B0"/>
    <w:rsid w:val="44013D77"/>
    <w:rsid w:val="441E71D2"/>
    <w:rsid w:val="44250560"/>
    <w:rsid w:val="443C7598"/>
    <w:rsid w:val="449776B0"/>
    <w:rsid w:val="44EA0239"/>
    <w:rsid w:val="4537679D"/>
    <w:rsid w:val="456A4668"/>
    <w:rsid w:val="45942A73"/>
    <w:rsid w:val="45A71690"/>
    <w:rsid w:val="45AF4585"/>
    <w:rsid w:val="465F728D"/>
    <w:rsid w:val="466B2BA2"/>
    <w:rsid w:val="46827EEC"/>
    <w:rsid w:val="46B65365"/>
    <w:rsid w:val="47174AD8"/>
    <w:rsid w:val="473158C9"/>
    <w:rsid w:val="473C453F"/>
    <w:rsid w:val="475F1FDB"/>
    <w:rsid w:val="47631ACB"/>
    <w:rsid w:val="477535AD"/>
    <w:rsid w:val="47D76015"/>
    <w:rsid w:val="47FA5CF7"/>
    <w:rsid w:val="48284808"/>
    <w:rsid w:val="487D330D"/>
    <w:rsid w:val="48FE4BF4"/>
    <w:rsid w:val="4987339E"/>
    <w:rsid w:val="49A95790"/>
    <w:rsid w:val="49B26D3A"/>
    <w:rsid w:val="49BE123B"/>
    <w:rsid w:val="49D547D7"/>
    <w:rsid w:val="4A2A2B3C"/>
    <w:rsid w:val="4A460E33"/>
    <w:rsid w:val="4A701828"/>
    <w:rsid w:val="4ADD3943"/>
    <w:rsid w:val="4AFE2995"/>
    <w:rsid w:val="4B6E1FC8"/>
    <w:rsid w:val="4B6E4EE3"/>
    <w:rsid w:val="4BBE5D73"/>
    <w:rsid w:val="4BF70010"/>
    <w:rsid w:val="4C702130"/>
    <w:rsid w:val="4CC56A1B"/>
    <w:rsid w:val="4D1A2C2C"/>
    <w:rsid w:val="4D4001B9"/>
    <w:rsid w:val="4D470322"/>
    <w:rsid w:val="4D4A2A90"/>
    <w:rsid w:val="4DA60964"/>
    <w:rsid w:val="4DD74FC1"/>
    <w:rsid w:val="4E257ADB"/>
    <w:rsid w:val="4E4D7031"/>
    <w:rsid w:val="4E8E65C1"/>
    <w:rsid w:val="4F021BCA"/>
    <w:rsid w:val="4F2935FA"/>
    <w:rsid w:val="4F613EF4"/>
    <w:rsid w:val="4F871DE0"/>
    <w:rsid w:val="4F9F566B"/>
    <w:rsid w:val="50250266"/>
    <w:rsid w:val="50830AE8"/>
    <w:rsid w:val="50A82C45"/>
    <w:rsid w:val="51105EB0"/>
    <w:rsid w:val="514A667E"/>
    <w:rsid w:val="518A5EA7"/>
    <w:rsid w:val="51A46F68"/>
    <w:rsid w:val="51EA4B7B"/>
    <w:rsid w:val="51FF4AE6"/>
    <w:rsid w:val="5239151B"/>
    <w:rsid w:val="529242D8"/>
    <w:rsid w:val="52AA53A5"/>
    <w:rsid w:val="52D22650"/>
    <w:rsid w:val="534F1156"/>
    <w:rsid w:val="53560736"/>
    <w:rsid w:val="538C5F06"/>
    <w:rsid w:val="547D1CF3"/>
    <w:rsid w:val="54EC75A4"/>
    <w:rsid w:val="54F12093"/>
    <w:rsid w:val="55004DFD"/>
    <w:rsid w:val="552D4FDB"/>
    <w:rsid w:val="552E1B45"/>
    <w:rsid w:val="55C67DF5"/>
    <w:rsid w:val="56105610"/>
    <w:rsid w:val="569E667C"/>
    <w:rsid w:val="57243704"/>
    <w:rsid w:val="574F3E1A"/>
    <w:rsid w:val="57C855EB"/>
    <w:rsid w:val="582B333C"/>
    <w:rsid w:val="58501BF8"/>
    <w:rsid w:val="58680CEE"/>
    <w:rsid w:val="586C6306"/>
    <w:rsid w:val="587D0513"/>
    <w:rsid w:val="5889335C"/>
    <w:rsid w:val="588B6756"/>
    <w:rsid w:val="58D345D7"/>
    <w:rsid w:val="58EB337A"/>
    <w:rsid w:val="58F1639C"/>
    <w:rsid w:val="592663B0"/>
    <w:rsid w:val="5936458D"/>
    <w:rsid w:val="59373524"/>
    <w:rsid w:val="59A321FB"/>
    <w:rsid w:val="59B47F65"/>
    <w:rsid w:val="59C26B25"/>
    <w:rsid w:val="5A3A490E"/>
    <w:rsid w:val="5A566D8F"/>
    <w:rsid w:val="5AB7601D"/>
    <w:rsid w:val="5ADF1011"/>
    <w:rsid w:val="5B2B4256"/>
    <w:rsid w:val="5B57504B"/>
    <w:rsid w:val="5C1B42CB"/>
    <w:rsid w:val="5C245875"/>
    <w:rsid w:val="5C58551F"/>
    <w:rsid w:val="5C8C3959"/>
    <w:rsid w:val="5CD52621"/>
    <w:rsid w:val="5CEE19DF"/>
    <w:rsid w:val="5D282C65"/>
    <w:rsid w:val="5D325D70"/>
    <w:rsid w:val="5DA962E9"/>
    <w:rsid w:val="5DC504D3"/>
    <w:rsid w:val="5ED52133"/>
    <w:rsid w:val="5F4C0C3F"/>
    <w:rsid w:val="5F5923D9"/>
    <w:rsid w:val="5F6C5481"/>
    <w:rsid w:val="5FBD1D14"/>
    <w:rsid w:val="600D3F33"/>
    <w:rsid w:val="60206354"/>
    <w:rsid w:val="6098238E"/>
    <w:rsid w:val="60C969EB"/>
    <w:rsid w:val="60E72E0D"/>
    <w:rsid w:val="61251748"/>
    <w:rsid w:val="618E553F"/>
    <w:rsid w:val="61D6038B"/>
    <w:rsid w:val="61E80EC3"/>
    <w:rsid w:val="620E18C7"/>
    <w:rsid w:val="6220263B"/>
    <w:rsid w:val="6223212B"/>
    <w:rsid w:val="62620EA5"/>
    <w:rsid w:val="626C5880"/>
    <w:rsid w:val="62B3440B"/>
    <w:rsid w:val="632048BD"/>
    <w:rsid w:val="636649C5"/>
    <w:rsid w:val="63A42AB8"/>
    <w:rsid w:val="63B245A6"/>
    <w:rsid w:val="63FC70D8"/>
    <w:rsid w:val="64340620"/>
    <w:rsid w:val="64EA030E"/>
    <w:rsid w:val="6530528B"/>
    <w:rsid w:val="65841133"/>
    <w:rsid w:val="65864EAB"/>
    <w:rsid w:val="65C8141B"/>
    <w:rsid w:val="660E4EA0"/>
    <w:rsid w:val="661E1587"/>
    <w:rsid w:val="661E50E3"/>
    <w:rsid w:val="669C24AC"/>
    <w:rsid w:val="66C35312"/>
    <w:rsid w:val="6700457E"/>
    <w:rsid w:val="670F1A60"/>
    <w:rsid w:val="67283D40"/>
    <w:rsid w:val="67877E82"/>
    <w:rsid w:val="67A930D3"/>
    <w:rsid w:val="67B84D18"/>
    <w:rsid w:val="67D5211A"/>
    <w:rsid w:val="67D735C2"/>
    <w:rsid w:val="67FA4DA0"/>
    <w:rsid w:val="68311FF0"/>
    <w:rsid w:val="68475F4A"/>
    <w:rsid w:val="68544429"/>
    <w:rsid w:val="68550B65"/>
    <w:rsid w:val="68633281"/>
    <w:rsid w:val="68F17366"/>
    <w:rsid w:val="691C4C3D"/>
    <w:rsid w:val="694330B3"/>
    <w:rsid w:val="6954706E"/>
    <w:rsid w:val="69C73CE4"/>
    <w:rsid w:val="69CE0BCF"/>
    <w:rsid w:val="69E20B1E"/>
    <w:rsid w:val="6A050368"/>
    <w:rsid w:val="6A876FCF"/>
    <w:rsid w:val="6A8B394D"/>
    <w:rsid w:val="6A9339A0"/>
    <w:rsid w:val="6BB13217"/>
    <w:rsid w:val="6BBD539F"/>
    <w:rsid w:val="6BD66460"/>
    <w:rsid w:val="6C6D0B73"/>
    <w:rsid w:val="6CA74746"/>
    <w:rsid w:val="6E1312A6"/>
    <w:rsid w:val="6E3A6AE0"/>
    <w:rsid w:val="6EF235B1"/>
    <w:rsid w:val="6F1C418A"/>
    <w:rsid w:val="6F2A4AF9"/>
    <w:rsid w:val="6F4B7C47"/>
    <w:rsid w:val="6F7E5BC5"/>
    <w:rsid w:val="6F8166E3"/>
    <w:rsid w:val="6FF725C5"/>
    <w:rsid w:val="700F2DE0"/>
    <w:rsid w:val="70142B7B"/>
    <w:rsid w:val="703379DD"/>
    <w:rsid w:val="703D085C"/>
    <w:rsid w:val="70C50C7E"/>
    <w:rsid w:val="70EB650A"/>
    <w:rsid w:val="71245578"/>
    <w:rsid w:val="713647A4"/>
    <w:rsid w:val="71793B16"/>
    <w:rsid w:val="71ED1C92"/>
    <w:rsid w:val="72135D18"/>
    <w:rsid w:val="72200435"/>
    <w:rsid w:val="72227FC0"/>
    <w:rsid w:val="72F06D2B"/>
    <w:rsid w:val="737566E4"/>
    <w:rsid w:val="73C6700E"/>
    <w:rsid w:val="73DC4D25"/>
    <w:rsid w:val="73E55492"/>
    <w:rsid w:val="73EB073C"/>
    <w:rsid w:val="74454183"/>
    <w:rsid w:val="744A79EB"/>
    <w:rsid w:val="74CC4F66"/>
    <w:rsid w:val="74E16512"/>
    <w:rsid w:val="74F23AD1"/>
    <w:rsid w:val="752D462D"/>
    <w:rsid w:val="755F66FE"/>
    <w:rsid w:val="75C612F4"/>
    <w:rsid w:val="765704B1"/>
    <w:rsid w:val="766F7295"/>
    <w:rsid w:val="769A6B13"/>
    <w:rsid w:val="76B949B4"/>
    <w:rsid w:val="76CD220E"/>
    <w:rsid w:val="76D96E05"/>
    <w:rsid w:val="772E1256"/>
    <w:rsid w:val="77A3330F"/>
    <w:rsid w:val="77BE6726"/>
    <w:rsid w:val="78011469"/>
    <w:rsid w:val="780162ED"/>
    <w:rsid w:val="780659D7"/>
    <w:rsid w:val="78615304"/>
    <w:rsid w:val="78727511"/>
    <w:rsid w:val="78992B87"/>
    <w:rsid w:val="78DD0E2E"/>
    <w:rsid w:val="79517126"/>
    <w:rsid w:val="797B41A3"/>
    <w:rsid w:val="79A8192B"/>
    <w:rsid w:val="79C94D2C"/>
    <w:rsid w:val="7A28432B"/>
    <w:rsid w:val="7A613399"/>
    <w:rsid w:val="7AA634A2"/>
    <w:rsid w:val="7ABE74A1"/>
    <w:rsid w:val="7ADB6759"/>
    <w:rsid w:val="7B9419C2"/>
    <w:rsid w:val="7BA94FF8"/>
    <w:rsid w:val="7C620762"/>
    <w:rsid w:val="7CB37264"/>
    <w:rsid w:val="7CBC0D5A"/>
    <w:rsid w:val="7CCF6CE0"/>
    <w:rsid w:val="7CF54E1E"/>
    <w:rsid w:val="7D075137"/>
    <w:rsid w:val="7D406020"/>
    <w:rsid w:val="7D4D0BA1"/>
    <w:rsid w:val="7DA720A4"/>
    <w:rsid w:val="7DDA593C"/>
    <w:rsid w:val="7E105802"/>
    <w:rsid w:val="7ED71E7C"/>
    <w:rsid w:val="7EE822DB"/>
    <w:rsid w:val="7FA04963"/>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25"/>
    <w:qFormat/>
    <w:uiPriority w:val="1"/>
    <w:pPr>
      <w:ind w:left="920"/>
      <w:jc w:val="center"/>
      <w:outlineLvl w:val="0"/>
    </w:pPr>
    <w:rPr>
      <w:b/>
      <w:bCs/>
      <w:sz w:val="30"/>
      <w:szCs w:val="30"/>
    </w:rPr>
  </w:style>
  <w:style w:type="paragraph" w:styleId="4">
    <w:name w:val="heading 2"/>
    <w:basedOn w:val="1"/>
    <w:next w:val="1"/>
    <w:qFormat/>
    <w:uiPriority w:val="1"/>
    <w:pPr>
      <w:spacing w:before="34"/>
      <w:ind w:left="880" w:hanging="639"/>
      <w:jc w:val="center"/>
      <w:outlineLvl w:val="1"/>
    </w:pPr>
    <w:rPr>
      <w:b/>
      <w:bCs/>
      <w:sz w:val="28"/>
      <w:szCs w:val="28"/>
    </w:rPr>
  </w:style>
  <w:style w:type="paragraph" w:styleId="5">
    <w:name w:val="heading 3"/>
    <w:basedOn w:val="1"/>
    <w:next w:val="1"/>
    <w:link w:val="23"/>
    <w:qFormat/>
    <w:uiPriority w:val="1"/>
    <w:pPr>
      <w:ind w:left="880"/>
      <w:outlineLvl w:val="2"/>
    </w:pPr>
    <w:rPr>
      <w:b/>
      <w:bCs/>
      <w:sz w:val="24"/>
      <w:szCs w:val="24"/>
    </w:rPr>
  </w:style>
  <w:style w:type="paragraph" w:styleId="6">
    <w:name w:val="heading 4"/>
    <w:basedOn w:val="1"/>
    <w:next w:val="1"/>
    <w:unhideWhenUsed/>
    <w:qFormat/>
    <w:uiPriority w:val="0"/>
    <w:pPr>
      <w:keepNext/>
      <w:keepLines/>
      <w:spacing w:before="280" w:after="290" w:line="372" w:lineRule="auto"/>
      <w:outlineLvl w:val="3"/>
    </w:pPr>
    <w:rPr>
      <w:rFonts w:ascii="Arial" w:hAnsi="Arial"/>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7">
    <w:name w:val="Normal Indent"/>
    <w:basedOn w:val="1"/>
    <w:next w:val="8"/>
    <w:unhideWhenUsed/>
    <w:qFormat/>
    <w:uiPriority w:val="0"/>
    <w:pPr>
      <w:ind w:firstLine="420" w:firstLineChars="200"/>
    </w:pPr>
  </w:style>
  <w:style w:type="paragraph" w:styleId="8">
    <w:name w:val="toc 4"/>
    <w:basedOn w:val="1"/>
    <w:next w:val="1"/>
    <w:unhideWhenUsed/>
    <w:qFormat/>
    <w:uiPriority w:val="39"/>
    <w:pPr>
      <w:ind w:left="630"/>
    </w:pPr>
    <w:rPr>
      <w:rFonts w:ascii="Calibri" w:hAnsi="Calibri" w:cs="Calibri"/>
      <w:sz w:val="18"/>
      <w:szCs w:val="18"/>
    </w:rPr>
  </w:style>
  <w:style w:type="paragraph" w:styleId="9">
    <w:name w:val="annotation text"/>
    <w:basedOn w:val="1"/>
    <w:qFormat/>
    <w:uiPriority w:val="0"/>
  </w:style>
  <w:style w:type="paragraph" w:styleId="10">
    <w:name w:val="Body Text"/>
    <w:basedOn w:val="1"/>
    <w:next w:val="1"/>
    <w:qFormat/>
    <w:uiPriority w:val="1"/>
    <w:rPr>
      <w:sz w:val="24"/>
      <w:szCs w:val="24"/>
    </w:rPr>
  </w:style>
  <w:style w:type="paragraph" w:styleId="11">
    <w:name w:val="Plain Text"/>
    <w:basedOn w:val="1"/>
    <w:unhideWhenUsed/>
    <w:qFormat/>
    <w:uiPriority w:val="99"/>
    <w:rPr>
      <w:rFonts w:hAnsi="Courier New"/>
      <w:sz w:val="20"/>
      <w:szCs w:val="20"/>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10"/>
    <w:qFormat/>
    <w:uiPriority w:val="0"/>
    <w:pPr>
      <w:ind w:firstLine="420" w:firstLineChars="100"/>
    </w:pPr>
    <w:rPr>
      <w:rFonts w:ascii="Times New Roman" w:hAnsi="Times New Roman"/>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FollowedHyperlink"/>
    <w:basedOn w:val="16"/>
    <w:qFormat/>
    <w:uiPriority w:val="0"/>
    <w:rPr>
      <w:color w:val="800080"/>
      <w:u w:val="single"/>
    </w:rPr>
  </w:style>
  <w:style w:type="character" w:styleId="19">
    <w:name w:val="HTML Sample"/>
    <w:basedOn w:val="16"/>
    <w:qFormat/>
    <w:uiPriority w:val="0"/>
    <w:rPr>
      <w:rFonts w:ascii="Courier New" w:hAnsi="Courier New"/>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spacing w:before="160"/>
      <w:ind w:left="920" w:firstLine="480"/>
    </w:pPr>
  </w:style>
  <w:style w:type="paragraph" w:customStyle="1" w:styleId="22">
    <w:name w:val="Table Paragraph"/>
    <w:basedOn w:val="1"/>
    <w:qFormat/>
    <w:uiPriority w:val="1"/>
  </w:style>
  <w:style w:type="character" w:customStyle="1" w:styleId="23">
    <w:name w:val="标题 3 字符"/>
    <w:link w:val="5"/>
    <w:qFormat/>
    <w:uiPriority w:val="1"/>
    <w:rPr>
      <w:rFonts w:ascii="宋体" w:hAnsi="宋体" w:eastAsia="宋体" w:cs="宋体"/>
      <w:b/>
      <w:bCs/>
      <w:sz w:val="24"/>
      <w:szCs w:val="24"/>
      <w:lang w:val="zh-CN" w:eastAsia="zh-CN" w:bidi="zh-CN"/>
    </w:rPr>
  </w:style>
  <w:style w:type="paragraph" w:customStyle="1" w:styleId="2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标题 1 字符"/>
    <w:link w:val="3"/>
    <w:qFormat/>
    <w:uiPriority w:val="9"/>
    <w:rPr>
      <w:rFonts w:ascii="宋体" w:hAnsi="宋体" w:eastAsia="宋体"/>
      <w:b/>
      <w:bCs/>
      <w:sz w:val="30"/>
      <w:szCs w:val="30"/>
    </w:rPr>
  </w:style>
  <w:style w:type="character" w:customStyle="1" w:styleId="26">
    <w:name w:val="font31"/>
    <w:basedOn w:val="16"/>
    <w:qFormat/>
    <w:uiPriority w:val="0"/>
    <w:rPr>
      <w:rFonts w:hint="eastAsia" w:ascii="仿宋" w:hAnsi="仿宋" w:eastAsia="仿宋" w:cs="仿宋"/>
      <w:color w:val="000000"/>
      <w:sz w:val="20"/>
      <w:szCs w:val="20"/>
      <w:u w:val="none"/>
    </w:rPr>
  </w:style>
  <w:style w:type="character" w:customStyle="1" w:styleId="27">
    <w:name w:val="font41"/>
    <w:basedOn w:val="16"/>
    <w:qFormat/>
    <w:uiPriority w:val="0"/>
    <w:rPr>
      <w:rFonts w:ascii="Arial" w:hAnsi="Arial" w:cs="Arial"/>
      <w:color w:val="000000"/>
      <w:sz w:val="20"/>
      <w:szCs w:val="20"/>
      <w:u w:val="none"/>
    </w:rPr>
  </w:style>
  <w:style w:type="paragraph" w:customStyle="1" w:styleId="28">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customStyle="1" w:styleId="2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表格文字2"/>
    <w:basedOn w:val="31"/>
    <w:qFormat/>
    <w:uiPriority w:val="99"/>
    <w:pPr>
      <w:spacing w:before="25" w:after="25"/>
      <w:jc w:val="left"/>
    </w:pPr>
    <w:rPr>
      <w:bCs/>
      <w:spacing w:val="10"/>
      <w:kern w:val="0"/>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52120</Words>
  <Characters>57007</Characters>
  <Lines>245</Lines>
  <Paragraphs>69</Paragraphs>
  <TotalTime>109</TotalTime>
  <ScaleCrop>false</ScaleCrop>
  <LinksUpToDate>false</LinksUpToDate>
  <CharactersWithSpaces>59120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2021-04-16T08:26:00Z</dcterms:created>
  <dc:creator>lenovo</dc:creator>
  <cp:lastModifiedBy>梁山伯住阳台-</cp:lastModifiedBy>
  <cp:lastPrinted>2022-12-07T04:34:00Z</cp:lastPrinted>
  <dcterms:modified xsi:type="dcterms:W3CDTF">2023-08-31T04:39:26Z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Office Word 2007</vt:lpwstr>
  </property>
  <property fmtid="{D5CDD505-2E9C-101B-9397-08002B2CF9AE}" pid="4" name="LastSaved">
    <vt:filetime>2021-04-16T00:00:00Z</vt:filetime>
  </property>
  <property fmtid="{D5CDD505-2E9C-101B-9397-08002B2CF9AE}" pid="5" name="KSOProductBuildVer">
    <vt:lpwstr>2052-12.1.0.15374</vt:lpwstr>
  </property>
  <property fmtid="{D5CDD505-2E9C-101B-9397-08002B2CF9AE}" pid="6" name="ICV">
    <vt:lpwstr>A35CBA3615854CCFB4B33FAEB48DE17E_13</vt:lpwstr>
  </property>
</Properties>
</file>