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rPr>
          <w:rFonts w:ascii="宋体" w:cs="宋体"/>
          <w:szCs w:val="21"/>
        </w:rPr>
      </w:pPr>
    </w:p>
    <w:p>
      <w:pPr>
        <w:spacing w:line="360" w:lineRule="auto"/>
        <w:jc w:val="center"/>
        <w:rPr>
          <w:rFonts w:ascii="宋体" w:cs="宋体"/>
          <w:b/>
          <w:bCs/>
          <w:sz w:val="36"/>
          <w:szCs w:val="36"/>
        </w:rPr>
      </w:pPr>
      <w:r>
        <w:rPr>
          <w:rFonts w:hint="eastAsia" w:ascii="宋体" w:cs="宋体"/>
          <w:b/>
          <w:bCs/>
          <w:sz w:val="36"/>
          <w:szCs w:val="36"/>
        </w:rPr>
        <w:t>新疆维吾尔自治区动物卫生监督所</w:t>
      </w:r>
    </w:p>
    <w:p>
      <w:pPr>
        <w:spacing w:line="360" w:lineRule="auto"/>
        <w:jc w:val="center"/>
        <w:rPr>
          <w:rFonts w:hint="eastAsia" w:ascii="宋体" w:cs="宋体"/>
          <w:b/>
          <w:bCs/>
          <w:sz w:val="36"/>
          <w:szCs w:val="36"/>
        </w:rPr>
      </w:pPr>
      <w:r>
        <w:rPr>
          <w:rFonts w:hint="eastAsia" w:ascii="宋体" w:cs="宋体"/>
          <w:b/>
          <w:bCs/>
          <w:sz w:val="36"/>
          <w:szCs w:val="36"/>
        </w:rPr>
        <w:t>2022年动物疫病诊断试剂盒</w:t>
      </w:r>
      <w:r>
        <w:rPr>
          <w:rFonts w:hint="eastAsia" w:ascii="宋体" w:cs="宋体"/>
          <w:b/>
          <w:bCs/>
          <w:sz w:val="36"/>
          <w:szCs w:val="36"/>
          <w:lang w:eastAsia="zh-CN"/>
        </w:rPr>
        <w:t>项目</w:t>
      </w:r>
      <w:r>
        <w:rPr>
          <w:rFonts w:hint="eastAsia" w:ascii="宋体" w:cs="宋体"/>
          <w:b/>
          <w:bCs/>
          <w:sz w:val="36"/>
          <w:szCs w:val="36"/>
        </w:rPr>
        <w:t>(第二批）</w:t>
      </w:r>
    </w:p>
    <w:p>
      <w:pPr>
        <w:spacing w:line="360" w:lineRule="auto"/>
        <w:jc w:val="center"/>
        <w:rPr>
          <w:rFonts w:hint="eastAsia" w:ascii="宋体" w:cs="宋体"/>
          <w:b/>
          <w:bCs/>
          <w:sz w:val="36"/>
          <w:szCs w:val="36"/>
        </w:rPr>
      </w:pPr>
      <w:r>
        <w:rPr>
          <w:rFonts w:hint="eastAsia" w:ascii="宋体" w:cs="宋体"/>
          <w:b/>
          <w:bCs/>
          <w:sz w:val="36"/>
          <w:szCs w:val="36"/>
        </w:rPr>
        <w:t>XJHZ（GK）2022</w:t>
      </w:r>
      <w:r>
        <w:rPr>
          <w:rFonts w:hint="eastAsia" w:ascii="宋体" w:cs="宋体"/>
          <w:b/>
          <w:bCs/>
          <w:sz w:val="36"/>
          <w:szCs w:val="36"/>
          <w:lang w:val="en-US" w:eastAsia="zh-CN"/>
        </w:rPr>
        <w:t>-</w:t>
      </w:r>
      <w:r>
        <w:rPr>
          <w:rFonts w:hint="eastAsia" w:ascii="宋体" w:cs="宋体"/>
          <w:b/>
          <w:bCs/>
          <w:sz w:val="36"/>
          <w:szCs w:val="36"/>
        </w:rPr>
        <w:t>126</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6"/>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sz w:val="24"/>
        </w:rPr>
      </w:pPr>
      <w:r>
        <w:rPr>
          <w:rFonts w:hint="eastAsia" w:ascii="宋体" w:cs="宋体"/>
          <w:b/>
          <w:bCs/>
          <w:sz w:val="24"/>
        </w:rPr>
        <w:t>项目负责人：赵耀国</w:t>
      </w:r>
    </w:p>
    <w:p>
      <w:pPr>
        <w:spacing w:line="360" w:lineRule="auto"/>
        <w:jc w:val="left"/>
        <w:rPr>
          <w:rFonts w:ascii="宋体" w:cs="宋体"/>
          <w:b/>
          <w:bCs/>
          <w:sz w:val="24"/>
        </w:rPr>
      </w:pPr>
      <w:r>
        <w:rPr>
          <w:rFonts w:hint="eastAsia" w:ascii="宋体" w:cs="宋体"/>
          <w:b/>
          <w:bCs/>
          <w:sz w:val="24"/>
        </w:rPr>
        <w:t>联系方式：18899505068</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hint="eastAsia" w:ascii="宋体" w:eastAsia="宋体" w:cs="宋体"/>
          <w:b/>
          <w:bCs/>
          <w:sz w:val="24"/>
          <w:lang w:eastAsia="zh-CN"/>
        </w:rPr>
      </w:pPr>
      <w:r>
        <w:rPr>
          <w:rFonts w:hint="eastAsia" w:ascii="宋体" w:cs="宋体"/>
          <w:b/>
          <w:bCs/>
          <w:sz w:val="24"/>
        </w:rPr>
        <w:t>联系人：孙</w:t>
      </w:r>
      <w:r>
        <w:rPr>
          <w:rFonts w:hint="eastAsia" w:ascii="宋体" w:cs="宋体"/>
          <w:b/>
          <w:bCs/>
          <w:sz w:val="24"/>
          <w:lang w:eastAsia="zh-CN"/>
        </w:rPr>
        <w:t>明新</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ascii="宋体" w:cs="宋体"/>
          <w:b/>
          <w:bCs/>
          <w:sz w:val="24"/>
        </w:rPr>
      </w:pPr>
      <w:r>
        <w:rPr>
          <w:rFonts w:hint="eastAsia" w:ascii="宋体" w:cs="宋体"/>
          <w:b/>
          <w:bCs/>
          <w:sz w:val="24"/>
        </w:rPr>
        <w:t>日期：2022年</w:t>
      </w:r>
      <w:r>
        <w:rPr>
          <w:rFonts w:hint="eastAsia" w:ascii="宋体" w:cs="宋体"/>
          <w:b/>
          <w:bCs/>
          <w:sz w:val="24"/>
          <w:lang w:val="en-US" w:eastAsia="zh-CN"/>
        </w:rPr>
        <w:t>7</w:t>
      </w:r>
      <w:r>
        <w:rPr>
          <w:rFonts w:hint="eastAsia" w:ascii="宋体" w:cs="宋体"/>
          <w:b/>
          <w:bCs/>
          <w:sz w:val="24"/>
        </w:rPr>
        <w:t>月</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1"/>
              <w:spacing w:line="360" w:lineRule="auto"/>
              <w:ind w:firstLine="420" w:firstLineChars="200"/>
              <w:rPr>
                <w:rFonts w:asciiTheme="minorEastAsia" w:hAnsiTheme="minorEastAsia" w:eastAsiaTheme="minorEastAsia" w:cstheme="minorEastAsia"/>
              </w:rPr>
            </w:pPr>
            <w:r>
              <w:rPr>
                <w:rFonts w:hint="eastAsia"/>
                <w:lang w:val="en-US" w:eastAsia="zh-CN"/>
              </w:rPr>
              <w:t>新疆维吾尔自治区动物卫生监督所2022年动物疫病诊断试剂盒项目(第二批）</w:t>
            </w:r>
            <w:r>
              <w:rPr>
                <w:rFonts w:hint="eastAsia" w:cs="宋体"/>
                <w:color w:val="000000"/>
                <w:kern w:val="0"/>
                <w:szCs w:val="21"/>
              </w:rPr>
              <w:t>招标项目</w:t>
            </w:r>
            <w:r>
              <w:rPr>
                <w:rFonts w:hint="eastAsia" w:asciiTheme="minorEastAsia" w:hAnsiTheme="minorEastAsia" w:eastAsiaTheme="minorEastAsia" w:cstheme="minorEastAsia"/>
                <w:kern w:val="0"/>
                <w:szCs w:val="21"/>
              </w:rPr>
              <w:t>的潜在投标人应在乌鲁木齐市米东区中颐北路乾和家园F区F14号楼1-3单元303室</w:t>
            </w:r>
            <w:r>
              <w:rPr>
                <w:rFonts w:hint="eastAsia" w:asciiTheme="minorEastAsia" w:hAnsiTheme="minorEastAsia" w:eastAsiaTheme="minorEastAsia" w:cstheme="minorEastAsia"/>
                <w:color w:val="000000"/>
                <w:kern w:val="0"/>
                <w:szCs w:val="21"/>
              </w:rPr>
              <w:t>获取招标文件，并于2022年</w:t>
            </w:r>
            <w:r>
              <w:rPr>
                <w:rFonts w:hint="eastAsia" w:asciiTheme="minorEastAsia" w:hAnsiTheme="minorEastAsia" w:eastAsiaTheme="minorEastAsia" w:cstheme="minorEastAsia"/>
                <w:color w:val="000000"/>
                <w:kern w:val="0"/>
                <w:szCs w:val="21"/>
                <w:lang w:val="en-US" w:eastAsia="zh-CN"/>
              </w:rPr>
              <w:t>8</w:t>
            </w:r>
            <w:r>
              <w:rPr>
                <w:rFonts w:hint="eastAsia" w:asciiTheme="minorEastAsia" w:hAnsiTheme="minorEastAsia" w:eastAsiaTheme="minorEastAsia" w:cstheme="minorEastAsia"/>
                <w:color w:val="000000"/>
                <w:kern w:val="0"/>
                <w:szCs w:val="21"/>
              </w:rPr>
              <w:t>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w:t>
            </w:r>
            <w:r>
              <w:rPr>
                <w:rFonts w:hint="eastAsia" w:asciiTheme="minorEastAsia" w:hAnsiTheme="minorEastAsia" w:eastAsiaTheme="minorEastAsia" w:cstheme="minorEastAsia"/>
                <w:color w:val="000000"/>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w:t>
      </w:r>
      <w:r>
        <w:rPr>
          <w:rFonts w:hint="eastAsia" w:ascii="宋体" w:hAnsi="宋体" w:eastAsia="宋体" w:cs="宋体"/>
          <w:lang w:val="en-US" w:eastAsia="zh-CN"/>
        </w:rPr>
        <w:t>XJHZ（GK）2022-126</w:t>
      </w:r>
    </w:p>
    <w:p>
      <w:pPr>
        <w:spacing w:line="360" w:lineRule="auto"/>
        <w:ind w:left="420" w:leftChars="200" w:firstLine="0" w:firstLineChars="0"/>
        <w:rPr>
          <w:rFonts w:hint="eastAsia" w:ascii="宋体" w:cs="宋体"/>
          <w:color w:val="000000"/>
          <w:kern w:val="0"/>
          <w:szCs w:val="21"/>
          <w:lang w:val="en-US"/>
        </w:rPr>
      </w:pPr>
      <w:r>
        <w:rPr>
          <w:rFonts w:hint="eastAsia" w:asciiTheme="minorEastAsia" w:hAnsiTheme="minorEastAsia" w:eastAsiaTheme="minorEastAsia" w:cstheme="minorEastAsia"/>
          <w:szCs w:val="21"/>
        </w:rPr>
        <w:t>项目名称：</w:t>
      </w:r>
      <w:r>
        <w:rPr>
          <w:rFonts w:hint="eastAsia"/>
          <w:lang w:val="en-US" w:eastAsia="zh-CN"/>
        </w:rPr>
        <w:t>新疆维吾尔自治区动物卫生监督所2022年动物疫病诊断试剂盒项目(第二批）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firstLine="420" w:firstLineChars="200"/>
        <w:rPr>
          <w:rFonts w:asciiTheme="minorEastAsia" w:hAnsiTheme="minorEastAsia" w:eastAsiaTheme="minorEastAsia" w:cstheme="minorEastAsia"/>
          <w:i w:val="0"/>
          <w:iCs w:val="0"/>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szCs w:val="21"/>
          <w14:textFill>
            <w14:solidFill>
              <w14:schemeClr w14:val="tx1"/>
            </w14:solidFill>
          </w14:textFill>
        </w:rPr>
        <w:t>预算金额：</w:t>
      </w:r>
      <w:r>
        <w:rPr>
          <w:rFonts w:hint="eastAsia" w:ascii="宋体" w:cs="宋体"/>
          <w:bCs/>
          <w:i w:val="0"/>
          <w:iCs w:val="0"/>
          <w:color w:val="000000" w:themeColor="text1"/>
          <w:szCs w:val="21"/>
          <w:lang w:val="en-US" w:eastAsia="zh-CN"/>
          <w14:textFill>
            <w14:solidFill>
              <w14:schemeClr w14:val="tx1"/>
            </w14:solidFill>
          </w14:textFill>
        </w:rPr>
        <w:t>120000.00</w:t>
      </w:r>
      <w:r>
        <w:rPr>
          <w:rFonts w:hint="eastAsia" w:ascii="宋体" w:cs="宋体"/>
          <w:bCs/>
          <w:i w:val="0"/>
          <w:iCs w:val="0"/>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stheme="minorEastAsia"/>
          <w:i w:val="0"/>
          <w:iCs w:val="0"/>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szCs w:val="21"/>
          <w14:textFill>
            <w14:solidFill>
              <w14:schemeClr w14:val="tx1"/>
            </w14:solidFill>
          </w14:textFill>
        </w:rPr>
        <w:t>最高限价：</w:t>
      </w:r>
      <w:r>
        <w:rPr>
          <w:rFonts w:hint="eastAsia" w:ascii="宋体" w:cs="宋体"/>
          <w:bCs/>
          <w:i w:val="0"/>
          <w:iCs w:val="0"/>
          <w:color w:val="000000" w:themeColor="text1"/>
          <w:szCs w:val="21"/>
          <w:lang w:val="en-US" w:eastAsia="zh-CN"/>
          <w14:textFill>
            <w14:solidFill>
              <w14:schemeClr w14:val="tx1"/>
            </w14:solidFill>
          </w14:textFill>
        </w:rPr>
        <w:t>120000.00</w:t>
      </w:r>
      <w:r>
        <w:rPr>
          <w:rFonts w:hint="eastAsia" w:ascii="宋体" w:cs="宋体"/>
          <w:bCs/>
          <w:i w:val="0"/>
          <w:iCs w:val="0"/>
          <w:color w:val="000000" w:themeColor="text1"/>
          <w:szCs w:val="21"/>
          <w14:textFill>
            <w14:solidFill>
              <w14:schemeClr w14:val="tx1"/>
            </w14:solidFill>
          </w14:textFill>
        </w:rPr>
        <w:t>元</w:t>
      </w:r>
    </w:p>
    <w:p>
      <w:pPr>
        <w:spacing w:line="360" w:lineRule="auto"/>
        <w:ind w:left="420" w:leftChars="200" w:firstLine="0" w:firstLineChars="0"/>
        <w:rPr>
          <w:rFonts w:hint="eastAsia"/>
        </w:rPr>
      </w:pPr>
      <w:r>
        <w:rPr>
          <w:rFonts w:hint="eastAsia" w:asciiTheme="minorEastAsia" w:hAnsiTheme="minorEastAsia" w:eastAsiaTheme="minorEastAsia" w:cstheme="minorEastAsia"/>
          <w:szCs w:val="21"/>
        </w:rPr>
        <w:t>采购需求：</w:t>
      </w:r>
      <w:r>
        <w:rPr>
          <w:rFonts w:hint="eastAsia" w:ascii="宋体" w:cs="宋体" w:eastAsiaTheme="minorEastAsia"/>
          <w:color w:val="000000"/>
          <w:kern w:val="0"/>
          <w:szCs w:val="21"/>
          <w:lang w:eastAsia="zh-CN"/>
        </w:rPr>
        <w:t>试剂盒一批</w:t>
      </w:r>
      <w:r>
        <w:rPr>
          <w:rFonts w:hint="eastAsia" w:ascii="宋体" w:cs="宋体"/>
          <w:color w:val="000000"/>
          <w:kern w:val="0"/>
          <w:szCs w:val="21"/>
        </w:rPr>
        <w:t>（具体</w:t>
      </w:r>
      <w:r>
        <w:rPr>
          <w:rFonts w:hint="eastAsia"/>
        </w:rPr>
        <w:t>详见招标文件）</w:t>
      </w:r>
    </w:p>
    <w:p>
      <w:pPr>
        <w:spacing w:line="360" w:lineRule="auto"/>
        <w:ind w:firstLine="420" w:firstLineChars="200"/>
        <w:rPr>
          <w:rStyle w:val="24"/>
          <w:rFonts w:ascii="宋体" w:hAnsi="Times New Roman" w:cs="宋体"/>
          <w:b w:val="0"/>
          <w:bCs/>
          <w:color w:val="333333"/>
          <w:szCs w:val="21"/>
          <w:shd w:val="clear" w:color="auto" w:fill="FFFFFF"/>
        </w:rPr>
      </w:pPr>
      <w:r>
        <w:rPr>
          <w:rStyle w:val="24"/>
          <w:rFonts w:hint="eastAsia" w:ascii="宋体" w:hAnsi="Times New Roman" w:cs="宋体"/>
          <w:b w:val="0"/>
          <w:bCs/>
          <w:color w:val="333333"/>
          <w:szCs w:val="21"/>
          <w:shd w:val="clear" w:color="auto" w:fill="FFFFFF"/>
        </w:rPr>
        <w:t>合同履约期限：详见招标文件</w:t>
      </w:r>
    </w:p>
    <w:p>
      <w:pPr>
        <w:spacing w:line="360" w:lineRule="auto"/>
        <w:ind w:firstLine="422" w:firstLineChars="200"/>
        <w:rPr>
          <w:rStyle w:val="24"/>
          <w:rFonts w:ascii="宋体" w:hAnsi="Times New Roman" w:cs="宋体"/>
          <w:b w:val="0"/>
          <w:bCs/>
          <w:color w:val="333333"/>
          <w:szCs w:val="21"/>
          <w:shd w:val="clear" w:color="auto" w:fill="FFFFFF"/>
        </w:rPr>
      </w:pPr>
      <w:r>
        <w:rPr>
          <w:rStyle w:val="24"/>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4"/>
          <w:rFonts w:hint="eastAsia" w:ascii="宋体" w:hAnsi="Times New Roman" w:cs="宋体"/>
          <w:b/>
          <w:bCs w:val="0"/>
          <w:color w:val="FF0000"/>
          <w:szCs w:val="21"/>
          <w:shd w:val="clear" w:color="auto" w:fill="FFFFFF"/>
          <w:lang w:val="en-US" w:eastAsia="zh-CN"/>
        </w:rPr>
        <w:t>不</w:t>
      </w:r>
      <w:r>
        <w:rPr>
          <w:rStyle w:val="24"/>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4"/>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1"/>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rPr>
      </w:pPr>
      <w:r>
        <w:rPr>
          <w:rFonts w:hint="eastAsia" w:asciiTheme="minorEastAsia" w:hAnsiTheme="minorEastAsia" w:eastAsiaTheme="minorEastAsia" w:cstheme="minorEastAsia"/>
          <w:color w:val="FF0000"/>
          <w:kern w:val="2"/>
          <w:sz w:val="21"/>
          <w:szCs w:val="21"/>
        </w:rPr>
        <w:t>①本项目</w:t>
      </w:r>
      <w:r>
        <w:rPr>
          <w:rFonts w:hint="eastAsia" w:asciiTheme="minorEastAsia" w:hAnsiTheme="minorEastAsia" w:eastAsiaTheme="minorEastAsia" w:cstheme="minorEastAsia"/>
          <w:color w:val="FF0000"/>
          <w:kern w:val="2"/>
          <w:sz w:val="21"/>
          <w:szCs w:val="21"/>
          <w:lang w:eastAsia="zh-CN"/>
        </w:rPr>
        <w:t>是</w:t>
      </w:r>
      <w:r>
        <w:rPr>
          <w:rFonts w:hint="eastAsia" w:asciiTheme="minorEastAsia" w:hAnsiTheme="minorEastAsia" w:eastAsiaTheme="minorEastAsia" w:cstheme="minorEastAsia"/>
          <w:color w:val="FF0000"/>
          <w:kern w:val="2"/>
          <w:sz w:val="21"/>
          <w:szCs w:val="21"/>
        </w:rPr>
        <w:t>面向中小企业采购的项目。</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投标人具有有效的《兽药经营许可证》或《兽药生产许可证》；</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1"/>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1"/>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lang w:val="en-US" w:eastAsia="zh-CN"/>
        </w:rPr>
        <w:t>5.</w:t>
      </w:r>
      <w:r>
        <w:rPr>
          <w:rFonts w:hint="eastAsia" w:asciiTheme="minorEastAsia" w:hAnsiTheme="minorEastAsia" w:eastAsiaTheme="minorEastAsia" w:cstheme="minorEastAsia"/>
          <w:color w:val="FF0000"/>
          <w:szCs w:val="21"/>
        </w:rPr>
        <w:t>投标人有效的《兽药经营许可证》或《兽药生产许可证》原件；</w:t>
      </w:r>
    </w:p>
    <w:p>
      <w:pPr>
        <w:spacing w:line="500" w:lineRule="exact"/>
        <w:ind w:firstLine="420" w:firstLineChars="200"/>
        <w:rPr>
          <w:rFonts w:hint="eastAsia"/>
          <w:lang w:val="en-US" w:eastAsia="zh-CN"/>
        </w:rPr>
      </w:pPr>
      <w:r>
        <w:rPr>
          <w:rFonts w:hint="eastAsia" w:asciiTheme="minorEastAsia" w:hAnsiTheme="minorEastAsia" w:eastAsiaTheme="minorEastAsia" w:cstheme="minorEastAsia"/>
          <w:color w:val="auto"/>
          <w:szCs w:val="21"/>
          <w:lang w:val="en-US" w:eastAsia="zh-CN"/>
        </w:rPr>
        <w:t>6.以上资料须提交相应证明资料及复印件（加盖公章），在报名时需验原件后留存复印件，请投标人准备好各项资料，</w:t>
      </w:r>
      <w:r>
        <w:rPr>
          <w:rFonts w:hint="eastAsia" w:asciiTheme="minorEastAsia" w:hAnsiTheme="minorEastAsia" w:eastAsiaTheme="minorEastAsia" w:cstheme="minorEastAsia"/>
          <w:b/>
          <w:bCs/>
          <w:color w:val="auto"/>
          <w:szCs w:val="21"/>
          <w:lang w:val="en-US" w:eastAsia="zh-CN"/>
        </w:rPr>
        <w:t>报名时提交的资料查验不代表资格审查的最终通过或合格。</w:t>
      </w: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宋体" w:cs="宋体"/>
          <w:color w:val="000000"/>
          <w:kern w:val="0"/>
          <w:szCs w:val="21"/>
          <w:lang w:val="en-US" w:eastAsia="zh-CN"/>
        </w:rPr>
      </w:pPr>
      <w:r>
        <w:rPr>
          <w:rFonts w:hint="eastAsia" w:ascii="宋体" w:cs="宋体"/>
          <w:color w:val="000000"/>
          <w:kern w:val="0"/>
          <w:szCs w:val="21"/>
        </w:rPr>
        <w:t>联系人：</w:t>
      </w:r>
      <w:r>
        <w:rPr>
          <w:rFonts w:hint="eastAsia" w:ascii="宋体" w:cs="宋体"/>
          <w:color w:val="000000"/>
          <w:kern w:val="0"/>
          <w:szCs w:val="21"/>
          <w:lang w:val="en-US" w:eastAsia="zh-CN"/>
        </w:rPr>
        <w:t>赵耀国</w:t>
      </w:r>
    </w:p>
    <w:p>
      <w:pPr>
        <w:spacing w:line="360" w:lineRule="auto"/>
        <w:ind w:firstLine="840" w:firstLineChars="400"/>
        <w:rPr>
          <w:rFonts w:ascii="宋体" w:cs="宋体"/>
          <w:color w:val="000000"/>
          <w:kern w:val="0"/>
          <w:szCs w:val="21"/>
        </w:rPr>
      </w:pPr>
      <w:r>
        <w:rPr>
          <w:rFonts w:hint="eastAsia" w:ascii="宋体" w:cs="宋体"/>
          <w:color w:val="000000"/>
          <w:kern w:val="0"/>
          <w:szCs w:val="21"/>
        </w:rPr>
        <w:t>电话：</w:t>
      </w:r>
      <w:bookmarkStart w:id="45" w:name="_GoBack"/>
      <w:r>
        <w:rPr>
          <w:rFonts w:hint="eastAsia" w:ascii="宋体" w:hAnsi="Calibri" w:eastAsia="宋体" w:cs="宋体"/>
          <w:color w:val="000000"/>
          <w:kern w:val="0"/>
          <w:sz w:val="21"/>
          <w:szCs w:val="21"/>
          <w:lang w:val="en-US" w:eastAsia="zh-CN" w:bidi="ar-SA"/>
        </w:rPr>
        <w:t>18899505068</w:t>
      </w:r>
      <w:bookmarkEnd w:id="45"/>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eastAsia="zh-CN"/>
        </w:rPr>
        <w:t>孙明新，马依琳</w:t>
      </w:r>
    </w:p>
    <w:p>
      <w:pPr>
        <w:spacing w:line="360" w:lineRule="auto"/>
        <w:ind w:firstLine="840" w:firstLineChars="400"/>
        <w:rPr>
          <w:rFonts w:hint="default" w:asciiTheme="minorEastAsia" w:hAnsiTheme="minorEastAsia" w:eastAsiaTheme="minorEastAsia" w:cstheme="minorEastAsia"/>
          <w:szCs w:val="21"/>
          <w:lang w:val="en-US" w:eastAsia="zh-CN"/>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17799111523，15700936708</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_Toc6779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_Toc6779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_Toc31926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_Toc31926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_Toc8879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_Toc8879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_Toc15349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_Toc15349 \h </w:instrText>
      </w:r>
      <w:r>
        <w:fldChar w:fldCharType="separate"/>
      </w:r>
      <w:r>
        <w:t>- 12 -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_Toc15107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_Toc15107 \h </w:instrText>
      </w:r>
      <w:r>
        <w:fldChar w:fldCharType="separate"/>
      </w:r>
      <w:r>
        <w:t>- 13 -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_Toc22507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_Toc22507 \h </w:instrText>
      </w:r>
      <w:r>
        <w:fldChar w:fldCharType="separate"/>
      </w:r>
      <w:r>
        <w:t>- 19 -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_Toc746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_Toc746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_Toc19704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_Toc19704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_Toc23832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_Toc23832 \h </w:instrText>
      </w:r>
      <w:r>
        <w:fldChar w:fldCharType="separate"/>
      </w:r>
      <w:r>
        <w:t>- 24 -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_Toc13199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_Toc13199 \h </w:instrText>
      </w:r>
      <w:r>
        <w:fldChar w:fldCharType="separate"/>
      </w:r>
      <w:r>
        <w:t>- 26 -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_Toc26262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_Toc26262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_Toc2408 \h </w:instrText>
      </w:r>
      <w:r>
        <w:fldChar w:fldCharType="separate"/>
      </w:r>
      <w:r>
        <w:t>- 29 -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_Toc4017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_Toc4017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_Toc2379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_Toc2379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_Toc11533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_Toc11533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_Toc11841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_Toc11841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_Toc19110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_Toc19110 \h </w:instrText>
      </w:r>
      <w:r>
        <w:fldChar w:fldCharType="separate"/>
      </w:r>
      <w:r>
        <w:t>- 30 -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_Toc9511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_Toc9511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_Toc6021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_Toc6021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_Toc18422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_Toc18422 \h </w:instrText>
      </w:r>
      <w:r>
        <w:fldChar w:fldCharType="separate"/>
      </w:r>
      <w:r>
        <w:t>- 46 -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_Toc14451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_Toc14451 \h </w:instrText>
      </w:r>
      <w:r>
        <w:fldChar w:fldCharType="separate"/>
      </w:r>
      <w:r>
        <w:t>- 51 -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_Toc22595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_Toc22595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_Toc240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_Toc6848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_Toc6848 \h </w:instrText>
      </w:r>
      <w:r>
        <w:fldChar w:fldCharType="separate"/>
      </w:r>
      <w:r>
        <w:t>- 56 -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5"/>
        <w:jc w:val="center"/>
        <w:rPr>
          <w:rFonts w:ascii="黑体" w:eastAsia="黑体" w:cs="黑体"/>
          <w:sz w:val="24"/>
        </w:rPr>
      </w:pPr>
    </w:p>
    <w:p>
      <w:pPr>
        <w:rPr>
          <w:rFonts w:ascii="黑体" w:eastAsia="黑体" w:cs="黑体"/>
          <w:sz w:val="24"/>
        </w:rPr>
      </w:pPr>
    </w:p>
    <w:p>
      <w:pPr>
        <w:pStyle w:val="2"/>
        <w:rPr>
          <w:rFonts w:ascii="黑体" w:eastAsia="黑体" w:cs="黑体"/>
          <w:sz w:val="24"/>
        </w:rPr>
      </w:pPr>
    </w:p>
    <w:p>
      <w:pPr>
        <w:pStyle w:val="3"/>
      </w:pPr>
    </w:p>
    <w:p>
      <w:pPr>
        <w:pStyle w:val="3"/>
      </w:pPr>
    </w:p>
    <w:p>
      <w:pPr>
        <w:pStyle w:val="5"/>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5"/>
        <w:numPr>
          <w:ilvl w:val="0"/>
          <w:numId w:val="2"/>
        </w:numPr>
        <w:jc w:val="center"/>
        <w:rPr>
          <w:rFonts w:hint="eastAsia" w:ascii="黑体" w:eastAsia="黑体" w:cs="黑体"/>
          <w:sz w:val="24"/>
        </w:rPr>
      </w:pPr>
      <w:bookmarkStart w:id="0" w:name="_Toc6779"/>
      <w:r>
        <w:rPr>
          <w:rFonts w:hint="eastAsia" w:ascii="黑体" w:eastAsia="黑体" w:cs="黑体"/>
          <w:sz w:val="24"/>
        </w:rPr>
        <w:t>投标人须知前附表</w:t>
      </w:r>
      <w:bookmarkEnd w:id="0"/>
    </w:p>
    <w:tbl>
      <w:tblPr>
        <w:tblStyle w:val="22"/>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1465"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widowControl/>
              <w:jc w:val="left"/>
              <w:rPr>
                <w:rFonts w:ascii="宋体" w:cs="宋体"/>
                <w:color w:val="000000"/>
                <w:kern w:val="0"/>
                <w:szCs w:val="21"/>
              </w:rPr>
            </w:pPr>
            <w:r>
              <w:rPr>
                <w:rFonts w:hint="eastAsia" w:ascii="宋体" w:hAnsi="Calibri" w:eastAsia="宋体" w:cs="宋体"/>
                <w:color w:val="000000"/>
                <w:kern w:val="0"/>
                <w:sz w:val="21"/>
                <w:szCs w:val="21"/>
                <w:lang w:val="en-US" w:eastAsia="zh-CN" w:bidi="ar-SA"/>
              </w:rPr>
              <w:t>电话：18899505068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9"/>
              <w:numPr>
                <w:ilvl w:val="0"/>
                <w:numId w:val="0"/>
              </w:numPr>
              <w:rPr>
                <w:rFonts w:hint="eastAsia" w:ascii="宋体" w:eastAsia="宋体" w:cs="宋体"/>
                <w:color w:val="000000"/>
                <w:kern w:val="0"/>
                <w:sz w:val="21"/>
                <w:szCs w:val="21"/>
                <w:lang w:eastAsia="zh-CN"/>
              </w:rPr>
            </w:pPr>
            <w:r>
              <w:rPr>
                <w:rFonts w:hint="eastAsia" w:ascii="宋体" w:eastAsia="宋体" w:cs="宋体"/>
                <w:color w:val="000000"/>
                <w:kern w:val="0"/>
                <w:sz w:val="21"/>
                <w:szCs w:val="21"/>
              </w:rPr>
              <w:t>联系人：</w:t>
            </w:r>
            <w:r>
              <w:rPr>
                <w:rFonts w:hint="eastAsia" w:ascii="宋体" w:eastAsia="宋体" w:cs="宋体"/>
                <w:color w:val="000000"/>
                <w:kern w:val="0"/>
                <w:sz w:val="21"/>
                <w:szCs w:val="21"/>
                <w:lang w:eastAsia="zh-CN"/>
              </w:rPr>
              <w:t>孙明新</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项目基本情况</w:t>
            </w:r>
          </w:p>
        </w:tc>
        <w:tc>
          <w:tcPr>
            <w:tcW w:w="6857" w:type="dxa"/>
            <w:vAlign w:val="center"/>
          </w:tcPr>
          <w:p>
            <w:pPr>
              <w:spacing w:line="360" w:lineRule="auto"/>
              <w:jc w:val="both"/>
              <w:rPr>
                <w:rFonts w:hint="eastAsia"/>
                <w:lang w:val="en-US" w:eastAsia="zh-CN"/>
              </w:rPr>
            </w:pPr>
            <w:r>
              <w:rPr>
                <w:rFonts w:hint="eastAsia"/>
                <w:lang w:val="en-US" w:eastAsia="zh-CN"/>
              </w:rPr>
              <w:t>项目名称：新疆维吾尔自治区动物卫生监督所2022年动物疫病诊断试剂盒项目(第二批）</w:t>
            </w:r>
          </w:p>
          <w:p>
            <w:pPr>
              <w:spacing w:line="360" w:lineRule="auto"/>
              <w:jc w:val="both"/>
              <w:rPr>
                <w:rFonts w:hint="eastAsia" w:ascii="宋体" w:hAnsi="宋体" w:eastAsia="宋体" w:cs="宋体"/>
                <w:lang w:val="en-US" w:eastAsia="zh-CN"/>
              </w:rPr>
            </w:pPr>
            <w:r>
              <w:rPr>
                <w:rFonts w:hint="eastAsia"/>
                <w:lang w:val="en-US" w:eastAsia="zh-CN"/>
              </w:rPr>
              <w:t>项目编号：</w:t>
            </w:r>
            <w:r>
              <w:rPr>
                <w:rFonts w:hint="eastAsia" w:ascii="宋体" w:hAnsi="宋体" w:eastAsia="宋体" w:cs="宋体"/>
                <w:lang w:val="en-US" w:eastAsia="zh-CN"/>
              </w:rPr>
              <w:t>XJHZ（GK）2022-126</w:t>
            </w:r>
          </w:p>
          <w:p>
            <w:pPr>
              <w:spacing w:line="360" w:lineRule="auto"/>
              <w:jc w:val="both"/>
              <w:rPr>
                <w:rFonts w:hint="eastAsia"/>
                <w:color w:val="0000FF"/>
                <w:lang w:val="en-US" w:eastAsia="zh-CN"/>
              </w:rPr>
            </w:pPr>
            <w:r>
              <w:rPr>
                <w:rFonts w:hint="eastAsia"/>
                <w:color w:val="0000FF"/>
                <w:lang w:val="en-US" w:eastAsia="zh-CN"/>
              </w:rPr>
              <w:t>预算金额：120000元</w:t>
            </w:r>
          </w:p>
          <w:p>
            <w:pPr>
              <w:keepNext/>
              <w:widowControl/>
              <w:jc w:val="left"/>
              <w:rPr>
                <w:rFonts w:hint="default" w:ascii="宋体" w:hAnsi="宋体" w:eastAsia="宋体" w:cs="宋体"/>
                <w:kern w:val="2"/>
                <w:sz w:val="21"/>
                <w:szCs w:val="24"/>
                <w:lang w:val="en-US" w:eastAsia="zh-CN" w:bidi="ar-SA"/>
              </w:rPr>
            </w:pPr>
            <w:r>
              <w:rPr>
                <w:rFonts w:hint="eastAsia" w:ascii="Calibri" w:hAnsi="Calibri" w:eastAsia="宋体" w:cs="Arial"/>
                <w:kern w:val="2"/>
                <w:sz w:val="21"/>
                <w:szCs w:val="24"/>
                <w:lang w:val="en-US" w:eastAsia="zh-CN" w:bidi="ar-SA"/>
              </w:rPr>
              <w:t>预算</w:t>
            </w:r>
            <w:r>
              <w:rPr>
                <w:rFonts w:hint="eastAsia" w:cs="Arial"/>
                <w:kern w:val="2"/>
                <w:sz w:val="21"/>
                <w:szCs w:val="24"/>
                <w:lang w:val="en-US" w:eastAsia="zh-CN" w:bidi="ar-SA"/>
              </w:rPr>
              <w:t>单价</w:t>
            </w:r>
            <w:r>
              <w:rPr>
                <w:rFonts w:hint="eastAsia" w:ascii="Calibri" w:hAnsi="Calibri" w:eastAsia="宋体" w:cs="Arial"/>
                <w:kern w:val="2"/>
                <w:sz w:val="21"/>
                <w:szCs w:val="24"/>
                <w:lang w:val="en-US" w:eastAsia="zh-CN" w:bidi="ar-SA"/>
              </w:rPr>
              <w:t>：</w:t>
            </w:r>
            <w:r>
              <w:rPr>
                <w:rFonts w:hint="eastAsia" w:ascii="宋体" w:cs="宋体"/>
                <w:b/>
                <w:bCs/>
                <w:color w:val="000000"/>
                <w:kern w:val="0"/>
                <w:sz w:val="22"/>
                <w:szCs w:val="22"/>
                <w:lang w:val="en-US" w:eastAsia="zh-CN"/>
              </w:rPr>
              <w:t>（</w:t>
            </w:r>
            <w:r>
              <w:rPr>
                <w:rStyle w:val="24"/>
                <w:rFonts w:hint="eastAsia" w:ascii="宋体" w:cs="宋体"/>
                <w:b/>
                <w:bCs/>
                <w:i w:val="0"/>
                <w:caps w:val="0"/>
                <w:smallCaps w:val="0"/>
                <w:color w:val="auto"/>
                <w:spacing w:val="0"/>
                <w:sz w:val="21"/>
                <w:szCs w:val="21"/>
                <w:shd w:val="clear" w:color="auto" w:fill="FFFFFF"/>
                <w:lang w:val="en-US" w:eastAsia="zh-CN"/>
              </w:rPr>
              <w:t>任意产品的单项报价超出预算单价的，视为超出最高限价）</w:t>
            </w:r>
          </w:p>
          <w:p>
            <w:pPr>
              <w:keepNext/>
              <w:widowControl/>
              <w:jc w:val="left"/>
              <w:rPr>
                <w:rFonts w:hint="eastAsia" w:ascii="宋体" w:hAnsi="宋体" w:cs="宋体"/>
                <w:i w:val="0"/>
                <w:iCs w:val="0"/>
                <w:color w:val="0000FF"/>
                <w:kern w:val="0"/>
                <w:sz w:val="22"/>
                <w:szCs w:val="22"/>
                <w:u w:val="none"/>
                <w:lang w:val="en-US" w:eastAsia="zh-CN" w:bidi="ar"/>
              </w:rPr>
            </w:pPr>
            <w:r>
              <w:rPr>
                <w:rFonts w:hint="eastAsia" w:ascii="宋体" w:hAnsi="宋体" w:eastAsia="宋体" w:cs="宋体"/>
                <w:color w:val="0000FF"/>
                <w:kern w:val="2"/>
                <w:sz w:val="21"/>
                <w:szCs w:val="24"/>
                <w:lang w:val="en-US" w:eastAsia="zh-CN" w:bidi="ar-SA"/>
              </w:rPr>
              <w:t>①</w:t>
            </w:r>
            <w:r>
              <w:rPr>
                <w:rFonts w:hint="eastAsia" w:ascii="宋体" w:cs="宋体"/>
                <w:color w:val="0000FF"/>
                <w:kern w:val="0"/>
                <w:sz w:val="22"/>
                <w:szCs w:val="22"/>
              </w:rPr>
              <w:t>小反刍兽疫病毒抗体ELISA检测试剂盒（竞争法）</w:t>
            </w:r>
            <w:r>
              <w:rPr>
                <w:rFonts w:hint="eastAsia" w:ascii="宋体" w:cs="宋体"/>
                <w:color w:val="0000FF"/>
                <w:kern w:val="0"/>
                <w:sz w:val="22"/>
                <w:szCs w:val="22"/>
                <w:lang w:eastAsia="zh-CN"/>
              </w:rPr>
              <w:t>：4000</w:t>
            </w:r>
            <w:r>
              <w:rPr>
                <w:rFonts w:hint="eastAsia" w:ascii="宋体" w:hAnsi="宋体" w:cs="宋体"/>
                <w:i w:val="0"/>
                <w:iCs w:val="0"/>
                <w:color w:val="0000FF"/>
                <w:kern w:val="0"/>
                <w:sz w:val="22"/>
                <w:szCs w:val="22"/>
                <w:u w:val="none"/>
                <w:lang w:val="en-US" w:eastAsia="zh-CN" w:bidi="ar"/>
              </w:rPr>
              <w:t>元</w:t>
            </w:r>
          </w:p>
          <w:p>
            <w:pPr>
              <w:keepNext/>
              <w:widowControl/>
              <w:jc w:val="left"/>
              <w:rPr>
                <w:rFonts w:hint="eastAsia" w:ascii="宋体" w:hAnsi="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②</w:t>
            </w:r>
            <w:r>
              <w:rPr>
                <w:rFonts w:hint="eastAsia" w:ascii="宋体" w:cs="宋体"/>
                <w:color w:val="0000FF"/>
                <w:kern w:val="0"/>
                <w:sz w:val="22"/>
                <w:szCs w:val="22"/>
              </w:rPr>
              <w:t>口蹄疫病毒非结构蛋白抗体高敏荧光检测试剂盒</w:t>
            </w:r>
            <w:r>
              <w:rPr>
                <w:rFonts w:hint="eastAsia" w:ascii="宋体" w:cs="宋体"/>
                <w:color w:val="0000FF"/>
                <w:kern w:val="0"/>
                <w:sz w:val="22"/>
                <w:szCs w:val="22"/>
                <w:lang w:eastAsia="zh-CN"/>
              </w:rPr>
              <w:t>：1400</w:t>
            </w:r>
            <w:r>
              <w:rPr>
                <w:rFonts w:hint="eastAsia" w:ascii="宋体" w:hAnsi="宋体" w:cs="宋体"/>
                <w:i w:val="0"/>
                <w:iCs w:val="0"/>
                <w:color w:val="0000FF"/>
                <w:kern w:val="0"/>
                <w:sz w:val="22"/>
                <w:szCs w:val="22"/>
                <w:u w:val="none"/>
                <w:lang w:val="en-US" w:eastAsia="zh-CN" w:bidi="ar"/>
              </w:rPr>
              <w:t>元</w:t>
            </w:r>
          </w:p>
          <w:p>
            <w:pPr>
              <w:keepNext/>
              <w:widowControl/>
              <w:jc w:val="left"/>
              <w:rPr>
                <w:rFonts w:hint="eastAsia" w:ascii="宋体" w:cs="宋体"/>
                <w:color w:val="0000FF"/>
                <w:kern w:val="0"/>
                <w:sz w:val="22"/>
                <w:szCs w:val="22"/>
                <w:lang w:val="en-US" w:eastAsia="zh-CN"/>
              </w:rPr>
            </w:pPr>
            <w:r>
              <w:rPr>
                <w:rFonts w:hint="eastAsia" w:ascii="宋体" w:hAnsi="宋体" w:eastAsia="宋体" w:cs="宋体"/>
                <w:i w:val="0"/>
                <w:iCs w:val="0"/>
                <w:color w:val="0000FF"/>
                <w:kern w:val="0"/>
                <w:sz w:val="22"/>
                <w:szCs w:val="22"/>
                <w:u w:val="none"/>
                <w:lang w:val="en-US" w:eastAsia="zh-CN" w:bidi="ar"/>
              </w:rPr>
              <w:t>③</w:t>
            </w:r>
            <w:r>
              <w:rPr>
                <w:rFonts w:hint="eastAsia" w:ascii="宋体" w:cs="宋体"/>
                <w:color w:val="0000FF"/>
                <w:kern w:val="0"/>
                <w:sz w:val="22"/>
                <w:szCs w:val="22"/>
              </w:rPr>
              <w:t>小反刍兽疫病毒抗体高敏荧光检测试剂盒</w:t>
            </w:r>
            <w:r>
              <w:rPr>
                <w:rFonts w:hint="eastAsia" w:ascii="宋体" w:cs="宋体"/>
                <w:color w:val="0000FF"/>
                <w:kern w:val="0"/>
                <w:sz w:val="22"/>
                <w:szCs w:val="22"/>
                <w:lang w:eastAsia="zh-CN"/>
              </w:rPr>
              <w:t>：1600</w:t>
            </w:r>
            <w:r>
              <w:rPr>
                <w:rFonts w:hint="eastAsia" w:ascii="宋体" w:cs="宋体"/>
                <w:color w:val="0000FF"/>
                <w:kern w:val="0"/>
                <w:sz w:val="22"/>
                <w:szCs w:val="22"/>
                <w:lang w:val="en-US" w:eastAsia="zh-CN"/>
              </w:rPr>
              <w:t>元</w:t>
            </w:r>
          </w:p>
          <w:p>
            <w:pPr>
              <w:keepNext/>
              <w:widowControl/>
              <w:jc w:val="left"/>
              <w:rPr>
                <w:rFonts w:hint="eastAsia" w:ascii="宋体" w:cs="宋体"/>
                <w:color w:val="0000FF"/>
                <w:kern w:val="0"/>
                <w:sz w:val="22"/>
                <w:szCs w:val="22"/>
                <w:lang w:val="en-US" w:eastAsia="zh-CN"/>
              </w:rPr>
            </w:pPr>
            <w:r>
              <w:rPr>
                <w:rFonts w:hint="eastAsia" w:ascii="宋体" w:hAnsi="宋体" w:eastAsia="宋体" w:cs="宋体"/>
                <w:i w:val="0"/>
                <w:iCs w:val="0"/>
                <w:color w:val="0000FF"/>
                <w:kern w:val="0"/>
                <w:sz w:val="22"/>
                <w:szCs w:val="22"/>
                <w:u w:val="none"/>
                <w:lang w:val="en-US" w:eastAsia="zh-CN" w:bidi="ar"/>
              </w:rPr>
              <w:t>④</w:t>
            </w:r>
            <w:r>
              <w:rPr>
                <w:rFonts w:hint="eastAsia" w:ascii="宋体" w:cs="宋体"/>
                <w:color w:val="0000FF"/>
                <w:kern w:val="0"/>
                <w:sz w:val="22"/>
                <w:szCs w:val="22"/>
              </w:rPr>
              <w:t>牛结节性皮肤病病毒抗体高敏荧光检测试剂盒</w:t>
            </w:r>
            <w:r>
              <w:rPr>
                <w:rFonts w:hint="eastAsia" w:ascii="宋体" w:cs="宋体"/>
                <w:color w:val="0000FF"/>
                <w:kern w:val="0"/>
                <w:sz w:val="22"/>
                <w:szCs w:val="22"/>
                <w:lang w:eastAsia="zh-CN"/>
              </w:rPr>
              <w:t>：2250</w:t>
            </w:r>
            <w:r>
              <w:rPr>
                <w:rFonts w:hint="eastAsia" w:ascii="宋体" w:cs="宋体"/>
                <w:color w:val="0000FF"/>
                <w:kern w:val="0"/>
                <w:sz w:val="22"/>
                <w:szCs w:val="22"/>
                <w:lang w:val="en-US" w:eastAsia="zh-CN"/>
              </w:rPr>
              <w:t>元</w:t>
            </w:r>
          </w:p>
          <w:p>
            <w:pPr>
              <w:keepNext/>
              <w:widowControl/>
              <w:jc w:val="left"/>
              <w:rPr>
                <w:rFonts w:hint="eastAsia" w:ascii="宋体" w:cs="宋体"/>
                <w:color w:val="0000FF"/>
                <w:kern w:val="0"/>
                <w:sz w:val="22"/>
                <w:szCs w:val="22"/>
                <w:lang w:val="en-US" w:eastAsia="zh-CN"/>
              </w:rPr>
            </w:pPr>
            <w:r>
              <w:rPr>
                <w:rFonts w:hint="eastAsia" w:ascii="宋体" w:hAnsi="宋体" w:eastAsia="宋体" w:cs="宋体"/>
                <w:i w:val="0"/>
                <w:iCs w:val="0"/>
                <w:color w:val="0000FF"/>
                <w:kern w:val="0"/>
                <w:sz w:val="22"/>
                <w:szCs w:val="22"/>
                <w:u w:val="none"/>
                <w:lang w:val="en-US" w:eastAsia="zh-CN" w:bidi="ar"/>
              </w:rPr>
              <w:t>⑤</w:t>
            </w:r>
            <w:r>
              <w:rPr>
                <w:rFonts w:hint="eastAsia" w:ascii="宋体" w:cs="宋体"/>
                <w:color w:val="0000FF"/>
                <w:kern w:val="0"/>
                <w:sz w:val="22"/>
                <w:szCs w:val="22"/>
              </w:rPr>
              <w:t>羊痘病毒抗体高敏荧光检测试剂盒</w:t>
            </w:r>
            <w:r>
              <w:rPr>
                <w:rFonts w:hint="eastAsia" w:ascii="宋体" w:cs="宋体"/>
                <w:color w:val="0000FF"/>
                <w:kern w:val="0"/>
                <w:sz w:val="22"/>
                <w:szCs w:val="22"/>
                <w:lang w:eastAsia="zh-CN"/>
              </w:rPr>
              <w:t>：1900</w:t>
            </w:r>
            <w:r>
              <w:rPr>
                <w:rFonts w:hint="eastAsia" w:ascii="宋体" w:cs="宋体"/>
                <w:color w:val="0000FF"/>
                <w:kern w:val="0"/>
                <w:sz w:val="22"/>
                <w:szCs w:val="22"/>
                <w:lang w:val="en-US" w:eastAsia="zh-CN"/>
              </w:rPr>
              <w:t>元</w:t>
            </w:r>
          </w:p>
          <w:p>
            <w:pPr>
              <w:keepNext/>
              <w:widowControl/>
              <w:jc w:val="left"/>
              <w:rPr>
                <w:rFonts w:hint="eastAsia" w:ascii="宋体" w:cs="宋体"/>
                <w:color w:val="0000FF"/>
                <w:kern w:val="0"/>
                <w:sz w:val="22"/>
                <w:szCs w:val="22"/>
                <w:highlight w:val="none"/>
                <w:lang w:val="en-US" w:eastAsia="zh-CN"/>
              </w:rPr>
            </w:pPr>
            <w:r>
              <w:rPr>
                <w:rFonts w:hint="eastAsia" w:ascii="宋体" w:hAnsi="宋体" w:eastAsia="宋体" w:cs="宋体"/>
                <w:i w:val="0"/>
                <w:iCs w:val="0"/>
                <w:color w:val="0000FF"/>
                <w:kern w:val="0"/>
                <w:sz w:val="22"/>
                <w:szCs w:val="22"/>
                <w:u w:val="none"/>
                <w:lang w:val="en-US" w:eastAsia="zh-CN" w:bidi="ar"/>
              </w:rPr>
              <w:t>⑥</w:t>
            </w:r>
            <w:r>
              <w:rPr>
                <w:rFonts w:hint="eastAsia" w:ascii="宋体" w:cs="宋体"/>
                <w:color w:val="0000FF"/>
                <w:kern w:val="0"/>
                <w:sz w:val="22"/>
                <w:szCs w:val="22"/>
                <w:highlight w:val="none"/>
              </w:rPr>
              <w:t>非洲猪瘟病毒抗原高敏荧光检测试剂盒</w:t>
            </w:r>
            <w:r>
              <w:rPr>
                <w:rFonts w:hint="eastAsia" w:ascii="宋体" w:cs="宋体"/>
                <w:color w:val="0000FF"/>
                <w:kern w:val="0"/>
                <w:sz w:val="22"/>
                <w:szCs w:val="22"/>
                <w:highlight w:val="none"/>
                <w:lang w:eastAsia="zh-CN"/>
              </w:rPr>
              <w:t>：2500</w:t>
            </w:r>
            <w:r>
              <w:rPr>
                <w:rFonts w:hint="eastAsia" w:ascii="宋体" w:cs="宋体"/>
                <w:color w:val="0000FF"/>
                <w:kern w:val="0"/>
                <w:sz w:val="22"/>
                <w:szCs w:val="22"/>
                <w:highlight w:val="none"/>
                <w:lang w:val="en-US" w:eastAsia="zh-CN"/>
              </w:rPr>
              <w:t>元</w:t>
            </w:r>
          </w:p>
          <w:p>
            <w:pPr>
              <w:keepNext/>
              <w:widowControl/>
              <w:jc w:val="left"/>
              <w:rPr>
                <w:rFonts w:hint="eastAsia" w:ascii="宋体" w:cs="宋体"/>
                <w:color w:val="0000FF"/>
                <w:kern w:val="0"/>
                <w:sz w:val="22"/>
                <w:szCs w:val="22"/>
                <w:lang w:val="en-US" w:eastAsia="zh-CN"/>
              </w:rPr>
            </w:pPr>
            <w:r>
              <w:rPr>
                <w:rFonts w:hint="eastAsia" w:ascii="宋体" w:hAnsi="宋体" w:eastAsia="宋体" w:cs="宋体"/>
                <w:i w:val="0"/>
                <w:iCs w:val="0"/>
                <w:color w:val="0000FF"/>
                <w:kern w:val="0"/>
                <w:sz w:val="22"/>
                <w:szCs w:val="22"/>
                <w:u w:val="none"/>
                <w:lang w:val="en-US" w:eastAsia="zh-CN" w:bidi="ar"/>
              </w:rPr>
              <w:t>⑦</w:t>
            </w:r>
            <w:r>
              <w:rPr>
                <w:rFonts w:hint="eastAsia" w:ascii="宋体" w:cs="宋体"/>
                <w:color w:val="0000FF"/>
                <w:kern w:val="0"/>
                <w:sz w:val="22"/>
                <w:szCs w:val="22"/>
              </w:rPr>
              <w:t>禽流感病毒(H9 亚型)抗体定量检测试剂盒</w:t>
            </w:r>
            <w:r>
              <w:rPr>
                <w:rFonts w:hint="eastAsia" w:ascii="宋体" w:cs="宋体"/>
                <w:color w:val="0000FF"/>
                <w:kern w:val="0"/>
                <w:sz w:val="22"/>
                <w:szCs w:val="22"/>
                <w:lang w:eastAsia="zh-CN"/>
              </w:rPr>
              <w:t>：1400</w:t>
            </w:r>
            <w:r>
              <w:rPr>
                <w:rFonts w:hint="eastAsia" w:ascii="宋体" w:cs="宋体"/>
                <w:color w:val="0000FF"/>
                <w:kern w:val="0"/>
                <w:sz w:val="22"/>
                <w:szCs w:val="22"/>
                <w:lang w:val="en-US" w:eastAsia="zh-CN"/>
              </w:rPr>
              <w:t>元</w:t>
            </w:r>
          </w:p>
          <w:p>
            <w:pPr>
              <w:pStyle w:val="6"/>
              <w:rPr>
                <w:rFonts w:hint="eastAsia" w:ascii="宋体" w:hAnsi="宋体" w:eastAsia="宋体" w:cs="宋体"/>
                <w:b w:val="0"/>
                <w:i w:val="0"/>
                <w:iCs w:val="0"/>
                <w:color w:val="0000FF"/>
                <w:kern w:val="0"/>
                <w:sz w:val="22"/>
                <w:szCs w:val="22"/>
                <w:u w:val="none"/>
                <w:lang w:val="en-US" w:eastAsia="zh-CN" w:bidi="ar"/>
              </w:rPr>
            </w:pPr>
            <w:r>
              <w:rPr>
                <w:rFonts w:hint="eastAsia" w:ascii="宋体" w:hAnsi="宋体" w:eastAsia="宋体" w:cs="宋体"/>
                <w:b w:val="0"/>
                <w:i w:val="0"/>
                <w:iCs w:val="0"/>
                <w:color w:val="0000FF"/>
                <w:kern w:val="0"/>
                <w:sz w:val="22"/>
                <w:szCs w:val="22"/>
                <w:u w:val="none"/>
                <w:lang w:val="en-US" w:eastAsia="zh-CN" w:bidi="ar"/>
              </w:rPr>
              <w:t>⑧禽流感病毒(H7 亚型)抗体定量检测试剂盒</w:t>
            </w:r>
            <w:r>
              <w:rPr>
                <w:rFonts w:hint="eastAsia" w:ascii="宋体" w:hAnsi="宋体" w:cs="宋体"/>
                <w:b w:val="0"/>
                <w:i w:val="0"/>
                <w:iCs w:val="0"/>
                <w:color w:val="0000FF"/>
                <w:kern w:val="0"/>
                <w:sz w:val="22"/>
                <w:szCs w:val="22"/>
                <w:u w:val="none"/>
                <w:lang w:val="en-US" w:eastAsia="zh-CN" w:bidi="ar"/>
              </w:rPr>
              <w:t>：140</w:t>
            </w:r>
            <w:r>
              <w:rPr>
                <w:rFonts w:hint="eastAsia" w:ascii="宋体" w:hAnsi="宋体" w:eastAsia="宋体" w:cs="宋体"/>
                <w:b w:val="0"/>
                <w:i w:val="0"/>
                <w:iCs w:val="0"/>
                <w:color w:val="0000FF"/>
                <w:kern w:val="0"/>
                <w:sz w:val="22"/>
                <w:szCs w:val="22"/>
                <w:u w:val="none"/>
                <w:lang w:val="en-US" w:eastAsia="zh-CN" w:bidi="ar"/>
              </w:rPr>
              <w:t>0元</w:t>
            </w:r>
          </w:p>
          <w:p>
            <w:pPr>
              <w:keepNext/>
              <w:widowControl/>
              <w:jc w:val="left"/>
              <w:rPr>
                <w:rFonts w:hint="eastAsia" w:ascii="宋体" w:hAnsi="宋体" w:eastAsia="宋体" w:cs="宋体"/>
                <w:b w:val="0"/>
                <w:i w:val="0"/>
                <w:iCs w:val="0"/>
                <w:color w:val="0000FF"/>
                <w:kern w:val="0"/>
                <w:sz w:val="22"/>
                <w:szCs w:val="22"/>
                <w:u w:val="none"/>
                <w:lang w:val="en-US" w:eastAsia="zh-CN" w:bidi="ar"/>
              </w:rPr>
            </w:pPr>
            <w:r>
              <w:rPr>
                <w:rFonts w:hint="eastAsia" w:ascii="宋体" w:hAnsi="宋体" w:eastAsia="宋体" w:cs="宋体"/>
                <w:b w:val="0"/>
                <w:i w:val="0"/>
                <w:iCs w:val="0"/>
                <w:color w:val="0000FF"/>
                <w:kern w:val="0"/>
                <w:sz w:val="22"/>
                <w:szCs w:val="22"/>
                <w:u w:val="none"/>
                <w:lang w:val="en-US" w:eastAsia="zh-CN" w:bidi="ar"/>
              </w:rPr>
              <w:t>⑨禽流感通用抗原高敏荧光检测试剂盒：1900 元</w:t>
            </w:r>
          </w:p>
          <w:p>
            <w:pPr>
              <w:keepNext/>
              <w:widowControl/>
              <w:jc w:val="left"/>
              <w:rPr>
                <w:rFonts w:hint="eastAsia"/>
              </w:rPr>
            </w:pPr>
            <w:r>
              <w:rPr>
                <w:rFonts w:hint="eastAsia"/>
              </w:rPr>
              <w:t>采购内容： 详见采购文件</w:t>
            </w:r>
          </w:p>
          <w:p>
            <w:pPr>
              <w:keepNext/>
              <w:widowControl/>
              <w:jc w:val="left"/>
              <w:rPr>
                <w:rFonts w:hint="default"/>
                <w:lang w:val="en-US" w:eastAsia="zh-CN"/>
              </w:rPr>
            </w:pPr>
            <w:r>
              <w:rPr>
                <w:rFonts w:hint="eastAsia"/>
              </w:rPr>
              <w:t>采购</w:t>
            </w:r>
            <w:r>
              <w:rPr>
                <w:rFonts w:hint="eastAsia"/>
                <w:lang w:val="en-US" w:eastAsia="zh-CN"/>
              </w:rPr>
              <w:t>数量</w:t>
            </w:r>
            <w:r>
              <w:rPr>
                <w:rFonts w:hint="eastAsia"/>
              </w:rPr>
              <w:t xml:space="preserve">： </w:t>
            </w:r>
            <w:r>
              <w:rPr>
                <w:rFonts w:hint="eastAsia"/>
                <w:lang w:val="en-US" w:eastAsia="zh-CN"/>
              </w:rPr>
              <w:t>1批</w:t>
            </w:r>
          </w:p>
          <w:p>
            <w:pPr>
              <w:keepNext/>
              <w:widowControl/>
              <w:jc w:val="left"/>
              <w:rPr>
                <w:rFonts w:hint="eastAsia"/>
              </w:rPr>
            </w:pPr>
            <w:r>
              <w:rPr>
                <w:rFonts w:hint="eastAsia"/>
                <w:lang w:val="en-US" w:eastAsia="zh-CN"/>
              </w:rPr>
              <w:t>资金情况</w:t>
            </w:r>
            <w:r>
              <w:rPr>
                <w:rFonts w:hint="eastAsia"/>
              </w:rPr>
              <w:t xml:space="preserve">： </w:t>
            </w:r>
            <w:r>
              <w:rPr>
                <w:rFonts w:hint="eastAsia" w:ascii="宋体" w:cs="宋体"/>
                <w:color w:val="auto"/>
                <w:kern w:val="0"/>
                <w:szCs w:val="21"/>
              </w:rPr>
              <w:t>财政资金</w:t>
            </w:r>
            <w:r>
              <w:rPr>
                <w:rFonts w:hint="eastAsia"/>
              </w:rPr>
              <w:t xml:space="preserve"> </w:t>
            </w:r>
          </w:p>
          <w:p>
            <w:pPr>
              <w:keepNext/>
              <w:widowControl/>
              <w:jc w:val="left"/>
              <w:rPr>
                <w:rFonts w:hint="eastAsia" w:ascii="宋体" w:cs="宋体"/>
                <w:color w:val="000000"/>
                <w:kern w:val="0"/>
                <w:szCs w:val="21"/>
                <w:lang w:eastAsia="zh-CN"/>
              </w:rPr>
            </w:pPr>
            <w:r>
              <w:rPr>
                <w:rFonts w:hint="eastAsia"/>
              </w:rPr>
              <w:t>服务/供货/完工期限：</w:t>
            </w:r>
            <w:r>
              <w:rPr>
                <w:rFonts w:hint="eastAsia" w:ascii="宋体" w:cs="宋体"/>
                <w:color w:val="000000"/>
                <w:kern w:val="0"/>
                <w:szCs w:val="21"/>
              </w:rPr>
              <w:t>合同签订后</w:t>
            </w:r>
            <w:r>
              <w:rPr>
                <w:rFonts w:hint="eastAsia" w:ascii="宋体" w:cs="宋体"/>
                <w:color w:val="000000"/>
                <w:kern w:val="0"/>
                <w:szCs w:val="21"/>
                <w:lang w:val="en-US" w:eastAsia="zh-CN"/>
              </w:rPr>
              <w:t>30</w:t>
            </w:r>
            <w:r>
              <w:rPr>
                <w:rFonts w:hint="eastAsia" w:ascii="宋体" w:cs="宋体"/>
                <w:color w:val="000000"/>
                <w:kern w:val="0"/>
                <w:szCs w:val="21"/>
              </w:rPr>
              <w:t>天内完成供货及服务</w:t>
            </w:r>
          </w:p>
          <w:p>
            <w:pPr>
              <w:keepNext/>
              <w:widowControl/>
              <w:jc w:val="left"/>
              <w:rPr>
                <w:rFonts w:hint="default" w:eastAsia="宋体"/>
                <w:lang w:val="en-US" w:eastAsia="zh-CN"/>
              </w:rPr>
            </w:pPr>
            <w:r>
              <w:rPr>
                <w:rFonts w:hint="eastAsia"/>
              </w:rPr>
              <w:t>服务/供货/建设地点：</w:t>
            </w:r>
            <w:r>
              <w:rPr>
                <w:rFonts w:hint="eastAsia" w:ascii="宋体" w:cs="宋体"/>
                <w:color w:val="000000"/>
                <w:kern w:val="0"/>
                <w:szCs w:val="21"/>
                <w:lang w:val="en-US" w:eastAsia="zh-CN"/>
              </w:rPr>
              <w:t>采购人指定区域</w:t>
            </w:r>
          </w:p>
          <w:p>
            <w:pPr>
              <w:keepNext/>
              <w:widowControl/>
              <w:jc w:val="left"/>
              <w:rPr>
                <w:rFonts w:hint="eastAsia"/>
                <w:lang w:val="en-US" w:eastAsia="zh-CN"/>
              </w:rPr>
            </w:pPr>
            <w:r>
              <w:rPr>
                <w:rFonts w:hint="eastAsia"/>
              </w:rPr>
              <w:t>付款方式：项目验收合格后支付合同金额的97%，质保期满后10个工作日内支付余款。（如有调整，以采购人意见为准）</w:t>
            </w:r>
          </w:p>
          <w:p>
            <w:pPr>
              <w:keepNext/>
              <w:widowControl/>
              <w:jc w:val="left"/>
              <w:rPr>
                <w:rFonts w:hint="eastAsia"/>
                <w:lang w:val="en-US" w:eastAsia="zh-CN"/>
              </w:rPr>
            </w:pPr>
            <w:r>
              <w:rPr>
                <w:rFonts w:hint="eastAsia"/>
                <w:lang w:val="en-US" w:eastAsia="zh-CN"/>
              </w:rPr>
              <w:t>采购方式：</w:t>
            </w:r>
            <w:r>
              <w:rPr>
                <w:rFonts w:hint="eastAsia" w:ascii="宋体" w:cs="宋体"/>
                <w:kern w:val="0"/>
                <w:szCs w:val="21"/>
              </w:rPr>
              <w:t>公开招标</w:t>
            </w:r>
          </w:p>
          <w:p>
            <w:pPr>
              <w:keepNext/>
              <w:widowControl/>
              <w:jc w:val="left"/>
              <w:rPr>
                <w:rFonts w:hint="eastAsia" w:ascii="宋体" w:eastAsia="宋体" w:cs="宋体"/>
                <w:color w:val="000000"/>
                <w:kern w:val="0"/>
                <w:sz w:val="21"/>
                <w:szCs w:val="21"/>
              </w:rPr>
            </w:pPr>
            <w:r>
              <w:rPr>
                <w:rFonts w:hint="eastAsia"/>
                <w:lang w:val="en-US" w:eastAsia="zh-CN"/>
              </w:rPr>
              <w:t>质保期： 详见招标文件</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410" w:type="dxa"/>
            <w:vAlign w:val="center"/>
          </w:tcPr>
          <w:p>
            <w:pPr>
              <w:keepNext/>
              <w:widowControl/>
              <w:jc w:val="distribute"/>
              <w:rPr>
                <w:rFonts w:ascii="黑体" w:eastAsia="黑体" w:cs="黑体"/>
                <w:color w:val="0000FF"/>
                <w:kern w:val="0"/>
                <w:szCs w:val="21"/>
              </w:rPr>
            </w:pPr>
            <w:r>
              <w:rPr>
                <w:rFonts w:hint="eastAsia" w:ascii="黑体" w:eastAsia="黑体" w:cs="黑体"/>
                <w:color w:val="0000FF"/>
                <w:kern w:val="0"/>
                <w:szCs w:val="21"/>
              </w:rPr>
              <w:t>核心产品</w:t>
            </w:r>
          </w:p>
        </w:tc>
        <w:tc>
          <w:tcPr>
            <w:tcW w:w="6857" w:type="dxa"/>
            <w:vAlign w:val="center"/>
          </w:tcPr>
          <w:p>
            <w:pPr>
              <w:keepNext/>
              <w:widowControl/>
              <w:jc w:val="left"/>
              <w:rPr>
                <w:rFonts w:asciiTheme="minorEastAsia" w:hAnsiTheme="minorEastAsia" w:cstheme="minorEastAsia"/>
                <w:color w:val="0000FF"/>
                <w:kern w:val="0"/>
                <w:szCs w:val="21"/>
              </w:rPr>
            </w:pPr>
            <w:r>
              <w:rPr>
                <w:rFonts w:hint="eastAsia" w:asciiTheme="minorEastAsia" w:hAnsiTheme="minorEastAsia" w:eastAsiaTheme="minorEastAsia" w:cstheme="minorEastAsia"/>
                <w:color w:val="0000FF"/>
                <w:kern w:val="0"/>
                <w:szCs w:val="21"/>
              </w:rPr>
              <w:sym w:font="Wingdings" w:char="00A8"/>
            </w:r>
            <w:r>
              <w:rPr>
                <w:rFonts w:hint="eastAsia" w:asciiTheme="minorEastAsia" w:hAnsiTheme="minorEastAsia" w:eastAsiaTheme="minorEastAsia" w:cstheme="minorEastAsia"/>
                <w:color w:val="0000FF"/>
                <w:kern w:val="0"/>
                <w:szCs w:val="21"/>
              </w:rPr>
              <w:t>无</w:t>
            </w:r>
          </w:p>
          <w:p>
            <w:pPr>
              <w:keepNext/>
              <w:widowControl/>
              <w:jc w:val="left"/>
              <w:rPr>
                <w:rFonts w:ascii="宋体" w:cs="宋体" w:eastAsiaTheme="minorEastAsia"/>
                <w:color w:val="0000FF"/>
                <w:kern w:val="0"/>
                <w:szCs w:val="21"/>
              </w:rPr>
            </w:pPr>
            <w:r>
              <w:rPr>
                <w:rFonts w:hint="eastAsia" w:asciiTheme="minorEastAsia" w:hAnsiTheme="minorEastAsia" w:eastAsiaTheme="minorEastAsia" w:cstheme="minorEastAsia"/>
                <w:color w:val="0000FF"/>
                <w:kern w:val="0"/>
                <w:szCs w:val="21"/>
              </w:rPr>
              <w:sym w:font="Wingdings" w:char="00FE"/>
            </w:r>
            <w:r>
              <w:rPr>
                <w:rFonts w:hint="eastAsia" w:asciiTheme="minorEastAsia" w:hAnsiTheme="minorEastAsia" w:eastAsiaTheme="minorEastAsia" w:cstheme="minorEastAsia"/>
                <w:color w:val="0000FF"/>
                <w:kern w:val="0"/>
                <w:szCs w:val="21"/>
              </w:rPr>
              <w:t>若有则为：</w:t>
            </w:r>
            <w:r>
              <w:rPr>
                <w:rFonts w:hint="eastAsia" w:ascii="宋体" w:cs="宋体"/>
                <w:color w:val="0000FF"/>
                <w:kern w:val="0"/>
                <w:sz w:val="22"/>
                <w:szCs w:val="22"/>
              </w:rPr>
              <w:t>小反刍兽疫病毒抗体ELISA检测试剂盒（竞争法）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kern w:val="0"/>
                <w:szCs w:val="21"/>
                <w:lang w:val="en-US" w:eastAsia="zh-CN"/>
              </w:rPr>
              <w:t>,</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2400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4</w:t>
            </w:r>
            <w:r>
              <w:rPr>
                <w:rFonts w:hint="eastAsia" w:ascii="宋体" w:cs="宋体"/>
                <w:color w:val="000000"/>
                <w:szCs w:val="21"/>
              </w:rPr>
              <w:t>日至2022年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11</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截止时间：2022年月</w:t>
            </w:r>
            <w:r>
              <w:rPr>
                <w:rFonts w:hint="eastAsia" w:ascii="宋体" w:cs="宋体"/>
                <w:kern w:val="0"/>
                <w:szCs w:val="21"/>
                <w:lang w:val="en-US" w:eastAsia="zh-CN"/>
              </w:rPr>
              <w:t>24</w:t>
            </w:r>
            <w:r>
              <w:rPr>
                <w:rFonts w:hint="eastAsia" w:ascii="宋体" w:cs="宋体"/>
                <w:kern w:val="0"/>
                <w:szCs w:val="21"/>
              </w:rPr>
              <w:t xml:space="preserve"> 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时间：2022年月</w:t>
            </w:r>
            <w:r>
              <w:rPr>
                <w:rFonts w:hint="eastAsia" w:ascii="宋体" w:cs="宋体"/>
                <w:color w:val="000000"/>
                <w:szCs w:val="21"/>
                <w:lang w:val="en-US" w:eastAsia="zh-CN"/>
              </w:rPr>
              <w:t>24</w:t>
            </w:r>
            <w:r>
              <w:rPr>
                <w:rFonts w:hint="eastAsia" w:ascii="宋体" w:cs="宋体"/>
                <w:color w:val="000000"/>
                <w:szCs w:val="21"/>
              </w:rPr>
              <w:t xml:space="preserve"> 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19</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hint="eastAsia"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hint="eastAsia" w:asciiTheme="minorEastAsia" w:hAnsiTheme="minorEastAsia" w:eastAsiaTheme="minorEastAsia" w:cstheme="minorEastAsia"/>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jc w:val="distribute"/>
              <w:rPr>
                <w:rFonts w:hint="eastAsia" w:ascii="黑体" w:eastAsia="黑体" w:cs="黑体"/>
                <w:kern w:val="0"/>
                <w:szCs w:val="21"/>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hint="default" w:ascii="宋体" w:eastAsia="宋体" w:cs="宋体"/>
                <w:kern w:val="0"/>
                <w:szCs w:val="21"/>
                <w:lang w:val="en-US" w:eastAsia="zh-CN"/>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hint="eastAsia" w:ascii="黑体" w:eastAsia="黑体" w:cs="黑体"/>
                <w:kern w:val="0"/>
                <w:szCs w:val="21"/>
                <w:lang w:eastAsia="zh-CN"/>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①具有有效的营业执照、税务登记证、组织机构代码证（或“三证合一”的营业执照或当地公证处出具的上述证书的公证书原件）。</w:t>
            </w:r>
          </w:p>
          <w:p>
            <w:pPr>
              <w:keepNext/>
              <w:widowControl/>
              <w:ind w:firstLine="420" w:firstLineChars="200"/>
              <w:jc w:val="left"/>
              <w:rPr>
                <w:rFonts w:asciiTheme="minorEastAsia" w:hAnsiTheme="minorEastAsia" w:eastAsiaTheme="minorEastAsia" w:cstheme="minorEastAsia"/>
                <w:color w:val="FF0000"/>
                <w:kern w:val="0"/>
                <w:szCs w:val="21"/>
              </w:rPr>
            </w:pPr>
            <w:r>
              <w:rPr>
                <w:rFonts w:hint="eastAsia" w:ascii="宋体" w:hAnsi="宋体" w:cs="宋体"/>
                <w:color w:val="FF0000"/>
                <w:kern w:val="0"/>
                <w:szCs w:val="21"/>
              </w:rPr>
              <w:t>②</w:t>
            </w:r>
            <w:r>
              <w:rPr>
                <w:rFonts w:hint="eastAsia" w:ascii="宋体" w:cs="宋体"/>
                <w:color w:val="FF0000"/>
              </w:rPr>
              <w:t>法定代表人身份证明书及法定代表人身份证或授权委托书及委托代理人身份证</w:t>
            </w:r>
            <w:r>
              <w:rPr>
                <w:rFonts w:hint="eastAsia" w:asciiTheme="minorEastAsia" w:hAnsiTheme="minorEastAsia" w:eastAsiaTheme="minorEastAsia" w:cstheme="minorEastAsia"/>
                <w:color w:val="FF0000"/>
                <w:kern w:val="0"/>
                <w:szCs w:val="21"/>
              </w:rPr>
              <w:t>；</w:t>
            </w:r>
          </w:p>
          <w:p>
            <w:pPr>
              <w:keepNext/>
              <w:widowControl/>
              <w:ind w:firstLine="420" w:firstLineChars="200"/>
              <w:jc w:val="left"/>
              <w:rPr>
                <w:rFonts w:hint="eastAsia" w:ascii="宋体" w:cs="宋体"/>
                <w:color w:val="FF0000"/>
              </w:rPr>
            </w:pPr>
            <w:r>
              <w:rPr>
                <w:rFonts w:hint="eastAsia" w:ascii="宋体" w:hAnsi="宋体" w:cs="宋体"/>
                <w:color w:val="FF0000"/>
                <w:szCs w:val="21"/>
              </w:rPr>
              <w:t>③</w:t>
            </w:r>
            <w:r>
              <w:rPr>
                <w:rFonts w:hint="eastAsia" w:asciiTheme="minorEastAsia" w:hAnsiTheme="minorEastAsia" w:eastAsiaTheme="minorEastAsia" w:cstheme="minorEastAsia"/>
                <w:color w:val="FF0000"/>
                <w:kern w:val="2"/>
                <w:sz w:val="21"/>
                <w:szCs w:val="21"/>
                <w:lang w:val="en-US" w:eastAsia="zh-CN" w:bidi="ar-SA"/>
              </w:rPr>
              <w:t>投标人具有有效的《兽药经营许可证》或《兽药生产许可证》；</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color w:val="FF0000"/>
                <w:szCs w:val="21"/>
              </w:rPr>
              <w:t>④采购</w:t>
            </w:r>
            <w:r>
              <w:rPr>
                <w:rFonts w:hint="eastAsia" w:asciiTheme="minorEastAsia" w:hAnsiTheme="minorEastAsia" w:eastAsiaTheme="minorEastAsia" w:cstheme="minorEastAsia"/>
                <w:color w:val="FF0000"/>
                <w:szCs w:val="21"/>
              </w:rPr>
              <w:t>代理机构开具的本标包的投标保证金凭</w:t>
            </w:r>
            <w:r>
              <w:rPr>
                <w:rFonts w:hint="eastAsia" w:asciiTheme="minorEastAsia" w:hAnsiTheme="minorEastAsia" w:eastAsiaTheme="minorEastAsia" w:cstheme="minorEastAsia"/>
                <w:color w:val="000000"/>
                <w:szCs w:val="21"/>
              </w:rPr>
              <w:t>证</w:t>
            </w:r>
            <w:r>
              <w:rPr>
                <w:rFonts w:hint="eastAsia" w:ascii="宋体" w:cs="宋体"/>
              </w:rPr>
              <w:t>；</w:t>
            </w:r>
          </w:p>
          <w:p>
            <w:pPr>
              <w:pStyle w:val="9"/>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8"/>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 系 人：孙</w:t>
            </w:r>
            <w:r>
              <w:rPr>
                <w:rFonts w:hint="eastAsia" w:asciiTheme="minorEastAsia" w:hAnsiTheme="minorEastAsia" w:eastAsiaTheme="minorEastAsia" w:cstheme="minorEastAsia"/>
                <w:sz w:val="21"/>
                <w:szCs w:val="21"/>
                <w:lang w:eastAsia="zh-CN"/>
              </w:rPr>
              <w:t>明新</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宋体" w:cs="宋体"/>
                <w:b/>
                <w:bCs/>
                <w:kern w:val="0"/>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2"/>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备注</w:t>
            </w:r>
          </w:p>
        </w:tc>
        <w:tc>
          <w:tcPr>
            <w:tcW w:w="6857" w:type="dxa"/>
            <w:vAlign w:val="center"/>
          </w:tcPr>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9"/>
              <w:numPr>
                <w:ilvl w:val="0"/>
                <w:numId w:val="0"/>
              </w:numPr>
              <w:ind w:firstLine="210"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Times New Roman" w:hAnsi="Times New Roman" w:cs="Times New Roman"/>
          <w:sz w:val="24"/>
        </w:rPr>
      </w:pPr>
      <w:r>
        <w:rPr>
          <w:rFonts w:hint="eastAsia" w:ascii="宋体"/>
          <w:b/>
          <w:bCs/>
          <w:szCs w:val="21"/>
        </w:rPr>
        <w:t>说明：《投标人须知前附表》是对投标须知条款的具体规定和补充，投标人应详细阅读，如有矛盾，以本资料表为准。</w:t>
      </w:r>
    </w:p>
    <w:p>
      <w:pPr>
        <w:pStyle w:val="5"/>
        <w:jc w:val="center"/>
        <w:rPr>
          <w:rFonts w:ascii="黑体" w:eastAsia="黑体" w:cs="黑体"/>
          <w:sz w:val="24"/>
        </w:rPr>
      </w:pPr>
      <w:bookmarkStart w:id="1" w:name="_Toc31926"/>
      <w:r>
        <w:rPr>
          <w:rFonts w:hint="eastAsia" w:ascii="黑体" w:eastAsia="黑体" w:cs="黑体"/>
          <w:sz w:val="24"/>
        </w:rPr>
        <w:t>第二章  投标须知</w:t>
      </w:r>
      <w:bookmarkEnd w:id="1"/>
    </w:p>
    <w:p>
      <w:pPr>
        <w:pStyle w:val="2"/>
        <w:jc w:val="center"/>
        <w:rPr>
          <w:rFonts w:cs="宋体"/>
          <w:sz w:val="24"/>
          <w:szCs w:val="24"/>
        </w:rPr>
      </w:pPr>
      <w:bookmarkStart w:id="2" w:name="_Toc8879"/>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w:t>
      </w:r>
      <w:r>
        <w:rPr>
          <w:rFonts w:hint="eastAsia" w:ascii="宋体" w:cs="宋体"/>
          <w:b/>
          <w:bCs/>
          <w:kern w:val="0"/>
          <w:sz w:val="24"/>
          <w:lang w:val="en-US" w:eastAsia="zh-CN"/>
        </w:rPr>
        <w:t>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w:t>
      </w:r>
      <w:r>
        <w:rPr>
          <w:rFonts w:hint="eastAsia" w:ascii="宋体" w:cs="宋体"/>
          <w:sz w:val="24"/>
          <w:lang w:val="en-US" w:eastAsia="zh-CN"/>
        </w:rPr>
        <w:t>(</w:t>
      </w:r>
      <w:r>
        <w:rPr>
          <w:rFonts w:hint="eastAsia" w:ascii="宋体" w:cs="宋体"/>
          <w:sz w:val="24"/>
        </w:rPr>
        <w:t>服务</w:t>
      </w:r>
      <w:r>
        <w:rPr>
          <w:rFonts w:hint="eastAsia" w:ascii="宋体" w:cs="宋体"/>
          <w:sz w:val="24"/>
          <w:lang w:val="en-US" w:eastAsia="zh-CN"/>
        </w:rPr>
        <w:t>)</w:t>
      </w:r>
      <w:r>
        <w:rPr>
          <w:rFonts w:hint="eastAsia" w:ascii="宋体" w:cs="宋体"/>
          <w:sz w:val="24"/>
        </w:rPr>
        <w:t>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宋体" w:cs="宋体"/>
          <w:sz w:val="24"/>
        </w:rPr>
        <w:t>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1"/>
        <w:numPr>
          <w:ilvl w:val="0"/>
          <w:numId w:val="0"/>
        </w:numPr>
        <w:spacing w:before="0" w:beforeAutospacing="0" w:after="0" w:afterAutospacing="0" w:line="500" w:lineRule="exact"/>
        <w:ind w:firstLine="480" w:firstLineChars="200"/>
        <w:rPr>
          <w:rFonts w:hint="eastAsia" w:ascii="宋体" w:hAnsi="Calibri" w:eastAsia="宋体" w:cs="宋体"/>
          <w:kern w:val="2"/>
          <w:sz w:val="24"/>
          <w:szCs w:val="24"/>
          <w:lang w:val="en-US" w:eastAsia="zh-CN" w:bidi="ar-SA"/>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cs="宋体"/>
          <w:color w:val="111111"/>
          <w:sz w:val="24"/>
          <w:shd w:val="clear" w:color="auto" w:fill="FFFFFF"/>
          <w:lang w:val="en-US" w:eastAsia="zh-CN"/>
        </w:rPr>
        <w:t>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color w:val="auto"/>
          <w:kern w:val="0"/>
          <w:sz w:val="24"/>
        </w:rPr>
        <w:t>投标人的</w:t>
      </w:r>
      <w:r>
        <w:rPr>
          <w:rFonts w:hint="eastAsia" w:asciiTheme="minorEastAsia" w:hAnsiTheme="minorEastAsia" w:eastAsiaTheme="minorEastAsia" w:cstheme="minorEastAsia"/>
          <w:b/>
          <w:bCs/>
          <w:color w:val="auto"/>
          <w:sz w:val="24"/>
          <w:shd w:val="clear" w:color="auto" w:fill="FFFFFF"/>
        </w:rPr>
        <w:t>特定资格要求，</w:t>
      </w:r>
      <w:r>
        <w:rPr>
          <w:rFonts w:hint="eastAsia" w:asciiTheme="minorEastAsia" w:hAnsiTheme="minorEastAsia" w:eastAsiaTheme="minorEastAsia" w:cstheme="minorEastAsia"/>
          <w:b/>
          <w:bCs/>
          <w:color w:val="auto"/>
          <w:sz w:val="24"/>
        </w:rPr>
        <w:t>见投标人须知前附表</w:t>
      </w:r>
    </w:p>
    <w:p>
      <w:pPr>
        <w:spacing w:line="360" w:lineRule="auto"/>
        <w:ind w:firstLine="720" w:firstLineChars="300"/>
        <w:rPr>
          <w:rFonts w:hint="eastAsia"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hint="eastAsia" w:ascii="宋体" w:cs="宋体"/>
          <w:sz w:val="24"/>
        </w:rPr>
      </w:pPr>
      <w:r>
        <w:rPr>
          <w:rFonts w:hint="eastAsia" w:ascii="宋体" w:cs="宋体"/>
          <w:sz w:val="24"/>
        </w:rPr>
        <w:t>4.</w:t>
      </w:r>
      <w:r>
        <w:rPr>
          <w:rFonts w:hint="eastAsia" w:ascii="宋体" w:cs="宋体"/>
          <w:sz w:val="24"/>
          <w:lang w:val="en-US" w:eastAsia="zh-CN"/>
        </w:rPr>
        <w:t>4</w:t>
      </w:r>
      <w:r>
        <w:rPr>
          <w:rFonts w:hint="eastAsia" w:ascii="宋体" w:cs="宋体"/>
          <w:sz w:val="24"/>
        </w:rPr>
        <w:t xml:space="preserve">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color w:val="auto"/>
          <w:sz w:val="24"/>
        </w:rPr>
      </w:pPr>
      <w:r>
        <w:rPr>
          <w:rFonts w:hint="eastAsia" w:ascii="宋体" w:hAnsi="宋体" w:eastAsia="宋体" w:cs="宋体"/>
          <w:color w:val="auto"/>
          <w:sz w:val="24"/>
        </w:rPr>
        <w:t>⑸</w:t>
      </w:r>
      <w:r>
        <w:rPr>
          <w:rFonts w:hint="eastAsia" w:asciiTheme="minorEastAsia" w:hAnsiTheme="minorEastAsia" w:eastAsiaTheme="minorEastAsia" w:cstheme="minorEastAsia"/>
          <w:color w:val="auto"/>
          <w:sz w:val="24"/>
          <w:lang w:val="en-US" w:eastAsia="zh-CN"/>
        </w:rPr>
        <w:t xml:space="preserve"> </w:t>
      </w:r>
      <w:r>
        <w:rPr>
          <w:rFonts w:hint="eastAsia" w:ascii="宋体" w:cs="宋体"/>
          <w:color w:val="auto"/>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bookmarkStart w:id="4" w:name="_Toc15349"/>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lang w:val="en-US" w:eastAsia="zh-CN"/>
        </w:rPr>
        <w:t>1.1</w:t>
      </w:r>
      <w:r>
        <w:rPr>
          <w:rFonts w:hint="eastAsia" w:ascii="宋体" w:cs="宋体"/>
          <w:sz w:val="24"/>
        </w:rPr>
        <w:t xml:space="preserve"> 招标公告；</w:t>
      </w:r>
    </w:p>
    <w:p>
      <w:pPr>
        <w:spacing w:line="360" w:lineRule="auto"/>
        <w:ind w:firstLine="720" w:firstLineChars="300"/>
        <w:rPr>
          <w:rFonts w:ascii="宋体" w:cs="宋体"/>
          <w:sz w:val="24"/>
        </w:rPr>
      </w:pPr>
      <w:r>
        <w:rPr>
          <w:rFonts w:hint="eastAsia" w:ascii="宋体" w:cs="宋体"/>
          <w:sz w:val="24"/>
          <w:lang w:val="en-US" w:eastAsia="zh-CN"/>
        </w:rPr>
        <w:t>1.2</w:t>
      </w:r>
      <w:r>
        <w:rPr>
          <w:rFonts w:hint="eastAsia" w:ascii="宋体" w:cs="宋体"/>
          <w:sz w:val="24"/>
        </w:rPr>
        <w:t xml:space="preserve"> 投标人须知前附表；</w:t>
      </w:r>
    </w:p>
    <w:p>
      <w:pPr>
        <w:spacing w:line="360" w:lineRule="auto"/>
        <w:ind w:firstLine="720" w:firstLineChars="300"/>
        <w:rPr>
          <w:rFonts w:ascii="宋体" w:cs="宋体"/>
          <w:sz w:val="24"/>
        </w:rPr>
      </w:pPr>
      <w:r>
        <w:rPr>
          <w:rFonts w:hint="eastAsia" w:ascii="宋体" w:cs="宋体"/>
          <w:sz w:val="24"/>
          <w:lang w:val="en-US" w:eastAsia="zh-CN"/>
        </w:rPr>
        <w:t>1.3</w:t>
      </w:r>
      <w:r>
        <w:rPr>
          <w:rFonts w:hint="eastAsia" w:ascii="宋体" w:cs="宋体"/>
          <w:sz w:val="24"/>
        </w:rPr>
        <w:t xml:space="preserve"> 投标须知；</w:t>
      </w:r>
    </w:p>
    <w:p>
      <w:pPr>
        <w:spacing w:line="360" w:lineRule="auto"/>
        <w:ind w:firstLine="720" w:firstLineChars="300"/>
        <w:rPr>
          <w:rFonts w:ascii="宋体" w:cs="宋体"/>
          <w:sz w:val="24"/>
        </w:rPr>
      </w:pPr>
      <w:r>
        <w:rPr>
          <w:rFonts w:hint="eastAsia" w:ascii="宋体" w:cs="宋体"/>
          <w:sz w:val="24"/>
          <w:lang w:val="en-US" w:eastAsia="zh-CN"/>
        </w:rPr>
        <w:t>1.4</w:t>
      </w:r>
      <w:r>
        <w:rPr>
          <w:rFonts w:hint="eastAsia" w:ascii="宋体" w:cs="宋体"/>
          <w:sz w:val="24"/>
        </w:rPr>
        <w:t xml:space="preserve"> 评标办法；</w:t>
      </w:r>
    </w:p>
    <w:p>
      <w:pPr>
        <w:spacing w:line="360" w:lineRule="auto"/>
        <w:ind w:firstLine="720" w:firstLineChars="300"/>
        <w:rPr>
          <w:rFonts w:ascii="宋体" w:cs="宋体"/>
          <w:sz w:val="24"/>
        </w:rPr>
      </w:pPr>
      <w:r>
        <w:rPr>
          <w:rFonts w:hint="eastAsia" w:ascii="宋体" w:cs="宋体"/>
          <w:sz w:val="24"/>
          <w:lang w:val="en-US" w:eastAsia="zh-CN"/>
        </w:rPr>
        <w:t>1.5</w:t>
      </w:r>
      <w:r>
        <w:rPr>
          <w:rFonts w:hint="eastAsia" w:ascii="宋体" w:cs="宋体"/>
          <w:sz w:val="24"/>
        </w:rPr>
        <w:t xml:space="preserve"> 合同条款及格式；</w:t>
      </w:r>
    </w:p>
    <w:p>
      <w:pPr>
        <w:spacing w:line="360" w:lineRule="auto"/>
        <w:ind w:firstLine="720" w:firstLineChars="300"/>
        <w:rPr>
          <w:rFonts w:ascii="宋体" w:cs="宋体"/>
          <w:sz w:val="24"/>
        </w:rPr>
      </w:pPr>
      <w:r>
        <w:rPr>
          <w:rFonts w:hint="eastAsia" w:ascii="宋体" w:cs="宋体"/>
          <w:sz w:val="24"/>
          <w:lang w:val="en-US" w:eastAsia="zh-CN"/>
        </w:rPr>
        <w:t>1.6</w:t>
      </w:r>
      <w:r>
        <w:rPr>
          <w:rFonts w:hint="eastAsia" w:ascii="宋体" w:cs="宋体"/>
          <w:sz w:val="24"/>
        </w:rPr>
        <w:t>技术标准和要求；</w:t>
      </w:r>
    </w:p>
    <w:p>
      <w:pPr>
        <w:spacing w:line="360" w:lineRule="auto"/>
        <w:ind w:firstLine="720" w:firstLineChars="300"/>
        <w:rPr>
          <w:rFonts w:ascii="宋体" w:cs="宋体"/>
          <w:sz w:val="24"/>
        </w:rPr>
      </w:pPr>
      <w:r>
        <w:rPr>
          <w:rFonts w:hint="eastAsia" w:ascii="宋体" w:cs="宋体"/>
          <w:sz w:val="24"/>
          <w:lang w:val="en-US" w:eastAsia="zh-CN"/>
        </w:rPr>
        <w:t>1.7</w:t>
      </w:r>
      <w:r>
        <w:rPr>
          <w:rFonts w:hint="eastAsia" w:ascii="宋体" w:cs="宋体"/>
          <w:sz w:val="24"/>
        </w:rPr>
        <w:t xml:space="preserve"> 投标文件格式；</w:t>
      </w:r>
    </w:p>
    <w:p>
      <w:pPr>
        <w:spacing w:line="360" w:lineRule="auto"/>
        <w:ind w:firstLine="720" w:firstLineChars="300"/>
      </w:pPr>
      <w:r>
        <w:rPr>
          <w:rFonts w:hint="eastAsia" w:ascii="宋体" w:hAnsi="宋体" w:cs="宋体"/>
          <w:sz w:val="24"/>
          <w:lang w:val="en-US" w:eastAsia="zh-CN"/>
        </w:rPr>
        <w:t>1.8</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3"/>
      </w:pPr>
    </w:p>
    <w:p>
      <w:pPr>
        <w:pStyle w:val="2"/>
        <w:jc w:val="center"/>
        <w:rPr>
          <w:rFonts w:ascii="Times New Roman" w:hAnsi="Times New Roman"/>
          <w:sz w:val="24"/>
          <w:szCs w:val="24"/>
        </w:rPr>
      </w:pPr>
    </w:p>
    <w:p>
      <w:pPr>
        <w:pStyle w:val="2"/>
        <w:jc w:val="center"/>
        <w:rPr>
          <w:rFonts w:cs="宋体"/>
          <w:sz w:val="24"/>
          <w:szCs w:val="24"/>
        </w:rPr>
      </w:pPr>
      <w:bookmarkStart w:id="5" w:name="_Toc15107"/>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w:t>
      </w:r>
      <w:r>
        <w:rPr>
          <w:rFonts w:hint="eastAsia" w:ascii="宋体"/>
          <w:kern w:val="0"/>
          <w:sz w:val="24"/>
          <w:lang w:eastAsia="zh-CN"/>
        </w:rPr>
        <w:t>表</w:t>
      </w:r>
      <w:r>
        <w:rPr>
          <w:rFonts w:hint="eastAsia" w:ascii="宋体"/>
          <w:kern w:val="0"/>
          <w:sz w:val="24"/>
        </w:rPr>
        <w:t>）的相应报价。</w:t>
      </w:r>
    </w:p>
    <w:p>
      <w:pPr>
        <w:pStyle w:val="4"/>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hint="eastAsia" w:asciiTheme="minorEastAsia" w:hAnsiTheme="minorEastAsia" w:eastAsiaTheme="minorEastAsia" w:cstheme="minorEastAsia"/>
          <w:kern w:val="0"/>
          <w:sz w:val="24"/>
          <w:lang w:eastAsia="zh-CN"/>
        </w:rPr>
        <w:t>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hint="eastAsia" w:ascii="宋体" w:eastAsia="宋体"/>
          <w:kern w:val="0"/>
          <w:sz w:val="24"/>
          <w:lang w:eastAsia="zh-CN"/>
        </w:rPr>
      </w:pPr>
      <w:r>
        <w:rPr>
          <w:rFonts w:hint="eastAsia" w:ascii="宋体"/>
          <w:kern w:val="0"/>
          <w:sz w:val="24"/>
        </w:rPr>
        <w:t>5.4 投标文件</w:t>
      </w:r>
      <w:r>
        <w:rPr>
          <w:rFonts w:hint="eastAsia" w:ascii="宋体"/>
          <w:kern w:val="0"/>
          <w:sz w:val="24"/>
          <w:lang w:eastAsia="zh-CN"/>
        </w:rPr>
        <w:t>须</w:t>
      </w:r>
      <w:r>
        <w:rPr>
          <w:rFonts w:hint="eastAsia" w:ascii="宋体"/>
          <w:kern w:val="0"/>
          <w:sz w:val="24"/>
        </w:rPr>
        <w:t>用不褪色的材料书写或打印，并由投标人的法定代表人或其委托代理人签字或盖单位</w:t>
      </w:r>
      <w:r>
        <w:rPr>
          <w:rFonts w:hint="eastAsia" w:ascii="宋体"/>
          <w:kern w:val="0"/>
          <w:sz w:val="24"/>
          <w:lang w:eastAsia="zh-CN"/>
        </w:rPr>
        <w:t>公</w:t>
      </w:r>
      <w:r>
        <w:rPr>
          <w:rFonts w:hint="eastAsia" w:ascii="宋体"/>
          <w:kern w:val="0"/>
          <w:sz w:val="24"/>
        </w:rPr>
        <w:t>章。委托代理人签字的，投标文件应附法定代表人签署的授权委托书。投标文件应尽量避免涂改、行间插字或删除。如果出现上述情况，改动之处应加盖单位</w:t>
      </w:r>
      <w:r>
        <w:rPr>
          <w:rFonts w:hint="eastAsia" w:ascii="宋体"/>
          <w:kern w:val="0"/>
          <w:sz w:val="24"/>
          <w:lang w:eastAsia="zh-CN"/>
        </w:rPr>
        <w:t>公</w:t>
      </w:r>
      <w:r>
        <w:rPr>
          <w:rFonts w:hint="eastAsia" w:ascii="宋体"/>
          <w:kern w:val="0"/>
          <w:sz w:val="24"/>
        </w:rPr>
        <w:t>章或由投标人的法定代表人或其授权的代理人签字确认。签字或盖章的具体要求见投标人须知前附表</w:t>
      </w:r>
      <w:r>
        <w:rPr>
          <w:rFonts w:hint="eastAsia" w:ascii="宋体"/>
          <w:kern w:val="0"/>
          <w:sz w:val="24"/>
          <w:lang w:eastAsia="zh-CN"/>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pStyle w:val="6"/>
      </w:pPr>
    </w:p>
    <w:p/>
    <w:p>
      <w:pPr>
        <w:pStyle w:val="2"/>
        <w:jc w:val="center"/>
        <w:rPr>
          <w:rFonts w:cs="宋体"/>
          <w:sz w:val="24"/>
          <w:szCs w:val="24"/>
        </w:rPr>
      </w:pPr>
      <w:bookmarkStart w:id="6" w:name="_Toc22507"/>
      <w:bookmarkStart w:id="7" w:name="_Toc1635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pPr>
    </w:p>
    <w:p>
      <w:pPr>
        <w:rPr>
          <w:rFonts w:ascii="宋体" w:cs="宋体"/>
          <w:sz w:val="24"/>
        </w:rPr>
      </w:pPr>
    </w:p>
    <w:p>
      <w:pPr>
        <w:pStyle w:val="2"/>
        <w:jc w:val="center"/>
        <w:rPr>
          <w:rFonts w:cs="宋体"/>
          <w:sz w:val="24"/>
          <w:szCs w:val="24"/>
        </w:rPr>
      </w:pPr>
      <w:bookmarkStart w:id="8" w:name="_Toc10479"/>
      <w:bookmarkStart w:id="9" w:name="_Toc746"/>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cs="宋体"/>
          <w:sz w:val="24"/>
        </w:rPr>
      </w:pPr>
      <w:r>
        <w:rPr>
          <w:rFonts w:ascii="宋体" w:hAnsi="宋体" w:cs="宋体"/>
          <w:sz w:val="24"/>
        </w:rPr>
        <w:t>开标和评标过程进行全过程电子监控，并将电子监控资料存储介质留存归档。</w:t>
      </w:r>
    </w:p>
    <w:p>
      <w:pPr>
        <w:pStyle w:val="2"/>
        <w:jc w:val="center"/>
        <w:rPr>
          <w:rFonts w:cs="宋体"/>
          <w:sz w:val="24"/>
          <w:szCs w:val="24"/>
        </w:rPr>
      </w:pPr>
      <w:bookmarkStart w:id="10" w:name="_Toc1970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2.1</w:t>
      </w:r>
      <w:r>
        <w:rPr>
          <w:rFonts w:hint="eastAsia" w:ascii="宋体" w:cs="宋体"/>
          <w:color w:val="000000"/>
          <w:sz w:val="24"/>
        </w:rPr>
        <w:t xml:space="preserve">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lang w:val="en-US" w:eastAsia="zh-CN"/>
        </w:rPr>
        <w:t>2.2</w:t>
      </w:r>
      <w:r>
        <w:rPr>
          <w:rFonts w:hint="eastAsia" w:ascii="宋体" w:cs="宋体"/>
          <w:color w:val="000000"/>
          <w:sz w:val="24"/>
        </w:rPr>
        <w:t xml:space="preserve">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2.3</w:t>
      </w:r>
      <w:r>
        <w:rPr>
          <w:rFonts w:hint="eastAsia" w:ascii="宋体" w:cs="宋体"/>
          <w:color w:val="000000"/>
          <w:sz w:val="24"/>
        </w:rPr>
        <w:t>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2.4</w:t>
      </w:r>
      <w:r>
        <w:rPr>
          <w:rFonts w:hint="eastAsia" w:ascii="宋体" w:cs="宋体"/>
          <w:color w:val="000000"/>
          <w:sz w:val="24"/>
        </w:rPr>
        <w:t>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2.5</w:t>
      </w:r>
      <w:r>
        <w:rPr>
          <w:rFonts w:hint="eastAsia" w:ascii="宋体" w:cs="宋体"/>
          <w:color w:val="000000"/>
          <w:sz w:val="24"/>
        </w:rPr>
        <w:t>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lang w:val="en-US" w:eastAsia="zh-CN"/>
        </w:rPr>
        <w:t>2.6</w:t>
      </w:r>
      <w:r>
        <w:rPr>
          <w:rFonts w:hint="eastAsia" w:ascii="宋体" w:cs="宋体"/>
          <w:color w:val="000000"/>
          <w:sz w:val="24"/>
        </w:rPr>
        <w:t xml:space="preserve">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2"/>
        <w:jc w:val="center"/>
        <w:rPr>
          <w:rFonts w:cs="宋体"/>
          <w:sz w:val="24"/>
          <w:szCs w:val="24"/>
        </w:rPr>
      </w:pPr>
      <w:bookmarkStart w:id="11" w:name="_Toc23832"/>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lang w:val="en-US" w:eastAsia="zh-CN"/>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lang w:val="en-US" w:eastAsia="zh-CN"/>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lang w:val="en-US" w:eastAsia="zh-CN"/>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lang w:val="en-US" w:eastAsia="zh-CN"/>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2"/>
        <w:jc w:val="center"/>
        <w:rPr>
          <w:rFonts w:ascii="Times New Roman" w:hAnsi="Times New Roman"/>
          <w:sz w:val="24"/>
          <w:szCs w:val="24"/>
        </w:rPr>
      </w:pPr>
      <w:bookmarkStart w:id="12" w:name="_Toc13199"/>
      <w:bookmarkStart w:id="13" w:name="_Toc14493"/>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pStyle w:val="2"/>
        <w:jc w:val="center"/>
        <w:rPr>
          <w:rFonts w:ascii="Times New Roman" w:hAnsi="Times New Roman"/>
          <w:sz w:val="24"/>
          <w:szCs w:val="24"/>
        </w:rPr>
      </w:pPr>
      <w:bookmarkStart w:id="14" w:name="_Toc26262"/>
      <w:bookmarkStart w:id="15" w:name="_Toc6973"/>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2"/>
        <w:jc w:val="center"/>
        <w:rPr>
          <w:rFonts w:cs="宋体"/>
          <w:sz w:val="24"/>
          <w:szCs w:val="24"/>
        </w:rPr>
      </w:pPr>
      <w:bookmarkStart w:id="16" w:name="_Toc2408"/>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6"/>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17" w:name="_Toc4017"/>
      <w:r>
        <w:rPr>
          <w:rFonts w:hint="eastAsia" w:ascii="黑体" w:eastAsia="黑体" w:cs="黑体"/>
          <w:sz w:val="24"/>
        </w:rPr>
        <w:t>第三章  评标办法</w:t>
      </w:r>
      <w:bookmarkEnd w:id="17"/>
    </w:p>
    <w:p>
      <w:pPr>
        <w:pStyle w:val="2"/>
        <w:jc w:val="center"/>
        <w:rPr>
          <w:rFonts w:cs="宋体"/>
          <w:sz w:val="24"/>
          <w:szCs w:val="24"/>
        </w:rPr>
      </w:pPr>
      <w:bookmarkStart w:id="18" w:name="_Toc2379"/>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8"/>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2"/>
        <w:jc w:val="center"/>
        <w:rPr>
          <w:rFonts w:cs="宋体"/>
          <w:sz w:val="24"/>
          <w:szCs w:val="24"/>
        </w:rPr>
      </w:pPr>
      <w:bookmarkStart w:id="19" w:name="_Toc11533"/>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9"/>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2"/>
        <w:jc w:val="center"/>
        <w:rPr>
          <w:rFonts w:cs="宋体"/>
          <w:sz w:val="24"/>
          <w:szCs w:val="24"/>
        </w:rPr>
      </w:pPr>
      <w:bookmarkStart w:id="20" w:name="_Toc118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20"/>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2"/>
        <w:jc w:val="center"/>
        <w:rPr>
          <w:rFonts w:cs="宋体"/>
          <w:sz w:val="24"/>
          <w:szCs w:val="24"/>
        </w:rPr>
      </w:pPr>
      <w:bookmarkStart w:id="21" w:name="_Toc19110"/>
      <w:r>
        <w:rPr>
          <w:rFonts w:cs="宋体"/>
          <w:sz w:val="24"/>
          <w:szCs w:val="24"/>
        </w:rPr>
        <w:t xml:space="preserve">第四节 </w:t>
      </w:r>
      <w:r>
        <w:rPr>
          <w:rFonts w:cs="宋体"/>
          <w:bCs/>
          <w:color w:val="000000"/>
          <w:sz w:val="24"/>
          <w:szCs w:val="24"/>
        </w:rPr>
        <w:t>评标准备</w:t>
      </w:r>
      <w:bookmarkEnd w:id="21"/>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2"/>
        <w:rPr>
          <w:rFonts w:cs="宋体"/>
          <w:sz w:val="24"/>
          <w:szCs w:val="24"/>
        </w:rPr>
      </w:pPr>
    </w:p>
    <w:p>
      <w:pPr>
        <w:pStyle w:val="3"/>
      </w:pPr>
    </w:p>
    <w:p>
      <w:pPr>
        <w:rPr>
          <w:rFonts w:ascii="宋体" w:cs="宋体"/>
          <w:b/>
          <w:sz w:val="24"/>
        </w:rPr>
      </w:pPr>
      <w:r>
        <w:rPr>
          <w:rFonts w:hint="eastAsia" w:ascii="宋体" w:cs="宋体"/>
          <w:b/>
          <w:sz w:val="24"/>
        </w:rPr>
        <w:br w:type="page"/>
      </w:r>
    </w:p>
    <w:p>
      <w:pPr>
        <w:jc w:val="center"/>
        <w:rPr>
          <w:b/>
          <w:bCs/>
          <w:sz w:val="24"/>
        </w:rPr>
      </w:pPr>
      <w:bookmarkStart w:id="22" w:name="_BookMark_10"/>
      <w:bookmarkEnd w:id="22"/>
      <w:r>
        <w:rPr>
          <w:rFonts w:hint="eastAsia"/>
          <w:b/>
          <w:bCs/>
          <w:sz w:val="24"/>
        </w:rPr>
        <w:t>综合评估法</w:t>
      </w:r>
    </w:p>
    <w:p>
      <w:pPr>
        <w:jc w:val="center"/>
        <w:rPr>
          <w:sz w:val="24"/>
        </w:rPr>
      </w:pPr>
      <w:bookmarkStart w:id="23" w:name="_Toc1514"/>
      <w:r>
        <w:rPr>
          <w:rFonts w:hint="eastAsia"/>
          <w:sz w:val="24"/>
        </w:rPr>
        <w:t>评标办法前附表</w:t>
      </w:r>
      <w:bookmarkEnd w:id="23"/>
    </w:p>
    <w:tbl>
      <w:tblPr>
        <w:tblStyle w:val="22"/>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top"/>
          </w:tcPr>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投标报价得分计算方法：</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1.投标报价的确定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2.评标基准价的确定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满足招标文件要求且投标报价最低的为评标基准价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4.评分分值计算保留小数点后两位，小数点后三位“四舍五入”。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5.评标报价计算。符合《政府采购促进中小企业发展管理办法》（财库[2020]46号）规定情形且按该办法中规定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的格式提供了 《中小企业声明函》的，对其最后报价给予</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6%的扣除，扣除后的价格为评标报价，即评标报价=最后报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价×（1-6%）；除上述情况外。评标报价=最后报价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 在政府采购活动中，残疾人福利性单位视同小型、微型</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企业。对小微企业报价给予6%的扣除，用扣除后的价格参</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与评审。因落实政府采购政策进行价格调整的，以调整后</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的价格计算评标基准价和投标报价。</w:t>
            </w:r>
          </w:p>
          <w:p>
            <w:pPr>
              <w:pStyle w:val="6"/>
              <w:rPr>
                <w:rFonts w:ascii="Calibri" w:hAnsi="Calibri" w:eastAsia="宋体" w:cs="Arial"/>
                <w:b/>
                <w:kern w:val="2"/>
                <w:sz w:val="32"/>
                <w:szCs w:val="24"/>
                <w:lang w:val="en-US" w:eastAsia="zh-CN" w:bidi="ar-SA"/>
              </w:rPr>
            </w:pPr>
            <w:r>
              <w:rPr>
                <w:rFonts w:hint="eastAsia" w:asciiTheme="minorEastAsia" w:hAnsiTheme="minorEastAsia" w:eastAsiaTheme="minorEastAsia" w:cstheme="minorEastAsia"/>
                <w:b w:val="0"/>
                <w:bCs w:val="0"/>
                <w:sz w:val="24"/>
                <w:szCs w:val="24"/>
                <w:lang w:val="en-US" w:eastAsia="zh-CN"/>
              </w:rPr>
              <w:t>残疾人福利性单位属小型、微型企业的，不重复享受政策。</w:t>
            </w:r>
          </w:p>
        </w:tc>
      </w:tr>
    </w:tbl>
    <w:p>
      <w:pPr>
        <w:pStyle w:val="9"/>
        <w:numPr>
          <w:ilvl w:val="0"/>
          <w:numId w:val="0"/>
        </w:numPr>
      </w:pPr>
      <w:bookmarkStart w:id="24"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4"/>
    </w:p>
    <w:tbl>
      <w:tblPr>
        <w:tblStyle w:val="22"/>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000000"/>
                <w:kern w:val="0"/>
                <w:sz w:val="24"/>
                <w:lang w:val="en-US" w:eastAsia="zh-CN"/>
              </w:rPr>
              <w:t>投标人具有有效的《兽药经营许可证》或《兽药生产许可证》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b/>
                <w:bCs/>
                <w:kern w:val="0"/>
                <w:sz w:val="24"/>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bidi w:val="0"/>
              <w:rPr>
                <w:rFonts w:hint="eastAsia" w:ascii="宋体" w:eastAsia="宋体"/>
                <w:kern w:val="0"/>
                <w:lang w:eastAsia="zh-CN"/>
              </w:rPr>
            </w:pPr>
            <w:r>
              <w:rPr>
                <w:rFonts w:hint="eastAsia" w:ascii="宋体"/>
                <w:kern w:val="0"/>
                <w:sz w:val="24"/>
                <w:szCs w:val="24"/>
                <w:lang w:eastAsia="zh-CN"/>
              </w:rPr>
              <w:t>信用记录资料</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5"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5"/>
    </w:p>
    <w:tbl>
      <w:tblPr>
        <w:tblStyle w:val="22"/>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rPr>
          <w:rFonts w:ascii="宋体"/>
          <w:b/>
          <w:kern w:val="0"/>
          <w:sz w:val="24"/>
        </w:rPr>
      </w:pPr>
      <w:r>
        <w:rPr>
          <w:rFonts w:hint="eastAsia" w:ascii="宋体"/>
          <w:b/>
          <w:kern w:val="0"/>
          <w:sz w:val="24"/>
        </w:rPr>
        <w:t>《详细评审标准》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cs="宋体"/>
          <w:b/>
          <w:bCs/>
          <w:sz w:val="24"/>
        </w:rPr>
      </w:pPr>
      <w:r>
        <w:rPr>
          <w:rFonts w:hint="eastAsia" w:ascii="宋体" w:cs="宋体"/>
          <w:b/>
          <w:bCs/>
          <w:sz w:val="24"/>
        </w:rPr>
        <w:t>1、价格部分（满分30分）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sz w:val="24"/>
        </w:rPr>
        <w:t>投标报价得分=(评标基准价／评标报价)×投标报价权重</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17"/>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cs="宋体"/>
          <w:b/>
          <w:bCs/>
          <w:sz w:val="24"/>
        </w:rPr>
      </w:pPr>
      <w:r>
        <w:rPr>
          <w:rFonts w:hint="eastAsia" w:ascii="宋体" w:cs="宋体"/>
          <w:b/>
          <w:bCs/>
          <w:sz w:val="24"/>
        </w:rPr>
        <w:t>2、商务评分标准（25分）</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序号</w:t>
            </w:r>
          </w:p>
        </w:tc>
        <w:tc>
          <w:tcPr>
            <w:tcW w:w="1560" w:type="dxa"/>
            <w:vAlign w:val="center"/>
          </w:tcPr>
          <w:p>
            <w:pPr>
              <w:pStyle w:val="17"/>
              <w:jc w:val="center"/>
              <w:rPr>
                <w:rFonts w:ascii="宋体" w:cs="宋体"/>
                <w:sz w:val="24"/>
              </w:rPr>
            </w:pPr>
            <w:r>
              <w:rPr>
                <w:rFonts w:hint="eastAsia" w:ascii="宋体" w:cs="宋体"/>
                <w:sz w:val="24"/>
              </w:rPr>
              <w:t>评分因素</w:t>
            </w:r>
          </w:p>
        </w:tc>
        <w:tc>
          <w:tcPr>
            <w:tcW w:w="5802" w:type="dxa"/>
            <w:vAlign w:val="center"/>
          </w:tcPr>
          <w:p>
            <w:pPr>
              <w:pStyle w:val="17"/>
              <w:jc w:val="center"/>
              <w:rPr>
                <w:rFonts w:ascii="宋体" w:cs="宋体"/>
                <w:sz w:val="24"/>
              </w:rPr>
            </w:pPr>
            <w:r>
              <w:rPr>
                <w:rFonts w:hint="eastAsia" w:ascii="宋体" w:cs="宋体"/>
                <w:sz w:val="24"/>
              </w:rPr>
              <w:t>评分标准</w:t>
            </w:r>
          </w:p>
        </w:tc>
        <w:tc>
          <w:tcPr>
            <w:tcW w:w="820" w:type="dxa"/>
            <w:vAlign w:val="center"/>
          </w:tcPr>
          <w:p>
            <w:pPr>
              <w:pStyle w:val="17"/>
              <w:jc w:val="center"/>
              <w:rPr>
                <w:rFonts w:ascii="宋体" w:cs="宋体"/>
                <w:sz w:val="24"/>
              </w:rPr>
            </w:pPr>
            <w:r>
              <w:rPr>
                <w:rFonts w:hint="eastAsia" w:ascii="宋体" w:cs="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723" w:type="dxa"/>
            <w:vAlign w:val="center"/>
          </w:tcPr>
          <w:p>
            <w:pPr>
              <w:pStyle w:val="17"/>
              <w:jc w:val="center"/>
              <w:rPr>
                <w:rFonts w:ascii="宋体" w:cs="宋体"/>
                <w:sz w:val="24"/>
              </w:rPr>
            </w:pPr>
            <w:r>
              <w:rPr>
                <w:rFonts w:hint="eastAsia" w:ascii="宋体" w:cs="宋体"/>
                <w:sz w:val="24"/>
              </w:rPr>
              <w:t>1</w:t>
            </w:r>
          </w:p>
        </w:tc>
        <w:tc>
          <w:tcPr>
            <w:tcW w:w="1560" w:type="dxa"/>
            <w:vAlign w:val="center"/>
          </w:tcPr>
          <w:p>
            <w:pPr>
              <w:pStyle w:val="17"/>
              <w:jc w:val="center"/>
              <w:rPr>
                <w:rFonts w:ascii="宋体" w:cs="宋体"/>
                <w:sz w:val="24"/>
              </w:rPr>
            </w:pPr>
            <w:r>
              <w:rPr>
                <w:rFonts w:hint="eastAsia" w:ascii="宋体" w:cs="宋体"/>
                <w:sz w:val="24"/>
              </w:rPr>
              <w:t>投标人业绩</w:t>
            </w:r>
          </w:p>
        </w:tc>
        <w:tc>
          <w:tcPr>
            <w:tcW w:w="5802" w:type="dxa"/>
          </w:tcPr>
          <w:p>
            <w:pPr>
              <w:pStyle w:val="17"/>
              <w:jc w:val="left"/>
              <w:rPr>
                <w:rFonts w:hint="eastAsia" w:ascii="宋体" w:cs="宋体"/>
                <w:color w:val="auto"/>
                <w:sz w:val="24"/>
                <w:highlight w:val="none"/>
              </w:rPr>
            </w:pPr>
            <w:r>
              <w:rPr>
                <w:rFonts w:hint="eastAsia" w:ascii="宋体" w:cs="宋体"/>
                <w:color w:val="auto"/>
                <w:sz w:val="24"/>
                <w:highlight w:val="none"/>
              </w:rPr>
              <w:t>提</w:t>
            </w:r>
            <w:r>
              <w:rPr>
                <w:rFonts w:hint="eastAsia" w:ascii="宋体" w:cs="宋体"/>
                <w:color w:val="000000" w:themeColor="text1"/>
                <w:sz w:val="24"/>
                <w:highlight w:val="none"/>
                <w14:textFill>
                  <w14:solidFill>
                    <w14:schemeClr w14:val="tx1"/>
                  </w14:solidFill>
                </w14:textFill>
              </w:rPr>
              <w:t>供</w:t>
            </w:r>
            <w:r>
              <w:rPr>
                <w:rFonts w:hint="eastAsia" w:ascii="宋体" w:cs="宋体"/>
                <w:color w:val="000000" w:themeColor="text1"/>
                <w:sz w:val="24"/>
                <w:lang w:val="en-US" w:eastAsia="zh-CN"/>
                <w14:textFill>
                  <w14:solidFill>
                    <w14:schemeClr w14:val="tx1"/>
                  </w14:solidFill>
                </w14:textFill>
              </w:rPr>
              <w:t>自2019年6月1日至今</w:t>
            </w:r>
            <w:r>
              <w:rPr>
                <w:rFonts w:hint="eastAsia" w:ascii="宋体" w:cs="宋体"/>
                <w:color w:val="000000" w:themeColor="text1"/>
                <w:sz w:val="24"/>
                <w:highlight w:val="none"/>
                <w14:textFill>
                  <w14:solidFill>
                    <w14:schemeClr w14:val="tx1"/>
                  </w14:solidFill>
                </w14:textFill>
              </w:rPr>
              <w:t>政府</w:t>
            </w:r>
            <w:r>
              <w:rPr>
                <w:rFonts w:hint="eastAsia" w:ascii="宋体" w:cs="宋体"/>
                <w:color w:val="auto"/>
                <w:sz w:val="24"/>
                <w:highlight w:val="none"/>
              </w:rPr>
              <w:t>采购类的与本次招标项目</w:t>
            </w:r>
            <w:r>
              <w:rPr>
                <w:rFonts w:hint="eastAsia" w:ascii="宋体" w:cs="宋体"/>
                <w:color w:val="auto"/>
                <w:sz w:val="24"/>
                <w:highlight w:val="none"/>
                <w:lang w:eastAsia="zh-CN"/>
              </w:rPr>
              <w:t>相同</w:t>
            </w:r>
            <w:r>
              <w:rPr>
                <w:rFonts w:hint="eastAsia" w:ascii="宋体" w:cs="宋体"/>
                <w:color w:val="auto"/>
                <w:sz w:val="24"/>
                <w:highlight w:val="none"/>
              </w:rPr>
              <w:t>产品的业绩证明。（提供合同或中标通知书证明材料）</w:t>
            </w:r>
          </w:p>
          <w:p>
            <w:pPr>
              <w:pStyle w:val="17"/>
              <w:jc w:val="left"/>
              <w:rPr>
                <w:rFonts w:hint="eastAsia" w:ascii="宋体" w:cs="宋体"/>
                <w:color w:val="auto"/>
                <w:sz w:val="24"/>
                <w:highlight w:val="none"/>
                <w:lang w:eastAsia="zh-CN"/>
              </w:rPr>
            </w:pPr>
            <w:r>
              <w:rPr>
                <w:rFonts w:hint="eastAsia" w:ascii="宋体" w:cs="宋体"/>
                <w:color w:val="auto"/>
                <w:sz w:val="24"/>
                <w:highlight w:val="none"/>
              </w:rPr>
              <w:t>①每</w:t>
            </w:r>
            <w:r>
              <w:rPr>
                <w:rFonts w:hint="eastAsia" w:ascii="宋体" w:cs="宋体"/>
                <w:color w:val="auto"/>
                <w:sz w:val="24"/>
                <w:highlight w:val="none"/>
                <w:lang w:eastAsia="zh-CN"/>
              </w:rPr>
              <w:t>个产品</w:t>
            </w:r>
            <w:r>
              <w:rPr>
                <w:rFonts w:hint="eastAsia" w:ascii="宋体" w:cs="宋体"/>
                <w:color w:val="auto"/>
                <w:sz w:val="24"/>
                <w:highlight w:val="none"/>
              </w:rPr>
              <w:t>提供1个业绩得2分</w:t>
            </w:r>
            <w:r>
              <w:rPr>
                <w:rFonts w:hint="eastAsia" w:ascii="宋体" w:cs="宋体"/>
                <w:color w:val="auto"/>
                <w:sz w:val="24"/>
                <w:highlight w:val="none"/>
                <w:lang w:eastAsia="zh-CN"/>
              </w:rPr>
              <w:t>，单个产品最高得分4分，累计得</w:t>
            </w:r>
            <w:r>
              <w:rPr>
                <w:rFonts w:hint="eastAsia" w:ascii="宋体" w:cs="宋体"/>
                <w:color w:val="auto"/>
                <w:sz w:val="24"/>
                <w:highlight w:val="none"/>
                <w:lang w:val="en-US" w:eastAsia="zh-CN"/>
              </w:rPr>
              <w:t>14分后，多的业绩不得分</w:t>
            </w:r>
            <w:r>
              <w:rPr>
                <w:rFonts w:hint="eastAsia" w:ascii="宋体" w:cs="宋体"/>
                <w:color w:val="auto"/>
                <w:sz w:val="24"/>
                <w:highlight w:val="none"/>
                <w:lang w:eastAsia="zh-CN"/>
              </w:rPr>
              <w:t>。</w:t>
            </w:r>
          </w:p>
          <w:p>
            <w:pPr>
              <w:pStyle w:val="17"/>
              <w:jc w:val="left"/>
              <w:rPr>
                <w:rFonts w:ascii="宋体" w:cs="宋体"/>
                <w:color w:val="auto"/>
                <w:sz w:val="24"/>
                <w:highlight w:val="none"/>
              </w:rPr>
            </w:pPr>
            <w:r>
              <w:rPr>
                <w:rFonts w:hint="eastAsia" w:ascii="宋体" w:cs="宋体"/>
                <w:color w:val="auto"/>
                <w:sz w:val="24"/>
                <w:highlight w:val="none"/>
              </w:rPr>
              <w:t>②没有提供与本次招标项目相同产品业绩的不得分</w:t>
            </w:r>
            <w:r>
              <w:rPr>
                <w:rFonts w:hint="eastAsia" w:ascii="宋体" w:cs="宋体"/>
                <w:color w:val="auto"/>
                <w:sz w:val="24"/>
                <w:highlight w:val="none"/>
                <w:lang w:eastAsia="zh-CN"/>
              </w:rPr>
              <w:t>，</w:t>
            </w:r>
            <w:r>
              <w:rPr>
                <w:rFonts w:hint="eastAsia" w:ascii="宋体" w:cs="宋体"/>
                <w:color w:val="auto"/>
                <w:sz w:val="24"/>
                <w:highlight w:val="none"/>
              </w:rPr>
              <w:t>提供合同或中标通知书证明材料</w:t>
            </w:r>
            <w:r>
              <w:rPr>
                <w:rFonts w:hint="eastAsia" w:ascii="宋体" w:cs="宋体"/>
                <w:color w:val="auto"/>
                <w:sz w:val="24"/>
                <w:highlight w:val="none"/>
                <w:lang w:eastAsia="zh-CN"/>
              </w:rPr>
              <w:t>中无法体现具体产品的不得分。</w:t>
            </w:r>
          </w:p>
        </w:tc>
        <w:tc>
          <w:tcPr>
            <w:tcW w:w="820" w:type="dxa"/>
            <w:vAlign w:val="center"/>
          </w:tcPr>
          <w:p>
            <w:pPr>
              <w:pStyle w:val="17"/>
              <w:jc w:val="center"/>
              <w:rPr>
                <w:rFonts w:hint="eastAsia" w:ascii="宋体" w:eastAsia="宋体" w:cs="宋体"/>
                <w:color w:val="auto"/>
                <w:sz w:val="24"/>
                <w:highlight w:val="none"/>
                <w:lang w:eastAsia="zh-CN"/>
              </w:rPr>
            </w:pPr>
            <w:r>
              <w:rPr>
                <w:rFonts w:hint="eastAsia" w:ascii="宋体" w:cs="宋体"/>
                <w:color w:val="auto"/>
                <w:sz w:val="24"/>
                <w:highlight w:val="none"/>
              </w:rPr>
              <w:t>1</w:t>
            </w:r>
            <w:r>
              <w:rPr>
                <w:rFonts w:hint="eastAsia" w:ascii="宋体" w:cs="宋体"/>
                <w:color w:val="auto"/>
                <w:sz w:val="24"/>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2</w:t>
            </w:r>
          </w:p>
        </w:tc>
        <w:tc>
          <w:tcPr>
            <w:tcW w:w="1560" w:type="dxa"/>
            <w:vAlign w:val="center"/>
          </w:tcPr>
          <w:p>
            <w:pPr>
              <w:pStyle w:val="17"/>
              <w:jc w:val="center"/>
              <w:rPr>
                <w:rFonts w:ascii="宋体" w:cs="宋体"/>
                <w:sz w:val="24"/>
              </w:rPr>
            </w:pPr>
            <w:r>
              <w:rPr>
                <w:rFonts w:hint="eastAsia" w:ascii="宋体" w:cs="宋体"/>
                <w:sz w:val="24"/>
              </w:rPr>
              <w:t>人员配备</w:t>
            </w:r>
          </w:p>
        </w:tc>
        <w:tc>
          <w:tcPr>
            <w:tcW w:w="5802" w:type="dxa"/>
          </w:tcPr>
          <w:p>
            <w:pPr>
              <w:pStyle w:val="17"/>
              <w:jc w:val="left"/>
              <w:rPr>
                <w:rFonts w:ascii="宋体" w:cs="宋体"/>
                <w:color w:val="auto"/>
                <w:sz w:val="24"/>
              </w:rPr>
            </w:pPr>
            <w:r>
              <w:rPr>
                <w:rFonts w:hint="eastAsia" w:ascii="宋体" w:cs="宋体"/>
                <w:color w:val="auto"/>
                <w:sz w:val="24"/>
              </w:rPr>
              <w:t>科学合理配备人员（满分</w:t>
            </w:r>
            <w:r>
              <w:rPr>
                <w:rFonts w:hint="eastAsia" w:ascii="宋体" w:cs="宋体"/>
                <w:color w:val="auto"/>
                <w:sz w:val="24"/>
                <w:lang w:eastAsia="zh-CN"/>
              </w:rPr>
              <w:t>4</w:t>
            </w:r>
            <w:r>
              <w:rPr>
                <w:rFonts w:hint="eastAsia" w:ascii="宋体" w:cs="宋体"/>
                <w:color w:val="auto"/>
                <w:sz w:val="24"/>
              </w:rPr>
              <w:t>分）</w:t>
            </w:r>
          </w:p>
          <w:p>
            <w:pPr>
              <w:pStyle w:val="17"/>
              <w:jc w:val="left"/>
              <w:rPr>
                <w:rFonts w:hint="eastAsia" w:ascii="宋体" w:eastAsia="宋体" w:cs="宋体"/>
                <w:color w:val="auto"/>
                <w:sz w:val="24"/>
                <w:lang w:eastAsia="zh-CN"/>
              </w:rPr>
            </w:pPr>
            <w:r>
              <w:rPr>
                <w:rFonts w:hint="eastAsia" w:ascii="宋体" w:cs="宋体"/>
                <w:color w:val="auto"/>
                <w:sz w:val="24"/>
              </w:rPr>
              <w:t>①对岗位配置科学</w:t>
            </w:r>
            <w:r>
              <w:rPr>
                <w:rFonts w:hint="eastAsia" w:ascii="宋体" w:eastAsia="宋体" w:cs="宋体"/>
                <w:color w:val="auto"/>
                <w:sz w:val="24"/>
              </w:rPr>
              <w:t>合理，人员配备符合或优于本项目需求岗位的进行综合评价打分。配备专业技术服务人员</w:t>
            </w:r>
            <w:r>
              <w:rPr>
                <w:rFonts w:hint="eastAsia" w:ascii="宋体" w:eastAsia="宋体" w:cs="宋体"/>
                <w:color w:val="auto"/>
                <w:sz w:val="24"/>
                <w:lang w:eastAsia="zh-CN"/>
              </w:rPr>
              <w:t>不少于</w:t>
            </w:r>
            <w:r>
              <w:rPr>
                <w:rFonts w:hint="eastAsia" w:ascii="宋体" w:cs="宋体"/>
                <w:color w:val="auto"/>
                <w:sz w:val="24"/>
                <w:lang w:val="en-US" w:eastAsia="zh-CN"/>
              </w:rPr>
              <w:t>3</w:t>
            </w:r>
            <w:r>
              <w:rPr>
                <w:rFonts w:hint="eastAsia" w:ascii="宋体" w:eastAsia="宋体" w:cs="宋体"/>
                <w:color w:val="auto"/>
                <w:sz w:val="24"/>
                <w:lang w:eastAsia="zh-CN"/>
              </w:rPr>
              <w:t>人得</w:t>
            </w:r>
            <w:r>
              <w:rPr>
                <w:rFonts w:hint="eastAsia" w:ascii="宋体" w:cs="宋体"/>
                <w:color w:val="auto"/>
                <w:sz w:val="24"/>
                <w:lang w:val="en-US" w:eastAsia="zh-CN"/>
              </w:rPr>
              <w:t>2</w:t>
            </w:r>
            <w:r>
              <w:rPr>
                <w:rFonts w:hint="eastAsia" w:ascii="宋体" w:eastAsia="宋体" w:cs="宋体"/>
                <w:color w:val="auto"/>
                <w:sz w:val="24"/>
                <w:lang w:eastAsia="zh-CN"/>
              </w:rPr>
              <w:t>分，每增加1人，多得0.5分（</w:t>
            </w:r>
            <w:r>
              <w:rPr>
                <w:rFonts w:hint="eastAsia" w:ascii="宋体" w:eastAsia="宋体" w:cs="宋体"/>
                <w:color w:val="auto"/>
                <w:sz w:val="24"/>
                <w:lang w:val="en-US" w:eastAsia="zh-CN"/>
              </w:rPr>
              <w:t>提供相关</w:t>
            </w:r>
            <w:r>
              <w:rPr>
                <w:rFonts w:hint="eastAsia" w:ascii="宋体" w:cs="宋体"/>
                <w:color w:val="auto"/>
                <w:sz w:val="24"/>
                <w:lang w:val="en-US" w:eastAsia="zh-CN"/>
              </w:rPr>
              <w:t>人员近半年任意连续</w:t>
            </w:r>
            <w:r>
              <w:rPr>
                <w:rFonts w:hint="eastAsia" w:ascii="宋体" w:eastAsia="宋体" w:cs="宋体"/>
                <w:color w:val="auto"/>
                <w:sz w:val="24"/>
                <w:lang w:val="en-US" w:eastAsia="zh-CN"/>
              </w:rPr>
              <w:t>近三个月社保证明材料）</w:t>
            </w:r>
            <w:r>
              <w:rPr>
                <w:rFonts w:hint="eastAsia" w:ascii="宋体" w:eastAsia="宋体" w:cs="宋体"/>
                <w:color w:val="auto"/>
                <w:sz w:val="24"/>
                <w:lang w:eastAsia="zh-CN"/>
              </w:rPr>
              <w:t>。</w:t>
            </w:r>
          </w:p>
          <w:p>
            <w:pPr>
              <w:pStyle w:val="17"/>
              <w:jc w:val="left"/>
              <w:rPr>
                <w:rFonts w:ascii="宋体" w:cs="宋体"/>
                <w:color w:val="FF0000"/>
                <w:sz w:val="24"/>
              </w:rPr>
            </w:pPr>
            <w:r>
              <w:rPr>
                <w:rFonts w:hint="eastAsia" w:ascii="宋体" w:cs="宋体"/>
                <w:color w:val="auto"/>
                <w:sz w:val="24"/>
              </w:rPr>
              <w:t>②未提供则不得分。</w:t>
            </w:r>
          </w:p>
        </w:tc>
        <w:tc>
          <w:tcPr>
            <w:tcW w:w="820" w:type="dxa"/>
            <w:vAlign w:val="center"/>
          </w:tcPr>
          <w:p>
            <w:pPr>
              <w:pStyle w:val="17"/>
              <w:jc w:val="center"/>
              <w:rPr>
                <w:rFonts w:hint="eastAsia" w:ascii="宋体" w:eastAsia="宋体" w:cs="宋体"/>
                <w:sz w:val="24"/>
                <w:lang w:eastAsia="zh-CN"/>
              </w:rPr>
            </w:pPr>
            <w:r>
              <w:rPr>
                <w:rFonts w:hint="eastAsia" w:ascii="宋体" w:cs="宋体"/>
                <w:sz w:val="24"/>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3</w:t>
            </w:r>
          </w:p>
        </w:tc>
        <w:tc>
          <w:tcPr>
            <w:tcW w:w="1560" w:type="dxa"/>
            <w:vAlign w:val="center"/>
          </w:tcPr>
          <w:p>
            <w:pPr>
              <w:pStyle w:val="17"/>
              <w:jc w:val="center"/>
              <w:rPr>
                <w:rFonts w:ascii="宋体" w:cs="宋体"/>
                <w:sz w:val="24"/>
              </w:rPr>
            </w:pPr>
            <w:r>
              <w:rPr>
                <w:rFonts w:hint="eastAsia" w:ascii="宋体" w:cs="宋体"/>
                <w:sz w:val="24"/>
              </w:rPr>
              <w:t>售后服务及质量保障措施</w:t>
            </w:r>
          </w:p>
        </w:tc>
        <w:tc>
          <w:tcPr>
            <w:tcW w:w="5802" w:type="dxa"/>
          </w:tcPr>
          <w:p>
            <w:pPr>
              <w:pStyle w:val="17"/>
              <w:jc w:val="left"/>
              <w:rPr>
                <w:rFonts w:ascii="宋体" w:cs="宋体"/>
                <w:sz w:val="24"/>
                <w:highlight w:val="none"/>
              </w:rPr>
            </w:pPr>
            <w:r>
              <w:rPr>
                <w:rFonts w:hint="eastAsia" w:ascii="宋体" w:cs="宋体"/>
                <w:sz w:val="24"/>
                <w:highlight w:val="none"/>
              </w:rPr>
              <w:t>售后服务方案（满分</w:t>
            </w:r>
            <w:r>
              <w:rPr>
                <w:rFonts w:hint="eastAsia" w:ascii="宋体" w:cs="宋体"/>
                <w:sz w:val="24"/>
                <w:highlight w:val="none"/>
                <w:lang w:val="en-US" w:eastAsia="zh-CN"/>
              </w:rPr>
              <w:t>5</w:t>
            </w:r>
            <w:r>
              <w:rPr>
                <w:rFonts w:hint="eastAsia" w:ascii="宋体" w:cs="宋体"/>
                <w:sz w:val="24"/>
                <w:highlight w:val="none"/>
              </w:rPr>
              <w:t>分）：</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①</w:t>
            </w:r>
            <w:r>
              <w:rPr>
                <w:rFonts w:hint="eastAsia" w:ascii="宋体" w:cs="宋体"/>
                <w:sz w:val="24"/>
                <w:highlight w:val="none"/>
              </w:rPr>
              <w:t>售后的响应时间</w:t>
            </w:r>
            <w:r>
              <w:rPr>
                <w:rFonts w:hint="eastAsia" w:ascii="宋体" w:cs="宋体"/>
                <w:sz w:val="24"/>
                <w:highlight w:val="none"/>
                <w:lang w:eastAsia="zh-CN"/>
              </w:rPr>
              <w:t>，不得超过30分钟，否则不得分，基础得分0.5分，可根据方案内容增加</w:t>
            </w:r>
            <w:r>
              <w:rPr>
                <w:rFonts w:hint="eastAsia" w:ascii="宋体" w:cs="宋体"/>
                <w:sz w:val="24"/>
                <w:highlight w:val="none"/>
                <w:lang w:val="en-US" w:eastAsia="zh-CN"/>
              </w:rPr>
              <w:t>1</w:t>
            </w:r>
            <w:r>
              <w:rPr>
                <w:rFonts w:hint="eastAsia" w:ascii="宋体" w:cs="宋体"/>
                <w:sz w:val="24"/>
                <w:highlight w:val="none"/>
                <w:lang w:eastAsia="zh-CN"/>
              </w:rPr>
              <w:t>分</w:t>
            </w:r>
            <w:r>
              <w:rPr>
                <w:rFonts w:hint="eastAsia" w:ascii="宋体" w:cs="宋体"/>
                <w:sz w:val="24"/>
                <w:highlight w:val="none"/>
              </w:rPr>
              <w:t>；</w:t>
            </w:r>
            <w:r>
              <w:rPr>
                <w:rFonts w:hint="eastAsia" w:ascii="宋体" w:cs="宋体"/>
                <w:sz w:val="24"/>
                <w:highlight w:val="none"/>
                <w:lang w:eastAsia="zh-CN"/>
              </w:rPr>
              <w:t>（满分</w:t>
            </w:r>
            <w:r>
              <w:rPr>
                <w:rFonts w:hint="eastAsia" w:ascii="宋体" w:cs="宋体"/>
                <w:sz w:val="24"/>
                <w:highlight w:val="none"/>
                <w:lang w:val="en-US" w:eastAsia="zh-CN"/>
              </w:rPr>
              <w:t>1.5</w:t>
            </w:r>
            <w:r>
              <w:rPr>
                <w:rFonts w:hint="eastAsia" w:ascii="宋体" w:cs="宋体"/>
                <w:sz w:val="24"/>
                <w:highlight w:val="none"/>
                <w:lang w:eastAsia="zh-CN"/>
              </w:rPr>
              <w:t>）</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②</w:t>
            </w:r>
            <w:r>
              <w:rPr>
                <w:rFonts w:hint="eastAsia" w:ascii="宋体" w:cs="宋体"/>
                <w:sz w:val="24"/>
                <w:highlight w:val="none"/>
              </w:rPr>
              <w:t>出现问题后的处理方案</w:t>
            </w:r>
            <w:r>
              <w:rPr>
                <w:rFonts w:hint="eastAsia" w:ascii="宋体" w:cs="宋体"/>
                <w:sz w:val="24"/>
                <w:highlight w:val="none"/>
                <w:lang w:eastAsia="zh-CN"/>
              </w:rPr>
              <w:t>，</w:t>
            </w:r>
            <w:r>
              <w:rPr>
                <w:rFonts w:hint="eastAsia" w:ascii="宋体" w:cs="宋体"/>
                <w:sz w:val="24"/>
                <w:highlight w:val="none"/>
                <w:lang w:val="en-US" w:eastAsia="zh-CN"/>
              </w:rPr>
              <w:t>基础得分0.5分，可根据方案内容增加1分</w:t>
            </w:r>
            <w:r>
              <w:rPr>
                <w:rFonts w:hint="eastAsia" w:ascii="宋体" w:cs="宋体"/>
                <w:sz w:val="24"/>
                <w:highlight w:val="none"/>
              </w:rPr>
              <w:t>；</w:t>
            </w:r>
            <w:r>
              <w:rPr>
                <w:rFonts w:hint="eastAsia" w:ascii="宋体" w:cs="宋体"/>
                <w:sz w:val="24"/>
                <w:highlight w:val="none"/>
                <w:lang w:eastAsia="zh-CN"/>
              </w:rPr>
              <w:t>（满分</w:t>
            </w:r>
            <w:r>
              <w:rPr>
                <w:rFonts w:hint="eastAsia" w:ascii="宋体" w:cs="宋体"/>
                <w:sz w:val="24"/>
                <w:highlight w:val="none"/>
                <w:lang w:val="en-US" w:eastAsia="zh-CN"/>
              </w:rPr>
              <w:t>1.5</w:t>
            </w:r>
            <w:r>
              <w:rPr>
                <w:rFonts w:hint="eastAsia" w:ascii="宋体" w:cs="宋体"/>
                <w:sz w:val="24"/>
                <w:highlight w:val="none"/>
                <w:lang w:eastAsia="zh-CN"/>
              </w:rPr>
              <w:t>）</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③</w:t>
            </w:r>
            <w:r>
              <w:rPr>
                <w:rFonts w:hint="eastAsia" w:ascii="宋体" w:cs="宋体"/>
                <w:sz w:val="24"/>
                <w:highlight w:val="none"/>
              </w:rPr>
              <w:t>退换货计划</w:t>
            </w:r>
            <w:r>
              <w:rPr>
                <w:rFonts w:hint="eastAsia" w:ascii="宋体" w:cs="宋体"/>
                <w:sz w:val="24"/>
                <w:highlight w:val="none"/>
                <w:lang w:eastAsia="zh-CN"/>
              </w:rPr>
              <w:t>，每个产品有不少于2次的无偿退换货计划，否则不得分，</w:t>
            </w:r>
            <w:r>
              <w:rPr>
                <w:rFonts w:hint="eastAsia" w:ascii="宋体" w:cs="宋体"/>
                <w:sz w:val="24"/>
                <w:highlight w:val="none"/>
                <w:lang w:val="en-US" w:eastAsia="zh-CN"/>
              </w:rPr>
              <w:t>基础得分1分，可根据方案内容增加1分</w:t>
            </w:r>
            <w:r>
              <w:rPr>
                <w:rFonts w:hint="eastAsia" w:ascii="宋体"/>
                <w:sz w:val="24"/>
                <w:highlight w:val="none"/>
              </w:rPr>
              <w:t>。</w:t>
            </w:r>
            <w:r>
              <w:rPr>
                <w:rFonts w:hint="eastAsia" w:ascii="宋体"/>
                <w:sz w:val="24"/>
                <w:highlight w:val="none"/>
                <w:lang w:eastAsia="zh-CN"/>
              </w:rPr>
              <w:t>（满分</w:t>
            </w:r>
            <w:r>
              <w:rPr>
                <w:rFonts w:hint="eastAsia" w:ascii="宋体"/>
                <w:sz w:val="24"/>
                <w:highlight w:val="none"/>
                <w:lang w:val="en-US" w:eastAsia="zh-CN"/>
              </w:rPr>
              <w:t>2</w:t>
            </w:r>
            <w:r>
              <w:rPr>
                <w:rFonts w:hint="eastAsia" w:ascii="宋体"/>
                <w:sz w:val="24"/>
                <w:highlight w:val="none"/>
                <w:lang w:eastAsia="zh-CN"/>
              </w:rPr>
              <w:t>）</w:t>
            </w:r>
          </w:p>
        </w:tc>
        <w:tc>
          <w:tcPr>
            <w:tcW w:w="820" w:type="dxa"/>
            <w:vAlign w:val="center"/>
          </w:tcPr>
          <w:p>
            <w:pPr>
              <w:pStyle w:val="17"/>
              <w:jc w:val="center"/>
              <w:rPr>
                <w:rFonts w:hint="eastAsia" w:ascii="宋体" w:eastAsia="宋体" w:cs="宋体"/>
                <w:sz w:val="24"/>
                <w:highlight w:val="none"/>
                <w:lang w:eastAsia="zh-CN"/>
              </w:rPr>
            </w:pPr>
            <w:r>
              <w:rPr>
                <w:rFonts w:hint="eastAsia" w:ascii="宋体" w:cs="宋体"/>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4</w:t>
            </w:r>
          </w:p>
        </w:tc>
        <w:tc>
          <w:tcPr>
            <w:tcW w:w="1560" w:type="dxa"/>
            <w:vAlign w:val="center"/>
          </w:tcPr>
          <w:p>
            <w:pPr>
              <w:pStyle w:val="17"/>
              <w:jc w:val="center"/>
              <w:rPr>
                <w:rFonts w:ascii="宋体" w:cs="宋体"/>
                <w:sz w:val="24"/>
              </w:rPr>
            </w:pPr>
            <w:r>
              <w:rPr>
                <w:rFonts w:hint="eastAsia" w:ascii="宋体" w:cs="宋体"/>
                <w:sz w:val="24"/>
              </w:rPr>
              <w:t>文件质量</w:t>
            </w:r>
          </w:p>
        </w:tc>
        <w:tc>
          <w:tcPr>
            <w:tcW w:w="5802" w:type="dxa"/>
          </w:tcPr>
          <w:p>
            <w:pPr>
              <w:pStyle w:val="17"/>
              <w:jc w:val="left"/>
              <w:rPr>
                <w:rFonts w:ascii="宋体" w:cs="宋体"/>
                <w:sz w:val="24"/>
              </w:rPr>
            </w:pPr>
            <w:r>
              <w:rPr>
                <w:rFonts w:hint="eastAsia" w:ascii="宋体" w:cs="宋体"/>
                <w:sz w:val="24"/>
              </w:rPr>
              <w:t>文件响应程度（满分2分）</w:t>
            </w:r>
          </w:p>
          <w:p>
            <w:pPr>
              <w:pStyle w:val="17"/>
              <w:jc w:val="left"/>
              <w:rPr>
                <w:rFonts w:hint="eastAsia" w:ascii="宋体" w:eastAsia="宋体" w:cs="宋体"/>
                <w:color w:val="FF0000"/>
                <w:sz w:val="24"/>
                <w:lang w:eastAsia="zh-CN"/>
              </w:rPr>
            </w:pPr>
            <w:r>
              <w:rPr>
                <w:rFonts w:hint="eastAsia" w:ascii="宋体" w:cs="宋体"/>
                <w:sz w:val="24"/>
              </w:rPr>
              <w:t>根据文件的响应程度评分，</w:t>
            </w:r>
            <w:r>
              <w:rPr>
                <w:rFonts w:hint="eastAsia" w:ascii="宋体" w:cs="宋体"/>
                <w:sz w:val="24"/>
                <w:lang w:eastAsia="zh-CN"/>
              </w:rPr>
              <w:t>投标</w:t>
            </w:r>
            <w:r>
              <w:rPr>
                <w:rFonts w:hint="eastAsia" w:ascii="宋体" w:cs="宋体"/>
                <w:sz w:val="24"/>
              </w:rPr>
              <w:t>文件按招标文件规定的格式、顺序编制，有目录、编页码，装订成册，书面整洁无涂改，没有缺漏项等</w:t>
            </w:r>
            <w:r>
              <w:rPr>
                <w:rFonts w:hint="eastAsia" w:ascii="宋体"/>
                <w:sz w:val="24"/>
              </w:rPr>
              <w:t>进行综合评价打分</w:t>
            </w:r>
            <w:r>
              <w:rPr>
                <w:rFonts w:hint="eastAsia" w:ascii="宋体"/>
                <w:sz w:val="24"/>
                <w:lang w:eastAsia="zh-CN"/>
              </w:rPr>
              <w:t>（</w:t>
            </w:r>
            <w:r>
              <w:rPr>
                <w:rFonts w:hint="eastAsia" w:ascii="宋体"/>
                <w:sz w:val="24"/>
                <w:lang w:val="en-US" w:eastAsia="zh-CN"/>
              </w:rPr>
              <w:t>0～2</w:t>
            </w:r>
            <w:r>
              <w:rPr>
                <w:rFonts w:hint="eastAsia" w:asciiTheme="minorEastAsia" w:hAnsiTheme="minorEastAsia" w:eastAsiaTheme="minorEastAsia" w:cstheme="minorEastAsia"/>
                <w:color w:val="auto"/>
                <w:sz w:val="24"/>
                <w:lang w:val="en-US" w:eastAsia="zh-CN"/>
              </w:rPr>
              <w:t>]</w:t>
            </w:r>
            <w:r>
              <w:rPr>
                <w:rFonts w:hint="eastAsia" w:ascii="宋体" w:cs="宋体"/>
                <w:sz w:val="24"/>
              </w:rPr>
              <w:t>。</w:t>
            </w:r>
            <w:r>
              <w:rPr>
                <w:rFonts w:hint="eastAsia" w:ascii="宋体" w:cs="宋体"/>
                <w:sz w:val="24"/>
                <w:lang w:eastAsia="zh-CN"/>
              </w:rPr>
              <w:t>目录页码与实际内容不符的扣一分。</w:t>
            </w:r>
          </w:p>
        </w:tc>
        <w:tc>
          <w:tcPr>
            <w:tcW w:w="820" w:type="dxa"/>
            <w:vAlign w:val="center"/>
          </w:tcPr>
          <w:p>
            <w:pPr>
              <w:pStyle w:val="17"/>
              <w:jc w:val="center"/>
              <w:rPr>
                <w:rFonts w:ascii="宋体" w:cs="宋体"/>
                <w:sz w:val="24"/>
              </w:rPr>
            </w:pPr>
            <w:r>
              <w:rPr>
                <w:rFonts w:hint="eastAsia" w:ascii="宋体" w:cs="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23" w:type="dxa"/>
            <w:vAlign w:val="center"/>
          </w:tcPr>
          <w:p>
            <w:pPr>
              <w:pStyle w:val="17"/>
              <w:jc w:val="center"/>
              <w:rPr>
                <w:rFonts w:ascii="宋体" w:cs="宋体"/>
                <w:sz w:val="24"/>
              </w:rPr>
            </w:pPr>
          </w:p>
        </w:tc>
        <w:tc>
          <w:tcPr>
            <w:tcW w:w="1560" w:type="dxa"/>
            <w:vAlign w:val="center"/>
          </w:tcPr>
          <w:p>
            <w:pPr>
              <w:pStyle w:val="17"/>
              <w:jc w:val="center"/>
              <w:rPr>
                <w:rFonts w:ascii="宋体" w:cs="宋体"/>
                <w:sz w:val="24"/>
              </w:rPr>
            </w:pPr>
            <w:r>
              <w:rPr>
                <w:rFonts w:hint="eastAsia" w:ascii="宋体" w:cs="宋体"/>
                <w:sz w:val="24"/>
              </w:rPr>
              <w:t>合计</w:t>
            </w:r>
          </w:p>
        </w:tc>
        <w:tc>
          <w:tcPr>
            <w:tcW w:w="5802" w:type="dxa"/>
          </w:tcPr>
          <w:p>
            <w:pPr>
              <w:pStyle w:val="17"/>
              <w:jc w:val="left"/>
              <w:rPr>
                <w:rFonts w:ascii="宋体" w:cs="宋体"/>
                <w:sz w:val="24"/>
              </w:rPr>
            </w:pPr>
          </w:p>
        </w:tc>
        <w:tc>
          <w:tcPr>
            <w:tcW w:w="820" w:type="dxa"/>
            <w:vAlign w:val="center"/>
          </w:tcPr>
          <w:p>
            <w:pPr>
              <w:pStyle w:val="17"/>
              <w:jc w:val="center"/>
              <w:rPr>
                <w:rFonts w:ascii="宋体" w:cs="宋体"/>
                <w:sz w:val="24"/>
              </w:rPr>
            </w:pPr>
            <w:r>
              <w:rPr>
                <w:rFonts w:hint="eastAsia" w:ascii="宋体" w:cs="宋体"/>
                <w:sz w:val="24"/>
              </w:rPr>
              <w:t>25</w:t>
            </w:r>
          </w:p>
        </w:tc>
      </w:tr>
    </w:tbl>
    <w:p>
      <w:pPr>
        <w:pStyle w:val="4"/>
        <w:rPr>
          <w:rFonts w:ascii="宋体" w:cs="宋体"/>
          <w:b/>
          <w:bCs/>
          <w:sz w:val="24"/>
        </w:rPr>
      </w:pPr>
    </w:p>
    <w:p>
      <w:r>
        <w:br w:type="page"/>
      </w:r>
    </w:p>
    <w:p>
      <w:pPr>
        <w:pStyle w:val="4"/>
      </w:pPr>
    </w:p>
    <w:p>
      <w:pPr>
        <w:numPr>
          <w:ilvl w:val="0"/>
          <w:numId w:val="3"/>
        </w:numPr>
        <w:spacing w:line="480" w:lineRule="exact"/>
        <w:rPr>
          <w:rFonts w:ascii="宋体" w:cs="宋体"/>
          <w:b/>
          <w:bCs/>
          <w:color w:val="000000"/>
          <w:sz w:val="24"/>
        </w:rPr>
      </w:pPr>
      <w:r>
        <w:rPr>
          <w:rFonts w:hint="eastAsia" w:ascii="宋体" w:cs="宋体"/>
          <w:b/>
          <w:bCs/>
          <w:color w:val="000000"/>
          <w:sz w:val="24"/>
        </w:rPr>
        <w:t>技术评分标准（45分）</w:t>
      </w:r>
    </w:p>
    <w:tbl>
      <w:tblPr>
        <w:tblStyle w:val="22"/>
        <w:tblpPr w:leftFromText="180" w:rightFromText="180" w:vertAnchor="text" w:horzAnchor="page" w:tblpX="1681" w:tblpY="301"/>
        <w:tblOverlap w:val="never"/>
        <w:tblW w:w="871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557" w:type="dxa"/>
            <w:vAlign w:val="center"/>
          </w:tcPr>
          <w:p>
            <w:pPr>
              <w:pStyle w:val="17"/>
              <w:jc w:val="left"/>
              <w:rPr>
                <w:rFonts w:ascii="宋体"/>
                <w:sz w:val="24"/>
              </w:rPr>
            </w:pPr>
            <w:r>
              <w:rPr>
                <w:rFonts w:hint="eastAsia" w:ascii="宋体"/>
                <w:sz w:val="24"/>
              </w:rPr>
              <w:t>序号</w:t>
            </w:r>
          </w:p>
        </w:tc>
        <w:tc>
          <w:tcPr>
            <w:tcW w:w="1233" w:type="dxa"/>
            <w:vAlign w:val="center"/>
          </w:tcPr>
          <w:p>
            <w:pPr>
              <w:pStyle w:val="17"/>
              <w:jc w:val="left"/>
              <w:rPr>
                <w:rFonts w:ascii="宋体"/>
                <w:sz w:val="24"/>
              </w:rPr>
            </w:pPr>
            <w:r>
              <w:rPr>
                <w:rFonts w:hint="eastAsia" w:ascii="宋体"/>
                <w:sz w:val="24"/>
              </w:rPr>
              <w:t>评分因素</w:t>
            </w:r>
          </w:p>
        </w:tc>
        <w:tc>
          <w:tcPr>
            <w:tcW w:w="6255" w:type="dxa"/>
            <w:vAlign w:val="center"/>
          </w:tcPr>
          <w:p>
            <w:pPr>
              <w:pStyle w:val="17"/>
              <w:jc w:val="center"/>
              <w:rPr>
                <w:rFonts w:ascii="宋体"/>
                <w:sz w:val="24"/>
              </w:rPr>
            </w:pPr>
            <w:r>
              <w:rPr>
                <w:rFonts w:hint="eastAsia" w:ascii="宋体"/>
                <w:sz w:val="24"/>
              </w:rPr>
              <w:t>评分标准</w:t>
            </w:r>
          </w:p>
        </w:tc>
        <w:tc>
          <w:tcPr>
            <w:tcW w:w="672" w:type="dxa"/>
            <w:vAlign w:val="center"/>
          </w:tcPr>
          <w:p>
            <w:pPr>
              <w:pStyle w:val="17"/>
              <w:jc w:val="left"/>
              <w:rPr>
                <w:rFonts w:ascii="宋体"/>
                <w:sz w:val="24"/>
              </w:rPr>
            </w:pPr>
            <w:r>
              <w:rPr>
                <w:rFonts w:hint="eastAsia" w:ascii="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57" w:type="dxa"/>
            <w:vMerge w:val="restart"/>
            <w:vAlign w:val="center"/>
          </w:tcPr>
          <w:p>
            <w:pPr>
              <w:pStyle w:val="17"/>
              <w:jc w:val="left"/>
              <w:rPr>
                <w:rFonts w:ascii="宋体"/>
                <w:sz w:val="24"/>
              </w:rPr>
            </w:pPr>
            <w:r>
              <w:rPr>
                <w:rFonts w:hint="eastAsia" w:ascii="宋体"/>
                <w:sz w:val="24"/>
              </w:rPr>
              <w:t>1</w:t>
            </w:r>
          </w:p>
        </w:tc>
        <w:tc>
          <w:tcPr>
            <w:tcW w:w="1233" w:type="dxa"/>
            <w:vMerge w:val="restart"/>
            <w:vAlign w:val="center"/>
          </w:tcPr>
          <w:p>
            <w:pPr>
              <w:pStyle w:val="17"/>
              <w:jc w:val="left"/>
              <w:rPr>
                <w:rFonts w:ascii="宋体"/>
                <w:sz w:val="24"/>
              </w:rPr>
            </w:pPr>
            <w:r>
              <w:rPr>
                <w:rFonts w:hint="eastAsia" w:ascii="宋体"/>
                <w:sz w:val="24"/>
              </w:rPr>
              <w:t>产品技术指标及生产能力技术部分</w:t>
            </w:r>
          </w:p>
        </w:tc>
        <w:tc>
          <w:tcPr>
            <w:tcW w:w="6255" w:type="dxa"/>
          </w:tcPr>
          <w:p>
            <w:pPr>
              <w:pStyle w:val="17"/>
              <w:jc w:val="left"/>
              <w:rPr>
                <w:rFonts w:ascii="宋体"/>
                <w:sz w:val="24"/>
                <w:highlight w:val="none"/>
              </w:rPr>
            </w:pPr>
            <w:r>
              <w:rPr>
                <w:rFonts w:hint="eastAsia" w:ascii="宋体"/>
                <w:sz w:val="24"/>
                <w:highlight w:val="none"/>
              </w:rPr>
              <w:t>1、参数响应（满分</w:t>
            </w:r>
            <w:r>
              <w:rPr>
                <w:rFonts w:hint="eastAsia" w:ascii="宋体"/>
                <w:sz w:val="24"/>
                <w:highlight w:val="none"/>
                <w:lang w:val="en-US" w:eastAsia="zh-CN"/>
              </w:rPr>
              <w:t>14</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①根据所投产品的技术参数优于或全部符合招标文件要求的响应程度进行综合评价打分。技术参数指标，每负偏离一项扣</w:t>
            </w:r>
            <w:r>
              <w:rPr>
                <w:rFonts w:hint="eastAsia" w:ascii="宋体"/>
                <w:sz w:val="24"/>
                <w:highlight w:val="none"/>
                <w:lang w:val="en-US" w:eastAsia="zh-CN"/>
              </w:rPr>
              <w:t>1</w:t>
            </w:r>
            <w:r>
              <w:rPr>
                <w:rFonts w:hint="eastAsia" w:ascii="宋体"/>
                <w:sz w:val="24"/>
                <w:highlight w:val="none"/>
              </w:rPr>
              <w:t>分。单个产品上限扣</w:t>
            </w:r>
            <w:r>
              <w:rPr>
                <w:rFonts w:hint="eastAsia" w:ascii="宋体"/>
                <w:sz w:val="24"/>
                <w:highlight w:val="none"/>
                <w:lang w:val="en-US" w:eastAsia="zh-CN"/>
              </w:rPr>
              <w:t>3</w:t>
            </w:r>
            <w:r>
              <w:rPr>
                <w:rFonts w:hint="eastAsia" w:ascii="宋体"/>
                <w:sz w:val="24"/>
                <w:highlight w:val="none"/>
              </w:rPr>
              <w:t>分，扣完为止。</w:t>
            </w:r>
          </w:p>
          <w:p>
            <w:pPr>
              <w:pStyle w:val="17"/>
              <w:jc w:val="left"/>
              <w:rPr>
                <w:rFonts w:ascii="宋体"/>
                <w:sz w:val="24"/>
                <w:highlight w:val="none"/>
              </w:rPr>
            </w:pPr>
            <w:r>
              <w:rPr>
                <w:rFonts w:hint="eastAsia" w:ascii="宋体"/>
                <w:sz w:val="24"/>
                <w:highlight w:val="none"/>
              </w:rPr>
              <w:t>②所投产品未按参数要求提供新兽药证书或者农业部进口兽药注册证书的扣</w:t>
            </w:r>
            <w:r>
              <w:rPr>
                <w:rFonts w:hint="eastAsia" w:ascii="宋体"/>
                <w:sz w:val="24"/>
                <w:highlight w:val="none"/>
                <w:lang w:val="en-US" w:eastAsia="zh-CN"/>
              </w:rPr>
              <w:t>3</w:t>
            </w:r>
            <w:r>
              <w:rPr>
                <w:rFonts w:hint="eastAsia" w:ascii="宋体"/>
                <w:sz w:val="24"/>
                <w:highlight w:val="none"/>
              </w:rPr>
              <w:t>分。</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2、产品功能：（满分</w:t>
            </w:r>
            <w:r>
              <w:rPr>
                <w:rFonts w:hint="eastAsia" w:ascii="宋体"/>
                <w:sz w:val="24"/>
                <w:highlight w:val="none"/>
                <w:lang w:val="en-US" w:eastAsia="zh-CN"/>
              </w:rPr>
              <w:t>4</w:t>
            </w:r>
            <w:r>
              <w:rPr>
                <w:rFonts w:hint="eastAsia" w:ascii="宋体"/>
                <w:sz w:val="24"/>
                <w:highlight w:val="none"/>
              </w:rPr>
              <w:t>分）</w:t>
            </w:r>
          </w:p>
          <w:p>
            <w:pPr>
              <w:pStyle w:val="17"/>
              <w:jc w:val="left"/>
              <w:rPr>
                <w:rFonts w:hint="eastAsia" w:ascii="宋体"/>
                <w:color w:val="auto"/>
                <w:sz w:val="24"/>
                <w:highlight w:val="none"/>
                <w:lang w:eastAsia="zh-CN"/>
              </w:rPr>
            </w:pPr>
            <w:r>
              <w:rPr>
                <w:rFonts w:hint="eastAsia" w:ascii="宋体"/>
                <w:color w:val="auto"/>
                <w:sz w:val="24"/>
                <w:highlight w:val="none"/>
              </w:rPr>
              <w:t>①所投产品具有完整的产品技术白皮书或产品说明书；每个产品</w:t>
            </w:r>
            <w:r>
              <w:rPr>
                <w:rFonts w:hint="eastAsia" w:ascii="宋体"/>
                <w:color w:val="auto"/>
                <w:sz w:val="24"/>
                <w:highlight w:val="none"/>
                <w:lang w:val="en-US" w:eastAsia="zh-CN"/>
              </w:rPr>
              <w:t>1</w:t>
            </w:r>
            <w:r>
              <w:rPr>
                <w:rFonts w:hint="eastAsia" w:ascii="宋体"/>
                <w:color w:val="auto"/>
                <w:sz w:val="24"/>
                <w:highlight w:val="none"/>
              </w:rPr>
              <w:t>分</w:t>
            </w:r>
            <w:r>
              <w:rPr>
                <w:rFonts w:hint="eastAsia" w:ascii="宋体"/>
                <w:color w:val="auto"/>
                <w:sz w:val="24"/>
                <w:highlight w:val="none"/>
                <w:lang w:eastAsia="zh-CN"/>
              </w:rPr>
              <w:t>。</w:t>
            </w:r>
          </w:p>
          <w:p>
            <w:pPr>
              <w:pStyle w:val="17"/>
              <w:jc w:val="left"/>
              <w:rPr>
                <w:rFonts w:ascii="宋体"/>
                <w:sz w:val="24"/>
                <w:highlight w:val="none"/>
              </w:rPr>
            </w:pPr>
            <w:r>
              <w:rPr>
                <w:rFonts w:hint="eastAsia" w:ascii="宋体"/>
                <w:color w:val="auto"/>
                <w:sz w:val="24"/>
                <w:highlight w:val="none"/>
              </w:rPr>
              <w:t>②未提供产品说明书或说明书与所投产品不符的每一个产品扣1分。</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color w:val="000000"/>
                <w:sz w:val="24"/>
              </w:rPr>
            </w:pPr>
            <w:r>
              <w:rPr>
                <w:rFonts w:hint="eastAsia" w:ascii="宋体"/>
                <w:sz w:val="24"/>
              </w:rPr>
              <w:t>3、包装、</w:t>
            </w:r>
            <w:r>
              <w:rPr>
                <w:rFonts w:hint="eastAsia" w:ascii="宋体" w:cs="宋体"/>
                <w:color w:val="000000"/>
                <w:sz w:val="24"/>
              </w:rPr>
              <w:t>运输（满分1分）</w:t>
            </w:r>
          </w:p>
          <w:p>
            <w:pPr>
              <w:pStyle w:val="17"/>
              <w:jc w:val="left"/>
              <w:rPr>
                <w:rFonts w:ascii="宋体"/>
                <w:sz w:val="24"/>
              </w:rPr>
            </w:pPr>
            <w:r>
              <w:rPr>
                <w:rFonts w:hint="eastAsia" w:ascii="宋体" w:cs="宋体"/>
                <w:color w:val="000000"/>
                <w:sz w:val="24"/>
              </w:rPr>
              <w:t>根据供应商投标文件中对运输、包装方案的描述，全面、合理、具体得1分，一般得0.5分，不够全面、</w:t>
            </w:r>
            <w:r>
              <w:rPr>
                <w:rFonts w:hint="eastAsia" w:ascii="宋体" w:cs="宋体"/>
                <w:color w:val="000000"/>
                <w:sz w:val="24"/>
                <w:lang w:val="en-US" w:eastAsia="zh-CN"/>
              </w:rPr>
              <w:t>不</w:t>
            </w:r>
            <w:r>
              <w:rPr>
                <w:rFonts w:hint="eastAsia" w:ascii="宋体" w:cs="宋体"/>
                <w:color w:val="000000"/>
                <w:sz w:val="24"/>
              </w:rPr>
              <w:t>合理、</w:t>
            </w:r>
            <w:r>
              <w:rPr>
                <w:rFonts w:hint="eastAsia" w:ascii="宋体" w:cs="宋体"/>
                <w:color w:val="000000"/>
                <w:sz w:val="24"/>
                <w:lang w:val="en-US" w:eastAsia="zh-CN"/>
              </w:rPr>
              <w:t>不</w:t>
            </w:r>
            <w:r>
              <w:rPr>
                <w:rFonts w:hint="eastAsia" w:ascii="宋体" w:cs="宋体"/>
                <w:color w:val="000000"/>
                <w:sz w:val="24"/>
              </w:rPr>
              <w:t>具体的或者没有提供方案的不得分。</w:t>
            </w:r>
          </w:p>
        </w:tc>
        <w:tc>
          <w:tcPr>
            <w:tcW w:w="672" w:type="dxa"/>
            <w:vAlign w:val="center"/>
          </w:tcPr>
          <w:p>
            <w:pPr>
              <w:pStyle w:val="17"/>
              <w:jc w:val="center"/>
              <w:rPr>
                <w:rFonts w:ascii="宋体"/>
                <w:sz w:val="24"/>
              </w:rPr>
            </w:pP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4、安全性（满分</w:t>
            </w:r>
            <w:r>
              <w:rPr>
                <w:rFonts w:hint="eastAsia" w:ascii="宋体"/>
                <w:sz w:val="24"/>
                <w:highlight w:val="none"/>
                <w:lang w:val="en-US" w:eastAsia="zh-CN"/>
              </w:rPr>
              <w:t>18</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相关安全性证明文件，提供与投标产品相同的</w:t>
            </w:r>
            <w:r>
              <w:rPr>
                <w:rFonts w:hint="eastAsia" w:ascii="宋体" w:cs="宋体"/>
                <w:sz w:val="24"/>
                <w:highlight w:val="none"/>
                <w:lang w:eastAsia="zh-CN"/>
              </w:rPr>
              <w:t>省</w:t>
            </w:r>
            <w:r>
              <w:rPr>
                <w:rFonts w:hint="eastAsia" w:ascii="宋体" w:cs="宋体"/>
                <w:sz w:val="24"/>
                <w:highlight w:val="none"/>
              </w:rPr>
              <w:t>级以上动物疾病预防控制中心机构产品使用证明，</w:t>
            </w:r>
            <w:r>
              <w:rPr>
                <w:rFonts w:hint="eastAsia" w:ascii="宋体"/>
                <w:sz w:val="24"/>
                <w:highlight w:val="none"/>
              </w:rPr>
              <w:t>进行综合评价打分</w:t>
            </w:r>
            <w:r>
              <w:rPr>
                <w:rFonts w:hint="eastAsia" w:ascii="宋体"/>
                <w:sz w:val="24"/>
                <w:highlight w:val="none"/>
                <w:lang w:eastAsia="zh-CN"/>
              </w:rPr>
              <w:t>，使用证明中每有一个产品得</w:t>
            </w:r>
            <w:r>
              <w:rPr>
                <w:rFonts w:hint="eastAsia" w:ascii="宋体"/>
                <w:sz w:val="24"/>
                <w:highlight w:val="none"/>
                <w:lang w:val="en-US" w:eastAsia="zh-CN"/>
              </w:rPr>
              <w:t>1</w:t>
            </w:r>
            <w:r>
              <w:rPr>
                <w:rFonts w:hint="eastAsia" w:ascii="宋体"/>
                <w:sz w:val="24"/>
                <w:highlight w:val="none"/>
                <w:lang w:eastAsia="zh-CN"/>
              </w:rPr>
              <w:t>分</w:t>
            </w:r>
            <w:r>
              <w:rPr>
                <w:rFonts w:hint="eastAsia" w:ascii="宋体"/>
                <w:sz w:val="24"/>
                <w:highlight w:val="none"/>
                <w:lang w:val="en-US" w:eastAsia="zh-CN"/>
              </w:rPr>
              <w:t>,</w:t>
            </w:r>
            <w:r>
              <w:rPr>
                <w:rFonts w:hint="eastAsia" w:ascii="宋体"/>
                <w:sz w:val="24"/>
                <w:highlight w:val="none"/>
                <w:lang w:eastAsia="zh-CN"/>
              </w:rPr>
              <w:t>每个产品</w:t>
            </w:r>
            <w:r>
              <w:rPr>
                <w:rFonts w:hint="eastAsia" w:ascii="宋体"/>
                <w:sz w:val="24"/>
                <w:highlight w:val="none"/>
                <w:lang w:val="en-US" w:eastAsia="zh-CN"/>
              </w:rPr>
              <w:t>上限</w:t>
            </w:r>
            <w:r>
              <w:rPr>
                <w:rFonts w:hint="eastAsia" w:ascii="宋体"/>
                <w:sz w:val="24"/>
                <w:highlight w:val="none"/>
                <w:lang w:eastAsia="zh-CN"/>
              </w:rPr>
              <w:t>2分</w:t>
            </w:r>
            <w:r>
              <w:rPr>
                <w:rFonts w:hint="eastAsia" w:ascii="宋体"/>
                <w:sz w:val="24"/>
                <w:highlight w:val="none"/>
              </w:rPr>
              <w:t>；</w:t>
            </w:r>
          </w:p>
          <w:p>
            <w:pPr>
              <w:pStyle w:val="17"/>
              <w:jc w:val="left"/>
              <w:rPr>
                <w:rFonts w:ascii="宋体"/>
                <w:sz w:val="24"/>
                <w:highlight w:val="none"/>
              </w:rPr>
            </w:pPr>
            <w:r>
              <w:rPr>
                <w:rFonts w:hint="eastAsia" w:ascii="宋体"/>
                <w:b/>
                <w:bCs/>
                <w:sz w:val="24"/>
                <w:highlight w:val="none"/>
              </w:rPr>
              <w:t>②未提供或低于</w:t>
            </w:r>
            <w:r>
              <w:rPr>
                <w:rFonts w:hint="eastAsia" w:ascii="宋体"/>
                <w:b/>
                <w:bCs/>
                <w:sz w:val="24"/>
                <w:highlight w:val="none"/>
                <w:lang w:eastAsia="zh-CN"/>
              </w:rPr>
              <w:t>省</w:t>
            </w:r>
            <w:r>
              <w:rPr>
                <w:rFonts w:hint="eastAsia" w:ascii="宋体"/>
                <w:b/>
                <w:bCs/>
                <w:sz w:val="24"/>
                <w:highlight w:val="none"/>
              </w:rPr>
              <w:t>级的证明</w:t>
            </w:r>
            <w:r>
              <w:rPr>
                <w:rFonts w:hint="eastAsia" w:ascii="宋体" w:cs="宋体"/>
                <w:b/>
                <w:bCs/>
                <w:color w:val="000000"/>
                <w:sz w:val="24"/>
                <w:highlight w:val="none"/>
              </w:rPr>
              <w:t>则不得分</w:t>
            </w:r>
            <w:r>
              <w:rPr>
                <w:rFonts w:hint="eastAsia" w:ascii="宋体"/>
                <w:b/>
                <w:bCs/>
                <w:sz w:val="24"/>
                <w:highlight w:val="none"/>
              </w:rPr>
              <w:t>；</w:t>
            </w:r>
            <w:r>
              <w:rPr>
                <w:rFonts w:hint="eastAsia" w:ascii="宋体"/>
                <w:b/>
                <w:bCs/>
                <w:sz w:val="24"/>
                <w:highlight w:val="none"/>
                <w:lang w:eastAsia="zh-CN"/>
              </w:rPr>
              <w:t>证明文件中无法体现具体</w:t>
            </w:r>
            <w:r>
              <w:rPr>
                <w:rFonts w:hint="eastAsia" w:ascii="宋体" w:cs="宋体"/>
                <w:b/>
                <w:bCs/>
                <w:sz w:val="24"/>
                <w:highlight w:val="none"/>
              </w:rPr>
              <w:t>投标产品</w:t>
            </w:r>
            <w:r>
              <w:rPr>
                <w:rFonts w:hint="eastAsia" w:ascii="宋体" w:cs="宋体"/>
                <w:b/>
                <w:bCs/>
                <w:sz w:val="24"/>
                <w:highlight w:val="none"/>
                <w:lang w:eastAsia="zh-CN"/>
              </w:rPr>
              <w:t>的不得分，满意度调查不作为产品安全性证明文件。</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5、响应程度（满分3分）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企业的响应时间优于招标要求，措施全面可行性强，对动物疫病诊断试剂严重质量问题现场处置得当，响应时间短（24小时以内）的，并重新提供发货保证的，</w:t>
            </w:r>
            <w:r>
              <w:rPr>
                <w:rFonts w:hint="eastAsia" w:ascii="宋体"/>
                <w:sz w:val="24"/>
                <w:highlight w:val="none"/>
              </w:rPr>
              <w:t>进行综合评价打分；</w:t>
            </w:r>
          </w:p>
          <w:p>
            <w:pPr>
              <w:pStyle w:val="17"/>
              <w:jc w:val="left"/>
              <w:rPr>
                <w:rFonts w:ascii="宋体"/>
                <w:sz w:val="24"/>
                <w:highlight w:val="none"/>
              </w:rPr>
            </w:pPr>
            <w:r>
              <w:rPr>
                <w:rFonts w:hint="eastAsia" w:ascii="宋体"/>
                <w:sz w:val="24"/>
                <w:highlight w:val="none"/>
              </w:rPr>
              <w:t>②否</w:t>
            </w:r>
            <w:r>
              <w:rPr>
                <w:rFonts w:hint="eastAsia" w:ascii="宋体" w:cs="宋体"/>
                <w:color w:val="000000"/>
                <w:sz w:val="24"/>
                <w:highlight w:val="none"/>
              </w:rPr>
              <w:t>则不得分</w:t>
            </w:r>
            <w:r>
              <w:rPr>
                <w:rFonts w:hint="eastAsia" w:ascii="宋体"/>
                <w:sz w:val="24"/>
                <w:highlight w:val="none"/>
              </w:rPr>
              <w:t>；</w:t>
            </w:r>
          </w:p>
        </w:tc>
        <w:tc>
          <w:tcPr>
            <w:tcW w:w="672" w:type="dxa"/>
            <w:vAlign w:val="center"/>
          </w:tcPr>
          <w:p>
            <w:pPr>
              <w:pStyle w:val="17"/>
              <w:jc w:val="center"/>
              <w:rPr>
                <w:rFonts w:ascii="宋体"/>
                <w:sz w:val="24"/>
                <w:highlight w:val="none"/>
              </w:rPr>
            </w:pPr>
            <w:r>
              <w:rPr>
                <w:rFonts w:hint="eastAsia" w:asci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sz w:val="24"/>
                <w:highlight w:val="none"/>
              </w:rPr>
            </w:pPr>
            <w:r>
              <w:rPr>
                <w:rFonts w:hint="eastAsia" w:ascii="宋体" w:cs="宋体"/>
                <w:sz w:val="24"/>
                <w:highlight w:val="none"/>
              </w:rPr>
              <w:t>6、质量保障措施</w:t>
            </w:r>
            <w:r>
              <w:rPr>
                <w:rFonts w:hint="eastAsia" w:ascii="宋体"/>
                <w:sz w:val="24"/>
                <w:highlight w:val="none"/>
              </w:rPr>
              <w:t>（满分2分）</w:t>
            </w:r>
          </w:p>
          <w:p>
            <w:pPr>
              <w:pStyle w:val="17"/>
              <w:jc w:val="left"/>
              <w:rPr>
                <w:rFonts w:ascii="宋体" w:cs="宋体"/>
                <w:sz w:val="24"/>
                <w:highlight w:val="none"/>
              </w:rPr>
            </w:pPr>
            <w:r>
              <w:rPr>
                <w:rFonts w:hint="eastAsia" w:ascii="宋体"/>
                <w:sz w:val="24"/>
                <w:highlight w:val="none"/>
              </w:rPr>
              <w:t>在自治区内</w:t>
            </w:r>
            <w:r>
              <w:rPr>
                <w:rFonts w:hint="eastAsia" w:ascii="宋体" w:cs="宋体"/>
                <w:sz w:val="24"/>
                <w:highlight w:val="none"/>
              </w:rPr>
              <w:t>所投试剂供应企业能够提供售后保障服务网点，配备专业技术服务人员</w:t>
            </w:r>
            <w:r>
              <w:rPr>
                <w:rFonts w:hint="eastAsia" w:ascii="宋体" w:cs="宋体"/>
                <w:sz w:val="24"/>
                <w:highlight w:val="none"/>
                <w:lang w:eastAsia="zh-CN"/>
              </w:rPr>
              <w:t>（</w:t>
            </w:r>
            <w:r>
              <w:rPr>
                <w:rFonts w:hint="eastAsia" w:asciiTheme="minorEastAsia" w:hAnsiTheme="minorEastAsia" w:eastAsiaTheme="minorEastAsia" w:cstheme="minorEastAsia"/>
                <w:color w:val="auto"/>
                <w:sz w:val="24"/>
                <w:lang w:val="en-US" w:eastAsia="zh-CN"/>
              </w:rPr>
              <w:t>提供相关人员近半年任意连续三个月社保证明材料</w:t>
            </w:r>
            <w:r>
              <w:rPr>
                <w:rFonts w:hint="eastAsia" w:ascii="宋体" w:cs="宋体"/>
                <w:sz w:val="24"/>
                <w:highlight w:val="none"/>
                <w:lang w:eastAsia="zh-CN"/>
              </w:rPr>
              <w:t>）</w:t>
            </w:r>
            <w:r>
              <w:rPr>
                <w:rFonts w:hint="eastAsia" w:ascii="宋体" w:cs="宋体"/>
                <w:sz w:val="24"/>
                <w:highlight w:val="none"/>
              </w:rPr>
              <w:t>（包括委托相关有资质机构，如有委托，以委托文件为准），</w:t>
            </w:r>
            <w:r>
              <w:rPr>
                <w:rFonts w:hint="eastAsia" w:ascii="宋体"/>
                <w:sz w:val="24"/>
                <w:highlight w:val="none"/>
              </w:rPr>
              <w:t>进行综合评价打分</w:t>
            </w:r>
            <w:r>
              <w:rPr>
                <w:rFonts w:hint="eastAsia" w:ascii="宋体" w:cs="宋体"/>
                <w:sz w:val="24"/>
                <w:highlight w:val="none"/>
              </w:rPr>
              <w:t>；</w:t>
            </w:r>
          </w:p>
        </w:tc>
        <w:tc>
          <w:tcPr>
            <w:tcW w:w="672" w:type="dxa"/>
            <w:vAlign w:val="center"/>
          </w:tcPr>
          <w:p>
            <w:pPr>
              <w:pStyle w:val="17"/>
              <w:jc w:val="center"/>
              <w:rPr>
                <w:rFonts w:ascii="宋体" w:cs="宋体"/>
                <w:sz w:val="24"/>
                <w:highlight w:val="none"/>
              </w:rPr>
            </w:pPr>
            <w:r>
              <w:rPr>
                <w:rFonts w:hint="eastAsia" w:asci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rPr>
                <w:rFonts w:ascii="宋体"/>
                <w:sz w:val="24"/>
                <w:highlight w:val="none"/>
              </w:rPr>
            </w:pPr>
            <w:r>
              <w:rPr>
                <w:rFonts w:hint="eastAsia" w:ascii="宋体" w:cs="宋体"/>
                <w:sz w:val="24"/>
                <w:highlight w:val="none"/>
              </w:rPr>
              <w:t>7、应急预案</w:t>
            </w:r>
            <w:r>
              <w:rPr>
                <w:rFonts w:hint="eastAsia" w:ascii="宋体"/>
                <w:sz w:val="24"/>
                <w:highlight w:val="none"/>
              </w:rPr>
              <w:t>（满分</w:t>
            </w:r>
            <w:r>
              <w:rPr>
                <w:rFonts w:hint="eastAsia" w:ascii="宋体"/>
                <w:sz w:val="24"/>
                <w:highlight w:val="none"/>
                <w:lang w:val="en-US" w:eastAsia="zh-CN"/>
              </w:rPr>
              <w:t>3</w:t>
            </w:r>
            <w:r>
              <w:rPr>
                <w:rFonts w:hint="eastAsia" w:ascii="宋体"/>
                <w:sz w:val="24"/>
                <w:highlight w:val="none"/>
              </w:rPr>
              <w:t>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在紧急情况下，应急预案保证措施完善可行，交货期短且满足招标要求，保障性强等，</w:t>
            </w:r>
            <w:r>
              <w:rPr>
                <w:rFonts w:hint="eastAsia" w:ascii="宋体"/>
                <w:sz w:val="24"/>
                <w:highlight w:val="none"/>
              </w:rPr>
              <w:t>进行综合评价打分</w:t>
            </w:r>
            <w:r>
              <w:rPr>
                <w:rFonts w:hint="eastAsia" w:ascii="宋体" w:cs="宋体"/>
                <w:sz w:val="24"/>
                <w:highlight w:val="none"/>
              </w:rPr>
              <w:t>；</w:t>
            </w:r>
          </w:p>
          <w:p>
            <w:pPr>
              <w:pStyle w:val="17"/>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hint="eastAsia" w:ascii="宋体" w:eastAsia="宋体" w:cs="宋体"/>
                <w:sz w:val="24"/>
                <w:highlight w:val="none"/>
                <w:lang w:val="en-US" w:eastAsia="zh-CN"/>
              </w:rPr>
            </w:pPr>
            <w:r>
              <w:rPr>
                <w:rFonts w:hint="eastAsia" w:ascii="宋体" w:cs="宋体"/>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Align w:val="center"/>
          </w:tcPr>
          <w:p>
            <w:pPr>
              <w:pStyle w:val="17"/>
              <w:jc w:val="center"/>
              <w:rPr>
                <w:rFonts w:ascii="宋体" w:cs="宋体"/>
                <w:sz w:val="24"/>
              </w:rPr>
            </w:pPr>
          </w:p>
        </w:tc>
        <w:tc>
          <w:tcPr>
            <w:tcW w:w="1233" w:type="dxa"/>
            <w:vAlign w:val="center"/>
          </w:tcPr>
          <w:p>
            <w:pPr>
              <w:pStyle w:val="17"/>
              <w:jc w:val="center"/>
              <w:rPr>
                <w:rFonts w:ascii="宋体" w:cs="宋体"/>
                <w:sz w:val="24"/>
              </w:rPr>
            </w:pPr>
            <w:r>
              <w:rPr>
                <w:rFonts w:hint="eastAsia" w:ascii="宋体" w:cs="宋体"/>
                <w:color w:val="000000"/>
                <w:sz w:val="21"/>
                <w:szCs w:val="21"/>
              </w:rPr>
              <w:t>合计</w:t>
            </w:r>
          </w:p>
        </w:tc>
        <w:tc>
          <w:tcPr>
            <w:tcW w:w="6255" w:type="dxa"/>
          </w:tcPr>
          <w:p>
            <w:pPr>
              <w:pStyle w:val="17"/>
              <w:ind w:firstLine="420" w:firstLineChars="200"/>
              <w:jc w:val="left"/>
              <w:rPr>
                <w:rFonts w:ascii="宋体" w:cs="宋体"/>
                <w:color w:val="000000"/>
                <w:sz w:val="21"/>
                <w:szCs w:val="21"/>
              </w:rPr>
            </w:pPr>
          </w:p>
        </w:tc>
        <w:tc>
          <w:tcPr>
            <w:tcW w:w="672" w:type="dxa"/>
            <w:vAlign w:val="center"/>
          </w:tcPr>
          <w:p>
            <w:pPr>
              <w:pStyle w:val="17"/>
              <w:jc w:val="center"/>
              <w:rPr>
                <w:rFonts w:ascii="宋体" w:cs="宋体"/>
                <w:sz w:val="24"/>
              </w:rPr>
            </w:pPr>
            <w:r>
              <w:rPr>
                <w:rFonts w:hint="eastAsia" w:ascii="宋体" w:cs="宋体"/>
                <w:sz w:val="24"/>
              </w:rPr>
              <w:t>45</w:t>
            </w:r>
          </w:p>
        </w:tc>
      </w:tr>
    </w:tbl>
    <w:p>
      <w:pPr>
        <w:pStyle w:val="9"/>
        <w:numPr>
          <w:ilvl w:val="0"/>
          <w:numId w:val="0"/>
        </w:numPr>
        <w:rPr>
          <w:rFonts w:ascii="宋体" w:eastAsia="宋体" w:cs="宋体"/>
          <w:b/>
          <w:bCs/>
          <w:sz w:val="21"/>
          <w:szCs w:val="21"/>
        </w:rPr>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2"/>
        <w:rPr>
          <w:rFonts w:cs="宋体"/>
          <w:sz w:val="24"/>
          <w:szCs w:val="24"/>
        </w:rPr>
      </w:pPr>
    </w:p>
    <w:p>
      <w:pPr>
        <w:pStyle w:val="3"/>
        <w:rPr>
          <w:rFonts w:cs="宋体"/>
          <w:sz w:val="24"/>
        </w:rPr>
      </w:pPr>
    </w:p>
    <w:p>
      <w:pPr>
        <w:pStyle w:val="3"/>
        <w:rPr>
          <w:rFonts w:cs="宋体"/>
          <w:sz w:val="24"/>
        </w:rPr>
      </w:pPr>
    </w:p>
    <w:p>
      <w:pPr>
        <w:pStyle w:val="3"/>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spacing w:line="360" w:lineRule="auto"/>
        <w:ind w:firstLine="960" w:firstLineChars="400"/>
        <w:jc w:val="left"/>
        <w:rPr>
          <w:rFonts w:ascii="宋体" w:cs="宋体"/>
          <w:color w:val="000000"/>
          <w:sz w:val="24"/>
        </w:rPr>
      </w:pPr>
    </w:p>
    <w:p>
      <w:pPr>
        <w:pStyle w:val="4"/>
      </w:pPr>
    </w:p>
    <w:p>
      <w:pPr>
        <w:pStyle w:val="5"/>
        <w:jc w:val="center"/>
        <w:rPr>
          <w:rFonts w:ascii="黑体" w:eastAsia="黑体" w:cs="黑体"/>
          <w:color w:val="000000"/>
          <w:sz w:val="24"/>
        </w:rPr>
      </w:pPr>
      <w:bookmarkStart w:id="26" w:name="_Toc9511"/>
      <w:r>
        <w:rPr>
          <w:rFonts w:hint="eastAsia" w:ascii="黑体" w:eastAsia="黑体" w:cs="黑体"/>
          <w:sz w:val="24"/>
        </w:rPr>
        <w:t>第四章</w:t>
      </w:r>
      <w:r>
        <w:rPr>
          <w:rFonts w:hint="eastAsia" w:ascii="黑体" w:eastAsia="黑体" w:cs="黑体"/>
          <w:color w:val="000000"/>
          <w:sz w:val="24"/>
        </w:rPr>
        <w:t xml:space="preserve">  合同条款及格式</w:t>
      </w:r>
      <w:bookmarkEnd w:id="26"/>
    </w:p>
    <w:p>
      <w:pPr>
        <w:pStyle w:val="2"/>
        <w:jc w:val="center"/>
        <w:rPr>
          <w:rFonts w:cs="宋体"/>
          <w:sz w:val="24"/>
          <w:szCs w:val="24"/>
        </w:rPr>
      </w:pPr>
      <w:bookmarkStart w:id="27" w:name="_Toc3422"/>
      <w:bookmarkStart w:id="28" w:name="_Toc602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7"/>
      <w:r>
        <w:rPr>
          <w:rFonts w:hint="eastAsia" w:cs="宋体"/>
          <w:bCs/>
          <w:color w:val="000000"/>
          <w:sz w:val="24"/>
          <w:szCs w:val="24"/>
        </w:rPr>
        <w:t>通用合同条款</w:t>
      </w:r>
      <w:bookmarkEnd w:id="28"/>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2"/>
        <w:jc w:val="center"/>
        <w:rPr>
          <w:rFonts w:cs="宋体"/>
          <w:sz w:val="24"/>
          <w:szCs w:val="24"/>
        </w:rPr>
      </w:pPr>
      <w:bookmarkStart w:id="29" w:name="_Toc18422"/>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9"/>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2"/>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9"/>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rPr>
        <w:t>（2）验收单位：收货单位为动物疾病诊断试剂验收第一责任单位，新疆维吾尔自治区动物卫生监督所委托的动物疾病诊断试剂运达地的兽医主管部门（动物防疫机构）负责动物疾病诊断试剂验收工作。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动物疾病诊断试剂全部或部分不符合合同要求的，买方或买方委托验收人有权拒收不符合质量要求的全部或部分动物疾病诊断试剂，卖方须向买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（2）动物疾病诊断试剂质量不符合合同规定时，卖方负责包退包换。由于上述原因导致延误交货时间的，每延误一日，供应方应按逾期交货部分动物疾病诊断试剂价款总值的5‰向买方偿付违约金。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（3）卖方必须按合同规定的日期交货，每逾期一日，卖方必须向买方支付逾期交货疫苗总额5‰的违约金。逾期交货超过10日，买方有权解除合同，履约保证金不予退还。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rPr>
        <w:t>（5）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卖方负责补偿。</w:t>
      </w:r>
    </w:p>
    <w:p>
      <w:pPr>
        <w:adjustRightInd w:val="0"/>
        <w:snapToGrid w:val="0"/>
        <w:spacing w:line="360" w:lineRule="auto"/>
        <w:rPr>
          <w:rFonts w:ascii="宋体" w:cs="宋体"/>
          <w:b/>
          <w:sz w:val="24"/>
        </w:rPr>
      </w:pPr>
      <w:r>
        <w:rPr>
          <w:rFonts w:hint="eastAsia" w:ascii="宋体" w:cs="宋体"/>
          <w:b/>
          <w:sz w:val="24"/>
        </w:rPr>
        <w:t xml:space="preserve">十、特殊条款 </w:t>
      </w:r>
    </w:p>
    <w:p>
      <w:pPr>
        <w:adjustRightInd w:val="0"/>
        <w:snapToGrid w:val="0"/>
        <w:spacing w:line="360" w:lineRule="auto"/>
        <w:ind w:firstLine="480" w:firstLineChars="200"/>
        <w:rPr>
          <w:rFonts w:ascii="宋体" w:cs="宋体"/>
          <w:sz w:val="24"/>
        </w:rPr>
      </w:pPr>
      <w:r>
        <w:rPr>
          <w:rFonts w:hint="eastAsia" w:ascii="宋体" w:cs="宋体"/>
          <w:sz w:val="24"/>
        </w:rPr>
        <w:t>(1)卖方应根据销售计划无偿为买方提供相关知识的培训，买方可以提出培训计划，培训费用由卖方承担，培训对象为买方确定的相关兽医技术人员。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rPr>
        <w:t>(2)因动物疾病诊断试剂造成经济损失的，供货厂家48小时内派人现场调查解决或由供需双方组成联合调查组认定，确认是由于动物疾病诊断试剂质量引起的损失，将由供货厂家赔偿。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rPr>
        <w:t>(3)如因动物疾病诊断试剂引起的损失，买方与供货厂家应会同有关部门组成调查小组查清原因，确认是由产品质量原因造成，供货厂家应承担经费，并赔偿相应的经济损失。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rPr>
        <w:t>(4)如果中标人提供的动物疾病诊断试剂出现严重质量问题，卖方应在24小时内派专业技术人员到达现场，进行采样、分析和解决问题，并承担不良反应所造成的一切损失。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rPr>
        <w:t>（5）经买方组织对各类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rPr>
        <w:t>（6）各中标企业向动物疾病诊断试剂接收单位供货时，产品包装按照大小包装分配成一定比例供货，而且标识清楚，以方便使用，避免造成动物疫病诊断试剂浪费。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rPr>
        <w:t>（7）供货方的其他售后服务承诺。</w:t>
      </w:r>
    </w:p>
    <w:p>
      <w:pPr>
        <w:adjustRightInd w:val="0"/>
        <w:snapToGrid w:val="0"/>
        <w:spacing w:line="360" w:lineRule="auto"/>
        <w:rPr>
          <w:rFonts w:ascii="宋体" w:cs="宋体"/>
          <w:b/>
          <w:sz w:val="24"/>
        </w:rPr>
      </w:pPr>
      <w:r>
        <w:rPr>
          <w:rFonts w:hint="eastAsia" w:ascii="宋体" w:cs="宋体"/>
          <w:b/>
          <w:sz w:val="24"/>
        </w:rPr>
        <w:t>十一、合同解释：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十二、争议解决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十三、合同生效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十四、合同份数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十五、其他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pStyle w:val="9"/>
        <w:numPr>
          <w:ilvl w:val="0"/>
          <w:numId w:val="0"/>
        </w:numPr>
      </w:pPr>
    </w:p>
    <w:p>
      <w:pPr>
        <w:pStyle w:val="9"/>
        <w:numPr>
          <w:ilvl w:val="0"/>
          <w:numId w:val="0"/>
        </w:numPr>
      </w:pP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0" w:name="_Toc14451"/>
      <w:r>
        <w:rPr>
          <w:rFonts w:hint="eastAsia" w:ascii="黑体" w:eastAsia="黑体" w:cs="黑体"/>
          <w:color w:val="000000"/>
          <w:sz w:val="24"/>
        </w:rPr>
        <w:t>第五章</w:t>
      </w:r>
      <w:r>
        <w:rPr>
          <w:rFonts w:hint="eastAsia" w:ascii="黑体" w:eastAsia="黑体" w:cs="黑体"/>
          <w:sz w:val="24"/>
        </w:rPr>
        <w:t xml:space="preserve">  技术标准和要求</w:t>
      </w:r>
      <w:bookmarkEnd w:id="30"/>
    </w:p>
    <w:p>
      <w:pPr>
        <w:numPr>
          <w:ilvl w:val="0"/>
          <w:numId w:val="4"/>
        </w:numPr>
      </w:pPr>
      <w:r>
        <w:rPr>
          <w:rFonts w:hint="eastAsia"/>
        </w:rPr>
        <w:t>投标人所投产品须符合或优于《技术标准和要求》；</w:t>
      </w:r>
    </w:p>
    <w:p>
      <w:r>
        <w:rPr>
          <w:rFonts w:hint="eastAsia"/>
        </w:rPr>
        <w:t>2. 投标报价时每个产品数量按1（盒、支、个、管、瓶、头份等）报单价，之后计算单价之和；</w:t>
      </w:r>
    </w:p>
    <w:p>
      <w:r>
        <w:rPr>
          <w:rFonts w:hint="eastAsia"/>
        </w:rPr>
        <w:t>3. 所投产品的数量为预估数值，实际采购数量以与采购人签订的</w:t>
      </w:r>
      <w:r>
        <w:rPr>
          <w:rFonts w:hint="eastAsia" w:ascii="宋体" w:cs="宋体"/>
          <w:kern w:val="0"/>
          <w:szCs w:val="21"/>
        </w:rPr>
        <w:t>《采购供应合同》</w:t>
      </w:r>
      <w:r>
        <w:rPr>
          <w:rFonts w:hint="eastAsia"/>
        </w:rPr>
        <w:t>为准；</w:t>
      </w:r>
    </w:p>
    <w:p>
      <w:r>
        <w:rPr>
          <w:rFonts w:hint="eastAsia"/>
        </w:rPr>
        <w:t xml:space="preserve">4. </w:t>
      </w:r>
      <w:r>
        <w:rPr>
          <w:rFonts w:hint="eastAsia" w:ascii="宋体" w:cs="宋体"/>
          <w:kern w:val="0"/>
          <w:szCs w:val="21"/>
        </w:rPr>
        <w:t>《采购供应合同》</w:t>
      </w:r>
      <w:r>
        <w:rPr>
          <w:rFonts w:hint="eastAsia"/>
        </w:rPr>
        <w:t>不得超过本项目的预算总额；</w:t>
      </w:r>
    </w:p>
    <w:p>
      <w:pPr>
        <w:rPr>
          <w:color w:val="0000FF"/>
        </w:rPr>
      </w:pPr>
      <w:r>
        <w:rPr>
          <w:rFonts w:hint="eastAsia"/>
          <w:color w:val="0000FF"/>
        </w:rPr>
        <w:t>5. 核心产品：</w:t>
      </w:r>
      <w:r>
        <w:rPr>
          <w:rFonts w:hint="eastAsia"/>
          <w:lang w:val="en-US" w:eastAsia="zh-CN"/>
        </w:rPr>
        <w:t>小反刍兽疫病毒抗体ELISA检测试剂盒（竞争法）</w:t>
      </w:r>
    </w:p>
    <w:tbl>
      <w:tblPr>
        <w:tblStyle w:val="22"/>
        <w:tblW w:w="8721"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75"/>
        <w:gridCol w:w="4677"/>
        <w:gridCol w:w="1000"/>
        <w:gridCol w:w="10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tcPr>
          <w:p>
            <w:pPr>
              <w:spacing w:line="360" w:lineRule="auto"/>
              <w:jc w:val="center"/>
              <w:rPr>
                <w:rFonts w:ascii="宋体" w:cs="宋体"/>
                <w:szCs w:val="21"/>
              </w:rPr>
            </w:pPr>
            <w:r>
              <w:rPr>
                <w:rFonts w:hint="eastAsia" w:ascii="宋体" w:cs="宋体"/>
                <w:szCs w:val="21"/>
              </w:rPr>
              <w:t>序号</w:t>
            </w:r>
            <w:r>
              <w:rPr>
                <w:rFonts w:hint="eastAsia" w:ascii="宋体" w:cs="宋体"/>
                <w:szCs w:val="21"/>
              </w:rPr>
              <w:br w:type="page"/>
            </w:r>
          </w:p>
        </w:tc>
        <w:tc>
          <w:tcPr>
            <w:tcW w:w="1375" w:type="dxa"/>
          </w:tcPr>
          <w:p>
            <w:pPr>
              <w:spacing w:line="360" w:lineRule="auto"/>
              <w:jc w:val="center"/>
              <w:rPr>
                <w:rFonts w:ascii="宋体" w:cs="宋体"/>
                <w:szCs w:val="21"/>
              </w:rPr>
            </w:pPr>
            <w:r>
              <w:rPr>
                <w:rFonts w:hint="eastAsia" w:ascii="宋体" w:cs="宋体"/>
                <w:color w:val="000000"/>
                <w:kern w:val="0"/>
                <w:szCs w:val="21"/>
              </w:rPr>
              <w:t>试剂盒名称</w:t>
            </w:r>
          </w:p>
        </w:tc>
        <w:tc>
          <w:tcPr>
            <w:tcW w:w="4677" w:type="dxa"/>
          </w:tcPr>
          <w:p>
            <w:pPr>
              <w:spacing w:line="360" w:lineRule="auto"/>
              <w:jc w:val="center"/>
              <w:rPr>
                <w:rFonts w:ascii="宋体" w:cs="宋体"/>
                <w:szCs w:val="21"/>
              </w:rPr>
            </w:pPr>
            <w:r>
              <w:rPr>
                <w:rFonts w:hint="eastAsia" w:ascii="宋体" w:cs="宋体"/>
                <w:color w:val="000000"/>
                <w:kern w:val="0"/>
                <w:szCs w:val="21"/>
              </w:rPr>
              <w:t>主要技术参数</w:t>
            </w:r>
          </w:p>
        </w:tc>
        <w:tc>
          <w:tcPr>
            <w:tcW w:w="1000" w:type="dxa"/>
          </w:tcPr>
          <w:p>
            <w:pPr>
              <w:spacing w:line="360" w:lineRule="auto"/>
              <w:jc w:val="center"/>
              <w:rPr>
                <w:rFonts w:ascii="宋体" w:cs="宋体"/>
                <w:szCs w:val="21"/>
              </w:rPr>
            </w:pPr>
            <w:r>
              <w:rPr>
                <w:rFonts w:hint="eastAsia" w:ascii="宋体" w:cs="宋体"/>
                <w:szCs w:val="21"/>
              </w:rPr>
              <w:t>数量</w:t>
            </w:r>
          </w:p>
        </w:tc>
        <w:tc>
          <w:tcPr>
            <w:tcW w:w="1000" w:type="dxa"/>
          </w:tcPr>
          <w:p>
            <w:pPr>
              <w:spacing w:line="360" w:lineRule="auto"/>
              <w:jc w:val="center"/>
              <w:rPr>
                <w:rFonts w:hint="eastAsia" w:ascii="宋体" w:eastAsia="宋体" w:cs="宋体"/>
                <w:szCs w:val="21"/>
                <w:lang w:val="en-US" w:eastAsia="zh-CN"/>
              </w:rPr>
            </w:pPr>
            <w:r>
              <w:rPr>
                <w:rFonts w:hint="eastAsia" w:ascii="宋体" w:cs="宋体"/>
                <w:color w:val="auto"/>
                <w:szCs w:val="21"/>
                <w:lang w:val="en-US" w:eastAsia="zh-CN"/>
              </w:rPr>
              <w:t>单项最高限价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1</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小反刍兽疫病毒抗体ELISA检测试剂盒</w:t>
            </w:r>
            <w:r>
              <w:rPr>
                <w:rFonts w:hint="eastAsia" w:ascii="宋体" w:hAnsi="宋体" w:eastAsia="宋体" w:cs="宋体"/>
                <w:i w:val="0"/>
                <w:color w:val="FF0000"/>
                <w:kern w:val="0"/>
                <w:sz w:val="22"/>
                <w:szCs w:val="22"/>
                <w:u w:val="none"/>
                <w:lang w:val="en-US" w:eastAsia="zh-CN" w:bidi="ar"/>
              </w:rPr>
              <w:t>（竞争法）</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FF0000"/>
                <w:kern w:val="0"/>
                <w:sz w:val="18"/>
                <w:szCs w:val="18"/>
                <w:u w:val="none"/>
                <w:lang w:val="en-US" w:eastAsia="zh-CN" w:bidi="ar"/>
              </w:rPr>
              <w:t>1、提供质量管理体系认证证书。</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2、提供兽药GMP证书，产品均在动物疫病诊断生物制品GMP车间分子生物学类诊断制品生产线生产，质量稳定。</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3、试剂盒名称或说明说必须明确检测方法采样竞争ELISA方法，</w:t>
            </w:r>
            <w:r>
              <w:rPr>
                <w:rFonts w:hint="eastAsia" w:ascii="宋体" w:hAnsi="宋体" w:eastAsia="宋体" w:cs="宋体"/>
                <w:i w:val="0"/>
                <w:color w:val="000000"/>
                <w:kern w:val="0"/>
                <w:sz w:val="18"/>
                <w:szCs w:val="18"/>
                <w:u w:val="none"/>
                <w:lang w:val="en-US" w:eastAsia="zh-CN" w:bidi="ar"/>
              </w:rPr>
              <w:t>检测绵羊和山羊血清或血浆中的小反刍兽疫病毒蛋白的抗体。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4、规格：5*96孔/板（可拆条）。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5、符合国家标准或有关规定。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6、贮藏与有效期：2-8℃，有效期不少于12个月。</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2</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口蹄疫病毒非结构蛋白抗体高敏荧光检测试剂盒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1、采用荧光微球标记，免疫层析法检测；</w:t>
            </w:r>
            <w:r>
              <w:rPr>
                <w:rFonts w:hint="eastAsia" w:ascii="宋体" w:hAnsi="宋体" w:eastAsia="宋体" w:cs="宋体"/>
                <w:i w:val="0"/>
                <w:color w:val="FF0000"/>
                <w:kern w:val="0"/>
                <w:sz w:val="18"/>
                <w:szCs w:val="18"/>
                <w:u w:val="none"/>
                <w:lang w:val="en-US" w:eastAsia="zh-CN" w:bidi="ar"/>
              </w:rPr>
              <w:t>双抗原夹心法</w:t>
            </w:r>
            <w:r>
              <w:rPr>
                <w:rFonts w:hint="eastAsia" w:ascii="宋体" w:hAnsi="宋体" w:eastAsia="宋体" w:cs="宋体"/>
                <w:i w:val="0"/>
                <w:color w:val="000000"/>
                <w:kern w:val="0"/>
                <w:sz w:val="18"/>
                <w:szCs w:val="18"/>
                <w:u w:val="none"/>
                <w:lang w:val="en-US" w:eastAsia="zh-CN" w:bidi="ar"/>
              </w:rPr>
              <w:t>捕获被测样本中的口蹄疫病毒3ABC蛋白抗体；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2、检测卡适用高敏荧光分析仪检测；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3、检测时间15分钟以内；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4、有效期：12个月以上；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5、规格：50头份/盒；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6、投标产品需配置可提供配套服务的互联网云平台和手机端APP；</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3</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 xml:space="preserve">小反刍兽疫病毒抗体高敏荧光检测试剂盒 </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1、采用荧光微球标记，免疫层析法检测；</w:t>
            </w:r>
            <w:r>
              <w:rPr>
                <w:rFonts w:hint="eastAsia" w:ascii="宋体" w:hAnsi="宋体" w:eastAsia="宋体" w:cs="宋体"/>
                <w:i w:val="0"/>
                <w:color w:val="FF0000"/>
                <w:kern w:val="0"/>
                <w:sz w:val="18"/>
                <w:szCs w:val="18"/>
                <w:u w:val="none"/>
                <w:lang w:val="en-US" w:eastAsia="zh-CN" w:bidi="ar"/>
              </w:rPr>
              <w:t>双抗原夹心法</w:t>
            </w:r>
            <w:r>
              <w:rPr>
                <w:rFonts w:hint="eastAsia" w:ascii="宋体" w:hAnsi="宋体" w:eastAsia="宋体" w:cs="宋体"/>
                <w:i w:val="0"/>
                <w:color w:val="000000"/>
                <w:kern w:val="0"/>
                <w:sz w:val="18"/>
                <w:szCs w:val="18"/>
                <w:u w:val="none"/>
                <w:lang w:val="en-US" w:eastAsia="zh-CN" w:bidi="ar"/>
              </w:rPr>
              <w:t>捕获被测样本中的小反刍兽疫病毒抗体；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2、检测卡适用高敏荧光分析仪检测；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3、检测时间15分钟以内；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4、到货有效期：12个月以上；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5、规格：50头份/盒；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6、投标产品需配置可提供配套服务的互联网云平台和手机端APP；</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1600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4</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牛结节性皮肤病病毒抗体高敏荧光检测试剂盒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1、采用荧光微球标记，免疫层析法检测；</w:t>
            </w:r>
            <w:r>
              <w:rPr>
                <w:rFonts w:hint="eastAsia" w:ascii="宋体" w:hAnsi="宋体" w:eastAsia="宋体" w:cs="宋体"/>
                <w:i w:val="0"/>
                <w:color w:val="FF0000"/>
                <w:kern w:val="0"/>
                <w:sz w:val="18"/>
                <w:szCs w:val="18"/>
                <w:u w:val="none"/>
                <w:lang w:val="en-US" w:eastAsia="zh-CN" w:bidi="ar"/>
              </w:rPr>
              <w:t>双抗原夹心法</w:t>
            </w:r>
            <w:r>
              <w:rPr>
                <w:rFonts w:hint="eastAsia" w:ascii="宋体" w:hAnsi="宋体" w:eastAsia="宋体" w:cs="宋体"/>
                <w:i w:val="0"/>
                <w:color w:val="000000"/>
                <w:kern w:val="0"/>
                <w:sz w:val="18"/>
                <w:szCs w:val="18"/>
                <w:u w:val="none"/>
                <w:lang w:val="en-US" w:eastAsia="zh-CN" w:bidi="ar"/>
              </w:rPr>
              <w:t>捕获被测样本中的牛结节病毒抗体；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2、检测卡适用高敏荧光分析仪检测；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3、检测时间15分钟以内；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4、到货有效期：12个月以上；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5、规格：50头份/盒；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6、投标产品需配置可提供配套服务的互联网云平台和手机端APP；</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2250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5</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羊痘病毒抗体高敏荧光检测试剂盒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1、采用荧光微球标记，免疫层析法检测；</w:t>
            </w:r>
            <w:r>
              <w:rPr>
                <w:rFonts w:hint="eastAsia" w:ascii="宋体" w:hAnsi="宋体" w:eastAsia="宋体" w:cs="宋体"/>
                <w:i w:val="0"/>
                <w:color w:val="FF0000"/>
                <w:kern w:val="0"/>
                <w:sz w:val="18"/>
                <w:szCs w:val="18"/>
                <w:u w:val="none"/>
                <w:lang w:val="en-US" w:eastAsia="zh-CN" w:bidi="ar"/>
              </w:rPr>
              <w:t>双抗原夹心法</w:t>
            </w:r>
            <w:r>
              <w:rPr>
                <w:rFonts w:hint="eastAsia" w:ascii="宋体" w:hAnsi="宋体" w:eastAsia="宋体" w:cs="宋体"/>
                <w:i w:val="0"/>
                <w:color w:val="000000"/>
                <w:kern w:val="0"/>
                <w:sz w:val="18"/>
                <w:szCs w:val="18"/>
                <w:u w:val="none"/>
                <w:lang w:val="en-US" w:eastAsia="zh-CN" w:bidi="ar"/>
              </w:rPr>
              <w:t>捕获被测样本中的羊痘病毒抗体；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2、检测卡适用高敏荧光分析仪检测；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3、检测时间15分钟以内；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4、到货有效期：12个月以上；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5、规格：50头份/盒；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6、投标产品需配置可提供配套服务的互联网云平台和手机端APP；</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highlight w:val="none"/>
              </w:rPr>
            </w:pPr>
            <w:r>
              <w:rPr>
                <w:rFonts w:hint="eastAsia" w:ascii="宋体" w:cs="宋体"/>
                <w:szCs w:val="21"/>
                <w:highlight w:val="none"/>
              </w:rPr>
              <w:t>6</w:t>
            </w:r>
          </w:p>
        </w:tc>
        <w:tc>
          <w:tcPr>
            <w:tcW w:w="1375" w:type="dxa"/>
            <w:vAlign w:val="top"/>
          </w:tcPr>
          <w:p>
            <w:pPr>
              <w:keepNext w:val="0"/>
              <w:keepLines w:val="0"/>
              <w:widowControl/>
              <w:suppressLineNumbers w:val="0"/>
              <w:jc w:val="both"/>
              <w:textAlignment w:val="top"/>
              <w:rPr>
                <w:rFonts w:ascii="宋体" w:cs="宋体"/>
                <w:color w:val="000000"/>
                <w:kern w:val="0"/>
                <w:sz w:val="22"/>
                <w:szCs w:val="22"/>
                <w:highlight w:val="none"/>
              </w:rPr>
            </w:pPr>
            <w:r>
              <w:rPr>
                <w:rFonts w:hint="eastAsia" w:ascii="宋体" w:cs="宋体"/>
                <w:color w:val="000000"/>
                <w:kern w:val="0"/>
                <w:sz w:val="22"/>
                <w:szCs w:val="22"/>
                <w:highlight w:val="none"/>
              </w:rPr>
              <w:t>非洲猪瘟病毒抗原高敏荧光检测试剂盒</w:t>
            </w:r>
          </w:p>
        </w:tc>
        <w:tc>
          <w:tcPr>
            <w:tcW w:w="4677" w:type="dxa"/>
            <w:vAlign w:val="center"/>
          </w:tcPr>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*1.采用镧系纳米荧光微球标记，免疫层析法检测；双抗体夹心法捕获被测样本中的非洲猪瘟猪瘟病毒p30抗原，检测值与抗原含量成正比；</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 xml:space="preserve">▲2、检测卡适用高敏荧光分析仪检测；检测时间15分钟以内； </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*3、提供兽药GMP证书，</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 xml:space="preserve">4、到货有效期：12个月以上； </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*5、投标产品需配置可提供配套服务的互联网云平台和手机端APP；</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6、供应商为采购人配置相关互联网云平台，并可实现以下功能：</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 xml:space="preserve">▲6.1采购人可通过互联网云平台获得标准曲线； </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▲6.2采购人可通过互联网云平台收集每条检测卡检测信息的功能，检测信息需包含产品批号、检测项目、检测结果、地理位置信息、检测时间、检测是否有效等信息；</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▲6.3互联网云平台需具备分级管理功能，适用于上级单位收集和分析检测数据，管理下级单位检测工作，具备工作任务下放，通知消息接收与发送等功能。</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▲6.4互联网云平台需建立独立服务器，确保数据安全可靠。</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7、供应商为采购人配置相关手机APP，并可实现以下功能：</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7.1采购人可通过手机 APP 趋动高敏荧光分析仪完成检测；</w:t>
            </w:r>
          </w:p>
          <w:p>
            <w:pPr>
              <w:keepNext w:val="0"/>
              <w:keepLines w:val="0"/>
              <w:widowControl/>
              <w:suppressLineNumbers w:val="0"/>
              <w:jc w:val="left"/>
              <w:textAlignment w:val="center"/>
              <w:rPr>
                <w:rFonts w:hint="eastAsia" w:ascii="宋体" w:cs="宋体"/>
                <w:color w:val="000000"/>
                <w:kern w:val="0"/>
                <w:sz w:val="22"/>
                <w:szCs w:val="22"/>
                <w:highlight w:val="none"/>
              </w:rPr>
            </w:pPr>
            <w:r>
              <w:rPr>
                <w:rFonts w:hint="eastAsia" w:ascii="宋体" w:cs="宋体"/>
                <w:color w:val="000000"/>
                <w:kern w:val="0"/>
                <w:sz w:val="22"/>
                <w:szCs w:val="22"/>
                <w:highlight w:val="none"/>
              </w:rPr>
              <w:t>7.2采购人可通过手机APP需将每条检测信息实时上传到互联网云平台，避免人工选择性或手工上传检测结果，防止数据做假确保真实可靠；</w:t>
            </w:r>
          </w:p>
          <w:p>
            <w:pPr>
              <w:keepNext w:val="0"/>
              <w:keepLines w:val="0"/>
              <w:widowControl/>
              <w:suppressLineNumbers w:val="0"/>
              <w:jc w:val="left"/>
              <w:textAlignment w:val="center"/>
              <w:rPr>
                <w:rFonts w:ascii="宋体" w:cs="宋体"/>
                <w:color w:val="000000"/>
                <w:kern w:val="0"/>
                <w:sz w:val="22"/>
                <w:szCs w:val="22"/>
                <w:highlight w:val="none"/>
              </w:rPr>
            </w:pPr>
            <w:r>
              <w:rPr>
                <w:rFonts w:hint="eastAsia" w:ascii="宋体" w:cs="宋体"/>
                <w:color w:val="000000"/>
                <w:kern w:val="0"/>
                <w:sz w:val="22"/>
                <w:szCs w:val="22"/>
                <w:highlight w:val="none"/>
              </w:rPr>
              <w:t>▲8、互联网云平台和手机APP可根据客户需求随时进行升级和改造。</w:t>
            </w:r>
          </w:p>
        </w:tc>
        <w:tc>
          <w:tcPr>
            <w:tcW w:w="1000" w:type="dxa"/>
            <w:vAlign w:val="center"/>
          </w:tcPr>
          <w:p>
            <w:pPr>
              <w:keepNext w:val="0"/>
              <w:keepLines w:val="0"/>
              <w:widowControl/>
              <w:suppressLineNumbers w:val="0"/>
              <w:jc w:val="right"/>
              <w:textAlignment w:val="center"/>
              <w:rPr>
                <w:rFonts w:ascii="宋体" w:cs="宋体"/>
                <w:szCs w:val="21"/>
              </w:rPr>
            </w:pPr>
            <w:r>
              <w:rPr>
                <w:rFonts w:hint="eastAsia" w:ascii="宋体" w:hAnsi="宋体" w:cs="宋体"/>
                <w:i w:val="0"/>
                <w:color w:val="000000"/>
                <w:kern w:val="0"/>
                <w:sz w:val="24"/>
                <w:szCs w:val="24"/>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4"/>
                <w:szCs w:val="24"/>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7</w:t>
            </w:r>
          </w:p>
        </w:tc>
        <w:tc>
          <w:tcPr>
            <w:tcW w:w="1375" w:type="dxa"/>
            <w:vAlign w:val="top"/>
          </w:tcPr>
          <w:p>
            <w:pPr>
              <w:keepNext w:val="0"/>
              <w:keepLines w:val="0"/>
              <w:widowControl/>
              <w:suppressLineNumbers w:val="0"/>
              <w:jc w:val="both"/>
              <w:textAlignment w:val="top"/>
              <w:rPr>
                <w:rFonts w:ascii="宋体" w:cs="宋体"/>
                <w:szCs w:val="21"/>
              </w:rPr>
            </w:pPr>
            <w:r>
              <w:rPr>
                <w:rFonts w:hint="eastAsia" w:ascii="宋体" w:cs="宋体"/>
                <w:szCs w:val="21"/>
              </w:rPr>
              <w:t>禽流感病毒(H9 亚型)抗体定量检测试剂盒</w:t>
            </w:r>
          </w:p>
        </w:tc>
        <w:tc>
          <w:tcPr>
            <w:tcW w:w="4677" w:type="dxa"/>
            <w:vAlign w:val="center"/>
          </w:tcPr>
          <w:p>
            <w:pPr>
              <w:keepNext w:val="0"/>
              <w:keepLines w:val="0"/>
              <w:widowControl/>
              <w:suppressLineNumbers w:val="0"/>
              <w:jc w:val="left"/>
              <w:textAlignment w:val="center"/>
              <w:rPr>
                <w:rFonts w:hint="eastAsia" w:ascii="宋体" w:cs="宋体"/>
                <w:szCs w:val="21"/>
              </w:rPr>
            </w:pPr>
            <w:r>
              <w:rPr>
                <w:rFonts w:hint="eastAsia" w:ascii="宋体" w:cs="宋体"/>
                <w:szCs w:val="21"/>
              </w:rPr>
              <w:t>*1.采用镧系纳米荧光微球标记，免疫层析法检测；利用双重组H9三聚体蛋白夹心法检测样本中的禽流感病毒H9亚型特异性总抗体；</w:t>
            </w:r>
          </w:p>
          <w:p>
            <w:pPr>
              <w:keepNext w:val="0"/>
              <w:keepLines w:val="0"/>
              <w:widowControl/>
              <w:suppressLineNumbers w:val="0"/>
              <w:jc w:val="left"/>
              <w:textAlignment w:val="center"/>
              <w:rPr>
                <w:rFonts w:hint="eastAsia" w:ascii="宋体" w:cs="宋体"/>
                <w:szCs w:val="21"/>
              </w:rPr>
            </w:pPr>
            <w:r>
              <w:rPr>
                <w:rFonts w:hint="eastAsia" w:ascii="宋体" w:cs="宋体"/>
                <w:szCs w:val="21"/>
              </w:rPr>
              <w:t>▲2、检测卡适用高敏荧光分析仪检测；</w:t>
            </w:r>
          </w:p>
          <w:p>
            <w:pPr>
              <w:keepNext w:val="0"/>
              <w:keepLines w:val="0"/>
              <w:widowControl/>
              <w:suppressLineNumbers w:val="0"/>
              <w:jc w:val="left"/>
              <w:textAlignment w:val="center"/>
              <w:rPr>
                <w:rFonts w:hint="eastAsia" w:ascii="宋体" w:cs="宋体"/>
                <w:szCs w:val="21"/>
              </w:rPr>
            </w:pPr>
            <w:r>
              <w:rPr>
                <w:rFonts w:hint="eastAsia" w:ascii="宋体" w:cs="宋体"/>
                <w:szCs w:val="21"/>
              </w:rPr>
              <w:t xml:space="preserve">*3、检测时间15分钟以内； </w:t>
            </w:r>
          </w:p>
          <w:p>
            <w:pPr>
              <w:keepNext w:val="0"/>
              <w:keepLines w:val="0"/>
              <w:widowControl/>
              <w:suppressLineNumbers w:val="0"/>
              <w:jc w:val="left"/>
              <w:textAlignment w:val="center"/>
              <w:rPr>
                <w:rFonts w:hint="eastAsia" w:ascii="宋体" w:cs="宋体"/>
                <w:szCs w:val="21"/>
              </w:rPr>
            </w:pPr>
            <w:r>
              <w:rPr>
                <w:rFonts w:hint="eastAsia" w:ascii="宋体" w:cs="宋体"/>
                <w:szCs w:val="21"/>
              </w:rPr>
              <w:t xml:space="preserve">4、到货有效期：12个月以上； </w:t>
            </w:r>
          </w:p>
          <w:p>
            <w:pPr>
              <w:keepNext w:val="0"/>
              <w:keepLines w:val="0"/>
              <w:widowControl/>
              <w:suppressLineNumbers w:val="0"/>
              <w:jc w:val="left"/>
              <w:textAlignment w:val="center"/>
              <w:rPr>
                <w:rFonts w:hint="eastAsia" w:ascii="宋体" w:cs="宋体"/>
                <w:szCs w:val="21"/>
              </w:rPr>
            </w:pPr>
            <w:r>
              <w:rPr>
                <w:rFonts w:hint="eastAsia" w:ascii="宋体" w:cs="宋体"/>
                <w:szCs w:val="21"/>
              </w:rPr>
              <w:t>*5、投标产品需配置可提供配套服务的互联网云平台和手机端APP；</w:t>
            </w:r>
          </w:p>
          <w:p>
            <w:pPr>
              <w:keepNext w:val="0"/>
              <w:keepLines w:val="0"/>
              <w:widowControl/>
              <w:suppressLineNumbers w:val="0"/>
              <w:jc w:val="left"/>
              <w:textAlignment w:val="center"/>
              <w:rPr>
                <w:rFonts w:hint="eastAsia" w:ascii="宋体" w:cs="宋体"/>
                <w:szCs w:val="21"/>
              </w:rPr>
            </w:pPr>
            <w:r>
              <w:rPr>
                <w:rFonts w:hint="eastAsia" w:ascii="宋体" w:cs="宋体"/>
                <w:szCs w:val="21"/>
              </w:rPr>
              <w:t>6、供应商为采购人配置相关互联网云平台，并可实现以下功能：</w:t>
            </w:r>
          </w:p>
          <w:p>
            <w:pPr>
              <w:keepNext w:val="0"/>
              <w:keepLines w:val="0"/>
              <w:widowControl/>
              <w:suppressLineNumbers w:val="0"/>
              <w:jc w:val="left"/>
              <w:textAlignment w:val="center"/>
              <w:rPr>
                <w:rFonts w:hint="eastAsia" w:ascii="宋体" w:cs="宋体"/>
                <w:szCs w:val="21"/>
              </w:rPr>
            </w:pPr>
            <w:r>
              <w:rPr>
                <w:rFonts w:hint="eastAsia" w:ascii="宋体" w:cs="宋体"/>
                <w:szCs w:val="21"/>
              </w:rPr>
              <w:t xml:space="preserve">▲6.1采购人可通过互联网云平台获得标准曲线； </w:t>
            </w:r>
          </w:p>
          <w:p>
            <w:pPr>
              <w:keepNext w:val="0"/>
              <w:keepLines w:val="0"/>
              <w:widowControl/>
              <w:suppressLineNumbers w:val="0"/>
              <w:jc w:val="left"/>
              <w:textAlignment w:val="center"/>
              <w:rPr>
                <w:rFonts w:hint="eastAsia" w:ascii="宋体" w:cs="宋体"/>
                <w:szCs w:val="21"/>
              </w:rPr>
            </w:pPr>
            <w:r>
              <w:rPr>
                <w:rFonts w:hint="eastAsia" w:ascii="宋体" w:cs="宋体"/>
                <w:szCs w:val="21"/>
              </w:rPr>
              <w:t>▲6.2采购人可通过互联网云平台收集每条检测卡检测信息的功能，检测信息需包含产品批号、检测项目、检测结果、地理位置信息、检测时间、检测是否有效等信息；</w:t>
            </w:r>
          </w:p>
          <w:p>
            <w:pPr>
              <w:keepNext w:val="0"/>
              <w:keepLines w:val="0"/>
              <w:widowControl/>
              <w:suppressLineNumbers w:val="0"/>
              <w:jc w:val="left"/>
              <w:textAlignment w:val="center"/>
              <w:rPr>
                <w:rFonts w:hint="eastAsia" w:ascii="宋体" w:cs="宋体"/>
                <w:szCs w:val="21"/>
              </w:rPr>
            </w:pPr>
            <w:r>
              <w:rPr>
                <w:rFonts w:hint="eastAsia" w:ascii="宋体" w:cs="宋体"/>
                <w:szCs w:val="21"/>
              </w:rPr>
              <w:t>▲6.3互联网云平台需具备分级管理功能，适用于上级单位收集和分析检测数据，管理下级单位检测工作，具备工作任务下放，通知消息接收与发送等功能。</w:t>
            </w:r>
          </w:p>
          <w:p>
            <w:pPr>
              <w:keepNext w:val="0"/>
              <w:keepLines w:val="0"/>
              <w:widowControl/>
              <w:suppressLineNumbers w:val="0"/>
              <w:jc w:val="left"/>
              <w:textAlignment w:val="center"/>
              <w:rPr>
                <w:rFonts w:hint="eastAsia" w:ascii="宋体" w:cs="宋体"/>
                <w:szCs w:val="21"/>
              </w:rPr>
            </w:pPr>
            <w:r>
              <w:rPr>
                <w:rFonts w:hint="eastAsia" w:ascii="宋体" w:cs="宋体"/>
                <w:szCs w:val="21"/>
              </w:rPr>
              <w:t>▲6.4互联网云平台需建立独立服务器，确保数据安全可靠。</w:t>
            </w:r>
          </w:p>
          <w:p>
            <w:pPr>
              <w:keepNext w:val="0"/>
              <w:keepLines w:val="0"/>
              <w:widowControl/>
              <w:suppressLineNumbers w:val="0"/>
              <w:jc w:val="left"/>
              <w:textAlignment w:val="center"/>
              <w:rPr>
                <w:rFonts w:hint="eastAsia" w:ascii="宋体" w:cs="宋体"/>
                <w:szCs w:val="21"/>
              </w:rPr>
            </w:pPr>
            <w:r>
              <w:rPr>
                <w:rFonts w:hint="eastAsia" w:ascii="宋体" w:cs="宋体"/>
                <w:szCs w:val="21"/>
              </w:rPr>
              <w:t>7、供应商为采购人配置相关手机APP，并可实现以下功能：</w:t>
            </w:r>
          </w:p>
          <w:p>
            <w:pPr>
              <w:keepNext w:val="0"/>
              <w:keepLines w:val="0"/>
              <w:widowControl/>
              <w:suppressLineNumbers w:val="0"/>
              <w:jc w:val="left"/>
              <w:textAlignment w:val="center"/>
              <w:rPr>
                <w:rFonts w:hint="eastAsia" w:ascii="宋体" w:cs="宋体"/>
                <w:szCs w:val="21"/>
              </w:rPr>
            </w:pPr>
            <w:r>
              <w:rPr>
                <w:rFonts w:hint="eastAsia" w:ascii="宋体" w:cs="宋体"/>
                <w:szCs w:val="21"/>
              </w:rPr>
              <w:t>7.1采购人可通过手机 APP 趋动高敏荧光分析仪完成检测；</w:t>
            </w:r>
          </w:p>
          <w:p>
            <w:pPr>
              <w:keepNext w:val="0"/>
              <w:keepLines w:val="0"/>
              <w:widowControl/>
              <w:suppressLineNumbers w:val="0"/>
              <w:jc w:val="left"/>
              <w:textAlignment w:val="center"/>
              <w:rPr>
                <w:rFonts w:hint="eastAsia" w:ascii="宋体" w:cs="宋体"/>
                <w:szCs w:val="21"/>
              </w:rPr>
            </w:pPr>
            <w:r>
              <w:rPr>
                <w:rFonts w:hint="eastAsia" w:ascii="宋体" w:cs="宋体"/>
                <w:szCs w:val="21"/>
              </w:rPr>
              <w:t>7.2采购人可通过手机APP需将每条检测信息实时上传到互联网云平台，避免人工选择性或手工上传检测结果，防止数据做假确保真实可靠；</w:t>
            </w:r>
          </w:p>
          <w:p>
            <w:pPr>
              <w:keepNext w:val="0"/>
              <w:keepLines w:val="0"/>
              <w:widowControl/>
              <w:suppressLineNumbers w:val="0"/>
              <w:jc w:val="left"/>
              <w:textAlignment w:val="center"/>
              <w:rPr>
                <w:rFonts w:ascii="宋体" w:cs="宋体"/>
                <w:szCs w:val="21"/>
              </w:rPr>
            </w:pPr>
            <w:r>
              <w:rPr>
                <w:rFonts w:hint="eastAsia" w:ascii="宋体" w:cs="宋体"/>
                <w:szCs w:val="21"/>
              </w:rPr>
              <w:t>▲8、互联网云平台和手机APP可根据客户需求随时进行升级和改造。</w:t>
            </w:r>
          </w:p>
        </w:tc>
        <w:tc>
          <w:tcPr>
            <w:tcW w:w="1000" w:type="dxa"/>
            <w:vAlign w:val="center"/>
          </w:tcPr>
          <w:p>
            <w:pPr>
              <w:keepNext w:val="0"/>
              <w:keepLines w:val="0"/>
              <w:widowControl/>
              <w:suppressLineNumbers w:val="0"/>
              <w:jc w:val="right"/>
              <w:textAlignment w:val="center"/>
              <w:rPr>
                <w:rFonts w:ascii="宋体" w:cs="宋体"/>
                <w:szCs w:val="21"/>
              </w:rPr>
            </w:pPr>
            <w:r>
              <w:rPr>
                <w:rFonts w:hint="eastAsia" w:ascii="宋体" w:hAnsi="宋体" w:cs="宋体"/>
                <w:i w:val="0"/>
                <w:color w:val="000000"/>
                <w:kern w:val="0"/>
                <w:sz w:val="24"/>
                <w:szCs w:val="24"/>
                <w:u w:val="none"/>
                <w:lang w:val="en-US" w:eastAsia="zh-CN" w:bidi="ar"/>
              </w:rPr>
              <w:t>1</w:t>
            </w:r>
          </w:p>
        </w:tc>
        <w:tc>
          <w:tcPr>
            <w:tcW w:w="1000" w:type="dxa"/>
            <w:vAlign w:val="center"/>
          </w:tcPr>
          <w:p>
            <w:pPr>
              <w:keepNext w:val="0"/>
              <w:keepLines w:val="0"/>
              <w:widowControl/>
              <w:suppressLineNumbers w:val="0"/>
              <w:jc w:val="right"/>
              <w:textAlignment w:val="center"/>
              <w:rPr>
                <w:rFonts w:hint="eastAsia" w:ascii="宋体" w:cs="宋体"/>
                <w:szCs w:val="21"/>
              </w:rPr>
            </w:pPr>
            <w:r>
              <w:rPr>
                <w:rFonts w:hint="eastAsia" w:ascii="宋体" w:hAnsi="宋体" w:eastAsia="宋体" w:cs="宋体"/>
                <w:i w:val="0"/>
                <w:iCs w:val="0"/>
                <w:color w:val="000000"/>
                <w:kern w:val="0"/>
                <w:sz w:val="24"/>
                <w:szCs w:val="24"/>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hint="eastAsia" w:ascii="宋体" w:eastAsia="宋体" w:cs="宋体"/>
                <w:szCs w:val="21"/>
                <w:lang w:val="en-US" w:eastAsia="zh-CN"/>
              </w:rPr>
            </w:pPr>
            <w:r>
              <w:rPr>
                <w:rFonts w:hint="eastAsia" w:ascii="宋体" w:cs="宋体"/>
                <w:szCs w:val="21"/>
                <w:lang w:val="en-US" w:eastAsia="zh-CN"/>
              </w:rPr>
              <w:t>8</w:t>
            </w:r>
          </w:p>
        </w:tc>
        <w:tc>
          <w:tcPr>
            <w:tcW w:w="1375" w:type="dxa"/>
            <w:vAlign w:val="top"/>
          </w:tcPr>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禽流感病毒(H7 亚型)抗体定量检测试剂盒</w:t>
            </w:r>
          </w:p>
        </w:tc>
        <w:tc>
          <w:tcPr>
            <w:tcW w:w="467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*1.采用镧系纳米荧光微球标记，免疫层析法检测；利用双重组H7三聚体蛋白夹心法检测样本中的禽流感病毒H7亚型特异性总抗体；</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▲2、检测卡适用高敏荧光分析仪检测；</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*3、检测时间15分钟以内；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4、到货有效期：12个月以上；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*5、投标产品需配置可提供配套服务的互联网云平台和手机端APP；</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6、供应商为采购人配置相关互联网云平台，并可实现以下功能：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▲6.1采购人可通过互联网云平台获得标准曲线；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▲6.2采购人可通过互联网云平台收集每条检测卡检测信息的功能，检测信息需包含产品批号、检测项目、检测结果、地理位置信息、检测时间、检测是否有效等信息；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▲6.3互联网云平台需具备分级管理功能，适用于上级单位收集和分析检测数据，管理下级单位检测工作，具备工作任务下放，通知消息接收与发送等功能。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▲6.4互联网云平台需建立独立服务器，确保数据安全可靠。</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7、供应商为采购人配置相关手机APP，并可实现以下功能：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7.1采购人可通过手机 APP 趋动高敏荧光分析仪完成检测；</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7.2采购人可通过手机APP需将每条检测信息实时上传到互联网云平台，避免人工选择性或手工上传检测结果，防止数据做假确保真实可靠；</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▲8、互联网云平台和手机APP可根据客户需求随时进行升级和改造。</w:t>
            </w:r>
          </w:p>
        </w:tc>
        <w:tc>
          <w:tcPr>
            <w:tcW w:w="1000" w:type="dxa"/>
            <w:vAlign w:val="center"/>
          </w:tcPr>
          <w:p>
            <w:pPr>
              <w:keepNext w:val="0"/>
              <w:keepLines w:val="0"/>
              <w:widowControl/>
              <w:suppressLineNumbers w:val="0"/>
              <w:jc w:val="right"/>
              <w:textAlignment w:val="center"/>
              <w:rPr>
                <w:rFonts w:ascii="宋体" w:cs="宋体"/>
                <w:szCs w:val="21"/>
              </w:rPr>
            </w:pPr>
            <w:r>
              <w:rPr>
                <w:rFonts w:hint="eastAsia" w:ascii="宋体" w:hAnsi="宋体" w:cs="宋体"/>
                <w:i w:val="0"/>
                <w:color w:val="000000"/>
                <w:kern w:val="0"/>
                <w:sz w:val="24"/>
                <w:szCs w:val="24"/>
                <w:u w:val="none"/>
                <w:lang w:val="en-US" w:eastAsia="zh-CN" w:bidi="ar"/>
              </w:rPr>
              <w:t>1</w:t>
            </w:r>
          </w:p>
        </w:tc>
        <w:tc>
          <w:tcPr>
            <w:tcW w:w="1000" w:type="dxa"/>
            <w:vAlign w:val="center"/>
          </w:tcPr>
          <w:p>
            <w:pPr>
              <w:keepNext w:val="0"/>
              <w:keepLines w:val="0"/>
              <w:widowControl/>
              <w:suppressLineNumbers w:val="0"/>
              <w:jc w:val="right"/>
              <w:textAlignment w:val="center"/>
              <w:rPr>
                <w:rFonts w:hint="eastAsia" w:ascii="宋体" w:cs="宋体"/>
                <w:szCs w:val="21"/>
              </w:rPr>
            </w:pPr>
            <w:r>
              <w:rPr>
                <w:rFonts w:hint="eastAsia" w:ascii="宋体" w:hAnsi="宋体" w:eastAsia="宋体" w:cs="宋体"/>
                <w:i w:val="0"/>
                <w:iCs w:val="0"/>
                <w:color w:val="000000"/>
                <w:kern w:val="0"/>
                <w:sz w:val="24"/>
                <w:szCs w:val="24"/>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hint="default" w:ascii="宋体" w:eastAsia="宋体" w:cs="宋体"/>
                <w:szCs w:val="21"/>
                <w:lang w:val="en-US" w:eastAsia="zh-CN"/>
              </w:rPr>
            </w:pPr>
            <w:r>
              <w:rPr>
                <w:rFonts w:hint="eastAsia" w:ascii="宋体" w:cs="宋体"/>
                <w:szCs w:val="21"/>
                <w:lang w:val="en-US" w:eastAsia="zh-CN"/>
              </w:rPr>
              <w:t>9</w:t>
            </w:r>
          </w:p>
        </w:tc>
        <w:tc>
          <w:tcPr>
            <w:tcW w:w="1375" w:type="dxa"/>
            <w:vAlign w:val="top"/>
          </w:tcPr>
          <w:p>
            <w:pPr>
              <w:keepNext w:val="0"/>
              <w:keepLines w:val="0"/>
              <w:widowControl/>
              <w:suppressLineNumbers w:val="0"/>
              <w:jc w:val="both"/>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禽流感通用抗原高敏荧光检测试剂盒</w:t>
            </w:r>
          </w:p>
        </w:tc>
        <w:tc>
          <w:tcPr>
            <w:tcW w:w="467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*1.采用镧系纳米荧光微球标记，免疫层析法检测；双抗体夹心法捕获被测样本中的禽流感病毒抗原；</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▲2、检测卡适用高敏荧光分析仪检测；</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*3、检测时间15分钟以内；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4、到货有效期：12个月以上；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*5、投标产品需配置可提供配套服务的互联网云平台和手机端APP；</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6、供应商为采购人配置相关互联网云平台，并可实现以下功能：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▲6.1采购人可通过互联网云平台获得标准曲线；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▲6.2采购人可通过互联网云平台收集每条检测卡检测信息的功能，检测信息需包含产品批号、检测项目、检测结果、地理位置信息、检测时间、检测是否有效等信息；</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▲6.3互联网云平台需具备分级管理功能，适用于上级单位收集和分析检测数据，管理下级单位检测工作，具备工作任务下放，通知消息接收与发送等功能。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▲6.4互联网云平台需建立独立服务器，确保数据安全可靠。</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7、供应商为采购人配置相关手机APP，并可实现以下功能：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7.1采购人可通过手机 APP 趋动高敏荧光分析仪完成检测；</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7.2采购人可通过手机APP需将每条检测信息实时上传到互联网云平台，避免人工选择性或手工上传检测结果，防止数据做假确保真实可靠；</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▲8、互联网云平台和手机APP可根据客户需求随时进行升级和改造。</w:t>
            </w:r>
          </w:p>
        </w:tc>
        <w:tc>
          <w:tcPr>
            <w:tcW w:w="1000" w:type="dxa"/>
            <w:vAlign w:val="center"/>
          </w:tcPr>
          <w:p>
            <w:pPr>
              <w:keepNext w:val="0"/>
              <w:keepLines w:val="0"/>
              <w:widowControl/>
              <w:suppressLineNumbers w:val="0"/>
              <w:jc w:val="right"/>
              <w:textAlignment w:val="center"/>
              <w:rPr>
                <w:rFonts w:ascii="宋体" w:cs="宋体"/>
                <w:szCs w:val="21"/>
              </w:rPr>
            </w:pPr>
            <w:r>
              <w:rPr>
                <w:rFonts w:hint="eastAsia" w:ascii="宋体" w:hAnsi="宋体" w:cs="宋体"/>
                <w:i w:val="0"/>
                <w:color w:val="000000"/>
                <w:kern w:val="0"/>
                <w:sz w:val="24"/>
                <w:szCs w:val="24"/>
                <w:u w:val="none"/>
                <w:lang w:val="en-US" w:eastAsia="zh-CN" w:bidi="ar"/>
              </w:rPr>
              <w:t>1</w:t>
            </w:r>
          </w:p>
        </w:tc>
        <w:tc>
          <w:tcPr>
            <w:tcW w:w="1000" w:type="dxa"/>
            <w:vAlign w:val="center"/>
          </w:tcPr>
          <w:p>
            <w:pPr>
              <w:keepNext w:val="0"/>
              <w:keepLines w:val="0"/>
              <w:widowControl/>
              <w:suppressLineNumbers w:val="0"/>
              <w:jc w:val="right"/>
              <w:textAlignment w:val="center"/>
              <w:rPr>
                <w:rFonts w:hint="eastAsia" w:ascii="宋体" w:cs="宋体"/>
                <w:szCs w:val="21"/>
              </w:rPr>
            </w:pPr>
            <w:r>
              <w:rPr>
                <w:rFonts w:hint="eastAsia" w:ascii="宋体" w:hAnsi="宋体" w:eastAsia="宋体" w:cs="宋体"/>
                <w:i w:val="0"/>
                <w:iCs w:val="0"/>
                <w:color w:val="000000"/>
                <w:kern w:val="0"/>
                <w:sz w:val="24"/>
                <w:szCs w:val="24"/>
                <w:u w:val="none"/>
                <w:lang w:val="en-US" w:eastAsia="zh-CN" w:bidi="ar"/>
              </w:rPr>
              <w:t>1900</w:t>
            </w:r>
          </w:p>
        </w:tc>
      </w:tr>
    </w:tbl>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1" w:name="_Toc22595"/>
      <w:r>
        <w:rPr>
          <w:rFonts w:hint="eastAsia" w:ascii="黑体" w:eastAsia="黑体" w:cs="黑体"/>
          <w:sz w:val="24"/>
        </w:rPr>
        <w:t>第六章  投标文件格式</w:t>
      </w:r>
      <w:bookmarkEnd w:id="31"/>
    </w:p>
    <w:p>
      <w:pPr>
        <w:tabs>
          <w:tab w:val="center" w:pos="4832"/>
          <w:tab w:val="left" w:pos="7140"/>
        </w:tabs>
        <w:spacing w:line="360" w:lineRule="auto"/>
        <w:jc w:val="center"/>
        <w:outlineLvl w:val="1"/>
        <w:rPr>
          <w:rFonts w:ascii="宋体" w:cs="宋体"/>
          <w:b/>
          <w:sz w:val="24"/>
        </w:rPr>
      </w:pPr>
      <w:bookmarkStart w:id="32" w:name="_Toc240"/>
      <w:bookmarkStart w:id="33" w:name="_Toc31796"/>
      <w:r>
        <w:rPr>
          <w:rFonts w:hint="eastAsia" w:ascii="宋体" w:cs="宋体"/>
          <w:b/>
          <w:sz w:val="24"/>
        </w:rPr>
        <w:t>第一节 投标文件封面示例</w:t>
      </w:r>
      <w:bookmarkEnd w:id="32"/>
      <w:bookmarkEnd w:id="33"/>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2"/>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4"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5" w:name="_Toc6848"/>
      <w:r>
        <w:rPr>
          <w:rFonts w:hint="eastAsia" w:ascii="宋体" w:cs="宋体"/>
          <w:b/>
          <w:sz w:val="24"/>
        </w:rPr>
        <w:t>第二节 投标文件目录示例</w:t>
      </w:r>
      <w:bookmarkEnd w:id="34"/>
      <w:bookmarkEnd w:id="35"/>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lang w:val="en-US" w:eastAsia="zh-CN"/>
        </w:rPr>
        <w:t>6</w:t>
      </w:r>
      <w:r>
        <w:rPr>
          <w:rFonts w:hint="eastAsia" w:ascii="宋体"/>
          <w:b/>
          <w:bCs/>
          <w:kern w:val="0"/>
          <w:sz w:val="24"/>
        </w:rPr>
        <w:t>.1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1"/>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u w:val="single"/>
        </w:rPr>
        <w:t xml:space="preserve">                 </w:t>
      </w:r>
      <w:r>
        <w:rPr>
          <w:rFonts w:hint="eastAsia"/>
          <w:sz w:val="24"/>
        </w:rPr>
        <w:t>日。</w:t>
      </w:r>
    </w:p>
    <w:p>
      <w:pPr>
        <w:pStyle w:val="11"/>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lang w:val="en-US" w:eastAsia="zh-CN"/>
        </w:rPr>
        <w:t>6</w:t>
      </w:r>
      <w:r>
        <w:rPr>
          <w:rFonts w:hint="eastAsia" w:ascii="宋体"/>
          <w:b/>
          <w:bCs/>
          <w:kern w:val="0"/>
          <w:sz w:val="24"/>
        </w:rPr>
        <w:t>.2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项目名称（标包号）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单价之合</w:t>
            </w:r>
          </w:p>
        </w:tc>
        <w:tc>
          <w:tcPr>
            <w:tcW w:w="4562" w:type="dxa"/>
            <w:vAlign w:val="center"/>
          </w:tcPr>
          <w:p>
            <w:pPr>
              <w:pStyle w:val="9"/>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1、本次采购属于一次性采购分批供应。</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000000" w:themeColor="text1"/>
          <w:szCs w:val="21"/>
          <w14:textFill>
            <w14:solidFill>
              <w14:schemeClr w14:val="tx1"/>
            </w14:solidFill>
          </w14:textFill>
        </w:rPr>
        <w:t>该项目采购数量为</w:t>
      </w:r>
      <w:r>
        <w:rPr>
          <w:rFonts w:hint="eastAsia" w:ascii="宋体" w:cs="宋体"/>
          <w:b/>
          <w:bCs/>
          <w:color w:val="auto"/>
          <w:szCs w:val="21"/>
        </w:rPr>
        <w:t>：标包预算金额/该标包货物投标单价（采购数量取整数）。</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auto"/>
          <w:szCs w:val="21"/>
        </w:rPr>
        <w:t xml:space="preserve">除试剂盒单位规格为“盒”外其它单位规格为“支、个、管、瓶、头份”。   </w:t>
      </w:r>
    </w:p>
    <w:p>
      <w:pPr>
        <w:spacing w:line="360" w:lineRule="auto"/>
        <w:ind w:firstLine="632" w:firstLineChars="300"/>
        <w:rPr>
          <w:rFonts w:ascii="宋体" w:cs="宋体"/>
          <w:b/>
          <w:bCs/>
          <w:color w:val="auto"/>
          <w:szCs w:val="21"/>
        </w:rPr>
      </w:pPr>
      <w:r>
        <w:rPr>
          <w:rFonts w:hint="eastAsia" w:ascii="宋体" w:cs="宋体"/>
          <w:b/>
          <w:bCs/>
          <w:color w:val="auto"/>
          <w:szCs w:val="21"/>
        </w:rPr>
        <w:t>4、该项目将以货物单价之和作为经济标计算得分。</w:t>
      </w:r>
    </w:p>
    <w:p>
      <w:pPr>
        <w:spacing w:line="360" w:lineRule="auto"/>
        <w:ind w:firstLine="632" w:firstLineChars="300"/>
        <w:rPr>
          <w:rFonts w:ascii="宋体" w:cs="宋体"/>
          <w:b/>
          <w:bCs/>
          <w:color w:val="auto"/>
          <w:szCs w:val="21"/>
        </w:rPr>
      </w:pPr>
      <w:r>
        <w:rPr>
          <w:rFonts w:hint="eastAsia" w:ascii="宋体" w:cs="宋体"/>
          <w:b/>
          <w:bCs/>
          <w:color w:val="auto"/>
          <w:szCs w:val="21"/>
        </w:rPr>
        <w:t>5、所投货物数量≥采购数量。</w:t>
      </w:r>
    </w:p>
    <w:p>
      <w:pPr>
        <w:keepNext/>
        <w:widowControl/>
        <w:ind w:firstLine="632" w:firstLineChars="300"/>
        <w:jc w:val="left"/>
        <w:rPr>
          <w:rFonts w:hint="eastAsia"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6、单价之和为所投标包涵盖的所有产品的单价之和，以单价之和作为投标报价计算依据。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rPr>
        <w:t>4、所有优惠均体现在投标报价中，额外标明或承诺提供其他费用或物品均不予认可。</w:t>
      </w:r>
    </w:p>
    <w:p>
      <w:pPr>
        <w:pStyle w:val="6"/>
      </w:pPr>
    </w:p>
    <w:p>
      <w:pPr>
        <w:pStyle w:val="6"/>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6"/>
      </w:pPr>
    </w:p>
    <w:p>
      <w:pPr>
        <w:spacing w:line="360" w:lineRule="auto"/>
        <w:jc w:val="center"/>
        <w:rPr>
          <w:rFonts w:ascii="宋体" w:cs="宋体"/>
          <w:sz w:val="24"/>
          <w:u w:val="single"/>
        </w:rPr>
      </w:pPr>
      <w:r>
        <w:rPr>
          <w:rFonts w:hint="eastAsia"/>
          <w:b/>
          <w:bCs/>
          <w:sz w:val="32"/>
          <w:szCs w:val="32"/>
        </w:rPr>
        <w:t>报价明细表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单价之和</w:t>
            </w:r>
          </w:p>
        </w:tc>
        <w:tc>
          <w:tcPr>
            <w:tcW w:w="3900" w:type="dxa"/>
            <w:gridSpan w:val="5"/>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lang w:val="en-US" w:eastAsia="zh-CN"/>
        </w:rPr>
        <w:t>6</w:t>
      </w:r>
      <w:r>
        <w:rPr>
          <w:rFonts w:hint="eastAsia" w:ascii="宋体"/>
          <w:b/>
          <w:bCs/>
          <w:kern w:val="0"/>
          <w:sz w:val="24"/>
        </w:rPr>
        <w:t>.3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lang w:val="en-US" w:eastAsia="zh-CN"/>
        </w:rPr>
        <w:t>6</w:t>
      </w:r>
      <w:r>
        <w:rPr>
          <w:rFonts w:hint="eastAsia" w:ascii="宋体"/>
          <w:b/>
          <w:bCs/>
          <w:kern w:val="0"/>
          <w:sz w:val="24"/>
        </w:rPr>
        <w:t>.4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6" w:name="_Toc11547"/>
      <w:bookmarkStart w:id="37" w:name="_Toc27766"/>
      <w:r>
        <w:rPr>
          <w:rFonts w:hint="eastAsia" w:ascii="宋体"/>
          <w:b/>
          <w:bCs/>
          <w:kern w:val="0"/>
          <w:sz w:val="24"/>
          <w:lang w:val="en-US" w:eastAsia="zh-CN"/>
        </w:rPr>
        <w:t>6</w:t>
      </w:r>
      <w:r>
        <w:rPr>
          <w:rFonts w:hint="eastAsia" w:ascii="宋体"/>
          <w:b/>
          <w:bCs/>
          <w:kern w:val="0"/>
          <w:sz w:val="24"/>
        </w:rPr>
        <w:t>.5 投标人概况</w:t>
      </w:r>
    </w:p>
    <w:p>
      <w:pPr>
        <w:jc w:val="center"/>
        <w:rPr>
          <w:b/>
          <w:bCs/>
          <w:sz w:val="32"/>
          <w:szCs w:val="32"/>
        </w:rPr>
      </w:pPr>
      <w:bookmarkStart w:id="38" w:name="_Toc505078023"/>
      <w:r>
        <w:rPr>
          <w:rFonts w:hint="eastAsia"/>
          <w:b/>
          <w:bCs/>
          <w:sz w:val="32"/>
          <w:szCs w:val="32"/>
        </w:rPr>
        <w:t>投标人概况</w:t>
      </w:r>
      <w:bookmarkEnd w:id="38"/>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lang w:val="en-US" w:eastAsia="zh-CN"/>
        </w:rPr>
        <w:t>6</w:t>
      </w:r>
      <w:r>
        <w:rPr>
          <w:rFonts w:hint="eastAsia" w:ascii="宋体"/>
          <w:b/>
          <w:bCs/>
          <w:kern w:val="0"/>
          <w:sz w:val="24"/>
        </w:rPr>
        <w:t>.6 技术条款偏离表</w:t>
      </w:r>
    </w:p>
    <w:p>
      <w:pPr>
        <w:spacing w:line="360" w:lineRule="auto"/>
        <w:jc w:val="center"/>
        <w:rPr>
          <w:rFonts w:ascii="宋体"/>
          <w:b/>
          <w:bCs/>
          <w:sz w:val="32"/>
          <w:szCs w:val="32"/>
        </w:rPr>
      </w:pPr>
      <w:bookmarkStart w:id="39" w:name="_Toc16454"/>
      <w:bookmarkStart w:id="40" w:name="_Toc568"/>
    </w:p>
    <w:p>
      <w:pPr>
        <w:spacing w:line="360" w:lineRule="auto"/>
        <w:jc w:val="center"/>
        <w:rPr>
          <w:rFonts w:ascii="宋体"/>
          <w:b/>
          <w:bCs/>
          <w:sz w:val="32"/>
          <w:szCs w:val="32"/>
        </w:rPr>
      </w:pPr>
      <w:r>
        <w:rPr>
          <w:rFonts w:hint="eastAsia" w:ascii="宋体"/>
          <w:b/>
          <w:bCs/>
          <w:sz w:val="32"/>
          <w:szCs w:val="32"/>
        </w:rPr>
        <w:t>技术条款偏离表</w:t>
      </w:r>
    </w:p>
    <w:tbl>
      <w:tblPr>
        <w:tblStyle w:val="22"/>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9"/>
    <w:bookmarkEnd w:id="40"/>
    <w:tbl>
      <w:tblPr>
        <w:tblStyle w:val="22"/>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41" w:name="_Toc518923113"/>
      <w:r>
        <w:rPr>
          <w:rFonts w:hint="eastAsia" w:ascii="宋体" w:cs="宋体"/>
          <w:b/>
          <w:bCs/>
          <w:sz w:val="32"/>
          <w:szCs w:val="32"/>
        </w:rPr>
        <w:t>在经营活动中没有重大违法记录的承诺书</w:t>
      </w:r>
      <w:bookmarkEnd w:id="41"/>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lang w:val="en-US" w:eastAsia="zh-CN"/>
        </w:rPr>
        <w:t>6</w:t>
      </w:r>
      <w:r>
        <w:rPr>
          <w:rFonts w:hint="eastAsia" w:ascii="宋体" w:cs="宋体"/>
          <w:b/>
          <w:bCs/>
          <w:kern w:val="0"/>
          <w:sz w:val="24"/>
        </w:rPr>
        <w:t>.9中小微企业声明函</w:t>
      </w:r>
    </w:p>
    <w:p>
      <w:pPr>
        <w:spacing w:line="360" w:lineRule="auto"/>
        <w:jc w:val="center"/>
        <w:rPr>
          <w:rFonts w:ascii="宋体" w:cs="宋体"/>
          <w:sz w:val="32"/>
          <w:szCs w:val="32"/>
        </w:rPr>
      </w:pPr>
      <w:bookmarkStart w:id="42" w:name="_Toc37868813"/>
      <w:r>
        <w:rPr>
          <w:rFonts w:hint="eastAsia" w:ascii="宋体" w:cs="宋体"/>
          <w:b/>
          <w:bCs/>
          <w:sz w:val="32"/>
          <w:szCs w:val="32"/>
        </w:rPr>
        <w:t>（一）中小微企业声明函</w:t>
      </w:r>
    </w:p>
    <w:p>
      <w:pPr>
        <w:spacing w:line="360" w:lineRule="auto"/>
        <w:ind w:firstLine="480" w:firstLineChars="200"/>
        <w:rPr>
          <w:rFonts w:ascii="宋体" w:cs="宋体"/>
          <w:sz w:val="24"/>
        </w:rPr>
      </w:pPr>
      <w:r>
        <w:rPr>
          <w:rFonts w:hint="eastAsia" w:ascii="宋体" w:cs="宋体"/>
          <w:sz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宋体" w:cs="宋体"/>
          <w:sz w:val="24"/>
        </w:rPr>
      </w:pPr>
      <w:r>
        <w:rPr>
          <w:rFonts w:hint="eastAsia" w:ascii="宋体" w:cs="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cs="宋体"/>
          <w:sz w:val="24"/>
        </w:rPr>
      </w:pPr>
      <w:r>
        <w:rPr>
          <w:rFonts w:hint="eastAsia" w:ascii="宋体" w:cs="宋体"/>
          <w:sz w:val="24"/>
        </w:rPr>
        <w:t>（2）本企业提供其他______（请填写：中型、小型、微型）企业制造的货物。本条所称货物不包括使用大型企业注册商标的货物。</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960" w:firstLineChars="400"/>
        <w:rPr>
          <w:rFonts w:ascii="宋体" w:cs="宋体"/>
          <w:sz w:val="24"/>
        </w:rPr>
      </w:pPr>
      <w:r>
        <w:rPr>
          <w:rFonts w:hint="eastAsia" w:ascii="宋体" w:cs="宋体"/>
          <w:sz w:val="24"/>
        </w:rPr>
        <w:t>投标人（盖章）：</w:t>
      </w:r>
    </w:p>
    <w:p>
      <w:pPr>
        <w:spacing w:line="360" w:lineRule="auto"/>
        <w:ind w:firstLine="960" w:firstLineChars="400"/>
        <w:rPr>
          <w:rFonts w:ascii="宋体" w:cs="宋体"/>
          <w:sz w:val="24"/>
        </w:rPr>
      </w:pPr>
      <w:r>
        <w:rPr>
          <w:rFonts w:hint="eastAsia" w:ascii="宋体" w:cs="宋体"/>
          <w:sz w:val="24"/>
        </w:rPr>
        <w:t>法定代表人或委托代理人（签字）：</w:t>
      </w:r>
    </w:p>
    <w:p>
      <w:pPr>
        <w:spacing w:line="360" w:lineRule="auto"/>
        <w:ind w:firstLine="960" w:firstLineChars="400"/>
        <w:rPr>
          <w:rFonts w:ascii="宋体" w:cs="宋体"/>
          <w:sz w:val="24"/>
        </w:rPr>
      </w:pPr>
      <w:r>
        <w:rPr>
          <w:rFonts w:hint="eastAsia" w:ascii="宋体" w:cs="宋体"/>
          <w:sz w:val="24"/>
        </w:rPr>
        <w:t>日期：       年   月   日</w:t>
      </w:r>
    </w:p>
    <w:p>
      <w:pPr>
        <w:jc w:val="center"/>
        <w:rPr>
          <w:rFonts w:ascii="宋体"/>
          <w:b/>
          <w:kern w:val="0"/>
          <w:sz w:val="32"/>
          <w:szCs w:val="32"/>
        </w:rPr>
      </w:pPr>
      <w:bookmarkStart w:id="43" w:name="_Toc37868812"/>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43"/>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9"/>
        <w:numPr>
          <w:ilvl w:val="0"/>
          <w:numId w:val="0"/>
        </w:numPr>
        <w:rPr>
          <w:rFonts w:ascii="宋体" w:hAnsi="宋体" w:cs="宋体"/>
          <w:kern w:val="0"/>
          <w:sz w:val="24"/>
          <w:u w:val="single"/>
        </w:rPr>
      </w:pPr>
    </w:p>
    <w:p>
      <w:pPr>
        <w:pStyle w:val="9"/>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42"/>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rPr>
          <w:sz w:val="32"/>
          <w:szCs w:val="32"/>
        </w:rPr>
      </w:pPr>
    </w:p>
    <w:p>
      <w:pPr>
        <w:jc w:val="center"/>
        <w:rPr>
          <w:b/>
          <w:bCs/>
          <w:sz w:val="32"/>
          <w:szCs w:val="32"/>
        </w:rPr>
      </w:pPr>
      <w:bookmarkStart w:id="44"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4"/>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2"/>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序号</w:t>
            </w:r>
          </w:p>
        </w:tc>
        <w:tc>
          <w:tcPr>
            <w:tcW w:w="2885" w:type="dxa"/>
            <w:tcBorders>
              <w:left w:val="single" w:color="auto" w:sz="4" w:space="0"/>
            </w:tcBorders>
            <w:noWrap/>
            <w:vAlign w:val="center"/>
          </w:tcPr>
          <w:p>
            <w:pPr>
              <w:jc w:val="center"/>
              <w:rPr>
                <w:rFonts w:ascii="宋体"/>
                <w:sz w:val="24"/>
              </w:rPr>
            </w:pPr>
            <w:r>
              <w:rPr>
                <w:rFonts w:hint="eastAsia" w:ascii="宋体"/>
                <w:sz w:val="24"/>
              </w:rPr>
              <w:t>项目名称</w:t>
            </w:r>
          </w:p>
        </w:tc>
        <w:tc>
          <w:tcPr>
            <w:tcW w:w="1442" w:type="dxa"/>
            <w:tcBorders>
              <w:right w:val="single" w:color="auto" w:sz="4" w:space="0"/>
            </w:tcBorders>
            <w:noWrap/>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noWrap/>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noWrap/>
            <w:vAlign w:val="center"/>
          </w:tcPr>
          <w:p>
            <w:pPr>
              <w:jc w:val="center"/>
              <w:rPr>
                <w:rFonts w:ascii="宋体"/>
                <w:sz w:val="24"/>
              </w:rPr>
            </w:pPr>
            <w:r>
              <w:rPr>
                <w:rFonts w:hint="eastAsia" w:ascii="宋体"/>
                <w:sz w:val="24"/>
              </w:rPr>
              <w:t>签约日期</w:t>
            </w:r>
          </w:p>
        </w:tc>
        <w:tc>
          <w:tcPr>
            <w:tcW w:w="1181" w:type="dxa"/>
            <w:tcBorders>
              <w:left w:val="single" w:color="auto" w:sz="4"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1</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2</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3</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noWrap/>
            <w:vAlign w:val="center"/>
          </w:tcPr>
          <w:p>
            <w:pPr>
              <w:jc w:val="center"/>
              <w:rPr>
                <w:rFonts w:ascii="宋体"/>
                <w:sz w:val="24"/>
              </w:rPr>
            </w:pPr>
            <w:r>
              <w:rPr>
                <w:rFonts w:hint="eastAsia" w:ascii="宋体" w:cs="宋体"/>
                <w:sz w:val="24"/>
              </w:rPr>
              <w:t>……</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lang w:val="en-US" w:eastAsia="zh-CN"/>
        </w:rPr>
        <w:t>6</w:t>
      </w:r>
      <w:r>
        <w:rPr>
          <w:rFonts w:hint="eastAsia" w:ascii="宋体"/>
          <w:b/>
          <w:bCs/>
          <w:kern w:val="0"/>
          <w:sz w:val="24"/>
        </w:rPr>
        <w:t>.11.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1"/>
        <w:jc w:val="center"/>
        <w:rPr>
          <w:sz w:val="32"/>
          <w:szCs w:val="32"/>
        </w:rPr>
      </w:pPr>
      <w:r>
        <w:rPr>
          <w:rFonts w:hint="eastAsia"/>
          <w:b/>
          <w:bCs/>
          <w:sz w:val="32"/>
          <w:szCs w:val="32"/>
        </w:rPr>
        <w:t>（三）服务方案</w:t>
      </w:r>
    </w:p>
    <w:p>
      <w:pPr>
        <w:pStyle w:val="11"/>
        <w:ind w:firstLine="480" w:firstLineChars="200"/>
        <w:rPr>
          <w:rFonts w:ascii="宋体" w:cs="宋体"/>
          <w:sz w:val="24"/>
        </w:rPr>
      </w:pPr>
      <w:r>
        <w:rPr>
          <w:rFonts w:hint="eastAsia" w:cs="宋体"/>
          <w:bCs/>
          <w:sz w:val="24"/>
        </w:rPr>
        <w:t>投标人根据此次项目实际需求，制定具体的供货服务方案。</w:t>
      </w:r>
      <w:bookmarkEnd w:id="36"/>
      <w:bookmarkEnd w:id="37"/>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E6B83"/>
    <w:multiLevelType w:val="singleLevel"/>
    <w:tmpl w:val="D46E6B83"/>
    <w:lvl w:ilvl="0" w:tentative="0">
      <w:start w:val="1"/>
      <w:numFmt w:val="decimal"/>
      <w:suff w:val="space"/>
      <w:lvlText w:val="%1."/>
      <w:lvlJc w:val="left"/>
    </w:lvl>
  </w:abstractNum>
  <w:abstractNum w:abstractNumId="1">
    <w:nsid w:val="FDE47DAE"/>
    <w:multiLevelType w:val="singleLevel"/>
    <w:tmpl w:val="FDE47DAE"/>
    <w:lvl w:ilvl="0" w:tentative="0">
      <w:start w:val="3"/>
      <w:numFmt w:val="decimal"/>
      <w:suff w:val="nothing"/>
      <w:lvlText w:val="%1、"/>
      <w:lvlJc w:val="left"/>
      <w:pPr>
        <w:tabs>
          <w:tab w:val="left" w:pos="0"/>
        </w:tabs>
        <w:ind w:left="210" w:hanging="210"/>
      </w:pPr>
    </w:lvl>
  </w:abstractNum>
  <w:abstractNum w:abstractNumId="2">
    <w:nsid w:val="FFCD3149"/>
    <w:multiLevelType w:val="singleLevel"/>
    <w:tmpl w:val="FFCD3149"/>
    <w:lvl w:ilvl="0" w:tentative="0">
      <w:start w:val="1"/>
      <w:numFmt w:val="chineseCounting"/>
      <w:suff w:val="space"/>
      <w:lvlText w:val="第%1章"/>
      <w:lvlJc w:val="left"/>
      <w:rPr>
        <w:rFonts w:hint="eastAsia"/>
      </w:rPr>
    </w:lvl>
  </w:abstractNum>
  <w:abstractNum w:abstractNumId="3">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4">
    <w:nsid w:val="1A95274C"/>
    <w:multiLevelType w:val="singleLevel"/>
    <w:tmpl w:val="1A95274C"/>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DE2F82"/>
    <w:rsid w:val="00000731"/>
    <w:rsid w:val="0021069E"/>
    <w:rsid w:val="002A7AE5"/>
    <w:rsid w:val="003F6414"/>
    <w:rsid w:val="00486E5F"/>
    <w:rsid w:val="004A2A8D"/>
    <w:rsid w:val="00655F44"/>
    <w:rsid w:val="00815655"/>
    <w:rsid w:val="00B66EA5"/>
    <w:rsid w:val="00CF0B79"/>
    <w:rsid w:val="00DE2F82"/>
    <w:rsid w:val="00EF5F59"/>
    <w:rsid w:val="00FB6155"/>
    <w:rsid w:val="02DF67BE"/>
    <w:rsid w:val="031F19C3"/>
    <w:rsid w:val="049D3D2D"/>
    <w:rsid w:val="04F512AE"/>
    <w:rsid w:val="05BA341C"/>
    <w:rsid w:val="06B71DFB"/>
    <w:rsid w:val="06F3033E"/>
    <w:rsid w:val="07067990"/>
    <w:rsid w:val="074601E7"/>
    <w:rsid w:val="07D50C06"/>
    <w:rsid w:val="08021565"/>
    <w:rsid w:val="08750D53"/>
    <w:rsid w:val="08AD757C"/>
    <w:rsid w:val="092E6436"/>
    <w:rsid w:val="094B0283"/>
    <w:rsid w:val="0A3129F8"/>
    <w:rsid w:val="0AC11D92"/>
    <w:rsid w:val="0B7A0B14"/>
    <w:rsid w:val="0D5A6EB9"/>
    <w:rsid w:val="0DAC5A79"/>
    <w:rsid w:val="0DD179C0"/>
    <w:rsid w:val="0DFD622D"/>
    <w:rsid w:val="0E175646"/>
    <w:rsid w:val="11801926"/>
    <w:rsid w:val="156B438C"/>
    <w:rsid w:val="1B455BFF"/>
    <w:rsid w:val="1D292B87"/>
    <w:rsid w:val="1E2C7EFA"/>
    <w:rsid w:val="1F12786B"/>
    <w:rsid w:val="1F611F4A"/>
    <w:rsid w:val="207D7AFE"/>
    <w:rsid w:val="21290BD0"/>
    <w:rsid w:val="214514E7"/>
    <w:rsid w:val="238F5BA2"/>
    <w:rsid w:val="241200BF"/>
    <w:rsid w:val="27431628"/>
    <w:rsid w:val="281F6CAF"/>
    <w:rsid w:val="2B022BD1"/>
    <w:rsid w:val="2B277BDE"/>
    <w:rsid w:val="2B942A1A"/>
    <w:rsid w:val="2D855B88"/>
    <w:rsid w:val="2D932EEE"/>
    <w:rsid w:val="2DF81343"/>
    <w:rsid w:val="2F25400F"/>
    <w:rsid w:val="2F8A2A38"/>
    <w:rsid w:val="2FEC45E8"/>
    <w:rsid w:val="30E93D43"/>
    <w:rsid w:val="33117B45"/>
    <w:rsid w:val="34FC6219"/>
    <w:rsid w:val="351D7170"/>
    <w:rsid w:val="359B267E"/>
    <w:rsid w:val="360135ED"/>
    <w:rsid w:val="362032B6"/>
    <w:rsid w:val="362102F7"/>
    <w:rsid w:val="39066531"/>
    <w:rsid w:val="395B0F54"/>
    <w:rsid w:val="39BC30C3"/>
    <w:rsid w:val="3B253993"/>
    <w:rsid w:val="3B8938BF"/>
    <w:rsid w:val="3BD24ADA"/>
    <w:rsid w:val="3CA77022"/>
    <w:rsid w:val="3CDC1760"/>
    <w:rsid w:val="3CF662B0"/>
    <w:rsid w:val="3D561FE1"/>
    <w:rsid w:val="3DBA2447"/>
    <w:rsid w:val="3DD8263D"/>
    <w:rsid w:val="3F2E6562"/>
    <w:rsid w:val="408A2F1C"/>
    <w:rsid w:val="40B70EA5"/>
    <w:rsid w:val="4108388B"/>
    <w:rsid w:val="41AD4A7B"/>
    <w:rsid w:val="41C175F4"/>
    <w:rsid w:val="41EF494F"/>
    <w:rsid w:val="42137C50"/>
    <w:rsid w:val="437216E8"/>
    <w:rsid w:val="43F473D5"/>
    <w:rsid w:val="46E05BF1"/>
    <w:rsid w:val="4828123E"/>
    <w:rsid w:val="48FE07EC"/>
    <w:rsid w:val="4A9C4D9C"/>
    <w:rsid w:val="4B181301"/>
    <w:rsid w:val="4D6E1755"/>
    <w:rsid w:val="4E1C7D87"/>
    <w:rsid w:val="4FF72AA1"/>
    <w:rsid w:val="509640F4"/>
    <w:rsid w:val="50A20476"/>
    <w:rsid w:val="52011FC7"/>
    <w:rsid w:val="53120065"/>
    <w:rsid w:val="531A4092"/>
    <w:rsid w:val="53B05B15"/>
    <w:rsid w:val="547E50C0"/>
    <w:rsid w:val="597D28F2"/>
    <w:rsid w:val="5E17239A"/>
    <w:rsid w:val="5FBB6718"/>
    <w:rsid w:val="610C2E0A"/>
    <w:rsid w:val="628D54C3"/>
    <w:rsid w:val="62D3622F"/>
    <w:rsid w:val="652F1636"/>
    <w:rsid w:val="657F5770"/>
    <w:rsid w:val="65CD6016"/>
    <w:rsid w:val="67587648"/>
    <w:rsid w:val="68354AD7"/>
    <w:rsid w:val="6A1567FD"/>
    <w:rsid w:val="6AE40710"/>
    <w:rsid w:val="6BFA09A6"/>
    <w:rsid w:val="707510DD"/>
    <w:rsid w:val="70B630C2"/>
    <w:rsid w:val="71C130F2"/>
    <w:rsid w:val="720521C9"/>
    <w:rsid w:val="72751179"/>
    <w:rsid w:val="75566BDA"/>
    <w:rsid w:val="783E0EE3"/>
    <w:rsid w:val="799F74F3"/>
    <w:rsid w:val="7A3B30B3"/>
    <w:rsid w:val="7C6C2FC9"/>
    <w:rsid w:val="7DDA74B8"/>
    <w:rsid w:val="7E546BC4"/>
    <w:rsid w:val="7F111831"/>
    <w:rsid w:val="7F2F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paragraph" w:styleId="2">
    <w:name w:val="heading 2"/>
    <w:basedOn w:val="1"/>
    <w:next w:val="3"/>
    <w:qFormat/>
    <w:uiPriority w:val="0"/>
    <w:pPr>
      <w:spacing w:beforeAutospacing="1" w:afterAutospacing="1"/>
      <w:jc w:val="left"/>
      <w:outlineLvl w:val="1"/>
    </w:pPr>
    <w:rPr>
      <w:rFonts w:ascii="宋体" w:cs="Times New Roman"/>
      <w:b/>
      <w:kern w:val="0"/>
      <w:sz w:val="36"/>
      <w:szCs w:val="36"/>
    </w:rPr>
  </w:style>
  <w:style w:type="paragraph" w:styleId="6">
    <w:name w:val="heading 3"/>
    <w:basedOn w:val="1"/>
    <w:next w:val="1"/>
    <w:qFormat/>
    <w:uiPriority w:val="0"/>
    <w:pPr>
      <w:keepNext/>
      <w:keepLines/>
      <w:spacing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b/>
      <w:bCs/>
    </w:rPr>
  </w:style>
  <w:style w:type="paragraph" w:styleId="4">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0"/>
    <w:pPr>
      <w:ind w:left="400" w:leftChars="400"/>
    </w:pPr>
  </w:style>
  <w:style w:type="paragraph" w:styleId="11">
    <w:name w:val="Plain Text"/>
    <w:basedOn w:val="1"/>
    <w:next w:val="12"/>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555555"/>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1">
    <w:name w:val="font21"/>
    <w:basedOn w:val="23"/>
    <w:qFormat/>
    <w:uiPriority w:val="0"/>
    <w:rPr>
      <w:rFonts w:ascii="宋体" w:eastAsia="宋体" w:cs="宋体"/>
      <w:color w:val="FF0000"/>
      <w:sz w:val="18"/>
      <w:szCs w:val="18"/>
      <w:u w:val="none"/>
    </w:rPr>
  </w:style>
  <w:style w:type="character" w:customStyle="1" w:styleId="32">
    <w:name w:val="font101"/>
    <w:basedOn w:val="23"/>
    <w:qFormat/>
    <w:uiPriority w:val="0"/>
    <w:rPr>
      <w:rFonts w:ascii="Calibri" w:hAnsi="Calibri" w:cs="Calibri"/>
      <w:color w:val="FF0000"/>
      <w:sz w:val="18"/>
      <w:szCs w:val="18"/>
      <w:u w:val="none"/>
    </w:rPr>
  </w:style>
  <w:style w:type="character" w:customStyle="1" w:styleId="33">
    <w:name w:val="font121"/>
    <w:basedOn w:val="23"/>
    <w:qFormat/>
    <w:uiPriority w:val="0"/>
    <w:rPr>
      <w:rFonts w:ascii="宋体" w:eastAsia="宋体" w:cs="宋体"/>
      <w:color w:val="FF0000"/>
      <w:sz w:val="22"/>
      <w:szCs w:val="22"/>
      <w:u w:val="none"/>
    </w:rPr>
  </w:style>
  <w:style w:type="character" w:customStyle="1" w:styleId="34">
    <w:name w:val="font11"/>
    <w:basedOn w:val="23"/>
    <w:qFormat/>
    <w:uiPriority w:val="0"/>
    <w:rPr>
      <w:rFonts w:ascii="Times New Roman" w:hAnsi="Times New Roman" w:cs="Times New Roman"/>
      <w:color w:val="FF0000"/>
      <w:sz w:val="22"/>
      <w:szCs w:val="22"/>
      <w:u w:val="none"/>
    </w:rPr>
  </w:style>
  <w:style w:type="character" w:customStyle="1" w:styleId="35">
    <w:name w:val="font41"/>
    <w:basedOn w:val="23"/>
    <w:qFormat/>
    <w:uiPriority w:val="0"/>
    <w:rPr>
      <w:rFonts w:ascii="宋体" w:eastAsia="宋体" w:cs="宋体"/>
      <w:color w:val="000000"/>
      <w:sz w:val="22"/>
      <w:szCs w:val="22"/>
      <w:u w:val="none"/>
    </w:rPr>
  </w:style>
  <w:style w:type="character" w:customStyle="1" w:styleId="36">
    <w:name w:val="font91"/>
    <w:basedOn w:val="23"/>
    <w:qFormat/>
    <w:uiPriority w:val="0"/>
    <w:rPr>
      <w:rFonts w:ascii="Times New Roman" w:hAnsi="Times New Roman" w:cs="Times New Roman"/>
      <w:color w:val="000000"/>
      <w:sz w:val="22"/>
      <w:szCs w:val="22"/>
      <w:u w:val="none"/>
    </w:rPr>
  </w:style>
  <w:style w:type="character" w:customStyle="1" w:styleId="37">
    <w:name w:val="font51"/>
    <w:basedOn w:val="23"/>
    <w:qFormat/>
    <w:uiPriority w:val="0"/>
    <w:rPr>
      <w:rFonts w:ascii="宋体" w:eastAsia="宋体" w:cs="宋体"/>
      <w:color w:val="000000"/>
      <w:sz w:val="18"/>
      <w:szCs w:val="18"/>
      <w:u w:val="none"/>
    </w:rPr>
  </w:style>
  <w:style w:type="character" w:customStyle="1" w:styleId="38">
    <w:name w:val="font01"/>
    <w:basedOn w:val="23"/>
    <w:qFormat/>
    <w:uiPriority w:val="0"/>
    <w:rPr>
      <w:rFonts w:ascii="宋体" w:eastAsia="宋体" w:cs="宋体"/>
      <w:b/>
      <w:color w:val="FF0000"/>
      <w:sz w:val="22"/>
      <w:szCs w:val="22"/>
      <w:u w:val="none"/>
    </w:rPr>
  </w:style>
  <w:style w:type="character" w:customStyle="1" w:styleId="39">
    <w:name w:val="font71"/>
    <w:basedOn w:val="23"/>
    <w:qFormat/>
    <w:uiPriority w:val="0"/>
    <w:rPr>
      <w:rFonts w:ascii="宋体" w:eastAsia="宋体" w:cs="宋体"/>
      <w:color w:val="000000"/>
      <w:sz w:val="18"/>
      <w:szCs w:val="18"/>
      <w:u w:val="none"/>
    </w:rPr>
  </w:style>
  <w:style w:type="character" w:customStyle="1" w:styleId="40">
    <w:name w:val="font3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39469</Words>
  <Characters>41302</Characters>
  <Lines>275</Lines>
  <Paragraphs>77</Paragraphs>
  <TotalTime>11</TotalTime>
  <ScaleCrop>false</ScaleCrop>
  <LinksUpToDate>false</LinksUpToDate>
  <CharactersWithSpaces>42865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Administrator</cp:lastModifiedBy>
  <cp:lastPrinted>2022-06-08T04:58:00Z</cp:lastPrinted>
  <dcterms:modified xsi:type="dcterms:W3CDTF">2022-08-04T05:42:44Z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CEF42D0B57D84740B4164F281EC3CCF7</vt:lpwstr>
  </property>
</Properties>
</file>