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shd w:val="clear"/>
        <w:ind w:left="0" w:leftChars="0" w:firstLine="0" w:firstLineChars="0"/>
        <w:jc w:val="center"/>
        <w:rPr>
          <w:rFonts w:hint="eastAsia" w:ascii="微软雅黑" w:hAnsi="微软雅黑" w:eastAsia="微软雅黑" w:cs="微软雅黑"/>
          <w:b/>
          <w:i w:val="0"/>
          <w:caps w:val="0"/>
          <w:color w:val="auto"/>
          <w:spacing w:val="0"/>
          <w:w w:val="100"/>
          <w:sz w:val="44"/>
          <w:szCs w:val="44"/>
          <w:highlight w:val="none"/>
          <w:lang w:eastAsia="zh-CN"/>
        </w:rPr>
      </w:pPr>
    </w:p>
    <w:p>
      <w:pPr>
        <w:pStyle w:val="3"/>
        <w:jc w:val="center"/>
        <w:rPr>
          <w:rFonts w:hint="eastAsia"/>
          <w:b/>
          <w:bCs/>
          <w:color w:val="auto"/>
          <w:sz w:val="48"/>
          <w:szCs w:val="36"/>
          <w:highlight w:val="none"/>
          <w:lang w:val="en-US" w:eastAsia="zh-CN"/>
        </w:rPr>
      </w:pPr>
      <w:r>
        <w:rPr>
          <w:rFonts w:hint="eastAsia"/>
          <w:b/>
          <w:bCs/>
          <w:color w:val="auto"/>
          <w:sz w:val="48"/>
          <w:szCs w:val="36"/>
          <w:highlight w:val="none"/>
          <w:lang w:val="en-US" w:eastAsia="zh-CN"/>
        </w:rPr>
        <w:t>泽普县乒乓球、围棋等文化侵润系列活动项目</w:t>
      </w:r>
    </w:p>
    <w:p>
      <w:pPr>
        <w:rPr>
          <w:rFonts w:hint="eastAsia"/>
          <w:color w:val="auto"/>
          <w:highlight w:val="none"/>
          <w:lang w:val="en-US" w:eastAsia="zh-CN"/>
        </w:rPr>
      </w:pPr>
    </w:p>
    <w:p>
      <w:pPr>
        <w:pStyle w:val="35"/>
        <w:rPr>
          <w:rFonts w:hint="eastAsia"/>
          <w:color w:val="auto"/>
          <w:highlight w:val="none"/>
          <w:lang w:val="en-US" w:eastAsia="zh-CN"/>
        </w:rPr>
      </w:pPr>
    </w:p>
    <w:p>
      <w:pPr>
        <w:rPr>
          <w:rFonts w:hint="eastAsia" w:ascii="宋体" w:hAnsi="宋体" w:eastAsia="宋体" w:cs="宋体"/>
          <w:color w:val="auto"/>
          <w:highlight w:val="none"/>
        </w:rPr>
      </w:pPr>
    </w:p>
    <w:p>
      <w:pPr>
        <w:spacing w:line="240" w:lineRule="atLeast"/>
        <w:jc w:val="center"/>
        <w:rPr>
          <w:rFonts w:hint="eastAsia" w:ascii="宋体" w:hAnsi="宋体" w:eastAsia="宋体" w:cs="宋体"/>
          <w:b/>
          <w:color w:val="auto"/>
          <w:sz w:val="44"/>
          <w:szCs w:val="44"/>
          <w:highlight w:val="none"/>
        </w:rPr>
      </w:pPr>
      <w:r>
        <w:rPr>
          <w:rFonts w:hint="eastAsia" w:ascii="宋体" w:hAnsi="宋体" w:cs="宋体"/>
          <w:b/>
          <w:color w:val="auto"/>
          <w:sz w:val="44"/>
          <w:szCs w:val="44"/>
          <w:highlight w:val="none"/>
          <w:lang w:val="en-US" w:eastAsia="zh-CN"/>
        </w:rPr>
        <w:t>磋 商</w:t>
      </w:r>
      <w:r>
        <w:rPr>
          <w:rFonts w:hint="eastAsia" w:ascii="宋体" w:hAnsi="宋体" w:eastAsia="宋体" w:cs="宋体"/>
          <w:b/>
          <w:color w:val="auto"/>
          <w:sz w:val="44"/>
          <w:szCs w:val="44"/>
          <w:highlight w:val="none"/>
        </w:rPr>
        <w:t xml:space="preserve"> 文 件</w:t>
      </w:r>
    </w:p>
    <w:p>
      <w:pPr>
        <w:spacing w:line="240" w:lineRule="atLeast"/>
        <w:jc w:val="center"/>
        <w:rPr>
          <w:rFonts w:hint="eastAsia" w:ascii="宋体" w:hAnsi="宋体" w:eastAsia="宋体" w:cs="宋体"/>
          <w:b/>
          <w:color w:val="auto"/>
          <w:sz w:val="32"/>
          <w:highlight w:val="none"/>
          <w:lang w:val="en-US" w:eastAsia="zh-CN"/>
        </w:rPr>
      </w:pPr>
      <w:r>
        <w:rPr>
          <w:rFonts w:hint="eastAsia" w:ascii="宋体" w:hAnsi="宋体" w:eastAsia="宋体" w:cs="宋体"/>
          <w:b/>
          <w:color w:val="auto"/>
          <w:sz w:val="32"/>
          <w:highlight w:val="none"/>
        </w:rPr>
        <w:t>项目编号：</w:t>
      </w:r>
      <w:r>
        <w:rPr>
          <w:rFonts w:hint="eastAsia" w:ascii="宋体" w:hAnsi="宋体" w:cs="宋体"/>
          <w:b/>
          <w:color w:val="auto"/>
          <w:sz w:val="32"/>
          <w:highlight w:val="none"/>
          <w:lang w:val="en-US" w:eastAsia="zh-CN"/>
        </w:rPr>
        <w:t>ZPDL(2022)038</w:t>
      </w:r>
    </w:p>
    <w:p>
      <w:pPr>
        <w:spacing w:line="240" w:lineRule="atLeast"/>
        <w:jc w:val="center"/>
        <w:rPr>
          <w:rFonts w:hint="eastAsia" w:ascii="宋体" w:hAnsi="宋体" w:eastAsia="宋体" w:cs="宋体"/>
          <w:b/>
          <w:color w:val="auto"/>
          <w:sz w:val="32"/>
          <w:highlight w:val="none"/>
        </w:rPr>
      </w:pPr>
    </w:p>
    <w:p>
      <w:pPr>
        <w:pStyle w:val="3"/>
        <w:rPr>
          <w:rFonts w:hint="eastAsia" w:eastAsia="宋体"/>
          <w:color w:val="auto"/>
          <w:highlight w:val="none"/>
          <w:lang w:eastAsia="zh-CN"/>
        </w:rPr>
      </w:pPr>
    </w:p>
    <w:p>
      <w:pPr>
        <w:spacing w:line="240" w:lineRule="atLeast"/>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p>
    <w:p>
      <w:pPr>
        <w:spacing w:line="240" w:lineRule="atLeast"/>
        <w:ind w:firstLine="1120" w:firstLineChars="4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采</w:t>
      </w:r>
      <w:r>
        <w:rPr>
          <w:rFonts w:hint="eastAsia" w:ascii="宋体" w:hAnsi="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lang w:eastAsia="zh-CN"/>
        </w:rPr>
        <w:t>购</w:t>
      </w:r>
      <w:r>
        <w:rPr>
          <w:rFonts w:hint="eastAsia" w:ascii="宋体" w:hAnsi="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lang w:eastAsia="zh-CN"/>
        </w:rPr>
        <w:t>人</w:t>
      </w: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cs="宋体"/>
          <w:b/>
          <w:color w:val="auto"/>
          <w:sz w:val="28"/>
          <w:szCs w:val="28"/>
          <w:highlight w:val="none"/>
          <w:u w:val="single"/>
          <w:lang w:eastAsia="zh-CN"/>
        </w:rPr>
        <w:t>泽普县教育局</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rPr>
        <w:t xml:space="preserve">   </w:t>
      </w:r>
    </w:p>
    <w:p>
      <w:pPr>
        <w:ind w:firstLine="1120" w:firstLineChars="400"/>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 xml:space="preserve">联   系   人：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田酉疆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 xml:space="preserve">    </w:t>
      </w:r>
    </w:p>
    <w:p>
      <w:pPr>
        <w:spacing w:line="360" w:lineRule="auto"/>
        <w:ind w:firstLine="1120" w:firstLineChars="400"/>
        <w:rPr>
          <w:rFonts w:hint="default" w:ascii="宋体" w:hAnsi="宋体" w:cs="宋体"/>
          <w:b/>
          <w:color w:val="auto"/>
          <w:sz w:val="28"/>
          <w:szCs w:val="28"/>
          <w:highlight w:val="none"/>
          <w:u w:val="single"/>
          <w:lang w:val="en-US" w:eastAsia="zh-CN"/>
        </w:rPr>
      </w:pPr>
      <w:r>
        <w:rPr>
          <w:rFonts w:hint="eastAsia" w:ascii="宋体" w:hAnsi="宋体" w:eastAsia="宋体" w:cs="宋体"/>
          <w:b/>
          <w:color w:val="auto"/>
          <w:sz w:val="28"/>
          <w:szCs w:val="28"/>
          <w:highlight w:val="none"/>
        </w:rPr>
        <w:t xml:space="preserve">联 系  电 话：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18299893218    </w:t>
      </w:r>
    </w:p>
    <w:p>
      <w:pPr>
        <w:spacing w:line="240" w:lineRule="atLeast"/>
        <w:jc w:val="both"/>
        <w:rPr>
          <w:rFonts w:hint="eastAsia" w:ascii="宋体" w:hAnsi="宋体" w:eastAsia="宋体" w:cs="宋体"/>
          <w:b/>
          <w:color w:val="auto"/>
          <w:sz w:val="28"/>
          <w:szCs w:val="28"/>
          <w:highlight w:val="none"/>
        </w:rPr>
      </w:pPr>
    </w:p>
    <w:p>
      <w:pPr>
        <w:pStyle w:val="4"/>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rPr>
          <w:rFonts w:hint="eastAsia"/>
          <w:color w:val="auto"/>
          <w:highlight w:val="none"/>
        </w:rPr>
      </w:pPr>
    </w:p>
    <w:p>
      <w:pPr>
        <w:spacing w:line="240" w:lineRule="atLeast"/>
        <w:ind w:firstLine="1120" w:firstLineChars="4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代理机构名称： </w:t>
      </w:r>
      <w:r>
        <w:rPr>
          <w:rFonts w:hint="eastAsia" w:ascii="宋体" w:hAnsi="宋体" w:cs="宋体"/>
          <w:b/>
          <w:color w:val="auto"/>
          <w:sz w:val="28"/>
          <w:szCs w:val="28"/>
          <w:highlight w:val="none"/>
          <w:u w:val="single"/>
          <w:lang w:eastAsia="zh-CN"/>
        </w:rPr>
        <w:t>中经国际招标集团有限公司</w:t>
      </w:r>
      <w:r>
        <w:rPr>
          <w:rFonts w:hint="eastAsia" w:ascii="宋体" w:hAnsi="宋体" w:eastAsia="宋体" w:cs="宋体"/>
          <w:b/>
          <w:color w:val="auto"/>
          <w:sz w:val="28"/>
          <w:szCs w:val="28"/>
          <w:highlight w:val="none"/>
        </w:rPr>
        <w:t xml:space="preserve">  </w:t>
      </w:r>
    </w:p>
    <w:p>
      <w:pPr>
        <w:spacing w:line="240" w:lineRule="atLeast"/>
        <w:ind w:firstLine="1120" w:firstLineChars="4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联   系   人：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王丽娟</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 xml:space="preserve">       </w:t>
      </w:r>
    </w:p>
    <w:p>
      <w:pPr>
        <w:spacing w:line="240" w:lineRule="atLeast"/>
        <w:ind w:firstLine="1120" w:firstLineChars="4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联 系 电 话 ：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cs="宋体"/>
          <w:b/>
          <w:color w:val="auto"/>
          <w:sz w:val="28"/>
          <w:szCs w:val="28"/>
          <w:highlight w:val="none"/>
          <w:u w:val="single"/>
          <w:lang w:eastAsia="zh-CN"/>
        </w:rPr>
        <w:t>15099650569</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 xml:space="preserve">   </w:t>
      </w:r>
    </w:p>
    <w:p>
      <w:pPr>
        <w:pStyle w:val="3"/>
        <w:rPr>
          <w:rFonts w:hint="eastAsia" w:ascii="宋体" w:hAnsi="宋体" w:eastAsia="宋体" w:cs="宋体"/>
          <w:color w:val="auto"/>
          <w:highlight w:val="none"/>
        </w:rPr>
      </w:pPr>
    </w:p>
    <w:p>
      <w:pPr>
        <w:rPr>
          <w:rFonts w:hint="eastAsia"/>
          <w:color w:val="auto"/>
          <w:highlight w:val="none"/>
        </w:rPr>
      </w:pPr>
    </w:p>
    <w:p>
      <w:pPr>
        <w:spacing w:line="240" w:lineRule="atLeast"/>
        <w:ind w:firstLine="3080" w:firstLineChars="1100"/>
        <w:rPr>
          <w:rFonts w:hint="eastAsia" w:ascii="宋体" w:hAnsi="宋体" w:eastAsia="宋体" w:cs="宋体"/>
          <w:b/>
          <w:color w:val="auto"/>
          <w:sz w:val="28"/>
          <w:szCs w:val="28"/>
          <w:highlight w:val="none"/>
        </w:rPr>
        <w:sectPr>
          <w:headerReference r:id="rId3" w:type="default"/>
          <w:pgSz w:w="11906" w:h="16838"/>
          <w:pgMar w:top="1440" w:right="1797" w:bottom="1440" w:left="1797" w:header="851" w:footer="992" w:gutter="0"/>
          <w:pgNumType w:fmt="decimal" w:start="1"/>
          <w:cols w:space="720" w:num="1"/>
          <w:docGrid w:type="linesAndChars" w:linePitch="312" w:charSpace="0"/>
        </w:sectPr>
      </w:pPr>
      <w:r>
        <w:rPr>
          <w:rFonts w:hint="eastAsia" w:ascii="宋体" w:hAnsi="宋体" w:eastAsia="宋体" w:cs="宋体"/>
          <w:b/>
          <w:color w:val="auto"/>
          <w:sz w:val="28"/>
          <w:szCs w:val="28"/>
          <w:highlight w:val="none"/>
        </w:rPr>
        <w:t>日期：202</w:t>
      </w:r>
      <w:r>
        <w:rPr>
          <w:rFonts w:hint="eastAsia" w:ascii="宋体" w:hAnsi="宋体" w:cs="宋体"/>
          <w:b/>
          <w:color w:val="auto"/>
          <w:sz w:val="28"/>
          <w:szCs w:val="28"/>
          <w:highlight w:val="none"/>
          <w:lang w:val="en-US" w:eastAsia="zh-CN"/>
        </w:rPr>
        <w:t>2</w:t>
      </w:r>
      <w:r>
        <w:rPr>
          <w:rFonts w:hint="eastAsia" w:ascii="宋体" w:hAnsi="宋体" w:eastAsia="宋体" w:cs="宋体"/>
          <w:b/>
          <w:color w:val="auto"/>
          <w:sz w:val="28"/>
          <w:szCs w:val="28"/>
          <w:highlight w:val="none"/>
        </w:rPr>
        <w:t xml:space="preserve"> 年</w:t>
      </w:r>
      <w:r>
        <w:rPr>
          <w:rFonts w:hint="eastAsia" w:ascii="宋体" w:hAnsi="宋体" w:cs="宋体"/>
          <w:b/>
          <w:color w:val="auto"/>
          <w:sz w:val="28"/>
          <w:szCs w:val="28"/>
          <w:highlight w:val="none"/>
          <w:lang w:val="en-US" w:eastAsia="zh-CN"/>
        </w:rPr>
        <w:t>8</w:t>
      </w:r>
      <w:r>
        <w:rPr>
          <w:rFonts w:hint="eastAsia" w:ascii="宋体" w:hAnsi="宋体" w:eastAsia="宋体" w:cs="宋体"/>
          <w:b/>
          <w:color w:val="auto"/>
          <w:sz w:val="28"/>
          <w:szCs w:val="28"/>
          <w:highlight w:val="none"/>
        </w:rPr>
        <w:t>月</w:t>
      </w:r>
    </w:p>
    <w:p>
      <w:pPr>
        <w:shd w:val="clear"/>
        <w:snapToGrid w:val="0"/>
        <w:spacing w:before="0" w:beforeAutospacing="0" w:after="0" w:afterAutospacing="0" w:line="400" w:lineRule="exact"/>
        <w:ind w:left="1080" w:leftChars="257" w:hanging="540"/>
        <w:jc w:val="center"/>
        <w:textAlignment w:val="baseline"/>
        <w:rPr>
          <w:rFonts w:hint="eastAsia" w:ascii="微软雅黑" w:hAnsi="微软雅黑" w:eastAsia="微软雅黑" w:cs="微软雅黑"/>
          <w:b/>
          <w:i w:val="0"/>
          <w:caps w:val="0"/>
          <w:color w:val="auto"/>
          <w:spacing w:val="0"/>
          <w:w w:val="100"/>
          <w:sz w:val="40"/>
          <w:szCs w:val="40"/>
          <w:highlight w:val="none"/>
        </w:rPr>
      </w:pPr>
      <w:r>
        <w:rPr>
          <w:rFonts w:hint="eastAsia" w:ascii="微软雅黑" w:hAnsi="微软雅黑" w:eastAsia="微软雅黑" w:cs="微软雅黑"/>
          <w:b/>
          <w:i w:val="0"/>
          <w:caps w:val="0"/>
          <w:color w:val="auto"/>
          <w:spacing w:val="0"/>
          <w:w w:val="100"/>
          <w:sz w:val="40"/>
          <w:szCs w:val="40"/>
          <w:highlight w:val="none"/>
        </w:rPr>
        <w:t>目  录</w:t>
      </w:r>
    </w:p>
    <w:p>
      <w:pPr>
        <w:pStyle w:val="23"/>
        <w:tabs>
          <w:tab w:val="right" w:leader="dot" w:pos="8312"/>
        </w:tabs>
      </w:pPr>
      <w:r>
        <w:rPr>
          <w:rFonts w:hint="eastAsia" w:ascii="微软雅黑" w:hAnsi="微软雅黑" w:eastAsia="微软雅黑" w:cs="微软雅黑"/>
          <w:b w:val="0"/>
          <w:i w:val="0"/>
          <w:caps w:val="0"/>
          <w:color w:val="auto"/>
          <w:spacing w:val="0"/>
          <w:w w:val="100"/>
          <w:kern w:val="0"/>
          <w:sz w:val="24"/>
          <w:highlight w:val="none"/>
        </w:rPr>
        <w:fldChar w:fldCharType="begin"/>
      </w:r>
      <w:r>
        <w:rPr>
          <w:rFonts w:hint="eastAsia" w:ascii="微软雅黑" w:hAnsi="微软雅黑" w:eastAsia="微软雅黑" w:cs="微软雅黑"/>
          <w:b w:val="0"/>
          <w:i w:val="0"/>
          <w:caps w:val="0"/>
          <w:color w:val="auto"/>
          <w:spacing w:val="0"/>
          <w:w w:val="100"/>
          <w:kern w:val="0"/>
          <w:sz w:val="24"/>
          <w:highlight w:val="none"/>
        </w:rPr>
        <w:instrText xml:space="preserve"> TOC \o "1-3" \h \z \u </w:instrText>
      </w:r>
      <w:r>
        <w:rPr>
          <w:rFonts w:hint="eastAsia" w:ascii="微软雅黑" w:hAnsi="微软雅黑" w:eastAsia="微软雅黑" w:cs="微软雅黑"/>
          <w:b w:val="0"/>
          <w:i w:val="0"/>
          <w:caps w:val="0"/>
          <w:color w:val="auto"/>
          <w:spacing w:val="0"/>
          <w:w w:val="100"/>
          <w:kern w:val="0"/>
          <w:sz w:val="24"/>
          <w:highlight w:val="none"/>
        </w:rPr>
        <w:fldChar w:fldCharType="separate"/>
      </w:r>
      <w:r>
        <w:rPr>
          <w:rFonts w:hint="eastAsia" w:ascii="微软雅黑" w:hAnsi="微软雅黑" w:eastAsia="微软雅黑" w:cs="微软雅黑"/>
          <w:i w:val="0"/>
          <w:caps w:val="0"/>
          <w:color w:val="auto"/>
          <w:spacing w:val="0"/>
          <w:w w:val="100"/>
          <w:kern w:val="0"/>
          <w:highlight w:val="none"/>
        </w:rPr>
        <w:fldChar w:fldCharType="begin"/>
      </w:r>
      <w:r>
        <w:rPr>
          <w:rFonts w:hint="eastAsia" w:ascii="微软雅黑" w:hAnsi="微软雅黑" w:eastAsia="微软雅黑" w:cs="微软雅黑"/>
          <w:i w:val="0"/>
          <w:caps w:val="0"/>
          <w:spacing w:val="0"/>
          <w:w w:val="100"/>
          <w:kern w:val="0"/>
          <w:highlight w:val="none"/>
        </w:rPr>
        <w:instrText xml:space="preserve"> HYPERLINK \l _Toc16487 </w:instrText>
      </w:r>
      <w:r>
        <w:rPr>
          <w:rFonts w:hint="eastAsia" w:ascii="微软雅黑" w:hAnsi="微软雅黑" w:eastAsia="微软雅黑" w:cs="微软雅黑"/>
          <w:i w:val="0"/>
          <w:caps w:val="0"/>
          <w:spacing w:val="0"/>
          <w:w w:val="100"/>
          <w:kern w:val="0"/>
          <w:highlight w:val="none"/>
        </w:rPr>
        <w:fldChar w:fldCharType="separate"/>
      </w:r>
      <w:r>
        <w:rPr>
          <w:rFonts w:hint="eastAsia" w:ascii="微软雅黑" w:hAnsi="微软雅黑" w:eastAsia="微软雅黑" w:cs="微软雅黑"/>
          <w:i w:val="0"/>
          <w:caps w:val="0"/>
          <w:spacing w:val="0"/>
          <w:w w:val="100"/>
          <w:kern w:val="0"/>
          <w:szCs w:val="24"/>
          <w:highlight w:val="none"/>
          <w:lang w:val="en-US" w:eastAsia="zh-CN"/>
        </w:rPr>
        <w:t xml:space="preserve">第1章  </w:t>
      </w:r>
      <w:r>
        <w:rPr>
          <w:rFonts w:hint="eastAsia" w:ascii="微软雅黑" w:hAnsi="微软雅黑" w:eastAsia="微软雅黑" w:cs="微软雅黑"/>
          <w:i w:val="0"/>
          <w:caps w:val="0"/>
          <w:spacing w:val="0"/>
          <w:w w:val="100"/>
          <w:szCs w:val="32"/>
          <w:highlight w:val="none"/>
        </w:rPr>
        <w:t>供应商须知</w:t>
      </w:r>
      <w:r>
        <w:tab/>
      </w:r>
      <w:r>
        <w:fldChar w:fldCharType="begin"/>
      </w:r>
      <w:r>
        <w:instrText xml:space="preserve"> PAGEREF _Toc16487 \h </w:instrText>
      </w:r>
      <w:r>
        <w:fldChar w:fldCharType="separate"/>
      </w:r>
      <w:r>
        <w:t>3</w:t>
      </w:r>
      <w:r>
        <w:fldChar w:fldCharType="end"/>
      </w:r>
      <w:r>
        <w:rPr>
          <w:rFonts w:hint="eastAsia" w:ascii="微软雅黑" w:hAnsi="微软雅黑" w:eastAsia="微软雅黑" w:cs="微软雅黑"/>
          <w:i w:val="0"/>
          <w:caps w:val="0"/>
          <w:color w:val="auto"/>
          <w:spacing w:val="0"/>
          <w:w w:val="100"/>
          <w:kern w:val="0"/>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_Toc4369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一   总 则</w:t>
      </w:r>
      <w:r>
        <w:tab/>
      </w:r>
      <w:r>
        <w:fldChar w:fldCharType="begin"/>
      </w:r>
      <w:r>
        <w:instrText xml:space="preserve"> PAGEREF _Toc4369 \h </w:instrText>
      </w:r>
      <w:r>
        <w:fldChar w:fldCharType="separate"/>
      </w:r>
      <w:r>
        <w:t>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_Toc6726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二   磋商文件</w:t>
      </w:r>
      <w:r>
        <w:tab/>
      </w:r>
      <w:r>
        <w:fldChar w:fldCharType="begin"/>
      </w:r>
      <w:r>
        <w:instrText xml:space="preserve"> PAGEREF _Toc6726 \h </w:instrText>
      </w:r>
      <w:r>
        <w:fldChar w:fldCharType="separate"/>
      </w:r>
      <w:r>
        <w:t>4</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_Toc19769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三   响应文件的编制</w:t>
      </w:r>
      <w:r>
        <w:tab/>
      </w:r>
      <w:r>
        <w:fldChar w:fldCharType="begin"/>
      </w:r>
      <w:r>
        <w:instrText xml:space="preserve"> PAGEREF _Toc19769 \h </w:instrText>
      </w:r>
      <w:r>
        <w:fldChar w:fldCharType="separate"/>
      </w:r>
      <w:r>
        <w:t>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_Toc19943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四   响应文件的递交</w:t>
      </w:r>
      <w:r>
        <w:tab/>
      </w:r>
      <w:r>
        <w:fldChar w:fldCharType="begin"/>
      </w:r>
      <w:r>
        <w:instrText xml:space="preserve"> PAGEREF _Toc19943 \h </w:instrText>
      </w:r>
      <w:r>
        <w:fldChar w:fldCharType="separate"/>
      </w:r>
      <w:r>
        <w:t>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_Toc7255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 xml:space="preserve">五   </w:t>
      </w:r>
      <w:r>
        <w:rPr>
          <w:rFonts w:hint="eastAsia" w:ascii="微软雅黑" w:hAnsi="微软雅黑" w:eastAsia="微软雅黑" w:cs="微软雅黑"/>
          <w:i w:val="0"/>
          <w:caps w:val="0"/>
          <w:spacing w:val="0"/>
          <w:w w:val="100"/>
          <w:highlight w:val="none"/>
          <w:lang w:val="en-US" w:eastAsia="zh-CN"/>
        </w:rPr>
        <w:t>磋商</w:t>
      </w:r>
      <w:r>
        <w:rPr>
          <w:rFonts w:hint="eastAsia" w:ascii="微软雅黑" w:hAnsi="微软雅黑" w:eastAsia="微软雅黑" w:cs="微软雅黑"/>
          <w:i w:val="0"/>
          <w:caps w:val="0"/>
          <w:spacing w:val="0"/>
          <w:w w:val="100"/>
          <w:highlight w:val="none"/>
        </w:rPr>
        <w:t>及</w:t>
      </w:r>
      <w:r>
        <w:rPr>
          <w:rFonts w:hint="eastAsia" w:ascii="微软雅黑" w:hAnsi="微软雅黑" w:eastAsia="微软雅黑" w:cs="微软雅黑"/>
          <w:i w:val="0"/>
          <w:caps w:val="0"/>
          <w:spacing w:val="0"/>
          <w:w w:val="100"/>
          <w:highlight w:val="none"/>
          <w:lang w:val="en-US" w:eastAsia="zh-CN"/>
        </w:rPr>
        <w:t>评审</w:t>
      </w:r>
      <w:r>
        <w:tab/>
      </w:r>
      <w:r>
        <w:fldChar w:fldCharType="begin"/>
      </w:r>
      <w:r>
        <w:instrText xml:space="preserve"> PAGEREF _Toc7255 \h </w:instrText>
      </w:r>
      <w:r>
        <w:fldChar w:fldCharType="separate"/>
      </w:r>
      <w:r>
        <w:t>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_Toc1616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六   确定成交</w:t>
      </w:r>
      <w:r>
        <w:tab/>
      </w:r>
      <w:r>
        <w:fldChar w:fldCharType="begin"/>
      </w:r>
      <w:r>
        <w:instrText xml:space="preserve"> PAGEREF _Toc1616 \h </w:instrText>
      </w:r>
      <w:r>
        <w:fldChar w:fldCharType="separate"/>
      </w:r>
      <w:r>
        <w:t>14</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_Toc11539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第2章 响应文件格式</w:t>
      </w:r>
      <w:r>
        <w:tab/>
      </w:r>
      <w:r>
        <w:fldChar w:fldCharType="begin"/>
      </w:r>
      <w:r>
        <w:instrText xml:space="preserve"> PAGEREF _Toc11539 \h </w:instrText>
      </w:r>
      <w:r>
        <w:fldChar w:fldCharType="separate"/>
      </w:r>
      <w:r>
        <w:t>21</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_Toc14175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第一部分 磋商开启一览表及资格证明文件</w:t>
      </w:r>
      <w:r>
        <w:tab/>
      </w:r>
      <w:r>
        <w:fldChar w:fldCharType="begin"/>
      </w:r>
      <w:r>
        <w:instrText xml:space="preserve"> PAGEREF _Toc14175 \h </w:instrText>
      </w:r>
      <w:r>
        <w:fldChar w:fldCharType="separate"/>
      </w:r>
      <w:r>
        <w:t>21</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_Toc2363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1</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磋商报价一览表</w:t>
      </w:r>
      <w:r>
        <w:tab/>
      </w:r>
      <w:r>
        <w:fldChar w:fldCharType="begin"/>
      </w:r>
      <w:r>
        <w:instrText xml:space="preserve"> PAGEREF _Toc2363 \h </w:instrText>
      </w:r>
      <w:r>
        <w:fldChar w:fldCharType="separate"/>
      </w:r>
      <w:r>
        <w:t>22</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_Toc2211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highlight w:val="none"/>
        </w:rPr>
        <w:t>2</w:t>
      </w:r>
      <w:r>
        <w:rPr>
          <w:rFonts w:hint="eastAsia" w:ascii="微软雅黑" w:hAnsi="微软雅黑" w:eastAsia="微软雅黑" w:cs="微软雅黑"/>
          <w:i w:val="0"/>
          <w:caps w:val="0"/>
          <w:spacing w:val="0"/>
          <w:w w:val="100"/>
          <w:kern w:val="0"/>
          <w:highlight w:val="none"/>
          <w:lang w:eastAsia="zh-CN"/>
        </w:rPr>
        <w:t>、提供具有有效的独立法人营业执照；</w:t>
      </w:r>
      <w:r>
        <w:tab/>
      </w:r>
      <w:r>
        <w:fldChar w:fldCharType="begin"/>
      </w:r>
      <w:r>
        <w:instrText xml:space="preserve"> PAGEREF _Toc2211 \h </w:instrText>
      </w:r>
      <w:r>
        <w:fldChar w:fldCharType="separate"/>
      </w:r>
      <w:r>
        <w:t>22</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_Toc24448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3</w:t>
      </w:r>
      <w:r>
        <w:rPr>
          <w:rFonts w:hint="eastAsia" w:ascii="微软雅黑" w:hAnsi="微软雅黑" w:eastAsia="微软雅黑" w:cs="微软雅黑"/>
          <w:i w:val="0"/>
          <w:caps w:val="0"/>
          <w:spacing w:val="0"/>
          <w:w w:val="100"/>
          <w:highlight w:val="none"/>
          <w:lang w:eastAsia="zh-CN"/>
        </w:rPr>
        <w:t>、</w:t>
      </w:r>
      <w:r>
        <w:rPr>
          <w:rFonts w:hint="eastAsia" w:ascii="微软雅黑" w:hAnsi="微软雅黑" w:eastAsia="微软雅黑" w:cs="微软雅黑"/>
          <w:i w:val="0"/>
          <w:caps w:val="0"/>
          <w:spacing w:val="0"/>
          <w:w w:val="100"/>
          <w:highlight w:val="none"/>
        </w:rPr>
        <w:t>提供法人代表资格证明及授权书、被授权人身份证；(法人投标需提供法人身份证)</w:t>
      </w:r>
      <w:r>
        <w:tab/>
      </w:r>
      <w:r>
        <w:fldChar w:fldCharType="begin"/>
      </w:r>
      <w:r>
        <w:instrText xml:space="preserve"> PAGEREF _Toc24448 \h </w:instrText>
      </w:r>
      <w:r>
        <w:fldChar w:fldCharType="separate"/>
      </w:r>
      <w:r>
        <w:t>23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_Toc8649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highlight w:val="none"/>
        </w:rPr>
        <w:t>5</w:t>
      </w:r>
      <w:r>
        <w:rPr>
          <w:rFonts w:hint="eastAsia" w:ascii="微软雅黑" w:hAnsi="微软雅黑" w:eastAsia="微软雅黑" w:cs="微软雅黑"/>
          <w:i w:val="0"/>
          <w:caps w:val="0"/>
          <w:spacing w:val="0"/>
          <w:w w:val="100"/>
          <w:kern w:val="0"/>
          <w:highlight w:val="none"/>
          <w:lang w:eastAsia="zh-CN"/>
        </w:rPr>
        <w:t>、</w:t>
      </w:r>
      <w:r>
        <w:rPr>
          <w:rFonts w:hint="eastAsia" w:ascii="微软雅黑" w:hAnsi="微软雅黑" w:eastAsia="微软雅黑" w:cs="微软雅黑"/>
          <w:i w:val="0"/>
          <w:caps w:val="0"/>
          <w:spacing w:val="0"/>
          <w:w w:val="100"/>
          <w:kern w:val="0"/>
          <w:highlight w:val="none"/>
          <w:lang w:val="en-US" w:eastAsia="zh-CN"/>
        </w:rPr>
        <w:t>提供近两年任意一年的财务审计报告，新成立的公司提供近三个月内任意一个月的银行资信证明；</w:t>
      </w:r>
      <w:r>
        <w:tab/>
      </w:r>
      <w:r>
        <w:fldChar w:fldCharType="begin"/>
      </w:r>
      <w:r>
        <w:instrText xml:space="preserve"> PAGEREF _Toc8649 \h </w:instrText>
      </w:r>
      <w:r>
        <w:fldChar w:fldCharType="separate"/>
      </w:r>
      <w:r>
        <w:t>25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_Toc14976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szCs w:val="24"/>
          <w:highlight w:val="none"/>
        </w:rPr>
        <w:t>6</w:t>
      </w:r>
      <w:r>
        <w:rPr>
          <w:rFonts w:hint="eastAsia" w:ascii="微软雅黑" w:hAnsi="微软雅黑" w:eastAsia="微软雅黑" w:cs="微软雅黑"/>
          <w:bCs/>
          <w:i w:val="0"/>
          <w:caps w:val="0"/>
          <w:spacing w:val="0"/>
          <w:w w:val="100"/>
          <w:szCs w:val="24"/>
          <w:highlight w:val="none"/>
          <w:lang w:eastAsia="zh-CN"/>
        </w:rPr>
        <w:t>、</w:t>
      </w:r>
      <w:r>
        <w:rPr>
          <w:rFonts w:hint="eastAsia" w:ascii="微软雅黑" w:hAnsi="微软雅黑" w:eastAsia="微软雅黑" w:cs="微软雅黑"/>
          <w:bCs/>
          <w:i w:val="0"/>
          <w:caps w:val="0"/>
          <w:spacing w:val="0"/>
          <w:w w:val="100"/>
          <w:szCs w:val="24"/>
          <w:highlight w:val="none"/>
          <w:lang w:val="en-US" w:eastAsia="zh-CN"/>
        </w:rPr>
        <w:t>提供依法缴纳近6个月任意一个月社会保险的凭据；</w:t>
      </w:r>
      <w:r>
        <w:tab/>
      </w:r>
      <w:r>
        <w:fldChar w:fldCharType="begin"/>
      </w:r>
      <w:r>
        <w:instrText xml:space="preserve"> PAGEREF _Toc14976 \h </w:instrText>
      </w:r>
      <w:r>
        <w:fldChar w:fldCharType="separate"/>
      </w:r>
      <w:r>
        <w:t>25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_Toc29974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2"/>
          <w:szCs w:val="24"/>
          <w:highlight w:val="none"/>
          <w:lang w:val="en-US" w:eastAsia="zh-CN" w:bidi="ar-SA"/>
        </w:rPr>
        <w:t>7、提供税务部门出具的近6个月任意一个月的完税证明；</w:t>
      </w:r>
      <w:r>
        <w:tab/>
      </w:r>
      <w:r>
        <w:fldChar w:fldCharType="begin"/>
      </w:r>
      <w:r>
        <w:instrText xml:space="preserve"> PAGEREF _Toc29974 \h </w:instrText>
      </w:r>
      <w:r>
        <w:fldChar w:fldCharType="separate"/>
      </w:r>
      <w:r>
        <w:t>25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_Toc3287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8、根据《财政部关于在政府采购活动中查询及使用信用记录有关问题的通知》（财库﹝2016﹞125号）的要求，凡拟参加本次招标项目的供应商，如在“信用中国”网站（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r>
        <w:tab/>
      </w:r>
      <w:r>
        <w:fldChar w:fldCharType="begin"/>
      </w:r>
      <w:r>
        <w:instrText xml:space="preserve"> PAGEREF _Toc3287 \h </w:instrText>
      </w:r>
      <w:r>
        <w:fldChar w:fldCharType="separate"/>
      </w:r>
      <w:r>
        <w:t>25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_Toc11769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szCs w:val="24"/>
        </w:rPr>
        <w:t xml:space="preserve">9、 </w:t>
      </w:r>
      <w:r>
        <w:rPr>
          <w:rFonts w:hint="eastAsia" w:ascii="微软雅黑" w:hAnsi="微软雅黑" w:eastAsia="微软雅黑" w:cs="微软雅黑"/>
          <w:i w:val="0"/>
          <w:caps w:val="0"/>
          <w:spacing w:val="0"/>
          <w:w w:val="100"/>
          <w:kern w:val="0"/>
          <w:szCs w:val="24"/>
          <w:highlight w:val="none"/>
        </w:rPr>
        <w:t>提供参与政府采购活动前3年内未被列入失信、重大税收违法案件、财政部门禁止参加政府采购活动的承诺书；</w:t>
      </w:r>
      <w:r>
        <w:tab/>
      </w:r>
      <w:r>
        <w:fldChar w:fldCharType="begin"/>
      </w:r>
      <w:r>
        <w:instrText xml:space="preserve"> PAGEREF _Toc11769 \h </w:instrText>
      </w:r>
      <w:r>
        <w:fldChar w:fldCharType="separate"/>
      </w:r>
      <w:r>
        <w:t>25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_Toc5264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lang w:val="en-US" w:eastAsia="zh-CN"/>
        </w:rPr>
        <w:t xml:space="preserve">10、 </w:t>
      </w:r>
      <w:r>
        <w:rPr>
          <w:rFonts w:hint="eastAsia" w:ascii="微软雅黑" w:hAnsi="微软雅黑" w:eastAsia="微软雅黑" w:cs="微软雅黑"/>
          <w:i w:val="0"/>
          <w:caps w:val="0"/>
          <w:spacing w:val="0"/>
          <w:w w:val="100"/>
          <w:kern w:val="0"/>
          <w:highlight w:val="none"/>
          <w:lang w:val="en-US" w:eastAsia="zh-CN"/>
        </w:rPr>
        <w:t>提供针对本次项目《反商业贿赂承诺书》；</w:t>
      </w:r>
      <w:r>
        <w:tab/>
      </w:r>
      <w:r>
        <w:fldChar w:fldCharType="begin"/>
      </w:r>
      <w:r>
        <w:instrText xml:space="preserve"> PAGEREF _Toc5264 \h </w:instrText>
      </w:r>
      <w:r>
        <w:fldChar w:fldCharType="separate"/>
      </w:r>
      <w:r>
        <w:t>25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_Toc14665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highlight w:val="none"/>
          <w:lang w:val="en-US" w:eastAsia="zh-CN"/>
        </w:rPr>
        <w:t>11、</w:t>
      </w:r>
      <w:r>
        <w:rPr>
          <w:rFonts w:hint="eastAsia" w:ascii="微软雅黑" w:hAnsi="微软雅黑" w:eastAsia="微软雅黑" w:cs="微软雅黑"/>
          <w:i w:val="0"/>
          <w:caps w:val="0"/>
          <w:spacing w:val="0"/>
          <w:w w:val="100"/>
          <w:kern w:val="0"/>
          <w:highlight w:val="none"/>
          <w:lang w:eastAsia="zh-CN"/>
        </w:rPr>
        <w:t>缴纳磋商保证金的银行回执单</w:t>
      </w:r>
      <w:r>
        <w:tab/>
      </w:r>
      <w:r>
        <w:fldChar w:fldCharType="begin"/>
      </w:r>
      <w:r>
        <w:instrText xml:space="preserve"> PAGEREF _Toc14665 \h </w:instrText>
      </w:r>
      <w:r>
        <w:fldChar w:fldCharType="separate"/>
      </w:r>
      <w:r>
        <w:t>26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_Toc24143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12、</w:t>
      </w:r>
      <w:r>
        <w:rPr>
          <w:rFonts w:hint="eastAsia" w:ascii="微软雅黑" w:hAnsi="微软雅黑" w:eastAsia="微软雅黑" w:cs="微软雅黑"/>
          <w:i w:val="0"/>
          <w:caps w:val="0"/>
          <w:spacing w:val="0"/>
          <w:w w:val="100"/>
          <w:szCs w:val="24"/>
          <w:highlight w:val="none"/>
        </w:rPr>
        <w:t>提供有利于磋商的其他证明材料</w:t>
      </w:r>
      <w:r>
        <w:tab/>
      </w:r>
      <w:r>
        <w:fldChar w:fldCharType="begin"/>
      </w:r>
      <w:r>
        <w:instrText xml:space="preserve"> PAGEREF _Toc24143 \h </w:instrText>
      </w:r>
      <w:r>
        <w:fldChar w:fldCharType="separate"/>
      </w:r>
      <w:r>
        <w:t>26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_Toc8088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第二部分  商务及技术文件</w:t>
      </w:r>
      <w:r>
        <w:tab/>
      </w:r>
      <w:r>
        <w:fldChar w:fldCharType="begin"/>
      </w:r>
      <w:r>
        <w:instrText xml:space="preserve"> PAGEREF _Toc8088 \h </w:instrText>
      </w:r>
      <w:r>
        <w:fldChar w:fldCharType="separate"/>
      </w:r>
      <w:r>
        <w:t>27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_Toc19676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1</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磋商书</w:t>
      </w:r>
      <w:r>
        <w:tab/>
      </w:r>
      <w:r>
        <w:fldChar w:fldCharType="begin"/>
      </w:r>
      <w:r>
        <w:instrText xml:space="preserve"> PAGEREF _Toc19676 \h </w:instrText>
      </w:r>
      <w:r>
        <w:fldChar w:fldCharType="separate"/>
      </w:r>
      <w:r>
        <w:t>27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_Toc11041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2</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磋商分项报价表</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lang w:val="en-US" w:eastAsia="zh-CN"/>
        </w:rPr>
        <w:t>一</w:t>
      </w:r>
      <w:r>
        <w:rPr>
          <w:rFonts w:hint="eastAsia" w:ascii="微软雅黑" w:hAnsi="微软雅黑" w:eastAsia="微软雅黑" w:cs="微软雅黑"/>
          <w:i w:val="0"/>
          <w:caps w:val="0"/>
          <w:spacing w:val="0"/>
          <w:w w:val="100"/>
          <w:szCs w:val="24"/>
          <w:highlight w:val="none"/>
          <w:lang w:eastAsia="zh-CN"/>
        </w:rPr>
        <w:t>）</w:t>
      </w:r>
      <w:r>
        <w:tab/>
      </w:r>
      <w:r>
        <w:fldChar w:fldCharType="begin"/>
      </w:r>
      <w:r>
        <w:instrText xml:space="preserve"> PAGEREF _Toc11041 \h </w:instrText>
      </w:r>
      <w:r>
        <w:fldChar w:fldCharType="separate"/>
      </w:r>
      <w:r>
        <w:t>28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_Toc29135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3</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lang w:val="en-US" w:eastAsia="zh-CN"/>
        </w:rPr>
        <w:t>服务</w:t>
      </w:r>
      <w:r>
        <w:rPr>
          <w:rFonts w:hint="eastAsia" w:ascii="微软雅黑" w:hAnsi="微软雅黑" w:eastAsia="微软雅黑" w:cs="微软雅黑"/>
          <w:i w:val="0"/>
          <w:caps w:val="0"/>
          <w:spacing w:val="0"/>
          <w:w w:val="100"/>
          <w:szCs w:val="24"/>
          <w:highlight w:val="none"/>
        </w:rPr>
        <w:t>说明一览表</w:t>
      </w:r>
      <w:r>
        <w:tab/>
      </w:r>
      <w:r>
        <w:fldChar w:fldCharType="begin"/>
      </w:r>
      <w:r>
        <w:instrText xml:space="preserve"> PAGEREF _Toc29135 \h </w:instrText>
      </w:r>
      <w:r>
        <w:fldChar w:fldCharType="separate"/>
      </w:r>
      <w:r>
        <w:t>29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_Toc32320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szCs w:val="24"/>
          <w:highlight w:val="none"/>
        </w:rPr>
        <w:t>4</w:t>
      </w:r>
      <w:r>
        <w:rPr>
          <w:rFonts w:hint="eastAsia" w:ascii="微软雅黑" w:hAnsi="微软雅黑" w:eastAsia="微软雅黑" w:cs="微软雅黑"/>
          <w:bCs/>
          <w:szCs w:val="24"/>
          <w:highlight w:val="none"/>
          <w:lang w:eastAsia="zh-CN"/>
        </w:rPr>
        <w:t>、</w:t>
      </w:r>
      <w:r>
        <w:rPr>
          <w:rFonts w:hint="eastAsia" w:ascii="微软雅黑" w:hAnsi="微软雅黑" w:eastAsia="微软雅黑" w:cs="微软雅黑"/>
          <w:bCs/>
          <w:szCs w:val="24"/>
          <w:highlight w:val="none"/>
        </w:rPr>
        <w:t>技术规格偏离表</w:t>
      </w:r>
      <w:r>
        <w:tab/>
      </w:r>
      <w:r>
        <w:fldChar w:fldCharType="begin"/>
      </w:r>
      <w:r>
        <w:instrText xml:space="preserve"> PAGEREF _Toc32320 \h </w:instrText>
      </w:r>
      <w:r>
        <w:fldChar w:fldCharType="separate"/>
      </w:r>
      <w:r>
        <w:t>31</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_Toc26798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5</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商务条款偏离表</w:t>
      </w:r>
      <w:r>
        <w:tab/>
      </w:r>
      <w:r>
        <w:fldChar w:fldCharType="begin"/>
      </w:r>
      <w:r>
        <w:instrText xml:space="preserve"> PAGEREF _Toc26798 \h </w:instrText>
      </w:r>
      <w:r>
        <w:fldChar w:fldCharType="separate"/>
      </w:r>
      <w:r>
        <w:t>32</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_Toc9875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6</w:t>
      </w:r>
      <w:r>
        <w:rPr>
          <w:rFonts w:hint="eastAsia" w:ascii="微软雅黑" w:hAnsi="微软雅黑" w:eastAsia="微软雅黑" w:cs="微软雅黑"/>
          <w:i w:val="0"/>
          <w:caps w:val="0"/>
          <w:spacing w:val="0"/>
          <w:w w:val="100"/>
          <w:szCs w:val="24"/>
          <w:highlight w:val="none"/>
        </w:rPr>
        <w:t>-1</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lang w:val="en-US" w:eastAsia="zh-CN"/>
        </w:rPr>
        <w:t>中小企业声明函（服务）</w:t>
      </w:r>
      <w:r>
        <w:tab/>
      </w:r>
      <w:r>
        <w:fldChar w:fldCharType="begin"/>
      </w:r>
      <w:r>
        <w:instrText xml:space="preserve"> PAGEREF _Toc9875 \h </w:instrText>
      </w:r>
      <w:r>
        <w:fldChar w:fldCharType="separate"/>
      </w:r>
      <w:r>
        <w:t>33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_Toc12294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6</w:t>
      </w:r>
      <w:r>
        <w:rPr>
          <w:rFonts w:hint="eastAsia" w:ascii="微软雅黑" w:hAnsi="微软雅黑" w:eastAsia="微软雅黑" w:cs="微软雅黑"/>
          <w:i w:val="0"/>
          <w:caps w:val="0"/>
          <w:spacing w:val="0"/>
          <w:w w:val="100"/>
          <w:szCs w:val="24"/>
          <w:highlight w:val="none"/>
        </w:rPr>
        <w:t>-2</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残疾人福利性单位声明函</w:t>
      </w:r>
      <w:r>
        <w:tab/>
      </w:r>
      <w:r>
        <w:fldChar w:fldCharType="begin"/>
      </w:r>
      <w:r>
        <w:instrText xml:space="preserve"> PAGEREF _Toc12294 \h </w:instrText>
      </w:r>
      <w:r>
        <w:fldChar w:fldCharType="separate"/>
      </w:r>
      <w:r>
        <w:t>33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_Toc23093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7</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供应商关联单位的说明</w:t>
      </w:r>
      <w:r>
        <w:tab/>
      </w:r>
      <w:r>
        <w:fldChar w:fldCharType="begin"/>
      </w:r>
      <w:r>
        <w:instrText xml:space="preserve"> PAGEREF _Toc23093 \h </w:instrText>
      </w:r>
      <w:r>
        <w:fldChar w:fldCharType="separate"/>
      </w:r>
      <w:r>
        <w:t>34</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_Toc6213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8</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提供有利于磋商的其他证明材料</w:t>
      </w:r>
      <w:r>
        <w:tab/>
      </w:r>
      <w:r>
        <w:fldChar w:fldCharType="begin"/>
      </w:r>
      <w:r>
        <w:instrText xml:space="preserve"> PAGEREF _Toc6213 \h </w:instrText>
      </w:r>
      <w:r>
        <w:fldChar w:fldCharType="separate"/>
      </w:r>
      <w:r>
        <w:t>34</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_Toc14253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第3章 磋商邀请</w:t>
      </w:r>
      <w:r>
        <w:tab/>
      </w:r>
      <w:r>
        <w:fldChar w:fldCharType="begin"/>
      </w:r>
      <w:r>
        <w:instrText xml:space="preserve"> PAGEREF _Toc14253 \h </w:instrText>
      </w:r>
      <w:r>
        <w:fldChar w:fldCharType="separate"/>
      </w:r>
      <w:r>
        <w:t>37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_Toc24156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hAnsi="宋体" w:cs="宋体"/>
          <w:szCs w:val="32"/>
          <w:highlight w:val="none"/>
          <w:lang w:val="en-US" w:eastAsia="zh-CN"/>
        </w:rPr>
        <w:t>泽普县乒乓球、围棋等文化侵润系列活动</w:t>
      </w:r>
      <w:r>
        <w:rPr>
          <w:rFonts w:hint="eastAsia" w:ascii="宋体" w:hAnsi="宋体" w:eastAsia="宋体" w:cs="宋体"/>
          <w:szCs w:val="32"/>
          <w:highlight w:val="none"/>
          <w:lang w:val="en-US" w:eastAsia="zh-CN"/>
        </w:rPr>
        <w:t>项目</w:t>
      </w:r>
      <w:r>
        <w:tab/>
      </w:r>
      <w:r>
        <w:fldChar w:fldCharType="begin"/>
      </w:r>
      <w:r>
        <w:instrText xml:space="preserve"> PAGEREF _Toc24156 \h </w:instrText>
      </w:r>
      <w:r>
        <w:fldChar w:fldCharType="separate"/>
      </w:r>
      <w:r>
        <w:t>37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_Toc26253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hAnsi="宋体" w:cs="宋体"/>
          <w:szCs w:val="32"/>
          <w:highlight w:val="none"/>
          <w:lang w:val="en-US" w:eastAsia="zh-CN"/>
        </w:rPr>
        <w:t>竞争性</w:t>
      </w:r>
      <w:r>
        <w:rPr>
          <w:rFonts w:hint="eastAsia" w:ascii="宋体" w:hAnsi="宋体" w:eastAsia="宋体" w:cs="宋体"/>
          <w:szCs w:val="32"/>
          <w:highlight w:val="none"/>
          <w:lang w:val="en-US" w:eastAsia="zh-CN"/>
        </w:rPr>
        <w:t>磋商</w:t>
      </w:r>
      <w:r>
        <w:rPr>
          <w:rFonts w:hint="eastAsia" w:ascii="宋体" w:hAnsi="宋体" w:eastAsia="宋体" w:cs="宋体"/>
          <w:szCs w:val="32"/>
          <w:highlight w:val="none"/>
        </w:rPr>
        <w:t>公告</w:t>
      </w:r>
      <w:r>
        <w:tab/>
      </w:r>
      <w:r>
        <w:fldChar w:fldCharType="begin"/>
      </w:r>
      <w:r>
        <w:instrText xml:space="preserve"> PAGEREF _Toc26253 \h </w:instrText>
      </w:r>
      <w:r>
        <w:fldChar w:fldCharType="separate"/>
      </w:r>
      <w:r>
        <w:t>37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_Toc30832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宋体" w:hAnsi="宋体" w:eastAsia="宋体" w:cs="宋体"/>
          <w:bCs/>
          <w:szCs w:val="24"/>
          <w:highlight w:val="none"/>
        </w:rPr>
        <w:t>一、项目基本情况</w:t>
      </w:r>
      <w:r>
        <w:tab/>
      </w:r>
      <w:r>
        <w:fldChar w:fldCharType="begin"/>
      </w:r>
      <w:r>
        <w:instrText xml:space="preserve"> PAGEREF _Toc30832 \h </w:instrText>
      </w:r>
      <w:r>
        <w:fldChar w:fldCharType="separate"/>
      </w:r>
      <w:r>
        <w:t>37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_Toc9686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宋体" w:hAnsi="宋体" w:eastAsia="宋体" w:cs="宋体"/>
          <w:kern w:val="0"/>
          <w:szCs w:val="24"/>
          <w:highlight w:val="none"/>
        </w:rPr>
        <w:t>二、申请人的资格要求：</w:t>
      </w:r>
      <w:r>
        <w:tab/>
      </w:r>
      <w:r>
        <w:fldChar w:fldCharType="begin"/>
      </w:r>
      <w:r>
        <w:instrText xml:space="preserve"> PAGEREF _Toc9686 \h </w:instrText>
      </w:r>
      <w:r>
        <w:fldChar w:fldCharType="separate"/>
      </w:r>
      <w:r>
        <w:t>37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_Toc3368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宋体" w:hAnsi="宋体" w:eastAsia="宋体" w:cs="宋体"/>
          <w:kern w:val="0"/>
          <w:szCs w:val="24"/>
          <w:highlight w:val="none"/>
        </w:rPr>
        <w:t>三、获取采购文件</w:t>
      </w:r>
      <w:r>
        <w:tab/>
      </w:r>
      <w:r>
        <w:fldChar w:fldCharType="begin"/>
      </w:r>
      <w:r>
        <w:instrText xml:space="preserve"> PAGEREF _Toc3368 \h </w:instrText>
      </w:r>
      <w:r>
        <w:fldChar w:fldCharType="separate"/>
      </w:r>
      <w:r>
        <w:t>38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_Toc32404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宋体" w:hAnsi="宋体" w:eastAsia="宋体" w:cs="宋体"/>
          <w:bCs/>
          <w:kern w:val="0"/>
          <w:szCs w:val="24"/>
          <w:highlight w:val="none"/>
        </w:rPr>
        <w:t>四、响应文件提交</w:t>
      </w:r>
      <w:r>
        <w:tab/>
      </w:r>
      <w:r>
        <w:fldChar w:fldCharType="begin"/>
      </w:r>
      <w:r>
        <w:instrText xml:space="preserve"> PAGEREF _Toc32404 \h </w:instrText>
      </w:r>
      <w:r>
        <w:fldChar w:fldCharType="separate"/>
      </w:r>
      <w:r>
        <w:t>38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_Toc4699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宋体" w:hAnsi="宋体" w:eastAsia="宋体" w:cs="宋体"/>
          <w:bCs/>
          <w:kern w:val="0"/>
          <w:szCs w:val="24"/>
          <w:highlight w:val="none"/>
          <w:lang w:val="en-US" w:eastAsia="zh-CN"/>
        </w:rPr>
        <w:t>五、开启</w:t>
      </w:r>
      <w:r>
        <w:tab/>
      </w:r>
      <w:r>
        <w:fldChar w:fldCharType="begin"/>
      </w:r>
      <w:r>
        <w:instrText xml:space="preserve"> PAGEREF _Toc4699 \h </w:instrText>
      </w:r>
      <w:r>
        <w:fldChar w:fldCharType="separate"/>
      </w:r>
      <w:r>
        <w:t>38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_Toc17494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宋体" w:hAnsi="宋体" w:eastAsia="宋体" w:cs="宋体"/>
          <w:kern w:val="0"/>
          <w:szCs w:val="24"/>
          <w:highlight w:val="none"/>
          <w:lang w:val="en-US" w:eastAsia="zh-CN"/>
        </w:rPr>
        <w:t>六</w:t>
      </w:r>
      <w:r>
        <w:rPr>
          <w:rFonts w:hint="eastAsia" w:ascii="宋体" w:hAnsi="宋体" w:eastAsia="宋体" w:cs="宋体"/>
          <w:kern w:val="0"/>
          <w:szCs w:val="24"/>
          <w:highlight w:val="none"/>
        </w:rPr>
        <w:t>、</w:t>
      </w:r>
      <w:r>
        <w:rPr>
          <w:rFonts w:hint="eastAsia" w:ascii="宋体" w:hAnsi="宋体" w:eastAsia="宋体" w:cs="宋体"/>
          <w:kern w:val="0"/>
          <w:szCs w:val="24"/>
          <w:highlight w:val="none"/>
          <w:lang w:eastAsia="zh-CN"/>
        </w:rPr>
        <w:t>公告期限</w:t>
      </w:r>
      <w:r>
        <w:tab/>
      </w:r>
      <w:r>
        <w:fldChar w:fldCharType="begin"/>
      </w:r>
      <w:r>
        <w:instrText xml:space="preserve"> PAGEREF _Toc17494 \h </w:instrText>
      </w:r>
      <w:r>
        <w:fldChar w:fldCharType="separate"/>
      </w:r>
      <w:r>
        <w:t>38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_Toc13859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宋体" w:hAnsi="宋体" w:eastAsia="宋体" w:cs="宋体"/>
          <w:kern w:val="0"/>
          <w:szCs w:val="24"/>
          <w:highlight w:val="none"/>
          <w:lang w:val="en-US" w:eastAsia="zh-CN"/>
        </w:rPr>
        <w:t>七</w:t>
      </w:r>
      <w:r>
        <w:rPr>
          <w:rFonts w:hint="eastAsia" w:ascii="宋体" w:hAnsi="宋体" w:eastAsia="宋体" w:cs="宋体"/>
          <w:kern w:val="0"/>
          <w:szCs w:val="24"/>
          <w:highlight w:val="none"/>
        </w:rPr>
        <w:t>、凡对本次采购提出询问，请按以下方式联系。</w:t>
      </w:r>
      <w:r>
        <w:tab/>
      </w:r>
      <w:r>
        <w:fldChar w:fldCharType="begin"/>
      </w:r>
      <w:r>
        <w:instrText xml:space="preserve"> PAGEREF _Toc13859 \h </w:instrText>
      </w:r>
      <w:r>
        <w:fldChar w:fldCharType="separate"/>
      </w:r>
      <w:r>
        <w:t>38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_Toc6766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32"/>
          <w:highlight w:val="none"/>
        </w:rPr>
        <w:t xml:space="preserve">第4章 </w:t>
      </w:r>
      <w:r>
        <w:rPr>
          <w:rFonts w:hint="eastAsia" w:ascii="微软雅黑" w:hAnsi="微软雅黑" w:eastAsia="微软雅黑" w:cs="微软雅黑"/>
          <w:i w:val="0"/>
          <w:caps w:val="0"/>
          <w:spacing w:val="0"/>
          <w:w w:val="100"/>
          <w:szCs w:val="32"/>
          <w:highlight w:val="none"/>
          <w:lang w:val="en-US" w:eastAsia="zh-CN"/>
        </w:rPr>
        <w:t xml:space="preserve"> </w:t>
      </w:r>
      <w:r>
        <w:rPr>
          <w:rFonts w:hint="eastAsia" w:ascii="微软雅黑" w:hAnsi="微软雅黑" w:eastAsia="微软雅黑" w:cs="微软雅黑"/>
          <w:i w:val="0"/>
          <w:caps w:val="0"/>
          <w:spacing w:val="0"/>
          <w:w w:val="100"/>
          <w:szCs w:val="32"/>
          <w:highlight w:val="none"/>
        </w:rPr>
        <w:t>供应商须知资料表</w:t>
      </w:r>
      <w:r>
        <w:tab/>
      </w:r>
      <w:r>
        <w:fldChar w:fldCharType="begin"/>
      </w:r>
      <w:r>
        <w:instrText xml:space="preserve"> PAGEREF _Toc6766 \h </w:instrText>
      </w:r>
      <w:r>
        <w:fldChar w:fldCharType="separate"/>
      </w:r>
      <w:r>
        <w:t>49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_Toc3496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lang w:val="en-US" w:eastAsia="zh-CN"/>
        </w:rPr>
        <w:t>第5章  服务</w:t>
      </w:r>
      <w:r>
        <w:rPr>
          <w:rFonts w:hint="eastAsia" w:ascii="微软雅黑" w:hAnsi="微软雅黑" w:eastAsia="微软雅黑" w:cs="微软雅黑"/>
          <w:i w:val="0"/>
          <w:caps w:val="0"/>
          <w:spacing w:val="0"/>
          <w:w w:val="100"/>
          <w:highlight w:val="none"/>
        </w:rPr>
        <w:t>需求一览表及项目要求</w:t>
      </w:r>
      <w:r>
        <w:tab/>
      </w:r>
      <w:r>
        <w:fldChar w:fldCharType="begin"/>
      </w:r>
      <w:r>
        <w:instrText xml:space="preserve"> PAGEREF _Toc3496 \h </w:instrText>
      </w:r>
      <w:r>
        <w:fldChar w:fldCharType="separate"/>
      </w:r>
      <w:r>
        <w:t>58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_Toc11289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一、服务需求</w:t>
      </w:r>
      <w:r>
        <w:tab/>
      </w:r>
      <w:r>
        <w:fldChar w:fldCharType="begin"/>
      </w:r>
      <w:r>
        <w:instrText xml:space="preserve"> PAGEREF _Toc11289 \h </w:instrText>
      </w:r>
      <w:r>
        <w:fldChar w:fldCharType="separate"/>
      </w:r>
      <w:r>
        <w:t>58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_Toc7965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二、服务时间及地点</w:t>
      </w:r>
      <w:r>
        <w:tab/>
      </w:r>
      <w:r>
        <w:fldChar w:fldCharType="begin"/>
      </w:r>
      <w:r>
        <w:instrText xml:space="preserve"> PAGEREF _Toc7965 \h </w:instrText>
      </w:r>
      <w:r>
        <w:fldChar w:fldCharType="separate"/>
      </w:r>
      <w:r>
        <w:t>58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_Toc30462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三、验收方式及标准</w:t>
      </w:r>
      <w:r>
        <w:tab/>
      </w:r>
      <w:r>
        <w:fldChar w:fldCharType="begin"/>
      </w:r>
      <w:r>
        <w:instrText xml:space="preserve"> PAGEREF _Toc30462 \h </w:instrText>
      </w:r>
      <w:r>
        <w:fldChar w:fldCharType="separate"/>
      </w:r>
      <w:r>
        <w:t>58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_Toc18625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四、付款方式</w:t>
      </w:r>
      <w:r>
        <w:tab/>
      </w:r>
      <w:r>
        <w:fldChar w:fldCharType="begin"/>
      </w:r>
      <w:r>
        <w:instrText xml:space="preserve"> PAGEREF _Toc18625 \h </w:instrText>
      </w:r>
      <w:r>
        <w:fldChar w:fldCharType="separate"/>
      </w:r>
      <w:r>
        <w:t>58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_Toc17071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第6章 评审方法和标准</w:t>
      </w:r>
      <w:r>
        <w:tab/>
      </w:r>
      <w:r>
        <w:fldChar w:fldCharType="begin"/>
      </w:r>
      <w:r>
        <w:instrText xml:space="preserve"> PAGEREF _Toc17071 \h </w:instrText>
      </w:r>
      <w:r>
        <w:fldChar w:fldCharType="separate"/>
      </w:r>
      <w:r>
        <w:t>60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_Toc21742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highlight w:val="none"/>
        </w:rPr>
        <w:t>初步评审—资格性审查表</w:t>
      </w:r>
      <w:r>
        <w:tab/>
      </w:r>
      <w:r>
        <w:fldChar w:fldCharType="begin"/>
      </w:r>
      <w:r>
        <w:instrText xml:space="preserve"> PAGEREF _Toc21742 \h </w:instrText>
      </w:r>
      <w:r>
        <w:fldChar w:fldCharType="separate"/>
      </w:r>
      <w:r>
        <w:t>63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_Toc29959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8"/>
          <w:highlight w:val="none"/>
        </w:rPr>
        <w:t>初步评审—符合性审查表</w:t>
      </w:r>
      <w:r>
        <w:tab/>
      </w:r>
      <w:r>
        <w:fldChar w:fldCharType="begin"/>
      </w:r>
      <w:r>
        <w:instrText xml:space="preserve"> PAGEREF _Toc29959 \h </w:instrText>
      </w:r>
      <w:r>
        <w:fldChar w:fldCharType="separate"/>
      </w:r>
      <w:r>
        <w:t>64</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_Toc19309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8"/>
          <w:highlight w:val="none"/>
        </w:rPr>
        <w:t>综合评分表</w:t>
      </w:r>
      <w:r>
        <w:tab/>
      </w:r>
      <w:r>
        <w:fldChar w:fldCharType="begin"/>
      </w:r>
      <w:r>
        <w:instrText xml:space="preserve"> PAGEREF _Toc19309 \h </w:instrText>
      </w:r>
      <w:r>
        <w:fldChar w:fldCharType="separate"/>
      </w:r>
      <w:r>
        <w:t>65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_Toc12952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第7章</w:t>
      </w:r>
      <w:r>
        <w:rPr>
          <w:rFonts w:hint="eastAsia" w:ascii="微软雅黑" w:hAnsi="微软雅黑" w:eastAsia="微软雅黑" w:cs="微软雅黑"/>
          <w:i w:val="0"/>
          <w:caps w:val="0"/>
          <w:spacing w:val="0"/>
          <w:w w:val="100"/>
          <w:highlight w:val="none"/>
          <w:lang w:val="en-US" w:eastAsia="zh-CN"/>
        </w:rPr>
        <w:t xml:space="preserve">  </w:t>
      </w:r>
      <w:r>
        <w:rPr>
          <w:rFonts w:hint="eastAsia" w:ascii="微软雅黑" w:hAnsi="微软雅黑" w:eastAsia="微软雅黑" w:cs="微软雅黑"/>
          <w:i w:val="0"/>
          <w:caps w:val="0"/>
          <w:spacing w:val="0"/>
          <w:w w:val="100"/>
          <w:highlight w:val="none"/>
        </w:rPr>
        <w:t>政府采购合同</w:t>
      </w:r>
      <w:r>
        <w:tab/>
      </w:r>
      <w:r>
        <w:fldChar w:fldCharType="begin"/>
      </w:r>
      <w:r>
        <w:instrText xml:space="preserve"> PAGEREF _Toc12952 \h </w:instrText>
      </w:r>
      <w:r>
        <w:fldChar w:fldCharType="separate"/>
      </w:r>
      <w:r>
        <w:t>67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keepNext w:val="0"/>
        <w:keepLines w:val="0"/>
        <w:pageBreakBefore w:val="0"/>
        <w:widowControl w:val="0"/>
        <w:shd w:val="clear"/>
        <w:tabs>
          <w:tab w:val="left" w:pos="0"/>
        </w:tabs>
        <w:kinsoku/>
        <w:wordWrap/>
        <w:overflowPunct/>
        <w:topLinePunct w:val="0"/>
        <w:autoSpaceDE/>
        <w:autoSpaceDN/>
        <w:bidi w:val="0"/>
        <w:adjustRightInd/>
        <w:snapToGrid w:val="0"/>
        <w:spacing w:before="0" w:beforeAutospacing="0" w:after="0" w:afterAutospacing="0" w:line="400" w:lineRule="exact"/>
        <w:ind w:left="0" w:leftChars="0"/>
        <w:jc w:val="both"/>
        <w:textAlignment w:val="baseline"/>
        <w:outlineLvl w:val="9"/>
        <w:rPr>
          <w:rFonts w:hint="eastAsia" w:ascii="微软雅黑" w:hAnsi="微软雅黑" w:eastAsia="微软雅黑" w:cs="微软雅黑"/>
          <w:b/>
          <w:i w:val="0"/>
          <w:caps w:val="0"/>
          <w:color w:val="auto"/>
          <w:spacing w:val="0"/>
          <w:w w:val="100"/>
          <w:kern w:val="0"/>
          <w:sz w:val="32"/>
          <w:szCs w:val="24"/>
          <w:highlight w:val="none"/>
          <w:lang w:val="en-US" w:eastAsia="zh-CN"/>
        </w:rPr>
      </w:pPr>
      <w:r>
        <w:rPr>
          <w:rFonts w:hint="eastAsia" w:ascii="微软雅黑" w:hAnsi="微软雅黑" w:eastAsia="微软雅黑" w:cs="微软雅黑"/>
          <w:i w:val="0"/>
          <w:caps w:val="0"/>
          <w:color w:val="auto"/>
          <w:spacing w:val="0"/>
          <w:w w:val="100"/>
          <w:kern w:val="0"/>
          <w:szCs w:val="24"/>
          <w:highlight w:val="none"/>
        </w:rPr>
        <w:fldChar w:fldCharType="end"/>
      </w:r>
      <w:bookmarkStart w:id="0" w:name="_Toc518923059"/>
      <w:bookmarkStart w:id="1" w:name="_Toc1462"/>
      <w:bookmarkStart w:id="2" w:name="_Toc10715352"/>
    </w:p>
    <w:p>
      <w:pPr>
        <w:pageBreakBefore w:val="0"/>
        <w:widowControl w:val="0"/>
        <w:shd w:val="clear"/>
        <w:tabs>
          <w:tab w:val="left" w:pos="0"/>
        </w:tabs>
        <w:kinsoku/>
        <w:wordWrap/>
        <w:overflowPunct/>
        <w:topLinePunct w:val="0"/>
        <w:bidi w:val="0"/>
        <w:snapToGrid w:val="0"/>
        <w:spacing w:before="0" w:beforeAutospacing="0" w:after="0" w:afterAutospacing="0" w:line="320" w:lineRule="exact"/>
        <w:ind w:left="0" w:leftChars="0"/>
        <w:jc w:val="center"/>
        <w:textAlignment w:val="baseline"/>
        <w:outlineLvl w:val="9"/>
        <w:rPr>
          <w:rFonts w:hint="eastAsia" w:ascii="微软雅黑" w:hAnsi="微软雅黑" w:eastAsia="微软雅黑" w:cs="微软雅黑"/>
          <w:b/>
          <w:i w:val="0"/>
          <w:caps w:val="0"/>
          <w:color w:val="auto"/>
          <w:spacing w:val="0"/>
          <w:w w:val="100"/>
          <w:kern w:val="0"/>
          <w:sz w:val="32"/>
          <w:szCs w:val="24"/>
          <w:highlight w:val="none"/>
          <w:lang w:val="en-US" w:eastAsia="zh-CN"/>
        </w:rPr>
      </w:pPr>
    </w:p>
    <w:p>
      <w:pPr>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3"/>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3"/>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3"/>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3"/>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rPr>
          <w:rFonts w:hint="eastAsia"/>
          <w:color w:val="auto"/>
          <w:lang w:val="en-US" w:eastAsia="zh-CN"/>
        </w:rPr>
      </w:pPr>
    </w:p>
    <w:p>
      <w:pPr>
        <w:rPr>
          <w:rFonts w:hint="eastAsia" w:ascii="微软雅黑" w:hAnsi="微软雅黑" w:eastAsia="微软雅黑" w:cs="微软雅黑"/>
          <w:b/>
          <w:i w:val="0"/>
          <w:caps w:val="0"/>
          <w:color w:val="auto"/>
          <w:spacing w:val="0"/>
          <w:w w:val="100"/>
          <w:kern w:val="0"/>
          <w:sz w:val="32"/>
          <w:szCs w:val="24"/>
          <w:highlight w:val="none"/>
          <w:lang w:val="en-US" w:eastAsia="zh-CN"/>
        </w:rPr>
      </w:pPr>
      <w:r>
        <w:rPr>
          <w:rFonts w:hint="eastAsia" w:ascii="微软雅黑" w:hAnsi="微软雅黑" w:eastAsia="微软雅黑" w:cs="微软雅黑"/>
          <w:b/>
          <w:i w:val="0"/>
          <w:caps w:val="0"/>
          <w:color w:val="auto"/>
          <w:spacing w:val="0"/>
          <w:w w:val="100"/>
          <w:kern w:val="0"/>
          <w:sz w:val="32"/>
          <w:szCs w:val="24"/>
          <w:highlight w:val="none"/>
          <w:lang w:val="en-US" w:eastAsia="zh-CN"/>
        </w:rPr>
        <w:br w:type="page"/>
      </w:r>
    </w:p>
    <w:p>
      <w:pPr>
        <w:pStyle w:val="5"/>
        <w:keepNext/>
        <w:keepLines/>
        <w:pageBreakBefore w:val="0"/>
        <w:widowControl w:val="0"/>
        <w:shd w:val="clear"/>
        <w:tabs>
          <w:tab w:val="left" w:pos="0"/>
        </w:tabs>
        <w:kinsoku/>
        <w:wordWrap/>
        <w:overflowPunct/>
        <w:topLinePunct w:val="0"/>
        <w:autoSpaceDE w:val="0"/>
        <w:autoSpaceDN w:val="0"/>
        <w:bidi w:val="0"/>
        <w:adjustRightInd w:val="0"/>
        <w:snapToGrid w:val="0"/>
        <w:spacing w:before="0" w:beforeAutospacing="0" w:after="0" w:afterAutospacing="0" w:line="360" w:lineRule="auto"/>
        <w:ind w:left="0" w:leftChars="0"/>
        <w:jc w:val="center"/>
        <w:textAlignment w:val="baseline"/>
        <w:rPr>
          <w:rFonts w:hint="eastAsia" w:ascii="微软雅黑" w:hAnsi="微软雅黑" w:eastAsia="微软雅黑" w:cs="微软雅黑"/>
          <w:b/>
          <w:i w:val="0"/>
          <w:caps w:val="0"/>
          <w:color w:val="auto"/>
          <w:spacing w:val="0"/>
          <w:w w:val="100"/>
          <w:sz w:val="24"/>
          <w:highlight w:val="none"/>
        </w:rPr>
      </w:pPr>
      <w:bookmarkStart w:id="3" w:name="_Toc16487"/>
      <w:r>
        <w:rPr>
          <w:rFonts w:hint="eastAsia" w:ascii="微软雅黑" w:hAnsi="微软雅黑" w:eastAsia="微软雅黑" w:cs="微软雅黑"/>
          <w:b/>
          <w:i w:val="0"/>
          <w:caps w:val="0"/>
          <w:color w:val="auto"/>
          <w:spacing w:val="0"/>
          <w:w w:val="100"/>
          <w:kern w:val="0"/>
          <w:sz w:val="32"/>
          <w:szCs w:val="24"/>
          <w:highlight w:val="none"/>
          <w:lang w:val="en-US" w:eastAsia="zh-CN"/>
        </w:rPr>
        <w:t xml:space="preserve">第1章  </w:t>
      </w:r>
      <w:r>
        <w:rPr>
          <w:rFonts w:hint="eastAsia" w:ascii="微软雅黑" w:hAnsi="微软雅黑" w:eastAsia="微软雅黑" w:cs="微软雅黑"/>
          <w:b/>
          <w:i w:val="0"/>
          <w:caps w:val="0"/>
          <w:color w:val="auto"/>
          <w:spacing w:val="0"/>
          <w:w w:val="100"/>
          <w:sz w:val="32"/>
          <w:szCs w:val="32"/>
          <w:highlight w:val="none"/>
        </w:rPr>
        <w:t>供应商须知</w:t>
      </w:r>
      <w:bookmarkEnd w:id="0"/>
      <w:bookmarkEnd w:id="1"/>
      <w:bookmarkEnd w:id="2"/>
      <w:bookmarkEnd w:id="3"/>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rPr>
      </w:pPr>
      <w:bookmarkStart w:id="4" w:name="_Toc520356143"/>
      <w:bookmarkStart w:id="5" w:name="_Toc515647757"/>
      <w:bookmarkStart w:id="6" w:name="_Toc216582805"/>
      <w:bookmarkStart w:id="7" w:name="_Toc21015"/>
      <w:bookmarkStart w:id="8" w:name="_Toc21215"/>
      <w:bookmarkStart w:id="9" w:name="_Toc4369"/>
      <w:r>
        <w:rPr>
          <w:rFonts w:hint="eastAsia" w:ascii="微软雅黑" w:hAnsi="微软雅黑" w:eastAsia="微软雅黑" w:cs="微软雅黑"/>
          <w:b/>
          <w:i w:val="0"/>
          <w:caps w:val="0"/>
          <w:color w:val="auto"/>
          <w:spacing w:val="0"/>
          <w:w w:val="100"/>
          <w:sz w:val="24"/>
          <w:szCs w:val="24"/>
          <w:highlight w:val="none"/>
        </w:rPr>
        <w:t xml:space="preserve">一   </w:t>
      </w:r>
      <w:bookmarkEnd w:id="4"/>
      <w:bookmarkEnd w:id="5"/>
      <w:bookmarkEnd w:id="6"/>
      <w:r>
        <w:rPr>
          <w:rFonts w:hint="eastAsia" w:ascii="微软雅黑" w:hAnsi="微软雅黑" w:eastAsia="微软雅黑" w:cs="微软雅黑"/>
          <w:b/>
          <w:i w:val="0"/>
          <w:caps w:val="0"/>
          <w:color w:val="auto"/>
          <w:spacing w:val="0"/>
          <w:w w:val="100"/>
          <w:sz w:val="24"/>
          <w:szCs w:val="24"/>
          <w:highlight w:val="none"/>
        </w:rPr>
        <w:t>总 则</w:t>
      </w:r>
      <w:bookmarkEnd w:id="7"/>
      <w:bookmarkEnd w:id="8"/>
      <w:bookmarkEnd w:id="9"/>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10" w:name="_Toc515647758"/>
      <w:bookmarkStart w:id="11" w:name="_Toc32189"/>
      <w:bookmarkStart w:id="12" w:name="_Toc32623"/>
      <w:bookmarkStart w:id="13" w:name="_Toc520356144"/>
      <w:bookmarkStart w:id="14" w:name="_Toc23012"/>
      <w:bookmarkStart w:id="15" w:name="_Toc16501"/>
      <w:bookmarkStart w:id="16" w:name="_Toc28974"/>
      <w:bookmarkStart w:id="17" w:name="_Toc11217"/>
      <w:bookmarkStart w:id="18" w:name="_Toc9574"/>
      <w:bookmarkStart w:id="19" w:name="_Toc19826"/>
      <w:bookmarkStart w:id="20" w:name="_Toc10189"/>
      <w:bookmarkStart w:id="21" w:name="_Toc8428"/>
      <w:bookmarkStart w:id="22" w:name="_Toc1918"/>
      <w:bookmarkStart w:id="23" w:name="_Toc16079"/>
      <w:bookmarkStart w:id="24" w:name="_Toc18866"/>
      <w:r>
        <w:rPr>
          <w:rFonts w:hint="eastAsia" w:ascii="微软雅黑" w:hAnsi="微软雅黑" w:eastAsia="微软雅黑" w:cs="微软雅黑"/>
          <w:b/>
          <w:i w:val="0"/>
          <w:caps w:val="0"/>
          <w:color w:val="auto"/>
          <w:spacing w:val="0"/>
          <w:w w:val="100"/>
          <w:sz w:val="24"/>
          <w:szCs w:val="24"/>
          <w:highlight w:val="none"/>
          <w:u w:val="single" w:color="000000"/>
        </w:rPr>
        <w:t>1.采购人、采购代理机构及</w:t>
      </w:r>
      <w:bookmarkEnd w:id="10"/>
      <w:bookmarkEnd w:id="11"/>
      <w:bookmarkEnd w:id="12"/>
      <w:bookmarkEnd w:id="13"/>
      <w:r>
        <w:rPr>
          <w:rFonts w:hint="eastAsia" w:ascii="微软雅黑" w:hAnsi="微软雅黑" w:eastAsia="微软雅黑" w:cs="微软雅黑"/>
          <w:b/>
          <w:i w:val="0"/>
          <w:caps w:val="0"/>
          <w:color w:val="auto"/>
          <w:spacing w:val="0"/>
          <w:w w:val="100"/>
          <w:sz w:val="24"/>
          <w:szCs w:val="24"/>
          <w:highlight w:val="none"/>
          <w:u w:val="single" w:color="000000"/>
        </w:rPr>
        <w:t>供应商</w:t>
      </w:r>
      <w:bookmarkEnd w:id="14"/>
      <w:bookmarkEnd w:id="15"/>
      <w:bookmarkEnd w:id="16"/>
      <w:bookmarkEnd w:id="17"/>
      <w:bookmarkEnd w:id="18"/>
      <w:bookmarkEnd w:id="19"/>
      <w:bookmarkEnd w:id="20"/>
      <w:bookmarkEnd w:id="21"/>
      <w:bookmarkEnd w:id="22"/>
      <w:bookmarkEnd w:id="23"/>
      <w:bookmarkEnd w:id="24"/>
    </w:p>
    <w:p>
      <w:pPr>
        <w:numPr>
          <w:ilvl w:val="1"/>
          <w:numId w:val="2"/>
        </w:numPr>
        <w:shd w:val="clear"/>
        <w:tabs>
          <w:tab w:val="left" w:pos="0"/>
        </w:tabs>
        <w:snapToGrid w:val="0"/>
        <w:spacing w:before="0" w:beforeAutospacing="0" w:after="0" w:afterAutospacing="0" w:line="240" w:lineRule="atLeast"/>
        <w:ind w:hanging="898"/>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采购人：是指依法开展政府采购活动的国家机关、事业单位、团体组织。</w:t>
      </w:r>
    </w:p>
    <w:p>
      <w:pPr>
        <w:shd w:val="clear"/>
        <w:tabs>
          <w:tab w:val="left" w:pos="0"/>
        </w:tabs>
        <w:snapToGrid w:val="0"/>
        <w:spacing w:before="0" w:beforeAutospacing="0" w:after="0" w:afterAutospacing="0" w:line="240" w:lineRule="atLeast"/>
        <w:ind w:left="9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本项目的采购人见</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w:t>
      </w:r>
    </w:p>
    <w:p>
      <w:pPr>
        <w:keepNext w:val="0"/>
        <w:keepLines w:val="0"/>
        <w:pageBreakBefore w:val="0"/>
        <w:widowControl w:val="0"/>
        <w:numPr>
          <w:ilvl w:val="1"/>
          <w:numId w:val="2"/>
        </w:numPr>
        <w:shd w:val="clear"/>
        <w:tabs>
          <w:tab w:val="left" w:pos="0"/>
        </w:tabs>
        <w:kinsoku/>
        <w:wordWrap/>
        <w:overflowPunct/>
        <w:topLinePunct w:val="0"/>
        <w:autoSpaceDE/>
        <w:autoSpaceDN/>
        <w:bidi w:val="0"/>
        <w:adjustRightInd/>
        <w:snapToGrid w:val="0"/>
        <w:spacing w:before="0" w:beforeAutospacing="0" w:after="0" w:afterAutospacing="0" w:line="240" w:lineRule="atLeast"/>
        <w:ind w:left="0" w:firstLine="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采购代理机构：是指在集中采购机构或从事采购代理业务的社会中介机构。本项目的采购代理机构见</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w:t>
      </w:r>
    </w:p>
    <w:p>
      <w:pPr>
        <w:numPr>
          <w:ilvl w:val="1"/>
          <w:numId w:val="2"/>
        </w:num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供应商：是指向采购人提供</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、工程或者</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的法人、非法人组织或者自然人。本项目的供应商及其磋商</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须满足以下条件：</w:t>
      </w:r>
    </w:p>
    <w:p>
      <w:pPr>
        <w:shd w:val="clear"/>
        <w:snapToGrid w:val="0"/>
        <w:spacing w:before="0" w:beforeAutospacing="0" w:after="0" w:afterAutospacing="0" w:line="240" w:lineRule="atLeast"/>
        <w:ind w:hangingChars="354"/>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在中华人民共和国境内注册，能够独立承担民事责任，有生产或供应能力的本国供应商。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1.3.2  具备《中华人民共和国政府采购法》第二十二条关于供应商条件的规定，遵守本项目采购人本级和上级财政部门政府采购的有关规定。</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1.3.3   以采购代理机构认可的方式获得了本项目的磋商文件。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1.3.4   符合</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中规定的其他要求。</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1.3.5   若</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中写明允许采购进口产品，供应商应保证所投产品可履行合法报通关手续进入中国关境内。</w:t>
      </w:r>
    </w:p>
    <w:p>
      <w:pPr>
        <w:shd w:val="clear"/>
        <w:snapToGrid w:val="0"/>
        <w:spacing w:before="0" w:beforeAutospacing="0" w:after="0" w:afterAutospacing="0" w:line="240" w:lineRule="atLeast"/>
        <w:ind w:left="899" w:leftChars="428"/>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若</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中未写明允许采购进口产品，如供应商所投产品为进口产品，其磋商将被认定为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1.3.6  若</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中写明专门面向中小企业采购的，如供应商为非中小企业且所投产品为非中小企业产品，其磋商将被认定为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     如</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中允许联合体磋商，对联合体规定如下：</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1.4.1   两个以上供应商可以组成一个磋商联合体，以一个供应商的身份磋商。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1.4.2   联合体各方均应符合《中华人民共和国政府采购法》第二十二条规定的条件。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1.4.3   采购人根据采购项目对供应商的特殊要求，联合体中至少应当有一方符合相关规定。</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1.4.4   联合体各方应签订共同磋商协议，明确约定联合体各方承担的工作和相应的责任，并将共同磋商协议连同作为磋商文件第一部分的内容提交。</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1.4.5   大中型企业、其他自然人、法人或者非法人组织与小型、微型企业组成联合体共同参加磋商，共同磋商协议中应写明小型、微型企业的协议合同金额占到共同磋商协议磋商总金额的比例。</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1.4.6  联合体中有同类资质的供应商按照联合体分工承担相同工作的，按照较低的资质等级确定联合体的资质等级。</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1.4.7  以联合体形式参加政府采购活动的，联合体各方不得再单独参加或者与其他供应商另外组成联合体参加本项目磋商，否则相关磋商将被认定为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1.4.8   对联合体磋商的其他资格要求见</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1.5    单位负责人为同一人或者存在直接控股、管理关系的不同供应商，其相关磋商将被认定为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1.6    为本项目提供过整体设计、规范编制或者项目管理、监理、检测等</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的供应商，不得再参加本项目上述</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以外的其他采购活动。否则其磋商将被认定为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1.7</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供应商在磋商过程中不得向采购人提供、给予任何有价值的物品，影响其正常决策行为。一经发现，其将被认定为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25" w:name="_Toc21899"/>
      <w:bookmarkStart w:id="26" w:name="_Toc31303"/>
      <w:bookmarkStart w:id="27" w:name="_Toc12082"/>
      <w:bookmarkStart w:id="28" w:name="_Toc515647759"/>
      <w:bookmarkStart w:id="29" w:name="_Toc1145"/>
      <w:bookmarkStart w:id="30" w:name="_Toc5286"/>
      <w:bookmarkStart w:id="31" w:name="_Toc12139"/>
      <w:bookmarkStart w:id="32" w:name="_Toc23184"/>
      <w:bookmarkStart w:id="33" w:name="_Toc17954"/>
      <w:bookmarkStart w:id="34" w:name="_Toc2855"/>
      <w:bookmarkStart w:id="35" w:name="_Toc25901"/>
      <w:bookmarkStart w:id="36" w:name="_Toc12994"/>
      <w:bookmarkStart w:id="37" w:name="_Toc7980"/>
      <w:bookmarkStart w:id="38" w:name="_Toc13809"/>
      <w:r>
        <w:rPr>
          <w:rFonts w:hint="eastAsia" w:ascii="微软雅黑" w:hAnsi="微软雅黑" w:eastAsia="微软雅黑" w:cs="微软雅黑"/>
          <w:b/>
          <w:i w:val="0"/>
          <w:caps w:val="0"/>
          <w:color w:val="auto"/>
          <w:spacing w:val="0"/>
          <w:w w:val="100"/>
          <w:sz w:val="24"/>
          <w:szCs w:val="24"/>
          <w:highlight w:val="none"/>
          <w:u w:val="single" w:color="000000"/>
        </w:rPr>
        <w:t>2.资金来源</w:t>
      </w:r>
      <w:bookmarkEnd w:id="25"/>
      <w:bookmarkEnd w:id="26"/>
      <w:bookmarkEnd w:id="27"/>
      <w:bookmarkEnd w:id="28"/>
      <w:bookmarkEnd w:id="29"/>
      <w:bookmarkEnd w:id="30"/>
      <w:bookmarkEnd w:id="31"/>
      <w:bookmarkEnd w:id="32"/>
      <w:bookmarkEnd w:id="33"/>
      <w:bookmarkEnd w:id="34"/>
      <w:bookmarkEnd w:id="35"/>
      <w:bookmarkEnd w:id="36"/>
      <w:bookmarkEnd w:id="37"/>
      <w:bookmarkEnd w:id="38"/>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本项目的采购人已获得足以支付本次招标后所签订的合同项下的资金（包括财政性资金和本项目采购中无法与财政性资金分割的非财政性资金）。</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    项目预算金额和分项或分包最高限价</w:t>
      </w:r>
      <w:r>
        <w:rPr>
          <w:rFonts w:hint="eastAsia" w:ascii="微软雅黑" w:hAnsi="微软雅黑" w:eastAsia="微软雅黑" w:cs="微软雅黑"/>
          <w:b w:val="0"/>
          <w:i w:val="0"/>
          <w:caps w:val="0"/>
          <w:color w:val="auto"/>
          <w:spacing w:val="0"/>
          <w:w w:val="100"/>
          <w:sz w:val="24"/>
          <w:highlight w:val="none"/>
          <w:u w:val="single" w:color="000000"/>
        </w:rPr>
        <w:t>见供应商须知资料表</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2.3    供应商报价超过磋商文件规定的预算金额或者分项、分包最高限价的，其磋商将被认定为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39" w:name="_Toc20526"/>
      <w:bookmarkStart w:id="40" w:name="_Toc19445"/>
      <w:bookmarkStart w:id="41" w:name="_Toc23939"/>
      <w:bookmarkStart w:id="42" w:name="_Toc515647760"/>
      <w:bookmarkStart w:id="43" w:name="_Toc6076"/>
      <w:bookmarkStart w:id="44" w:name="_Toc28061"/>
      <w:bookmarkStart w:id="45" w:name="_Toc15936"/>
      <w:bookmarkStart w:id="46" w:name="_Toc27717"/>
      <w:bookmarkStart w:id="47" w:name="_Toc15302"/>
      <w:bookmarkStart w:id="48" w:name="_Toc13140"/>
      <w:bookmarkStart w:id="49" w:name="_Toc520356145"/>
      <w:bookmarkStart w:id="50" w:name="_Toc20149"/>
      <w:bookmarkStart w:id="51" w:name="_Toc91"/>
      <w:bookmarkStart w:id="52" w:name="_Toc10954"/>
      <w:bookmarkStart w:id="53" w:name="_Toc30341"/>
      <w:r>
        <w:rPr>
          <w:rFonts w:hint="eastAsia" w:ascii="微软雅黑" w:hAnsi="微软雅黑" w:eastAsia="微软雅黑" w:cs="微软雅黑"/>
          <w:b/>
          <w:i w:val="0"/>
          <w:caps w:val="0"/>
          <w:color w:val="auto"/>
          <w:spacing w:val="0"/>
          <w:w w:val="100"/>
          <w:sz w:val="24"/>
          <w:szCs w:val="24"/>
          <w:highlight w:val="none"/>
          <w:u w:val="single" w:color="000000"/>
        </w:rPr>
        <w:t>3.磋商费用</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不论磋商的结果如何，供应商应承担所有与准备和参加磋商有关的费用。</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54" w:name="_Toc19654"/>
      <w:bookmarkStart w:id="55" w:name="_Toc4449"/>
      <w:bookmarkStart w:id="56" w:name="_Toc29823"/>
      <w:bookmarkStart w:id="57" w:name="_Toc14158"/>
      <w:bookmarkStart w:id="58" w:name="_Toc23553"/>
      <w:bookmarkStart w:id="59" w:name="_Toc15428"/>
      <w:bookmarkStart w:id="60" w:name="_Toc15164"/>
      <w:bookmarkStart w:id="61" w:name="_Toc28093"/>
      <w:bookmarkStart w:id="62" w:name="_Toc4463"/>
      <w:bookmarkStart w:id="63" w:name="_Toc28728"/>
      <w:bookmarkStart w:id="64" w:name="_Toc12571"/>
      <w:bookmarkStart w:id="65" w:name="_Toc515647761"/>
      <w:bookmarkStart w:id="66" w:name="_Toc7327"/>
      <w:bookmarkStart w:id="67" w:name="_Toc6116"/>
      <w:r>
        <w:rPr>
          <w:rFonts w:hint="eastAsia" w:ascii="微软雅黑" w:hAnsi="微软雅黑" w:eastAsia="微软雅黑" w:cs="微软雅黑"/>
          <w:b/>
          <w:i w:val="0"/>
          <w:caps w:val="0"/>
          <w:color w:val="auto"/>
          <w:spacing w:val="0"/>
          <w:w w:val="100"/>
          <w:sz w:val="24"/>
          <w:szCs w:val="24"/>
          <w:highlight w:val="none"/>
          <w:u w:val="single" w:color="000000"/>
        </w:rPr>
        <w:t>4.适用法律</w:t>
      </w:r>
      <w:bookmarkEnd w:id="54"/>
      <w:bookmarkEnd w:id="55"/>
      <w:bookmarkEnd w:id="56"/>
      <w:bookmarkEnd w:id="57"/>
      <w:bookmarkEnd w:id="58"/>
      <w:bookmarkEnd w:id="59"/>
      <w:bookmarkEnd w:id="60"/>
      <w:bookmarkEnd w:id="61"/>
      <w:bookmarkEnd w:id="62"/>
      <w:bookmarkEnd w:id="63"/>
      <w:bookmarkEnd w:id="64"/>
      <w:bookmarkEnd w:id="65"/>
      <w:bookmarkEnd w:id="66"/>
      <w:bookmarkEnd w:id="67"/>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本项目采购人、采购代理机构、供应商、评审委员会的相关行为均受《中华人民共和国政府采购法》、《中华人民共和国政府采购法实施条例》</w:t>
      </w:r>
      <w:r>
        <w:rPr>
          <w:rFonts w:hint="eastAsia" w:ascii="微软雅黑" w:hAnsi="微软雅黑" w:eastAsia="微软雅黑" w:cs="微软雅黑"/>
          <w:b w:val="0"/>
          <w:i w:val="0"/>
          <w:caps w:val="0"/>
          <w:color w:val="auto"/>
          <w:spacing w:val="0"/>
          <w:w w:val="100"/>
          <w:sz w:val="24"/>
          <w:highlight w:val="none"/>
          <w:lang w:eastAsia="zh-CN"/>
        </w:rPr>
        <w:t>、《政府采购竞争性磋商采购方式管理暂行办法》</w:t>
      </w:r>
      <w:r>
        <w:rPr>
          <w:rFonts w:hint="eastAsia" w:ascii="微软雅黑" w:hAnsi="微软雅黑" w:eastAsia="微软雅黑" w:cs="微软雅黑"/>
          <w:b w:val="0"/>
          <w:i w:val="0"/>
          <w:caps w:val="0"/>
          <w:color w:val="auto"/>
          <w:spacing w:val="0"/>
          <w:w w:val="100"/>
          <w:sz w:val="24"/>
          <w:highlight w:val="none"/>
        </w:rPr>
        <w:t>及本项目本级和上级财政部门政府采购有关规定的约束，其权利受到上述法律法规的保护。</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rPr>
      </w:pPr>
      <w:bookmarkStart w:id="68" w:name="_Toc21566"/>
      <w:bookmarkStart w:id="69" w:name="_Toc216582806"/>
      <w:bookmarkStart w:id="70" w:name="_Toc515647762"/>
      <w:bookmarkStart w:id="71" w:name="_Toc4365"/>
      <w:bookmarkStart w:id="72" w:name="_Toc520356146"/>
      <w:bookmarkStart w:id="73" w:name="_Toc11946"/>
      <w:bookmarkStart w:id="74" w:name="_Toc6726"/>
      <w:r>
        <w:rPr>
          <w:rFonts w:hint="eastAsia" w:ascii="微软雅黑" w:hAnsi="微软雅黑" w:eastAsia="微软雅黑" w:cs="微软雅黑"/>
          <w:b/>
          <w:i w:val="0"/>
          <w:caps w:val="0"/>
          <w:color w:val="auto"/>
          <w:spacing w:val="0"/>
          <w:w w:val="100"/>
          <w:sz w:val="24"/>
          <w:szCs w:val="24"/>
          <w:highlight w:val="none"/>
        </w:rPr>
        <w:t xml:space="preserve">二   </w:t>
      </w:r>
      <w:bookmarkEnd w:id="68"/>
      <w:bookmarkEnd w:id="69"/>
      <w:bookmarkEnd w:id="70"/>
      <w:bookmarkEnd w:id="71"/>
      <w:bookmarkEnd w:id="72"/>
      <w:r>
        <w:rPr>
          <w:rFonts w:hint="eastAsia" w:ascii="微软雅黑" w:hAnsi="微软雅黑" w:eastAsia="微软雅黑" w:cs="微软雅黑"/>
          <w:b/>
          <w:i w:val="0"/>
          <w:caps w:val="0"/>
          <w:color w:val="auto"/>
          <w:spacing w:val="0"/>
          <w:w w:val="100"/>
          <w:sz w:val="24"/>
          <w:szCs w:val="24"/>
          <w:highlight w:val="none"/>
        </w:rPr>
        <w:t>磋商文件</w:t>
      </w:r>
      <w:bookmarkEnd w:id="73"/>
      <w:bookmarkEnd w:id="74"/>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75" w:name="_Toc20128"/>
      <w:bookmarkStart w:id="76" w:name="_Toc25743"/>
      <w:bookmarkStart w:id="77" w:name="_Toc27545"/>
      <w:bookmarkStart w:id="78" w:name="_Toc4254"/>
      <w:bookmarkStart w:id="79" w:name="_Toc659"/>
      <w:bookmarkStart w:id="80" w:name="_Toc13013"/>
      <w:bookmarkStart w:id="81" w:name="_Toc27747"/>
      <w:bookmarkStart w:id="82" w:name="_Toc9520"/>
      <w:bookmarkStart w:id="83" w:name="_Toc515647763"/>
      <w:bookmarkStart w:id="84" w:name="_Toc17985"/>
      <w:bookmarkStart w:id="85" w:name="_Toc520356147"/>
      <w:bookmarkStart w:id="86" w:name="_Toc16061"/>
      <w:bookmarkStart w:id="87" w:name="_Toc23456"/>
      <w:bookmarkStart w:id="88" w:name="_Toc14084"/>
      <w:bookmarkStart w:id="89" w:name="_Toc25524"/>
      <w:r>
        <w:rPr>
          <w:rFonts w:hint="eastAsia" w:ascii="微软雅黑" w:hAnsi="微软雅黑" w:eastAsia="微软雅黑" w:cs="微软雅黑"/>
          <w:b/>
          <w:i w:val="0"/>
          <w:caps w:val="0"/>
          <w:color w:val="auto"/>
          <w:spacing w:val="0"/>
          <w:w w:val="100"/>
          <w:sz w:val="24"/>
          <w:szCs w:val="24"/>
          <w:highlight w:val="none"/>
          <w:u w:val="single" w:color="000000"/>
        </w:rPr>
        <w:t>5.磋商文件构成</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磋商文件分为三册共7章，内容如下：</w:t>
      </w:r>
    </w:p>
    <w:p>
      <w:pPr>
        <w:shd w:val="clear"/>
        <w:snapToGrid w:val="0"/>
        <w:spacing w:before="0" w:beforeAutospacing="0" w:after="0" w:afterAutospacing="0" w:line="240" w:lineRule="atLeast"/>
        <w:ind w:left="1079" w:leftChars="428" w:hangingChars="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第一册</w:t>
      </w:r>
    </w:p>
    <w:p>
      <w:pPr>
        <w:numPr>
          <w:ilvl w:val="0"/>
          <w:numId w:val="3"/>
        </w:numPr>
        <w:shd w:val="clear"/>
        <w:tabs>
          <w:tab w:val="left" w:pos="0"/>
        </w:tabs>
        <w:snapToGrid w:val="0"/>
        <w:spacing w:before="0" w:beforeAutospacing="0" w:after="0" w:afterAutospacing="0" w:line="240" w:lineRule="atLeast"/>
        <w:ind w:hanging="829"/>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供应商须知</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响应文件格式</w:t>
      </w:r>
    </w:p>
    <w:p>
      <w:p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第二册</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磋商邀请</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供应商须知资料表</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w:t>
      </w:r>
      <w:r>
        <w:rPr>
          <w:rFonts w:hint="eastAsia" w:ascii="微软雅黑" w:hAnsi="微软雅黑" w:eastAsia="微软雅黑" w:cs="微软雅黑"/>
          <w:b w:val="0"/>
          <w:i w:val="0"/>
          <w:caps w:val="0"/>
          <w:color w:val="auto"/>
          <w:spacing w:val="0"/>
          <w:w w:val="100"/>
          <w:sz w:val="24"/>
          <w:highlight w:val="none"/>
          <w:lang w:val="en-US" w:eastAsia="zh-CN"/>
        </w:rPr>
        <w:t>服务</w:t>
      </w:r>
      <w:r>
        <w:rPr>
          <w:rFonts w:hint="eastAsia" w:ascii="微软雅黑" w:hAnsi="微软雅黑" w:eastAsia="微软雅黑" w:cs="微软雅黑"/>
          <w:b w:val="0"/>
          <w:i w:val="0"/>
          <w:caps w:val="0"/>
          <w:color w:val="auto"/>
          <w:spacing w:val="0"/>
          <w:w w:val="100"/>
          <w:sz w:val="24"/>
          <w:highlight w:val="none"/>
        </w:rPr>
        <w:t>需求一览表及技术规格</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评审方法和标准</w:t>
      </w:r>
    </w:p>
    <w:p>
      <w:pPr>
        <w:shd w:val="clear"/>
        <w:snapToGrid w:val="0"/>
        <w:spacing w:before="0" w:beforeAutospacing="0" w:after="0" w:afterAutospacing="0" w:line="240" w:lineRule="atLeast"/>
        <w:ind w:left="901"/>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第三册</w:t>
      </w:r>
    </w:p>
    <w:p>
      <w:pPr>
        <w:numPr>
          <w:ilvl w:val="0"/>
          <w:numId w:val="0"/>
        </w:numPr>
        <w:shd w:val="clear"/>
        <w:snapToGrid w:val="0"/>
        <w:spacing w:before="0" w:beforeAutospacing="0" w:after="0" w:afterAutospacing="0" w:line="240" w:lineRule="atLeast"/>
        <w:ind w:leftChars="442"/>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 xml:space="preserve">第7章 </w:t>
      </w:r>
      <w:r>
        <w:rPr>
          <w:rFonts w:hint="eastAsia" w:ascii="微软雅黑" w:hAnsi="微软雅黑" w:eastAsia="微软雅黑" w:cs="微软雅黑"/>
          <w:b w:val="0"/>
          <w:i w:val="0"/>
          <w:caps w:val="0"/>
          <w:color w:val="auto"/>
          <w:spacing w:val="0"/>
          <w:w w:val="100"/>
          <w:sz w:val="24"/>
          <w:highlight w:val="none"/>
        </w:rPr>
        <w:t>政府采购合同格式</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如本文件的前后内容不一致，以最后描述为准。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5.3    供应商应认真阅读磋商文件所有的事项、格式、条款和技术规范等。如供应商没有按照磋商文件要求提交全部资料，或者磋商文件没有对磋商文件在各方面都做出实质性响应，可能导致其磋商将被认定为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90" w:name="_Toc515904805"/>
      <w:bookmarkStart w:id="91" w:name="_Toc520356148"/>
      <w:bookmarkStart w:id="92" w:name="_Toc19969"/>
      <w:bookmarkStart w:id="93" w:name="_Toc5443"/>
      <w:bookmarkStart w:id="94" w:name="_Toc8912"/>
      <w:bookmarkStart w:id="95" w:name="_Toc6163"/>
      <w:bookmarkStart w:id="96" w:name="_Toc11954"/>
      <w:bookmarkStart w:id="97" w:name="_Toc23598"/>
      <w:bookmarkStart w:id="98" w:name="_Toc26044"/>
      <w:bookmarkStart w:id="99" w:name="_Toc5371"/>
      <w:bookmarkStart w:id="100" w:name="_Toc9232"/>
      <w:bookmarkStart w:id="101" w:name="_Toc5923"/>
      <w:bookmarkStart w:id="102" w:name="_Toc29529"/>
      <w:bookmarkStart w:id="103" w:name="_Toc19643"/>
      <w:bookmarkStart w:id="104" w:name="_Toc73"/>
      <w:r>
        <w:rPr>
          <w:rFonts w:hint="eastAsia" w:ascii="微软雅黑" w:hAnsi="微软雅黑" w:eastAsia="微软雅黑" w:cs="微软雅黑"/>
          <w:b/>
          <w:i w:val="0"/>
          <w:caps w:val="0"/>
          <w:color w:val="auto"/>
          <w:spacing w:val="0"/>
          <w:w w:val="100"/>
          <w:sz w:val="24"/>
          <w:szCs w:val="24"/>
          <w:highlight w:val="none"/>
          <w:u w:val="single" w:color="000000"/>
        </w:rPr>
        <w:t>6.磋商文件的澄清</w:t>
      </w:r>
      <w:bookmarkEnd w:id="90"/>
      <w:bookmarkEnd w:id="91"/>
      <w:r>
        <w:rPr>
          <w:rFonts w:hint="eastAsia" w:ascii="微软雅黑" w:hAnsi="微软雅黑" w:eastAsia="微软雅黑" w:cs="微软雅黑"/>
          <w:b/>
          <w:i w:val="0"/>
          <w:caps w:val="0"/>
          <w:color w:val="auto"/>
          <w:spacing w:val="0"/>
          <w:w w:val="100"/>
          <w:sz w:val="24"/>
          <w:szCs w:val="24"/>
          <w:highlight w:val="none"/>
          <w:u w:val="single" w:color="000000"/>
        </w:rPr>
        <w:t>与修改</w:t>
      </w:r>
      <w:bookmarkEnd w:id="92"/>
      <w:bookmarkEnd w:id="93"/>
      <w:bookmarkEnd w:id="94"/>
      <w:bookmarkEnd w:id="95"/>
      <w:bookmarkEnd w:id="96"/>
      <w:bookmarkEnd w:id="97"/>
      <w:bookmarkEnd w:id="98"/>
      <w:bookmarkEnd w:id="99"/>
      <w:bookmarkEnd w:id="100"/>
      <w:bookmarkEnd w:id="101"/>
      <w:bookmarkEnd w:id="102"/>
      <w:bookmarkEnd w:id="103"/>
      <w:bookmarkEnd w:id="104"/>
    </w:p>
    <w:p>
      <w:pPr>
        <w:pStyle w:val="3"/>
        <w:shd w:val="clear"/>
        <w:snapToGrid w:val="0"/>
        <w:spacing w:before="0" w:beforeAutospacing="0" w:after="0" w:afterAutospacing="0" w:line="240" w:lineRule="auto"/>
        <w:ind w:hangingChars="35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6.1    为了保证对磋商文件的澄清和修改满足法律的时限要求，任何要求对磋商文件进行澄清的供应商，均应在磋商截止期</w:t>
      </w:r>
      <w:r>
        <w:rPr>
          <w:rFonts w:hint="eastAsia" w:ascii="微软雅黑" w:hAnsi="微软雅黑" w:eastAsia="微软雅黑" w:cs="微软雅黑"/>
          <w:b w:val="0"/>
          <w:i w:val="0"/>
          <w:caps w:val="0"/>
          <w:color w:val="auto"/>
          <w:spacing w:val="0"/>
          <w:w w:val="100"/>
          <w:sz w:val="24"/>
          <w:szCs w:val="24"/>
          <w:highlight w:val="none"/>
          <w:lang w:val="en-US" w:eastAsia="zh-CN"/>
        </w:rPr>
        <w:t>5</w:t>
      </w:r>
      <w:r>
        <w:rPr>
          <w:rFonts w:hint="eastAsia" w:ascii="微软雅黑" w:hAnsi="微软雅黑" w:eastAsia="微软雅黑" w:cs="微软雅黑"/>
          <w:b w:val="0"/>
          <w:i w:val="0"/>
          <w:caps w:val="0"/>
          <w:color w:val="auto"/>
          <w:spacing w:val="0"/>
          <w:w w:val="100"/>
          <w:sz w:val="24"/>
          <w:szCs w:val="24"/>
          <w:highlight w:val="none"/>
        </w:rPr>
        <w:t>日前，以书面形式将澄清要求通知采购人或采购代理机构。</w:t>
      </w:r>
    </w:p>
    <w:p>
      <w:pPr>
        <w:pStyle w:val="3"/>
        <w:shd w:val="clear"/>
        <w:snapToGrid w:val="0"/>
        <w:spacing w:before="0" w:beforeAutospacing="0" w:after="0" w:afterAutospacing="0" w:line="240" w:lineRule="auto"/>
        <w:ind w:hangingChars="350"/>
        <w:jc w:val="left"/>
        <w:textAlignment w:val="baseline"/>
        <w:rPr>
          <w:rFonts w:hint="eastAsia" w:ascii="微软雅黑" w:hAnsi="微软雅黑" w:eastAsia="微软雅黑" w:cs="微软雅黑"/>
          <w:b w:val="0"/>
          <w:i w:val="0"/>
          <w:caps w:val="0"/>
          <w:color w:val="auto"/>
          <w:spacing w:val="0"/>
          <w:w w:val="100"/>
          <w:sz w:val="24"/>
          <w:szCs w:val="24"/>
          <w:highlight w:val="none"/>
        </w:rPr>
      </w:pPr>
      <w:bookmarkStart w:id="105" w:name="_Toc520356149"/>
      <w:bookmarkStart w:id="106" w:name="_Toc515904806"/>
      <w:bookmarkStart w:id="107" w:name="_Ref467378678"/>
      <w:r>
        <w:rPr>
          <w:rFonts w:hint="eastAsia" w:ascii="微软雅黑" w:hAnsi="微软雅黑" w:eastAsia="微软雅黑" w:cs="微软雅黑"/>
          <w:b w:val="0"/>
          <w:i w:val="0"/>
          <w:caps w:val="0"/>
          <w:color w:val="auto"/>
          <w:spacing w:val="0"/>
          <w:w w:val="100"/>
          <w:sz w:val="24"/>
          <w:szCs w:val="24"/>
          <w:highlight w:val="none"/>
        </w:rPr>
        <w:t>6.2</w:t>
      </w:r>
      <w:r>
        <w:rPr>
          <w:rFonts w:hint="eastAsia" w:ascii="微软雅黑" w:hAnsi="微软雅黑" w:eastAsia="微软雅黑" w:cs="微软雅黑"/>
          <w:b w:val="0"/>
          <w:i w:val="0"/>
          <w:caps w:val="0"/>
          <w:color w:val="auto"/>
          <w:spacing w:val="0"/>
          <w:w w:val="100"/>
          <w:sz w:val="24"/>
          <w:szCs w:val="24"/>
          <w:highlight w:val="none"/>
        </w:rPr>
        <w:tab/>
      </w:r>
      <w:r>
        <w:rPr>
          <w:rFonts w:hint="eastAsia" w:ascii="微软雅黑" w:hAnsi="微软雅黑" w:eastAsia="微软雅黑" w:cs="微软雅黑"/>
          <w:b w:val="0"/>
          <w:i w:val="0"/>
          <w:caps w:val="0"/>
          <w:color w:val="auto"/>
          <w:spacing w:val="0"/>
          <w:w w:val="100"/>
          <w:sz w:val="24"/>
          <w:szCs w:val="24"/>
          <w:highlight w:val="none"/>
        </w:rPr>
        <w:t>采购人可主动地或在解答供应商提出的澄清问题时对磋商文件进行澄清或修改。采购代理机构将以发布澄清（更正）公告的方式，澄清或修改磋商文件，澄清或修改内容作为磋商文件的组成部分。</w:t>
      </w:r>
    </w:p>
    <w:p>
      <w:pPr>
        <w:pStyle w:val="3"/>
        <w:shd w:val="clear"/>
        <w:snapToGrid w:val="0"/>
        <w:spacing w:before="0" w:beforeAutospacing="0" w:after="0" w:afterAutospacing="0" w:line="240" w:lineRule="auto"/>
        <w:ind w:hangingChars="35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6.3</w:t>
      </w:r>
      <w:r>
        <w:rPr>
          <w:rFonts w:hint="eastAsia" w:ascii="微软雅黑" w:hAnsi="微软雅黑" w:eastAsia="微软雅黑" w:cs="微软雅黑"/>
          <w:b w:val="0"/>
          <w:i w:val="0"/>
          <w:caps w:val="0"/>
          <w:color w:val="auto"/>
          <w:spacing w:val="0"/>
          <w:w w:val="100"/>
          <w:sz w:val="24"/>
          <w:szCs w:val="24"/>
          <w:highlight w:val="none"/>
        </w:rPr>
        <w:tab/>
      </w:r>
      <w:r>
        <w:rPr>
          <w:rFonts w:hint="eastAsia" w:ascii="微软雅黑" w:hAnsi="微软雅黑" w:eastAsia="微软雅黑" w:cs="微软雅黑"/>
          <w:b w:val="0"/>
          <w:i w:val="0"/>
          <w:caps w:val="0"/>
          <w:color w:val="auto"/>
          <w:spacing w:val="0"/>
          <w:w w:val="100"/>
          <w:sz w:val="24"/>
          <w:szCs w:val="24"/>
          <w:highlight w:val="none"/>
        </w:rPr>
        <w:t>澄清或者修改的内容可能影响磋商文件编制的，采购代理机构将以书面形式通知所有购买磋商文件的潜在供应商，并对其具有约束力。供应商在收到上述通知后，应及时向采购代理机构回函确认。</w:t>
      </w:r>
    </w:p>
    <w:p>
      <w:pPr>
        <w:pStyle w:val="2"/>
        <w:shd w:val="clear"/>
        <w:tabs>
          <w:tab w:val="left" w:pos="900"/>
        </w:tabs>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108" w:name="_Toc16792"/>
      <w:bookmarkStart w:id="109" w:name="_Toc14294"/>
      <w:bookmarkStart w:id="110" w:name="_Toc27231"/>
      <w:bookmarkStart w:id="111" w:name="_Toc5970"/>
      <w:bookmarkStart w:id="112" w:name="_Toc12376"/>
      <w:bookmarkStart w:id="113" w:name="_Toc12135"/>
      <w:bookmarkStart w:id="114" w:name="_Toc20247"/>
      <w:bookmarkStart w:id="115" w:name="_Toc26648"/>
      <w:bookmarkStart w:id="116" w:name="_Toc16843"/>
      <w:bookmarkStart w:id="117" w:name="_Toc25635"/>
      <w:bookmarkStart w:id="118" w:name="_Toc11744"/>
      <w:bookmarkStart w:id="119" w:name="_Toc14569"/>
      <w:bookmarkStart w:id="120" w:name="_Toc3801"/>
      <w:r>
        <w:rPr>
          <w:rFonts w:hint="eastAsia" w:ascii="微软雅黑" w:hAnsi="微软雅黑" w:eastAsia="微软雅黑" w:cs="微软雅黑"/>
          <w:b/>
          <w:i w:val="0"/>
          <w:caps w:val="0"/>
          <w:color w:val="auto"/>
          <w:spacing w:val="0"/>
          <w:w w:val="100"/>
          <w:sz w:val="24"/>
          <w:szCs w:val="24"/>
          <w:highlight w:val="none"/>
          <w:u w:val="single" w:color="000000"/>
        </w:rPr>
        <w:t>7</w:t>
      </w:r>
      <w:bookmarkEnd w:id="105"/>
      <w:bookmarkEnd w:id="106"/>
      <w:bookmarkEnd w:id="107"/>
      <w:r>
        <w:rPr>
          <w:rFonts w:hint="eastAsia" w:ascii="微软雅黑" w:hAnsi="微软雅黑" w:eastAsia="微软雅黑" w:cs="微软雅黑"/>
          <w:b/>
          <w:i w:val="0"/>
          <w:caps w:val="0"/>
          <w:color w:val="auto"/>
          <w:spacing w:val="0"/>
          <w:w w:val="100"/>
          <w:sz w:val="24"/>
          <w:szCs w:val="24"/>
          <w:highlight w:val="none"/>
          <w:u w:val="single" w:color="000000"/>
        </w:rPr>
        <w:t>.磋商截止时间的顺延</w:t>
      </w:r>
      <w:bookmarkEnd w:id="108"/>
      <w:bookmarkEnd w:id="109"/>
      <w:bookmarkEnd w:id="110"/>
      <w:bookmarkEnd w:id="111"/>
      <w:bookmarkEnd w:id="112"/>
      <w:bookmarkEnd w:id="113"/>
      <w:bookmarkEnd w:id="114"/>
      <w:bookmarkEnd w:id="115"/>
      <w:bookmarkEnd w:id="116"/>
      <w:bookmarkEnd w:id="117"/>
      <w:bookmarkEnd w:id="118"/>
      <w:bookmarkEnd w:id="119"/>
      <w:bookmarkEnd w:id="120"/>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为使供应商准备磋商时有足够的时间对磋商文件的澄清或者修改部分进行研究，采购人将依法决定是否顺延磋商截止时间。</w:t>
      </w:r>
    </w:p>
    <w:p>
      <w:pPr>
        <w:pStyle w:val="6"/>
        <w:shd w:val="clear"/>
        <w:tabs>
          <w:tab w:val="left" w:pos="90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8"/>
          <w:highlight w:val="none"/>
        </w:rPr>
      </w:pPr>
      <w:bookmarkStart w:id="121" w:name="_Toc516367020"/>
      <w:bookmarkStart w:id="122" w:name="_Toc14732"/>
      <w:bookmarkStart w:id="123" w:name="_Toc19769"/>
      <w:bookmarkStart w:id="124" w:name="_Toc7636"/>
      <w:bookmarkStart w:id="125" w:name="_Toc520356150"/>
      <w:bookmarkStart w:id="126" w:name="_Toc216582807"/>
      <w:bookmarkStart w:id="127" w:name="_Toc30808"/>
      <w:bookmarkStart w:id="128" w:name="_Toc515647766"/>
      <w:bookmarkStart w:id="129" w:name="_Toc18070"/>
      <w:r>
        <w:rPr>
          <w:rFonts w:hint="eastAsia" w:ascii="微软雅黑" w:hAnsi="微软雅黑" w:eastAsia="微软雅黑" w:cs="微软雅黑"/>
          <w:b/>
          <w:i w:val="0"/>
          <w:caps w:val="0"/>
          <w:color w:val="auto"/>
          <w:spacing w:val="0"/>
          <w:w w:val="100"/>
          <w:sz w:val="28"/>
          <w:highlight w:val="none"/>
        </w:rPr>
        <w:t xml:space="preserve">三   </w:t>
      </w:r>
      <w:bookmarkEnd w:id="121"/>
      <w:r>
        <w:rPr>
          <w:rFonts w:hint="eastAsia" w:ascii="微软雅黑" w:hAnsi="微软雅黑" w:eastAsia="微软雅黑" w:cs="微软雅黑"/>
          <w:b/>
          <w:i w:val="0"/>
          <w:caps w:val="0"/>
          <w:color w:val="auto"/>
          <w:spacing w:val="0"/>
          <w:w w:val="100"/>
          <w:sz w:val="28"/>
          <w:highlight w:val="none"/>
        </w:rPr>
        <w:t>响应文件的编制</w:t>
      </w:r>
      <w:bookmarkEnd w:id="122"/>
      <w:bookmarkEnd w:id="123"/>
      <w:bookmarkEnd w:id="124"/>
      <w:bookmarkEnd w:id="125"/>
      <w:bookmarkEnd w:id="126"/>
      <w:bookmarkEnd w:id="127"/>
      <w:bookmarkEnd w:id="128"/>
      <w:bookmarkEnd w:id="129"/>
    </w:p>
    <w:p>
      <w:pPr>
        <w:pStyle w:val="3"/>
        <w:shd w:val="clear"/>
        <w:snapToGrid w:val="0"/>
        <w:spacing w:before="0" w:beforeAutospacing="0" w:after="0" w:afterAutospacing="0" w:line="240" w:lineRule="auto"/>
        <w:ind w:firstLine="420"/>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2"/>
        <w:shd w:val="clear"/>
        <w:tabs>
          <w:tab w:val="left" w:pos="900"/>
        </w:tabs>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130" w:name="_Toc7786"/>
      <w:bookmarkStart w:id="131" w:name="_Toc520356151"/>
      <w:bookmarkStart w:id="132" w:name="_Toc19934"/>
      <w:bookmarkStart w:id="133" w:name="_Toc1766"/>
      <w:bookmarkStart w:id="134" w:name="_Toc3553"/>
      <w:bookmarkStart w:id="135" w:name="_Toc31904"/>
      <w:bookmarkStart w:id="136" w:name="_Toc19644"/>
      <w:bookmarkStart w:id="137" w:name="_Toc21065"/>
      <w:bookmarkStart w:id="138" w:name="_Toc21122"/>
      <w:bookmarkStart w:id="139" w:name="_Toc516367021"/>
      <w:bookmarkStart w:id="140" w:name="_Toc12595"/>
      <w:bookmarkStart w:id="141" w:name="_Toc11594"/>
      <w:bookmarkStart w:id="142" w:name="_Toc4525"/>
      <w:bookmarkStart w:id="143" w:name="_Toc515647767"/>
      <w:bookmarkStart w:id="144" w:name="_Toc14330"/>
      <w:bookmarkStart w:id="145" w:name="_Toc21848"/>
      <w:bookmarkStart w:id="146" w:name="_Toc24456"/>
      <w:r>
        <w:rPr>
          <w:rFonts w:hint="eastAsia" w:ascii="微软雅黑" w:hAnsi="微软雅黑" w:eastAsia="微软雅黑" w:cs="微软雅黑"/>
          <w:b/>
          <w:i w:val="0"/>
          <w:caps w:val="0"/>
          <w:color w:val="auto"/>
          <w:spacing w:val="0"/>
          <w:w w:val="100"/>
          <w:sz w:val="24"/>
          <w:highlight w:val="none"/>
          <w:u w:val="single" w:color="000000"/>
        </w:rPr>
        <w:t>8.</w:t>
      </w:r>
      <w:r>
        <w:rPr>
          <w:rFonts w:hint="eastAsia" w:ascii="微软雅黑" w:hAnsi="微软雅黑" w:eastAsia="微软雅黑" w:cs="微软雅黑"/>
          <w:b/>
          <w:i w:val="0"/>
          <w:caps w:val="0"/>
          <w:color w:val="auto"/>
          <w:spacing w:val="0"/>
          <w:w w:val="100"/>
          <w:sz w:val="24"/>
          <w:highlight w:val="none"/>
          <w:u w:val="single" w:color="000000"/>
        </w:rPr>
        <w:tab/>
      </w:r>
      <w:r>
        <w:rPr>
          <w:rFonts w:hint="eastAsia" w:ascii="微软雅黑" w:hAnsi="微软雅黑" w:eastAsia="微软雅黑" w:cs="微软雅黑"/>
          <w:b/>
          <w:i w:val="0"/>
          <w:caps w:val="0"/>
          <w:color w:val="auto"/>
          <w:spacing w:val="0"/>
          <w:w w:val="100"/>
          <w:sz w:val="24"/>
          <w:highlight w:val="none"/>
          <w:u w:val="single" w:color="000000"/>
        </w:rPr>
        <w:t>磋商范围及响应文件成交准和计量单位的使用</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项目有分包的，供应商可对磋商文件其中某一个或几个分包</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进行磋商，除非在</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中另有规定。</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8.2     供应商应当对所投分包磋商文件中“</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需求”所列的所有内容进行磋商，如仅响应某一包中的部分内容，其该包磋商将被认定为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8.3     无论磋商文件第5章</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需求一览表及技术规格中是否要求，供应商所投</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均应符合国家强制性标准。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8.4     除磋商文件中有特殊要求外，响应文件中所使用的计量单位，应采用中华人民共和国法定计量单位。</w:t>
      </w:r>
    </w:p>
    <w:p>
      <w:pPr>
        <w:pStyle w:val="2"/>
        <w:shd w:val="clear"/>
        <w:tabs>
          <w:tab w:val="left" w:pos="900"/>
        </w:tabs>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147" w:name="_Ref467306676"/>
      <w:bookmarkStart w:id="148" w:name="_Ref467306195"/>
      <w:bookmarkStart w:id="149" w:name="_Toc516367022"/>
      <w:bookmarkStart w:id="150" w:name="_Toc515647768"/>
      <w:bookmarkStart w:id="151" w:name="_Toc26502"/>
      <w:bookmarkStart w:id="152" w:name="_Toc520356152"/>
      <w:bookmarkStart w:id="153" w:name="_Toc10364"/>
      <w:bookmarkStart w:id="154" w:name="_Toc26395"/>
      <w:bookmarkStart w:id="155" w:name="_Toc2582"/>
      <w:bookmarkStart w:id="156" w:name="_Toc22161"/>
      <w:bookmarkStart w:id="157" w:name="_Toc3006"/>
      <w:bookmarkStart w:id="158" w:name="_Toc13837"/>
      <w:bookmarkStart w:id="159" w:name="_Toc28670"/>
      <w:bookmarkStart w:id="160" w:name="_Toc19294"/>
      <w:bookmarkStart w:id="161" w:name="_Toc28307"/>
      <w:bookmarkStart w:id="162" w:name="_Toc28016"/>
      <w:bookmarkStart w:id="163" w:name="_Toc17682"/>
      <w:bookmarkStart w:id="164" w:name="_Toc5216"/>
      <w:bookmarkStart w:id="165" w:name="_Toc2709"/>
      <w:r>
        <w:rPr>
          <w:rFonts w:hint="eastAsia" w:ascii="微软雅黑" w:hAnsi="微软雅黑" w:eastAsia="微软雅黑" w:cs="微软雅黑"/>
          <w:b/>
          <w:i w:val="0"/>
          <w:caps w:val="0"/>
          <w:color w:val="auto"/>
          <w:spacing w:val="0"/>
          <w:w w:val="100"/>
          <w:sz w:val="24"/>
          <w:highlight w:val="none"/>
          <w:u w:val="single" w:color="000000"/>
        </w:rPr>
        <w:t>9.</w:t>
      </w:r>
      <w:bookmarkEnd w:id="147"/>
      <w:bookmarkEnd w:id="148"/>
      <w:bookmarkEnd w:id="149"/>
      <w:r>
        <w:rPr>
          <w:rFonts w:hint="eastAsia" w:ascii="微软雅黑" w:hAnsi="微软雅黑" w:eastAsia="微软雅黑" w:cs="微软雅黑"/>
          <w:b/>
          <w:i w:val="0"/>
          <w:caps w:val="0"/>
          <w:color w:val="auto"/>
          <w:spacing w:val="0"/>
          <w:w w:val="100"/>
          <w:sz w:val="24"/>
          <w:highlight w:val="none"/>
          <w:u w:val="single" w:color="000000"/>
        </w:rPr>
        <w:t>响应文件构成</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shd w:val="clear"/>
        <w:tabs>
          <w:tab w:val="left" w:pos="900"/>
          <w:tab w:val="left" w:pos="5580"/>
        </w:tabs>
        <w:snapToGrid w:val="0"/>
        <w:spacing w:before="0" w:beforeAutospacing="0" w:after="0" w:afterAutospacing="0" w:line="240" w:lineRule="atLeast"/>
        <w:ind w:hangingChars="400"/>
        <w:jc w:val="left"/>
        <w:textAlignment w:val="baseline"/>
        <w:rPr>
          <w:rFonts w:hint="eastAsia" w:ascii="微软雅黑" w:hAnsi="微软雅黑" w:eastAsia="微软雅黑" w:cs="微软雅黑"/>
          <w:b w:val="0"/>
          <w:i w:val="0"/>
          <w:caps w:val="0"/>
          <w:color w:val="auto"/>
          <w:spacing w:val="0"/>
          <w:w w:val="100"/>
          <w:sz w:val="24"/>
          <w:highlight w:val="none"/>
          <w:u w:val="single" w:color="000000"/>
        </w:rPr>
      </w:pPr>
      <w:bookmarkStart w:id="166" w:name="_Ref467052588"/>
      <w:r>
        <w:rPr>
          <w:rFonts w:hint="eastAsia" w:ascii="微软雅黑" w:hAnsi="微软雅黑" w:eastAsia="微软雅黑" w:cs="微软雅黑"/>
          <w:b w:val="0"/>
          <w:i w:val="0"/>
          <w:caps w:val="0"/>
          <w:color w:val="auto"/>
          <w:spacing w:val="0"/>
          <w:w w:val="100"/>
          <w:sz w:val="24"/>
          <w:highlight w:val="none"/>
        </w:rPr>
        <w:t xml:space="preserve">9.1     </w:t>
      </w:r>
      <w:r>
        <w:rPr>
          <w:rFonts w:hint="eastAsia" w:ascii="微软雅黑" w:hAnsi="微软雅黑" w:eastAsia="微软雅黑" w:cs="微软雅黑"/>
          <w:b w:val="0"/>
          <w:i w:val="0"/>
          <w:caps w:val="0"/>
          <w:color w:val="auto"/>
          <w:spacing w:val="0"/>
          <w:w w:val="100"/>
          <w:sz w:val="24"/>
          <w:highlight w:val="none"/>
          <w:u w:val="single" w:color="000000"/>
        </w:rPr>
        <w:t>供应商应完整地按磋商文件提供的响应文件格式及要求</w:t>
      </w:r>
      <w:r>
        <w:rPr>
          <w:rFonts w:hint="eastAsia" w:ascii="微软雅黑" w:hAnsi="微软雅黑" w:eastAsia="微软雅黑" w:cs="微软雅黑"/>
          <w:b w:val="0"/>
          <w:i w:val="0"/>
          <w:caps w:val="0"/>
          <w:color w:val="auto"/>
          <w:spacing w:val="0"/>
          <w:w w:val="100"/>
          <w:sz w:val="24"/>
          <w:highlight w:val="none"/>
          <w:u w:val="single" w:color="000000"/>
          <w:lang w:eastAsia="zh-Hans"/>
        </w:rPr>
        <w:t>编写</w:t>
      </w:r>
      <w:r>
        <w:rPr>
          <w:rFonts w:hint="eastAsia" w:ascii="微软雅黑" w:hAnsi="微软雅黑" w:eastAsia="微软雅黑" w:cs="微软雅黑"/>
          <w:b w:val="0"/>
          <w:i w:val="0"/>
          <w:caps w:val="0"/>
          <w:color w:val="auto"/>
          <w:spacing w:val="0"/>
          <w:w w:val="100"/>
          <w:sz w:val="24"/>
          <w:highlight w:val="none"/>
          <w:u w:val="single" w:color="000000"/>
        </w:rPr>
        <w:t>响应文件，响应文件应包括“</w:t>
      </w:r>
      <w:r>
        <w:rPr>
          <w:rFonts w:hint="eastAsia" w:ascii="微软雅黑" w:hAnsi="微软雅黑" w:eastAsia="微软雅黑" w:cs="微软雅黑"/>
          <w:b w:val="0"/>
          <w:i w:val="0"/>
          <w:caps w:val="0"/>
          <w:color w:val="auto"/>
          <w:spacing w:val="0"/>
          <w:w w:val="100"/>
          <w:sz w:val="24"/>
          <w:highlight w:val="none"/>
          <w:u w:val="single" w:color="000000"/>
          <w:lang w:eastAsia="zh-CN"/>
        </w:rPr>
        <w:t>磋商报价表</w:t>
      </w:r>
      <w:r>
        <w:rPr>
          <w:rFonts w:hint="eastAsia" w:ascii="微软雅黑" w:hAnsi="微软雅黑" w:eastAsia="微软雅黑" w:cs="微软雅黑"/>
          <w:b w:val="0"/>
          <w:i w:val="0"/>
          <w:caps w:val="0"/>
          <w:color w:val="auto"/>
          <w:spacing w:val="0"/>
          <w:w w:val="100"/>
          <w:sz w:val="24"/>
          <w:highlight w:val="none"/>
          <w:u w:val="single" w:color="000000"/>
        </w:rPr>
        <w:t>及资格证明文件”和“商务及技术文件”两部分。两部分合订成一册，递交。供应商应承担封装失误产生的任何后果。</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9.2    上述文件应按照磋商文件规定的格式填写、签署和盖章。</w:t>
      </w:r>
      <w:bookmarkEnd w:id="166"/>
    </w:p>
    <w:p>
      <w:pPr>
        <w:pStyle w:val="2"/>
        <w:shd w:val="clear"/>
        <w:tabs>
          <w:tab w:val="left" w:pos="900"/>
        </w:tabs>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167" w:name="_Toc17944"/>
      <w:bookmarkStart w:id="168" w:name="_Toc28330"/>
      <w:bookmarkStart w:id="169" w:name="_Toc5860"/>
      <w:bookmarkStart w:id="170" w:name="_Toc22481"/>
      <w:bookmarkStart w:id="171" w:name="_Toc4601"/>
      <w:bookmarkStart w:id="172" w:name="_Toc21741"/>
      <w:bookmarkStart w:id="173" w:name="_Toc6860"/>
      <w:bookmarkStart w:id="174" w:name="_Toc516367023"/>
      <w:bookmarkStart w:id="175" w:name="_Toc520356153"/>
      <w:bookmarkStart w:id="176" w:name="_Toc4291"/>
      <w:bookmarkStart w:id="177" w:name="_Toc8626"/>
      <w:bookmarkStart w:id="178" w:name="_Toc515647769"/>
      <w:bookmarkStart w:id="179" w:name="_Toc870"/>
      <w:bookmarkStart w:id="180" w:name="_Toc5569"/>
      <w:bookmarkStart w:id="181" w:name="_Toc7672"/>
      <w:bookmarkStart w:id="182" w:name="_Toc13026"/>
      <w:bookmarkStart w:id="183" w:name="_Toc10379"/>
      <w:r>
        <w:rPr>
          <w:rFonts w:hint="eastAsia" w:ascii="微软雅黑" w:hAnsi="微软雅黑" w:eastAsia="微软雅黑" w:cs="微软雅黑"/>
          <w:b/>
          <w:i w:val="0"/>
          <w:caps w:val="0"/>
          <w:color w:val="auto"/>
          <w:spacing w:val="0"/>
          <w:w w:val="100"/>
          <w:sz w:val="24"/>
          <w:highlight w:val="none"/>
          <w:u w:val="single" w:color="000000"/>
        </w:rPr>
        <w:t>10.</w:t>
      </w:r>
      <w:r>
        <w:rPr>
          <w:rFonts w:hint="eastAsia" w:ascii="微软雅黑" w:hAnsi="微软雅黑" w:eastAsia="微软雅黑" w:cs="微软雅黑"/>
          <w:b/>
          <w:i w:val="0"/>
          <w:caps w:val="0"/>
          <w:color w:val="auto"/>
          <w:spacing w:val="0"/>
          <w:w w:val="100"/>
          <w:sz w:val="24"/>
          <w:highlight w:val="none"/>
          <w:u w:val="single" w:color="000000"/>
        </w:rPr>
        <w:tab/>
      </w:r>
      <w:r>
        <w:rPr>
          <w:rFonts w:hint="eastAsia" w:ascii="微软雅黑" w:hAnsi="微软雅黑" w:eastAsia="微软雅黑" w:cs="微软雅黑"/>
          <w:b/>
          <w:i w:val="0"/>
          <w:caps w:val="0"/>
          <w:color w:val="auto"/>
          <w:spacing w:val="0"/>
          <w:w w:val="100"/>
          <w:sz w:val="24"/>
          <w:highlight w:val="none"/>
          <w:u w:val="single" w:color="000000"/>
        </w:rPr>
        <w:t>证明磋商标的的合格性和符合磋商文件规定的技术文件</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供应商应提交证明文件，证明其磋商内容符合磋商文件规定。该证明文件是响应文件的一部分。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184" w:name="_Ref467306244"/>
      <w:r>
        <w:rPr>
          <w:rFonts w:hint="eastAsia" w:ascii="微软雅黑" w:hAnsi="微软雅黑" w:eastAsia="微软雅黑" w:cs="微软雅黑"/>
          <w:b w:val="0"/>
          <w:i w:val="0"/>
          <w:caps w:val="0"/>
          <w:color w:val="auto"/>
          <w:spacing w:val="0"/>
          <w:w w:val="100"/>
          <w:sz w:val="24"/>
          <w:highlight w:val="none"/>
        </w:rPr>
        <w:t>10.2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上款所述的证明文件，可以是文字资料、图纸和数据，</w:t>
      </w:r>
      <w:bookmarkEnd w:id="184"/>
      <w:r>
        <w:rPr>
          <w:rFonts w:hint="eastAsia" w:ascii="微软雅黑" w:hAnsi="微软雅黑" w:eastAsia="微软雅黑" w:cs="微软雅黑"/>
          <w:b w:val="0"/>
          <w:i w:val="0"/>
          <w:caps w:val="0"/>
          <w:color w:val="auto"/>
          <w:spacing w:val="0"/>
          <w:w w:val="100"/>
          <w:sz w:val="24"/>
          <w:highlight w:val="none"/>
        </w:rPr>
        <w:t>它包括：</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10.2.1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主要技术指标和性能的详细说明；</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10.2.2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从买方开始使用至磋商文件规定的保质期内正常、连续地使用所必须的备件和专用工具清单，包括备件和专用工具的货源及现行价格；</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10.2.3</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对照磋商文件技术规格，逐条说明所提供</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及伴随的工程和</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已对磋商文件的技术规格做出了实质性的响应，或申明与技术规格条文的偏差和例外。</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185" w:name="_Toc27117"/>
      <w:bookmarkStart w:id="186" w:name="_Toc3019"/>
      <w:bookmarkStart w:id="187" w:name="_Toc3111"/>
      <w:bookmarkStart w:id="188" w:name="_Toc16854"/>
      <w:bookmarkStart w:id="189" w:name="_Toc5859"/>
      <w:bookmarkStart w:id="190" w:name="_Toc10592"/>
      <w:bookmarkStart w:id="191" w:name="_Toc31748"/>
      <w:bookmarkStart w:id="192" w:name="_Toc515647770"/>
      <w:bookmarkStart w:id="193" w:name="_Toc23231"/>
      <w:bookmarkStart w:id="194" w:name="_Toc6441"/>
      <w:bookmarkStart w:id="195" w:name="_Toc520356155"/>
      <w:bookmarkStart w:id="196" w:name="_Toc5239"/>
      <w:bookmarkStart w:id="197" w:name="_Toc9025"/>
      <w:bookmarkStart w:id="198" w:name="_Toc3460"/>
      <w:bookmarkStart w:id="199" w:name="_Toc6864"/>
      <w:bookmarkStart w:id="200" w:name="_Toc2248"/>
      <w:r>
        <w:rPr>
          <w:rFonts w:hint="eastAsia" w:ascii="微软雅黑" w:hAnsi="微软雅黑" w:eastAsia="微软雅黑" w:cs="微软雅黑"/>
          <w:b/>
          <w:i w:val="0"/>
          <w:caps w:val="0"/>
          <w:color w:val="auto"/>
          <w:spacing w:val="0"/>
          <w:w w:val="100"/>
          <w:sz w:val="24"/>
          <w:highlight w:val="none"/>
          <w:u w:val="single" w:color="000000"/>
        </w:rPr>
        <w:t>11.</w:t>
      </w:r>
      <w:r>
        <w:rPr>
          <w:rFonts w:hint="eastAsia" w:ascii="微软雅黑" w:hAnsi="微软雅黑" w:eastAsia="微软雅黑" w:cs="微软雅黑"/>
          <w:b/>
          <w:i w:val="0"/>
          <w:caps w:val="0"/>
          <w:color w:val="auto"/>
          <w:spacing w:val="0"/>
          <w:w w:val="100"/>
          <w:sz w:val="24"/>
          <w:highlight w:val="none"/>
          <w:u w:val="single" w:color="000000"/>
          <w:lang w:val="en-US" w:eastAsia="zh-CN"/>
        </w:rPr>
        <w:t xml:space="preserve">    </w:t>
      </w:r>
      <w:r>
        <w:rPr>
          <w:rFonts w:hint="eastAsia" w:ascii="微软雅黑" w:hAnsi="微软雅黑" w:eastAsia="微软雅黑" w:cs="微软雅黑"/>
          <w:b/>
          <w:i w:val="0"/>
          <w:caps w:val="0"/>
          <w:color w:val="auto"/>
          <w:spacing w:val="0"/>
          <w:w w:val="100"/>
          <w:sz w:val="24"/>
          <w:highlight w:val="none"/>
          <w:u w:val="single" w:color="000000"/>
        </w:rPr>
        <w:t>磋商报价</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所有磋商均以人民币报价。供应商的磋商报价应遵守《中华人民共和国价格法》。同时，根据《中华人民共和国政府采购法》第二条的规定，为保证公平竞争，如有</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主体部分的赠与行为，其磋商将被认定为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供应商应在磋商分项报价表上标明磋商</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及相关</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的单价（如适用）和总价，并由法定代表人或其授权代表签署。</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11.3</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磋商分项报价表上的价格应按下列方式填写：</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11.3.1  磋商</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（包括备品备件、专用工具等）的出厂价（包括已在中国国内的进口</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完税后的仓库交货价、展室交货价或货架交货价），磋商</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安装、调试、检验、技术</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和培训等费用；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11.3.2  </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运至最终目的地的运输费和保险费用。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11.4</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供应商所报的各分项磋商单价在合同履行过程中是固定不变的，不得以任何理由予以变更。任何包含价格调整要求的磋商，其磋商将被认定为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bCs/>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rPr>
        <w:t>11.5</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bCs/>
          <w:i w:val="0"/>
          <w:caps w:val="0"/>
          <w:color w:val="auto"/>
          <w:spacing w:val="0"/>
          <w:w w:val="100"/>
          <w:sz w:val="24"/>
          <w:highlight w:val="none"/>
        </w:rPr>
        <w:t>竞争性磋商共有两次报价，二次报价为最终报价，磋商小组所有成员集中与单一供应商分别进行磋商，并给予所有参加磋商的供应商平等的磋商机会， 磋商小组要求所有实质性响应的供应商在规定时间内提交最后报价，最后报价是供应商响应文件的有效组成部分，经磋商确定最终采购需求和提交最后报价的供应商后，由磋商小组采用综合评分法对提交最后报价的供应商的响应文件和最后报价进行综合评分。磋商小组应当从质量和服务均能满足采购文件实质性响应要求的供应商中，按照综合评分由高到低的顺序提出成交候选人，并编写评审报告，将结果通知所有参加磋商的未成交的供应商</w:t>
      </w:r>
      <w:r>
        <w:rPr>
          <w:rFonts w:hint="eastAsia" w:ascii="微软雅黑" w:hAnsi="微软雅黑" w:eastAsia="微软雅黑" w:cs="微软雅黑"/>
          <w:b/>
          <w:bCs/>
          <w:i w:val="0"/>
          <w:caps w:val="0"/>
          <w:color w:val="auto"/>
          <w:spacing w:val="0"/>
          <w:w w:val="100"/>
          <w:sz w:val="24"/>
          <w:highlight w:val="none"/>
          <w:lang w:eastAsia="zh-CN"/>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201" w:name="_Ref467306513"/>
      <w:bookmarkStart w:id="202" w:name="_Toc520356156"/>
      <w:bookmarkStart w:id="203" w:name="_Toc3852"/>
      <w:bookmarkStart w:id="204" w:name="_Toc7451"/>
      <w:bookmarkStart w:id="205" w:name="_Toc17788"/>
      <w:bookmarkStart w:id="206" w:name="_Toc30640"/>
      <w:bookmarkStart w:id="207" w:name="_Toc16693"/>
      <w:bookmarkStart w:id="208" w:name="_Toc31842"/>
      <w:bookmarkStart w:id="209" w:name="_Toc8564"/>
      <w:bookmarkStart w:id="210" w:name="_Toc515647771"/>
      <w:bookmarkStart w:id="211" w:name="_Toc31446"/>
      <w:bookmarkStart w:id="212" w:name="_Toc32756"/>
      <w:bookmarkStart w:id="213" w:name="_Toc20519"/>
      <w:bookmarkStart w:id="214" w:name="_Toc11514"/>
      <w:bookmarkStart w:id="215" w:name="_Toc31526"/>
      <w:bookmarkStart w:id="216" w:name="_Toc19405"/>
      <w:bookmarkStart w:id="217" w:name="_Toc9763"/>
      <w:r>
        <w:rPr>
          <w:rFonts w:hint="eastAsia" w:ascii="微软雅黑" w:hAnsi="微软雅黑" w:eastAsia="微软雅黑" w:cs="微软雅黑"/>
          <w:b/>
          <w:i w:val="0"/>
          <w:caps w:val="0"/>
          <w:color w:val="auto"/>
          <w:spacing w:val="0"/>
          <w:w w:val="100"/>
          <w:sz w:val="24"/>
          <w:highlight w:val="none"/>
          <w:u w:val="single" w:color="000000"/>
        </w:rPr>
        <w:t>12.磋商保证金</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218" w:name="_Ref467306302"/>
      <w:r>
        <w:rPr>
          <w:rFonts w:hint="eastAsia" w:ascii="微软雅黑" w:hAnsi="微软雅黑" w:eastAsia="微软雅黑" w:cs="微软雅黑"/>
          <w:b w:val="0"/>
          <w:i w:val="0"/>
          <w:caps w:val="0"/>
          <w:color w:val="auto"/>
          <w:spacing w:val="0"/>
          <w:w w:val="100"/>
          <w:sz w:val="24"/>
          <w:highlight w:val="none"/>
        </w:rPr>
        <w:t>12.1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供应商应提交</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中规定的磋商保证金</w:t>
      </w:r>
      <w:bookmarkEnd w:id="218"/>
      <w:r>
        <w:rPr>
          <w:rFonts w:hint="eastAsia" w:ascii="微软雅黑" w:hAnsi="微软雅黑" w:eastAsia="微软雅黑" w:cs="微软雅黑"/>
          <w:b w:val="0"/>
          <w:i w:val="0"/>
          <w:caps w:val="0"/>
          <w:color w:val="auto"/>
          <w:spacing w:val="0"/>
          <w:w w:val="100"/>
          <w:sz w:val="24"/>
          <w:highlight w:val="none"/>
        </w:rPr>
        <w:t>，并作为其磋商的一部分。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供应商存在下列情形的，磋商保证金不予退还：</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（1）在磋商有效期内，撤销磋商的；</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（2）成交后不按本须知第30条的规定与采购人签订合同的；</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（3）成交后不按本须知第31条的规定提交履约保证金的；</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（4）成交后不按本须知第32条的规定缴纳成交</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费的；</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（5）存在其他违法违规行为的。</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219" w:name="_Ref467306336"/>
      <w:r>
        <w:rPr>
          <w:rFonts w:hint="eastAsia" w:ascii="微软雅黑" w:hAnsi="微软雅黑" w:eastAsia="微软雅黑" w:cs="微软雅黑"/>
          <w:b w:val="0"/>
          <w:i w:val="0"/>
          <w:caps w:val="0"/>
          <w:color w:val="auto"/>
          <w:spacing w:val="0"/>
          <w:w w:val="100"/>
          <w:sz w:val="24"/>
          <w:highlight w:val="none"/>
        </w:rPr>
        <w:t>12.3</w:t>
      </w:r>
      <w:r>
        <w:rPr>
          <w:rFonts w:hint="eastAsia" w:ascii="微软雅黑" w:hAnsi="微软雅黑" w:eastAsia="微软雅黑" w:cs="微软雅黑"/>
          <w:b w:val="0"/>
          <w:i w:val="0"/>
          <w:caps w:val="0"/>
          <w:color w:val="auto"/>
          <w:spacing w:val="0"/>
          <w:w w:val="100"/>
          <w:sz w:val="24"/>
          <w:highlight w:val="none"/>
        </w:rPr>
        <w:tab/>
      </w:r>
      <w:bookmarkEnd w:id="219"/>
      <w:r>
        <w:rPr>
          <w:rFonts w:hint="eastAsia" w:ascii="微软雅黑" w:hAnsi="微软雅黑" w:eastAsia="微软雅黑" w:cs="微软雅黑"/>
          <w:b w:val="0"/>
          <w:i w:val="0"/>
          <w:caps w:val="0"/>
          <w:color w:val="auto"/>
          <w:spacing w:val="0"/>
          <w:w w:val="100"/>
          <w:sz w:val="24"/>
          <w:highlight w:val="none"/>
        </w:rPr>
        <w:t>政府采购信用担保试点范围内的项目，接受符合财政部门规定的政府采购磋商担保函原件。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12.4</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供应商未按本须知第12.1和12.3条规定提交磋商保证金的，其磋商将被认定为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12.4.1  采用电汇形式的，一般可以实时入账。</w:t>
      </w:r>
    </w:p>
    <w:p>
      <w:pPr>
        <w:shd w:val="clear"/>
        <w:snapToGrid w:val="0"/>
        <w:spacing w:before="0" w:beforeAutospacing="0" w:after="0" w:afterAutospacing="0" w:line="240" w:lineRule="atLeast"/>
        <w:ind w:hangingChars="4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12.4.2  采用支票形式的，供应商则应充分考虑支票入账时间，以确保磋商保证金能按时进入指定账户。根据银行信息交换和付款时间，支票从递交至实际入账一般需要4-5个工作日。如供应商未及时提交支票或支票不符合银行委托收款要求（如污损、折叠、胶装等），导致磋商保证金不能按时进入指定账户的，将按照磋商文件的第22.2条相关规定处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12.5   联合体磋商的，可以由联合体中的一方或者共同提交磋商保证金。以一方名义提交磋商保证金的，对联合体各方均具有约束力。</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12.6</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磋商保证金的退还</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12.6.1  成交人应在与采购人签订合同之日起5个工作日内，及时联系保证金收受机构办理磋商保证金无息退还手续。</w:t>
      </w:r>
    </w:p>
    <w:p>
      <w:pPr>
        <w:shd w:val="clear"/>
        <w:snapToGrid w:val="0"/>
        <w:spacing w:before="0" w:beforeAutospacing="0" w:after="0" w:afterAutospacing="0" w:line="240" w:lineRule="atLeast"/>
        <w:ind w:hanging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12.6.2  未成交供应商的磋商保证金将在成交通知书发出之日暨成交结果公告公布之日起5个工作日内无息退还。供应商应及时联系保证金收受机构办理退还磋商保证金手续。</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12.6.3  政府采购磋商担保函不予退回。</w:t>
      </w:r>
    </w:p>
    <w:p>
      <w:pPr>
        <w:shd w:val="clear"/>
        <w:snapToGrid w:val="0"/>
        <w:spacing w:before="0" w:beforeAutospacing="0" w:after="0" w:afterAutospacing="0" w:line="240" w:lineRule="atLeast"/>
        <w:ind w:hanging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12.7    因供应商自身原因导致无法及时退还的，采购人或采购代理机构将不承担相应责任。</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220" w:name="_Toc16046"/>
      <w:bookmarkStart w:id="221" w:name="_Toc520356157"/>
      <w:bookmarkStart w:id="222" w:name="_Toc32569"/>
      <w:bookmarkStart w:id="223" w:name="_Toc3815"/>
      <w:bookmarkStart w:id="224" w:name="_Toc21509"/>
      <w:bookmarkStart w:id="225" w:name="_Toc19601"/>
      <w:bookmarkStart w:id="226" w:name="_Toc23331"/>
      <w:bookmarkStart w:id="227" w:name="_Toc515647772"/>
      <w:bookmarkStart w:id="228" w:name="_Toc325"/>
      <w:bookmarkStart w:id="229" w:name="_Toc28268"/>
      <w:bookmarkStart w:id="230" w:name="_Toc1400"/>
      <w:bookmarkStart w:id="231" w:name="_Toc23590"/>
      <w:bookmarkStart w:id="232" w:name="_Toc29124"/>
      <w:bookmarkStart w:id="233" w:name="_Toc20387"/>
      <w:bookmarkStart w:id="234" w:name="_Toc4990"/>
      <w:bookmarkStart w:id="235" w:name="_Toc22319"/>
      <w:r>
        <w:rPr>
          <w:rFonts w:hint="eastAsia" w:ascii="微软雅黑" w:hAnsi="微软雅黑" w:eastAsia="微软雅黑" w:cs="微软雅黑"/>
          <w:b/>
          <w:i w:val="0"/>
          <w:caps w:val="0"/>
          <w:color w:val="auto"/>
          <w:spacing w:val="0"/>
          <w:w w:val="100"/>
          <w:sz w:val="24"/>
          <w:highlight w:val="none"/>
          <w:u w:val="single" w:color="000000"/>
        </w:rPr>
        <w:t>13.磋商有效期</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磋商应在</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中规定时间内保持有效。磋商有效期不满足要求的磋商，其磋商将被认定为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为保证有充分时间签订合同，采购人或采购代理机构可根据实际情况，在原磋商有效期截止之前，要求供应商延长响应文件的有效期。接受该要求的供应商将不会被要求和允许修正其磋商，且本须知中有关磋商保证金的要求须在延长的有效期内继续有效。供应商可以拒绝延长磋商有效期的要求，其磋商保证金将及时无息退还。上述要求和答复都应以书面形式提交。</w:t>
      </w:r>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lang w:eastAsia="zh-CN"/>
        </w:rPr>
      </w:pPr>
      <w:bookmarkStart w:id="236" w:name="_Toc520356158"/>
      <w:bookmarkStart w:id="237" w:name="_Toc32451"/>
      <w:bookmarkStart w:id="238" w:name="_Toc28395"/>
      <w:bookmarkStart w:id="239" w:name="_Toc6363"/>
      <w:bookmarkStart w:id="240" w:name="_Toc515647773"/>
      <w:bookmarkStart w:id="241" w:name="_Toc24880"/>
      <w:bookmarkStart w:id="242" w:name="_Toc14560"/>
      <w:bookmarkStart w:id="243" w:name="_Toc493"/>
      <w:bookmarkStart w:id="244" w:name="_Toc17074"/>
      <w:bookmarkStart w:id="245" w:name="_Toc14581"/>
      <w:bookmarkStart w:id="246" w:name="_Toc29649"/>
      <w:bookmarkStart w:id="247" w:name="_Toc23091"/>
      <w:bookmarkStart w:id="248" w:name="_Toc21843"/>
      <w:bookmarkStart w:id="249" w:name="_Toc26080"/>
      <w:bookmarkStart w:id="250" w:name="_Toc26606"/>
      <w:bookmarkStart w:id="251" w:name="_Toc3236"/>
      <w:r>
        <w:rPr>
          <w:rFonts w:hint="eastAsia" w:ascii="微软雅黑" w:hAnsi="微软雅黑" w:eastAsia="微软雅黑" w:cs="微软雅黑"/>
          <w:b/>
          <w:i w:val="0"/>
          <w:caps w:val="0"/>
          <w:color w:val="auto"/>
          <w:spacing w:val="0"/>
          <w:w w:val="100"/>
          <w:sz w:val="24"/>
          <w:highlight w:val="none"/>
          <w:u w:val="single" w:color="000000"/>
        </w:rPr>
        <w:t>14.响应文件的签署</w:t>
      </w:r>
      <w:bookmarkEnd w:id="236"/>
      <w:r>
        <w:rPr>
          <w:rFonts w:hint="eastAsia" w:ascii="微软雅黑" w:hAnsi="微软雅黑" w:eastAsia="微软雅黑" w:cs="微软雅黑"/>
          <w:b/>
          <w:i w:val="0"/>
          <w:caps w:val="0"/>
          <w:color w:val="auto"/>
          <w:spacing w:val="0"/>
          <w:w w:val="100"/>
          <w:sz w:val="24"/>
          <w:highlight w:val="none"/>
          <w:u w:val="single" w:color="000000"/>
        </w:rPr>
        <w:t>及规定</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252" w:name="_Toc8711"/>
      <w:bookmarkStart w:id="253" w:name="_Toc16865"/>
      <w:bookmarkStart w:id="254" w:name="_Toc515647774"/>
      <w:bookmarkStart w:id="255" w:name="_Toc520356159"/>
      <w:bookmarkStart w:id="256" w:name="_Toc11179"/>
      <w:bookmarkStart w:id="257" w:name="_Toc216582808"/>
      <w:r>
        <w:rPr>
          <w:rFonts w:hint="eastAsia" w:ascii="微软雅黑" w:hAnsi="微软雅黑" w:eastAsia="微软雅黑" w:cs="微软雅黑"/>
          <w:b w:val="0"/>
          <w:i w:val="0"/>
          <w:caps w:val="0"/>
          <w:color w:val="auto"/>
          <w:spacing w:val="0"/>
          <w:w w:val="100"/>
          <w:sz w:val="24"/>
          <w:highlight w:val="none"/>
        </w:rPr>
        <w:t>14.1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供应商应按供应商须知资料表中的规定，准备和递交响应文件和磋商报价表和电子文档，每份响应文件封皮须清楚地标明“正本”或“副本”。若正本和副本不符，以正本为准。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响应文件的正本需打印或用不褪色墨水书写，并由供应商的法定代表人或经其正式委托代理人按磋商文件规定在响应文件上签字或盖章</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highlight w:val="none"/>
        </w:rPr>
        <w:t>并加盖单位</w:t>
      </w:r>
      <w:r>
        <w:rPr>
          <w:rFonts w:hint="eastAsia" w:ascii="微软雅黑" w:hAnsi="微软雅黑" w:eastAsia="微软雅黑" w:cs="微软雅黑"/>
          <w:b w:val="0"/>
          <w:i w:val="0"/>
          <w:caps w:val="0"/>
          <w:color w:val="auto"/>
          <w:spacing w:val="0"/>
          <w:w w:val="100"/>
          <w:sz w:val="24"/>
          <w:highlight w:val="none"/>
          <w:lang w:val="en-US" w:eastAsia="zh-CN"/>
        </w:rPr>
        <w:t>鲜</w:t>
      </w:r>
      <w:r>
        <w:rPr>
          <w:rFonts w:hint="eastAsia" w:ascii="微软雅黑" w:hAnsi="微软雅黑" w:eastAsia="微软雅黑" w:cs="微软雅黑"/>
          <w:b w:val="0"/>
          <w:i w:val="0"/>
          <w:caps w:val="0"/>
          <w:color w:val="auto"/>
          <w:spacing w:val="0"/>
          <w:w w:val="100"/>
          <w:sz w:val="24"/>
          <w:highlight w:val="none"/>
        </w:rPr>
        <w:t>印章。委托代理人须持有书面的“法定代表人授权委托书”，并将其附在响应文件中。如对响应文件进行了修改，则应由供应商的法定代表人或其委托代理人在每一修改处签字。响应文件的副本可采用正本的复印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14.3 响应文件因字迹潦草、表达不清或装订不当所引起的后果由供应商负责。</w:t>
      </w:r>
    </w:p>
    <w:p>
      <w:pPr>
        <w:pStyle w:val="6"/>
        <w:pageBreakBefore w:val="0"/>
        <w:widowControl w:val="0"/>
        <w:shd w:val="clear"/>
        <w:kinsoku/>
        <w:wordWrap/>
        <w:overflowPunct/>
        <w:topLinePunct w:val="0"/>
        <w:bidi w:val="0"/>
        <w:snapToGrid w:val="0"/>
        <w:spacing w:before="0" w:beforeAutospacing="0" w:after="0" w:afterAutospacing="0" w:line="460" w:lineRule="exact"/>
        <w:ind w:left="1080" w:leftChars="257" w:hanging="540"/>
        <w:jc w:val="center"/>
        <w:textAlignment w:val="baseline"/>
        <w:rPr>
          <w:rFonts w:hint="eastAsia" w:ascii="微软雅黑" w:hAnsi="微软雅黑" w:eastAsia="微软雅黑" w:cs="微软雅黑"/>
          <w:b/>
          <w:i w:val="0"/>
          <w:caps w:val="0"/>
          <w:color w:val="auto"/>
          <w:spacing w:val="0"/>
          <w:w w:val="100"/>
          <w:sz w:val="24"/>
          <w:highlight w:val="none"/>
        </w:rPr>
      </w:pPr>
      <w:bookmarkStart w:id="258" w:name="_Toc19943"/>
      <w:bookmarkStart w:id="259" w:name="_Toc8824"/>
      <w:r>
        <w:rPr>
          <w:rFonts w:hint="eastAsia" w:ascii="微软雅黑" w:hAnsi="微软雅黑" w:eastAsia="微软雅黑" w:cs="微软雅黑"/>
          <w:b/>
          <w:i w:val="0"/>
          <w:caps w:val="0"/>
          <w:color w:val="auto"/>
          <w:spacing w:val="0"/>
          <w:w w:val="100"/>
          <w:sz w:val="24"/>
          <w:highlight w:val="none"/>
        </w:rPr>
        <w:t>四   响应文件的递交</w:t>
      </w:r>
      <w:bookmarkEnd w:id="252"/>
      <w:bookmarkEnd w:id="253"/>
      <w:bookmarkEnd w:id="254"/>
      <w:bookmarkEnd w:id="255"/>
      <w:bookmarkEnd w:id="256"/>
      <w:bookmarkEnd w:id="257"/>
      <w:bookmarkEnd w:id="258"/>
      <w:bookmarkEnd w:id="259"/>
    </w:p>
    <w:p>
      <w:pPr>
        <w:pStyle w:val="3"/>
        <w:pageBreakBefore w:val="0"/>
        <w:widowControl w:val="0"/>
        <w:shd w:val="clear"/>
        <w:kinsoku/>
        <w:wordWrap/>
        <w:overflowPunct/>
        <w:topLinePunct w:val="0"/>
        <w:bidi w:val="0"/>
        <w:snapToGrid w:val="0"/>
        <w:spacing w:before="0" w:beforeAutospacing="0" w:after="0" w:afterAutospacing="0" w:line="460" w:lineRule="exact"/>
        <w:ind w:firstLine="420"/>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2"/>
        <w:shd w:val="clear"/>
        <w:snapToGrid w:val="0"/>
        <w:spacing w:before="0" w:after="0" w:line="380" w:lineRule="exact"/>
        <w:textAlignment w:val="baseline"/>
        <w:rPr>
          <w:rFonts w:ascii="微软雅黑" w:hAnsi="微软雅黑" w:eastAsia="微软雅黑" w:cs="微软雅黑"/>
          <w:color w:val="auto"/>
          <w:highlight w:val="none"/>
          <w:u w:color="000000"/>
        </w:rPr>
      </w:pPr>
      <w:bookmarkStart w:id="260" w:name="_Toc18071"/>
      <w:bookmarkStart w:id="261" w:name="_Toc13617"/>
      <w:bookmarkStart w:id="262" w:name="_Toc515647775"/>
      <w:bookmarkStart w:id="263" w:name="_Toc21645"/>
      <w:bookmarkStart w:id="264" w:name="_Toc6022"/>
      <w:bookmarkStart w:id="265" w:name="_Toc24907"/>
      <w:bookmarkStart w:id="266" w:name="_Toc32337"/>
      <w:bookmarkStart w:id="267" w:name="_Toc24069"/>
      <w:bookmarkStart w:id="268" w:name="_Toc9759"/>
      <w:bookmarkStart w:id="269" w:name="_Toc16507"/>
      <w:bookmarkStart w:id="270" w:name="_Toc30799"/>
      <w:bookmarkStart w:id="271" w:name="_Toc27543"/>
      <w:bookmarkStart w:id="272" w:name="_Toc32350"/>
      <w:bookmarkStart w:id="273" w:name="_Toc6764"/>
      <w:bookmarkStart w:id="274" w:name="_Toc22380"/>
      <w:bookmarkStart w:id="275" w:name="_Toc415"/>
      <w:bookmarkStart w:id="276" w:name="_Toc520356160"/>
      <w:bookmarkStart w:id="277" w:name="_Toc21833"/>
      <w:bookmarkStart w:id="278" w:name="_Toc4164"/>
      <w:bookmarkStart w:id="279" w:name="_Toc6188"/>
      <w:bookmarkStart w:id="280" w:name="_Toc515647778"/>
      <w:bookmarkStart w:id="281" w:name="_Toc216582809"/>
      <w:bookmarkStart w:id="282" w:name="_Toc27283"/>
      <w:bookmarkStart w:id="283" w:name="_Toc28398"/>
      <w:bookmarkStart w:id="284" w:name="_Toc520356163"/>
      <w:bookmarkStart w:id="285" w:name="_Toc12436"/>
      <w:r>
        <w:rPr>
          <w:rFonts w:hint="eastAsia" w:ascii="微软雅黑" w:hAnsi="微软雅黑" w:eastAsia="微软雅黑" w:cs="微软雅黑"/>
          <w:color w:val="auto"/>
          <w:highlight w:val="none"/>
          <w:u w:color="000000"/>
        </w:rPr>
        <w:t>15.响应文件的密封和标记</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bookmarkStart w:id="286" w:name="_Toc11639"/>
      <w:bookmarkStart w:id="287" w:name="_Toc520356161"/>
      <w:bookmarkStart w:id="288" w:name="_Toc26069"/>
      <w:bookmarkStart w:id="289" w:name="_Toc24025"/>
      <w:bookmarkStart w:id="290" w:name="_Toc3372"/>
      <w:bookmarkStart w:id="291" w:name="_Toc18350"/>
      <w:bookmarkStart w:id="292" w:name="_Toc12751"/>
      <w:bookmarkStart w:id="293" w:name="_Toc9452"/>
      <w:bookmarkStart w:id="294" w:name="_Toc27010"/>
      <w:bookmarkStart w:id="295" w:name="_Toc2068"/>
      <w:bookmarkStart w:id="296" w:name="_Toc8557"/>
      <w:bookmarkStart w:id="297" w:name="_Toc7478"/>
      <w:bookmarkStart w:id="298" w:name="_Toc7238"/>
      <w:bookmarkStart w:id="299" w:name="_Toc9840"/>
      <w:bookmarkStart w:id="300" w:name="_Toc515647776"/>
      <w:bookmarkStart w:id="301" w:name="_Toc31921"/>
      <w:r>
        <w:rPr>
          <w:rFonts w:hint="eastAsia" w:ascii="微软雅黑" w:hAnsi="微软雅黑" w:eastAsia="微软雅黑" w:cs="微软雅黑"/>
          <w:color w:val="auto"/>
          <w:sz w:val="24"/>
          <w:highlight w:val="none"/>
        </w:rPr>
        <w:t>15.1   为方便开启及进行资格审查，供应商应将响应文件第一部分和第二部分的内容合并装订成一册，密封提交，并在封皮正面标明“响应文件”字样。</w:t>
      </w:r>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15.2   所有包装封皮和信封上均应：</w:t>
      </w:r>
    </w:p>
    <w:p>
      <w:pPr>
        <w:pageBreakBefore w:val="0"/>
        <w:shd w:val="clear"/>
        <w:kinsoku/>
        <w:wordWrap/>
        <w:overflowPunct/>
        <w:topLinePunct w:val="0"/>
        <w:bidi w:val="0"/>
        <w:spacing w:line="380" w:lineRule="exact"/>
        <w:ind w:left="718" w:leftChars="342" w:firstLine="60" w:firstLineChars="2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（1）注明</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公告或磋商邀请书中指明的项目名称、</w:t>
      </w:r>
      <w:r>
        <w:rPr>
          <w:rFonts w:hint="eastAsia" w:ascii="微软雅黑" w:hAnsi="微软雅黑" w:eastAsia="微软雅黑" w:cs="微软雅黑"/>
          <w:color w:val="auto"/>
          <w:sz w:val="24"/>
          <w:highlight w:val="none"/>
          <w:lang w:eastAsia="zh-CN"/>
        </w:rPr>
        <w:t>项目编号</w:t>
      </w:r>
      <w:r>
        <w:rPr>
          <w:rFonts w:hint="eastAsia" w:ascii="微软雅黑" w:hAnsi="微软雅黑" w:eastAsia="微软雅黑" w:cs="微软雅黑"/>
          <w:color w:val="auto"/>
          <w:sz w:val="24"/>
          <w:highlight w:val="none"/>
        </w:rPr>
        <w:t>、供应商名称和“在（</w:t>
      </w:r>
      <w:r>
        <w:rPr>
          <w:rFonts w:hint="eastAsia" w:ascii="微软雅黑" w:hAnsi="微软雅黑" w:eastAsia="微软雅黑" w:cs="微软雅黑"/>
          <w:color w:val="auto"/>
          <w:sz w:val="24"/>
          <w:highlight w:val="none"/>
          <w:lang w:eastAsia="zh-CN"/>
        </w:rPr>
        <w:t>开启</w:t>
      </w:r>
      <w:r>
        <w:rPr>
          <w:rFonts w:hint="eastAsia" w:ascii="微软雅黑" w:hAnsi="微软雅黑" w:eastAsia="微软雅黑" w:cs="微软雅黑"/>
          <w:color w:val="auto"/>
          <w:sz w:val="24"/>
          <w:highlight w:val="none"/>
        </w:rPr>
        <w:t>时间）之前不得启封”的字样。</w:t>
      </w:r>
    </w:p>
    <w:p>
      <w:pPr>
        <w:pageBreakBefore w:val="0"/>
        <w:shd w:val="clear"/>
        <w:kinsoku/>
        <w:wordWrap/>
        <w:overflowPunct/>
        <w:topLinePunct w:val="0"/>
        <w:bidi w:val="0"/>
        <w:spacing w:line="380" w:lineRule="exact"/>
        <w:ind w:left="239" w:leftChars="114" w:firstLine="540" w:firstLineChars="225"/>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（2）在封口处加盖供应商单位公章。</w:t>
      </w:r>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 xml:space="preserve">15.3   </w:t>
      </w:r>
      <w:r>
        <w:rPr>
          <w:rFonts w:hint="eastAsia" w:ascii="微软雅黑" w:hAnsi="微软雅黑" w:eastAsia="微软雅黑" w:cs="微软雅黑"/>
          <w:color w:val="auto"/>
          <w:sz w:val="24"/>
          <w:highlight w:val="none"/>
        </w:rPr>
        <w:t>如果</w:t>
      </w:r>
      <w:r>
        <w:rPr>
          <w:rFonts w:hint="eastAsia" w:ascii="微软雅黑" w:hAnsi="微软雅黑" w:eastAsia="微软雅黑" w:cs="微软雅黑"/>
          <w:color w:val="auto"/>
          <w:sz w:val="24"/>
          <w:highlight w:val="none"/>
          <w:lang w:eastAsia="zh-CN"/>
        </w:rPr>
        <w:t>供应商</w:t>
      </w:r>
      <w:r>
        <w:rPr>
          <w:rFonts w:hint="eastAsia" w:ascii="微软雅黑" w:hAnsi="微软雅黑" w:eastAsia="微软雅黑" w:cs="微软雅黑"/>
          <w:color w:val="auto"/>
          <w:sz w:val="24"/>
          <w:highlight w:val="none"/>
        </w:rPr>
        <w:t>未按上述要求标记的</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lang w:val="en-US" w:eastAsia="zh-CN"/>
        </w:rPr>
        <w:t>将承担相应的后果。</w:t>
      </w:r>
    </w:p>
    <w:p>
      <w:pPr>
        <w:pStyle w:val="2"/>
        <w:shd w:val="clear"/>
        <w:snapToGrid w:val="0"/>
        <w:spacing w:before="0" w:after="0" w:line="380" w:lineRule="exact"/>
        <w:textAlignment w:val="baseline"/>
        <w:rPr>
          <w:rFonts w:ascii="微软雅黑" w:hAnsi="微软雅黑" w:eastAsia="微软雅黑" w:cs="微软雅黑"/>
          <w:color w:val="auto"/>
          <w:highlight w:val="none"/>
          <w:u w:color="000000"/>
        </w:rPr>
      </w:pPr>
      <w:bookmarkStart w:id="302" w:name="_Toc15112"/>
      <w:bookmarkStart w:id="303" w:name="_Toc27663"/>
      <w:bookmarkStart w:id="304" w:name="_Toc7732"/>
      <w:bookmarkStart w:id="305" w:name="_Toc6117"/>
      <w:r>
        <w:rPr>
          <w:rFonts w:hint="eastAsia" w:ascii="微软雅黑" w:hAnsi="微软雅黑" w:eastAsia="微软雅黑" w:cs="微软雅黑"/>
          <w:color w:val="auto"/>
          <w:highlight w:val="none"/>
          <w:u w:color="000000"/>
        </w:rPr>
        <w:t>16.磋商截止</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bookmarkStart w:id="306" w:name="_Toc24275"/>
      <w:bookmarkStart w:id="307" w:name="_Toc18537"/>
      <w:bookmarkStart w:id="308" w:name="_Toc520356162"/>
      <w:bookmarkStart w:id="309" w:name="_Toc22201"/>
      <w:bookmarkStart w:id="310" w:name="_Toc31057"/>
      <w:bookmarkStart w:id="311" w:name="_Toc21926"/>
      <w:bookmarkStart w:id="312" w:name="_Toc27719"/>
      <w:bookmarkStart w:id="313" w:name="_Toc18594"/>
      <w:bookmarkStart w:id="314" w:name="_Toc3014"/>
      <w:bookmarkStart w:id="315" w:name="_Toc29943"/>
      <w:bookmarkStart w:id="316" w:name="_Toc7274"/>
      <w:bookmarkStart w:id="317" w:name="_Toc9478"/>
      <w:bookmarkStart w:id="318" w:name="_Toc10299"/>
      <w:bookmarkStart w:id="319" w:name="_Toc11003"/>
      <w:bookmarkStart w:id="320" w:name="_Toc515647777"/>
      <w:bookmarkStart w:id="321" w:name="_Toc23557"/>
      <w:r>
        <w:rPr>
          <w:rFonts w:hint="eastAsia" w:ascii="微软雅黑" w:hAnsi="微软雅黑" w:eastAsia="微软雅黑" w:cs="微软雅黑"/>
          <w:color w:val="auto"/>
          <w:sz w:val="24"/>
          <w:highlight w:val="none"/>
        </w:rPr>
        <w:t>16.1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供应商应在供应商须知资料表中规定的截止时间前，将响应文件</w:t>
      </w:r>
      <w:r>
        <w:rPr>
          <w:rFonts w:hint="eastAsia" w:ascii="微软雅黑" w:hAnsi="微软雅黑" w:eastAsia="微软雅黑" w:cs="微软雅黑"/>
          <w:color w:val="auto"/>
          <w:sz w:val="24"/>
          <w:highlight w:val="none"/>
          <w:lang w:val="en-US" w:eastAsia="zh-CN"/>
        </w:rPr>
        <w:t>递交</w:t>
      </w:r>
      <w:r>
        <w:rPr>
          <w:rFonts w:hint="eastAsia" w:ascii="微软雅黑" w:hAnsi="微软雅黑" w:eastAsia="微软雅黑" w:cs="微软雅黑"/>
          <w:color w:val="auto"/>
          <w:sz w:val="24"/>
          <w:highlight w:val="none"/>
        </w:rPr>
        <w:t>到</w:t>
      </w:r>
      <w:r>
        <w:rPr>
          <w:rFonts w:hint="eastAsia" w:ascii="微软雅黑" w:hAnsi="微软雅黑" w:eastAsia="微软雅黑" w:cs="微软雅黑"/>
          <w:color w:val="auto"/>
          <w:sz w:val="24"/>
          <w:highlight w:val="none"/>
          <w:lang w:val="en-US" w:eastAsia="zh-CN"/>
        </w:rPr>
        <w:t>磋商</w:t>
      </w:r>
      <w:r>
        <w:rPr>
          <w:rFonts w:hint="eastAsia" w:ascii="微软雅黑" w:hAnsi="微软雅黑" w:eastAsia="微软雅黑" w:cs="微软雅黑"/>
          <w:color w:val="auto"/>
          <w:sz w:val="24"/>
          <w:highlight w:val="none"/>
        </w:rPr>
        <w:t>公告中规定的地点。</w:t>
      </w:r>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采购人和采购代理机构有权按本须知的规定，延迟磋商截止时间。在此情况下，采购人、采购代理机构和供应商受磋商截止时间制约的所有权利和义务均应延长至新的截止时间。</w:t>
      </w:r>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16.3</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采购人和采购代理机构将拒绝接收在磋商截止时间后</w:t>
      </w:r>
      <w:r>
        <w:rPr>
          <w:rFonts w:hint="eastAsia" w:ascii="微软雅黑" w:hAnsi="微软雅黑" w:eastAsia="微软雅黑" w:cs="微软雅黑"/>
          <w:color w:val="auto"/>
          <w:sz w:val="24"/>
          <w:highlight w:val="none"/>
          <w:lang w:val="en-US" w:eastAsia="zh-CN"/>
        </w:rPr>
        <w:t>送达</w:t>
      </w:r>
      <w:r>
        <w:rPr>
          <w:rFonts w:hint="eastAsia" w:ascii="微软雅黑" w:hAnsi="微软雅黑" w:eastAsia="微软雅黑" w:cs="微软雅黑"/>
          <w:color w:val="auto"/>
          <w:sz w:val="24"/>
          <w:highlight w:val="none"/>
        </w:rPr>
        <w:t>的响应文件。</w:t>
      </w:r>
    </w:p>
    <w:p>
      <w:pPr>
        <w:pStyle w:val="2"/>
        <w:shd w:val="clear"/>
        <w:snapToGrid w:val="0"/>
        <w:spacing w:before="0" w:after="0" w:line="380" w:lineRule="exact"/>
        <w:textAlignment w:val="baseline"/>
        <w:rPr>
          <w:rFonts w:ascii="微软雅黑" w:hAnsi="微软雅黑" w:eastAsia="微软雅黑" w:cs="微软雅黑"/>
          <w:color w:val="auto"/>
          <w:highlight w:val="none"/>
          <w:u w:color="000000"/>
        </w:rPr>
      </w:pPr>
      <w:bookmarkStart w:id="322" w:name="_Toc19671"/>
      <w:bookmarkStart w:id="323" w:name="_Toc23948"/>
      <w:bookmarkStart w:id="324" w:name="_Toc25348"/>
      <w:bookmarkStart w:id="325" w:name="_Toc23749"/>
      <w:r>
        <w:rPr>
          <w:rFonts w:hint="eastAsia" w:ascii="微软雅黑" w:hAnsi="微软雅黑" w:eastAsia="微软雅黑" w:cs="微软雅黑"/>
          <w:color w:val="auto"/>
          <w:highlight w:val="none"/>
          <w:u w:color="000000"/>
        </w:rPr>
        <w:t>17.响应文件的接收、修改与撤回</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0"/>
          <w:highlight w:val="none"/>
        </w:rPr>
      </w:pPr>
      <w:bookmarkStart w:id="326" w:name="_Toc910"/>
      <w:r>
        <w:rPr>
          <w:rFonts w:hint="eastAsia" w:ascii="微软雅黑" w:hAnsi="微软雅黑" w:eastAsia="微软雅黑" w:cs="微软雅黑"/>
          <w:b w:val="0"/>
          <w:i w:val="0"/>
          <w:caps w:val="0"/>
          <w:color w:val="auto"/>
          <w:spacing w:val="0"/>
          <w:w w:val="100"/>
          <w:sz w:val="24"/>
          <w:highlight w:val="none"/>
        </w:rPr>
        <w:t>17.1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在磋商截止时间后</w:t>
      </w:r>
      <w:r>
        <w:rPr>
          <w:rFonts w:hint="eastAsia" w:ascii="微软雅黑" w:hAnsi="微软雅黑" w:eastAsia="微软雅黑" w:cs="微软雅黑"/>
          <w:b w:val="0"/>
          <w:i w:val="0"/>
          <w:caps w:val="0"/>
          <w:color w:val="auto"/>
          <w:spacing w:val="0"/>
          <w:w w:val="100"/>
          <w:sz w:val="24"/>
          <w:highlight w:val="none"/>
          <w:lang w:val="en-US" w:eastAsia="zh-CN"/>
        </w:rPr>
        <w:t>送达</w:t>
      </w:r>
      <w:r>
        <w:rPr>
          <w:rFonts w:hint="eastAsia" w:ascii="微软雅黑" w:hAnsi="微软雅黑" w:eastAsia="微软雅黑" w:cs="微软雅黑"/>
          <w:b w:val="0"/>
          <w:i w:val="0"/>
          <w:caps w:val="0"/>
          <w:color w:val="auto"/>
          <w:spacing w:val="0"/>
          <w:w w:val="100"/>
          <w:sz w:val="24"/>
          <w:highlight w:val="none"/>
        </w:rPr>
        <w:t>的响应文件的，采购人和采购代理机构将拒绝接收。</w:t>
      </w:r>
    </w:p>
    <w:p>
      <w:pPr>
        <w:pageBreakBefore w:val="0"/>
        <w:shd w:val="clear"/>
        <w:kinsoku/>
        <w:wordWrap/>
        <w:overflowPunct/>
        <w:topLinePunct w:val="0"/>
        <w:bidi w:val="0"/>
        <w:snapToGrid w:val="0"/>
        <w:spacing w:beforeAutospacing="0" w:afterAutospacing="0" w:line="380" w:lineRule="exact"/>
        <w:ind w:left="840" w:leftChars="0" w:hangingChars="3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17.2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lang w:val="en-US" w:eastAsia="zh-CN"/>
        </w:rPr>
        <w:t>递交</w:t>
      </w:r>
      <w:r>
        <w:rPr>
          <w:rFonts w:hint="eastAsia" w:ascii="微软雅黑" w:hAnsi="微软雅黑" w:eastAsia="微软雅黑" w:cs="微软雅黑"/>
          <w:b w:val="0"/>
          <w:i w:val="0"/>
          <w:caps w:val="0"/>
          <w:color w:val="auto"/>
          <w:spacing w:val="0"/>
          <w:w w:val="100"/>
          <w:sz w:val="24"/>
          <w:highlight w:val="none"/>
        </w:rPr>
        <w:t>响应文件以后，如果供应商要进行修改或撤回磋商，供应商对响应文件的修改或撤回通知应按本须知规定编制、标记。</w:t>
      </w:r>
    </w:p>
    <w:p>
      <w:pPr>
        <w:pageBreakBefore w:val="0"/>
        <w:shd w:val="clear"/>
        <w:kinsoku/>
        <w:wordWrap/>
        <w:overflowPunct/>
        <w:topLinePunct w:val="0"/>
        <w:bidi w:val="0"/>
        <w:snapToGrid w:val="0"/>
        <w:spacing w:beforeAutospacing="0" w:afterAutospacing="0" w:line="380" w:lineRule="exact"/>
        <w:ind w:left="0" w:leftChars="0" w:firstLine="840" w:firstLineChars="3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采购人和采购代理机构将予以接收，并视为响应文件的组成部分。</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17</w:t>
      </w:r>
      <w:r>
        <w:rPr>
          <w:rFonts w:hint="eastAsia" w:ascii="微软雅黑" w:hAnsi="微软雅黑" w:eastAsia="微软雅黑" w:cs="微软雅黑"/>
          <w:b w:val="0"/>
          <w:i w:val="0"/>
          <w:caps w:val="0"/>
          <w:color w:val="auto"/>
          <w:spacing w:val="0"/>
          <w:w w:val="100"/>
          <w:sz w:val="24"/>
          <w:highlight w:val="none"/>
          <w:lang w:val="en-US" w:eastAsia="zh-CN"/>
        </w:rPr>
        <w:t>3</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在磋商截止期之后，采购人和采购代理机构不接受供应商主动对其响应文件做任何修改。</w:t>
      </w:r>
    </w:p>
    <w:p>
      <w:pPr>
        <w:pStyle w:val="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highlight w:val="none"/>
        </w:rPr>
      </w:pPr>
      <w:bookmarkStart w:id="327" w:name="_Toc25374"/>
      <w:bookmarkStart w:id="328" w:name="_Toc29670"/>
      <w:bookmarkStart w:id="329" w:name="_Toc18890"/>
      <w:bookmarkStart w:id="330" w:name="_Toc14907"/>
      <w:r>
        <w:rPr>
          <w:rFonts w:hint="eastAsia" w:ascii="微软雅黑" w:hAnsi="微软雅黑" w:eastAsia="微软雅黑" w:cs="微软雅黑"/>
          <w:b w:val="0"/>
          <w:i w:val="0"/>
          <w:caps w:val="0"/>
          <w:color w:val="auto"/>
          <w:spacing w:val="0"/>
          <w:w w:val="100"/>
          <w:sz w:val="24"/>
          <w:highlight w:val="none"/>
        </w:rPr>
        <w:t>17.</w:t>
      </w:r>
      <w:r>
        <w:rPr>
          <w:rFonts w:hint="eastAsia" w:ascii="微软雅黑" w:hAnsi="微软雅黑" w:eastAsia="微软雅黑" w:cs="微软雅黑"/>
          <w:b w:val="0"/>
          <w:i w:val="0"/>
          <w:caps w:val="0"/>
          <w:color w:val="auto"/>
          <w:spacing w:val="0"/>
          <w:w w:val="100"/>
          <w:sz w:val="24"/>
          <w:highlight w:val="none"/>
          <w:lang w:val="en-US" w:eastAsia="zh-CN"/>
        </w:rPr>
        <w:t>4</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采购人和采购代理机构对所接收响应文件概不退回。</w:t>
      </w:r>
      <w:bookmarkEnd w:id="327"/>
      <w:bookmarkEnd w:id="328"/>
      <w:bookmarkEnd w:id="329"/>
      <w:bookmarkEnd w:id="330"/>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highlight w:val="none"/>
          <w:lang w:val="en-US" w:eastAsia="zh-CN"/>
        </w:rPr>
      </w:pPr>
      <w:bookmarkStart w:id="331" w:name="_Toc7255"/>
      <w:r>
        <w:rPr>
          <w:rFonts w:hint="eastAsia" w:ascii="微软雅黑" w:hAnsi="微软雅黑" w:eastAsia="微软雅黑" w:cs="微软雅黑"/>
          <w:b/>
          <w:i w:val="0"/>
          <w:caps w:val="0"/>
          <w:color w:val="auto"/>
          <w:spacing w:val="0"/>
          <w:w w:val="100"/>
          <w:sz w:val="24"/>
          <w:highlight w:val="none"/>
        </w:rPr>
        <w:t xml:space="preserve">五   </w:t>
      </w:r>
      <w:r>
        <w:rPr>
          <w:rFonts w:hint="eastAsia" w:ascii="微软雅黑" w:hAnsi="微软雅黑" w:eastAsia="微软雅黑" w:cs="微软雅黑"/>
          <w:b/>
          <w:i w:val="0"/>
          <w:caps w:val="0"/>
          <w:color w:val="auto"/>
          <w:spacing w:val="0"/>
          <w:w w:val="100"/>
          <w:sz w:val="24"/>
          <w:highlight w:val="none"/>
          <w:lang w:val="en-US" w:eastAsia="zh-CN"/>
        </w:rPr>
        <w:t>磋商</w:t>
      </w:r>
      <w:r>
        <w:rPr>
          <w:rFonts w:hint="eastAsia" w:ascii="微软雅黑" w:hAnsi="微软雅黑" w:eastAsia="微软雅黑" w:cs="微软雅黑"/>
          <w:b/>
          <w:i w:val="0"/>
          <w:caps w:val="0"/>
          <w:color w:val="auto"/>
          <w:spacing w:val="0"/>
          <w:w w:val="100"/>
          <w:sz w:val="24"/>
          <w:highlight w:val="none"/>
        </w:rPr>
        <w:t>及</w:t>
      </w:r>
      <w:bookmarkEnd w:id="280"/>
      <w:bookmarkEnd w:id="281"/>
      <w:bookmarkEnd w:id="282"/>
      <w:bookmarkEnd w:id="283"/>
      <w:bookmarkEnd w:id="284"/>
      <w:bookmarkEnd w:id="285"/>
      <w:bookmarkEnd w:id="326"/>
      <w:r>
        <w:rPr>
          <w:rFonts w:hint="eastAsia" w:ascii="微软雅黑" w:hAnsi="微软雅黑" w:eastAsia="微软雅黑" w:cs="微软雅黑"/>
          <w:b/>
          <w:i w:val="0"/>
          <w:caps w:val="0"/>
          <w:color w:val="auto"/>
          <w:spacing w:val="0"/>
          <w:w w:val="100"/>
          <w:sz w:val="24"/>
          <w:highlight w:val="none"/>
          <w:lang w:val="en-US" w:eastAsia="zh-CN"/>
        </w:rPr>
        <w:t>评审</w:t>
      </w:r>
      <w:bookmarkEnd w:id="331"/>
    </w:p>
    <w:p>
      <w:pPr>
        <w:numPr>
          <w:ilvl w:val="0"/>
          <w:numId w:val="0"/>
        </w:numPr>
        <w:shd w:val="clear"/>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u w:val="single" w:color="000000"/>
          <w:lang w:val="en-US" w:eastAsia="zh-CN"/>
        </w:rPr>
        <w:t>18.磋商</w:t>
      </w:r>
    </w:p>
    <w:p>
      <w:pPr>
        <w:pageBreakBefore w:val="0"/>
        <w:numPr>
          <w:ilvl w:val="1"/>
          <w:numId w:val="4"/>
        </w:numPr>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332" w:name="_Toc520356165"/>
      <w:bookmarkStart w:id="333" w:name="_Toc5428"/>
      <w:bookmarkStart w:id="334" w:name="_Toc19296"/>
      <w:bookmarkStart w:id="335" w:name="_Toc21372"/>
      <w:bookmarkStart w:id="336" w:name="_Toc515647780"/>
      <w:bookmarkStart w:id="337" w:name="_Toc6401"/>
      <w:bookmarkStart w:id="338" w:name="_Toc24458"/>
      <w:bookmarkStart w:id="339" w:name="_Toc14954"/>
      <w:bookmarkStart w:id="340" w:name="_Toc18057"/>
      <w:bookmarkStart w:id="341" w:name="_Toc28768"/>
      <w:bookmarkStart w:id="342" w:name="_Toc17238"/>
      <w:bookmarkStart w:id="343" w:name="_Toc5402"/>
      <w:r>
        <w:rPr>
          <w:rFonts w:hint="eastAsia" w:ascii="微软雅黑" w:hAnsi="微软雅黑" w:eastAsia="微软雅黑" w:cs="微软雅黑"/>
          <w:b w:val="0"/>
          <w:i w:val="0"/>
          <w:caps w:val="0"/>
          <w:color w:val="auto"/>
          <w:spacing w:val="0"/>
          <w:w w:val="100"/>
          <w:sz w:val="24"/>
          <w:highlight w:val="none"/>
        </w:rPr>
        <w:t>采购人和采购代理机构将按</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中规定的</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时间和地点组织公开</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并邀请所有供应商代表参加。</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18.2  磋商</w:t>
      </w:r>
      <w:r>
        <w:rPr>
          <w:rFonts w:hint="eastAsia" w:ascii="微软雅黑" w:hAnsi="微软雅黑" w:eastAsia="微软雅黑" w:cs="微软雅黑"/>
          <w:b w:val="0"/>
          <w:i w:val="0"/>
          <w:caps w:val="0"/>
          <w:color w:val="auto"/>
          <w:spacing w:val="0"/>
          <w:w w:val="100"/>
          <w:sz w:val="24"/>
          <w:highlight w:val="none"/>
        </w:rPr>
        <w:t>时，由</w:t>
      </w:r>
      <w:r>
        <w:rPr>
          <w:rFonts w:hint="eastAsia" w:ascii="微软雅黑" w:hAnsi="微软雅黑" w:eastAsia="微软雅黑" w:cs="微软雅黑"/>
          <w:b w:val="0"/>
          <w:i w:val="0"/>
          <w:caps w:val="0"/>
          <w:color w:val="auto"/>
          <w:spacing w:val="0"/>
          <w:w w:val="100"/>
          <w:sz w:val="24"/>
          <w:highlight w:val="none"/>
          <w:lang w:val="en-US" w:eastAsia="zh-CN"/>
        </w:rPr>
        <w:t>采购人代表或监督人检查供应商的资格要求</w:t>
      </w:r>
      <w:r>
        <w:rPr>
          <w:rFonts w:hint="eastAsia" w:ascii="微软雅黑" w:hAnsi="微软雅黑" w:eastAsia="微软雅黑" w:cs="微软雅黑"/>
          <w:b w:val="0"/>
          <w:i w:val="0"/>
          <w:caps w:val="0"/>
          <w:color w:val="auto"/>
          <w:spacing w:val="0"/>
          <w:w w:val="100"/>
          <w:sz w:val="24"/>
          <w:highlight w:val="none"/>
        </w:rPr>
        <w:t>。</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18.</w:t>
      </w:r>
      <w:r>
        <w:rPr>
          <w:rFonts w:hint="eastAsia" w:ascii="微软雅黑" w:hAnsi="微软雅黑" w:eastAsia="微软雅黑" w:cs="微软雅黑"/>
          <w:b w:val="0"/>
          <w:i w:val="0"/>
          <w:caps w:val="0"/>
          <w:color w:val="auto"/>
          <w:spacing w:val="0"/>
          <w:w w:val="100"/>
          <w:sz w:val="24"/>
          <w:highlight w:val="none"/>
          <w:lang w:val="en-US" w:eastAsia="zh-CN"/>
        </w:rPr>
        <w:t>3</w:t>
      </w:r>
      <w:r>
        <w:rPr>
          <w:rFonts w:hint="eastAsia" w:ascii="微软雅黑" w:hAnsi="微软雅黑" w:eastAsia="微软雅黑" w:cs="微软雅黑"/>
          <w:b w:val="0"/>
          <w:i w:val="0"/>
          <w:caps w:val="0"/>
          <w:color w:val="auto"/>
          <w:spacing w:val="0"/>
          <w:w w:val="100"/>
          <w:sz w:val="24"/>
          <w:highlight w:val="none"/>
        </w:rPr>
        <w:t xml:space="preserve">   </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时，由供应商或其推选的代表检查自己或所代表的响应文件的密封情况。</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rPr>
        <w:t>18.</w:t>
      </w:r>
      <w:r>
        <w:rPr>
          <w:rFonts w:hint="eastAsia" w:ascii="微软雅黑" w:hAnsi="微软雅黑" w:eastAsia="微软雅黑" w:cs="微软雅黑"/>
          <w:b w:val="0"/>
          <w:i w:val="0"/>
          <w:caps w:val="0"/>
          <w:color w:val="auto"/>
          <w:spacing w:val="0"/>
          <w:w w:val="100"/>
          <w:sz w:val="24"/>
          <w:highlight w:val="none"/>
          <w:lang w:val="en-US" w:eastAsia="zh-CN"/>
        </w:rPr>
        <w:t>4</w:t>
      </w:r>
      <w:r>
        <w:rPr>
          <w:rFonts w:hint="eastAsia" w:ascii="微软雅黑" w:hAnsi="微软雅黑" w:eastAsia="微软雅黑" w:cs="微软雅黑"/>
          <w:b w:val="0"/>
          <w:i w:val="0"/>
          <w:caps w:val="0"/>
          <w:color w:val="auto"/>
          <w:spacing w:val="0"/>
          <w:w w:val="100"/>
          <w:sz w:val="24"/>
          <w:highlight w:val="none"/>
        </w:rPr>
        <w:t xml:space="preserve">   </w:t>
      </w:r>
      <w:r>
        <w:rPr>
          <w:rFonts w:hint="eastAsia" w:ascii="微软雅黑" w:hAnsi="微软雅黑" w:eastAsia="微软雅黑" w:cs="微软雅黑"/>
          <w:b w:val="0"/>
          <w:i w:val="0"/>
          <w:caps w:val="0"/>
          <w:color w:val="auto"/>
          <w:spacing w:val="0"/>
          <w:w w:val="100"/>
          <w:sz w:val="24"/>
          <w:highlight w:val="none"/>
          <w:lang w:val="en-US" w:eastAsia="zh-CN"/>
        </w:rPr>
        <w:t>磋商小组进场，对各供应商的资格性和符合性进行审查。</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18.5   供应商进场，进行磋商，</w:t>
      </w:r>
      <w:r>
        <w:rPr>
          <w:rFonts w:hint="eastAsia" w:ascii="微软雅黑" w:hAnsi="微软雅黑" w:eastAsia="微软雅黑" w:cs="微软雅黑"/>
          <w:b w:val="0"/>
          <w:i w:val="0"/>
          <w:caps w:val="0"/>
          <w:color w:val="auto"/>
          <w:spacing w:val="0"/>
          <w:w w:val="100"/>
          <w:sz w:val="24"/>
          <w:highlight w:val="none"/>
        </w:rPr>
        <w:t>采购人或采购代理机构将对</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过程进行记录，由参加</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的各供应商代表和相关工作人员签字确认，并存档备查。</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rPr>
        <w:t>18.</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 xml:space="preserve">   采购人或采购代理机构</w:t>
      </w:r>
      <w:r>
        <w:rPr>
          <w:rFonts w:hint="eastAsia" w:ascii="微软雅黑" w:hAnsi="微软雅黑" w:eastAsia="微软雅黑" w:cs="微软雅黑"/>
          <w:b w:val="0"/>
          <w:i w:val="0"/>
          <w:caps w:val="0"/>
          <w:color w:val="auto"/>
          <w:spacing w:val="0"/>
          <w:w w:val="100"/>
          <w:sz w:val="24"/>
          <w:highlight w:val="none"/>
          <w:lang w:val="en-US" w:eastAsia="zh-CN"/>
        </w:rPr>
        <w:t>对最终的报价进行宣读。</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lang w:val="en-US" w:eastAsia="zh-CN"/>
        </w:rPr>
        <w:t>18.7   供应商退场，磋商小组对供应商的响应文件进行综合评分。</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18.8   采购人或采购代理机构对评审结果进行宣布。供应商代表对</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过程和</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记录有疑义，以及认为采购人、采购代理机构相关工作人员有需要回避的情形的，应当场提出询问或者回避申请。</w:t>
      </w:r>
    </w:p>
    <w:p>
      <w:pPr>
        <w:pStyle w:val="2"/>
        <w:pageBreakBefore w:val="0"/>
        <w:shd w:val="clear"/>
        <w:kinsoku/>
        <w:wordWrap/>
        <w:overflowPunct/>
        <w:topLinePunct w:val="0"/>
        <w:bidi w:val="0"/>
        <w:snapToGrid w:val="0"/>
        <w:spacing w:before="0" w:beforeAutospacing="0" w:after="0" w:afterAutospacing="0" w:line="470" w:lineRule="exact"/>
        <w:ind w:left="0" w:leftChars="0"/>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344" w:name="_Toc13143"/>
      <w:bookmarkStart w:id="345" w:name="_Toc27213"/>
      <w:bookmarkStart w:id="346" w:name="_Toc21802"/>
      <w:bookmarkStart w:id="347" w:name="_Toc197"/>
      <w:r>
        <w:rPr>
          <w:rFonts w:hint="eastAsia" w:ascii="微软雅黑" w:hAnsi="微软雅黑" w:eastAsia="微软雅黑" w:cs="微软雅黑"/>
          <w:b/>
          <w:i w:val="0"/>
          <w:caps w:val="0"/>
          <w:color w:val="auto"/>
          <w:spacing w:val="0"/>
          <w:w w:val="100"/>
          <w:sz w:val="24"/>
          <w:highlight w:val="none"/>
          <w:u w:val="single" w:color="000000"/>
        </w:rPr>
        <w:t>19.</w:t>
      </w:r>
      <w:bookmarkEnd w:id="332"/>
      <w:r>
        <w:rPr>
          <w:rFonts w:hint="eastAsia" w:ascii="微软雅黑" w:hAnsi="微软雅黑" w:eastAsia="微软雅黑" w:cs="微软雅黑"/>
          <w:b/>
          <w:i w:val="0"/>
          <w:caps w:val="0"/>
          <w:color w:val="auto"/>
          <w:spacing w:val="0"/>
          <w:w w:val="100"/>
          <w:sz w:val="24"/>
          <w:highlight w:val="none"/>
          <w:u w:val="single" w:color="000000"/>
        </w:rPr>
        <w:t>资格审查及组建</w:t>
      </w:r>
      <w:bookmarkEnd w:id="333"/>
      <w:bookmarkEnd w:id="334"/>
      <w:bookmarkEnd w:id="335"/>
      <w:bookmarkEnd w:id="336"/>
      <w:r>
        <w:rPr>
          <w:rFonts w:hint="eastAsia" w:ascii="微软雅黑" w:hAnsi="微软雅黑" w:eastAsia="微软雅黑" w:cs="微软雅黑"/>
          <w:b/>
          <w:i w:val="0"/>
          <w:caps w:val="0"/>
          <w:color w:val="auto"/>
          <w:spacing w:val="0"/>
          <w:w w:val="100"/>
          <w:sz w:val="24"/>
          <w:highlight w:val="none"/>
          <w:u w:val="single" w:color="000000"/>
        </w:rPr>
        <w:t>磋商小组</w:t>
      </w:r>
      <w:bookmarkEnd w:id="337"/>
      <w:bookmarkEnd w:id="338"/>
      <w:bookmarkEnd w:id="339"/>
      <w:bookmarkEnd w:id="340"/>
      <w:bookmarkEnd w:id="341"/>
      <w:bookmarkEnd w:id="342"/>
      <w:bookmarkEnd w:id="343"/>
      <w:bookmarkEnd w:id="344"/>
      <w:bookmarkEnd w:id="345"/>
      <w:bookmarkEnd w:id="346"/>
      <w:bookmarkEnd w:id="347"/>
    </w:p>
    <w:p>
      <w:pPr>
        <w:pageBreakBefore w:val="0"/>
        <w:shd w:val="clear"/>
        <w:kinsoku/>
        <w:wordWrap/>
        <w:overflowPunct/>
        <w:topLinePunct w:val="0"/>
        <w:bidi w:val="0"/>
        <w:snapToGrid w:val="0"/>
        <w:spacing w:before="0" w:beforeAutospacing="0" w:after="0" w:afterAutospacing="0" w:line="470" w:lineRule="exact"/>
        <w:ind w:left="960" w:leftChars="0" w:hanging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19.1    </w:t>
      </w:r>
      <w:r>
        <w:rPr>
          <w:rFonts w:hint="eastAsia" w:ascii="微软雅黑" w:hAnsi="微软雅黑" w:eastAsia="微软雅黑" w:cs="微软雅黑"/>
          <w:color w:val="auto"/>
          <w:sz w:val="24"/>
          <w:highlight w:val="none"/>
        </w:rPr>
        <w:t>采购人或采购代理机构依据法律法规和磋商文件中规定的内容，对供应商及其</w:t>
      </w:r>
      <w:r>
        <w:rPr>
          <w:rFonts w:hint="eastAsia" w:ascii="微软雅黑" w:hAnsi="微软雅黑" w:eastAsia="微软雅黑" w:cs="微软雅黑"/>
          <w:color w:val="auto"/>
          <w:sz w:val="24"/>
          <w:highlight w:val="none"/>
          <w:lang w:val="en-US" w:eastAsia="zh-CN"/>
        </w:rPr>
        <w:t>服务</w:t>
      </w:r>
      <w:r>
        <w:rPr>
          <w:rFonts w:hint="eastAsia" w:ascii="微软雅黑" w:hAnsi="微软雅黑" w:eastAsia="微软雅黑" w:cs="微软雅黑"/>
          <w:color w:val="auto"/>
          <w:sz w:val="24"/>
          <w:highlight w:val="none"/>
        </w:rPr>
        <w:t>的资格进行审查，未通过资格审查的供应商不进入评标。</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w:t>
      </w:r>
      <w:r>
        <w:rPr>
          <w:rFonts w:hint="eastAsia" w:ascii="微软雅黑" w:hAnsi="微软雅黑" w:eastAsia="微软雅黑" w:cs="微软雅黑"/>
          <w:b w:val="0"/>
          <w:i w:val="0"/>
          <w:caps w:val="0"/>
          <w:color w:val="auto"/>
          <w:spacing w:val="0"/>
          <w:w w:val="100"/>
          <w:sz w:val="24"/>
          <w:highlight w:val="none"/>
          <w:lang w:val="en-US" w:eastAsia="zh-CN"/>
        </w:rPr>
        <w:t xml:space="preserve">   </w:t>
      </w:r>
      <w:r>
        <w:rPr>
          <w:rFonts w:hint="eastAsia" w:ascii="微软雅黑" w:hAnsi="微软雅黑" w:eastAsia="微软雅黑" w:cs="微软雅黑"/>
          <w:b/>
          <w:bCs/>
          <w:i w:val="0"/>
          <w:caps w:val="0"/>
          <w:color w:val="auto"/>
          <w:spacing w:val="0"/>
          <w:w w:val="100"/>
          <w:sz w:val="24"/>
          <w:highlight w:val="none"/>
        </w:rPr>
        <w:t>本项目现场磋商开启必须提供证件原件或加盖公章复印件：</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1.提供具有有效的独立法人营业执照；</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2</w:t>
      </w:r>
      <w:r>
        <w:rPr>
          <w:rFonts w:hint="eastAsia" w:ascii="微软雅黑" w:hAnsi="微软雅黑" w:eastAsia="微软雅黑" w:cs="微软雅黑"/>
          <w:b/>
          <w:bCs/>
          <w:i w:val="0"/>
          <w:caps w:val="0"/>
          <w:color w:val="auto"/>
          <w:spacing w:val="0"/>
          <w:w w:val="100"/>
          <w:sz w:val="24"/>
          <w:highlight w:val="none"/>
        </w:rPr>
        <w:t>.提供法人代表资格证明及授权书、被授权人身份证；(法人投标需提供法人身份证)；</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3</w:t>
      </w:r>
      <w:r>
        <w:rPr>
          <w:rFonts w:hint="eastAsia" w:ascii="微软雅黑" w:hAnsi="微软雅黑" w:eastAsia="微软雅黑" w:cs="微软雅黑"/>
          <w:b/>
          <w:bCs/>
          <w:i w:val="0"/>
          <w:caps w:val="0"/>
          <w:color w:val="auto"/>
          <w:spacing w:val="0"/>
          <w:w w:val="100"/>
          <w:sz w:val="24"/>
          <w:highlight w:val="none"/>
        </w:rPr>
        <w:t>.提供近两年任意一年的财务审计报告，新成立的公司提供近三个月内任意一个月的银行资信证明；</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4</w:t>
      </w:r>
      <w:r>
        <w:rPr>
          <w:rFonts w:hint="eastAsia" w:ascii="微软雅黑" w:hAnsi="微软雅黑" w:eastAsia="微软雅黑" w:cs="微软雅黑"/>
          <w:b/>
          <w:bCs/>
          <w:i w:val="0"/>
          <w:caps w:val="0"/>
          <w:color w:val="auto"/>
          <w:spacing w:val="0"/>
          <w:w w:val="100"/>
          <w:sz w:val="24"/>
          <w:highlight w:val="none"/>
        </w:rPr>
        <w:t>.提供依法缴纳近6个月任意一个月社会保险的凭据；</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5</w:t>
      </w:r>
      <w:r>
        <w:rPr>
          <w:rFonts w:hint="eastAsia" w:ascii="微软雅黑" w:hAnsi="微软雅黑" w:eastAsia="微软雅黑" w:cs="微软雅黑"/>
          <w:b/>
          <w:bCs/>
          <w:i w:val="0"/>
          <w:caps w:val="0"/>
          <w:color w:val="auto"/>
          <w:spacing w:val="0"/>
          <w:w w:val="100"/>
          <w:sz w:val="24"/>
          <w:highlight w:val="none"/>
        </w:rPr>
        <w:t>.提供税务部门出具的近6个月任意一个月的完税证明；</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lang w:eastAsia="zh-CN"/>
        </w:rPr>
      </w:pPr>
      <w:r>
        <w:rPr>
          <w:rFonts w:hint="eastAsia" w:ascii="微软雅黑" w:hAnsi="微软雅黑" w:eastAsia="微软雅黑" w:cs="微软雅黑"/>
          <w:b/>
          <w:bCs/>
          <w:i w:val="0"/>
          <w:caps w:val="0"/>
          <w:color w:val="auto"/>
          <w:spacing w:val="0"/>
          <w:w w:val="100"/>
          <w:sz w:val="24"/>
          <w:highlight w:val="none"/>
          <w:lang w:val="en-US" w:eastAsia="zh-CN"/>
        </w:rPr>
        <w:t>6</w:t>
      </w:r>
      <w:r>
        <w:rPr>
          <w:rFonts w:hint="eastAsia" w:ascii="微软雅黑" w:hAnsi="微软雅黑" w:eastAsia="微软雅黑" w:cs="微软雅黑"/>
          <w:b/>
          <w:bCs/>
          <w:i w:val="0"/>
          <w:caps w:val="0"/>
          <w:color w:val="auto"/>
          <w:spacing w:val="0"/>
          <w:w w:val="100"/>
          <w:sz w:val="24"/>
          <w:highlight w:val="none"/>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r>
        <w:rPr>
          <w:rFonts w:hint="eastAsia" w:ascii="微软雅黑" w:hAnsi="微软雅黑" w:eastAsia="微软雅黑" w:cs="微软雅黑"/>
          <w:b/>
          <w:bCs/>
          <w:i w:val="0"/>
          <w:caps w:val="0"/>
          <w:color w:val="auto"/>
          <w:spacing w:val="0"/>
          <w:w w:val="100"/>
          <w:sz w:val="24"/>
          <w:highlight w:val="none"/>
          <w:lang w:eastAsia="zh-CN"/>
        </w:rPr>
        <w:t>（以现场招标代理或招标人查询为准）</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7</w:t>
      </w:r>
      <w:r>
        <w:rPr>
          <w:rFonts w:hint="eastAsia" w:ascii="微软雅黑" w:hAnsi="微软雅黑" w:eastAsia="微软雅黑" w:cs="微软雅黑"/>
          <w:b/>
          <w:bCs/>
          <w:i w:val="0"/>
          <w:caps w:val="0"/>
          <w:color w:val="auto"/>
          <w:spacing w:val="0"/>
          <w:w w:val="100"/>
          <w:sz w:val="24"/>
          <w:highlight w:val="none"/>
        </w:rPr>
        <w:t>.提供参与政府采购活动前3年内未被列入失信、重大税收违法案件、财政部门禁止参加政府采购活动的承诺书；</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8</w:t>
      </w:r>
      <w:r>
        <w:rPr>
          <w:rFonts w:hint="eastAsia" w:ascii="微软雅黑" w:hAnsi="微软雅黑" w:eastAsia="微软雅黑" w:cs="微软雅黑"/>
          <w:b/>
          <w:bCs/>
          <w:i w:val="0"/>
          <w:caps w:val="0"/>
          <w:color w:val="auto"/>
          <w:spacing w:val="0"/>
          <w:w w:val="100"/>
          <w:sz w:val="24"/>
          <w:highlight w:val="none"/>
        </w:rPr>
        <w:t>.提供针对本次项目《反商业贿赂承诺书》；</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9</w:t>
      </w:r>
      <w:r>
        <w:rPr>
          <w:rFonts w:hint="eastAsia" w:ascii="微软雅黑" w:hAnsi="微软雅黑" w:eastAsia="微软雅黑" w:cs="微软雅黑"/>
          <w:b/>
          <w:bCs/>
          <w:i w:val="0"/>
          <w:caps w:val="0"/>
          <w:color w:val="auto"/>
          <w:spacing w:val="0"/>
          <w:w w:val="100"/>
          <w:sz w:val="24"/>
          <w:highlight w:val="none"/>
          <w:lang w:eastAsia="zh-CN"/>
        </w:rPr>
        <w:t>缴纳磋商保证金的银行回执单</w:t>
      </w:r>
      <w:r>
        <w:rPr>
          <w:rFonts w:hint="eastAsia" w:ascii="微软雅黑" w:hAnsi="微软雅黑" w:eastAsia="微软雅黑" w:cs="微软雅黑"/>
          <w:b/>
          <w:bCs/>
          <w:i w:val="0"/>
          <w:caps w:val="0"/>
          <w:color w:val="auto"/>
          <w:spacing w:val="0"/>
          <w:w w:val="100"/>
          <w:sz w:val="24"/>
          <w:highlight w:val="none"/>
        </w:rPr>
        <w:t>。</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left="0" w:leftChars="0" w:firstLine="0" w:firstLineChars="0"/>
        <w:jc w:val="both"/>
        <w:textAlignment w:val="baseline"/>
        <w:rPr>
          <w:rFonts w:hint="eastAsia" w:ascii="微软雅黑" w:hAnsi="微软雅黑" w:eastAsia="微软雅黑" w:cs="微软雅黑"/>
          <w:b/>
          <w:bCs/>
          <w:color w:val="auto"/>
          <w:sz w:val="24"/>
          <w:szCs w:val="22"/>
          <w:highlight w:val="none"/>
        </w:rPr>
      </w:pPr>
      <w:r>
        <w:rPr>
          <w:rFonts w:hint="eastAsia" w:ascii="微软雅黑" w:hAnsi="微软雅黑" w:eastAsia="微软雅黑" w:cs="微软雅黑"/>
          <w:b/>
          <w:bCs/>
          <w:color w:val="auto"/>
          <w:sz w:val="24"/>
          <w:szCs w:val="22"/>
          <w:highlight w:val="none"/>
        </w:rPr>
        <w:t>各供应商应注意以下事项：</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left="0" w:leftChars="0" w:firstLine="0" w:firstLineChars="0"/>
        <w:jc w:val="both"/>
        <w:textAlignment w:val="baseline"/>
        <w:rPr>
          <w:rFonts w:hint="eastAsia" w:ascii="微软雅黑" w:hAnsi="微软雅黑" w:eastAsia="微软雅黑" w:cs="微软雅黑"/>
          <w:b/>
          <w:bCs/>
          <w:color w:val="auto"/>
          <w:sz w:val="24"/>
          <w:szCs w:val="22"/>
          <w:highlight w:val="none"/>
        </w:rPr>
      </w:pPr>
      <w:r>
        <w:rPr>
          <w:rFonts w:hint="eastAsia" w:ascii="微软雅黑" w:hAnsi="微软雅黑" w:eastAsia="微软雅黑" w:cs="微软雅黑"/>
          <w:b/>
          <w:bCs/>
          <w:color w:val="auto"/>
          <w:sz w:val="24"/>
          <w:szCs w:val="22"/>
          <w:highlight w:val="none"/>
        </w:rPr>
        <w:t>A：本项目要求各投标供应商提供税务部门出具的近6个月任意一个月的完税证明，若供应商某月税收为零申报，须提供加盖税务局公章的无欠税证明或申报成功网页截图（供应商可自主登录“国家税务总局电子税务局”12366.chinatax.gov.cn/bsfw/onlinetaxation/main——税费申报及缴纳——申报结果查询）。</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left="0" w:leftChars="0" w:firstLine="0" w:firstLineChars="0"/>
        <w:jc w:val="both"/>
        <w:textAlignment w:val="baseline"/>
        <w:rPr>
          <w:rFonts w:hint="eastAsia" w:ascii="微软雅黑" w:hAnsi="微软雅黑" w:eastAsia="微软雅黑" w:cs="微软雅黑"/>
          <w:b/>
          <w:bCs/>
          <w:color w:val="auto"/>
          <w:sz w:val="24"/>
          <w:szCs w:val="22"/>
          <w:highlight w:val="none"/>
        </w:rPr>
      </w:pPr>
      <w:r>
        <w:rPr>
          <w:rFonts w:hint="eastAsia" w:ascii="微软雅黑" w:hAnsi="微软雅黑" w:eastAsia="微软雅黑" w:cs="微软雅黑"/>
          <w:b/>
          <w:bCs/>
          <w:color w:val="auto"/>
          <w:sz w:val="24"/>
          <w:szCs w:val="22"/>
          <w:highlight w:val="none"/>
        </w:rPr>
        <w:t>B：税务局代收的社保缴费证明不可作为本项目的完税证明（“税种”不可为养老保险、医疗保险、失业保险、工伤保险和生育保险）。</w:t>
      </w:r>
    </w:p>
    <w:p>
      <w:pPr>
        <w:pageBreakBefore w:val="0"/>
        <w:shd w:val="clear"/>
        <w:kinsoku/>
        <w:wordWrap/>
        <w:overflowPunct/>
        <w:topLinePunct w:val="0"/>
        <w:bidi w:val="0"/>
        <w:snapToGrid w:val="0"/>
        <w:spacing w:before="0" w:beforeAutospacing="0" w:after="0" w:afterAutospacing="0" w:line="470" w:lineRule="exact"/>
        <w:ind w:left="973" w:leftChars="114" w:hanging="734" w:hangingChars="306"/>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19.2   采购人或采购代理机构将在开标前1个工作日至磋商截止后1小时的期间内查询供应商的信用记录。供应商存在不良信用记录的，其磋商将被认定为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ageBreakBefore w:val="0"/>
        <w:widowControl w:val="0"/>
        <w:shd w:val="clear"/>
        <w:kinsoku/>
        <w:wordWrap/>
        <w:overflowPunct/>
        <w:topLinePunct w:val="0"/>
        <w:bidi w:val="0"/>
        <w:snapToGrid w:val="0"/>
        <w:spacing w:before="0" w:beforeAutospacing="0" w:after="0" w:afterAutospacing="0" w:line="420" w:lineRule="exact"/>
        <w:ind w:left="973" w:leftChars="114" w:hanging="734" w:hangingChars="306"/>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rPr>
        <w:t>19.2.1 不良信用记录指：</w:t>
      </w:r>
      <w:r>
        <w:rPr>
          <w:rFonts w:hint="eastAsia" w:ascii="微软雅黑" w:hAnsi="微软雅黑" w:eastAsia="微软雅黑" w:cs="微软雅黑"/>
          <w:b w:val="0"/>
          <w:i w:val="0"/>
          <w:caps w:val="0"/>
          <w:color w:val="auto"/>
          <w:spacing w:val="0"/>
          <w:w w:val="100"/>
          <w:sz w:val="24"/>
          <w:highlight w:val="none"/>
          <w:lang w:val="en-US" w:eastAsia="zh-CN"/>
        </w:rPr>
        <w:t>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w:t>
      </w:r>
      <w:r>
        <w:rPr>
          <w:rFonts w:hint="eastAsia" w:ascii="微软雅黑" w:hAnsi="微软雅黑" w:eastAsia="微软雅黑" w:cs="微软雅黑"/>
          <w:b w:val="0"/>
          <w:i w:val="0"/>
          <w:caps w:val="0"/>
          <w:color w:val="auto"/>
          <w:spacing w:val="0"/>
          <w:w w:val="100"/>
          <w:sz w:val="24"/>
          <w:highlight w:val="none"/>
        </w:rPr>
        <w:t>。</w:t>
      </w:r>
    </w:p>
    <w:p>
      <w:pPr>
        <w:pageBreakBefore w:val="0"/>
        <w:widowControl w:val="0"/>
        <w:shd w:val="clear"/>
        <w:kinsoku/>
        <w:wordWrap/>
        <w:overflowPunct/>
        <w:topLinePunct w:val="0"/>
        <w:bidi w:val="0"/>
        <w:snapToGrid w:val="0"/>
        <w:spacing w:before="0" w:beforeAutospacing="0" w:after="0" w:afterAutospacing="0" w:line="420" w:lineRule="exact"/>
        <w:ind w:left="239" w:leftChars="114" w:firstLine="712" w:firstLineChars="29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以联合体形式参加磋商的，联合体任何成员存在以上不良信用记录的，联合体磋商将被认定为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3"/>
        <w:pageBreakBefore w:val="0"/>
        <w:widowControl w:val="0"/>
        <w:shd w:val="clear"/>
        <w:kinsoku/>
        <w:wordWrap/>
        <w:overflowPunct/>
        <w:topLinePunct w:val="0"/>
        <w:bidi w:val="0"/>
        <w:snapToGrid w:val="0"/>
        <w:spacing w:before="0" w:beforeAutospacing="0" w:after="0" w:afterAutospacing="0" w:line="420" w:lineRule="exact"/>
        <w:ind w:hangingChars="354"/>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19.2.2 查询及记录方式：采购人或采购代理机构经办人将查询网页打印、签字并存档备查。供应商不良信用记录以采购人或采购代理机构查询结果为准。在本磋商文件规定的查询时间之后，网站信息发生的任何变更均不再作为评标依据。</w:t>
      </w:r>
    </w:p>
    <w:p>
      <w:pPr>
        <w:pStyle w:val="3"/>
        <w:pageBreakBefore w:val="0"/>
        <w:widowControl w:val="0"/>
        <w:shd w:val="clear"/>
        <w:kinsoku/>
        <w:wordWrap/>
        <w:overflowPunct/>
        <w:topLinePunct w:val="0"/>
        <w:bidi w:val="0"/>
        <w:snapToGrid w:val="0"/>
        <w:spacing w:before="0" w:beforeAutospacing="0" w:after="0" w:afterAutospacing="0" w:line="420" w:lineRule="exact"/>
        <w:ind w:left="850" w:leftChars="405" w:firstLine="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供应商自行提供的与网站信息不一致的其他证明材料亦不作为资格审查依据。</w:t>
      </w:r>
    </w:p>
    <w:p>
      <w:pPr>
        <w:pageBreakBefore w:val="0"/>
        <w:widowControl w:val="0"/>
        <w:shd w:val="clear"/>
        <w:kinsoku/>
        <w:wordWrap/>
        <w:overflowPunct/>
        <w:topLinePunct w:val="0"/>
        <w:bidi w:val="0"/>
        <w:snapToGrid w:val="0"/>
        <w:spacing w:before="0" w:beforeAutospacing="0" w:after="0" w:afterAutospacing="0" w:line="420" w:lineRule="exact"/>
        <w:ind w:hangingChars="354"/>
        <w:jc w:val="both"/>
        <w:textAlignment w:val="baseline"/>
        <w:rPr>
          <w:rFonts w:hint="eastAsia" w:ascii="微软雅黑" w:hAnsi="微软雅黑" w:eastAsia="微软雅黑" w:cs="微软雅黑"/>
          <w:b w:val="0"/>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rPr>
        <w:t xml:space="preserve">19.3   </w:t>
      </w:r>
      <w:bookmarkStart w:id="348" w:name="_Toc520356166"/>
      <w:r>
        <w:rPr>
          <w:rFonts w:hint="eastAsia" w:ascii="微软雅黑" w:hAnsi="微软雅黑" w:eastAsia="微软雅黑" w:cs="微软雅黑"/>
          <w:b w:val="0"/>
          <w:i w:val="0"/>
          <w:caps w:val="0"/>
          <w:color w:val="auto"/>
          <w:spacing w:val="0"/>
          <w:w w:val="100"/>
          <w:sz w:val="24"/>
          <w:highlight w:val="none"/>
        </w:rPr>
        <w:t>按照《中华人民共和国政府采购法》、《中华人民共和国政府采购法实施条例》及本项目本级和上级财政部门的有关规</w:t>
      </w:r>
      <w:r>
        <w:rPr>
          <w:rFonts w:hint="eastAsia" w:ascii="微软雅黑" w:hAnsi="微软雅黑" w:eastAsia="微软雅黑" w:cs="微软雅黑"/>
          <w:b w:val="0"/>
          <w:bCs w:val="0"/>
          <w:i w:val="0"/>
          <w:caps w:val="0"/>
          <w:color w:val="auto"/>
          <w:spacing w:val="0"/>
          <w:w w:val="100"/>
          <w:sz w:val="24"/>
          <w:highlight w:val="none"/>
        </w:rPr>
        <w:t>定依法组成磋商小组，</w:t>
      </w:r>
      <w:r>
        <w:rPr>
          <w:rFonts w:hint="eastAsia" w:ascii="微软雅黑" w:hAnsi="微软雅黑" w:eastAsia="微软雅黑" w:cs="微软雅黑"/>
          <w:b w:val="0"/>
          <w:i w:val="0"/>
          <w:caps w:val="0"/>
          <w:color w:val="auto"/>
          <w:spacing w:val="0"/>
          <w:w w:val="100"/>
          <w:sz w:val="24"/>
          <w:highlight w:val="none"/>
        </w:rPr>
        <w:t>负责评审工作</w:t>
      </w:r>
      <w:r>
        <w:rPr>
          <w:rFonts w:hint="eastAsia" w:ascii="微软雅黑" w:hAnsi="微软雅黑" w:eastAsia="微软雅黑" w:cs="微软雅黑"/>
          <w:b w:val="0"/>
          <w:i w:val="0"/>
          <w:caps w:val="0"/>
          <w:color w:val="auto"/>
          <w:spacing w:val="0"/>
          <w:w w:val="100"/>
          <w:sz w:val="24"/>
          <w:highlight w:val="none"/>
          <w:lang w:eastAsia="zh-CN"/>
        </w:rPr>
        <w:t>。</w:t>
      </w:r>
    </w:p>
    <w:p>
      <w:pPr>
        <w:pStyle w:val="2"/>
        <w:pageBreakBefore w:val="0"/>
        <w:widowControl w:val="0"/>
        <w:shd w:val="clear"/>
        <w:kinsoku/>
        <w:wordWrap/>
        <w:overflowPunct/>
        <w:topLinePunct w:val="0"/>
        <w:bidi w:val="0"/>
        <w:snapToGrid w:val="0"/>
        <w:spacing w:before="0" w:beforeAutospacing="0" w:after="0" w:afterAutospacing="0" w:line="420" w:lineRule="exact"/>
        <w:jc w:val="left"/>
        <w:textAlignment w:val="baseline"/>
        <w:rPr>
          <w:rFonts w:hint="eastAsia" w:ascii="微软雅黑" w:hAnsi="微软雅黑" w:eastAsia="微软雅黑" w:cs="微软雅黑"/>
          <w:b w:val="0"/>
          <w:bCs/>
          <w:i w:val="0"/>
          <w:caps w:val="0"/>
          <w:color w:val="auto"/>
          <w:spacing w:val="0"/>
          <w:w w:val="100"/>
          <w:sz w:val="24"/>
          <w:highlight w:val="none"/>
          <w:u w:val="single" w:color="000000"/>
          <w:bdr w:val="single" w:color="auto" w:sz="4" w:space="0"/>
        </w:rPr>
      </w:pPr>
      <w:bookmarkStart w:id="349" w:name="_Toc22740"/>
      <w:bookmarkStart w:id="350" w:name="_Toc10117"/>
      <w:bookmarkStart w:id="351" w:name="_Toc29043"/>
      <w:bookmarkStart w:id="352" w:name="_Toc515647781"/>
      <w:bookmarkStart w:id="353" w:name="_Toc17557"/>
      <w:bookmarkStart w:id="354" w:name="_Toc29938"/>
      <w:bookmarkStart w:id="355" w:name="_Toc17520"/>
      <w:bookmarkStart w:id="356" w:name="_Toc31411"/>
      <w:bookmarkStart w:id="357" w:name="_Toc22446"/>
      <w:bookmarkStart w:id="358" w:name="_Toc15335"/>
      <w:bookmarkStart w:id="359" w:name="_Toc22898"/>
      <w:bookmarkStart w:id="360" w:name="_Toc28479"/>
      <w:bookmarkStart w:id="361" w:name="_Toc32528"/>
      <w:bookmarkStart w:id="362" w:name="_Toc19949"/>
      <w:bookmarkStart w:id="363" w:name="_Toc14392"/>
      <w:r>
        <w:rPr>
          <w:rFonts w:hint="eastAsia" w:ascii="微软雅黑" w:hAnsi="微软雅黑" w:eastAsia="微软雅黑" w:cs="微软雅黑"/>
          <w:b/>
          <w:i w:val="0"/>
          <w:caps w:val="0"/>
          <w:color w:val="auto"/>
          <w:spacing w:val="0"/>
          <w:w w:val="100"/>
          <w:sz w:val="24"/>
          <w:highlight w:val="none"/>
          <w:u w:val="single" w:color="000000"/>
        </w:rPr>
        <w:t>20.</w:t>
      </w:r>
      <w:bookmarkEnd w:id="348"/>
      <w:r>
        <w:rPr>
          <w:rFonts w:hint="eastAsia" w:ascii="微软雅黑" w:hAnsi="微软雅黑" w:eastAsia="微软雅黑" w:cs="微软雅黑"/>
          <w:b/>
          <w:i w:val="0"/>
          <w:caps w:val="0"/>
          <w:color w:val="auto"/>
          <w:spacing w:val="0"/>
          <w:w w:val="100"/>
          <w:sz w:val="24"/>
          <w:highlight w:val="none"/>
          <w:u w:val="single" w:color="000000"/>
        </w:rPr>
        <w:t>响应文件符合性审查与澄清</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20.1   符合性审查是指依据磋商文件的规定，从响应文件的有效性和完整性对磋商文件的响应程度进行审查，以确定是否对磋商文件的实质性要求做出响应。</w:t>
      </w:r>
      <w:bookmarkStart w:id="364" w:name="_Hlt522424701"/>
      <w:bookmarkEnd w:id="364"/>
      <w:bookmarkStart w:id="365" w:name="_Toc520356167"/>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响应文件的澄清</w:t>
      </w:r>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20.2.1  在评标期间，磋商小组将以书面方式要求供应商对其响应文件中含义不明确、对同类问题表述不一致或者有明显文字和计算错误的内容，以及磋商小组认为供应商的报价明显低于其他通过符合性检查供应商的报价，有可能影响履约的情况作必要的澄清、说明或补正。供应商的澄清、说明或补正应在磋商小组规定的时间内以书面方式进行，并不得超出响应文件范围或者改变响应文件的实质性内容。</w:t>
      </w:r>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20.2.2  供应商的的澄清、说明或补正将作为响应文件的一部分。</w:t>
      </w:r>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20.3  响应文件报价出现前后不一致的，按照下列规定修正：</w:t>
      </w:r>
    </w:p>
    <w:p>
      <w:pPr>
        <w:pageBreakBefore w:val="0"/>
        <w:widowControl w:val="0"/>
        <w:shd w:val="clear"/>
        <w:kinsoku/>
        <w:wordWrap/>
        <w:overflowPunct/>
        <w:topLinePunct w:val="0"/>
        <w:bidi w:val="0"/>
        <w:snapToGrid w:val="0"/>
        <w:spacing w:before="0" w:beforeAutospacing="0" w:after="0" w:afterAutospacing="0" w:line="420" w:lineRule="exact"/>
        <w:ind w:hangingChars="4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（一）响应文件中</w:t>
      </w:r>
      <w:r>
        <w:rPr>
          <w:rFonts w:hint="eastAsia" w:ascii="微软雅黑" w:hAnsi="微软雅黑" w:eastAsia="微软雅黑" w:cs="微软雅黑"/>
          <w:b w:val="0"/>
          <w:i w:val="0"/>
          <w:caps w:val="0"/>
          <w:color w:val="auto"/>
          <w:spacing w:val="0"/>
          <w:w w:val="100"/>
          <w:sz w:val="24"/>
          <w:highlight w:val="none"/>
          <w:lang w:eastAsia="zh-CN"/>
        </w:rPr>
        <w:t>磋商报价表</w:t>
      </w:r>
      <w:r>
        <w:rPr>
          <w:rFonts w:hint="eastAsia" w:ascii="微软雅黑" w:hAnsi="微软雅黑" w:eastAsia="微软雅黑" w:cs="微软雅黑"/>
          <w:b w:val="0"/>
          <w:i w:val="0"/>
          <w:caps w:val="0"/>
          <w:color w:val="auto"/>
          <w:spacing w:val="0"/>
          <w:w w:val="100"/>
          <w:sz w:val="24"/>
          <w:highlight w:val="none"/>
        </w:rPr>
        <w:t>（报价表）内容与响应文件中相应内容不一致的，以</w:t>
      </w:r>
      <w:r>
        <w:rPr>
          <w:rFonts w:hint="eastAsia" w:ascii="微软雅黑" w:hAnsi="微软雅黑" w:eastAsia="微软雅黑" w:cs="微软雅黑"/>
          <w:b w:val="0"/>
          <w:i w:val="0"/>
          <w:caps w:val="0"/>
          <w:color w:val="auto"/>
          <w:spacing w:val="0"/>
          <w:w w:val="100"/>
          <w:sz w:val="24"/>
          <w:highlight w:val="none"/>
          <w:lang w:eastAsia="zh-CN"/>
        </w:rPr>
        <w:t>磋商报价表</w:t>
      </w:r>
      <w:r>
        <w:rPr>
          <w:rFonts w:hint="eastAsia" w:ascii="微软雅黑" w:hAnsi="微软雅黑" w:eastAsia="微软雅黑" w:cs="微软雅黑"/>
          <w:b w:val="0"/>
          <w:i w:val="0"/>
          <w:caps w:val="0"/>
          <w:color w:val="auto"/>
          <w:spacing w:val="0"/>
          <w:w w:val="100"/>
          <w:sz w:val="24"/>
          <w:highlight w:val="none"/>
        </w:rPr>
        <w:t>（报价表）为准；</w:t>
      </w:r>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（二）大写金额和小写金额不一致的，以大写金额为准；</w:t>
      </w:r>
    </w:p>
    <w:p>
      <w:pPr>
        <w:pageBreakBefore w:val="0"/>
        <w:widowControl w:val="0"/>
        <w:shd w:val="clear"/>
        <w:kinsoku/>
        <w:wordWrap/>
        <w:overflowPunct/>
        <w:topLinePunct w:val="0"/>
        <w:bidi w:val="0"/>
        <w:snapToGrid w:val="0"/>
        <w:spacing w:before="0" w:beforeAutospacing="0" w:after="0" w:afterAutospacing="0" w:line="420" w:lineRule="exact"/>
        <w:ind w:hangingChars="4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（三）单价金额小数点或者百分比有明显错位的，以</w:t>
      </w:r>
      <w:r>
        <w:rPr>
          <w:rFonts w:hint="eastAsia" w:ascii="微软雅黑" w:hAnsi="微软雅黑" w:eastAsia="微软雅黑" w:cs="微软雅黑"/>
          <w:b w:val="0"/>
          <w:i w:val="0"/>
          <w:caps w:val="0"/>
          <w:color w:val="auto"/>
          <w:spacing w:val="0"/>
          <w:w w:val="100"/>
          <w:sz w:val="24"/>
          <w:highlight w:val="none"/>
          <w:lang w:eastAsia="zh-CN"/>
        </w:rPr>
        <w:t>磋商报价表</w:t>
      </w:r>
      <w:r>
        <w:rPr>
          <w:rFonts w:hint="eastAsia" w:ascii="微软雅黑" w:hAnsi="微软雅黑" w:eastAsia="微软雅黑" w:cs="微软雅黑"/>
          <w:b w:val="0"/>
          <w:i w:val="0"/>
          <w:caps w:val="0"/>
          <w:color w:val="auto"/>
          <w:spacing w:val="0"/>
          <w:w w:val="100"/>
          <w:sz w:val="24"/>
          <w:highlight w:val="none"/>
        </w:rPr>
        <w:t>的总价为准，并修改单价；</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（四）总价金额与按单价汇总金额不一致的，以单价金额计算结果为准。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同时出现两种以上不一致的，按照前款规定的顺序修正。修正后的报价按照第20.2条的规定经供应商确认后产生约束力，供应商不确认的，其磋商将被认定为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left="735" w:leftChars="350" w:firstLine="120" w:firstLineChars="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对不同文字文本响应文件的解释发生异议的，以中文文本为准。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20.4   如一个分包内只有一种产品，不同供应商所投产品为同一品牌的，按如下方式处理：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20.4.1  本项目使用综合评分法，提供相同品牌产品且通过资格审查、符合性审查的不同供应商，按一家供应商计算，评审后得分最高的同品牌供应商获得成交人推荐资格；评审得分相同的，由采购人或者采购人委托磋商小组按照磋商文件中评标办法规定的方式确定一个供应商获得成交人推荐资格；未规定的采取随机抽取方式确定，其他同品牌供应商不作为成交候选人。</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20.5   供应商所投产品如被列入财政部与国家主管部门颁发的节能产品目录或环境标志产品目录或无线局域网产品目录，应提供相关证明，在评标时予以优先采购，具体优先采购办法见第六章评标方法和标准。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如采购人所采购产品为政府强制采购的节能产品，供应商所投产品的品牌及型号必须为清单中有效期内产品并提供证明文件，否则其磋商将被认定为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366" w:name="_Toc6695"/>
      <w:bookmarkStart w:id="367" w:name="_Toc1939"/>
      <w:bookmarkStart w:id="368" w:name="_Toc16330"/>
      <w:bookmarkStart w:id="369" w:name="_Toc2723"/>
      <w:bookmarkStart w:id="370" w:name="_Toc30980"/>
      <w:bookmarkStart w:id="371" w:name="_Toc29782"/>
      <w:bookmarkStart w:id="372" w:name="_Toc30430"/>
      <w:bookmarkStart w:id="373" w:name="_Toc27164"/>
      <w:bookmarkStart w:id="374" w:name="_Toc22254"/>
      <w:bookmarkStart w:id="375" w:name="_Toc28934"/>
      <w:bookmarkStart w:id="376" w:name="_Toc4817"/>
      <w:bookmarkStart w:id="377" w:name="_Toc515647782"/>
      <w:bookmarkStart w:id="378" w:name="_Toc6364"/>
      <w:bookmarkStart w:id="379" w:name="_Toc5587"/>
      <w:bookmarkStart w:id="380" w:name="_Toc9469"/>
      <w:r>
        <w:rPr>
          <w:rFonts w:hint="eastAsia" w:ascii="微软雅黑" w:hAnsi="微软雅黑" w:eastAsia="微软雅黑" w:cs="微软雅黑"/>
          <w:b/>
          <w:i w:val="0"/>
          <w:caps w:val="0"/>
          <w:color w:val="auto"/>
          <w:spacing w:val="0"/>
          <w:w w:val="100"/>
          <w:sz w:val="24"/>
          <w:highlight w:val="none"/>
          <w:u w:val="single" w:color="000000"/>
        </w:rPr>
        <w:t>21.磋商偏离</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shd w:val="clear"/>
        <w:snapToGrid w:val="0"/>
        <w:spacing w:before="0" w:beforeAutospacing="0" w:after="0" w:afterAutospacing="0" w:line="240" w:lineRule="atLeast"/>
        <w:ind w:left="848" w:leftChars="99" w:hangingChars="26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磋商小组可以接受响应文件中不构成实质性偏离的不正规或不一致。</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381" w:name="_Toc515647783"/>
      <w:bookmarkStart w:id="382" w:name="_Toc2275"/>
      <w:bookmarkStart w:id="383" w:name="_Toc6092"/>
      <w:bookmarkStart w:id="384" w:name="_Toc108"/>
      <w:bookmarkStart w:id="385" w:name="_Toc23480"/>
      <w:bookmarkStart w:id="386" w:name="_Toc27546"/>
      <w:bookmarkStart w:id="387" w:name="_Toc23591"/>
      <w:bookmarkStart w:id="388" w:name="_Toc31191"/>
      <w:bookmarkStart w:id="389" w:name="_Toc32163"/>
      <w:bookmarkStart w:id="390" w:name="_Toc4950"/>
      <w:bookmarkStart w:id="391" w:name="_Toc31451"/>
      <w:bookmarkStart w:id="392" w:name="_Toc23817"/>
      <w:bookmarkStart w:id="393" w:name="_Toc296"/>
      <w:bookmarkStart w:id="394" w:name="_Toc14291"/>
      <w:bookmarkStart w:id="395" w:name="_Toc13775"/>
      <w:r>
        <w:rPr>
          <w:rFonts w:hint="eastAsia" w:ascii="微软雅黑" w:hAnsi="微软雅黑" w:eastAsia="微软雅黑" w:cs="微软雅黑"/>
          <w:b/>
          <w:i w:val="0"/>
          <w:caps w:val="0"/>
          <w:color w:val="auto"/>
          <w:spacing w:val="0"/>
          <w:w w:val="100"/>
          <w:sz w:val="24"/>
          <w:highlight w:val="none"/>
          <w:u w:val="single" w:color="000000"/>
        </w:rPr>
        <w:t>22.</w:t>
      </w:r>
      <w:bookmarkEnd w:id="381"/>
      <w:r>
        <w:rPr>
          <w:rFonts w:hint="eastAsia" w:ascii="微软雅黑" w:hAnsi="微软雅黑" w:eastAsia="微软雅黑" w:cs="微软雅黑"/>
          <w:b/>
          <w:i w:val="0"/>
          <w:caps w:val="0"/>
          <w:color w:val="auto"/>
          <w:spacing w:val="0"/>
          <w:w w:val="100"/>
          <w:sz w:val="24"/>
          <w:highlight w:val="none"/>
          <w:u w:val="single" w:color="000000"/>
        </w:rPr>
        <w:t>磋商无效</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pPr>
        <w:shd w:val="clear"/>
        <w:snapToGrid w:val="0"/>
        <w:spacing w:before="0" w:beforeAutospacing="0" w:after="0" w:afterAutospacing="0" w:line="240" w:lineRule="atLeast"/>
        <w:ind w:left="852" w:leftChars="-23"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22.1   在比较与评价之前，根据本须知的规定，磋商小组要审查每份响应文件是否实质上响应了磋商文件的要求。实质上响应的磋商应该是与磋商文件要求的全部条款、条件和规格相符，没有重大偏离的磋商。对关键条款的偏离，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。供应商不得通过修正或撤销不符合要求的偏离，从而使其磋商成为实质上响应的磋商。</w:t>
      </w:r>
    </w:p>
    <w:p>
      <w:pPr>
        <w:shd w:val="clear"/>
        <w:snapToGrid w:val="0"/>
        <w:spacing w:before="0" w:beforeAutospacing="0" w:after="0" w:afterAutospacing="0" w:line="240" w:lineRule="atLeast"/>
        <w:ind w:left="792" w:leftChars="37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磋商小组决定磋商的响应性只根据磋商文件要求、响应文件内容及财政主管部门指定相关信息发布媒体。</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bCs/>
          <w:i w:val="0"/>
          <w:caps w:val="0"/>
          <w:color w:val="auto"/>
          <w:spacing w:val="0"/>
          <w:w w:val="100"/>
          <w:sz w:val="24"/>
          <w:highlight w:val="none"/>
        </w:rPr>
        <w:t>如发现下列情况之一的，其磋商将被认定为磋商无效：（以下情形应当在磋商文件中规定，并以醒目的方式标明）</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未按磋商文件规定的形式和金额提交磋商保证金的；</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未按照磋商文件规定要求签署、盖章的；</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未满足磋商文件中技术条款的实质性要求；</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与其他供应商串通磋商，或者与</w:t>
      </w:r>
      <w:r>
        <w:rPr>
          <w:rFonts w:hint="eastAsia" w:ascii="微软雅黑" w:hAnsi="微软雅黑" w:eastAsia="微软雅黑" w:cs="微软雅黑"/>
          <w:b/>
          <w:bCs/>
          <w:i w:val="0"/>
          <w:caps w:val="0"/>
          <w:color w:val="auto"/>
          <w:spacing w:val="0"/>
          <w:w w:val="100"/>
          <w:sz w:val="24"/>
          <w:highlight w:val="none"/>
          <w:lang w:eastAsia="zh-CN"/>
        </w:rPr>
        <w:t>采购</w:t>
      </w:r>
      <w:r>
        <w:rPr>
          <w:rFonts w:hint="eastAsia" w:ascii="微软雅黑" w:hAnsi="微软雅黑" w:eastAsia="微软雅黑" w:cs="微软雅黑"/>
          <w:b/>
          <w:bCs/>
          <w:i w:val="0"/>
          <w:caps w:val="0"/>
          <w:color w:val="auto"/>
          <w:spacing w:val="0"/>
          <w:w w:val="100"/>
          <w:sz w:val="24"/>
          <w:highlight w:val="none"/>
        </w:rPr>
        <w:t>人串通磋商；</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属于磋商文件规定的其他磋商无效情形；</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磋商小组认为供应商的报价明显低于其他通过符合性检查供应商的报价，有可能影响履约的，且供应商未按照规定证明其报价合理性的；</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响应文件含有采购人不能接受的附加条件的；</w:t>
      </w:r>
    </w:p>
    <w:p>
      <w:pPr>
        <w:numPr>
          <w:ilvl w:val="0"/>
          <w:numId w:val="5"/>
        </w:numPr>
        <w:shd w:val="clear"/>
        <w:tabs>
          <w:tab w:val="left" w:pos="0"/>
        </w:tabs>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不符合法规和磋商文件中规定的其他实质性要求的。</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22.3   有下列情形之一的，属于恶意串通，对供应商依照政府采购法第七十七条第一款的规定追究法律责任，对采购人、采购代理机构及其工作人员依照政府采购法第七十二条的规定追究法律责任：</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highlight w:val="none"/>
          <w:lang w:val="en-US" w:eastAsia="zh-CN"/>
        </w:rPr>
        <w:t>1</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highlight w:val="none"/>
        </w:rPr>
        <w:t>供应商直接或者间接从采购人或者采购代理机构处获得其他供应商的相关情况并修改其</w:t>
      </w:r>
      <w:r>
        <w:rPr>
          <w:rFonts w:hint="eastAsia" w:ascii="微软雅黑" w:hAnsi="微软雅黑" w:eastAsia="微软雅黑" w:cs="微软雅黑"/>
          <w:b w:val="0"/>
          <w:i w:val="0"/>
          <w:caps w:val="0"/>
          <w:color w:val="auto"/>
          <w:spacing w:val="0"/>
          <w:w w:val="100"/>
          <w:sz w:val="24"/>
          <w:highlight w:val="none"/>
          <w:lang w:eastAsia="zh-CN"/>
        </w:rPr>
        <w:t>响应文件</w:t>
      </w:r>
      <w:r>
        <w:rPr>
          <w:rFonts w:hint="eastAsia" w:ascii="微软雅黑" w:hAnsi="微软雅黑" w:eastAsia="微软雅黑" w:cs="微软雅黑"/>
          <w:b w:val="0"/>
          <w:i w:val="0"/>
          <w:caps w:val="0"/>
          <w:color w:val="auto"/>
          <w:spacing w:val="0"/>
          <w:w w:val="100"/>
          <w:sz w:val="24"/>
          <w:highlight w:val="none"/>
        </w:rPr>
        <w:t>或者响应文件；</w:t>
      </w:r>
    </w:p>
    <w:p>
      <w:pPr>
        <w:shd w:val="clear"/>
        <w:snapToGrid w:val="0"/>
        <w:spacing w:before="0" w:beforeAutospacing="0" w:after="0" w:afterAutospacing="0" w:line="240" w:lineRule="atLeast"/>
        <w:ind w:left="898" w:leftChars="342" w:hanging="180" w:hangingChars="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（2）供应商按照采购人或者采购代理机构的授意撤换、修改</w:t>
      </w:r>
      <w:r>
        <w:rPr>
          <w:rFonts w:hint="eastAsia" w:ascii="微软雅黑" w:hAnsi="微软雅黑" w:eastAsia="微软雅黑" w:cs="微软雅黑"/>
          <w:b w:val="0"/>
          <w:i w:val="0"/>
          <w:caps w:val="0"/>
          <w:color w:val="auto"/>
          <w:spacing w:val="0"/>
          <w:w w:val="100"/>
          <w:sz w:val="24"/>
          <w:highlight w:val="none"/>
          <w:lang w:eastAsia="zh-CN"/>
        </w:rPr>
        <w:t>响应文件</w:t>
      </w:r>
      <w:r>
        <w:rPr>
          <w:rFonts w:hint="eastAsia" w:ascii="微软雅黑" w:hAnsi="微软雅黑" w:eastAsia="微软雅黑" w:cs="微软雅黑"/>
          <w:b w:val="0"/>
          <w:i w:val="0"/>
          <w:caps w:val="0"/>
          <w:color w:val="auto"/>
          <w:spacing w:val="0"/>
          <w:w w:val="100"/>
          <w:sz w:val="24"/>
          <w:highlight w:val="none"/>
        </w:rPr>
        <w:t>或者响应文件；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（3）供应商之间协商报价、技术方案等</w:t>
      </w:r>
      <w:r>
        <w:rPr>
          <w:rFonts w:hint="eastAsia" w:ascii="微软雅黑" w:hAnsi="微软雅黑" w:eastAsia="微软雅黑" w:cs="微软雅黑"/>
          <w:b w:val="0"/>
          <w:i w:val="0"/>
          <w:caps w:val="0"/>
          <w:color w:val="auto"/>
          <w:spacing w:val="0"/>
          <w:w w:val="100"/>
          <w:sz w:val="24"/>
          <w:highlight w:val="none"/>
          <w:lang w:eastAsia="zh-CN"/>
        </w:rPr>
        <w:t>响应文件</w:t>
      </w:r>
      <w:r>
        <w:rPr>
          <w:rFonts w:hint="eastAsia" w:ascii="微软雅黑" w:hAnsi="微软雅黑" w:eastAsia="微软雅黑" w:cs="微软雅黑"/>
          <w:b w:val="0"/>
          <w:i w:val="0"/>
          <w:caps w:val="0"/>
          <w:color w:val="auto"/>
          <w:spacing w:val="0"/>
          <w:w w:val="100"/>
          <w:sz w:val="24"/>
          <w:highlight w:val="none"/>
        </w:rPr>
        <w:t>或者响应文件的实质性内容；</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（4）属于同一集团、协会、商会等组织成员的供应商按照该组织要求协同参加政府采购活动；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（5）供应商之间事先约定由某一特定供应商中标、成交；</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（6）供应商之间商定部分供应商放弃参加政府采购活动或者放弃中标、成交；</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（7）供应商与采购人或者采购代理机构之间、供应商相互之间，为谋求特定供应商中标、成交或者排斥其他供应商的其他串通行为。</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396" w:name="_Toc5075"/>
      <w:bookmarkStart w:id="397" w:name="_Toc515647784"/>
      <w:bookmarkStart w:id="398" w:name="_Toc27332"/>
      <w:bookmarkStart w:id="399" w:name="_Toc26269"/>
      <w:bookmarkStart w:id="400" w:name="_Toc18636"/>
      <w:bookmarkStart w:id="401" w:name="_Toc632"/>
      <w:bookmarkStart w:id="402" w:name="_Toc21032"/>
      <w:bookmarkStart w:id="403" w:name="_Toc3834"/>
      <w:bookmarkStart w:id="404" w:name="_Toc27279"/>
      <w:bookmarkStart w:id="405" w:name="_Toc13652"/>
      <w:bookmarkStart w:id="406" w:name="_Toc22903"/>
      <w:bookmarkStart w:id="407" w:name="_Toc30567"/>
      <w:bookmarkStart w:id="408" w:name="_Toc21841"/>
      <w:bookmarkStart w:id="409" w:name="_Toc28827"/>
      <w:bookmarkStart w:id="410" w:name="_Toc22941"/>
      <w:r>
        <w:rPr>
          <w:rFonts w:hint="eastAsia" w:ascii="微软雅黑" w:hAnsi="微软雅黑" w:eastAsia="微软雅黑" w:cs="微软雅黑"/>
          <w:b/>
          <w:i w:val="0"/>
          <w:caps w:val="0"/>
          <w:color w:val="auto"/>
          <w:spacing w:val="0"/>
          <w:w w:val="100"/>
          <w:sz w:val="24"/>
          <w:highlight w:val="none"/>
          <w:u w:val="single" w:color="000000"/>
        </w:rPr>
        <w:t>23.</w:t>
      </w:r>
      <w:bookmarkEnd w:id="365"/>
      <w:r>
        <w:rPr>
          <w:rFonts w:hint="eastAsia" w:ascii="微软雅黑" w:hAnsi="微软雅黑" w:eastAsia="微软雅黑" w:cs="微软雅黑"/>
          <w:b/>
          <w:i w:val="0"/>
          <w:caps w:val="0"/>
          <w:color w:val="auto"/>
          <w:spacing w:val="0"/>
          <w:w w:val="100"/>
          <w:sz w:val="24"/>
          <w:highlight w:val="none"/>
          <w:u w:val="single" w:color="000000"/>
        </w:rPr>
        <w:t>比较与评价</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23.1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经符合性审查合格的响应文件，磋商小组将根据磋商文件确定的评标方法和标准，对其技术部分和商务部分作进一步的比较和评价。</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23.2  </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评标严格按照磋商文件的要求和条件进行。根据实际情况，在</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中规定采用下列一种评标方法，详细评标标准见磋商文件</w:t>
      </w:r>
      <w:r>
        <w:rPr>
          <w:rFonts w:hint="eastAsia" w:ascii="微软雅黑" w:hAnsi="微软雅黑" w:eastAsia="微软雅黑" w:cs="微软雅黑"/>
          <w:b/>
          <w:i w:val="0"/>
          <w:caps w:val="0"/>
          <w:color w:val="auto"/>
          <w:spacing w:val="0"/>
          <w:w w:val="100"/>
          <w:sz w:val="24"/>
          <w:highlight w:val="none"/>
        </w:rPr>
        <w:t>第六章：</w:t>
      </w:r>
    </w:p>
    <w:p>
      <w:pPr>
        <w:shd w:val="clear"/>
        <w:snapToGrid w:val="0"/>
        <w:spacing w:before="0" w:beforeAutospacing="0" w:after="0" w:afterAutospacing="0" w:line="240" w:lineRule="atLeast"/>
        <w:ind w:left="898" w:leftChars="342" w:hangingChars="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综合评分法，是指响应文件满足磋商文件全部实质性要求，且按照评审因素的量化指标评审得分最高的供应商为成交候选人的评标方法。</w:t>
      </w:r>
    </w:p>
    <w:p>
      <w:pPr>
        <w:pStyle w:val="16"/>
        <w:shd w:val="clear"/>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bCs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23.3   </w:t>
      </w:r>
      <w:r>
        <w:rPr>
          <w:rFonts w:hint="eastAsia" w:ascii="微软雅黑" w:hAnsi="微软雅黑" w:eastAsia="微软雅黑" w:cs="微软雅黑"/>
          <w:b w:val="0"/>
          <w:i w:val="0"/>
          <w:caps w:val="0"/>
          <w:color w:val="auto"/>
          <w:spacing w:val="0"/>
          <w:w w:val="100"/>
          <w:sz w:val="24"/>
          <w:szCs w:val="24"/>
          <w:highlight w:val="none"/>
          <w:lang w:val="en-US" w:eastAsia="zh-CN"/>
        </w:rPr>
        <w:t>本项目专门面向中小企业，</w:t>
      </w:r>
      <w:r>
        <w:rPr>
          <w:rFonts w:hint="eastAsia" w:ascii="微软雅黑" w:hAnsi="微软雅黑" w:eastAsia="微软雅黑" w:cs="微软雅黑"/>
          <w:b w:val="0"/>
          <w:bCs w:val="0"/>
          <w:i w:val="0"/>
          <w:caps w:val="0"/>
          <w:color w:val="auto"/>
          <w:spacing w:val="0"/>
          <w:w w:val="100"/>
          <w:sz w:val="24"/>
          <w:szCs w:val="24"/>
          <w:highlight w:val="none"/>
        </w:rPr>
        <w:t>根据《政府采购促进中小企业发展管理办法》（财库[20</w:t>
      </w:r>
      <w:r>
        <w:rPr>
          <w:rFonts w:hint="eastAsia" w:ascii="微软雅黑" w:hAnsi="微软雅黑" w:eastAsia="微软雅黑" w:cs="微软雅黑"/>
          <w:b w:val="0"/>
          <w:bCs w:val="0"/>
          <w:i w:val="0"/>
          <w:caps w:val="0"/>
          <w:color w:val="auto"/>
          <w:spacing w:val="0"/>
          <w:w w:val="100"/>
          <w:sz w:val="24"/>
          <w:szCs w:val="24"/>
          <w:highlight w:val="none"/>
          <w:lang w:val="en-US" w:eastAsia="zh-CN"/>
        </w:rPr>
        <w:t>20</w:t>
      </w:r>
      <w:r>
        <w:rPr>
          <w:rFonts w:hint="eastAsia" w:ascii="微软雅黑" w:hAnsi="微软雅黑" w:eastAsia="微软雅黑" w:cs="微软雅黑"/>
          <w:b w:val="0"/>
          <w:bCs w:val="0"/>
          <w:i w:val="0"/>
          <w:caps w:val="0"/>
          <w:color w:val="auto"/>
          <w:spacing w:val="0"/>
          <w:w w:val="100"/>
          <w:sz w:val="24"/>
          <w:szCs w:val="24"/>
          <w:highlight w:val="none"/>
        </w:rPr>
        <w:t>]</w:t>
      </w:r>
      <w:r>
        <w:rPr>
          <w:rFonts w:hint="eastAsia" w:ascii="微软雅黑" w:hAnsi="微软雅黑" w:eastAsia="微软雅黑" w:cs="微软雅黑"/>
          <w:b w:val="0"/>
          <w:bCs w:val="0"/>
          <w:i w:val="0"/>
          <w:caps w:val="0"/>
          <w:color w:val="auto"/>
          <w:spacing w:val="0"/>
          <w:w w:val="100"/>
          <w:sz w:val="24"/>
          <w:szCs w:val="24"/>
          <w:highlight w:val="none"/>
          <w:lang w:val="en-US" w:eastAsia="zh-CN"/>
        </w:rPr>
        <w:t>46</w:t>
      </w:r>
      <w:r>
        <w:rPr>
          <w:rFonts w:hint="eastAsia" w:ascii="微软雅黑" w:hAnsi="微软雅黑" w:eastAsia="微软雅黑" w:cs="微软雅黑"/>
          <w:b w:val="0"/>
          <w:bCs w:val="0"/>
          <w:i w:val="0"/>
          <w:caps w:val="0"/>
          <w:color w:val="auto"/>
          <w:spacing w:val="0"/>
          <w:w w:val="100"/>
          <w:sz w:val="24"/>
          <w:szCs w:val="24"/>
          <w:highlight w:val="none"/>
        </w:rPr>
        <w:t>号）、《财政部 司法部关于政府采购支持监狱企业发展有关问题的通知》（财库〔2014〕68号）和《三部门联合发布关于促进残疾人就业政府采购政策的通知》（</w:t>
      </w:r>
      <w:bookmarkStart w:id="411" w:name="sendNo"/>
      <w:r>
        <w:rPr>
          <w:rFonts w:hint="eastAsia" w:ascii="微软雅黑" w:hAnsi="微软雅黑" w:eastAsia="微软雅黑" w:cs="微软雅黑"/>
          <w:b w:val="0"/>
          <w:bCs w:val="0"/>
          <w:i w:val="0"/>
          <w:caps w:val="0"/>
          <w:color w:val="auto"/>
          <w:spacing w:val="0"/>
          <w:w w:val="100"/>
          <w:sz w:val="24"/>
          <w:szCs w:val="24"/>
          <w:highlight w:val="none"/>
        </w:rPr>
        <w:t>财库〔</w:t>
      </w:r>
      <w:bookmarkEnd w:id="411"/>
      <w:r>
        <w:rPr>
          <w:rFonts w:hint="eastAsia" w:ascii="微软雅黑" w:hAnsi="微软雅黑" w:eastAsia="微软雅黑" w:cs="微软雅黑"/>
          <w:b w:val="0"/>
          <w:bCs w:val="0"/>
          <w:i w:val="0"/>
          <w:caps w:val="0"/>
          <w:color w:val="auto"/>
          <w:spacing w:val="0"/>
          <w:w w:val="100"/>
          <w:sz w:val="24"/>
          <w:szCs w:val="24"/>
          <w:highlight w:val="none"/>
        </w:rPr>
        <w:t>2017〕141号）的规定，对满足价格扣除条件且在响应文件中提交了《供应商企业类型声明函》或省级以上监狱管理局、戒毒管理局（含新疆生产建设兵团）出具的属于监狱企业的证明文件的供应商，其磋商报价</w:t>
      </w:r>
      <w:r>
        <w:rPr>
          <w:rFonts w:hint="eastAsia" w:ascii="微软雅黑" w:hAnsi="微软雅黑" w:eastAsia="微软雅黑" w:cs="微软雅黑"/>
          <w:b w:val="0"/>
          <w:bCs w:val="0"/>
          <w:i w:val="0"/>
          <w:caps w:val="0"/>
          <w:color w:val="auto"/>
          <w:spacing w:val="0"/>
          <w:w w:val="100"/>
          <w:sz w:val="24"/>
          <w:szCs w:val="24"/>
          <w:highlight w:val="none"/>
          <w:lang w:val="en-US" w:eastAsia="zh-CN"/>
        </w:rPr>
        <w:t>不做价格扣除</w:t>
      </w:r>
      <w:r>
        <w:rPr>
          <w:rFonts w:hint="eastAsia" w:ascii="微软雅黑" w:hAnsi="微软雅黑" w:eastAsia="微软雅黑" w:cs="微软雅黑"/>
          <w:b w:val="0"/>
          <w:bCs w:val="0"/>
          <w:i w:val="0"/>
          <w:caps w:val="0"/>
          <w:color w:val="auto"/>
          <w:spacing w:val="0"/>
          <w:w w:val="100"/>
          <w:sz w:val="24"/>
          <w:szCs w:val="24"/>
          <w:highlight w:val="none"/>
        </w:rPr>
        <w:t>。具体办法详见磋商文件第6章。</w:t>
      </w:r>
    </w:p>
    <w:p>
      <w:pPr>
        <w:pStyle w:val="2"/>
        <w:shd w:val="clear"/>
        <w:snapToGrid w:val="0"/>
        <w:spacing w:before="0" w:beforeAutospacing="0" w:after="0" w:afterAutospacing="0" w:line="42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12" w:name="_Toc520356168"/>
      <w:bookmarkStart w:id="413" w:name="_Toc20227"/>
      <w:bookmarkStart w:id="414" w:name="_Toc6912"/>
      <w:bookmarkStart w:id="415" w:name="_Toc4586"/>
      <w:bookmarkStart w:id="416" w:name="_Toc14289"/>
      <w:bookmarkStart w:id="417" w:name="_Toc28413"/>
      <w:bookmarkStart w:id="418" w:name="_Toc515647785"/>
      <w:bookmarkStart w:id="419" w:name="_Toc24822"/>
      <w:bookmarkStart w:id="420" w:name="_Toc24593"/>
      <w:bookmarkStart w:id="421" w:name="_Toc2218"/>
      <w:bookmarkStart w:id="422" w:name="_Toc17553"/>
      <w:bookmarkStart w:id="423" w:name="_Toc14935"/>
      <w:bookmarkStart w:id="424" w:name="_Toc9378"/>
      <w:bookmarkStart w:id="425" w:name="_Toc16201"/>
      <w:bookmarkStart w:id="426" w:name="_Toc4809"/>
      <w:bookmarkStart w:id="427" w:name="_Toc18523"/>
      <w:r>
        <w:rPr>
          <w:rFonts w:hint="eastAsia" w:ascii="微软雅黑" w:hAnsi="微软雅黑" w:eastAsia="微软雅黑" w:cs="微软雅黑"/>
          <w:b/>
          <w:i w:val="0"/>
          <w:caps w:val="0"/>
          <w:color w:val="auto"/>
          <w:spacing w:val="0"/>
          <w:w w:val="100"/>
          <w:sz w:val="24"/>
          <w:highlight w:val="none"/>
          <w:u w:val="single" w:color="000000"/>
        </w:rPr>
        <w:t>24</w:t>
      </w:r>
      <w:bookmarkEnd w:id="412"/>
      <w:r>
        <w:rPr>
          <w:rFonts w:hint="eastAsia" w:ascii="微软雅黑" w:hAnsi="微软雅黑" w:eastAsia="微软雅黑" w:cs="微软雅黑"/>
          <w:b/>
          <w:i w:val="0"/>
          <w:caps w:val="0"/>
          <w:color w:val="auto"/>
          <w:spacing w:val="0"/>
          <w:w w:val="100"/>
          <w:sz w:val="24"/>
          <w:highlight w:val="none"/>
          <w:u w:val="single" w:color="000000"/>
        </w:rPr>
        <w:t>.废标</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shd w:val="clear"/>
        <w:snapToGrid w:val="0"/>
        <w:spacing w:before="0" w:beforeAutospacing="0" w:after="0" w:afterAutospacing="0" w:line="420" w:lineRule="exact"/>
        <w:ind w:left="898" w:leftChars="399" w:hangingChars="25"/>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 xml:space="preserve">出现下列情形之一，将导致项目废标： </w:t>
      </w:r>
    </w:p>
    <w:p>
      <w:pPr>
        <w:shd w:val="clear"/>
        <w:snapToGrid w:val="0"/>
        <w:spacing w:before="0" w:beforeAutospacing="0" w:after="0" w:afterAutospacing="0" w:line="420" w:lineRule="exact"/>
        <w:ind w:hangingChars="375"/>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ab/>
      </w:r>
      <w:r>
        <w:rPr>
          <w:rFonts w:hint="eastAsia" w:ascii="微软雅黑" w:hAnsi="微软雅黑" w:eastAsia="微软雅黑" w:cs="微软雅黑"/>
          <w:b/>
          <w:bCs/>
          <w:i w:val="0"/>
          <w:caps w:val="0"/>
          <w:color w:val="auto"/>
          <w:spacing w:val="0"/>
          <w:w w:val="100"/>
          <w:sz w:val="24"/>
          <w:highlight w:val="none"/>
        </w:rPr>
        <w:t>（1）出现影响采购公正的违法、违规行为的；</w:t>
      </w:r>
    </w:p>
    <w:p>
      <w:pPr>
        <w:shd w:val="clear"/>
        <w:snapToGrid w:val="0"/>
        <w:spacing w:before="0" w:beforeAutospacing="0" w:after="0" w:afterAutospacing="0" w:line="420" w:lineRule="exact"/>
        <w:ind w:firstLine="840" w:firstLineChars="35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（2）供应商的报价均超过了采购预算，采购人不能支付的；</w:t>
      </w:r>
    </w:p>
    <w:p>
      <w:pPr>
        <w:shd w:val="clear"/>
        <w:snapToGrid w:val="0"/>
        <w:spacing w:before="0" w:beforeAutospacing="0" w:after="0" w:afterAutospacing="0" w:line="420" w:lineRule="exact"/>
        <w:ind w:firstLine="840" w:firstLineChars="35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 xml:space="preserve">（3）因重大变故，采购任务取消的。   </w:t>
      </w:r>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28" w:name="_Toc28839"/>
      <w:bookmarkStart w:id="429" w:name="_Toc515647786"/>
      <w:bookmarkStart w:id="430" w:name="_Toc2793"/>
      <w:bookmarkStart w:id="431" w:name="_Toc24352"/>
      <w:bookmarkStart w:id="432" w:name="_Toc31289"/>
      <w:bookmarkStart w:id="433" w:name="_Toc20205"/>
      <w:bookmarkStart w:id="434" w:name="_Toc24791"/>
      <w:bookmarkStart w:id="435" w:name="_Toc11249"/>
      <w:bookmarkStart w:id="436" w:name="_Toc25920"/>
      <w:bookmarkStart w:id="437" w:name="_Toc30112"/>
      <w:bookmarkStart w:id="438" w:name="_Toc11018"/>
      <w:bookmarkStart w:id="439" w:name="_Toc27162"/>
      <w:bookmarkStart w:id="440" w:name="_Toc24972"/>
      <w:bookmarkStart w:id="441" w:name="_Toc8176"/>
      <w:bookmarkStart w:id="442" w:name="_Toc4481"/>
      <w:bookmarkStart w:id="443" w:name="_Toc520356169"/>
      <w:r>
        <w:rPr>
          <w:rFonts w:hint="eastAsia" w:ascii="微软雅黑" w:hAnsi="微软雅黑" w:eastAsia="微软雅黑" w:cs="微软雅黑"/>
          <w:b/>
          <w:i w:val="0"/>
          <w:caps w:val="0"/>
          <w:color w:val="auto"/>
          <w:spacing w:val="0"/>
          <w:w w:val="100"/>
          <w:sz w:val="24"/>
          <w:highlight w:val="none"/>
          <w:u w:val="single" w:color="000000"/>
        </w:rPr>
        <w:t>25.保密原则</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25.1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评标将在严格保密的情况下进行。</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0"/>
          <w:highlight w:val="none"/>
        </w:rPr>
      </w:pPr>
      <w:r>
        <w:rPr>
          <w:rFonts w:hint="eastAsia" w:ascii="微软雅黑" w:hAnsi="微软雅黑" w:eastAsia="微软雅黑" w:cs="微软雅黑"/>
          <w:b w:val="0"/>
          <w:i w:val="0"/>
          <w:caps w:val="0"/>
          <w:color w:val="auto"/>
          <w:spacing w:val="0"/>
          <w:w w:val="100"/>
          <w:sz w:val="24"/>
          <w:highlight w:val="none"/>
        </w:rPr>
        <w:t>25.2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政府采购评审专家应当遵守评审工作纪律，不得泄露评审文件、评审情况和评审中获悉的商业秘密。</w:t>
      </w:r>
    </w:p>
    <w:p>
      <w:pPr>
        <w:pStyle w:val="6"/>
        <w:pageBreakBefore w:val="0"/>
        <w:widowControl w:val="0"/>
        <w:shd w:val="clear"/>
        <w:kinsoku/>
        <w:wordWrap/>
        <w:overflowPunct/>
        <w:topLinePunct w:val="0"/>
        <w:bidi w:val="0"/>
        <w:snapToGrid w:val="0"/>
        <w:spacing w:before="0" w:beforeAutospacing="0" w:after="0" w:afterAutospacing="0" w:line="460" w:lineRule="exac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bookmarkStart w:id="444" w:name="_Toc515647787"/>
      <w:bookmarkStart w:id="445" w:name="_Toc216582810"/>
      <w:bookmarkStart w:id="446" w:name="_Toc12143"/>
      <w:bookmarkStart w:id="447" w:name="_Toc31195"/>
      <w:bookmarkStart w:id="448" w:name="_Toc23904"/>
      <w:bookmarkStart w:id="449" w:name="_Toc13816"/>
      <w:bookmarkStart w:id="450" w:name="_Toc1616"/>
      <w:r>
        <w:rPr>
          <w:rFonts w:hint="eastAsia" w:ascii="微软雅黑" w:hAnsi="微软雅黑" w:eastAsia="微软雅黑" w:cs="微软雅黑"/>
          <w:b/>
          <w:i w:val="0"/>
          <w:caps w:val="0"/>
          <w:color w:val="auto"/>
          <w:spacing w:val="0"/>
          <w:w w:val="100"/>
          <w:sz w:val="24"/>
          <w:highlight w:val="none"/>
        </w:rPr>
        <w:t xml:space="preserve">六   </w:t>
      </w:r>
      <w:bookmarkEnd w:id="443"/>
      <w:r>
        <w:rPr>
          <w:rFonts w:hint="eastAsia" w:ascii="微软雅黑" w:hAnsi="微软雅黑" w:eastAsia="微软雅黑" w:cs="微软雅黑"/>
          <w:b/>
          <w:i w:val="0"/>
          <w:caps w:val="0"/>
          <w:color w:val="auto"/>
          <w:spacing w:val="0"/>
          <w:w w:val="100"/>
          <w:sz w:val="24"/>
          <w:highlight w:val="none"/>
        </w:rPr>
        <w:t>确定</w:t>
      </w:r>
      <w:bookmarkEnd w:id="444"/>
      <w:bookmarkEnd w:id="445"/>
      <w:bookmarkEnd w:id="446"/>
      <w:bookmarkEnd w:id="447"/>
      <w:bookmarkEnd w:id="448"/>
      <w:r>
        <w:rPr>
          <w:rFonts w:hint="eastAsia" w:ascii="微软雅黑" w:hAnsi="微软雅黑" w:eastAsia="微软雅黑" w:cs="微软雅黑"/>
          <w:b/>
          <w:i w:val="0"/>
          <w:caps w:val="0"/>
          <w:color w:val="auto"/>
          <w:spacing w:val="0"/>
          <w:w w:val="100"/>
          <w:sz w:val="24"/>
          <w:highlight w:val="none"/>
        </w:rPr>
        <w:t>成交</w:t>
      </w:r>
      <w:bookmarkEnd w:id="449"/>
      <w:bookmarkEnd w:id="450"/>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51" w:name="_Toc7555"/>
      <w:bookmarkStart w:id="452" w:name="_Toc515647788"/>
      <w:bookmarkStart w:id="453" w:name="_Toc7632"/>
      <w:bookmarkStart w:id="454" w:name="_Ref467307010"/>
      <w:bookmarkStart w:id="455" w:name="_Toc23125"/>
      <w:bookmarkStart w:id="456" w:name="_Toc16801"/>
      <w:bookmarkStart w:id="457" w:name="_Toc20156"/>
      <w:bookmarkStart w:id="458" w:name="_Toc31607"/>
      <w:bookmarkStart w:id="459" w:name="_Toc15848"/>
      <w:bookmarkStart w:id="460" w:name="_Toc18755"/>
      <w:bookmarkStart w:id="461" w:name="_Toc23617"/>
      <w:bookmarkStart w:id="462" w:name="_Toc10858"/>
      <w:bookmarkStart w:id="463" w:name="_Toc23762"/>
      <w:bookmarkStart w:id="464" w:name="_Toc4774"/>
      <w:bookmarkStart w:id="465" w:name="_Toc8936"/>
      <w:bookmarkStart w:id="466" w:name="_Toc520356170"/>
      <w:bookmarkStart w:id="467" w:name="_Toc20726"/>
      <w:r>
        <w:rPr>
          <w:rFonts w:hint="eastAsia" w:ascii="微软雅黑" w:hAnsi="微软雅黑" w:eastAsia="微软雅黑" w:cs="微软雅黑"/>
          <w:b/>
          <w:i w:val="0"/>
          <w:caps w:val="0"/>
          <w:color w:val="auto"/>
          <w:spacing w:val="0"/>
          <w:w w:val="100"/>
          <w:sz w:val="24"/>
          <w:highlight w:val="none"/>
          <w:u w:val="single" w:color="000000"/>
        </w:rPr>
        <w:t>26.成交候选人的确定原则及标准</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pageBreakBefore w:val="0"/>
        <w:widowControl w:val="0"/>
        <w:shd w:val="clear"/>
        <w:kinsoku/>
        <w:wordWrap/>
        <w:overflowPunct/>
        <w:topLinePunct w:val="0"/>
        <w:bidi w:val="0"/>
        <w:snapToGrid w:val="0"/>
        <w:spacing w:before="0" w:beforeAutospacing="0" w:after="0" w:afterAutospacing="0" w:line="460" w:lineRule="exact"/>
        <w:ind w:left="901"/>
        <w:jc w:val="both"/>
        <w:textAlignment w:val="baseline"/>
        <w:rPr>
          <w:rFonts w:hint="eastAsia" w:ascii="微软雅黑" w:hAnsi="微软雅黑" w:eastAsia="微软雅黑" w:cs="微软雅黑"/>
          <w:b w:val="0"/>
          <w:i w:val="0"/>
          <w:caps w:val="0"/>
          <w:color w:val="auto"/>
          <w:spacing w:val="0"/>
          <w:w w:val="100"/>
          <w:sz w:val="24"/>
          <w:highlight w:val="none"/>
        </w:rPr>
      </w:pPr>
      <w:bookmarkStart w:id="468" w:name="_Toc520356171"/>
      <w:bookmarkStart w:id="469" w:name="_Toc515647789"/>
      <w:r>
        <w:rPr>
          <w:rFonts w:hint="eastAsia" w:ascii="微软雅黑" w:hAnsi="微软雅黑" w:eastAsia="微软雅黑" w:cs="微软雅黑"/>
          <w:b w:val="0"/>
          <w:i w:val="0"/>
          <w:caps w:val="0"/>
          <w:color w:val="auto"/>
          <w:spacing w:val="0"/>
          <w:w w:val="100"/>
          <w:sz w:val="24"/>
          <w:highlight w:val="none"/>
        </w:rPr>
        <w:t>对实质上响应</w:t>
      </w:r>
      <w:r>
        <w:rPr>
          <w:rFonts w:hint="eastAsia" w:ascii="微软雅黑" w:hAnsi="微软雅黑" w:eastAsia="微软雅黑" w:cs="微软雅黑"/>
          <w:b w:val="0"/>
          <w:i w:val="0"/>
          <w:caps w:val="0"/>
          <w:color w:val="auto"/>
          <w:spacing w:val="0"/>
          <w:w w:val="100"/>
          <w:sz w:val="24"/>
          <w:highlight w:val="none"/>
          <w:lang w:eastAsia="zh-CN"/>
        </w:rPr>
        <w:t>磋商文件</w:t>
      </w:r>
      <w:r>
        <w:rPr>
          <w:rFonts w:hint="eastAsia" w:ascii="微软雅黑" w:hAnsi="微软雅黑" w:eastAsia="微软雅黑" w:cs="微软雅黑"/>
          <w:b w:val="0"/>
          <w:i w:val="0"/>
          <w:caps w:val="0"/>
          <w:color w:val="auto"/>
          <w:spacing w:val="0"/>
          <w:w w:val="100"/>
          <w:sz w:val="24"/>
          <w:highlight w:val="none"/>
        </w:rPr>
        <w:t>的供应商按下列方法进行排序，确定</w:t>
      </w:r>
      <w:r>
        <w:rPr>
          <w:rFonts w:hint="eastAsia" w:ascii="微软雅黑" w:hAnsi="微软雅黑" w:eastAsia="微软雅黑" w:cs="微软雅黑"/>
          <w:b w:val="0"/>
          <w:i w:val="0"/>
          <w:caps w:val="0"/>
          <w:color w:val="auto"/>
          <w:spacing w:val="0"/>
          <w:w w:val="100"/>
          <w:sz w:val="24"/>
          <w:highlight w:val="none"/>
          <w:lang w:eastAsia="zh-CN"/>
        </w:rPr>
        <w:t>成交</w:t>
      </w:r>
      <w:r>
        <w:rPr>
          <w:rFonts w:hint="eastAsia" w:ascii="微软雅黑" w:hAnsi="微软雅黑" w:eastAsia="微软雅黑" w:cs="微软雅黑"/>
          <w:b w:val="0"/>
          <w:i w:val="0"/>
          <w:caps w:val="0"/>
          <w:color w:val="auto"/>
          <w:spacing w:val="0"/>
          <w:w w:val="100"/>
          <w:sz w:val="24"/>
          <w:highlight w:val="none"/>
        </w:rPr>
        <w:t>候选人：</w:t>
      </w:r>
    </w:p>
    <w:p>
      <w:pPr>
        <w:pageBreakBefore w:val="0"/>
        <w:widowControl w:val="0"/>
        <w:shd w:val="clear"/>
        <w:kinsoku/>
        <w:wordWrap/>
        <w:overflowPunct/>
        <w:topLinePunct w:val="0"/>
        <w:bidi w:val="0"/>
        <w:snapToGrid w:val="0"/>
        <w:spacing w:before="0" w:beforeAutospacing="0" w:after="0" w:afterAutospacing="0" w:line="460" w:lineRule="exact"/>
        <w:ind w:left="901"/>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采用综合评分法的，评标结果按评审后得分由高到低顺序排列。得分相同的，按修正和扣除后的投标报价由低到高顺序排列。得分与投标报价均相同的处理方式详见</w:t>
      </w:r>
      <w:r>
        <w:rPr>
          <w:rFonts w:hint="eastAsia" w:ascii="微软雅黑" w:hAnsi="微软雅黑" w:eastAsia="微软雅黑" w:cs="微软雅黑"/>
          <w:b w:val="0"/>
          <w:i w:val="0"/>
          <w:caps w:val="0"/>
          <w:color w:val="auto"/>
          <w:spacing w:val="0"/>
          <w:w w:val="100"/>
          <w:sz w:val="24"/>
          <w:highlight w:val="none"/>
          <w:lang w:eastAsia="zh-CN"/>
        </w:rPr>
        <w:t>磋商文件</w:t>
      </w:r>
      <w:r>
        <w:rPr>
          <w:rFonts w:hint="eastAsia" w:ascii="微软雅黑" w:hAnsi="微软雅黑" w:eastAsia="微软雅黑" w:cs="微软雅黑"/>
          <w:b w:val="0"/>
          <w:i w:val="0"/>
          <w:caps w:val="0"/>
          <w:color w:val="auto"/>
          <w:spacing w:val="0"/>
          <w:w w:val="100"/>
          <w:sz w:val="24"/>
          <w:highlight w:val="none"/>
        </w:rPr>
        <w:t>第6章。</w:t>
      </w:r>
    </w:p>
    <w:p>
      <w:pPr>
        <w:pageBreakBefore w:val="0"/>
        <w:widowControl w:val="0"/>
        <w:shd w:val="clear"/>
        <w:kinsoku/>
        <w:wordWrap/>
        <w:overflowPunct/>
        <w:topLinePunct w:val="0"/>
        <w:bidi w:val="0"/>
        <w:snapToGrid w:val="0"/>
        <w:spacing w:before="0" w:beforeAutospacing="0" w:after="0" w:afterAutospacing="0" w:line="460" w:lineRule="exact"/>
        <w:ind w:left="901"/>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本项目采用综合评分法。</w:t>
      </w:r>
    </w:p>
    <w:p>
      <w:pPr>
        <w:pStyle w:val="2"/>
        <w:pageBreakBefore w:val="0"/>
        <w:widowControl w:val="0"/>
        <w:shd w:val="clear"/>
        <w:tabs>
          <w:tab w:val="left" w:pos="900"/>
        </w:tabs>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70" w:name="_Toc9653"/>
      <w:bookmarkStart w:id="471" w:name="_Toc17933"/>
      <w:bookmarkStart w:id="472" w:name="_Toc23951"/>
      <w:bookmarkStart w:id="473" w:name="_Toc16846"/>
      <w:bookmarkStart w:id="474" w:name="_Toc11774"/>
      <w:bookmarkStart w:id="475" w:name="_Toc1644"/>
      <w:bookmarkStart w:id="476" w:name="_Toc17164"/>
      <w:bookmarkStart w:id="477" w:name="_Toc32180"/>
      <w:bookmarkStart w:id="478" w:name="_Toc32154"/>
      <w:bookmarkStart w:id="479" w:name="_Toc7223"/>
      <w:bookmarkStart w:id="480" w:name="_Toc3720"/>
      <w:bookmarkStart w:id="481" w:name="_Toc922"/>
      <w:bookmarkStart w:id="482" w:name="_Toc18340"/>
      <w:bookmarkStart w:id="483" w:name="_Toc14558"/>
      <w:r>
        <w:rPr>
          <w:rFonts w:hint="eastAsia" w:ascii="微软雅黑" w:hAnsi="微软雅黑" w:eastAsia="微软雅黑" w:cs="微软雅黑"/>
          <w:b/>
          <w:i w:val="0"/>
          <w:caps w:val="0"/>
          <w:color w:val="auto"/>
          <w:spacing w:val="0"/>
          <w:w w:val="100"/>
          <w:sz w:val="24"/>
          <w:highlight w:val="none"/>
          <w:u w:val="single" w:color="000000"/>
        </w:rPr>
        <w:t>27</w:t>
      </w:r>
      <w:bookmarkEnd w:id="468"/>
      <w:r>
        <w:rPr>
          <w:rFonts w:hint="eastAsia" w:ascii="微软雅黑" w:hAnsi="微软雅黑" w:eastAsia="微软雅黑" w:cs="微软雅黑"/>
          <w:b/>
          <w:i w:val="0"/>
          <w:caps w:val="0"/>
          <w:color w:val="auto"/>
          <w:spacing w:val="0"/>
          <w:w w:val="100"/>
          <w:sz w:val="24"/>
          <w:highlight w:val="none"/>
          <w:u w:val="single" w:color="000000"/>
        </w:rPr>
        <w:t>.确定成交候选人和</w:t>
      </w:r>
      <w:bookmarkEnd w:id="469"/>
      <w:bookmarkEnd w:id="470"/>
      <w:bookmarkEnd w:id="471"/>
      <w:bookmarkEnd w:id="472"/>
      <w:r>
        <w:rPr>
          <w:rFonts w:hint="eastAsia" w:ascii="微软雅黑" w:hAnsi="微软雅黑" w:eastAsia="微软雅黑" w:cs="微软雅黑"/>
          <w:b/>
          <w:i w:val="0"/>
          <w:caps w:val="0"/>
          <w:color w:val="auto"/>
          <w:spacing w:val="0"/>
          <w:w w:val="100"/>
          <w:sz w:val="24"/>
          <w:highlight w:val="none"/>
          <w:u w:val="single" w:color="000000"/>
        </w:rPr>
        <w:t>成交人</w:t>
      </w:r>
      <w:bookmarkEnd w:id="473"/>
      <w:bookmarkEnd w:id="474"/>
      <w:bookmarkEnd w:id="475"/>
      <w:bookmarkEnd w:id="476"/>
      <w:bookmarkEnd w:id="477"/>
      <w:bookmarkEnd w:id="478"/>
      <w:bookmarkEnd w:id="479"/>
      <w:bookmarkEnd w:id="480"/>
      <w:bookmarkEnd w:id="481"/>
      <w:bookmarkEnd w:id="482"/>
      <w:bookmarkEnd w:id="483"/>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磋商小组将根据评标标准，按</w:t>
      </w:r>
      <w:r>
        <w:rPr>
          <w:rFonts w:hint="eastAsia" w:ascii="微软雅黑" w:hAnsi="微软雅黑" w:eastAsia="微软雅黑" w:cs="微软雅黑"/>
          <w:b w:val="0"/>
          <w:i w:val="0"/>
          <w:caps w:val="0"/>
          <w:color w:val="auto"/>
          <w:spacing w:val="0"/>
          <w:w w:val="100"/>
          <w:sz w:val="24"/>
          <w:highlight w:val="none"/>
          <w:u w:val="single" w:color="000000"/>
        </w:rPr>
        <w:t>供应商须知资料表中</w:t>
      </w:r>
      <w:r>
        <w:rPr>
          <w:rFonts w:hint="eastAsia" w:ascii="微软雅黑" w:hAnsi="微软雅黑" w:eastAsia="微软雅黑" w:cs="微软雅黑"/>
          <w:b w:val="0"/>
          <w:i w:val="0"/>
          <w:caps w:val="0"/>
          <w:color w:val="auto"/>
          <w:spacing w:val="0"/>
          <w:w w:val="100"/>
          <w:sz w:val="24"/>
          <w:highlight w:val="none"/>
        </w:rPr>
        <w:t>规定数量推荐成交候选人；或根据采购人的委托，直接确定成交人。</w:t>
      </w:r>
    </w:p>
    <w:p>
      <w:pPr>
        <w:pStyle w:val="2"/>
        <w:pageBreakBefore w:val="0"/>
        <w:widowControl w:val="0"/>
        <w:shd w:val="clear"/>
        <w:tabs>
          <w:tab w:val="left" w:pos="900"/>
        </w:tabs>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84" w:name="_Ref467306874"/>
      <w:bookmarkStart w:id="485" w:name="_Toc520356173"/>
      <w:bookmarkStart w:id="486" w:name="_Toc23265"/>
      <w:bookmarkStart w:id="487" w:name="_Toc30689"/>
      <w:bookmarkStart w:id="488" w:name="_Toc2091"/>
      <w:bookmarkStart w:id="489" w:name="_Toc23033"/>
      <w:bookmarkStart w:id="490" w:name="_Toc24602"/>
      <w:bookmarkStart w:id="491" w:name="_Toc22626"/>
      <w:bookmarkStart w:id="492" w:name="_Toc249"/>
      <w:bookmarkStart w:id="493" w:name="_Toc12652"/>
      <w:bookmarkStart w:id="494" w:name="_Toc20633"/>
      <w:bookmarkStart w:id="495" w:name="_Toc13742"/>
      <w:bookmarkStart w:id="496" w:name="_Toc7729"/>
      <w:bookmarkStart w:id="497" w:name="_Toc8389"/>
      <w:bookmarkStart w:id="498" w:name="_Toc515647790"/>
      <w:bookmarkStart w:id="499" w:name="_Toc7386"/>
      <w:bookmarkStart w:id="500" w:name="_Toc28562"/>
      <w:r>
        <w:rPr>
          <w:rFonts w:hint="eastAsia" w:ascii="微软雅黑" w:hAnsi="微软雅黑" w:eastAsia="微软雅黑" w:cs="微软雅黑"/>
          <w:b/>
          <w:i w:val="0"/>
          <w:caps w:val="0"/>
          <w:color w:val="auto"/>
          <w:spacing w:val="0"/>
          <w:w w:val="100"/>
          <w:sz w:val="24"/>
          <w:highlight w:val="none"/>
          <w:u w:val="single" w:color="000000"/>
        </w:rPr>
        <w:t>28.</w:t>
      </w:r>
      <w:bookmarkEnd w:id="484"/>
      <w:bookmarkEnd w:id="485"/>
      <w:r>
        <w:rPr>
          <w:rFonts w:hint="eastAsia" w:ascii="微软雅黑" w:hAnsi="微软雅黑" w:eastAsia="微软雅黑" w:cs="微软雅黑"/>
          <w:b/>
          <w:i w:val="0"/>
          <w:caps w:val="0"/>
          <w:color w:val="auto"/>
          <w:spacing w:val="0"/>
          <w:w w:val="100"/>
          <w:sz w:val="24"/>
          <w:highlight w:val="none"/>
          <w:u w:val="single" w:color="000000"/>
        </w:rPr>
        <w:t>采购任务取消</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因重大变故采购任务取消时，采购人有权拒绝任何供应商成交，且对受影响的供应商不承担任何责任。</w:t>
      </w:r>
      <w:bookmarkStart w:id="501" w:name="_Toc520356174"/>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502" w:name="_Toc29249"/>
      <w:bookmarkStart w:id="503" w:name="_Toc7938"/>
      <w:bookmarkStart w:id="504" w:name="_Toc15270"/>
      <w:bookmarkStart w:id="505" w:name="_Toc26091"/>
      <w:bookmarkStart w:id="506" w:name="_Toc31099"/>
      <w:bookmarkStart w:id="507" w:name="_Toc20620"/>
      <w:bookmarkStart w:id="508" w:name="_Toc29022"/>
      <w:bookmarkStart w:id="509" w:name="_Toc1803"/>
      <w:bookmarkStart w:id="510" w:name="_Toc11835"/>
      <w:bookmarkStart w:id="511" w:name="_Toc32199"/>
      <w:bookmarkStart w:id="512" w:name="_Toc25680"/>
      <w:bookmarkStart w:id="513" w:name="_Toc6223"/>
      <w:bookmarkStart w:id="514" w:name="_Toc30170"/>
      <w:bookmarkStart w:id="515" w:name="_Toc27516"/>
      <w:bookmarkStart w:id="516" w:name="_Toc515647791"/>
      <w:r>
        <w:rPr>
          <w:rFonts w:hint="eastAsia" w:ascii="微软雅黑" w:hAnsi="微软雅黑" w:eastAsia="微软雅黑" w:cs="微软雅黑"/>
          <w:b/>
          <w:i w:val="0"/>
          <w:caps w:val="0"/>
          <w:color w:val="auto"/>
          <w:spacing w:val="0"/>
          <w:w w:val="100"/>
          <w:sz w:val="24"/>
          <w:highlight w:val="none"/>
          <w:u w:val="single" w:color="000000"/>
        </w:rPr>
        <w:t>29.</w:t>
      </w:r>
      <w:bookmarkEnd w:id="501"/>
      <w:r>
        <w:rPr>
          <w:rFonts w:hint="eastAsia" w:ascii="微软雅黑" w:hAnsi="微软雅黑" w:eastAsia="微软雅黑" w:cs="微软雅黑"/>
          <w:b/>
          <w:i w:val="0"/>
          <w:caps w:val="0"/>
          <w:color w:val="auto"/>
          <w:spacing w:val="0"/>
          <w:w w:val="100"/>
          <w:sz w:val="24"/>
          <w:highlight w:val="none"/>
          <w:u w:val="single" w:color="000000"/>
        </w:rPr>
        <w:t>成交通知书和招标结果通知书</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29.1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在磋商有效期内，成交人确定后，采购人或者采购代理机构发布成交公告，同时以书面形式向成交人发出成交通知书。</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29.2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成交通知书是合同的组成部分。</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29.3    招标结果通知书和成交通知书同时发出。招标结果通知书中将告知未通过资格审查的供应商未通过的原因；采用综合评分法评审的，还将告知未成交人本人的评审得分和排序。</w:t>
      </w:r>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auto"/>
        </w:rPr>
      </w:pPr>
      <w:bookmarkStart w:id="517" w:name="_Toc520356175"/>
      <w:bookmarkStart w:id="518" w:name="_Toc15063"/>
      <w:bookmarkStart w:id="519" w:name="_Toc1076"/>
      <w:bookmarkStart w:id="520" w:name="_Toc22868"/>
      <w:bookmarkStart w:id="521" w:name="_Toc21500"/>
      <w:bookmarkStart w:id="522" w:name="_Toc7779"/>
      <w:bookmarkStart w:id="523" w:name="_Toc515647792"/>
      <w:bookmarkStart w:id="524" w:name="_Ref467306377"/>
      <w:bookmarkStart w:id="525" w:name="_Ref467307062"/>
      <w:bookmarkStart w:id="526" w:name="_Toc29005"/>
      <w:bookmarkStart w:id="527" w:name="_Toc31621"/>
      <w:bookmarkStart w:id="528" w:name="_Toc25628"/>
      <w:bookmarkStart w:id="529" w:name="_Toc13001"/>
      <w:bookmarkStart w:id="530" w:name="_Toc19431"/>
      <w:bookmarkStart w:id="531" w:name="_Ref467306978"/>
      <w:bookmarkStart w:id="532" w:name="_Toc307"/>
      <w:bookmarkStart w:id="533" w:name="_Toc790"/>
      <w:bookmarkStart w:id="534" w:name="_Toc11296"/>
      <w:bookmarkStart w:id="535" w:name="_Ref467307204"/>
      <w:bookmarkStart w:id="536" w:name="_Toc17457"/>
      <w:r>
        <w:rPr>
          <w:rFonts w:hint="eastAsia" w:ascii="微软雅黑" w:hAnsi="微软雅黑" w:eastAsia="微软雅黑" w:cs="微软雅黑"/>
          <w:b/>
          <w:i w:val="0"/>
          <w:caps w:val="0"/>
          <w:color w:val="auto"/>
          <w:spacing w:val="0"/>
          <w:w w:val="100"/>
          <w:sz w:val="24"/>
          <w:highlight w:val="none"/>
          <w:u w:val="single" w:color="auto"/>
        </w:rPr>
        <w:t>30.签订合同</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30.1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成交人应当自发出成交通知书之日起30日内，与采购人签订合同。</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30.2</w:t>
      </w:r>
      <w:r>
        <w:rPr>
          <w:rFonts w:hint="eastAsia" w:ascii="微软雅黑" w:hAnsi="微软雅黑" w:eastAsia="微软雅黑" w:cs="微软雅黑"/>
          <w:b w:val="0"/>
          <w:i w:val="0"/>
          <w:caps w:val="0"/>
          <w:color w:val="auto"/>
          <w:spacing w:val="0"/>
          <w:w w:val="100"/>
          <w:sz w:val="24"/>
          <w:highlight w:val="none"/>
        </w:rPr>
        <w:tab/>
      </w:r>
      <w:bookmarkStart w:id="537" w:name="_Ref467307090"/>
      <w:bookmarkStart w:id="538" w:name="_Ref467306425"/>
      <w:bookmarkStart w:id="539" w:name="_Toc520356176"/>
      <w:r>
        <w:rPr>
          <w:rFonts w:hint="eastAsia" w:ascii="微软雅黑" w:hAnsi="微软雅黑" w:eastAsia="微软雅黑" w:cs="微软雅黑"/>
          <w:b w:val="0"/>
          <w:i w:val="0"/>
          <w:caps w:val="0"/>
          <w:color w:val="auto"/>
          <w:spacing w:val="0"/>
          <w:w w:val="100"/>
          <w:sz w:val="24"/>
          <w:highlight w:val="none"/>
        </w:rPr>
        <w:t>磋商文件、成交人的响应文件及其澄清文件等，均为签订合同的依据。</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30.3   成交人拒绝与采购人签订合同的，采购人可以按照评审报告推荐的成交</w:t>
      </w:r>
    </w:p>
    <w:p>
      <w:pPr>
        <w:pageBreakBefore w:val="0"/>
        <w:widowControl w:val="0"/>
        <w:shd w:val="clear"/>
        <w:kinsoku/>
        <w:wordWrap/>
        <w:overflowPunct/>
        <w:topLinePunct w:val="0"/>
        <w:bidi w:val="0"/>
        <w:snapToGrid w:val="0"/>
        <w:spacing w:before="0" w:beforeAutospacing="0" w:after="0" w:afterAutospacing="0" w:line="440" w:lineRule="exact"/>
        <w:ind w:left="958" w:leftChars="456" w:firstLine="60" w:firstLineChars="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候选人名单排序，确定下一成交候选人为成交人，也可以重新开展政府采购活动。</w:t>
      </w:r>
    </w:p>
    <w:p>
      <w:pPr>
        <w:pageBreakBefore w:val="0"/>
        <w:widowControl w:val="0"/>
        <w:shd w:val="clear"/>
        <w:kinsoku/>
        <w:wordWrap/>
        <w:overflowPunct/>
        <w:topLinePunct w:val="0"/>
        <w:bidi w:val="0"/>
        <w:snapToGrid w:val="0"/>
        <w:spacing w:before="0" w:beforeAutospacing="0" w:after="0" w:afterAutospacing="0" w:line="44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u w:val="none" w:color="auto"/>
        </w:rPr>
      </w:pPr>
      <w:r>
        <w:rPr>
          <w:rFonts w:hint="eastAsia" w:ascii="微软雅黑" w:hAnsi="微软雅黑" w:eastAsia="微软雅黑" w:cs="微软雅黑"/>
          <w:b w:val="0"/>
          <w:i w:val="0"/>
          <w:caps w:val="0"/>
          <w:color w:val="auto"/>
          <w:spacing w:val="0"/>
          <w:w w:val="100"/>
          <w:sz w:val="24"/>
          <w:highlight w:val="none"/>
        </w:rPr>
        <w:t>30.4   当出现法规规定的</w:t>
      </w:r>
      <w:r>
        <w:rPr>
          <w:rFonts w:hint="eastAsia" w:ascii="微软雅黑" w:hAnsi="微软雅黑" w:eastAsia="微软雅黑" w:cs="微软雅黑"/>
          <w:b/>
          <w:i w:val="0"/>
          <w:caps w:val="0"/>
          <w:color w:val="auto"/>
          <w:spacing w:val="0"/>
          <w:w w:val="100"/>
          <w:sz w:val="24"/>
          <w:highlight w:val="none"/>
        </w:rPr>
        <w:t>成交无效或成交结果无效</w:t>
      </w:r>
      <w:r>
        <w:rPr>
          <w:rFonts w:hint="eastAsia" w:ascii="微软雅黑" w:hAnsi="微软雅黑" w:eastAsia="微软雅黑" w:cs="微软雅黑"/>
          <w:b w:val="0"/>
          <w:i w:val="0"/>
          <w:caps w:val="0"/>
          <w:color w:val="auto"/>
          <w:spacing w:val="0"/>
          <w:w w:val="100"/>
          <w:sz w:val="24"/>
          <w:highlight w:val="none"/>
        </w:rPr>
        <w:t>情形时，采购人可与排名下</w:t>
      </w:r>
      <w:r>
        <w:rPr>
          <w:rFonts w:hint="eastAsia" w:ascii="微软雅黑" w:hAnsi="微软雅黑" w:eastAsia="微软雅黑" w:cs="微软雅黑"/>
          <w:b w:val="0"/>
          <w:i w:val="0"/>
          <w:caps w:val="0"/>
          <w:color w:val="auto"/>
          <w:spacing w:val="0"/>
          <w:w w:val="100"/>
          <w:sz w:val="24"/>
          <w:highlight w:val="none"/>
          <w:u w:val="none" w:color="auto"/>
        </w:rPr>
        <w:t>一位的成交候选人另行签订合同，或依法重新开展采购活动。</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auto"/>
        </w:rPr>
      </w:pPr>
      <w:bookmarkStart w:id="540" w:name="_Toc24808"/>
      <w:bookmarkStart w:id="541" w:name="_Toc10006"/>
      <w:bookmarkStart w:id="542" w:name="_Toc1963"/>
      <w:bookmarkStart w:id="543" w:name="_Toc14080"/>
      <w:bookmarkStart w:id="544" w:name="_Toc12688"/>
      <w:bookmarkStart w:id="545" w:name="_Toc29892"/>
      <w:bookmarkStart w:id="546" w:name="_Toc14839"/>
      <w:bookmarkStart w:id="547" w:name="_Toc10911"/>
      <w:bookmarkStart w:id="548" w:name="_Toc13477"/>
      <w:bookmarkStart w:id="549" w:name="_Toc22555"/>
      <w:bookmarkStart w:id="550" w:name="_Toc515647793"/>
      <w:bookmarkStart w:id="551" w:name="_Toc6921"/>
      <w:bookmarkStart w:id="552" w:name="_Toc32532"/>
      <w:bookmarkStart w:id="553" w:name="_Toc15573"/>
      <w:bookmarkStart w:id="554" w:name="_Toc8404"/>
      <w:r>
        <w:rPr>
          <w:rFonts w:hint="eastAsia" w:ascii="微软雅黑" w:hAnsi="微软雅黑" w:eastAsia="微软雅黑" w:cs="微软雅黑"/>
          <w:b/>
          <w:i w:val="0"/>
          <w:caps w:val="0"/>
          <w:color w:val="auto"/>
          <w:spacing w:val="0"/>
          <w:w w:val="100"/>
          <w:sz w:val="24"/>
          <w:highlight w:val="none"/>
          <w:u w:val="single" w:color="auto"/>
        </w:rPr>
        <w:t>31.履约保证金</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u w:val="none" w:color="auto"/>
        </w:rPr>
        <w:t>31.1</w:t>
      </w:r>
      <w:r>
        <w:rPr>
          <w:rFonts w:hint="eastAsia" w:ascii="微软雅黑" w:hAnsi="微软雅黑" w:eastAsia="微软雅黑" w:cs="微软雅黑"/>
          <w:b w:val="0"/>
          <w:i w:val="0"/>
          <w:caps w:val="0"/>
          <w:color w:val="auto"/>
          <w:spacing w:val="0"/>
          <w:w w:val="100"/>
          <w:sz w:val="24"/>
          <w:highlight w:val="none"/>
          <w:u w:val="none" w:color="auto"/>
        </w:rPr>
        <w:tab/>
      </w:r>
      <w:r>
        <w:rPr>
          <w:rFonts w:hint="eastAsia" w:ascii="微软雅黑" w:hAnsi="微软雅黑" w:eastAsia="微软雅黑" w:cs="微软雅黑"/>
          <w:b w:val="0"/>
          <w:i w:val="0"/>
          <w:caps w:val="0"/>
          <w:color w:val="auto"/>
          <w:spacing w:val="0"/>
          <w:w w:val="100"/>
          <w:sz w:val="24"/>
          <w:highlight w:val="none"/>
          <w:u w:val="none" w:color="auto"/>
        </w:rPr>
        <w:t>成交人应按照供应商须知资料表规</w:t>
      </w:r>
      <w:r>
        <w:rPr>
          <w:rFonts w:hint="eastAsia" w:ascii="微软雅黑" w:hAnsi="微软雅黑" w:eastAsia="微软雅黑" w:cs="微软雅黑"/>
          <w:b w:val="0"/>
          <w:i w:val="0"/>
          <w:caps w:val="0"/>
          <w:color w:val="auto"/>
          <w:spacing w:val="0"/>
          <w:w w:val="100"/>
          <w:sz w:val="24"/>
          <w:highlight w:val="none"/>
        </w:rPr>
        <w:t>定向采购人缴纳履约保证金（如采用保函形式，格式见本章附件1）。</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31.2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政府采购利用担保试点范围内的项目，除31.1规定的情形外，成交人也可以按照财政部门的规定，向采购人提供合格的履约担保函（格式见本章附件2）。</w:t>
      </w:r>
    </w:p>
    <w:p>
      <w:pPr>
        <w:shd w:val="clear"/>
        <w:snapToGrid w:val="0"/>
        <w:spacing w:before="0" w:beforeAutospacing="0" w:after="0" w:afterAutospacing="0" w:line="240" w:lineRule="atLeast"/>
        <w:ind w:left="720" w:hanging="720" w:hangingChars="300"/>
        <w:jc w:val="left"/>
        <w:textAlignment w:val="baseline"/>
        <w:outlineLvl w:val="9"/>
        <w:rPr>
          <w:rFonts w:hint="eastAsia" w:ascii="微软雅黑" w:hAnsi="微软雅黑" w:eastAsia="微软雅黑" w:cs="微软雅黑"/>
          <w:b w:val="0"/>
          <w:bCs/>
          <w:i w:val="0"/>
          <w:caps w:val="0"/>
          <w:color w:val="auto"/>
          <w:spacing w:val="0"/>
          <w:w w:val="100"/>
          <w:sz w:val="24"/>
          <w:highlight w:val="none"/>
          <w:u w:val="single" w:color="000000"/>
        </w:rPr>
      </w:pPr>
      <w:bookmarkStart w:id="555" w:name="_Toc32107"/>
      <w:bookmarkStart w:id="556" w:name="_Toc5352"/>
      <w:bookmarkStart w:id="557" w:name="_Toc1888"/>
      <w:bookmarkStart w:id="558" w:name="_Toc14350"/>
      <w:bookmarkStart w:id="559" w:name="_Toc13783"/>
      <w:bookmarkStart w:id="560" w:name="_Toc7088"/>
      <w:r>
        <w:rPr>
          <w:rFonts w:hint="eastAsia" w:ascii="微软雅黑" w:hAnsi="微软雅黑" w:eastAsia="微软雅黑" w:cs="微软雅黑"/>
          <w:b w:val="0"/>
          <w:i w:val="0"/>
          <w:caps w:val="0"/>
          <w:color w:val="auto"/>
          <w:spacing w:val="0"/>
          <w:w w:val="100"/>
          <w:sz w:val="24"/>
          <w:highlight w:val="none"/>
          <w:u w:val="none"/>
        </w:rPr>
        <w:t xml:space="preserve">31.3   </w:t>
      </w:r>
      <w:r>
        <w:rPr>
          <w:rFonts w:hint="eastAsia" w:ascii="微软雅黑" w:hAnsi="微软雅黑" w:eastAsia="微软雅黑" w:cs="微软雅黑"/>
          <w:b w:val="0"/>
          <w:i w:val="0"/>
          <w:caps w:val="0"/>
          <w:color w:val="auto"/>
          <w:spacing w:val="0"/>
          <w:w w:val="100"/>
          <w:sz w:val="24"/>
          <w:highlight w:val="none"/>
          <w:u w:val="none" w:color="auto"/>
        </w:rPr>
        <w:t>如果成交人没有按照上述履约保证金的规定执行，将视为放弃成交资格，成交人的磋商保证金将不予退还。在此情况下，采购人可确定下一候选</w:t>
      </w:r>
      <w:r>
        <w:rPr>
          <w:rFonts w:hint="eastAsia" w:ascii="微软雅黑" w:hAnsi="微软雅黑" w:eastAsia="微软雅黑" w:cs="微软雅黑"/>
          <w:b w:val="0"/>
          <w:bCs/>
          <w:i w:val="0"/>
          <w:caps w:val="0"/>
          <w:color w:val="auto"/>
          <w:spacing w:val="0"/>
          <w:w w:val="100"/>
          <w:sz w:val="24"/>
          <w:highlight w:val="none"/>
          <w:u w:val="none" w:color="auto"/>
        </w:rPr>
        <w:t>人为成交人，也可以重新开展采购活动。</w:t>
      </w:r>
      <w:bookmarkEnd w:id="555"/>
      <w:bookmarkEnd w:id="556"/>
      <w:bookmarkEnd w:id="557"/>
      <w:bookmarkEnd w:id="558"/>
      <w:bookmarkEnd w:id="559"/>
      <w:bookmarkEnd w:id="560"/>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auto"/>
        </w:rPr>
      </w:pPr>
      <w:bookmarkStart w:id="561" w:name="_Toc7508"/>
      <w:bookmarkStart w:id="562" w:name="_Toc20197"/>
      <w:bookmarkStart w:id="563" w:name="_Toc29652"/>
      <w:bookmarkStart w:id="564" w:name="_Toc16384"/>
      <w:bookmarkStart w:id="565" w:name="_Toc29408"/>
      <w:bookmarkStart w:id="566" w:name="_Toc515647794"/>
      <w:bookmarkStart w:id="567" w:name="_Toc31215"/>
      <w:bookmarkStart w:id="568" w:name="_Toc29456"/>
      <w:bookmarkStart w:id="569" w:name="_Toc14623"/>
      <w:bookmarkStart w:id="570" w:name="_Toc346"/>
      <w:bookmarkStart w:id="571" w:name="_Toc10734"/>
      <w:bookmarkStart w:id="572" w:name="_Toc23073"/>
      <w:bookmarkStart w:id="573" w:name="_Toc23392"/>
      <w:bookmarkStart w:id="574" w:name="_Toc3090"/>
      <w:bookmarkStart w:id="575" w:name="_Toc27934"/>
      <w:r>
        <w:rPr>
          <w:rFonts w:hint="eastAsia" w:ascii="微软雅黑" w:hAnsi="微软雅黑" w:eastAsia="微软雅黑" w:cs="微软雅黑"/>
          <w:b/>
          <w:i w:val="0"/>
          <w:caps w:val="0"/>
          <w:color w:val="auto"/>
          <w:spacing w:val="0"/>
          <w:w w:val="100"/>
          <w:sz w:val="24"/>
          <w:highlight w:val="none"/>
          <w:u w:val="single" w:color="auto"/>
        </w:rPr>
        <w:t>32.成交</w:t>
      </w:r>
      <w:r>
        <w:rPr>
          <w:rFonts w:hint="eastAsia" w:ascii="微软雅黑" w:hAnsi="微软雅黑" w:eastAsia="微软雅黑" w:cs="微软雅黑"/>
          <w:b/>
          <w:i w:val="0"/>
          <w:caps w:val="0"/>
          <w:color w:val="auto"/>
          <w:spacing w:val="0"/>
          <w:w w:val="100"/>
          <w:sz w:val="24"/>
          <w:highlight w:val="none"/>
          <w:u w:val="single" w:color="auto"/>
          <w:lang w:eastAsia="zh-CN"/>
        </w:rPr>
        <w:t>服务</w:t>
      </w:r>
      <w:r>
        <w:rPr>
          <w:rFonts w:hint="eastAsia" w:ascii="微软雅黑" w:hAnsi="微软雅黑" w:eastAsia="微软雅黑" w:cs="微软雅黑"/>
          <w:b/>
          <w:i w:val="0"/>
          <w:caps w:val="0"/>
          <w:color w:val="auto"/>
          <w:spacing w:val="0"/>
          <w:w w:val="100"/>
          <w:sz w:val="24"/>
          <w:highlight w:val="none"/>
          <w:u w:val="single" w:color="auto"/>
        </w:rPr>
        <w:t>费</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shd w:val="clear"/>
        <w:snapToGrid w:val="0"/>
        <w:spacing w:before="0" w:beforeAutospacing="0" w:after="0" w:afterAutospacing="0" w:line="240" w:lineRule="atLeast"/>
        <w:jc w:val="left"/>
        <w:textAlignment w:val="baseline"/>
        <w:outlineLvl w:val="9"/>
        <w:rPr>
          <w:rFonts w:hint="eastAsia" w:ascii="微软雅黑" w:hAnsi="微软雅黑" w:eastAsia="微软雅黑" w:cs="微软雅黑"/>
          <w:b w:val="0"/>
          <w:bCs/>
          <w:i w:val="0"/>
          <w:caps w:val="0"/>
          <w:color w:val="auto"/>
          <w:spacing w:val="0"/>
          <w:w w:val="100"/>
          <w:sz w:val="24"/>
          <w:highlight w:val="none"/>
          <w:u w:val="none" w:color="auto"/>
        </w:rPr>
      </w:pPr>
      <w:r>
        <w:rPr>
          <w:rFonts w:hint="eastAsia" w:ascii="微软雅黑" w:hAnsi="微软雅黑" w:eastAsia="微软雅黑" w:cs="微软雅黑"/>
          <w:b w:val="0"/>
          <w:bCs/>
          <w:i w:val="0"/>
          <w:caps w:val="0"/>
          <w:color w:val="auto"/>
          <w:spacing w:val="0"/>
          <w:w w:val="100"/>
          <w:sz w:val="24"/>
          <w:highlight w:val="none"/>
          <w:u w:val="none" w:color="auto"/>
          <w:lang w:val="en-US" w:eastAsia="zh-CN"/>
        </w:rPr>
        <w:t xml:space="preserve">  </w:t>
      </w:r>
      <w:r>
        <w:rPr>
          <w:rFonts w:hint="eastAsia" w:ascii="微软雅黑" w:hAnsi="微软雅黑" w:eastAsia="微软雅黑" w:cs="微软雅黑"/>
          <w:b w:val="0"/>
          <w:bCs/>
          <w:i w:val="0"/>
          <w:caps w:val="0"/>
          <w:color w:val="auto"/>
          <w:spacing w:val="0"/>
          <w:w w:val="100"/>
          <w:sz w:val="24"/>
          <w:highlight w:val="none"/>
          <w:u w:val="none" w:color="auto"/>
        </w:rPr>
        <w:t xml:space="preserve"> </w:t>
      </w:r>
      <w:bookmarkStart w:id="576" w:name="_Toc30285"/>
      <w:bookmarkStart w:id="577" w:name="_Toc30095"/>
      <w:bookmarkStart w:id="578" w:name="_Toc31147"/>
      <w:bookmarkStart w:id="579" w:name="_Toc3808"/>
      <w:bookmarkStart w:id="580" w:name="_Toc23886"/>
      <w:bookmarkStart w:id="581" w:name="_Toc6649"/>
      <w:r>
        <w:rPr>
          <w:rFonts w:hint="eastAsia" w:ascii="微软雅黑" w:hAnsi="微软雅黑" w:eastAsia="微软雅黑" w:cs="微软雅黑"/>
          <w:b w:val="0"/>
          <w:bCs/>
          <w:i w:val="0"/>
          <w:caps w:val="0"/>
          <w:color w:val="auto"/>
          <w:spacing w:val="0"/>
          <w:w w:val="100"/>
          <w:sz w:val="24"/>
          <w:highlight w:val="none"/>
          <w:u w:val="none" w:color="auto"/>
        </w:rPr>
        <w:t>成交人须按照磋商须知资料表规定，向采购代理机构支付成交</w:t>
      </w:r>
      <w:r>
        <w:rPr>
          <w:rFonts w:hint="eastAsia" w:ascii="微软雅黑" w:hAnsi="微软雅黑" w:eastAsia="微软雅黑" w:cs="微软雅黑"/>
          <w:b w:val="0"/>
          <w:bCs/>
          <w:i w:val="0"/>
          <w:caps w:val="0"/>
          <w:color w:val="auto"/>
          <w:spacing w:val="0"/>
          <w:w w:val="100"/>
          <w:sz w:val="24"/>
          <w:highlight w:val="none"/>
          <w:u w:val="none" w:color="auto"/>
          <w:lang w:eastAsia="zh-CN"/>
        </w:rPr>
        <w:t>服务</w:t>
      </w:r>
      <w:r>
        <w:rPr>
          <w:rFonts w:hint="eastAsia" w:ascii="微软雅黑" w:hAnsi="微软雅黑" w:eastAsia="微软雅黑" w:cs="微软雅黑"/>
          <w:b w:val="0"/>
          <w:bCs/>
          <w:i w:val="0"/>
          <w:caps w:val="0"/>
          <w:color w:val="auto"/>
          <w:spacing w:val="0"/>
          <w:w w:val="100"/>
          <w:sz w:val="24"/>
          <w:highlight w:val="none"/>
          <w:u w:val="none" w:color="auto"/>
        </w:rPr>
        <w:t>费。</w:t>
      </w:r>
      <w:bookmarkEnd w:id="576"/>
      <w:bookmarkEnd w:id="577"/>
      <w:bookmarkEnd w:id="578"/>
      <w:bookmarkEnd w:id="579"/>
      <w:bookmarkEnd w:id="580"/>
      <w:bookmarkEnd w:id="581"/>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auto"/>
        </w:rPr>
      </w:pPr>
      <w:bookmarkStart w:id="582" w:name="_Toc28128"/>
      <w:bookmarkStart w:id="583" w:name="_Toc16461"/>
      <w:bookmarkStart w:id="584" w:name="_Toc9116"/>
      <w:bookmarkStart w:id="585" w:name="_Toc31549"/>
      <w:bookmarkStart w:id="586" w:name="_Toc32437"/>
      <w:bookmarkStart w:id="587" w:name="_Toc28524"/>
      <w:bookmarkStart w:id="588" w:name="_Toc3666"/>
      <w:bookmarkStart w:id="589" w:name="_Toc26134"/>
      <w:bookmarkStart w:id="590" w:name="_Toc515647795"/>
      <w:bookmarkStart w:id="591" w:name="_Toc5403"/>
      <w:bookmarkStart w:id="592" w:name="_Toc3914"/>
      <w:bookmarkStart w:id="593" w:name="_Toc13269"/>
      <w:bookmarkStart w:id="594" w:name="_Toc7049"/>
      <w:bookmarkStart w:id="595" w:name="_Toc1343"/>
      <w:bookmarkStart w:id="596" w:name="_Toc6923"/>
      <w:r>
        <w:rPr>
          <w:rFonts w:hint="eastAsia" w:ascii="微软雅黑" w:hAnsi="微软雅黑" w:eastAsia="微软雅黑" w:cs="微软雅黑"/>
          <w:b/>
          <w:i w:val="0"/>
          <w:caps w:val="0"/>
          <w:color w:val="auto"/>
          <w:spacing w:val="0"/>
          <w:w w:val="100"/>
          <w:sz w:val="24"/>
          <w:highlight w:val="none"/>
          <w:u w:val="single" w:color="auto"/>
        </w:rPr>
        <w:t>33.政府采购信用担保</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33.1   本项目是否属于信用担保试点范围见供应商须知资料表。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33.2   如属于政府采购信用担保试点范围内，中小型企业供应商可以自由按照财政部门的规定，采用磋商担保、履约担保和融资担保。</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33.2.1 供应商递交的磋商担保函和履约担保函应符合本磋商文件的规定。</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33.2.2 成交人可以采取融资担保的形式为政府采购项目履约进行融资。</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33.2.3 合格的政府采购专业信用担保机构名单见供应商须知资料表。</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597" w:name="_Toc15842"/>
      <w:bookmarkStart w:id="598" w:name="_Toc24240"/>
      <w:bookmarkStart w:id="599" w:name="_Toc23999"/>
      <w:bookmarkStart w:id="600" w:name="_Toc9673"/>
      <w:bookmarkStart w:id="601" w:name="_Toc4095"/>
      <w:bookmarkStart w:id="602" w:name="_Toc16394"/>
      <w:bookmarkStart w:id="603" w:name="_Toc26887"/>
      <w:bookmarkStart w:id="604" w:name="_Toc7616"/>
      <w:bookmarkStart w:id="605" w:name="_Toc28874"/>
      <w:bookmarkStart w:id="606" w:name="_Toc515647796"/>
      <w:bookmarkStart w:id="607" w:name="_Toc2133"/>
      <w:bookmarkStart w:id="608" w:name="_Toc19073"/>
      <w:bookmarkStart w:id="609" w:name="_Toc15545"/>
      <w:bookmarkStart w:id="610" w:name="_Toc4633"/>
      <w:bookmarkStart w:id="611" w:name="_Toc7391"/>
      <w:r>
        <w:rPr>
          <w:rFonts w:hint="eastAsia" w:ascii="微软雅黑" w:hAnsi="微软雅黑" w:eastAsia="微软雅黑" w:cs="微软雅黑"/>
          <w:b/>
          <w:i w:val="0"/>
          <w:caps w:val="0"/>
          <w:color w:val="auto"/>
          <w:spacing w:val="0"/>
          <w:w w:val="100"/>
          <w:sz w:val="24"/>
          <w:highlight w:val="none"/>
          <w:u w:val="single" w:color="000000"/>
        </w:rPr>
        <w:t>34.廉洁自律规定</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34.1   采购代理机构工作人员不得以不正当手段获取政府采购代理业务，不得与采购人、供应商恶意串通操纵政府采购活动。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34.2   采购代理机构工作人员不得接受采购人或者供应商组织的宴请、旅游、娱乐，不得收受礼品、现金、有价证券等，不得向采购人或者供应商报销应当由个人承担的费用。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34.3   为强化采购代理机构内部监督机制，供应商可按</w:t>
      </w:r>
      <w:r>
        <w:rPr>
          <w:rFonts w:hint="eastAsia" w:ascii="微软雅黑" w:hAnsi="微软雅黑" w:eastAsia="微软雅黑" w:cs="微软雅黑"/>
          <w:b w:val="0"/>
          <w:i w:val="0"/>
          <w:caps w:val="0"/>
          <w:color w:val="auto"/>
          <w:spacing w:val="0"/>
          <w:w w:val="100"/>
          <w:sz w:val="24"/>
          <w:highlight w:val="none"/>
          <w:u w:val="single" w:color="000000"/>
        </w:rPr>
        <w:t>供应商须知资料表中的</w:t>
      </w:r>
      <w:r>
        <w:rPr>
          <w:rFonts w:hint="eastAsia" w:ascii="微软雅黑" w:hAnsi="微软雅黑" w:eastAsia="微软雅黑" w:cs="微软雅黑"/>
          <w:b w:val="0"/>
          <w:i w:val="0"/>
          <w:caps w:val="0"/>
          <w:color w:val="auto"/>
          <w:spacing w:val="0"/>
          <w:w w:val="100"/>
          <w:sz w:val="24"/>
          <w:highlight w:val="none"/>
        </w:rPr>
        <w:t>监督电话和邮箱，反映采购代理机构的廉洁自律等问题。</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612" w:name="_Toc25480"/>
      <w:bookmarkStart w:id="613" w:name="_Toc19883"/>
      <w:bookmarkStart w:id="614" w:name="_Toc25440"/>
      <w:bookmarkStart w:id="615" w:name="_Toc3386"/>
      <w:bookmarkStart w:id="616" w:name="_Toc17910"/>
      <w:bookmarkStart w:id="617" w:name="_Toc15647"/>
      <w:bookmarkStart w:id="618" w:name="_Toc24873"/>
      <w:bookmarkStart w:id="619" w:name="_Toc11586"/>
      <w:bookmarkStart w:id="620" w:name="_Toc10617"/>
      <w:bookmarkStart w:id="621" w:name="_Toc12041"/>
      <w:bookmarkStart w:id="622" w:name="_Toc14945"/>
      <w:bookmarkStart w:id="623" w:name="_Toc515647797"/>
      <w:bookmarkStart w:id="624" w:name="_Toc15288"/>
      <w:bookmarkStart w:id="625" w:name="_Toc1011"/>
      <w:bookmarkStart w:id="626" w:name="_Toc9179"/>
      <w:r>
        <w:rPr>
          <w:rFonts w:hint="eastAsia" w:ascii="微软雅黑" w:hAnsi="微软雅黑" w:eastAsia="微软雅黑" w:cs="微软雅黑"/>
          <w:b/>
          <w:i w:val="0"/>
          <w:caps w:val="0"/>
          <w:color w:val="auto"/>
          <w:spacing w:val="0"/>
          <w:w w:val="100"/>
          <w:sz w:val="24"/>
          <w:highlight w:val="none"/>
          <w:u w:val="single" w:color="000000"/>
        </w:rPr>
        <w:t>35.人员回避</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供应商认为采购人员及其相关人员有法律法规所列与其他供应商有利害关系的，可以向采购人或采购代理机构书面提出回避申请，并说明理由。</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627" w:name="_Toc7453"/>
      <w:bookmarkStart w:id="628" w:name="_Toc25962"/>
      <w:bookmarkStart w:id="629" w:name="_Toc11115"/>
      <w:bookmarkStart w:id="630" w:name="_Toc24801"/>
      <w:bookmarkStart w:id="631" w:name="_Toc14502"/>
      <w:bookmarkStart w:id="632" w:name="_Toc515647798"/>
      <w:bookmarkStart w:id="633" w:name="_Toc29066"/>
      <w:bookmarkStart w:id="634" w:name="_Toc30280"/>
      <w:bookmarkStart w:id="635" w:name="_Toc15825"/>
      <w:bookmarkStart w:id="636" w:name="_Toc24595"/>
      <w:bookmarkStart w:id="637" w:name="_Toc25393"/>
      <w:bookmarkStart w:id="638" w:name="_Toc8902"/>
      <w:bookmarkStart w:id="639" w:name="_Toc16897"/>
      <w:bookmarkStart w:id="640" w:name="_Toc23729"/>
      <w:bookmarkStart w:id="641" w:name="_Toc1148"/>
      <w:r>
        <w:rPr>
          <w:rFonts w:hint="eastAsia" w:ascii="微软雅黑" w:hAnsi="微软雅黑" w:eastAsia="微软雅黑" w:cs="微软雅黑"/>
          <w:b/>
          <w:i w:val="0"/>
          <w:caps w:val="0"/>
          <w:color w:val="auto"/>
          <w:spacing w:val="0"/>
          <w:w w:val="100"/>
          <w:sz w:val="24"/>
          <w:highlight w:val="none"/>
          <w:u w:val="single" w:color="000000"/>
        </w:rPr>
        <w:t>36.质疑与接收</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shd w:val="clear"/>
        <w:snapToGrid w:val="0"/>
        <w:spacing w:before="0" w:beforeAutospacing="0" w:after="0" w:afterAutospacing="0" w:line="240" w:lineRule="atLeast"/>
        <w:ind w:left="851" w:leftChars="68" w:hangingChars="29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36.1  供应商认为磋商文件、</w:t>
      </w:r>
      <w:r>
        <w:rPr>
          <w:rFonts w:hint="eastAsia" w:ascii="微软雅黑" w:hAnsi="微软雅黑" w:eastAsia="微软雅黑" w:cs="微软雅黑"/>
          <w:b w:val="0"/>
          <w:i w:val="0"/>
          <w:caps w:val="0"/>
          <w:color w:val="auto"/>
          <w:spacing w:val="0"/>
          <w:w w:val="100"/>
          <w:sz w:val="24"/>
          <w:highlight w:val="none"/>
          <w:lang w:eastAsia="zh-CN"/>
        </w:rPr>
        <w:t>磋商</w:t>
      </w:r>
      <w:r>
        <w:rPr>
          <w:rFonts w:hint="eastAsia" w:ascii="微软雅黑" w:hAnsi="微软雅黑" w:eastAsia="微软雅黑" w:cs="微软雅黑"/>
          <w:b w:val="0"/>
          <w:i w:val="0"/>
          <w:caps w:val="0"/>
          <w:color w:val="auto"/>
          <w:spacing w:val="0"/>
          <w:w w:val="100"/>
          <w:sz w:val="24"/>
          <w:highlight w:val="none"/>
        </w:rPr>
        <w:t>过程和成交结果使自己的权益受到损害的，可以根据《中华人民共和国政府采购法》、《中华人民共和国政府采购法实施条例》和《政府采购质疑和投诉办法》的有关规定，依法向采购人或其委托的采购代理机构提出质疑。</w:t>
      </w:r>
    </w:p>
    <w:p>
      <w:pPr>
        <w:shd w:val="clear"/>
        <w:snapToGrid w:val="0"/>
        <w:spacing w:before="0" w:beforeAutospacing="0" w:after="0" w:afterAutospacing="0" w:line="240" w:lineRule="atLeast"/>
        <w:ind w:left="851" w:leftChars="68" w:hangingChars="29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pPr>
        <w:shd w:val="clear"/>
        <w:snapToGrid w:val="0"/>
        <w:spacing w:before="0" w:beforeAutospacing="0" w:after="0" w:afterAutospacing="0" w:line="240" w:lineRule="atLeast"/>
        <w:ind w:left="851" w:leftChars="405" w:hanging="1"/>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超出法定质疑期的、重复提出的、分次提出的或内容、形式不符合《政府采购质疑和投诉办法》的，质疑供应商将依法承担不利后果。</w:t>
      </w:r>
    </w:p>
    <w:p>
      <w:pPr>
        <w:shd w:val="clear"/>
        <w:snapToGrid w:val="0"/>
        <w:spacing w:before="0" w:beforeAutospacing="0" w:after="0" w:afterAutospacing="0" w:line="240" w:lineRule="atLeast"/>
        <w:ind w:left="851" w:leftChars="68" w:hangingChars="29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36.3  采购代理机构质疑函接收部门、联系电话和通讯地址, 见</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.4   质疑的提出</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.5   本采购文件中所称质疑及答复，是指参加本次采购活动的供应商对政府采购活动中的采购文件、采购过程和成交结果向采购方提出质疑，采购方答复质疑的行为。</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.6   供应商认为采购文件、采购过程和成交结果使自己的权益受到损害的，可以在知道或者应知其权益受到损害之日起7个工作日内，以书面形式向采购方提出质疑。供应商应知其权益受到损害之日，是指：</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（一）对可以质疑的采购文件提出质疑的，为收到采购文件之日或者采购文件公告期限届满之日；</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（二）对采购过程提出质疑的，为各采购程序环节结束之日；</w:t>
      </w:r>
    </w:p>
    <w:p>
      <w:pPr>
        <w:shd w:val="clear"/>
        <w:snapToGrid w:val="0"/>
        <w:spacing w:before="0" w:beforeAutospacing="0" w:after="0" w:afterAutospacing="0" w:line="400" w:lineRule="exact"/>
        <w:ind w:firstLine="720" w:firstLineChars="3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（三）对成交结果提出质疑的，为成交结果公告期限届满之日。</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.7   对可以质疑的采购文件提出质疑的，质疑人为参与本项目的报价方或潜在报价方。可质疑的文件为采购公告以及采购文件（包括属于其组成部分的澄清、修改、补充文件和评审标准、合同文本等）。</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.8   对采购过程和成交结果提出质疑的，质疑人为直接参与本项目的报价方。采购过程,即从采购项目信息公告发布起到成交结果公告止，包括采购文件的发出、提交响应文件、响应文件开启、评审等各个采购程序环节。</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.9   提出质疑应当符合下列条件：</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（一）质疑主体应当符合有关规定；</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（二）在质疑法定期限内提出；</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（三）属于可以提出质疑的政府采购事项受理范围和本项目采购人的管辖权范围；</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（四）政府采购法律、法规、规章规定的其他条件。</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.10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.11  质疑人所提供的证明材料应当具有真实性、合法性以及与质疑事项的关联性和证明力，否则不能作为认定该质疑事项成立的依据。</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.12  质疑人提出质疑时应当提交质疑函。质疑函包括下列内容：</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（一）提出质疑的质疑人的名称、地址、邮编、联系人及联系电话等；</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（二）质疑项目的名称、编号；</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（三）质疑事项；</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（四）事实依据和证明材料；</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（五）法律依据；</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（六）提出质疑的日期。</w:t>
      </w:r>
    </w:p>
    <w:p>
      <w:pPr>
        <w:shd w:val="clear"/>
        <w:snapToGrid w:val="0"/>
        <w:spacing w:before="0" w:beforeAutospacing="0" w:after="0" w:afterAutospacing="0" w:line="400" w:lineRule="exact"/>
        <w:ind w:left="958" w:leftChars="456" w:firstLine="60" w:firstLineChars="2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质疑函采用实名制。质疑人为自然人的应当由本人签字，并附有效身份证明文件；质疑人为法人或者非法人组织的应当由法定代表人或者负责人签字并加盖公章，并附有效身份证明文件。</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.13  质疑人可以委托代理人进行质疑。代理人应当提交授权委托书。授权委托书应当载明委托代理的具体权限、期限和相关事项。</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.14  质疑的审查和受理</w:t>
      </w:r>
    </w:p>
    <w:p>
      <w:pPr>
        <w:shd w:val="clear"/>
        <w:snapToGrid w:val="0"/>
        <w:spacing w:before="0" w:beforeAutospacing="0" w:after="0" w:afterAutospacing="0" w:line="400" w:lineRule="exact"/>
        <w:ind w:left="840" w:leftChars="4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采购方在收到质疑函后应当及时审查是否符合质疑受理条件，对符合质疑受理条件的，及时予以受理。</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.15  对不符合质疑受理条件的，分别按照下列不同情形予以处理：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（一）质疑函内容不符合规定的，告知质疑人进行修改并重新提出质疑。修改后质疑事项仍不具体、不明确或者最终递交质疑函的时间超过质疑法定期限的，不予受理；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（二）质疑主体不符合有关规定的，告知质疑人不予受理；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（三）超过质疑法定期限提出质疑的，告知质疑人不予受理；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（四）对不属于可以提出质疑的政府采购事项提出质疑的，告知质疑人不予受理；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（五）质疑不属于本项目采购方管辖的，告知质疑人向有管辖权的采购人提出质疑；</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（六）质疑不符合其他条件的，告知质疑人不予受理。</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.16  质疑的处理和答复</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.17  采购方受理质疑后，将及时把质疑函发送给被质疑人，并要求其在一定限期内提交书面答复，同时提供有关证据、依据和相关材料。</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.18  对于质疑事项中涉及的问题较多、情况比较复杂的，为了全面查清事实、取得充分的证据，采购方认为有必要时，可以进行调查取证或者组织质证。</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.19  对评审过程、成交结果提出质疑的，采购方可以组织原评审委员会协助答复质疑。</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.20  质疑处理过程中，质疑人书面申请撤回质疑的，将终止质疑处理程序。</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.21  质疑人拒绝配合采购方依法对质疑进行调查处理的，采购方将按质疑人自动撤回质疑处理；被质疑人拒绝配合采购方依法对质疑进行调查处理的，采购方将视同其认可质疑事项。</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.22  质疑人拒绝配合采购方依法对质疑进行调查处理的，采购方将按质疑人自动撤回质疑处理；被质疑人拒绝配合采购方依法对质疑进行调查处理的，采购方将视同其认可质疑事项。</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.23  采购方将在正式受理质疑后7个工作日内作出答复。</w:t>
      </w:r>
    </w:p>
    <w:p>
      <w:pPr>
        <w:pStyle w:val="50"/>
        <w:shd w:val="clear"/>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.24  质疑答复应当包括下列内容：</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（一）质疑人的姓名或者名称；</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（二）收到质疑函的日期、质疑项目名称及编号；</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（三）质疑事项、质疑答复的具体内容、事实依据和法律依据；</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（四）告知质疑供应商依法投诉的权利；</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（五）质疑答复人名称；</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（六）答复质疑的日期。</w:t>
      </w:r>
    </w:p>
    <w:p>
      <w:pPr>
        <w:shd w:val="clear"/>
        <w:snapToGrid w:val="0"/>
        <w:spacing w:before="0" w:beforeAutospacing="0" w:after="0" w:afterAutospacing="0" w:line="400" w:lineRule="exact"/>
        <w:jc w:val="center"/>
        <w:textAlignment w:val="baseline"/>
        <w:rPr>
          <w:rFonts w:hint="eastAsia" w:ascii="微软雅黑" w:hAnsi="微软雅黑" w:eastAsia="微软雅黑" w:cs="微软雅黑"/>
          <w:b/>
          <w:bCs/>
          <w:i w:val="0"/>
          <w:caps w:val="0"/>
          <w:color w:val="auto"/>
          <w:spacing w:val="0"/>
          <w:w w:val="100"/>
          <w:sz w:val="24"/>
          <w:highlight w:val="none"/>
        </w:rPr>
      </w:pPr>
    </w:p>
    <w:p>
      <w:pPr>
        <w:shd w:val="clear"/>
        <w:snapToGrid w:val="0"/>
        <w:spacing w:before="0" w:beforeAutospacing="0" w:after="0" w:afterAutospacing="0" w:line="400" w:lineRule="exact"/>
        <w:jc w:val="both"/>
        <w:textAlignment w:val="baseline"/>
        <w:rPr>
          <w:rFonts w:hint="eastAsia" w:ascii="微软雅黑" w:hAnsi="微软雅黑" w:eastAsia="微软雅黑" w:cs="微软雅黑"/>
          <w:b/>
          <w:bCs/>
          <w:i w:val="0"/>
          <w:caps w:val="0"/>
          <w:color w:val="auto"/>
          <w:spacing w:val="0"/>
          <w:w w:val="100"/>
          <w:sz w:val="24"/>
          <w:highlight w:val="none"/>
        </w:rPr>
      </w:pPr>
      <w:bookmarkStart w:id="642" w:name="_Toc24577"/>
      <w:bookmarkStart w:id="643" w:name="_Toc14949"/>
      <w:r>
        <w:rPr>
          <w:rFonts w:hint="eastAsia" w:ascii="微软雅黑" w:hAnsi="微软雅黑" w:eastAsia="微软雅黑" w:cs="微软雅黑"/>
          <w:b/>
          <w:bCs/>
          <w:i w:val="0"/>
          <w:caps w:val="0"/>
          <w:color w:val="auto"/>
          <w:spacing w:val="0"/>
          <w:w w:val="100"/>
          <w:sz w:val="24"/>
          <w:highlight w:val="none"/>
        </w:rPr>
        <w:t>质疑函范本</w:t>
      </w:r>
      <w:bookmarkEnd w:id="642"/>
      <w:bookmarkEnd w:id="643"/>
    </w:p>
    <w:p>
      <w:pPr>
        <w:keepNext w:val="0"/>
        <w:keepLines w:val="0"/>
        <w:pageBreakBefore w:val="0"/>
        <w:widowControl w:val="0"/>
        <w:shd w:val="clear"/>
        <w:kinsoku/>
        <w:wordWrap/>
        <w:overflowPunct/>
        <w:topLinePunct w:val="0"/>
        <w:autoSpaceDE/>
        <w:autoSpaceDN/>
        <w:bidi w:val="0"/>
        <w:adjustRightInd/>
        <w:snapToGrid w:val="0"/>
        <w:spacing w:before="312" w:beforeAutospacing="0" w:after="0" w:afterAutospacing="0" w:line="320" w:lineRule="exact"/>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rPr>
        <w:t>一、质疑供应商基本信息</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质疑供应商：</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地址：</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邮编：</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联系人：</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联系电话：</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授权代表：</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联系电话：</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地址： </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邮编：</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312" w:beforeAutospacing="0" w:after="0" w:afterAutospacing="0" w:line="320" w:lineRule="exact"/>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rPr>
        <w:t>二、质疑项目基本情况</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质疑项目的名称：</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质疑项目的编号：</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包号：</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采购人名称：</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采购文件获取日期：</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312" w:beforeAutospacing="0" w:after="0" w:afterAutospacing="0" w:line="320" w:lineRule="exact"/>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rPr>
        <w:t>三、质疑事项具体内容</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质疑事项1：</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事实依据：</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法律依据：</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质疑事项2</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w:t>
      </w:r>
    </w:p>
    <w:p>
      <w:pPr>
        <w:keepNext w:val="0"/>
        <w:keepLines w:val="0"/>
        <w:pageBreakBefore w:val="0"/>
        <w:widowControl w:val="0"/>
        <w:shd w:val="clear"/>
        <w:kinsoku/>
        <w:wordWrap/>
        <w:overflowPunct/>
        <w:topLinePunct w:val="0"/>
        <w:autoSpaceDE/>
        <w:autoSpaceDN/>
        <w:bidi w:val="0"/>
        <w:adjustRightInd/>
        <w:snapToGrid w:val="0"/>
        <w:spacing w:before="312" w:beforeAutospacing="0" w:after="0" w:afterAutospacing="0" w:line="320" w:lineRule="exact"/>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rPr>
        <w:t>四、与质疑事项相关的质疑请求</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请求：</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签字(签章)：                   公章：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日期：    </w:t>
      </w:r>
    </w:p>
    <w:p>
      <w:pPr>
        <w:shd w:val="clear"/>
        <w:snapToGrid w:val="0"/>
        <w:spacing w:before="0" w:beforeAutospacing="0" w:after="0" w:afterAutospacing="0" w:line="400" w:lineRule="exact"/>
        <w:jc w:val="both"/>
        <w:textAlignment w:val="baseline"/>
        <w:rPr>
          <w:rFonts w:hint="eastAsia" w:ascii="微软雅黑" w:hAnsi="微软雅黑" w:eastAsia="微软雅黑" w:cs="微软雅黑"/>
          <w:b/>
          <w:i w:val="0"/>
          <w:caps w:val="0"/>
          <w:color w:val="auto"/>
          <w:spacing w:val="0"/>
          <w:w w:val="100"/>
          <w:sz w:val="24"/>
          <w:highlight w:val="none"/>
        </w:rPr>
      </w:pPr>
    </w:p>
    <w:p>
      <w:pPr>
        <w:shd w:val="clear"/>
        <w:snapToGrid w:val="0"/>
        <w:spacing w:before="0" w:beforeAutospacing="0" w:after="0" w:afterAutospacing="0" w:line="400" w:lineRule="exact"/>
        <w:jc w:val="both"/>
        <w:textAlignment w:val="baseline"/>
        <w:rPr>
          <w:rFonts w:hint="eastAsia" w:ascii="微软雅黑" w:hAnsi="微软雅黑" w:eastAsia="微软雅黑" w:cs="微软雅黑"/>
          <w:b/>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rPr>
        <w:t>质疑函制作说明：</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1.供应商提出质疑时，应提交质疑函和必要的证明材料。</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2.质疑供应商若委托代理人进行质疑的，质疑函应按要求列明“授权代表”的有关内容，并在附件中提交由质疑</w:t>
      </w:r>
      <w:r>
        <w:rPr>
          <w:rFonts w:hint="eastAsia" w:ascii="微软雅黑" w:hAnsi="微软雅黑" w:eastAsia="微软雅黑" w:cs="微软雅黑"/>
          <w:b w:val="0"/>
          <w:i w:val="0"/>
          <w:caps w:val="0"/>
          <w:color w:val="auto"/>
          <w:spacing w:val="0"/>
          <w:w w:val="100"/>
          <w:kern w:val="0"/>
          <w:sz w:val="24"/>
          <w:highlight w:val="none"/>
        </w:rPr>
        <w:t>供应商签署的授权委托书。授权委托书应载明代理人的姓名或者名称、代理事项、具体权限、期限和相关事项。</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3.质疑供应商若对项目的某一分包进行质疑，质疑函中应列明具体分包号。</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4.质疑函的质疑事项应具体、明确，并有必要的事实依据和法律依据。</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5.质疑函的质疑请求应与质疑事项相关。</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6.质疑供应商为自然人的，质疑函应由本人签字；质疑供应商为法人或者其他组织的，质疑函应由法定代表人、主要负责人，或者其授权代表签字或者盖章，并加盖公章。</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3"/>
        <w:shd w:val="clear"/>
        <w:rPr>
          <w:rFonts w:hint="eastAsia" w:ascii="微软雅黑" w:hAnsi="微软雅黑" w:eastAsia="微软雅黑" w:cs="微软雅黑"/>
          <w:b w:val="0"/>
          <w:i w:val="0"/>
          <w:caps w:val="0"/>
          <w:color w:val="auto"/>
          <w:spacing w:val="0"/>
          <w:w w:val="100"/>
          <w:sz w:val="24"/>
          <w:highlight w:val="none"/>
        </w:rPr>
      </w:pPr>
    </w:p>
    <w:p>
      <w:pPr>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shd w:val="clear"/>
        <w:rPr>
          <w:rFonts w:hint="eastAsia" w:ascii="微软雅黑" w:hAnsi="微软雅黑" w:eastAsia="微软雅黑" w:cs="微软雅黑"/>
          <w:b w:val="0"/>
          <w:i w:val="0"/>
          <w:caps w:val="0"/>
          <w:color w:val="auto"/>
          <w:spacing w:val="0"/>
          <w:w w:val="100"/>
          <w:sz w:val="24"/>
          <w:highlight w:val="none"/>
        </w:rPr>
      </w:pPr>
    </w:p>
    <w:p>
      <w:pPr>
        <w:rPr>
          <w:rFonts w:hint="eastAsia" w:ascii="微软雅黑" w:hAnsi="微软雅黑" w:eastAsia="微软雅黑" w:cs="微软雅黑"/>
          <w:b/>
          <w:i w:val="0"/>
          <w:caps w:val="0"/>
          <w:color w:val="auto"/>
          <w:spacing w:val="0"/>
          <w:w w:val="100"/>
          <w:sz w:val="24"/>
          <w:szCs w:val="24"/>
          <w:highlight w:val="none"/>
        </w:rPr>
      </w:pPr>
      <w:bookmarkStart w:id="644" w:name="_Toc728"/>
      <w:bookmarkStart w:id="645" w:name="_Toc702"/>
      <w:bookmarkStart w:id="646" w:name="_Toc216582812"/>
      <w:bookmarkStart w:id="647" w:name="_Toc515647802"/>
      <w:r>
        <w:rPr>
          <w:rFonts w:hint="eastAsia" w:ascii="微软雅黑" w:hAnsi="微软雅黑" w:eastAsia="微软雅黑" w:cs="微软雅黑"/>
          <w:b/>
          <w:i w:val="0"/>
          <w:caps w:val="0"/>
          <w:color w:val="auto"/>
          <w:spacing w:val="0"/>
          <w:w w:val="100"/>
          <w:sz w:val="24"/>
          <w:szCs w:val="24"/>
          <w:highlight w:val="none"/>
        </w:rPr>
        <w:br w:type="page"/>
      </w:r>
    </w:p>
    <w:p>
      <w:pPr>
        <w:pStyle w:val="5"/>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24"/>
          <w:highlight w:val="none"/>
        </w:rPr>
      </w:pPr>
      <w:bookmarkStart w:id="648" w:name="_Toc11539"/>
      <w:r>
        <w:rPr>
          <w:rFonts w:hint="eastAsia" w:ascii="微软雅黑" w:hAnsi="微软雅黑" w:eastAsia="微软雅黑" w:cs="微软雅黑"/>
          <w:b/>
          <w:i w:val="0"/>
          <w:caps w:val="0"/>
          <w:color w:val="auto"/>
          <w:spacing w:val="0"/>
          <w:w w:val="100"/>
          <w:sz w:val="24"/>
          <w:szCs w:val="24"/>
          <w:highlight w:val="none"/>
        </w:rPr>
        <w:t>第2章 响应文件格式</w:t>
      </w:r>
      <w:bookmarkEnd w:id="644"/>
      <w:bookmarkEnd w:id="645"/>
      <w:bookmarkEnd w:id="646"/>
      <w:bookmarkEnd w:id="647"/>
      <w:bookmarkEnd w:id="648"/>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highlight w:val="none"/>
        </w:rPr>
      </w:pPr>
      <w:bookmarkStart w:id="649" w:name="_Toc1126"/>
      <w:bookmarkStart w:id="650" w:name="_Toc19961"/>
      <w:bookmarkStart w:id="651" w:name="_Toc18694"/>
      <w:bookmarkStart w:id="652" w:name="_Toc18974"/>
      <w:bookmarkStart w:id="653" w:name="_Toc14175"/>
      <w:bookmarkStart w:id="654" w:name="_Toc515647803"/>
      <w:bookmarkStart w:id="655" w:name="_Toc26489"/>
      <w:bookmarkStart w:id="656" w:name="_Toc3315"/>
      <w:r>
        <w:rPr>
          <w:rFonts w:hint="eastAsia" w:ascii="微软雅黑" w:hAnsi="微软雅黑" w:eastAsia="微软雅黑" w:cs="微软雅黑"/>
          <w:b/>
          <w:i w:val="0"/>
          <w:caps w:val="0"/>
          <w:color w:val="auto"/>
          <w:spacing w:val="0"/>
          <w:w w:val="100"/>
          <w:sz w:val="24"/>
          <w:szCs w:val="24"/>
          <w:highlight w:val="none"/>
        </w:rPr>
        <w:t>第一部分 磋商开启一览表及资格证明文件</w:t>
      </w:r>
      <w:bookmarkEnd w:id="649"/>
      <w:bookmarkEnd w:id="650"/>
      <w:bookmarkEnd w:id="651"/>
      <w:bookmarkEnd w:id="652"/>
      <w:bookmarkEnd w:id="653"/>
      <w:bookmarkEnd w:id="654"/>
      <w:bookmarkEnd w:id="655"/>
      <w:bookmarkEnd w:id="656"/>
    </w:p>
    <w:p>
      <w:pPr>
        <w:keepNext w:val="0"/>
        <w:keepLines w:val="0"/>
        <w:pageBreakBefore w:val="0"/>
        <w:widowControl w:val="0"/>
        <w:shd w:val="clear"/>
        <w:tabs>
          <w:tab w:val="left" w:pos="5580"/>
        </w:tabs>
        <w:kinsoku/>
        <w:wordWrap/>
        <w:overflowPunct/>
        <w:topLinePunct w:val="0"/>
        <w:autoSpaceDE/>
        <w:autoSpaceDN/>
        <w:bidi w:val="0"/>
        <w:adjustRightInd/>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highlight w:val="none"/>
        </w:rPr>
        <w:t>磋商报价一览表;</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2.提供具有有效的独立法人营业执照；</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3</w:t>
      </w:r>
      <w:r>
        <w:rPr>
          <w:rFonts w:hint="eastAsia" w:ascii="微软雅黑" w:hAnsi="微软雅黑" w:eastAsia="微软雅黑" w:cs="微软雅黑"/>
          <w:b w:val="0"/>
          <w:i w:val="0"/>
          <w:caps w:val="0"/>
          <w:color w:val="auto"/>
          <w:spacing w:val="0"/>
          <w:w w:val="100"/>
          <w:kern w:val="0"/>
          <w:sz w:val="24"/>
          <w:highlight w:val="none"/>
        </w:rPr>
        <w:t>.提供法人代表资格证明及授权书、被授权人身份证；(法人投标需提供法人身份证)；</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4</w:t>
      </w:r>
      <w:r>
        <w:rPr>
          <w:rFonts w:hint="eastAsia" w:ascii="微软雅黑" w:hAnsi="微软雅黑" w:eastAsia="微软雅黑" w:cs="微软雅黑"/>
          <w:b w:val="0"/>
          <w:i w:val="0"/>
          <w:caps w:val="0"/>
          <w:color w:val="auto"/>
          <w:spacing w:val="0"/>
          <w:w w:val="100"/>
          <w:kern w:val="0"/>
          <w:sz w:val="24"/>
          <w:highlight w:val="none"/>
        </w:rPr>
        <w:t>.提供近两年任意一年的财务审计报告，新成立的公司提供近三个月内任意一个月的银行资信证明；</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5</w:t>
      </w:r>
      <w:r>
        <w:rPr>
          <w:rFonts w:hint="eastAsia" w:ascii="微软雅黑" w:hAnsi="微软雅黑" w:eastAsia="微软雅黑" w:cs="微软雅黑"/>
          <w:b w:val="0"/>
          <w:i w:val="0"/>
          <w:caps w:val="0"/>
          <w:color w:val="auto"/>
          <w:spacing w:val="0"/>
          <w:w w:val="100"/>
          <w:kern w:val="0"/>
          <w:sz w:val="24"/>
          <w:highlight w:val="none"/>
        </w:rPr>
        <w:t>.提供依法缴纳近6个月任意一个月社会保险的凭据；</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6</w:t>
      </w:r>
      <w:r>
        <w:rPr>
          <w:rFonts w:hint="eastAsia" w:ascii="微软雅黑" w:hAnsi="微软雅黑" w:eastAsia="微软雅黑" w:cs="微软雅黑"/>
          <w:b w:val="0"/>
          <w:i w:val="0"/>
          <w:caps w:val="0"/>
          <w:color w:val="auto"/>
          <w:spacing w:val="0"/>
          <w:w w:val="100"/>
          <w:kern w:val="0"/>
          <w:sz w:val="24"/>
          <w:highlight w:val="none"/>
        </w:rPr>
        <w:t>.提供税务部门出具的近6个月任意一个月的完税证明；</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7</w:t>
      </w:r>
      <w:r>
        <w:rPr>
          <w:rFonts w:hint="eastAsia" w:ascii="微软雅黑" w:hAnsi="微软雅黑" w:eastAsia="微软雅黑" w:cs="微软雅黑"/>
          <w:b w:val="0"/>
          <w:i w:val="0"/>
          <w:caps w:val="0"/>
          <w:color w:val="auto"/>
          <w:spacing w:val="0"/>
          <w:w w:val="100"/>
          <w:kern w:val="0"/>
          <w:sz w:val="24"/>
          <w:highlight w:val="none"/>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8</w:t>
      </w:r>
      <w:r>
        <w:rPr>
          <w:rFonts w:hint="eastAsia" w:ascii="微软雅黑" w:hAnsi="微软雅黑" w:eastAsia="微软雅黑" w:cs="微软雅黑"/>
          <w:b w:val="0"/>
          <w:i w:val="0"/>
          <w:caps w:val="0"/>
          <w:color w:val="auto"/>
          <w:spacing w:val="0"/>
          <w:w w:val="100"/>
          <w:kern w:val="0"/>
          <w:sz w:val="24"/>
          <w:highlight w:val="none"/>
        </w:rPr>
        <w:t>.提供参与政府采购活动前3年内未被列入失信、重大税收违法案件、财政部门禁止参加政府采购活动的承诺书；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9</w:t>
      </w:r>
      <w:r>
        <w:rPr>
          <w:rFonts w:hint="eastAsia" w:ascii="微软雅黑" w:hAnsi="微软雅黑" w:eastAsia="微软雅黑" w:cs="微软雅黑"/>
          <w:b w:val="0"/>
          <w:i w:val="0"/>
          <w:caps w:val="0"/>
          <w:color w:val="auto"/>
          <w:spacing w:val="0"/>
          <w:w w:val="100"/>
          <w:kern w:val="0"/>
          <w:sz w:val="24"/>
          <w:highlight w:val="none"/>
        </w:rPr>
        <w:t>.提供针对本次项目《反商业贿赂承诺书》；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lang w:val="en-US" w:eastAsia="zh-CN"/>
        </w:rPr>
      </w:pPr>
      <w:r>
        <w:rPr>
          <w:rFonts w:hint="eastAsia" w:ascii="微软雅黑" w:hAnsi="微软雅黑" w:eastAsia="微软雅黑" w:cs="微软雅黑"/>
          <w:b w:val="0"/>
          <w:i w:val="0"/>
          <w:caps w:val="0"/>
          <w:color w:val="auto"/>
          <w:spacing w:val="0"/>
          <w:w w:val="100"/>
          <w:kern w:val="0"/>
          <w:sz w:val="24"/>
          <w:highlight w:val="none"/>
          <w:lang w:val="en-US" w:eastAsia="zh-CN"/>
        </w:rPr>
        <w:t>10</w:t>
      </w:r>
      <w:r>
        <w:rPr>
          <w:rFonts w:hint="eastAsia" w:ascii="微软雅黑" w:hAnsi="微软雅黑" w:eastAsia="微软雅黑" w:cs="微软雅黑"/>
          <w:b w:val="0"/>
          <w:i w:val="0"/>
          <w:caps w:val="0"/>
          <w:color w:val="auto"/>
          <w:spacing w:val="0"/>
          <w:w w:val="100"/>
          <w:kern w:val="0"/>
          <w:sz w:val="24"/>
          <w:highlight w:val="none"/>
        </w:rPr>
        <w:t>.缴纳磋商保证金的银行回执单</w:t>
      </w:r>
      <w:r>
        <w:rPr>
          <w:rFonts w:hint="eastAsia" w:ascii="微软雅黑" w:hAnsi="微软雅黑" w:eastAsia="微软雅黑" w:cs="微软雅黑"/>
          <w:b w:val="0"/>
          <w:i w:val="0"/>
          <w:caps w:val="0"/>
          <w:color w:val="auto"/>
          <w:spacing w:val="0"/>
          <w:w w:val="100"/>
          <w:kern w:val="0"/>
          <w:sz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lang w:eastAsia="zh-CN"/>
        </w:rPr>
      </w:pPr>
      <w:r>
        <w:rPr>
          <w:rFonts w:hint="eastAsia" w:ascii="微软雅黑" w:hAnsi="微软雅黑" w:eastAsia="微软雅黑" w:cs="微软雅黑"/>
          <w:b w:val="0"/>
          <w:i w:val="0"/>
          <w:caps w:val="0"/>
          <w:color w:val="auto"/>
          <w:spacing w:val="0"/>
          <w:w w:val="100"/>
          <w:kern w:val="0"/>
          <w:sz w:val="24"/>
          <w:highlight w:val="none"/>
          <w:lang w:val="en-US" w:eastAsia="zh-CN"/>
        </w:rPr>
        <w:t>11.</w:t>
      </w:r>
      <w:r>
        <w:rPr>
          <w:rFonts w:hint="eastAsia" w:ascii="微软雅黑" w:hAnsi="微软雅黑" w:eastAsia="微软雅黑" w:cs="微软雅黑"/>
          <w:b w:val="0"/>
          <w:i w:val="0"/>
          <w:caps w:val="0"/>
          <w:color w:val="auto"/>
          <w:spacing w:val="0"/>
          <w:w w:val="100"/>
          <w:kern w:val="0"/>
          <w:sz w:val="24"/>
          <w:highlight w:val="none"/>
        </w:rPr>
        <w:t>提供有利于磋商的其他证明材料</w:t>
      </w:r>
      <w:r>
        <w:rPr>
          <w:rFonts w:hint="eastAsia" w:ascii="微软雅黑" w:hAnsi="微软雅黑" w:eastAsia="微软雅黑" w:cs="微软雅黑"/>
          <w:b w:val="0"/>
          <w:i w:val="0"/>
          <w:caps w:val="0"/>
          <w:color w:val="auto"/>
          <w:spacing w:val="0"/>
          <w:w w:val="100"/>
          <w:kern w:val="0"/>
          <w:sz w:val="24"/>
          <w:highlight w:val="none"/>
          <w:lang w:eastAsia="zh-CN"/>
        </w:rPr>
        <w:t>。</w:t>
      </w:r>
    </w:p>
    <w:p>
      <w:pPr>
        <w:shd w:val="clear"/>
        <w:tabs>
          <w:tab w:val="left" w:pos="5580"/>
        </w:tabs>
        <w:snapToGrid w:val="0"/>
        <w:spacing w:before="0" w:beforeAutospacing="0" w:after="0" w:afterAutospacing="0" w:line="360" w:lineRule="exact"/>
        <w:ind w:left="1" w:firstLine="559" w:firstLineChars="233"/>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35"/>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20" w:firstLineChars="200"/>
        <w:jc w:val="both"/>
        <w:textAlignment w:val="baseline"/>
        <w:rPr>
          <w:rFonts w:hint="eastAsia" w:ascii="微软雅黑" w:hAnsi="微软雅黑" w:eastAsia="微软雅黑" w:cs="微软雅黑"/>
          <w:b/>
          <w:bCs/>
          <w:i w:val="0"/>
          <w:caps w:val="0"/>
          <w:color w:val="auto"/>
          <w:spacing w:val="0"/>
          <w:w w:val="100"/>
          <w:sz w:val="21"/>
          <w:highlight w:val="none"/>
          <w:lang w:val="en-US" w:eastAsia="zh-CN"/>
        </w:rPr>
      </w:pPr>
      <w:r>
        <w:rPr>
          <w:rFonts w:hint="eastAsia" w:ascii="微软雅黑" w:hAnsi="微软雅黑" w:eastAsia="微软雅黑" w:cs="微软雅黑"/>
          <w:b/>
          <w:bCs/>
          <w:i w:val="0"/>
          <w:caps w:val="0"/>
          <w:color w:val="auto"/>
          <w:spacing w:val="0"/>
          <w:w w:val="100"/>
          <w:sz w:val="21"/>
          <w:highlight w:val="none"/>
          <w:lang w:val="en-US" w:eastAsia="zh-CN"/>
        </w:rPr>
        <w:t>各供应商应注意以下事项：</w:t>
      </w:r>
    </w:p>
    <w:p>
      <w:pPr>
        <w:pStyle w:val="35"/>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20" w:firstLineChars="200"/>
        <w:jc w:val="both"/>
        <w:textAlignment w:val="baseline"/>
        <w:rPr>
          <w:rFonts w:hint="eastAsia" w:ascii="微软雅黑" w:hAnsi="微软雅黑" w:eastAsia="微软雅黑" w:cs="微软雅黑"/>
          <w:b/>
          <w:bCs/>
          <w:i w:val="0"/>
          <w:caps w:val="0"/>
          <w:color w:val="auto"/>
          <w:spacing w:val="0"/>
          <w:w w:val="100"/>
          <w:sz w:val="21"/>
          <w:highlight w:val="none"/>
          <w:lang w:val="en-US" w:eastAsia="zh-CN"/>
        </w:rPr>
      </w:pPr>
      <w:r>
        <w:rPr>
          <w:rFonts w:hint="eastAsia" w:ascii="微软雅黑" w:hAnsi="微软雅黑" w:eastAsia="微软雅黑" w:cs="微软雅黑"/>
          <w:b/>
          <w:bCs/>
          <w:i w:val="0"/>
          <w:caps w:val="0"/>
          <w:color w:val="auto"/>
          <w:spacing w:val="0"/>
          <w:w w:val="100"/>
          <w:sz w:val="21"/>
          <w:highlight w:val="none"/>
          <w:lang w:val="en-US" w:eastAsia="zh-CN"/>
        </w:rPr>
        <w:t>A：本项目要求各投标供应商提供税务部门出具的近6个月任意一个月的完税证明，若供应商某月税收为零申报，须提供加盖税务局公章的无欠税证明或申报成功网页截图（供应商可自主登录“国家税务总局电子税务局”12366.chinatax.gov.cn/bsfw/onlinetaxation/main——税费申报及缴纳——申报结果查询）。</w:t>
      </w:r>
    </w:p>
    <w:p>
      <w:pPr>
        <w:pStyle w:val="35"/>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20" w:firstLineChars="200"/>
        <w:jc w:val="both"/>
        <w:textAlignment w:val="baseline"/>
        <w:rPr>
          <w:rFonts w:hint="eastAsia" w:ascii="微软雅黑" w:hAnsi="微软雅黑" w:eastAsia="微软雅黑" w:cs="微软雅黑"/>
          <w:b/>
          <w:bCs/>
          <w:i w:val="0"/>
          <w:caps w:val="0"/>
          <w:color w:val="auto"/>
          <w:spacing w:val="0"/>
          <w:w w:val="100"/>
          <w:sz w:val="21"/>
          <w:highlight w:val="none"/>
          <w:lang w:val="en-US" w:eastAsia="zh-CN"/>
        </w:rPr>
      </w:pPr>
      <w:r>
        <w:rPr>
          <w:rFonts w:hint="eastAsia" w:ascii="微软雅黑" w:hAnsi="微软雅黑" w:eastAsia="微软雅黑" w:cs="微软雅黑"/>
          <w:b/>
          <w:bCs/>
          <w:i w:val="0"/>
          <w:caps w:val="0"/>
          <w:color w:val="auto"/>
          <w:spacing w:val="0"/>
          <w:w w:val="100"/>
          <w:sz w:val="21"/>
          <w:highlight w:val="none"/>
          <w:lang w:val="en-US" w:eastAsia="zh-CN"/>
        </w:rPr>
        <w:t>B：税务局代收的社保缴费证明不可作为本项目的完税证明（“税种”不可为养老保险、医疗保险、失业保险、工伤保险和生育保险）。</w:t>
      </w:r>
    </w:p>
    <w:p>
      <w:pPr>
        <w:pStyle w:val="35"/>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20" w:firstLineChars="200"/>
        <w:jc w:val="both"/>
        <w:textAlignment w:val="baseline"/>
        <w:rPr>
          <w:rFonts w:hint="eastAsia" w:ascii="微软雅黑" w:hAnsi="微软雅黑" w:eastAsia="微软雅黑" w:cs="微软雅黑"/>
          <w:b/>
          <w:bCs/>
          <w:i w:val="0"/>
          <w:caps w:val="0"/>
          <w:color w:val="auto"/>
          <w:spacing w:val="0"/>
          <w:w w:val="100"/>
          <w:sz w:val="21"/>
          <w:highlight w:val="none"/>
          <w:lang w:val="en-US" w:eastAsia="zh-CN"/>
        </w:rPr>
      </w:pPr>
    </w:p>
    <w:p>
      <w:pPr>
        <w:pStyle w:val="6"/>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24"/>
          <w:szCs w:val="24"/>
          <w:highlight w:val="none"/>
        </w:rPr>
      </w:pPr>
      <w:bookmarkStart w:id="657" w:name="_Toc11138"/>
      <w:bookmarkStart w:id="658" w:name="_Toc16568"/>
      <w:bookmarkStart w:id="659" w:name="_Toc16750"/>
      <w:bookmarkStart w:id="660" w:name="_Toc2363"/>
      <w:bookmarkStart w:id="661" w:name="_Toc22539"/>
      <w:bookmarkStart w:id="662" w:name="_Toc18477"/>
      <w:bookmarkStart w:id="663" w:name="_Toc14118"/>
      <w:bookmarkStart w:id="664" w:name="_Toc21484"/>
      <w:bookmarkStart w:id="665" w:name="_Toc30524"/>
      <w:bookmarkStart w:id="666" w:name="_Toc26846"/>
      <w:bookmarkStart w:id="667" w:name="_Toc3620"/>
      <w:bookmarkStart w:id="668" w:name="_Toc21614"/>
      <w:bookmarkStart w:id="669" w:name="_Toc515647804"/>
      <w:bookmarkStart w:id="670" w:name="_Toc4431"/>
      <w:bookmarkStart w:id="671" w:name="_Toc17198"/>
      <w:bookmarkStart w:id="672" w:name="_Toc31089"/>
      <w:bookmarkStart w:id="673" w:name="_Toc30630"/>
      <w:bookmarkStart w:id="674" w:name="_Toc480942349"/>
      <w:bookmarkStart w:id="675" w:name="_Ref467988698"/>
      <w:bookmarkStart w:id="676" w:name="_Toc520356217"/>
      <w:bookmarkStart w:id="677" w:name="_Toc216582813"/>
      <w:r>
        <w:rPr>
          <w:rFonts w:hint="eastAsia" w:ascii="微软雅黑" w:hAnsi="微软雅黑" w:eastAsia="微软雅黑" w:cs="微软雅黑"/>
          <w:b/>
          <w:i w:val="0"/>
          <w:caps w:val="0"/>
          <w:color w:val="auto"/>
          <w:spacing w:val="0"/>
          <w:w w:val="100"/>
          <w:sz w:val="24"/>
          <w:szCs w:val="24"/>
          <w:highlight w:val="none"/>
        </w:rPr>
        <w:t>1</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磋商报价一览表</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pStyle w:val="3"/>
        <w:shd w:val="clear"/>
        <w:tabs>
          <w:tab w:val="left" w:pos="5580"/>
        </w:tabs>
        <w:snapToGrid w:val="0"/>
        <w:spacing w:before="0" w:beforeAutospacing="0" w:after="0" w:afterAutospacing="0" w:line="240" w:lineRule="atLeast"/>
        <w:ind w:left="0" w:leftChars="0" w:firstLine="0" w:firstLineChars="0"/>
        <w:jc w:val="center"/>
        <w:textAlignment w:val="baseline"/>
        <w:rPr>
          <w:rFonts w:hint="eastAsia" w:ascii="微软雅黑" w:hAnsi="微软雅黑" w:eastAsia="微软雅黑" w:cs="微软雅黑"/>
          <w:b w:val="0"/>
          <w:i w:val="0"/>
          <w:caps w:val="0"/>
          <w:color w:val="auto"/>
          <w:spacing w:val="0"/>
          <w:w w:val="100"/>
          <w:sz w:val="24"/>
          <w:szCs w:val="24"/>
          <w:highlight w:val="none"/>
        </w:rPr>
      </w:pPr>
      <w:bookmarkStart w:id="678" w:name="_Hlt520356241"/>
      <w:bookmarkEnd w:id="678"/>
      <w:r>
        <w:rPr>
          <w:rFonts w:hint="eastAsia" w:ascii="微软雅黑" w:hAnsi="微软雅黑" w:eastAsia="微软雅黑" w:cs="微软雅黑"/>
          <w:b/>
          <w:i w:val="0"/>
          <w:caps w:val="0"/>
          <w:color w:val="auto"/>
          <w:spacing w:val="0"/>
          <w:w w:val="100"/>
          <w:sz w:val="24"/>
          <w:szCs w:val="24"/>
          <w:highlight w:val="none"/>
        </w:rPr>
        <w:t>磋商报价一览表</w:t>
      </w:r>
    </w:p>
    <w:p>
      <w:pPr>
        <w:shd w:val="clear"/>
        <w:tabs>
          <w:tab w:val="left" w:pos="1800"/>
          <w:tab w:val="left" w:pos="5580"/>
        </w:tabs>
        <w:snapToGrid w:val="0"/>
        <w:spacing w:before="0" w:beforeAutospacing="0" w:after="0" w:afterAutospacing="0" w:line="240" w:lineRule="atLeast"/>
        <w:ind w:left="1080" w:leftChars="257" w:right="-86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项目名称：　                  </w:t>
      </w:r>
      <w:r>
        <w:rPr>
          <w:rFonts w:hint="eastAsia" w:ascii="微软雅黑" w:hAnsi="微软雅黑" w:eastAsia="微软雅黑" w:cs="微软雅黑"/>
          <w:b w:val="0"/>
          <w:i w:val="0"/>
          <w:caps w:val="0"/>
          <w:color w:val="auto"/>
          <w:spacing w:val="0"/>
          <w:w w:val="100"/>
          <w:sz w:val="24"/>
          <w:highlight w:val="none"/>
          <w:lang w:val="en-US" w:eastAsia="zh-CN"/>
        </w:rPr>
        <w:t>项目</w:t>
      </w:r>
      <w:r>
        <w:rPr>
          <w:rFonts w:hint="eastAsia" w:ascii="微软雅黑" w:hAnsi="微软雅黑" w:eastAsia="微软雅黑" w:cs="微软雅黑"/>
          <w:b w:val="0"/>
          <w:i w:val="0"/>
          <w:caps w:val="0"/>
          <w:color w:val="auto"/>
          <w:spacing w:val="0"/>
          <w:w w:val="100"/>
          <w:sz w:val="24"/>
          <w:highlight w:val="none"/>
        </w:rPr>
        <w:t xml:space="preserve">编号：                 包号：         </w:t>
      </w:r>
    </w:p>
    <w:p>
      <w:pPr>
        <w:shd w:val="clear"/>
        <w:tabs>
          <w:tab w:val="left" w:pos="1800"/>
          <w:tab w:val="left" w:pos="5580"/>
        </w:tabs>
        <w:snapToGrid w:val="0"/>
        <w:spacing w:before="0" w:beforeAutospacing="0" w:after="0" w:afterAutospacing="0" w:line="240" w:lineRule="atLeast"/>
        <w:ind w:left="1080" w:leftChars="257" w:right="-86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报价单位：人民币  </w:t>
      </w:r>
      <w:r>
        <w:rPr>
          <w:rFonts w:hint="eastAsia" w:ascii="微软雅黑" w:hAnsi="微软雅黑" w:eastAsia="微软雅黑" w:cs="微软雅黑"/>
          <w:b/>
          <w:i w:val="0"/>
          <w:caps w:val="0"/>
          <w:color w:val="auto"/>
          <w:spacing w:val="0"/>
          <w:w w:val="100"/>
          <w:sz w:val="24"/>
          <w:highlight w:val="none"/>
        </w:rPr>
        <w:t>元</w:t>
      </w:r>
    </w:p>
    <w:tbl>
      <w:tblPr>
        <w:tblStyle w:val="36"/>
        <w:tblW w:w="9449" w:type="dxa"/>
        <w:tblInd w:w="-4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20"/>
        <w:gridCol w:w="2083"/>
        <w:gridCol w:w="1430"/>
        <w:gridCol w:w="1159"/>
        <w:gridCol w:w="1350"/>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trPr>
        <w:tc>
          <w:tcPr>
            <w:tcW w:w="1720" w:type="dxa"/>
            <w:vAlign w:val="center"/>
          </w:tcPr>
          <w:p>
            <w:pPr>
              <w:shd w:val="clear"/>
              <w:tabs>
                <w:tab w:val="left" w:pos="5580"/>
              </w:tabs>
              <w:snapToGrid w:val="0"/>
              <w:spacing w:before="0" w:beforeAutospacing="0" w:after="0" w:afterAutospacing="0" w:line="240" w:lineRule="atLeast"/>
              <w:ind w:right="-199"/>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服务</w:t>
            </w:r>
            <w:r>
              <w:rPr>
                <w:rFonts w:hint="eastAsia" w:ascii="微软雅黑" w:hAnsi="微软雅黑" w:eastAsia="微软雅黑" w:cs="微软雅黑"/>
                <w:b w:val="0"/>
                <w:i w:val="0"/>
                <w:caps w:val="0"/>
                <w:color w:val="auto"/>
                <w:spacing w:val="0"/>
                <w:w w:val="100"/>
                <w:sz w:val="24"/>
                <w:highlight w:val="none"/>
              </w:rPr>
              <w:t>名称</w:t>
            </w:r>
          </w:p>
        </w:tc>
        <w:tc>
          <w:tcPr>
            <w:tcW w:w="2083"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磋商总价</w:t>
            </w:r>
          </w:p>
        </w:tc>
        <w:tc>
          <w:tcPr>
            <w:tcW w:w="1430"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磋商保证金</w:t>
            </w:r>
          </w:p>
        </w:tc>
        <w:tc>
          <w:tcPr>
            <w:tcW w:w="1159"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供货时间</w:t>
            </w:r>
          </w:p>
        </w:tc>
        <w:tc>
          <w:tcPr>
            <w:tcW w:w="1350"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highlight w:val="none"/>
                <w:lang w:val="en-US" w:eastAsia="zh-CN"/>
              </w:rPr>
              <w:t>供货地点</w:t>
            </w:r>
          </w:p>
        </w:tc>
        <w:tc>
          <w:tcPr>
            <w:tcW w:w="1707"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6" w:hRule="atLeast"/>
        </w:trPr>
        <w:tc>
          <w:tcPr>
            <w:tcW w:w="1720"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c>
          <w:tcPr>
            <w:tcW w:w="2083" w:type="dxa"/>
            <w:vAlign w:val="center"/>
          </w:tcPr>
          <w:p>
            <w:pPr>
              <w:shd w:val="clear"/>
              <w:tabs>
                <w:tab w:val="left" w:pos="5580"/>
              </w:tabs>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大写：</w:t>
            </w:r>
          </w:p>
          <w:p>
            <w:pPr>
              <w:shd w:val="clear"/>
              <w:tabs>
                <w:tab w:val="left" w:pos="5580"/>
              </w:tabs>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小写：</w:t>
            </w:r>
          </w:p>
        </w:tc>
        <w:tc>
          <w:tcPr>
            <w:tcW w:w="1430"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c>
          <w:tcPr>
            <w:tcW w:w="1159"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c>
          <w:tcPr>
            <w:tcW w:w="1350"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c>
          <w:tcPr>
            <w:tcW w:w="1707"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r>
    </w:tbl>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供应商名称（公章）：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法定代表人或委托代理(签字):</w:t>
      </w:r>
      <w:r>
        <w:rPr>
          <w:rFonts w:hint="eastAsia" w:ascii="微软雅黑" w:hAnsi="微软雅黑" w:eastAsia="微软雅黑" w:cs="微软雅黑"/>
          <w:b w:val="0"/>
          <w:i w:val="0"/>
          <w:caps w:val="0"/>
          <w:color w:val="auto"/>
          <w:spacing w:val="0"/>
          <w:w w:val="100"/>
          <w:sz w:val="24"/>
          <w:szCs w:val="24"/>
          <w:highlight w:val="none"/>
          <w:u w:val="single" w:color="000000"/>
        </w:rPr>
        <w:tab/>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注: 1、此表应按供应商须知的规定装订密封。</w:t>
      </w:r>
    </w:p>
    <w:p>
      <w:pPr>
        <w:pStyle w:val="16"/>
        <w:numPr>
          <w:ilvl w:val="0"/>
          <w:numId w:val="6"/>
        </w:numPr>
        <w:shd w:val="clear"/>
        <w:tabs>
          <w:tab w:val="left" w:pos="5580"/>
        </w:tabs>
        <w:snapToGrid w:val="0"/>
        <w:spacing w:before="0" w:beforeAutospacing="0" w:after="0" w:afterAutospacing="0" w:line="240" w:lineRule="atLeast"/>
        <w:ind w:left="1079" w:leftChars="428" w:hangingChars="75"/>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此表中，磋商总价应和磋商分项报价表的总价相一致。</w:t>
      </w:r>
    </w:p>
    <w:p>
      <w:pPr>
        <w:pStyle w:val="16"/>
        <w:numPr>
          <w:ilvl w:val="0"/>
          <w:numId w:val="6"/>
        </w:numPr>
        <w:shd w:val="clear"/>
        <w:tabs>
          <w:tab w:val="left" w:pos="5580"/>
        </w:tabs>
        <w:snapToGrid w:val="0"/>
        <w:spacing w:before="0" w:beforeAutospacing="0" w:after="0" w:afterAutospacing="0" w:line="240" w:lineRule="atLeast"/>
        <w:ind w:left="1079" w:leftChars="428" w:hangingChars="75"/>
        <w:jc w:val="both"/>
        <w:textAlignment w:val="baseline"/>
        <w:rPr>
          <w:rFonts w:hint="eastAsia" w:ascii="微软雅黑" w:hAnsi="微软雅黑" w:eastAsia="微软雅黑" w:cs="微软雅黑"/>
          <w:b/>
          <w:bCs/>
          <w:i w:val="0"/>
          <w:caps w:val="0"/>
          <w:color w:val="auto"/>
          <w:spacing w:val="0"/>
          <w:w w:val="100"/>
          <w:sz w:val="24"/>
          <w:szCs w:val="24"/>
          <w:highlight w:val="none"/>
        </w:rPr>
      </w:pPr>
      <w:r>
        <w:rPr>
          <w:rFonts w:hint="eastAsia" w:ascii="微软雅黑" w:hAnsi="微软雅黑" w:eastAsia="微软雅黑" w:cs="微软雅黑"/>
          <w:b/>
          <w:bCs/>
          <w:i w:val="0"/>
          <w:caps w:val="0"/>
          <w:color w:val="auto"/>
          <w:spacing w:val="0"/>
          <w:w w:val="100"/>
          <w:sz w:val="24"/>
          <w:szCs w:val="24"/>
          <w:highlight w:val="none"/>
        </w:rPr>
        <w:t>磋商报价时包含税费</w:t>
      </w:r>
      <w:r>
        <w:rPr>
          <w:rFonts w:hint="eastAsia" w:ascii="微软雅黑" w:hAnsi="微软雅黑" w:eastAsia="微软雅黑" w:cs="微软雅黑"/>
          <w:b/>
          <w:bCs/>
          <w:i w:val="0"/>
          <w:caps w:val="0"/>
          <w:color w:val="auto"/>
          <w:spacing w:val="0"/>
          <w:w w:val="100"/>
          <w:sz w:val="24"/>
          <w:szCs w:val="24"/>
          <w:highlight w:val="none"/>
          <w:lang w:eastAsia="zh-CN"/>
        </w:rPr>
        <w:t>、</w:t>
      </w:r>
      <w:r>
        <w:rPr>
          <w:rFonts w:hint="eastAsia" w:ascii="微软雅黑" w:hAnsi="微软雅黑" w:eastAsia="微软雅黑" w:cs="微软雅黑"/>
          <w:b/>
          <w:bCs/>
          <w:i w:val="0"/>
          <w:caps w:val="0"/>
          <w:color w:val="auto"/>
          <w:spacing w:val="0"/>
          <w:w w:val="100"/>
          <w:sz w:val="24"/>
          <w:szCs w:val="24"/>
          <w:highlight w:val="none"/>
          <w:lang w:val="en-US" w:eastAsia="zh-CN"/>
        </w:rPr>
        <w:t>安装调试</w:t>
      </w:r>
      <w:r>
        <w:rPr>
          <w:rFonts w:hint="eastAsia" w:ascii="微软雅黑" w:hAnsi="微软雅黑" w:eastAsia="微软雅黑" w:cs="微软雅黑"/>
          <w:b/>
          <w:bCs/>
          <w:i w:val="0"/>
          <w:caps w:val="0"/>
          <w:color w:val="auto"/>
          <w:spacing w:val="0"/>
          <w:w w:val="100"/>
          <w:sz w:val="24"/>
          <w:szCs w:val="24"/>
          <w:highlight w:val="none"/>
        </w:rPr>
        <w:t>等一切与本次项目相关的费用。</w:t>
      </w: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24"/>
          <w:szCs w:val="24"/>
          <w:highlight w:val="none"/>
        </w:rPr>
      </w:pPr>
    </w:p>
    <w:p>
      <w:pPr>
        <w:pStyle w:val="25"/>
        <w:shd w:val="clear"/>
        <w:snapToGrid w:val="0"/>
        <w:spacing w:before="0" w:beforeAutospacing="0" w:after="0" w:afterAutospacing="0" w:line="240" w:lineRule="auto"/>
        <w:jc w:val="left"/>
        <w:textAlignment w:val="baseline"/>
        <w:rPr>
          <w:rFonts w:hint="eastAsia" w:ascii="微软雅黑" w:hAnsi="微软雅黑" w:eastAsia="微软雅黑" w:cs="微软雅黑"/>
          <w:b w:val="0"/>
          <w:i w:val="0"/>
          <w:caps w:val="0"/>
          <w:color w:val="auto"/>
          <w:spacing w:val="0"/>
          <w:w w:val="100"/>
          <w:sz w:val="18"/>
          <w:highlight w:val="none"/>
        </w:rPr>
      </w:pPr>
      <w:bookmarkStart w:id="679" w:name="_Toc16088"/>
      <w:bookmarkStart w:id="680" w:name="_Toc22089"/>
      <w:bookmarkStart w:id="681" w:name="_Toc8241"/>
      <w:bookmarkStart w:id="682" w:name="_Toc16516"/>
    </w:p>
    <w:p>
      <w:pPr>
        <w:pStyle w:val="25"/>
        <w:shd w:val="clear"/>
        <w:snapToGrid w:val="0"/>
        <w:spacing w:before="0" w:beforeAutospacing="0" w:after="0" w:afterAutospacing="0" w:line="240" w:lineRule="auto"/>
        <w:jc w:val="left"/>
        <w:textAlignment w:val="baseline"/>
        <w:rPr>
          <w:rFonts w:hint="eastAsia" w:ascii="微软雅黑" w:hAnsi="微软雅黑" w:eastAsia="微软雅黑" w:cs="微软雅黑"/>
          <w:b w:val="0"/>
          <w:i w:val="0"/>
          <w:caps w:val="0"/>
          <w:color w:val="auto"/>
          <w:spacing w:val="0"/>
          <w:w w:val="100"/>
          <w:sz w:val="18"/>
          <w:highlight w:val="none"/>
        </w:rPr>
      </w:pPr>
    </w:p>
    <w:p>
      <w:pPr>
        <w:pStyle w:val="25"/>
        <w:shd w:val="clear"/>
        <w:snapToGrid w:val="0"/>
        <w:spacing w:before="0" w:beforeAutospacing="0" w:after="0" w:afterAutospacing="0" w:line="240" w:lineRule="auto"/>
        <w:jc w:val="left"/>
        <w:textAlignment w:val="baseline"/>
        <w:rPr>
          <w:rFonts w:hint="eastAsia" w:ascii="微软雅黑" w:hAnsi="微软雅黑" w:eastAsia="微软雅黑" w:cs="微软雅黑"/>
          <w:b w:val="0"/>
          <w:i w:val="0"/>
          <w:caps w:val="0"/>
          <w:color w:val="auto"/>
          <w:spacing w:val="0"/>
          <w:w w:val="100"/>
          <w:sz w:val="18"/>
          <w:highlight w:val="none"/>
        </w:rPr>
      </w:pPr>
    </w:p>
    <w:p>
      <w:pPr>
        <w:shd w:val="clear"/>
        <w:snapToGrid w:val="0"/>
        <w:spacing w:before="0" w:beforeAutospacing="0" w:after="0" w:afterAutospacing="0" w:line="460" w:lineRule="exact"/>
        <w:jc w:val="both"/>
        <w:textAlignment w:val="baseline"/>
        <w:outlineLvl w:val="1"/>
        <w:rPr>
          <w:rFonts w:hint="eastAsia" w:ascii="微软雅黑" w:hAnsi="微软雅黑" w:eastAsia="微软雅黑" w:cs="微软雅黑"/>
          <w:b w:val="0"/>
          <w:i w:val="0"/>
          <w:caps w:val="0"/>
          <w:color w:val="auto"/>
          <w:spacing w:val="0"/>
          <w:w w:val="100"/>
          <w:sz w:val="24"/>
          <w:highlight w:val="none"/>
          <w:lang w:eastAsia="zh-CN"/>
        </w:rPr>
      </w:pPr>
      <w:bookmarkStart w:id="683" w:name="_Toc2211"/>
      <w:r>
        <w:rPr>
          <w:rFonts w:hint="eastAsia" w:ascii="微软雅黑" w:hAnsi="微软雅黑" w:eastAsia="微软雅黑" w:cs="微软雅黑"/>
          <w:b/>
          <w:i w:val="0"/>
          <w:caps w:val="0"/>
          <w:color w:val="auto"/>
          <w:spacing w:val="0"/>
          <w:w w:val="100"/>
          <w:kern w:val="0"/>
          <w:sz w:val="24"/>
          <w:highlight w:val="none"/>
        </w:rPr>
        <w:t>2</w:t>
      </w:r>
      <w:bookmarkEnd w:id="679"/>
      <w:bookmarkEnd w:id="680"/>
      <w:bookmarkEnd w:id="681"/>
      <w:bookmarkEnd w:id="682"/>
      <w:r>
        <w:rPr>
          <w:rFonts w:hint="eastAsia" w:ascii="微软雅黑" w:hAnsi="微软雅黑" w:eastAsia="微软雅黑" w:cs="微软雅黑"/>
          <w:b/>
          <w:i w:val="0"/>
          <w:caps w:val="0"/>
          <w:color w:val="auto"/>
          <w:spacing w:val="0"/>
          <w:w w:val="100"/>
          <w:kern w:val="0"/>
          <w:sz w:val="24"/>
          <w:highlight w:val="none"/>
          <w:lang w:eastAsia="zh-CN"/>
        </w:rPr>
        <w:t>、提供具有有效的独立法人营业执照；</w:t>
      </w:r>
      <w:bookmarkEnd w:id="683"/>
    </w:p>
    <w:p>
      <w:pPr>
        <w:pStyle w:val="4"/>
        <w:shd w:val="clear"/>
        <w:snapToGrid w:val="0"/>
        <w:spacing w:before="12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0"/>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4"/>
        <w:shd w:val="clear"/>
        <w:snapToGrid w:val="0"/>
        <w:spacing w:before="120" w:beforeAutospacing="0" w:after="0" w:afterAutospacing="0" w:line="240" w:lineRule="auto"/>
        <w:jc w:val="both"/>
        <w:textAlignment w:val="baseline"/>
        <w:outlineLvl w:val="1"/>
        <w:rPr>
          <w:rFonts w:hint="eastAsia" w:ascii="微软雅黑" w:hAnsi="微软雅黑" w:eastAsia="微软雅黑" w:cs="微软雅黑"/>
          <w:b w:val="0"/>
          <w:i w:val="0"/>
          <w:caps w:val="0"/>
          <w:color w:val="auto"/>
          <w:spacing w:val="0"/>
          <w:w w:val="100"/>
          <w:sz w:val="24"/>
          <w:highlight w:val="none"/>
        </w:rPr>
      </w:pPr>
      <w:bookmarkStart w:id="684" w:name="_Toc24448"/>
      <w:r>
        <w:rPr>
          <w:rFonts w:hint="eastAsia" w:ascii="微软雅黑" w:hAnsi="微软雅黑" w:eastAsia="微软雅黑" w:cs="微软雅黑"/>
          <w:b/>
          <w:i w:val="0"/>
          <w:caps w:val="0"/>
          <w:color w:val="auto"/>
          <w:spacing w:val="0"/>
          <w:w w:val="100"/>
          <w:sz w:val="24"/>
          <w:highlight w:val="none"/>
        </w:rPr>
        <w:t>3</w:t>
      </w:r>
      <w:r>
        <w:rPr>
          <w:rFonts w:hint="eastAsia" w:ascii="微软雅黑" w:hAnsi="微软雅黑" w:eastAsia="微软雅黑" w:cs="微软雅黑"/>
          <w:b/>
          <w:i w:val="0"/>
          <w:caps w:val="0"/>
          <w:color w:val="auto"/>
          <w:spacing w:val="0"/>
          <w:w w:val="100"/>
          <w:sz w:val="24"/>
          <w:highlight w:val="none"/>
          <w:lang w:eastAsia="zh-CN"/>
        </w:rPr>
        <w:t>、</w:t>
      </w:r>
      <w:r>
        <w:rPr>
          <w:rFonts w:hint="eastAsia" w:ascii="微软雅黑" w:hAnsi="微软雅黑" w:eastAsia="微软雅黑" w:cs="微软雅黑"/>
          <w:b/>
          <w:i w:val="0"/>
          <w:caps w:val="0"/>
          <w:color w:val="auto"/>
          <w:spacing w:val="0"/>
          <w:w w:val="100"/>
          <w:sz w:val="24"/>
          <w:highlight w:val="none"/>
        </w:rPr>
        <w:t>提供法人代表资格证明及授权书、被授权人身份证；(法人投标需提供法人身份证)</w:t>
      </w:r>
      <w:bookmarkEnd w:id="684"/>
    </w:p>
    <w:p>
      <w:pPr>
        <w:shd w:val="clear"/>
        <w:snapToGrid w:val="0"/>
        <w:spacing w:before="312" w:beforeAutospacing="0" w:after="312"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rPr>
        <w:t>法定代表人身份证明</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同志，现任我单位          职务，为法定代表人，特此证明。</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签发日期：                  单位：         </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附：代表人性别：            年龄：           身份证号码：</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联系电话：</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营业执照号码：              经济性质：</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说明：</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1、法定代表人为企业事业单位、国家机关、社会团体的主要行政负责人。</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2、内容必须填写真实、清楚、涂改无效，不得转让。</w:t>
      </w:r>
    </w:p>
    <w:p>
      <w:pPr>
        <w:shd w:val="clear"/>
        <w:snapToGrid w:val="0"/>
        <w:spacing w:before="0" w:beforeAutospacing="0" w:after="0" w:afterAutospacing="0" w:line="240" w:lineRule="auto"/>
        <w:ind w:firstLine="240" w:firstLineChars="100"/>
        <w:jc w:val="both"/>
        <w:textAlignment w:val="baseline"/>
        <w:rPr>
          <w:rFonts w:hint="default" w:ascii="微软雅黑" w:hAnsi="微软雅黑" w:eastAsia="微软雅黑" w:cs="微软雅黑"/>
          <w:b/>
          <w:bCs/>
          <w:i w:val="0"/>
          <w:caps w:val="0"/>
          <w:color w:val="auto"/>
          <w:spacing w:val="0"/>
          <w:w w:val="100"/>
          <w:sz w:val="24"/>
          <w:highlight w:val="none"/>
          <w:lang w:val="en-US" w:eastAsia="zh-CN"/>
        </w:rPr>
      </w:pPr>
      <w:r>
        <w:rPr>
          <w:rFonts w:hint="eastAsia" w:ascii="微软雅黑" w:hAnsi="微软雅黑" w:eastAsia="微软雅黑" w:cs="微软雅黑"/>
          <w:b/>
          <w:bCs/>
          <w:i w:val="0"/>
          <w:caps w:val="0"/>
          <w:color w:val="auto"/>
          <w:spacing w:val="0"/>
          <w:w w:val="100"/>
          <w:sz w:val="24"/>
          <w:highlight w:val="none"/>
        </w:rPr>
        <w:t>3、</w:t>
      </w:r>
      <w:r>
        <w:rPr>
          <w:rFonts w:hint="eastAsia" w:ascii="微软雅黑" w:hAnsi="微软雅黑" w:eastAsia="微软雅黑" w:cs="微软雅黑"/>
          <w:b/>
          <w:bCs/>
          <w:i w:val="0"/>
          <w:caps w:val="0"/>
          <w:color w:val="auto"/>
          <w:spacing w:val="0"/>
          <w:w w:val="100"/>
          <w:sz w:val="24"/>
          <w:highlight w:val="none"/>
          <w:lang w:val="en-US" w:eastAsia="zh-CN"/>
        </w:rPr>
        <w:t>提供身份证正反面。</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mc:AlternateContent>
          <mc:Choice Requires="wps">
            <w:drawing>
              <wp:anchor distT="0" distB="0" distL="114300" distR="114300" simplePos="0" relativeHeight="251660288" behindDoc="0" locked="0" layoutInCell="1" allowOverlap="1">
                <wp:simplePos x="0" y="0"/>
                <wp:positionH relativeFrom="column">
                  <wp:posOffset>154305</wp:posOffset>
                </wp:positionH>
                <wp:positionV relativeFrom="paragraph">
                  <wp:posOffset>10795</wp:posOffset>
                </wp:positionV>
                <wp:extent cx="2114550" cy="1375410"/>
                <wp:effectExtent l="4445" t="4445" r="14605" b="10795"/>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12.15pt;margin-top:0.85pt;height:108.3pt;width:166.5pt;z-index:251660288;mso-width-relative:page;mso-height-relative:page;" fillcolor="#FFFFFF" filled="t" stroked="t" coordsize="21600,21600" o:gfxdata="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mdeJ/VAAAACAEAAA8AAAAAAAAAAQAgAAAAIgAAAGRycy9kb3ducmV2LnhtbFBLAQIU&#10;ABQAAAAIAIdO4kCBPmRDLwIAAGAEAAAOAAAAAAAAAAEAIAAAACQBAABkcnMvZTJvRG9jLnhtbFBL&#10;BQYAAAAABgAGAFkBAADF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r>
        <w:rPr>
          <w:rFonts w:hint="eastAsia" w:ascii="微软雅黑" w:hAnsi="微软雅黑" w:eastAsia="微软雅黑" w:cs="微软雅黑"/>
          <w:b w:val="0"/>
          <w:i w:val="0"/>
          <w:caps w:val="0"/>
          <w:color w:val="auto"/>
          <w:spacing w:val="0"/>
          <w:w w:val="100"/>
          <w:sz w:val="24"/>
          <w:highlight w:val="none"/>
        </w:rPr>
        <mc:AlternateContent>
          <mc:Choice Requires="wps">
            <w:drawing>
              <wp:anchor distT="0" distB="0" distL="114300" distR="114300" simplePos="0" relativeHeight="251661312" behindDoc="0" locked="0" layoutInCell="1" allowOverlap="1">
                <wp:simplePos x="0" y="0"/>
                <wp:positionH relativeFrom="column">
                  <wp:posOffset>2918460</wp:posOffset>
                </wp:positionH>
                <wp:positionV relativeFrom="paragraph">
                  <wp:posOffset>28575</wp:posOffset>
                </wp:positionV>
                <wp:extent cx="2077085" cy="1385570"/>
                <wp:effectExtent l="7620" t="7620" r="10795" b="16510"/>
                <wp:wrapNone/>
                <wp:docPr id="18" name="圆角矩形 18"/>
                <wp:cNvGraphicFramePr/>
                <a:graphic xmlns:a="http://schemas.openxmlformats.org/drawingml/2006/main">
                  <a:graphicData uri="http://schemas.microsoft.com/office/word/2010/wordprocessingShape">
                    <wps:wsp>
                      <wps:cNvSpPr/>
                      <wps:spPr>
                        <a:xfrm>
                          <a:off x="0" y="0"/>
                          <a:ext cx="260985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p/>
                          <w:p>
                            <w:pPr>
                              <w:pStyle w:val="3"/>
                            </w:pPr>
                          </w:p>
                          <w:p>
                            <w:pPr>
                              <w:pStyle w:val="3"/>
                            </w:pPr>
                          </w:p>
                          <w:p>
                            <w:pPr>
                              <w:pStyle w:val="3"/>
                            </w:pPr>
                          </w:p>
                          <w:p>
                            <w:pPr>
                              <w:pStyle w:val="3"/>
                            </w:pPr>
                          </w:p>
                        </w:txbxContent>
                      </wps:txbx>
                      <wps:bodyPr upright="1"/>
                    </wps:wsp>
                  </a:graphicData>
                </a:graphic>
              </wp:anchor>
            </w:drawing>
          </mc:Choice>
          <mc:Fallback>
            <w:pict>
              <v:roundrect id="_x0000_s1026" o:spid="_x0000_s1026" o:spt="2" style="position:absolute;left:0pt;margin-left:229.8pt;margin-top:2.25pt;height:109.1pt;width:163.55pt;z-index:251661312;mso-width-relative:page;mso-height-relative:page;" fillcolor="#FFFFFF" filled="t" stroked="t" coordsize="21600,21600" arcsize="0.166666666666667" o:gfxdata="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P3JNnaAAAACQEAAA8AAAAAAAAAAQAgAAAAIgAAAGRycy9kb3ducmV2LnhtbFBL&#10;AQIUABQAAAAIAIdO4kCmKa1aLQIAAGgEAAAOAAAAAAAAAAEAIAAAACkBAABkcnMvZTJvRG9jLnht&#10;bFBLBQYAAAAABgAGAFkBAADIBQAAAAA=&#10;">
                <v:fill on="t" focussize="0,0"/>
                <v:stroke weight="1.25pt" color="#808080" joinstyle="round"/>
                <v:imagedata o:title=""/>
                <o:lock v:ext="edit" aspectratio="f"/>
                <v:textbo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p/>
                    <w:p>
                      <w:pPr>
                        <w:pStyle w:val="3"/>
                      </w:pPr>
                    </w:p>
                    <w:p>
                      <w:pPr>
                        <w:pStyle w:val="3"/>
                      </w:pPr>
                    </w:p>
                    <w:p>
                      <w:pPr>
                        <w:pStyle w:val="3"/>
                      </w:pPr>
                    </w:p>
                    <w:p>
                      <w:pPr>
                        <w:pStyle w:val="3"/>
                      </w:pPr>
                    </w:p>
                  </w:txbxContent>
                </v:textbox>
              </v:roundrect>
            </w:pict>
          </mc:Fallback>
        </mc:AlternateConten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ind w:right="246"/>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ind w:right="246"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供应商（盖章）：                              </w:t>
      </w:r>
    </w:p>
    <w:p>
      <w:pPr>
        <w:shd w:val="clear"/>
        <w:snapToGrid w:val="0"/>
        <w:spacing w:before="0" w:beforeAutospacing="0" w:after="0" w:afterAutospacing="0" w:line="240" w:lineRule="auto"/>
        <w:ind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ind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法定代表人(签/章)： </w:t>
      </w:r>
    </w:p>
    <w:p>
      <w:pPr>
        <w:pStyle w:val="16"/>
        <w:shd w:val="clear"/>
        <w:tabs>
          <w:tab w:val="left" w:pos="5370"/>
        </w:tabs>
        <w:snapToGrid w:val="0"/>
        <w:spacing w:before="0" w:beforeAutospacing="0" w:after="0" w:afterAutospacing="0" w:line="240" w:lineRule="atLeast"/>
        <w:ind w:left="1155" w:leftChars="371" w:hangingChars="15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highlight w:val="none"/>
        </w:rPr>
        <w:t xml:space="preserve"> </w:t>
      </w:r>
    </w:p>
    <w:p>
      <w:pPr>
        <w:shd w:val="clear"/>
        <w:snapToGrid w:val="0"/>
        <w:spacing w:before="0" w:beforeAutospacing="0" w:after="0" w:afterAutospacing="0" w:line="240" w:lineRule="auto"/>
        <w:ind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w:t>
      </w:r>
    </w:p>
    <w:p>
      <w:pPr>
        <w:shd w:val="clear"/>
        <w:snapToGrid w:val="0"/>
        <w:spacing w:before="0" w:beforeAutospacing="0" w:after="0" w:afterAutospacing="0" w:line="240" w:lineRule="auto"/>
        <w:ind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日期：                                       </w:t>
      </w:r>
    </w:p>
    <w:p>
      <w:pPr>
        <w:pStyle w:val="16"/>
        <w:shd w:val="clear"/>
        <w:tabs>
          <w:tab w:val="left" w:pos="5580"/>
        </w:tabs>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说明：1.提供有效的营业执照等证明文件复印件，复印件上应加盖本单位章。</w:t>
      </w:r>
    </w:p>
    <w:p>
      <w:pPr>
        <w:pStyle w:val="16"/>
        <w:shd w:val="clear"/>
        <w:tabs>
          <w:tab w:val="left" w:pos="5580"/>
        </w:tabs>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2. 供应商为自然人的，应提供身份证明的复印件。</w:t>
      </w:r>
    </w:p>
    <w:p>
      <w:pPr>
        <w:pStyle w:val="16"/>
        <w:shd w:val="clear"/>
        <w:tabs>
          <w:tab w:val="left" w:pos="5580"/>
        </w:tabs>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1"/>
          <w:highlight w:val="none"/>
        </w:rPr>
      </w:pPr>
      <w:r>
        <w:rPr>
          <w:rFonts w:hint="eastAsia" w:ascii="微软雅黑" w:hAnsi="微软雅黑" w:eastAsia="微软雅黑" w:cs="微软雅黑"/>
          <w:b w:val="0"/>
          <w:i w:val="0"/>
          <w:caps w:val="0"/>
          <w:color w:val="auto"/>
          <w:spacing w:val="0"/>
          <w:w w:val="100"/>
          <w:sz w:val="24"/>
          <w:szCs w:val="24"/>
          <w:highlight w:val="none"/>
        </w:rPr>
        <w:t xml:space="preserve">  3.联合体磋商应提供联合体各方满足以上要求的证明文件。</w:t>
      </w:r>
      <w:bookmarkStart w:id="685" w:name="_Toc21867"/>
      <w:bookmarkStart w:id="686" w:name="_Toc22472"/>
      <w:bookmarkStart w:id="687" w:name="_Toc1083"/>
      <w:bookmarkStart w:id="688" w:name="_Toc515647807"/>
      <w:bookmarkStart w:id="689" w:name="_Toc5436"/>
      <w:bookmarkStart w:id="690" w:name="_Toc16640"/>
      <w:bookmarkStart w:id="691" w:name="_Toc6829"/>
      <w:bookmarkStart w:id="692" w:name="_Toc13107"/>
    </w:p>
    <w:p>
      <w:pPr>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5"/>
        <w:shd w:val="clear"/>
        <w:snapToGrid w:val="0"/>
        <w:spacing w:before="0" w:beforeAutospacing="0" w:after="0" w:afterAutospacing="0" w:line="360" w:lineRule="auto"/>
        <w:ind w:firstLine="480" w:firstLineChars="20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5"/>
        <w:shd w:val="clear"/>
        <w:snapToGrid w:val="0"/>
        <w:spacing w:before="0" w:beforeAutospacing="0" w:after="0" w:afterAutospacing="0" w:line="360" w:lineRule="auto"/>
        <w:ind w:firstLine="480" w:firstLineChars="20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5"/>
        <w:shd w:val="clear"/>
        <w:snapToGrid w:val="0"/>
        <w:spacing w:before="0" w:beforeAutospacing="0" w:after="0" w:afterAutospacing="0" w:line="360" w:lineRule="auto"/>
        <w:ind w:firstLine="480" w:firstLineChars="20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bCs/>
          <w:i w:val="0"/>
          <w:caps w:val="0"/>
          <w:color w:val="auto"/>
          <w:spacing w:val="0"/>
          <w:w w:val="100"/>
          <w:sz w:val="24"/>
          <w:szCs w:val="24"/>
          <w:highlight w:val="none"/>
          <w:u w:val="single" w:color="000000"/>
        </w:rPr>
      </w:pPr>
      <w:r>
        <w:rPr>
          <w:rFonts w:hint="eastAsia" w:ascii="微软雅黑" w:hAnsi="微软雅黑" w:eastAsia="微软雅黑" w:cs="微软雅黑"/>
          <w:b/>
          <w:bCs/>
          <w:i w:val="0"/>
          <w:caps w:val="0"/>
          <w:color w:val="auto"/>
          <w:spacing w:val="0"/>
          <w:w w:val="100"/>
          <w:sz w:val="24"/>
          <w:szCs w:val="24"/>
          <w:highlight w:val="none"/>
        </w:rPr>
        <w:t xml:space="preserve"> </w:t>
      </w:r>
      <w:bookmarkStart w:id="693" w:name="_Toc27943"/>
      <w:bookmarkStart w:id="694" w:name="_Toc16635"/>
      <w:bookmarkStart w:id="695" w:name="_Toc4082"/>
      <w:bookmarkStart w:id="696" w:name="_Toc8491"/>
      <w:bookmarkStart w:id="697" w:name="_Toc14483"/>
      <w:bookmarkStart w:id="698" w:name="_Toc7748"/>
      <w:bookmarkStart w:id="699" w:name="_Toc4926"/>
      <w:r>
        <w:rPr>
          <w:rFonts w:hint="eastAsia" w:ascii="微软雅黑" w:hAnsi="微软雅黑" w:eastAsia="微软雅黑" w:cs="微软雅黑"/>
          <w:b/>
          <w:bCs/>
          <w:i w:val="0"/>
          <w:caps w:val="0"/>
          <w:color w:val="auto"/>
          <w:spacing w:val="0"/>
          <w:w w:val="100"/>
          <w:sz w:val="24"/>
          <w:szCs w:val="24"/>
          <w:highlight w:val="none"/>
        </w:rPr>
        <w:t>法定代表人授权委托书</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bookmarkStart w:id="700" w:name="_Toc32520"/>
      <w:bookmarkStart w:id="701" w:name="_Toc7039"/>
      <w:bookmarkStart w:id="702" w:name="_Toc515647808"/>
      <w:r>
        <w:rPr>
          <w:rFonts w:hint="eastAsia" w:ascii="微软雅黑" w:hAnsi="微软雅黑" w:eastAsia="微软雅黑" w:cs="微软雅黑"/>
          <w:b w:val="0"/>
          <w:i w:val="0"/>
          <w:caps w:val="0"/>
          <w:color w:val="auto"/>
          <w:spacing w:val="0"/>
          <w:w w:val="100"/>
          <w:sz w:val="24"/>
          <w:szCs w:val="24"/>
          <w:highlight w:val="none"/>
        </w:rPr>
        <w:cr/>
      </w:r>
      <w:r>
        <w:rPr>
          <w:rFonts w:hint="eastAsia" w:ascii="微软雅黑" w:hAnsi="微软雅黑" w:eastAsia="微软雅黑" w:cs="微软雅黑"/>
          <w:b w:val="0"/>
          <w:i w:val="0"/>
          <w:caps w:val="0"/>
          <w:color w:val="auto"/>
          <w:spacing w:val="0"/>
          <w:w w:val="100"/>
          <w:sz w:val="24"/>
          <w:szCs w:val="24"/>
          <w:highlight w:val="none"/>
        </w:rPr>
        <w:t xml:space="preserve">    本授权书声明：注册于（国家或地区的名称）的（供应商）的在下面签字的（法人代表姓名、职务）代表我单位授权（单位名称）的在下面签字的（被授权人的姓名、职务）为我单位的合法代理人，就（项目名称）的磋商，以我单位名义处理一切与之有关的事务。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本授权书于           年     月     日签字生效,特此声明。</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3039110</wp:posOffset>
                </wp:positionH>
                <wp:positionV relativeFrom="paragraph">
                  <wp:posOffset>97155</wp:posOffset>
                </wp:positionV>
                <wp:extent cx="2478405" cy="1387475"/>
                <wp:effectExtent l="7620" t="7620" r="9525" b="14605"/>
                <wp:wrapNone/>
                <wp:docPr id="15" name="圆角矩形 15"/>
                <wp:cNvGraphicFramePr/>
                <a:graphic xmlns:a="http://schemas.openxmlformats.org/drawingml/2006/main">
                  <a:graphicData uri="http://schemas.microsoft.com/office/word/2010/wordprocessingShape">
                    <wps:wsp>
                      <wps:cNvSpPr/>
                      <wps:spPr>
                        <a:xfrm>
                          <a:off x="0" y="0"/>
                          <a:ext cx="2478405" cy="11252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rPr>
                                <w:rFonts w:hAnsi="宋体"/>
                              </w:rPr>
                            </w:pPr>
                          </w:p>
                          <w:p>
                            <w:pPr>
                              <w:rPr>
                                <w:rFonts w:hAnsi="宋体"/>
                              </w:rPr>
                            </w:pPr>
                          </w:p>
                          <w:p>
                            <w:pPr>
                              <w:rPr>
                                <w:rFonts w:hAnsi="宋体"/>
                              </w:rPr>
                            </w:pPr>
                          </w:p>
                          <w:p>
                            <w:pPr>
                              <w:rPr>
                                <w:rFonts w:hint="eastAsia" w:hAnsi="宋体"/>
                              </w:rPr>
                            </w:pPr>
                            <w:r>
                              <w:rPr>
                                <w:rFonts w:hint="eastAsia" w:hAnsi="宋体"/>
                              </w:rPr>
                              <w:t>授权委托人身份证复印件</w:t>
                            </w:r>
                          </w:p>
                          <w:p>
                            <w:pPr>
                              <w:pStyle w:val="35"/>
                            </w:pPr>
                          </w:p>
                          <w:p/>
                        </w:txbxContent>
                      </wps:txbx>
                      <wps:bodyPr upright="1"/>
                    </wps:wsp>
                  </a:graphicData>
                </a:graphic>
              </wp:anchor>
            </w:drawing>
          </mc:Choice>
          <mc:Fallback>
            <w:pict>
              <v:roundrect id="_x0000_s1026" o:spid="_x0000_s1026" o:spt="2" style="position:absolute;left:0pt;margin-left:239.3pt;margin-top:7.65pt;height:109.25pt;width:195.15pt;z-index:251663360;mso-width-relative:page;mso-height-relative:page;" fillcolor="#FFFFFF" filled="t" stroked="t" coordsize="21600,21600" arcsize="0.166666666666667" o:gfxdata="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Bk62fbAAAACgEAAA8AAAAAAAAAAQAgAAAAIgAAAGRycy9kb3ducmV2LnhtbFBL&#10;AQIUABQAAAAIAIdO4kCC1gORLAIAAGgEAAAOAAAAAAAAAAEAIAAAACoBAABkcnMvZTJvRG9jLnht&#10;bFBLBQYAAAAABgAGAFkBAADIBQAAAAA=&#10;">
                <v:fill on="t" focussize="0,0"/>
                <v:stroke weight="1.25pt" color="#808080" joinstyle="round"/>
                <v:imagedata o:title=""/>
                <o:lock v:ext="edit" aspectratio="f"/>
                <v:textbox>
                  <w:txbxContent>
                    <w:p>
                      <w:pPr>
                        <w:rPr>
                          <w:rFonts w:hAnsi="宋体"/>
                        </w:rPr>
                      </w:pPr>
                    </w:p>
                    <w:p>
                      <w:pPr>
                        <w:rPr>
                          <w:rFonts w:hAnsi="宋体"/>
                        </w:rPr>
                      </w:pPr>
                    </w:p>
                    <w:p>
                      <w:pPr>
                        <w:rPr>
                          <w:rFonts w:hAnsi="宋体"/>
                        </w:rPr>
                      </w:pPr>
                    </w:p>
                    <w:p>
                      <w:pPr>
                        <w:rPr>
                          <w:rFonts w:hint="eastAsia" w:hAnsi="宋体"/>
                        </w:rPr>
                      </w:pPr>
                      <w:r>
                        <w:rPr>
                          <w:rFonts w:hint="eastAsia" w:hAnsi="宋体"/>
                        </w:rPr>
                        <w:t>授权委托人身份证复印件</w:t>
                      </w:r>
                    </w:p>
                    <w:p>
                      <w:pPr>
                        <w:pStyle w:val="35"/>
                      </w:pPr>
                    </w:p>
                    <w:p/>
                  </w:txbxContent>
                </v:textbox>
              </v:roundrect>
            </w:pict>
          </mc:Fallback>
        </mc:AlternateContent>
      </w:r>
      <w:r>
        <w:rPr>
          <w:rFonts w:hint="eastAsia" w:ascii="微软雅黑" w:hAnsi="微软雅黑" w:eastAsia="微软雅黑" w:cs="微软雅黑"/>
          <w:b w:val="0"/>
          <w:i w:val="0"/>
          <w:caps w:val="0"/>
          <w:color w:val="auto"/>
          <w:spacing w:val="0"/>
          <w:w w:val="100"/>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135890</wp:posOffset>
                </wp:positionV>
                <wp:extent cx="2507615" cy="1405890"/>
                <wp:effectExtent l="4445" t="4445" r="21590" b="18415"/>
                <wp:wrapNone/>
                <wp:docPr id="19" name="流程图: 可选过程 19"/>
                <wp:cNvGraphicFramePr/>
                <a:graphic xmlns:a="http://schemas.openxmlformats.org/drawingml/2006/main">
                  <a:graphicData uri="http://schemas.microsoft.com/office/word/2010/wordprocessingShape">
                    <wps:wsp>
                      <wps:cNvSpPr/>
                      <wps:spPr>
                        <a:xfrm>
                          <a:off x="0" y="0"/>
                          <a:ext cx="250761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rPr>
                            </w:pPr>
                          </w:p>
                          <w:p>
                            <w:pPr>
                              <w:jc w:val="center"/>
                              <w:rPr>
                                <w:rFonts w:hAnsi="宋体"/>
                              </w:rPr>
                            </w:pPr>
                          </w:p>
                          <w:p>
                            <w:pPr>
                              <w:jc w:val="center"/>
                              <w:rPr>
                                <w:rFonts w:hAnsi="宋体"/>
                              </w:rPr>
                            </w:pPr>
                          </w:p>
                          <w:p>
                            <w:pPr>
                              <w:jc w:val="center"/>
                              <w:rPr>
                                <w:rFonts w:hint="eastAsia" w:hAnsi="宋体"/>
                              </w:rPr>
                            </w:pPr>
                            <w:r>
                              <w:rPr>
                                <w:rFonts w:hint="eastAsia" w:hAnsi="宋体"/>
                              </w:rPr>
                              <w:t>授权委托人身份证复印件</w:t>
                            </w:r>
                          </w:p>
                          <w:p>
                            <w:pPr>
                              <w:pStyle w:val="35"/>
                            </w:pPr>
                          </w:p>
                        </w:txbxContent>
                      </wps:txbx>
                      <wps:bodyPr upright="1"/>
                    </wps:wsp>
                  </a:graphicData>
                </a:graphic>
              </wp:anchor>
            </w:drawing>
          </mc:Choice>
          <mc:Fallback>
            <w:pict>
              <v:shape id="_x0000_s1026" o:spid="_x0000_s1026" o:spt="176" type="#_x0000_t176" style="position:absolute;left:0pt;margin-left:1.65pt;margin-top:10.7pt;height:110.7pt;width:197.45pt;z-index:251662336;mso-width-relative:page;mso-height-relative:page;" fillcolor="#FFFFFF" filled="t" stroked="t" coordsize="21600,21600" o:gfxdata="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5Lq23XAAAACAEAAA8AAAAAAAAAAQAgAAAAIgAAAGRycy9kb3ducmV2Lnht&#10;bFBLAQIUABQAAAAIAIdO4kAhHg3IMwIAAGAEAAAOAAAAAAAAAAEAIAAAACYBAABkcnMvZTJvRG9j&#10;LnhtbFBLBQYAAAAABgAGAFkBAADLBQAAAAA=&#10;">
                <v:fill on="t" focussize="0,0"/>
                <v:stroke color="#000000" joinstyle="miter"/>
                <v:imagedata o:title=""/>
                <o:lock v:ext="edit" aspectratio="f"/>
                <v:textbox>
                  <w:txbxContent>
                    <w:p>
                      <w:pPr>
                        <w:jc w:val="center"/>
                        <w:rPr>
                          <w:rFonts w:hAnsi="宋体"/>
                        </w:rPr>
                      </w:pPr>
                    </w:p>
                    <w:p>
                      <w:pPr>
                        <w:jc w:val="center"/>
                        <w:rPr>
                          <w:rFonts w:hAnsi="宋体"/>
                        </w:rPr>
                      </w:pPr>
                    </w:p>
                    <w:p>
                      <w:pPr>
                        <w:jc w:val="center"/>
                        <w:rPr>
                          <w:rFonts w:hAnsi="宋体"/>
                        </w:rPr>
                      </w:pPr>
                    </w:p>
                    <w:p>
                      <w:pPr>
                        <w:jc w:val="center"/>
                        <w:rPr>
                          <w:rFonts w:hint="eastAsia" w:hAnsi="宋体"/>
                        </w:rPr>
                      </w:pPr>
                      <w:r>
                        <w:rPr>
                          <w:rFonts w:hint="eastAsia" w:hAnsi="宋体"/>
                        </w:rPr>
                        <w:t>授权委托人身份证复印件</w:t>
                      </w:r>
                    </w:p>
                    <w:p>
                      <w:pPr>
                        <w:pStyle w:val="35"/>
                      </w:pPr>
                    </w:p>
                  </w:txbxContent>
                </v:textbox>
              </v:shape>
            </w:pict>
          </mc:Fallback>
        </mc:AlternateConten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29845</wp:posOffset>
                </wp:positionH>
                <wp:positionV relativeFrom="paragraph">
                  <wp:posOffset>235585</wp:posOffset>
                </wp:positionV>
                <wp:extent cx="2555240" cy="1409065"/>
                <wp:effectExtent l="7620" t="7620" r="8890" b="12065"/>
                <wp:wrapNone/>
                <wp:docPr id="16" name="圆角矩形 16"/>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rPr>
                            </w:pPr>
                          </w:p>
                          <w:p>
                            <w:pPr>
                              <w:jc w:val="center"/>
                              <w:rPr>
                                <w:rFonts w:hAnsi="宋体"/>
                              </w:rPr>
                            </w:pPr>
                          </w:p>
                          <w:p>
                            <w:pPr>
                              <w:jc w:val="center"/>
                              <w:rPr>
                                <w:rFonts w:hAnsi="宋体"/>
                              </w:rPr>
                            </w:pPr>
                          </w:p>
                          <w:p>
                            <w:pPr>
                              <w:jc w:val="center"/>
                              <w:rPr>
                                <w:rFonts w:hint="eastAsia" w:hAnsi="宋体"/>
                              </w:rPr>
                            </w:pPr>
                            <w:r>
                              <w:rPr>
                                <w:rFonts w:hint="eastAsia" w:hAnsi="宋体"/>
                                <w:szCs w:val="21"/>
                              </w:rPr>
                              <w:t>法定代表人</w:t>
                            </w:r>
                            <w:r>
                              <w:rPr>
                                <w:rFonts w:hint="eastAsia" w:hAnsi="宋体"/>
                              </w:rPr>
                              <w:t>身份证复印件</w:t>
                            </w:r>
                          </w:p>
                          <w:p>
                            <w:pPr>
                              <w:pStyle w:val="35"/>
                            </w:pPr>
                          </w:p>
                          <w:p/>
                        </w:txbxContent>
                      </wps:txbx>
                      <wps:bodyPr upright="1"/>
                    </wps:wsp>
                  </a:graphicData>
                </a:graphic>
              </wp:anchor>
            </w:drawing>
          </mc:Choice>
          <mc:Fallback>
            <w:pict>
              <v:roundrect id="_x0000_s1026" o:spid="_x0000_s1026" o:spt="2" style="position:absolute;left:0pt;margin-left:2.35pt;margin-top:18.55pt;height:110.95pt;width:201.2pt;z-index:251664384;mso-width-relative:page;mso-height-relative:page;" fillcolor="#FFFFFF" filled="t" stroked="t" coordsize="21600,21600" arcsize="0.166666666666667" o:gfxdata="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1cJUzZAAAACAEAAA8AAAAAAAAAAQAgAAAAIgAAAGRycy9kb3ducmV2LnhtbFBL&#10;AQIUABQAAAAIAIdO4kAMhxpXLgIAAGgEAAAOAAAAAAAAAAEAIAAAACgBAABkcnMvZTJvRG9jLnht&#10;bFBLBQYAAAAABgAGAFkBAADIBQAAAAA=&#10;">
                <v:fill on="t" focussize="0,0"/>
                <v:stroke weight="1.25pt" color="#808080" joinstyle="round"/>
                <v:imagedata o:title=""/>
                <o:lock v:ext="edit" aspectratio="f"/>
                <v:textbox>
                  <w:txbxContent>
                    <w:p>
                      <w:pPr>
                        <w:jc w:val="center"/>
                        <w:rPr>
                          <w:rFonts w:hAnsi="宋体"/>
                        </w:rPr>
                      </w:pPr>
                    </w:p>
                    <w:p>
                      <w:pPr>
                        <w:jc w:val="center"/>
                        <w:rPr>
                          <w:rFonts w:hAnsi="宋体"/>
                        </w:rPr>
                      </w:pPr>
                    </w:p>
                    <w:p>
                      <w:pPr>
                        <w:jc w:val="center"/>
                        <w:rPr>
                          <w:rFonts w:hAnsi="宋体"/>
                        </w:rPr>
                      </w:pPr>
                    </w:p>
                    <w:p>
                      <w:pPr>
                        <w:jc w:val="center"/>
                        <w:rPr>
                          <w:rFonts w:hint="eastAsia" w:hAnsi="宋体"/>
                        </w:rPr>
                      </w:pPr>
                      <w:r>
                        <w:rPr>
                          <w:rFonts w:hint="eastAsia" w:hAnsi="宋体"/>
                          <w:szCs w:val="21"/>
                        </w:rPr>
                        <w:t>法定代表人</w:t>
                      </w:r>
                      <w:r>
                        <w:rPr>
                          <w:rFonts w:hint="eastAsia" w:hAnsi="宋体"/>
                        </w:rPr>
                        <w:t>身份证复印件</w:t>
                      </w:r>
                    </w:p>
                    <w:p>
                      <w:pPr>
                        <w:pStyle w:val="35"/>
                      </w:pPr>
                    </w:p>
                    <w:p/>
                  </w:txbxContent>
                </v:textbox>
              </v:roundrect>
            </w:pict>
          </mc:Fallback>
        </mc:AlternateContent>
      </w: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3028315</wp:posOffset>
                </wp:positionH>
                <wp:positionV relativeFrom="paragraph">
                  <wp:posOffset>140335</wp:posOffset>
                </wp:positionV>
                <wp:extent cx="2535555" cy="1252220"/>
                <wp:effectExtent l="7620" t="7620" r="9525" b="16510"/>
                <wp:wrapNone/>
                <wp:docPr id="13" name="圆角矩形 13"/>
                <wp:cNvGraphicFramePr/>
                <a:graphic xmlns:a="http://schemas.openxmlformats.org/drawingml/2006/main">
                  <a:graphicData uri="http://schemas.microsoft.com/office/word/2010/wordprocessingShape">
                    <wps:wsp>
                      <wps:cNvSpPr/>
                      <wps:spPr>
                        <a:xfrm>
                          <a:off x="0" y="0"/>
                          <a:ext cx="2535555" cy="102933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rPr>
                            </w:pPr>
                            <w:r>
                              <w:rPr>
                                <w:rFonts w:hint="eastAsia" w:hAnsi="宋体"/>
                              </w:rPr>
                              <w:t xml:space="preserve">  </w:t>
                            </w:r>
                          </w:p>
                          <w:p>
                            <w:pPr>
                              <w:jc w:val="center"/>
                              <w:rPr>
                                <w:rFonts w:hAnsi="宋体"/>
                              </w:rPr>
                            </w:pPr>
                          </w:p>
                          <w:p>
                            <w:pPr>
                              <w:jc w:val="center"/>
                              <w:rPr>
                                <w:rFonts w:hAnsi="宋体"/>
                              </w:rPr>
                            </w:pPr>
                          </w:p>
                          <w:p>
                            <w:pPr>
                              <w:jc w:val="center"/>
                              <w:rPr>
                                <w:rFonts w:hint="eastAsia" w:hAnsi="宋体"/>
                              </w:rPr>
                            </w:pPr>
                            <w:r>
                              <w:rPr>
                                <w:rFonts w:hint="eastAsia" w:hAnsi="宋体"/>
                                <w:szCs w:val="21"/>
                              </w:rPr>
                              <w:t>法定代表人</w:t>
                            </w:r>
                            <w:r>
                              <w:rPr>
                                <w:rFonts w:hint="eastAsia" w:hAnsi="宋体"/>
                              </w:rPr>
                              <w:t>身份证复印件</w:t>
                            </w:r>
                          </w:p>
                          <w:p>
                            <w:pPr>
                              <w:pStyle w:val="35"/>
                            </w:pPr>
                          </w:p>
                          <w:p/>
                        </w:txbxContent>
                      </wps:txbx>
                      <wps:bodyPr upright="1"/>
                    </wps:wsp>
                  </a:graphicData>
                </a:graphic>
              </wp:anchor>
            </w:drawing>
          </mc:Choice>
          <mc:Fallback>
            <w:pict>
              <v:roundrect id="_x0000_s1026" o:spid="_x0000_s1026" o:spt="2" style="position:absolute;left:0pt;margin-left:238.45pt;margin-top:11.05pt;height:98.6pt;width:199.65pt;z-index:251665408;mso-width-relative:page;mso-height-relative:page;" fillcolor="#FFFFFF" filled="t" stroked="t" coordsize="21600,21600" arcsize="0.166666666666667" o:gfxdata="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uFvz7bAAAACgEAAA8AAAAAAAAAAQAgAAAAIgAAAGRycy9kb3ducmV2LnhtbFBL&#10;AQIUABQAAAAIAIdO4kCVfMpDLAIAAGgEAAAOAAAAAAAAAAEAIAAAACoBAABkcnMvZTJvRG9jLnht&#10;bFBLBQYAAAAABgAGAFkBAADIBQAAAAA=&#10;">
                <v:fill on="t" focussize="0,0"/>
                <v:stroke weight="1.25pt" color="#808080" joinstyle="round"/>
                <v:imagedata o:title=""/>
                <o:lock v:ext="edit" aspectratio="f"/>
                <v:textbox>
                  <w:txbxContent>
                    <w:p>
                      <w:pPr>
                        <w:jc w:val="center"/>
                        <w:rPr>
                          <w:rFonts w:hAnsi="宋体"/>
                        </w:rPr>
                      </w:pPr>
                      <w:r>
                        <w:rPr>
                          <w:rFonts w:hint="eastAsia" w:hAnsi="宋体"/>
                        </w:rPr>
                        <w:t xml:space="preserve">  </w:t>
                      </w:r>
                    </w:p>
                    <w:p>
                      <w:pPr>
                        <w:jc w:val="center"/>
                        <w:rPr>
                          <w:rFonts w:hAnsi="宋体"/>
                        </w:rPr>
                      </w:pPr>
                    </w:p>
                    <w:p>
                      <w:pPr>
                        <w:jc w:val="center"/>
                        <w:rPr>
                          <w:rFonts w:hAnsi="宋体"/>
                        </w:rPr>
                      </w:pPr>
                    </w:p>
                    <w:p>
                      <w:pPr>
                        <w:jc w:val="center"/>
                        <w:rPr>
                          <w:rFonts w:hint="eastAsia" w:hAnsi="宋体"/>
                        </w:rPr>
                      </w:pPr>
                      <w:r>
                        <w:rPr>
                          <w:rFonts w:hint="eastAsia" w:hAnsi="宋体"/>
                          <w:szCs w:val="21"/>
                        </w:rPr>
                        <w:t>法定代表人</w:t>
                      </w:r>
                      <w:r>
                        <w:rPr>
                          <w:rFonts w:hint="eastAsia" w:hAnsi="宋体"/>
                        </w:rPr>
                        <w:t>身份证复印件</w:t>
                      </w:r>
                    </w:p>
                    <w:p>
                      <w:pPr>
                        <w:pStyle w:val="35"/>
                      </w:pPr>
                    </w:p>
                    <w:p/>
                  </w:txbxContent>
                </v:textbox>
              </v:roundrect>
            </w:pict>
          </mc:Fallback>
        </mc:AlternateContent>
      </w: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供应商（盖单位章）;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注：</w:t>
      </w:r>
      <w:r>
        <w:rPr>
          <w:rFonts w:hint="eastAsia" w:ascii="微软雅黑" w:hAnsi="微软雅黑" w:eastAsia="微软雅黑" w:cs="微软雅黑"/>
          <w:b/>
          <w:bCs/>
          <w:i w:val="0"/>
          <w:caps w:val="0"/>
          <w:color w:val="auto"/>
          <w:spacing w:val="0"/>
          <w:w w:val="100"/>
          <w:sz w:val="24"/>
          <w:highlight w:val="none"/>
          <w:lang w:val="en-US" w:eastAsia="zh-CN"/>
        </w:rPr>
        <w:t>提供身份证正反面。</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370"/>
        </w:tabs>
        <w:snapToGrid w:val="0"/>
        <w:spacing w:before="0" w:beforeAutospacing="0" w:after="0" w:afterAutospacing="0" w:line="240" w:lineRule="atLeast"/>
        <w:ind w:firstLine="480" w:firstLineChars="2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highlight w:val="none"/>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法定代表人（签/章）：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身份证号码：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委托代理人（签/章）：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身份证号码：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详细通讯地址：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邮 政 编 码 ：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传　　　　真：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电　　　　话：                                 </w:t>
      </w:r>
      <w:bookmarkEnd w:id="700"/>
      <w:bookmarkEnd w:id="701"/>
      <w:bookmarkEnd w:id="702"/>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
        <w:outlineLvl w:val="9"/>
        <w:rPr>
          <w:rFonts w:hint="eastAsia" w:ascii="微软雅黑" w:hAnsi="微软雅黑" w:eastAsia="微软雅黑" w:cs="微软雅黑"/>
          <w:b w:val="0"/>
          <w:i w:val="0"/>
          <w:caps w:val="0"/>
          <w:color w:val="auto"/>
          <w:spacing w:val="0"/>
          <w:w w:val="100"/>
          <w:sz w:val="24"/>
          <w:szCs w:val="24"/>
          <w:highlight w:val="none"/>
        </w:rPr>
      </w:pPr>
    </w:p>
    <w:p>
      <w:pPr>
        <w:outlineLvl w:val="9"/>
        <w:rPr>
          <w:rFonts w:hint="eastAsia"/>
          <w:color w:val="auto"/>
        </w:rPr>
      </w:pPr>
    </w:p>
    <w:p>
      <w:pPr>
        <w:pStyle w:val="35"/>
        <w:numPr>
          <w:ilvl w:val="0"/>
          <w:numId w:val="0"/>
        </w:numPr>
        <w:shd w:val="clear"/>
        <w:snapToGrid w:val="0"/>
        <w:spacing w:before="0" w:beforeAutospacing="0" w:after="0" w:afterAutospacing="0" w:line="360" w:lineRule="auto"/>
        <w:ind w:leftChars="353"/>
        <w:jc w:val="both"/>
        <w:textAlignment w:val="baseline"/>
        <w:outlineLvl w:val="9"/>
        <w:rPr>
          <w:rFonts w:hint="eastAsia" w:ascii="微软雅黑" w:hAnsi="微软雅黑" w:eastAsia="微软雅黑" w:cs="微软雅黑"/>
          <w:b/>
          <w:i w:val="0"/>
          <w:caps w:val="0"/>
          <w:color w:val="auto"/>
          <w:spacing w:val="0"/>
          <w:w w:val="100"/>
          <w:kern w:val="0"/>
          <w:sz w:val="24"/>
          <w:highlight w:val="none"/>
          <w:lang w:val="en-US" w:eastAsia="zh-CN"/>
        </w:rPr>
      </w:pPr>
    </w:p>
    <w:p>
      <w:pPr>
        <w:pStyle w:val="35"/>
        <w:numPr>
          <w:ilvl w:val="0"/>
          <w:numId w:val="0"/>
        </w:numPr>
        <w:shd w:val="clear"/>
        <w:snapToGrid w:val="0"/>
        <w:spacing w:before="0" w:beforeAutospacing="0" w:after="0" w:afterAutospacing="0" w:line="360" w:lineRule="auto"/>
        <w:ind w:leftChars="353"/>
        <w:jc w:val="both"/>
        <w:textAlignment w:val="baseline"/>
        <w:outlineLvl w:val="9"/>
        <w:rPr>
          <w:rFonts w:hint="eastAsia" w:ascii="微软雅黑" w:hAnsi="微软雅黑" w:eastAsia="微软雅黑" w:cs="微软雅黑"/>
          <w:b/>
          <w:i w:val="0"/>
          <w:caps w:val="0"/>
          <w:color w:val="auto"/>
          <w:spacing w:val="0"/>
          <w:w w:val="100"/>
          <w:kern w:val="0"/>
          <w:sz w:val="24"/>
          <w:highlight w:val="none"/>
          <w:lang w:val="en-US" w:eastAsia="zh-CN"/>
        </w:rPr>
      </w:pPr>
    </w:p>
    <w:p>
      <w:pPr>
        <w:pStyle w:val="16"/>
        <w:shd w:val="clear"/>
        <w:tabs>
          <w:tab w:val="left" w:pos="5580"/>
        </w:tabs>
        <w:snapToGrid w:val="0"/>
        <w:spacing w:before="0" w:beforeAutospacing="0" w:after="0" w:afterAutospacing="0" w:line="240" w:lineRule="atLeast"/>
        <w:jc w:val="both"/>
        <w:textAlignment w:val="baseline"/>
        <w:outlineLvl w:val="1"/>
        <w:rPr>
          <w:rFonts w:hint="eastAsia" w:ascii="微软雅黑" w:hAnsi="微软雅黑" w:eastAsia="微软雅黑" w:cs="微软雅黑"/>
          <w:b/>
          <w:i w:val="0"/>
          <w:caps w:val="0"/>
          <w:color w:val="auto"/>
          <w:spacing w:val="0"/>
          <w:w w:val="100"/>
          <w:kern w:val="0"/>
          <w:sz w:val="24"/>
          <w:highlight w:val="none"/>
          <w:lang w:val="en-US" w:eastAsia="zh-CN"/>
        </w:rPr>
      </w:pPr>
      <w:bookmarkStart w:id="703" w:name="_Toc8649"/>
      <w:r>
        <w:rPr>
          <w:rFonts w:hint="eastAsia" w:ascii="微软雅黑" w:hAnsi="微软雅黑" w:eastAsia="微软雅黑" w:cs="微软雅黑"/>
          <w:b/>
          <w:i w:val="0"/>
          <w:caps w:val="0"/>
          <w:color w:val="auto"/>
          <w:spacing w:val="0"/>
          <w:w w:val="100"/>
          <w:kern w:val="0"/>
          <w:sz w:val="24"/>
          <w:highlight w:val="none"/>
        </w:rPr>
        <w:t>5</w:t>
      </w:r>
      <w:r>
        <w:rPr>
          <w:rFonts w:hint="eastAsia" w:ascii="微软雅黑" w:hAnsi="微软雅黑" w:eastAsia="微软雅黑" w:cs="微软雅黑"/>
          <w:b/>
          <w:i w:val="0"/>
          <w:caps w:val="0"/>
          <w:color w:val="auto"/>
          <w:spacing w:val="0"/>
          <w:w w:val="100"/>
          <w:kern w:val="0"/>
          <w:sz w:val="24"/>
          <w:highlight w:val="none"/>
          <w:lang w:eastAsia="zh-CN"/>
        </w:rPr>
        <w:t>、</w:t>
      </w:r>
      <w:r>
        <w:rPr>
          <w:rFonts w:hint="eastAsia" w:ascii="微软雅黑" w:hAnsi="微软雅黑" w:eastAsia="微软雅黑" w:cs="微软雅黑"/>
          <w:b/>
          <w:i w:val="0"/>
          <w:caps w:val="0"/>
          <w:color w:val="auto"/>
          <w:spacing w:val="0"/>
          <w:w w:val="100"/>
          <w:kern w:val="0"/>
          <w:sz w:val="24"/>
          <w:highlight w:val="none"/>
          <w:lang w:val="en-US" w:eastAsia="zh-CN"/>
        </w:rPr>
        <w:t>提供近两年任意一年的财务审计报告，新成立的公司提供近三个月内任意一个月的银行资信证明；</w:t>
      </w:r>
      <w:bookmarkEnd w:id="703"/>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kern w:val="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kern w:val="0"/>
          <w:sz w:val="24"/>
          <w:szCs w:val="24"/>
          <w:highlight w:val="none"/>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kern w:val="0"/>
          <w:sz w:val="24"/>
          <w:szCs w:val="24"/>
          <w:highlight w:val="none"/>
        </w:rPr>
      </w:pPr>
    </w:p>
    <w:p>
      <w:pPr>
        <w:shd w:val="clear"/>
        <w:snapToGrid w:val="0"/>
        <w:spacing w:before="0" w:beforeAutospacing="0" w:after="0" w:afterAutospacing="0" w:line="240" w:lineRule="auto"/>
        <w:jc w:val="both"/>
        <w:textAlignment w:val="baseline"/>
        <w:outlineLvl w:val="1"/>
        <w:rPr>
          <w:rFonts w:hint="eastAsia" w:ascii="微软雅黑" w:hAnsi="微软雅黑" w:eastAsia="微软雅黑" w:cs="微软雅黑"/>
          <w:b/>
          <w:bCs/>
          <w:i w:val="0"/>
          <w:caps w:val="0"/>
          <w:color w:val="auto"/>
          <w:spacing w:val="0"/>
          <w:w w:val="100"/>
          <w:sz w:val="24"/>
          <w:szCs w:val="24"/>
          <w:highlight w:val="none"/>
        </w:rPr>
      </w:pPr>
      <w:bookmarkStart w:id="704" w:name="_Toc26009"/>
      <w:bookmarkStart w:id="705" w:name="_Toc9347"/>
      <w:bookmarkStart w:id="706" w:name="_Toc10135"/>
      <w:bookmarkStart w:id="707" w:name="_Toc5152"/>
      <w:bookmarkStart w:id="708" w:name="_Toc30208"/>
      <w:bookmarkStart w:id="709" w:name="_Toc9460"/>
      <w:bookmarkStart w:id="710" w:name="_Toc16195"/>
      <w:bookmarkStart w:id="711" w:name="_Toc14976"/>
      <w:r>
        <w:rPr>
          <w:rFonts w:hint="eastAsia" w:ascii="微软雅黑" w:hAnsi="微软雅黑" w:eastAsia="微软雅黑" w:cs="微软雅黑"/>
          <w:b/>
          <w:bCs/>
          <w:i w:val="0"/>
          <w:caps w:val="0"/>
          <w:color w:val="auto"/>
          <w:spacing w:val="0"/>
          <w:w w:val="100"/>
          <w:sz w:val="24"/>
          <w:szCs w:val="24"/>
          <w:highlight w:val="none"/>
        </w:rPr>
        <w:t>6</w:t>
      </w:r>
      <w:bookmarkEnd w:id="704"/>
      <w:bookmarkEnd w:id="705"/>
      <w:bookmarkEnd w:id="706"/>
      <w:bookmarkEnd w:id="707"/>
      <w:r>
        <w:rPr>
          <w:rFonts w:hint="eastAsia" w:ascii="微软雅黑" w:hAnsi="微软雅黑" w:eastAsia="微软雅黑" w:cs="微软雅黑"/>
          <w:b/>
          <w:bCs/>
          <w:i w:val="0"/>
          <w:caps w:val="0"/>
          <w:color w:val="auto"/>
          <w:spacing w:val="0"/>
          <w:w w:val="100"/>
          <w:sz w:val="24"/>
          <w:szCs w:val="24"/>
          <w:highlight w:val="none"/>
          <w:lang w:eastAsia="zh-CN"/>
        </w:rPr>
        <w:t>、</w:t>
      </w:r>
      <w:bookmarkEnd w:id="708"/>
      <w:bookmarkEnd w:id="709"/>
      <w:bookmarkEnd w:id="710"/>
      <w:r>
        <w:rPr>
          <w:rFonts w:hint="eastAsia" w:ascii="微软雅黑" w:hAnsi="微软雅黑" w:eastAsia="微软雅黑" w:cs="微软雅黑"/>
          <w:b/>
          <w:bCs/>
          <w:i w:val="0"/>
          <w:caps w:val="0"/>
          <w:color w:val="auto"/>
          <w:spacing w:val="0"/>
          <w:w w:val="100"/>
          <w:sz w:val="24"/>
          <w:szCs w:val="24"/>
          <w:highlight w:val="none"/>
          <w:lang w:val="en-US" w:eastAsia="zh-CN"/>
        </w:rPr>
        <w:t>提供依法缴纳近6个月任意一个月社会保险的凭据；</w:t>
      </w:r>
      <w:bookmarkEnd w:id="711"/>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6"/>
        <w:numPr>
          <w:ilvl w:val="0"/>
          <w:numId w:val="0"/>
        </w:numPr>
        <w:shd w:val="clear"/>
        <w:snapToGrid w:val="0"/>
        <w:spacing w:before="120" w:beforeAutospacing="0" w:after="0" w:afterAutospacing="0" w:line="300" w:lineRule="auto"/>
        <w:jc w:val="both"/>
        <w:textAlignment w:val="baseline"/>
        <w:rPr>
          <w:rFonts w:hint="eastAsia" w:ascii="微软雅黑" w:hAnsi="微软雅黑" w:eastAsia="微软雅黑" w:cs="微软雅黑"/>
          <w:color w:val="auto"/>
          <w:highlight w:val="none"/>
          <w:lang w:eastAsia="zh-CN"/>
        </w:rPr>
      </w:pPr>
      <w:bookmarkStart w:id="712" w:name="_Toc29974"/>
      <w:r>
        <w:rPr>
          <w:rFonts w:hint="eastAsia" w:ascii="微软雅黑" w:hAnsi="微软雅黑" w:eastAsia="微软雅黑" w:cs="微软雅黑"/>
          <w:b/>
          <w:bCs/>
          <w:i w:val="0"/>
          <w:caps w:val="0"/>
          <w:color w:val="auto"/>
          <w:spacing w:val="0"/>
          <w:w w:val="100"/>
          <w:kern w:val="2"/>
          <w:sz w:val="24"/>
          <w:szCs w:val="24"/>
          <w:highlight w:val="none"/>
          <w:lang w:val="en-US" w:eastAsia="zh-CN" w:bidi="ar-SA"/>
        </w:rPr>
        <w:t>7、提供税务部门出具的近6个月任意一个月的完税证明；</w:t>
      </w:r>
      <w:bookmarkEnd w:id="712"/>
    </w:p>
    <w:p>
      <w:pPr>
        <w:shd w:val="clear"/>
        <w:rPr>
          <w:rFonts w:hint="eastAsia" w:ascii="微软雅黑" w:hAnsi="微软雅黑" w:eastAsia="微软雅黑" w:cs="微软雅黑"/>
          <w:b/>
          <w:bCs/>
          <w:i w:val="0"/>
          <w:caps w:val="0"/>
          <w:color w:val="auto"/>
          <w:spacing w:val="0"/>
          <w:w w:val="100"/>
          <w:kern w:val="2"/>
          <w:sz w:val="24"/>
          <w:szCs w:val="24"/>
          <w:highlight w:val="none"/>
          <w:lang w:val="en-US" w:eastAsia="zh-CN" w:bidi="ar-SA"/>
        </w:rPr>
      </w:pPr>
    </w:p>
    <w:p>
      <w:pPr>
        <w:pStyle w:val="3"/>
        <w:shd w:val="clear"/>
        <w:rPr>
          <w:rFonts w:hint="eastAsia" w:ascii="微软雅黑" w:hAnsi="微软雅黑" w:eastAsia="微软雅黑" w:cs="微软雅黑"/>
          <w:color w:val="auto"/>
          <w:highlight w:val="none"/>
          <w:lang w:eastAsia="zh-CN"/>
        </w:rPr>
      </w:pPr>
    </w:p>
    <w:p>
      <w:pPr>
        <w:pStyle w:val="6"/>
        <w:numPr>
          <w:ilvl w:val="0"/>
          <w:numId w:val="0"/>
        </w:numPr>
        <w:shd w:val="clear"/>
        <w:snapToGrid w:val="0"/>
        <w:spacing w:before="120" w:beforeAutospacing="0" w:after="0" w:afterAutospacing="0" w:line="300" w:lineRule="auto"/>
        <w:jc w:val="both"/>
        <w:textAlignment w:val="baseline"/>
        <w:rPr>
          <w:rFonts w:hint="eastAsia" w:ascii="微软雅黑" w:hAnsi="微软雅黑" w:eastAsia="微软雅黑" w:cs="微软雅黑"/>
          <w:b/>
          <w:i w:val="0"/>
          <w:caps w:val="0"/>
          <w:color w:val="auto"/>
          <w:spacing w:val="0"/>
          <w:w w:val="100"/>
          <w:sz w:val="24"/>
          <w:szCs w:val="24"/>
          <w:highlight w:val="none"/>
        </w:rPr>
      </w:pPr>
      <w:bookmarkStart w:id="713" w:name="_Toc3287"/>
      <w:r>
        <w:rPr>
          <w:rFonts w:hint="eastAsia" w:ascii="微软雅黑" w:hAnsi="微软雅黑" w:eastAsia="微软雅黑" w:cs="微软雅黑"/>
          <w:b/>
          <w:i w:val="0"/>
          <w:caps w:val="0"/>
          <w:color w:val="auto"/>
          <w:spacing w:val="0"/>
          <w:w w:val="100"/>
          <w:sz w:val="24"/>
          <w:szCs w:val="24"/>
          <w:highlight w:val="none"/>
          <w:lang w:val="en-US" w:eastAsia="zh-CN"/>
        </w:rPr>
        <w:t>8、根据《财政部关于在政府采购活动中查询及使用信用记录有关问题的通知》（财库﹝2016﹞125号）的要求，凡拟参加本次招标项目的供应商，如在“信用中国”网站（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bookmarkEnd w:id="713"/>
    </w:p>
    <w:p>
      <w:pPr>
        <w:pStyle w:val="16"/>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kern w:val="0"/>
          <w:sz w:val="24"/>
          <w:szCs w:val="24"/>
          <w:highlight w:val="none"/>
        </w:rPr>
      </w:pPr>
    </w:p>
    <w:p>
      <w:pPr>
        <w:pStyle w:val="16"/>
        <w:numPr>
          <w:ilvl w:val="0"/>
          <w:numId w:val="7"/>
        </w:numPr>
        <w:shd w:val="clear"/>
        <w:tabs>
          <w:tab w:val="left" w:pos="5580"/>
        </w:tabs>
        <w:snapToGrid w:val="0"/>
        <w:spacing w:before="0" w:beforeAutospacing="0" w:after="0" w:afterAutospacing="0" w:line="240" w:lineRule="atLeast"/>
        <w:jc w:val="both"/>
        <w:textAlignment w:val="baseline"/>
        <w:outlineLvl w:val="1"/>
        <w:rPr>
          <w:rFonts w:hint="eastAsia" w:ascii="微软雅黑" w:hAnsi="微软雅黑" w:eastAsia="微软雅黑" w:cs="微软雅黑"/>
          <w:b/>
          <w:i w:val="0"/>
          <w:caps w:val="0"/>
          <w:color w:val="auto"/>
          <w:spacing w:val="0"/>
          <w:w w:val="100"/>
          <w:kern w:val="0"/>
          <w:sz w:val="24"/>
          <w:szCs w:val="24"/>
          <w:highlight w:val="none"/>
        </w:rPr>
      </w:pPr>
      <w:bookmarkStart w:id="714" w:name="_Toc11769"/>
      <w:r>
        <w:rPr>
          <w:rFonts w:hint="eastAsia" w:ascii="微软雅黑" w:hAnsi="微软雅黑" w:eastAsia="微软雅黑" w:cs="微软雅黑"/>
          <w:b/>
          <w:i w:val="0"/>
          <w:caps w:val="0"/>
          <w:color w:val="auto"/>
          <w:spacing w:val="0"/>
          <w:w w:val="100"/>
          <w:kern w:val="0"/>
          <w:sz w:val="24"/>
          <w:szCs w:val="24"/>
          <w:highlight w:val="none"/>
        </w:rPr>
        <w:t>提供参与政府采购活动前3年内未被列入失信、重大税收违法案件、财政部门禁止参加政府采购活动的承诺书；</w:t>
      </w:r>
      <w:bookmarkEnd w:id="714"/>
      <w:bookmarkStart w:id="715" w:name="_Toc10102"/>
      <w:bookmarkStart w:id="716" w:name="_Toc20720"/>
      <w:bookmarkStart w:id="717" w:name="_Toc28525"/>
      <w:bookmarkStart w:id="718" w:name="_Toc16480"/>
      <w:bookmarkStart w:id="719" w:name="_Toc16326"/>
    </w:p>
    <w:p>
      <w:pPr>
        <w:pStyle w:val="3"/>
        <w:widowControl w:val="0"/>
        <w:numPr>
          <w:ilvl w:val="0"/>
          <w:numId w:val="0"/>
        </w:numPr>
        <w:shd w:val="clear"/>
        <w:autoSpaceDE w:val="0"/>
        <w:autoSpaceDN w:val="0"/>
        <w:adjustRightInd w:val="0"/>
        <w:jc w:val="left"/>
        <w:rPr>
          <w:rFonts w:hint="eastAsia"/>
          <w:color w:val="auto"/>
          <w:highlight w:val="none"/>
        </w:rPr>
      </w:pPr>
    </w:p>
    <w:p>
      <w:pPr>
        <w:rPr>
          <w:rFonts w:hint="eastAsia"/>
          <w:color w:val="auto"/>
          <w:highlight w:val="none"/>
        </w:rPr>
      </w:pPr>
    </w:p>
    <w:p>
      <w:pPr>
        <w:pStyle w:val="25"/>
        <w:rPr>
          <w:rFonts w:hint="eastAsia"/>
          <w:color w:val="auto"/>
        </w:rPr>
      </w:pPr>
    </w:p>
    <w:p>
      <w:pPr>
        <w:shd w:val="clear"/>
        <w:rPr>
          <w:rFonts w:hint="eastAsia"/>
          <w:color w:val="auto"/>
          <w:highlight w:val="none"/>
        </w:rPr>
      </w:pPr>
    </w:p>
    <w:bookmarkEnd w:id="715"/>
    <w:bookmarkEnd w:id="716"/>
    <w:bookmarkEnd w:id="717"/>
    <w:bookmarkEnd w:id="718"/>
    <w:bookmarkEnd w:id="719"/>
    <w:p>
      <w:pPr>
        <w:numPr>
          <w:ilvl w:val="0"/>
          <w:numId w:val="7"/>
        </w:numPr>
        <w:shd w:val="clear"/>
        <w:snapToGrid w:val="0"/>
        <w:spacing w:before="0" w:beforeAutospacing="0" w:after="0" w:afterAutospacing="0" w:line="360" w:lineRule="exact"/>
        <w:ind w:left="0" w:leftChars="0" w:firstLine="0" w:firstLineChars="0"/>
        <w:jc w:val="both"/>
        <w:textAlignment w:val="baseline"/>
        <w:outlineLvl w:val="1"/>
        <w:rPr>
          <w:rFonts w:hint="eastAsia" w:ascii="微软雅黑" w:hAnsi="微软雅黑" w:eastAsia="微软雅黑" w:cs="微软雅黑"/>
          <w:b/>
          <w:i w:val="0"/>
          <w:caps w:val="0"/>
          <w:color w:val="auto"/>
          <w:spacing w:val="0"/>
          <w:w w:val="100"/>
          <w:kern w:val="0"/>
          <w:sz w:val="24"/>
          <w:highlight w:val="none"/>
          <w:lang w:val="en-US" w:eastAsia="zh-CN"/>
        </w:rPr>
      </w:pPr>
      <w:bookmarkStart w:id="720" w:name="_Toc5264"/>
      <w:r>
        <w:rPr>
          <w:rFonts w:hint="eastAsia" w:ascii="微软雅黑" w:hAnsi="微软雅黑" w:eastAsia="微软雅黑" w:cs="微软雅黑"/>
          <w:b/>
          <w:i w:val="0"/>
          <w:caps w:val="0"/>
          <w:color w:val="auto"/>
          <w:spacing w:val="0"/>
          <w:w w:val="100"/>
          <w:kern w:val="0"/>
          <w:sz w:val="24"/>
          <w:highlight w:val="none"/>
          <w:lang w:val="en-US" w:eastAsia="zh-CN"/>
        </w:rPr>
        <w:t>提供针对本次项目《反商业贿赂承诺书》；</w:t>
      </w:r>
      <w:bookmarkEnd w:id="720"/>
    </w:p>
    <w:p>
      <w:pPr>
        <w:pStyle w:val="25"/>
        <w:widowControl w:val="0"/>
        <w:numPr>
          <w:ilvl w:val="0"/>
          <w:numId w:val="0"/>
        </w:numPr>
        <w:snapToGrid w:val="0"/>
        <w:jc w:val="left"/>
        <w:rPr>
          <w:rFonts w:hint="eastAsia"/>
          <w:color w:val="auto"/>
          <w:lang w:val="en-US" w:eastAsia="zh-CN"/>
        </w:rPr>
      </w:pPr>
    </w:p>
    <w:p>
      <w:pPr>
        <w:pStyle w:val="25"/>
        <w:widowControl w:val="0"/>
        <w:numPr>
          <w:ilvl w:val="0"/>
          <w:numId w:val="0"/>
        </w:numPr>
        <w:snapToGrid w:val="0"/>
        <w:jc w:val="left"/>
        <w:rPr>
          <w:rFonts w:hint="eastAsia"/>
          <w:color w:val="auto"/>
          <w:lang w:val="en-US" w:eastAsia="zh-CN"/>
        </w:rPr>
      </w:pPr>
    </w:p>
    <w:p>
      <w:pPr>
        <w:pStyle w:val="25"/>
        <w:widowControl w:val="0"/>
        <w:numPr>
          <w:ilvl w:val="0"/>
          <w:numId w:val="0"/>
        </w:numPr>
        <w:snapToGrid w:val="0"/>
        <w:jc w:val="left"/>
        <w:rPr>
          <w:rFonts w:hint="eastAsia"/>
          <w:color w:val="auto"/>
          <w:lang w:val="en-US" w:eastAsia="zh-CN"/>
        </w:rPr>
      </w:pPr>
    </w:p>
    <w:p>
      <w:pPr>
        <w:pStyle w:val="25"/>
        <w:widowControl w:val="0"/>
        <w:numPr>
          <w:ilvl w:val="0"/>
          <w:numId w:val="0"/>
        </w:numPr>
        <w:snapToGrid w:val="0"/>
        <w:jc w:val="left"/>
        <w:rPr>
          <w:rFonts w:hint="eastAsia"/>
          <w:color w:val="auto"/>
          <w:lang w:val="en-US" w:eastAsia="zh-CN"/>
        </w:rPr>
      </w:pPr>
    </w:p>
    <w:p>
      <w:pPr>
        <w:pStyle w:val="25"/>
        <w:widowControl w:val="0"/>
        <w:numPr>
          <w:ilvl w:val="0"/>
          <w:numId w:val="0"/>
        </w:numPr>
        <w:snapToGrid w:val="0"/>
        <w:jc w:val="left"/>
        <w:rPr>
          <w:rFonts w:hint="eastAsia"/>
          <w:color w:val="auto"/>
          <w:lang w:val="en-US" w:eastAsia="zh-CN"/>
        </w:rPr>
      </w:pPr>
    </w:p>
    <w:p>
      <w:pPr>
        <w:pStyle w:val="25"/>
        <w:widowControl w:val="0"/>
        <w:numPr>
          <w:ilvl w:val="0"/>
          <w:numId w:val="0"/>
        </w:numPr>
        <w:snapToGrid w:val="0"/>
        <w:jc w:val="left"/>
        <w:rPr>
          <w:rFonts w:hint="eastAsia"/>
          <w:color w:val="auto"/>
          <w:lang w:val="en-US" w:eastAsia="zh-CN"/>
        </w:rPr>
      </w:pPr>
    </w:p>
    <w:p>
      <w:pPr>
        <w:pStyle w:val="25"/>
        <w:widowControl w:val="0"/>
        <w:numPr>
          <w:ilvl w:val="0"/>
          <w:numId w:val="0"/>
        </w:numPr>
        <w:snapToGrid w:val="0"/>
        <w:jc w:val="left"/>
        <w:rPr>
          <w:rFonts w:hint="eastAsia"/>
          <w:color w:val="auto"/>
          <w:lang w:val="en-US" w:eastAsia="zh-CN"/>
        </w:rPr>
      </w:pPr>
    </w:p>
    <w:p>
      <w:pPr>
        <w:shd w:val="clear"/>
        <w:snapToGrid w:val="0"/>
        <w:spacing w:before="0" w:beforeAutospacing="0" w:after="0" w:afterAutospacing="0" w:line="360" w:lineRule="exact"/>
        <w:jc w:val="both"/>
        <w:textAlignment w:val="baseline"/>
        <w:outlineLvl w:val="1"/>
        <w:rPr>
          <w:rFonts w:hint="eastAsia" w:ascii="微软雅黑" w:hAnsi="微软雅黑" w:eastAsia="微软雅黑" w:cs="微软雅黑"/>
          <w:b/>
          <w:i w:val="0"/>
          <w:caps w:val="0"/>
          <w:color w:val="auto"/>
          <w:spacing w:val="0"/>
          <w:w w:val="100"/>
          <w:kern w:val="0"/>
          <w:sz w:val="24"/>
          <w:highlight w:val="none"/>
          <w:lang w:eastAsia="zh-CN"/>
        </w:rPr>
      </w:pPr>
      <w:bookmarkStart w:id="721" w:name="_Toc14665"/>
      <w:r>
        <w:rPr>
          <w:rFonts w:hint="eastAsia" w:ascii="微软雅黑" w:hAnsi="微软雅黑" w:eastAsia="微软雅黑" w:cs="微软雅黑"/>
          <w:b/>
          <w:i w:val="0"/>
          <w:caps w:val="0"/>
          <w:color w:val="auto"/>
          <w:spacing w:val="0"/>
          <w:w w:val="100"/>
          <w:kern w:val="0"/>
          <w:sz w:val="24"/>
          <w:highlight w:val="none"/>
          <w:lang w:val="en-US" w:eastAsia="zh-CN"/>
        </w:rPr>
        <w:t>11、</w:t>
      </w:r>
      <w:r>
        <w:rPr>
          <w:rFonts w:hint="eastAsia" w:ascii="微软雅黑" w:hAnsi="微软雅黑" w:eastAsia="微软雅黑" w:cs="微软雅黑"/>
          <w:b/>
          <w:i w:val="0"/>
          <w:caps w:val="0"/>
          <w:color w:val="auto"/>
          <w:spacing w:val="0"/>
          <w:w w:val="100"/>
          <w:kern w:val="0"/>
          <w:sz w:val="24"/>
          <w:highlight w:val="none"/>
          <w:lang w:eastAsia="zh-CN"/>
        </w:rPr>
        <w:t>缴纳磋商保证金的银行回执单</w:t>
      </w:r>
      <w:bookmarkEnd w:id="721"/>
    </w:p>
    <w:tbl>
      <w:tblPr>
        <w:tblStyle w:val="36"/>
        <w:tblpPr w:leftFromText="180" w:rightFromText="180" w:vertAnchor="text" w:horzAnchor="page" w:tblpXSpec="center" w:tblpY="393"/>
        <w:tblOverlap w:val="never"/>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7879" w:type="dxa"/>
          </w:tcPr>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360" w:lineRule="exac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eastAsia="zh-CN"/>
              </w:rPr>
              <w:t>缴纳磋商保证金的银行回执单</w:t>
            </w:r>
            <w:r>
              <w:rPr>
                <w:rFonts w:hint="eastAsia" w:ascii="微软雅黑" w:hAnsi="微软雅黑" w:eastAsia="微软雅黑" w:cs="微软雅黑"/>
                <w:b w:val="0"/>
                <w:i w:val="0"/>
                <w:caps w:val="0"/>
                <w:color w:val="auto"/>
                <w:spacing w:val="0"/>
                <w:w w:val="100"/>
                <w:sz w:val="24"/>
                <w:highlight w:val="none"/>
              </w:rPr>
              <w:t>复印件</w:t>
            </w:r>
          </w:p>
        </w:tc>
      </w:tr>
    </w:tbl>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注：本项目以</w:t>
      </w:r>
      <w:r>
        <w:rPr>
          <w:rFonts w:hint="eastAsia" w:ascii="微软雅黑" w:hAnsi="微软雅黑" w:eastAsia="微软雅黑" w:cs="微软雅黑"/>
          <w:b/>
          <w:bCs/>
          <w:i w:val="0"/>
          <w:caps w:val="0"/>
          <w:color w:val="auto"/>
          <w:spacing w:val="0"/>
          <w:w w:val="100"/>
          <w:sz w:val="24"/>
          <w:highlight w:val="none"/>
          <w:lang w:eastAsia="zh-CN"/>
        </w:rPr>
        <w:t>缴纳磋商保证金的银行回执单</w:t>
      </w:r>
      <w:r>
        <w:rPr>
          <w:rFonts w:hint="eastAsia" w:ascii="微软雅黑" w:hAnsi="微软雅黑" w:eastAsia="微软雅黑" w:cs="微软雅黑"/>
          <w:b/>
          <w:bCs/>
          <w:i w:val="0"/>
          <w:caps w:val="0"/>
          <w:color w:val="auto"/>
          <w:spacing w:val="0"/>
          <w:w w:val="100"/>
          <w:sz w:val="24"/>
          <w:highlight w:val="none"/>
        </w:rPr>
        <w:t>复印件盖公章为准。</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pStyle w:val="3"/>
        <w:shd w:val="clear"/>
        <w:snapToGrid w:val="0"/>
        <w:spacing w:before="0" w:beforeAutospacing="0" w:after="0" w:afterAutospacing="0" w:line="240" w:lineRule="auto"/>
        <w:ind w:firstLine="420"/>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3"/>
        <w:shd w:val="clear"/>
        <w:snapToGrid w:val="0"/>
        <w:spacing w:before="0" w:beforeAutospacing="0" w:after="0" w:afterAutospacing="0" w:line="240" w:lineRule="auto"/>
        <w:ind w:left="0" w:leftChars="0" w:firstLine="0" w:firstLineChars="0"/>
        <w:jc w:val="left"/>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0"/>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6"/>
        <w:shd w:val="clear"/>
        <w:snapToGrid w:val="0"/>
        <w:spacing w:before="0" w:beforeAutospacing="0" w:after="0" w:afterAutospacing="0" w:line="360" w:lineRule="exact"/>
        <w:jc w:val="both"/>
        <w:textAlignment w:val="baseline"/>
        <w:rPr>
          <w:rFonts w:hint="eastAsia" w:ascii="微软雅黑" w:hAnsi="微软雅黑" w:eastAsia="微软雅黑" w:cs="微软雅黑"/>
          <w:b/>
          <w:i w:val="0"/>
          <w:caps w:val="0"/>
          <w:color w:val="auto"/>
          <w:spacing w:val="0"/>
          <w:w w:val="100"/>
          <w:sz w:val="24"/>
          <w:szCs w:val="24"/>
          <w:highlight w:val="none"/>
          <w:lang w:eastAsia="zh-CN"/>
        </w:rPr>
      </w:pPr>
      <w:bookmarkStart w:id="722" w:name="_Toc26673"/>
      <w:bookmarkStart w:id="723" w:name="_Toc27251"/>
      <w:bookmarkStart w:id="724" w:name="_Toc26653"/>
      <w:bookmarkStart w:id="725" w:name="_Toc30691"/>
      <w:bookmarkStart w:id="726" w:name="_Toc660"/>
      <w:bookmarkStart w:id="727" w:name="_Toc27874"/>
      <w:bookmarkStart w:id="728" w:name="_Toc27586"/>
      <w:bookmarkStart w:id="729" w:name="_Toc1821"/>
      <w:bookmarkStart w:id="730" w:name="_Toc14251"/>
      <w:bookmarkStart w:id="731" w:name="_Toc16476"/>
      <w:bookmarkStart w:id="732" w:name="_Toc10181"/>
      <w:bookmarkStart w:id="733" w:name="_Toc12305"/>
      <w:bookmarkStart w:id="734" w:name="_Toc24143"/>
      <w:bookmarkStart w:id="735" w:name="_Toc4137"/>
      <w:bookmarkStart w:id="736" w:name="_Toc16724"/>
      <w:bookmarkStart w:id="737" w:name="_Toc11668"/>
      <w:r>
        <w:rPr>
          <w:rFonts w:hint="eastAsia" w:ascii="微软雅黑" w:hAnsi="微软雅黑" w:eastAsia="微软雅黑" w:cs="微软雅黑"/>
          <w:b/>
          <w:i w:val="0"/>
          <w:caps w:val="0"/>
          <w:color w:val="auto"/>
          <w:spacing w:val="0"/>
          <w:w w:val="100"/>
          <w:sz w:val="24"/>
          <w:szCs w:val="24"/>
          <w:highlight w:val="none"/>
          <w:lang w:val="en-US" w:eastAsia="zh-CN"/>
        </w:rPr>
        <w:t>12、</w:t>
      </w:r>
      <w:r>
        <w:rPr>
          <w:rFonts w:hint="eastAsia" w:ascii="微软雅黑" w:hAnsi="微软雅黑" w:eastAsia="微软雅黑" w:cs="微软雅黑"/>
          <w:b/>
          <w:i w:val="0"/>
          <w:caps w:val="0"/>
          <w:color w:val="auto"/>
          <w:spacing w:val="0"/>
          <w:w w:val="100"/>
          <w:sz w:val="24"/>
          <w:szCs w:val="24"/>
          <w:highlight w:val="none"/>
        </w:rPr>
        <w:t>提供有利于磋商的其他证明材料</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3"/>
        <w:shd w:val="clear"/>
        <w:rPr>
          <w:rFonts w:hint="eastAsia" w:ascii="微软雅黑" w:hAnsi="微软雅黑" w:eastAsia="微软雅黑" w:cs="微软雅黑"/>
          <w:b w:val="0"/>
          <w:i w:val="0"/>
          <w:caps w:val="0"/>
          <w:color w:val="auto"/>
          <w:spacing w:val="0"/>
          <w:w w:val="100"/>
          <w:sz w:val="24"/>
          <w:szCs w:val="24"/>
          <w:highlight w:val="none"/>
          <w:u w:val="single" w:color="000000"/>
        </w:rPr>
      </w:pPr>
    </w:p>
    <w:p>
      <w:pPr>
        <w:shd w:val="clear"/>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25"/>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25"/>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25"/>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25"/>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3"/>
        <w:shd w:val="clear"/>
        <w:rPr>
          <w:rFonts w:hint="eastAsia" w:ascii="微软雅黑" w:hAnsi="微软雅黑" w:eastAsia="微软雅黑" w:cs="微软雅黑"/>
          <w:b w:val="0"/>
          <w:i w:val="0"/>
          <w:caps w:val="0"/>
          <w:color w:val="auto"/>
          <w:spacing w:val="0"/>
          <w:w w:val="100"/>
          <w:sz w:val="24"/>
          <w:szCs w:val="24"/>
          <w:highlight w:val="none"/>
          <w:u w:val="single" w:color="000000"/>
        </w:rPr>
      </w:pPr>
    </w:p>
    <w:p>
      <w:pPr>
        <w:shd w:val="clear"/>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rPr>
      </w:pPr>
      <w:bookmarkStart w:id="738" w:name="_Toc22967"/>
      <w:bookmarkStart w:id="739" w:name="_Toc11180"/>
      <w:bookmarkStart w:id="740" w:name="_Toc8088"/>
      <w:bookmarkStart w:id="741" w:name="_Toc12440"/>
      <w:bookmarkStart w:id="742" w:name="_Toc25827"/>
      <w:bookmarkStart w:id="743" w:name="_Toc11956"/>
      <w:bookmarkStart w:id="744" w:name="_Toc515647816"/>
      <w:bookmarkStart w:id="745" w:name="_Toc3552"/>
      <w:r>
        <w:rPr>
          <w:rFonts w:hint="eastAsia" w:ascii="微软雅黑" w:hAnsi="微软雅黑" w:eastAsia="微软雅黑" w:cs="微软雅黑"/>
          <w:b/>
          <w:i w:val="0"/>
          <w:caps w:val="0"/>
          <w:color w:val="auto"/>
          <w:spacing w:val="0"/>
          <w:w w:val="100"/>
          <w:sz w:val="24"/>
          <w:szCs w:val="24"/>
          <w:highlight w:val="none"/>
        </w:rPr>
        <w:t>第二部分  商务及技术文件</w:t>
      </w:r>
      <w:bookmarkEnd w:id="738"/>
      <w:bookmarkEnd w:id="739"/>
      <w:bookmarkEnd w:id="740"/>
      <w:bookmarkEnd w:id="741"/>
      <w:bookmarkEnd w:id="742"/>
      <w:bookmarkEnd w:id="743"/>
      <w:bookmarkEnd w:id="744"/>
      <w:bookmarkEnd w:id="745"/>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1、磋商书</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lang w:eastAsia="zh-CN"/>
        </w:rPr>
      </w:pPr>
      <w:r>
        <w:rPr>
          <w:rFonts w:hint="eastAsia" w:ascii="微软雅黑" w:hAnsi="微软雅黑" w:eastAsia="微软雅黑" w:cs="微软雅黑"/>
          <w:b w:val="0"/>
          <w:i w:val="0"/>
          <w:caps w:val="0"/>
          <w:color w:val="auto"/>
          <w:spacing w:val="0"/>
          <w:w w:val="100"/>
          <w:sz w:val="24"/>
          <w:szCs w:val="24"/>
          <w:highlight w:val="none"/>
        </w:rPr>
        <w:t>2、磋商分项报价表</w:t>
      </w:r>
      <w:r>
        <w:rPr>
          <w:rFonts w:hint="eastAsia" w:ascii="微软雅黑" w:hAnsi="微软雅黑" w:eastAsia="微软雅黑" w:cs="微软雅黑"/>
          <w:b w:val="0"/>
          <w:i w:val="0"/>
          <w:caps w:val="0"/>
          <w:color w:val="auto"/>
          <w:spacing w:val="0"/>
          <w:w w:val="100"/>
          <w:sz w:val="24"/>
          <w:szCs w:val="24"/>
          <w:highlight w:val="none"/>
          <w:lang w:eastAsia="zh-CN"/>
        </w:rPr>
        <w:t>（</w:t>
      </w:r>
      <w:r>
        <w:rPr>
          <w:rFonts w:hint="eastAsia" w:ascii="微软雅黑" w:hAnsi="微软雅黑" w:eastAsia="微软雅黑" w:cs="微软雅黑"/>
          <w:b w:val="0"/>
          <w:i w:val="0"/>
          <w:caps w:val="0"/>
          <w:color w:val="auto"/>
          <w:spacing w:val="0"/>
          <w:w w:val="100"/>
          <w:sz w:val="24"/>
          <w:szCs w:val="24"/>
          <w:highlight w:val="none"/>
          <w:lang w:val="en-US" w:eastAsia="zh-CN"/>
        </w:rPr>
        <w:t>一</w:t>
      </w:r>
      <w:r>
        <w:rPr>
          <w:rFonts w:hint="eastAsia" w:ascii="微软雅黑" w:hAnsi="微软雅黑" w:eastAsia="微软雅黑" w:cs="微软雅黑"/>
          <w:b w:val="0"/>
          <w:i w:val="0"/>
          <w:caps w:val="0"/>
          <w:color w:val="auto"/>
          <w:spacing w:val="0"/>
          <w:w w:val="100"/>
          <w:sz w:val="24"/>
          <w:szCs w:val="24"/>
          <w:highlight w:val="none"/>
          <w:lang w:eastAsia="zh-CN"/>
        </w:rPr>
        <w:t>）</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（二）备品备件设备分项报价表</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3、</w:t>
      </w:r>
      <w:r>
        <w:rPr>
          <w:rFonts w:hint="eastAsia" w:ascii="微软雅黑" w:hAnsi="微软雅黑" w:eastAsia="微软雅黑" w:cs="微软雅黑"/>
          <w:b w:val="0"/>
          <w:i w:val="0"/>
          <w:caps w:val="0"/>
          <w:color w:val="auto"/>
          <w:spacing w:val="0"/>
          <w:w w:val="100"/>
          <w:sz w:val="24"/>
          <w:szCs w:val="24"/>
          <w:highlight w:val="none"/>
          <w:lang w:val="en-US" w:eastAsia="zh-CN"/>
        </w:rPr>
        <w:t>服务</w:t>
      </w:r>
      <w:r>
        <w:rPr>
          <w:rFonts w:hint="eastAsia" w:ascii="微软雅黑" w:hAnsi="微软雅黑" w:eastAsia="微软雅黑" w:cs="微软雅黑"/>
          <w:b w:val="0"/>
          <w:i w:val="0"/>
          <w:caps w:val="0"/>
          <w:color w:val="auto"/>
          <w:spacing w:val="0"/>
          <w:w w:val="100"/>
          <w:sz w:val="24"/>
          <w:szCs w:val="24"/>
          <w:highlight w:val="none"/>
        </w:rPr>
        <w:t>说明一览表</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rPr>
        <w:t>4、</w:t>
      </w:r>
      <w:r>
        <w:rPr>
          <w:rFonts w:hint="eastAsia" w:ascii="微软雅黑" w:hAnsi="微软雅黑" w:eastAsia="微软雅黑" w:cs="微软雅黑"/>
          <w:b w:val="0"/>
          <w:i w:val="0"/>
          <w:caps w:val="0"/>
          <w:color w:val="auto"/>
          <w:spacing w:val="0"/>
          <w:w w:val="100"/>
          <w:sz w:val="24"/>
          <w:szCs w:val="24"/>
          <w:highlight w:val="none"/>
          <w:lang w:val="en-US" w:eastAsia="zh-CN"/>
        </w:rPr>
        <w:t>技术规格偏离表</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5、</w:t>
      </w:r>
      <w:r>
        <w:rPr>
          <w:rFonts w:hint="eastAsia" w:ascii="微软雅黑" w:hAnsi="微软雅黑" w:eastAsia="微软雅黑" w:cs="微软雅黑"/>
          <w:b w:val="0"/>
          <w:i w:val="0"/>
          <w:caps w:val="0"/>
          <w:color w:val="auto"/>
          <w:spacing w:val="0"/>
          <w:w w:val="100"/>
          <w:sz w:val="24"/>
          <w:szCs w:val="24"/>
          <w:highlight w:val="none"/>
        </w:rPr>
        <w:t>商务条款偏离表</w:t>
      </w:r>
    </w:p>
    <w:p>
      <w:pPr>
        <w:pStyle w:val="16"/>
        <w:shd w:val="clear"/>
        <w:snapToGrid w:val="0"/>
        <w:spacing w:before="0" w:beforeAutospacing="0" w:after="0" w:afterAutospacing="0" w:line="240" w:lineRule="auto"/>
        <w:ind w:left="311" w:leftChars="148" w:firstLine="228"/>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6</w:t>
      </w:r>
      <w:r>
        <w:rPr>
          <w:rFonts w:hint="eastAsia" w:ascii="微软雅黑" w:hAnsi="微软雅黑" w:eastAsia="微软雅黑" w:cs="微软雅黑"/>
          <w:b w:val="0"/>
          <w:i w:val="0"/>
          <w:caps w:val="0"/>
          <w:color w:val="auto"/>
          <w:spacing w:val="0"/>
          <w:w w:val="100"/>
          <w:sz w:val="24"/>
          <w:szCs w:val="24"/>
          <w:highlight w:val="none"/>
        </w:rPr>
        <w:t>-1</w:t>
      </w:r>
      <w:r>
        <w:rPr>
          <w:rFonts w:hint="eastAsia" w:ascii="微软雅黑" w:hAnsi="微软雅黑" w:eastAsia="微软雅黑" w:cs="微软雅黑"/>
          <w:b w:val="0"/>
          <w:i w:val="0"/>
          <w:caps w:val="0"/>
          <w:color w:val="auto"/>
          <w:spacing w:val="0"/>
          <w:w w:val="100"/>
          <w:sz w:val="24"/>
          <w:szCs w:val="24"/>
          <w:highlight w:val="none"/>
          <w:lang w:val="en-US" w:eastAsia="zh-CN"/>
        </w:rPr>
        <w:t>中小企业声明函</w:t>
      </w:r>
    </w:p>
    <w:p>
      <w:pPr>
        <w:pStyle w:val="16"/>
        <w:shd w:val="clear"/>
        <w:snapToGrid w:val="0"/>
        <w:spacing w:before="0" w:beforeAutospacing="0" w:after="0" w:afterAutospacing="0" w:line="240" w:lineRule="auto"/>
        <w:ind w:left="311" w:leftChars="148" w:firstLine="228"/>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6</w:t>
      </w:r>
      <w:r>
        <w:rPr>
          <w:rFonts w:hint="eastAsia" w:ascii="微软雅黑" w:hAnsi="微软雅黑" w:eastAsia="微软雅黑" w:cs="微软雅黑"/>
          <w:b w:val="0"/>
          <w:i w:val="0"/>
          <w:caps w:val="0"/>
          <w:color w:val="auto"/>
          <w:spacing w:val="0"/>
          <w:w w:val="100"/>
          <w:sz w:val="24"/>
          <w:szCs w:val="24"/>
          <w:highlight w:val="none"/>
        </w:rPr>
        <w:t>-2《残疾人福利性单位声明函》</w:t>
      </w:r>
    </w:p>
    <w:p>
      <w:pPr>
        <w:pStyle w:val="16"/>
        <w:shd w:val="clear"/>
        <w:snapToGrid w:val="0"/>
        <w:spacing w:before="0" w:beforeAutospacing="0" w:after="0" w:afterAutospacing="0" w:line="240" w:lineRule="auto"/>
        <w:ind w:left="311" w:leftChars="148" w:firstLine="228"/>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7</w:t>
      </w:r>
      <w:r>
        <w:rPr>
          <w:rFonts w:hint="eastAsia" w:ascii="微软雅黑" w:hAnsi="微软雅黑" w:eastAsia="微软雅黑" w:cs="微软雅黑"/>
          <w:b w:val="0"/>
          <w:i w:val="0"/>
          <w:caps w:val="0"/>
          <w:color w:val="auto"/>
          <w:spacing w:val="0"/>
          <w:w w:val="100"/>
          <w:sz w:val="24"/>
          <w:szCs w:val="24"/>
          <w:highlight w:val="none"/>
        </w:rPr>
        <w:t>、供应商关联单位的说明</w:t>
      </w:r>
      <w:bookmarkStart w:id="746" w:name="_Toc9302"/>
      <w:bookmarkStart w:id="747" w:name="_Toc30163"/>
    </w:p>
    <w:p>
      <w:pPr>
        <w:pStyle w:val="16"/>
        <w:shd w:val="clear"/>
        <w:snapToGrid w:val="0"/>
        <w:spacing w:before="0" w:beforeAutospacing="0" w:after="0" w:afterAutospacing="0" w:line="240" w:lineRule="auto"/>
        <w:ind w:left="311" w:leftChars="148" w:firstLine="228"/>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lang w:val="en-US" w:eastAsia="zh-CN"/>
        </w:rPr>
        <w:t>8</w:t>
      </w:r>
      <w:r>
        <w:rPr>
          <w:rFonts w:hint="eastAsia" w:ascii="微软雅黑" w:hAnsi="微软雅黑" w:eastAsia="微软雅黑" w:cs="微软雅黑"/>
          <w:b w:val="0"/>
          <w:bCs/>
          <w:i w:val="0"/>
          <w:caps w:val="0"/>
          <w:color w:val="auto"/>
          <w:spacing w:val="0"/>
          <w:w w:val="100"/>
          <w:sz w:val="24"/>
          <w:highlight w:val="none"/>
        </w:rPr>
        <w:t>、提供有利于磋商的其他证明材料</w:t>
      </w:r>
      <w:bookmarkEnd w:id="746"/>
      <w:bookmarkEnd w:id="747"/>
    </w:p>
    <w:p>
      <w:pPr>
        <w:shd w:val="clear"/>
        <w:snapToGrid w:val="0"/>
        <w:spacing w:before="0" w:beforeAutospacing="0" w:after="0" w:afterAutospacing="0" w:line="240" w:lineRule="atLeast"/>
        <w:ind w:left="1079" w:leftChars="257" w:hanging="539"/>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9</w:t>
      </w:r>
      <w:r>
        <w:rPr>
          <w:rFonts w:hint="eastAsia" w:ascii="微软雅黑" w:hAnsi="微软雅黑" w:eastAsia="微软雅黑" w:cs="微软雅黑"/>
          <w:b w:val="0"/>
          <w:i w:val="0"/>
          <w:caps w:val="0"/>
          <w:color w:val="auto"/>
          <w:spacing w:val="0"/>
          <w:w w:val="100"/>
          <w:sz w:val="24"/>
          <w:highlight w:val="none"/>
        </w:rPr>
        <w:t>、磋商文件格式范本</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highlight w:val="none"/>
        </w:rPr>
      </w:pPr>
      <w:bookmarkStart w:id="748" w:name="_Toc18614"/>
      <w:bookmarkStart w:id="749" w:name="_Toc2041"/>
      <w:bookmarkStart w:id="750" w:name="_Toc18506"/>
      <w:bookmarkStart w:id="751" w:name="_Toc19676"/>
      <w:bookmarkStart w:id="752" w:name="_Toc8940"/>
      <w:bookmarkStart w:id="753" w:name="_Toc14858"/>
      <w:bookmarkStart w:id="754" w:name="_Toc12852"/>
      <w:bookmarkStart w:id="755" w:name="_Toc11475"/>
      <w:bookmarkStart w:id="756" w:name="_Toc22432"/>
      <w:bookmarkStart w:id="757" w:name="_Toc14915"/>
      <w:bookmarkStart w:id="758" w:name="_Toc515647817"/>
      <w:r>
        <w:rPr>
          <w:rFonts w:hint="eastAsia" w:ascii="微软雅黑" w:hAnsi="微软雅黑" w:eastAsia="微软雅黑" w:cs="微软雅黑"/>
          <w:b/>
          <w:i w:val="0"/>
          <w:caps w:val="0"/>
          <w:color w:val="auto"/>
          <w:spacing w:val="0"/>
          <w:w w:val="100"/>
          <w:sz w:val="24"/>
          <w:szCs w:val="24"/>
          <w:highlight w:val="none"/>
        </w:rPr>
        <w:t>1</w:t>
      </w:r>
      <w:bookmarkEnd w:id="674"/>
      <w:bookmarkEnd w:id="675"/>
      <w:bookmarkStart w:id="759" w:name="_Hlt520355504"/>
      <w:bookmarkEnd w:id="759"/>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磋商书</w:t>
      </w:r>
      <w:bookmarkEnd w:id="676"/>
      <w:bookmarkEnd w:id="677"/>
      <w:bookmarkEnd w:id="748"/>
      <w:bookmarkEnd w:id="749"/>
      <w:bookmarkEnd w:id="750"/>
      <w:bookmarkEnd w:id="751"/>
      <w:bookmarkEnd w:id="752"/>
      <w:bookmarkEnd w:id="753"/>
      <w:bookmarkEnd w:id="754"/>
      <w:bookmarkEnd w:id="755"/>
      <w:bookmarkEnd w:id="756"/>
      <w:bookmarkEnd w:id="757"/>
      <w:bookmarkEnd w:id="758"/>
    </w:p>
    <w:p>
      <w:pPr>
        <w:shd w:val="clear"/>
        <w:tabs>
          <w:tab w:val="left" w:pos="5580"/>
        </w:tabs>
        <w:snapToGrid w:val="0"/>
        <w:spacing w:before="0" w:beforeAutospacing="0" w:after="0" w:afterAutospacing="0" w:line="240" w:lineRule="atLeast"/>
        <w:ind w:left="1080" w:hanging="10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致：</w:t>
      </w:r>
    </w:p>
    <w:p>
      <w:pPr>
        <w:pStyle w:val="16"/>
        <w:shd w:val="clear"/>
        <w:tabs>
          <w:tab w:val="left" w:pos="5580"/>
        </w:tabs>
        <w:snapToGrid w:val="0"/>
        <w:spacing w:before="0" w:beforeAutospacing="0" w:after="0" w:afterAutospacing="0" w:line="240" w:lineRule="atLeast"/>
        <w:ind w:left="2" w:leftChars="1" w:firstLine="480" w:firstLineChars="20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根据贵方(</w:t>
      </w:r>
      <w:r>
        <w:rPr>
          <w:rFonts w:hint="eastAsia" w:ascii="微软雅黑" w:hAnsi="微软雅黑" w:eastAsia="微软雅黑" w:cs="微软雅黑"/>
          <w:b w:val="0"/>
          <w:i/>
          <w:caps w:val="0"/>
          <w:color w:val="auto"/>
          <w:spacing w:val="0"/>
          <w:w w:val="100"/>
          <w:sz w:val="24"/>
          <w:szCs w:val="24"/>
          <w:highlight w:val="none"/>
          <w:u w:val="single" w:color="000000"/>
        </w:rPr>
        <w:t>项目名称</w:t>
      </w:r>
      <w:r>
        <w:rPr>
          <w:rFonts w:hint="eastAsia" w:ascii="微软雅黑" w:hAnsi="微软雅黑" w:eastAsia="微软雅黑" w:cs="微软雅黑"/>
          <w:b w:val="0"/>
          <w:i w:val="0"/>
          <w:caps w:val="0"/>
          <w:color w:val="auto"/>
          <w:spacing w:val="0"/>
          <w:w w:val="100"/>
          <w:sz w:val="24"/>
          <w:szCs w:val="24"/>
          <w:highlight w:val="none"/>
        </w:rPr>
        <w:t>)项目的磋商邀请(</w:t>
      </w:r>
      <w:r>
        <w:rPr>
          <w:rFonts w:hint="eastAsia" w:ascii="微软雅黑" w:hAnsi="微软雅黑" w:eastAsia="微软雅黑" w:cs="微软雅黑"/>
          <w:b w:val="0"/>
          <w:i/>
          <w:caps w:val="0"/>
          <w:color w:val="auto"/>
          <w:spacing w:val="0"/>
          <w:w w:val="100"/>
          <w:sz w:val="24"/>
          <w:szCs w:val="24"/>
          <w:highlight w:val="none"/>
          <w:u w:val="single" w:color="000000"/>
          <w:lang w:eastAsia="zh-CN"/>
        </w:rPr>
        <w:t>项目编号</w:t>
      </w:r>
      <w:r>
        <w:rPr>
          <w:rFonts w:hint="eastAsia" w:ascii="微软雅黑" w:hAnsi="微软雅黑" w:eastAsia="微软雅黑" w:cs="微软雅黑"/>
          <w:b w:val="0"/>
          <w:i w:val="0"/>
          <w:caps w:val="0"/>
          <w:color w:val="auto"/>
          <w:spacing w:val="0"/>
          <w:w w:val="100"/>
          <w:sz w:val="24"/>
          <w:szCs w:val="24"/>
          <w:highlight w:val="none"/>
        </w:rPr>
        <w:t>),签字代表(</w:t>
      </w:r>
      <w:r>
        <w:rPr>
          <w:rFonts w:hint="eastAsia" w:ascii="微软雅黑" w:hAnsi="微软雅黑" w:eastAsia="微软雅黑" w:cs="微软雅黑"/>
          <w:b w:val="0"/>
          <w:i/>
          <w:caps w:val="0"/>
          <w:color w:val="auto"/>
          <w:spacing w:val="0"/>
          <w:w w:val="100"/>
          <w:sz w:val="24"/>
          <w:szCs w:val="24"/>
          <w:highlight w:val="none"/>
          <w:u w:val="single" w:color="000000"/>
        </w:rPr>
        <w:t>姓名、职务</w:t>
      </w:r>
      <w:r>
        <w:rPr>
          <w:rFonts w:hint="eastAsia" w:ascii="微软雅黑" w:hAnsi="微软雅黑" w:eastAsia="微软雅黑" w:cs="微软雅黑"/>
          <w:b w:val="0"/>
          <w:i w:val="0"/>
          <w:caps w:val="0"/>
          <w:color w:val="auto"/>
          <w:spacing w:val="0"/>
          <w:w w:val="100"/>
          <w:sz w:val="24"/>
          <w:szCs w:val="24"/>
          <w:highlight w:val="none"/>
        </w:rPr>
        <w:t>)经正式授权并代表供应商（</w:t>
      </w:r>
      <w:r>
        <w:rPr>
          <w:rFonts w:hint="eastAsia" w:ascii="微软雅黑" w:hAnsi="微软雅黑" w:eastAsia="微软雅黑" w:cs="微软雅黑"/>
          <w:b w:val="0"/>
          <w:i/>
          <w:caps w:val="0"/>
          <w:color w:val="auto"/>
          <w:spacing w:val="0"/>
          <w:w w:val="100"/>
          <w:sz w:val="24"/>
          <w:szCs w:val="24"/>
          <w:highlight w:val="none"/>
          <w:u w:val="single" w:color="000000"/>
        </w:rPr>
        <w:t>名称、地址</w:t>
      </w:r>
      <w:r>
        <w:rPr>
          <w:rFonts w:hint="eastAsia" w:ascii="微软雅黑" w:hAnsi="微软雅黑" w:eastAsia="微软雅黑" w:cs="微软雅黑"/>
          <w:b w:val="0"/>
          <w:i w:val="0"/>
          <w:caps w:val="0"/>
          <w:color w:val="auto"/>
          <w:spacing w:val="0"/>
          <w:w w:val="100"/>
          <w:sz w:val="24"/>
          <w:szCs w:val="24"/>
          <w:highlight w:val="none"/>
        </w:rPr>
        <w:t>）提交下述文件正本</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份、副本</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份及电子文档</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份，并以</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形式出具的金额为人民币</w:t>
      </w:r>
      <w:r>
        <w:rPr>
          <w:rFonts w:hint="eastAsia" w:ascii="微软雅黑" w:hAnsi="微软雅黑" w:eastAsia="微软雅黑" w:cs="微软雅黑"/>
          <w:b w:val="0"/>
          <w:i w:val="0"/>
          <w:caps w:val="0"/>
          <w:color w:val="auto"/>
          <w:spacing w:val="0"/>
          <w:w w:val="100"/>
          <w:sz w:val="24"/>
          <w:szCs w:val="24"/>
          <w:highlight w:val="none"/>
          <w:u w:val="single" w:color="000000"/>
        </w:rPr>
        <w:t>　　　　</w:t>
      </w:r>
      <w:r>
        <w:rPr>
          <w:rFonts w:hint="eastAsia" w:ascii="微软雅黑" w:hAnsi="微软雅黑" w:eastAsia="微软雅黑" w:cs="微软雅黑"/>
          <w:b w:val="0"/>
          <w:i w:val="0"/>
          <w:caps w:val="0"/>
          <w:color w:val="auto"/>
          <w:spacing w:val="0"/>
          <w:w w:val="100"/>
          <w:sz w:val="24"/>
          <w:szCs w:val="24"/>
          <w:highlight w:val="none"/>
        </w:rPr>
        <w:t>元的磋商保证金。</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据此，签字代表宣布同意如下：</w:t>
      </w:r>
    </w:p>
    <w:p>
      <w:pPr>
        <w:pStyle w:val="16"/>
        <w:shd w:val="clear"/>
        <w:tabs>
          <w:tab w:val="left" w:pos="720"/>
          <w:tab w:val="left" w:pos="900"/>
        </w:tabs>
        <w:snapToGrid w:val="0"/>
        <w:spacing w:before="0" w:beforeAutospacing="0" w:after="0" w:afterAutospacing="0" w:line="240" w:lineRule="atLeast"/>
        <w:ind w:left="769" w:leftChars="257" w:hanging="229"/>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（1）附磋商价格表中规定的应提供</w:t>
      </w:r>
      <w:r>
        <w:rPr>
          <w:rFonts w:hint="eastAsia" w:ascii="微软雅黑" w:hAnsi="微软雅黑" w:eastAsia="微软雅黑" w:cs="微软雅黑"/>
          <w:b w:val="0"/>
          <w:i w:val="0"/>
          <w:caps w:val="0"/>
          <w:color w:val="auto"/>
          <w:spacing w:val="0"/>
          <w:w w:val="100"/>
          <w:sz w:val="24"/>
          <w:szCs w:val="24"/>
          <w:highlight w:val="none"/>
          <w:lang w:eastAsia="zh-CN"/>
        </w:rPr>
        <w:t>服务</w:t>
      </w:r>
      <w:r>
        <w:rPr>
          <w:rFonts w:hint="eastAsia" w:ascii="微软雅黑" w:hAnsi="微软雅黑" w:eastAsia="微软雅黑" w:cs="微软雅黑"/>
          <w:b w:val="0"/>
          <w:i w:val="0"/>
          <w:caps w:val="0"/>
          <w:color w:val="auto"/>
          <w:spacing w:val="0"/>
          <w:w w:val="100"/>
          <w:sz w:val="24"/>
          <w:szCs w:val="24"/>
          <w:highlight w:val="none"/>
        </w:rPr>
        <w:t>的磋商总价详见磋商开启一览表，</w:t>
      </w:r>
      <w:r>
        <w:rPr>
          <w:rFonts w:hint="eastAsia" w:ascii="微软雅黑" w:hAnsi="微软雅黑" w:eastAsia="微软雅黑" w:cs="微软雅黑"/>
          <w:b w:val="0"/>
          <w:i w:val="0"/>
          <w:caps w:val="0"/>
          <w:color w:val="auto"/>
          <w:spacing w:val="0"/>
          <w:w w:val="100"/>
          <w:sz w:val="24"/>
          <w:szCs w:val="24"/>
          <w:highlight w:val="none"/>
          <w:u w:val="single" w:color="000000"/>
        </w:rPr>
        <w:t>其中由小型和</w:t>
      </w:r>
      <w:r>
        <w:rPr>
          <w:rFonts w:hint="eastAsia" w:ascii="微软雅黑" w:hAnsi="微软雅黑" w:eastAsia="微软雅黑" w:cs="微软雅黑"/>
          <w:b w:val="0"/>
          <w:i w:val="0"/>
          <w:caps w:val="0"/>
          <w:color w:val="auto"/>
          <w:spacing w:val="0"/>
          <w:w w:val="100"/>
          <w:sz w:val="24"/>
          <w:szCs w:val="24"/>
          <w:highlight w:val="none"/>
        </w:rPr>
        <w:t>微型企业制造产品的价格为</w:t>
      </w:r>
      <w:r>
        <w:rPr>
          <w:rFonts w:hint="eastAsia" w:ascii="微软雅黑" w:hAnsi="微软雅黑" w:eastAsia="微软雅黑" w:cs="微软雅黑"/>
          <w:b w:val="0"/>
          <w:i w:val="0"/>
          <w:caps w:val="0"/>
          <w:color w:val="auto"/>
          <w:spacing w:val="0"/>
          <w:w w:val="100"/>
          <w:sz w:val="24"/>
          <w:szCs w:val="24"/>
          <w:highlight w:val="none"/>
          <w:u w:val="single" w:color="000000"/>
        </w:rPr>
        <w:t>　　  （用文字和数字表示），占磋商总价   %</w:t>
      </w:r>
      <w:r>
        <w:rPr>
          <w:rFonts w:hint="eastAsia" w:ascii="微软雅黑" w:hAnsi="微软雅黑" w:eastAsia="微软雅黑" w:cs="微软雅黑"/>
          <w:b w:val="0"/>
          <w:i w:val="0"/>
          <w:caps w:val="0"/>
          <w:color w:val="auto"/>
          <w:spacing w:val="0"/>
          <w:w w:val="100"/>
          <w:sz w:val="24"/>
          <w:szCs w:val="24"/>
          <w:highlight w:val="none"/>
        </w:rPr>
        <w:t>。</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（2）本磋商有效期为自磋商截止之日起</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个日历日。</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（3）联合体中的大中型企业和其他自然人、法人或者非法人组织，与联合体中的小型、微型企业之间</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存在、不存在）投资关系（如果是联合体的话）。</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（4）已详细审查全部磋商文件，包括所有补充通知（如果有的话），完全理解并同意放弃对这方面有不明、误解和质疑的权力。</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（5）在规定的磋商开启时间后，遵守磋商文件中有关保证金的规定。</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（6）我方不是为本项目提供整体设计、规范编制或者项目管理、监理、检测等</w:t>
      </w:r>
      <w:r>
        <w:rPr>
          <w:rFonts w:hint="eastAsia" w:ascii="微软雅黑" w:hAnsi="微软雅黑" w:eastAsia="微软雅黑" w:cs="微软雅黑"/>
          <w:b w:val="0"/>
          <w:i w:val="0"/>
          <w:caps w:val="0"/>
          <w:color w:val="auto"/>
          <w:spacing w:val="0"/>
          <w:w w:val="100"/>
          <w:sz w:val="24"/>
          <w:szCs w:val="24"/>
          <w:highlight w:val="none"/>
          <w:lang w:eastAsia="zh-CN"/>
        </w:rPr>
        <w:t>服务</w:t>
      </w:r>
      <w:r>
        <w:rPr>
          <w:rFonts w:hint="eastAsia" w:ascii="微软雅黑" w:hAnsi="微软雅黑" w:eastAsia="微软雅黑" w:cs="微软雅黑"/>
          <w:b w:val="0"/>
          <w:i w:val="0"/>
          <w:caps w:val="0"/>
          <w:color w:val="auto"/>
          <w:spacing w:val="0"/>
          <w:w w:val="100"/>
          <w:sz w:val="24"/>
          <w:szCs w:val="24"/>
          <w:highlight w:val="none"/>
        </w:rPr>
        <w:t>的供应商，我方不是</w:t>
      </w:r>
      <w:r>
        <w:rPr>
          <w:rFonts w:hint="eastAsia" w:ascii="微软雅黑" w:hAnsi="微软雅黑" w:eastAsia="微软雅黑" w:cs="微软雅黑"/>
          <w:b w:val="0"/>
          <w:i w:val="0"/>
          <w:caps w:val="0"/>
          <w:color w:val="auto"/>
          <w:spacing w:val="0"/>
          <w:w w:val="100"/>
          <w:sz w:val="24"/>
          <w:szCs w:val="24"/>
          <w:highlight w:val="none"/>
          <w:lang w:val="en-US" w:eastAsia="zh-CN"/>
        </w:rPr>
        <w:t>采购人</w:t>
      </w:r>
      <w:r>
        <w:rPr>
          <w:rFonts w:hint="eastAsia" w:ascii="微软雅黑" w:hAnsi="微软雅黑" w:eastAsia="微软雅黑" w:cs="微软雅黑"/>
          <w:b w:val="0"/>
          <w:i w:val="0"/>
          <w:caps w:val="0"/>
          <w:color w:val="auto"/>
          <w:spacing w:val="0"/>
          <w:w w:val="100"/>
          <w:sz w:val="24"/>
          <w:szCs w:val="24"/>
          <w:highlight w:val="none"/>
        </w:rPr>
        <w:t>的附属机构。</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（7）在领取成交通知书的同时按磋商文件规定的形式，向贵方一次性支付成交</w:t>
      </w:r>
      <w:r>
        <w:rPr>
          <w:rFonts w:hint="eastAsia" w:ascii="微软雅黑" w:hAnsi="微软雅黑" w:eastAsia="微软雅黑" w:cs="微软雅黑"/>
          <w:b w:val="0"/>
          <w:i w:val="0"/>
          <w:caps w:val="0"/>
          <w:color w:val="auto"/>
          <w:spacing w:val="0"/>
          <w:w w:val="100"/>
          <w:sz w:val="24"/>
          <w:szCs w:val="24"/>
          <w:highlight w:val="none"/>
          <w:lang w:eastAsia="zh-CN"/>
        </w:rPr>
        <w:t>服务</w:t>
      </w:r>
      <w:r>
        <w:rPr>
          <w:rFonts w:hint="eastAsia" w:ascii="微软雅黑" w:hAnsi="微软雅黑" w:eastAsia="微软雅黑" w:cs="微软雅黑"/>
          <w:b w:val="0"/>
          <w:i w:val="0"/>
          <w:caps w:val="0"/>
          <w:color w:val="auto"/>
          <w:spacing w:val="0"/>
          <w:w w:val="100"/>
          <w:sz w:val="24"/>
          <w:szCs w:val="24"/>
          <w:highlight w:val="none"/>
        </w:rPr>
        <w:t>费。</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（8）按照贵方可能要求，提供与其磋商有关的一切数据或资料，完全理解贵方不一定接受最低价的磋商或收到的任何磋商。</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（9）按照磋商文件的规定履行合同责任和义务。</w:t>
      </w:r>
    </w:p>
    <w:p>
      <w:pPr>
        <w:pStyle w:val="16"/>
        <w:shd w:val="clear"/>
        <w:tabs>
          <w:tab w:val="left" w:pos="5580"/>
        </w:tabs>
        <w:snapToGrid w:val="0"/>
        <w:spacing w:before="0" w:beforeAutospacing="0" w:after="0" w:afterAutospacing="0" w:line="240" w:lineRule="atLeast"/>
        <w:ind w:left="359" w:leftChars="68" w:hangingChars="9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与本磋商有关的一切正式往来信函请寄：</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地址</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 xml:space="preserve">     传真</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电话</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 xml:space="preserve">     电子函件</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法定代表人或其委托代理人（签/章）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供应商名称（全称）</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供应商开户银行（全称）</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供应商银行帐号</w:t>
      </w:r>
      <w:r>
        <w:rPr>
          <w:rFonts w:hint="eastAsia" w:ascii="微软雅黑" w:hAnsi="微软雅黑" w:eastAsia="微软雅黑" w:cs="微软雅黑"/>
          <w:b w:val="0"/>
          <w:i w:val="0"/>
          <w:caps w:val="0"/>
          <w:color w:val="auto"/>
          <w:spacing w:val="0"/>
          <w:w w:val="100"/>
          <w:sz w:val="24"/>
          <w:szCs w:val="24"/>
          <w:highlight w:val="none"/>
          <w:u w:val="single" w:color="000000"/>
        </w:rPr>
        <w:t>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日期</w:t>
      </w:r>
      <w:r>
        <w:rPr>
          <w:rFonts w:hint="eastAsia" w:ascii="微软雅黑" w:hAnsi="微软雅黑" w:eastAsia="微软雅黑" w:cs="微软雅黑"/>
          <w:b w:val="0"/>
          <w:i w:val="0"/>
          <w:caps w:val="0"/>
          <w:color w:val="auto"/>
          <w:spacing w:val="0"/>
          <w:w w:val="100"/>
          <w:sz w:val="24"/>
          <w:szCs w:val="24"/>
          <w:highlight w:val="none"/>
          <w:u w:val="single" w:color="000000"/>
        </w:rPr>
        <w:t>　　　　　　</w:t>
      </w:r>
      <w:bookmarkStart w:id="760" w:name="_Toc216582815"/>
      <w:bookmarkStart w:id="761" w:name="_Toc1881"/>
      <w:bookmarkStart w:id="762" w:name="_Toc515647818"/>
      <w:bookmarkStart w:id="763" w:name="_Toc20897"/>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lang w:eastAsia="zh-CN"/>
        </w:rPr>
      </w:pPr>
      <w:bookmarkStart w:id="764" w:name="_Toc16705"/>
      <w:bookmarkStart w:id="765" w:name="_Toc22674"/>
      <w:bookmarkStart w:id="766" w:name="_Toc23321"/>
      <w:bookmarkStart w:id="767" w:name="_Toc12874"/>
      <w:bookmarkStart w:id="768" w:name="_Toc23248"/>
      <w:bookmarkStart w:id="769" w:name="_Toc29155"/>
      <w:bookmarkStart w:id="770" w:name="_Toc18221"/>
      <w:bookmarkStart w:id="771" w:name="_Toc11041"/>
      <w:r>
        <w:rPr>
          <w:rFonts w:hint="eastAsia" w:ascii="微软雅黑" w:hAnsi="微软雅黑" w:eastAsia="微软雅黑" w:cs="微软雅黑"/>
          <w:b/>
          <w:i w:val="0"/>
          <w:caps w:val="0"/>
          <w:color w:val="auto"/>
          <w:spacing w:val="0"/>
          <w:w w:val="100"/>
          <w:sz w:val="24"/>
          <w:szCs w:val="24"/>
          <w:highlight w:val="none"/>
        </w:rPr>
        <w:t>2</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磋商分项报价表</w:t>
      </w:r>
      <w:bookmarkEnd w:id="760"/>
      <w:bookmarkEnd w:id="761"/>
      <w:bookmarkEnd w:id="762"/>
      <w:bookmarkEnd w:id="763"/>
      <w:bookmarkEnd w:id="764"/>
      <w:bookmarkEnd w:id="765"/>
      <w:bookmarkEnd w:id="766"/>
      <w:bookmarkEnd w:id="767"/>
      <w:bookmarkEnd w:id="768"/>
      <w:bookmarkEnd w:id="769"/>
      <w:bookmarkEnd w:id="770"/>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lang w:val="en-US" w:eastAsia="zh-CN"/>
        </w:rPr>
        <w:t>一</w:t>
      </w:r>
      <w:r>
        <w:rPr>
          <w:rFonts w:hint="eastAsia" w:ascii="微软雅黑" w:hAnsi="微软雅黑" w:eastAsia="微软雅黑" w:cs="微软雅黑"/>
          <w:b/>
          <w:i w:val="0"/>
          <w:caps w:val="0"/>
          <w:color w:val="auto"/>
          <w:spacing w:val="0"/>
          <w:w w:val="100"/>
          <w:sz w:val="24"/>
          <w:szCs w:val="24"/>
          <w:highlight w:val="none"/>
          <w:lang w:eastAsia="zh-CN"/>
        </w:rPr>
        <w:t>）</w:t>
      </w:r>
      <w:bookmarkEnd w:id="771"/>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项目名称:            </w:t>
      </w:r>
      <w:r>
        <w:rPr>
          <w:rFonts w:hint="eastAsia" w:ascii="微软雅黑" w:hAnsi="微软雅黑" w:eastAsia="微软雅黑" w:cs="微软雅黑"/>
          <w:b w:val="0"/>
          <w:i w:val="0"/>
          <w:caps w:val="0"/>
          <w:color w:val="auto"/>
          <w:spacing w:val="0"/>
          <w:w w:val="100"/>
          <w:sz w:val="24"/>
          <w:szCs w:val="24"/>
          <w:highlight w:val="none"/>
          <w:lang w:val="en-US" w:eastAsia="zh-CN"/>
        </w:rPr>
        <w:t xml:space="preserve">     </w:t>
      </w:r>
      <w:r>
        <w:rPr>
          <w:rFonts w:hint="eastAsia" w:ascii="微软雅黑" w:hAnsi="微软雅黑" w:eastAsia="微软雅黑" w:cs="微软雅黑"/>
          <w:b w:val="0"/>
          <w:i w:val="0"/>
          <w:caps w:val="0"/>
          <w:color w:val="auto"/>
          <w:spacing w:val="0"/>
          <w:w w:val="100"/>
          <w:sz w:val="24"/>
          <w:szCs w:val="24"/>
          <w:highlight w:val="none"/>
        </w:rPr>
        <w:t xml:space="preserve">          </w:t>
      </w:r>
      <w:r>
        <w:rPr>
          <w:rFonts w:hint="eastAsia" w:ascii="微软雅黑" w:hAnsi="微软雅黑" w:eastAsia="微软雅黑" w:cs="微软雅黑"/>
          <w:b w:val="0"/>
          <w:i w:val="0"/>
          <w:caps w:val="0"/>
          <w:color w:val="auto"/>
          <w:spacing w:val="0"/>
          <w:w w:val="100"/>
          <w:sz w:val="24"/>
          <w:szCs w:val="24"/>
          <w:highlight w:val="none"/>
          <w:lang w:eastAsia="zh-CN"/>
        </w:rPr>
        <w:t>项目编号</w:t>
      </w:r>
      <w:r>
        <w:rPr>
          <w:rFonts w:hint="eastAsia" w:ascii="微软雅黑" w:hAnsi="微软雅黑" w:eastAsia="微软雅黑" w:cs="微软雅黑"/>
          <w:b w:val="0"/>
          <w:i w:val="0"/>
          <w:caps w:val="0"/>
          <w:color w:val="auto"/>
          <w:spacing w:val="0"/>
          <w:w w:val="100"/>
          <w:sz w:val="24"/>
          <w:szCs w:val="24"/>
          <w:highlight w:val="none"/>
        </w:rPr>
        <w:t xml:space="preserve">:                       </w:t>
      </w:r>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包号: 　 　报价单位：人民币</w:t>
      </w:r>
      <w:r>
        <w:rPr>
          <w:rFonts w:hint="eastAsia" w:ascii="微软雅黑" w:hAnsi="微软雅黑" w:eastAsia="微软雅黑" w:cs="微软雅黑"/>
          <w:b w:val="0"/>
          <w:i w:val="0"/>
          <w:caps w:val="0"/>
          <w:color w:val="auto"/>
          <w:spacing w:val="0"/>
          <w:w w:val="100"/>
          <w:sz w:val="24"/>
          <w:szCs w:val="24"/>
          <w:highlight w:val="none"/>
          <w:lang w:val="en-US" w:eastAsia="zh-CN"/>
        </w:rPr>
        <w:t xml:space="preserve"> </w:t>
      </w:r>
      <w:r>
        <w:rPr>
          <w:rFonts w:hint="eastAsia" w:ascii="微软雅黑" w:hAnsi="微软雅黑" w:eastAsia="微软雅黑" w:cs="微软雅黑"/>
          <w:b w:val="0"/>
          <w:i w:val="0"/>
          <w:caps w:val="0"/>
          <w:color w:val="auto"/>
          <w:spacing w:val="0"/>
          <w:w w:val="100"/>
          <w:sz w:val="24"/>
          <w:szCs w:val="24"/>
          <w:highlight w:val="none"/>
        </w:rPr>
        <w:t>元</w:t>
      </w:r>
    </w:p>
    <w:tbl>
      <w:tblPr>
        <w:tblStyle w:val="36"/>
        <w:tblW w:w="9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280"/>
        <w:gridCol w:w="1066"/>
        <w:gridCol w:w="907"/>
        <w:gridCol w:w="1040"/>
        <w:gridCol w:w="800"/>
        <w:gridCol w:w="813"/>
        <w:gridCol w:w="867"/>
        <w:gridCol w:w="827"/>
        <w:gridCol w:w="746"/>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序号</w:t>
            </w:r>
          </w:p>
        </w:tc>
        <w:tc>
          <w:tcPr>
            <w:tcW w:w="1280"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服务名称</w:t>
            </w:r>
          </w:p>
        </w:tc>
        <w:tc>
          <w:tcPr>
            <w:tcW w:w="1066"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型号和规格</w:t>
            </w:r>
          </w:p>
        </w:tc>
        <w:tc>
          <w:tcPr>
            <w:tcW w:w="907"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品牌</w:t>
            </w:r>
          </w:p>
        </w:tc>
        <w:tc>
          <w:tcPr>
            <w:tcW w:w="1040"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制造商名称</w:t>
            </w:r>
          </w:p>
        </w:tc>
        <w:tc>
          <w:tcPr>
            <w:tcW w:w="800"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color w:val="auto"/>
                <w:sz w:val="24"/>
                <w:szCs w:val="24"/>
                <w:highlight w:val="none"/>
              </w:rPr>
              <w:t>产地</w:t>
            </w:r>
          </w:p>
        </w:tc>
        <w:tc>
          <w:tcPr>
            <w:tcW w:w="813"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单位</w:t>
            </w:r>
          </w:p>
        </w:tc>
        <w:tc>
          <w:tcPr>
            <w:tcW w:w="867"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rPr>
              <w:t>数量</w:t>
            </w:r>
          </w:p>
        </w:tc>
        <w:tc>
          <w:tcPr>
            <w:tcW w:w="827"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rPr>
              <w:t>单价</w:t>
            </w:r>
          </w:p>
        </w:tc>
        <w:tc>
          <w:tcPr>
            <w:tcW w:w="746"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总价</w:t>
            </w:r>
          </w:p>
        </w:tc>
        <w:tc>
          <w:tcPr>
            <w:tcW w:w="785"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1.</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2.</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3.</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4.</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5.</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6.</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7.</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8.</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9.</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8451" w:type="dxa"/>
            <w:gridSpan w:val="9"/>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总价：</w:t>
            </w:r>
          </w:p>
        </w:tc>
        <w:tc>
          <w:tcPr>
            <w:tcW w:w="1531" w:type="dxa"/>
            <w:gridSpan w:val="2"/>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bl>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法定代表人或其委托代理人（签/章）: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37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注:1.如果供应商认为需要，每种</w:t>
      </w:r>
      <w:r>
        <w:rPr>
          <w:rFonts w:hint="eastAsia" w:ascii="微软雅黑" w:hAnsi="微软雅黑" w:eastAsia="微软雅黑" w:cs="微软雅黑"/>
          <w:b w:val="0"/>
          <w:i w:val="0"/>
          <w:caps w:val="0"/>
          <w:color w:val="auto"/>
          <w:spacing w:val="0"/>
          <w:w w:val="100"/>
          <w:sz w:val="24"/>
          <w:szCs w:val="24"/>
          <w:highlight w:val="none"/>
          <w:lang w:val="en-US" w:eastAsia="zh-CN"/>
        </w:rPr>
        <w:t>产品</w:t>
      </w:r>
      <w:r>
        <w:rPr>
          <w:rFonts w:hint="eastAsia" w:ascii="微软雅黑" w:hAnsi="微软雅黑" w:eastAsia="微软雅黑" w:cs="微软雅黑"/>
          <w:b w:val="0"/>
          <w:i w:val="0"/>
          <w:caps w:val="0"/>
          <w:color w:val="auto"/>
          <w:spacing w:val="0"/>
          <w:w w:val="100"/>
          <w:sz w:val="24"/>
          <w:szCs w:val="24"/>
          <w:highlight w:val="none"/>
        </w:rPr>
        <w:t>填写一份该表。</w:t>
      </w:r>
    </w:p>
    <w:p>
      <w:pPr>
        <w:pStyle w:val="16"/>
        <w:shd w:val="clear"/>
        <w:snapToGrid w:val="0"/>
        <w:spacing w:before="0" w:beforeAutospacing="0" w:after="0" w:afterAutospacing="0" w:line="240" w:lineRule="atLeast"/>
        <w:ind w:left="1079" w:leftChars="428" w:hangingChars="75"/>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2.如果按单价计算的结果与总价不一致,以单价为准修正总价。</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3.如果不提供详细分项报价将视为没有实质性响应磋商文件。</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4.上述各项的详细分项报价，应另页描述。</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5.如果磋商开启一览表（报价表）内容与磋商文件中明细表内容不一致的，以磋商开启一览表（报价表）内容为准。</w:t>
      </w:r>
    </w:p>
    <w:p>
      <w:pPr>
        <w:shd w:val="clear"/>
        <w:snapToGrid w:val="0"/>
        <w:spacing w:before="0" w:beforeAutospacing="0" w:after="0" w:afterAutospacing="0" w:line="240" w:lineRule="atLeast"/>
        <w:jc w:val="both"/>
        <w:textAlignment w:val="baseline"/>
        <w:outlineLvl w:val="9"/>
        <w:rPr>
          <w:rFonts w:hint="eastAsia" w:ascii="微软雅黑" w:hAnsi="微软雅黑" w:eastAsia="微软雅黑" w:cs="微软雅黑"/>
          <w:b/>
          <w:i w:val="0"/>
          <w:caps w:val="0"/>
          <w:color w:val="auto"/>
          <w:spacing w:val="0"/>
          <w:w w:val="100"/>
          <w:sz w:val="24"/>
          <w:szCs w:val="24"/>
          <w:highlight w:val="none"/>
        </w:rPr>
      </w:pPr>
      <w:bookmarkStart w:id="772" w:name="_Toc22132"/>
      <w:bookmarkStart w:id="773" w:name="_Toc24292"/>
      <w:bookmarkStart w:id="774" w:name="_Toc12151"/>
      <w:bookmarkStart w:id="775" w:name="_Toc515647819"/>
      <w:bookmarkStart w:id="776" w:name="_Toc14037"/>
      <w:bookmarkStart w:id="777" w:name="_Toc216582816"/>
      <w:bookmarkStart w:id="778" w:name="_Toc25251"/>
      <w:bookmarkStart w:id="779" w:name="_Toc9921"/>
      <w:bookmarkStart w:id="780" w:name="_Toc22104"/>
      <w:bookmarkStart w:id="781" w:name="_Toc6343"/>
      <w:bookmarkStart w:id="782" w:name="_Toc18267"/>
    </w:p>
    <w:p>
      <w:pPr>
        <w:pStyle w:val="3"/>
        <w:shd w:val="clear"/>
        <w:rPr>
          <w:rFonts w:hint="eastAsia" w:ascii="微软雅黑" w:hAnsi="微软雅黑" w:eastAsia="微软雅黑" w:cs="微软雅黑"/>
          <w:color w:val="auto"/>
          <w:highlight w:val="none"/>
        </w:rPr>
      </w:pPr>
    </w:p>
    <w:p>
      <w:pPr>
        <w:shd w:val="clear"/>
        <w:rPr>
          <w:rFonts w:hint="eastAsia" w:ascii="微软雅黑" w:hAnsi="微软雅黑" w:eastAsia="微软雅黑" w:cs="微软雅黑"/>
          <w:color w:val="auto"/>
          <w:highlight w:val="none"/>
        </w:rPr>
      </w:pPr>
    </w:p>
    <w:p>
      <w:pPr>
        <w:rPr>
          <w:rFonts w:hint="eastAsia"/>
          <w:color w:val="auto"/>
        </w:rPr>
      </w:pPr>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pPr>
      <w:bookmarkStart w:id="783" w:name="_Toc29135"/>
      <w:r>
        <w:rPr>
          <w:rFonts w:hint="eastAsia" w:ascii="微软雅黑" w:hAnsi="微软雅黑" w:eastAsia="微软雅黑" w:cs="微软雅黑"/>
          <w:b/>
          <w:i w:val="0"/>
          <w:caps w:val="0"/>
          <w:color w:val="auto"/>
          <w:spacing w:val="0"/>
          <w:w w:val="100"/>
          <w:sz w:val="24"/>
          <w:szCs w:val="24"/>
          <w:highlight w:val="none"/>
        </w:rPr>
        <w:t>3</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lang w:val="en-US" w:eastAsia="zh-CN"/>
        </w:rPr>
        <w:t>服务</w:t>
      </w:r>
      <w:r>
        <w:rPr>
          <w:rFonts w:hint="eastAsia" w:ascii="微软雅黑" w:hAnsi="微软雅黑" w:eastAsia="微软雅黑" w:cs="微软雅黑"/>
          <w:b/>
          <w:i w:val="0"/>
          <w:caps w:val="0"/>
          <w:color w:val="auto"/>
          <w:spacing w:val="0"/>
          <w:w w:val="100"/>
          <w:sz w:val="24"/>
          <w:szCs w:val="24"/>
          <w:highlight w:val="none"/>
        </w:rPr>
        <w:t>说明一览表</w:t>
      </w:r>
      <w:bookmarkEnd w:id="772"/>
      <w:bookmarkEnd w:id="773"/>
      <w:bookmarkEnd w:id="774"/>
      <w:bookmarkEnd w:id="775"/>
      <w:bookmarkEnd w:id="776"/>
      <w:bookmarkEnd w:id="777"/>
      <w:bookmarkEnd w:id="778"/>
      <w:bookmarkEnd w:id="779"/>
      <w:bookmarkEnd w:id="780"/>
      <w:bookmarkEnd w:id="781"/>
      <w:bookmarkEnd w:id="782"/>
      <w:bookmarkEnd w:id="783"/>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项目名称:                </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eastAsia="zh-CN"/>
        </w:rPr>
        <w:t>项目编号</w:t>
      </w:r>
      <w:r>
        <w:rPr>
          <w:rFonts w:hint="eastAsia" w:ascii="微软雅黑" w:hAnsi="微软雅黑" w:eastAsia="微软雅黑" w:cs="微软雅黑"/>
          <w:b w:val="0"/>
          <w:i w:val="0"/>
          <w:caps w:val="0"/>
          <w:color w:val="auto"/>
          <w:spacing w:val="0"/>
          <w:w w:val="100"/>
          <w:sz w:val="24"/>
          <w:szCs w:val="24"/>
          <w:highlight w:val="none"/>
        </w:rPr>
        <w:t xml:space="preserve">:                       包号:                      </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bl>
      <w:tblPr>
        <w:tblStyle w:val="36"/>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357"/>
        <w:gridCol w:w="1223"/>
        <w:gridCol w:w="1975"/>
        <w:gridCol w:w="1696"/>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088"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序号</w:t>
            </w:r>
          </w:p>
        </w:tc>
        <w:tc>
          <w:tcPr>
            <w:tcW w:w="1357"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服务名称</w:t>
            </w:r>
          </w:p>
        </w:tc>
        <w:tc>
          <w:tcPr>
            <w:tcW w:w="1223"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数量</w:t>
            </w:r>
          </w:p>
        </w:tc>
        <w:tc>
          <w:tcPr>
            <w:tcW w:w="1975" w:type="dxa"/>
            <w:vAlign w:val="center"/>
          </w:tcPr>
          <w:p>
            <w:pPr>
              <w:pStyle w:val="16"/>
              <w:shd w:val="clear"/>
              <w:snapToGrid w:val="0"/>
              <w:spacing w:before="0" w:beforeAutospacing="0" w:after="0" w:afterAutospacing="0" w:line="240" w:lineRule="atLeast"/>
              <w:jc w:val="center"/>
              <w:textAlignment w:val="baseline"/>
              <w:rPr>
                <w:rFonts w:hint="default" w:ascii="微软雅黑" w:hAnsi="微软雅黑" w:eastAsia="微软雅黑" w:cs="微软雅黑"/>
                <w:b w:val="0"/>
                <w:i w:val="0"/>
                <w:caps w:val="0"/>
                <w:color w:val="auto"/>
                <w:spacing w:val="0"/>
                <w:w w:val="100"/>
                <w:sz w:val="24"/>
                <w:szCs w:val="24"/>
                <w:highlight w:val="none"/>
                <w:lang w:val="en-US" w:eastAsia="zh-CN"/>
              </w:rPr>
            </w:pPr>
            <w:r>
              <w:rPr>
                <w:rFonts w:hint="default" w:ascii="微软雅黑" w:hAnsi="微软雅黑" w:eastAsia="微软雅黑" w:cs="微软雅黑"/>
                <w:b w:val="0"/>
                <w:i w:val="0"/>
                <w:caps w:val="0"/>
                <w:color w:val="auto"/>
                <w:spacing w:val="0"/>
                <w:w w:val="100"/>
                <w:sz w:val="24"/>
                <w:szCs w:val="24"/>
                <w:highlight w:val="none"/>
                <w:lang w:val="en-US" w:eastAsia="zh-CN"/>
              </w:rPr>
              <w:t>供货时间</w:t>
            </w:r>
          </w:p>
        </w:tc>
        <w:tc>
          <w:tcPr>
            <w:tcW w:w="1696"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供货</w:t>
            </w:r>
            <w:r>
              <w:rPr>
                <w:rFonts w:hint="eastAsia" w:ascii="微软雅黑" w:hAnsi="微软雅黑" w:eastAsia="微软雅黑" w:cs="微软雅黑"/>
                <w:b w:val="0"/>
                <w:i w:val="0"/>
                <w:caps w:val="0"/>
                <w:color w:val="auto"/>
                <w:spacing w:val="0"/>
                <w:w w:val="100"/>
                <w:sz w:val="24"/>
                <w:szCs w:val="24"/>
                <w:highlight w:val="none"/>
              </w:rPr>
              <w:t>地点</w:t>
            </w:r>
          </w:p>
        </w:tc>
        <w:tc>
          <w:tcPr>
            <w:tcW w:w="1998"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7"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bl>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法定代表人或其委托代理人（签/章）: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37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sectPr>
          <w:headerReference r:id="rId4" w:type="default"/>
          <w:footerReference r:id="rId5" w:type="default"/>
          <w:pgSz w:w="11906" w:h="16838"/>
          <w:pgMar w:top="1440" w:right="1797" w:bottom="1440" w:left="1797" w:header="851" w:footer="992" w:gutter="0"/>
          <w:pgNumType w:fmt="decimal" w:start="1"/>
          <w:cols w:space="720" w:num="1"/>
          <w:docGrid w:linePitch="312" w:charSpace="0"/>
        </w:sectPr>
      </w:pPr>
    </w:p>
    <w:p>
      <w:pPr>
        <w:pStyle w:val="16"/>
        <w:shd w:val="clear"/>
        <w:spacing w:line="240" w:lineRule="atLeast"/>
        <w:ind w:left="1080" w:leftChars="257" w:hanging="540"/>
        <w:jc w:val="center"/>
        <w:outlineLvl w:val="1"/>
        <w:rPr>
          <w:rFonts w:hint="eastAsia" w:ascii="微软雅黑" w:hAnsi="微软雅黑" w:eastAsia="微软雅黑" w:cs="微软雅黑"/>
          <w:b/>
          <w:bCs/>
          <w:color w:val="auto"/>
          <w:sz w:val="24"/>
          <w:szCs w:val="24"/>
          <w:highlight w:val="none"/>
        </w:rPr>
      </w:pPr>
      <w:bookmarkStart w:id="784" w:name="_Toc32320"/>
      <w:bookmarkStart w:id="785" w:name="_Toc23542"/>
      <w:bookmarkStart w:id="786" w:name="_Toc26490"/>
      <w:bookmarkStart w:id="787" w:name="_Toc28414"/>
      <w:bookmarkStart w:id="788" w:name="_Toc3537"/>
      <w:bookmarkStart w:id="789" w:name="_Toc13093"/>
      <w:bookmarkStart w:id="790" w:name="_Toc13229"/>
      <w:bookmarkStart w:id="791" w:name="_Toc10773"/>
      <w:bookmarkStart w:id="792" w:name="_Toc32666"/>
      <w:bookmarkStart w:id="793" w:name="_Toc22563"/>
      <w:bookmarkStart w:id="794" w:name="_Toc216582817"/>
      <w:bookmarkStart w:id="795" w:name="_Toc1130"/>
      <w:bookmarkStart w:id="796" w:name="_Toc1232"/>
      <w:bookmarkStart w:id="797" w:name="_Toc338"/>
      <w:bookmarkStart w:id="798" w:name="_Toc32689"/>
      <w:bookmarkStart w:id="799" w:name="_Toc4880"/>
      <w:bookmarkStart w:id="800" w:name="_Toc28959"/>
      <w:bookmarkStart w:id="801" w:name="_Toc515647820"/>
      <w:bookmarkStart w:id="802" w:name="_Toc9012"/>
      <w:bookmarkStart w:id="803" w:name="_Toc24864"/>
      <w:bookmarkStart w:id="804" w:name="_Toc1980"/>
      <w:bookmarkStart w:id="805" w:name="_Toc15724"/>
      <w:bookmarkStart w:id="806" w:name="_Toc3060"/>
      <w:bookmarkStart w:id="807" w:name="_Toc4467"/>
      <w:bookmarkStart w:id="808" w:name="_Toc13810"/>
      <w:bookmarkStart w:id="809" w:name="_Toc3484"/>
      <w:bookmarkStart w:id="810" w:name="_Toc24350"/>
      <w:bookmarkStart w:id="811" w:name="_Toc3332"/>
      <w:bookmarkStart w:id="812" w:name="_Toc216582818"/>
      <w:bookmarkStart w:id="813" w:name="_Toc23"/>
      <w:bookmarkStart w:id="814" w:name="_Toc515647821"/>
      <w:r>
        <w:rPr>
          <w:rFonts w:hint="eastAsia" w:ascii="微软雅黑" w:hAnsi="微软雅黑" w:eastAsia="微软雅黑" w:cs="微软雅黑"/>
          <w:b/>
          <w:bCs/>
          <w:color w:val="auto"/>
          <w:sz w:val="24"/>
          <w:szCs w:val="24"/>
          <w:highlight w:val="none"/>
        </w:rPr>
        <w:t>4</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技术规格偏离表</w:t>
      </w:r>
      <w:bookmarkEnd w:id="784"/>
      <w:bookmarkEnd w:id="785"/>
      <w:bookmarkEnd w:id="786"/>
      <w:bookmarkEnd w:id="787"/>
      <w:bookmarkEnd w:id="788"/>
      <w:bookmarkEnd w:id="789"/>
      <w:bookmarkEnd w:id="790"/>
      <w:bookmarkEnd w:id="791"/>
      <w:bookmarkEnd w:id="792"/>
    </w:p>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p>
      <w:pPr>
        <w:pStyle w:val="16"/>
        <w:shd w:val="clear"/>
        <w:spacing w:line="240" w:lineRule="atLeas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w:t>
      </w:r>
      <w:r>
        <w:rPr>
          <w:rFonts w:hint="eastAsia" w:ascii="微软雅黑" w:hAnsi="微软雅黑" w:eastAsia="微软雅黑" w:cs="微软雅黑"/>
          <w:color w:val="auto"/>
          <w:sz w:val="24"/>
          <w:szCs w:val="24"/>
          <w:highlight w:val="none"/>
          <w:lang w:eastAsia="zh-CN"/>
        </w:rPr>
        <w:t>项目编号</w:t>
      </w:r>
      <w:r>
        <w:rPr>
          <w:rFonts w:hint="eastAsia" w:ascii="微软雅黑" w:hAnsi="微软雅黑" w:eastAsia="微软雅黑" w:cs="微软雅黑"/>
          <w:color w:val="auto"/>
          <w:sz w:val="24"/>
          <w:szCs w:val="24"/>
          <w:highlight w:val="none"/>
        </w:rPr>
        <w:t>:                 包号:</w:t>
      </w:r>
    </w:p>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bl>
      <w:tblPr>
        <w:tblStyle w:val="3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30"/>
        <w:gridCol w:w="2472"/>
        <w:gridCol w:w="1331"/>
        <w:gridCol w:w="1331"/>
        <w:gridCol w:w="950"/>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1330"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服务</w:t>
            </w:r>
            <w:r>
              <w:rPr>
                <w:rFonts w:hint="eastAsia" w:ascii="微软雅黑" w:hAnsi="微软雅黑" w:eastAsia="微软雅黑" w:cs="微软雅黑"/>
                <w:color w:val="auto"/>
                <w:sz w:val="24"/>
                <w:szCs w:val="24"/>
                <w:highlight w:val="none"/>
              </w:rPr>
              <w:t>名称</w:t>
            </w:r>
          </w:p>
        </w:tc>
        <w:tc>
          <w:tcPr>
            <w:tcW w:w="2472" w:type="dxa"/>
            <w:vAlign w:val="center"/>
          </w:tcPr>
          <w:p>
            <w:pPr>
              <w:pStyle w:val="16"/>
              <w:shd w:val="clear"/>
              <w:spacing w:line="240" w:lineRule="atLeast"/>
              <w:ind w:left="269" w:leftChars="128"/>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磋商</w:t>
            </w:r>
            <w:r>
              <w:rPr>
                <w:rFonts w:hint="eastAsia" w:ascii="微软雅黑" w:hAnsi="微软雅黑" w:eastAsia="微软雅黑" w:cs="微软雅黑"/>
                <w:color w:val="auto"/>
                <w:sz w:val="24"/>
                <w:szCs w:val="24"/>
                <w:highlight w:val="none"/>
              </w:rPr>
              <w:t>文件条款号</w:t>
            </w:r>
          </w:p>
        </w:tc>
        <w:tc>
          <w:tcPr>
            <w:tcW w:w="1331"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采购</w:t>
            </w:r>
            <w:r>
              <w:rPr>
                <w:rFonts w:hint="eastAsia" w:ascii="微软雅黑" w:hAnsi="微软雅黑" w:eastAsia="微软雅黑" w:cs="微软雅黑"/>
                <w:color w:val="auto"/>
                <w:sz w:val="24"/>
                <w:szCs w:val="24"/>
                <w:highlight w:val="none"/>
              </w:rPr>
              <w:t>规格</w:t>
            </w:r>
          </w:p>
        </w:tc>
        <w:tc>
          <w:tcPr>
            <w:tcW w:w="1331"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响应</w:t>
            </w:r>
            <w:r>
              <w:rPr>
                <w:rFonts w:hint="eastAsia" w:ascii="微软雅黑" w:hAnsi="微软雅黑" w:eastAsia="微软雅黑" w:cs="微软雅黑"/>
                <w:color w:val="auto"/>
                <w:sz w:val="24"/>
                <w:szCs w:val="24"/>
                <w:highlight w:val="none"/>
              </w:rPr>
              <w:t>规格</w:t>
            </w:r>
          </w:p>
        </w:tc>
        <w:tc>
          <w:tcPr>
            <w:tcW w:w="950"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偏离</w:t>
            </w:r>
          </w:p>
        </w:tc>
        <w:tc>
          <w:tcPr>
            <w:tcW w:w="951"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bl>
    <w:p>
      <w:pPr>
        <w:pStyle w:val="16"/>
        <w:shd w:val="clear"/>
        <w:spacing w:line="240" w:lineRule="atLeast"/>
        <w:rPr>
          <w:rFonts w:hint="eastAsia" w:ascii="微软雅黑" w:hAnsi="微软雅黑" w:eastAsia="微软雅黑" w:cs="微软雅黑"/>
          <w:color w:val="auto"/>
          <w:sz w:val="24"/>
          <w:szCs w:val="24"/>
          <w:highlight w:val="none"/>
        </w:rPr>
      </w:pPr>
    </w:p>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法定代表人或其委托代理人</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签/章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公章</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ab/>
      </w: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3"/>
        <w:rPr>
          <w:rFonts w:hint="eastAsia"/>
          <w:color w:val="auto"/>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bookmarkEnd w:id="793"/>
    <w:bookmarkEnd w:id="794"/>
    <w:bookmarkEnd w:id="795"/>
    <w:bookmarkEnd w:id="796"/>
    <w:bookmarkEnd w:id="797"/>
    <w:bookmarkEnd w:id="798"/>
    <w:bookmarkEnd w:id="799"/>
    <w:bookmarkEnd w:id="800"/>
    <w:bookmarkEnd w:id="801"/>
    <w:bookmarkEnd w:id="802"/>
    <w:bookmarkEnd w:id="803"/>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rPr>
      </w:pPr>
      <w:bookmarkStart w:id="815" w:name="_Toc26798"/>
      <w:r>
        <w:rPr>
          <w:rFonts w:hint="eastAsia" w:ascii="微软雅黑" w:hAnsi="微软雅黑" w:eastAsia="微软雅黑" w:cs="微软雅黑"/>
          <w:b/>
          <w:i w:val="0"/>
          <w:caps w:val="0"/>
          <w:color w:val="auto"/>
          <w:spacing w:val="0"/>
          <w:w w:val="100"/>
          <w:sz w:val="24"/>
          <w:szCs w:val="24"/>
          <w:highlight w:val="none"/>
          <w:lang w:val="en-US" w:eastAsia="zh-CN"/>
        </w:rPr>
        <w:t>5</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商务条款偏离表</w:t>
      </w:r>
      <w:bookmarkEnd w:id="804"/>
      <w:bookmarkEnd w:id="805"/>
      <w:bookmarkEnd w:id="806"/>
      <w:bookmarkEnd w:id="807"/>
      <w:bookmarkEnd w:id="808"/>
      <w:bookmarkEnd w:id="809"/>
      <w:bookmarkEnd w:id="810"/>
      <w:bookmarkEnd w:id="811"/>
      <w:bookmarkEnd w:id="812"/>
      <w:bookmarkEnd w:id="813"/>
      <w:bookmarkEnd w:id="814"/>
      <w:bookmarkEnd w:id="815"/>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项目名称:                      </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eastAsia="zh-CN"/>
        </w:rPr>
        <w:t>项目编号</w:t>
      </w:r>
      <w:r>
        <w:rPr>
          <w:rFonts w:hint="eastAsia" w:ascii="微软雅黑" w:hAnsi="微软雅黑" w:eastAsia="微软雅黑" w:cs="微软雅黑"/>
          <w:b w:val="0"/>
          <w:i w:val="0"/>
          <w:caps w:val="0"/>
          <w:color w:val="auto"/>
          <w:spacing w:val="0"/>
          <w:w w:val="100"/>
          <w:sz w:val="24"/>
          <w:szCs w:val="24"/>
          <w:highlight w:val="none"/>
        </w:rPr>
        <w:t>:                                  包号:</w:t>
      </w:r>
    </w:p>
    <w:tbl>
      <w:tblPr>
        <w:tblStyle w:val="3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序号</w:t>
            </w:r>
          </w:p>
        </w:tc>
        <w:tc>
          <w:tcPr>
            <w:tcW w:w="2040"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磋商文件条款号</w:t>
            </w:r>
          </w:p>
        </w:tc>
        <w:tc>
          <w:tcPr>
            <w:tcW w:w="2520"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磋商文件的商务条款</w:t>
            </w:r>
          </w:p>
        </w:tc>
        <w:tc>
          <w:tcPr>
            <w:tcW w:w="2520"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磋商文件的商务条款</w:t>
            </w:r>
          </w:p>
        </w:tc>
        <w:tc>
          <w:tcPr>
            <w:tcW w:w="900"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bl>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法定代表人或其委托代理（签/章）: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37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6"/>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24"/>
          <w:szCs w:val="24"/>
          <w:highlight w:val="none"/>
          <w:lang w:val="en-US" w:eastAsia="zh-CN"/>
        </w:rPr>
        <w:sectPr>
          <w:footerReference r:id="rId6" w:type="default"/>
          <w:pgSz w:w="11910" w:h="16840"/>
          <w:pgMar w:top="1500" w:right="1380" w:bottom="1780" w:left="1580" w:header="850" w:footer="992" w:gutter="0"/>
          <w:pgNumType w:fmt="decimal"/>
          <w:cols w:space="720" w:num="1"/>
        </w:sectPr>
      </w:pPr>
      <w:bookmarkStart w:id="816" w:name="_Hlt520343000"/>
      <w:bookmarkEnd w:id="816"/>
      <w:bookmarkStart w:id="817" w:name="_Hlt520274407"/>
      <w:bookmarkEnd w:id="817"/>
      <w:bookmarkStart w:id="818" w:name="_Hlt520271212"/>
      <w:bookmarkEnd w:id="818"/>
      <w:bookmarkStart w:id="819" w:name="_Hlt520273973"/>
      <w:bookmarkEnd w:id="819"/>
      <w:bookmarkStart w:id="820" w:name="_Hlt520273711"/>
      <w:bookmarkEnd w:id="820"/>
      <w:bookmarkStart w:id="821" w:name="_Hlt520343392"/>
      <w:bookmarkEnd w:id="821"/>
      <w:bookmarkStart w:id="822" w:name="_Hlt520350957"/>
      <w:bookmarkEnd w:id="822"/>
      <w:bookmarkStart w:id="823" w:name="_Hlt520274393"/>
      <w:bookmarkEnd w:id="823"/>
      <w:bookmarkStart w:id="824" w:name="_Hlt520274911"/>
      <w:bookmarkEnd w:id="824"/>
      <w:bookmarkStart w:id="825" w:name="_Hlt520350918"/>
      <w:bookmarkEnd w:id="825"/>
      <w:bookmarkStart w:id="826" w:name="_Hlt520274065"/>
      <w:bookmarkEnd w:id="826"/>
      <w:bookmarkStart w:id="827" w:name="_Toc21312"/>
      <w:bookmarkStart w:id="828" w:name="_Toc32368"/>
      <w:bookmarkStart w:id="829" w:name="_Toc388"/>
      <w:bookmarkStart w:id="830" w:name="_Toc29837"/>
      <w:bookmarkStart w:id="831" w:name="_Toc22578"/>
      <w:bookmarkStart w:id="832" w:name="_Toc10444"/>
      <w:bookmarkStart w:id="833" w:name="_Toc515647823"/>
      <w:bookmarkStart w:id="834" w:name="_Toc15566"/>
      <w:bookmarkStart w:id="835" w:name="_Toc6055"/>
      <w:bookmarkStart w:id="836" w:name="_Toc10725"/>
    </w:p>
    <w:p>
      <w:pPr>
        <w:pStyle w:val="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bookmarkStart w:id="837" w:name="_Toc9875"/>
      <w:r>
        <w:rPr>
          <w:rFonts w:hint="eastAsia" w:ascii="微软雅黑" w:hAnsi="微软雅黑" w:eastAsia="微软雅黑" w:cs="微软雅黑"/>
          <w:b/>
          <w:i w:val="0"/>
          <w:caps w:val="0"/>
          <w:color w:val="auto"/>
          <w:spacing w:val="0"/>
          <w:w w:val="100"/>
          <w:sz w:val="24"/>
          <w:szCs w:val="24"/>
          <w:highlight w:val="none"/>
          <w:lang w:val="en-US" w:eastAsia="zh-CN"/>
        </w:rPr>
        <w:t>6</w:t>
      </w:r>
      <w:r>
        <w:rPr>
          <w:rFonts w:hint="eastAsia" w:ascii="微软雅黑" w:hAnsi="微软雅黑" w:eastAsia="微软雅黑" w:cs="微软雅黑"/>
          <w:b/>
          <w:i w:val="0"/>
          <w:caps w:val="0"/>
          <w:color w:val="auto"/>
          <w:spacing w:val="0"/>
          <w:w w:val="100"/>
          <w:sz w:val="24"/>
          <w:szCs w:val="24"/>
          <w:highlight w:val="none"/>
        </w:rPr>
        <w:t>-1</w:t>
      </w:r>
      <w:r>
        <w:rPr>
          <w:rFonts w:hint="eastAsia" w:ascii="微软雅黑" w:hAnsi="微软雅黑" w:eastAsia="微软雅黑" w:cs="微软雅黑"/>
          <w:b/>
          <w:i w:val="0"/>
          <w:caps w:val="0"/>
          <w:color w:val="auto"/>
          <w:spacing w:val="0"/>
          <w:w w:val="100"/>
          <w:sz w:val="24"/>
          <w:szCs w:val="24"/>
          <w:highlight w:val="none"/>
          <w:lang w:eastAsia="zh-CN"/>
        </w:rPr>
        <w:t>、</w:t>
      </w:r>
      <w:bookmarkEnd w:id="827"/>
      <w:bookmarkEnd w:id="828"/>
      <w:bookmarkEnd w:id="829"/>
      <w:bookmarkEnd w:id="830"/>
      <w:bookmarkEnd w:id="831"/>
      <w:bookmarkEnd w:id="832"/>
      <w:bookmarkEnd w:id="833"/>
      <w:bookmarkEnd w:id="834"/>
      <w:bookmarkEnd w:id="835"/>
      <w:bookmarkEnd w:id="836"/>
      <w:r>
        <w:rPr>
          <w:rFonts w:hint="eastAsia" w:ascii="微软雅黑" w:hAnsi="微软雅黑" w:eastAsia="微软雅黑" w:cs="微软雅黑"/>
          <w:b/>
          <w:i w:val="0"/>
          <w:caps w:val="0"/>
          <w:color w:val="auto"/>
          <w:spacing w:val="0"/>
          <w:w w:val="100"/>
          <w:sz w:val="24"/>
          <w:szCs w:val="24"/>
          <w:highlight w:val="none"/>
          <w:lang w:val="en-US" w:eastAsia="zh-CN"/>
        </w:rPr>
        <w:t>中小企业声明函（服务）</w:t>
      </w:r>
      <w:bookmarkEnd w:id="837"/>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highlight w:val="none"/>
        </w:rPr>
      </w:pPr>
    </w:p>
    <w:p>
      <w:pPr>
        <w:widowControl/>
        <w:spacing w:before="100" w:beforeAutospacing="1" w:after="100" w:afterAutospacing="1" w:line="330" w:lineRule="atLeast"/>
        <w:ind w:firstLine="480" w:firstLineChars="200"/>
        <w:jc w:val="left"/>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本公司（联合体）郑重声明，根据《政府采购促进中小企业发展管理办法》（财库﹝2020﹞46 号）的规定，本公司（联合体）参加</w:t>
      </w:r>
      <w:r>
        <w:rPr>
          <w:rFonts w:hint="eastAsia" w:ascii="微软雅黑" w:hAnsi="微软雅黑" w:eastAsia="微软雅黑" w:cs="微软雅黑"/>
          <w:i/>
          <w:iCs/>
          <w:color w:val="auto"/>
          <w:kern w:val="0"/>
          <w:sz w:val="24"/>
          <w:szCs w:val="24"/>
          <w:u w:val="single"/>
          <w:lang w:val="en-US" w:eastAsia="zh-CN"/>
        </w:rPr>
        <w:t>（单位名称  ）</w:t>
      </w:r>
      <w:r>
        <w:rPr>
          <w:rFonts w:hint="eastAsia" w:ascii="微软雅黑" w:hAnsi="微软雅黑" w:eastAsia="微软雅黑" w:cs="微软雅黑"/>
          <w:color w:val="auto"/>
          <w:kern w:val="0"/>
          <w:sz w:val="24"/>
          <w:szCs w:val="24"/>
          <w:lang w:val="en-US" w:eastAsia="zh-CN"/>
        </w:rPr>
        <w:t>的</w:t>
      </w:r>
      <w:r>
        <w:rPr>
          <w:rFonts w:hint="eastAsia" w:ascii="微软雅黑" w:hAnsi="微软雅黑" w:eastAsia="微软雅黑" w:cs="微软雅黑"/>
          <w:color w:val="auto"/>
          <w:kern w:val="0"/>
          <w:sz w:val="24"/>
          <w:szCs w:val="24"/>
          <w:u w:val="single"/>
          <w:lang w:val="en-US" w:eastAsia="zh-CN"/>
        </w:rPr>
        <w:t xml:space="preserve">  </w:t>
      </w:r>
      <w:r>
        <w:rPr>
          <w:rFonts w:hint="eastAsia" w:ascii="微软雅黑" w:hAnsi="微软雅黑" w:eastAsia="微软雅黑" w:cs="微软雅黑"/>
          <w:i/>
          <w:iCs/>
          <w:color w:val="auto"/>
          <w:kern w:val="0"/>
          <w:sz w:val="24"/>
          <w:szCs w:val="24"/>
          <w:u w:val="single"/>
          <w:lang w:val="en-US" w:eastAsia="zh-CN"/>
        </w:rPr>
        <w:t>（项目名称）</w:t>
      </w:r>
      <w:r>
        <w:rPr>
          <w:rFonts w:hint="eastAsia" w:ascii="微软雅黑" w:hAnsi="微软雅黑" w:eastAsia="微软雅黑" w:cs="微软雅黑"/>
          <w:color w:val="auto"/>
          <w:kern w:val="0"/>
          <w:sz w:val="24"/>
          <w:szCs w:val="24"/>
          <w:lang w:val="en-US" w:eastAsia="zh-CN"/>
        </w:rPr>
        <w:t>采购活动，服务全部由符合政策要求的中小企业承接。相关企业（含联合 体中的中小企业、签订分包意向协议的中小企业）的具体情况如下：</w:t>
      </w:r>
    </w:p>
    <w:p>
      <w:pPr>
        <w:pStyle w:val="81"/>
        <w:numPr>
          <w:ilvl w:val="0"/>
          <w:numId w:val="0"/>
        </w:numPr>
        <w:tabs>
          <w:tab w:val="left" w:pos="1243"/>
        </w:tabs>
        <w:spacing w:before="0" w:after="0" w:line="402" w:lineRule="exact"/>
        <w:ind w:right="0" w:rightChars="0" w:firstLine="480" w:firstLineChars="200"/>
        <w:jc w:val="both"/>
        <w:rPr>
          <w:rFonts w:hint="eastAsia" w:ascii="微软雅黑" w:hAnsi="微软雅黑" w:eastAsia="微软雅黑" w:cs="微软雅黑"/>
          <w:color w:val="auto"/>
          <w:kern w:val="0"/>
          <w:sz w:val="24"/>
          <w:szCs w:val="24"/>
          <w:u w:val="none"/>
          <w:lang w:val="en-US" w:eastAsia="zh-CN" w:bidi="ar-SA"/>
        </w:rPr>
      </w:pPr>
      <w:r>
        <w:rPr>
          <w:rFonts w:hint="eastAsia" w:ascii="微软雅黑" w:hAnsi="微软雅黑" w:eastAsia="微软雅黑" w:cs="微软雅黑"/>
          <w:color w:val="auto"/>
          <w:kern w:val="0"/>
          <w:sz w:val="24"/>
          <w:szCs w:val="24"/>
          <w:u w:val="none"/>
          <w:lang w:val="en-US" w:eastAsia="zh-CN" w:bidi="ar-SA"/>
        </w:rPr>
        <w:t>1.</w:t>
      </w:r>
      <w:r>
        <w:rPr>
          <w:rFonts w:hint="eastAsia" w:ascii="微软雅黑" w:hAnsi="微软雅黑" w:eastAsia="微软雅黑" w:cs="微软雅黑"/>
          <w:i/>
          <w:iCs/>
          <w:color w:val="auto"/>
          <w:kern w:val="0"/>
          <w:sz w:val="24"/>
          <w:szCs w:val="24"/>
          <w:u w:val="single"/>
          <w:lang w:val="en-US" w:eastAsia="zh-CN" w:bidi="ar-SA"/>
        </w:rPr>
        <w:t>（标的名称）</w:t>
      </w:r>
      <w:r>
        <w:rPr>
          <w:rFonts w:hint="eastAsia" w:ascii="微软雅黑" w:hAnsi="微软雅黑" w:eastAsia="微软雅黑" w:cs="微软雅黑"/>
          <w:color w:val="auto"/>
          <w:kern w:val="0"/>
          <w:sz w:val="24"/>
          <w:szCs w:val="24"/>
          <w:u w:val="none"/>
          <w:lang w:val="en-US" w:eastAsia="zh-CN" w:bidi="ar-SA"/>
        </w:rPr>
        <w:t>，属于</w:t>
      </w:r>
      <w:r>
        <w:rPr>
          <w:rFonts w:hint="eastAsia" w:ascii="微软雅黑" w:hAnsi="微软雅黑" w:eastAsia="微软雅黑" w:cs="微软雅黑"/>
          <w:i/>
          <w:iCs/>
          <w:color w:val="auto"/>
          <w:kern w:val="0"/>
          <w:sz w:val="24"/>
          <w:szCs w:val="24"/>
          <w:u w:val="single"/>
          <w:lang w:val="en-US" w:eastAsia="zh-CN" w:bidi="ar-SA"/>
        </w:rPr>
        <w:t>（采购文件中明确的所属行业）</w:t>
      </w:r>
      <w:r>
        <w:rPr>
          <w:rFonts w:hint="eastAsia" w:ascii="微软雅黑" w:hAnsi="微软雅黑" w:eastAsia="微软雅黑" w:cs="微软雅黑"/>
          <w:color w:val="auto"/>
          <w:kern w:val="0"/>
          <w:sz w:val="24"/>
          <w:szCs w:val="24"/>
          <w:u w:val="none"/>
          <w:lang w:val="en-US" w:eastAsia="zh-CN" w:bidi="ar-SA"/>
        </w:rPr>
        <w:t xml:space="preserve">；承接企业为 </w:t>
      </w:r>
      <w:r>
        <w:rPr>
          <w:rFonts w:hint="eastAsia" w:ascii="微软雅黑" w:hAnsi="微软雅黑" w:eastAsia="微软雅黑" w:cs="微软雅黑"/>
          <w:i/>
          <w:iCs/>
          <w:color w:val="auto"/>
          <w:kern w:val="0"/>
          <w:sz w:val="24"/>
          <w:szCs w:val="24"/>
          <w:u w:val="single"/>
          <w:lang w:val="en-US" w:eastAsia="zh-CN" w:bidi="ar-SA"/>
        </w:rPr>
        <w:t xml:space="preserve">  （企业名称） </w:t>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none"/>
          <w:lang w:val="en-US" w:eastAsia="zh-CN" w:bidi="ar-SA"/>
        </w:rPr>
        <w:t>，从业人员</w:t>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single"/>
          <w:lang w:val="en-US" w:eastAsia="zh-CN" w:bidi="ar-SA"/>
        </w:rPr>
        <w:tab/>
      </w:r>
      <w:r>
        <w:rPr>
          <w:rFonts w:hint="eastAsia" w:ascii="微软雅黑" w:hAnsi="微软雅黑" w:eastAsia="微软雅黑" w:cs="微软雅黑"/>
          <w:color w:val="auto"/>
          <w:kern w:val="0"/>
          <w:sz w:val="24"/>
          <w:szCs w:val="24"/>
          <w:u w:val="none"/>
          <w:lang w:val="en-US" w:eastAsia="zh-CN" w:bidi="ar-SA"/>
        </w:rPr>
        <w:t>人，营业收入为</w:t>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single"/>
          <w:lang w:val="en-US" w:eastAsia="zh-CN" w:bidi="ar-SA"/>
        </w:rPr>
        <w:tab/>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none"/>
          <w:lang w:val="en-US" w:eastAsia="zh-CN" w:bidi="ar-SA"/>
        </w:rPr>
        <w:t>万元，资产总额为</w:t>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single"/>
          <w:lang w:val="en-US" w:eastAsia="zh-CN" w:bidi="ar-SA"/>
        </w:rPr>
        <w:tab/>
      </w:r>
      <w:r>
        <w:rPr>
          <w:rFonts w:hint="eastAsia" w:ascii="微软雅黑" w:hAnsi="微软雅黑" w:eastAsia="微软雅黑" w:cs="微软雅黑"/>
          <w:color w:val="auto"/>
          <w:kern w:val="0"/>
          <w:sz w:val="24"/>
          <w:szCs w:val="24"/>
          <w:u w:val="none"/>
          <w:lang w:val="en-US" w:eastAsia="zh-CN" w:bidi="ar-SA"/>
        </w:rPr>
        <w:t>万元，属于</w:t>
      </w:r>
      <w:r>
        <w:rPr>
          <w:rFonts w:hint="eastAsia" w:ascii="微软雅黑" w:hAnsi="微软雅黑" w:eastAsia="微软雅黑" w:cs="微软雅黑"/>
          <w:i/>
          <w:iCs/>
          <w:color w:val="auto"/>
          <w:kern w:val="0"/>
          <w:sz w:val="24"/>
          <w:szCs w:val="24"/>
          <w:u w:val="single"/>
          <w:lang w:val="en-US" w:eastAsia="zh-CN" w:bidi="ar-SA"/>
        </w:rPr>
        <w:t>（中型企业、小型企业、微型企业）</w:t>
      </w:r>
      <w:r>
        <w:rPr>
          <w:rFonts w:hint="eastAsia" w:ascii="微软雅黑" w:hAnsi="微软雅黑" w:eastAsia="微软雅黑" w:cs="微软雅黑"/>
          <w:color w:val="auto"/>
          <w:kern w:val="0"/>
          <w:sz w:val="24"/>
          <w:szCs w:val="24"/>
          <w:u w:val="none"/>
          <w:lang w:val="en-US" w:eastAsia="zh-CN" w:bidi="ar-SA"/>
        </w:rPr>
        <w:t>；</w:t>
      </w:r>
    </w:p>
    <w:p>
      <w:pPr>
        <w:pStyle w:val="81"/>
        <w:numPr>
          <w:ilvl w:val="0"/>
          <w:numId w:val="0"/>
        </w:numPr>
        <w:tabs>
          <w:tab w:val="left" w:pos="1243"/>
        </w:tabs>
        <w:spacing w:before="0" w:after="0" w:line="402" w:lineRule="exact"/>
        <w:ind w:right="0" w:rightChars="0" w:firstLine="480" w:firstLineChars="200"/>
        <w:jc w:val="both"/>
        <w:rPr>
          <w:rFonts w:hint="eastAsia" w:ascii="微软雅黑" w:hAnsi="微软雅黑" w:eastAsia="微软雅黑" w:cs="微软雅黑"/>
          <w:color w:val="auto"/>
          <w:kern w:val="0"/>
          <w:sz w:val="24"/>
          <w:szCs w:val="24"/>
          <w:u w:val="single"/>
          <w:lang w:val="en-US" w:eastAsia="zh-CN" w:bidi="ar-SA"/>
        </w:rPr>
      </w:pPr>
      <w:r>
        <w:rPr>
          <w:rFonts w:hint="eastAsia" w:ascii="微软雅黑" w:hAnsi="微软雅黑" w:eastAsia="微软雅黑" w:cs="微软雅黑"/>
          <w:color w:val="auto"/>
          <w:kern w:val="0"/>
          <w:sz w:val="24"/>
          <w:szCs w:val="24"/>
          <w:u w:val="none" w:color="auto"/>
          <w:lang w:val="en-US" w:eastAsia="zh-CN" w:bidi="ar-SA"/>
        </w:rPr>
        <w:t>2.</w:t>
      </w:r>
      <w:r>
        <w:rPr>
          <w:rFonts w:hint="eastAsia" w:ascii="微软雅黑" w:hAnsi="微软雅黑" w:eastAsia="微软雅黑" w:cs="微软雅黑"/>
          <w:i/>
          <w:iCs/>
          <w:color w:val="auto"/>
          <w:kern w:val="0"/>
          <w:sz w:val="24"/>
          <w:szCs w:val="24"/>
          <w:u w:val="single"/>
          <w:lang w:val="en-US" w:eastAsia="zh-CN" w:bidi="ar-SA"/>
        </w:rPr>
        <w:t>（标的名称）</w:t>
      </w:r>
      <w:r>
        <w:rPr>
          <w:rFonts w:hint="eastAsia" w:ascii="微软雅黑" w:hAnsi="微软雅黑" w:eastAsia="微软雅黑" w:cs="微软雅黑"/>
          <w:color w:val="auto"/>
          <w:kern w:val="0"/>
          <w:sz w:val="24"/>
          <w:szCs w:val="24"/>
          <w:u w:val="single"/>
          <w:lang w:val="en-US" w:eastAsia="zh-CN" w:bidi="ar-SA"/>
        </w:rPr>
        <w:t>，</w:t>
      </w:r>
      <w:r>
        <w:rPr>
          <w:rFonts w:hint="eastAsia" w:ascii="微软雅黑" w:hAnsi="微软雅黑" w:eastAsia="微软雅黑" w:cs="微软雅黑"/>
          <w:color w:val="auto"/>
          <w:kern w:val="0"/>
          <w:sz w:val="24"/>
          <w:szCs w:val="24"/>
          <w:u w:val="none" w:color="auto"/>
          <w:lang w:val="en-US" w:eastAsia="zh-CN" w:bidi="ar-SA"/>
        </w:rPr>
        <w:t>属于</w:t>
      </w:r>
      <w:r>
        <w:rPr>
          <w:rFonts w:hint="eastAsia" w:ascii="微软雅黑" w:hAnsi="微软雅黑" w:eastAsia="微软雅黑" w:cs="微软雅黑"/>
          <w:i/>
          <w:iCs/>
          <w:color w:val="auto"/>
          <w:kern w:val="0"/>
          <w:sz w:val="24"/>
          <w:szCs w:val="24"/>
          <w:u w:val="single"/>
          <w:lang w:val="en-US" w:eastAsia="zh-CN" w:bidi="ar-SA"/>
        </w:rPr>
        <w:t>（采购文件中明确的所属行业）</w:t>
      </w:r>
      <w:r>
        <w:rPr>
          <w:rFonts w:hint="eastAsia" w:ascii="微软雅黑" w:hAnsi="微软雅黑" w:eastAsia="微软雅黑" w:cs="微软雅黑"/>
          <w:color w:val="auto"/>
          <w:kern w:val="0"/>
          <w:sz w:val="24"/>
          <w:szCs w:val="24"/>
          <w:u w:val="none" w:color="auto"/>
          <w:lang w:val="en-US" w:eastAsia="zh-CN" w:bidi="ar-SA"/>
        </w:rPr>
        <w:t xml:space="preserve">；承接企业为 </w:t>
      </w:r>
      <w:r>
        <w:rPr>
          <w:rFonts w:hint="eastAsia" w:ascii="微软雅黑" w:hAnsi="微软雅黑" w:eastAsia="微软雅黑" w:cs="微软雅黑"/>
          <w:i/>
          <w:iCs/>
          <w:color w:val="auto"/>
          <w:kern w:val="0"/>
          <w:sz w:val="24"/>
          <w:szCs w:val="24"/>
          <w:u w:val="single"/>
          <w:lang w:val="en-US" w:eastAsia="zh-CN" w:bidi="ar-SA"/>
        </w:rPr>
        <w:t>（企业名称）</w:t>
      </w:r>
      <w:r>
        <w:rPr>
          <w:rFonts w:hint="eastAsia" w:ascii="微软雅黑" w:hAnsi="微软雅黑" w:eastAsia="微软雅黑" w:cs="微软雅黑"/>
          <w:color w:val="auto"/>
          <w:kern w:val="0"/>
          <w:sz w:val="24"/>
          <w:szCs w:val="24"/>
          <w:u w:val="none" w:color="auto"/>
          <w:lang w:val="en-US" w:eastAsia="zh-CN" w:bidi="ar-SA"/>
        </w:rPr>
        <w:t>，从业人员</w:t>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single"/>
          <w:lang w:val="en-US" w:eastAsia="zh-CN" w:bidi="ar-SA"/>
        </w:rPr>
        <w:tab/>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none" w:color="auto"/>
          <w:lang w:val="en-US" w:eastAsia="zh-CN" w:bidi="ar-SA"/>
        </w:rPr>
        <w:t>人，营业收入为</w:t>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single"/>
          <w:lang w:val="en-US" w:eastAsia="zh-CN" w:bidi="ar-SA"/>
        </w:rPr>
        <w:tab/>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none" w:color="auto"/>
          <w:lang w:val="en-US" w:eastAsia="zh-CN" w:bidi="ar-SA"/>
        </w:rPr>
        <w:t>万元，资产总额为</w:t>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single"/>
          <w:lang w:val="en-US" w:eastAsia="zh-CN" w:bidi="ar-SA"/>
        </w:rPr>
        <w:tab/>
      </w:r>
      <w:r>
        <w:rPr>
          <w:rFonts w:hint="eastAsia" w:ascii="微软雅黑" w:hAnsi="微软雅黑" w:eastAsia="微软雅黑" w:cs="微软雅黑"/>
          <w:color w:val="auto"/>
          <w:kern w:val="0"/>
          <w:sz w:val="24"/>
          <w:szCs w:val="24"/>
          <w:u w:val="single"/>
          <w:lang w:val="en-US" w:eastAsia="zh-CN" w:bidi="ar-SA"/>
        </w:rPr>
        <w:t xml:space="preserve">   </w:t>
      </w:r>
      <w:r>
        <w:rPr>
          <w:rFonts w:hint="eastAsia" w:ascii="微软雅黑" w:hAnsi="微软雅黑" w:eastAsia="微软雅黑" w:cs="微软雅黑"/>
          <w:color w:val="auto"/>
          <w:kern w:val="0"/>
          <w:sz w:val="24"/>
          <w:szCs w:val="24"/>
          <w:u w:val="none" w:color="auto"/>
          <w:lang w:val="en-US" w:eastAsia="zh-CN" w:bidi="ar-SA"/>
        </w:rPr>
        <w:t>万元，属于</w:t>
      </w:r>
      <w:r>
        <w:rPr>
          <w:rFonts w:hint="eastAsia" w:ascii="微软雅黑" w:hAnsi="微软雅黑" w:eastAsia="微软雅黑" w:cs="微软雅黑"/>
          <w:i/>
          <w:iCs/>
          <w:color w:val="auto"/>
          <w:kern w:val="0"/>
          <w:sz w:val="24"/>
          <w:szCs w:val="24"/>
          <w:u w:val="single"/>
          <w:lang w:val="en-US" w:eastAsia="zh-CN" w:bidi="ar-SA"/>
        </w:rPr>
        <w:t>（中型企业、小型企业、微型企业）</w:t>
      </w:r>
      <w:r>
        <w:rPr>
          <w:rFonts w:hint="eastAsia" w:ascii="微软雅黑" w:hAnsi="微软雅黑" w:eastAsia="微软雅黑" w:cs="微软雅黑"/>
          <w:color w:val="auto"/>
          <w:kern w:val="0"/>
          <w:sz w:val="24"/>
          <w:szCs w:val="24"/>
          <w:u w:val="none" w:color="auto"/>
          <w:lang w:val="en-US" w:eastAsia="zh-CN" w:bidi="ar-SA"/>
        </w:rPr>
        <w:t>；</w:t>
      </w:r>
    </w:p>
    <w:p>
      <w:pPr>
        <w:pStyle w:val="11"/>
        <w:spacing w:before="11"/>
        <w:ind w:left="860"/>
        <w:rPr>
          <w:rFonts w:hint="eastAsia" w:ascii="微软雅黑" w:hAnsi="微软雅黑" w:eastAsia="微软雅黑" w:cs="微软雅黑"/>
          <w:color w:val="auto"/>
          <w:kern w:val="0"/>
          <w:sz w:val="24"/>
          <w:szCs w:val="24"/>
          <w:lang w:val="en-US" w:eastAsia="zh-CN" w:bidi="ar-SA"/>
        </w:rPr>
      </w:pPr>
      <w:r>
        <w:rPr>
          <w:rFonts w:hint="eastAsia" w:ascii="微软雅黑" w:hAnsi="微软雅黑" w:eastAsia="微软雅黑" w:cs="微软雅黑"/>
          <w:color w:val="auto"/>
          <w:kern w:val="0"/>
          <w:sz w:val="24"/>
          <w:szCs w:val="24"/>
          <w:lang w:val="en-US" w:eastAsia="zh-CN" w:bidi="ar-SA"/>
        </w:rPr>
        <w:t>……</w:t>
      </w:r>
    </w:p>
    <w:p>
      <w:pPr>
        <w:pStyle w:val="11"/>
        <w:spacing w:before="108" w:line="304" w:lineRule="auto"/>
        <w:ind w:right="417" w:firstLine="480" w:firstLineChars="200"/>
        <w:jc w:val="both"/>
        <w:rPr>
          <w:rFonts w:hint="eastAsia" w:ascii="微软雅黑" w:hAnsi="微软雅黑" w:eastAsia="微软雅黑" w:cs="微软雅黑"/>
          <w:color w:val="auto"/>
          <w:kern w:val="0"/>
          <w:sz w:val="24"/>
          <w:szCs w:val="24"/>
          <w:lang w:val="en-US" w:eastAsia="zh-CN" w:bidi="ar-SA"/>
        </w:rPr>
      </w:pPr>
      <w:r>
        <w:rPr>
          <w:rFonts w:hint="eastAsia" w:ascii="微软雅黑" w:hAnsi="微软雅黑" w:eastAsia="微软雅黑" w:cs="微软雅黑"/>
          <w:color w:val="auto"/>
          <w:kern w:val="0"/>
          <w:sz w:val="24"/>
          <w:szCs w:val="24"/>
          <w:lang w:val="en-US" w:eastAsia="zh-CN" w:bidi="ar-SA"/>
        </w:rPr>
        <w:t>以上企业，不属于大企业的分支机构，不存在控股股东为大企业的情形，也不存在与大企业的负责人为同一人的情形。</w:t>
      </w:r>
    </w:p>
    <w:p>
      <w:pPr>
        <w:pStyle w:val="11"/>
        <w:spacing w:before="108" w:line="304" w:lineRule="auto"/>
        <w:ind w:right="417" w:firstLine="480" w:firstLineChars="200"/>
        <w:jc w:val="both"/>
        <w:rPr>
          <w:rFonts w:hint="eastAsia" w:ascii="微软雅黑" w:hAnsi="微软雅黑" w:eastAsia="微软雅黑" w:cs="微软雅黑"/>
          <w:color w:val="auto"/>
          <w:kern w:val="0"/>
          <w:sz w:val="24"/>
          <w:szCs w:val="24"/>
          <w:lang w:val="en-US" w:eastAsia="zh-CN" w:bidi="ar-SA"/>
        </w:rPr>
      </w:pPr>
      <w:r>
        <w:rPr>
          <w:rFonts w:hint="eastAsia" w:ascii="微软雅黑" w:hAnsi="微软雅黑" w:eastAsia="微软雅黑" w:cs="微软雅黑"/>
          <w:color w:val="auto"/>
          <w:kern w:val="0"/>
          <w:sz w:val="24"/>
          <w:szCs w:val="24"/>
          <w:lang w:val="en-US" w:eastAsia="zh-CN" w:bidi="ar-SA"/>
        </w:rPr>
        <w:t>本企业对上述声明内容的真实性负责。如有虚假，将依法承担相应责任。</w:t>
      </w:r>
    </w:p>
    <w:p>
      <w:pPr>
        <w:pStyle w:val="81"/>
        <w:numPr>
          <w:ilvl w:val="0"/>
          <w:numId w:val="0"/>
        </w:numPr>
        <w:tabs>
          <w:tab w:val="left" w:pos="1243"/>
        </w:tabs>
        <w:spacing w:before="0" w:after="0" w:line="402" w:lineRule="exact"/>
        <w:ind w:right="0" w:rightChars="0"/>
        <w:jc w:val="both"/>
        <w:rPr>
          <w:rFonts w:hint="eastAsia" w:ascii="微软雅黑" w:hAnsi="微软雅黑" w:eastAsia="微软雅黑" w:cs="微软雅黑"/>
          <w:color w:val="auto"/>
          <w:kern w:val="0"/>
          <w:sz w:val="24"/>
          <w:szCs w:val="24"/>
          <w:u w:val="none"/>
          <w:lang w:val="en-US" w:eastAsia="zh-CN" w:bidi="ar-SA"/>
        </w:rPr>
      </w:pPr>
    </w:p>
    <w:p>
      <w:pPr>
        <w:pStyle w:val="81"/>
        <w:numPr>
          <w:ilvl w:val="0"/>
          <w:numId w:val="0"/>
        </w:numPr>
        <w:tabs>
          <w:tab w:val="left" w:pos="1243"/>
        </w:tabs>
        <w:spacing w:before="0" w:after="0" w:line="402" w:lineRule="exact"/>
        <w:ind w:leftChars="200" w:right="0" w:rightChars="0"/>
        <w:jc w:val="both"/>
        <w:rPr>
          <w:rFonts w:hint="eastAsia" w:ascii="微软雅黑" w:hAnsi="微软雅黑" w:eastAsia="微软雅黑" w:cs="微软雅黑"/>
          <w:color w:val="auto"/>
          <w:kern w:val="0"/>
          <w:sz w:val="24"/>
          <w:szCs w:val="24"/>
          <w:u w:val="single"/>
          <w:lang w:val="en-US" w:eastAsia="zh-CN" w:bidi="ar-SA"/>
        </w:rPr>
      </w:pPr>
      <w:r>
        <w:rPr>
          <w:rFonts w:hint="eastAsia" w:ascii="微软雅黑" w:hAnsi="微软雅黑" w:eastAsia="微软雅黑" w:cs="微软雅黑"/>
          <w:color w:val="auto"/>
          <w:kern w:val="0"/>
          <w:sz w:val="24"/>
          <w:szCs w:val="24"/>
          <w:u w:val="none"/>
          <w:lang w:val="en-US" w:eastAsia="zh-CN" w:bidi="ar-SA"/>
        </w:rPr>
        <w:t>企业名称（盖章）：</w:t>
      </w:r>
      <w:r>
        <w:rPr>
          <w:rFonts w:hint="eastAsia" w:ascii="微软雅黑" w:hAnsi="微软雅黑" w:eastAsia="微软雅黑" w:cs="微软雅黑"/>
          <w:color w:val="auto"/>
          <w:kern w:val="0"/>
          <w:sz w:val="24"/>
          <w:szCs w:val="24"/>
          <w:u w:val="single"/>
          <w:lang w:val="en-US" w:eastAsia="zh-CN" w:bidi="ar-SA"/>
        </w:rPr>
        <w:t xml:space="preserve">                         </w:t>
      </w:r>
    </w:p>
    <w:p>
      <w:pPr>
        <w:pStyle w:val="81"/>
        <w:numPr>
          <w:ilvl w:val="0"/>
          <w:numId w:val="0"/>
        </w:numPr>
        <w:tabs>
          <w:tab w:val="left" w:pos="1243"/>
        </w:tabs>
        <w:spacing w:before="0" w:after="0" w:line="402" w:lineRule="exact"/>
        <w:ind w:leftChars="200" w:right="0" w:rightChars="0"/>
        <w:jc w:val="both"/>
        <w:rPr>
          <w:rFonts w:hint="eastAsia" w:ascii="微软雅黑" w:hAnsi="微软雅黑" w:eastAsia="微软雅黑" w:cs="微软雅黑"/>
          <w:color w:val="auto"/>
          <w:kern w:val="0"/>
          <w:sz w:val="24"/>
          <w:szCs w:val="24"/>
          <w:u w:val="none"/>
          <w:lang w:val="en-US" w:eastAsia="zh-CN" w:bidi="ar-SA"/>
        </w:rPr>
      </w:pPr>
    </w:p>
    <w:p>
      <w:pPr>
        <w:pStyle w:val="81"/>
        <w:numPr>
          <w:ilvl w:val="0"/>
          <w:numId w:val="0"/>
        </w:numPr>
        <w:tabs>
          <w:tab w:val="left" w:pos="1243"/>
        </w:tabs>
        <w:spacing w:before="0" w:after="0" w:line="402" w:lineRule="exact"/>
        <w:ind w:leftChars="200" w:right="0" w:rightChars="0"/>
        <w:jc w:val="both"/>
        <w:rPr>
          <w:rFonts w:hint="eastAsia" w:ascii="微软雅黑" w:hAnsi="微软雅黑" w:eastAsia="微软雅黑" w:cs="微软雅黑"/>
          <w:color w:val="auto"/>
          <w:kern w:val="0"/>
          <w:sz w:val="24"/>
          <w:szCs w:val="24"/>
          <w:u w:val="none"/>
          <w:lang w:val="en-US" w:eastAsia="zh-CN" w:bidi="ar-SA"/>
        </w:rPr>
      </w:pPr>
    </w:p>
    <w:p>
      <w:pPr>
        <w:pStyle w:val="81"/>
        <w:numPr>
          <w:ilvl w:val="0"/>
          <w:numId w:val="0"/>
        </w:numPr>
        <w:tabs>
          <w:tab w:val="left" w:pos="1243"/>
        </w:tabs>
        <w:spacing w:before="0" w:after="0" w:line="402" w:lineRule="exact"/>
        <w:ind w:leftChars="200" w:right="0" w:rightChars="0"/>
        <w:jc w:val="both"/>
        <w:rPr>
          <w:rFonts w:hint="eastAsia" w:ascii="微软雅黑" w:hAnsi="微软雅黑" w:eastAsia="微软雅黑" w:cs="微软雅黑"/>
          <w:color w:val="auto"/>
          <w:kern w:val="0"/>
          <w:sz w:val="24"/>
          <w:szCs w:val="24"/>
          <w:u w:val="single"/>
          <w:lang w:val="en-US" w:eastAsia="zh-CN" w:bidi="ar-SA"/>
        </w:rPr>
      </w:pPr>
      <w:r>
        <w:rPr>
          <w:rFonts w:hint="eastAsia" w:ascii="微软雅黑" w:hAnsi="微软雅黑" w:eastAsia="微软雅黑" w:cs="微软雅黑"/>
          <w:color w:val="auto"/>
          <w:kern w:val="0"/>
          <w:sz w:val="24"/>
          <w:szCs w:val="24"/>
          <w:u w:val="none"/>
          <w:lang w:val="en-US" w:eastAsia="zh-CN" w:bidi="ar-SA"/>
        </w:rPr>
        <w:t>日期：</w:t>
      </w:r>
      <w:r>
        <w:rPr>
          <w:rFonts w:hint="eastAsia" w:ascii="微软雅黑" w:hAnsi="微软雅黑" w:eastAsia="微软雅黑" w:cs="微软雅黑"/>
          <w:color w:val="auto"/>
          <w:kern w:val="0"/>
          <w:sz w:val="24"/>
          <w:szCs w:val="24"/>
          <w:u w:val="single"/>
          <w:lang w:val="en-US" w:eastAsia="zh-CN" w:bidi="ar-SA"/>
        </w:rPr>
        <w:t xml:space="preserve">                                                       </w:t>
      </w:r>
    </w:p>
    <w:p>
      <w:pPr>
        <w:pStyle w:val="81"/>
        <w:numPr>
          <w:ilvl w:val="0"/>
          <w:numId w:val="0"/>
        </w:numPr>
        <w:tabs>
          <w:tab w:val="left" w:pos="1243"/>
        </w:tabs>
        <w:spacing w:before="0" w:after="0" w:line="402" w:lineRule="exact"/>
        <w:ind w:leftChars="200" w:right="0" w:rightChars="0"/>
        <w:jc w:val="both"/>
        <w:rPr>
          <w:rFonts w:hint="eastAsia" w:ascii="微软雅黑" w:hAnsi="微软雅黑" w:eastAsia="微软雅黑" w:cs="微软雅黑"/>
          <w:color w:val="auto"/>
          <w:kern w:val="0"/>
          <w:sz w:val="24"/>
          <w:szCs w:val="24"/>
          <w:u w:val="none"/>
          <w:lang w:val="en-US" w:eastAsia="zh-CN" w:bidi="ar-SA"/>
        </w:rPr>
      </w:pPr>
    </w:p>
    <w:p>
      <w:pPr>
        <w:pStyle w:val="25"/>
        <w:rPr>
          <w:rFonts w:hint="eastAsia" w:ascii="微软雅黑" w:hAnsi="微软雅黑" w:eastAsia="微软雅黑" w:cs="微软雅黑"/>
          <w:color w:val="auto"/>
          <w:kern w:val="0"/>
          <w:sz w:val="24"/>
          <w:szCs w:val="24"/>
          <w:u w:val="none"/>
          <w:lang w:val="en-US" w:eastAsia="zh-CN" w:bidi="ar-SA"/>
        </w:rPr>
      </w:pPr>
      <w:r>
        <w:rPr>
          <w:rFonts w:hint="eastAsia" w:ascii="微软雅黑" w:hAnsi="微软雅黑" w:eastAsia="微软雅黑" w:cs="微软雅黑"/>
          <w:b/>
          <w:bCs/>
          <w:color w:val="auto"/>
          <w:kern w:val="0"/>
          <w:sz w:val="24"/>
          <w:szCs w:val="24"/>
          <w:u w:val="none"/>
          <w:lang w:val="en-US" w:eastAsia="zh-CN" w:bidi="ar-SA"/>
        </w:rPr>
        <w:t>注：须附从业人员、营业收入、资产总额填报上一年度数据，无上一年度数据的新成立企业可不填报。</w:t>
      </w:r>
    </w:p>
    <w:p>
      <w:pPr>
        <w:keepNext w:val="0"/>
        <w:keepLines w:val="0"/>
        <w:widowControl/>
        <w:suppressLineNumbers w:val="0"/>
        <w:shd w:val="clear"/>
        <w:spacing w:before="0" w:beforeAutospacing="1" w:after="0" w:afterAutospacing="1" w:line="348" w:lineRule="atLeast"/>
        <w:ind w:left="0" w:right="0" w:firstLine="4224"/>
        <w:jc w:val="left"/>
        <w:rPr>
          <w:rFonts w:hint="eastAsia" w:ascii="微软雅黑" w:hAnsi="微软雅黑" w:eastAsia="微软雅黑" w:cs="微软雅黑"/>
          <w:i w:val="0"/>
          <w:iCs w:val="0"/>
          <w:caps w:val="0"/>
          <w:color w:val="auto"/>
          <w:spacing w:val="0"/>
          <w:sz w:val="24"/>
          <w:szCs w:val="24"/>
          <w:highlight w:val="none"/>
        </w:rPr>
      </w:pPr>
    </w:p>
    <w:p>
      <w:pPr>
        <w:pStyle w:val="25"/>
        <w:rPr>
          <w:rFonts w:hint="eastAsia" w:ascii="微软雅黑" w:hAnsi="微软雅黑" w:eastAsia="微软雅黑" w:cs="微软雅黑"/>
          <w:i w:val="0"/>
          <w:iCs w:val="0"/>
          <w:caps w:val="0"/>
          <w:color w:val="auto"/>
          <w:spacing w:val="0"/>
          <w:sz w:val="24"/>
          <w:szCs w:val="24"/>
          <w:highlight w:val="none"/>
        </w:rPr>
      </w:pPr>
    </w:p>
    <w:p>
      <w:pPr>
        <w:pStyle w:val="25"/>
        <w:rPr>
          <w:rFonts w:hint="eastAsia" w:ascii="微软雅黑" w:hAnsi="微软雅黑" w:eastAsia="微软雅黑" w:cs="微软雅黑"/>
          <w:i w:val="0"/>
          <w:iCs w:val="0"/>
          <w:caps w:val="0"/>
          <w:color w:val="auto"/>
          <w:spacing w:val="0"/>
          <w:sz w:val="24"/>
          <w:szCs w:val="24"/>
          <w:highlight w:val="none"/>
        </w:rPr>
      </w:pPr>
    </w:p>
    <w:p>
      <w:pPr>
        <w:shd w:val="clear"/>
        <w:snapToGrid w:val="0"/>
        <w:spacing w:before="0" w:beforeAutospacing="0" w:after="0" w:afterAutospacing="0" w:line="240" w:lineRule="atLeast"/>
        <w:jc w:val="both"/>
        <w:textAlignment w:val="baseline"/>
        <w:outlineLvl w:val="9"/>
        <w:rPr>
          <w:rFonts w:hint="eastAsia" w:ascii="微软雅黑" w:hAnsi="微软雅黑" w:eastAsia="微软雅黑" w:cs="微软雅黑"/>
          <w:b/>
          <w:i w:val="0"/>
          <w:caps w:val="0"/>
          <w:color w:val="auto"/>
          <w:spacing w:val="0"/>
          <w:w w:val="100"/>
          <w:sz w:val="24"/>
          <w:szCs w:val="24"/>
          <w:highlight w:val="none"/>
          <w:lang w:val="en-US" w:eastAsia="zh-CN"/>
        </w:rPr>
      </w:pPr>
      <w:bookmarkStart w:id="838" w:name="_Toc1721"/>
      <w:bookmarkStart w:id="839" w:name="_Toc11803"/>
      <w:bookmarkStart w:id="840" w:name="_Toc17987"/>
      <w:bookmarkStart w:id="841" w:name="_Toc24122"/>
      <w:bookmarkStart w:id="842" w:name="_Toc10872"/>
      <w:bookmarkStart w:id="843" w:name="_Toc4255"/>
      <w:bookmarkStart w:id="844" w:name="_Toc10977"/>
      <w:bookmarkStart w:id="845" w:name="_Toc515647824"/>
      <w:bookmarkStart w:id="846" w:name="_Toc31112"/>
      <w:bookmarkStart w:id="847" w:name="_Toc10958"/>
    </w:p>
    <w:p>
      <w:pPr>
        <w:shd w:val="clear"/>
        <w:snapToGrid w:val="0"/>
        <w:spacing w:before="0" w:beforeAutospacing="0" w:after="0" w:afterAutospacing="0" w:line="240" w:lineRule="atLeast"/>
        <w:jc w:val="both"/>
        <w:textAlignment w:val="baseline"/>
        <w:outlineLvl w:val="1"/>
        <w:rPr>
          <w:rFonts w:hint="eastAsia" w:ascii="微软雅黑" w:hAnsi="微软雅黑" w:eastAsia="微软雅黑" w:cs="微软雅黑"/>
          <w:b/>
          <w:i w:val="0"/>
          <w:caps w:val="0"/>
          <w:color w:val="auto"/>
          <w:spacing w:val="0"/>
          <w:w w:val="100"/>
          <w:sz w:val="24"/>
          <w:highlight w:val="none"/>
        </w:rPr>
      </w:pPr>
      <w:bookmarkStart w:id="848" w:name="_Toc12294"/>
      <w:r>
        <w:rPr>
          <w:rFonts w:hint="eastAsia" w:ascii="微软雅黑" w:hAnsi="微软雅黑" w:eastAsia="微软雅黑" w:cs="微软雅黑"/>
          <w:b/>
          <w:i w:val="0"/>
          <w:caps w:val="0"/>
          <w:color w:val="auto"/>
          <w:spacing w:val="0"/>
          <w:w w:val="100"/>
          <w:sz w:val="24"/>
          <w:szCs w:val="24"/>
          <w:highlight w:val="none"/>
          <w:lang w:val="en-US" w:eastAsia="zh-CN"/>
        </w:rPr>
        <w:t>6</w:t>
      </w:r>
      <w:r>
        <w:rPr>
          <w:rFonts w:hint="eastAsia" w:ascii="微软雅黑" w:hAnsi="微软雅黑" w:eastAsia="微软雅黑" w:cs="微软雅黑"/>
          <w:b/>
          <w:i w:val="0"/>
          <w:caps w:val="0"/>
          <w:color w:val="auto"/>
          <w:spacing w:val="0"/>
          <w:w w:val="100"/>
          <w:sz w:val="24"/>
          <w:szCs w:val="24"/>
          <w:highlight w:val="none"/>
        </w:rPr>
        <w:t>-2</w:t>
      </w:r>
      <w:bookmarkEnd w:id="838"/>
      <w:bookmarkEnd w:id="839"/>
      <w:bookmarkEnd w:id="840"/>
      <w:bookmarkEnd w:id="841"/>
      <w:bookmarkEnd w:id="842"/>
      <w:bookmarkEnd w:id="843"/>
      <w:bookmarkEnd w:id="844"/>
      <w:bookmarkEnd w:id="845"/>
      <w:bookmarkEnd w:id="846"/>
      <w:bookmarkEnd w:id="847"/>
      <w:bookmarkStart w:id="849" w:name="_Toc5825"/>
      <w:bookmarkStart w:id="850" w:name="OLE_LINK14"/>
      <w:bookmarkStart w:id="851" w:name="OLE_LINK13"/>
      <w:bookmarkStart w:id="852" w:name="_Toc515647825"/>
      <w:bookmarkStart w:id="853" w:name="_Toc26116"/>
      <w:bookmarkStart w:id="854" w:name="_Toc14068"/>
      <w:bookmarkStart w:id="855" w:name="_Toc15209"/>
      <w:bookmarkStart w:id="856" w:name="_Toc30321"/>
      <w:bookmarkStart w:id="857" w:name="_Toc19284"/>
      <w:bookmarkStart w:id="858" w:name="_Toc23068"/>
      <w:bookmarkStart w:id="859" w:name="_Toc13191"/>
      <w:bookmarkStart w:id="860" w:name="_Toc10900"/>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残疾人福利性单位声明函</w:t>
      </w:r>
      <w:bookmarkEnd w:id="848"/>
      <w:bookmarkEnd w:id="849"/>
      <w:bookmarkEnd w:id="850"/>
      <w:bookmarkEnd w:id="851"/>
      <w:bookmarkEnd w:id="852"/>
      <w:bookmarkEnd w:id="853"/>
      <w:bookmarkEnd w:id="854"/>
      <w:bookmarkEnd w:id="855"/>
      <w:bookmarkEnd w:id="856"/>
      <w:bookmarkEnd w:id="857"/>
      <w:bookmarkEnd w:id="858"/>
      <w:bookmarkEnd w:id="859"/>
      <w:bookmarkEnd w:id="860"/>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kern w:val="0"/>
          <w:sz w:val="24"/>
          <w:highlight w:val="none"/>
        </w:rPr>
      </w:pPr>
    </w:p>
    <w:p>
      <w:pPr>
        <w:shd w:val="clear"/>
        <w:snapToGrid w:val="0"/>
        <w:spacing w:before="0" w:beforeAutospacing="0" w:after="0" w:afterAutospacing="0" w:line="240" w:lineRule="atLeast"/>
        <w:ind w:firstLine="567"/>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w:t>
      </w:r>
      <w:r>
        <w:rPr>
          <w:rFonts w:hint="eastAsia" w:ascii="微软雅黑" w:hAnsi="微软雅黑" w:eastAsia="微软雅黑" w:cs="微软雅黑"/>
          <w:b w:val="0"/>
          <w:i w:val="0"/>
          <w:caps w:val="0"/>
          <w:color w:val="auto"/>
          <w:spacing w:val="0"/>
          <w:w w:val="100"/>
          <w:kern w:val="0"/>
          <w:sz w:val="24"/>
          <w:highlight w:val="none"/>
          <w:lang w:eastAsia="zh-CN"/>
        </w:rPr>
        <w:t>服务</w:t>
      </w:r>
      <w:r>
        <w:rPr>
          <w:rFonts w:hint="eastAsia" w:ascii="微软雅黑" w:hAnsi="微软雅黑" w:eastAsia="微软雅黑" w:cs="微软雅黑"/>
          <w:b w:val="0"/>
          <w:i w:val="0"/>
          <w:caps w:val="0"/>
          <w:color w:val="auto"/>
          <w:spacing w:val="0"/>
          <w:w w:val="100"/>
          <w:kern w:val="0"/>
          <w:sz w:val="24"/>
          <w:highlight w:val="none"/>
        </w:rPr>
        <w:t>，或者提供其他残疾人福利性单位制造的</w:t>
      </w:r>
      <w:r>
        <w:rPr>
          <w:rFonts w:hint="eastAsia" w:ascii="微软雅黑" w:hAnsi="微软雅黑" w:eastAsia="微软雅黑" w:cs="微软雅黑"/>
          <w:b w:val="0"/>
          <w:i w:val="0"/>
          <w:caps w:val="0"/>
          <w:color w:val="auto"/>
          <w:spacing w:val="0"/>
          <w:w w:val="100"/>
          <w:kern w:val="0"/>
          <w:sz w:val="24"/>
          <w:highlight w:val="none"/>
          <w:lang w:eastAsia="zh-CN"/>
        </w:rPr>
        <w:t>服务</w:t>
      </w:r>
      <w:r>
        <w:rPr>
          <w:rFonts w:hint="eastAsia" w:ascii="微软雅黑" w:hAnsi="微软雅黑" w:eastAsia="微软雅黑" w:cs="微软雅黑"/>
          <w:b w:val="0"/>
          <w:i w:val="0"/>
          <w:caps w:val="0"/>
          <w:color w:val="auto"/>
          <w:spacing w:val="0"/>
          <w:w w:val="100"/>
          <w:kern w:val="0"/>
          <w:sz w:val="24"/>
          <w:highlight w:val="none"/>
        </w:rPr>
        <w:t>（不包括使用非残疾人福利性单位注册商标的</w:t>
      </w:r>
      <w:r>
        <w:rPr>
          <w:rFonts w:hint="eastAsia" w:ascii="微软雅黑" w:hAnsi="微软雅黑" w:eastAsia="微软雅黑" w:cs="微软雅黑"/>
          <w:b w:val="0"/>
          <w:i w:val="0"/>
          <w:caps w:val="0"/>
          <w:color w:val="auto"/>
          <w:spacing w:val="0"/>
          <w:w w:val="100"/>
          <w:kern w:val="0"/>
          <w:sz w:val="24"/>
          <w:highlight w:val="none"/>
          <w:lang w:eastAsia="zh-CN"/>
        </w:rPr>
        <w:t>服务</w:t>
      </w:r>
      <w:r>
        <w:rPr>
          <w:rFonts w:hint="eastAsia" w:ascii="微软雅黑" w:hAnsi="微软雅黑" w:eastAsia="微软雅黑" w:cs="微软雅黑"/>
          <w:b w:val="0"/>
          <w:i w:val="0"/>
          <w:caps w:val="0"/>
          <w:color w:val="auto"/>
          <w:spacing w:val="0"/>
          <w:w w:val="100"/>
          <w:kern w:val="0"/>
          <w:sz w:val="24"/>
          <w:highlight w:val="none"/>
        </w:rPr>
        <w:t>）。</w:t>
      </w: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本单位对上述声明的真实性负责。如有虚假，将依法承担相应责任。</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kern w:val="0"/>
          <w:sz w:val="24"/>
          <w:highlight w:val="none"/>
        </w:rPr>
      </w:pP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kern w:val="0"/>
          <w:sz w:val="24"/>
          <w:highlight w:val="none"/>
        </w:rPr>
      </w:pP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 xml:space="preserve">              残疾人福利性单位名称（公章）：______________</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 xml:space="preserve">                 日  期：_____________________________________</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highlight w:val="none"/>
        </w:rPr>
      </w:pP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kern w:val="0"/>
          <w:sz w:val="24"/>
          <w:highlight w:val="none"/>
        </w:rPr>
      </w:pPr>
    </w:p>
    <w:p>
      <w:pPr>
        <w:pStyle w:val="3"/>
        <w:shd w:val="clear"/>
        <w:snapToGrid w:val="0"/>
        <w:spacing w:before="0" w:beforeAutospacing="0" w:after="0" w:afterAutospacing="0" w:line="240" w:lineRule="auto"/>
        <w:ind w:firstLine="420"/>
        <w:jc w:val="left"/>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4"/>
          <w:szCs w:val="24"/>
          <w:highlight w:val="none"/>
        </w:rPr>
      </w:pPr>
      <w:bookmarkStart w:id="861" w:name="_Toc28099"/>
      <w:bookmarkStart w:id="862" w:name="_Toc30054"/>
      <w:bookmarkStart w:id="863" w:name="_Toc23093"/>
      <w:bookmarkStart w:id="864" w:name="_Toc515647827"/>
      <w:bookmarkStart w:id="865" w:name="_Toc28516"/>
      <w:bookmarkStart w:id="866" w:name="_Toc6452"/>
      <w:bookmarkStart w:id="867" w:name="_Toc4574"/>
      <w:bookmarkStart w:id="868" w:name="_Toc3587"/>
      <w:bookmarkStart w:id="869" w:name="_Toc6531"/>
      <w:bookmarkStart w:id="870" w:name="_Toc30795"/>
      <w:bookmarkStart w:id="871" w:name="_Toc18365"/>
      <w:r>
        <w:rPr>
          <w:rFonts w:hint="eastAsia" w:ascii="微软雅黑" w:hAnsi="微软雅黑" w:eastAsia="微软雅黑" w:cs="微软雅黑"/>
          <w:b/>
          <w:i w:val="0"/>
          <w:caps w:val="0"/>
          <w:color w:val="auto"/>
          <w:spacing w:val="0"/>
          <w:w w:val="100"/>
          <w:sz w:val="24"/>
          <w:szCs w:val="24"/>
          <w:highlight w:val="none"/>
          <w:lang w:val="en-US" w:eastAsia="zh-CN"/>
        </w:rPr>
        <w:t>7</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供应商关联单位的说明</w:t>
      </w:r>
      <w:bookmarkEnd w:id="861"/>
      <w:bookmarkEnd w:id="862"/>
      <w:bookmarkEnd w:id="863"/>
      <w:bookmarkEnd w:id="864"/>
      <w:bookmarkEnd w:id="865"/>
      <w:bookmarkEnd w:id="866"/>
      <w:bookmarkEnd w:id="867"/>
      <w:bookmarkEnd w:id="868"/>
      <w:bookmarkEnd w:id="869"/>
      <w:bookmarkEnd w:id="870"/>
      <w:bookmarkEnd w:id="871"/>
    </w:p>
    <w:p>
      <w:pPr>
        <w:pStyle w:val="3"/>
        <w:shd w:val="clear"/>
        <w:snapToGrid w:val="0"/>
        <w:spacing w:before="0" w:beforeAutospacing="0" w:after="0" w:afterAutospacing="0" w:line="240" w:lineRule="auto"/>
        <w:ind w:firstLine="420"/>
        <w:jc w:val="center"/>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
        <w:shd w:val="clear"/>
        <w:snapToGrid w:val="0"/>
        <w:spacing w:before="0" w:beforeAutospacing="0" w:after="0" w:afterAutospacing="0" w:line="240" w:lineRule="auto"/>
        <w:ind w:firstLine="480" w:firstLineChars="20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说明：供应商应当如实披露与本单位存在下列关联关系的单位名称：</w:t>
      </w:r>
    </w:p>
    <w:p>
      <w:pPr>
        <w:pStyle w:val="3"/>
        <w:numPr>
          <w:ilvl w:val="0"/>
          <w:numId w:val="8"/>
        </w:numPr>
        <w:shd w:val="clear"/>
        <w:snapToGrid w:val="0"/>
        <w:spacing w:before="0" w:beforeAutospacing="0" w:after="0" w:afterAutospacing="0" w:line="240" w:lineRule="auto"/>
        <w:ind w:firstLine="480" w:firstLineChars="20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与供应商单位负责人为同一人的其他单位；</w:t>
      </w:r>
    </w:p>
    <w:p>
      <w:pPr>
        <w:pStyle w:val="3"/>
        <w:numPr>
          <w:ilvl w:val="0"/>
          <w:numId w:val="8"/>
        </w:numPr>
        <w:shd w:val="clear"/>
        <w:snapToGrid w:val="0"/>
        <w:spacing w:before="0" w:beforeAutospacing="0" w:after="0" w:afterAutospacing="0" w:line="240" w:lineRule="auto"/>
        <w:ind w:firstLine="480" w:firstLineChars="20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与供应商存在直接控股、管理关系的其他单位。</w:t>
      </w:r>
    </w:p>
    <w:p>
      <w:pPr>
        <w:pStyle w:val="3"/>
        <w:shd w:val="clear"/>
        <w:snapToGrid w:val="0"/>
        <w:spacing w:before="0" w:beforeAutospacing="0" w:after="0" w:afterAutospacing="0" w:line="240" w:lineRule="auto"/>
        <w:ind w:firstLine="0"/>
        <w:jc w:val="left"/>
        <w:textAlignment w:val="baseline"/>
        <w:rPr>
          <w:rFonts w:hint="eastAsia" w:ascii="微软雅黑" w:hAnsi="微软雅黑" w:eastAsia="微软雅黑" w:cs="微软雅黑"/>
          <w:b w:val="0"/>
          <w:i w:val="0"/>
          <w:caps w:val="0"/>
          <w:color w:val="auto"/>
          <w:spacing w:val="0"/>
          <w:w w:val="100"/>
          <w:sz w:val="24"/>
          <w:szCs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4"/>
          <w:szCs w:val="24"/>
          <w:highlight w:val="none"/>
          <w:lang w:eastAsia="zh-CN"/>
        </w:rPr>
      </w:pPr>
      <w:bookmarkStart w:id="872" w:name="_Toc13906"/>
      <w:bookmarkStart w:id="873" w:name="_Toc10150"/>
      <w:bookmarkStart w:id="874" w:name="_Toc6213"/>
      <w:r>
        <w:rPr>
          <w:rFonts w:hint="eastAsia" w:ascii="微软雅黑" w:hAnsi="微软雅黑" w:eastAsia="微软雅黑" w:cs="微软雅黑"/>
          <w:b/>
          <w:i w:val="0"/>
          <w:caps w:val="0"/>
          <w:color w:val="auto"/>
          <w:spacing w:val="0"/>
          <w:w w:val="100"/>
          <w:sz w:val="24"/>
          <w:szCs w:val="24"/>
          <w:highlight w:val="none"/>
          <w:lang w:val="en-US" w:eastAsia="zh-CN"/>
        </w:rPr>
        <w:t>8</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提供有利于磋商的其他证明材料</w:t>
      </w:r>
      <w:bookmarkEnd w:id="872"/>
      <w:bookmarkEnd w:id="873"/>
      <w:bookmarkEnd w:id="874"/>
    </w:p>
    <w:p>
      <w:pPr>
        <w:shd w:val="clear"/>
        <w:snapToGrid w:val="0"/>
        <w:spacing w:before="0" w:beforeAutospacing="0" w:after="0" w:afterAutospacing="0" w:line="240" w:lineRule="atLeast"/>
        <w:ind w:left="1079" w:leftChars="257" w:hanging="539"/>
        <w:jc w:val="left"/>
        <w:textAlignment w:val="baseline"/>
        <w:rPr>
          <w:rFonts w:hint="eastAsia" w:ascii="微软雅黑" w:hAnsi="微软雅黑" w:eastAsia="微软雅黑" w:cs="微软雅黑"/>
          <w:b/>
          <w:i w:val="0"/>
          <w:caps w:val="0"/>
          <w:color w:val="auto"/>
          <w:spacing w:val="0"/>
          <w:w w:val="100"/>
          <w:kern w:val="0"/>
          <w:sz w:val="24"/>
          <w:szCs w:val="20"/>
          <w:highlight w:val="none"/>
        </w:rPr>
      </w:pPr>
      <w:r>
        <w:rPr>
          <w:rFonts w:hint="eastAsia" w:ascii="微软雅黑" w:hAnsi="微软雅黑" w:eastAsia="微软雅黑" w:cs="微软雅黑"/>
          <w:b w:val="0"/>
          <w:i w:val="0"/>
          <w:caps w:val="0"/>
          <w:color w:val="auto"/>
          <w:spacing w:val="0"/>
          <w:w w:val="100"/>
          <w:sz w:val="24"/>
          <w:highlight w:val="none"/>
        </w:rPr>
        <w:br w:type="page"/>
      </w:r>
    </w:p>
    <w:p>
      <w:pPr>
        <w:shd w:val="clear"/>
        <w:snapToGrid w:val="0"/>
        <w:spacing w:before="0" w:beforeAutospacing="0" w:after="0" w:afterAutospacing="0" w:line="240" w:lineRule="atLeast"/>
        <w:ind w:left="1079" w:leftChars="257" w:hanging="539"/>
        <w:jc w:val="left"/>
        <w:textAlignment w:val="baseline"/>
        <w:rPr>
          <w:rFonts w:hint="eastAsia" w:ascii="微软雅黑" w:hAnsi="微软雅黑" w:eastAsia="微软雅黑" w:cs="微软雅黑"/>
          <w:b/>
          <w:i w:val="0"/>
          <w:caps w:val="0"/>
          <w:color w:val="auto"/>
          <w:spacing w:val="0"/>
          <w:w w:val="100"/>
          <w:sz w:val="24"/>
          <w:highlight w:val="none"/>
        </w:rPr>
      </w:pPr>
      <w:bookmarkStart w:id="875" w:name="_Toc25307"/>
      <w:bookmarkStart w:id="876" w:name="_Toc20471"/>
      <w:bookmarkStart w:id="877" w:name="_Toc24705"/>
      <w:bookmarkStart w:id="878" w:name="_Toc8073"/>
      <w:bookmarkStart w:id="879" w:name="_Toc29345"/>
      <w:bookmarkStart w:id="880" w:name="_Toc2099"/>
      <w:bookmarkStart w:id="881" w:name="_Toc13385"/>
      <w:r>
        <w:rPr>
          <w:rFonts w:hint="eastAsia" w:ascii="微软雅黑" w:hAnsi="微软雅黑" w:eastAsia="微软雅黑" w:cs="微软雅黑"/>
          <w:b/>
          <w:i w:val="0"/>
          <w:caps w:val="0"/>
          <w:color w:val="auto"/>
          <w:spacing w:val="0"/>
          <w:w w:val="100"/>
          <w:kern w:val="0"/>
          <w:sz w:val="24"/>
          <w:szCs w:val="20"/>
          <w:highlight w:val="none"/>
          <w:lang w:val="en-US" w:eastAsia="zh-CN"/>
        </w:rPr>
        <w:t>9</w:t>
      </w:r>
      <w:r>
        <w:rPr>
          <w:rFonts w:hint="eastAsia" w:ascii="微软雅黑" w:hAnsi="微软雅黑" w:eastAsia="微软雅黑" w:cs="微软雅黑"/>
          <w:b/>
          <w:i w:val="0"/>
          <w:caps w:val="0"/>
          <w:color w:val="auto"/>
          <w:spacing w:val="0"/>
          <w:w w:val="100"/>
          <w:kern w:val="0"/>
          <w:sz w:val="24"/>
          <w:szCs w:val="20"/>
          <w:highlight w:val="none"/>
          <w:lang w:eastAsia="zh-CN"/>
        </w:rPr>
        <w:t>、</w:t>
      </w:r>
      <w:r>
        <w:rPr>
          <w:rFonts w:hint="eastAsia" w:ascii="微软雅黑" w:hAnsi="微软雅黑" w:eastAsia="微软雅黑" w:cs="微软雅黑"/>
          <w:b/>
          <w:i w:val="0"/>
          <w:caps w:val="0"/>
          <w:color w:val="auto"/>
          <w:spacing w:val="0"/>
          <w:w w:val="100"/>
          <w:kern w:val="0"/>
          <w:sz w:val="24"/>
          <w:szCs w:val="20"/>
          <w:highlight w:val="none"/>
        </w:rPr>
        <w:t>响应文件格式范本</w:t>
      </w:r>
      <w:bookmarkEnd w:id="875"/>
      <w:bookmarkEnd w:id="876"/>
      <w:bookmarkEnd w:id="877"/>
      <w:bookmarkEnd w:id="878"/>
      <w:bookmarkEnd w:id="879"/>
      <w:bookmarkEnd w:id="880"/>
      <w:bookmarkEnd w:id="881"/>
    </w:p>
    <w:tbl>
      <w:tblPr>
        <w:tblStyle w:val="36"/>
        <w:tblpPr w:leftFromText="180" w:rightFromText="180" w:vertAnchor="text" w:horzAnchor="page" w:tblpX="1380" w:tblpY="440"/>
        <w:tblOverlap w:val="never"/>
        <w:tblW w:w="912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120"/>
      </w:tblGrid>
      <w:tr>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CellMar>
            <w:top w:w="0" w:type="dxa"/>
            <w:left w:w="108" w:type="dxa"/>
            <w:bottom w:w="0" w:type="dxa"/>
            <w:right w:w="108" w:type="dxa"/>
          </w:tblCellMar>
        </w:tblPrEx>
        <w:trPr>
          <w:trHeight w:val="11132" w:hRule="atLeast"/>
        </w:trPr>
        <w:tc>
          <w:tcPr>
            <w:tcW w:w="9120" w:type="dxa"/>
            <w:shd w:val="clear" w:color="auto" w:fill="FCFEEA"/>
          </w:tcPr>
          <w:p>
            <w:pPr>
              <w:pStyle w:val="11"/>
              <w:shd w:val="clear"/>
              <w:snapToGrid w:val="0"/>
              <w:spacing w:before="120" w:beforeAutospacing="0" w:after="0" w:afterAutospacing="0" w:line="22" w:lineRule="atLeast"/>
              <w:jc w:val="center"/>
              <w:textAlignment w:val="baseline"/>
              <w:rPr>
                <w:rFonts w:hint="eastAsia" w:ascii="微软雅黑" w:hAnsi="微软雅黑" w:eastAsia="微软雅黑" w:cs="微软雅黑"/>
                <w:b/>
                <w:bCs/>
                <w:i w:val="0"/>
                <w:caps w:val="0"/>
                <w:color w:val="auto"/>
                <w:spacing w:val="0"/>
                <w:w w:val="100"/>
                <w:sz w:val="28"/>
                <w:szCs w:val="28"/>
                <w:highlight w:val="none"/>
              </w:rPr>
            </w:pPr>
            <w:r>
              <w:rPr>
                <w:rFonts w:hint="eastAsia" w:ascii="微软雅黑" w:hAnsi="微软雅黑" w:eastAsia="微软雅黑" w:cs="微软雅黑"/>
                <w:b/>
                <w:bCs/>
                <w:i w:val="0"/>
                <w:caps w:val="0"/>
                <w:color w:val="auto"/>
                <w:spacing w:val="0"/>
                <w:w w:val="100"/>
                <w:sz w:val="28"/>
                <w:szCs w:val="28"/>
                <w:highlight w:val="none"/>
              </w:rPr>
              <w:t xml:space="preserve">                                                （正本</w:t>
            </w:r>
            <w:r>
              <w:rPr>
                <w:rFonts w:hint="eastAsia" w:ascii="微软雅黑" w:hAnsi="微软雅黑" w:eastAsia="微软雅黑" w:cs="微软雅黑"/>
                <w:b/>
                <w:bCs/>
                <w:i w:val="0"/>
                <w:caps w:val="0"/>
                <w:color w:val="auto"/>
                <w:spacing w:val="0"/>
                <w:w w:val="100"/>
                <w:sz w:val="28"/>
                <w:szCs w:val="28"/>
                <w:highlight w:val="none"/>
                <w:lang w:val="en-US" w:eastAsia="zh-CN"/>
              </w:rPr>
              <w:t>和</w:t>
            </w:r>
            <w:r>
              <w:rPr>
                <w:rFonts w:hint="eastAsia" w:ascii="微软雅黑" w:hAnsi="微软雅黑" w:eastAsia="微软雅黑" w:cs="微软雅黑"/>
                <w:b/>
                <w:bCs/>
                <w:i w:val="0"/>
                <w:caps w:val="0"/>
                <w:color w:val="auto"/>
                <w:spacing w:val="0"/>
                <w:w w:val="100"/>
                <w:sz w:val="28"/>
                <w:szCs w:val="28"/>
                <w:highlight w:val="none"/>
              </w:rPr>
              <w:t>副本）</w:t>
            </w:r>
          </w:p>
          <w:p>
            <w:pPr>
              <w:pStyle w:val="11"/>
              <w:shd w:val="clear"/>
              <w:snapToGrid w:val="0"/>
              <w:spacing w:before="120" w:beforeAutospacing="0" w:after="0" w:afterAutospacing="0" w:line="22" w:lineRule="atLeast"/>
              <w:ind w:firstLine="4202" w:firstLineChars="1500"/>
              <w:jc w:val="both"/>
              <w:textAlignment w:val="baseline"/>
              <w:rPr>
                <w:rFonts w:hint="eastAsia" w:ascii="微软雅黑" w:hAnsi="微软雅黑" w:eastAsia="微软雅黑" w:cs="微软雅黑"/>
                <w:b/>
                <w:bCs/>
                <w:i w:val="0"/>
                <w:caps w:val="0"/>
                <w:color w:val="auto"/>
                <w:spacing w:val="0"/>
                <w:w w:val="100"/>
                <w:sz w:val="28"/>
                <w:szCs w:val="28"/>
                <w:highlight w:val="none"/>
              </w:rPr>
            </w:pPr>
          </w:p>
          <w:p>
            <w:pPr>
              <w:pStyle w:val="11"/>
              <w:shd w:val="clear"/>
              <w:snapToGrid w:val="0"/>
              <w:spacing w:before="120" w:beforeAutospacing="0" w:after="0" w:afterAutospacing="0" w:line="22" w:lineRule="atLeast"/>
              <w:ind w:firstLine="2521" w:firstLineChars="900"/>
              <w:jc w:val="both"/>
              <w:textAlignment w:val="baseline"/>
              <w:rPr>
                <w:rFonts w:hint="eastAsia" w:ascii="微软雅黑" w:hAnsi="微软雅黑" w:eastAsia="微软雅黑" w:cs="微软雅黑"/>
                <w:b/>
                <w:bCs/>
                <w:i w:val="0"/>
                <w:caps w:val="0"/>
                <w:color w:val="auto"/>
                <w:spacing w:val="0"/>
                <w:w w:val="100"/>
                <w:sz w:val="28"/>
                <w:szCs w:val="28"/>
                <w:highlight w:val="none"/>
              </w:rPr>
            </w:pPr>
            <w:r>
              <w:rPr>
                <w:rFonts w:hint="eastAsia" w:ascii="微软雅黑" w:hAnsi="微软雅黑" w:eastAsia="微软雅黑" w:cs="微软雅黑"/>
                <w:b/>
                <w:bCs/>
                <w:i w:val="0"/>
                <w:caps w:val="0"/>
                <w:color w:val="auto"/>
                <w:spacing w:val="0"/>
                <w:w w:val="100"/>
                <w:sz w:val="28"/>
                <w:szCs w:val="28"/>
                <w:highlight w:val="none"/>
              </w:rPr>
              <w:t>***** *** *** *** ***   项目***</w:t>
            </w:r>
          </w:p>
          <w:p>
            <w:pPr>
              <w:pStyle w:val="11"/>
              <w:shd w:val="clear"/>
              <w:snapToGrid w:val="0"/>
              <w:spacing w:before="120" w:beforeAutospacing="0" w:after="0" w:afterAutospacing="0" w:line="22" w:lineRule="atLeast"/>
              <w:jc w:val="center"/>
              <w:textAlignment w:val="baseline"/>
              <w:rPr>
                <w:rFonts w:hint="eastAsia" w:ascii="微软雅黑" w:hAnsi="微软雅黑" w:eastAsia="微软雅黑" w:cs="微软雅黑"/>
                <w:b/>
                <w:bCs/>
                <w:i w:val="0"/>
                <w:caps w:val="0"/>
                <w:color w:val="auto"/>
                <w:spacing w:val="0"/>
                <w:w w:val="100"/>
                <w:sz w:val="21"/>
                <w:szCs w:val="21"/>
                <w:highlight w:val="none"/>
              </w:rPr>
            </w:pPr>
          </w:p>
          <w:p>
            <w:pPr>
              <w:pStyle w:val="11"/>
              <w:shd w:val="clear"/>
              <w:snapToGrid w:val="0"/>
              <w:spacing w:before="120" w:beforeAutospacing="0" w:after="0" w:afterAutospacing="0" w:line="22" w:lineRule="atLeast"/>
              <w:ind w:firstLine="3152" w:firstLineChars="1500"/>
              <w:jc w:val="both"/>
              <w:textAlignment w:val="baseline"/>
              <w:rPr>
                <w:rFonts w:hint="eastAsia" w:ascii="微软雅黑" w:hAnsi="微软雅黑" w:eastAsia="微软雅黑" w:cs="微软雅黑"/>
                <w:b/>
                <w:bCs/>
                <w:i w:val="0"/>
                <w:caps w:val="0"/>
                <w:color w:val="auto"/>
                <w:spacing w:val="0"/>
                <w:w w:val="100"/>
                <w:sz w:val="21"/>
                <w:szCs w:val="21"/>
                <w:highlight w:val="none"/>
              </w:rPr>
            </w:pPr>
            <w:r>
              <w:rPr>
                <w:rFonts w:hint="eastAsia" w:ascii="微软雅黑" w:hAnsi="微软雅黑" w:eastAsia="微软雅黑" w:cs="微软雅黑"/>
                <w:b/>
                <w:bCs/>
                <w:i w:val="0"/>
                <w:caps w:val="0"/>
                <w:color w:val="auto"/>
                <w:spacing w:val="0"/>
                <w:w w:val="100"/>
                <w:sz w:val="21"/>
                <w:szCs w:val="21"/>
                <w:highlight w:val="none"/>
              </w:rPr>
              <w:t>编号 ＊＊＊</w:t>
            </w:r>
          </w:p>
          <w:p>
            <w:pPr>
              <w:pStyle w:val="11"/>
              <w:shd w:val="clear"/>
              <w:snapToGrid w:val="0"/>
              <w:spacing w:before="120" w:beforeAutospacing="0" w:after="0" w:afterAutospacing="0" w:line="22" w:lineRule="atLeast"/>
              <w:jc w:val="center"/>
              <w:textAlignment w:val="baseline"/>
              <w:rPr>
                <w:rFonts w:hint="eastAsia" w:ascii="微软雅黑" w:hAnsi="微软雅黑" w:eastAsia="微软雅黑" w:cs="微软雅黑"/>
                <w:b/>
                <w:bCs/>
                <w:i w:val="0"/>
                <w:caps w:val="0"/>
                <w:color w:val="auto"/>
                <w:spacing w:val="0"/>
                <w:w w:val="100"/>
                <w:sz w:val="48"/>
                <w:highlight w:val="none"/>
              </w:rPr>
            </w:pPr>
          </w:p>
          <w:p>
            <w:pPr>
              <w:pStyle w:val="11"/>
              <w:shd w:val="clear"/>
              <w:snapToGrid w:val="0"/>
              <w:spacing w:before="120" w:beforeAutospacing="0" w:after="0" w:afterAutospacing="0" w:line="22" w:lineRule="atLeast"/>
              <w:jc w:val="center"/>
              <w:textAlignment w:val="baseline"/>
              <w:rPr>
                <w:rFonts w:hint="eastAsia" w:ascii="微软雅黑" w:hAnsi="微软雅黑" w:eastAsia="微软雅黑" w:cs="微软雅黑"/>
                <w:b/>
                <w:bCs/>
                <w:i w:val="0"/>
                <w:caps w:val="0"/>
                <w:color w:val="auto"/>
                <w:spacing w:val="0"/>
                <w:w w:val="100"/>
                <w:sz w:val="48"/>
                <w:highlight w:val="none"/>
              </w:rPr>
            </w:pPr>
            <w:r>
              <w:rPr>
                <w:rFonts w:hint="eastAsia" w:ascii="微软雅黑" w:hAnsi="微软雅黑" w:eastAsia="微软雅黑" w:cs="微软雅黑"/>
                <w:b/>
                <w:bCs/>
                <w:i w:val="0"/>
                <w:caps w:val="0"/>
                <w:color w:val="auto"/>
                <w:spacing w:val="0"/>
                <w:w w:val="100"/>
                <w:sz w:val="48"/>
                <w:highlight w:val="none"/>
              </w:rPr>
              <w:t>响 应 文 件</w:t>
            </w: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i w:val="0"/>
                <w:caps w:val="0"/>
                <w:color w:val="auto"/>
                <w:spacing w:val="0"/>
                <w:w w:val="100"/>
                <w:sz w:val="32"/>
                <w:highlight w:val="none"/>
              </w:rPr>
            </w:pPr>
          </w:p>
          <w:p>
            <w:pPr>
              <w:pStyle w:val="3"/>
              <w:shd w:val="clear"/>
              <w:snapToGrid w:val="0"/>
              <w:spacing w:before="0" w:beforeAutospacing="0" w:after="0" w:afterAutospacing="0" w:line="240" w:lineRule="auto"/>
              <w:ind w:firstLine="0"/>
              <w:jc w:val="left"/>
              <w:textAlignment w:val="baseline"/>
              <w:rPr>
                <w:rFonts w:hint="eastAsia" w:ascii="微软雅黑" w:hAnsi="微软雅黑" w:eastAsia="微软雅黑" w:cs="微软雅黑"/>
                <w:b/>
                <w:i w:val="0"/>
                <w:caps w:val="0"/>
                <w:color w:val="auto"/>
                <w:spacing w:val="0"/>
                <w:w w:val="100"/>
                <w:sz w:val="32"/>
                <w:highlight w:val="none"/>
              </w:rPr>
            </w:pP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rPr>
            </w:pPr>
            <w:r>
              <w:rPr>
                <w:rFonts w:hint="eastAsia" w:ascii="微软雅黑" w:hAnsi="微软雅黑" w:eastAsia="微软雅黑" w:cs="微软雅黑"/>
                <w:b w:val="0"/>
                <w:i w:val="0"/>
                <w:caps w:val="0"/>
                <w:color w:val="auto"/>
                <w:spacing w:val="0"/>
                <w:w w:val="100"/>
                <w:sz w:val="21"/>
                <w:szCs w:val="21"/>
                <w:highlight w:val="none"/>
              </w:rPr>
              <w:t>磋商单位：</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r>
              <w:rPr>
                <w:rFonts w:hint="eastAsia" w:ascii="微软雅黑" w:hAnsi="微软雅黑" w:eastAsia="微软雅黑" w:cs="微软雅黑"/>
                <w:b w:val="0"/>
                <w:i w:val="0"/>
                <w:caps w:val="0"/>
                <w:color w:val="auto"/>
                <w:spacing w:val="0"/>
                <w:w w:val="100"/>
                <w:sz w:val="21"/>
                <w:szCs w:val="21"/>
                <w:highlight w:val="none"/>
              </w:rPr>
              <w:t>（公章）</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u w:val="single" w:color="000000"/>
              </w:rPr>
            </w:pPr>
            <w:r>
              <w:rPr>
                <w:rFonts w:hint="eastAsia" w:ascii="微软雅黑" w:hAnsi="微软雅黑" w:eastAsia="微软雅黑" w:cs="微软雅黑"/>
                <w:b w:val="0"/>
                <w:i w:val="0"/>
                <w:caps w:val="0"/>
                <w:color w:val="auto"/>
                <w:spacing w:val="0"/>
                <w:w w:val="100"/>
                <w:sz w:val="21"/>
                <w:szCs w:val="21"/>
                <w:highlight w:val="none"/>
              </w:rPr>
              <w:t>项目名称：</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u w:val="single" w:color="000000"/>
              </w:rPr>
            </w:pPr>
            <w:r>
              <w:rPr>
                <w:rFonts w:hint="eastAsia" w:ascii="微软雅黑" w:hAnsi="微软雅黑" w:eastAsia="微软雅黑" w:cs="微软雅黑"/>
                <w:b w:val="0"/>
                <w:i w:val="0"/>
                <w:caps w:val="0"/>
                <w:color w:val="auto"/>
                <w:spacing w:val="0"/>
                <w:w w:val="100"/>
                <w:sz w:val="21"/>
                <w:szCs w:val="21"/>
                <w:highlight w:val="none"/>
              </w:rPr>
              <w:t>项目编号：</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u w:val="single" w:color="000000"/>
              </w:rPr>
            </w:pPr>
            <w:r>
              <w:rPr>
                <w:rFonts w:hint="eastAsia" w:ascii="微软雅黑" w:hAnsi="微软雅黑" w:eastAsia="微软雅黑" w:cs="微软雅黑"/>
                <w:b w:val="0"/>
                <w:i w:val="0"/>
                <w:caps w:val="0"/>
                <w:color w:val="auto"/>
                <w:spacing w:val="0"/>
                <w:w w:val="100"/>
                <w:sz w:val="21"/>
                <w:szCs w:val="21"/>
                <w:highlight w:val="none"/>
              </w:rPr>
              <w:t>联 系 人：</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rPr>
            </w:pPr>
            <w:r>
              <w:rPr>
                <w:rFonts w:hint="eastAsia" w:ascii="微软雅黑" w:hAnsi="微软雅黑" w:eastAsia="微软雅黑" w:cs="微软雅黑"/>
                <w:b w:val="0"/>
                <w:i w:val="0"/>
                <w:caps w:val="0"/>
                <w:color w:val="auto"/>
                <w:spacing w:val="0"/>
                <w:w w:val="100"/>
                <w:sz w:val="21"/>
                <w:szCs w:val="21"/>
                <w:highlight w:val="none"/>
              </w:rPr>
              <w:t>电    话：</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u w:val="single" w:color="000000"/>
              </w:rPr>
            </w:pPr>
            <w:r>
              <w:rPr>
                <w:rFonts w:hint="eastAsia" w:ascii="微软雅黑" w:hAnsi="微软雅黑" w:eastAsia="微软雅黑" w:cs="微软雅黑"/>
                <w:b w:val="0"/>
                <w:i w:val="0"/>
                <w:caps w:val="0"/>
                <w:color w:val="auto"/>
                <w:spacing w:val="0"/>
                <w:w w:val="100"/>
                <w:sz w:val="21"/>
                <w:szCs w:val="21"/>
                <w:highlight w:val="none"/>
              </w:rPr>
              <w:t xml:space="preserve">地    址  ：  </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960" w:firstLineChars="400"/>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bCs/>
                <w:i w:val="0"/>
                <w:caps w:val="0"/>
                <w:color w:val="auto"/>
                <w:spacing w:val="0"/>
                <w:w w:val="100"/>
                <w:sz w:val="20"/>
                <w:highlight w:val="none"/>
              </w:rPr>
            </w:pP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bCs/>
                <w:i w:val="0"/>
                <w:caps w:val="0"/>
                <w:color w:val="auto"/>
                <w:spacing w:val="0"/>
                <w:w w:val="100"/>
                <w:sz w:val="20"/>
                <w:highlight w:val="none"/>
                <w:lang w:val="en-US" w:eastAsia="zh-CN"/>
              </w:rPr>
            </w:pP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bCs/>
                <w:i w:val="0"/>
                <w:caps w:val="0"/>
                <w:color w:val="auto"/>
                <w:spacing w:val="0"/>
                <w:w w:val="100"/>
                <w:sz w:val="20"/>
                <w:highlight w:val="none"/>
              </w:rPr>
            </w:pPr>
            <w:r>
              <w:rPr>
                <w:rFonts w:hint="eastAsia" w:ascii="微软雅黑" w:hAnsi="微软雅黑" w:eastAsia="微软雅黑" w:cs="微软雅黑"/>
                <w:b/>
                <w:bCs/>
                <w:i w:val="0"/>
                <w:caps w:val="0"/>
                <w:color w:val="auto"/>
                <w:spacing w:val="0"/>
                <w:w w:val="100"/>
                <w:sz w:val="21"/>
                <w:highlight w:val="none"/>
              </w:rPr>
              <w:t xml:space="preserve">注：   在20XX年   月  日 </w:t>
            </w:r>
            <w:r>
              <w:rPr>
                <w:rFonts w:hint="eastAsia" w:ascii="微软雅黑" w:hAnsi="微软雅黑" w:eastAsia="微软雅黑" w:cs="微软雅黑"/>
                <w:b/>
                <w:bCs/>
                <w:i w:val="0"/>
                <w:caps w:val="0"/>
                <w:color w:val="auto"/>
                <w:spacing w:val="0"/>
                <w:w w:val="100"/>
                <w:sz w:val="21"/>
                <w:highlight w:val="none"/>
                <w:lang w:val="en-US" w:eastAsia="zh-CN"/>
              </w:rPr>
              <w:t>X</w:t>
            </w:r>
            <w:r>
              <w:rPr>
                <w:rFonts w:hint="eastAsia" w:ascii="微软雅黑" w:hAnsi="微软雅黑" w:eastAsia="微软雅黑" w:cs="微软雅黑"/>
                <w:b/>
                <w:bCs/>
                <w:i w:val="0"/>
                <w:caps w:val="0"/>
                <w:color w:val="auto"/>
                <w:spacing w:val="0"/>
                <w:w w:val="100"/>
                <w:sz w:val="21"/>
                <w:highlight w:val="none"/>
              </w:rPr>
              <w:t>午</w:t>
            </w:r>
            <w:r>
              <w:rPr>
                <w:rFonts w:hint="eastAsia" w:ascii="微软雅黑" w:hAnsi="微软雅黑" w:eastAsia="微软雅黑" w:cs="微软雅黑"/>
                <w:b w:val="0"/>
                <w:i w:val="0"/>
                <w:caps w:val="0"/>
                <w:color w:val="auto"/>
                <w:spacing w:val="0"/>
                <w:w w:val="100"/>
                <w:kern w:val="0"/>
                <w:sz w:val="21"/>
                <w:szCs w:val="21"/>
                <w:highlight w:val="none"/>
                <w:lang w:bidi="ar"/>
              </w:rPr>
              <w:t>XX</w:t>
            </w:r>
            <w:r>
              <w:rPr>
                <w:rFonts w:hint="eastAsia" w:ascii="微软雅黑" w:hAnsi="微软雅黑" w:eastAsia="微软雅黑" w:cs="微软雅黑"/>
                <w:b/>
                <w:bCs/>
                <w:i w:val="0"/>
                <w:caps w:val="0"/>
                <w:color w:val="auto"/>
                <w:spacing w:val="0"/>
                <w:w w:val="100"/>
                <w:sz w:val="21"/>
                <w:highlight w:val="none"/>
              </w:rPr>
              <w:t>之前不得启封</w:t>
            </w: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bCs/>
                <w:i w:val="0"/>
                <w:caps w:val="0"/>
                <w:color w:val="auto"/>
                <w:spacing w:val="0"/>
                <w:w w:val="100"/>
                <w:sz w:val="20"/>
                <w:highlight w:val="none"/>
              </w:rPr>
            </w:pPr>
          </w:p>
        </w:tc>
      </w:tr>
    </w:tbl>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30"/>
          <w:szCs w:val="30"/>
          <w:highlight w:val="none"/>
        </w:rPr>
      </w:pPr>
      <w:r>
        <w:rPr>
          <w:rFonts w:hint="eastAsia" w:ascii="微软雅黑" w:hAnsi="微软雅黑" w:eastAsia="微软雅黑" w:cs="微软雅黑"/>
          <w:b w:val="0"/>
          <w:i w:val="0"/>
          <w:caps w:val="0"/>
          <w:color w:val="auto"/>
          <w:spacing w:val="0"/>
          <w:w w:val="100"/>
          <w:sz w:val="24"/>
          <w:highlight w:val="none"/>
        </w:rPr>
        <w:br w:type="page"/>
      </w: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4"/>
          <w:szCs w:val="44"/>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i w:val="0"/>
          <w:caps w:val="0"/>
          <w:color w:val="auto"/>
          <w:spacing w:val="0"/>
          <w:w w:val="100"/>
          <w:sz w:val="44"/>
          <w:szCs w:val="44"/>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i w:val="0"/>
          <w:caps w:val="0"/>
          <w:color w:val="auto"/>
          <w:spacing w:val="0"/>
          <w:w w:val="100"/>
          <w:sz w:val="44"/>
          <w:szCs w:val="44"/>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4"/>
          <w:szCs w:val="44"/>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36"/>
          <w:szCs w:val="36"/>
          <w:highlight w:val="none"/>
        </w:rPr>
      </w:pPr>
      <w:r>
        <w:rPr>
          <w:rFonts w:hint="eastAsia" w:ascii="微软雅黑" w:hAnsi="微软雅黑" w:eastAsia="微软雅黑" w:cs="微软雅黑"/>
          <w:b/>
          <w:i w:val="0"/>
          <w:caps w:val="0"/>
          <w:color w:val="auto"/>
          <w:spacing w:val="0"/>
          <w:w w:val="100"/>
          <w:sz w:val="52"/>
          <w:szCs w:val="52"/>
          <w:highlight w:val="none"/>
          <w:lang w:val="en-US" w:eastAsia="zh-CN"/>
        </w:rPr>
        <w:t>竞争性</w:t>
      </w:r>
      <w:r>
        <w:rPr>
          <w:rFonts w:hint="eastAsia" w:ascii="微软雅黑" w:hAnsi="微软雅黑" w:eastAsia="微软雅黑" w:cs="微软雅黑"/>
          <w:b/>
          <w:i w:val="0"/>
          <w:caps w:val="0"/>
          <w:color w:val="auto"/>
          <w:spacing w:val="0"/>
          <w:w w:val="100"/>
          <w:sz w:val="52"/>
          <w:szCs w:val="52"/>
          <w:highlight w:val="none"/>
        </w:rPr>
        <w:t>磋商文件</w:t>
      </w: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0"/>
          <w:szCs w:val="40"/>
          <w:highlight w:val="none"/>
          <w:lang w:eastAsia="zh-CN"/>
        </w:rPr>
      </w:pPr>
      <w:r>
        <w:rPr>
          <w:rFonts w:hint="eastAsia" w:ascii="微软雅黑" w:hAnsi="微软雅黑" w:eastAsia="微软雅黑" w:cs="微软雅黑"/>
          <w:b/>
          <w:i w:val="0"/>
          <w:caps w:val="0"/>
          <w:color w:val="auto"/>
          <w:spacing w:val="0"/>
          <w:w w:val="100"/>
          <w:sz w:val="40"/>
          <w:szCs w:val="40"/>
          <w:highlight w:val="none"/>
        </w:rPr>
        <w:t>项目编号：</w:t>
      </w:r>
      <w:r>
        <w:rPr>
          <w:rFonts w:hint="eastAsia" w:ascii="微软雅黑" w:hAnsi="微软雅黑" w:eastAsia="微软雅黑" w:cs="微软雅黑"/>
          <w:b/>
          <w:i w:val="0"/>
          <w:caps w:val="0"/>
          <w:color w:val="auto"/>
          <w:spacing w:val="0"/>
          <w:w w:val="100"/>
          <w:sz w:val="40"/>
          <w:szCs w:val="40"/>
          <w:highlight w:val="none"/>
          <w:lang w:eastAsia="zh-CN"/>
        </w:rPr>
        <w:t>ZPDL(2022)038</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52"/>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8"/>
          <w:szCs w:val="48"/>
          <w:highlight w:val="none"/>
        </w:rPr>
      </w:pPr>
      <w:r>
        <w:rPr>
          <w:rFonts w:hint="eastAsia" w:ascii="微软雅黑" w:hAnsi="微软雅黑" w:eastAsia="微软雅黑" w:cs="微软雅黑"/>
          <w:b/>
          <w:i w:val="0"/>
          <w:caps w:val="0"/>
          <w:color w:val="auto"/>
          <w:spacing w:val="0"/>
          <w:w w:val="100"/>
          <w:sz w:val="48"/>
          <w:szCs w:val="48"/>
          <w:highlight w:val="none"/>
        </w:rPr>
        <w:t>第二册</w:t>
      </w: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8"/>
          <w:highlight w:val="none"/>
        </w:rPr>
      </w:pP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8"/>
          <w:highlight w:val="none"/>
        </w:rPr>
      </w:pP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8"/>
          <w:highlight w:val="none"/>
        </w:rPr>
      </w:pPr>
    </w:p>
    <w:p>
      <w:pPr>
        <w:pStyle w:val="35"/>
        <w:shd w:val="clear"/>
        <w:snapToGrid w:val="0"/>
        <w:spacing w:before="0" w:beforeAutospacing="0" w:after="0" w:afterAutospacing="0" w:line="360" w:lineRule="auto"/>
        <w:ind w:firstLine="560" w:firstLineChars="200"/>
        <w:jc w:val="both"/>
        <w:textAlignment w:val="baseline"/>
        <w:rPr>
          <w:rFonts w:hint="eastAsia" w:ascii="微软雅黑" w:hAnsi="微软雅黑" w:eastAsia="微软雅黑" w:cs="微软雅黑"/>
          <w:b/>
          <w:i w:val="0"/>
          <w:caps w:val="0"/>
          <w:color w:val="auto"/>
          <w:spacing w:val="0"/>
          <w:w w:val="100"/>
          <w:sz w:val="28"/>
          <w:highlight w:val="none"/>
        </w:rPr>
      </w:pPr>
    </w:p>
    <w:p>
      <w:pPr>
        <w:pStyle w:val="35"/>
        <w:shd w:val="clear"/>
        <w:snapToGrid w:val="0"/>
        <w:spacing w:before="0" w:beforeAutospacing="0" w:after="0" w:afterAutospacing="0" w:line="360" w:lineRule="auto"/>
        <w:ind w:firstLine="560" w:firstLineChars="200"/>
        <w:jc w:val="both"/>
        <w:textAlignment w:val="baseline"/>
        <w:rPr>
          <w:rFonts w:hint="eastAsia" w:ascii="微软雅黑" w:hAnsi="微软雅黑" w:eastAsia="微软雅黑" w:cs="微软雅黑"/>
          <w:b/>
          <w:i w:val="0"/>
          <w:caps w:val="0"/>
          <w:color w:val="auto"/>
          <w:spacing w:val="0"/>
          <w:w w:val="100"/>
          <w:sz w:val="28"/>
          <w:highlight w:val="none"/>
        </w:rPr>
      </w:pPr>
    </w:p>
    <w:p>
      <w:pPr>
        <w:pStyle w:val="35"/>
        <w:shd w:val="clear"/>
        <w:snapToGrid w:val="0"/>
        <w:spacing w:before="0" w:beforeAutospacing="0" w:after="0" w:afterAutospacing="0" w:line="360" w:lineRule="auto"/>
        <w:ind w:firstLine="560" w:firstLineChars="200"/>
        <w:jc w:val="both"/>
        <w:textAlignment w:val="baseline"/>
        <w:rPr>
          <w:rFonts w:hint="eastAsia" w:ascii="微软雅黑" w:hAnsi="微软雅黑" w:eastAsia="微软雅黑" w:cs="微软雅黑"/>
          <w:b/>
          <w:i w:val="0"/>
          <w:caps w:val="0"/>
          <w:color w:val="auto"/>
          <w:spacing w:val="0"/>
          <w:w w:val="100"/>
          <w:sz w:val="28"/>
          <w:highlight w:val="none"/>
        </w:rPr>
      </w:pP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8"/>
          <w:highlight w:val="none"/>
        </w:rPr>
      </w:pPr>
    </w:p>
    <w:p>
      <w:pPr>
        <w:pStyle w:val="3"/>
        <w:shd w:val="clear"/>
        <w:snapToGrid w:val="0"/>
        <w:spacing w:before="0" w:beforeAutospacing="0" w:after="0" w:afterAutospacing="0" w:line="240" w:lineRule="auto"/>
        <w:ind w:firstLine="0"/>
        <w:jc w:val="left"/>
        <w:textAlignment w:val="baseline"/>
        <w:rPr>
          <w:rFonts w:hint="eastAsia" w:ascii="微软雅黑" w:hAnsi="微软雅黑" w:eastAsia="微软雅黑" w:cs="微软雅黑"/>
          <w:b/>
          <w:i w:val="0"/>
          <w:caps w:val="0"/>
          <w:color w:val="auto"/>
          <w:spacing w:val="0"/>
          <w:w w:val="100"/>
          <w:sz w:val="52"/>
          <w:highlight w:val="none"/>
        </w:rPr>
      </w:pPr>
    </w:p>
    <w:p>
      <w:pPr>
        <w:pStyle w:val="5"/>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32"/>
          <w:highlight w:val="none"/>
        </w:rPr>
      </w:pPr>
      <w:bookmarkStart w:id="882" w:name="_Toc14253"/>
      <w:bookmarkStart w:id="883" w:name="_Toc28765"/>
      <w:bookmarkStart w:id="884" w:name="_Toc216582822"/>
      <w:bookmarkStart w:id="885" w:name="_Toc507399902"/>
      <w:bookmarkStart w:id="886" w:name="_Toc16370"/>
      <w:bookmarkStart w:id="887" w:name="_Toc515647829"/>
      <w:bookmarkStart w:id="888" w:name="_Toc219175634"/>
      <w:bookmarkStart w:id="889" w:name="_Toc218935350"/>
      <w:r>
        <w:rPr>
          <w:rFonts w:hint="eastAsia" w:ascii="微软雅黑" w:hAnsi="微软雅黑" w:eastAsia="微软雅黑" w:cs="微软雅黑"/>
          <w:b/>
          <w:i w:val="0"/>
          <w:caps w:val="0"/>
          <w:color w:val="auto"/>
          <w:spacing w:val="0"/>
          <w:w w:val="100"/>
          <w:sz w:val="32"/>
          <w:highlight w:val="none"/>
        </w:rPr>
        <w:t>第3章 磋商邀请</w:t>
      </w:r>
      <w:bookmarkEnd w:id="882"/>
      <w:bookmarkEnd w:id="883"/>
      <w:bookmarkEnd w:id="884"/>
      <w:bookmarkEnd w:id="885"/>
      <w:bookmarkEnd w:id="886"/>
      <w:bookmarkEnd w:id="887"/>
      <w:bookmarkEnd w:id="888"/>
      <w:bookmarkEnd w:id="889"/>
    </w:p>
    <w:p>
      <w:pPr>
        <w:pStyle w:val="25"/>
        <w:rPr>
          <w:rFonts w:hint="eastAsia" w:ascii="微软雅黑" w:hAnsi="微软雅黑" w:eastAsia="微软雅黑" w:cs="微软雅黑"/>
          <w:color w:val="auto"/>
          <w:kern w:val="0"/>
          <w:szCs w:val="21"/>
        </w:rPr>
      </w:pPr>
      <w:bookmarkStart w:id="890" w:name="_Toc512937850"/>
      <w:bookmarkStart w:id="891" w:name="_Toc31583"/>
      <w:bookmarkStart w:id="892" w:name="_Toc10488"/>
      <w:bookmarkStart w:id="893" w:name="_Toc507399903"/>
      <w:bookmarkStart w:id="894" w:name="_Toc515647830"/>
      <w:bookmarkStart w:id="895" w:name="_Toc216582823"/>
    </w:p>
    <w:p>
      <w:pPr>
        <w:pStyle w:val="5"/>
        <w:keepNext/>
        <w:keepLines/>
        <w:pageBreakBefore w:val="0"/>
        <w:widowControl w:val="0"/>
        <w:tabs>
          <w:tab w:val="left" w:pos="0"/>
        </w:tabs>
        <w:kinsoku/>
        <w:wordWrap/>
        <w:overflowPunct/>
        <w:topLinePunct w:val="0"/>
        <w:autoSpaceDE w:val="0"/>
        <w:autoSpaceDN w:val="0"/>
        <w:bidi w:val="0"/>
        <w:adjustRightInd w:val="0"/>
        <w:snapToGrid/>
        <w:spacing w:before="0" w:after="0" w:line="400" w:lineRule="exact"/>
        <w:jc w:val="center"/>
        <w:textAlignment w:val="auto"/>
        <w:rPr>
          <w:rFonts w:hint="eastAsia" w:ascii="宋体" w:hAnsi="宋体" w:eastAsia="宋体" w:cs="宋体"/>
          <w:color w:val="auto"/>
          <w:sz w:val="32"/>
          <w:szCs w:val="32"/>
          <w:highlight w:val="none"/>
          <w:lang w:val="en-US" w:eastAsia="zh-CN"/>
        </w:rPr>
      </w:pPr>
      <w:bookmarkStart w:id="896" w:name="_Toc24156"/>
      <w:bookmarkStart w:id="897" w:name="_Toc12622"/>
      <w:bookmarkStart w:id="898" w:name="_Toc8815"/>
      <w:r>
        <w:rPr>
          <w:rFonts w:hint="eastAsia" w:hAnsi="宋体" w:cs="宋体"/>
          <w:color w:val="auto"/>
          <w:sz w:val="32"/>
          <w:szCs w:val="32"/>
          <w:highlight w:val="none"/>
          <w:lang w:val="en-US" w:eastAsia="zh-CN"/>
        </w:rPr>
        <w:t>泽普县乒乓球、围棋等文化侵润系列活动</w:t>
      </w:r>
      <w:r>
        <w:rPr>
          <w:rFonts w:hint="eastAsia" w:ascii="宋体" w:hAnsi="宋体" w:eastAsia="宋体" w:cs="宋体"/>
          <w:color w:val="auto"/>
          <w:sz w:val="32"/>
          <w:szCs w:val="32"/>
          <w:highlight w:val="none"/>
          <w:lang w:val="en-US" w:eastAsia="zh-CN"/>
        </w:rPr>
        <w:t>项目</w:t>
      </w:r>
      <w:bookmarkEnd w:id="896"/>
      <w:bookmarkEnd w:id="897"/>
    </w:p>
    <w:p>
      <w:pPr>
        <w:pStyle w:val="5"/>
        <w:keepNext/>
        <w:keepLines/>
        <w:pageBreakBefore w:val="0"/>
        <w:widowControl w:val="0"/>
        <w:tabs>
          <w:tab w:val="left" w:pos="0"/>
        </w:tabs>
        <w:kinsoku/>
        <w:wordWrap/>
        <w:overflowPunct/>
        <w:topLinePunct w:val="0"/>
        <w:autoSpaceDE w:val="0"/>
        <w:autoSpaceDN w:val="0"/>
        <w:bidi w:val="0"/>
        <w:adjustRightInd w:val="0"/>
        <w:snapToGrid/>
        <w:spacing w:before="0" w:after="0" w:line="400" w:lineRule="exact"/>
        <w:jc w:val="center"/>
        <w:textAlignment w:val="auto"/>
        <w:rPr>
          <w:rFonts w:hint="eastAsia" w:ascii="宋体" w:hAnsi="宋体" w:eastAsia="宋体" w:cs="宋体"/>
          <w:color w:val="auto"/>
          <w:sz w:val="32"/>
          <w:szCs w:val="32"/>
          <w:highlight w:val="none"/>
        </w:rPr>
      </w:pPr>
      <w:bookmarkStart w:id="899" w:name="_Toc18911"/>
      <w:bookmarkStart w:id="900" w:name="_Toc26253"/>
      <w:r>
        <w:rPr>
          <w:rFonts w:hint="eastAsia" w:hAnsi="宋体" w:cs="宋体"/>
          <w:color w:val="auto"/>
          <w:sz w:val="32"/>
          <w:szCs w:val="32"/>
          <w:highlight w:val="none"/>
          <w:lang w:val="en-US" w:eastAsia="zh-CN"/>
        </w:rPr>
        <w:t>竞争性</w:t>
      </w:r>
      <w:r>
        <w:rPr>
          <w:rFonts w:hint="eastAsia" w:ascii="宋体" w:hAnsi="宋体" w:eastAsia="宋体" w:cs="宋体"/>
          <w:color w:val="auto"/>
          <w:sz w:val="32"/>
          <w:szCs w:val="32"/>
          <w:highlight w:val="none"/>
          <w:lang w:val="en-US" w:eastAsia="zh-CN"/>
        </w:rPr>
        <w:t>磋商</w:t>
      </w:r>
      <w:r>
        <w:rPr>
          <w:rFonts w:hint="eastAsia" w:ascii="宋体" w:hAnsi="宋体" w:eastAsia="宋体" w:cs="宋体"/>
          <w:color w:val="auto"/>
          <w:sz w:val="32"/>
          <w:szCs w:val="32"/>
          <w:highlight w:val="none"/>
        </w:rPr>
        <w:t>公告</w:t>
      </w:r>
      <w:bookmarkEnd w:id="898"/>
      <w:bookmarkEnd w:id="899"/>
      <w:bookmarkEnd w:id="900"/>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泽普县乒乓球、围棋等文化侵润系列活动项目</w:t>
      </w:r>
      <w:r>
        <w:rPr>
          <w:rFonts w:hint="eastAsia" w:ascii="宋体" w:hAnsi="宋体" w:eastAsia="宋体" w:cs="宋体"/>
          <w:color w:val="auto"/>
          <w:sz w:val="24"/>
          <w:szCs w:val="24"/>
          <w:highlight w:val="none"/>
        </w:rPr>
        <w:t>的潜在供应商</w:t>
      </w:r>
      <w:r>
        <w:rPr>
          <w:rFonts w:hint="eastAsia" w:ascii="宋体" w:hAnsi="宋体" w:eastAsia="宋体" w:cs="宋体"/>
          <w:color w:val="auto"/>
          <w:sz w:val="24"/>
          <w:szCs w:val="24"/>
          <w:highlight w:val="none"/>
          <w:lang w:val="en-US" w:eastAsia="zh-CN"/>
        </w:rPr>
        <w:t>应在</w:t>
      </w:r>
      <w:r>
        <w:rPr>
          <w:rFonts w:hint="eastAsia" w:ascii="宋体" w:hAnsi="宋体" w:eastAsia="宋体" w:cs="宋体"/>
          <w:color w:val="auto"/>
          <w:sz w:val="24"/>
          <w:szCs w:val="24"/>
          <w:highlight w:val="none"/>
          <w:u w:val="single"/>
          <w:lang w:val="en-US" w:eastAsia="zh-CN"/>
        </w:rPr>
        <w:t>政采云平台</w:t>
      </w:r>
      <w:r>
        <w:rPr>
          <w:rFonts w:hint="eastAsia" w:ascii="宋体" w:hAnsi="宋体" w:eastAsia="宋体" w:cs="宋体"/>
          <w:color w:val="auto"/>
          <w:sz w:val="24"/>
          <w:szCs w:val="24"/>
          <w:highlight w:val="none"/>
          <w:lang w:val="en-US" w:eastAsia="zh-CN"/>
        </w:rPr>
        <w:t>获</w:t>
      </w:r>
      <w:r>
        <w:rPr>
          <w:rFonts w:hint="eastAsia" w:ascii="宋体" w:hAnsi="宋体" w:eastAsia="宋体" w:cs="宋体"/>
          <w:color w:val="auto"/>
          <w:sz w:val="24"/>
          <w:szCs w:val="24"/>
          <w:highlight w:val="none"/>
        </w:rPr>
        <w:t>取</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文件，并于</w:t>
      </w:r>
      <w:r>
        <w:rPr>
          <w:rFonts w:hint="eastAsia" w:ascii="宋体" w:hAnsi="宋体" w:eastAsia="宋体" w:cs="宋体"/>
          <w:color w:val="auto"/>
          <w:sz w:val="24"/>
          <w:szCs w:val="24"/>
          <w:highlight w:val="none"/>
          <w:u w:val="single"/>
          <w:lang w:val="en-US" w:eastAsia="zh-CN"/>
        </w:rPr>
        <w:t>2022</w:t>
      </w:r>
      <w:r>
        <w:rPr>
          <w:rFonts w:hint="eastAsia" w:ascii="宋体" w:hAnsi="宋体" w:eastAsia="宋体" w:cs="宋体"/>
          <w:color w:val="auto"/>
          <w:sz w:val="24"/>
          <w:szCs w:val="24"/>
          <w:highlight w:val="none"/>
          <w:u w:val="single"/>
        </w:rPr>
        <w:t>年</w:t>
      </w:r>
      <w:r>
        <w:rPr>
          <w:rFonts w:hint="eastAsia" w:ascii="宋体" w:hAnsi="宋体" w:eastAsia="宋体"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1</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日</w:t>
      </w:r>
      <w:r>
        <w:rPr>
          <w:rFonts w:hint="eastAsia" w:ascii="宋体" w:hAnsi="宋体" w:cs="宋体"/>
          <w:color w:val="auto"/>
          <w:sz w:val="24"/>
          <w:szCs w:val="24"/>
          <w:highlight w:val="none"/>
          <w:u w:val="single"/>
          <w:lang w:val="en-US" w:eastAsia="zh-CN"/>
        </w:rPr>
        <w:t>下</w:t>
      </w:r>
      <w:r>
        <w:rPr>
          <w:rFonts w:hint="eastAsia" w:ascii="宋体" w:hAnsi="宋体" w:eastAsia="宋体" w:cs="宋体"/>
          <w:color w:val="auto"/>
          <w:sz w:val="24"/>
          <w:szCs w:val="24"/>
          <w:highlight w:val="none"/>
          <w:u w:val="single"/>
          <w:lang w:val="en-US" w:eastAsia="zh-CN"/>
        </w:rPr>
        <w:t>午</w:t>
      </w:r>
      <w:r>
        <w:rPr>
          <w:rFonts w:hint="eastAsia" w:ascii="宋体" w:hAnsi="宋体" w:cs="宋体"/>
          <w:color w:val="auto"/>
          <w:sz w:val="24"/>
          <w:szCs w:val="24"/>
          <w:highlight w:val="none"/>
          <w:u w:val="single"/>
          <w:lang w:val="en-US" w:eastAsia="zh-CN"/>
        </w:rPr>
        <w:t>16</w:t>
      </w:r>
      <w:r>
        <w:rPr>
          <w:rFonts w:hint="eastAsia" w:ascii="宋体" w:hAnsi="宋体" w:eastAsia="宋体" w:cs="宋体"/>
          <w:color w:val="auto"/>
          <w:sz w:val="24"/>
          <w:szCs w:val="24"/>
          <w:highlight w:val="none"/>
          <w:u w:val="single"/>
          <w:lang w:val="en-US" w:eastAsia="zh-CN"/>
        </w:rPr>
        <w:t>点00分</w:t>
      </w:r>
      <w:r>
        <w:rPr>
          <w:rFonts w:hint="eastAsia" w:ascii="宋体" w:hAnsi="宋体" w:eastAsia="宋体" w:cs="宋体"/>
          <w:bCs/>
          <w:color w:val="auto"/>
          <w:sz w:val="24"/>
          <w:szCs w:val="24"/>
          <w:highlight w:val="none"/>
          <w:u w:val="single"/>
        </w:rPr>
        <w:t>（北京时间）</w:t>
      </w:r>
      <w:r>
        <w:rPr>
          <w:rFonts w:hint="eastAsia" w:ascii="宋体" w:hAnsi="宋体" w:eastAsia="宋体" w:cs="宋体"/>
          <w:bCs/>
          <w:color w:val="auto"/>
          <w:sz w:val="24"/>
          <w:szCs w:val="24"/>
          <w:highlight w:val="none"/>
        </w:rPr>
        <w:t>前提交响应文件</w:t>
      </w:r>
      <w:r>
        <w:rPr>
          <w:rFonts w:hint="eastAsia" w:ascii="宋体" w:hAnsi="宋体" w:eastAsia="宋体" w:cs="宋体"/>
          <w:color w:val="auto"/>
          <w:sz w:val="24"/>
          <w:szCs w:val="24"/>
          <w:highlight w:val="none"/>
        </w:rPr>
        <w:t>。</w:t>
      </w:r>
    </w:p>
    <w:p>
      <w:pPr>
        <w:pStyle w:val="6"/>
        <w:pageBreakBefore w:val="0"/>
        <w:widowControl w:val="0"/>
        <w:kinsoku/>
        <w:wordWrap/>
        <w:overflowPunct/>
        <w:topLinePunct w:val="0"/>
        <w:bidi w:val="0"/>
        <w:snapToGrid/>
        <w:spacing w:before="0" w:line="360" w:lineRule="exact"/>
        <w:jc w:val="both"/>
        <w:textAlignment w:val="auto"/>
        <w:rPr>
          <w:rFonts w:hint="eastAsia" w:ascii="宋体" w:hAnsi="宋体" w:eastAsia="宋体" w:cs="宋体"/>
          <w:b/>
          <w:bCs/>
          <w:color w:val="auto"/>
          <w:sz w:val="24"/>
          <w:szCs w:val="24"/>
          <w:highlight w:val="none"/>
        </w:rPr>
      </w:pPr>
      <w:bookmarkStart w:id="901" w:name="_Toc35393798"/>
      <w:bookmarkStart w:id="902" w:name="_Toc19723"/>
      <w:bookmarkStart w:id="903" w:name="_Toc28359089"/>
      <w:bookmarkStart w:id="904" w:name="_Toc35393629"/>
      <w:bookmarkStart w:id="905" w:name="_Toc28359012"/>
      <w:bookmarkStart w:id="906" w:name="_Toc8264"/>
      <w:bookmarkStart w:id="907" w:name="_Toc30832"/>
      <w:bookmarkStart w:id="908" w:name="_Toc29182"/>
      <w:r>
        <w:rPr>
          <w:rFonts w:hint="eastAsia" w:ascii="宋体" w:hAnsi="宋体" w:eastAsia="宋体" w:cs="宋体"/>
          <w:b/>
          <w:bCs/>
          <w:color w:val="auto"/>
          <w:sz w:val="24"/>
          <w:szCs w:val="24"/>
          <w:highlight w:val="none"/>
        </w:rPr>
        <w:t>一、项目基本情况</w:t>
      </w:r>
      <w:bookmarkEnd w:id="901"/>
      <w:bookmarkEnd w:id="902"/>
      <w:bookmarkEnd w:id="903"/>
      <w:bookmarkEnd w:id="904"/>
      <w:bookmarkEnd w:id="905"/>
      <w:bookmarkEnd w:id="906"/>
      <w:bookmarkEnd w:id="907"/>
      <w:bookmarkEnd w:id="908"/>
    </w:p>
    <w:p>
      <w:pPr>
        <w:pageBreakBefore w:val="0"/>
        <w:widowControl w:val="0"/>
        <w:kinsoku/>
        <w:wordWrap/>
        <w:overflowPunct/>
        <w:topLinePunct w:val="0"/>
        <w:bidi w:val="0"/>
        <w:snapToGrid/>
        <w:spacing w:line="360" w:lineRule="exact"/>
        <w:ind w:left="0" w:leftChars="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ZPDL(2022)0</w:t>
      </w:r>
      <w:r>
        <w:rPr>
          <w:rFonts w:hint="eastAsia" w:ascii="宋体" w:hAnsi="宋体" w:cs="宋体"/>
          <w:color w:val="auto"/>
          <w:sz w:val="24"/>
          <w:szCs w:val="24"/>
          <w:highlight w:val="none"/>
          <w:lang w:val="en-US" w:eastAsia="zh-CN"/>
        </w:rPr>
        <w:t>38</w:t>
      </w:r>
    </w:p>
    <w:p>
      <w:pPr>
        <w:pageBreakBefore w:val="0"/>
        <w:widowControl w:val="0"/>
        <w:kinsoku/>
        <w:wordWrap/>
        <w:overflowPunct/>
        <w:topLinePunct w:val="0"/>
        <w:bidi w:val="0"/>
        <w:snapToGrid/>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.项目名称：泽普县乒乓球、围棋等文化侵润系列活动项目</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none"/>
        </w:rPr>
        <w:t xml:space="preserve">采购方式：竞争性磋商 </w:t>
      </w:r>
    </w:p>
    <w:p>
      <w:pPr>
        <w:pageBreakBefore w:val="0"/>
        <w:widowControl w:val="0"/>
        <w:kinsoku/>
        <w:wordWrap/>
        <w:overflowPunct/>
        <w:topLinePunct w:val="0"/>
        <w:bidi w:val="0"/>
        <w:snapToGrid/>
        <w:spacing w:line="3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.预算金额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700000</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最高限价（元）：700000</w:t>
      </w:r>
    </w:p>
    <w:p>
      <w:pPr>
        <w:pageBreakBefore w:val="0"/>
        <w:widowControl w:val="0"/>
        <w:kinsoku/>
        <w:wordWrap/>
        <w:overflowPunct/>
        <w:topLinePunct w:val="0"/>
        <w:bidi w:val="0"/>
        <w:snapToGrid/>
        <w:spacing w:line="3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采购需求：需聘请上海（中国乒乓球学院、闵行区、黄浦区）、自治区、地区专家开展技术指导服务，组织举办各类比赛、乒乓球技能交流活动等。（详细规格参数见磋商文件）</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.本项目（否）接受联合体。</w:t>
      </w:r>
    </w:p>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宋体" w:hAnsi="宋体" w:eastAsia="宋体" w:cs="宋体"/>
          <w:color w:val="auto"/>
          <w:kern w:val="0"/>
          <w:sz w:val="24"/>
          <w:szCs w:val="24"/>
          <w:highlight w:val="none"/>
        </w:rPr>
      </w:pPr>
      <w:bookmarkStart w:id="909" w:name="_Toc28359090"/>
      <w:bookmarkStart w:id="910" w:name="_Toc12963"/>
      <w:bookmarkStart w:id="911" w:name="_Toc35393799"/>
      <w:bookmarkStart w:id="912" w:name="_Toc13080"/>
      <w:bookmarkStart w:id="913" w:name="_Toc28359013"/>
      <w:bookmarkStart w:id="914" w:name="_Toc35393630"/>
      <w:bookmarkStart w:id="915" w:name="_Toc9686"/>
      <w:r>
        <w:rPr>
          <w:rFonts w:hint="eastAsia" w:ascii="宋体" w:hAnsi="宋体" w:eastAsia="宋体" w:cs="宋体"/>
          <w:color w:val="auto"/>
          <w:kern w:val="0"/>
          <w:sz w:val="24"/>
          <w:szCs w:val="24"/>
          <w:highlight w:val="none"/>
        </w:rPr>
        <w:t>二、申请人的资格要求：</w:t>
      </w:r>
      <w:bookmarkEnd w:id="909"/>
      <w:bookmarkEnd w:id="910"/>
      <w:bookmarkEnd w:id="911"/>
      <w:bookmarkEnd w:id="912"/>
      <w:bookmarkEnd w:id="913"/>
      <w:bookmarkEnd w:id="914"/>
      <w:bookmarkEnd w:id="915"/>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bookmarkStart w:id="916" w:name="_Toc28359014"/>
      <w:bookmarkStart w:id="917" w:name="_Toc35393800"/>
      <w:bookmarkStart w:id="918" w:name="_Toc28359091"/>
      <w:bookmarkStart w:id="919" w:name="_Toc35393631"/>
      <w:r>
        <w:rPr>
          <w:rFonts w:hint="eastAsia" w:ascii="宋体" w:hAnsi="宋体" w:eastAsia="宋体" w:cs="宋体"/>
          <w:color w:val="auto"/>
          <w:sz w:val="24"/>
          <w:szCs w:val="24"/>
          <w:highlight w:val="none"/>
        </w:rPr>
        <w:t>1.满足《中华人民共和国政府采购法》第二十二条规定；</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2.落实政府采购政策需满足的资格要求：</w:t>
      </w:r>
      <w:r>
        <w:rPr>
          <w:rFonts w:hint="eastAsia" w:ascii="宋体" w:hAnsi="宋体" w:eastAsia="宋体" w:cs="宋体"/>
          <w:color w:val="auto"/>
          <w:sz w:val="24"/>
          <w:szCs w:val="24"/>
          <w:highlight w:val="none"/>
          <w:lang w:eastAsia="zh-CN"/>
        </w:rPr>
        <w:t>无；</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具有有效的独立法人营业执照；</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（2）法定代表人资格证明及授权书、被授权人身份证；(法定代表人投标需提供法定代表人身份证)；</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（3）近两年内任意一年的财务审计报告（新成立的公司提供近三个月内任意一个月的银行资信证明）；</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（4）依法缴纳近六个月内任意一个月社会保险的凭据；</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（5）提供税务部门出具的近六个月内任意一个月的完税证明；</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招标代理机构或招标人查询为准）；</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（7）参与政府采购活动前3年内未被列入失信、重大税收违法案件、财政部门禁止参加政府采购活动的承诺书；</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（8）提供针对本次项目的《反商业贿赂承诺书》。</w:t>
      </w:r>
    </w:p>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宋体" w:hAnsi="宋体" w:eastAsia="宋体" w:cs="宋体"/>
          <w:color w:val="auto"/>
          <w:kern w:val="0"/>
          <w:sz w:val="24"/>
          <w:szCs w:val="24"/>
          <w:highlight w:val="none"/>
        </w:rPr>
      </w:pPr>
      <w:bookmarkStart w:id="920" w:name="_Toc3368"/>
      <w:r>
        <w:rPr>
          <w:rFonts w:hint="eastAsia" w:ascii="宋体" w:hAnsi="宋体" w:eastAsia="宋体" w:cs="宋体"/>
          <w:color w:val="auto"/>
          <w:kern w:val="0"/>
          <w:sz w:val="24"/>
          <w:szCs w:val="24"/>
          <w:highlight w:val="none"/>
        </w:rPr>
        <w:t>三、获取采购文件</w:t>
      </w:r>
      <w:bookmarkEnd w:id="920"/>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获取磋商文件时间：2022年8月</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日至2022年8月</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日（上午10:00-14:00，下午16:00-20:00）</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获取磋商文件地点：政采云平台 </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获取磋商文件方式：供应商登陆政采云平台http://www.zcygov.cn/，在线申请获取采购文件（登录政府采购云平台 → 项目采购 → 获取采购文件 → 申请，审核通过后可下载磋商文件，如有操作性问题，可与政采云在线客服进行咨询，咨询电话：400-881-7190）</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售价（元）：0</w:t>
      </w:r>
    </w:p>
    <w:bookmarkEnd w:id="916"/>
    <w:bookmarkEnd w:id="917"/>
    <w:bookmarkEnd w:id="918"/>
    <w:bookmarkEnd w:id="919"/>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宋体" w:hAnsi="宋体" w:eastAsia="宋体" w:cs="宋体"/>
          <w:b/>
          <w:bCs/>
          <w:color w:val="auto"/>
          <w:kern w:val="0"/>
          <w:sz w:val="24"/>
          <w:szCs w:val="24"/>
          <w:highlight w:val="none"/>
        </w:rPr>
      </w:pPr>
      <w:bookmarkStart w:id="921" w:name="_Toc32404"/>
      <w:bookmarkStart w:id="922" w:name="_Toc28359093"/>
      <w:bookmarkStart w:id="923" w:name="_Toc28593"/>
      <w:bookmarkStart w:id="924" w:name="_Toc21935"/>
      <w:bookmarkStart w:id="925" w:name="_Toc35393633"/>
      <w:bookmarkStart w:id="926" w:name="_Toc28359016"/>
      <w:bookmarkStart w:id="927" w:name="_Toc35393802"/>
      <w:r>
        <w:rPr>
          <w:rFonts w:hint="eastAsia" w:ascii="宋体" w:hAnsi="宋体" w:eastAsia="宋体" w:cs="宋体"/>
          <w:b/>
          <w:bCs/>
          <w:color w:val="auto"/>
          <w:kern w:val="0"/>
          <w:sz w:val="24"/>
          <w:szCs w:val="24"/>
          <w:highlight w:val="none"/>
        </w:rPr>
        <w:t>四、响应文件提交</w:t>
      </w:r>
      <w:bookmarkEnd w:id="921"/>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截止时间：2022年8月15日下午16点00分（北京时间）</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点：泽普县政府采购中心（泽普县行政服务中心B座3楼）</w:t>
      </w:r>
    </w:p>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宋体" w:hAnsi="宋体" w:eastAsia="宋体" w:cs="宋体"/>
          <w:b/>
          <w:bCs/>
          <w:color w:val="auto"/>
          <w:kern w:val="0"/>
          <w:sz w:val="24"/>
          <w:szCs w:val="24"/>
          <w:highlight w:val="none"/>
          <w:lang w:val="en-US" w:eastAsia="zh-CN"/>
        </w:rPr>
      </w:pPr>
      <w:bookmarkStart w:id="928" w:name="_Toc4699"/>
      <w:r>
        <w:rPr>
          <w:rFonts w:hint="eastAsia" w:ascii="宋体" w:hAnsi="宋体" w:eastAsia="宋体" w:cs="宋体"/>
          <w:b/>
          <w:bCs/>
          <w:color w:val="auto"/>
          <w:kern w:val="0"/>
          <w:sz w:val="24"/>
          <w:szCs w:val="24"/>
          <w:highlight w:val="none"/>
          <w:lang w:val="en-US" w:eastAsia="zh-CN"/>
        </w:rPr>
        <w:t>五、开启</w:t>
      </w:r>
      <w:bookmarkEnd w:id="928"/>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    间：2022年8月15日下午16点00分（北京时间）</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点：泽普县政府采购中心（泽普县行政服务中心B座3楼）</w:t>
      </w:r>
    </w:p>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宋体" w:hAnsi="宋体" w:eastAsia="宋体" w:cs="宋体"/>
          <w:color w:val="auto"/>
          <w:kern w:val="0"/>
          <w:sz w:val="24"/>
          <w:szCs w:val="24"/>
          <w:highlight w:val="none"/>
          <w:lang w:eastAsia="zh-CN"/>
        </w:rPr>
      </w:pPr>
      <w:bookmarkStart w:id="929" w:name="_Toc17494"/>
      <w:r>
        <w:rPr>
          <w:rFonts w:hint="eastAsia" w:ascii="宋体" w:hAnsi="宋体" w:eastAsia="宋体" w:cs="宋体"/>
          <w:color w:val="auto"/>
          <w:kern w:val="0"/>
          <w:sz w:val="24"/>
          <w:szCs w:val="24"/>
          <w:highlight w:val="none"/>
          <w:lang w:val="en-US" w:eastAsia="zh-CN"/>
        </w:rPr>
        <w:t>六</w:t>
      </w:r>
      <w:r>
        <w:rPr>
          <w:rFonts w:hint="eastAsia" w:ascii="宋体" w:hAnsi="宋体" w:eastAsia="宋体" w:cs="宋体"/>
          <w:color w:val="auto"/>
          <w:kern w:val="0"/>
          <w:sz w:val="24"/>
          <w:szCs w:val="24"/>
          <w:highlight w:val="none"/>
        </w:rPr>
        <w:t>、</w:t>
      </w:r>
      <w:bookmarkEnd w:id="922"/>
      <w:bookmarkEnd w:id="923"/>
      <w:bookmarkEnd w:id="924"/>
      <w:bookmarkEnd w:id="925"/>
      <w:bookmarkEnd w:id="926"/>
      <w:bookmarkEnd w:id="927"/>
      <w:r>
        <w:rPr>
          <w:rFonts w:hint="eastAsia" w:ascii="宋体" w:hAnsi="宋体" w:eastAsia="宋体" w:cs="宋体"/>
          <w:color w:val="auto"/>
          <w:kern w:val="0"/>
          <w:sz w:val="24"/>
          <w:szCs w:val="24"/>
          <w:highlight w:val="none"/>
          <w:lang w:eastAsia="zh-CN"/>
        </w:rPr>
        <w:t>公告期限</w:t>
      </w:r>
      <w:bookmarkEnd w:id="929"/>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自本公告发布之日起5个工作日。</w:t>
      </w:r>
    </w:p>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宋体" w:hAnsi="宋体" w:eastAsia="宋体" w:cs="宋体"/>
          <w:b/>
          <w:bCs/>
          <w:color w:val="auto"/>
          <w:kern w:val="0"/>
          <w:sz w:val="24"/>
          <w:szCs w:val="24"/>
          <w:highlight w:val="none"/>
        </w:rPr>
      </w:pPr>
      <w:bookmarkStart w:id="930" w:name="_Toc13859"/>
      <w:r>
        <w:rPr>
          <w:rFonts w:hint="eastAsia" w:ascii="宋体" w:hAnsi="宋体" w:eastAsia="宋体" w:cs="宋体"/>
          <w:color w:val="auto"/>
          <w:kern w:val="0"/>
          <w:sz w:val="24"/>
          <w:szCs w:val="24"/>
          <w:highlight w:val="none"/>
          <w:lang w:val="en-US" w:eastAsia="zh-CN"/>
        </w:rPr>
        <w:t>七</w:t>
      </w:r>
      <w:r>
        <w:rPr>
          <w:rFonts w:hint="eastAsia" w:ascii="宋体" w:hAnsi="宋体" w:eastAsia="宋体" w:cs="宋体"/>
          <w:color w:val="auto"/>
          <w:kern w:val="0"/>
          <w:sz w:val="24"/>
          <w:szCs w:val="24"/>
          <w:highlight w:val="none"/>
        </w:rPr>
        <w:t>、</w:t>
      </w:r>
      <w:bookmarkStart w:id="931" w:name="_Toc28359095"/>
      <w:bookmarkStart w:id="932" w:name="_Toc28359018"/>
      <w:bookmarkStart w:id="933" w:name="_Toc35393636"/>
      <w:bookmarkStart w:id="934" w:name="_Toc18510"/>
      <w:bookmarkStart w:id="935" w:name="_Toc23916"/>
      <w:bookmarkStart w:id="936" w:name="_Toc35393805"/>
      <w:bookmarkStart w:id="937" w:name="_Toc5483"/>
      <w:bookmarkStart w:id="938" w:name="_Toc21330"/>
      <w:r>
        <w:rPr>
          <w:rFonts w:hint="eastAsia" w:ascii="宋体" w:hAnsi="宋体" w:eastAsia="宋体" w:cs="宋体"/>
          <w:color w:val="auto"/>
          <w:kern w:val="0"/>
          <w:sz w:val="24"/>
          <w:szCs w:val="24"/>
          <w:highlight w:val="none"/>
        </w:rPr>
        <w:t>凡对本次采购提出询问，请按以下方式联系。</w:t>
      </w:r>
      <w:bookmarkEnd w:id="930"/>
      <w:bookmarkEnd w:id="931"/>
      <w:bookmarkEnd w:id="932"/>
      <w:bookmarkEnd w:id="933"/>
      <w:bookmarkEnd w:id="934"/>
      <w:bookmarkEnd w:id="935"/>
      <w:bookmarkEnd w:id="936"/>
      <w:bookmarkEnd w:id="937"/>
      <w:bookmarkEnd w:id="938"/>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bookmarkStart w:id="939" w:name="_Toc28359019"/>
      <w:bookmarkStart w:id="940" w:name="_Toc28359096"/>
      <w:bookmarkStart w:id="941" w:name="_Toc35393806"/>
      <w:bookmarkStart w:id="942" w:name="_Toc35393637"/>
      <w:bookmarkStart w:id="943" w:name="_Toc28359020"/>
      <w:bookmarkStart w:id="944" w:name="_Toc35393807"/>
      <w:bookmarkStart w:id="945" w:name="_Toc35393638"/>
      <w:bookmarkStart w:id="946" w:name="_Toc28359097"/>
      <w:r>
        <w:rPr>
          <w:rFonts w:hint="eastAsia" w:ascii="宋体" w:hAnsi="宋体" w:eastAsia="宋体" w:cs="宋体"/>
          <w:color w:val="auto"/>
          <w:sz w:val="24"/>
          <w:szCs w:val="24"/>
          <w:highlight w:val="none"/>
        </w:rPr>
        <w:t>1.采购人信息</w:t>
      </w:r>
      <w:bookmarkEnd w:id="939"/>
      <w:bookmarkEnd w:id="940"/>
      <w:bookmarkEnd w:id="941"/>
      <w:bookmarkEnd w:id="942"/>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lang w:eastAsia="zh-CN"/>
        </w:rPr>
        <w:t>泽普县教育局</w:t>
      </w:r>
      <w:r>
        <w:rPr>
          <w:rFonts w:hint="eastAsia" w:ascii="宋体" w:hAnsi="宋体" w:eastAsia="宋体" w:cs="宋体"/>
          <w:color w:val="auto"/>
          <w:sz w:val="24"/>
          <w:szCs w:val="24"/>
          <w:highlight w:val="none"/>
        </w:rPr>
        <w:t xml:space="preserve"> </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eastAsia="zh-CN"/>
        </w:rPr>
        <w:t>泽普县教育局</w:t>
      </w:r>
      <w:r>
        <w:rPr>
          <w:rFonts w:hint="eastAsia" w:ascii="宋体" w:hAnsi="宋体" w:eastAsia="宋体" w:cs="宋体"/>
          <w:color w:val="auto"/>
          <w:sz w:val="24"/>
          <w:szCs w:val="24"/>
          <w:highlight w:val="none"/>
        </w:rPr>
        <w:t>　　　　　　　　　　</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lang w:eastAsia="zh-CN"/>
        </w:rPr>
        <w:t>田酉疆</w:t>
      </w:r>
      <w:r>
        <w:rPr>
          <w:rFonts w:hint="eastAsia" w:ascii="宋体" w:hAnsi="宋体" w:eastAsia="宋体" w:cs="宋体"/>
          <w:color w:val="auto"/>
          <w:sz w:val="24"/>
          <w:szCs w:val="24"/>
          <w:highlight w:val="none"/>
        </w:rPr>
        <w:t>　　</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lang w:val="en-US" w:eastAsia="zh-CN"/>
        </w:rPr>
        <w:t>18299893218</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2.代理机构信息</w:t>
      </w:r>
      <w:bookmarkEnd w:id="943"/>
      <w:bookmarkEnd w:id="944"/>
      <w:bookmarkEnd w:id="945"/>
      <w:bookmarkEnd w:id="946"/>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w:t>
      </w:r>
      <w:r>
        <w:rPr>
          <w:rFonts w:hint="eastAsia" w:ascii="宋体" w:hAnsi="宋体" w:eastAsia="宋体" w:cs="宋体"/>
          <w:color w:val="auto"/>
          <w:kern w:val="2"/>
          <w:sz w:val="24"/>
          <w:szCs w:val="24"/>
          <w:highlight w:val="none"/>
        </w:rPr>
        <w:t>中经国际招标集团有限公司</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址：喀什经济开发区深圳城3号楼12层1204</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ascii="宋体" w:hAnsi="宋体" w:eastAsia="宋体" w:cs="宋体"/>
          <w:b w:val="0"/>
          <w:i w:val="0"/>
          <w:caps w:val="0"/>
          <w:color w:val="auto"/>
          <w:spacing w:val="0"/>
          <w:w w:val="100"/>
          <w:sz w:val="24"/>
          <w:szCs w:val="24"/>
          <w:highlight w:val="none"/>
        </w:rPr>
        <w:t>王丽娟</w:t>
      </w:r>
      <w:r>
        <w:rPr>
          <w:rFonts w:hint="eastAsia" w:ascii="宋体" w:hAnsi="宋体" w:eastAsia="宋体" w:cs="宋体"/>
          <w:color w:val="auto"/>
          <w:sz w:val="24"/>
          <w:szCs w:val="24"/>
          <w:highlight w:val="none"/>
        </w:rPr>
        <w:t xml:space="preserve">      </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r>
        <w:rPr>
          <w:rFonts w:hint="eastAsia" w:ascii="宋体" w:hAnsi="宋体" w:eastAsia="宋体" w:cs="宋体"/>
          <w:b w:val="0"/>
          <w:i w:val="0"/>
          <w:caps w:val="0"/>
          <w:color w:val="auto"/>
          <w:spacing w:val="0"/>
          <w:w w:val="100"/>
          <w:sz w:val="24"/>
          <w:szCs w:val="24"/>
          <w:highlight w:val="none"/>
        </w:rPr>
        <w:t>15099650569</w:t>
      </w:r>
      <w:r>
        <w:rPr>
          <w:rFonts w:hint="eastAsia" w:ascii="宋体" w:hAnsi="宋体" w:eastAsia="宋体" w:cs="宋体"/>
          <w:b w:val="0"/>
          <w:i w:val="0"/>
          <w:caps w:val="0"/>
          <w:color w:val="auto"/>
          <w:spacing w:val="0"/>
          <w:w w:val="100"/>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p>
      <w:pPr>
        <w:pageBreakBefore w:val="0"/>
        <w:widowControl w:val="0"/>
        <w:shd w:val="clear"/>
        <w:kinsoku/>
        <w:wordWrap w:val="0"/>
        <w:overflowPunct/>
        <w:topLinePunct w:val="0"/>
        <w:bidi w:val="0"/>
        <w:snapToGrid/>
        <w:spacing w:line="360" w:lineRule="exact"/>
        <w:ind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pPr>
        <w:pageBreakBefore w:val="0"/>
        <w:widowControl w:val="0"/>
        <w:kinsoku/>
        <w:wordWrap/>
        <w:overflowPunct/>
        <w:topLinePunct w:val="0"/>
        <w:bidi w:val="0"/>
        <w:snapToGrid/>
        <w:spacing w:line="360" w:lineRule="exact"/>
        <w:textAlignment w:val="auto"/>
        <w:outlineLvl w:val="9"/>
        <w:rPr>
          <w:rFonts w:hint="eastAsia" w:ascii="宋体" w:hAnsi="宋体" w:eastAsia="宋体" w:cs="宋体"/>
          <w:color w:val="auto"/>
          <w:sz w:val="24"/>
          <w:szCs w:val="24"/>
          <w:highlight w:val="none"/>
        </w:rPr>
      </w:pPr>
    </w:p>
    <w:p>
      <w:pPr>
        <w:pageBreakBefore w:val="0"/>
        <w:widowControl w:val="0"/>
        <w:shd w:val="clear"/>
        <w:kinsoku/>
        <w:wordWrap/>
        <w:overflowPunct/>
        <w:topLinePunct w:val="0"/>
        <w:bidi w:val="0"/>
        <w:snapToGrid/>
        <w:spacing w:line="360" w:lineRule="exact"/>
        <w:ind w:firstLine="480" w:firstLineChars="200"/>
        <w:jc w:val="right"/>
        <w:textAlignment w:val="auto"/>
        <w:rPr>
          <w:rFonts w:hint="eastAsia" w:ascii="宋体" w:hAnsi="宋体" w:eastAsia="宋体" w:cs="宋体"/>
          <w:color w:val="auto"/>
          <w:kern w:val="0"/>
          <w:sz w:val="24"/>
          <w:szCs w:val="24"/>
          <w:highlight w:val="none"/>
        </w:rPr>
      </w:pPr>
    </w:p>
    <w:p>
      <w:pPr>
        <w:pageBreakBefore w:val="0"/>
        <w:widowControl w:val="0"/>
        <w:kinsoku/>
        <w:wordWrap/>
        <w:overflowPunct/>
        <w:topLinePunct w:val="0"/>
        <w:bidi w:val="0"/>
        <w:snapToGrid/>
        <w:spacing w:line="360" w:lineRule="exact"/>
        <w:ind w:left="0" w:leftChars="0" w:firstLine="480" w:firstLineChars="200"/>
        <w:jc w:val="righ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中经国际招标集团有限公司</w:t>
      </w:r>
    </w:p>
    <w:p>
      <w:pPr>
        <w:pageBreakBefore w:val="0"/>
        <w:widowControl w:val="0"/>
        <w:kinsoku/>
        <w:wordWrap/>
        <w:overflowPunct/>
        <w:topLinePunct w:val="0"/>
        <w:bidi w:val="0"/>
        <w:snapToGrid/>
        <w:spacing w:line="360" w:lineRule="exact"/>
        <w:ind w:left="0" w:leftChars="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日</w:t>
      </w:r>
    </w:p>
    <w:p>
      <w:pPr>
        <w:rPr>
          <w:rFonts w:hint="eastAsia" w:ascii="宋体" w:hAnsi="宋体" w:cs="宋体"/>
          <w:color w:val="auto"/>
          <w:highlight w:val="none"/>
          <w:lang w:val="en-US" w:eastAsia="zh-CN"/>
        </w:rPr>
      </w:pPr>
      <w:r>
        <w:rPr>
          <w:rFonts w:hint="eastAsia" w:ascii="宋体" w:hAnsi="宋体" w:eastAsia="宋体" w:cs="宋体"/>
          <w:color w:val="auto"/>
          <w:highlight w:val="none"/>
        </w:rPr>
        <w:br w:type="page"/>
      </w:r>
      <w:r>
        <w:rPr>
          <w:rFonts w:hint="eastAsia" w:ascii="宋体" w:hAnsi="宋体" w:cs="宋体"/>
          <w:color w:val="auto"/>
          <w:highlight w:val="none"/>
          <w:lang w:val="en-US" w:eastAsia="zh-CN"/>
        </w:rPr>
        <w:t>公告截图</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967605" cy="8466455"/>
            <wp:effectExtent l="0" t="0" r="4445" b="1270"/>
            <wp:docPr id="6" name="图片 6" descr="0b93661871da5bec713f9cb085f6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b93661871da5bec713f9cb085f6aab"/>
                    <pic:cNvPicPr>
                      <a:picLocks noChangeAspect="1"/>
                    </pic:cNvPicPr>
                  </pic:nvPicPr>
                  <pic:blipFill>
                    <a:blip r:embed="rId15"/>
                    <a:srcRect b="48011"/>
                    <a:stretch>
                      <a:fillRect/>
                    </a:stretch>
                  </pic:blipFill>
                  <pic:spPr>
                    <a:xfrm>
                      <a:off x="0" y="0"/>
                      <a:ext cx="4967605" cy="8466455"/>
                    </a:xfrm>
                    <a:prstGeom prst="rect">
                      <a:avLst/>
                    </a:prstGeom>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956175" cy="8563610"/>
            <wp:effectExtent l="0" t="0" r="6350" b="8890"/>
            <wp:docPr id="8" name="图片 8" descr="0b93661871da5bec713f9cb085f6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b93661871da5bec713f9cb085f6aab"/>
                    <pic:cNvPicPr>
                      <a:picLocks noChangeAspect="1"/>
                    </pic:cNvPicPr>
                  </pic:nvPicPr>
                  <pic:blipFill>
                    <a:blip r:embed="rId15"/>
                    <a:srcRect t="50541"/>
                    <a:stretch>
                      <a:fillRect/>
                    </a:stretch>
                  </pic:blipFill>
                  <pic:spPr>
                    <a:xfrm>
                      <a:off x="0" y="0"/>
                      <a:ext cx="4956175" cy="8563610"/>
                    </a:xfrm>
                    <a:prstGeom prst="rect">
                      <a:avLst/>
                    </a:prstGeom>
                  </pic:spPr>
                </pic:pic>
              </a:graphicData>
            </a:graphic>
          </wp:inline>
        </w:drawing>
      </w:r>
      <w:r>
        <w:rPr>
          <w:rFonts w:hint="eastAsia" w:ascii="宋体" w:hAnsi="宋体" w:eastAsia="宋体" w:cs="宋体"/>
          <w:color w:val="auto"/>
          <w:highlight w:val="none"/>
        </w:rPr>
        <w:br w:type="page"/>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color w:val="auto"/>
          <w:sz w:val="28"/>
          <w:lang w:val="en-US" w:eastAsia="zh-CN"/>
        </w:rPr>
      </w:pPr>
      <w:r>
        <w:rPr>
          <w:rFonts w:hint="eastAsia" w:ascii="微软雅黑" w:hAnsi="微软雅黑" w:eastAsia="微软雅黑" w:cs="微软雅黑"/>
          <w:b/>
          <w:color w:val="auto"/>
          <w:sz w:val="28"/>
          <w:lang w:val="en-US" w:eastAsia="zh-CN"/>
        </w:rPr>
        <w:t>泽普县乒乓球、围棋等文化侵润系列活动项目</w:t>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kern w:val="0"/>
          <w:sz w:val="28"/>
          <w:lang w:val="en-US" w:eastAsia="zh-CN"/>
        </w:rPr>
      </w:pPr>
      <w:r>
        <w:rPr>
          <w:rFonts w:hint="eastAsia" w:ascii="微软雅黑" w:hAnsi="微软雅黑" w:eastAsia="微软雅黑" w:cs="微软雅黑"/>
          <w:b/>
          <w:color w:val="auto"/>
          <w:sz w:val="28"/>
          <w:lang w:val="en-US" w:eastAsia="zh-CN"/>
        </w:rPr>
        <w:t>延期</w:t>
      </w:r>
      <w:r>
        <w:rPr>
          <w:rFonts w:hint="eastAsia" w:ascii="微软雅黑" w:hAnsi="微软雅黑" w:eastAsia="微软雅黑" w:cs="微软雅黑"/>
          <w:b/>
          <w:kern w:val="0"/>
          <w:sz w:val="28"/>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一、项目名称：</w:t>
      </w:r>
      <w:r>
        <w:rPr>
          <w:rFonts w:hint="eastAsia" w:ascii="宋体" w:hAnsi="宋体" w:cs="宋体"/>
          <w:color w:val="auto"/>
          <w:sz w:val="24"/>
          <w:szCs w:val="24"/>
          <w:lang w:val="en-US" w:eastAsia="zh-CN"/>
        </w:rPr>
        <w:t>泽普县乒乓球、围棋等文化侵润系列活动项目</w:t>
      </w:r>
      <w:r>
        <w:rPr>
          <w:rFonts w:hint="eastAsia" w:ascii="宋体" w:hAnsi="宋体" w:eastAsia="宋体" w:cs="宋体"/>
          <w:color w:val="auto"/>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二、项目编号：</w:t>
      </w:r>
      <w:r>
        <w:rPr>
          <w:rFonts w:hint="eastAsia" w:ascii="宋体" w:hAnsi="宋体" w:cs="宋体"/>
          <w:color w:val="auto"/>
          <w:sz w:val="24"/>
          <w:szCs w:val="24"/>
          <w:lang w:val="en-US" w:eastAsia="zh-CN"/>
        </w:rPr>
        <w:t>ZPDL(2022)038</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三、采购单位：</w:t>
      </w:r>
      <w:r>
        <w:rPr>
          <w:rFonts w:hint="eastAsia" w:ascii="宋体" w:hAnsi="宋体" w:cs="宋体"/>
          <w:color w:val="auto"/>
          <w:kern w:val="0"/>
          <w:sz w:val="24"/>
          <w:szCs w:val="24"/>
          <w:lang w:val="en-US" w:eastAsia="zh-CN"/>
        </w:rPr>
        <w:t>泽普县教育局</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四、公告媒体及日期：</w:t>
      </w:r>
      <w:r>
        <w:rPr>
          <w:rFonts w:hint="eastAsia" w:ascii="宋体" w:hAnsi="宋体" w:eastAsia="宋体" w:cs="宋体"/>
          <w:color w:val="auto"/>
          <w:kern w:val="0"/>
          <w:sz w:val="24"/>
          <w:szCs w:val="24"/>
          <w:lang w:val="en-US" w:eastAsia="zh-CN"/>
        </w:rPr>
        <w:t>本项目于2022年</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日在“新疆政府采购网”上发布了</w:t>
      </w:r>
      <w:r>
        <w:rPr>
          <w:rFonts w:hint="eastAsia" w:ascii="宋体" w:hAnsi="宋体" w:cs="宋体"/>
          <w:color w:val="auto"/>
          <w:kern w:val="0"/>
          <w:sz w:val="24"/>
          <w:szCs w:val="24"/>
          <w:lang w:val="en-US" w:eastAsia="zh-CN"/>
        </w:rPr>
        <w:t>竞争性磋商</w:t>
      </w:r>
      <w:r>
        <w:rPr>
          <w:rFonts w:hint="eastAsia" w:ascii="宋体" w:hAnsi="宋体" w:eastAsia="宋体" w:cs="宋体"/>
          <w:color w:val="auto"/>
          <w:kern w:val="0"/>
          <w:sz w:val="24"/>
          <w:szCs w:val="24"/>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五、更正原因：</w:t>
      </w:r>
      <w:r>
        <w:rPr>
          <w:rFonts w:hint="eastAsia" w:ascii="宋体" w:hAnsi="宋体" w:eastAsia="宋体" w:cs="宋体"/>
          <w:kern w:val="0"/>
          <w:sz w:val="24"/>
          <w:szCs w:val="24"/>
          <w:lang w:val="en-US" w:eastAsia="zh-CN"/>
        </w:rPr>
        <w:t>由于疫情管控，为保证本项目的顺利进行，现对</w:t>
      </w:r>
      <w:r>
        <w:rPr>
          <w:rFonts w:hint="eastAsia" w:ascii="宋体" w:hAnsi="宋体" w:cs="宋体"/>
          <w:kern w:val="0"/>
          <w:sz w:val="24"/>
          <w:szCs w:val="24"/>
          <w:lang w:val="en-US" w:eastAsia="zh-CN"/>
        </w:rPr>
        <w:t>响应文件的提交及开启</w:t>
      </w:r>
      <w:r>
        <w:rPr>
          <w:rFonts w:hint="eastAsia" w:ascii="宋体" w:hAnsi="宋体" w:eastAsia="宋体" w:cs="宋体"/>
          <w:kern w:val="0"/>
          <w:sz w:val="24"/>
          <w:szCs w:val="24"/>
          <w:lang w:val="en-US" w:eastAsia="zh-CN"/>
        </w:rPr>
        <w:t>时间进行延期。</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六、更正事项：</w:t>
      </w:r>
    </w:p>
    <w:tbl>
      <w:tblPr>
        <w:tblStyle w:val="36"/>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6"/>
        <w:gridCol w:w="325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更正事项</w:t>
            </w:r>
          </w:p>
        </w:tc>
        <w:tc>
          <w:tcPr>
            <w:tcW w:w="325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更正前</w:t>
            </w:r>
          </w:p>
        </w:tc>
        <w:tc>
          <w:tcPr>
            <w:tcW w:w="303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936" w:type="dxa"/>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响应文件的提交及开启时间</w:t>
            </w:r>
          </w:p>
        </w:tc>
        <w:tc>
          <w:tcPr>
            <w:tcW w:w="325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时间：2022年08月15日 16:00（北京时间）</w:t>
            </w:r>
          </w:p>
        </w:tc>
        <w:tc>
          <w:tcPr>
            <w:tcW w:w="303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时间：2022年08月</w:t>
            </w:r>
            <w:r>
              <w:rPr>
                <w:rFonts w:hint="eastAsia" w:ascii="宋体" w:hAnsi="宋体" w:cs="宋体"/>
                <w:color w:val="auto"/>
                <w:kern w:val="0"/>
                <w:sz w:val="24"/>
                <w:szCs w:val="24"/>
                <w:lang w:val="en-US" w:eastAsia="zh-CN"/>
              </w:rPr>
              <w:t>22</w:t>
            </w:r>
            <w:r>
              <w:rPr>
                <w:rFonts w:hint="eastAsia" w:ascii="宋体" w:hAnsi="宋体" w:eastAsia="宋体" w:cs="宋体"/>
                <w:color w:val="auto"/>
                <w:kern w:val="0"/>
                <w:sz w:val="24"/>
                <w:szCs w:val="24"/>
                <w:lang w:val="en-US" w:eastAsia="zh-CN"/>
              </w:rPr>
              <w:t>日 16:00（北京时间）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其他内容不变</w:t>
            </w:r>
          </w:p>
        </w:tc>
      </w:tr>
    </w:tbl>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七、联系方式：</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泽普县教育局</w:t>
      </w:r>
      <w:r>
        <w:rPr>
          <w:rFonts w:hint="eastAsia" w:ascii="宋体" w:hAnsi="宋体" w:eastAsia="宋体" w:cs="宋体"/>
          <w:sz w:val="24"/>
          <w:szCs w:val="24"/>
          <w:lang w:val="en-US" w:eastAsia="zh-CN"/>
        </w:rPr>
        <w:t>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址：泽普县教育局</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 系 人：田酉疆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联系方式：18299893218　</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称：中经国际招标集团有限公司</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址：喀什经济开发区深圳城3号楼12层1204</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人：王丽娟</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联系电话：15099650569  </w:t>
      </w:r>
    </w:p>
    <w:p>
      <w:pPr>
        <w:pStyle w:val="34"/>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中经国际招标集团有限公司</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2022年8月12日</w:t>
      </w:r>
    </w:p>
    <w:p>
      <w:pPr>
        <w:pStyle w:val="25"/>
        <w:rPr>
          <w:rFonts w:hint="eastAsia"/>
          <w:color w:val="auto"/>
        </w:rPr>
      </w:pPr>
    </w:p>
    <w:p>
      <w:pPr>
        <w:rPr>
          <w:rFonts w:hint="eastAsia"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br w:type="page"/>
      </w:r>
    </w:p>
    <w:p>
      <w:pPr>
        <w:pStyle w:val="25"/>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t>公告截图</w:t>
      </w:r>
    </w:p>
    <w:p>
      <w:pPr>
        <w:pStyle w:val="25"/>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drawing>
          <wp:inline distT="0" distB="0" distL="114300" distR="114300">
            <wp:extent cx="5159375" cy="8411210"/>
            <wp:effectExtent l="0" t="0" r="3175" b="8890"/>
            <wp:docPr id="9" name="图片 9" descr="c89f2f09d62a4f1737390b86f27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89f2f09d62a4f1737390b86f278406"/>
                    <pic:cNvPicPr>
                      <a:picLocks noChangeAspect="1"/>
                    </pic:cNvPicPr>
                  </pic:nvPicPr>
                  <pic:blipFill>
                    <a:blip r:embed="rId16"/>
                    <a:srcRect b="17474"/>
                    <a:stretch>
                      <a:fillRect/>
                    </a:stretch>
                  </pic:blipFill>
                  <pic:spPr>
                    <a:xfrm>
                      <a:off x="0" y="0"/>
                      <a:ext cx="5159375" cy="8411210"/>
                    </a:xfrm>
                    <a:prstGeom prst="rect">
                      <a:avLst/>
                    </a:prstGeom>
                  </pic:spPr>
                </pic:pic>
              </a:graphicData>
            </a:graphic>
          </wp:inline>
        </w:drawing>
      </w:r>
    </w:p>
    <w:p>
      <w:pPr>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br w:type="page"/>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color w:val="auto"/>
          <w:sz w:val="28"/>
          <w:lang w:val="en-US" w:eastAsia="zh-CN"/>
        </w:rPr>
      </w:pPr>
      <w:r>
        <w:rPr>
          <w:rFonts w:hint="eastAsia" w:ascii="微软雅黑" w:hAnsi="微软雅黑" w:eastAsia="微软雅黑" w:cs="微软雅黑"/>
          <w:b/>
          <w:color w:val="auto"/>
          <w:sz w:val="28"/>
          <w:lang w:val="en-US" w:eastAsia="zh-CN"/>
        </w:rPr>
        <w:t>泽普县乒乓球、围棋等文化侵润系列活动项目</w:t>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kern w:val="0"/>
          <w:sz w:val="28"/>
          <w:lang w:val="en-US" w:eastAsia="zh-CN"/>
        </w:rPr>
      </w:pPr>
      <w:r>
        <w:rPr>
          <w:rFonts w:hint="eastAsia" w:ascii="微软雅黑" w:hAnsi="微软雅黑" w:eastAsia="微软雅黑" w:cs="微软雅黑"/>
          <w:b/>
          <w:color w:val="auto"/>
          <w:sz w:val="28"/>
          <w:lang w:val="en-US" w:eastAsia="zh-CN"/>
        </w:rPr>
        <w:t>延期</w:t>
      </w:r>
      <w:r>
        <w:rPr>
          <w:rFonts w:hint="eastAsia" w:ascii="微软雅黑" w:hAnsi="微软雅黑" w:eastAsia="微软雅黑" w:cs="微软雅黑"/>
          <w:b/>
          <w:kern w:val="0"/>
          <w:sz w:val="28"/>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一、项目名称：</w:t>
      </w:r>
      <w:r>
        <w:rPr>
          <w:rFonts w:hint="eastAsia" w:ascii="宋体" w:hAnsi="宋体" w:cs="宋体"/>
          <w:color w:val="auto"/>
          <w:sz w:val="24"/>
          <w:szCs w:val="24"/>
          <w:lang w:val="en-US" w:eastAsia="zh-CN"/>
        </w:rPr>
        <w:t>泽普县乒乓球、围棋等文化侵润系列活动项目</w:t>
      </w:r>
      <w:r>
        <w:rPr>
          <w:rFonts w:hint="eastAsia" w:ascii="宋体" w:hAnsi="宋体" w:eastAsia="宋体" w:cs="宋体"/>
          <w:color w:val="auto"/>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二、项目编号：</w:t>
      </w:r>
      <w:r>
        <w:rPr>
          <w:rFonts w:hint="eastAsia" w:ascii="宋体" w:hAnsi="宋体" w:cs="宋体"/>
          <w:color w:val="auto"/>
          <w:sz w:val="24"/>
          <w:szCs w:val="24"/>
          <w:lang w:val="en-US" w:eastAsia="zh-CN"/>
        </w:rPr>
        <w:t>ZPDL(2022)038</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三、采购单位：</w:t>
      </w:r>
      <w:r>
        <w:rPr>
          <w:rFonts w:hint="eastAsia" w:ascii="宋体" w:hAnsi="宋体" w:cs="宋体"/>
          <w:color w:val="auto"/>
          <w:kern w:val="0"/>
          <w:sz w:val="24"/>
          <w:szCs w:val="24"/>
          <w:lang w:val="en-US" w:eastAsia="zh-CN"/>
        </w:rPr>
        <w:t>泽普县教育局</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四、公告媒体及日期：</w:t>
      </w:r>
      <w:r>
        <w:rPr>
          <w:rFonts w:hint="eastAsia" w:ascii="宋体" w:hAnsi="宋体" w:eastAsia="宋体" w:cs="宋体"/>
          <w:color w:val="auto"/>
          <w:kern w:val="0"/>
          <w:sz w:val="24"/>
          <w:szCs w:val="24"/>
          <w:lang w:val="en-US" w:eastAsia="zh-CN"/>
        </w:rPr>
        <w:t>本项目于2022年</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日在“新疆政府采购网”上发布了</w:t>
      </w:r>
      <w:r>
        <w:rPr>
          <w:rFonts w:hint="eastAsia" w:ascii="宋体" w:hAnsi="宋体" w:cs="宋体"/>
          <w:color w:val="auto"/>
          <w:kern w:val="0"/>
          <w:sz w:val="24"/>
          <w:szCs w:val="24"/>
          <w:lang w:val="en-US" w:eastAsia="zh-CN"/>
        </w:rPr>
        <w:t>竞争性磋商</w:t>
      </w:r>
      <w:r>
        <w:rPr>
          <w:rFonts w:hint="eastAsia" w:ascii="宋体" w:hAnsi="宋体" w:eastAsia="宋体" w:cs="宋体"/>
          <w:color w:val="auto"/>
          <w:kern w:val="0"/>
          <w:sz w:val="24"/>
          <w:szCs w:val="24"/>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五、更正原因：</w:t>
      </w:r>
      <w:r>
        <w:rPr>
          <w:rFonts w:hint="eastAsia" w:ascii="宋体" w:hAnsi="宋体" w:eastAsia="宋体" w:cs="宋体"/>
          <w:kern w:val="0"/>
          <w:sz w:val="24"/>
          <w:szCs w:val="24"/>
          <w:lang w:val="en-US" w:eastAsia="zh-CN"/>
        </w:rPr>
        <w:t>由于疫情管控，为保证本项目的顺利进行，现对</w:t>
      </w:r>
      <w:r>
        <w:rPr>
          <w:rFonts w:hint="eastAsia" w:ascii="宋体" w:hAnsi="宋体" w:cs="宋体"/>
          <w:kern w:val="0"/>
          <w:sz w:val="24"/>
          <w:szCs w:val="24"/>
          <w:lang w:val="en-US" w:eastAsia="zh-CN"/>
        </w:rPr>
        <w:t>响应文件的提交及开启</w:t>
      </w:r>
      <w:r>
        <w:rPr>
          <w:rFonts w:hint="eastAsia" w:ascii="宋体" w:hAnsi="宋体" w:eastAsia="宋体" w:cs="宋体"/>
          <w:kern w:val="0"/>
          <w:sz w:val="24"/>
          <w:szCs w:val="24"/>
          <w:lang w:val="en-US" w:eastAsia="zh-CN"/>
        </w:rPr>
        <w:t>时间进行延期。</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六、更正事项：</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3140"/>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更正事项</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更正前</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316"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响应文件的提交及开启时间</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时间：2022年08月</w:t>
            </w:r>
            <w:r>
              <w:rPr>
                <w:rFonts w:hint="eastAsia" w:ascii="宋体" w:hAnsi="宋体" w:cs="宋体"/>
                <w:color w:val="auto"/>
                <w:kern w:val="0"/>
                <w:sz w:val="24"/>
                <w:szCs w:val="24"/>
                <w:lang w:val="en-US" w:eastAsia="zh-CN"/>
              </w:rPr>
              <w:t>22</w:t>
            </w:r>
            <w:r>
              <w:rPr>
                <w:rFonts w:hint="eastAsia" w:ascii="宋体" w:hAnsi="宋体" w:eastAsia="宋体" w:cs="宋体"/>
                <w:color w:val="auto"/>
                <w:kern w:val="0"/>
                <w:sz w:val="24"/>
                <w:szCs w:val="24"/>
                <w:lang w:val="en-US" w:eastAsia="zh-CN"/>
              </w:rPr>
              <w:t>日 16:00（北京时间）</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响应文件的提交及开启时间</w:t>
            </w:r>
            <w:r>
              <w:rPr>
                <w:rFonts w:hint="eastAsia" w:ascii="宋体" w:hAnsi="宋体" w:cs="宋体"/>
                <w:color w:val="auto"/>
                <w:kern w:val="0"/>
                <w:sz w:val="24"/>
                <w:szCs w:val="24"/>
                <w:lang w:val="en-US" w:eastAsia="zh-CN"/>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其他内容不变</w:t>
            </w:r>
          </w:p>
        </w:tc>
      </w:tr>
    </w:tbl>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七、联系方式：</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泽普县教育局</w:t>
      </w:r>
      <w:r>
        <w:rPr>
          <w:rFonts w:hint="eastAsia" w:ascii="宋体" w:hAnsi="宋体" w:eastAsia="宋体" w:cs="宋体"/>
          <w:sz w:val="24"/>
          <w:szCs w:val="24"/>
          <w:lang w:val="en-US" w:eastAsia="zh-CN"/>
        </w:rPr>
        <w:t>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址：泽普县教育局</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 系 人：田酉疆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联系方式：18299893218　</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称：中经国际招标集团有限公司</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址：喀什经济开发区深圳城3号楼12层1204</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人：王丽娟</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联系电话：15099650569  </w:t>
      </w:r>
    </w:p>
    <w:p>
      <w:pPr>
        <w:pStyle w:val="34"/>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中经国际招标集团有限公司</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2022年8月</w:t>
      </w:r>
      <w:r>
        <w:rPr>
          <w:rFonts w:hint="eastAsia" w:ascii="宋体" w:hAnsi="宋体" w:cs="宋体"/>
          <w:sz w:val="24"/>
          <w:szCs w:val="24"/>
          <w:lang w:val="en-US" w:eastAsia="zh-CN"/>
        </w:rPr>
        <w:t>21</w:t>
      </w:r>
      <w:r>
        <w:rPr>
          <w:rFonts w:hint="eastAsia" w:ascii="宋体" w:hAnsi="宋体" w:eastAsia="宋体" w:cs="宋体"/>
          <w:sz w:val="24"/>
          <w:szCs w:val="24"/>
          <w:lang w:val="en-US" w:eastAsia="zh-CN"/>
        </w:rPr>
        <w:t>日</w:t>
      </w:r>
    </w:p>
    <w:p>
      <w:pPr>
        <w:pStyle w:val="25"/>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br w:type="page"/>
      </w:r>
      <w:r>
        <w:rPr>
          <w:rFonts w:hint="eastAsia" w:ascii="微软雅黑" w:hAnsi="微软雅黑" w:eastAsia="微软雅黑" w:cs="微软雅黑"/>
          <w:color w:val="auto"/>
          <w:kern w:val="0"/>
          <w:szCs w:val="21"/>
          <w:lang w:val="en-US" w:eastAsia="zh-CN"/>
        </w:rPr>
        <w:t>公告截图</w:t>
      </w:r>
    </w:p>
    <w:p>
      <w:pPr>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drawing>
          <wp:inline distT="0" distB="0" distL="114300" distR="114300">
            <wp:extent cx="5302885" cy="8159115"/>
            <wp:effectExtent l="0" t="0" r="2540" b="3810"/>
            <wp:docPr id="7" name="图片 7" descr="71e49a4ab6fa55a9c3eb9eae4e12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e49a4ab6fa55a9c3eb9eae4e1235e"/>
                    <pic:cNvPicPr>
                      <a:picLocks noChangeAspect="1"/>
                    </pic:cNvPicPr>
                  </pic:nvPicPr>
                  <pic:blipFill>
                    <a:blip r:embed="rId17"/>
                    <a:srcRect t="5990" b="22907"/>
                    <a:stretch>
                      <a:fillRect/>
                    </a:stretch>
                  </pic:blipFill>
                  <pic:spPr>
                    <a:xfrm>
                      <a:off x="0" y="0"/>
                      <a:ext cx="5302885" cy="8159115"/>
                    </a:xfrm>
                    <a:prstGeom prst="rect">
                      <a:avLst/>
                    </a:prstGeom>
                  </pic:spPr>
                </pic:pic>
              </a:graphicData>
            </a:graphic>
          </wp:inline>
        </w:drawing>
      </w:r>
      <w:r>
        <w:rPr>
          <w:rFonts w:hint="eastAsia" w:ascii="微软雅黑" w:hAnsi="微软雅黑" w:eastAsia="微软雅黑" w:cs="微软雅黑"/>
          <w:color w:val="auto"/>
          <w:kern w:val="0"/>
          <w:szCs w:val="21"/>
          <w:lang w:val="en-US" w:eastAsia="zh-CN"/>
        </w:rPr>
        <w:br w:type="page"/>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color w:val="auto"/>
          <w:sz w:val="28"/>
          <w:lang w:val="en-US" w:eastAsia="zh-CN"/>
        </w:rPr>
      </w:pPr>
      <w:r>
        <w:rPr>
          <w:rFonts w:hint="eastAsia" w:ascii="微软雅黑" w:hAnsi="微软雅黑" w:eastAsia="微软雅黑" w:cs="微软雅黑"/>
          <w:b/>
          <w:color w:val="auto"/>
          <w:sz w:val="28"/>
          <w:lang w:val="en-US" w:eastAsia="zh-CN"/>
        </w:rPr>
        <w:t>泽普县乒乓球、围棋等文化侵润系列活动项目</w:t>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kern w:val="0"/>
          <w:sz w:val="28"/>
          <w:lang w:val="en-US" w:eastAsia="zh-CN"/>
        </w:rPr>
      </w:pPr>
      <w:r>
        <w:rPr>
          <w:rFonts w:hint="eastAsia" w:ascii="微软雅黑" w:hAnsi="微软雅黑" w:eastAsia="微软雅黑" w:cs="微软雅黑"/>
          <w:b/>
          <w:color w:val="auto"/>
          <w:sz w:val="28"/>
          <w:lang w:val="en-US" w:eastAsia="zh-CN"/>
        </w:rPr>
        <w:t>更正</w:t>
      </w:r>
      <w:r>
        <w:rPr>
          <w:rFonts w:hint="eastAsia" w:ascii="微软雅黑" w:hAnsi="微软雅黑" w:eastAsia="微软雅黑" w:cs="微软雅黑"/>
          <w:b/>
          <w:kern w:val="0"/>
          <w:sz w:val="28"/>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一、项目名称：</w:t>
      </w:r>
      <w:r>
        <w:rPr>
          <w:rFonts w:hint="eastAsia" w:ascii="宋体" w:hAnsi="宋体" w:cs="宋体"/>
          <w:color w:val="auto"/>
          <w:sz w:val="24"/>
          <w:szCs w:val="24"/>
          <w:lang w:val="en-US" w:eastAsia="zh-CN"/>
        </w:rPr>
        <w:t>泽普县乒乓球、围棋等文化侵润系列活动项目</w:t>
      </w:r>
      <w:r>
        <w:rPr>
          <w:rFonts w:hint="eastAsia" w:ascii="宋体" w:hAnsi="宋体" w:eastAsia="宋体" w:cs="宋体"/>
          <w:color w:val="auto"/>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二、项目编号：</w:t>
      </w:r>
      <w:r>
        <w:rPr>
          <w:rFonts w:hint="eastAsia" w:ascii="宋体" w:hAnsi="宋体" w:cs="宋体"/>
          <w:color w:val="auto"/>
          <w:sz w:val="24"/>
          <w:szCs w:val="24"/>
          <w:lang w:val="en-US" w:eastAsia="zh-CN"/>
        </w:rPr>
        <w:t>ZPDL(2022)038</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三、采购单位：</w:t>
      </w:r>
      <w:r>
        <w:rPr>
          <w:rFonts w:hint="eastAsia" w:ascii="宋体" w:hAnsi="宋体" w:cs="宋体"/>
          <w:color w:val="auto"/>
          <w:kern w:val="0"/>
          <w:sz w:val="24"/>
          <w:szCs w:val="24"/>
          <w:lang w:val="en-US" w:eastAsia="zh-CN"/>
        </w:rPr>
        <w:t>泽普县教育局</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四、公告媒体及日期：</w:t>
      </w:r>
      <w:r>
        <w:rPr>
          <w:rFonts w:hint="eastAsia" w:ascii="宋体" w:hAnsi="宋体" w:eastAsia="宋体" w:cs="宋体"/>
          <w:color w:val="auto"/>
          <w:kern w:val="0"/>
          <w:sz w:val="24"/>
          <w:szCs w:val="24"/>
          <w:lang w:val="en-US" w:eastAsia="zh-CN"/>
        </w:rPr>
        <w:t>本项目于2022年</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日在“新疆政府采购网”上发布了</w:t>
      </w:r>
      <w:r>
        <w:rPr>
          <w:rFonts w:hint="eastAsia" w:ascii="宋体" w:hAnsi="宋体" w:cs="宋体"/>
          <w:color w:val="auto"/>
          <w:kern w:val="0"/>
          <w:sz w:val="24"/>
          <w:szCs w:val="24"/>
          <w:lang w:val="en-US" w:eastAsia="zh-CN"/>
        </w:rPr>
        <w:t>竞争性磋商</w:t>
      </w:r>
      <w:r>
        <w:rPr>
          <w:rFonts w:hint="eastAsia" w:ascii="宋体" w:hAnsi="宋体" w:eastAsia="宋体" w:cs="宋体"/>
          <w:color w:val="auto"/>
          <w:kern w:val="0"/>
          <w:sz w:val="24"/>
          <w:szCs w:val="24"/>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五、更正原因：</w:t>
      </w:r>
      <w:r>
        <w:rPr>
          <w:rFonts w:hint="eastAsia" w:ascii="宋体" w:hAnsi="宋体" w:eastAsia="宋体" w:cs="宋体"/>
          <w:kern w:val="0"/>
          <w:sz w:val="24"/>
          <w:szCs w:val="24"/>
          <w:lang w:val="en-US" w:eastAsia="zh-CN"/>
        </w:rPr>
        <w:t>为保证本项目的顺利进行，现对响应文件的提交、开启时间及地点进行更正。</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六、更正事项：</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3140"/>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更正事项</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更正前</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更正后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243" w:type="dxa"/>
            <w:tcBorders>
              <w:top w:val="single" w:color="auto" w:sz="4" w:space="0"/>
              <w:left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响应文件的提交、开启时间及地点</w:t>
            </w:r>
          </w:p>
        </w:tc>
        <w:tc>
          <w:tcPr>
            <w:tcW w:w="31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时间：响应文件的提交及开启时间待定</w:t>
            </w:r>
          </w:p>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地点：泽普县政府采购中心（泽普县行政服务中心B座3楼）</w:t>
            </w:r>
          </w:p>
        </w:tc>
        <w:tc>
          <w:tcPr>
            <w:tcW w:w="31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时间：2022年09月16日 12:30（北京时间）</w:t>
            </w:r>
          </w:p>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地点：喀什经济开发区深圳城3号楼12层1204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其他内容不变</w:t>
            </w:r>
          </w:p>
        </w:tc>
      </w:tr>
    </w:tbl>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七、联系方式：</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泽普县教育局</w:t>
      </w:r>
      <w:r>
        <w:rPr>
          <w:rFonts w:hint="eastAsia" w:ascii="宋体" w:hAnsi="宋体" w:eastAsia="宋体" w:cs="宋体"/>
          <w:sz w:val="24"/>
          <w:szCs w:val="24"/>
          <w:lang w:val="en-US" w:eastAsia="zh-CN"/>
        </w:rPr>
        <w:t>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址：泽普县教育局</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 系 人：田酉疆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联系方式：18299893218　</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称：中经国际招标集团有限公司</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址：喀什经济开发区深圳城3号楼12层1204</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人：王丽娟</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联系电话：15099650569  </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中经国际招标集团有限公司</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13</w:t>
      </w:r>
      <w:r>
        <w:rPr>
          <w:rFonts w:hint="eastAsia" w:ascii="宋体" w:hAnsi="宋体" w:eastAsia="宋体" w:cs="宋体"/>
          <w:sz w:val="24"/>
          <w:szCs w:val="24"/>
          <w:lang w:val="en-US" w:eastAsia="zh-CN"/>
        </w:rPr>
        <w:t>日</w:t>
      </w:r>
    </w:p>
    <w:p>
      <w:pPr>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br w:type="page"/>
      </w:r>
    </w:p>
    <w:p>
      <w:pPr>
        <w:pStyle w:val="25"/>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t>公告截图</w:t>
      </w:r>
    </w:p>
    <w:p>
      <w:pPr>
        <w:pStyle w:val="25"/>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drawing>
          <wp:inline distT="0" distB="0" distL="114300" distR="114300">
            <wp:extent cx="5311775" cy="8176895"/>
            <wp:effectExtent l="0" t="0" r="3175" b="5080"/>
            <wp:docPr id="10" name="图片 10" descr="29092bfe498d53fbe8959f449487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9092bfe498d53fbe8959f449487fb4"/>
                    <pic:cNvPicPr>
                      <a:picLocks noChangeAspect="1"/>
                    </pic:cNvPicPr>
                  </pic:nvPicPr>
                  <pic:blipFill>
                    <a:blip r:embed="rId18"/>
                    <a:srcRect t="5216" b="23638"/>
                    <a:stretch>
                      <a:fillRect/>
                    </a:stretch>
                  </pic:blipFill>
                  <pic:spPr>
                    <a:xfrm>
                      <a:off x="0" y="0"/>
                      <a:ext cx="5311775" cy="8176895"/>
                    </a:xfrm>
                    <a:prstGeom prst="rect">
                      <a:avLst/>
                    </a:prstGeom>
                  </pic:spPr>
                </pic:pic>
              </a:graphicData>
            </a:graphic>
          </wp:inline>
        </w:drawing>
      </w:r>
    </w:p>
    <w:p>
      <w:pPr>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br w:type="page"/>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color w:val="auto"/>
          <w:sz w:val="28"/>
          <w:szCs w:val="20"/>
          <w:lang w:val="en-US" w:eastAsia="zh-CN"/>
        </w:rPr>
      </w:pPr>
      <w:r>
        <w:rPr>
          <w:rFonts w:hint="eastAsia" w:ascii="微软雅黑" w:hAnsi="微软雅黑" w:eastAsia="微软雅黑" w:cs="微软雅黑"/>
          <w:b/>
          <w:color w:val="auto"/>
          <w:sz w:val="28"/>
          <w:szCs w:val="20"/>
          <w:lang w:val="en-US" w:eastAsia="zh-CN"/>
        </w:rPr>
        <w:t>泽普县乒乓球、围棋等文化侵润系列活动项目</w:t>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kern w:val="0"/>
          <w:sz w:val="28"/>
          <w:szCs w:val="20"/>
          <w:lang w:val="en-US" w:eastAsia="zh-CN"/>
        </w:rPr>
      </w:pPr>
      <w:r>
        <w:rPr>
          <w:rFonts w:hint="eastAsia" w:ascii="微软雅黑" w:hAnsi="微软雅黑" w:eastAsia="微软雅黑" w:cs="微软雅黑"/>
          <w:b/>
          <w:color w:val="auto"/>
          <w:sz w:val="28"/>
          <w:szCs w:val="20"/>
          <w:lang w:val="en-US" w:eastAsia="zh-CN"/>
        </w:rPr>
        <w:t>延期</w:t>
      </w:r>
      <w:r>
        <w:rPr>
          <w:rFonts w:hint="eastAsia" w:ascii="微软雅黑" w:hAnsi="微软雅黑" w:eastAsia="微软雅黑" w:cs="微软雅黑"/>
          <w:b/>
          <w:kern w:val="0"/>
          <w:sz w:val="28"/>
          <w:szCs w:val="20"/>
          <w:lang w:val="en-US" w:eastAsia="zh-CN"/>
        </w:rPr>
        <w:t>公告</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一、项目名称：</w:t>
      </w:r>
      <w:r>
        <w:rPr>
          <w:rFonts w:hint="eastAsia" w:ascii="宋体" w:hAnsi="宋体" w:cs="宋体"/>
          <w:color w:val="auto"/>
          <w:sz w:val="24"/>
          <w:szCs w:val="24"/>
          <w:lang w:val="en-US" w:eastAsia="zh-CN"/>
        </w:rPr>
        <w:t>泽普县乒乓球、围棋等文化侵润系列活动项目</w:t>
      </w:r>
      <w:r>
        <w:rPr>
          <w:rFonts w:hint="eastAsia" w:ascii="宋体" w:hAnsi="宋体" w:eastAsia="宋体" w:cs="宋体"/>
          <w:color w:val="auto"/>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二、项目编号：</w:t>
      </w:r>
      <w:r>
        <w:rPr>
          <w:rFonts w:hint="eastAsia" w:ascii="宋体" w:hAnsi="宋体" w:cs="宋体"/>
          <w:color w:val="auto"/>
          <w:sz w:val="24"/>
          <w:szCs w:val="24"/>
          <w:lang w:val="en-US" w:eastAsia="zh-CN"/>
        </w:rPr>
        <w:t>ZPDL(2022)038</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三、采购单位：</w:t>
      </w:r>
      <w:r>
        <w:rPr>
          <w:rFonts w:hint="eastAsia" w:ascii="宋体" w:hAnsi="宋体" w:cs="宋体"/>
          <w:color w:val="auto"/>
          <w:kern w:val="0"/>
          <w:sz w:val="24"/>
          <w:szCs w:val="24"/>
          <w:lang w:val="en-US" w:eastAsia="zh-CN"/>
        </w:rPr>
        <w:t>泽普县教育局</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四、公告媒体及日期：</w:t>
      </w:r>
      <w:r>
        <w:rPr>
          <w:rFonts w:hint="eastAsia" w:ascii="宋体" w:hAnsi="宋体" w:eastAsia="宋体" w:cs="宋体"/>
          <w:color w:val="auto"/>
          <w:kern w:val="0"/>
          <w:sz w:val="24"/>
          <w:szCs w:val="24"/>
          <w:lang w:val="en-US" w:eastAsia="zh-CN"/>
        </w:rPr>
        <w:t>本项目于2022年</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日在“新疆政府采购网”上发布了</w:t>
      </w:r>
      <w:r>
        <w:rPr>
          <w:rFonts w:hint="eastAsia" w:ascii="宋体" w:hAnsi="宋体" w:cs="宋体"/>
          <w:color w:val="auto"/>
          <w:kern w:val="0"/>
          <w:sz w:val="24"/>
          <w:szCs w:val="24"/>
          <w:lang w:val="en-US" w:eastAsia="zh-CN"/>
        </w:rPr>
        <w:t>竞争性磋商</w:t>
      </w:r>
      <w:r>
        <w:rPr>
          <w:rFonts w:hint="eastAsia" w:ascii="宋体" w:hAnsi="宋体" w:eastAsia="宋体" w:cs="宋体"/>
          <w:color w:val="auto"/>
          <w:kern w:val="0"/>
          <w:sz w:val="24"/>
          <w:szCs w:val="24"/>
          <w:lang w:val="en-US" w:eastAsia="zh-CN"/>
        </w:rPr>
        <w:t>公告。</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五、更正原因：</w:t>
      </w:r>
      <w:r>
        <w:rPr>
          <w:rFonts w:hint="eastAsia" w:ascii="宋体" w:hAnsi="宋体" w:eastAsia="宋体" w:cs="宋体"/>
          <w:kern w:val="0"/>
          <w:sz w:val="24"/>
          <w:szCs w:val="24"/>
          <w:lang w:val="en-US" w:eastAsia="zh-CN"/>
        </w:rPr>
        <w:t>由于疫情管控，为保证本项目的顺利进行，现对</w:t>
      </w:r>
      <w:r>
        <w:rPr>
          <w:rFonts w:hint="eastAsia" w:ascii="宋体" w:hAnsi="宋体" w:cs="宋体"/>
          <w:kern w:val="0"/>
          <w:sz w:val="24"/>
          <w:szCs w:val="24"/>
          <w:lang w:val="en-US" w:eastAsia="zh-CN"/>
        </w:rPr>
        <w:t>响应文件的提交及开启</w:t>
      </w:r>
      <w:r>
        <w:rPr>
          <w:rFonts w:hint="eastAsia" w:ascii="宋体" w:hAnsi="宋体" w:eastAsia="宋体" w:cs="宋体"/>
          <w:kern w:val="0"/>
          <w:sz w:val="24"/>
          <w:szCs w:val="24"/>
          <w:lang w:val="en-US" w:eastAsia="zh-CN"/>
        </w:rPr>
        <w:t>时间进行延期。</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六、更正事项：</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3140"/>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更正事项</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更正前</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316"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响应文件的提交及开启时间</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时间：2022年09月16日 12:30（北京时间）</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center"/>
              <w:textAlignment w:val="auto"/>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响应文件的提交及开启时间</w:t>
            </w:r>
            <w:r>
              <w:rPr>
                <w:rFonts w:hint="eastAsia" w:ascii="宋体" w:hAnsi="宋体" w:cs="宋体"/>
                <w:color w:val="auto"/>
                <w:kern w:val="0"/>
                <w:sz w:val="24"/>
                <w:szCs w:val="24"/>
                <w:lang w:val="en-US" w:eastAsia="zh-CN"/>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其他内容不变</w:t>
            </w:r>
          </w:p>
        </w:tc>
      </w:tr>
    </w:tbl>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七、联系方式：</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泽普县教育局</w:t>
      </w:r>
      <w:r>
        <w:rPr>
          <w:rFonts w:hint="eastAsia" w:ascii="宋体" w:hAnsi="宋体" w:eastAsia="宋体" w:cs="宋体"/>
          <w:sz w:val="24"/>
          <w:szCs w:val="24"/>
          <w:lang w:val="en-US" w:eastAsia="zh-CN"/>
        </w:rPr>
        <w:t>　</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址：泽普县教育局</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 系 人：田酉疆     </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联系方式：18299893218　</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称：中经国际招标集团有限公司</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址：喀什经济开发区深圳城3号楼12层1204</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人：王丽娟</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联系电话：15099650569  </w:t>
      </w:r>
    </w:p>
    <w:p>
      <w:pPr>
        <w:keepNext w:val="0"/>
        <w:keepLines w:val="0"/>
        <w:pageBreakBefore w:val="0"/>
        <w:tabs>
          <w:tab w:val="left" w:pos="567"/>
        </w:tabs>
        <w:kinsoku/>
        <w:wordWrap/>
        <w:overflowPunct/>
        <w:topLinePunct w:val="0"/>
        <w:autoSpaceDE/>
        <w:autoSpaceDN/>
        <w:bidi w:val="0"/>
        <w:adjustRightInd/>
        <w:snapToGrid/>
        <w:spacing w:before="120" w:beforeLines="0" w:afterLines="0" w:line="440" w:lineRule="exact"/>
        <w:ind w:firstLine="240" w:firstLineChars="100"/>
        <w:jc w:val="both"/>
        <w:textAlignment w:val="auto"/>
        <w:rPr>
          <w:rFonts w:hint="eastAsia" w:ascii="宋体" w:hAnsi="宋体" w:eastAsia="宋体" w:cs="宋体"/>
          <w:kern w:val="2"/>
          <w:sz w:val="24"/>
          <w:szCs w:val="24"/>
          <w:lang w:val="en-US" w:eastAsia="zh-CN"/>
        </w:rPr>
      </w:pPr>
    </w:p>
    <w:p>
      <w:pPr>
        <w:keepNext w:val="0"/>
        <w:keepLines w:val="0"/>
        <w:pageBreakBefore w:val="0"/>
        <w:widowControl/>
        <w:kinsoku/>
        <w:wordWrap/>
        <w:overflowPunct/>
        <w:topLinePunct w:val="0"/>
        <w:autoSpaceDE/>
        <w:autoSpaceDN/>
        <w:bidi w:val="0"/>
        <w:adjustRightInd/>
        <w:snapToGrid/>
        <w:spacing w:beforeLines="0" w:afterLines="0"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中经国际招标集团有限公司</w:t>
      </w:r>
    </w:p>
    <w:p>
      <w:pPr>
        <w:keepNext w:val="0"/>
        <w:keepLines w:val="0"/>
        <w:pageBreakBefore w:val="0"/>
        <w:widowControl/>
        <w:kinsoku/>
        <w:wordWrap/>
        <w:overflowPunct/>
        <w:topLinePunct w:val="0"/>
        <w:autoSpaceDE/>
        <w:autoSpaceDN/>
        <w:bidi w:val="0"/>
        <w:adjustRightInd/>
        <w:snapToGrid/>
        <w:spacing w:beforeLines="0" w:afterLines="0"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15</w:t>
      </w:r>
      <w:r>
        <w:rPr>
          <w:rFonts w:hint="eastAsia" w:ascii="宋体" w:hAnsi="宋体" w:eastAsia="宋体" w:cs="宋体"/>
          <w:sz w:val="24"/>
          <w:szCs w:val="24"/>
          <w:lang w:val="en-US" w:eastAsia="zh-CN"/>
        </w:rPr>
        <w:t>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pStyle w:val="25"/>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lang w:val="en-US" w:eastAsia="zh-CN"/>
        </w:rPr>
        <w:t>公告截图</w:t>
      </w:r>
    </w:p>
    <w:p>
      <w:pPr>
        <w:outlineLvl w:val="9"/>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416560</wp:posOffset>
            </wp:positionV>
            <wp:extent cx="5092700" cy="7499985"/>
            <wp:effectExtent l="0" t="0" r="3175" b="5715"/>
            <wp:wrapTopAndBottom/>
            <wp:docPr id="11" name="图片 11" descr="436428fead5e11ae1f3453635c18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36428fead5e11ae1f3453635c1826d"/>
                    <pic:cNvPicPr>
                      <a:picLocks noChangeAspect="1"/>
                    </pic:cNvPicPr>
                  </pic:nvPicPr>
                  <pic:blipFill>
                    <a:blip r:embed="rId19"/>
                    <a:srcRect t="6926" b="25018"/>
                    <a:stretch>
                      <a:fillRect/>
                    </a:stretch>
                  </pic:blipFill>
                  <pic:spPr>
                    <a:xfrm>
                      <a:off x="0" y="0"/>
                      <a:ext cx="5092700" cy="7499985"/>
                    </a:xfrm>
                    <a:prstGeom prst="rect">
                      <a:avLst/>
                    </a:prstGeom>
                  </pic:spPr>
                </pic:pic>
              </a:graphicData>
            </a:graphic>
          </wp:anchor>
        </w:drawing>
      </w:r>
    </w:p>
    <w:p>
      <w:pPr>
        <w:pStyle w:val="25"/>
        <w:rPr>
          <w:rFonts w:hint="eastAsia" w:ascii="微软雅黑" w:hAnsi="微软雅黑" w:eastAsia="微软雅黑" w:cs="微软雅黑"/>
          <w:color w:val="auto"/>
          <w:kern w:val="0"/>
          <w:szCs w:val="21"/>
          <w:lang w:val="en-US" w:eastAsia="zh-CN"/>
        </w:rPr>
      </w:pPr>
    </w:p>
    <w:p>
      <w:pPr>
        <w:rPr>
          <w:rFonts w:hint="eastAsia" w:ascii="微软雅黑" w:hAnsi="微软雅黑" w:eastAsia="微软雅黑" w:cs="微软雅黑"/>
          <w:b/>
          <w:i w:val="0"/>
          <w:caps w:val="0"/>
          <w:color w:val="auto"/>
          <w:spacing w:val="0"/>
          <w:w w:val="100"/>
          <w:sz w:val="32"/>
          <w:szCs w:val="32"/>
          <w:highlight w:val="none"/>
        </w:rPr>
      </w:pPr>
      <w:bookmarkStart w:id="947" w:name="_Toc6766"/>
      <w:r>
        <w:rPr>
          <w:rFonts w:hint="eastAsia" w:ascii="微软雅黑" w:hAnsi="微软雅黑" w:eastAsia="微软雅黑" w:cs="微软雅黑"/>
          <w:b/>
          <w:i w:val="0"/>
          <w:caps w:val="0"/>
          <w:color w:val="auto"/>
          <w:spacing w:val="0"/>
          <w:w w:val="100"/>
          <w:sz w:val="32"/>
          <w:szCs w:val="32"/>
          <w:highlight w:val="none"/>
        </w:rPr>
        <w:br w:type="page"/>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color w:val="auto"/>
          <w:sz w:val="40"/>
          <w:szCs w:val="24"/>
          <w:lang w:val="en-US" w:eastAsia="zh-CN"/>
        </w:rPr>
      </w:pPr>
      <w:r>
        <w:rPr>
          <w:rFonts w:hint="eastAsia" w:ascii="微软雅黑" w:hAnsi="微软雅黑" w:eastAsia="微软雅黑" w:cs="微软雅黑"/>
          <w:b/>
          <w:color w:val="auto"/>
          <w:sz w:val="40"/>
          <w:szCs w:val="24"/>
          <w:lang w:val="en-US" w:eastAsia="zh-CN"/>
        </w:rPr>
        <w:t>泽普县乒乓球、围棋等文化侵润系列活动项目</w:t>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kern w:val="0"/>
          <w:sz w:val="40"/>
          <w:szCs w:val="24"/>
          <w:lang w:val="en-US" w:eastAsia="zh-CN"/>
        </w:rPr>
      </w:pPr>
      <w:r>
        <w:rPr>
          <w:rFonts w:hint="eastAsia" w:ascii="微软雅黑" w:hAnsi="微软雅黑" w:eastAsia="微软雅黑" w:cs="微软雅黑"/>
          <w:b/>
          <w:color w:val="auto"/>
          <w:sz w:val="40"/>
          <w:szCs w:val="24"/>
          <w:lang w:val="en-US" w:eastAsia="zh-CN"/>
        </w:rPr>
        <w:t>更正</w:t>
      </w:r>
      <w:r>
        <w:rPr>
          <w:rFonts w:hint="eastAsia" w:ascii="微软雅黑" w:hAnsi="微软雅黑" w:eastAsia="微软雅黑" w:cs="微软雅黑"/>
          <w:b/>
          <w:kern w:val="0"/>
          <w:sz w:val="40"/>
          <w:szCs w:val="24"/>
          <w:lang w:val="en-US" w:eastAsia="zh-CN"/>
        </w:rPr>
        <w:t>公告</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一、项目名称：</w:t>
      </w:r>
      <w:r>
        <w:rPr>
          <w:rFonts w:hint="eastAsia" w:ascii="宋体" w:hAnsi="宋体" w:cs="宋体"/>
          <w:color w:val="auto"/>
          <w:sz w:val="24"/>
          <w:szCs w:val="24"/>
          <w:lang w:val="en-US" w:eastAsia="zh-CN"/>
        </w:rPr>
        <w:t>泽普县乒乓球、围棋等文化侵润系列活动项目</w:t>
      </w:r>
      <w:r>
        <w:rPr>
          <w:rFonts w:hint="eastAsia" w:ascii="宋体" w:hAnsi="宋体" w:eastAsia="宋体" w:cs="宋体"/>
          <w:color w:val="auto"/>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二、项目编号：</w:t>
      </w:r>
      <w:r>
        <w:rPr>
          <w:rFonts w:hint="eastAsia" w:ascii="宋体" w:hAnsi="宋体" w:cs="宋体"/>
          <w:color w:val="auto"/>
          <w:sz w:val="24"/>
          <w:szCs w:val="24"/>
          <w:lang w:val="en-US" w:eastAsia="zh-CN"/>
        </w:rPr>
        <w:t>ZPDL(2022)038</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三、采购单位：</w:t>
      </w:r>
      <w:r>
        <w:rPr>
          <w:rFonts w:hint="eastAsia" w:ascii="宋体" w:hAnsi="宋体" w:cs="宋体"/>
          <w:color w:val="auto"/>
          <w:kern w:val="0"/>
          <w:sz w:val="24"/>
          <w:szCs w:val="24"/>
          <w:lang w:val="en-US" w:eastAsia="zh-CN"/>
        </w:rPr>
        <w:t>泽普县教育局</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四、公告媒体及日期：</w:t>
      </w:r>
      <w:r>
        <w:rPr>
          <w:rFonts w:hint="eastAsia" w:ascii="宋体" w:hAnsi="宋体" w:eastAsia="宋体" w:cs="宋体"/>
          <w:color w:val="auto"/>
          <w:kern w:val="0"/>
          <w:sz w:val="24"/>
          <w:szCs w:val="24"/>
          <w:lang w:val="en-US" w:eastAsia="zh-CN"/>
        </w:rPr>
        <w:t>本项目于2022年</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日在“新疆政府采购网”上发布了</w:t>
      </w:r>
      <w:r>
        <w:rPr>
          <w:rFonts w:hint="eastAsia" w:ascii="宋体" w:hAnsi="宋体" w:cs="宋体"/>
          <w:color w:val="auto"/>
          <w:kern w:val="0"/>
          <w:sz w:val="24"/>
          <w:szCs w:val="24"/>
          <w:lang w:val="en-US" w:eastAsia="zh-CN"/>
        </w:rPr>
        <w:t>竞争性磋商</w:t>
      </w:r>
      <w:r>
        <w:rPr>
          <w:rFonts w:hint="eastAsia" w:ascii="宋体" w:hAnsi="宋体" w:eastAsia="宋体" w:cs="宋体"/>
          <w:color w:val="auto"/>
          <w:kern w:val="0"/>
          <w:sz w:val="24"/>
          <w:szCs w:val="24"/>
          <w:lang w:val="en-US" w:eastAsia="zh-CN"/>
        </w:rPr>
        <w:t>公告。</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五、更正原因：</w:t>
      </w:r>
      <w:r>
        <w:rPr>
          <w:rFonts w:hint="eastAsia" w:ascii="宋体" w:hAnsi="宋体" w:cs="宋体"/>
          <w:kern w:val="0"/>
          <w:sz w:val="24"/>
          <w:szCs w:val="24"/>
          <w:lang w:val="en-US" w:eastAsia="zh-CN"/>
        </w:rPr>
        <w:t>采购公告、采购文件</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六、更正事项：</w:t>
      </w:r>
    </w:p>
    <w:tbl>
      <w:tblPr>
        <w:tblStyle w:val="36"/>
        <w:tblW w:w="52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2096"/>
        <w:gridCol w:w="4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更正事项</w:t>
            </w:r>
          </w:p>
        </w:tc>
        <w:tc>
          <w:tcPr>
            <w:tcW w:w="11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更正前</w:t>
            </w:r>
          </w:p>
        </w:tc>
        <w:tc>
          <w:tcPr>
            <w:tcW w:w="2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40"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center"/>
              <w:textAlignment w:val="auto"/>
              <w:rPr>
                <w:rFonts w:hint="default"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响应文件的提交、开启时间和地点</w:t>
            </w:r>
          </w:p>
        </w:tc>
        <w:tc>
          <w:tcPr>
            <w:tcW w:w="11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响应文件的提交及开启时间</w:t>
            </w:r>
            <w:r>
              <w:rPr>
                <w:rFonts w:hint="eastAsia" w:ascii="宋体" w:hAnsi="宋体" w:cs="宋体"/>
                <w:color w:val="auto"/>
                <w:kern w:val="0"/>
                <w:sz w:val="24"/>
                <w:szCs w:val="24"/>
                <w:lang w:val="en-US" w:eastAsia="zh-CN"/>
              </w:rPr>
              <w:t>待定</w:t>
            </w:r>
          </w:p>
        </w:tc>
        <w:tc>
          <w:tcPr>
            <w:tcW w:w="2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lef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w:t>
            </w:r>
            <w:r>
              <w:rPr>
                <w:rFonts w:hint="eastAsia" w:ascii="宋体" w:hAnsi="宋体" w:cs="宋体"/>
                <w:color w:val="auto"/>
                <w:kern w:val="0"/>
                <w:sz w:val="24"/>
                <w:szCs w:val="24"/>
                <w:lang w:val="en-US" w:eastAsia="zh-CN"/>
              </w:rPr>
              <w:t>10</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日</w:t>
            </w:r>
            <w:r>
              <w:rPr>
                <w:rFonts w:hint="eastAsia" w:ascii="宋体" w:hAnsi="宋体" w:cs="宋体"/>
                <w:color w:val="auto"/>
                <w:kern w:val="0"/>
                <w:sz w:val="24"/>
                <w:szCs w:val="24"/>
                <w:lang w:val="en-US" w:eastAsia="zh-CN"/>
              </w:rPr>
              <w:t>下午17</w:t>
            </w:r>
            <w:r>
              <w:rPr>
                <w:rFonts w:hint="eastAsia" w:ascii="宋体" w:hAnsi="宋体" w:eastAsia="宋体" w:cs="宋体"/>
                <w:color w:val="auto"/>
                <w:kern w:val="0"/>
                <w:sz w:val="24"/>
                <w:szCs w:val="24"/>
                <w:lang w:val="en-US" w:eastAsia="zh-CN"/>
              </w:rPr>
              <w:t>:</w:t>
            </w:r>
            <w:r>
              <w:rPr>
                <w:rFonts w:hint="eastAsia" w:ascii="宋体" w:hAnsi="宋体" w:cs="宋体"/>
                <w:color w:val="auto"/>
                <w:kern w:val="0"/>
                <w:sz w:val="24"/>
                <w:szCs w:val="24"/>
                <w:lang w:val="en-US" w:eastAsia="zh-CN"/>
              </w:rPr>
              <w:t>00</w:t>
            </w:r>
            <w:r>
              <w:rPr>
                <w:rFonts w:hint="eastAsia" w:ascii="宋体" w:hAnsi="宋体" w:eastAsia="宋体" w:cs="宋体"/>
                <w:color w:val="auto"/>
                <w:kern w:val="0"/>
                <w:sz w:val="24"/>
                <w:szCs w:val="24"/>
                <w:lang w:val="en-US" w:eastAsia="zh-CN"/>
              </w:rPr>
              <w:t>（北京时间）</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left"/>
              <w:textAlignment w:val="auto"/>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地点：喀什经济开发区深圳城3号楼12层1204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其他内容不变</w:t>
            </w:r>
          </w:p>
        </w:tc>
      </w:tr>
    </w:tbl>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七、联系方式：</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泽普县教育局</w:t>
      </w:r>
      <w:r>
        <w:rPr>
          <w:rFonts w:hint="eastAsia" w:ascii="宋体" w:hAnsi="宋体" w:eastAsia="宋体" w:cs="宋体"/>
          <w:sz w:val="24"/>
          <w:szCs w:val="24"/>
          <w:lang w:val="en-US" w:eastAsia="zh-CN"/>
        </w:rPr>
        <w:t>　</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址：泽普县教育局</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 系 人：田酉疆     </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联系方式：18299893218　</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称：中经国际招标集团有限公司</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址：喀什经济开发区深圳城3号楼12层1204</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人：王丽娟</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联系电话：15099650569  </w:t>
      </w:r>
    </w:p>
    <w:p>
      <w:pPr>
        <w:keepNext w:val="0"/>
        <w:keepLines w:val="0"/>
        <w:pageBreakBefore w:val="0"/>
        <w:tabs>
          <w:tab w:val="left" w:pos="567"/>
        </w:tabs>
        <w:kinsoku/>
        <w:wordWrap/>
        <w:overflowPunct/>
        <w:topLinePunct w:val="0"/>
        <w:autoSpaceDE/>
        <w:autoSpaceDN/>
        <w:bidi w:val="0"/>
        <w:adjustRightInd/>
        <w:snapToGrid/>
        <w:spacing w:before="120" w:beforeLines="0" w:afterLines="0" w:line="440" w:lineRule="exact"/>
        <w:ind w:firstLine="240" w:firstLineChars="100"/>
        <w:jc w:val="both"/>
        <w:textAlignment w:val="auto"/>
        <w:rPr>
          <w:rFonts w:hint="eastAsia" w:ascii="宋体" w:hAnsi="宋体" w:eastAsia="宋体" w:cs="宋体"/>
          <w:kern w:val="2"/>
          <w:sz w:val="24"/>
          <w:szCs w:val="24"/>
          <w:lang w:val="en-US" w:eastAsia="zh-CN"/>
        </w:rPr>
      </w:pPr>
    </w:p>
    <w:p>
      <w:pPr>
        <w:keepNext w:val="0"/>
        <w:keepLines w:val="0"/>
        <w:pageBreakBefore w:val="0"/>
        <w:widowControl/>
        <w:kinsoku/>
        <w:wordWrap/>
        <w:overflowPunct/>
        <w:topLinePunct w:val="0"/>
        <w:autoSpaceDE/>
        <w:autoSpaceDN/>
        <w:bidi w:val="0"/>
        <w:adjustRightInd/>
        <w:snapToGrid/>
        <w:spacing w:beforeLines="0" w:afterLines="0"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中经国际招标集团有限公司</w:t>
      </w:r>
    </w:p>
    <w:p>
      <w:pPr>
        <w:keepNext w:val="0"/>
        <w:keepLines w:val="0"/>
        <w:pageBreakBefore w:val="0"/>
        <w:widowControl/>
        <w:kinsoku/>
        <w:wordWrap/>
        <w:overflowPunct/>
        <w:topLinePunct w:val="0"/>
        <w:autoSpaceDE/>
        <w:autoSpaceDN/>
        <w:bidi w:val="0"/>
        <w:adjustRightInd/>
        <w:snapToGrid/>
        <w:spacing w:beforeLines="0" w:afterLines="0"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29</w:t>
      </w:r>
      <w:r>
        <w:rPr>
          <w:rFonts w:hint="eastAsia" w:ascii="宋体" w:hAnsi="宋体" w:eastAsia="宋体" w:cs="宋体"/>
          <w:sz w:val="24"/>
          <w:szCs w:val="24"/>
          <w:lang w:val="en-US" w:eastAsia="zh-CN"/>
        </w:rPr>
        <w:t>日</w:t>
      </w:r>
    </w:p>
    <w:p>
      <w:pPr>
        <w:pStyle w:val="25"/>
        <w:rPr>
          <w:rFonts w:hint="eastAsia" w:ascii="微软雅黑" w:hAnsi="微软雅黑" w:eastAsia="微软雅黑" w:cs="微软雅黑"/>
          <w:color w:val="auto"/>
          <w:kern w:val="0"/>
          <w:szCs w:val="21"/>
          <w:lang w:val="en-US" w:eastAsia="zh-CN"/>
        </w:rPr>
      </w:pPr>
      <w:r>
        <w:rPr>
          <w:rFonts w:hint="eastAsia" w:ascii="微软雅黑" w:hAnsi="微软雅黑" w:eastAsia="微软雅黑" w:cs="微软雅黑"/>
          <w:b/>
          <w:i w:val="0"/>
          <w:caps w:val="0"/>
          <w:color w:val="auto"/>
          <w:spacing w:val="0"/>
          <w:w w:val="100"/>
          <w:sz w:val="32"/>
          <w:szCs w:val="32"/>
          <w:highlight w:val="none"/>
        </w:rPr>
        <w:br w:type="page"/>
      </w:r>
      <w:r>
        <w:rPr>
          <w:rFonts w:hint="eastAsia" w:ascii="微软雅黑" w:hAnsi="微软雅黑" w:eastAsia="微软雅黑" w:cs="微软雅黑"/>
          <w:color w:val="auto"/>
          <w:kern w:val="0"/>
          <w:szCs w:val="21"/>
          <w:lang w:val="en-US" w:eastAsia="zh-CN"/>
        </w:rPr>
        <w:t>公告截图</w:t>
      </w:r>
    </w:p>
    <w:p>
      <w:pPr>
        <w:rPr>
          <w:rFonts w:hint="eastAsia" w:ascii="微软雅黑" w:hAnsi="微软雅黑" w:eastAsia="微软雅黑" w:cs="微软雅黑"/>
          <w:b/>
          <w:i w:val="0"/>
          <w:caps w:val="0"/>
          <w:color w:val="auto"/>
          <w:spacing w:val="0"/>
          <w:w w:val="100"/>
          <w:sz w:val="32"/>
          <w:szCs w:val="32"/>
          <w:highlight w:val="none"/>
        </w:rPr>
      </w:pPr>
      <w:r>
        <w:rPr>
          <w:rFonts w:hint="eastAsia" w:ascii="微软雅黑" w:hAnsi="微软雅黑" w:eastAsia="微软雅黑" w:cs="微软雅黑"/>
          <w:b/>
          <w:i w:val="0"/>
          <w:caps w:val="0"/>
          <w:color w:val="auto"/>
          <w:spacing w:val="0"/>
          <w:w w:val="100"/>
          <w:sz w:val="32"/>
          <w:szCs w:val="32"/>
          <w:highlight w:val="none"/>
        </w:rPr>
        <w:drawing>
          <wp:anchor distT="0" distB="0" distL="114300" distR="114300" simplePos="0" relativeHeight="251667456" behindDoc="0" locked="0" layoutInCell="1" allowOverlap="1">
            <wp:simplePos x="0" y="0"/>
            <wp:positionH relativeFrom="column">
              <wp:posOffset>0</wp:posOffset>
            </wp:positionH>
            <wp:positionV relativeFrom="paragraph">
              <wp:posOffset>344805</wp:posOffset>
            </wp:positionV>
            <wp:extent cx="4872355" cy="7810500"/>
            <wp:effectExtent l="0" t="0" r="4445" b="0"/>
            <wp:wrapTopAndBottom/>
            <wp:docPr id="12" name="图片 12" descr="075a4070915514d4178688d5ad6b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75a4070915514d4178688d5ad6bae5"/>
                    <pic:cNvPicPr>
                      <a:picLocks noChangeAspect="1"/>
                    </pic:cNvPicPr>
                  </pic:nvPicPr>
                  <pic:blipFill>
                    <a:blip r:embed="rId20"/>
                    <a:srcRect t="6114" b="19795"/>
                    <a:stretch>
                      <a:fillRect/>
                    </a:stretch>
                  </pic:blipFill>
                  <pic:spPr>
                    <a:xfrm>
                      <a:off x="0" y="0"/>
                      <a:ext cx="4872355" cy="7810500"/>
                    </a:xfrm>
                    <a:prstGeom prst="rect">
                      <a:avLst/>
                    </a:prstGeom>
                  </pic:spPr>
                </pic:pic>
              </a:graphicData>
            </a:graphic>
          </wp:anchor>
        </w:drawing>
      </w:r>
      <w:r>
        <w:rPr>
          <w:rFonts w:hint="eastAsia" w:ascii="微软雅黑" w:hAnsi="微软雅黑" w:eastAsia="微软雅黑" w:cs="微软雅黑"/>
          <w:b/>
          <w:i w:val="0"/>
          <w:caps w:val="0"/>
          <w:color w:val="auto"/>
          <w:spacing w:val="0"/>
          <w:w w:val="100"/>
          <w:sz w:val="32"/>
          <w:szCs w:val="32"/>
          <w:highlight w:val="none"/>
        </w:rPr>
        <w:br w:type="page"/>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color w:val="auto"/>
          <w:sz w:val="28"/>
          <w:szCs w:val="20"/>
          <w:lang w:val="en-US" w:eastAsia="zh-CN"/>
        </w:rPr>
      </w:pPr>
      <w:r>
        <w:rPr>
          <w:rFonts w:hint="eastAsia" w:ascii="微软雅黑" w:hAnsi="微软雅黑" w:eastAsia="微软雅黑" w:cs="微软雅黑"/>
          <w:b/>
          <w:color w:val="auto"/>
          <w:sz w:val="28"/>
          <w:szCs w:val="20"/>
          <w:lang w:val="en-US" w:eastAsia="zh-CN"/>
        </w:rPr>
        <w:t>泽普县乒乓球、围棋等文化侵润系列活动项目</w:t>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kern w:val="0"/>
          <w:sz w:val="28"/>
          <w:szCs w:val="20"/>
          <w:lang w:val="en-US" w:eastAsia="zh-CN"/>
        </w:rPr>
      </w:pPr>
      <w:r>
        <w:rPr>
          <w:rFonts w:hint="eastAsia" w:ascii="微软雅黑" w:hAnsi="微软雅黑" w:eastAsia="微软雅黑" w:cs="微软雅黑"/>
          <w:b/>
          <w:color w:val="auto"/>
          <w:sz w:val="28"/>
          <w:szCs w:val="20"/>
          <w:lang w:val="en-US" w:eastAsia="zh-CN"/>
        </w:rPr>
        <w:t>延期</w:t>
      </w:r>
      <w:r>
        <w:rPr>
          <w:rFonts w:hint="eastAsia" w:ascii="微软雅黑" w:hAnsi="微软雅黑" w:eastAsia="微软雅黑" w:cs="微软雅黑"/>
          <w:b/>
          <w:kern w:val="0"/>
          <w:sz w:val="28"/>
          <w:szCs w:val="20"/>
          <w:lang w:val="en-US" w:eastAsia="zh-CN"/>
        </w:rPr>
        <w:t>公告</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一、项目名称：</w:t>
      </w:r>
      <w:r>
        <w:rPr>
          <w:rFonts w:hint="eastAsia" w:ascii="宋体" w:hAnsi="宋体" w:cs="宋体"/>
          <w:color w:val="auto"/>
          <w:sz w:val="24"/>
          <w:szCs w:val="24"/>
          <w:lang w:val="en-US" w:eastAsia="zh-CN"/>
        </w:rPr>
        <w:t>泽普县乒乓球、围棋等文化侵润系列活动项目</w:t>
      </w:r>
      <w:r>
        <w:rPr>
          <w:rFonts w:hint="eastAsia" w:ascii="宋体" w:hAnsi="宋体" w:eastAsia="宋体" w:cs="宋体"/>
          <w:color w:val="auto"/>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二、项目编号：</w:t>
      </w:r>
      <w:r>
        <w:rPr>
          <w:rFonts w:hint="eastAsia" w:ascii="宋体" w:hAnsi="宋体" w:cs="宋体"/>
          <w:color w:val="auto"/>
          <w:sz w:val="24"/>
          <w:szCs w:val="24"/>
          <w:lang w:val="en-US" w:eastAsia="zh-CN"/>
        </w:rPr>
        <w:t>ZPDL(2022)038</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三、采购单位：</w:t>
      </w:r>
      <w:r>
        <w:rPr>
          <w:rFonts w:hint="eastAsia" w:ascii="宋体" w:hAnsi="宋体" w:cs="宋体"/>
          <w:color w:val="auto"/>
          <w:kern w:val="0"/>
          <w:sz w:val="24"/>
          <w:szCs w:val="24"/>
          <w:lang w:val="en-US" w:eastAsia="zh-CN"/>
        </w:rPr>
        <w:t>泽普县教育局</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四、公告媒体及日期：</w:t>
      </w:r>
      <w:r>
        <w:rPr>
          <w:rFonts w:hint="eastAsia" w:ascii="宋体" w:hAnsi="宋体" w:eastAsia="宋体" w:cs="宋体"/>
          <w:color w:val="auto"/>
          <w:kern w:val="0"/>
          <w:sz w:val="24"/>
          <w:szCs w:val="24"/>
          <w:lang w:val="en-US" w:eastAsia="zh-CN"/>
        </w:rPr>
        <w:t>本项目于2022年</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日在“新疆政府采购网”上发布了</w:t>
      </w:r>
      <w:r>
        <w:rPr>
          <w:rFonts w:hint="eastAsia" w:ascii="宋体" w:hAnsi="宋体" w:cs="宋体"/>
          <w:color w:val="auto"/>
          <w:kern w:val="0"/>
          <w:sz w:val="24"/>
          <w:szCs w:val="24"/>
          <w:lang w:val="en-US" w:eastAsia="zh-CN"/>
        </w:rPr>
        <w:t>竞争性磋商</w:t>
      </w:r>
      <w:r>
        <w:rPr>
          <w:rFonts w:hint="eastAsia" w:ascii="宋体" w:hAnsi="宋体" w:eastAsia="宋体" w:cs="宋体"/>
          <w:color w:val="auto"/>
          <w:kern w:val="0"/>
          <w:sz w:val="24"/>
          <w:szCs w:val="24"/>
          <w:lang w:val="en-US" w:eastAsia="zh-CN"/>
        </w:rPr>
        <w:t>公告。</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五、更正原因：</w:t>
      </w:r>
      <w:r>
        <w:rPr>
          <w:rFonts w:hint="eastAsia" w:ascii="宋体" w:hAnsi="宋体" w:eastAsia="宋体" w:cs="宋体"/>
          <w:kern w:val="0"/>
          <w:sz w:val="24"/>
          <w:szCs w:val="24"/>
          <w:lang w:val="en-US" w:eastAsia="zh-CN"/>
        </w:rPr>
        <w:t>由于疫情管控，为保证本项目的顺利进行，现对</w:t>
      </w:r>
      <w:r>
        <w:rPr>
          <w:rFonts w:hint="eastAsia" w:ascii="宋体" w:hAnsi="宋体" w:cs="宋体"/>
          <w:kern w:val="0"/>
          <w:sz w:val="24"/>
          <w:szCs w:val="24"/>
          <w:lang w:val="en-US" w:eastAsia="zh-CN"/>
        </w:rPr>
        <w:t>响应文件的提交及开启</w:t>
      </w:r>
      <w:r>
        <w:rPr>
          <w:rFonts w:hint="eastAsia" w:ascii="宋体" w:hAnsi="宋体" w:eastAsia="宋体" w:cs="宋体"/>
          <w:kern w:val="0"/>
          <w:sz w:val="24"/>
          <w:szCs w:val="24"/>
          <w:lang w:val="en-US" w:eastAsia="zh-CN"/>
        </w:rPr>
        <w:t>时间进行延期。</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六、更正事项：</w:t>
      </w:r>
      <w:r>
        <w:rPr>
          <w:rFonts w:hint="eastAsia" w:ascii="宋体" w:hAnsi="宋体" w:eastAsia="宋体" w:cs="宋体"/>
          <w:kern w:val="0"/>
          <w:sz w:val="24"/>
          <w:szCs w:val="24"/>
          <w:lang w:val="en-US" w:eastAsia="zh-CN"/>
        </w:rPr>
        <w:t>采购公告、采购文件</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3287"/>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更正事项</w:t>
            </w:r>
          </w:p>
        </w:tc>
        <w:tc>
          <w:tcPr>
            <w:tcW w:w="19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更正前</w:t>
            </w:r>
          </w:p>
        </w:tc>
        <w:tc>
          <w:tcPr>
            <w:tcW w:w="19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105"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响应文件的提交及开启时间</w:t>
            </w:r>
          </w:p>
        </w:tc>
        <w:tc>
          <w:tcPr>
            <w:tcW w:w="192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时间：2022年10月8日下午17:00（北京时间）</w:t>
            </w:r>
          </w:p>
        </w:tc>
        <w:tc>
          <w:tcPr>
            <w:tcW w:w="19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jc w:val="center"/>
              <w:textAlignment w:val="auto"/>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时间：2022年10月</w:t>
            </w:r>
            <w:r>
              <w:rPr>
                <w:rFonts w:hint="eastAsia" w:ascii="宋体" w:hAnsi="宋体" w:cs="宋体"/>
                <w:color w:val="auto"/>
                <w:kern w:val="0"/>
                <w:sz w:val="24"/>
                <w:szCs w:val="24"/>
                <w:lang w:val="en-US" w:eastAsia="zh-CN"/>
              </w:rPr>
              <w:t>1</w:t>
            </w:r>
            <w:r>
              <w:rPr>
                <w:rFonts w:hint="eastAsia" w:ascii="宋体" w:hAnsi="宋体" w:eastAsia="宋体" w:cs="宋体"/>
                <w:color w:val="auto"/>
                <w:kern w:val="0"/>
                <w:sz w:val="24"/>
                <w:szCs w:val="24"/>
                <w:lang w:val="en-US" w:eastAsia="zh-CN"/>
              </w:rPr>
              <w:t>8日下午17:00（北京时间）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其他内容不变</w:t>
            </w:r>
          </w:p>
        </w:tc>
      </w:tr>
    </w:tbl>
    <w:p>
      <w:pPr>
        <w:keepNext w:val="0"/>
        <w:keepLines w:val="0"/>
        <w:pageBreakBefore w:val="0"/>
        <w:widowControl/>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七、联系方式：</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泽普县教育局</w:t>
      </w:r>
      <w:r>
        <w:rPr>
          <w:rFonts w:hint="eastAsia" w:ascii="宋体" w:hAnsi="宋体" w:eastAsia="宋体" w:cs="宋体"/>
          <w:sz w:val="24"/>
          <w:szCs w:val="24"/>
          <w:lang w:val="en-US" w:eastAsia="zh-CN"/>
        </w:rPr>
        <w:t>　</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址：泽普县教育局</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 系 人：田酉疆     </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联系方式：18299893218　</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称：中经国际招标集团有限公司</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址：喀什经济开发区深圳城3号楼12层1204</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人：王丽娟</w:t>
      </w:r>
    </w:p>
    <w:p>
      <w:pPr>
        <w:keepNext w:val="0"/>
        <w:keepLines w:val="0"/>
        <w:pageBreakBefore w:val="0"/>
        <w:widowControl/>
        <w:kinsoku/>
        <w:wordWrap/>
        <w:overflowPunct/>
        <w:topLinePunct w:val="0"/>
        <w:autoSpaceDE/>
        <w:autoSpaceDN/>
        <w:bidi w:val="0"/>
        <w:adjustRightInd/>
        <w:snapToGrid/>
        <w:spacing w:beforeLines="0" w:afterLines="0"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联系电话：15099650569  </w:t>
      </w:r>
    </w:p>
    <w:p>
      <w:pPr>
        <w:keepNext w:val="0"/>
        <w:keepLines w:val="0"/>
        <w:pageBreakBefore w:val="0"/>
        <w:tabs>
          <w:tab w:val="left" w:pos="567"/>
        </w:tabs>
        <w:kinsoku/>
        <w:wordWrap/>
        <w:overflowPunct/>
        <w:topLinePunct w:val="0"/>
        <w:autoSpaceDE/>
        <w:autoSpaceDN/>
        <w:bidi w:val="0"/>
        <w:adjustRightInd/>
        <w:snapToGrid/>
        <w:spacing w:before="120" w:beforeLines="0" w:afterLines="0" w:line="440" w:lineRule="exact"/>
        <w:ind w:firstLine="240" w:firstLineChars="100"/>
        <w:jc w:val="both"/>
        <w:textAlignment w:val="auto"/>
        <w:rPr>
          <w:rFonts w:hint="eastAsia" w:ascii="宋体" w:hAnsi="宋体" w:eastAsia="宋体" w:cs="宋体"/>
          <w:kern w:val="2"/>
          <w:sz w:val="24"/>
          <w:szCs w:val="24"/>
          <w:lang w:val="en-US" w:eastAsia="zh-CN"/>
        </w:rPr>
      </w:pPr>
    </w:p>
    <w:p>
      <w:pPr>
        <w:keepNext w:val="0"/>
        <w:keepLines w:val="0"/>
        <w:pageBreakBefore w:val="0"/>
        <w:widowControl/>
        <w:kinsoku/>
        <w:wordWrap/>
        <w:overflowPunct/>
        <w:topLinePunct w:val="0"/>
        <w:autoSpaceDE/>
        <w:autoSpaceDN/>
        <w:bidi w:val="0"/>
        <w:adjustRightInd/>
        <w:snapToGrid/>
        <w:spacing w:beforeLines="0" w:afterLines="0"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中经国际招标集团有限公司</w:t>
      </w:r>
    </w:p>
    <w:p>
      <w:pPr>
        <w:keepNext w:val="0"/>
        <w:keepLines w:val="0"/>
        <w:pageBreakBefore w:val="0"/>
        <w:widowControl/>
        <w:kinsoku/>
        <w:wordWrap/>
        <w:overflowPunct/>
        <w:topLinePunct w:val="0"/>
        <w:autoSpaceDE/>
        <w:autoSpaceDN/>
        <w:bidi w:val="0"/>
        <w:adjustRightInd/>
        <w:snapToGrid/>
        <w:spacing w:beforeLines="0" w:afterLines="0"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日</w:t>
      </w:r>
    </w:p>
    <w:p>
      <w:pPr>
        <w:pStyle w:val="25"/>
        <w:rPr>
          <w:rFonts w:hint="eastAsia" w:ascii="微软雅黑" w:hAnsi="微软雅黑" w:eastAsia="微软雅黑" w:cs="微软雅黑"/>
          <w:color w:val="auto"/>
          <w:kern w:val="0"/>
          <w:szCs w:val="21"/>
          <w:lang w:val="en-US" w:eastAsia="zh-CN"/>
        </w:rPr>
      </w:pPr>
      <w:r>
        <w:rPr>
          <w:rFonts w:hint="eastAsia"/>
        </w:rPr>
        <w:br w:type="page"/>
      </w:r>
      <w:r>
        <w:rPr>
          <w:rFonts w:hint="eastAsia" w:ascii="微软雅黑" w:hAnsi="微软雅黑" w:eastAsia="微软雅黑" w:cs="微软雅黑"/>
          <w:color w:val="auto"/>
          <w:kern w:val="0"/>
          <w:szCs w:val="21"/>
          <w:lang w:val="en-US" w:eastAsia="zh-CN"/>
        </w:rPr>
        <w:t>公告截图</w:t>
      </w:r>
    </w:p>
    <w:p>
      <w:pPr>
        <w:rPr>
          <w:rFonts w:hint="eastAsia"/>
        </w:rPr>
      </w:pPr>
      <w:r>
        <w:rPr>
          <w:rFonts w:hint="eastAsia"/>
        </w:rPr>
        <w:drawing>
          <wp:anchor distT="0" distB="0" distL="114300" distR="114300" simplePos="0" relativeHeight="251668480" behindDoc="0" locked="0" layoutInCell="1" allowOverlap="1">
            <wp:simplePos x="0" y="0"/>
            <wp:positionH relativeFrom="column">
              <wp:posOffset>0</wp:posOffset>
            </wp:positionH>
            <wp:positionV relativeFrom="paragraph">
              <wp:posOffset>189230</wp:posOffset>
            </wp:positionV>
            <wp:extent cx="4556760" cy="8146415"/>
            <wp:effectExtent l="0" t="0" r="5715" b="6985"/>
            <wp:wrapTopAndBottom/>
            <wp:docPr id="17" name="图片 17" descr="bd56187f5d2ba5273851e76d5de0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d56187f5d2ba5273851e76d5de0e04"/>
                    <pic:cNvPicPr>
                      <a:picLocks noChangeAspect="1"/>
                    </pic:cNvPicPr>
                  </pic:nvPicPr>
                  <pic:blipFill>
                    <a:blip r:embed="rId21"/>
                    <a:srcRect t="6313" b="11070"/>
                    <a:stretch>
                      <a:fillRect/>
                    </a:stretch>
                  </pic:blipFill>
                  <pic:spPr>
                    <a:xfrm>
                      <a:off x="0" y="0"/>
                      <a:ext cx="4556760" cy="8146415"/>
                    </a:xfrm>
                    <a:prstGeom prst="rect">
                      <a:avLst/>
                    </a:prstGeom>
                  </pic:spPr>
                </pic:pic>
              </a:graphicData>
            </a:graphic>
          </wp:anchor>
        </w:drawing>
      </w:r>
      <w:r>
        <w:rPr>
          <w:rFonts w:hint="eastAsia"/>
        </w:rPr>
        <w:br w:type="page"/>
      </w:r>
    </w:p>
    <w:p>
      <w:pPr>
        <w:pStyle w:val="5"/>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32"/>
          <w:szCs w:val="32"/>
          <w:highlight w:val="none"/>
        </w:rPr>
      </w:pPr>
      <w:r>
        <w:rPr>
          <w:rFonts w:hint="eastAsia" w:ascii="微软雅黑" w:hAnsi="微软雅黑" w:eastAsia="微软雅黑" w:cs="微软雅黑"/>
          <w:b/>
          <w:i w:val="0"/>
          <w:caps w:val="0"/>
          <w:color w:val="auto"/>
          <w:spacing w:val="0"/>
          <w:w w:val="100"/>
          <w:sz w:val="32"/>
          <w:szCs w:val="32"/>
          <w:highlight w:val="none"/>
        </w:rPr>
        <w:t xml:space="preserve">第4章 </w:t>
      </w:r>
      <w:r>
        <w:rPr>
          <w:rFonts w:hint="eastAsia" w:ascii="微软雅黑" w:hAnsi="微软雅黑" w:eastAsia="微软雅黑" w:cs="微软雅黑"/>
          <w:b/>
          <w:i w:val="0"/>
          <w:caps w:val="0"/>
          <w:color w:val="auto"/>
          <w:spacing w:val="0"/>
          <w:w w:val="100"/>
          <w:sz w:val="32"/>
          <w:szCs w:val="32"/>
          <w:highlight w:val="none"/>
          <w:lang w:val="en-US" w:eastAsia="zh-CN"/>
        </w:rPr>
        <w:t xml:space="preserve"> </w:t>
      </w:r>
      <w:r>
        <w:rPr>
          <w:rFonts w:hint="eastAsia" w:ascii="微软雅黑" w:hAnsi="微软雅黑" w:eastAsia="微软雅黑" w:cs="微软雅黑"/>
          <w:b/>
          <w:i w:val="0"/>
          <w:caps w:val="0"/>
          <w:color w:val="auto"/>
          <w:spacing w:val="0"/>
          <w:w w:val="100"/>
          <w:sz w:val="32"/>
          <w:szCs w:val="32"/>
          <w:highlight w:val="none"/>
        </w:rPr>
        <w:t>供应商须知资料表</w:t>
      </w:r>
      <w:bookmarkEnd w:id="890"/>
      <w:bookmarkEnd w:id="891"/>
      <w:bookmarkEnd w:id="892"/>
      <w:bookmarkEnd w:id="893"/>
      <w:bookmarkEnd w:id="894"/>
      <w:bookmarkEnd w:id="895"/>
      <w:bookmarkEnd w:id="947"/>
    </w:p>
    <w:p>
      <w:pPr>
        <w:shd w:val="clear"/>
        <w:snapToGrid w:val="0"/>
        <w:spacing w:before="0" w:beforeAutospacing="0" w:after="0" w:afterAutospacing="0" w:line="240" w:lineRule="atLeast"/>
        <w:ind w:firstLine="360" w:firstLineChars="1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本表是本</w:t>
      </w:r>
      <w:r>
        <w:rPr>
          <w:rFonts w:hint="eastAsia" w:ascii="微软雅黑" w:hAnsi="微软雅黑" w:eastAsia="微软雅黑" w:cs="微软雅黑"/>
          <w:b w:val="0"/>
          <w:i w:val="0"/>
          <w:caps w:val="0"/>
          <w:color w:val="auto"/>
          <w:spacing w:val="0"/>
          <w:w w:val="100"/>
          <w:sz w:val="24"/>
          <w:highlight w:val="none"/>
          <w:lang w:eastAsia="zh-CN"/>
        </w:rPr>
        <w:t>采购</w:t>
      </w:r>
      <w:r>
        <w:rPr>
          <w:rFonts w:hint="eastAsia" w:ascii="微软雅黑" w:hAnsi="微软雅黑" w:eastAsia="微软雅黑" w:cs="微软雅黑"/>
          <w:b w:val="0"/>
          <w:i w:val="0"/>
          <w:caps w:val="0"/>
          <w:color w:val="auto"/>
          <w:spacing w:val="0"/>
          <w:w w:val="100"/>
          <w:sz w:val="24"/>
          <w:highlight w:val="none"/>
        </w:rPr>
        <w:t>项目的具体资料，是对供应商须知的具体补充和修改，如有矛盾，应以本资料表为准。</w:t>
      </w:r>
    </w:p>
    <w:tbl>
      <w:tblPr>
        <w:tblStyle w:val="36"/>
        <w:tblW w:w="9510" w:type="dxa"/>
        <w:tblInd w:w="-49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95"/>
        <w:gridCol w:w="8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条款号</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rPr>
              <w:t>采购单位：</w:t>
            </w:r>
            <w:r>
              <w:rPr>
                <w:rFonts w:hint="eastAsia" w:ascii="微软雅黑" w:hAnsi="微软雅黑" w:eastAsia="微软雅黑" w:cs="微软雅黑"/>
                <w:b w:val="0"/>
                <w:i w:val="0"/>
                <w:caps w:val="0"/>
                <w:color w:val="auto"/>
                <w:spacing w:val="0"/>
                <w:w w:val="100"/>
                <w:sz w:val="24"/>
                <w:highlight w:val="none"/>
                <w:u w:val="single" w:color="000000"/>
                <w:lang w:val="en-US" w:eastAsia="zh-CN"/>
              </w:rPr>
              <w:t>泽普县教育局</w:t>
            </w:r>
          </w:p>
          <w:p>
            <w:pPr>
              <w:pStyle w:val="31"/>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500" w:lineRule="exact"/>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kern w:val="0"/>
                <w:sz w:val="24"/>
                <w:highlight w:val="none"/>
              </w:rPr>
              <w:t>联 系 人：</w:t>
            </w:r>
            <w:r>
              <w:rPr>
                <w:rFonts w:hint="eastAsia" w:ascii="微软雅黑" w:hAnsi="微软雅黑" w:eastAsia="微软雅黑" w:cs="微软雅黑"/>
                <w:b w:val="0"/>
                <w:i w:val="0"/>
                <w:caps w:val="0"/>
                <w:color w:val="auto"/>
                <w:spacing w:val="0"/>
                <w:w w:val="100"/>
                <w:kern w:val="0"/>
                <w:sz w:val="24"/>
                <w:highlight w:val="none"/>
                <w:u w:val="single" w:color="000000"/>
                <w:lang w:val="en-US" w:eastAsia="zh-CN"/>
              </w:rPr>
              <w:t xml:space="preserve"> </w:t>
            </w:r>
            <w:r>
              <w:rPr>
                <w:rFonts w:hint="eastAsia" w:ascii="微软雅黑" w:hAnsi="微软雅黑" w:eastAsia="微软雅黑" w:cs="微软雅黑"/>
                <w:b w:val="0"/>
                <w:i w:val="0"/>
                <w:caps w:val="0"/>
                <w:color w:val="auto"/>
                <w:spacing w:val="0"/>
                <w:w w:val="100"/>
                <w:kern w:val="0"/>
                <w:sz w:val="24"/>
                <w:highlight w:val="none"/>
                <w:u w:val="single" w:color="000000"/>
                <w:lang w:eastAsia="zh-CN"/>
              </w:rPr>
              <w:t xml:space="preserve">田酉疆 </w:t>
            </w:r>
            <w:r>
              <w:rPr>
                <w:rFonts w:hint="eastAsia" w:ascii="微软雅黑" w:hAnsi="微软雅黑" w:eastAsia="微软雅黑" w:cs="微软雅黑"/>
                <w:b w:val="0"/>
                <w:i w:val="0"/>
                <w:caps w:val="0"/>
                <w:color w:val="auto"/>
                <w:spacing w:val="0"/>
                <w:w w:val="100"/>
                <w:kern w:val="0"/>
                <w:sz w:val="24"/>
                <w:highlight w:val="none"/>
                <w:u w:val="single" w:color="000000"/>
                <w:lang w:val="en-US" w:eastAsia="zh-CN"/>
              </w:rPr>
              <w:t xml:space="preserve"> </w:t>
            </w:r>
            <w:r>
              <w:rPr>
                <w:rFonts w:hint="eastAsia" w:ascii="微软雅黑" w:hAnsi="微软雅黑" w:eastAsia="微软雅黑" w:cs="微软雅黑"/>
                <w:b w:val="0"/>
                <w:i w:val="0"/>
                <w:caps w:val="0"/>
                <w:color w:val="auto"/>
                <w:spacing w:val="0"/>
                <w:w w:val="100"/>
                <w:kern w:val="0"/>
                <w:sz w:val="24"/>
                <w:highlight w:val="none"/>
                <w:lang w:val="en-US" w:eastAsia="zh-CN"/>
              </w:rPr>
              <w:t xml:space="preserve">      </w:t>
            </w:r>
            <w:r>
              <w:rPr>
                <w:rFonts w:hint="eastAsia" w:ascii="微软雅黑" w:hAnsi="微软雅黑" w:eastAsia="微软雅黑" w:cs="微软雅黑"/>
                <w:b w:val="0"/>
                <w:i w:val="0"/>
                <w:caps w:val="0"/>
                <w:color w:val="auto"/>
                <w:spacing w:val="0"/>
                <w:w w:val="100"/>
                <w:kern w:val="0"/>
                <w:sz w:val="24"/>
                <w:highlight w:val="none"/>
              </w:rPr>
              <w:t>电话：</w:t>
            </w:r>
            <w:r>
              <w:rPr>
                <w:rFonts w:hint="eastAsia" w:ascii="微软雅黑" w:hAnsi="微软雅黑" w:eastAsia="微软雅黑" w:cs="微软雅黑"/>
                <w:b w:val="0"/>
                <w:i w:val="0"/>
                <w:caps w:val="0"/>
                <w:color w:val="auto"/>
                <w:spacing w:val="0"/>
                <w:w w:val="100"/>
                <w:kern w:val="0"/>
                <w:sz w:val="24"/>
                <w:highlight w:val="none"/>
                <w:u w:val="single" w:color="000000"/>
                <w:lang w:val="en-US" w:eastAsia="zh-CN"/>
              </w:rPr>
              <w:t>18299893218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rPr>
              <w:t>采购代理机构：</w:t>
            </w:r>
            <w:r>
              <w:rPr>
                <w:rFonts w:hint="eastAsia" w:ascii="微软雅黑" w:hAnsi="微软雅黑" w:eastAsia="微软雅黑" w:cs="微软雅黑"/>
                <w:b w:val="0"/>
                <w:i w:val="0"/>
                <w:caps w:val="0"/>
                <w:color w:val="auto"/>
                <w:spacing w:val="0"/>
                <w:w w:val="100"/>
                <w:sz w:val="24"/>
                <w:highlight w:val="none"/>
                <w:u w:val="single"/>
                <w:lang w:eastAsia="zh-CN"/>
              </w:rPr>
              <w:t>中经国际招标集团有限公司</w:t>
            </w:r>
          </w:p>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地址：</w:t>
            </w:r>
            <w:r>
              <w:rPr>
                <w:rFonts w:hint="eastAsia" w:ascii="微软雅黑" w:hAnsi="微软雅黑" w:eastAsia="微软雅黑" w:cs="微软雅黑"/>
                <w:b w:val="0"/>
                <w:i w:val="0"/>
                <w:caps w:val="0"/>
                <w:color w:val="auto"/>
                <w:spacing w:val="0"/>
                <w:w w:val="100"/>
                <w:sz w:val="24"/>
                <w:highlight w:val="none"/>
                <w:u w:val="single"/>
              </w:rPr>
              <w:t>喀什经济开发区深圳城3号楼12层1204</w:t>
            </w:r>
          </w:p>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rPr>
              <w:t>联系人：</w:t>
            </w:r>
            <w:r>
              <w:rPr>
                <w:rFonts w:hint="eastAsia" w:ascii="微软雅黑" w:hAnsi="微软雅黑" w:eastAsia="微软雅黑" w:cs="微软雅黑"/>
                <w:b w:val="0"/>
                <w:i w:val="0"/>
                <w:caps w:val="0"/>
                <w:color w:val="auto"/>
                <w:spacing w:val="0"/>
                <w:w w:val="100"/>
                <w:kern w:val="0"/>
                <w:sz w:val="24"/>
                <w:szCs w:val="24"/>
                <w:highlight w:val="none"/>
                <w:u w:val="single" w:color="000000"/>
                <w:lang w:val="en-US" w:eastAsia="zh-CN" w:bidi="ar-SA"/>
              </w:rPr>
              <w:t>王丽娟</w:t>
            </w:r>
            <w:r>
              <w:rPr>
                <w:rFonts w:hint="eastAsia" w:ascii="微软雅黑" w:hAnsi="微软雅黑" w:eastAsia="微软雅黑" w:cs="微软雅黑"/>
                <w:b w:val="0"/>
                <w:i w:val="0"/>
                <w:caps w:val="0"/>
                <w:color w:val="auto"/>
                <w:spacing w:val="0"/>
                <w:w w:val="100"/>
                <w:sz w:val="24"/>
                <w:highlight w:val="none"/>
              </w:rPr>
              <w:t xml:space="preserve">　   联系电话： </w:t>
            </w:r>
            <w:r>
              <w:rPr>
                <w:rFonts w:hint="eastAsia" w:ascii="微软雅黑" w:hAnsi="微软雅黑" w:eastAsia="微软雅黑" w:cs="微软雅黑"/>
                <w:b w:val="0"/>
                <w:i w:val="0"/>
                <w:caps w:val="0"/>
                <w:color w:val="auto"/>
                <w:spacing w:val="0"/>
                <w:w w:val="100"/>
                <w:sz w:val="24"/>
                <w:highlight w:val="none"/>
                <w:u w:val="single"/>
                <w:lang w:eastAsia="zh-CN"/>
              </w:rPr>
              <w:t>15099650569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1.3.4</w:t>
            </w:r>
          </w:p>
        </w:tc>
        <w:tc>
          <w:tcPr>
            <w:tcW w:w="8115" w:type="dxa"/>
            <w:vAlign w:val="center"/>
          </w:tcPr>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合格供应商的其他资格要求：（本项目现场磋商开启必须提供证件原件或加盖公章复印件）</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1.提供具有有效的独立法人营业执照；</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2.提供法人代表资格证明及授权书、被授权人身份证；(法人投标需提供法人身份证)；</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3</w:t>
            </w:r>
            <w:r>
              <w:rPr>
                <w:rFonts w:hint="eastAsia" w:ascii="微软雅黑" w:hAnsi="微软雅黑" w:eastAsia="微软雅黑" w:cs="微软雅黑"/>
                <w:b/>
                <w:bCs/>
                <w:i w:val="0"/>
                <w:caps w:val="0"/>
                <w:color w:val="auto"/>
                <w:spacing w:val="0"/>
                <w:w w:val="100"/>
                <w:sz w:val="24"/>
                <w:highlight w:val="none"/>
              </w:rPr>
              <w:t>.提供近两年任意一年的财务审计报告，新成立的公司提供近三个月内任意一个月的银行资信证明；</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4</w:t>
            </w:r>
            <w:r>
              <w:rPr>
                <w:rFonts w:hint="eastAsia" w:ascii="微软雅黑" w:hAnsi="微软雅黑" w:eastAsia="微软雅黑" w:cs="微软雅黑"/>
                <w:b/>
                <w:bCs/>
                <w:i w:val="0"/>
                <w:caps w:val="0"/>
                <w:color w:val="auto"/>
                <w:spacing w:val="0"/>
                <w:w w:val="100"/>
                <w:sz w:val="24"/>
                <w:highlight w:val="none"/>
              </w:rPr>
              <w:t>.提供依法缴纳近6个月任意一个月社会保险的凭据；</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5</w:t>
            </w:r>
            <w:r>
              <w:rPr>
                <w:rFonts w:hint="eastAsia" w:ascii="微软雅黑" w:hAnsi="微软雅黑" w:eastAsia="微软雅黑" w:cs="微软雅黑"/>
                <w:b/>
                <w:bCs/>
                <w:i w:val="0"/>
                <w:caps w:val="0"/>
                <w:color w:val="auto"/>
                <w:spacing w:val="0"/>
                <w:w w:val="100"/>
                <w:sz w:val="24"/>
                <w:highlight w:val="none"/>
              </w:rPr>
              <w:t>.提供税务部门出具的近6个月任意一个月的完税证明；</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6</w:t>
            </w:r>
            <w:r>
              <w:rPr>
                <w:rFonts w:hint="eastAsia" w:ascii="微软雅黑" w:hAnsi="微软雅黑" w:eastAsia="微软雅黑" w:cs="微软雅黑"/>
                <w:b/>
                <w:bCs/>
                <w:i w:val="0"/>
                <w:caps w:val="0"/>
                <w:color w:val="auto"/>
                <w:spacing w:val="0"/>
                <w:w w:val="100"/>
                <w:sz w:val="24"/>
                <w:highlight w:val="none"/>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现场招标代理或招标人查询为准）</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7</w:t>
            </w:r>
            <w:r>
              <w:rPr>
                <w:rFonts w:hint="eastAsia" w:ascii="微软雅黑" w:hAnsi="微软雅黑" w:eastAsia="微软雅黑" w:cs="微软雅黑"/>
                <w:b/>
                <w:bCs/>
                <w:i w:val="0"/>
                <w:caps w:val="0"/>
                <w:color w:val="auto"/>
                <w:spacing w:val="0"/>
                <w:w w:val="100"/>
                <w:sz w:val="24"/>
                <w:highlight w:val="none"/>
              </w:rPr>
              <w:t>.提供参与政府采购活动前3年内未被列入失信、重大税收违法案件、财政部门禁止参加政府采购活动的承诺书；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8</w:t>
            </w:r>
            <w:r>
              <w:rPr>
                <w:rFonts w:hint="eastAsia" w:ascii="微软雅黑" w:hAnsi="微软雅黑" w:eastAsia="微软雅黑" w:cs="微软雅黑"/>
                <w:b/>
                <w:bCs/>
                <w:i w:val="0"/>
                <w:caps w:val="0"/>
                <w:color w:val="auto"/>
                <w:spacing w:val="0"/>
                <w:w w:val="100"/>
                <w:sz w:val="24"/>
                <w:highlight w:val="none"/>
              </w:rPr>
              <w:t>.提供针对本次项目《反商业贿赂承诺书》；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9</w:t>
            </w:r>
            <w:r>
              <w:rPr>
                <w:rFonts w:hint="eastAsia" w:ascii="微软雅黑" w:hAnsi="微软雅黑" w:eastAsia="微软雅黑" w:cs="微软雅黑"/>
                <w:b/>
                <w:bCs/>
                <w:i w:val="0"/>
                <w:caps w:val="0"/>
                <w:color w:val="auto"/>
                <w:spacing w:val="0"/>
                <w:w w:val="100"/>
                <w:sz w:val="24"/>
                <w:highlight w:val="none"/>
              </w:rPr>
              <w:t>.缴纳磋商保证金的银行回执单。</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lang w:val="en-US" w:eastAsia="zh-CN"/>
              </w:rPr>
            </w:pPr>
            <w:r>
              <w:rPr>
                <w:rFonts w:hint="eastAsia" w:ascii="微软雅黑" w:hAnsi="微软雅黑" w:eastAsia="微软雅黑" w:cs="微软雅黑"/>
                <w:b/>
                <w:bCs/>
                <w:i w:val="0"/>
                <w:caps w:val="0"/>
                <w:color w:val="auto"/>
                <w:spacing w:val="0"/>
                <w:w w:val="100"/>
                <w:sz w:val="24"/>
                <w:highlight w:val="none"/>
                <w:lang w:val="en-US" w:eastAsia="zh-CN"/>
              </w:rPr>
              <w:t>各供应商应注意以下事项：</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lang w:val="en-US" w:eastAsia="zh-CN"/>
              </w:rPr>
            </w:pPr>
            <w:r>
              <w:rPr>
                <w:rFonts w:hint="eastAsia" w:ascii="微软雅黑" w:hAnsi="微软雅黑" w:eastAsia="微软雅黑" w:cs="微软雅黑"/>
                <w:b/>
                <w:bCs/>
                <w:i w:val="0"/>
                <w:caps w:val="0"/>
                <w:color w:val="auto"/>
                <w:spacing w:val="0"/>
                <w:w w:val="100"/>
                <w:sz w:val="24"/>
                <w:highlight w:val="none"/>
                <w:lang w:val="en-US" w:eastAsia="zh-CN"/>
              </w:rPr>
              <w:t>A：本项目要求各投标供应商提供税务部门出具的近6个月任意一个月的完税证明，若供应商某月税收为零申报，须提供加盖税务局公章的无欠税证明或申报成功网页截图（供应商可自主登录“国家税务总局电子税务局”12366.chinatax.gov.cn/bsfw/onlinetaxation/main——税费申报及缴纳——申报结果查询）。</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color w:val="auto"/>
                <w:highlight w:val="none"/>
              </w:rPr>
            </w:pPr>
            <w:r>
              <w:rPr>
                <w:rFonts w:hint="eastAsia" w:ascii="微软雅黑" w:hAnsi="微软雅黑" w:eastAsia="微软雅黑" w:cs="微软雅黑"/>
                <w:b/>
                <w:bCs/>
                <w:i w:val="0"/>
                <w:caps w:val="0"/>
                <w:color w:val="auto"/>
                <w:spacing w:val="0"/>
                <w:w w:val="100"/>
                <w:sz w:val="24"/>
                <w:highlight w:val="none"/>
                <w:lang w:val="en-US" w:eastAsia="zh-CN"/>
              </w:rPr>
              <w:t>B：税务局代收的社保缴费证明不可作为本项目的完税证明（“税种”不可为养老保险、医疗保险、失业保险、工伤保险和生育保险）。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1.3.5   </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是否允许采购进口产品：</w:t>
            </w:r>
            <w:r>
              <w:rPr>
                <w:rFonts w:hint="eastAsia" w:ascii="微软雅黑" w:hAnsi="微软雅黑" w:eastAsia="微软雅黑" w:cs="微软雅黑"/>
                <w:b w:val="0"/>
                <w:i w:val="0"/>
                <w:caps w:val="0"/>
                <w:color w:val="auto"/>
                <w:spacing w:val="0"/>
                <w:w w:val="100"/>
                <w:sz w:val="24"/>
                <w:highlight w:val="none"/>
                <w:u w:val="single" w:color="000000"/>
              </w:rPr>
              <w:t xml:space="preserve">  否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1.3.6</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是否为专门面向中小企业采购：</w:t>
            </w:r>
            <w:r>
              <w:rPr>
                <w:rFonts w:hint="eastAsia" w:ascii="微软雅黑" w:hAnsi="微软雅黑" w:eastAsia="微软雅黑" w:cs="微软雅黑"/>
                <w:b w:val="0"/>
                <w:i w:val="0"/>
                <w:caps w:val="0"/>
                <w:color w:val="auto"/>
                <w:spacing w:val="0"/>
                <w:w w:val="100"/>
                <w:sz w:val="24"/>
                <w:highlight w:val="none"/>
                <w:u w:val="single" w:color="000000"/>
              </w:rPr>
              <w:t xml:space="preserve">  </w:t>
            </w:r>
            <w:r>
              <w:rPr>
                <w:rFonts w:hint="eastAsia" w:ascii="微软雅黑" w:hAnsi="微软雅黑" w:eastAsia="微软雅黑" w:cs="微软雅黑"/>
                <w:b w:val="0"/>
                <w:i w:val="0"/>
                <w:caps w:val="0"/>
                <w:color w:val="auto"/>
                <w:spacing w:val="0"/>
                <w:w w:val="100"/>
                <w:sz w:val="24"/>
                <w:highlight w:val="none"/>
                <w:u w:val="single" w:color="000000"/>
                <w:lang w:val="en-US" w:eastAsia="zh-CN"/>
              </w:rPr>
              <w:t>是</w:t>
            </w:r>
            <w:r>
              <w:rPr>
                <w:rFonts w:hint="eastAsia" w:ascii="微软雅黑" w:hAnsi="微软雅黑" w:eastAsia="微软雅黑" w:cs="微软雅黑"/>
                <w:b w:val="0"/>
                <w:i w:val="0"/>
                <w:caps w:val="0"/>
                <w:color w:val="auto"/>
                <w:spacing w:val="0"/>
                <w:w w:val="100"/>
                <w:sz w:val="24"/>
                <w:highlight w:val="none"/>
                <w:u w:val="single" w:color="000000"/>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6"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是否允许联合体磋商：</w:t>
            </w:r>
            <w:r>
              <w:rPr>
                <w:rFonts w:hint="eastAsia" w:ascii="微软雅黑" w:hAnsi="微软雅黑" w:eastAsia="微软雅黑" w:cs="微软雅黑"/>
                <w:b w:val="0"/>
                <w:i w:val="0"/>
                <w:caps w:val="0"/>
                <w:color w:val="auto"/>
                <w:spacing w:val="0"/>
                <w:w w:val="100"/>
                <w:sz w:val="24"/>
                <w:highlight w:val="none"/>
                <w:u w:val="single" w:color="000000"/>
              </w:rPr>
              <w:t xml:space="preserve">   否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6"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1.4.8</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8"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w:t>
            </w:r>
          </w:p>
        </w:tc>
        <w:tc>
          <w:tcPr>
            <w:tcW w:w="8115" w:type="dxa"/>
            <w:vAlign w:val="center"/>
          </w:tcPr>
          <w:p>
            <w:pPr>
              <w:pStyle w:val="3"/>
              <w:shd w:val="clear"/>
              <w:snapToGrid w:val="0"/>
              <w:spacing w:before="0" w:beforeAutospacing="0" w:after="0" w:afterAutospacing="0" w:line="400" w:lineRule="exact"/>
              <w:ind w:firstLine="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bCs/>
                <w:i w:val="0"/>
                <w:caps w:val="0"/>
                <w:color w:val="auto"/>
                <w:spacing w:val="0"/>
                <w:w w:val="100"/>
                <w:kern w:val="2"/>
                <w:sz w:val="24"/>
                <w:szCs w:val="24"/>
                <w:highlight w:val="none"/>
              </w:rPr>
              <w:t>项目预算金额：</w:t>
            </w:r>
            <w:r>
              <w:rPr>
                <w:rFonts w:hint="eastAsia" w:ascii="微软雅黑" w:hAnsi="微软雅黑" w:eastAsia="微软雅黑" w:cs="微软雅黑"/>
                <w:b/>
                <w:bCs/>
                <w:i w:val="0"/>
                <w:caps w:val="0"/>
                <w:color w:val="auto"/>
                <w:spacing w:val="0"/>
                <w:w w:val="100"/>
                <w:kern w:val="2"/>
                <w:sz w:val="24"/>
                <w:szCs w:val="24"/>
                <w:highlight w:val="none"/>
                <w:lang w:val="en-US" w:eastAsia="zh-CN"/>
              </w:rPr>
              <w:t>70万元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8" w:hRule="atLeast"/>
        </w:trPr>
        <w:tc>
          <w:tcPr>
            <w:tcW w:w="1395" w:type="dxa"/>
            <w:vAlign w:val="center"/>
          </w:tcPr>
          <w:p>
            <w:pPr>
              <w:shd w:val="clear"/>
              <w:snapToGrid w:val="0"/>
              <w:spacing w:before="0" w:beforeAutospacing="0" w:after="0" w:afterAutospacing="0" w:line="240" w:lineRule="atLeast"/>
              <w:ind w:left="1080" w:leftChars="257" w:hanging="540" w:firstLineChars="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2.21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bCs/>
                <w:i w:val="0"/>
                <w:caps w:val="0"/>
                <w:color w:val="auto"/>
                <w:spacing w:val="0"/>
                <w:w w:val="100"/>
                <w:kern w:val="2"/>
                <w:sz w:val="24"/>
                <w:szCs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履约保证金：中标金额10%，签订合同签订一次性汇入采购单位指定账户；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7"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12.1</w:t>
            </w:r>
          </w:p>
        </w:tc>
        <w:tc>
          <w:tcPr>
            <w:tcW w:w="8115" w:type="dxa"/>
            <w:vAlign w:val="center"/>
          </w:tcPr>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磋商保证金形式：</w:t>
            </w:r>
            <w:r>
              <w:rPr>
                <w:rFonts w:hint="eastAsia" w:ascii="微软雅黑" w:hAnsi="微软雅黑" w:eastAsia="微软雅黑" w:cs="微软雅黑"/>
                <w:b w:val="0"/>
                <w:i w:val="0"/>
                <w:caps w:val="0"/>
                <w:color w:val="auto"/>
                <w:spacing w:val="0"/>
                <w:w w:val="100"/>
                <w:sz w:val="24"/>
                <w:highlight w:val="none"/>
                <w:lang w:eastAsia="zh-CN"/>
              </w:rPr>
              <w:sym w:font="Wingdings 2" w:char="0052"/>
            </w:r>
            <w:r>
              <w:rPr>
                <w:rFonts w:hint="eastAsia" w:ascii="微软雅黑" w:hAnsi="微软雅黑" w:eastAsia="微软雅黑" w:cs="微软雅黑"/>
                <w:b w:val="0"/>
                <w:i w:val="0"/>
                <w:caps w:val="0"/>
                <w:color w:val="auto"/>
                <w:spacing w:val="0"/>
                <w:w w:val="100"/>
                <w:sz w:val="24"/>
                <w:highlight w:val="none"/>
              </w:rPr>
              <w:t xml:space="preserve">保函  </w:t>
            </w:r>
            <w:r>
              <w:rPr>
                <w:rFonts w:hint="eastAsia" w:ascii="微软雅黑" w:hAnsi="微软雅黑" w:eastAsia="微软雅黑" w:cs="微软雅黑"/>
                <w:b w:val="0"/>
                <w:i w:val="0"/>
                <w:caps w:val="0"/>
                <w:color w:val="auto"/>
                <w:spacing w:val="0"/>
                <w:w w:val="100"/>
                <w:sz w:val="24"/>
                <w:highlight w:val="none"/>
                <w:lang w:eastAsia="zh-CN"/>
              </w:rPr>
              <w:sym w:font="Wingdings 2" w:char="0052"/>
            </w:r>
            <w:r>
              <w:rPr>
                <w:rFonts w:hint="eastAsia" w:ascii="微软雅黑" w:hAnsi="微软雅黑" w:eastAsia="微软雅黑" w:cs="微软雅黑"/>
                <w:b w:val="0"/>
                <w:i w:val="0"/>
                <w:caps w:val="0"/>
                <w:color w:val="auto"/>
                <w:spacing w:val="0"/>
                <w:w w:val="100"/>
                <w:sz w:val="24"/>
                <w:highlight w:val="none"/>
              </w:rPr>
              <w:t>电汇  □支票   ☑对公转账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磋商保证金形式：</w:t>
            </w:r>
            <w:r>
              <w:rPr>
                <w:rFonts w:hint="eastAsia" w:ascii="微软雅黑" w:hAnsi="微软雅黑" w:eastAsia="微软雅黑" w:cs="微软雅黑"/>
                <w:b/>
                <w:bCs/>
                <w:i w:val="0"/>
                <w:caps w:val="0"/>
                <w:color w:val="auto"/>
                <w:spacing w:val="0"/>
                <w:w w:val="100"/>
                <w:sz w:val="24"/>
                <w:highlight w:val="none"/>
              </w:rPr>
              <w:t>小写：</w:t>
            </w:r>
            <w:r>
              <w:rPr>
                <w:rFonts w:hint="eastAsia" w:ascii="微软雅黑" w:hAnsi="微软雅黑" w:eastAsia="微软雅黑" w:cs="微软雅黑"/>
                <w:b/>
                <w:bCs/>
                <w:i w:val="0"/>
                <w:caps w:val="0"/>
                <w:color w:val="auto"/>
                <w:spacing w:val="0"/>
                <w:w w:val="100"/>
                <w:sz w:val="24"/>
                <w:highlight w:val="none"/>
                <w:lang w:val="en-US" w:eastAsia="zh-CN"/>
              </w:rPr>
              <w:t>¥14000.00</w:t>
            </w:r>
            <w:r>
              <w:rPr>
                <w:rFonts w:hint="eastAsia" w:ascii="微软雅黑" w:hAnsi="微软雅黑" w:eastAsia="微软雅黑" w:cs="微软雅黑"/>
                <w:b/>
                <w:bCs/>
                <w:i w:val="0"/>
                <w:caps w:val="0"/>
                <w:color w:val="auto"/>
                <w:spacing w:val="0"/>
                <w:w w:val="100"/>
                <w:sz w:val="24"/>
                <w:highlight w:val="none"/>
              </w:rPr>
              <w:t>元</w:t>
            </w:r>
            <w:r>
              <w:rPr>
                <w:rFonts w:hint="eastAsia" w:ascii="微软雅黑" w:hAnsi="微软雅黑" w:eastAsia="微软雅黑" w:cs="微软雅黑"/>
                <w:b/>
                <w:bCs/>
                <w:i w:val="0"/>
                <w:caps w:val="0"/>
                <w:color w:val="auto"/>
                <w:spacing w:val="0"/>
                <w:w w:val="100"/>
                <w:sz w:val="24"/>
                <w:highlight w:val="none"/>
                <w:lang w:val="en-US" w:eastAsia="zh-CN"/>
              </w:rPr>
              <w:t xml:space="preserve"> </w:t>
            </w:r>
            <w:r>
              <w:rPr>
                <w:rFonts w:hint="eastAsia" w:ascii="微软雅黑" w:hAnsi="微软雅黑" w:eastAsia="微软雅黑" w:cs="微软雅黑"/>
                <w:b/>
                <w:bCs/>
                <w:i w:val="0"/>
                <w:caps w:val="0"/>
                <w:color w:val="auto"/>
                <w:spacing w:val="0"/>
                <w:w w:val="100"/>
                <w:sz w:val="24"/>
                <w:highlight w:val="none"/>
              </w:rPr>
              <w:t>(大写：</w:t>
            </w:r>
            <w:r>
              <w:rPr>
                <w:rFonts w:hint="eastAsia" w:ascii="微软雅黑" w:hAnsi="微软雅黑" w:eastAsia="微软雅黑" w:cs="微软雅黑"/>
                <w:b/>
                <w:bCs/>
                <w:i w:val="0"/>
                <w:caps w:val="0"/>
                <w:color w:val="auto"/>
                <w:spacing w:val="0"/>
                <w:w w:val="100"/>
                <w:sz w:val="24"/>
                <w:highlight w:val="none"/>
                <w:lang w:eastAsia="zh-CN"/>
              </w:rPr>
              <w:t>人民币</w:t>
            </w:r>
            <w:r>
              <w:rPr>
                <w:rFonts w:hint="eastAsia" w:ascii="微软雅黑" w:hAnsi="微软雅黑" w:eastAsia="微软雅黑" w:cs="微软雅黑"/>
                <w:b/>
                <w:bCs/>
                <w:i w:val="0"/>
                <w:caps w:val="0"/>
                <w:color w:val="auto"/>
                <w:spacing w:val="0"/>
                <w:w w:val="100"/>
                <w:sz w:val="24"/>
                <w:highlight w:val="none"/>
                <w:lang w:val="en-US" w:eastAsia="zh-CN"/>
              </w:rPr>
              <w:t>壹万肆仟元整</w:t>
            </w:r>
            <w:r>
              <w:rPr>
                <w:rFonts w:hint="eastAsia" w:ascii="微软雅黑" w:hAnsi="微软雅黑" w:eastAsia="微软雅黑" w:cs="微软雅黑"/>
                <w:b/>
                <w:bCs/>
                <w:i w:val="0"/>
                <w:caps w:val="0"/>
                <w:color w:val="auto"/>
                <w:spacing w:val="0"/>
                <w:w w:val="100"/>
                <w:sz w:val="24"/>
                <w:highlight w:val="none"/>
              </w:rPr>
              <w:t>）</w:t>
            </w:r>
            <w:r>
              <w:rPr>
                <w:rFonts w:hint="eastAsia" w:ascii="微软雅黑" w:hAnsi="微软雅黑" w:eastAsia="微软雅黑" w:cs="微软雅黑"/>
                <w:b w:val="0"/>
                <w:i/>
                <w:caps w:val="0"/>
                <w:color w:val="auto"/>
                <w:spacing w:val="0"/>
                <w:w w:val="100"/>
                <w:sz w:val="24"/>
                <w:highlight w:val="none"/>
              </w:rPr>
              <w:t>（按照</w:t>
            </w:r>
            <w:r>
              <w:rPr>
                <w:rFonts w:hint="eastAsia" w:ascii="微软雅黑" w:hAnsi="微软雅黑" w:eastAsia="微软雅黑" w:cs="微软雅黑"/>
                <w:b w:val="0"/>
                <w:i/>
                <w:caps w:val="0"/>
                <w:color w:val="auto"/>
                <w:spacing w:val="0"/>
                <w:w w:val="100"/>
                <w:sz w:val="24"/>
                <w:highlight w:val="none"/>
                <w:lang w:val="en-US" w:eastAsia="zh-CN"/>
              </w:rPr>
              <w:t>预算</w:t>
            </w:r>
            <w:r>
              <w:rPr>
                <w:rFonts w:hint="eastAsia" w:ascii="微软雅黑" w:hAnsi="微软雅黑" w:eastAsia="微软雅黑" w:cs="微软雅黑"/>
                <w:b w:val="0"/>
                <w:i/>
                <w:caps w:val="0"/>
                <w:color w:val="auto"/>
                <w:spacing w:val="0"/>
                <w:w w:val="100"/>
                <w:sz w:val="24"/>
                <w:highlight w:val="none"/>
              </w:rPr>
              <w:t>金额2%以内的整数计算）（本项目允许的其他形式，保证金提供保函的，须在开标前到我公司验证保函并换取保函收据，投标文件须同时放保函和保函收据复印件。）</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rPr>
              <w:t>磋商保证金收款人：</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i w:val="0"/>
                <w:iCs w:val="0"/>
                <w:color w:val="auto"/>
                <w:sz w:val="24"/>
                <w:szCs w:val="24"/>
              </w:rPr>
            </w:pPr>
            <w:r>
              <w:rPr>
                <w:rFonts w:hint="eastAsia" w:ascii="宋体" w:hAnsi="宋体" w:eastAsia="宋体" w:cs="宋体"/>
                <w:b/>
                <w:bCs/>
                <w:i w:val="0"/>
                <w:iCs w:val="0"/>
                <w:color w:val="auto"/>
                <w:sz w:val="24"/>
                <w:szCs w:val="24"/>
              </w:rPr>
              <w:t>（按照</w:t>
            </w:r>
            <w:r>
              <w:rPr>
                <w:rFonts w:hint="eastAsia" w:ascii="宋体" w:hAnsi="宋体" w:eastAsia="宋体" w:cs="宋体"/>
                <w:b/>
                <w:bCs/>
                <w:i w:val="0"/>
                <w:iCs w:val="0"/>
                <w:color w:val="auto"/>
                <w:sz w:val="24"/>
                <w:szCs w:val="24"/>
                <w:lang w:eastAsia="zh-CN"/>
              </w:rPr>
              <w:t>项目预算</w:t>
            </w:r>
            <w:r>
              <w:rPr>
                <w:rFonts w:hint="eastAsia" w:ascii="宋体" w:hAnsi="宋体" w:eastAsia="宋体" w:cs="宋体"/>
                <w:b/>
                <w:bCs/>
                <w:i w:val="0"/>
                <w:iCs w:val="0"/>
                <w:color w:val="auto"/>
                <w:sz w:val="24"/>
                <w:szCs w:val="24"/>
              </w:rPr>
              <w:t>金额</w:t>
            </w:r>
            <w:r>
              <w:rPr>
                <w:rFonts w:hint="eastAsia" w:ascii="宋体" w:hAnsi="宋体" w:eastAsia="宋体" w:cs="宋体"/>
                <w:b/>
                <w:bCs/>
                <w:i w:val="0"/>
                <w:iCs w:val="0"/>
                <w:color w:val="auto"/>
                <w:sz w:val="24"/>
                <w:szCs w:val="24"/>
                <w:lang w:val="en-US" w:eastAsia="zh-CN"/>
              </w:rPr>
              <w:t>2</w:t>
            </w:r>
            <w:r>
              <w:rPr>
                <w:rFonts w:hint="eastAsia" w:ascii="宋体" w:hAnsi="宋体" w:eastAsia="宋体" w:cs="宋体"/>
                <w:b/>
                <w:bCs/>
                <w:i w:val="0"/>
                <w:iCs w:val="0"/>
                <w:color w:val="auto"/>
                <w:sz w:val="24"/>
                <w:szCs w:val="24"/>
              </w:rPr>
              <w:t>%以内的整数计算）</w:t>
            </w:r>
          </w:p>
          <w:p>
            <w:pPr>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投标</w:t>
            </w:r>
            <w:r>
              <w:rPr>
                <w:rFonts w:hint="eastAsia" w:ascii="宋体" w:hAnsi="宋体" w:eastAsia="宋体" w:cs="宋体"/>
                <w:b/>
                <w:bCs/>
                <w:color w:val="auto"/>
                <w:sz w:val="24"/>
                <w:highlight w:val="none"/>
              </w:rPr>
              <w:t>保证金收款人：</w:t>
            </w:r>
          </w:p>
          <w:p>
            <w:pPr>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单位名称：中经国际招标集团有限公司喀什分公司</w:t>
            </w:r>
          </w:p>
          <w:p>
            <w:pPr>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开 户 行：乌鲁木齐银行喀什分行营业部</w:t>
            </w:r>
          </w:p>
          <w:p>
            <w:pPr>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账    号：0000020070110051349823</w:t>
            </w:r>
            <w:r>
              <w:rPr>
                <w:rFonts w:hint="eastAsia" w:ascii="宋体" w:hAnsi="宋体" w:eastAsia="宋体" w:cs="宋体"/>
                <w:b/>
                <w:bCs/>
                <w:color w:val="auto"/>
                <w:sz w:val="24"/>
                <w:szCs w:val="24"/>
                <w:highlight w:val="none"/>
              </w:rPr>
              <w:t>（电汇时请在汇款备注栏注明项目名称及包号（如有），并注明是投标保证金，否则视为无效投标保证金。）  </w:t>
            </w:r>
            <w:r>
              <w:rPr>
                <w:rFonts w:hint="eastAsia" w:ascii="宋体" w:hAnsi="宋体" w:eastAsia="宋体" w:cs="宋体"/>
                <w:b/>
                <w:bCs/>
                <w:color w:val="auto"/>
                <w:sz w:val="24"/>
                <w:highlight w:val="none"/>
              </w:rPr>
              <w:t>  </w:t>
            </w:r>
          </w:p>
          <w:p>
            <w:pPr>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行  </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号：313894000405</w:t>
            </w:r>
          </w:p>
          <w:p>
            <w:pPr>
              <w:spacing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财务室联系人及联系方式：15099650569</w:t>
            </w:r>
          </w:p>
          <w:p>
            <w:pPr>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A:缴纳投标保证金要求：供应商向银行办理投标保证金汇（转）款时，应在用途栏（备注栏）注明项目名称及包号（如有），并注明是投标保证金字样，如填写字数有要求可简写项目名称与包号（如有），由于未按要求注明信息而导致的一切后果由供应商自行承担。</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B：退投标保证金：（1）开评标结束后，未中标供应商</w:t>
            </w:r>
            <w:r>
              <w:rPr>
                <w:rFonts w:hint="eastAsia" w:ascii="宋体" w:hAnsi="宋体" w:cs="宋体"/>
                <w:b/>
                <w:bCs/>
                <w:color w:val="auto"/>
                <w:sz w:val="24"/>
                <w:szCs w:val="24"/>
                <w:highlight w:val="none"/>
                <w:lang w:val="en-US" w:eastAsia="zh-CN"/>
              </w:rPr>
              <w:t>的授权委托人须携带身份证原件及复印件、银行开户许可证、投标保证金银行转账回执单及授权委托书现场申请</w:t>
            </w:r>
            <w:r>
              <w:rPr>
                <w:rFonts w:hint="eastAsia" w:ascii="宋体" w:hAnsi="宋体" w:eastAsia="宋体" w:cs="宋体"/>
                <w:b/>
                <w:bCs/>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ind w:firstLine="482" w:firstLineChars="2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宋体" w:hAnsi="宋体" w:eastAsia="宋体" w:cs="宋体"/>
                <w:b/>
                <w:bCs/>
                <w:color w:val="auto"/>
                <w:sz w:val="24"/>
                <w:szCs w:val="24"/>
                <w:highlight w:val="none"/>
              </w:rPr>
              <w:t>（2）中标供应商的保证金在与采购人签订合同后，把合同扫描件发送至邮箱2783389030@qq.com后，当日或次日原账户退回</w:t>
            </w:r>
            <w:r>
              <w:rPr>
                <w:rFonts w:hint="eastAsia" w:ascii="微软雅黑" w:hAnsi="微软雅黑" w:eastAsia="微软雅黑" w:cs="微软雅黑"/>
                <w:b w:val="0"/>
                <w:bCs w:val="0"/>
                <w:i w:val="0"/>
                <w:caps w:val="0"/>
                <w:color w:val="auto"/>
                <w:spacing w:val="0"/>
                <w:w w:val="100"/>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u w:val="single" w:color="000000"/>
              </w:rPr>
            </w:pPr>
            <w:r>
              <w:rPr>
                <w:rFonts w:hint="eastAsia" w:ascii="微软雅黑" w:hAnsi="微软雅黑" w:eastAsia="微软雅黑" w:cs="微软雅黑"/>
                <w:b w:val="0"/>
                <w:i w:val="0"/>
                <w:caps w:val="0"/>
                <w:color w:val="auto"/>
                <w:spacing w:val="0"/>
                <w:w w:val="100"/>
                <w:sz w:val="24"/>
                <w:highlight w:val="none"/>
              </w:rPr>
              <w:t>磋商有效期：</w:t>
            </w:r>
            <w:r>
              <w:rPr>
                <w:rFonts w:hint="eastAsia" w:ascii="微软雅黑" w:hAnsi="微软雅黑" w:eastAsia="微软雅黑" w:cs="微软雅黑"/>
                <w:b w:val="0"/>
                <w:i w:val="0"/>
                <w:caps w:val="0"/>
                <w:color w:val="auto"/>
                <w:spacing w:val="0"/>
                <w:w w:val="100"/>
                <w:sz w:val="24"/>
                <w:highlight w:val="none"/>
                <w:u w:val="single" w:color="000000"/>
              </w:rPr>
              <w:t>　60　</w:t>
            </w:r>
            <w:r>
              <w:rPr>
                <w:rFonts w:hint="eastAsia" w:ascii="微软雅黑" w:hAnsi="微软雅黑" w:eastAsia="微软雅黑" w:cs="微软雅黑"/>
                <w:b w:val="0"/>
                <w:i w:val="0"/>
                <w:caps w:val="0"/>
                <w:color w:val="auto"/>
                <w:spacing w:val="0"/>
                <w:w w:val="100"/>
                <w:sz w:val="24"/>
                <w:highlight w:val="none"/>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14.1</w:t>
            </w:r>
          </w:p>
        </w:tc>
        <w:tc>
          <w:tcPr>
            <w:tcW w:w="8115" w:type="dxa"/>
            <w:vAlign w:val="center"/>
          </w:tcPr>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响应文件包括“</w:t>
            </w:r>
            <w:r>
              <w:rPr>
                <w:rFonts w:hint="eastAsia" w:ascii="微软雅黑" w:hAnsi="微软雅黑" w:eastAsia="微软雅黑" w:cs="微软雅黑"/>
                <w:color w:val="auto"/>
                <w:sz w:val="24"/>
                <w:highlight w:val="none"/>
                <w:lang w:eastAsia="zh-CN"/>
              </w:rPr>
              <w:t>磋商报价一览表</w:t>
            </w:r>
            <w:r>
              <w:rPr>
                <w:rFonts w:hint="eastAsia" w:ascii="微软雅黑" w:hAnsi="微软雅黑" w:eastAsia="微软雅黑" w:cs="微软雅黑"/>
                <w:color w:val="auto"/>
                <w:sz w:val="24"/>
                <w:highlight w:val="none"/>
              </w:rPr>
              <w:t>及资格证明文件”和“商务及技术文件”两部分，两部分合订成一册密封递交。</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响应文件：正本：壹份、副本：</w:t>
            </w:r>
            <w:r>
              <w:rPr>
                <w:rFonts w:hint="eastAsia" w:ascii="微软雅黑" w:hAnsi="微软雅黑" w:eastAsia="微软雅黑" w:cs="微软雅黑"/>
                <w:color w:val="auto"/>
                <w:sz w:val="24"/>
                <w:highlight w:val="none"/>
                <w:lang w:val="en-US" w:eastAsia="zh-CN"/>
              </w:rPr>
              <w:t>叁</w:t>
            </w:r>
            <w:r>
              <w:rPr>
                <w:rFonts w:hint="eastAsia" w:ascii="微软雅黑" w:hAnsi="微软雅黑" w:eastAsia="微软雅黑" w:cs="微软雅黑"/>
                <w:color w:val="auto"/>
                <w:sz w:val="24"/>
                <w:highlight w:val="none"/>
              </w:rPr>
              <w:t>份；（</w:t>
            </w:r>
            <w:r>
              <w:rPr>
                <w:rFonts w:hint="eastAsia" w:ascii="微软雅黑" w:hAnsi="微软雅黑" w:eastAsia="微软雅黑" w:cs="微软雅黑"/>
                <w:iCs/>
                <w:color w:val="auto"/>
                <w:sz w:val="24"/>
                <w:highlight w:val="none"/>
              </w:rPr>
              <w:t>正、副本密封在同一个密封袋中提交</w:t>
            </w:r>
            <w:r>
              <w:rPr>
                <w:rFonts w:hint="eastAsia" w:ascii="微软雅黑" w:hAnsi="微软雅黑" w:eastAsia="微软雅黑" w:cs="微软雅黑"/>
                <w:color w:val="auto"/>
                <w:sz w:val="24"/>
                <w:highlight w:val="none"/>
              </w:rPr>
              <w:t>，密封袋封面右上角标明</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rPr>
              <w:t>正本</w:t>
            </w:r>
            <w:r>
              <w:rPr>
                <w:rFonts w:hint="eastAsia" w:ascii="微软雅黑" w:hAnsi="微软雅黑" w:eastAsia="微软雅黑" w:cs="微软雅黑"/>
                <w:color w:val="auto"/>
                <w:sz w:val="24"/>
                <w:highlight w:val="none"/>
                <w:lang w:val="en-US" w:eastAsia="zh-CN"/>
              </w:rPr>
              <w:t>和</w:t>
            </w:r>
            <w:r>
              <w:rPr>
                <w:rFonts w:hint="eastAsia" w:ascii="微软雅黑" w:hAnsi="微软雅黑" w:eastAsia="微软雅黑" w:cs="微软雅黑"/>
                <w:color w:val="auto"/>
                <w:sz w:val="24"/>
                <w:highlight w:val="none"/>
              </w:rPr>
              <w:t>副本</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rPr>
              <w:t>字样）</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供应商必须制作</w:t>
            </w:r>
            <w:r>
              <w:rPr>
                <w:rFonts w:hint="eastAsia" w:ascii="微软雅黑" w:hAnsi="微软雅黑" w:eastAsia="微软雅黑" w:cs="微软雅黑"/>
                <w:b/>
                <w:bCs/>
                <w:color w:val="auto"/>
                <w:sz w:val="24"/>
                <w:highlight w:val="none"/>
              </w:rPr>
              <w:t>“磋商报价</w:t>
            </w:r>
            <w:r>
              <w:rPr>
                <w:rFonts w:hint="eastAsia" w:ascii="微软雅黑" w:hAnsi="微软雅黑" w:eastAsia="微软雅黑" w:cs="微软雅黑"/>
                <w:b/>
                <w:bCs/>
                <w:color w:val="auto"/>
                <w:sz w:val="24"/>
                <w:highlight w:val="none"/>
                <w:lang w:val="en-US" w:eastAsia="zh-CN"/>
              </w:rPr>
              <w:t>一览</w:t>
            </w:r>
            <w:r>
              <w:rPr>
                <w:rFonts w:hint="eastAsia" w:ascii="微软雅黑" w:hAnsi="微软雅黑" w:eastAsia="微软雅黑" w:cs="微软雅黑"/>
                <w:b/>
                <w:bCs/>
                <w:color w:val="auto"/>
                <w:sz w:val="24"/>
                <w:highlight w:val="none"/>
              </w:rPr>
              <w:t>表”</w:t>
            </w:r>
            <w:r>
              <w:rPr>
                <w:rFonts w:hint="eastAsia" w:ascii="微软雅黑" w:hAnsi="微软雅黑" w:eastAsia="微软雅黑" w:cs="微软雅黑"/>
                <w:color w:val="auto"/>
                <w:sz w:val="24"/>
                <w:highlight w:val="none"/>
              </w:rPr>
              <w:t>并单独密封提交，并在密封袋上标明</w:t>
            </w:r>
            <w:r>
              <w:rPr>
                <w:rFonts w:hint="eastAsia" w:ascii="微软雅黑" w:hAnsi="微软雅黑" w:eastAsia="微软雅黑" w:cs="微软雅黑"/>
                <w:b/>
                <w:bCs/>
                <w:color w:val="auto"/>
                <w:sz w:val="24"/>
                <w:highlight w:val="none"/>
              </w:rPr>
              <w:t>“磋商报价</w:t>
            </w:r>
            <w:r>
              <w:rPr>
                <w:rFonts w:hint="eastAsia" w:ascii="微软雅黑" w:hAnsi="微软雅黑" w:eastAsia="微软雅黑" w:cs="微软雅黑"/>
                <w:b/>
                <w:bCs/>
                <w:color w:val="auto"/>
                <w:sz w:val="24"/>
                <w:highlight w:val="none"/>
                <w:lang w:val="en-US" w:eastAsia="zh-CN"/>
              </w:rPr>
              <w:t>一览</w:t>
            </w:r>
            <w:r>
              <w:rPr>
                <w:rFonts w:hint="eastAsia" w:ascii="微软雅黑" w:hAnsi="微软雅黑" w:eastAsia="微软雅黑" w:cs="微软雅黑"/>
                <w:b/>
                <w:bCs/>
                <w:color w:val="auto"/>
                <w:sz w:val="24"/>
                <w:highlight w:val="none"/>
              </w:rPr>
              <w:t>表”</w:t>
            </w:r>
            <w:r>
              <w:rPr>
                <w:rFonts w:hint="eastAsia" w:ascii="微软雅黑" w:hAnsi="微软雅黑" w:eastAsia="微软雅黑" w:cs="微软雅黑"/>
                <w:color w:val="auto"/>
                <w:sz w:val="24"/>
                <w:highlight w:val="none"/>
              </w:rPr>
              <w:t>的字样。不按要求标注或不单独提交</w:t>
            </w:r>
            <w:r>
              <w:rPr>
                <w:rFonts w:hint="eastAsia" w:ascii="微软雅黑" w:hAnsi="微软雅黑" w:eastAsia="微软雅黑" w:cs="微软雅黑"/>
                <w:b/>
                <w:bCs/>
                <w:color w:val="auto"/>
                <w:sz w:val="24"/>
                <w:highlight w:val="none"/>
              </w:rPr>
              <w:t>磋商报价</w:t>
            </w:r>
            <w:r>
              <w:rPr>
                <w:rFonts w:hint="eastAsia" w:ascii="微软雅黑" w:hAnsi="微软雅黑" w:eastAsia="微软雅黑" w:cs="微软雅黑"/>
                <w:b/>
                <w:bCs/>
                <w:color w:val="auto"/>
                <w:sz w:val="24"/>
                <w:highlight w:val="none"/>
                <w:lang w:val="en-US" w:eastAsia="zh-CN"/>
              </w:rPr>
              <w:t>一览</w:t>
            </w:r>
            <w:r>
              <w:rPr>
                <w:rFonts w:hint="eastAsia" w:ascii="微软雅黑" w:hAnsi="微软雅黑" w:eastAsia="微软雅黑" w:cs="微软雅黑"/>
                <w:b/>
                <w:bCs/>
                <w:color w:val="auto"/>
                <w:sz w:val="24"/>
                <w:highlight w:val="none"/>
              </w:rPr>
              <w:t>表，</w:t>
            </w:r>
            <w:r>
              <w:rPr>
                <w:rFonts w:hint="eastAsia" w:ascii="微软雅黑" w:hAnsi="微软雅黑" w:eastAsia="微软雅黑" w:cs="微软雅黑"/>
                <w:color w:val="auto"/>
                <w:sz w:val="24"/>
                <w:highlight w:val="none"/>
              </w:rPr>
              <w:t>其磋商将被拒绝。</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除上述文件外，还须密封递交响应文件电子文档1份。供应商必须制作“电子版U盘”并单独密封提交。电子版U盘必须是与正本完全一致PDF格式文本及Word文档两个格式。并在密封袋上标明“电子版U盘”字样。不按要求提交电子版U盘，其磋商无效。</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响应文件使用A4，胶装，每册装订应牢固、不易拆散和换页，不得采用活页装订。</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磋商文件的签署及规定：</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供应商应按供应商须知资料表中的规定，准备和递交响应文件正本、副本、</w:t>
            </w:r>
            <w:r>
              <w:rPr>
                <w:rFonts w:hint="eastAsia" w:ascii="微软雅黑" w:hAnsi="微软雅黑" w:eastAsia="微软雅黑" w:cs="微软雅黑"/>
                <w:b/>
                <w:bCs/>
                <w:color w:val="auto"/>
                <w:sz w:val="24"/>
                <w:highlight w:val="none"/>
              </w:rPr>
              <w:t>磋商报价</w:t>
            </w:r>
            <w:r>
              <w:rPr>
                <w:rFonts w:hint="eastAsia" w:ascii="微软雅黑" w:hAnsi="微软雅黑" w:eastAsia="微软雅黑" w:cs="微软雅黑"/>
                <w:b/>
                <w:bCs/>
                <w:color w:val="auto"/>
                <w:sz w:val="24"/>
                <w:highlight w:val="none"/>
                <w:lang w:val="en-US" w:eastAsia="zh-CN"/>
              </w:rPr>
              <w:t>一览</w:t>
            </w:r>
            <w:r>
              <w:rPr>
                <w:rFonts w:hint="eastAsia" w:ascii="微软雅黑" w:hAnsi="微软雅黑" w:eastAsia="微软雅黑" w:cs="微软雅黑"/>
                <w:b/>
                <w:bCs/>
                <w:color w:val="auto"/>
                <w:sz w:val="24"/>
                <w:highlight w:val="none"/>
              </w:rPr>
              <w:t>表</w:t>
            </w:r>
            <w:r>
              <w:rPr>
                <w:rFonts w:hint="eastAsia" w:ascii="微软雅黑" w:hAnsi="微软雅黑" w:eastAsia="微软雅黑" w:cs="微软雅黑"/>
                <w:color w:val="auto"/>
                <w:sz w:val="24"/>
                <w:highlight w:val="none"/>
              </w:rPr>
              <w:t>和电子文档，每份响应文件封皮须清楚地标明“正本”或“副本”。若正本和副本不符，以正本为准。</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磋商文件的正本需打印或用不褪色墨水书写，并由供应商的法定代表人或经其正式委托代理人按磋商文件规定在磋商文件上签字</w:t>
            </w:r>
            <w:r>
              <w:rPr>
                <w:rFonts w:hint="eastAsia" w:ascii="微软雅黑" w:hAnsi="微软雅黑" w:eastAsia="微软雅黑" w:cs="微软雅黑"/>
                <w:color w:val="auto"/>
                <w:sz w:val="24"/>
                <w:highlight w:val="none"/>
                <w:lang w:val="en-US" w:eastAsia="zh-CN"/>
              </w:rPr>
              <w:t>或盖章，</w:t>
            </w:r>
            <w:r>
              <w:rPr>
                <w:rFonts w:hint="eastAsia" w:ascii="微软雅黑" w:hAnsi="微软雅黑" w:eastAsia="微软雅黑" w:cs="微软雅黑"/>
                <w:color w:val="auto"/>
                <w:sz w:val="24"/>
                <w:highlight w:val="none"/>
              </w:rPr>
              <w:t>并加盖单位</w:t>
            </w:r>
            <w:r>
              <w:rPr>
                <w:rFonts w:hint="eastAsia" w:ascii="微软雅黑" w:hAnsi="微软雅黑" w:eastAsia="微软雅黑" w:cs="微软雅黑"/>
                <w:color w:val="auto"/>
                <w:sz w:val="24"/>
                <w:highlight w:val="none"/>
                <w:lang w:val="en-US" w:eastAsia="zh-CN"/>
              </w:rPr>
              <w:t>鲜</w:t>
            </w:r>
            <w:r>
              <w:rPr>
                <w:rFonts w:hint="eastAsia" w:ascii="微软雅黑" w:hAnsi="微软雅黑" w:eastAsia="微软雅黑" w:cs="微软雅黑"/>
                <w:color w:val="auto"/>
                <w:sz w:val="24"/>
                <w:highlight w:val="none"/>
              </w:rPr>
              <w:t>印章。委托代理人须持有书面的“法定代表人授权委托书”，并将其附在磋商文件中。如对磋商文件进行了修改，则应由供应商的法定代表人或其委托代理人在每一修改处签字。磋商文件的副本可采用正本的复印件。</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所有包装封皮和信封上均应：</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注明</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公告或磋商邀请书中指明的项目名称、</w:t>
            </w:r>
            <w:r>
              <w:rPr>
                <w:rFonts w:hint="eastAsia" w:ascii="微软雅黑" w:hAnsi="微软雅黑" w:eastAsia="微软雅黑" w:cs="微软雅黑"/>
                <w:color w:val="auto"/>
                <w:sz w:val="24"/>
                <w:highlight w:val="none"/>
                <w:lang w:eastAsia="zh-CN"/>
              </w:rPr>
              <w:t>项目编号</w:t>
            </w:r>
            <w:r>
              <w:rPr>
                <w:rFonts w:hint="eastAsia" w:ascii="微软雅黑" w:hAnsi="微软雅黑" w:eastAsia="微软雅黑" w:cs="微软雅黑"/>
                <w:color w:val="auto"/>
                <w:sz w:val="24"/>
                <w:highlight w:val="none"/>
              </w:rPr>
              <w:t>、供应商名称和“在（</w:t>
            </w:r>
            <w:r>
              <w:rPr>
                <w:rFonts w:hint="eastAsia" w:ascii="微软雅黑" w:hAnsi="微软雅黑" w:eastAsia="微软雅黑" w:cs="微软雅黑"/>
                <w:color w:val="auto"/>
                <w:sz w:val="24"/>
                <w:highlight w:val="none"/>
                <w:lang w:eastAsia="zh-CN"/>
              </w:rPr>
              <w:t>磋商开启</w:t>
            </w:r>
            <w:r>
              <w:rPr>
                <w:rFonts w:hint="eastAsia" w:ascii="微软雅黑" w:hAnsi="微软雅黑" w:eastAsia="微软雅黑" w:cs="微软雅黑"/>
                <w:color w:val="auto"/>
                <w:sz w:val="24"/>
                <w:highlight w:val="none"/>
              </w:rPr>
              <w:t>时间）之前不得启封”的字样。</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color w:val="auto"/>
                <w:sz w:val="24"/>
                <w:highlight w:val="none"/>
              </w:rPr>
              <w:t>在封口处加盖供应商单位公章。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16.1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磋商截止时间：</w:t>
            </w:r>
            <w:r>
              <w:rPr>
                <w:rFonts w:hint="eastAsia" w:ascii="微软雅黑" w:hAnsi="微软雅黑" w:eastAsia="微软雅黑" w:cs="微软雅黑"/>
                <w:b w:val="0"/>
                <w:i w:val="0"/>
                <w:caps w:val="0"/>
                <w:color w:val="auto"/>
                <w:spacing w:val="0"/>
                <w:w w:val="100"/>
                <w:sz w:val="24"/>
                <w:highlight w:val="none"/>
                <w:u w:val="single"/>
              </w:rPr>
              <w:t>2022年10月18日下午17:00（北京时间）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18.1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kern w:val="0"/>
                <w:sz w:val="24"/>
                <w:highlight w:val="none"/>
                <w:u w:val="single"/>
              </w:rPr>
            </w:pPr>
            <w:r>
              <w:rPr>
                <w:rFonts w:hint="eastAsia" w:ascii="微软雅黑" w:hAnsi="微软雅黑" w:eastAsia="微软雅黑" w:cs="微软雅黑"/>
                <w:b w:val="0"/>
                <w:i w:val="0"/>
                <w:caps w:val="0"/>
                <w:color w:val="auto"/>
                <w:spacing w:val="0"/>
                <w:w w:val="100"/>
                <w:sz w:val="24"/>
                <w:highlight w:val="none"/>
              </w:rPr>
              <w:t>磋商</w:t>
            </w:r>
            <w:r>
              <w:rPr>
                <w:rFonts w:hint="eastAsia" w:ascii="微软雅黑" w:hAnsi="微软雅黑" w:eastAsia="微软雅黑" w:cs="微软雅黑"/>
                <w:b w:val="0"/>
                <w:i w:val="0"/>
                <w:caps w:val="0"/>
                <w:color w:val="auto"/>
                <w:spacing w:val="0"/>
                <w:w w:val="100"/>
                <w:kern w:val="0"/>
                <w:sz w:val="24"/>
                <w:highlight w:val="none"/>
              </w:rPr>
              <w:t>时间：</w:t>
            </w:r>
            <w:r>
              <w:rPr>
                <w:rFonts w:hint="eastAsia" w:ascii="微软雅黑" w:hAnsi="微软雅黑" w:eastAsia="微软雅黑" w:cs="微软雅黑"/>
                <w:b w:val="0"/>
                <w:i w:val="0"/>
                <w:caps w:val="0"/>
                <w:color w:val="auto"/>
                <w:spacing w:val="0"/>
                <w:w w:val="100"/>
                <w:sz w:val="24"/>
                <w:highlight w:val="none"/>
                <w:u w:val="single"/>
              </w:rPr>
              <w:t>2022年10月18日下午17:00（北京时间）</w:t>
            </w:r>
          </w:p>
          <w:p>
            <w:pPr>
              <w:shd w:val="clear"/>
              <w:snapToGrid w:val="0"/>
              <w:spacing w:before="0" w:beforeAutospacing="0" w:after="0" w:afterAutospacing="0" w:line="240" w:lineRule="atLeast"/>
              <w:jc w:val="both"/>
              <w:textAlignment w:val="baseline"/>
              <w:rPr>
                <w:rFonts w:hint="default"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kern w:val="0"/>
                <w:sz w:val="24"/>
                <w:highlight w:val="none"/>
              </w:rPr>
              <w:t>磋商地点</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lang w:val="en-US" w:eastAsia="zh-CN"/>
              </w:rPr>
              <w:t>喀什经济开发区深圳城3号楼12层1204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23.2</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评审方法：</w:t>
            </w:r>
            <w:r>
              <w:rPr>
                <w:rFonts w:hint="eastAsia" w:ascii="微软雅黑" w:hAnsi="微软雅黑" w:eastAsia="微软雅黑" w:cs="微软雅黑"/>
                <w:b w:val="0"/>
                <w:i w:val="0"/>
                <w:caps w:val="0"/>
                <w:color w:val="auto"/>
                <w:spacing w:val="0"/>
                <w:w w:val="100"/>
                <w:sz w:val="24"/>
                <w:highlight w:val="none"/>
                <w:u w:val="single" w:color="000000"/>
              </w:rPr>
              <w:t>　综合评分法　</w:t>
            </w:r>
            <w:r>
              <w:rPr>
                <w:rFonts w:hint="eastAsia" w:ascii="微软雅黑" w:hAnsi="微软雅黑" w:eastAsia="微软雅黑" w:cs="微软雅黑"/>
                <w:b w:val="0"/>
                <w:i w:val="0"/>
                <w:caps w:val="0"/>
                <w:color w:val="auto"/>
                <w:spacing w:val="0"/>
                <w:w w:val="100"/>
                <w:sz w:val="24"/>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27</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推荐成交候选供应商的数量：</w:t>
            </w:r>
            <w:r>
              <w:rPr>
                <w:rFonts w:hint="eastAsia" w:ascii="微软雅黑" w:hAnsi="微软雅黑" w:eastAsia="微软雅黑" w:cs="微软雅黑"/>
                <w:b w:val="0"/>
                <w:i w:val="0"/>
                <w:caps w:val="0"/>
                <w:color w:val="auto"/>
                <w:spacing w:val="0"/>
                <w:w w:val="100"/>
                <w:sz w:val="24"/>
                <w:highlight w:val="none"/>
                <w:u w:val="single" w:color="000000"/>
              </w:rPr>
              <w:t>　   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27</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eastAsia="zh-CN"/>
              </w:rPr>
              <w:t>采购人</w:t>
            </w:r>
            <w:r>
              <w:rPr>
                <w:rFonts w:hint="eastAsia" w:ascii="微软雅黑" w:hAnsi="微软雅黑" w:eastAsia="微软雅黑" w:cs="微软雅黑"/>
                <w:b w:val="0"/>
                <w:i w:val="0"/>
                <w:caps w:val="0"/>
                <w:color w:val="auto"/>
                <w:spacing w:val="0"/>
                <w:w w:val="100"/>
                <w:sz w:val="24"/>
                <w:highlight w:val="none"/>
              </w:rPr>
              <w:t>是否委托评审委员会直接确定成交人：</w:t>
            </w:r>
            <w:r>
              <w:rPr>
                <w:rFonts w:hint="eastAsia" w:ascii="微软雅黑" w:hAnsi="微软雅黑" w:eastAsia="微软雅黑" w:cs="微软雅黑"/>
                <w:b w:val="0"/>
                <w:i w:val="0"/>
                <w:caps w:val="0"/>
                <w:color w:val="auto"/>
                <w:spacing w:val="0"/>
                <w:w w:val="100"/>
                <w:sz w:val="24"/>
                <w:highlight w:val="none"/>
                <w:u w:val="single" w:color="000000"/>
              </w:rPr>
              <w:t xml:space="preserve">  </w:t>
            </w:r>
            <w:r>
              <w:rPr>
                <w:rFonts w:hint="eastAsia" w:ascii="微软雅黑" w:hAnsi="微软雅黑" w:eastAsia="微软雅黑" w:cs="微软雅黑"/>
                <w:b w:val="0"/>
                <w:i w:val="0"/>
                <w:caps w:val="0"/>
                <w:color w:val="auto"/>
                <w:spacing w:val="0"/>
                <w:w w:val="100"/>
                <w:sz w:val="24"/>
                <w:highlight w:val="none"/>
                <w:u w:val="single" w:color="000000"/>
                <w:lang w:val="en-US" w:eastAsia="zh-CN"/>
              </w:rPr>
              <w:t>是</w:t>
            </w:r>
            <w:r>
              <w:rPr>
                <w:rFonts w:hint="eastAsia" w:ascii="微软雅黑" w:hAnsi="微软雅黑" w:eastAsia="微软雅黑" w:cs="微软雅黑"/>
                <w:b w:val="0"/>
                <w:i w:val="0"/>
                <w:caps w:val="0"/>
                <w:color w:val="auto"/>
                <w:spacing w:val="0"/>
                <w:w w:val="100"/>
                <w:sz w:val="24"/>
                <w:highlight w:val="none"/>
                <w:u w:val="single" w:color="000000"/>
              </w:rPr>
              <w:t xml:space="preserve">  </w:t>
            </w:r>
            <w:r>
              <w:rPr>
                <w:rFonts w:hint="eastAsia" w:ascii="微软雅黑" w:hAnsi="微软雅黑" w:eastAsia="微软雅黑" w:cs="微软雅黑"/>
                <w:b w:val="0"/>
                <w:i w:val="0"/>
                <w:caps w:val="0"/>
                <w:color w:val="auto"/>
                <w:spacing w:val="0"/>
                <w:w w:val="100"/>
                <w:sz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395"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firstLineChars="0"/>
              <w:textAlignment w:val="auto"/>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color w:val="auto"/>
                <w:sz w:val="24"/>
                <w:highlight w:val="none"/>
              </w:rPr>
              <w:t>31.1</w:t>
            </w:r>
          </w:p>
        </w:tc>
        <w:tc>
          <w:tcPr>
            <w:tcW w:w="8115"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color w:val="auto"/>
                <w:sz w:val="24"/>
                <w:highlight w:val="none"/>
              </w:rPr>
            </w:pPr>
            <w:r>
              <w:rPr>
                <w:rFonts w:hint="eastAsia" w:ascii="微软雅黑" w:hAnsi="微软雅黑" w:eastAsia="微软雅黑" w:cs="微软雅黑"/>
                <w:color w:val="auto"/>
                <w:sz w:val="24"/>
                <w:highlight w:val="none"/>
              </w:rPr>
              <w:t>履约保证金金额：合同总价的</w:t>
            </w:r>
            <w:r>
              <w:rPr>
                <w:rFonts w:hint="eastAsia" w:ascii="微软雅黑" w:hAnsi="微软雅黑" w:eastAsia="微软雅黑" w:cs="微软雅黑"/>
                <w:color w:val="auto"/>
                <w:sz w:val="24"/>
                <w:highlight w:val="none"/>
                <w:u w:val="single"/>
              </w:rPr>
              <w:t>　</w:t>
            </w:r>
            <w:r>
              <w:rPr>
                <w:rFonts w:hint="eastAsia" w:ascii="微软雅黑" w:hAnsi="微软雅黑" w:eastAsia="微软雅黑" w:cs="微软雅黑"/>
                <w:color w:val="auto"/>
                <w:sz w:val="24"/>
                <w:highlight w:val="none"/>
                <w:u w:val="single"/>
                <w:lang w:val="en-US" w:eastAsia="zh-CN"/>
              </w:rPr>
              <w:t>5</w:t>
            </w:r>
            <w:r>
              <w:rPr>
                <w:rFonts w:hint="eastAsia" w:ascii="微软雅黑" w:hAnsi="微软雅黑" w:eastAsia="微软雅黑" w:cs="微软雅黑"/>
                <w:color w:val="auto"/>
                <w:sz w:val="24"/>
                <w:highlight w:val="none"/>
                <w:u w:val="single"/>
              </w:rPr>
              <w:t>%　</w:t>
            </w:r>
            <w:r>
              <w:rPr>
                <w:rFonts w:hint="eastAsia" w:ascii="微软雅黑" w:hAnsi="微软雅黑" w:eastAsia="微软雅黑" w:cs="微软雅黑"/>
                <w:i/>
                <w:color w:val="auto"/>
                <w:sz w:val="24"/>
                <w:highlight w:val="none"/>
              </w:rPr>
              <w:t>（不得超过政府采购合同金额的10%）</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履约保证金形式：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u w:val="single"/>
                <w:lang w:eastAsia="zh-CN"/>
              </w:rPr>
              <w:t>☑</w:t>
            </w:r>
            <w:r>
              <w:rPr>
                <w:rFonts w:hint="eastAsia" w:ascii="微软雅黑" w:hAnsi="微软雅黑" w:eastAsia="微软雅黑" w:cs="微软雅黑"/>
                <w:color w:val="auto"/>
                <w:sz w:val="24"/>
                <w:highlight w:val="none"/>
                <w:u w:val="single"/>
              </w:rPr>
              <w:t xml:space="preserve">保函   </w:t>
            </w:r>
            <w:r>
              <w:rPr>
                <w:rFonts w:hint="eastAsia" w:ascii="微软雅黑" w:hAnsi="微软雅黑" w:eastAsia="微软雅黑" w:cs="微软雅黑"/>
                <w:color w:val="auto"/>
                <w:sz w:val="24"/>
                <w:highlight w:val="none"/>
                <w:u w:val="single"/>
                <w:lang w:eastAsia="zh-CN"/>
              </w:rPr>
              <w:t>☑</w:t>
            </w:r>
            <w:r>
              <w:rPr>
                <w:rFonts w:hint="eastAsia" w:ascii="微软雅黑" w:hAnsi="微软雅黑" w:eastAsia="微软雅黑" w:cs="微软雅黑"/>
                <w:color w:val="auto"/>
                <w:sz w:val="24"/>
                <w:highlight w:val="none"/>
                <w:u w:val="single"/>
              </w:rPr>
              <w:t xml:space="preserve">电汇  □支票   </w:t>
            </w:r>
            <w:r>
              <w:rPr>
                <w:rFonts w:hint="eastAsia" w:ascii="微软雅黑" w:hAnsi="微软雅黑" w:eastAsia="微软雅黑" w:cs="微软雅黑"/>
                <w:color w:val="auto"/>
                <w:sz w:val="24"/>
                <w:highlight w:val="none"/>
                <w:u w:val="single"/>
                <w:lang w:eastAsia="zh-CN"/>
              </w:rPr>
              <w:t>☑</w:t>
            </w:r>
            <w:r>
              <w:rPr>
                <w:rFonts w:hint="eastAsia" w:ascii="微软雅黑" w:hAnsi="微软雅黑" w:eastAsia="微软雅黑" w:cs="微软雅黑"/>
                <w:color w:val="auto"/>
                <w:sz w:val="24"/>
                <w:highlight w:val="none"/>
                <w:u w:val="single"/>
              </w:rPr>
              <w:t xml:space="preserve">对公转账 </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提交履约保证金的时间：签订合同前打入甲方指定账户</w:t>
            </w:r>
            <w:r>
              <w:rPr>
                <w:rFonts w:hint="eastAsia" w:ascii="微软雅黑" w:hAnsi="微软雅黑" w:eastAsia="微软雅黑" w:cs="微软雅黑"/>
                <w:color w:val="auto"/>
                <w:sz w:val="24"/>
                <w:highlight w:val="none"/>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color w:val="auto"/>
                <w:sz w:val="24"/>
                <w:highlight w:val="none"/>
                <w:lang w:eastAsia="zh-CN"/>
              </w:rPr>
              <w:t>注：</w:t>
            </w:r>
            <w:r>
              <w:rPr>
                <w:rFonts w:hint="eastAsia" w:ascii="微软雅黑" w:hAnsi="微软雅黑" w:eastAsia="微软雅黑" w:cs="微软雅黑"/>
                <w:color w:val="auto"/>
                <w:sz w:val="24"/>
                <w:highlight w:val="none"/>
                <w:lang w:val="zh-CN"/>
              </w:rPr>
              <w:t>双方可以通过协商另行约定其他退还时间和方式及用途。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395" w:type="dxa"/>
            <w:vAlign w:val="center"/>
          </w:tcPr>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32</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u w:val="single"/>
                <w:lang w:eastAsia="zh-CN"/>
              </w:rPr>
            </w:pPr>
            <w:r>
              <w:rPr>
                <w:rFonts w:hint="eastAsia" w:ascii="微软雅黑" w:hAnsi="微软雅黑" w:eastAsia="微软雅黑" w:cs="微软雅黑"/>
                <w:b w:val="0"/>
                <w:i w:val="0"/>
                <w:caps w:val="0"/>
                <w:color w:val="auto"/>
                <w:spacing w:val="0"/>
                <w:w w:val="100"/>
                <w:sz w:val="24"/>
                <w:highlight w:val="none"/>
                <w:lang w:eastAsia="zh-CN"/>
              </w:rPr>
              <w:t>成交</w:t>
            </w:r>
            <w:r>
              <w:rPr>
                <w:rFonts w:hint="eastAsia" w:ascii="微软雅黑" w:hAnsi="微软雅黑" w:eastAsia="微软雅黑" w:cs="微软雅黑"/>
                <w:b w:val="0"/>
                <w:i w:val="0"/>
                <w:caps w:val="0"/>
                <w:color w:val="auto"/>
                <w:spacing w:val="0"/>
                <w:w w:val="100"/>
                <w:sz w:val="24"/>
                <w:highlight w:val="none"/>
              </w:rPr>
              <w:t>服务费：</w:t>
            </w:r>
            <w:r>
              <w:rPr>
                <w:rFonts w:hint="eastAsia" w:ascii="微软雅黑" w:hAnsi="微软雅黑" w:eastAsia="微软雅黑" w:cs="微软雅黑"/>
                <w:b w:val="0"/>
                <w:i w:val="0"/>
                <w:caps w:val="0"/>
                <w:color w:val="auto"/>
                <w:spacing w:val="0"/>
                <w:w w:val="100"/>
                <w:sz w:val="24"/>
                <w:highlight w:val="none"/>
                <w:lang w:val="en-US" w:eastAsia="zh-CN"/>
              </w:rPr>
              <w:t>根据发改委价格[2015]299文件：</w:t>
            </w:r>
            <w:r>
              <w:rPr>
                <w:rFonts w:hint="eastAsia" w:ascii="微软雅黑" w:hAnsi="微软雅黑" w:eastAsia="微软雅黑" w:cs="微软雅黑"/>
                <w:b w:val="0"/>
                <w:i w:val="0"/>
                <w:caps w:val="0"/>
                <w:color w:val="auto"/>
                <w:spacing w:val="0"/>
                <w:w w:val="100"/>
                <w:sz w:val="24"/>
                <w:highlight w:val="none"/>
                <w:u w:val="single"/>
                <w:lang w:val="en-US" w:eastAsia="zh-CN"/>
              </w:rPr>
              <w:t>确定代理服务费按照成交金额的1.5%收取</w:t>
            </w:r>
            <w:r>
              <w:rPr>
                <w:rFonts w:hint="eastAsia" w:ascii="微软雅黑" w:hAnsi="微软雅黑" w:eastAsia="微软雅黑" w:cs="微软雅黑"/>
                <w:b w:val="0"/>
                <w:i w:val="0"/>
                <w:caps w:val="0"/>
                <w:color w:val="auto"/>
                <w:spacing w:val="0"/>
                <w:w w:val="100"/>
                <w:sz w:val="24"/>
                <w:highlight w:val="none"/>
                <w:u w:val="single"/>
              </w:rPr>
              <w:t>。</w:t>
            </w:r>
            <w:r>
              <w:rPr>
                <w:rFonts w:hint="eastAsia" w:ascii="微软雅黑" w:hAnsi="微软雅黑" w:eastAsia="微软雅黑" w:cs="微软雅黑"/>
                <w:b w:val="0"/>
                <w:i w:val="0"/>
                <w:caps w:val="0"/>
                <w:color w:val="auto"/>
                <w:spacing w:val="0"/>
                <w:w w:val="100"/>
                <w:sz w:val="24"/>
                <w:highlight w:val="none"/>
                <w:u w:val="single"/>
                <w:lang w:eastAsia="zh-CN"/>
              </w:rPr>
              <w:t>（</w:t>
            </w:r>
            <w:r>
              <w:rPr>
                <w:rFonts w:hint="eastAsia" w:ascii="微软雅黑" w:hAnsi="微软雅黑" w:eastAsia="微软雅黑" w:cs="微软雅黑"/>
                <w:b w:val="0"/>
                <w:i w:val="0"/>
                <w:caps w:val="0"/>
                <w:color w:val="auto"/>
                <w:spacing w:val="0"/>
                <w:w w:val="100"/>
                <w:sz w:val="24"/>
                <w:highlight w:val="none"/>
                <w:u w:val="single"/>
                <w:lang w:val="en-US" w:eastAsia="zh-CN"/>
              </w:rPr>
              <w:t>由成交供应商支付</w:t>
            </w:r>
            <w:r>
              <w:rPr>
                <w:rFonts w:hint="eastAsia" w:ascii="微软雅黑" w:hAnsi="微软雅黑" w:eastAsia="微软雅黑" w:cs="微软雅黑"/>
                <w:b w:val="0"/>
                <w:i w:val="0"/>
                <w:caps w:val="0"/>
                <w:color w:val="auto"/>
                <w:spacing w:val="0"/>
                <w:w w:val="100"/>
                <w:sz w:val="24"/>
                <w:highlight w:val="none"/>
                <w:u w:val="single"/>
                <w:lang w:eastAsia="zh-CN"/>
              </w:rPr>
              <w:t>）</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u w:val="single"/>
              </w:rPr>
            </w:pPr>
            <w:r>
              <w:rPr>
                <w:rFonts w:hint="eastAsia" w:ascii="微软雅黑" w:hAnsi="微软雅黑" w:eastAsia="微软雅黑" w:cs="微软雅黑"/>
                <w:b w:val="0"/>
                <w:i w:val="0"/>
                <w:caps w:val="0"/>
                <w:color w:val="auto"/>
                <w:spacing w:val="0"/>
                <w:w w:val="100"/>
                <w:sz w:val="24"/>
                <w:highlight w:val="none"/>
              </w:rPr>
              <w:t>支付形式：</w:t>
            </w:r>
            <w:r>
              <w:rPr>
                <w:rFonts w:hint="eastAsia" w:ascii="微软雅黑" w:hAnsi="微软雅黑" w:eastAsia="微软雅黑" w:cs="微软雅黑"/>
                <w:b w:val="0"/>
                <w:i w:val="0"/>
                <w:caps w:val="0"/>
                <w:color w:val="auto"/>
                <w:spacing w:val="0"/>
                <w:w w:val="100"/>
                <w:sz w:val="24"/>
                <w:highlight w:val="none"/>
                <w:u w:val="single"/>
              </w:rPr>
              <w:t xml:space="preserve">  对公转账  </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支付时间：</w:t>
            </w:r>
            <w:r>
              <w:rPr>
                <w:rFonts w:hint="eastAsia" w:ascii="微软雅黑" w:hAnsi="微软雅黑" w:eastAsia="微软雅黑" w:cs="微软雅黑"/>
                <w:b w:val="0"/>
                <w:i w:val="0"/>
                <w:caps w:val="0"/>
                <w:color w:val="auto"/>
                <w:spacing w:val="0"/>
                <w:w w:val="100"/>
                <w:sz w:val="24"/>
                <w:highlight w:val="none"/>
                <w:u w:val="single"/>
              </w:rPr>
              <w:t xml:space="preserve">  领取</w:t>
            </w:r>
            <w:r>
              <w:rPr>
                <w:rFonts w:hint="eastAsia" w:ascii="微软雅黑" w:hAnsi="微软雅黑" w:eastAsia="微软雅黑" w:cs="微软雅黑"/>
                <w:b w:val="0"/>
                <w:i w:val="0"/>
                <w:caps w:val="0"/>
                <w:color w:val="auto"/>
                <w:spacing w:val="0"/>
                <w:w w:val="100"/>
                <w:sz w:val="24"/>
                <w:highlight w:val="none"/>
                <w:u w:val="single"/>
                <w:lang w:eastAsia="zh-CN"/>
              </w:rPr>
              <w:t>中标</w:t>
            </w:r>
            <w:r>
              <w:rPr>
                <w:rFonts w:hint="eastAsia" w:ascii="微软雅黑" w:hAnsi="微软雅黑" w:eastAsia="微软雅黑" w:cs="微软雅黑"/>
                <w:b w:val="0"/>
                <w:i w:val="0"/>
                <w:caps w:val="0"/>
                <w:color w:val="auto"/>
                <w:spacing w:val="0"/>
                <w:w w:val="100"/>
                <w:sz w:val="24"/>
                <w:highlight w:val="none"/>
                <w:u w:val="single"/>
              </w:rPr>
              <w:t xml:space="preserve">通知书时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本项目是否属于信用担保试点范围：</w:t>
            </w:r>
            <w:r>
              <w:rPr>
                <w:rFonts w:hint="eastAsia" w:ascii="微软雅黑" w:hAnsi="微软雅黑" w:eastAsia="微软雅黑" w:cs="微软雅黑"/>
                <w:b w:val="0"/>
                <w:i w:val="0"/>
                <w:caps w:val="0"/>
                <w:color w:val="auto"/>
                <w:spacing w:val="0"/>
                <w:w w:val="100"/>
                <w:sz w:val="24"/>
                <w:highlight w:val="none"/>
                <w:u w:val="single" w:color="000000"/>
              </w:rPr>
              <w:t xml:space="preserve">  否 </w:t>
            </w:r>
            <w:r>
              <w:rPr>
                <w:rFonts w:hint="eastAsia" w:ascii="微软雅黑" w:hAnsi="微软雅黑" w:eastAsia="微软雅黑" w:cs="微软雅黑"/>
                <w:b w:val="0"/>
                <w:i w:val="0"/>
                <w:caps w:val="0"/>
                <w:color w:val="auto"/>
                <w:spacing w:val="0"/>
                <w:w w:val="100"/>
                <w:sz w:val="24"/>
                <w:highlight w:val="none"/>
              </w:rPr>
              <w:t xml:space="preserve"> </w:t>
            </w:r>
          </w:p>
        </w:tc>
      </w:tr>
    </w:tbl>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sectPr>
          <w:headerReference r:id="rId7" w:type="default"/>
          <w:footerReference r:id="rId9" w:type="default"/>
          <w:headerReference r:id="rId8" w:type="even"/>
          <w:footerReference r:id="rId10" w:type="even"/>
          <w:pgSz w:w="11906" w:h="16838"/>
          <w:pgMar w:top="1440" w:right="1797" w:bottom="1440" w:left="1797" w:header="851" w:footer="992" w:gutter="0"/>
          <w:pgNumType w:fmt="decimal"/>
          <w:cols w:space="720" w:num="1"/>
          <w:docGrid w:linePitch="312" w:charSpace="0"/>
        </w:sectPr>
      </w:pPr>
    </w:p>
    <w:p>
      <w:pPr>
        <w:widowControl/>
        <w:shd w:val="clear"/>
        <w:jc w:val="center"/>
        <w:rPr>
          <w:rFonts w:hint="eastAsia" w:ascii="微软雅黑" w:hAnsi="微软雅黑" w:eastAsia="微软雅黑" w:cs="微软雅黑"/>
          <w:color w:val="auto"/>
          <w:highlight w:val="none"/>
        </w:rPr>
      </w:pPr>
      <w:bookmarkStart w:id="948" w:name="_Toc219175639"/>
      <w:bookmarkStart w:id="949" w:name="_Toc218935355"/>
      <w:bookmarkStart w:id="950" w:name="_Toc216582826"/>
      <w:r>
        <w:rPr>
          <w:rFonts w:hint="eastAsia" w:ascii="微软雅黑" w:hAnsi="微软雅黑" w:eastAsia="微软雅黑" w:cs="微软雅黑"/>
          <w:b/>
          <w:color w:val="auto"/>
          <w:kern w:val="0"/>
          <w:sz w:val="28"/>
          <w:szCs w:val="28"/>
          <w:highlight w:val="none"/>
        </w:rPr>
        <w:t>资格审查表</w:t>
      </w:r>
    </w:p>
    <w:tbl>
      <w:tblPr>
        <w:tblStyle w:val="36"/>
        <w:tblpPr w:leftFromText="180" w:rightFromText="180" w:vertAnchor="text" w:horzAnchor="page" w:tblpX="875" w:tblpY="491"/>
        <w:tblOverlap w:val="never"/>
        <w:tblW w:w="15471" w:type="dxa"/>
        <w:tblInd w:w="0" w:type="dxa"/>
        <w:tblLayout w:type="autofit"/>
        <w:tblCellMar>
          <w:top w:w="0" w:type="dxa"/>
          <w:left w:w="108" w:type="dxa"/>
          <w:bottom w:w="0" w:type="dxa"/>
          <w:right w:w="108" w:type="dxa"/>
        </w:tblCellMar>
      </w:tblPr>
      <w:tblGrid>
        <w:gridCol w:w="489"/>
        <w:gridCol w:w="713"/>
        <w:gridCol w:w="1272"/>
        <w:gridCol w:w="1394"/>
        <w:gridCol w:w="807"/>
        <w:gridCol w:w="986"/>
        <w:gridCol w:w="4443"/>
        <w:gridCol w:w="1367"/>
        <w:gridCol w:w="753"/>
        <w:gridCol w:w="821"/>
        <w:gridCol w:w="672"/>
        <w:gridCol w:w="598"/>
        <w:gridCol w:w="1156"/>
      </w:tblGrid>
      <w:tr>
        <w:tblPrEx>
          <w:tblCellMar>
            <w:top w:w="0" w:type="dxa"/>
            <w:left w:w="108" w:type="dxa"/>
            <w:bottom w:w="0" w:type="dxa"/>
            <w:right w:w="108" w:type="dxa"/>
          </w:tblCellMar>
        </w:tblPrEx>
        <w:trPr>
          <w:trHeight w:val="930"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bookmarkStart w:id="951" w:name="_Toc219175635"/>
            <w:bookmarkStart w:id="952" w:name="_Toc216513787"/>
            <w:bookmarkStart w:id="953" w:name="_Toc216582811"/>
            <w:bookmarkStart w:id="954" w:name="_Toc218935351"/>
            <w:r>
              <w:rPr>
                <w:rFonts w:hint="eastAsia" w:ascii="微软雅黑" w:hAnsi="微软雅黑" w:eastAsia="微软雅黑" w:cs="微软雅黑"/>
                <w:color w:val="auto"/>
                <w:sz w:val="15"/>
                <w:szCs w:val="15"/>
                <w:highlight w:val="none"/>
              </w:rPr>
              <w:t>供应商名称</w:t>
            </w:r>
          </w:p>
        </w:tc>
        <w:tc>
          <w:tcPr>
            <w:tcW w:w="13228" w:type="dxa"/>
            <w:gridSpan w:val="10"/>
            <w:tcBorders>
              <w:top w:val="single" w:color="auto" w:sz="4" w:space="0"/>
              <w:left w:val="single" w:color="auto" w:sz="4" w:space="0"/>
              <w:bottom w:val="single" w:color="auto" w:sz="4" w:space="0"/>
              <w:right w:val="single" w:color="auto" w:sz="4" w:space="0"/>
            </w:tcBorders>
            <w:vAlign w:val="center"/>
          </w:tcPr>
          <w:p>
            <w:pPr>
              <w:widowControl/>
              <w:shd w:val="clear"/>
              <w:snapToGrid w:val="0"/>
              <w:spacing w:line="470" w:lineRule="exact"/>
              <w:jc w:val="center"/>
              <w:textAlignment w:val="baseline"/>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审查项目</w:t>
            </w:r>
          </w:p>
        </w:tc>
        <w:tc>
          <w:tcPr>
            <w:tcW w:w="598" w:type="dxa"/>
            <w:tcBorders>
              <w:top w:val="single" w:color="auto" w:sz="4" w:space="0"/>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结论</w:t>
            </w:r>
          </w:p>
        </w:tc>
        <w:tc>
          <w:tcPr>
            <w:tcW w:w="1156" w:type="dxa"/>
            <w:tcBorders>
              <w:top w:val="single" w:color="auto" w:sz="4" w:space="0"/>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lang w:val="en-US" w:eastAsia="zh-CN"/>
              </w:rPr>
            </w:pPr>
            <w:r>
              <w:rPr>
                <w:rFonts w:hint="eastAsia" w:ascii="微软雅黑" w:hAnsi="微软雅黑" w:eastAsia="微软雅黑" w:cs="微软雅黑"/>
                <w:color w:val="auto"/>
                <w:sz w:val="15"/>
                <w:szCs w:val="15"/>
                <w:highlight w:val="none"/>
                <w:lang w:val="en-US" w:eastAsia="zh-CN"/>
              </w:rPr>
              <w:t>供应商签字确认</w:t>
            </w:r>
          </w:p>
        </w:tc>
      </w:tr>
      <w:tr>
        <w:tblPrEx>
          <w:tblCellMar>
            <w:top w:w="0" w:type="dxa"/>
            <w:left w:w="108" w:type="dxa"/>
            <w:bottom w:w="0" w:type="dxa"/>
            <w:right w:w="108" w:type="dxa"/>
          </w:tblCellMar>
        </w:tblPrEx>
        <w:trPr>
          <w:trHeight w:val="326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p>
        </w:tc>
        <w:tc>
          <w:tcPr>
            <w:tcW w:w="713" w:type="dxa"/>
            <w:tcBorders>
              <w:top w:val="nil"/>
              <w:left w:val="single" w:color="auto" w:sz="4" w:space="0"/>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eastAsia="zh-CN"/>
              </w:rPr>
              <w:t>提供具有有效的独立法人营业执照</w:t>
            </w:r>
          </w:p>
        </w:tc>
        <w:tc>
          <w:tcPr>
            <w:tcW w:w="1272" w:type="dxa"/>
            <w:tcBorders>
              <w:top w:val="nil"/>
              <w:left w:val="nil"/>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lang w:val="en-US" w:eastAsia="zh-CN"/>
              </w:rPr>
            </w:pPr>
            <w:r>
              <w:rPr>
                <w:rFonts w:hint="eastAsia" w:ascii="微软雅黑" w:hAnsi="微软雅黑" w:eastAsia="微软雅黑" w:cs="微软雅黑"/>
                <w:color w:val="auto"/>
                <w:sz w:val="15"/>
                <w:szCs w:val="15"/>
                <w:highlight w:val="none"/>
                <w:lang w:val="en-US" w:eastAsia="zh-CN"/>
              </w:rPr>
              <w:t>提供法人代表资格证明及授权书、被授权人身份证；(法人投标需提供法人身份证)</w:t>
            </w:r>
          </w:p>
        </w:tc>
        <w:tc>
          <w:tcPr>
            <w:tcW w:w="1394" w:type="dxa"/>
            <w:tcBorders>
              <w:top w:val="nil"/>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val="en-US" w:eastAsia="zh-CN"/>
              </w:rPr>
              <w:t>提供近两年任意一年的财务审计报告，新成立的公司提供近三个月内任意一个月的银行资信证明</w:t>
            </w:r>
          </w:p>
        </w:tc>
        <w:tc>
          <w:tcPr>
            <w:tcW w:w="807" w:type="dxa"/>
            <w:tcBorders>
              <w:top w:val="nil"/>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提供依法缴纳近6个月任意一个月社会保险的凭据</w:t>
            </w:r>
          </w:p>
        </w:tc>
        <w:tc>
          <w:tcPr>
            <w:tcW w:w="986" w:type="dxa"/>
            <w:tcBorders>
              <w:top w:val="nil"/>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提供税务部门出具的近6个月任意一个月的完税证明</w:t>
            </w:r>
          </w:p>
        </w:tc>
        <w:tc>
          <w:tcPr>
            <w:tcW w:w="4443" w:type="dxa"/>
            <w:tcBorders>
              <w:top w:val="nil"/>
              <w:left w:val="nil"/>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val="en-US" w:eastAsia="zh-CN"/>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现场招标代理或招标人查询为准）</w:t>
            </w:r>
          </w:p>
        </w:tc>
        <w:tc>
          <w:tcPr>
            <w:tcW w:w="1367" w:type="dxa"/>
            <w:tcBorders>
              <w:top w:val="single" w:color="auto" w:sz="4" w:space="0"/>
              <w:left w:val="single" w:color="auto" w:sz="4" w:space="0"/>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val="en-US" w:eastAsia="zh-CN"/>
              </w:rPr>
              <w:t>提供参与政府采购活动前3年内未被列入失信、重大税收违法案件、财政部门禁止参加政府采购活动的承诺书</w:t>
            </w:r>
          </w:p>
        </w:tc>
        <w:tc>
          <w:tcPr>
            <w:tcW w:w="753" w:type="dxa"/>
            <w:tcBorders>
              <w:top w:val="single" w:color="auto" w:sz="4" w:space="0"/>
              <w:left w:val="single" w:color="auto" w:sz="4" w:space="0"/>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val="en-US" w:eastAsia="zh-CN"/>
              </w:rPr>
              <w:t>提供针对本次项目《反商业贿赂承诺书》</w:t>
            </w:r>
          </w:p>
        </w:tc>
        <w:tc>
          <w:tcPr>
            <w:tcW w:w="821" w:type="dxa"/>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lang w:eastAsia="zh-CN"/>
              </w:rPr>
            </w:pPr>
            <w:r>
              <w:rPr>
                <w:rFonts w:hint="eastAsia" w:ascii="微软雅黑" w:hAnsi="微软雅黑" w:eastAsia="微软雅黑" w:cs="微软雅黑"/>
                <w:color w:val="auto"/>
                <w:sz w:val="15"/>
                <w:szCs w:val="15"/>
                <w:highlight w:val="none"/>
                <w:lang w:eastAsia="zh-CN"/>
              </w:rPr>
              <w:t>缴纳磋商保证金的银行回执单</w:t>
            </w:r>
          </w:p>
        </w:tc>
        <w:tc>
          <w:tcPr>
            <w:tcW w:w="672" w:type="dxa"/>
            <w:tcBorders>
              <w:top w:val="single" w:color="auto" w:sz="4" w:space="0"/>
              <w:left w:val="single" w:color="auto" w:sz="4" w:space="0"/>
              <w:bottom w:val="single" w:color="auto" w:sz="4" w:space="0"/>
              <w:right w:val="single" w:color="auto" w:sz="4" w:space="0"/>
            </w:tcBorders>
            <w:vAlign w:val="center"/>
          </w:tcPr>
          <w:p>
            <w:pPr>
              <w:pStyle w:val="35"/>
              <w:shd w:val="clear"/>
              <w:spacing w:line="400" w:lineRule="exact"/>
              <w:ind w:firstLine="0" w:firstLineChars="0"/>
              <w:jc w:val="center"/>
              <w:rPr>
                <w:rFonts w:hint="eastAsia" w:ascii="微软雅黑" w:hAnsi="微软雅黑" w:eastAsia="微软雅黑" w:cs="微软雅黑"/>
                <w:color w:val="auto"/>
                <w:sz w:val="15"/>
                <w:szCs w:val="15"/>
                <w:highlight w:val="none"/>
              </w:rPr>
            </w:pPr>
          </w:p>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是否通过</w:t>
            </w:r>
          </w:p>
        </w:tc>
        <w:tc>
          <w:tcPr>
            <w:tcW w:w="598" w:type="dxa"/>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p>
        </w:tc>
      </w:tr>
      <w:tr>
        <w:tblPrEx>
          <w:tblCellMar>
            <w:top w:w="0" w:type="dxa"/>
            <w:left w:w="108" w:type="dxa"/>
            <w:bottom w:w="0" w:type="dxa"/>
            <w:right w:w="108" w:type="dxa"/>
          </w:tblCellMar>
        </w:tblPrEx>
        <w:trPr>
          <w:trHeight w:val="764" w:hRule="atLeast"/>
        </w:trPr>
        <w:tc>
          <w:tcPr>
            <w:tcW w:w="0" w:type="auto"/>
            <w:tcBorders>
              <w:top w:val="nil"/>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13" w:type="dxa"/>
            <w:tcBorders>
              <w:top w:val="nil"/>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272"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394"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07"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986"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p>
            <w:pPr>
              <w:shd w:val="clear"/>
              <w:spacing w:line="240" w:lineRule="atLeast"/>
              <w:jc w:val="center"/>
              <w:rPr>
                <w:rFonts w:hint="eastAsia" w:ascii="微软雅黑" w:hAnsi="微软雅黑" w:eastAsia="微软雅黑" w:cs="微软雅黑"/>
                <w:color w:val="auto"/>
                <w:sz w:val="13"/>
                <w:szCs w:val="13"/>
                <w:highlight w:val="none"/>
              </w:rPr>
            </w:pPr>
          </w:p>
        </w:tc>
        <w:tc>
          <w:tcPr>
            <w:tcW w:w="4443"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36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5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672"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598"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r>
      <w:tr>
        <w:tblPrEx>
          <w:tblCellMar>
            <w:top w:w="0" w:type="dxa"/>
            <w:left w:w="108" w:type="dxa"/>
            <w:bottom w:w="0" w:type="dxa"/>
            <w:right w:w="108" w:type="dxa"/>
          </w:tblCellMar>
        </w:tblPrEx>
        <w:trPr>
          <w:trHeight w:val="586" w:hRule="atLeast"/>
        </w:trPr>
        <w:tc>
          <w:tcPr>
            <w:tcW w:w="0" w:type="auto"/>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1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394"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0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98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444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36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5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672"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598"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r>
      <w:tr>
        <w:tblPrEx>
          <w:tblCellMar>
            <w:top w:w="0" w:type="dxa"/>
            <w:left w:w="108" w:type="dxa"/>
            <w:bottom w:w="0" w:type="dxa"/>
            <w:right w:w="108" w:type="dxa"/>
          </w:tblCellMar>
        </w:tblPrEx>
        <w:trPr>
          <w:trHeight w:val="532" w:hRule="atLeast"/>
        </w:trPr>
        <w:tc>
          <w:tcPr>
            <w:tcW w:w="0" w:type="auto"/>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1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394"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0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98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444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36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5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672"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598"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r>
      <w:bookmarkEnd w:id="951"/>
      <w:bookmarkEnd w:id="952"/>
      <w:bookmarkEnd w:id="953"/>
      <w:bookmarkEnd w:id="954"/>
    </w:tbl>
    <w:p>
      <w:pPr>
        <w:pStyle w:val="5"/>
        <w:numPr>
          <w:ilvl w:val="0"/>
          <w:numId w:val="0"/>
        </w:numPr>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32"/>
          <w:highlight w:val="none"/>
          <w:lang w:val="en-US" w:eastAsia="zh-CN"/>
        </w:rPr>
        <w:sectPr>
          <w:pgSz w:w="16840" w:h="11907" w:orient="landscape"/>
          <w:pgMar w:top="1814" w:right="1474" w:bottom="1814" w:left="1474" w:header="851" w:footer="851" w:gutter="0"/>
          <w:pgNumType w:fmt="decimal"/>
          <w:cols w:space="720" w:num="1"/>
          <w:docGrid w:linePitch="462" w:charSpace="0"/>
        </w:sectPr>
      </w:pPr>
    </w:p>
    <w:p>
      <w:pPr>
        <w:pStyle w:val="5"/>
        <w:numPr>
          <w:ilvl w:val="0"/>
          <w:numId w:val="0"/>
        </w:numPr>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b/>
          <w:bCs/>
          <w:i w:val="0"/>
          <w:caps w:val="0"/>
          <w:color w:val="auto"/>
          <w:spacing w:val="0"/>
          <w:w w:val="100"/>
          <w:kern w:val="0"/>
          <w:sz w:val="24"/>
          <w:szCs w:val="24"/>
          <w:highlight w:val="none"/>
          <w:lang w:val="en-US" w:eastAsia="zh-CN" w:bidi="ar-SA"/>
        </w:rPr>
      </w:pPr>
      <w:bookmarkStart w:id="955" w:name="_Toc3496"/>
      <w:r>
        <w:rPr>
          <w:rFonts w:hint="eastAsia" w:ascii="微软雅黑" w:hAnsi="微软雅黑" w:eastAsia="微软雅黑" w:cs="微软雅黑"/>
          <w:b/>
          <w:i w:val="0"/>
          <w:caps w:val="0"/>
          <w:color w:val="auto"/>
          <w:spacing w:val="0"/>
          <w:w w:val="100"/>
          <w:sz w:val="32"/>
          <w:highlight w:val="none"/>
          <w:lang w:val="en-US" w:eastAsia="zh-CN"/>
        </w:rPr>
        <w:t>第5章  服务</w:t>
      </w:r>
      <w:r>
        <w:rPr>
          <w:rFonts w:hint="eastAsia" w:ascii="微软雅黑" w:hAnsi="微软雅黑" w:eastAsia="微软雅黑" w:cs="微软雅黑"/>
          <w:b/>
          <w:i w:val="0"/>
          <w:caps w:val="0"/>
          <w:color w:val="auto"/>
          <w:spacing w:val="0"/>
          <w:w w:val="100"/>
          <w:sz w:val="32"/>
          <w:highlight w:val="none"/>
        </w:rPr>
        <w:t>需求一览表及项目要求</w:t>
      </w:r>
      <w:bookmarkEnd w:id="955"/>
    </w:p>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ascii="微软雅黑" w:hAnsi="微软雅黑" w:eastAsia="微软雅黑" w:cs="微软雅黑"/>
          <w:b/>
          <w:bCs/>
          <w:i w:val="0"/>
          <w:caps w:val="0"/>
          <w:color w:val="auto"/>
          <w:spacing w:val="0"/>
          <w:w w:val="100"/>
          <w:kern w:val="0"/>
          <w:sz w:val="28"/>
          <w:szCs w:val="28"/>
          <w:highlight w:val="none"/>
          <w:lang w:val="en-US" w:eastAsia="zh-CN" w:bidi="ar-SA"/>
        </w:rPr>
      </w:pPr>
      <w:bookmarkStart w:id="956" w:name="_Toc10926"/>
      <w:bookmarkStart w:id="957" w:name="_Toc23190"/>
      <w:bookmarkStart w:id="958" w:name="_Toc11289"/>
      <w:bookmarkStart w:id="959" w:name="_Toc17427"/>
      <w:bookmarkStart w:id="960" w:name="_Toc23276"/>
      <w:bookmarkStart w:id="961" w:name="_Toc16011"/>
      <w:bookmarkStart w:id="962" w:name="_Toc11279"/>
      <w:bookmarkStart w:id="963" w:name="_Toc14517"/>
      <w:bookmarkStart w:id="964" w:name="_Toc11819"/>
      <w:bookmarkStart w:id="965" w:name="_Toc4776"/>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一、服务需求</w:t>
      </w:r>
      <w:bookmarkEnd w:id="956"/>
      <w:bookmarkEnd w:id="957"/>
      <w:bookmarkEnd w:id="958"/>
      <w:bookmarkEnd w:id="959"/>
      <w:bookmarkEnd w:id="960"/>
      <w:bookmarkEnd w:id="961"/>
      <w:bookmarkEnd w:id="962"/>
      <w:bookmarkEnd w:id="963"/>
      <w:bookmarkEnd w:id="964"/>
      <w:bookmarkEnd w:id="965"/>
      <w:bookmarkStart w:id="966" w:name="_Toc1611"/>
    </w:p>
    <w:tbl>
      <w:tblPr>
        <w:tblStyle w:val="36"/>
        <w:tblW w:w="839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8"/>
        <w:gridCol w:w="379"/>
        <w:gridCol w:w="2948"/>
        <w:gridCol w:w="2267"/>
        <w:gridCol w:w="24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项目名称</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分项名称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项目内容</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经费范围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lang w:val="en-US" w:eastAsia="zh-CN"/>
              </w:rPr>
            </w:pPr>
            <w:r>
              <w:rPr>
                <w:rFonts w:hint="eastAsia" w:ascii="宋体" w:hAnsi="宋体" w:cs="宋体"/>
                <w:i w:val="0"/>
                <w:iCs w:val="0"/>
                <w:color w:val="auto"/>
                <w:sz w:val="24"/>
                <w:szCs w:val="24"/>
                <w:u w:val="none"/>
                <w:lang w:val="en-US" w:eastAsia="zh-CN"/>
              </w:rPr>
              <w:t>1</w:t>
            </w:r>
          </w:p>
        </w:tc>
        <w:tc>
          <w:tcPr>
            <w:tcW w:w="3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邀请专家</w:t>
            </w:r>
          </w:p>
        </w:tc>
        <w:tc>
          <w:tcPr>
            <w:tcW w:w="294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聘请</w:t>
            </w: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批</w:t>
            </w:r>
            <w:r>
              <w:rPr>
                <w:rStyle w:val="90"/>
                <w:color w:val="auto"/>
                <w:lang w:val="en-US" w:eastAsia="zh-CN" w:bidi="ar"/>
              </w:rPr>
              <w:t>新疆维吾尔自治区级教练到泽普县开展技术指导培训和交流</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批；2名/批；15天/批</w:t>
            </w:r>
          </w:p>
        </w:tc>
        <w:tc>
          <w:tcPr>
            <w:tcW w:w="2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各项活动包含专家教练人员往返乘坐的航空机票费（喀什地区教练员乘坐汽运专车租赁费）、技术指导费、餐饮住宿费、培训活动现场经费、文化体育纪念品发放、商业礼仪和服务费及教职人员日常的吃住行方面的相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3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79"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948" w:type="dxa"/>
            <w:tcBorders>
              <w:top w:val="single" w:color="auto" w:sz="4" w:space="0"/>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聘请3批</w:t>
            </w:r>
            <w:r>
              <w:rPr>
                <w:rStyle w:val="90"/>
                <w:color w:val="auto"/>
                <w:lang w:val="en-US" w:eastAsia="zh-CN" w:bidi="ar"/>
              </w:rPr>
              <w:t>喀什地区级教练到泽普县开展每批2名、每批为期</w:t>
            </w:r>
            <w:r>
              <w:rPr>
                <w:rStyle w:val="90"/>
                <w:rFonts w:hint="eastAsia"/>
                <w:color w:val="auto"/>
                <w:lang w:val="en-US" w:eastAsia="zh-CN" w:bidi="ar"/>
              </w:rPr>
              <w:t>7</w:t>
            </w:r>
            <w:r>
              <w:rPr>
                <w:rStyle w:val="90"/>
                <w:color w:val="auto"/>
                <w:lang w:val="en-US" w:eastAsia="zh-CN" w:bidi="ar"/>
              </w:rPr>
              <w:t>天的技术指导培训和交流</w:t>
            </w:r>
          </w:p>
        </w:tc>
        <w:tc>
          <w:tcPr>
            <w:tcW w:w="2267"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3批；2名/批；10天/批</w:t>
            </w:r>
          </w:p>
        </w:tc>
        <w:tc>
          <w:tcPr>
            <w:tcW w:w="2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0" w:hRule="atLeast"/>
        </w:trPr>
        <w:tc>
          <w:tcPr>
            <w:tcW w:w="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379"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举办比赛活动</w:t>
            </w:r>
          </w:p>
        </w:tc>
        <w:tc>
          <w:tcPr>
            <w:tcW w:w="2948" w:type="dxa"/>
            <w:tcBorders>
              <w:top w:val="single" w:color="000000"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邀请组织举办“沪喀联动·国球润疆第二届‘泽普杯’青少年乒乓球邀请赛”1场，</w:t>
            </w:r>
          </w:p>
        </w:tc>
        <w:tc>
          <w:tcPr>
            <w:tcW w:w="2267"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邀请喀什地区各县市各学校的120名青少年乒乓球爱好者参与比赛交流，设立发放相应的各类奖项奖品奖金</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各项活动均含场地使用费、主席台搭建与主背景喷绘费、开幕式闭幕式音响和现场氛围布置费、评委（带队教练）补助费、参赛团队客运包车费和餐饮住宿费、文化体育纪念品发放、商业礼仪和服务费以及邀请自治区级、地区级新闻单位及新媒体网红人员对此项活动进行宣传报道或全媒体多渠道制播推广产生的相关费用。</w:t>
            </w:r>
          </w:p>
        </w:tc>
      </w:tr>
    </w:tbl>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ascii="微软雅黑" w:hAnsi="微软雅黑" w:eastAsia="微软雅黑" w:cs="微软雅黑"/>
          <w:b/>
          <w:bCs/>
          <w:i w:val="0"/>
          <w:caps w:val="0"/>
          <w:color w:val="auto"/>
          <w:spacing w:val="0"/>
          <w:w w:val="100"/>
          <w:kern w:val="0"/>
          <w:sz w:val="28"/>
          <w:szCs w:val="28"/>
          <w:highlight w:val="none"/>
          <w:lang w:val="en-US" w:eastAsia="zh-CN" w:bidi="ar-SA"/>
        </w:rPr>
      </w:pPr>
      <w:bookmarkStart w:id="967" w:name="_Toc7965"/>
      <w:bookmarkStart w:id="968" w:name="_Toc14197"/>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二、服务时间及地点</w:t>
      </w:r>
      <w:bookmarkEnd w:id="967"/>
      <w:bookmarkEnd w:id="968"/>
    </w:p>
    <w:p>
      <w:pPr>
        <w:keepNext w:val="0"/>
        <w:keepLines w:val="0"/>
        <w:pageBreakBefore w:val="0"/>
        <w:numPr>
          <w:ilvl w:val="0"/>
          <w:numId w:val="0"/>
        </w:numPr>
        <w:kinsoku/>
        <w:wordWrap/>
        <w:overflowPunct/>
        <w:topLinePunct w:val="0"/>
        <w:autoSpaceDE/>
        <w:autoSpaceDN/>
        <w:bidi w:val="0"/>
        <w:adjustRightInd/>
        <w:spacing w:line="600" w:lineRule="exact"/>
        <w:jc w:val="left"/>
        <w:rPr>
          <w:rFonts w:hint="default" w:ascii="微软雅黑" w:hAnsi="微软雅黑" w:eastAsia="微软雅黑" w:cs="微软雅黑"/>
          <w:b w:val="0"/>
          <w:bCs/>
          <w:color w:val="auto"/>
          <w:spacing w:val="-12"/>
          <w:sz w:val="24"/>
          <w:szCs w:val="24"/>
          <w:highlight w:val="none"/>
          <w:lang w:val="en-US" w:eastAsia="zh-CN"/>
        </w:rPr>
      </w:pPr>
      <w:r>
        <w:rPr>
          <w:rFonts w:hint="eastAsia" w:ascii="微软雅黑" w:hAnsi="微软雅黑" w:eastAsia="微软雅黑" w:cs="微软雅黑"/>
          <w:b w:val="0"/>
          <w:bCs/>
          <w:color w:val="auto"/>
          <w:spacing w:val="-12"/>
          <w:sz w:val="24"/>
          <w:szCs w:val="24"/>
          <w:highlight w:val="none"/>
          <w:lang w:val="en-US" w:eastAsia="zh-CN"/>
        </w:rPr>
        <w:t>1、服务时间：2022年12月31日前</w:t>
      </w:r>
    </w:p>
    <w:p>
      <w:pPr>
        <w:keepNext w:val="0"/>
        <w:keepLines w:val="0"/>
        <w:pageBreakBefore w:val="0"/>
        <w:numPr>
          <w:ilvl w:val="0"/>
          <w:numId w:val="0"/>
        </w:numPr>
        <w:kinsoku/>
        <w:wordWrap/>
        <w:overflowPunct/>
        <w:topLinePunct w:val="0"/>
        <w:autoSpaceDE/>
        <w:autoSpaceDN/>
        <w:bidi w:val="0"/>
        <w:adjustRightInd/>
        <w:spacing w:line="600" w:lineRule="exact"/>
        <w:jc w:val="left"/>
        <w:rPr>
          <w:rFonts w:hint="default" w:ascii="微软雅黑" w:hAnsi="微软雅黑" w:eastAsia="微软雅黑" w:cs="微软雅黑"/>
          <w:b w:val="0"/>
          <w:bCs/>
          <w:color w:val="auto"/>
          <w:spacing w:val="-12"/>
          <w:sz w:val="24"/>
          <w:szCs w:val="24"/>
          <w:lang w:val="en-US" w:eastAsia="zh-CN"/>
        </w:rPr>
      </w:pPr>
      <w:r>
        <w:rPr>
          <w:rFonts w:hint="eastAsia" w:ascii="微软雅黑" w:hAnsi="微软雅黑" w:eastAsia="微软雅黑" w:cs="微软雅黑"/>
          <w:b w:val="0"/>
          <w:bCs/>
          <w:color w:val="auto"/>
          <w:spacing w:val="-12"/>
          <w:sz w:val="24"/>
          <w:szCs w:val="24"/>
          <w:lang w:val="en-US" w:eastAsia="zh-CN"/>
        </w:rPr>
        <w:t>2、服务地点：</w:t>
      </w:r>
      <w:r>
        <w:rPr>
          <w:rFonts w:hint="eastAsia" w:ascii="微软雅黑" w:hAnsi="微软雅黑" w:eastAsia="微软雅黑" w:cs="微软雅黑"/>
          <w:b w:val="0"/>
          <w:bCs/>
          <w:color w:val="auto"/>
          <w:spacing w:val="-12"/>
          <w:sz w:val="24"/>
          <w:szCs w:val="24"/>
          <w:lang w:eastAsia="zh-CN"/>
        </w:rPr>
        <w:t>泽普县教育局</w:t>
      </w:r>
      <w:r>
        <w:rPr>
          <w:rFonts w:hint="eastAsia" w:ascii="微软雅黑" w:hAnsi="微软雅黑" w:eastAsia="微软雅黑" w:cs="微软雅黑"/>
          <w:b w:val="0"/>
          <w:bCs/>
          <w:color w:val="auto"/>
          <w:spacing w:val="-12"/>
          <w:sz w:val="24"/>
          <w:szCs w:val="24"/>
          <w:lang w:val="en-US" w:eastAsia="zh-CN"/>
        </w:rPr>
        <w:t>指定地点</w:t>
      </w:r>
    </w:p>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ascii="微软雅黑" w:hAnsi="微软雅黑" w:eastAsia="微软雅黑" w:cs="微软雅黑"/>
          <w:b/>
          <w:bCs/>
          <w:i w:val="0"/>
          <w:caps w:val="0"/>
          <w:color w:val="auto"/>
          <w:spacing w:val="0"/>
          <w:w w:val="100"/>
          <w:kern w:val="0"/>
          <w:sz w:val="28"/>
          <w:szCs w:val="28"/>
          <w:highlight w:val="none"/>
          <w:lang w:val="en-US" w:eastAsia="zh-CN" w:bidi="ar-SA"/>
        </w:rPr>
      </w:pPr>
      <w:bookmarkStart w:id="969" w:name="_Toc30462"/>
      <w:bookmarkStart w:id="970" w:name="_Toc23471"/>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三、验收方式及标准</w:t>
      </w:r>
      <w:bookmarkEnd w:id="969"/>
      <w:bookmarkEnd w:id="970"/>
    </w:p>
    <w:p>
      <w:pPr>
        <w:keepNext w:val="0"/>
        <w:keepLines w:val="0"/>
        <w:pageBreakBefore w:val="0"/>
        <w:numPr>
          <w:ilvl w:val="0"/>
          <w:numId w:val="0"/>
        </w:numPr>
        <w:kinsoku/>
        <w:wordWrap/>
        <w:overflowPunct/>
        <w:topLinePunct w:val="0"/>
        <w:autoSpaceDE/>
        <w:autoSpaceDN/>
        <w:bidi w:val="0"/>
        <w:adjustRightInd/>
        <w:spacing w:line="600" w:lineRule="exact"/>
        <w:jc w:val="left"/>
        <w:rPr>
          <w:rFonts w:hint="eastAsia" w:ascii="微软雅黑" w:hAnsi="微软雅黑" w:eastAsia="微软雅黑" w:cs="微软雅黑"/>
          <w:color w:val="auto"/>
          <w:spacing w:val="-12"/>
          <w:sz w:val="24"/>
          <w:szCs w:val="24"/>
          <w:lang w:val="en-US" w:eastAsia="zh-CN"/>
        </w:rPr>
      </w:pPr>
      <w:r>
        <w:rPr>
          <w:rFonts w:hint="eastAsia" w:ascii="微软雅黑" w:hAnsi="微软雅黑" w:eastAsia="微软雅黑" w:cs="微软雅黑"/>
          <w:color w:val="auto"/>
          <w:spacing w:val="-12"/>
          <w:sz w:val="24"/>
          <w:szCs w:val="24"/>
          <w:lang w:val="en-US" w:eastAsia="zh-CN"/>
        </w:rPr>
        <w:t>由采购单位派专人全程跟踪验收。</w:t>
      </w:r>
    </w:p>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ascii="微软雅黑" w:hAnsi="微软雅黑" w:eastAsia="微软雅黑" w:cs="微软雅黑"/>
          <w:b/>
          <w:bCs/>
          <w:i w:val="0"/>
          <w:caps w:val="0"/>
          <w:color w:val="auto"/>
          <w:spacing w:val="0"/>
          <w:w w:val="100"/>
          <w:kern w:val="0"/>
          <w:sz w:val="28"/>
          <w:szCs w:val="28"/>
          <w:highlight w:val="none"/>
          <w:lang w:val="en-US" w:eastAsia="zh-CN" w:bidi="ar-SA"/>
        </w:rPr>
      </w:pPr>
      <w:bookmarkStart w:id="971" w:name="_Toc18625"/>
      <w:bookmarkStart w:id="972" w:name="_Toc11527"/>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四、付款方式</w:t>
      </w:r>
      <w:bookmarkEnd w:id="971"/>
      <w:bookmarkEnd w:id="972"/>
    </w:p>
    <w:p>
      <w:pPr>
        <w:keepNext w:val="0"/>
        <w:keepLines w:val="0"/>
        <w:pageBreakBefore w:val="0"/>
        <w:numPr>
          <w:ilvl w:val="0"/>
          <w:numId w:val="0"/>
        </w:numPr>
        <w:kinsoku/>
        <w:wordWrap/>
        <w:overflowPunct/>
        <w:topLinePunct w:val="0"/>
        <w:autoSpaceDE/>
        <w:autoSpaceDN/>
        <w:bidi w:val="0"/>
        <w:adjustRightInd/>
        <w:spacing w:line="600" w:lineRule="exact"/>
        <w:jc w:val="left"/>
        <w:rPr>
          <w:rFonts w:hint="eastAsia" w:ascii="微软雅黑" w:hAnsi="微软雅黑" w:eastAsia="微软雅黑" w:cs="微软雅黑"/>
          <w:color w:val="auto"/>
          <w:spacing w:val="-12"/>
          <w:sz w:val="24"/>
          <w:szCs w:val="24"/>
          <w:lang w:val="en-US" w:eastAsia="zh-CN"/>
        </w:rPr>
      </w:pPr>
      <w:r>
        <w:rPr>
          <w:rFonts w:hint="eastAsia" w:ascii="微软雅黑" w:hAnsi="微软雅黑" w:eastAsia="微软雅黑" w:cs="微软雅黑"/>
          <w:color w:val="auto"/>
          <w:spacing w:val="-12"/>
          <w:sz w:val="24"/>
          <w:szCs w:val="24"/>
          <w:lang w:val="en-US" w:eastAsia="zh-CN"/>
        </w:rPr>
        <w:t>按照合同约定执行，在规定时间内完成货款结算。</w:t>
      </w:r>
    </w:p>
    <w:p>
      <w:pPr>
        <w:keepNext w:val="0"/>
        <w:keepLines w:val="0"/>
        <w:pageBreakBefore w:val="0"/>
        <w:shd w:val="clear"/>
        <w:kinsoku/>
        <w:wordWrap/>
        <w:overflowPunct/>
        <w:topLinePunct w:val="0"/>
        <w:autoSpaceDE/>
        <w:autoSpaceDN/>
        <w:bidi w:val="0"/>
        <w:adjustRightInd/>
        <w:snapToGrid/>
        <w:spacing w:line="400" w:lineRule="exact"/>
        <w:ind w:left="0" w:leftChars="0" w:right="0" w:rightChars="0"/>
        <w:rPr>
          <w:rStyle w:val="86"/>
          <w:rFonts w:hint="eastAsia" w:ascii="微软雅黑" w:hAnsi="微软雅黑" w:eastAsia="微软雅黑" w:cs="微软雅黑"/>
          <w:b/>
          <w:bCs/>
          <w:color w:val="auto"/>
          <w:sz w:val="21"/>
          <w:szCs w:val="21"/>
          <w:highlight w:val="none"/>
        </w:rPr>
      </w:pPr>
      <w:r>
        <w:rPr>
          <w:rStyle w:val="86"/>
          <w:rFonts w:hint="eastAsia" w:ascii="微软雅黑" w:hAnsi="微软雅黑" w:eastAsia="微软雅黑" w:cs="微软雅黑"/>
          <w:color w:val="auto"/>
          <w:sz w:val="21"/>
          <w:szCs w:val="21"/>
          <w:highlight w:val="none"/>
        </w:rPr>
        <w:br w:type="page"/>
      </w:r>
    </w:p>
    <w:bookmarkEnd w:id="966"/>
    <w:p>
      <w:pPr>
        <w:pStyle w:val="5"/>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bookmarkStart w:id="973" w:name="_Toc17071"/>
      <w:r>
        <w:rPr>
          <w:rFonts w:hint="eastAsia" w:ascii="微软雅黑" w:hAnsi="微软雅黑" w:eastAsia="微软雅黑" w:cs="微软雅黑"/>
          <w:b/>
          <w:i w:val="0"/>
          <w:caps w:val="0"/>
          <w:color w:val="auto"/>
          <w:spacing w:val="0"/>
          <w:w w:val="100"/>
          <w:sz w:val="32"/>
          <w:highlight w:val="none"/>
        </w:rPr>
        <w:t xml:space="preserve">第6章 </w:t>
      </w:r>
      <w:bookmarkStart w:id="974" w:name="_Toc515647832"/>
      <w:bookmarkStart w:id="975" w:name="_Toc7971"/>
      <w:bookmarkStart w:id="976" w:name="_Toc32647"/>
      <w:bookmarkStart w:id="977" w:name="_Toc507399907"/>
      <w:r>
        <w:rPr>
          <w:rFonts w:hint="eastAsia" w:ascii="微软雅黑" w:hAnsi="微软雅黑" w:eastAsia="微软雅黑" w:cs="微软雅黑"/>
          <w:b/>
          <w:i w:val="0"/>
          <w:caps w:val="0"/>
          <w:color w:val="auto"/>
          <w:spacing w:val="0"/>
          <w:w w:val="100"/>
          <w:sz w:val="32"/>
          <w:highlight w:val="none"/>
        </w:rPr>
        <w:t>评审方法和标准</w:t>
      </w:r>
      <w:bookmarkEnd w:id="948"/>
      <w:bookmarkEnd w:id="949"/>
      <w:bookmarkEnd w:id="950"/>
      <w:bookmarkEnd w:id="973"/>
      <w:bookmarkEnd w:id="974"/>
      <w:bookmarkEnd w:id="975"/>
      <w:bookmarkEnd w:id="976"/>
      <w:bookmarkEnd w:id="977"/>
    </w:p>
    <w:p>
      <w:pPr>
        <w:pStyle w:val="11"/>
        <w:keepNext w:val="0"/>
        <w:keepLines w:val="0"/>
        <w:pageBreakBefore w:val="0"/>
        <w:shd w:val="clear"/>
        <w:kinsoku/>
        <w:wordWrap/>
        <w:overflowPunct/>
        <w:topLinePunct w:val="0"/>
        <w:bidi w:val="0"/>
        <w:snapToGrid w:val="0"/>
        <w:spacing w:before="0" w:beforeAutospacing="0" w:after="0" w:afterAutospacing="0" w:line="400" w:lineRule="exact"/>
        <w:ind w:firstLine="540" w:firstLineChars="2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本项目将按照磋商文件第一章供应商须知中“五 磋商开启及评审”、“六 确定成交”及本章的规定评标。</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注：1.磋商无效的情形：</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（1）单位负责人为同一人或者存在直接控股、管理关系的不同供应商，其相关磋商将被认定为磋商无效。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（2）若供应商须知资料表中未写明允许采购进口产品，如供应商所投产品为进口产品，其磋商将被认定为磋商无效。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（3）为本项目提供过整体设计、规范编制或者项目管理、监理、检测等</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的供应商，不得再参加本项目上述</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以外的其他采购活动。否则其磋商将被认定为磋商无效。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供应商在磋商过程中不得向采购人提供、给予任何有价值的物品，影响其正常决策行为。一经发现，其将被认定为磋商无效。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（4）供应商报价超过磋商文件规定的预算金额或者分项、分包最高限价的，其磋商将被认定为磋商无效。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供应商应认真阅读磋商文件所有的事项、格式、条款和技术规范等。如供应商没有按照磋商文件要求提交全部资料，或者响应文件没有对磋商文件在各方面都做出实质性响应，可能导致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（6）供应商应当对所投分包磋商文件中“</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需求”所列的所有内容进行磋商，如仅响应某一包中的部分内容，其该包磋商将被认定为磋商无效。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（7）供应商未按本须知第12.1和12.3条规定提交磋商保证金的，其磋商资格将被认定为无效。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（8）所有磋商均以人民币报价。供应商的磋商报价应遵守《中华人民共和国价格法》。同时，根据《中华人民共和国政府采购法》第二条的规定，为保证公平竞争，如有</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主体部分的赠与行为，其磋商将被认定为磋商无效。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（9）供应商所报的各分项磋商单价在合同履行过程中是固定不变的，不得以任何理由予以变更。任何包含价格调整要求的磋商，其磋商将被认定为磋商无效。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（10）磋商应在供应商须知资料表中规定时间内保持有效。磋商有效期不满足要求的磋商，其磋商将被认定为磋商无效。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（11）所有响应文件采用不可拆装的胶订方式装订，否则其磋商将被认定为磋商无效。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（12）采购人将在开标前1个工作日至磋商截止后1小时的期间内查询供应商的信用记录。供应商存在不良信用记录的，其磋商将被认定为磋商无效。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总价金额与按单价汇总金额不一致的，以单价金额计算结果为准。同时出现两种以上不一致的，按照前款规定的顺序修正。修正后的报价按照第20.2条的规定经供应商确认后产生约束力，供应商不确认的，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在比较与评价之前，根据本须知的规定，磋商小组要审查每份响应文件是否实质上响应了磋商文件的要求。实质上响应的磋商应该是与磋商文件要求的全部条款、条件和规格相符，没有重大偏离的磋商。对关键条款的偏离，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（15）如发现下列情况之一的，其磋商将被认定为磋商无效：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未按磋商文件规定的形式和金额提交磋商保证金的；未按照磋商文件规定要求签署、盖章的；未满足磋商文件中技术条款的实质性要求；与其他供应商串通磋商，或者与</w:t>
      </w:r>
      <w:r>
        <w:rPr>
          <w:rFonts w:hint="eastAsia" w:ascii="微软雅黑" w:hAnsi="微软雅黑" w:eastAsia="微软雅黑" w:cs="微软雅黑"/>
          <w:b w:val="0"/>
          <w:i w:val="0"/>
          <w:caps w:val="0"/>
          <w:color w:val="auto"/>
          <w:spacing w:val="0"/>
          <w:w w:val="100"/>
          <w:sz w:val="24"/>
          <w:highlight w:val="none"/>
          <w:lang w:eastAsia="zh-CN"/>
        </w:rPr>
        <w:t>采购</w:t>
      </w:r>
      <w:r>
        <w:rPr>
          <w:rFonts w:hint="eastAsia" w:ascii="微软雅黑" w:hAnsi="微软雅黑" w:eastAsia="微软雅黑" w:cs="微软雅黑"/>
          <w:b w:val="0"/>
          <w:i w:val="0"/>
          <w:caps w:val="0"/>
          <w:color w:val="auto"/>
          <w:spacing w:val="0"/>
          <w:w w:val="100"/>
          <w:sz w:val="24"/>
          <w:highlight w:val="none"/>
        </w:rPr>
        <w:t>人串通磋商；属于磋商文件规定的其他磋商无效情形；磋商小组认为供应商的报价明显低于其他通过符合性检查供应商的报价，有可能影响履约的，且供应商未按照规定证明其报价合理性的；响应文件含有采购人不能接受的附加条件的；不符合法规和磋商文件中规定的其他实质性要求的。</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2.</w:t>
      </w:r>
      <w:r>
        <w:rPr>
          <w:rFonts w:hint="eastAsia" w:ascii="微软雅黑" w:hAnsi="微软雅黑" w:eastAsia="微软雅黑" w:cs="微软雅黑"/>
          <w:b/>
          <w:bCs/>
          <w:i w:val="0"/>
          <w:caps w:val="0"/>
          <w:color w:val="auto"/>
          <w:spacing w:val="0"/>
          <w:w w:val="100"/>
          <w:sz w:val="24"/>
          <w:highlight w:val="none"/>
          <w:lang w:val="en-US" w:eastAsia="zh-CN"/>
        </w:rPr>
        <w:t>本项目专门面向中小企业，</w:t>
      </w:r>
      <w:r>
        <w:rPr>
          <w:rFonts w:hint="eastAsia" w:ascii="微软雅黑" w:hAnsi="微软雅黑" w:eastAsia="微软雅黑" w:cs="微软雅黑"/>
          <w:b/>
          <w:bCs/>
          <w:i w:val="0"/>
          <w:caps w:val="0"/>
          <w:color w:val="auto"/>
          <w:spacing w:val="0"/>
          <w:w w:val="100"/>
          <w:sz w:val="24"/>
          <w:highlight w:val="none"/>
        </w:rPr>
        <w:t>根据《政府采购促进中小企业发展管理办法》（财库[2020]46号）、《财政部司法部关于政府采购支持监狱企业发展有关问题的通知》（财库〔2014〕68号）和《三部门联合发布关于促进残疾人就业政府采购政策的通知》（财库〔2017〕141号）的规定，对满足价格扣除条件且在响应文件中提交了《供应商企业类型声明函》、《残疾人福利性单位声明函》或省级以上监狱管理局、戒毒管理局（含新疆生产建设兵团）出具的属于监狱企业的证明文件的供应商，其</w:t>
      </w:r>
      <w:r>
        <w:rPr>
          <w:rFonts w:hint="eastAsia" w:ascii="微软雅黑" w:hAnsi="微软雅黑" w:eastAsia="微软雅黑" w:cs="微软雅黑"/>
          <w:b/>
          <w:bCs/>
          <w:i w:val="0"/>
          <w:caps w:val="0"/>
          <w:color w:val="auto"/>
          <w:spacing w:val="0"/>
          <w:w w:val="100"/>
          <w:sz w:val="24"/>
          <w:highlight w:val="none"/>
          <w:lang w:val="en-US" w:eastAsia="zh-CN"/>
        </w:rPr>
        <w:t>磋商</w:t>
      </w:r>
      <w:r>
        <w:rPr>
          <w:rFonts w:hint="eastAsia" w:ascii="微软雅黑" w:hAnsi="微软雅黑" w:eastAsia="微软雅黑" w:cs="微软雅黑"/>
          <w:b/>
          <w:bCs/>
          <w:i w:val="0"/>
          <w:caps w:val="0"/>
          <w:color w:val="auto"/>
          <w:spacing w:val="0"/>
          <w:w w:val="100"/>
          <w:sz w:val="24"/>
          <w:highlight w:val="none"/>
        </w:rPr>
        <w:t>报价</w:t>
      </w:r>
      <w:r>
        <w:rPr>
          <w:rFonts w:hint="eastAsia" w:ascii="微软雅黑" w:hAnsi="微软雅黑" w:eastAsia="微软雅黑" w:cs="微软雅黑"/>
          <w:b/>
          <w:bCs/>
          <w:i w:val="0"/>
          <w:caps w:val="0"/>
          <w:color w:val="auto"/>
          <w:spacing w:val="0"/>
          <w:w w:val="100"/>
          <w:sz w:val="24"/>
          <w:highlight w:val="none"/>
          <w:lang w:val="en-US" w:eastAsia="zh-CN"/>
        </w:rPr>
        <w:t>不做价格扣除</w:t>
      </w:r>
      <w:r>
        <w:rPr>
          <w:rFonts w:hint="eastAsia" w:ascii="微软雅黑" w:hAnsi="微软雅黑" w:eastAsia="微软雅黑" w:cs="微软雅黑"/>
          <w:b/>
          <w:bCs/>
          <w:i w:val="0"/>
          <w:caps w:val="0"/>
          <w:color w:val="auto"/>
          <w:spacing w:val="0"/>
          <w:w w:val="100"/>
          <w:sz w:val="24"/>
          <w:highlight w:val="none"/>
        </w:rPr>
        <w:t>。</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3.联合协议中约定，小型、微型企业和监狱企业的协议合同金额占到联合体协议合同总金额30%以上的，可给予联合体</w:t>
      </w:r>
      <w:r>
        <w:rPr>
          <w:rFonts w:hint="eastAsia" w:ascii="微软雅黑" w:hAnsi="微软雅黑" w:eastAsia="微软雅黑" w:cs="微软雅黑"/>
          <w:b w:val="0"/>
          <w:i w:val="0"/>
          <w:caps w:val="0"/>
          <w:color w:val="auto"/>
          <w:spacing w:val="0"/>
          <w:w w:val="100"/>
          <w:sz w:val="24"/>
          <w:highlight w:val="none"/>
          <w:u w:val="single" w:color="000000"/>
        </w:rPr>
        <w:t xml:space="preserve"> 2%-3</w:t>
      </w:r>
      <w:r>
        <w:rPr>
          <w:rFonts w:hint="eastAsia" w:ascii="微软雅黑" w:hAnsi="微软雅黑" w:eastAsia="微软雅黑" w:cs="微软雅黑"/>
          <w:b w:val="0"/>
          <w:i w:val="0"/>
          <w:caps w:val="0"/>
          <w:color w:val="auto"/>
          <w:spacing w:val="0"/>
          <w:w w:val="100"/>
          <w:sz w:val="24"/>
          <w:highlight w:val="none"/>
        </w:rPr>
        <w:t>%的价格扣除。</w:t>
      </w:r>
      <w:r>
        <w:rPr>
          <w:rFonts w:hint="eastAsia" w:ascii="微软雅黑" w:hAnsi="微软雅黑" w:eastAsia="微软雅黑" w:cs="微软雅黑"/>
          <w:b/>
          <w:bCs/>
          <w:i w:val="0"/>
          <w:caps w:val="0"/>
          <w:color w:val="auto"/>
          <w:spacing w:val="0"/>
          <w:w w:val="100"/>
          <w:sz w:val="24"/>
          <w:highlight w:val="none"/>
        </w:rPr>
        <w:t>（本项目不适用）</w:t>
      </w:r>
    </w:p>
    <w:p>
      <w:pPr>
        <w:keepNext w:val="0"/>
        <w:keepLines w:val="0"/>
        <w:pageBreakBefore w:val="0"/>
        <w:widowControl/>
        <w:shd w:val="clear"/>
        <w:kinsoku/>
        <w:wordWrap/>
        <w:overflowPunct/>
        <w:topLinePunct w:val="0"/>
        <w:bidi w:val="0"/>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联合体各方均为小型、微型企业和监狱企业的，联合体视同为小型、微型企业和监狱企业。</w:t>
      </w:r>
    </w:p>
    <w:p>
      <w:pPr>
        <w:pStyle w:val="11"/>
        <w:keepNext w:val="0"/>
        <w:keepLines w:val="0"/>
        <w:pageBreakBefore w:val="0"/>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bCs w:val="0"/>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lang w:val="en-US" w:eastAsia="zh-CN"/>
        </w:rPr>
        <w:t>4.</w:t>
      </w:r>
      <w:r>
        <w:rPr>
          <w:rFonts w:hint="eastAsia" w:ascii="微软雅黑" w:hAnsi="微软雅黑" w:eastAsia="微软雅黑" w:cs="微软雅黑"/>
          <w:b w:val="0"/>
          <w:i w:val="0"/>
          <w:caps w:val="0"/>
          <w:color w:val="auto"/>
          <w:spacing w:val="0"/>
          <w:w w:val="100"/>
          <w:sz w:val="24"/>
          <w:highlight w:val="none"/>
        </w:rPr>
        <w:t>供应商为提供</w:t>
      </w:r>
      <w:r>
        <w:rPr>
          <w:rFonts w:hint="eastAsia" w:ascii="微软雅黑" w:hAnsi="微软雅黑" w:eastAsia="微软雅黑" w:cs="微软雅黑"/>
          <w:b w:val="0"/>
          <w:i w:val="0"/>
          <w:caps w:val="0"/>
          <w:color w:val="auto"/>
          <w:spacing w:val="0"/>
          <w:w w:val="100"/>
          <w:sz w:val="24"/>
          <w:highlight w:val="none"/>
          <w:lang w:eastAsia="zh-CN"/>
        </w:rPr>
        <w:t>服务</w:t>
      </w:r>
      <w:r>
        <w:rPr>
          <w:rFonts w:hint="eastAsia" w:ascii="微软雅黑" w:hAnsi="微软雅黑" w:eastAsia="微软雅黑" w:cs="微软雅黑"/>
          <w:b w:val="0"/>
          <w:i w:val="0"/>
          <w:caps w:val="0"/>
          <w:color w:val="auto"/>
          <w:spacing w:val="0"/>
          <w:w w:val="100"/>
          <w:sz w:val="24"/>
          <w:highlight w:val="none"/>
        </w:rPr>
        <w:t>在磋商中伴随磋商的产品如被列入财政部与国家主管部门颁发的节能产品目录或环境标志产品目录或无线局域网产品目录，应提供相关证明，在评标时予以优先采购</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szCs w:val="24"/>
          <w:highlight w:val="none"/>
        </w:rPr>
        <w:t>具体优惠措施为</w:t>
      </w:r>
      <w:r>
        <w:rPr>
          <w:rFonts w:hint="eastAsia" w:ascii="微软雅黑" w:hAnsi="微软雅黑" w:eastAsia="微软雅黑" w:cs="微软雅黑"/>
          <w:b w:val="0"/>
          <w:bCs w:val="0"/>
          <w:i w:val="0"/>
          <w:caps w:val="0"/>
          <w:color w:val="auto"/>
          <w:spacing w:val="0"/>
          <w:w w:val="100"/>
          <w:sz w:val="24"/>
          <w:szCs w:val="24"/>
          <w:highlight w:val="none"/>
          <w:u w:val="single" w:color="000000"/>
        </w:rPr>
        <w:t>：</w:t>
      </w:r>
      <w:r>
        <w:rPr>
          <w:rFonts w:hint="eastAsia" w:ascii="微软雅黑" w:hAnsi="微软雅黑" w:eastAsia="微软雅黑" w:cs="微软雅黑"/>
          <w:b w:val="0"/>
          <w:bCs w:val="0"/>
          <w:i w:val="0"/>
          <w:caps w:val="0"/>
          <w:color w:val="auto"/>
          <w:spacing w:val="0"/>
          <w:w w:val="100"/>
          <w:sz w:val="24"/>
          <w:szCs w:val="24"/>
          <w:highlight w:val="none"/>
          <w:u w:val="single" w:color="000000"/>
          <w:lang w:val="en-US" w:eastAsia="zh-CN"/>
        </w:rPr>
        <w:t>供应商</w:t>
      </w:r>
      <w:r>
        <w:rPr>
          <w:rFonts w:hint="eastAsia" w:ascii="微软雅黑" w:hAnsi="微软雅黑" w:eastAsia="微软雅黑" w:cs="微软雅黑"/>
          <w:b w:val="0"/>
          <w:bCs w:val="0"/>
          <w:i w:val="0"/>
          <w:caps w:val="0"/>
          <w:color w:val="auto"/>
          <w:spacing w:val="0"/>
          <w:w w:val="100"/>
          <w:sz w:val="24"/>
          <w:szCs w:val="24"/>
          <w:highlight w:val="none"/>
          <w:u w:val="single" w:color="000000"/>
        </w:rPr>
        <w:t>所投产品应优先选择《关于印发节能产品政府采购品目清单的通知》（财库〔2019〕19号）、《关于印发环境标志产品政府采购品目清单的通知》（财库〔2019〕</w:t>
      </w:r>
      <w:r>
        <w:rPr>
          <w:rFonts w:hint="eastAsia" w:ascii="微软雅黑" w:hAnsi="微软雅黑" w:eastAsia="微软雅黑" w:cs="微软雅黑"/>
          <w:b w:val="0"/>
          <w:bCs w:val="0"/>
          <w:i w:val="0"/>
          <w:caps w:val="0"/>
          <w:color w:val="auto"/>
          <w:spacing w:val="0"/>
          <w:w w:val="100"/>
          <w:sz w:val="24"/>
          <w:szCs w:val="24"/>
          <w:highlight w:val="none"/>
          <w:u w:val="single" w:color="000000"/>
          <w:lang w:val="en-US" w:eastAsia="zh-CN"/>
        </w:rPr>
        <w:t>18</w:t>
      </w:r>
      <w:r>
        <w:rPr>
          <w:rFonts w:hint="eastAsia" w:ascii="微软雅黑" w:hAnsi="微软雅黑" w:eastAsia="微软雅黑" w:cs="微软雅黑"/>
          <w:b w:val="0"/>
          <w:bCs w:val="0"/>
          <w:i w:val="0"/>
          <w:caps w:val="0"/>
          <w:color w:val="auto"/>
          <w:spacing w:val="0"/>
          <w:w w:val="100"/>
          <w:sz w:val="24"/>
          <w:szCs w:val="24"/>
          <w:highlight w:val="none"/>
          <w:u w:val="single" w:color="000000"/>
        </w:rPr>
        <w:t>号）目录内的产品。</w:t>
      </w:r>
    </w:p>
    <w:p>
      <w:pPr>
        <w:pStyle w:val="11"/>
        <w:tabs>
          <w:tab w:val="clear" w:pos="567"/>
        </w:tabs>
        <w:spacing w:before="0" w:line="400" w:lineRule="exact"/>
        <w:rPr>
          <w:rFonts w:hint="eastAsia" w:ascii="微软雅黑" w:hAnsi="微软雅黑" w:eastAsia="微软雅黑" w:cs="微软雅黑"/>
          <w:color w:val="auto"/>
          <w:highlight w:val="none"/>
        </w:rPr>
      </w:pPr>
      <w:r>
        <w:rPr>
          <w:rFonts w:hint="eastAsia" w:ascii="微软雅黑" w:hAnsi="微软雅黑" w:eastAsia="微软雅黑" w:cs="微软雅黑"/>
          <w:b/>
          <w:bCs/>
          <w:i w:val="0"/>
          <w:caps w:val="0"/>
          <w:color w:val="auto"/>
          <w:spacing w:val="0"/>
          <w:w w:val="100"/>
          <w:kern w:val="2"/>
          <w:sz w:val="24"/>
          <w:szCs w:val="24"/>
          <w:highlight w:val="none"/>
          <w:lang w:val="en-US" w:eastAsia="zh-CN" w:bidi="ar-SA"/>
        </w:rPr>
        <w:t>5.</w:t>
      </w:r>
      <w:bookmarkStart w:id="978" w:name="_Toc18284"/>
      <w:r>
        <w:rPr>
          <w:rFonts w:hint="eastAsia" w:ascii="微软雅黑" w:hAnsi="微软雅黑" w:eastAsia="微软雅黑" w:cs="微软雅黑"/>
          <w:color w:val="auto"/>
          <w:highlight w:val="none"/>
        </w:rPr>
        <w:t xml:space="preserve">中标候选人并列式时的处理方式：   </w:t>
      </w:r>
    </w:p>
    <w:p>
      <w:pPr>
        <w:pStyle w:val="3"/>
        <w:spacing w:line="400" w:lineRule="exact"/>
        <w:ind w:firstLine="0"/>
        <w:rPr>
          <w:rFonts w:hint="eastAsia" w:ascii="微软雅黑" w:hAnsi="微软雅黑" w:eastAsia="微软雅黑" w:cs="微软雅黑"/>
          <w:color w:val="auto"/>
          <w:kern w:val="2"/>
          <w:szCs w:val="24"/>
          <w:highlight w:val="none"/>
          <w:u w:val="single"/>
        </w:rPr>
      </w:pPr>
      <w:r>
        <w:rPr>
          <w:rFonts w:hint="eastAsia" w:ascii="微软雅黑" w:hAnsi="微软雅黑" w:eastAsia="微软雅黑" w:cs="微软雅黑"/>
          <w:color w:val="auto"/>
          <w:kern w:val="2"/>
          <w:szCs w:val="24"/>
          <w:highlight w:val="none"/>
        </w:rPr>
        <w:t>如采用综合评标法，则：</w:t>
      </w:r>
      <w:r>
        <w:rPr>
          <w:rFonts w:hint="eastAsia" w:ascii="微软雅黑" w:hAnsi="微软雅黑" w:eastAsia="微软雅黑" w:cs="微软雅黑"/>
          <w:color w:val="auto"/>
          <w:kern w:val="2"/>
          <w:szCs w:val="24"/>
          <w:highlight w:val="none"/>
          <w:u w:val="single"/>
        </w:rPr>
        <w:t>评标结果按评审后得分由高到低顺序排列。得分相同的，按投标报价由低到高顺序排列。得分且投标报价相同的并列。</w:t>
      </w:r>
      <w:r>
        <w:rPr>
          <w:rFonts w:hint="eastAsia" w:ascii="微软雅黑" w:hAnsi="微软雅黑" w:eastAsia="微软雅黑" w:cs="微软雅黑"/>
          <w:color w:val="auto"/>
          <w:kern w:val="2"/>
          <w:szCs w:val="24"/>
          <w:highlight w:val="none"/>
          <w:u w:val="single"/>
          <w:lang w:eastAsia="zh-CN"/>
        </w:rPr>
        <w:t>响应</w:t>
      </w:r>
      <w:r>
        <w:rPr>
          <w:rFonts w:hint="eastAsia" w:ascii="微软雅黑" w:hAnsi="微软雅黑" w:eastAsia="微软雅黑" w:cs="微软雅黑"/>
          <w:color w:val="auto"/>
          <w:kern w:val="2"/>
          <w:szCs w:val="24"/>
          <w:highlight w:val="none"/>
          <w:u w:val="single"/>
        </w:rPr>
        <w:t>文件满足</w:t>
      </w:r>
      <w:r>
        <w:rPr>
          <w:rFonts w:hint="eastAsia" w:ascii="微软雅黑" w:hAnsi="微软雅黑" w:eastAsia="微软雅黑" w:cs="微软雅黑"/>
          <w:color w:val="auto"/>
          <w:kern w:val="2"/>
          <w:szCs w:val="24"/>
          <w:highlight w:val="none"/>
          <w:u w:val="single"/>
          <w:lang w:eastAsia="zh-CN"/>
        </w:rPr>
        <w:t>磋商</w:t>
      </w:r>
      <w:r>
        <w:rPr>
          <w:rFonts w:hint="eastAsia" w:ascii="微软雅黑" w:hAnsi="微软雅黑" w:eastAsia="微软雅黑" w:cs="微软雅黑"/>
          <w:color w:val="auto"/>
          <w:kern w:val="2"/>
          <w:szCs w:val="24"/>
          <w:highlight w:val="none"/>
          <w:u w:val="single"/>
        </w:rPr>
        <w:t xml:space="preserve">文件全部实质性要求，且按照评审因素的量化指标评审得分最高的供应商为排名第一的中标候选人。  </w:t>
      </w:r>
    </w:p>
    <w:p>
      <w:pPr>
        <w:pStyle w:val="35"/>
        <w:keepNext w:val="0"/>
        <w:keepLines w:val="0"/>
        <w:pageBreakBefore w:val="0"/>
        <w:shd w:val="clear"/>
        <w:kinsoku/>
        <w:wordWrap/>
        <w:overflowPunct/>
        <w:topLinePunct w:val="0"/>
        <w:bidi w:val="0"/>
        <w:spacing w:line="400" w:lineRule="exact"/>
        <w:ind w:left="0" w:leftChars="0" w:firstLine="0" w:firstLineChars="0"/>
        <w:rPr>
          <w:rFonts w:hint="eastAsia" w:ascii="微软雅黑" w:hAnsi="微软雅黑" w:eastAsia="微软雅黑" w:cs="微软雅黑"/>
          <w:b w:val="0"/>
          <w:i w:val="0"/>
          <w:caps w:val="0"/>
          <w:color w:val="auto"/>
          <w:spacing w:val="0"/>
          <w:w w:val="100"/>
          <w:sz w:val="24"/>
          <w:highlight w:val="none"/>
          <w:lang w:val="en-US" w:eastAsia="zh-CN"/>
        </w:rPr>
      </w:pPr>
    </w:p>
    <w:p>
      <w:pPr>
        <w:shd w:val="clear"/>
        <w:spacing w:line="300" w:lineRule="auto"/>
        <w:jc w:val="center"/>
        <w:outlineLvl w:val="1"/>
        <w:rPr>
          <w:rFonts w:hint="eastAsia" w:ascii="微软雅黑" w:hAnsi="微软雅黑" w:eastAsia="微软雅黑" w:cs="微软雅黑"/>
          <w:b/>
          <w:bCs/>
          <w:color w:val="auto"/>
          <w:sz w:val="24"/>
          <w:highlight w:val="none"/>
        </w:rPr>
        <w:sectPr>
          <w:pgSz w:w="11907" w:h="16840"/>
          <w:pgMar w:top="1474" w:right="1814" w:bottom="1474" w:left="1814" w:header="851" w:footer="851" w:gutter="0"/>
          <w:pgNumType w:fmt="decimal"/>
          <w:cols w:space="720" w:num="1"/>
          <w:docGrid w:linePitch="462" w:charSpace="0"/>
        </w:sectPr>
      </w:pPr>
    </w:p>
    <w:p>
      <w:pPr>
        <w:shd w:val="clear"/>
        <w:snapToGrid w:val="0"/>
        <w:spacing w:before="0" w:beforeAutospacing="0" w:after="0" w:afterAutospacing="0" w:line="300" w:lineRule="auto"/>
        <w:jc w:val="center"/>
        <w:textAlignment w:val="baseline"/>
        <w:outlineLvl w:val="1"/>
        <w:rPr>
          <w:rFonts w:hint="eastAsia" w:ascii="微软雅黑" w:hAnsi="微软雅黑" w:eastAsia="微软雅黑" w:cs="微软雅黑"/>
          <w:b/>
          <w:bCs/>
          <w:i w:val="0"/>
          <w:caps w:val="0"/>
          <w:color w:val="auto"/>
          <w:spacing w:val="0"/>
          <w:w w:val="100"/>
          <w:sz w:val="24"/>
          <w:highlight w:val="none"/>
        </w:rPr>
      </w:pPr>
      <w:bookmarkStart w:id="979" w:name="_Toc17811"/>
      <w:bookmarkStart w:id="980" w:name="_Toc22768"/>
      <w:bookmarkStart w:id="981" w:name="_Toc5480"/>
      <w:bookmarkStart w:id="982" w:name="_Toc5997"/>
      <w:bookmarkStart w:id="983" w:name="_Toc4729"/>
      <w:bookmarkStart w:id="984" w:name="_Toc25450"/>
      <w:bookmarkStart w:id="985" w:name="_Toc26847"/>
      <w:bookmarkStart w:id="986" w:name="_Toc11629"/>
      <w:bookmarkStart w:id="987" w:name="_Toc19292"/>
      <w:bookmarkStart w:id="988" w:name="_Toc21742"/>
      <w:bookmarkStart w:id="989" w:name="_Toc9048"/>
      <w:bookmarkStart w:id="990" w:name="_Toc3722"/>
      <w:bookmarkStart w:id="991" w:name="_Toc15607"/>
      <w:r>
        <w:rPr>
          <w:rFonts w:hint="eastAsia" w:ascii="微软雅黑" w:hAnsi="微软雅黑" w:eastAsia="微软雅黑" w:cs="微软雅黑"/>
          <w:b/>
          <w:bCs/>
          <w:i w:val="0"/>
          <w:caps w:val="0"/>
          <w:color w:val="auto"/>
          <w:spacing w:val="0"/>
          <w:w w:val="100"/>
          <w:sz w:val="24"/>
          <w:highlight w:val="none"/>
        </w:rPr>
        <w:t>初步评审—资格性审查表</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tbl>
      <w:tblPr>
        <w:tblStyle w:val="36"/>
        <w:tblpPr w:leftFromText="180" w:rightFromText="180" w:vertAnchor="text" w:horzAnchor="page" w:tblpXSpec="center" w:tblpY="262"/>
        <w:tblOverlap w:val="never"/>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98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731" w:type="dxa"/>
            <w:gridSpan w:val="2"/>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pacing w:val="-2"/>
                <w:szCs w:val="21"/>
                <w:highlight w:val="none"/>
              </w:rPr>
            </w:pPr>
            <w:r>
              <w:rPr>
                <w:rFonts w:hint="eastAsia" w:ascii="微软雅黑" w:hAnsi="微软雅黑" w:eastAsia="微软雅黑" w:cs="微软雅黑"/>
                <w:b/>
                <w:color w:val="auto"/>
                <w:sz w:val="22"/>
                <w:szCs w:val="22"/>
                <w:highlight w:val="none"/>
              </w:rPr>
              <w:t>评审内容</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pacing w:val="-2"/>
                <w:szCs w:val="21"/>
                <w:highlight w:val="none"/>
              </w:rPr>
            </w:pPr>
            <w:r>
              <w:rPr>
                <w:rFonts w:hint="eastAsia" w:ascii="微软雅黑" w:hAnsi="微软雅黑" w:eastAsia="微软雅黑" w:cs="微软雅黑"/>
                <w:b/>
                <w:color w:val="auto"/>
                <w:szCs w:val="21"/>
                <w:highlight w:val="none"/>
              </w:rPr>
              <w:t>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序号</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ascii="微软雅黑" w:hAnsi="微软雅黑" w:eastAsia="微软雅黑" w:cs="微软雅黑"/>
                <w:color w:val="auto"/>
                <w:sz w:val="24"/>
                <w:highlight w:val="none"/>
              </w:rPr>
            </w:pP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提供具有有效的独立法人营业执照；</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textAlignment w:val="auto"/>
              <w:rPr>
                <w:rFonts w:ascii="微软雅黑" w:hAnsi="微软雅黑" w:eastAsia="微软雅黑" w:cs="微软雅黑"/>
                <w:color w:val="auto"/>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提供法人代表资格证明及授权书、被授权人身份证；(法人投标需提供法人身份证)；</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提供近两年任意一年的财务审计报告，新成立的公司提供近三个月内任意一个月的银行资信证明；</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提供依法缴纳近6个月任意一个月社会保险的凭据；</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提供税务部门出具的近6个月任意一个月的完税证明；</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现场招标代理或招标人查询为准）</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7</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提供参与政府采购活动前3年内未被列入失信、重大税收违法案件、财政部门禁止参加政府采购活动的承诺书；</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8</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提供针对本次项目《反商业贿赂承诺书》；</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9</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缴纳磋商保证金的银行回执单。</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39" w:type="dxa"/>
            <w:gridSpan w:val="3"/>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备注：如发现上述情况之一的，其投标将被否决。</w:t>
            </w:r>
          </w:p>
        </w:tc>
      </w:tr>
    </w:tbl>
    <w:p>
      <w:pPr>
        <w:pStyle w:val="25"/>
        <w:rPr>
          <w:rFonts w:hint="eastAsia"/>
          <w:color w:val="auto"/>
        </w:rPr>
      </w:pP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说明：（1）上述各项中用“√”表示通过，“×”表示不通过；</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（2）上述各项中如有一项为“×”，则结论为“×”，表示该磋商文件中存在重大偏差，不能通过初步评审；评委对某一分项评审认为不合格时，必须要写明原因。</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（3）磋商文件最终合格与否，以所有评委的评审意见中少数服从多数为原则定论。</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备注：如果磋商文件中有一项未通过上述审查标准，评审委员会将认定整个磋商文件未响应磋商文件而予以废标处理。</w:t>
      </w:r>
      <w:bookmarkStart w:id="992" w:name="_Toc22896"/>
      <w:bookmarkStart w:id="993" w:name="_Toc19552"/>
    </w:p>
    <w:p>
      <w:pPr>
        <w:pStyle w:val="25"/>
        <w:rPr>
          <w:rFonts w:hint="eastAsia" w:ascii="微软雅黑" w:hAnsi="微软雅黑" w:eastAsia="微软雅黑" w:cs="微软雅黑"/>
          <w:b/>
          <w:bCs/>
          <w:i w:val="0"/>
          <w:caps w:val="0"/>
          <w:color w:val="auto"/>
          <w:spacing w:val="0"/>
          <w:w w:val="100"/>
          <w:sz w:val="24"/>
          <w:highlight w:val="none"/>
        </w:rPr>
      </w:pPr>
    </w:p>
    <w:p>
      <w:pPr>
        <w:pStyle w:val="3"/>
        <w:shd w:val="clear"/>
        <w:snapToGrid w:val="0"/>
        <w:spacing w:before="0" w:beforeAutospacing="0" w:after="0" w:afterAutospacing="0" w:line="300" w:lineRule="auto"/>
        <w:ind w:firstLine="0"/>
        <w:jc w:val="center"/>
        <w:textAlignment w:val="baseline"/>
        <w:outlineLvl w:val="1"/>
        <w:rPr>
          <w:rFonts w:hint="eastAsia" w:ascii="微软雅黑" w:hAnsi="微软雅黑" w:eastAsia="微软雅黑" w:cs="微软雅黑"/>
          <w:b/>
          <w:i w:val="0"/>
          <w:caps w:val="0"/>
          <w:color w:val="auto"/>
          <w:spacing w:val="0"/>
          <w:w w:val="100"/>
          <w:sz w:val="28"/>
          <w:szCs w:val="28"/>
          <w:highlight w:val="none"/>
        </w:rPr>
      </w:pPr>
      <w:bookmarkStart w:id="994" w:name="_Toc11623"/>
      <w:bookmarkStart w:id="995" w:name="_Toc29959"/>
      <w:bookmarkStart w:id="996" w:name="_Toc25729"/>
      <w:bookmarkStart w:id="997" w:name="_Toc21457"/>
      <w:bookmarkStart w:id="998" w:name="_Toc23517"/>
      <w:bookmarkStart w:id="999" w:name="_Toc347"/>
      <w:bookmarkStart w:id="1000" w:name="_Toc31774"/>
      <w:bookmarkStart w:id="1001" w:name="_Toc10503"/>
      <w:bookmarkStart w:id="1002" w:name="_Toc17473"/>
      <w:bookmarkStart w:id="1003" w:name="_Toc29597"/>
      <w:bookmarkStart w:id="1004" w:name="_Toc4259"/>
      <w:bookmarkStart w:id="1005" w:name="_Toc22949"/>
      <w:r>
        <w:rPr>
          <w:rFonts w:hint="eastAsia" w:ascii="微软雅黑" w:hAnsi="微软雅黑" w:eastAsia="微软雅黑" w:cs="微软雅黑"/>
          <w:b/>
          <w:i w:val="0"/>
          <w:caps w:val="0"/>
          <w:color w:val="auto"/>
          <w:spacing w:val="0"/>
          <w:w w:val="100"/>
          <w:sz w:val="28"/>
          <w:szCs w:val="28"/>
          <w:highlight w:val="none"/>
        </w:rPr>
        <w:t>初步评审—符合性审查表</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tbl>
      <w:tblPr>
        <w:tblStyle w:val="36"/>
        <w:tblpPr w:leftFromText="180" w:rightFromText="180" w:vertAnchor="text" w:horzAnchor="page" w:tblpXSpec="center" w:tblpY="262"/>
        <w:tblOverlap w:val="never"/>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98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731" w:type="dxa"/>
            <w:gridSpan w:val="2"/>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pacing w:val="-2"/>
                <w:szCs w:val="21"/>
                <w:highlight w:val="none"/>
              </w:rPr>
            </w:pPr>
            <w:r>
              <w:rPr>
                <w:rFonts w:hint="eastAsia" w:ascii="微软雅黑" w:hAnsi="微软雅黑" w:eastAsia="微软雅黑" w:cs="微软雅黑"/>
                <w:b/>
                <w:color w:val="auto"/>
                <w:sz w:val="22"/>
                <w:szCs w:val="22"/>
                <w:highlight w:val="none"/>
              </w:rPr>
              <w:t>评审内容</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pacing w:val="-2"/>
                <w:szCs w:val="21"/>
                <w:highlight w:val="none"/>
              </w:rPr>
            </w:pPr>
            <w:r>
              <w:rPr>
                <w:rFonts w:hint="eastAsia" w:ascii="微软雅黑" w:hAnsi="微软雅黑" w:eastAsia="微软雅黑" w:cs="微软雅黑"/>
                <w:b/>
                <w:color w:val="auto"/>
                <w:szCs w:val="21"/>
                <w:highlight w:val="none"/>
              </w:rPr>
              <w:t>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序号</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auto"/>
                <w:sz w:val="24"/>
                <w:highlight w:val="none"/>
              </w:rPr>
            </w:pP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各供应商报价未高于预算金额；</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ascii="微软雅黑" w:hAnsi="微软雅黑" w:eastAsia="微软雅黑" w:cs="微软雅黑"/>
                <w:color w:val="auto"/>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磋商小组认为供应商的报价无明显低于其他通过</w:t>
            </w:r>
            <w:r>
              <w:rPr>
                <w:rFonts w:hint="eastAsia" w:ascii="微软雅黑" w:hAnsi="微软雅黑" w:eastAsia="微软雅黑" w:cs="微软雅黑"/>
                <w:color w:val="auto"/>
                <w:sz w:val="24"/>
                <w:highlight w:val="none"/>
                <w:lang w:val="en-US" w:eastAsia="zh-CN"/>
              </w:rPr>
              <w:t>符合</w:t>
            </w:r>
            <w:r>
              <w:rPr>
                <w:rFonts w:hint="eastAsia" w:ascii="微软雅黑" w:hAnsi="微软雅黑" w:eastAsia="微软雅黑" w:cs="微软雅黑"/>
                <w:color w:val="auto"/>
                <w:sz w:val="24"/>
                <w:highlight w:val="none"/>
              </w:rPr>
              <w:t>性审查供应商的报价的，供应商的报价不存在异常一致并成规律性的，其报价合理。</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响应文件按照磋商文件的规定编制、标记及签署盖章的，法定代表人或其授权代表签字（章）或加盖供应商公章的（响应文件正本的印章和签字不能为复印件）；</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按磋商文件规定的格式填写，内容全或关键字迹清晰等。</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没有采购人不能接受的附加条件的；</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符合磋商文件中规定的其他实质性要求；</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7</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不同供应商的响应文件没有错漏一致的情况；</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8</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供应商附有详细地址、联系人、电话标明的</w:t>
            </w:r>
            <w:r>
              <w:rPr>
                <w:rFonts w:hint="eastAsia" w:ascii="微软雅黑" w:hAnsi="微软雅黑" w:eastAsia="微软雅黑" w:cs="微软雅黑"/>
                <w:color w:val="auto"/>
                <w:sz w:val="24"/>
                <w:highlight w:val="none"/>
                <w:lang w:eastAsia="zh-CN"/>
              </w:rPr>
              <w:t>。</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39" w:type="dxa"/>
            <w:gridSpan w:val="3"/>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备注：如发现上述情况之一的，其投标将被否决。</w:t>
            </w:r>
          </w:p>
        </w:tc>
      </w:tr>
    </w:tbl>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说明：</w:t>
      </w: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（1）上述各项中用“√”表示通过，“×”表示不通过；</w:t>
      </w: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（2）上述各项中如有一项为“×”，则结论为“×”，表示该磋商文件中存在重大偏差，不能通过初步评审；评委对某一分项评审认为不合格时，必须要写明原因。</w:t>
      </w: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（3）磋商文件最终合格与否，以所有评委的评审意见中少数服从多数为原则定论。</w:t>
      </w:r>
    </w:p>
    <w:p>
      <w:pPr>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i w:val="0"/>
          <w:caps w:val="0"/>
          <w:color w:val="auto"/>
          <w:spacing w:val="0"/>
          <w:w w:val="100"/>
          <w:sz w:val="28"/>
          <w:szCs w:val="28"/>
          <w:highlight w:val="none"/>
        </w:rPr>
      </w:pPr>
      <w:r>
        <w:rPr>
          <w:rFonts w:hint="eastAsia" w:ascii="微软雅黑" w:hAnsi="微软雅黑" w:eastAsia="微软雅黑" w:cs="微软雅黑"/>
          <w:b/>
          <w:bCs/>
          <w:i w:val="0"/>
          <w:caps w:val="0"/>
          <w:color w:val="auto"/>
          <w:spacing w:val="0"/>
          <w:w w:val="100"/>
          <w:sz w:val="24"/>
          <w:highlight w:val="none"/>
        </w:rPr>
        <w:t>备注：如果磋商文件中有一项未通过上述审查标准，评审委员会将认定整个磋商文件未响应磋商文件而予以废标处理。</w:t>
      </w:r>
      <w:bookmarkStart w:id="1006" w:name="_Toc20930"/>
      <w:bookmarkStart w:id="1007" w:name="_Toc25310"/>
      <w:bookmarkStart w:id="1008" w:name="_Toc507399904"/>
    </w:p>
    <w:p>
      <w:pPr>
        <w:pStyle w:val="11"/>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caps w:val="0"/>
          <w:color w:val="auto"/>
          <w:spacing w:val="0"/>
          <w:w w:val="100"/>
          <w:sz w:val="24"/>
          <w:highlight w:val="none"/>
        </w:rPr>
      </w:pPr>
    </w:p>
    <w:p>
      <w:pPr>
        <w:shd w:val="clear"/>
        <w:snapToGrid w:val="0"/>
        <w:spacing w:before="0" w:beforeAutospacing="0" w:after="0" w:afterAutospacing="0" w:line="360" w:lineRule="exact"/>
        <w:jc w:val="center"/>
        <w:textAlignment w:val="baseline"/>
        <w:rPr>
          <w:rFonts w:hint="eastAsia" w:ascii="微软雅黑" w:hAnsi="微软雅黑" w:eastAsia="微软雅黑" w:cs="微软雅黑"/>
          <w:b/>
          <w:bCs/>
          <w:i w:val="0"/>
          <w:caps w:val="0"/>
          <w:color w:val="auto"/>
          <w:spacing w:val="0"/>
          <w:w w:val="100"/>
          <w:sz w:val="24"/>
          <w:highlight w:val="none"/>
        </w:rPr>
      </w:pPr>
    </w:p>
    <w:p>
      <w:pPr>
        <w:shd w:val="clear"/>
        <w:snapToGrid w:val="0"/>
        <w:spacing w:before="0" w:beforeAutospacing="0" w:after="0" w:afterAutospacing="0" w:line="360" w:lineRule="exact"/>
        <w:jc w:val="center"/>
        <w:textAlignment w:val="baseline"/>
        <w:rPr>
          <w:rFonts w:hint="eastAsia" w:ascii="微软雅黑" w:hAnsi="微软雅黑" w:eastAsia="微软雅黑" w:cs="微软雅黑"/>
          <w:b/>
          <w:bCs/>
          <w:i w:val="0"/>
          <w:caps w:val="0"/>
          <w:color w:val="auto"/>
          <w:spacing w:val="0"/>
          <w:w w:val="100"/>
          <w:sz w:val="24"/>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i w:val="0"/>
          <w:caps w:val="0"/>
          <w:color w:val="auto"/>
          <w:spacing w:val="0"/>
          <w:w w:val="100"/>
          <w:sz w:val="28"/>
          <w:szCs w:val="28"/>
          <w:highlight w:val="none"/>
        </w:rPr>
      </w:pPr>
    </w:p>
    <w:p>
      <w:pPr>
        <w:shd w:val="clear"/>
        <w:snapToGrid w:val="0"/>
        <w:spacing w:before="0" w:beforeAutospacing="0" w:after="0" w:afterAutospacing="0" w:line="240" w:lineRule="atLeast"/>
        <w:ind w:left="1080" w:leftChars="257" w:hanging="540"/>
        <w:jc w:val="center"/>
        <w:textAlignment w:val="baseline"/>
        <w:outlineLvl w:val="1"/>
        <w:rPr>
          <w:rFonts w:hint="eastAsia" w:ascii="微软雅黑" w:hAnsi="微软雅黑" w:eastAsia="微软雅黑" w:cs="微软雅黑"/>
          <w:b/>
          <w:i w:val="0"/>
          <w:caps w:val="0"/>
          <w:color w:val="auto"/>
          <w:spacing w:val="0"/>
          <w:w w:val="100"/>
          <w:sz w:val="20"/>
          <w:szCs w:val="21"/>
          <w:highlight w:val="none"/>
        </w:rPr>
      </w:pPr>
      <w:bookmarkStart w:id="1009" w:name="_Toc11236"/>
      <w:bookmarkStart w:id="1010" w:name="_Toc27185"/>
      <w:bookmarkStart w:id="1011" w:name="_Toc31977"/>
      <w:bookmarkStart w:id="1012" w:name="_Toc31192"/>
      <w:bookmarkStart w:id="1013" w:name="_Toc21562"/>
      <w:bookmarkStart w:id="1014" w:name="_Toc20547"/>
      <w:bookmarkStart w:id="1015" w:name="_Toc19042"/>
      <w:bookmarkStart w:id="1016" w:name="_Toc26098"/>
      <w:bookmarkStart w:id="1017" w:name="_Toc10809"/>
      <w:bookmarkStart w:id="1018" w:name="_Toc20034"/>
      <w:bookmarkStart w:id="1019" w:name="_Toc19309"/>
      <w:bookmarkStart w:id="1020" w:name="_Toc21660"/>
      <w:r>
        <w:rPr>
          <w:rFonts w:hint="eastAsia" w:ascii="微软雅黑" w:hAnsi="微软雅黑" w:eastAsia="微软雅黑" w:cs="微软雅黑"/>
          <w:b/>
          <w:i w:val="0"/>
          <w:caps w:val="0"/>
          <w:color w:val="auto"/>
          <w:spacing w:val="0"/>
          <w:w w:val="100"/>
          <w:sz w:val="28"/>
          <w:szCs w:val="28"/>
          <w:highlight w:val="none"/>
        </w:rPr>
        <w:t>综合评分表</w:t>
      </w:r>
      <w:bookmarkEnd w:id="1006"/>
      <w:bookmarkEnd w:id="1007"/>
      <w:bookmarkEnd w:id="1009"/>
      <w:bookmarkEnd w:id="1010"/>
      <w:bookmarkEnd w:id="1011"/>
      <w:bookmarkEnd w:id="1012"/>
      <w:bookmarkEnd w:id="1013"/>
      <w:bookmarkEnd w:id="1014"/>
      <w:bookmarkEnd w:id="1015"/>
      <w:bookmarkEnd w:id="1016"/>
      <w:bookmarkEnd w:id="1017"/>
      <w:bookmarkEnd w:id="1018"/>
      <w:bookmarkEnd w:id="1019"/>
      <w:bookmarkEnd w:id="1020"/>
      <w:r>
        <w:rPr>
          <w:rFonts w:hint="eastAsia" w:ascii="微软雅黑" w:hAnsi="微软雅黑" w:eastAsia="微软雅黑" w:cs="微软雅黑"/>
          <w:b/>
          <w:i w:val="0"/>
          <w:caps w:val="0"/>
          <w:color w:val="auto"/>
          <w:spacing w:val="0"/>
          <w:w w:val="100"/>
          <w:sz w:val="28"/>
          <w:szCs w:val="28"/>
          <w:highlight w:val="none"/>
        </w:rPr>
        <w:t xml:space="preserve"> </w:t>
      </w:r>
    </w:p>
    <w:tbl>
      <w:tblPr>
        <w:tblStyle w:val="36"/>
        <w:tblpPr w:leftFromText="180" w:rightFromText="180" w:vertAnchor="text" w:horzAnchor="page" w:tblpX="1004" w:tblpY="317"/>
        <w:tblOverlap w:val="never"/>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13"/>
        <w:gridCol w:w="701"/>
        <w:gridCol w:w="6537"/>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rPr>
        <w:tc>
          <w:tcPr>
            <w:tcW w:w="84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28"/>
              <w:jc w:val="center"/>
              <w:textAlignment w:val="auto"/>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序号</w:t>
            </w:r>
          </w:p>
        </w:tc>
        <w:tc>
          <w:tcPr>
            <w:tcW w:w="1013"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28"/>
              <w:jc w:val="center"/>
              <w:textAlignment w:val="auto"/>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评分因素</w:t>
            </w:r>
          </w:p>
          <w:p>
            <w:pPr>
              <w:keepNext w:val="0"/>
              <w:keepLines w:val="0"/>
              <w:pageBreakBefore w:val="0"/>
              <w:widowControl w:val="0"/>
              <w:kinsoku/>
              <w:wordWrap/>
              <w:overflowPunct/>
              <w:topLinePunct w:val="0"/>
              <w:autoSpaceDE/>
              <w:autoSpaceDN/>
              <w:bidi w:val="0"/>
              <w:adjustRightInd/>
              <w:snapToGrid/>
              <w:spacing w:line="240" w:lineRule="exact"/>
              <w:ind w:firstLine="28"/>
              <w:jc w:val="center"/>
              <w:textAlignment w:val="auto"/>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及权重</w:t>
            </w:r>
          </w:p>
        </w:tc>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28"/>
              <w:jc w:val="center"/>
              <w:textAlignment w:val="auto"/>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分值</w:t>
            </w:r>
          </w:p>
        </w:tc>
        <w:tc>
          <w:tcPr>
            <w:tcW w:w="6537"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28"/>
              <w:jc w:val="center"/>
              <w:textAlignment w:val="auto"/>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评分标准</w:t>
            </w:r>
          </w:p>
          <w:p>
            <w:pPr>
              <w:keepNext w:val="0"/>
              <w:keepLines w:val="0"/>
              <w:pageBreakBefore w:val="0"/>
              <w:widowControl w:val="0"/>
              <w:kinsoku/>
              <w:wordWrap/>
              <w:overflowPunct/>
              <w:topLinePunct w:val="0"/>
              <w:autoSpaceDE/>
              <w:autoSpaceDN/>
              <w:bidi w:val="0"/>
              <w:adjustRightInd/>
              <w:snapToGrid/>
              <w:spacing w:line="240" w:lineRule="exact"/>
              <w:ind w:firstLine="28"/>
              <w:jc w:val="center"/>
              <w:textAlignment w:val="auto"/>
              <w:rPr>
                <w:rFonts w:hint="eastAsia" w:ascii="微软雅黑" w:hAnsi="微软雅黑" w:eastAsia="微软雅黑" w:cs="微软雅黑"/>
                <w:b/>
                <w:color w:val="auto"/>
                <w:sz w:val="18"/>
                <w:szCs w:val="18"/>
              </w:rPr>
            </w:pPr>
            <w:r>
              <w:rPr>
                <w:rFonts w:hint="eastAsia" w:ascii="微软雅黑" w:hAnsi="微软雅黑" w:eastAsia="微软雅黑" w:cs="微软雅黑"/>
                <w:color w:val="auto"/>
                <w:sz w:val="18"/>
                <w:szCs w:val="18"/>
              </w:rPr>
              <w:t>价   格：</w:t>
            </w:r>
            <w:r>
              <w:rPr>
                <w:rFonts w:hint="eastAsia" w:ascii="微软雅黑" w:hAnsi="微软雅黑" w:eastAsia="微软雅黑" w:cs="微软雅黑"/>
                <w:color w:val="auto"/>
                <w:sz w:val="18"/>
                <w:szCs w:val="18"/>
                <w:lang w:val="en-US" w:eastAsia="zh-CN"/>
              </w:rPr>
              <w:t>10</w:t>
            </w:r>
            <w:r>
              <w:rPr>
                <w:rFonts w:hint="eastAsia" w:ascii="微软雅黑" w:hAnsi="微软雅黑" w:eastAsia="微软雅黑" w:cs="微软雅黑"/>
                <w:color w:val="auto"/>
                <w:sz w:val="18"/>
                <w:szCs w:val="18"/>
              </w:rPr>
              <w:t>分  商   务：</w:t>
            </w:r>
            <w:r>
              <w:rPr>
                <w:rFonts w:hint="eastAsia" w:ascii="微软雅黑" w:hAnsi="微软雅黑" w:eastAsia="微软雅黑" w:cs="微软雅黑"/>
                <w:color w:val="auto"/>
                <w:sz w:val="18"/>
                <w:szCs w:val="18"/>
                <w:lang w:val="en-US" w:eastAsia="zh-CN"/>
              </w:rPr>
              <w:t>3</w:t>
            </w:r>
            <w:r>
              <w:rPr>
                <w:rFonts w:hint="eastAsia" w:ascii="微软雅黑" w:hAnsi="微软雅黑" w:eastAsia="微软雅黑" w:cs="微软雅黑"/>
                <w:color w:val="auto"/>
                <w:sz w:val="18"/>
                <w:szCs w:val="18"/>
              </w:rPr>
              <w:t>分   技   术：</w:t>
            </w:r>
            <w:r>
              <w:rPr>
                <w:rFonts w:hint="eastAsia" w:ascii="微软雅黑" w:hAnsi="微软雅黑" w:eastAsia="微软雅黑" w:cs="微软雅黑"/>
                <w:color w:val="auto"/>
                <w:sz w:val="18"/>
                <w:szCs w:val="18"/>
                <w:lang w:val="en-US" w:eastAsia="zh-CN"/>
              </w:rPr>
              <w:t>87</w:t>
            </w:r>
            <w:r>
              <w:rPr>
                <w:rFonts w:hint="eastAsia" w:ascii="微软雅黑" w:hAnsi="微软雅黑" w:eastAsia="微软雅黑" w:cs="微软雅黑"/>
                <w:color w:val="auto"/>
                <w:sz w:val="18"/>
                <w:szCs w:val="18"/>
              </w:rPr>
              <w:t xml:space="preserve">分              </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jc w:val="center"/>
              <w:textAlignment w:val="auto"/>
              <w:rPr>
                <w:rFonts w:hint="eastAsia" w:ascii="微软雅黑" w:hAnsi="微软雅黑" w:eastAsia="微软雅黑" w:cs="微软雅黑"/>
                <w:b/>
                <w:color w:val="auto"/>
                <w:kern w:val="2"/>
                <w:sz w:val="18"/>
                <w:szCs w:val="18"/>
                <w:lang w:val="en-US" w:eastAsia="zh-CN" w:bidi="ar-SA"/>
              </w:rPr>
            </w:pPr>
            <w:r>
              <w:rPr>
                <w:rFonts w:hint="eastAsia" w:ascii="微软雅黑" w:hAnsi="微软雅黑" w:eastAsia="微软雅黑" w:cs="微软雅黑"/>
                <w:b/>
                <w:color w:val="auto"/>
                <w:kern w:val="2"/>
                <w:sz w:val="18"/>
                <w:szCs w:val="18"/>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atLeast"/>
        </w:trPr>
        <w:tc>
          <w:tcPr>
            <w:tcW w:w="846"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价格评分标准</w:t>
            </w:r>
          </w:p>
        </w:tc>
        <w:tc>
          <w:tcPr>
            <w:tcW w:w="101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color w:val="auto"/>
                <w:sz w:val="18"/>
                <w:szCs w:val="18"/>
                <w:highlight w:val="none"/>
              </w:rPr>
              <w:t>投标报价</w:t>
            </w:r>
          </w:p>
        </w:tc>
        <w:tc>
          <w:tcPr>
            <w:tcW w:w="7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sz w:val="18"/>
                <w:szCs w:val="18"/>
                <w:highlight w:val="none"/>
                <w:lang w:val="en-US" w:eastAsia="zh-CN"/>
              </w:rPr>
            </w:pPr>
            <w:r>
              <w:rPr>
                <w:rFonts w:hint="eastAsia" w:ascii="微软雅黑" w:hAnsi="微软雅黑" w:eastAsia="微软雅黑" w:cs="微软雅黑"/>
                <w:color w:val="auto"/>
                <w:sz w:val="18"/>
                <w:szCs w:val="18"/>
                <w:highlight w:val="none"/>
                <w:lang w:val="en-US" w:eastAsia="zh-CN"/>
              </w:rPr>
              <w:t>10</w:t>
            </w:r>
          </w:p>
        </w:tc>
        <w:tc>
          <w:tcPr>
            <w:tcW w:w="653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kern w:val="0"/>
                <w:sz w:val="18"/>
                <w:szCs w:val="18"/>
                <w:lang w:val="en-US" w:eastAsia="zh-CN"/>
              </w:rPr>
            </w:pPr>
            <w:r>
              <w:rPr>
                <w:rFonts w:hint="eastAsia" w:ascii="微软雅黑" w:hAnsi="微软雅黑" w:eastAsia="微软雅黑" w:cs="微软雅黑"/>
                <w:color w:val="auto"/>
                <w:kern w:val="0"/>
                <w:sz w:val="18"/>
                <w:szCs w:val="18"/>
                <w:lang w:val="en-US" w:eastAsia="zh-CN"/>
              </w:rPr>
              <w:t>完全满足磋商文件要求的投标报价中的最低价为评标基准价，按照下列公式计算每个供应商的投标价格得分。投标报价得分＝（基准价/投标报价）×价格权重×100。</w:t>
            </w:r>
          </w:p>
        </w:tc>
        <w:tc>
          <w:tcPr>
            <w:tcW w:w="1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投标报价超过采购预算价的按废标处理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trPr>
        <w:tc>
          <w:tcPr>
            <w:tcW w:w="84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技术评分标准</w:t>
            </w:r>
          </w:p>
        </w:tc>
        <w:tc>
          <w:tcPr>
            <w:tcW w:w="10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项目总体规划</w:t>
            </w:r>
            <w:r>
              <w:rPr>
                <w:rFonts w:hint="eastAsia" w:ascii="微软雅黑" w:hAnsi="微软雅黑" w:eastAsia="微软雅黑" w:cs="微软雅黑"/>
                <w:color w:val="auto"/>
                <w:sz w:val="18"/>
                <w:szCs w:val="18"/>
                <w:lang w:eastAsia="zh-CN"/>
              </w:rPr>
              <w:t>与课程安排</w:t>
            </w:r>
          </w:p>
        </w:tc>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20</w:t>
            </w:r>
          </w:p>
        </w:tc>
        <w:tc>
          <w:tcPr>
            <w:tcW w:w="653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kern w:val="0"/>
                <w:sz w:val="18"/>
                <w:szCs w:val="18"/>
                <w:lang w:val="en-US" w:eastAsia="zh-CN"/>
              </w:rPr>
            </w:pPr>
            <w:r>
              <w:rPr>
                <w:rFonts w:hint="eastAsia" w:ascii="微软雅黑" w:hAnsi="微软雅黑" w:eastAsia="微软雅黑" w:cs="微软雅黑"/>
                <w:color w:val="auto"/>
                <w:kern w:val="0"/>
                <w:sz w:val="18"/>
                <w:szCs w:val="18"/>
                <w:lang w:val="en-US" w:eastAsia="zh-CN"/>
              </w:rPr>
              <w:t>综合考虑供应商对本项目工作的总体认识、理解和活动的整体规划。</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内容全面、具体、清晰、课程安排合理得：20分；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内容较为全面、较为具体、较为清晰、活动安排较为合理得：17分；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内容不够全面、不够具体、不够清晰、活动安排不够合理得：14分。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内容极差或不提供不得分。</w:t>
            </w:r>
          </w:p>
        </w:tc>
        <w:tc>
          <w:tcPr>
            <w:tcW w:w="1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b/>
                <w:bCs/>
                <w:color w:val="auto"/>
                <w:sz w:val="18"/>
                <w:szCs w:val="18"/>
              </w:rPr>
              <w:t>根据需求提供必要的证明资料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6" w:hRule="atLeast"/>
        </w:trPr>
        <w:tc>
          <w:tcPr>
            <w:tcW w:w="84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c>
          <w:tcPr>
            <w:tcW w:w="10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18"/>
                <w:szCs w:val="18"/>
                <w:lang w:eastAsia="zh-CN"/>
              </w:rPr>
            </w:pPr>
            <w:r>
              <w:rPr>
                <w:rFonts w:hint="eastAsia" w:ascii="微软雅黑" w:hAnsi="微软雅黑" w:eastAsia="微软雅黑" w:cs="微软雅黑"/>
                <w:color w:val="auto"/>
                <w:sz w:val="18"/>
                <w:szCs w:val="18"/>
                <w:lang w:eastAsia="zh-CN"/>
              </w:rPr>
              <w:t>拟投入本项目的执行团队情况</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18"/>
                <w:szCs w:val="18"/>
              </w:rPr>
            </w:pPr>
          </w:p>
        </w:tc>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20</w:t>
            </w:r>
          </w:p>
        </w:tc>
        <w:tc>
          <w:tcPr>
            <w:tcW w:w="653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kern w:val="0"/>
                <w:sz w:val="18"/>
                <w:szCs w:val="18"/>
                <w:lang w:val="en-US" w:eastAsia="zh-CN"/>
              </w:rPr>
            </w:pPr>
            <w:r>
              <w:rPr>
                <w:rFonts w:hint="eastAsia" w:ascii="微软雅黑" w:hAnsi="微软雅黑" w:eastAsia="微软雅黑" w:cs="微软雅黑"/>
                <w:color w:val="auto"/>
                <w:kern w:val="0"/>
                <w:sz w:val="18"/>
                <w:szCs w:val="18"/>
                <w:lang w:val="en-US" w:eastAsia="zh-CN"/>
              </w:rPr>
              <w:t>项目负责人：项目负责人应具有丰富的实践经验和组织管理能力；</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项目组组成人员：项目组的人员构成合理，项目经验丰富，有利于项目的执行，是一支具有专业性、科学性、可靠性的执行团队。</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项目团队配置合理、科学性强、专业性强、团队经验丰富得20分；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项目团队配置较为合理、科学性较强、专业性较强、团队欠缺得 17分；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项目团队配置不合理、专业性不足、团队无相关经验得14分；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内容极差或不提供不得分。</w:t>
            </w:r>
          </w:p>
        </w:tc>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trPr>
        <w:tc>
          <w:tcPr>
            <w:tcW w:w="84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c>
          <w:tcPr>
            <w:tcW w:w="10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食宿餐饮方案</w:t>
            </w:r>
          </w:p>
        </w:tc>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15</w:t>
            </w:r>
          </w:p>
        </w:tc>
        <w:tc>
          <w:tcPr>
            <w:tcW w:w="653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kern w:val="0"/>
                <w:sz w:val="18"/>
                <w:szCs w:val="18"/>
                <w:lang w:val="en-US" w:eastAsia="zh-CN"/>
              </w:rPr>
            </w:pPr>
            <w:r>
              <w:rPr>
                <w:rFonts w:hint="eastAsia" w:ascii="微软雅黑" w:hAnsi="微软雅黑" w:eastAsia="微软雅黑" w:cs="微软雅黑"/>
                <w:color w:val="auto"/>
                <w:kern w:val="0"/>
                <w:sz w:val="18"/>
                <w:szCs w:val="18"/>
                <w:lang w:val="en-US" w:eastAsia="zh-CN"/>
              </w:rPr>
              <w:t>餐饮食宿安排计划周密、考虑全面、饮食及住宿安全保障措施完善得15分；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餐饮食宿安排计划较周密、考虑较全面、饮食及住宿安全保证措施较完善得12分；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餐饮食宿安排计划基本周密、考虑基本全面、饮食及住宿安全保证措施基本完善得9分。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内容极差或不提供不得分。</w:t>
            </w:r>
          </w:p>
        </w:tc>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2" w:hRule="atLeast"/>
        </w:trPr>
        <w:tc>
          <w:tcPr>
            <w:tcW w:w="84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c>
          <w:tcPr>
            <w:tcW w:w="10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交通、车辆安排方案</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15</w:t>
            </w:r>
          </w:p>
        </w:tc>
        <w:tc>
          <w:tcPr>
            <w:tcW w:w="653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kern w:val="0"/>
                <w:sz w:val="18"/>
                <w:szCs w:val="18"/>
                <w:lang w:val="en-US" w:eastAsia="zh-CN"/>
              </w:rPr>
            </w:pPr>
            <w:r>
              <w:rPr>
                <w:rFonts w:hint="eastAsia" w:ascii="微软雅黑" w:hAnsi="微软雅黑" w:eastAsia="微软雅黑" w:cs="微软雅黑"/>
                <w:color w:val="auto"/>
                <w:kern w:val="0"/>
                <w:sz w:val="18"/>
                <w:szCs w:val="18"/>
                <w:lang w:val="en-US" w:eastAsia="zh-CN"/>
              </w:rPr>
              <w:t>方案内容考虑全面、交通出行线路安排妥当、安全保障措施完善、交通车辆质量保证措施完善、急救车安排计划完善得15分；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方案内容考虑较全面、交通出行线路安排妥当、安全保障措施较完善、交通车辆质量保证措施较完善、急救车安排计划较完善得12分；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方案内容考虑不够全面、交通出行线路安排不够妥当、安全保障措施不够完善、交通车辆质量保证措施不够完善、急救车安排计划不够完善得9分。</w:t>
            </w:r>
            <w:r>
              <w:rPr>
                <w:rFonts w:hint="eastAsia" w:ascii="微软雅黑" w:hAnsi="微软雅黑" w:eastAsia="微软雅黑" w:cs="微软雅黑"/>
                <w:color w:val="auto"/>
                <w:kern w:val="0"/>
                <w:sz w:val="18"/>
                <w:szCs w:val="18"/>
                <w:lang w:val="en-US" w:eastAsia="zh-CN"/>
              </w:rPr>
              <w:br w:type="textWrapping"/>
            </w:r>
            <w:r>
              <w:rPr>
                <w:rFonts w:hint="eastAsia" w:ascii="微软雅黑" w:hAnsi="微软雅黑" w:eastAsia="微软雅黑" w:cs="微软雅黑"/>
                <w:color w:val="auto"/>
                <w:kern w:val="0"/>
                <w:sz w:val="18"/>
                <w:szCs w:val="18"/>
                <w:lang w:val="en-US" w:eastAsia="zh-CN"/>
              </w:rPr>
              <w:t>内容极差或不提供不得分。</w:t>
            </w:r>
          </w:p>
        </w:tc>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6" w:hRule="atLeast"/>
        </w:trPr>
        <w:tc>
          <w:tcPr>
            <w:tcW w:w="84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c>
          <w:tcPr>
            <w:tcW w:w="10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应急预案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18"/>
                <w:szCs w:val="18"/>
                <w:lang w:val="en-US" w:eastAsia="zh-CN"/>
              </w:rPr>
            </w:pPr>
          </w:p>
        </w:tc>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17</w:t>
            </w:r>
          </w:p>
        </w:tc>
        <w:tc>
          <w:tcPr>
            <w:tcW w:w="653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对突发性事件预估合理性，全面度；应急处理措施的全面性、有效性、可操作性等进行评审。</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对于突发事件预估合理、全面；应急预案全面有效、可行、可操作性强，得</w:t>
            </w:r>
            <w:r>
              <w:rPr>
                <w:rFonts w:hint="eastAsia" w:ascii="微软雅黑" w:hAnsi="微软雅黑" w:eastAsia="微软雅黑" w:cs="微软雅黑"/>
                <w:color w:val="auto"/>
                <w:sz w:val="18"/>
                <w:szCs w:val="18"/>
                <w:lang w:val="en-US" w:eastAsia="zh-CN"/>
              </w:rPr>
              <w:t>17</w:t>
            </w:r>
            <w:r>
              <w:rPr>
                <w:rFonts w:hint="eastAsia" w:ascii="微软雅黑" w:hAnsi="微软雅黑" w:eastAsia="微软雅黑" w:cs="微软雅黑"/>
                <w:color w:val="auto"/>
                <w:sz w:val="18"/>
                <w:szCs w:val="18"/>
              </w:rPr>
              <w:t>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对于突发事件预估不够全面；预案可操作性一般，得</w:t>
            </w:r>
            <w:r>
              <w:rPr>
                <w:rFonts w:hint="eastAsia" w:ascii="微软雅黑" w:hAnsi="微软雅黑" w:eastAsia="微软雅黑" w:cs="微软雅黑"/>
                <w:color w:val="auto"/>
                <w:sz w:val="18"/>
                <w:szCs w:val="18"/>
                <w:lang w:val="en-US" w:eastAsia="zh-CN"/>
              </w:rPr>
              <w:t>14</w:t>
            </w:r>
            <w:r>
              <w:rPr>
                <w:rFonts w:hint="eastAsia" w:ascii="微软雅黑" w:hAnsi="微软雅黑" w:eastAsia="微软雅黑" w:cs="微软雅黑"/>
                <w:color w:val="auto"/>
                <w:sz w:val="18"/>
                <w:szCs w:val="18"/>
              </w:rPr>
              <w:t>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 xml:space="preserve">应急预案较差，可操作性较差，得 </w:t>
            </w:r>
            <w:r>
              <w:rPr>
                <w:rFonts w:hint="eastAsia" w:ascii="微软雅黑" w:hAnsi="微软雅黑" w:eastAsia="微软雅黑" w:cs="微软雅黑"/>
                <w:color w:val="auto"/>
                <w:sz w:val="18"/>
                <w:szCs w:val="18"/>
                <w:lang w:val="en-US" w:eastAsia="zh-CN"/>
              </w:rPr>
              <w:t>11</w:t>
            </w:r>
            <w:r>
              <w:rPr>
                <w:rFonts w:hint="eastAsia" w:ascii="微软雅黑" w:hAnsi="微软雅黑" w:eastAsia="微软雅黑" w:cs="微软雅黑"/>
                <w:color w:val="auto"/>
                <w:sz w:val="18"/>
                <w:szCs w:val="18"/>
              </w:rPr>
              <w:t xml:space="preserve">分；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rPr>
              <w:t>无方案得0分。</w:t>
            </w:r>
          </w:p>
        </w:tc>
        <w:tc>
          <w:tcPr>
            <w:tcW w:w="1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84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商务评分标准</w:t>
            </w:r>
          </w:p>
        </w:tc>
        <w:tc>
          <w:tcPr>
            <w:tcW w:w="10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kern w:val="0"/>
                <w:sz w:val="18"/>
                <w:szCs w:val="18"/>
              </w:rPr>
              <w:t>标书制作</w:t>
            </w:r>
          </w:p>
        </w:tc>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3</w:t>
            </w:r>
          </w:p>
        </w:tc>
        <w:tc>
          <w:tcPr>
            <w:tcW w:w="653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lang w:val="en-US" w:eastAsia="zh-CN"/>
              </w:rPr>
              <w:t>响应文件目录与页码对应准确，评审内容便于查找，没有与评审内容无关的资料或文件得3分，否则得0分。</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auto"/>
                <w:sz w:val="18"/>
                <w:szCs w:val="18"/>
              </w:rPr>
            </w:pPr>
          </w:p>
        </w:tc>
      </w:tr>
    </w:tbl>
    <w:p>
      <w:pPr>
        <w:pStyle w:val="35"/>
        <w:shd w:val="clear"/>
        <w:snapToGrid w:val="0"/>
        <w:spacing w:before="0" w:beforeAutospacing="0" w:after="0" w:afterAutospacing="0" w:line="360" w:lineRule="auto"/>
        <w:jc w:val="both"/>
        <w:textAlignment w:val="baseline"/>
        <w:rPr>
          <w:rFonts w:hint="eastAsia" w:ascii="微软雅黑" w:hAnsi="微软雅黑" w:eastAsia="微软雅黑" w:cs="微软雅黑"/>
          <w:b/>
          <w:i w:val="0"/>
          <w:caps w:val="0"/>
          <w:color w:val="auto"/>
          <w:spacing w:val="0"/>
          <w:w w:val="100"/>
          <w:sz w:val="52"/>
          <w:szCs w:val="52"/>
          <w:highlight w:val="none"/>
        </w:rPr>
      </w:pPr>
    </w:p>
    <w:p>
      <w:pPr>
        <w:pStyle w:val="35"/>
        <w:shd w:val="clear"/>
        <w:snapToGrid w:val="0"/>
        <w:spacing w:before="0" w:beforeAutospacing="0" w:after="0" w:afterAutospacing="0" w:line="360" w:lineRule="auto"/>
        <w:ind w:left="0" w:leftChars="0" w:firstLine="0" w:firstLineChars="0"/>
        <w:jc w:val="both"/>
        <w:textAlignment w:val="baseline"/>
        <w:rPr>
          <w:rFonts w:hint="eastAsia" w:ascii="微软雅黑" w:hAnsi="微软雅黑" w:eastAsia="微软雅黑" w:cs="微软雅黑"/>
          <w:b/>
          <w:i w:val="0"/>
          <w:caps w:val="0"/>
          <w:color w:val="auto"/>
          <w:spacing w:val="0"/>
          <w:w w:val="100"/>
          <w:sz w:val="52"/>
          <w:szCs w:val="52"/>
          <w:highlight w:val="none"/>
        </w:rPr>
      </w:pPr>
      <w:bookmarkStart w:id="1894" w:name="_GoBack"/>
      <w:bookmarkEnd w:id="1894"/>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8"/>
          <w:szCs w:val="48"/>
          <w:highlight w:val="none"/>
        </w:rPr>
      </w:pPr>
      <w:r>
        <w:rPr>
          <w:rFonts w:hint="eastAsia" w:ascii="微软雅黑" w:hAnsi="微软雅黑" w:eastAsia="微软雅黑" w:cs="微软雅黑"/>
          <w:b/>
          <w:i w:val="0"/>
          <w:caps w:val="0"/>
          <w:color w:val="auto"/>
          <w:spacing w:val="0"/>
          <w:w w:val="100"/>
          <w:sz w:val="48"/>
          <w:szCs w:val="48"/>
          <w:highlight w:val="none"/>
        </w:rPr>
        <w:t xml:space="preserve">  竞争性磋商文件</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48"/>
          <w:szCs w:val="48"/>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8"/>
          <w:szCs w:val="48"/>
          <w:highlight w:val="none"/>
          <w:lang w:eastAsia="zh-CN"/>
        </w:rPr>
      </w:pPr>
      <w:r>
        <w:rPr>
          <w:rFonts w:hint="eastAsia" w:ascii="微软雅黑" w:hAnsi="微软雅黑" w:eastAsia="微软雅黑" w:cs="微软雅黑"/>
          <w:b/>
          <w:i w:val="0"/>
          <w:caps w:val="0"/>
          <w:color w:val="auto"/>
          <w:spacing w:val="0"/>
          <w:w w:val="100"/>
          <w:sz w:val="48"/>
          <w:szCs w:val="48"/>
          <w:highlight w:val="none"/>
        </w:rPr>
        <w:t>编号：</w:t>
      </w:r>
      <w:r>
        <w:rPr>
          <w:rFonts w:hint="eastAsia" w:ascii="微软雅黑" w:hAnsi="微软雅黑" w:eastAsia="微软雅黑" w:cs="微软雅黑"/>
          <w:b/>
          <w:i w:val="0"/>
          <w:caps w:val="0"/>
          <w:color w:val="auto"/>
          <w:spacing w:val="0"/>
          <w:w w:val="100"/>
          <w:sz w:val="48"/>
          <w:szCs w:val="48"/>
          <w:highlight w:val="none"/>
          <w:lang w:eastAsia="zh-CN"/>
        </w:rPr>
        <w:t>ZPDL(2022)038</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48"/>
          <w:szCs w:val="48"/>
          <w:highlight w:val="none"/>
        </w:rPr>
      </w:pP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28"/>
          <w:highlight w:val="none"/>
        </w:rPr>
      </w:pPr>
    </w:p>
    <w:p>
      <w:pPr>
        <w:shd w:val="clear"/>
        <w:snapToGrid w:val="0"/>
        <w:spacing w:before="0" w:beforeAutospacing="0" w:after="0" w:afterAutospacing="0" w:line="240" w:lineRule="atLeast"/>
        <w:ind w:left="1976" w:leftChars="941" w:firstLine="1642" w:firstLineChars="342"/>
        <w:jc w:val="both"/>
        <w:textAlignment w:val="baseline"/>
        <w:rPr>
          <w:rFonts w:hint="eastAsia" w:ascii="微软雅黑" w:hAnsi="微软雅黑" w:eastAsia="微软雅黑" w:cs="微软雅黑"/>
          <w:b/>
          <w:i w:val="0"/>
          <w:caps w:val="0"/>
          <w:color w:val="auto"/>
          <w:spacing w:val="0"/>
          <w:w w:val="100"/>
          <w:sz w:val="48"/>
          <w:szCs w:val="48"/>
          <w:highlight w:val="none"/>
        </w:rPr>
      </w:pPr>
      <w:r>
        <w:rPr>
          <w:rFonts w:hint="eastAsia" w:ascii="微软雅黑" w:hAnsi="微软雅黑" w:eastAsia="微软雅黑" w:cs="微软雅黑"/>
          <w:b/>
          <w:i w:val="0"/>
          <w:caps w:val="0"/>
          <w:color w:val="auto"/>
          <w:spacing w:val="0"/>
          <w:w w:val="100"/>
          <w:sz w:val="48"/>
          <w:szCs w:val="48"/>
          <w:highlight w:val="none"/>
        </w:rPr>
        <w:t>第三册</w:t>
      </w:r>
    </w:p>
    <w:p>
      <w:pPr>
        <w:pStyle w:val="35"/>
        <w:shd w:val="clear"/>
        <w:rPr>
          <w:rFonts w:hint="eastAsia" w:ascii="微软雅黑" w:hAnsi="微软雅黑" w:eastAsia="微软雅黑" w:cs="微软雅黑"/>
          <w:b/>
          <w:i w:val="0"/>
          <w:caps w:val="0"/>
          <w:color w:val="auto"/>
          <w:spacing w:val="0"/>
          <w:w w:val="100"/>
          <w:sz w:val="48"/>
          <w:szCs w:val="48"/>
          <w:highlight w:val="none"/>
        </w:rPr>
      </w:pPr>
    </w:p>
    <w:p>
      <w:pPr>
        <w:pStyle w:val="4"/>
        <w:shd w:val="clear"/>
        <w:snapToGrid w:val="0"/>
        <w:spacing w:before="12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5"/>
        <w:shd w:val="clear"/>
        <w:tabs>
          <w:tab w:val="left" w:pos="0"/>
        </w:tabs>
        <w:snapToGrid w:val="0"/>
        <w:spacing w:before="0" w:beforeAutospacing="0" w:after="0" w:afterAutospacing="0" w:line="240" w:lineRule="atLeast"/>
        <w:ind w:left="-15"/>
        <w:jc w:val="center"/>
        <w:textAlignment w:val="baseline"/>
        <w:rPr>
          <w:rFonts w:hint="eastAsia" w:ascii="微软雅黑" w:hAnsi="微软雅黑" w:eastAsia="微软雅黑" w:cs="微软雅黑"/>
          <w:b/>
          <w:i w:val="0"/>
          <w:caps w:val="0"/>
          <w:color w:val="auto"/>
          <w:spacing w:val="0"/>
          <w:w w:val="100"/>
          <w:sz w:val="32"/>
          <w:highlight w:val="none"/>
        </w:rPr>
      </w:pPr>
      <w:bookmarkStart w:id="1021" w:name="_Toc4796"/>
      <w:bookmarkStart w:id="1022" w:name="_Toc12952"/>
      <w:bookmarkStart w:id="1023" w:name="_Toc6865"/>
      <w:bookmarkStart w:id="1024" w:name="_Toc515647833"/>
      <w:r>
        <w:rPr>
          <w:rFonts w:hint="eastAsia" w:ascii="微软雅黑" w:hAnsi="微软雅黑" w:eastAsia="微软雅黑" w:cs="微软雅黑"/>
          <w:b/>
          <w:i w:val="0"/>
          <w:caps w:val="0"/>
          <w:color w:val="auto"/>
          <w:spacing w:val="0"/>
          <w:w w:val="100"/>
          <w:sz w:val="32"/>
          <w:highlight w:val="none"/>
        </w:rPr>
        <w:t>第7章</w:t>
      </w:r>
      <w:r>
        <w:rPr>
          <w:rFonts w:hint="eastAsia" w:ascii="微软雅黑" w:hAnsi="微软雅黑" w:eastAsia="微软雅黑" w:cs="微软雅黑"/>
          <w:b/>
          <w:i w:val="0"/>
          <w:caps w:val="0"/>
          <w:color w:val="auto"/>
          <w:spacing w:val="0"/>
          <w:w w:val="100"/>
          <w:sz w:val="32"/>
          <w:highlight w:val="none"/>
          <w:lang w:val="en-US" w:eastAsia="zh-CN"/>
        </w:rPr>
        <w:t xml:space="preserve">  </w:t>
      </w:r>
      <w:r>
        <w:rPr>
          <w:rFonts w:hint="eastAsia" w:ascii="微软雅黑" w:hAnsi="微软雅黑" w:eastAsia="微软雅黑" w:cs="微软雅黑"/>
          <w:b/>
          <w:i w:val="0"/>
          <w:caps w:val="0"/>
          <w:color w:val="auto"/>
          <w:spacing w:val="0"/>
          <w:w w:val="100"/>
          <w:sz w:val="32"/>
          <w:highlight w:val="none"/>
        </w:rPr>
        <w:t>政府采购合同</w:t>
      </w:r>
      <w:bookmarkEnd w:id="1008"/>
      <w:bookmarkEnd w:id="1021"/>
      <w:bookmarkEnd w:id="1022"/>
      <w:bookmarkEnd w:id="1023"/>
      <w:bookmarkEnd w:id="1024"/>
      <w:bookmarkStart w:id="1025" w:name="_Toc216513788"/>
      <w:bookmarkEnd w:id="1025"/>
      <w:bookmarkStart w:id="1026" w:name="_Toc487900382"/>
      <w:bookmarkEnd w:id="1026"/>
      <w:bookmarkStart w:id="1027" w:name="_Hlt487972895"/>
      <w:bookmarkEnd w:id="1027"/>
    </w:p>
    <w:p>
      <w:pPr>
        <w:shd w:val="clear"/>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4"/>
          <w:highlight w:val="none"/>
        </w:rPr>
        <w:t xml:space="preserve">合同编号：   </w:t>
      </w:r>
      <w:r>
        <w:rPr>
          <w:rFonts w:hint="eastAsia" w:ascii="微软雅黑" w:hAnsi="微软雅黑" w:eastAsia="微软雅黑" w:cs="微软雅黑"/>
          <w:color w:val="auto"/>
          <w:highlight w:val="none"/>
        </w:rPr>
        <w:t xml:space="preserve">        </w:t>
      </w:r>
    </w:p>
    <w:p>
      <w:pPr>
        <w:shd w:val="clear"/>
        <w:rPr>
          <w:rFonts w:hint="eastAsia" w:ascii="微软雅黑" w:hAnsi="微软雅黑" w:eastAsia="微软雅黑" w:cs="微软雅黑"/>
          <w:color w:val="auto"/>
          <w:highlight w:val="none"/>
        </w:rPr>
      </w:pPr>
    </w:p>
    <w:p>
      <w:pPr>
        <w:shd w:val="clear"/>
        <w:rPr>
          <w:rFonts w:hint="eastAsia" w:ascii="微软雅黑" w:hAnsi="微软雅黑" w:eastAsia="微软雅黑" w:cs="微软雅黑"/>
          <w:color w:val="auto"/>
          <w:highlight w:val="none"/>
        </w:rPr>
      </w:pPr>
    </w:p>
    <w:p>
      <w:pPr>
        <w:shd w:val="clear"/>
        <w:rPr>
          <w:rFonts w:hint="eastAsia" w:ascii="微软雅黑" w:hAnsi="微软雅黑" w:eastAsia="微软雅黑" w:cs="微软雅黑"/>
          <w:color w:val="auto"/>
          <w:highlight w:val="none"/>
        </w:rPr>
      </w:pPr>
    </w:p>
    <w:p>
      <w:pPr>
        <w:shd w:val="clear"/>
        <w:spacing w:line="500" w:lineRule="exact"/>
        <w:jc w:val="center"/>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sz w:val="44"/>
          <w:szCs w:val="44"/>
          <w:highlight w:val="none"/>
        </w:rPr>
        <w:t>政府采购合同参考范本</w:t>
      </w:r>
    </w:p>
    <w:p>
      <w:pPr>
        <w:shd w:val="clear"/>
        <w:spacing w:line="500" w:lineRule="exact"/>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w:t>
      </w:r>
      <w:r>
        <w:rPr>
          <w:rFonts w:hint="eastAsia" w:ascii="微软雅黑" w:hAnsi="微软雅黑" w:eastAsia="微软雅黑" w:cs="微软雅黑"/>
          <w:b/>
          <w:color w:val="auto"/>
          <w:sz w:val="24"/>
          <w:highlight w:val="none"/>
          <w:lang w:eastAsia="zh-CN"/>
        </w:rPr>
        <w:t>服务</w:t>
      </w:r>
      <w:r>
        <w:rPr>
          <w:rFonts w:hint="eastAsia" w:ascii="微软雅黑" w:hAnsi="微软雅黑" w:eastAsia="微软雅黑" w:cs="微软雅黑"/>
          <w:b/>
          <w:color w:val="auto"/>
          <w:sz w:val="24"/>
          <w:highlight w:val="none"/>
        </w:rPr>
        <w:t>类）</w:t>
      </w:r>
    </w:p>
    <w:p>
      <w:pPr>
        <w:shd w:val="clear"/>
        <w:rPr>
          <w:rFonts w:hint="eastAsia" w:ascii="微软雅黑" w:hAnsi="微软雅黑" w:eastAsia="微软雅黑" w:cs="微软雅黑"/>
          <w:color w:val="auto"/>
          <w:highlight w:val="none"/>
        </w:rPr>
      </w:pPr>
    </w:p>
    <w:p>
      <w:pPr>
        <w:shd w:val="clear"/>
        <w:rPr>
          <w:rFonts w:hint="eastAsia" w:ascii="微软雅黑" w:hAnsi="微软雅黑" w:eastAsia="微软雅黑" w:cs="微软雅黑"/>
          <w:color w:val="auto"/>
          <w:highlight w:val="none"/>
        </w:rPr>
      </w:pPr>
    </w:p>
    <w:p>
      <w:pPr>
        <w:pStyle w:val="55"/>
        <w:shd w:val="clear"/>
        <w:spacing w:line="360" w:lineRule="exact"/>
        <w:ind w:firstLine="0"/>
        <w:jc w:val="center"/>
        <w:rPr>
          <w:rFonts w:hint="eastAsia" w:ascii="微软雅黑" w:hAnsi="微软雅黑" w:eastAsia="微软雅黑" w:cs="微软雅黑"/>
          <w:b/>
          <w:color w:val="auto"/>
          <w:szCs w:val="24"/>
          <w:highlight w:val="none"/>
        </w:rPr>
      </w:pPr>
      <w:r>
        <w:rPr>
          <w:rFonts w:hint="eastAsia" w:ascii="微软雅黑" w:hAnsi="微软雅黑" w:eastAsia="微软雅黑" w:cs="微软雅黑"/>
          <w:b/>
          <w:color w:val="auto"/>
          <w:szCs w:val="24"/>
          <w:highlight w:val="none"/>
        </w:rPr>
        <w:t>第一部分 合同书</w:t>
      </w:r>
    </w:p>
    <w:p>
      <w:pPr>
        <w:shd w:val="clear"/>
        <w:rPr>
          <w:rFonts w:hint="eastAsia" w:ascii="微软雅黑" w:hAnsi="微软雅黑" w:eastAsia="微软雅黑" w:cs="微软雅黑"/>
          <w:color w:val="auto"/>
          <w:highlight w:val="none"/>
        </w:rPr>
      </w:pPr>
    </w:p>
    <w:p>
      <w:pPr>
        <w:shd w:val="clear"/>
        <w:spacing w:before="120" w:line="360" w:lineRule="exact"/>
        <w:ind w:left="96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项目名称：</w:t>
      </w:r>
      <w:r>
        <w:rPr>
          <w:rFonts w:hint="eastAsia" w:ascii="微软雅黑" w:hAnsi="微软雅黑" w:eastAsia="微软雅黑" w:cs="微软雅黑"/>
          <w:color w:val="auto"/>
          <w:sz w:val="24"/>
          <w:highlight w:val="none"/>
          <w:u w:val="single"/>
        </w:rPr>
        <w:t xml:space="preserve">                                   </w:t>
      </w:r>
    </w:p>
    <w:p>
      <w:pPr>
        <w:pStyle w:val="43"/>
        <w:shd w:val="clear"/>
        <w:spacing w:before="120" w:line="360" w:lineRule="exact"/>
        <w:rPr>
          <w:rFonts w:hint="eastAsia" w:ascii="微软雅黑" w:hAnsi="微软雅黑" w:eastAsia="微软雅黑" w:cs="微软雅黑"/>
          <w:color w:val="auto"/>
          <w:szCs w:val="24"/>
          <w:highlight w:val="none"/>
        </w:rPr>
      </w:pPr>
    </w:p>
    <w:p>
      <w:pPr>
        <w:pStyle w:val="43"/>
        <w:shd w:val="clear"/>
        <w:spacing w:before="120" w:line="360" w:lineRule="exact"/>
        <w:rPr>
          <w:rFonts w:hint="eastAsia" w:ascii="微软雅黑" w:hAnsi="微软雅黑" w:eastAsia="微软雅黑" w:cs="微软雅黑"/>
          <w:color w:val="auto"/>
          <w:szCs w:val="24"/>
          <w:highlight w:val="none"/>
        </w:rPr>
      </w:pPr>
    </w:p>
    <w:p>
      <w:pPr>
        <w:shd w:val="clear"/>
        <w:spacing w:line="360" w:lineRule="exact"/>
        <w:rPr>
          <w:rFonts w:hint="eastAsia" w:ascii="微软雅黑" w:hAnsi="微软雅黑" w:eastAsia="微软雅黑" w:cs="微软雅黑"/>
          <w:color w:val="auto"/>
          <w:highlight w:val="none"/>
        </w:rPr>
      </w:pPr>
    </w:p>
    <w:p>
      <w:pPr>
        <w:shd w:val="clear"/>
        <w:spacing w:before="120" w:line="360" w:lineRule="exact"/>
        <w:ind w:left="96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甲方：</w:t>
      </w:r>
      <w:r>
        <w:rPr>
          <w:rFonts w:hint="eastAsia" w:ascii="微软雅黑" w:hAnsi="微软雅黑" w:eastAsia="微软雅黑" w:cs="微软雅黑"/>
          <w:color w:val="auto"/>
          <w:sz w:val="24"/>
          <w:highlight w:val="none"/>
          <w:u w:val="single"/>
        </w:rPr>
        <w:t xml:space="preserve">                                       </w:t>
      </w:r>
    </w:p>
    <w:p>
      <w:pPr>
        <w:shd w:val="clear"/>
        <w:spacing w:before="120" w:line="360" w:lineRule="exact"/>
        <w:rPr>
          <w:rFonts w:hint="eastAsia" w:ascii="微软雅黑" w:hAnsi="微软雅黑" w:eastAsia="微软雅黑" w:cs="微软雅黑"/>
          <w:color w:val="auto"/>
          <w:sz w:val="24"/>
          <w:highlight w:val="none"/>
        </w:rPr>
      </w:pPr>
    </w:p>
    <w:p>
      <w:pPr>
        <w:shd w:val="clear"/>
        <w:spacing w:before="120" w:line="360" w:lineRule="exact"/>
        <w:ind w:left="96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乙方：</w:t>
      </w:r>
      <w:r>
        <w:rPr>
          <w:rFonts w:hint="eastAsia" w:ascii="微软雅黑" w:hAnsi="微软雅黑" w:eastAsia="微软雅黑" w:cs="微软雅黑"/>
          <w:color w:val="auto"/>
          <w:sz w:val="24"/>
          <w:highlight w:val="none"/>
          <w:u w:val="single"/>
        </w:rPr>
        <w:t xml:space="preserve">                                       </w:t>
      </w:r>
    </w:p>
    <w:p>
      <w:pPr>
        <w:shd w:val="clear"/>
        <w:spacing w:before="120" w:line="360" w:lineRule="exact"/>
        <w:rPr>
          <w:rFonts w:hint="eastAsia" w:ascii="微软雅黑" w:hAnsi="微软雅黑" w:eastAsia="微软雅黑" w:cs="微软雅黑"/>
          <w:color w:val="auto"/>
          <w:sz w:val="24"/>
          <w:highlight w:val="none"/>
        </w:rPr>
      </w:pPr>
    </w:p>
    <w:p>
      <w:pPr>
        <w:shd w:val="clear"/>
        <w:spacing w:before="120" w:line="360" w:lineRule="exact"/>
        <w:ind w:firstLine="960" w:firstLineChars="4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签订地：</w:t>
      </w:r>
      <w:r>
        <w:rPr>
          <w:rFonts w:hint="eastAsia" w:ascii="微软雅黑" w:hAnsi="微软雅黑" w:eastAsia="微软雅黑" w:cs="微软雅黑"/>
          <w:color w:val="auto"/>
          <w:sz w:val="24"/>
          <w:highlight w:val="none"/>
          <w:u w:val="single"/>
        </w:rPr>
        <w:t xml:space="preserve">                                     </w:t>
      </w:r>
    </w:p>
    <w:p>
      <w:pPr>
        <w:shd w:val="clear"/>
        <w:spacing w:before="120" w:line="360" w:lineRule="exact"/>
        <w:rPr>
          <w:rFonts w:hint="eastAsia" w:ascii="微软雅黑" w:hAnsi="微软雅黑" w:eastAsia="微软雅黑" w:cs="微软雅黑"/>
          <w:color w:val="auto"/>
          <w:sz w:val="24"/>
          <w:highlight w:val="none"/>
        </w:rPr>
      </w:pPr>
    </w:p>
    <w:p>
      <w:pPr>
        <w:shd w:val="clear"/>
        <w:spacing w:before="120" w:line="360" w:lineRule="exact"/>
        <w:ind w:firstLine="960" w:firstLineChars="4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签订日期：</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年</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月</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日</w:t>
      </w:r>
    </w:p>
    <w:p>
      <w:pPr>
        <w:shd w:val="clear"/>
        <w:autoSpaceDE w:val="0"/>
        <w:autoSpaceDN w:val="0"/>
        <w:adjustRightInd w:val="0"/>
        <w:spacing w:line="360" w:lineRule="exact"/>
        <w:ind w:firstLine="640"/>
        <w:jc w:val="center"/>
        <w:rPr>
          <w:rFonts w:hint="eastAsia" w:ascii="微软雅黑" w:hAnsi="微软雅黑" w:eastAsia="微软雅黑" w:cs="微软雅黑"/>
          <w:color w:val="auto"/>
          <w:sz w:val="24"/>
          <w:highlight w:val="none"/>
        </w:rPr>
        <w:sectPr>
          <w:footerReference r:id="rId11" w:type="default"/>
          <w:pgSz w:w="11907" w:h="16840"/>
          <w:pgMar w:top="1474" w:right="1814" w:bottom="1474" w:left="1814" w:header="851" w:footer="851" w:gutter="0"/>
          <w:pgNumType w:fmt="decimal"/>
          <w:cols w:space="720" w:num="1"/>
          <w:docGrid w:linePitch="462" w:charSpace="0"/>
        </w:sectPr>
      </w:pPr>
    </w:p>
    <w:p>
      <w:pPr>
        <w:shd w:val="clear"/>
        <w:spacing w:line="360" w:lineRule="exact"/>
        <w:ind w:firstLine="480" w:firstLineChars="200"/>
        <w:rPr>
          <w:rFonts w:hint="eastAsia" w:ascii="微软雅黑" w:hAnsi="微软雅黑" w:eastAsia="微软雅黑" w:cs="微软雅黑"/>
          <w:color w:val="auto"/>
          <w:sz w:val="24"/>
          <w:highlight w:val="none"/>
        </w:rPr>
      </w:pPr>
      <w:bookmarkStart w:id="1028" w:name="_Toc24059"/>
      <w:bookmarkStart w:id="1029" w:name="_Toc1846"/>
      <w:bookmarkStart w:id="1030" w:name="_Toc2659"/>
      <w:bookmarkStart w:id="1031" w:name="_Toc2232"/>
      <w:bookmarkStart w:id="1032" w:name="_Toc3029"/>
      <w:bookmarkStart w:id="1033" w:name="_Toc26721"/>
      <w:r>
        <w:rPr>
          <w:rFonts w:hint="eastAsia" w:ascii="微软雅黑" w:hAnsi="微软雅黑" w:eastAsia="微软雅黑" w:cs="微软雅黑"/>
          <w:color w:val="auto"/>
          <w:sz w:val="24"/>
          <w:highlight w:val="none"/>
          <w:u w:val="single"/>
          <w:lang w:val="zh-CN"/>
        </w:rPr>
        <w:t xml:space="preserve">        </w:t>
      </w:r>
      <w:r>
        <w:rPr>
          <w:rFonts w:hint="eastAsia" w:ascii="微软雅黑" w:hAnsi="微软雅黑" w:eastAsia="微软雅黑" w:cs="微软雅黑"/>
          <w:color w:val="auto"/>
          <w:sz w:val="24"/>
          <w:highlight w:val="none"/>
          <w:lang w:val="zh-CN"/>
        </w:rPr>
        <w:t>年</w:t>
      </w:r>
      <w:r>
        <w:rPr>
          <w:rFonts w:hint="eastAsia" w:ascii="微软雅黑" w:hAnsi="微软雅黑" w:eastAsia="微软雅黑" w:cs="微软雅黑"/>
          <w:color w:val="auto"/>
          <w:sz w:val="24"/>
          <w:highlight w:val="none"/>
          <w:u w:val="single"/>
          <w:lang w:val="zh-CN"/>
        </w:rPr>
        <w:t xml:space="preserve">    </w:t>
      </w:r>
      <w:r>
        <w:rPr>
          <w:rFonts w:hint="eastAsia" w:ascii="微软雅黑" w:hAnsi="微软雅黑" w:eastAsia="微软雅黑" w:cs="微软雅黑"/>
          <w:color w:val="auto"/>
          <w:sz w:val="24"/>
          <w:highlight w:val="none"/>
          <w:lang w:val="zh-CN"/>
        </w:rPr>
        <w:t>月</w:t>
      </w:r>
      <w:r>
        <w:rPr>
          <w:rFonts w:hint="eastAsia" w:ascii="微软雅黑" w:hAnsi="微软雅黑" w:eastAsia="微软雅黑" w:cs="微软雅黑"/>
          <w:color w:val="auto"/>
          <w:sz w:val="24"/>
          <w:highlight w:val="none"/>
          <w:u w:val="single"/>
          <w:lang w:val="zh-CN"/>
        </w:rPr>
        <w:t xml:space="preserve">    </w:t>
      </w:r>
      <w:r>
        <w:rPr>
          <w:rFonts w:hint="eastAsia" w:ascii="微软雅黑" w:hAnsi="微软雅黑" w:eastAsia="微软雅黑" w:cs="微软雅黑"/>
          <w:color w:val="auto"/>
          <w:sz w:val="24"/>
          <w:highlight w:val="none"/>
          <w:lang w:val="zh-CN"/>
        </w:rPr>
        <w:t>日</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rPr>
        <w:t xml:space="preserve">   （采购人名称）   </w:t>
      </w:r>
      <w:r>
        <w:rPr>
          <w:rFonts w:hint="eastAsia" w:ascii="微软雅黑" w:hAnsi="微软雅黑" w:eastAsia="微软雅黑" w:cs="微软雅黑"/>
          <w:color w:val="auto"/>
          <w:sz w:val="24"/>
          <w:highlight w:val="none"/>
        </w:rPr>
        <w:t>以</w:t>
      </w:r>
      <w:r>
        <w:rPr>
          <w:rFonts w:hint="eastAsia" w:ascii="微软雅黑" w:hAnsi="微软雅黑" w:eastAsia="微软雅黑" w:cs="微软雅黑"/>
          <w:color w:val="auto"/>
          <w:sz w:val="24"/>
          <w:highlight w:val="none"/>
          <w:u w:val="single"/>
        </w:rPr>
        <w:t xml:space="preserve">   （政府采购方式）  </w:t>
      </w:r>
      <w:r>
        <w:rPr>
          <w:rFonts w:hint="eastAsia" w:ascii="微软雅黑" w:hAnsi="微软雅黑" w:eastAsia="微软雅黑" w:cs="微软雅黑"/>
          <w:color w:val="auto"/>
          <w:sz w:val="24"/>
          <w:highlight w:val="none"/>
        </w:rPr>
        <w:t>对</w:t>
      </w:r>
      <w:r>
        <w:rPr>
          <w:rFonts w:hint="eastAsia" w:ascii="微软雅黑" w:hAnsi="微软雅黑" w:eastAsia="微软雅黑" w:cs="微软雅黑"/>
          <w:color w:val="auto"/>
          <w:sz w:val="24"/>
          <w:highlight w:val="none"/>
          <w:u w:val="single"/>
        </w:rPr>
        <w:t xml:space="preserve">   （同前页项目名称）   </w:t>
      </w:r>
      <w:r>
        <w:rPr>
          <w:rFonts w:hint="eastAsia" w:ascii="微软雅黑" w:hAnsi="微软雅黑" w:eastAsia="微软雅黑" w:cs="微软雅黑"/>
          <w:color w:val="auto"/>
          <w:sz w:val="24"/>
          <w:highlight w:val="none"/>
        </w:rPr>
        <w:t>项目进行了采购。经</w:t>
      </w:r>
      <w:r>
        <w:rPr>
          <w:rFonts w:hint="eastAsia" w:ascii="微软雅黑" w:hAnsi="微软雅黑" w:eastAsia="微软雅黑" w:cs="微软雅黑"/>
          <w:color w:val="auto"/>
          <w:sz w:val="24"/>
          <w:highlight w:val="none"/>
          <w:u w:val="single"/>
        </w:rPr>
        <w:t xml:space="preserve">   （相关评定主体名称）   </w:t>
      </w:r>
      <w:r>
        <w:rPr>
          <w:rFonts w:hint="eastAsia" w:ascii="微软雅黑" w:hAnsi="微软雅黑" w:eastAsia="微软雅黑" w:cs="微软雅黑"/>
          <w:color w:val="auto"/>
          <w:sz w:val="24"/>
          <w:highlight w:val="none"/>
        </w:rPr>
        <w:t>评定，</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u w:val="single"/>
          <w:lang w:eastAsia="zh-CN"/>
        </w:rPr>
        <w:t>成交供应商</w:t>
      </w:r>
      <w:r>
        <w:rPr>
          <w:rFonts w:hint="eastAsia" w:ascii="微软雅黑" w:hAnsi="微软雅黑" w:eastAsia="微软雅黑" w:cs="微软雅黑"/>
          <w:color w:val="auto"/>
          <w:sz w:val="24"/>
          <w:highlight w:val="none"/>
          <w:u w:val="single"/>
        </w:rPr>
        <w:t>名称）</w:t>
      </w:r>
      <w:r>
        <w:rPr>
          <w:rFonts w:hint="eastAsia" w:ascii="微软雅黑" w:hAnsi="微软雅黑" w:eastAsia="微软雅黑" w:cs="微软雅黑"/>
          <w:color w:val="auto"/>
          <w:sz w:val="24"/>
          <w:highlight w:val="none"/>
        </w:rPr>
        <w:t>为该项目</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。现于中标通知书发出之日起三十日内，按照采购文件确定的事项签订本合同。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zh-CN"/>
        </w:rPr>
        <w:t>根据《中华人民共和国合同法》、《中华人民共和国政府采购法》等相关法律法规之规定，按照平等、自愿、公平和诚实信用的原则，经</w:t>
      </w:r>
      <w:r>
        <w:rPr>
          <w:rFonts w:hint="eastAsia" w:ascii="微软雅黑" w:hAnsi="微软雅黑" w:eastAsia="微软雅黑" w:cs="微软雅黑"/>
          <w:color w:val="auto"/>
          <w:sz w:val="24"/>
          <w:highlight w:val="none"/>
          <w:u w:val="single"/>
        </w:rPr>
        <w:t xml:space="preserve">   （采购人名称）   </w:t>
      </w:r>
      <w:r>
        <w:rPr>
          <w:rFonts w:hint="eastAsia" w:ascii="微软雅黑" w:hAnsi="微软雅黑" w:eastAsia="微软雅黑" w:cs="微软雅黑"/>
          <w:color w:val="auto"/>
          <w:sz w:val="24"/>
          <w:highlight w:val="none"/>
          <w:lang w:val="zh-CN"/>
        </w:rPr>
        <w:t>(以下简称：甲方)和</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u w:val="single"/>
          <w:lang w:eastAsia="zh-CN"/>
        </w:rPr>
        <w:t>成交供应商</w:t>
      </w:r>
      <w:r>
        <w:rPr>
          <w:rFonts w:hint="eastAsia" w:ascii="微软雅黑" w:hAnsi="微软雅黑" w:eastAsia="微软雅黑" w:cs="微软雅黑"/>
          <w:color w:val="auto"/>
          <w:sz w:val="24"/>
          <w:highlight w:val="none"/>
          <w:u w:val="single"/>
        </w:rPr>
        <w:t xml:space="preserve">名称）   </w:t>
      </w:r>
      <w:r>
        <w:rPr>
          <w:rFonts w:hint="eastAsia" w:ascii="微软雅黑" w:hAnsi="微软雅黑" w:eastAsia="微软雅黑" w:cs="微软雅黑"/>
          <w:color w:val="auto"/>
          <w:sz w:val="24"/>
          <w:highlight w:val="none"/>
          <w:lang w:val="zh-CN"/>
        </w:rPr>
        <w:t>(以下简称：乙方)协商一致，约定以下合同</w:t>
      </w:r>
      <w:r>
        <w:rPr>
          <w:rFonts w:hint="eastAsia" w:ascii="微软雅黑" w:hAnsi="微软雅黑" w:eastAsia="微软雅黑" w:cs="微软雅黑"/>
          <w:color w:val="auto"/>
          <w:sz w:val="24"/>
          <w:highlight w:val="none"/>
        </w:rPr>
        <w:t>条款，以兹共同遵守、全面履行。</w:t>
      </w:r>
    </w:p>
    <w:bookmarkEnd w:id="1028"/>
    <w:bookmarkEnd w:id="1029"/>
    <w:bookmarkEnd w:id="1030"/>
    <w:bookmarkEnd w:id="1031"/>
    <w:bookmarkEnd w:id="1032"/>
    <w:bookmarkEnd w:id="1033"/>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034" w:name="_Toc18247"/>
      <w:bookmarkStart w:id="1035" w:name="_Toc8378"/>
      <w:bookmarkStart w:id="1036" w:name="_Toc29481"/>
      <w:bookmarkStart w:id="1037" w:name="_Toc10549"/>
      <w:bookmarkStart w:id="1038" w:name="_Toc19263"/>
      <w:bookmarkStart w:id="1039" w:name="_Toc6038"/>
      <w:bookmarkStart w:id="1040" w:name="_Toc4498"/>
      <w:bookmarkStart w:id="1041" w:name="_Toc4751"/>
      <w:bookmarkStart w:id="1042" w:name="_Toc17600"/>
      <w:bookmarkStart w:id="1043" w:name="_Toc21168"/>
      <w:bookmarkStart w:id="1044" w:name="_Toc1366"/>
      <w:bookmarkStart w:id="1045" w:name="_Toc14766"/>
      <w:bookmarkStart w:id="1046" w:name="_Toc30575"/>
      <w:bookmarkStart w:id="1047" w:name="_Toc26031"/>
      <w:bookmarkStart w:id="1048" w:name="_Toc28090"/>
      <w:bookmarkStart w:id="1049" w:name="_Toc26498"/>
      <w:bookmarkStart w:id="1050" w:name="_Toc14157"/>
      <w:bookmarkStart w:id="1051" w:name="_Toc21386"/>
      <w:bookmarkStart w:id="1052" w:name="_Toc24186"/>
      <w:bookmarkStart w:id="1053" w:name="_Toc29751"/>
      <w:bookmarkStart w:id="1054" w:name="_Toc25352"/>
      <w:r>
        <w:rPr>
          <w:rFonts w:hint="eastAsia" w:ascii="微软雅黑" w:hAnsi="微软雅黑" w:eastAsia="微软雅黑" w:cs="微软雅黑"/>
          <w:b/>
          <w:color w:val="auto"/>
          <w:sz w:val="24"/>
          <w:highlight w:val="none"/>
        </w:rPr>
        <w:t>1.1 合同组成部分</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1.1.1 本合同及其补充合同、变更协议；</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1.1.2 中标通知书；</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1.1.3 </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（含澄清或者说明文件）；</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1.1.4 </w:t>
      </w:r>
      <w:r>
        <w:rPr>
          <w:rFonts w:hint="eastAsia" w:ascii="微软雅黑" w:hAnsi="微软雅黑" w:eastAsia="微软雅黑" w:cs="微软雅黑"/>
          <w:color w:val="auto"/>
          <w:sz w:val="24"/>
          <w:highlight w:val="none"/>
          <w:lang w:eastAsia="zh-CN"/>
        </w:rPr>
        <w:t>磋商文件</w:t>
      </w:r>
      <w:r>
        <w:rPr>
          <w:rFonts w:hint="eastAsia" w:ascii="微软雅黑" w:hAnsi="微软雅黑" w:eastAsia="微软雅黑" w:cs="微软雅黑"/>
          <w:color w:val="auto"/>
          <w:sz w:val="24"/>
          <w:highlight w:val="none"/>
        </w:rPr>
        <w:t>（含澄清或者修改文件）；</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1.1.5 其他相关采购文件。</w:t>
      </w:r>
    </w:p>
    <w:p>
      <w:pPr>
        <w:shd w:val="clear"/>
        <w:spacing w:line="360" w:lineRule="exact"/>
        <w:ind w:firstLine="480" w:firstLineChars="200"/>
        <w:outlineLvl w:val="0"/>
        <w:rPr>
          <w:rFonts w:hint="eastAsia" w:ascii="微软雅黑" w:hAnsi="微软雅黑" w:eastAsia="微软雅黑" w:cs="微软雅黑"/>
          <w:b/>
          <w:color w:val="auto"/>
          <w:sz w:val="24"/>
          <w:highlight w:val="none"/>
          <w:lang w:eastAsia="zh-CN"/>
        </w:rPr>
      </w:pPr>
      <w:bookmarkStart w:id="1055" w:name="_Toc9006"/>
      <w:bookmarkStart w:id="1056" w:name="_Toc25402"/>
      <w:bookmarkStart w:id="1057" w:name="_Toc21217"/>
      <w:bookmarkStart w:id="1058" w:name="_Toc27126"/>
      <w:bookmarkStart w:id="1059" w:name="_Toc7977"/>
      <w:bookmarkStart w:id="1060" w:name="_Toc2612"/>
      <w:bookmarkStart w:id="1061" w:name="_Toc4735"/>
      <w:bookmarkStart w:id="1062" w:name="_Toc27318"/>
      <w:bookmarkStart w:id="1063" w:name="_Toc29680"/>
      <w:bookmarkStart w:id="1064" w:name="_Toc23098"/>
      <w:bookmarkStart w:id="1065" w:name="_Toc13106"/>
      <w:bookmarkStart w:id="1066" w:name="_Toc13138"/>
      <w:bookmarkStart w:id="1067" w:name="_Toc8418"/>
      <w:bookmarkStart w:id="1068" w:name="_Toc3637"/>
      <w:bookmarkStart w:id="1069" w:name="_Toc19432"/>
      <w:bookmarkStart w:id="1070" w:name="_Toc1446"/>
      <w:bookmarkStart w:id="1071" w:name="_Toc21295"/>
      <w:bookmarkStart w:id="1072" w:name="_Toc14235"/>
      <w:bookmarkStart w:id="1073" w:name="_Toc24300"/>
      <w:bookmarkStart w:id="1074" w:name="_Toc25735"/>
      <w:bookmarkStart w:id="1075" w:name="_Toc15345"/>
      <w:bookmarkStart w:id="1076" w:name="_Toc8631"/>
      <w:bookmarkStart w:id="1077" w:name="_Toc5906"/>
      <w:bookmarkStart w:id="1078" w:name="_Toc31638"/>
      <w:bookmarkStart w:id="1079" w:name="_Toc28164"/>
      <w:bookmarkStart w:id="1080" w:name="_Toc8600"/>
      <w:bookmarkStart w:id="1081" w:name="_Toc29585"/>
      <w:r>
        <w:rPr>
          <w:rFonts w:hint="eastAsia" w:ascii="微软雅黑" w:hAnsi="微软雅黑" w:eastAsia="微软雅黑" w:cs="微软雅黑"/>
          <w:b/>
          <w:color w:val="auto"/>
          <w:sz w:val="24"/>
          <w:highlight w:val="none"/>
        </w:rPr>
        <w:t xml:space="preserve">1.2 </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rPr>
          <w:rFonts w:hint="eastAsia" w:ascii="微软雅黑" w:hAnsi="微软雅黑" w:eastAsia="微软雅黑" w:cs="微软雅黑"/>
          <w:b/>
          <w:color w:val="auto"/>
          <w:sz w:val="24"/>
          <w:highlight w:val="none"/>
          <w:lang w:eastAsia="zh-CN"/>
        </w:rPr>
        <w:t>服务</w:t>
      </w:r>
      <w:bookmarkEnd w:id="1079"/>
      <w:bookmarkEnd w:id="1080"/>
      <w:bookmarkEnd w:id="1081"/>
    </w:p>
    <w:p>
      <w:pPr>
        <w:shd w:val="clear"/>
        <w:spacing w:line="360" w:lineRule="exact"/>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 xml:space="preserve">1.2.1 </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名称：</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 xml:space="preserve">1.2.2 </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数量：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1.2.3 </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质量：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082" w:name="_Toc26967"/>
      <w:bookmarkStart w:id="1083" w:name="_Toc21631"/>
      <w:bookmarkStart w:id="1084" w:name="_Toc27803"/>
      <w:bookmarkStart w:id="1085" w:name="_Toc18338"/>
      <w:bookmarkStart w:id="1086" w:name="_Toc633"/>
      <w:bookmarkStart w:id="1087" w:name="_Toc21040"/>
      <w:bookmarkStart w:id="1088" w:name="_Toc23292"/>
      <w:bookmarkStart w:id="1089" w:name="_Toc22358"/>
      <w:bookmarkStart w:id="1090" w:name="_Toc11045"/>
      <w:bookmarkStart w:id="1091" w:name="_Toc21551"/>
      <w:bookmarkStart w:id="1092" w:name="_Toc19682"/>
      <w:bookmarkStart w:id="1093" w:name="_Toc1267"/>
      <w:bookmarkStart w:id="1094" w:name="_Toc30755"/>
      <w:bookmarkStart w:id="1095" w:name="_Toc13898"/>
      <w:bookmarkStart w:id="1096" w:name="_Toc19687"/>
      <w:bookmarkStart w:id="1097" w:name="_Toc25368"/>
      <w:bookmarkStart w:id="1098" w:name="_Toc8386"/>
      <w:bookmarkStart w:id="1099" w:name="_Toc1528"/>
      <w:bookmarkStart w:id="1100" w:name="_Toc12266"/>
      <w:bookmarkStart w:id="1101" w:name="_Toc27331"/>
      <w:bookmarkStart w:id="1102" w:name="_Toc10942"/>
      <w:bookmarkStart w:id="1103" w:name="_Toc2375"/>
      <w:bookmarkStart w:id="1104" w:name="_Toc9364"/>
      <w:bookmarkStart w:id="1105" w:name="_Toc27282"/>
      <w:bookmarkStart w:id="1106" w:name="_Toc30667"/>
      <w:bookmarkStart w:id="1107" w:name="_Toc4263"/>
      <w:bookmarkStart w:id="1108" w:name="_Toc8668"/>
      <w:r>
        <w:rPr>
          <w:rFonts w:hint="eastAsia" w:ascii="微软雅黑" w:hAnsi="微软雅黑" w:eastAsia="微软雅黑" w:cs="微软雅黑"/>
          <w:b/>
          <w:color w:val="auto"/>
          <w:sz w:val="24"/>
          <w:highlight w:val="none"/>
        </w:rPr>
        <w:t>1.3 价款</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本合同总价为：￥</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元（大写：</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元人民币）。</w:t>
      </w:r>
    </w:p>
    <w:p>
      <w:pPr>
        <w:shd w:val="clear"/>
        <w:spacing w:line="360" w:lineRule="exact"/>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分项价格：</w:t>
      </w:r>
    </w:p>
    <w:tbl>
      <w:tblPr>
        <w:tblStyle w:val="36"/>
        <w:tblW w:w="7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3738"/>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53"/>
              <w:shd w:val="clear"/>
              <w:spacing w:line="360" w:lineRule="exact"/>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序号</w:t>
            </w:r>
          </w:p>
        </w:tc>
        <w:tc>
          <w:tcPr>
            <w:tcW w:w="3738"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分项名称</w:t>
            </w:r>
          </w:p>
        </w:tc>
        <w:tc>
          <w:tcPr>
            <w:tcW w:w="2803" w:type="dxa"/>
            <w:vAlign w:val="center"/>
          </w:tcPr>
          <w:p>
            <w:pPr>
              <w:pStyle w:val="53"/>
              <w:shd w:val="clear"/>
              <w:spacing w:line="360" w:lineRule="exact"/>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c>
          <w:tcPr>
            <w:tcW w:w="3738"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c>
          <w:tcPr>
            <w:tcW w:w="2803"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c>
          <w:tcPr>
            <w:tcW w:w="3738"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c>
          <w:tcPr>
            <w:tcW w:w="2803"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57" w:type="dxa"/>
            <w:gridSpan w:val="2"/>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总价</w:t>
            </w:r>
          </w:p>
        </w:tc>
        <w:tc>
          <w:tcPr>
            <w:tcW w:w="2803"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r>
    </w:tbl>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109" w:name="_Toc7458"/>
      <w:bookmarkStart w:id="1110" w:name="_Toc6684"/>
      <w:bookmarkStart w:id="1111" w:name="_Toc4585"/>
      <w:bookmarkStart w:id="1112" w:name="_Toc5984"/>
      <w:bookmarkStart w:id="1113" w:name="_Toc27811"/>
      <w:bookmarkStart w:id="1114" w:name="_Toc27817"/>
      <w:bookmarkStart w:id="1115" w:name="_Toc10480"/>
      <w:bookmarkStart w:id="1116" w:name="_Toc15198"/>
      <w:bookmarkStart w:id="1117" w:name="_Toc26470"/>
      <w:bookmarkStart w:id="1118" w:name="_Toc14527"/>
      <w:bookmarkStart w:id="1119" w:name="_Toc30643"/>
      <w:bookmarkStart w:id="1120" w:name="_Toc26112"/>
      <w:bookmarkStart w:id="1121" w:name="_Toc22618"/>
      <w:bookmarkStart w:id="1122" w:name="_Toc7196"/>
      <w:bookmarkStart w:id="1123" w:name="_Toc21349"/>
      <w:bookmarkStart w:id="1124" w:name="_Toc24781"/>
      <w:bookmarkStart w:id="1125" w:name="_Toc10409"/>
      <w:bookmarkStart w:id="1126" w:name="_Toc18415"/>
      <w:bookmarkStart w:id="1127" w:name="_Toc31151"/>
      <w:bookmarkStart w:id="1128" w:name="_Toc1814"/>
      <w:bookmarkStart w:id="1129" w:name="_Toc27654"/>
      <w:bookmarkStart w:id="1130" w:name="_Toc10086"/>
      <w:bookmarkStart w:id="1131" w:name="_Toc7801"/>
      <w:bookmarkStart w:id="1132" w:name="_Toc10340"/>
      <w:bookmarkStart w:id="1133" w:name="_Toc5736"/>
      <w:bookmarkStart w:id="1134" w:name="_Toc28773"/>
      <w:r>
        <w:rPr>
          <w:rFonts w:hint="eastAsia" w:ascii="微软雅黑" w:hAnsi="微软雅黑" w:eastAsia="微软雅黑" w:cs="微软雅黑"/>
          <w:b/>
          <w:color w:val="auto"/>
          <w:sz w:val="24"/>
          <w:highlight w:val="none"/>
        </w:rPr>
        <w:t>1.4 付款方式和发票开具方式</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1.4.1 付款方式：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1.4.2 发票开具方式：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135" w:name="_Toc16823"/>
      <w:bookmarkStart w:id="1136" w:name="_Toc21359"/>
      <w:bookmarkStart w:id="1137" w:name="_Toc30447"/>
      <w:bookmarkStart w:id="1138" w:name="_Toc17448"/>
      <w:bookmarkStart w:id="1139" w:name="_Toc2846"/>
      <w:bookmarkStart w:id="1140" w:name="_Toc2021"/>
      <w:bookmarkStart w:id="1141" w:name="_Toc16662"/>
      <w:bookmarkStart w:id="1142" w:name="_Toc799"/>
      <w:bookmarkStart w:id="1143" w:name="_Toc30563"/>
      <w:bookmarkStart w:id="1144" w:name="_Toc21436"/>
      <w:bookmarkStart w:id="1145" w:name="_Toc32071"/>
      <w:bookmarkStart w:id="1146" w:name="_Toc2083"/>
      <w:bookmarkStart w:id="1147" w:name="_Toc21153"/>
      <w:bookmarkStart w:id="1148" w:name="_Toc2852"/>
      <w:bookmarkStart w:id="1149" w:name="_Toc25427"/>
      <w:bookmarkStart w:id="1150" w:name="_Toc31577"/>
      <w:bookmarkStart w:id="1151" w:name="_Toc23862"/>
      <w:bookmarkStart w:id="1152" w:name="_Toc10539"/>
      <w:bookmarkStart w:id="1153" w:name="_Toc22861"/>
      <w:bookmarkStart w:id="1154" w:name="_Toc4501"/>
      <w:bookmarkStart w:id="1155" w:name="_Toc25278"/>
      <w:bookmarkStart w:id="1156" w:name="_Toc30440"/>
      <w:bookmarkStart w:id="1157" w:name="_Toc26187"/>
      <w:bookmarkStart w:id="1158" w:name="_Toc10276"/>
      <w:bookmarkStart w:id="1159" w:name="_Toc19304"/>
      <w:bookmarkStart w:id="1160" w:name="_Toc17179"/>
      <w:r>
        <w:rPr>
          <w:rFonts w:hint="eastAsia" w:ascii="微软雅黑" w:hAnsi="微软雅黑" w:eastAsia="微软雅黑" w:cs="微软雅黑"/>
          <w:b/>
          <w:color w:val="auto"/>
          <w:sz w:val="24"/>
          <w:highlight w:val="none"/>
        </w:rPr>
        <w:t xml:space="preserve">1.5 </w:t>
      </w:r>
      <w:r>
        <w:rPr>
          <w:rFonts w:hint="eastAsia" w:ascii="微软雅黑" w:hAnsi="微软雅黑" w:eastAsia="微软雅黑" w:cs="微软雅黑"/>
          <w:b/>
          <w:color w:val="auto"/>
          <w:sz w:val="24"/>
          <w:highlight w:val="none"/>
          <w:lang w:eastAsia="zh-CN"/>
        </w:rPr>
        <w:t>服务</w:t>
      </w:r>
      <w:r>
        <w:rPr>
          <w:rFonts w:hint="eastAsia" w:ascii="微软雅黑" w:hAnsi="微软雅黑" w:eastAsia="微软雅黑" w:cs="微软雅黑"/>
          <w:b/>
          <w:color w:val="auto"/>
          <w:sz w:val="24"/>
          <w:highlight w:val="none"/>
        </w:rPr>
        <w:t>交付期限、地点和方式</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pPr>
        <w:shd w:val="clear"/>
        <w:spacing w:line="360" w:lineRule="exact"/>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1.5.1 交付期限：</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1.5.2 交付地点：</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1.5.3 交付方式：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161" w:name="_Toc32767"/>
      <w:bookmarkStart w:id="1162" w:name="_Toc32354"/>
      <w:bookmarkStart w:id="1163" w:name="_Toc29769"/>
      <w:bookmarkStart w:id="1164" w:name="_Toc27250"/>
      <w:bookmarkStart w:id="1165" w:name="_Toc13523"/>
      <w:bookmarkStart w:id="1166" w:name="_Toc4273"/>
      <w:bookmarkStart w:id="1167" w:name="_Toc10639"/>
      <w:bookmarkStart w:id="1168" w:name="_Toc10987"/>
      <w:bookmarkStart w:id="1169" w:name="_Toc1835"/>
      <w:bookmarkStart w:id="1170" w:name="_Toc8754"/>
      <w:bookmarkStart w:id="1171" w:name="_Toc25384"/>
      <w:bookmarkStart w:id="1172" w:name="_Toc25233"/>
      <w:bookmarkStart w:id="1173" w:name="_Toc11237"/>
      <w:bookmarkStart w:id="1174" w:name="_Toc21406"/>
      <w:bookmarkStart w:id="1175" w:name="_Toc15865"/>
      <w:bookmarkStart w:id="1176" w:name="_Toc4190"/>
      <w:bookmarkStart w:id="1177" w:name="_Toc12629"/>
      <w:bookmarkStart w:id="1178" w:name="_Toc12753"/>
      <w:bookmarkStart w:id="1179" w:name="_Toc12988"/>
      <w:bookmarkStart w:id="1180" w:name="_Toc13569"/>
      <w:bookmarkStart w:id="1181" w:name="_Toc6101"/>
      <w:bookmarkStart w:id="1182" w:name="_Toc26850"/>
      <w:bookmarkStart w:id="1183" w:name="_Toc13854"/>
      <w:bookmarkStart w:id="1184" w:name="_Toc21423"/>
      <w:bookmarkStart w:id="1185" w:name="_Toc27247"/>
      <w:bookmarkStart w:id="1186" w:name="_Toc19554"/>
      <w:bookmarkStart w:id="1187" w:name="_Toc6841"/>
      <w:r>
        <w:rPr>
          <w:rFonts w:hint="eastAsia" w:ascii="微软雅黑" w:hAnsi="微软雅黑" w:eastAsia="微软雅黑" w:cs="微软雅黑"/>
          <w:b/>
          <w:color w:val="auto"/>
          <w:sz w:val="24"/>
          <w:highlight w:val="none"/>
        </w:rPr>
        <w:t>1.6 违约责任</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1.6.1 除不可抗力外，如果乙方没有按照本合同约定的期限、地点和方式交付</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，那么甲方可要求乙方支付违约金，违约金按每迟延交付</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一日的应交付而未交付</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价格的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%计算，最高限额为本合同总价的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%；迟延交付</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的违约金计算数额达到前述最高限额之日起，甲方有权在要求乙方支付违约金的同时，书面通知乙方解除本合同；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1.6.2 除不可抗力外，如果甲方没有按照本合同约定的付款方式付款，那么乙方可要求甲方支付违约金，违约金按每迟延付款一日的应付而未付款的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%计算，最高限额为本合同总价的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%；迟延付款的违约金计算数额达到前述最高限额之日起，乙方有权在要求甲方支付违约金的同时，书面通知甲方解除本合同；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188" w:name="_Toc16341"/>
      <w:bookmarkStart w:id="1189" w:name="_Toc14695"/>
      <w:bookmarkStart w:id="1190" w:name="_Toc3403"/>
      <w:bookmarkStart w:id="1191" w:name="_Toc28265"/>
      <w:bookmarkStart w:id="1192" w:name="_Toc19011"/>
      <w:bookmarkStart w:id="1193" w:name="_Toc15028"/>
      <w:bookmarkStart w:id="1194" w:name="_Toc8914"/>
      <w:bookmarkStart w:id="1195" w:name="_Toc6344"/>
      <w:bookmarkStart w:id="1196" w:name="_Toc25941"/>
      <w:bookmarkStart w:id="1197" w:name="_Toc5482"/>
      <w:bookmarkStart w:id="1198" w:name="_Toc31180"/>
      <w:bookmarkStart w:id="1199" w:name="_Toc24393"/>
      <w:bookmarkStart w:id="1200" w:name="_Toc27762"/>
      <w:bookmarkStart w:id="1201" w:name="_Toc27927"/>
      <w:bookmarkStart w:id="1202" w:name="_Toc25915"/>
      <w:bookmarkStart w:id="1203" w:name="_Toc15583"/>
      <w:bookmarkStart w:id="1204" w:name="_Toc29338"/>
      <w:bookmarkStart w:id="1205" w:name="_Toc32062"/>
      <w:bookmarkStart w:id="1206" w:name="_Toc7323"/>
      <w:bookmarkStart w:id="1207" w:name="_Toc9202"/>
      <w:bookmarkStart w:id="1208" w:name="_Toc7216"/>
      <w:bookmarkStart w:id="1209" w:name="_Toc8550"/>
      <w:bookmarkStart w:id="1210" w:name="_Toc20049"/>
      <w:bookmarkStart w:id="1211" w:name="_Toc16021"/>
      <w:bookmarkStart w:id="1212" w:name="_Toc28375"/>
      <w:bookmarkStart w:id="1213" w:name="_Toc20610"/>
      <w:bookmarkStart w:id="1214" w:name="_Toc23654"/>
      <w:r>
        <w:rPr>
          <w:rFonts w:hint="eastAsia" w:ascii="微软雅黑" w:hAnsi="微软雅黑" w:eastAsia="微软雅黑" w:cs="微软雅黑"/>
          <w:b/>
          <w:color w:val="auto"/>
          <w:sz w:val="24"/>
          <w:highlight w:val="none"/>
        </w:rPr>
        <w:t>1.7 合同争议的解决</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本合同履行过程中发生的任何争议，双方当事人均可通过和解或者调解解决；不愿和解、调解或者和解、调解不成的，可以选择下列第</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种方式解决：</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1.7.1 将争议提交</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仲裁委员会依申请仲裁时其现行有效的仲裁规则裁决；</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1.7.2 向</w:t>
      </w:r>
      <w:r>
        <w:rPr>
          <w:rFonts w:hint="eastAsia" w:ascii="微软雅黑" w:hAnsi="微软雅黑" w:eastAsia="微软雅黑" w:cs="微软雅黑"/>
          <w:color w:val="auto"/>
          <w:sz w:val="24"/>
          <w:highlight w:val="none"/>
          <w:u w:val="single"/>
        </w:rPr>
        <w:t xml:space="preserve">   （被告住所地、合同履行地、合同签订地、原告住所地、标的物所在地等与争议有实际联系的地点中选出的人民法院名称）    </w:t>
      </w:r>
      <w:r>
        <w:rPr>
          <w:rFonts w:hint="eastAsia" w:ascii="微软雅黑" w:hAnsi="微软雅黑" w:eastAsia="微软雅黑" w:cs="微软雅黑"/>
          <w:color w:val="auto"/>
          <w:sz w:val="24"/>
          <w:highlight w:val="none"/>
        </w:rPr>
        <w:t>人民法院起诉。</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215" w:name="_Toc11173"/>
      <w:bookmarkStart w:id="1216" w:name="_Toc32416"/>
      <w:bookmarkStart w:id="1217" w:name="_Toc10043"/>
      <w:bookmarkStart w:id="1218" w:name="_Toc29292"/>
      <w:bookmarkStart w:id="1219" w:name="_Toc4204"/>
      <w:bookmarkStart w:id="1220" w:name="_Toc518"/>
      <w:bookmarkStart w:id="1221" w:name="_Toc16410"/>
      <w:bookmarkStart w:id="1222" w:name="_Toc15322"/>
      <w:bookmarkStart w:id="1223" w:name="_Toc17041"/>
      <w:bookmarkStart w:id="1224" w:name="_Toc24615"/>
      <w:bookmarkStart w:id="1225" w:name="_Toc6411"/>
      <w:bookmarkStart w:id="1226" w:name="_Toc17113"/>
      <w:bookmarkStart w:id="1227" w:name="_Toc3218"/>
      <w:bookmarkStart w:id="1228" w:name="_Toc10255"/>
      <w:bookmarkStart w:id="1229" w:name="_Toc20305"/>
      <w:bookmarkStart w:id="1230" w:name="_Toc27460"/>
      <w:bookmarkStart w:id="1231" w:name="_Toc2894"/>
      <w:bookmarkStart w:id="1232" w:name="_Toc30260"/>
      <w:bookmarkStart w:id="1233" w:name="_Toc1647"/>
      <w:bookmarkStart w:id="1234" w:name="_Toc2901"/>
      <w:bookmarkStart w:id="1235" w:name="_Toc7245"/>
      <w:bookmarkStart w:id="1236" w:name="_Toc10429"/>
      <w:bookmarkStart w:id="1237" w:name="_Toc23362"/>
      <w:bookmarkStart w:id="1238" w:name="_Toc10327"/>
      <w:bookmarkStart w:id="1239" w:name="_Toc22951"/>
      <w:bookmarkStart w:id="1240" w:name="_Toc4516"/>
      <w:bookmarkStart w:id="1241" w:name="_Toc9329"/>
      <w:r>
        <w:rPr>
          <w:rFonts w:hint="eastAsia" w:ascii="微软雅黑" w:hAnsi="微软雅黑" w:eastAsia="微软雅黑" w:cs="微软雅黑"/>
          <w:b/>
          <w:color w:val="auto"/>
          <w:sz w:val="24"/>
          <w:highlight w:val="none"/>
        </w:rPr>
        <w:t>1.8 合同生效</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pPr>
        <w:shd w:val="clear"/>
        <w:spacing w:line="360" w:lineRule="exact"/>
        <w:ind w:firstLine="480" w:firstLineChars="200"/>
        <w:rPr>
          <w:rFonts w:hint="eastAsia" w:ascii="微软雅黑" w:hAnsi="微软雅黑" w:eastAsia="微软雅黑" w:cs="微软雅黑"/>
          <w:b/>
          <w:color w:val="auto"/>
          <w:sz w:val="24"/>
          <w:highlight w:val="none"/>
        </w:rPr>
      </w:pPr>
      <w:r>
        <w:rPr>
          <w:rFonts w:hint="eastAsia" w:ascii="微软雅黑" w:hAnsi="微软雅黑" w:eastAsia="微软雅黑" w:cs="微软雅黑"/>
          <w:color w:val="auto"/>
          <w:sz w:val="24"/>
          <w:highlight w:val="none"/>
        </w:rPr>
        <w:t>本合同自双方当事人盖章或者签字时生效。</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b/>
          <w:color w:val="auto"/>
          <w:sz w:val="24"/>
          <w:highlight w:val="none"/>
          <w:lang w:val="zh-CN"/>
        </w:rPr>
        <w:t>甲方</w:t>
      </w:r>
      <w:r>
        <w:rPr>
          <w:rFonts w:hint="eastAsia" w:ascii="微软雅黑" w:hAnsi="微软雅黑" w:eastAsia="微软雅黑" w:cs="微软雅黑"/>
          <w:color w:val="auto"/>
          <w:sz w:val="24"/>
          <w:highlight w:val="none"/>
          <w:lang w:val="zh-CN"/>
        </w:rPr>
        <w:t xml:space="preserve">：                             </w:t>
      </w:r>
      <w:r>
        <w:rPr>
          <w:rFonts w:hint="eastAsia" w:ascii="微软雅黑" w:hAnsi="微软雅黑" w:eastAsia="微软雅黑" w:cs="微软雅黑"/>
          <w:b/>
          <w:color w:val="auto"/>
          <w:sz w:val="24"/>
          <w:highlight w:val="none"/>
          <w:lang w:val="zh-CN"/>
        </w:rPr>
        <w:t xml:space="preserve">      乙方</w:t>
      </w:r>
      <w:r>
        <w:rPr>
          <w:rFonts w:hint="eastAsia" w:ascii="微软雅黑" w:hAnsi="微软雅黑" w:eastAsia="微软雅黑" w:cs="微软雅黑"/>
          <w:color w:val="auto"/>
          <w:sz w:val="24"/>
          <w:highlight w:val="none"/>
          <w:lang w:val="zh-CN"/>
        </w:rPr>
        <w:t>：</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统一社会信用代码：                        统一社会信用代码或身份证号码：</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住所：                                   住所：</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法定代表人或                             法定代表人</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 xml:space="preserve">授权代表（签字）：                        或授权代表（签字）: </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联系人：                                 联系人：</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约定送达地址：                           约定送达地址：</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邮政编码：                               邮政编码：</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 xml:space="preserve">电话:                                    电话: </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传真:                                    传真:</w:t>
      </w:r>
    </w:p>
    <w:p>
      <w:pPr>
        <w:shd w:val="clear"/>
        <w:autoSpaceDE w:val="0"/>
        <w:autoSpaceDN w:val="0"/>
        <w:adjustRightInd w:val="0"/>
        <w:spacing w:line="36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zh-CN"/>
        </w:rPr>
        <w:t>电子邮箱：                               电子邮箱：</w:t>
      </w:r>
    </w:p>
    <w:p>
      <w:pPr>
        <w:shd w:val="clear"/>
        <w:autoSpaceDE w:val="0"/>
        <w:autoSpaceDN w:val="0"/>
        <w:adjustRightInd w:val="0"/>
        <w:spacing w:line="36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开户银行：                               开户银行： </w:t>
      </w:r>
    </w:p>
    <w:p>
      <w:pPr>
        <w:shd w:val="clear"/>
        <w:autoSpaceDE w:val="0"/>
        <w:autoSpaceDN w:val="0"/>
        <w:adjustRightInd w:val="0"/>
        <w:spacing w:line="36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开户名称：                               开户名称： </w:t>
      </w:r>
    </w:p>
    <w:p>
      <w:pPr>
        <w:shd w:val="clear"/>
        <w:autoSpaceDE w:val="0"/>
        <w:autoSpaceDN w:val="0"/>
        <w:adjustRightInd w:val="0"/>
        <w:spacing w:line="36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开户账号：</w:t>
      </w:r>
      <w:r>
        <w:rPr>
          <w:rFonts w:hint="eastAsia" w:ascii="微软雅黑" w:hAnsi="微软雅黑" w:eastAsia="微软雅黑" w:cs="微软雅黑"/>
          <w:color w:val="auto"/>
          <w:sz w:val="24"/>
          <w:highlight w:val="none"/>
          <w:lang w:val="zh-CN"/>
        </w:rPr>
        <w:t xml:space="preserve">                               </w:t>
      </w:r>
      <w:r>
        <w:rPr>
          <w:rFonts w:hint="eastAsia" w:ascii="微软雅黑" w:hAnsi="微软雅黑" w:eastAsia="微软雅黑" w:cs="微软雅黑"/>
          <w:color w:val="auto"/>
          <w:sz w:val="24"/>
          <w:highlight w:val="none"/>
        </w:rPr>
        <w:t>开户账号：</w:t>
      </w:r>
    </w:p>
    <w:p>
      <w:pPr>
        <w:widowControl/>
        <w:shd w:val="clear"/>
        <w:spacing w:line="360" w:lineRule="exact"/>
        <w:jc w:val="left"/>
        <w:rPr>
          <w:rFonts w:hint="eastAsia" w:ascii="微软雅黑" w:hAnsi="微软雅黑" w:eastAsia="微软雅黑" w:cs="微软雅黑"/>
          <w:b/>
          <w:color w:val="auto"/>
          <w:highlight w:val="none"/>
        </w:rPr>
      </w:pPr>
      <w:bookmarkStart w:id="1242" w:name="_Toc331685783"/>
    </w:p>
    <w:p>
      <w:pPr>
        <w:widowControl/>
        <w:shd w:val="clear"/>
        <w:spacing w:line="360" w:lineRule="exact"/>
        <w:jc w:val="left"/>
        <w:rPr>
          <w:rFonts w:hint="eastAsia" w:ascii="微软雅黑" w:hAnsi="微软雅黑" w:eastAsia="微软雅黑" w:cs="微软雅黑"/>
          <w:b/>
          <w:color w:val="auto"/>
          <w:highlight w:val="none"/>
        </w:rPr>
      </w:pPr>
    </w:p>
    <w:p>
      <w:pPr>
        <w:pStyle w:val="55"/>
        <w:shd w:val="clear"/>
        <w:spacing w:line="360" w:lineRule="exact"/>
        <w:ind w:firstLine="200"/>
        <w:jc w:val="center"/>
        <w:rPr>
          <w:rFonts w:hint="eastAsia" w:ascii="微软雅黑" w:hAnsi="微软雅黑" w:eastAsia="微软雅黑" w:cs="微软雅黑"/>
          <w:b/>
          <w:color w:val="auto"/>
          <w:szCs w:val="24"/>
          <w:highlight w:val="none"/>
        </w:rPr>
      </w:pPr>
      <w:r>
        <w:rPr>
          <w:rFonts w:hint="eastAsia" w:ascii="微软雅黑" w:hAnsi="微软雅黑" w:eastAsia="微软雅黑" w:cs="微软雅黑"/>
          <w:b/>
          <w:color w:val="auto"/>
          <w:szCs w:val="24"/>
          <w:highlight w:val="none"/>
        </w:rPr>
        <w:t>第二部分 合同一般条款</w:t>
      </w:r>
      <w:bookmarkEnd w:id="1242"/>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243" w:name="_Ref467379205"/>
      <w:bookmarkStart w:id="1244" w:name="_Toc510"/>
      <w:bookmarkStart w:id="1245" w:name="_Ref467379214"/>
      <w:bookmarkStart w:id="1246" w:name="_Toc2034"/>
      <w:bookmarkStart w:id="1247" w:name="_Ref467379109"/>
      <w:bookmarkStart w:id="1248" w:name="_Toc32624"/>
      <w:bookmarkStart w:id="1249" w:name="_Toc28895"/>
      <w:bookmarkStart w:id="1250" w:name="_Toc28662"/>
      <w:bookmarkStart w:id="1251" w:name="_Toc25554"/>
      <w:bookmarkStart w:id="1252" w:name="_Ref467379094"/>
      <w:bookmarkStart w:id="1253" w:name="_Toc20709"/>
      <w:bookmarkStart w:id="1254" w:name="_Toc18280"/>
      <w:bookmarkStart w:id="1255" w:name="_Toc15649"/>
      <w:bookmarkStart w:id="1256" w:name="_Toc29659"/>
      <w:bookmarkStart w:id="1257" w:name="_Toc4118"/>
      <w:bookmarkStart w:id="1258" w:name="_Toc487900349"/>
      <w:bookmarkStart w:id="1259" w:name="_Toc31417"/>
      <w:bookmarkStart w:id="1260" w:name="_Toc19614"/>
      <w:bookmarkStart w:id="1261" w:name="_Toc26936"/>
      <w:bookmarkStart w:id="1262" w:name="_Ref467378499"/>
      <w:bookmarkStart w:id="1263" w:name="_Ref467379195"/>
      <w:bookmarkStart w:id="1264" w:name="_Toc28763"/>
      <w:bookmarkStart w:id="1265" w:name="_Toc279701240"/>
      <w:bookmarkStart w:id="1266" w:name="_Toc3091"/>
      <w:bookmarkStart w:id="1267" w:name="_Toc32587"/>
      <w:bookmarkStart w:id="1268" w:name="_Ref467379101"/>
      <w:bookmarkStart w:id="1269" w:name="_Toc16917"/>
      <w:bookmarkStart w:id="1270" w:name="_Toc30455"/>
      <w:bookmarkStart w:id="1271" w:name="_Toc6553"/>
      <w:bookmarkStart w:id="1272" w:name="_Ref467378404"/>
      <w:bookmarkStart w:id="1273" w:name="_Toc17718"/>
      <w:bookmarkStart w:id="1274" w:name="_Toc259093669"/>
      <w:bookmarkStart w:id="1275" w:name="_Toc28547"/>
      <w:bookmarkStart w:id="1276" w:name="_Toc14993"/>
      <w:bookmarkStart w:id="1277" w:name="_Ref467379225"/>
      <w:bookmarkStart w:id="1278" w:name="_Toc26415"/>
      <w:bookmarkStart w:id="1279" w:name="_Ref467378463"/>
      <w:bookmarkStart w:id="1280" w:name="_Toc5579"/>
      <w:r>
        <w:rPr>
          <w:rFonts w:hint="eastAsia" w:ascii="微软雅黑" w:hAnsi="微软雅黑" w:eastAsia="微软雅黑" w:cs="微软雅黑"/>
          <w:b/>
          <w:color w:val="auto"/>
          <w:sz w:val="24"/>
          <w:highlight w:val="none"/>
        </w:rPr>
        <w:t>2.1 定义</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本合同中的下列词语应按以下内容进行解释：</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 “合同”系指采购人和</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签订的载明双方当事人所达成的协议，并包括所有的附件、附录和构成合同的其他文件。</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2.1.2 “合同价”系指根据合同约定，</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在完全履行合同义务后，采购人应支付给</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的价格。</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 “</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”系指</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根据合同约定应向采购人交付的一切各种形态和种类的物品，包括原材料、燃料、设备、机械、仪表、备件、计算机软件、产品等，并包括工具、手册等其他相关资料。</w:t>
      </w:r>
    </w:p>
    <w:p>
      <w:pPr>
        <w:shd w:val="clear"/>
        <w:spacing w:line="360" w:lineRule="exact"/>
        <w:ind w:firstLine="480" w:firstLineChars="200"/>
        <w:rPr>
          <w:rFonts w:hint="eastAsia" w:ascii="微软雅黑" w:hAnsi="微软雅黑" w:eastAsia="微软雅黑" w:cs="微软雅黑"/>
          <w:color w:val="auto"/>
          <w:sz w:val="24"/>
          <w:highlight w:val="none"/>
        </w:rPr>
      </w:pPr>
      <w:bookmarkStart w:id="1281" w:name="_Ref467378840"/>
      <w:r>
        <w:rPr>
          <w:rFonts w:hint="eastAsia" w:ascii="微软雅黑" w:hAnsi="微软雅黑" w:eastAsia="微软雅黑" w:cs="微软雅黑"/>
          <w:color w:val="auto"/>
          <w:sz w:val="24"/>
          <w:highlight w:val="none"/>
        </w:rPr>
        <w:t>2.1.4 “甲方”系指与</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签署合同的采购人</w:t>
      </w:r>
      <w:bookmarkEnd w:id="1281"/>
      <w:r>
        <w:rPr>
          <w:rFonts w:hint="eastAsia" w:ascii="微软雅黑" w:hAnsi="微软雅黑" w:eastAsia="微软雅黑" w:cs="微软雅黑"/>
          <w:color w:val="auto"/>
          <w:sz w:val="24"/>
          <w:highlight w:val="none"/>
        </w:rPr>
        <w:t>；采购人与乙方签订合同的，采购人的授权委托书作为合同附件。</w:t>
      </w:r>
    </w:p>
    <w:p>
      <w:pPr>
        <w:shd w:val="clear"/>
        <w:spacing w:line="360" w:lineRule="exact"/>
        <w:ind w:firstLine="480" w:firstLineChars="200"/>
        <w:rPr>
          <w:rFonts w:hint="eastAsia" w:ascii="微软雅黑" w:hAnsi="微软雅黑" w:eastAsia="微软雅黑" w:cs="微软雅黑"/>
          <w:color w:val="auto"/>
          <w:sz w:val="24"/>
          <w:highlight w:val="none"/>
        </w:rPr>
      </w:pPr>
      <w:bookmarkStart w:id="1282" w:name="_Ref467379400"/>
      <w:r>
        <w:rPr>
          <w:rFonts w:hint="eastAsia" w:ascii="微软雅黑" w:hAnsi="微软雅黑" w:eastAsia="微软雅黑" w:cs="微软雅黑"/>
          <w:color w:val="auto"/>
          <w:sz w:val="24"/>
          <w:highlight w:val="none"/>
        </w:rPr>
        <w:t>2.1.5 “乙方”系指根据合同约定交付</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的</w:t>
      </w:r>
      <w:bookmarkEnd w:id="1282"/>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hd w:val="clear"/>
        <w:spacing w:line="360" w:lineRule="exact"/>
        <w:ind w:firstLine="480" w:firstLineChars="200"/>
        <w:rPr>
          <w:rFonts w:hint="eastAsia" w:ascii="微软雅黑" w:hAnsi="微软雅黑" w:eastAsia="微软雅黑" w:cs="微软雅黑"/>
          <w:color w:val="auto"/>
          <w:sz w:val="24"/>
          <w:highlight w:val="none"/>
        </w:rPr>
      </w:pPr>
      <w:bookmarkStart w:id="1283" w:name="_Ref467379436"/>
      <w:r>
        <w:rPr>
          <w:rFonts w:hint="eastAsia" w:ascii="微软雅黑" w:hAnsi="微软雅黑" w:eastAsia="微软雅黑" w:cs="微软雅黑"/>
          <w:color w:val="auto"/>
          <w:sz w:val="24"/>
          <w:highlight w:val="none"/>
        </w:rPr>
        <w:t>2.1.6 “现场”系指合同约定</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将要运至或者安装的地点。</w:t>
      </w:r>
      <w:bookmarkEnd w:id="1283"/>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284" w:name="_Toc22122"/>
      <w:bookmarkStart w:id="1285" w:name="_Toc1183"/>
      <w:bookmarkStart w:id="1286" w:name="_Toc13336"/>
      <w:bookmarkStart w:id="1287" w:name="_Toc11142"/>
      <w:bookmarkStart w:id="1288" w:name="_Toc259093670"/>
      <w:bookmarkStart w:id="1289" w:name="_Toc25266"/>
      <w:bookmarkStart w:id="1290" w:name="_Toc17086"/>
      <w:bookmarkStart w:id="1291" w:name="_Toc279701241"/>
      <w:bookmarkStart w:id="1292" w:name="_Toc27635"/>
      <w:bookmarkStart w:id="1293" w:name="_Toc25044"/>
      <w:bookmarkStart w:id="1294" w:name="_Toc24792"/>
      <w:bookmarkStart w:id="1295" w:name="_Toc24523"/>
      <w:bookmarkStart w:id="1296" w:name="_Toc5592"/>
      <w:bookmarkStart w:id="1297" w:name="_Toc17151"/>
      <w:bookmarkStart w:id="1298" w:name="_Toc23689"/>
      <w:bookmarkStart w:id="1299" w:name="_Toc6361"/>
      <w:bookmarkStart w:id="1300" w:name="_Toc32065"/>
      <w:bookmarkStart w:id="1301" w:name="_Toc9859"/>
      <w:bookmarkStart w:id="1302" w:name="_Toc28415"/>
      <w:bookmarkStart w:id="1303" w:name="_Toc1221"/>
      <w:bookmarkStart w:id="1304" w:name="_Toc18490"/>
      <w:bookmarkStart w:id="1305" w:name="_Toc1352"/>
      <w:bookmarkStart w:id="1306" w:name="_Toc3949"/>
      <w:bookmarkStart w:id="1307" w:name="_Toc1447"/>
      <w:bookmarkStart w:id="1308" w:name="_Toc7416"/>
      <w:bookmarkStart w:id="1309" w:name="_Toc16976"/>
      <w:bookmarkStart w:id="1310" w:name="_Toc9291"/>
      <w:bookmarkStart w:id="1311" w:name="_Toc487900350"/>
      <w:r>
        <w:rPr>
          <w:rFonts w:hint="eastAsia" w:ascii="微软雅黑" w:hAnsi="微软雅黑" w:eastAsia="微软雅黑" w:cs="微软雅黑"/>
          <w:b/>
          <w:color w:val="auto"/>
          <w:sz w:val="24"/>
          <w:highlight w:val="none"/>
        </w:rPr>
        <w:t>2.2 技术规范</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312" w:name="_Toc6121"/>
      <w:bookmarkStart w:id="1313" w:name="_Toc4916"/>
      <w:bookmarkStart w:id="1314" w:name="_Toc14632"/>
      <w:bookmarkStart w:id="1315" w:name="_Toc975"/>
      <w:bookmarkStart w:id="1316" w:name="_Toc7722"/>
      <w:bookmarkStart w:id="1317" w:name="_Toc30552"/>
      <w:bookmarkStart w:id="1318" w:name="_Toc259093671"/>
      <w:bookmarkStart w:id="1319" w:name="_Toc20130"/>
      <w:bookmarkStart w:id="1320" w:name="_Toc9829"/>
      <w:bookmarkStart w:id="1321" w:name="_Toc23791"/>
      <w:bookmarkStart w:id="1322" w:name="_Toc15733"/>
      <w:bookmarkStart w:id="1323" w:name="_Toc29288"/>
      <w:bookmarkStart w:id="1324" w:name="_Toc23934"/>
      <w:bookmarkStart w:id="1325" w:name="_Toc13184"/>
      <w:bookmarkStart w:id="1326" w:name="_Toc12410"/>
      <w:bookmarkStart w:id="1327" w:name="_Toc31634"/>
      <w:bookmarkStart w:id="1328" w:name="_Toc27853"/>
      <w:bookmarkStart w:id="1329" w:name="_Toc279701242"/>
      <w:bookmarkStart w:id="1330" w:name="_Toc3854"/>
      <w:bookmarkStart w:id="1331" w:name="_Toc32351"/>
      <w:bookmarkStart w:id="1332" w:name="_Toc11322"/>
      <w:bookmarkStart w:id="1333" w:name="_Toc30700"/>
      <w:bookmarkStart w:id="1334" w:name="_Toc29982"/>
      <w:bookmarkStart w:id="1335" w:name="_Toc24537"/>
      <w:bookmarkStart w:id="1336" w:name="_Toc23649"/>
      <w:bookmarkStart w:id="1337" w:name="_Toc28173"/>
      <w:bookmarkStart w:id="1338" w:name="_Toc32048"/>
      <w:bookmarkStart w:id="1339" w:name="_Toc487900351"/>
      <w:bookmarkStart w:id="1340" w:name="_Toc13835"/>
      <w:bookmarkStart w:id="1341" w:name="_Toc4029"/>
      <w:r>
        <w:rPr>
          <w:rFonts w:hint="eastAsia" w:ascii="微软雅黑" w:hAnsi="微软雅黑" w:eastAsia="微软雅黑" w:cs="微软雅黑"/>
          <w:b/>
          <w:color w:val="auto"/>
          <w:sz w:val="24"/>
          <w:highlight w:val="none"/>
        </w:rPr>
        <w:t>2.3 知识产权</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2.3.1 乙方应保证甲方在使用该</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或其任何一部分时不受任何第三方提出的侵犯其著作权、商标权、专利权等知识产权方面的起诉；如果任何第三方提出侵权指控，那么乙方须与该第三方交涉并承担由此发生的一切责任、费用和赔偿；</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2.3.2具有知识产权的计算机软件等</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的知识产权归属，详见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342" w:name="_Toc29382"/>
      <w:bookmarkStart w:id="1343" w:name="_Toc11932"/>
      <w:bookmarkStart w:id="1344" w:name="_Toc18554"/>
      <w:bookmarkStart w:id="1345" w:name="_Toc24885"/>
      <w:bookmarkStart w:id="1346" w:name="_Toc25767"/>
      <w:bookmarkStart w:id="1347" w:name="_Toc18840"/>
      <w:bookmarkStart w:id="1348" w:name="_Toc1526"/>
      <w:bookmarkStart w:id="1349" w:name="_Toc24172"/>
      <w:bookmarkStart w:id="1350" w:name="_Toc29440"/>
      <w:bookmarkStart w:id="1351" w:name="_Toc29149"/>
      <w:bookmarkStart w:id="1352" w:name="_Toc3486"/>
      <w:bookmarkStart w:id="1353" w:name="_Toc12339"/>
      <w:bookmarkStart w:id="1354" w:name="_Toc20764"/>
      <w:bookmarkStart w:id="1355" w:name="_Toc19638"/>
      <w:bookmarkStart w:id="1356" w:name="_Toc10546"/>
      <w:bookmarkStart w:id="1357" w:name="_Toc4194"/>
      <w:bookmarkStart w:id="1358" w:name="_Toc12219"/>
      <w:bookmarkStart w:id="1359" w:name="_Toc6781"/>
      <w:bookmarkStart w:id="1360" w:name="_Toc17080"/>
      <w:bookmarkStart w:id="1361" w:name="_Toc5395"/>
      <w:bookmarkStart w:id="1362" w:name="_Toc23105"/>
      <w:bookmarkStart w:id="1363" w:name="_Toc26731"/>
      <w:bookmarkStart w:id="1364" w:name="_Toc10970"/>
      <w:bookmarkStart w:id="1365" w:name="_Toc9470"/>
      <w:bookmarkStart w:id="1366" w:name="_Toc14707"/>
      <w:bookmarkStart w:id="1367" w:name="_Toc28714"/>
      <w:r>
        <w:rPr>
          <w:rFonts w:hint="eastAsia" w:ascii="微软雅黑" w:hAnsi="微软雅黑" w:eastAsia="微软雅黑" w:cs="微软雅黑"/>
          <w:b/>
          <w:color w:val="auto"/>
          <w:sz w:val="24"/>
          <w:highlight w:val="none"/>
        </w:rPr>
        <w:t>2.4 包装和装运</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2.4.1除</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另有约定外,乙方交付的全部</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,均应采用本行业通用的方式进行包装，没有通用方式的，应当采取足以保护</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的包装方式，且该包装应符合国家有关包装的法律、法规的规定。如有必要，包装应适用于远距离运输、防潮、防震、防锈和防粗暴装卸，确保</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安全无损地运抵现场。由于包装不善所引起的</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锈蚀、损坏和损失等一切风险均由乙方承担。</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2.4.2 装运</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的要求和通知，详见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368" w:name="_Ref467378541"/>
      <w:bookmarkStart w:id="1369" w:name="_Toc279701245"/>
      <w:bookmarkStart w:id="1370" w:name="_Toc487900354"/>
      <w:bookmarkStart w:id="1371" w:name="_Ref467379542"/>
      <w:bookmarkStart w:id="1372" w:name="_Ref467379527"/>
      <w:bookmarkStart w:id="1373" w:name="_Ref467378591"/>
      <w:bookmarkStart w:id="1374" w:name="_Ref467379536"/>
      <w:bookmarkStart w:id="1375" w:name="_Toc259093674"/>
      <w:bookmarkStart w:id="1376" w:name="_Toc2815"/>
      <w:bookmarkStart w:id="1377" w:name="_Toc18086"/>
      <w:bookmarkStart w:id="1378" w:name="_Toc18515"/>
      <w:bookmarkStart w:id="1379" w:name="_Toc18307"/>
      <w:bookmarkStart w:id="1380" w:name="_Toc32686"/>
      <w:bookmarkStart w:id="1381" w:name="_Toc30516"/>
      <w:bookmarkStart w:id="1382" w:name="_Toc24935"/>
      <w:bookmarkStart w:id="1383" w:name="_Toc19074"/>
      <w:bookmarkStart w:id="1384" w:name="_Toc9028"/>
      <w:bookmarkStart w:id="1385" w:name="_Toc15512"/>
      <w:bookmarkStart w:id="1386" w:name="_Toc21410"/>
      <w:bookmarkStart w:id="1387" w:name="_Toc21879"/>
      <w:bookmarkStart w:id="1388" w:name="_Toc12193"/>
      <w:bookmarkStart w:id="1389" w:name="_Toc7299"/>
      <w:bookmarkStart w:id="1390" w:name="_Toc12428"/>
      <w:bookmarkStart w:id="1391" w:name="_Toc30272"/>
      <w:bookmarkStart w:id="1392" w:name="_Toc20829"/>
      <w:bookmarkStart w:id="1393" w:name="_Toc26182"/>
      <w:bookmarkStart w:id="1394" w:name="_Toc28025"/>
      <w:bookmarkStart w:id="1395" w:name="_Toc21198"/>
      <w:bookmarkStart w:id="1396" w:name="_Toc4831"/>
      <w:bookmarkStart w:id="1397" w:name="_Toc28324"/>
      <w:bookmarkStart w:id="1398" w:name="_Toc17360"/>
      <w:bookmarkStart w:id="1399" w:name="_Toc28937"/>
      <w:bookmarkStart w:id="1400" w:name="_Toc24299"/>
      <w:bookmarkStart w:id="1401" w:name="_Toc19100"/>
      <w:bookmarkStart w:id="1402" w:name="_Toc5927"/>
      <w:r>
        <w:rPr>
          <w:rFonts w:hint="eastAsia" w:ascii="微软雅黑" w:hAnsi="微软雅黑" w:eastAsia="微软雅黑" w:cs="微软雅黑"/>
          <w:b/>
          <w:color w:val="auto"/>
          <w:sz w:val="24"/>
          <w:highlight w:val="none"/>
        </w:rPr>
        <w:t>2.</w:t>
      </w:r>
      <w:bookmarkEnd w:id="1368"/>
      <w:bookmarkEnd w:id="1369"/>
      <w:bookmarkEnd w:id="1370"/>
      <w:bookmarkEnd w:id="1371"/>
      <w:bookmarkEnd w:id="1372"/>
      <w:bookmarkEnd w:id="1373"/>
      <w:bookmarkEnd w:id="1374"/>
      <w:bookmarkEnd w:id="1375"/>
      <w:r>
        <w:rPr>
          <w:rFonts w:hint="eastAsia" w:ascii="微软雅黑" w:hAnsi="微软雅黑" w:eastAsia="微软雅黑" w:cs="微软雅黑"/>
          <w:b/>
          <w:color w:val="auto"/>
          <w:sz w:val="24"/>
          <w:highlight w:val="none"/>
        </w:rPr>
        <w:t>5 履约检查和问题反馈</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pPr>
        <w:shd w:val="clear"/>
        <w:spacing w:line="360" w:lineRule="exact"/>
        <w:ind w:firstLine="480" w:firstLineChars="200"/>
        <w:rPr>
          <w:rFonts w:hint="eastAsia" w:ascii="微软雅黑" w:hAnsi="微软雅黑" w:eastAsia="微软雅黑" w:cs="微软雅黑"/>
          <w:color w:val="auto"/>
          <w:sz w:val="24"/>
          <w:highlight w:val="none"/>
        </w:rPr>
      </w:pPr>
      <w:bookmarkStart w:id="1403" w:name="_Ref467379657"/>
      <w:r>
        <w:rPr>
          <w:rFonts w:hint="eastAsia" w:ascii="微软雅黑" w:hAnsi="微软雅黑" w:eastAsia="微软雅黑" w:cs="微软雅黑"/>
          <w:color w:val="auto"/>
          <w:sz w:val="24"/>
          <w:highlight w:val="none"/>
        </w:rPr>
        <w:t>2.5.1</w:t>
      </w:r>
      <w:bookmarkEnd w:id="1403"/>
      <w:bookmarkStart w:id="1404" w:name="_Toc186431854"/>
      <w:bookmarkStart w:id="1405" w:name="_Ref467379793"/>
      <w:bookmarkStart w:id="1406" w:name="_Toc279701247"/>
      <w:bookmarkStart w:id="1407" w:name="_Toc259093676"/>
      <w:bookmarkStart w:id="1408" w:name="_Ref467379807"/>
      <w:bookmarkStart w:id="1409" w:name="_Toc487900357"/>
      <w:r>
        <w:rPr>
          <w:rFonts w:hint="eastAsia" w:ascii="微软雅黑" w:hAnsi="微软雅黑" w:eastAsia="微软雅黑" w:cs="微软雅黑"/>
          <w:color w:val="auto"/>
          <w:sz w:val="24"/>
          <w:highlight w:val="none"/>
        </w:rPr>
        <w:t>甲方有权在其认为必要时，对乙方是否能够按照合同约定交付</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进行履约检查，以确保乙方所交付的</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能够依约满足甲方之项目需求，但不得因履约检查妨碍乙方的正常工作，乙方应予积极配合；</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2.5.2 合同履行期间，甲方有权将履行过程中出现的问题反馈给乙方，双方当事人应以书面形式约定需要完善和改进的内容</w:t>
      </w:r>
      <w:bookmarkEnd w:id="1404"/>
      <w:bookmarkStart w:id="1410" w:name="_Toc186431855"/>
      <w:r>
        <w:rPr>
          <w:rFonts w:hint="eastAsia" w:ascii="微软雅黑" w:hAnsi="微软雅黑" w:eastAsia="微软雅黑" w:cs="微软雅黑"/>
          <w:color w:val="auto"/>
          <w:sz w:val="24"/>
          <w:highlight w:val="none"/>
        </w:rPr>
        <w:t>。</w:t>
      </w:r>
    </w:p>
    <w:bookmarkEnd w:id="1410"/>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411" w:name="_Toc31520"/>
      <w:bookmarkStart w:id="1412" w:name="_Toc26232"/>
      <w:bookmarkStart w:id="1413" w:name="_Toc11443"/>
      <w:bookmarkStart w:id="1414" w:name="_Toc26002"/>
      <w:bookmarkStart w:id="1415" w:name="_Toc17283"/>
      <w:bookmarkStart w:id="1416" w:name="_Toc24875"/>
      <w:bookmarkStart w:id="1417" w:name="_Toc5304"/>
      <w:bookmarkStart w:id="1418" w:name="_Toc19219"/>
      <w:bookmarkStart w:id="1419" w:name="_Toc11522"/>
      <w:bookmarkStart w:id="1420" w:name="_Toc12360"/>
      <w:bookmarkStart w:id="1421" w:name="_Toc28451"/>
      <w:bookmarkStart w:id="1422" w:name="_Toc9092"/>
      <w:bookmarkStart w:id="1423" w:name="_Toc26959"/>
      <w:bookmarkStart w:id="1424" w:name="_Toc234"/>
      <w:bookmarkStart w:id="1425" w:name="_Toc12878"/>
      <w:bookmarkStart w:id="1426" w:name="_Toc2067"/>
      <w:bookmarkStart w:id="1427" w:name="_Toc12377"/>
      <w:bookmarkStart w:id="1428" w:name="_Toc582"/>
      <w:bookmarkStart w:id="1429" w:name="_Toc12129"/>
      <w:bookmarkStart w:id="1430" w:name="_Toc7836"/>
      <w:bookmarkStart w:id="1431" w:name="_Toc21756"/>
      <w:bookmarkStart w:id="1432" w:name="_Toc30354"/>
      <w:bookmarkStart w:id="1433" w:name="_Toc10980"/>
      <w:bookmarkStart w:id="1434" w:name="_Toc19081"/>
      <w:bookmarkStart w:id="1435" w:name="_Toc26298"/>
      <w:bookmarkStart w:id="1436" w:name="_Toc14169"/>
      <w:bookmarkStart w:id="1437" w:name="_Toc23261"/>
      <w:r>
        <w:rPr>
          <w:rFonts w:hint="eastAsia" w:ascii="微软雅黑" w:hAnsi="微软雅黑" w:eastAsia="微软雅黑" w:cs="微软雅黑"/>
          <w:b/>
          <w:color w:val="auto"/>
          <w:sz w:val="24"/>
          <w:highlight w:val="none"/>
        </w:rPr>
        <w:t>2.6 结算方式和付款条件</w:t>
      </w:r>
      <w:bookmarkEnd w:id="1405"/>
      <w:bookmarkEnd w:id="1406"/>
      <w:bookmarkEnd w:id="1407"/>
      <w:bookmarkEnd w:id="1408"/>
      <w:bookmarkEnd w:id="1409"/>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438" w:name="_Ref467379852"/>
      <w:bookmarkStart w:id="1439" w:name="_Toc279701248"/>
      <w:bookmarkStart w:id="1440" w:name="_Ref467379863"/>
      <w:bookmarkStart w:id="1441" w:name="_Toc259093677"/>
      <w:bookmarkStart w:id="1442" w:name="_Toc487900358"/>
      <w:bookmarkStart w:id="1443" w:name="_Ref467379923"/>
      <w:bookmarkStart w:id="1444" w:name="_Toc1200"/>
      <w:bookmarkStart w:id="1445" w:name="_Toc31971"/>
      <w:bookmarkStart w:id="1446" w:name="_Toc15168"/>
      <w:bookmarkStart w:id="1447" w:name="_Toc5410"/>
      <w:bookmarkStart w:id="1448" w:name="_Toc13023"/>
      <w:bookmarkStart w:id="1449" w:name="_Toc13230"/>
      <w:bookmarkStart w:id="1450" w:name="_Toc17607"/>
      <w:bookmarkStart w:id="1451" w:name="_Toc29030"/>
      <w:bookmarkStart w:id="1452" w:name="_Toc16110"/>
      <w:bookmarkStart w:id="1453" w:name="_Toc24342"/>
      <w:bookmarkStart w:id="1454" w:name="_Toc29616"/>
      <w:bookmarkStart w:id="1455" w:name="_Toc9845"/>
      <w:bookmarkStart w:id="1456" w:name="_Toc10114"/>
      <w:bookmarkStart w:id="1457" w:name="_Toc17729"/>
      <w:bookmarkStart w:id="1458" w:name="_Toc17136"/>
      <w:bookmarkStart w:id="1459" w:name="_Toc28781"/>
      <w:bookmarkStart w:id="1460" w:name="_Toc774"/>
      <w:bookmarkStart w:id="1461" w:name="_Toc10105"/>
      <w:bookmarkStart w:id="1462" w:name="_Toc3147"/>
      <w:bookmarkStart w:id="1463" w:name="_Toc11615"/>
      <w:bookmarkStart w:id="1464" w:name="_Toc20131"/>
      <w:bookmarkStart w:id="1465" w:name="_Toc21355"/>
      <w:bookmarkStart w:id="1466" w:name="_Toc31305"/>
      <w:bookmarkStart w:id="1467" w:name="_Toc3225"/>
      <w:bookmarkStart w:id="1468" w:name="_Toc17051"/>
      <w:r>
        <w:rPr>
          <w:rFonts w:hint="eastAsia" w:ascii="微软雅黑" w:hAnsi="微软雅黑" w:eastAsia="微软雅黑" w:cs="微软雅黑"/>
          <w:b/>
          <w:color w:val="auto"/>
          <w:sz w:val="24"/>
          <w:highlight w:val="none"/>
        </w:rPr>
        <w:t>2.7 技术资料</w:t>
      </w:r>
      <w:bookmarkEnd w:id="1438"/>
      <w:bookmarkEnd w:id="1439"/>
      <w:bookmarkEnd w:id="1440"/>
      <w:bookmarkEnd w:id="1441"/>
      <w:bookmarkEnd w:id="1442"/>
      <w:bookmarkEnd w:id="1443"/>
      <w:r>
        <w:rPr>
          <w:rFonts w:hint="eastAsia" w:ascii="微软雅黑" w:hAnsi="微软雅黑" w:eastAsia="微软雅黑" w:cs="微软雅黑"/>
          <w:b/>
          <w:color w:val="auto"/>
          <w:sz w:val="24"/>
          <w:highlight w:val="none"/>
        </w:rPr>
        <w:t>和保密义务</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2.7.1 乙方有权依据合同约定和项目需要，向甲方了解有关情况，调阅有关资料等，甲方应予积极配合；</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2.7.2 乙方有义务妥善保管和保护由甲方提供的前款信息和资料等；</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469" w:name="_Toc11328"/>
      <w:bookmarkStart w:id="1470" w:name="_Toc23751"/>
      <w:bookmarkStart w:id="1471" w:name="_Toc30477"/>
      <w:bookmarkStart w:id="1472" w:name="_Toc468"/>
      <w:bookmarkStart w:id="1473" w:name="_Toc27453"/>
      <w:bookmarkStart w:id="1474" w:name="_Toc23081"/>
      <w:bookmarkStart w:id="1475" w:name="_Toc3156"/>
      <w:bookmarkStart w:id="1476" w:name="_Toc5200"/>
      <w:bookmarkStart w:id="1477" w:name="_Toc21267"/>
      <w:bookmarkStart w:id="1478" w:name="_Toc11530"/>
      <w:bookmarkStart w:id="1479" w:name="_Toc13384"/>
      <w:bookmarkStart w:id="1480" w:name="_Toc20550"/>
      <w:bookmarkStart w:id="1481" w:name="_Toc8288"/>
      <w:bookmarkStart w:id="1482" w:name="_Toc16190"/>
      <w:bookmarkStart w:id="1483" w:name="_Toc10326"/>
      <w:bookmarkStart w:id="1484" w:name="_Toc18231"/>
      <w:bookmarkStart w:id="1485" w:name="_Toc32169"/>
      <w:bookmarkStart w:id="1486" w:name="_Toc30503"/>
      <w:bookmarkStart w:id="1487" w:name="_Toc18551"/>
      <w:bookmarkStart w:id="1488" w:name="_Toc22314"/>
      <w:bookmarkStart w:id="1489" w:name="_Toc7860"/>
      <w:bookmarkStart w:id="1490" w:name="_Toc18905"/>
      <w:bookmarkStart w:id="1491" w:name="_Toc25346"/>
      <w:bookmarkStart w:id="1492" w:name="_Toc30167"/>
      <w:bookmarkStart w:id="1493" w:name="_Toc29217"/>
      <w:r>
        <w:rPr>
          <w:rFonts w:hint="eastAsia" w:ascii="微软雅黑" w:hAnsi="微软雅黑" w:eastAsia="微软雅黑" w:cs="微软雅黑"/>
          <w:b/>
          <w:color w:val="auto"/>
          <w:sz w:val="24"/>
          <w:highlight w:val="none"/>
        </w:rPr>
        <w:t>2.8 质量保证</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2.8.1 乙方应建立和完善履行合同的内部质量保证体系，并提供相关内部规章制度给甲方，以便甲方进行监督检查；</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2.8.2 乙方应保证履行合同的人员数量和素质、软件和硬件设备的配置、场地、环境和设施等满足全面履行合同的要求，并应接受甲方的监督检查。</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494" w:name="_Toc24514"/>
      <w:bookmarkStart w:id="1495" w:name="_Toc25529"/>
      <w:bookmarkStart w:id="1496" w:name="_Toc27234"/>
      <w:bookmarkStart w:id="1497" w:name="_Toc26922"/>
      <w:bookmarkStart w:id="1498" w:name="_Toc1389"/>
      <w:bookmarkStart w:id="1499" w:name="_Toc14663"/>
      <w:bookmarkStart w:id="1500" w:name="_Toc23506"/>
      <w:bookmarkStart w:id="1501" w:name="_Toc25536"/>
      <w:bookmarkStart w:id="1502" w:name="_Toc27346"/>
      <w:bookmarkStart w:id="1503" w:name="_Toc17244"/>
      <w:bookmarkStart w:id="1504" w:name="_Toc12010"/>
      <w:bookmarkStart w:id="1505" w:name="_Toc3503"/>
      <w:bookmarkStart w:id="1506" w:name="_Toc26555"/>
      <w:bookmarkStart w:id="1507" w:name="_Toc17497"/>
      <w:bookmarkStart w:id="1508" w:name="_Toc21422"/>
      <w:bookmarkStart w:id="1509" w:name="_Toc812"/>
      <w:bookmarkStart w:id="1510" w:name="_Toc23172"/>
      <w:bookmarkStart w:id="1511" w:name="_Toc31178"/>
      <w:bookmarkStart w:id="1512" w:name="_Toc12966"/>
      <w:bookmarkStart w:id="1513" w:name="_Toc13812"/>
      <w:bookmarkStart w:id="1514" w:name="_Toc31920"/>
      <w:bookmarkStart w:id="1515" w:name="_Toc22016"/>
      <w:bookmarkStart w:id="1516" w:name="_Toc14596"/>
      <w:bookmarkStart w:id="1517" w:name="_Toc17030"/>
      <w:bookmarkStart w:id="1518" w:name="_Toc27238"/>
      <w:bookmarkStart w:id="1519" w:name="_Toc279701252"/>
      <w:bookmarkStart w:id="1520" w:name="_Toc487900362"/>
      <w:bookmarkStart w:id="1521" w:name="_Toc259093681"/>
      <w:r>
        <w:rPr>
          <w:rFonts w:hint="eastAsia" w:ascii="微软雅黑" w:hAnsi="微软雅黑" w:eastAsia="微软雅黑" w:cs="微软雅黑"/>
          <w:b/>
          <w:color w:val="auto"/>
          <w:sz w:val="24"/>
          <w:highlight w:val="none"/>
        </w:rPr>
        <w:t xml:space="preserve">2.9 </w:t>
      </w:r>
      <w:r>
        <w:rPr>
          <w:rFonts w:hint="eastAsia" w:ascii="微软雅黑" w:hAnsi="微软雅黑" w:eastAsia="微软雅黑" w:cs="微软雅黑"/>
          <w:b/>
          <w:color w:val="auto"/>
          <w:sz w:val="24"/>
          <w:highlight w:val="none"/>
          <w:lang w:eastAsia="zh-CN"/>
        </w:rPr>
        <w:t>服务</w:t>
      </w:r>
      <w:r>
        <w:rPr>
          <w:rFonts w:hint="eastAsia" w:ascii="微软雅黑" w:hAnsi="微软雅黑" w:eastAsia="微软雅黑" w:cs="微软雅黑"/>
          <w:b/>
          <w:color w:val="auto"/>
          <w:sz w:val="24"/>
          <w:highlight w:val="none"/>
        </w:rPr>
        <w:t>的风险负担</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pPr>
        <w:shd w:val="clear"/>
        <w:spacing w:line="360" w:lineRule="exact"/>
        <w:ind w:firstLine="480" w:firstLineChars="200"/>
        <w:rPr>
          <w:rFonts w:hint="eastAsia" w:ascii="微软雅黑" w:hAnsi="微软雅黑" w:eastAsia="微软雅黑" w:cs="微软雅黑"/>
          <w:b/>
          <w:color w:val="auto"/>
          <w:sz w:val="24"/>
          <w:highlight w:val="none"/>
        </w:rPr>
      </w:pP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或者在途</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或者交付给第一承运人后的</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毁损、灭失的风险负担详见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522" w:name="_Toc22372"/>
      <w:bookmarkStart w:id="1523" w:name="_Toc12352"/>
      <w:bookmarkStart w:id="1524" w:name="_Toc14698"/>
      <w:bookmarkStart w:id="1525" w:name="_Toc26646"/>
      <w:bookmarkStart w:id="1526" w:name="_Toc25779"/>
      <w:bookmarkStart w:id="1527" w:name="_Toc1299"/>
      <w:bookmarkStart w:id="1528" w:name="_Toc15972"/>
      <w:bookmarkStart w:id="1529" w:name="_Toc7986"/>
      <w:bookmarkStart w:id="1530" w:name="_Toc5196"/>
      <w:bookmarkStart w:id="1531" w:name="_Toc2"/>
      <w:bookmarkStart w:id="1532" w:name="_Toc6602"/>
      <w:bookmarkStart w:id="1533" w:name="_Toc23656"/>
      <w:bookmarkStart w:id="1534" w:name="_Toc14055"/>
      <w:bookmarkStart w:id="1535" w:name="_Toc15465"/>
      <w:bookmarkStart w:id="1536" w:name="_Toc7944"/>
      <w:bookmarkStart w:id="1537" w:name="_Toc14631"/>
      <w:bookmarkStart w:id="1538" w:name="_Toc26567"/>
      <w:bookmarkStart w:id="1539" w:name="_Toc25663"/>
      <w:bookmarkStart w:id="1540" w:name="_Toc29192"/>
      <w:bookmarkStart w:id="1541" w:name="_Toc17349"/>
      <w:bookmarkStart w:id="1542" w:name="_Toc11963"/>
      <w:bookmarkStart w:id="1543" w:name="_Toc26440"/>
      <w:bookmarkStart w:id="1544" w:name="_Toc19684"/>
      <w:r>
        <w:rPr>
          <w:rFonts w:hint="eastAsia" w:ascii="微软雅黑" w:hAnsi="微软雅黑" w:eastAsia="微软雅黑" w:cs="微软雅黑"/>
          <w:b/>
          <w:color w:val="auto"/>
          <w:sz w:val="24"/>
          <w:highlight w:val="none"/>
        </w:rPr>
        <w:t>2.10 延迟交货</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在合同履行过程中，如果乙方遇到不能按时交付</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的情况，应及时以书面形式将不能按时交付</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的理由、预期延误时间通知甲方；甲方收到乙方通知后，认为其理由正当的，可以书面形式酌情同意乙方可以延长交货的具体时间。</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545" w:name="_Toc18649"/>
      <w:bookmarkStart w:id="1546" w:name="_Toc7444"/>
      <w:bookmarkStart w:id="1547" w:name="_Toc16528"/>
      <w:bookmarkStart w:id="1548" w:name="_Toc16402"/>
      <w:bookmarkStart w:id="1549" w:name="_Toc12706"/>
      <w:bookmarkStart w:id="1550" w:name="_Toc8441"/>
      <w:bookmarkStart w:id="1551" w:name="_Toc30125"/>
      <w:bookmarkStart w:id="1552" w:name="_Toc31403"/>
      <w:bookmarkStart w:id="1553" w:name="_Toc18704"/>
      <w:bookmarkStart w:id="1554" w:name="_Toc15143"/>
      <w:bookmarkStart w:id="1555" w:name="_Toc7502"/>
      <w:bookmarkStart w:id="1556" w:name="_Toc5036"/>
      <w:bookmarkStart w:id="1557" w:name="_Toc14851"/>
      <w:bookmarkStart w:id="1558" w:name="_Toc26984"/>
      <w:bookmarkStart w:id="1559" w:name="_Toc2285"/>
      <w:bookmarkStart w:id="1560" w:name="_Toc12175"/>
      <w:bookmarkStart w:id="1561" w:name="_Toc20090"/>
      <w:bookmarkStart w:id="1562" w:name="_Toc17237"/>
      <w:bookmarkStart w:id="1563" w:name="_Toc3064"/>
      <w:bookmarkStart w:id="1564" w:name="_Toc10956"/>
      <w:bookmarkStart w:id="1565" w:name="_Toc1372"/>
      <w:bookmarkStart w:id="1566" w:name="_Toc25717"/>
      <w:bookmarkStart w:id="1567" w:name="_Toc507"/>
      <w:bookmarkStart w:id="1568" w:name="_Toc16810"/>
      <w:bookmarkStart w:id="1569" w:name="_Toc259093683"/>
      <w:bookmarkStart w:id="1570" w:name="_Ref467378121"/>
      <w:bookmarkStart w:id="1571" w:name="_Toc487900364"/>
      <w:bookmarkStart w:id="1572" w:name="_Toc279701254"/>
      <w:r>
        <w:rPr>
          <w:rFonts w:hint="eastAsia" w:ascii="微软雅黑" w:hAnsi="微软雅黑" w:eastAsia="微软雅黑" w:cs="微软雅黑"/>
          <w:b/>
          <w:color w:val="auto"/>
          <w:sz w:val="24"/>
          <w:highlight w:val="none"/>
        </w:rPr>
        <w:t>2.11 合同变更</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2.11.1双方当事人协商一致，可以签订书面补充合同的形式变更合同，但不得违背采购文件确定的事项，且如果系追加与合同标的相同的</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的，那么所有补充合同的采购金额不得超过原合同价的10%；</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1573" w:name="_Toc279701259"/>
      <w:bookmarkStart w:id="1574" w:name="_Toc259093688"/>
      <w:bookmarkStart w:id="1575" w:name="_Toc487900369"/>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576" w:name="_Toc25607"/>
      <w:bookmarkStart w:id="1577" w:name="_Toc10537"/>
      <w:bookmarkStart w:id="1578" w:name="_Toc11465"/>
      <w:bookmarkStart w:id="1579" w:name="_Toc26224"/>
      <w:bookmarkStart w:id="1580" w:name="_Toc3062"/>
      <w:bookmarkStart w:id="1581" w:name="_Toc3928"/>
      <w:bookmarkStart w:id="1582" w:name="_Toc14136"/>
      <w:bookmarkStart w:id="1583" w:name="_Toc6517"/>
      <w:bookmarkStart w:id="1584" w:name="_Toc3931"/>
      <w:bookmarkStart w:id="1585" w:name="_Toc15237"/>
      <w:bookmarkStart w:id="1586" w:name="_Toc1806"/>
      <w:bookmarkStart w:id="1587" w:name="_Toc27772"/>
      <w:bookmarkStart w:id="1588" w:name="_Toc19380"/>
      <w:bookmarkStart w:id="1589" w:name="_Toc11626"/>
      <w:bookmarkStart w:id="1590" w:name="_Toc3825"/>
      <w:bookmarkStart w:id="1591" w:name="_Toc13386"/>
      <w:bookmarkStart w:id="1592" w:name="_Toc22955"/>
      <w:bookmarkStart w:id="1593" w:name="_Toc25508"/>
      <w:bookmarkStart w:id="1594" w:name="_Toc26864"/>
      <w:bookmarkStart w:id="1595" w:name="_Toc1271"/>
      <w:bookmarkStart w:id="1596" w:name="_Toc23079"/>
      <w:bookmarkStart w:id="1597" w:name="_Toc30891"/>
      <w:bookmarkStart w:id="1598" w:name="_Toc14895"/>
      <w:bookmarkStart w:id="1599" w:name="_Toc28095"/>
      <w:bookmarkStart w:id="1600" w:name="_Toc2157"/>
      <w:bookmarkStart w:id="1601" w:name="_Toc10366"/>
      <w:bookmarkStart w:id="1602" w:name="_Toc24511"/>
      <w:r>
        <w:rPr>
          <w:rFonts w:hint="eastAsia" w:ascii="微软雅黑" w:hAnsi="微软雅黑" w:eastAsia="微软雅黑" w:cs="微软雅黑"/>
          <w:b/>
          <w:color w:val="auto"/>
          <w:sz w:val="24"/>
          <w:highlight w:val="none"/>
        </w:rPr>
        <w:t>2.12 合同转让</w:t>
      </w:r>
      <w:bookmarkEnd w:id="1573"/>
      <w:bookmarkEnd w:id="1574"/>
      <w:bookmarkEnd w:id="1575"/>
      <w:r>
        <w:rPr>
          <w:rFonts w:hint="eastAsia" w:ascii="微软雅黑" w:hAnsi="微软雅黑" w:eastAsia="微软雅黑" w:cs="微软雅黑"/>
          <w:b/>
          <w:color w:val="auto"/>
          <w:sz w:val="24"/>
          <w:highlight w:val="none"/>
        </w:rPr>
        <w:t>和分包</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603" w:name="_Toc8114"/>
      <w:bookmarkStart w:id="1604" w:name="_Toc2520"/>
      <w:bookmarkStart w:id="1605" w:name="_Toc2586"/>
      <w:bookmarkStart w:id="1606" w:name="_Toc11989"/>
      <w:bookmarkStart w:id="1607" w:name="_Toc32515"/>
      <w:bookmarkStart w:id="1608" w:name="_Toc16508"/>
      <w:bookmarkStart w:id="1609" w:name="_Toc32420"/>
      <w:bookmarkStart w:id="1610" w:name="_Toc17498"/>
      <w:bookmarkStart w:id="1611" w:name="_Toc24741"/>
      <w:bookmarkStart w:id="1612" w:name="_Toc16893"/>
      <w:bookmarkStart w:id="1613" w:name="_Toc13557"/>
      <w:bookmarkStart w:id="1614" w:name="_Toc15592"/>
      <w:bookmarkStart w:id="1615" w:name="_Toc4372"/>
      <w:bookmarkStart w:id="1616" w:name="_Toc4540"/>
      <w:bookmarkStart w:id="1617" w:name="_Toc15741"/>
      <w:bookmarkStart w:id="1618" w:name="_Toc12165"/>
      <w:bookmarkStart w:id="1619" w:name="_Toc5484"/>
      <w:bookmarkStart w:id="1620" w:name="_Toc14066"/>
      <w:bookmarkStart w:id="1621" w:name="_Toc3533"/>
      <w:bookmarkStart w:id="1622" w:name="_Toc31905"/>
      <w:bookmarkStart w:id="1623" w:name="_Toc11104"/>
      <w:bookmarkStart w:id="1624" w:name="_Toc13160"/>
      <w:bookmarkStart w:id="1625" w:name="_Toc14752"/>
      <w:bookmarkStart w:id="1626" w:name="_Toc31318"/>
      <w:bookmarkStart w:id="1627" w:name="_Toc12809"/>
      <w:bookmarkStart w:id="1628" w:name="_Toc13566"/>
      <w:bookmarkStart w:id="1629" w:name="_Toc4715"/>
      <w:r>
        <w:rPr>
          <w:rFonts w:hint="eastAsia" w:ascii="微软雅黑" w:hAnsi="微软雅黑" w:eastAsia="微软雅黑" w:cs="微软雅黑"/>
          <w:b/>
          <w:color w:val="auto"/>
          <w:sz w:val="24"/>
          <w:highlight w:val="none"/>
        </w:rPr>
        <w:t>2.13 不可抗力</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2.13.1如果任何一方遭遇法律规定的不可抗力，致使合同履行受阻时，履行合同的期限应予延长，延长的期限应相当于不可抗力所影响的时间；</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2.13.2 因不可抗力致使不能实现合同目的的，当事人可以解除合同；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2.13.3 因不可抗力致使合同有变更必要的，双方当事人应在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约定时间内以书面形式变更合同；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2.13.4受不可抗力影响的一方在不可抗力发生后，应在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约定时间内以书面形式通知对方当事人，并在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约定时间内，将有关部门出具的证明文件送达对方当事人。</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630" w:name="_Toc689"/>
      <w:bookmarkStart w:id="1631" w:name="_Toc4006"/>
      <w:bookmarkStart w:id="1632" w:name="_Toc279701255"/>
      <w:bookmarkStart w:id="1633" w:name="_Toc28812"/>
      <w:bookmarkStart w:id="1634" w:name="_Toc5499"/>
      <w:bookmarkStart w:id="1635" w:name="_Toc11423"/>
      <w:bookmarkStart w:id="1636" w:name="_Toc26085"/>
      <w:bookmarkStart w:id="1637" w:name="_Toc28117"/>
      <w:bookmarkStart w:id="1638" w:name="_Toc16229"/>
      <w:bookmarkStart w:id="1639" w:name="_Toc30676"/>
      <w:bookmarkStart w:id="1640" w:name="_Toc11876"/>
      <w:bookmarkStart w:id="1641" w:name="_Toc19019"/>
      <w:bookmarkStart w:id="1642" w:name="_Toc10905"/>
      <w:bookmarkStart w:id="1643" w:name="_Toc6047"/>
      <w:bookmarkStart w:id="1644" w:name="_Toc7145"/>
      <w:bookmarkStart w:id="1645" w:name="_Toc19072"/>
      <w:bookmarkStart w:id="1646" w:name="_Toc19677"/>
      <w:bookmarkStart w:id="1647" w:name="_Toc31597"/>
      <w:bookmarkStart w:id="1648" w:name="_Toc10528"/>
      <w:bookmarkStart w:id="1649" w:name="_Toc16157"/>
      <w:bookmarkStart w:id="1650" w:name="_Toc15119"/>
      <w:bookmarkStart w:id="1651" w:name="_Toc13910"/>
      <w:bookmarkStart w:id="1652" w:name="_Toc6288"/>
      <w:bookmarkStart w:id="1653" w:name="_Toc6969"/>
      <w:bookmarkStart w:id="1654" w:name="_Toc1584"/>
      <w:bookmarkStart w:id="1655" w:name="_Toc5249"/>
      <w:bookmarkStart w:id="1656" w:name="_Toc259093684"/>
      <w:bookmarkStart w:id="1657" w:name="_Toc6676"/>
      <w:bookmarkStart w:id="1658" w:name="_Toc487900365"/>
      <w:bookmarkStart w:id="1659" w:name="_Toc16742"/>
      <w:r>
        <w:rPr>
          <w:rFonts w:hint="eastAsia" w:ascii="微软雅黑" w:hAnsi="微软雅黑" w:eastAsia="微软雅黑" w:cs="微软雅黑"/>
          <w:b/>
          <w:color w:val="auto"/>
          <w:sz w:val="24"/>
          <w:highlight w:val="none"/>
        </w:rPr>
        <w:t>2.14 税费</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与合同有关的一切税费，均按照中华人民共和国法律的相关规定。</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660" w:name="_Toc29993"/>
      <w:bookmarkStart w:id="1661" w:name="_Toc13142"/>
      <w:bookmarkStart w:id="1662" w:name="_Toc515"/>
      <w:bookmarkStart w:id="1663" w:name="_Toc21290"/>
      <w:bookmarkStart w:id="1664" w:name="_Toc25260"/>
      <w:bookmarkStart w:id="1665" w:name="_Toc7117"/>
      <w:bookmarkStart w:id="1666" w:name="_Toc23266"/>
      <w:bookmarkStart w:id="1667" w:name="_Toc13626"/>
      <w:bookmarkStart w:id="1668" w:name="_Toc487900368"/>
      <w:bookmarkStart w:id="1669" w:name="_Toc12141"/>
      <w:bookmarkStart w:id="1670" w:name="_Toc11308"/>
      <w:bookmarkStart w:id="1671" w:name="_Toc14403"/>
      <w:bookmarkStart w:id="1672" w:name="_Toc1658"/>
      <w:bookmarkStart w:id="1673" w:name="_Toc8934"/>
      <w:bookmarkStart w:id="1674" w:name="_Toc20594"/>
      <w:bookmarkStart w:id="1675" w:name="_Toc29869"/>
      <w:bookmarkStart w:id="1676" w:name="_Toc8298"/>
      <w:bookmarkStart w:id="1677" w:name="_Toc279701258"/>
      <w:bookmarkStart w:id="1678" w:name="_Toc22239"/>
      <w:bookmarkStart w:id="1679" w:name="_Toc4871"/>
      <w:bookmarkStart w:id="1680" w:name="_Toc7102"/>
      <w:bookmarkStart w:id="1681" w:name="_Toc28357"/>
      <w:bookmarkStart w:id="1682" w:name="_Toc4812"/>
      <w:bookmarkStart w:id="1683" w:name="_Toc259093687"/>
      <w:bookmarkStart w:id="1684" w:name="_Toc4018"/>
      <w:bookmarkStart w:id="1685" w:name="_Toc16959"/>
      <w:bookmarkStart w:id="1686" w:name="_Toc24191"/>
      <w:bookmarkStart w:id="1687" w:name="_Toc28272"/>
      <w:bookmarkStart w:id="1688" w:name="_Toc12843"/>
      <w:bookmarkStart w:id="1689" w:name="_Toc20927"/>
      <w:r>
        <w:rPr>
          <w:rFonts w:hint="eastAsia" w:ascii="微软雅黑" w:hAnsi="微软雅黑" w:eastAsia="微软雅黑" w:cs="微软雅黑"/>
          <w:b/>
          <w:color w:val="auto"/>
          <w:sz w:val="24"/>
          <w:highlight w:val="none"/>
        </w:rPr>
        <w:t>2.15 乙方破产</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690" w:name="_Toc27106"/>
      <w:bookmarkStart w:id="1691" w:name="_Toc4227"/>
      <w:bookmarkStart w:id="1692" w:name="_Toc15445"/>
      <w:bookmarkStart w:id="1693" w:name="_Toc12606"/>
      <w:bookmarkStart w:id="1694" w:name="_Toc24118"/>
      <w:bookmarkStart w:id="1695" w:name="_Toc6134"/>
      <w:bookmarkStart w:id="1696" w:name="_Toc8580"/>
      <w:bookmarkStart w:id="1697" w:name="_Toc15387"/>
      <w:bookmarkStart w:id="1698" w:name="_Toc24976"/>
      <w:bookmarkStart w:id="1699" w:name="_Toc26255"/>
      <w:bookmarkStart w:id="1700" w:name="_Toc23583"/>
      <w:bookmarkStart w:id="1701" w:name="_Toc10435"/>
      <w:bookmarkStart w:id="1702" w:name="_Toc32508"/>
      <w:bookmarkStart w:id="1703" w:name="_Toc29333"/>
      <w:bookmarkStart w:id="1704" w:name="_Toc26399"/>
      <w:bookmarkStart w:id="1705" w:name="_Toc27982"/>
      <w:bookmarkStart w:id="1706" w:name="_Toc24782"/>
      <w:bookmarkStart w:id="1707" w:name="_Toc818"/>
      <w:bookmarkStart w:id="1708" w:name="_Toc29764"/>
      <w:bookmarkStart w:id="1709" w:name="_Toc15605"/>
      <w:bookmarkStart w:id="1710" w:name="_Toc24066"/>
      <w:bookmarkStart w:id="1711" w:name="_Toc13689"/>
      <w:bookmarkStart w:id="1712" w:name="_Toc18266"/>
      <w:bookmarkStart w:id="1713" w:name="_Toc31639"/>
      <w:bookmarkStart w:id="1714" w:name="_Toc9318"/>
      <w:bookmarkStart w:id="1715" w:name="_Toc24867"/>
      <w:bookmarkStart w:id="1716" w:name="_Toc1303"/>
      <w:r>
        <w:rPr>
          <w:rFonts w:hint="eastAsia" w:ascii="微软雅黑" w:hAnsi="微软雅黑" w:eastAsia="微软雅黑" w:cs="微软雅黑"/>
          <w:b/>
          <w:color w:val="auto"/>
          <w:sz w:val="24"/>
          <w:highlight w:val="none"/>
        </w:rPr>
        <w:t>2.16 合同中止、终止</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2.16.1 双方当事人不得擅自中止或者终止合同；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2.16.2合同继续履行将损害国家利益和社会公共利益的，双方当事人应当中止或者终止合同。有过错的一方应当承担赔偿责任，双方当事人都有过错的，各自承担相应的责任。</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717" w:name="_Toc12654"/>
      <w:bookmarkStart w:id="1718" w:name="_Toc25358"/>
      <w:bookmarkStart w:id="1719" w:name="_Toc30958"/>
      <w:bookmarkStart w:id="1720" w:name="_Toc4111"/>
      <w:bookmarkStart w:id="1721" w:name="_Toc26007"/>
      <w:bookmarkStart w:id="1722" w:name="_Toc30133"/>
      <w:bookmarkStart w:id="1723" w:name="_Toc1125"/>
      <w:bookmarkStart w:id="1724" w:name="_Toc30476"/>
      <w:bookmarkStart w:id="1725" w:name="_Toc28047"/>
      <w:bookmarkStart w:id="1726" w:name="_Toc11658"/>
      <w:bookmarkStart w:id="1727" w:name="_Toc25710"/>
      <w:bookmarkStart w:id="1728" w:name="_Toc20145"/>
      <w:bookmarkStart w:id="1729" w:name="_Toc26299"/>
      <w:bookmarkStart w:id="1730" w:name="_Toc24731"/>
      <w:bookmarkStart w:id="1731" w:name="_Toc17769"/>
      <w:bookmarkStart w:id="1732" w:name="_Toc29467"/>
      <w:bookmarkStart w:id="1733" w:name="_Toc14890"/>
      <w:bookmarkStart w:id="1734" w:name="_Toc14563"/>
      <w:bookmarkStart w:id="1735" w:name="_Toc754"/>
      <w:bookmarkStart w:id="1736" w:name="_Toc8681"/>
      <w:bookmarkStart w:id="1737" w:name="_Toc21636"/>
      <w:bookmarkStart w:id="1738" w:name="_Toc7298"/>
      <w:bookmarkStart w:id="1739" w:name="_Toc19755"/>
      <w:bookmarkStart w:id="1740" w:name="_Toc13150"/>
      <w:bookmarkStart w:id="1741" w:name="_Toc11165"/>
      <w:bookmarkStart w:id="1742" w:name="_Toc10613"/>
      <w:bookmarkStart w:id="1743" w:name="_Toc6596"/>
      <w:r>
        <w:rPr>
          <w:rFonts w:hint="eastAsia" w:ascii="微软雅黑" w:hAnsi="微软雅黑" w:eastAsia="微软雅黑" w:cs="微软雅黑"/>
          <w:b/>
          <w:color w:val="auto"/>
          <w:sz w:val="24"/>
          <w:highlight w:val="none"/>
        </w:rPr>
        <w:t>2.17 检验和验收</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pPr>
        <w:shd w:val="clear"/>
        <w:tabs>
          <w:tab w:val="left" w:pos="360"/>
          <w:tab w:val="left" w:pos="540"/>
          <w:tab w:val="left" w:pos="1080"/>
        </w:tabs>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2.17.1</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交付前，乙方应对</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的质量、数量等方面进行详细、全面的检验，并向甲方出具证明</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符合合同约定的文件；</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交付时，乙方在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约定时间内组织验收，并可依法邀请相关方参加，验收应出具验收书。</w:t>
      </w:r>
    </w:p>
    <w:p>
      <w:pPr>
        <w:shd w:val="clear"/>
        <w:tabs>
          <w:tab w:val="left" w:pos="360"/>
          <w:tab w:val="left" w:pos="540"/>
          <w:tab w:val="left" w:pos="1080"/>
        </w:tabs>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hd w:val="clear"/>
        <w:tabs>
          <w:tab w:val="left" w:pos="360"/>
          <w:tab w:val="left" w:pos="540"/>
          <w:tab w:val="left" w:pos="1080"/>
        </w:tabs>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2.17.3 检验和验收标准、程序等具体内容以及前述验收书的效力详见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i/>
          <w:color w:val="auto"/>
          <w:sz w:val="24"/>
          <w:highlight w:val="none"/>
        </w:rPr>
        <w:t>。</w:t>
      </w:r>
    </w:p>
    <w:bookmarkEnd w:id="1569"/>
    <w:bookmarkEnd w:id="1570"/>
    <w:bookmarkEnd w:id="1571"/>
    <w:bookmarkEnd w:id="1572"/>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744" w:name="_Toc279701261"/>
      <w:bookmarkStart w:id="1745" w:name="_Toc487900371"/>
      <w:bookmarkStart w:id="1746" w:name="_Toc259093690"/>
      <w:bookmarkStart w:id="1747" w:name="_Toc17313"/>
      <w:bookmarkStart w:id="1748" w:name="_Toc22021"/>
      <w:bookmarkStart w:id="1749" w:name="_Toc11284"/>
      <w:bookmarkStart w:id="1750" w:name="_Toc25182"/>
      <w:bookmarkStart w:id="1751" w:name="_Toc29072"/>
      <w:bookmarkStart w:id="1752" w:name="_Toc9266"/>
      <w:bookmarkStart w:id="1753" w:name="_Toc12493"/>
      <w:bookmarkStart w:id="1754" w:name="_Toc24251"/>
      <w:bookmarkStart w:id="1755" w:name="_Toc24767"/>
      <w:bookmarkStart w:id="1756" w:name="_Toc17270"/>
      <w:bookmarkStart w:id="1757" w:name="_Toc21169"/>
      <w:bookmarkStart w:id="1758" w:name="_Toc725"/>
      <w:bookmarkStart w:id="1759" w:name="_Toc14242"/>
      <w:bookmarkStart w:id="1760" w:name="_Toc32392"/>
      <w:bookmarkStart w:id="1761" w:name="_Toc8096"/>
      <w:bookmarkStart w:id="1762" w:name="_Toc26892"/>
      <w:bookmarkStart w:id="1763" w:name="_Toc17348"/>
      <w:bookmarkStart w:id="1764" w:name="_Toc15037"/>
      <w:bookmarkStart w:id="1765" w:name="_Toc13220"/>
      <w:bookmarkStart w:id="1766" w:name="_Toc26823"/>
      <w:bookmarkStart w:id="1767" w:name="_Toc12850"/>
      <w:bookmarkStart w:id="1768" w:name="_Toc19604"/>
      <w:bookmarkStart w:id="1769" w:name="_Toc17643"/>
      <w:bookmarkStart w:id="1770" w:name="_Toc4983"/>
      <w:bookmarkStart w:id="1771" w:name="_Toc27621"/>
      <w:bookmarkStart w:id="1772" w:name="_Toc10130"/>
      <w:bookmarkStart w:id="1773" w:name="_Toc10085"/>
      <w:r>
        <w:rPr>
          <w:rFonts w:hint="eastAsia" w:ascii="微软雅黑" w:hAnsi="微软雅黑" w:eastAsia="微软雅黑" w:cs="微软雅黑"/>
          <w:b/>
          <w:color w:val="auto"/>
          <w:sz w:val="24"/>
          <w:highlight w:val="none"/>
        </w:rPr>
        <w:t>2.18 通知</w:t>
      </w:r>
      <w:bookmarkEnd w:id="1744"/>
      <w:bookmarkEnd w:id="1745"/>
      <w:bookmarkEnd w:id="1746"/>
      <w:r>
        <w:rPr>
          <w:rFonts w:hint="eastAsia" w:ascii="微软雅黑" w:hAnsi="微软雅黑" w:eastAsia="微软雅黑" w:cs="微软雅黑"/>
          <w:b/>
          <w:color w:val="auto"/>
          <w:sz w:val="24"/>
          <w:highlight w:val="none"/>
        </w:rPr>
        <w:t>和送达</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pPr>
        <w:shd w:val="clear"/>
        <w:spacing w:line="360" w:lineRule="exact"/>
        <w:ind w:firstLine="480" w:firstLineChars="200"/>
        <w:rPr>
          <w:rFonts w:hint="eastAsia" w:ascii="微软雅黑" w:hAnsi="微软雅黑" w:eastAsia="微软雅黑" w:cs="微软雅黑"/>
          <w:color w:val="auto"/>
          <w:sz w:val="24"/>
          <w:highlight w:val="none"/>
        </w:rPr>
      </w:pPr>
      <w:bookmarkStart w:id="1774" w:name="_Toc6698"/>
      <w:bookmarkStart w:id="1775" w:name="_Toc3135"/>
      <w:bookmarkStart w:id="1776" w:name="_Toc259093691"/>
      <w:bookmarkStart w:id="1777" w:name="_Toc279701262"/>
      <w:bookmarkStart w:id="1778" w:name="_Toc487900372"/>
      <w:r>
        <w:rPr>
          <w:rFonts w:hint="eastAsia" w:ascii="微软雅黑" w:hAnsi="微软雅黑" w:eastAsia="微软雅黑" w:cs="微软雅黑"/>
          <w:color w:val="auto"/>
          <w:sz w:val="24"/>
          <w:highlight w:val="none"/>
        </w:rPr>
        <w:t>2.18.1 任何一方因履行合同而以合同第一部分尾部所列明的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发出的所有通知、文件、材料，均视为已向对方当事人送达；任何一方变更上述送达方式或者地址的，应于</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个工作日内书面通知对方当事人，在对方当事人收到有关变更通知之前，变更前的约定送达方式或者地址仍视为有效。</w:t>
      </w:r>
      <w:bookmarkEnd w:id="1774"/>
      <w:bookmarkEnd w:id="1775"/>
    </w:p>
    <w:p>
      <w:pPr>
        <w:shd w:val="clear"/>
        <w:spacing w:line="360" w:lineRule="exact"/>
        <w:ind w:firstLine="480" w:firstLineChars="200"/>
        <w:rPr>
          <w:rFonts w:hint="eastAsia" w:ascii="微软雅黑" w:hAnsi="微软雅黑" w:eastAsia="微软雅黑" w:cs="微软雅黑"/>
          <w:color w:val="auto"/>
          <w:sz w:val="24"/>
          <w:highlight w:val="none"/>
        </w:rPr>
      </w:pPr>
      <w:bookmarkStart w:id="1779" w:name="_Toc23294"/>
      <w:bookmarkStart w:id="1780" w:name="_Toc23128"/>
      <w:r>
        <w:rPr>
          <w:rFonts w:hint="eastAsia" w:ascii="微软雅黑" w:hAnsi="微软雅黑" w:eastAsia="微软雅黑" w:cs="微软雅黑"/>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79"/>
      <w:bookmarkEnd w:id="1780"/>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781" w:name="_Toc20914"/>
      <w:bookmarkStart w:id="1782" w:name="_Toc27038"/>
      <w:bookmarkStart w:id="1783" w:name="_Toc9371"/>
      <w:bookmarkStart w:id="1784" w:name="_Toc18540"/>
      <w:bookmarkStart w:id="1785" w:name="_Toc4355"/>
      <w:bookmarkStart w:id="1786" w:name="_Toc12721"/>
      <w:bookmarkStart w:id="1787" w:name="_Toc18817"/>
      <w:bookmarkStart w:id="1788" w:name="_Toc14810"/>
      <w:bookmarkStart w:id="1789" w:name="_Toc31861"/>
      <w:bookmarkStart w:id="1790" w:name="_Toc4747"/>
      <w:bookmarkStart w:id="1791" w:name="_Toc8814"/>
      <w:bookmarkStart w:id="1792" w:name="_Toc2623"/>
      <w:bookmarkStart w:id="1793" w:name="_Toc27449"/>
      <w:bookmarkStart w:id="1794" w:name="_Toc11692"/>
      <w:bookmarkStart w:id="1795" w:name="_Toc4241"/>
      <w:bookmarkStart w:id="1796" w:name="_Toc28416"/>
      <w:bookmarkStart w:id="1797" w:name="_Toc10932"/>
      <w:bookmarkStart w:id="1798" w:name="_Toc11892"/>
      <w:bookmarkStart w:id="1799" w:name="_Toc21923"/>
      <w:bookmarkStart w:id="1800" w:name="_Toc20309"/>
      <w:bookmarkStart w:id="1801" w:name="_Toc30599"/>
      <w:bookmarkStart w:id="1802" w:name="_Toc2055"/>
      <w:bookmarkStart w:id="1803" w:name="_Toc22284"/>
      <w:bookmarkStart w:id="1804" w:name="_Toc15089"/>
      <w:bookmarkStart w:id="1805" w:name="_Toc30497"/>
      <w:bookmarkStart w:id="1806" w:name="_Toc19912"/>
      <w:bookmarkStart w:id="1807" w:name="_Toc29312"/>
      <w:r>
        <w:rPr>
          <w:rFonts w:hint="eastAsia" w:ascii="微软雅黑" w:hAnsi="微软雅黑" w:eastAsia="微软雅黑" w:cs="微软雅黑"/>
          <w:b/>
          <w:color w:val="auto"/>
          <w:sz w:val="24"/>
          <w:highlight w:val="none"/>
        </w:rPr>
        <w:t>2.19 计量单位</w:t>
      </w:r>
      <w:bookmarkEnd w:id="1776"/>
      <w:bookmarkEnd w:id="1777"/>
      <w:bookmarkEnd w:id="1778"/>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除技术规范中另有规定外,合同的计量单位均使用国家法定计量单位。</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808" w:name="_Toc12773"/>
      <w:bookmarkStart w:id="1809" w:name="_Toc259093692"/>
      <w:bookmarkStart w:id="1810" w:name="_Toc28784"/>
      <w:bookmarkStart w:id="1811" w:name="_Toc487900373"/>
      <w:bookmarkStart w:id="1812" w:name="_Toc17517"/>
      <w:bookmarkStart w:id="1813" w:name="_Toc11130"/>
      <w:bookmarkStart w:id="1814" w:name="_Toc18567"/>
      <w:bookmarkStart w:id="1815" w:name="_Toc18634"/>
      <w:bookmarkStart w:id="1816" w:name="_Toc5796"/>
      <w:bookmarkStart w:id="1817" w:name="_Toc630"/>
      <w:bookmarkStart w:id="1818" w:name="_Toc19450"/>
      <w:bookmarkStart w:id="1819" w:name="_Toc20624"/>
      <w:bookmarkStart w:id="1820" w:name="_Toc13131"/>
      <w:bookmarkStart w:id="1821" w:name="_Toc15868"/>
      <w:bookmarkStart w:id="1822" w:name="_Toc19317"/>
      <w:bookmarkStart w:id="1823" w:name="_Toc18065"/>
      <w:bookmarkStart w:id="1824" w:name="_Toc10830"/>
      <w:bookmarkStart w:id="1825" w:name="_Toc26425"/>
      <w:bookmarkStart w:id="1826" w:name="_Toc3444"/>
      <w:bookmarkStart w:id="1827" w:name="_Toc19154"/>
      <w:bookmarkStart w:id="1828" w:name="_Toc9626"/>
      <w:bookmarkStart w:id="1829" w:name="_Toc10330"/>
      <w:bookmarkStart w:id="1830" w:name="_Toc15371"/>
      <w:bookmarkStart w:id="1831" w:name="_Toc16880"/>
      <w:bookmarkStart w:id="1832" w:name="_Toc32583"/>
      <w:bookmarkStart w:id="1833" w:name="_Toc27589"/>
      <w:bookmarkStart w:id="1834" w:name="_Toc12001"/>
      <w:bookmarkStart w:id="1835" w:name="_Toc279701263"/>
      <w:r>
        <w:rPr>
          <w:rFonts w:hint="eastAsia" w:ascii="微软雅黑" w:hAnsi="微软雅黑" w:eastAsia="微软雅黑" w:cs="微软雅黑"/>
          <w:b/>
          <w:color w:val="auto"/>
          <w:sz w:val="24"/>
          <w:highlight w:val="none"/>
        </w:rPr>
        <w:t>2.20 合同使用的文字和适用的法律</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2.20.1 合同使用汉语书就、变更和解释；</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2.20.2 合同适用中华人民共和国法律。</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836" w:name="_Toc1670"/>
      <w:bookmarkStart w:id="1837" w:name="_Toc31790"/>
      <w:bookmarkStart w:id="1838" w:name="_Toc12004"/>
      <w:bookmarkStart w:id="1839" w:name="_Toc14308"/>
      <w:bookmarkStart w:id="1840" w:name="_Toc26954"/>
      <w:bookmarkStart w:id="1841" w:name="_Toc11628"/>
      <w:bookmarkStart w:id="1842" w:name="_Toc6031"/>
      <w:bookmarkStart w:id="1843" w:name="_Toc32497"/>
      <w:bookmarkStart w:id="1844" w:name="_Toc26372"/>
      <w:bookmarkStart w:id="1845" w:name="_Toc30511"/>
      <w:bookmarkStart w:id="1846" w:name="_Toc5000"/>
      <w:bookmarkStart w:id="1847" w:name="_Toc1914"/>
      <w:bookmarkStart w:id="1848" w:name="_Toc17297"/>
      <w:bookmarkStart w:id="1849" w:name="_Toc14964"/>
      <w:bookmarkStart w:id="1850" w:name="_Toc279701264"/>
      <w:bookmarkStart w:id="1851" w:name="_Toc8602"/>
      <w:bookmarkStart w:id="1852" w:name="_Toc13847"/>
      <w:bookmarkStart w:id="1853" w:name="_Toc15434"/>
      <w:bookmarkStart w:id="1854" w:name="_Toc22238"/>
      <w:bookmarkStart w:id="1855" w:name="_Toc16673"/>
      <w:bookmarkStart w:id="1856" w:name="_Toc13815"/>
      <w:bookmarkStart w:id="1857" w:name="_Toc3148"/>
      <w:bookmarkStart w:id="1858" w:name="_Toc18845"/>
      <w:bookmarkStart w:id="1859" w:name="_Toc24697"/>
      <w:bookmarkStart w:id="1860" w:name="_Toc25551"/>
      <w:bookmarkStart w:id="1861" w:name="_Toc28082"/>
      <w:bookmarkStart w:id="1862" w:name="_Toc29073"/>
      <w:bookmarkStart w:id="1863" w:name="_Toc638"/>
      <w:bookmarkStart w:id="1864" w:name="_Toc259093693"/>
      <w:bookmarkStart w:id="1865" w:name="_Toc487900374"/>
      <w:r>
        <w:rPr>
          <w:rFonts w:hint="eastAsia" w:ascii="微软雅黑" w:hAnsi="微软雅黑" w:eastAsia="微软雅黑" w:cs="微软雅黑"/>
          <w:b/>
          <w:color w:val="auto"/>
          <w:sz w:val="24"/>
          <w:highlight w:val="none"/>
        </w:rPr>
        <w:t>2.21 履约保证金</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2.21.1 采购文件要求乙方提交履约保证金的，乙方应按</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约定的方式，以支票、汇票、本票或者金融机构、担保机构出具的保函等非现金形式，提交不超过合同价10%的履约保证金；</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2.21.2  履约保证金在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约定期间内或者</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质量保证期内不予退还或者应完全有效，前述约定期间届满或者</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质量保证期届满之日起</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个工作日内，甲方应将履约保证金退还乙方；</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1865"/>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866" w:name="_Toc20802"/>
      <w:bookmarkStart w:id="1867" w:name="_Toc32408"/>
      <w:bookmarkStart w:id="1868" w:name="_Toc30496"/>
      <w:bookmarkStart w:id="1869" w:name="_Toc24006"/>
      <w:bookmarkStart w:id="1870" w:name="_Toc32053"/>
      <w:bookmarkStart w:id="1871" w:name="_Toc8867"/>
      <w:bookmarkStart w:id="1872" w:name="_Toc12089"/>
      <w:bookmarkStart w:id="1873" w:name="_Toc12034"/>
      <w:bookmarkStart w:id="1874" w:name="_Toc29633"/>
      <w:bookmarkStart w:id="1875" w:name="_Toc22821"/>
      <w:bookmarkStart w:id="1876" w:name="_Toc12035"/>
      <w:bookmarkStart w:id="1877" w:name="_Toc10801"/>
      <w:bookmarkStart w:id="1878" w:name="_Toc20232"/>
      <w:bookmarkStart w:id="1879" w:name="_Toc6885"/>
      <w:bookmarkStart w:id="1880" w:name="_Toc19890"/>
      <w:bookmarkStart w:id="1881" w:name="_Toc14481"/>
      <w:bookmarkStart w:id="1882" w:name="_Toc19922"/>
      <w:bookmarkStart w:id="1883" w:name="_Toc27563"/>
      <w:bookmarkStart w:id="1884" w:name="_Toc2720"/>
      <w:bookmarkStart w:id="1885" w:name="_Toc25691"/>
      <w:bookmarkStart w:id="1886" w:name="_Toc11103"/>
      <w:bookmarkStart w:id="1887" w:name="_Toc30847"/>
      <w:bookmarkStart w:id="1888" w:name="_Toc14001"/>
      <w:bookmarkStart w:id="1889" w:name="_Toc22496"/>
      <w:bookmarkStart w:id="1890" w:name="_Toc23484"/>
      <w:bookmarkStart w:id="1891" w:name="_Toc8495"/>
      <w:bookmarkStart w:id="1892" w:name="_Toc31292"/>
      <w:r>
        <w:rPr>
          <w:rFonts w:hint="eastAsia" w:ascii="微软雅黑" w:hAnsi="微软雅黑" w:eastAsia="微软雅黑" w:cs="微软雅黑"/>
          <w:b/>
          <w:color w:val="auto"/>
          <w:sz w:val="24"/>
          <w:highlight w:val="none"/>
        </w:rPr>
        <w:t>2.22 合同份数</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p>
    <w:p>
      <w:pPr>
        <w:shd w:val="clear"/>
        <w:spacing w:line="360" w:lineRule="exact"/>
        <w:ind w:firstLine="480" w:firstLineChars="200"/>
        <w:rPr>
          <w:rFonts w:hint="eastAsia" w:ascii="微软雅黑" w:hAnsi="微软雅黑" w:eastAsia="微软雅黑" w:cs="微软雅黑"/>
          <w:b/>
          <w:color w:val="auto"/>
          <w:szCs w:val="24"/>
          <w:highlight w:val="none"/>
        </w:rPr>
      </w:pPr>
      <w:r>
        <w:rPr>
          <w:rFonts w:hint="eastAsia" w:ascii="微软雅黑" w:hAnsi="微软雅黑" w:eastAsia="微软雅黑" w:cs="微软雅黑"/>
          <w:color w:val="auto"/>
          <w:sz w:val="24"/>
          <w:highlight w:val="none"/>
        </w:rPr>
        <w:t>合同份数按</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规定，每份均具有同等法律效力。</w:t>
      </w:r>
      <w:bookmarkStart w:id="1893" w:name="_Toc331685784"/>
    </w:p>
    <w:p>
      <w:pPr>
        <w:pStyle w:val="55"/>
        <w:shd w:val="clear"/>
        <w:spacing w:line="360" w:lineRule="exact"/>
        <w:ind w:firstLine="0"/>
        <w:jc w:val="center"/>
        <w:rPr>
          <w:rFonts w:hint="eastAsia" w:ascii="微软雅黑" w:hAnsi="微软雅黑" w:eastAsia="微软雅黑" w:cs="微软雅黑"/>
          <w:b/>
          <w:color w:val="auto"/>
          <w:szCs w:val="24"/>
          <w:highlight w:val="none"/>
        </w:rPr>
      </w:pPr>
    </w:p>
    <w:p>
      <w:pPr>
        <w:pStyle w:val="55"/>
        <w:shd w:val="clear"/>
        <w:spacing w:line="360" w:lineRule="exact"/>
        <w:ind w:firstLine="0"/>
        <w:jc w:val="center"/>
        <w:rPr>
          <w:rFonts w:hint="eastAsia" w:ascii="微软雅黑" w:hAnsi="微软雅黑" w:eastAsia="微软雅黑" w:cs="微软雅黑"/>
          <w:b/>
          <w:color w:val="auto"/>
          <w:szCs w:val="24"/>
          <w:highlight w:val="none"/>
        </w:rPr>
      </w:pPr>
      <w:r>
        <w:rPr>
          <w:rFonts w:hint="eastAsia" w:ascii="微软雅黑" w:hAnsi="微软雅黑" w:eastAsia="微软雅黑" w:cs="微软雅黑"/>
          <w:b/>
          <w:color w:val="auto"/>
          <w:szCs w:val="24"/>
          <w:highlight w:val="none"/>
        </w:rPr>
        <w:t>第三部分  合同专用条款</w:t>
      </w:r>
      <w:bookmarkEnd w:id="1893"/>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6"/>
        <w:tblW w:w="843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pPr>
              <w:shd w:val="clear"/>
              <w:spacing w:line="360" w:lineRule="exact"/>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条款号</w:t>
            </w:r>
          </w:p>
        </w:tc>
        <w:tc>
          <w:tcPr>
            <w:tcW w:w="7633" w:type="dxa"/>
            <w:vAlign w:val="center"/>
          </w:tcPr>
          <w:p>
            <w:pPr>
              <w:shd w:val="clear"/>
              <w:spacing w:line="360" w:lineRule="exact"/>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bl>
    <w:p>
      <w:pPr>
        <w:pStyle w:val="3"/>
        <w:shd w:val="clear"/>
        <w:spacing w:line="360" w:lineRule="exact"/>
        <w:ind w:firstLine="0"/>
        <w:rPr>
          <w:rFonts w:hint="eastAsia" w:ascii="微软雅黑" w:hAnsi="微软雅黑" w:eastAsia="微软雅黑" w:cs="微软雅黑"/>
          <w:color w:val="auto"/>
          <w:sz w:val="28"/>
          <w:highlight w:val="none"/>
        </w:rPr>
      </w:pPr>
      <w:r>
        <w:rPr>
          <w:rFonts w:hint="eastAsia" w:ascii="微软雅黑" w:hAnsi="微软雅黑" w:eastAsia="微软雅黑" w:cs="微软雅黑"/>
          <w:color w:val="auto"/>
          <w:sz w:val="28"/>
          <w:highlight w:val="none"/>
        </w:rPr>
        <w:t xml:space="preserve"> </w:t>
      </w:r>
    </w:p>
    <w:p>
      <w:pPr>
        <w:shd w:val="clear"/>
        <w:rPr>
          <w:rFonts w:hint="eastAsia" w:ascii="微软雅黑" w:hAnsi="微软雅黑" w:eastAsia="微软雅黑" w:cs="微软雅黑"/>
          <w:color w:val="auto"/>
          <w:highlight w:val="none"/>
        </w:rPr>
      </w:pPr>
    </w:p>
    <w:p>
      <w:pPr>
        <w:pStyle w:val="3"/>
        <w:shd w:val="clear"/>
        <w:spacing w:line="240" w:lineRule="atLeast"/>
        <w:ind w:firstLine="0"/>
        <w:rPr>
          <w:rFonts w:hint="eastAsia" w:ascii="微软雅黑" w:hAnsi="微软雅黑" w:eastAsia="微软雅黑" w:cs="微软雅黑"/>
          <w:color w:val="auto"/>
          <w:sz w:val="28"/>
          <w:highlight w:val="none"/>
        </w:rPr>
      </w:pPr>
    </w:p>
    <w:p>
      <w:pPr>
        <w:shd w:val="clear"/>
        <w:rPr>
          <w:rFonts w:hint="eastAsia" w:ascii="微软雅黑" w:hAnsi="微软雅黑" w:eastAsia="微软雅黑" w:cs="微软雅黑"/>
          <w:color w:val="auto"/>
          <w:highlight w:val="none"/>
        </w:rPr>
      </w:pPr>
    </w:p>
    <w:p>
      <w:pPr>
        <w:pStyle w:val="3"/>
        <w:shd w:val="clear"/>
        <w:snapToGrid w:val="0"/>
        <w:spacing w:before="0" w:beforeAutospacing="0" w:after="0" w:afterAutospacing="0" w:line="240" w:lineRule="atLeast"/>
        <w:ind w:firstLine="0"/>
        <w:jc w:val="left"/>
        <w:textAlignment w:val="baseline"/>
        <w:rPr>
          <w:rFonts w:hint="eastAsia" w:ascii="微软雅黑" w:hAnsi="微软雅黑" w:eastAsia="微软雅黑" w:cs="微软雅黑"/>
          <w:b w:val="0"/>
          <w:i w:val="0"/>
          <w:caps w:val="0"/>
          <w:color w:val="auto"/>
          <w:spacing w:val="0"/>
          <w:w w:val="100"/>
          <w:sz w:val="24"/>
          <w:szCs w:val="18"/>
          <w:highlight w:val="none"/>
        </w:rPr>
      </w:pPr>
    </w:p>
    <w:sectPr>
      <w:headerReference r:id="rId12" w:type="default"/>
      <w:footerReference r:id="rId13" w:type="default"/>
      <w:pgSz w:w="11907" w:h="16840"/>
      <w:pgMar w:top="1474" w:right="1814" w:bottom="1474" w:left="1814" w:header="851" w:footer="851" w:gutter="0"/>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40"/>
      </w:rPr>
    </w:pPr>
    <w:r>
      <w:fldChar w:fldCharType="begin"/>
    </w:r>
    <w:r>
      <w:rPr>
        <w:rStyle w:val="40"/>
      </w:rPr>
      <w:instrText xml:space="preserve">PAGE  </w:instrText>
    </w:r>
    <w:r>
      <w:fldChar w:fldCharType="end"/>
    </w: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riple" w:color="auto" w:sz="8"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riple" w:color="auto" w:sz="8"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riple" w:color="auto" w:sz="8" w:space="1"/>
      </w:pBdr>
      <w:jc w:val="left"/>
      <w:rPr>
        <w:rFonts w:hint="eastAsia" w:eastAsia="宋体"/>
        <w:lang w:val="en-US" w:eastAsia="zh-CN"/>
      </w:rPr>
    </w:pPr>
    <w:r>
      <w:rPr>
        <w:rFonts w:hint="eastAsia"/>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riple" w:color="auto" w:sz="8"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8"/>
      <w:numFmt w:val="decimal"/>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1">
    <w:nsid w:val="00000002"/>
    <w:multiLevelType w:val="singleLevel"/>
    <w:tmpl w:val="00000002"/>
    <w:lvl w:ilvl="0" w:tentative="0">
      <w:start w:val="2"/>
      <w:numFmt w:val="decimal"/>
      <w:suff w:val="nothing"/>
      <w:lvlText w:val="%1、"/>
      <w:lvlJc w:val="left"/>
    </w:lvl>
  </w:abstractNum>
  <w:abstractNum w:abstractNumId="2">
    <w:nsid w:val="0D2D4F65"/>
    <w:multiLevelType w:val="singleLevel"/>
    <w:tmpl w:val="0D2D4F65"/>
    <w:lvl w:ilvl="0" w:tentative="0">
      <w:start w:val="9"/>
      <w:numFmt w:val="decimal"/>
      <w:suff w:val="nothing"/>
      <w:lvlText w:val="%1、"/>
      <w:lvlJc w:val="left"/>
    </w:lvl>
  </w:abstractNum>
  <w:abstractNum w:abstractNumId="3">
    <w:nsid w:val="155E6A8F"/>
    <w:multiLevelType w:val="multilevel"/>
    <w:tmpl w:val="155E6A8F"/>
    <w:lvl w:ilvl="0" w:tentative="0">
      <w:start w:val="1"/>
      <w:numFmt w:val="decimal"/>
      <w:lvlText w:val="（%1）"/>
      <w:lvlJc w:val="left"/>
      <w:pPr>
        <w:tabs>
          <w:tab w:val="left" w:pos="1571"/>
        </w:tabs>
        <w:ind w:left="1571" w:hanging="720"/>
      </w:pPr>
      <w:rPr>
        <w:rFonts w:ascii="仿宋_GB2312" w:hAnsi="宋体" w:eastAsia="仿宋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4">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5">
    <w:nsid w:val="458658B5"/>
    <w:multiLevelType w:val="multilevel"/>
    <w:tmpl w:val="458658B5"/>
    <w:lvl w:ilvl="0" w:tentative="0">
      <w:start w:val="1"/>
      <w:numFmt w:val="decimal"/>
      <w:lvlText w:val="%1."/>
      <w:lvlJc w:val="left"/>
      <w:pPr>
        <w:ind w:left="432" w:hanging="432"/>
      </w:pPr>
    </w:lvl>
    <w:lvl w:ilvl="1" w:tentative="0">
      <w:start w:val="1"/>
      <w:numFmt w:val="decimal"/>
      <w:lvlText w:val="%1.%2."/>
      <w:lvlJc w:val="left"/>
      <w:pPr>
        <w:ind w:left="575" w:hanging="575"/>
      </w:pPr>
    </w:lvl>
    <w:lvl w:ilvl="2" w:tentative="0">
      <w:start w:val="1"/>
      <w:numFmt w:val="decimal"/>
      <w:lvlText w:val="%1.%2.%3."/>
      <w:lvlJc w:val="left"/>
      <w:pPr>
        <w:ind w:left="720" w:hanging="720"/>
      </w:pPr>
      <w:rPr>
        <w:rFonts w:ascii="宋体" w:hAnsi="宋体" w:eastAsia="宋体"/>
      </w:rPr>
    </w:lvl>
    <w:lvl w:ilvl="3" w:tentative="0">
      <w:start w:val="1"/>
      <w:numFmt w:val="decimal"/>
      <w:pStyle w:val="7"/>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1" w:hanging="1151"/>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3" w:hanging="1583"/>
      </w:pPr>
    </w:lvl>
  </w:abstractNum>
  <w:abstractNum w:abstractNumId="6">
    <w:nsid w:val="48BFA080"/>
    <w:multiLevelType w:val="singleLevel"/>
    <w:tmpl w:val="48BFA080"/>
    <w:lvl w:ilvl="0" w:tentative="0">
      <w:start w:val="1"/>
      <w:numFmt w:val="decimal"/>
      <w:suff w:val="nothing"/>
      <w:lvlText w:val="（%1）"/>
      <w:lvlJc w:val="left"/>
    </w:lvl>
  </w:abstractNum>
  <w:abstractNum w:abstractNumId="7">
    <w:nsid w:val="66E4770E"/>
    <w:multiLevelType w:val="multilevel"/>
    <w:tmpl w:val="66E4770E"/>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num w:numId="1">
    <w:abstractNumId w:val="5"/>
  </w:num>
  <w:num w:numId="2">
    <w:abstractNumId w:val="4"/>
  </w:num>
  <w:num w:numId="3">
    <w:abstractNumId w:val="7"/>
  </w:num>
  <w:num w:numId="4">
    <w:abstractNumId w:val="0"/>
  </w:num>
  <w:num w:numId="5">
    <w:abstractNumId w:val="3"/>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MGJmMjk4ZWM3OTJiYTJhMTUxNTg0Zjk5MTQ1ZjEwMjkifQ=="/>
    <w:docVar w:name="VTCASE" w:val="4"/>
    <w:docVar w:name="VTCommandPending" w:val="NONE"/>
  </w:docVars>
  <w:rsids>
    <w:rsidRoot w:val="00887D93"/>
    <w:rsid w:val="000004CD"/>
    <w:rsid w:val="00001783"/>
    <w:rsid w:val="00001797"/>
    <w:rsid w:val="0000273B"/>
    <w:rsid w:val="000041A8"/>
    <w:rsid w:val="000055D7"/>
    <w:rsid w:val="0001529F"/>
    <w:rsid w:val="000157E2"/>
    <w:rsid w:val="0001697A"/>
    <w:rsid w:val="000169E1"/>
    <w:rsid w:val="00020D78"/>
    <w:rsid w:val="00021486"/>
    <w:rsid w:val="00021AE8"/>
    <w:rsid w:val="00022E94"/>
    <w:rsid w:val="000313B5"/>
    <w:rsid w:val="00032B95"/>
    <w:rsid w:val="000333A8"/>
    <w:rsid w:val="000434F9"/>
    <w:rsid w:val="00043533"/>
    <w:rsid w:val="00044A1E"/>
    <w:rsid w:val="00044A20"/>
    <w:rsid w:val="00045D67"/>
    <w:rsid w:val="0004677C"/>
    <w:rsid w:val="000538CC"/>
    <w:rsid w:val="000541C7"/>
    <w:rsid w:val="00054A8E"/>
    <w:rsid w:val="00055A71"/>
    <w:rsid w:val="00056583"/>
    <w:rsid w:val="00056932"/>
    <w:rsid w:val="00057035"/>
    <w:rsid w:val="00057BB2"/>
    <w:rsid w:val="0006019D"/>
    <w:rsid w:val="000612B3"/>
    <w:rsid w:val="00061B68"/>
    <w:rsid w:val="00063750"/>
    <w:rsid w:val="00065379"/>
    <w:rsid w:val="000662A7"/>
    <w:rsid w:val="000673C5"/>
    <w:rsid w:val="00067470"/>
    <w:rsid w:val="00070907"/>
    <w:rsid w:val="000719AB"/>
    <w:rsid w:val="00071A4A"/>
    <w:rsid w:val="00073852"/>
    <w:rsid w:val="00076670"/>
    <w:rsid w:val="00080B56"/>
    <w:rsid w:val="00080FC7"/>
    <w:rsid w:val="00081858"/>
    <w:rsid w:val="00081D11"/>
    <w:rsid w:val="00083115"/>
    <w:rsid w:val="00093645"/>
    <w:rsid w:val="00096150"/>
    <w:rsid w:val="00096F54"/>
    <w:rsid w:val="000A31C4"/>
    <w:rsid w:val="000A3727"/>
    <w:rsid w:val="000A49C1"/>
    <w:rsid w:val="000A799B"/>
    <w:rsid w:val="000B3242"/>
    <w:rsid w:val="000B3392"/>
    <w:rsid w:val="000B362F"/>
    <w:rsid w:val="000B366A"/>
    <w:rsid w:val="000B6C50"/>
    <w:rsid w:val="000C0FDF"/>
    <w:rsid w:val="000C15AF"/>
    <w:rsid w:val="000C3524"/>
    <w:rsid w:val="000C5071"/>
    <w:rsid w:val="000C55ED"/>
    <w:rsid w:val="000C6F86"/>
    <w:rsid w:val="000D10E4"/>
    <w:rsid w:val="000D1613"/>
    <w:rsid w:val="000D19C1"/>
    <w:rsid w:val="000D4E69"/>
    <w:rsid w:val="000D5125"/>
    <w:rsid w:val="000D7812"/>
    <w:rsid w:val="000E0966"/>
    <w:rsid w:val="000E1288"/>
    <w:rsid w:val="000E3784"/>
    <w:rsid w:val="000E37E0"/>
    <w:rsid w:val="000E47A0"/>
    <w:rsid w:val="000E5226"/>
    <w:rsid w:val="000E597F"/>
    <w:rsid w:val="000E5BFC"/>
    <w:rsid w:val="000E694F"/>
    <w:rsid w:val="000E7158"/>
    <w:rsid w:val="000E74D4"/>
    <w:rsid w:val="000F2D05"/>
    <w:rsid w:val="000F2EEE"/>
    <w:rsid w:val="000F4234"/>
    <w:rsid w:val="000F6215"/>
    <w:rsid w:val="000F63C8"/>
    <w:rsid w:val="000F6581"/>
    <w:rsid w:val="00102417"/>
    <w:rsid w:val="001032CC"/>
    <w:rsid w:val="00105B0B"/>
    <w:rsid w:val="0011024E"/>
    <w:rsid w:val="00112163"/>
    <w:rsid w:val="00114579"/>
    <w:rsid w:val="00115BF1"/>
    <w:rsid w:val="0012032C"/>
    <w:rsid w:val="0012244B"/>
    <w:rsid w:val="001224B5"/>
    <w:rsid w:val="00122643"/>
    <w:rsid w:val="0012425B"/>
    <w:rsid w:val="001244F8"/>
    <w:rsid w:val="001247F0"/>
    <w:rsid w:val="001252D8"/>
    <w:rsid w:val="001257D4"/>
    <w:rsid w:val="00130AA8"/>
    <w:rsid w:val="00131E0D"/>
    <w:rsid w:val="00132A51"/>
    <w:rsid w:val="0013359E"/>
    <w:rsid w:val="00137694"/>
    <w:rsid w:val="00141EAC"/>
    <w:rsid w:val="00143652"/>
    <w:rsid w:val="0014627C"/>
    <w:rsid w:val="0015142E"/>
    <w:rsid w:val="001541BE"/>
    <w:rsid w:val="00156C57"/>
    <w:rsid w:val="00157C74"/>
    <w:rsid w:val="00157D8E"/>
    <w:rsid w:val="00161678"/>
    <w:rsid w:val="00161D71"/>
    <w:rsid w:val="00162805"/>
    <w:rsid w:val="00165014"/>
    <w:rsid w:val="0017180F"/>
    <w:rsid w:val="001733C3"/>
    <w:rsid w:val="00173BFF"/>
    <w:rsid w:val="00174415"/>
    <w:rsid w:val="00174749"/>
    <w:rsid w:val="00174FCA"/>
    <w:rsid w:val="00175AFB"/>
    <w:rsid w:val="00176F12"/>
    <w:rsid w:val="001770BE"/>
    <w:rsid w:val="00177A3E"/>
    <w:rsid w:val="00183E4B"/>
    <w:rsid w:val="00187B13"/>
    <w:rsid w:val="00187EB4"/>
    <w:rsid w:val="0019618B"/>
    <w:rsid w:val="00196FA0"/>
    <w:rsid w:val="001A365B"/>
    <w:rsid w:val="001A3B44"/>
    <w:rsid w:val="001A4571"/>
    <w:rsid w:val="001A5EEB"/>
    <w:rsid w:val="001A62A5"/>
    <w:rsid w:val="001B4216"/>
    <w:rsid w:val="001B49A4"/>
    <w:rsid w:val="001B521B"/>
    <w:rsid w:val="001B5CC8"/>
    <w:rsid w:val="001B6587"/>
    <w:rsid w:val="001C0582"/>
    <w:rsid w:val="001C058D"/>
    <w:rsid w:val="001C24DD"/>
    <w:rsid w:val="001C54C3"/>
    <w:rsid w:val="001C577E"/>
    <w:rsid w:val="001C7B8E"/>
    <w:rsid w:val="001D027D"/>
    <w:rsid w:val="001D4A1E"/>
    <w:rsid w:val="001D70E9"/>
    <w:rsid w:val="001E181E"/>
    <w:rsid w:val="001E1DCD"/>
    <w:rsid w:val="001E4481"/>
    <w:rsid w:val="001E44EF"/>
    <w:rsid w:val="001E6C1A"/>
    <w:rsid w:val="001E7629"/>
    <w:rsid w:val="001E7846"/>
    <w:rsid w:val="001E7E8B"/>
    <w:rsid w:val="001F2F0B"/>
    <w:rsid w:val="001F3130"/>
    <w:rsid w:val="001F5903"/>
    <w:rsid w:val="001F7292"/>
    <w:rsid w:val="002001DC"/>
    <w:rsid w:val="002032B0"/>
    <w:rsid w:val="00203778"/>
    <w:rsid w:val="0020407A"/>
    <w:rsid w:val="00210AE7"/>
    <w:rsid w:val="002123C7"/>
    <w:rsid w:val="002124BD"/>
    <w:rsid w:val="00213411"/>
    <w:rsid w:val="00216D4F"/>
    <w:rsid w:val="00216E43"/>
    <w:rsid w:val="00220866"/>
    <w:rsid w:val="002231A4"/>
    <w:rsid w:val="00223245"/>
    <w:rsid w:val="00224447"/>
    <w:rsid w:val="00224A77"/>
    <w:rsid w:val="00226266"/>
    <w:rsid w:val="002266B7"/>
    <w:rsid w:val="0022671D"/>
    <w:rsid w:val="0023090E"/>
    <w:rsid w:val="00231C64"/>
    <w:rsid w:val="00232C22"/>
    <w:rsid w:val="0023318A"/>
    <w:rsid w:val="00236A9B"/>
    <w:rsid w:val="0023715B"/>
    <w:rsid w:val="00237592"/>
    <w:rsid w:val="00244A0E"/>
    <w:rsid w:val="00244F73"/>
    <w:rsid w:val="002501BB"/>
    <w:rsid w:val="002509CA"/>
    <w:rsid w:val="00250C1D"/>
    <w:rsid w:val="00251A29"/>
    <w:rsid w:val="00251B89"/>
    <w:rsid w:val="002524C7"/>
    <w:rsid w:val="00253615"/>
    <w:rsid w:val="00253950"/>
    <w:rsid w:val="00254F7E"/>
    <w:rsid w:val="0025569E"/>
    <w:rsid w:val="00255ED9"/>
    <w:rsid w:val="002564FE"/>
    <w:rsid w:val="002603EB"/>
    <w:rsid w:val="00261FEB"/>
    <w:rsid w:val="00264327"/>
    <w:rsid w:val="002650F1"/>
    <w:rsid w:val="00266403"/>
    <w:rsid w:val="00266406"/>
    <w:rsid w:val="002679CA"/>
    <w:rsid w:val="00272722"/>
    <w:rsid w:val="002745E7"/>
    <w:rsid w:val="002760AC"/>
    <w:rsid w:val="00277935"/>
    <w:rsid w:val="00277E8E"/>
    <w:rsid w:val="00280DD6"/>
    <w:rsid w:val="00282496"/>
    <w:rsid w:val="00283033"/>
    <w:rsid w:val="002854DC"/>
    <w:rsid w:val="0028616B"/>
    <w:rsid w:val="00290CDE"/>
    <w:rsid w:val="00290DE2"/>
    <w:rsid w:val="002959CC"/>
    <w:rsid w:val="002A0C27"/>
    <w:rsid w:val="002A2315"/>
    <w:rsid w:val="002A2732"/>
    <w:rsid w:val="002A3153"/>
    <w:rsid w:val="002A6C9C"/>
    <w:rsid w:val="002C10AC"/>
    <w:rsid w:val="002C2AE8"/>
    <w:rsid w:val="002C2FF3"/>
    <w:rsid w:val="002C3A5A"/>
    <w:rsid w:val="002C4396"/>
    <w:rsid w:val="002C4ABE"/>
    <w:rsid w:val="002C71EC"/>
    <w:rsid w:val="002C7548"/>
    <w:rsid w:val="002C780B"/>
    <w:rsid w:val="002C7E47"/>
    <w:rsid w:val="002D2C13"/>
    <w:rsid w:val="002D2FFB"/>
    <w:rsid w:val="002D4E0A"/>
    <w:rsid w:val="002D4E16"/>
    <w:rsid w:val="002D505C"/>
    <w:rsid w:val="002D5DF8"/>
    <w:rsid w:val="002D7C96"/>
    <w:rsid w:val="002E334D"/>
    <w:rsid w:val="002E486A"/>
    <w:rsid w:val="002E53C0"/>
    <w:rsid w:val="002E766C"/>
    <w:rsid w:val="002E7C1C"/>
    <w:rsid w:val="002F02C8"/>
    <w:rsid w:val="002F0A07"/>
    <w:rsid w:val="002F179F"/>
    <w:rsid w:val="002F2D5F"/>
    <w:rsid w:val="002F46DC"/>
    <w:rsid w:val="002F5145"/>
    <w:rsid w:val="002F5CB9"/>
    <w:rsid w:val="002F5E9B"/>
    <w:rsid w:val="002F683C"/>
    <w:rsid w:val="00310C52"/>
    <w:rsid w:val="0031140B"/>
    <w:rsid w:val="00314E3D"/>
    <w:rsid w:val="00317120"/>
    <w:rsid w:val="003171BB"/>
    <w:rsid w:val="0032100C"/>
    <w:rsid w:val="003212C2"/>
    <w:rsid w:val="00321921"/>
    <w:rsid w:val="00321926"/>
    <w:rsid w:val="00327707"/>
    <w:rsid w:val="0033060D"/>
    <w:rsid w:val="003318F3"/>
    <w:rsid w:val="00331ECA"/>
    <w:rsid w:val="00333919"/>
    <w:rsid w:val="00334F3E"/>
    <w:rsid w:val="003379AF"/>
    <w:rsid w:val="00337C5C"/>
    <w:rsid w:val="00343E4C"/>
    <w:rsid w:val="003528B8"/>
    <w:rsid w:val="00352BC8"/>
    <w:rsid w:val="00355D82"/>
    <w:rsid w:val="00356CAF"/>
    <w:rsid w:val="003612A6"/>
    <w:rsid w:val="003671F3"/>
    <w:rsid w:val="00367712"/>
    <w:rsid w:val="00367C88"/>
    <w:rsid w:val="00367DB2"/>
    <w:rsid w:val="00370B19"/>
    <w:rsid w:val="00371C8C"/>
    <w:rsid w:val="00373408"/>
    <w:rsid w:val="003748EB"/>
    <w:rsid w:val="00375DCD"/>
    <w:rsid w:val="00376F36"/>
    <w:rsid w:val="003800A6"/>
    <w:rsid w:val="0038151E"/>
    <w:rsid w:val="00382FFA"/>
    <w:rsid w:val="00383B0A"/>
    <w:rsid w:val="0038473C"/>
    <w:rsid w:val="0038491D"/>
    <w:rsid w:val="00387606"/>
    <w:rsid w:val="00391DD2"/>
    <w:rsid w:val="003925E1"/>
    <w:rsid w:val="00393D74"/>
    <w:rsid w:val="003943A7"/>
    <w:rsid w:val="00396A66"/>
    <w:rsid w:val="003A0E06"/>
    <w:rsid w:val="003A1A69"/>
    <w:rsid w:val="003A37B8"/>
    <w:rsid w:val="003A582F"/>
    <w:rsid w:val="003A6B72"/>
    <w:rsid w:val="003B020F"/>
    <w:rsid w:val="003B3917"/>
    <w:rsid w:val="003B41D9"/>
    <w:rsid w:val="003B4356"/>
    <w:rsid w:val="003B5422"/>
    <w:rsid w:val="003B7293"/>
    <w:rsid w:val="003B7D7E"/>
    <w:rsid w:val="003C0EF3"/>
    <w:rsid w:val="003C53B2"/>
    <w:rsid w:val="003C6422"/>
    <w:rsid w:val="003C6C9A"/>
    <w:rsid w:val="003D5451"/>
    <w:rsid w:val="003D6961"/>
    <w:rsid w:val="003E2C77"/>
    <w:rsid w:val="003E2C89"/>
    <w:rsid w:val="003E3C14"/>
    <w:rsid w:val="003E406B"/>
    <w:rsid w:val="003E6516"/>
    <w:rsid w:val="003E747A"/>
    <w:rsid w:val="003F0149"/>
    <w:rsid w:val="003F11BD"/>
    <w:rsid w:val="003F4748"/>
    <w:rsid w:val="003F61AC"/>
    <w:rsid w:val="00401267"/>
    <w:rsid w:val="00401B70"/>
    <w:rsid w:val="00402836"/>
    <w:rsid w:val="0040298F"/>
    <w:rsid w:val="0040367C"/>
    <w:rsid w:val="00404B23"/>
    <w:rsid w:val="00405154"/>
    <w:rsid w:val="004109B8"/>
    <w:rsid w:val="0041238C"/>
    <w:rsid w:val="00412829"/>
    <w:rsid w:val="0041314E"/>
    <w:rsid w:val="00414EDB"/>
    <w:rsid w:val="004164DF"/>
    <w:rsid w:val="0042141B"/>
    <w:rsid w:val="00422F90"/>
    <w:rsid w:val="00425FB2"/>
    <w:rsid w:val="004261AF"/>
    <w:rsid w:val="00426BB0"/>
    <w:rsid w:val="00427182"/>
    <w:rsid w:val="00433EEA"/>
    <w:rsid w:val="004408B0"/>
    <w:rsid w:val="004408EE"/>
    <w:rsid w:val="00441C7F"/>
    <w:rsid w:val="00441E5E"/>
    <w:rsid w:val="0044524F"/>
    <w:rsid w:val="00446103"/>
    <w:rsid w:val="0044654E"/>
    <w:rsid w:val="004504F2"/>
    <w:rsid w:val="00450C1F"/>
    <w:rsid w:val="004524EB"/>
    <w:rsid w:val="00455240"/>
    <w:rsid w:val="0045613F"/>
    <w:rsid w:val="0045705D"/>
    <w:rsid w:val="00457AEF"/>
    <w:rsid w:val="0046046C"/>
    <w:rsid w:val="004663F3"/>
    <w:rsid w:val="00467553"/>
    <w:rsid w:val="00471F78"/>
    <w:rsid w:val="00473B94"/>
    <w:rsid w:val="00473DC2"/>
    <w:rsid w:val="0047556E"/>
    <w:rsid w:val="00475991"/>
    <w:rsid w:val="00475B13"/>
    <w:rsid w:val="00480D8D"/>
    <w:rsid w:val="004814E5"/>
    <w:rsid w:val="004827CD"/>
    <w:rsid w:val="004829B7"/>
    <w:rsid w:val="00484641"/>
    <w:rsid w:val="004846F8"/>
    <w:rsid w:val="00484E93"/>
    <w:rsid w:val="00485EFC"/>
    <w:rsid w:val="00490A94"/>
    <w:rsid w:val="004911E4"/>
    <w:rsid w:val="004912F4"/>
    <w:rsid w:val="004922BC"/>
    <w:rsid w:val="00492CE8"/>
    <w:rsid w:val="00493558"/>
    <w:rsid w:val="00493EC9"/>
    <w:rsid w:val="00494ECE"/>
    <w:rsid w:val="00495251"/>
    <w:rsid w:val="00495B0C"/>
    <w:rsid w:val="004963A5"/>
    <w:rsid w:val="004A1759"/>
    <w:rsid w:val="004A2275"/>
    <w:rsid w:val="004A3872"/>
    <w:rsid w:val="004A3AC0"/>
    <w:rsid w:val="004A42D0"/>
    <w:rsid w:val="004A4ED0"/>
    <w:rsid w:val="004A5584"/>
    <w:rsid w:val="004A55EC"/>
    <w:rsid w:val="004A6F61"/>
    <w:rsid w:val="004B0706"/>
    <w:rsid w:val="004B22B1"/>
    <w:rsid w:val="004B46E5"/>
    <w:rsid w:val="004B6542"/>
    <w:rsid w:val="004B72A3"/>
    <w:rsid w:val="004C1E33"/>
    <w:rsid w:val="004C6870"/>
    <w:rsid w:val="004D29A3"/>
    <w:rsid w:val="004D4D48"/>
    <w:rsid w:val="004D5250"/>
    <w:rsid w:val="004D6AD9"/>
    <w:rsid w:val="004D702C"/>
    <w:rsid w:val="004E0517"/>
    <w:rsid w:val="004E0C12"/>
    <w:rsid w:val="004E13F0"/>
    <w:rsid w:val="004E4854"/>
    <w:rsid w:val="004E5FCE"/>
    <w:rsid w:val="004F036B"/>
    <w:rsid w:val="004F052D"/>
    <w:rsid w:val="004F0E54"/>
    <w:rsid w:val="004F7B7E"/>
    <w:rsid w:val="00501785"/>
    <w:rsid w:val="00503724"/>
    <w:rsid w:val="00504E3C"/>
    <w:rsid w:val="00507AD5"/>
    <w:rsid w:val="00511D93"/>
    <w:rsid w:val="00513F7C"/>
    <w:rsid w:val="005149B8"/>
    <w:rsid w:val="005168FA"/>
    <w:rsid w:val="005175C0"/>
    <w:rsid w:val="00520001"/>
    <w:rsid w:val="00521717"/>
    <w:rsid w:val="0052391C"/>
    <w:rsid w:val="0052393A"/>
    <w:rsid w:val="00530C3F"/>
    <w:rsid w:val="00532B1D"/>
    <w:rsid w:val="00533524"/>
    <w:rsid w:val="00534347"/>
    <w:rsid w:val="00540C55"/>
    <w:rsid w:val="00542227"/>
    <w:rsid w:val="005422EB"/>
    <w:rsid w:val="0054426F"/>
    <w:rsid w:val="00544836"/>
    <w:rsid w:val="0054508F"/>
    <w:rsid w:val="00546F3A"/>
    <w:rsid w:val="005475C6"/>
    <w:rsid w:val="00550C61"/>
    <w:rsid w:val="00552FBA"/>
    <w:rsid w:val="00554D9D"/>
    <w:rsid w:val="00555A82"/>
    <w:rsid w:val="00556C52"/>
    <w:rsid w:val="0056008C"/>
    <w:rsid w:val="00564394"/>
    <w:rsid w:val="00570A8A"/>
    <w:rsid w:val="00571BE1"/>
    <w:rsid w:val="0057268E"/>
    <w:rsid w:val="00573C95"/>
    <w:rsid w:val="005750B7"/>
    <w:rsid w:val="005806C7"/>
    <w:rsid w:val="00582CA5"/>
    <w:rsid w:val="00582FE9"/>
    <w:rsid w:val="0058511B"/>
    <w:rsid w:val="005852AF"/>
    <w:rsid w:val="00586FF5"/>
    <w:rsid w:val="005A0332"/>
    <w:rsid w:val="005A166B"/>
    <w:rsid w:val="005A1737"/>
    <w:rsid w:val="005A1914"/>
    <w:rsid w:val="005A1D6F"/>
    <w:rsid w:val="005A378B"/>
    <w:rsid w:val="005A3804"/>
    <w:rsid w:val="005A40B3"/>
    <w:rsid w:val="005B1361"/>
    <w:rsid w:val="005B177D"/>
    <w:rsid w:val="005B3B4A"/>
    <w:rsid w:val="005B4C4C"/>
    <w:rsid w:val="005B7966"/>
    <w:rsid w:val="005C0341"/>
    <w:rsid w:val="005C3CDD"/>
    <w:rsid w:val="005D2B33"/>
    <w:rsid w:val="005D4B36"/>
    <w:rsid w:val="005D5B37"/>
    <w:rsid w:val="005D6D35"/>
    <w:rsid w:val="005E1062"/>
    <w:rsid w:val="005E12BD"/>
    <w:rsid w:val="005E132E"/>
    <w:rsid w:val="005E1F41"/>
    <w:rsid w:val="005E305E"/>
    <w:rsid w:val="005E3ECC"/>
    <w:rsid w:val="005E53A4"/>
    <w:rsid w:val="005F1F63"/>
    <w:rsid w:val="005F324D"/>
    <w:rsid w:val="005F4C0F"/>
    <w:rsid w:val="006011F9"/>
    <w:rsid w:val="006016B0"/>
    <w:rsid w:val="00602247"/>
    <w:rsid w:val="00602C52"/>
    <w:rsid w:val="006054AE"/>
    <w:rsid w:val="00606661"/>
    <w:rsid w:val="00612A91"/>
    <w:rsid w:val="00612B93"/>
    <w:rsid w:val="00615BD4"/>
    <w:rsid w:val="006176D9"/>
    <w:rsid w:val="0062063C"/>
    <w:rsid w:val="00621EEA"/>
    <w:rsid w:val="00622049"/>
    <w:rsid w:val="006267AC"/>
    <w:rsid w:val="00626B7B"/>
    <w:rsid w:val="006275F8"/>
    <w:rsid w:val="00630C8F"/>
    <w:rsid w:val="0063126C"/>
    <w:rsid w:val="006321D9"/>
    <w:rsid w:val="00635ACD"/>
    <w:rsid w:val="00645F9B"/>
    <w:rsid w:val="006462F4"/>
    <w:rsid w:val="00646C7B"/>
    <w:rsid w:val="00653EEF"/>
    <w:rsid w:val="00656DB1"/>
    <w:rsid w:val="0065706C"/>
    <w:rsid w:val="006570F3"/>
    <w:rsid w:val="006574CA"/>
    <w:rsid w:val="00663087"/>
    <w:rsid w:val="00663820"/>
    <w:rsid w:val="00666E6E"/>
    <w:rsid w:val="00667712"/>
    <w:rsid w:val="00667926"/>
    <w:rsid w:val="00672A07"/>
    <w:rsid w:val="00672A3D"/>
    <w:rsid w:val="00673284"/>
    <w:rsid w:val="00673C56"/>
    <w:rsid w:val="00674E3C"/>
    <w:rsid w:val="00684218"/>
    <w:rsid w:val="00684A17"/>
    <w:rsid w:val="0068548A"/>
    <w:rsid w:val="00686ACA"/>
    <w:rsid w:val="006904AF"/>
    <w:rsid w:val="00695821"/>
    <w:rsid w:val="0069607D"/>
    <w:rsid w:val="006960C5"/>
    <w:rsid w:val="006A05F8"/>
    <w:rsid w:val="006A0897"/>
    <w:rsid w:val="006A27B1"/>
    <w:rsid w:val="006A4246"/>
    <w:rsid w:val="006A56B9"/>
    <w:rsid w:val="006A64EB"/>
    <w:rsid w:val="006A7750"/>
    <w:rsid w:val="006A7FD4"/>
    <w:rsid w:val="006B0E91"/>
    <w:rsid w:val="006B1891"/>
    <w:rsid w:val="006B37AE"/>
    <w:rsid w:val="006B3C07"/>
    <w:rsid w:val="006B476E"/>
    <w:rsid w:val="006B7254"/>
    <w:rsid w:val="006B73B9"/>
    <w:rsid w:val="006C0F43"/>
    <w:rsid w:val="006C2D51"/>
    <w:rsid w:val="006C4083"/>
    <w:rsid w:val="006C4B81"/>
    <w:rsid w:val="006C517C"/>
    <w:rsid w:val="006C5CAA"/>
    <w:rsid w:val="006C6855"/>
    <w:rsid w:val="006C7F43"/>
    <w:rsid w:val="006D16F3"/>
    <w:rsid w:val="006D49E3"/>
    <w:rsid w:val="006D4C2C"/>
    <w:rsid w:val="006D62FF"/>
    <w:rsid w:val="006E019F"/>
    <w:rsid w:val="006E18C4"/>
    <w:rsid w:val="006E3E50"/>
    <w:rsid w:val="006E402A"/>
    <w:rsid w:val="006E525F"/>
    <w:rsid w:val="006E74F5"/>
    <w:rsid w:val="006E7DCA"/>
    <w:rsid w:val="006F03B7"/>
    <w:rsid w:val="006F2035"/>
    <w:rsid w:val="006F28EE"/>
    <w:rsid w:val="006F42C2"/>
    <w:rsid w:val="006F602A"/>
    <w:rsid w:val="006F7412"/>
    <w:rsid w:val="007002BC"/>
    <w:rsid w:val="00704E65"/>
    <w:rsid w:val="0071025E"/>
    <w:rsid w:val="007105A5"/>
    <w:rsid w:val="00710B8D"/>
    <w:rsid w:val="00712CF9"/>
    <w:rsid w:val="00713024"/>
    <w:rsid w:val="00713EA1"/>
    <w:rsid w:val="00715D6B"/>
    <w:rsid w:val="00717F6B"/>
    <w:rsid w:val="007212F0"/>
    <w:rsid w:val="00722EC6"/>
    <w:rsid w:val="00723FF6"/>
    <w:rsid w:val="0072460B"/>
    <w:rsid w:val="00725ADF"/>
    <w:rsid w:val="00726876"/>
    <w:rsid w:val="007269B1"/>
    <w:rsid w:val="00730DF7"/>
    <w:rsid w:val="0073123A"/>
    <w:rsid w:val="007331F6"/>
    <w:rsid w:val="0073362F"/>
    <w:rsid w:val="00733A3E"/>
    <w:rsid w:val="00736B54"/>
    <w:rsid w:val="007371F3"/>
    <w:rsid w:val="00740605"/>
    <w:rsid w:val="00740FA5"/>
    <w:rsid w:val="007440A8"/>
    <w:rsid w:val="00747B97"/>
    <w:rsid w:val="00747DD4"/>
    <w:rsid w:val="00751820"/>
    <w:rsid w:val="00751B7E"/>
    <w:rsid w:val="00752AB2"/>
    <w:rsid w:val="00754193"/>
    <w:rsid w:val="00754EA5"/>
    <w:rsid w:val="007556C8"/>
    <w:rsid w:val="00756FA1"/>
    <w:rsid w:val="007605DF"/>
    <w:rsid w:val="0076244A"/>
    <w:rsid w:val="00762D9D"/>
    <w:rsid w:val="00763FD6"/>
    <w:rsid w:val="0076431D"/>
    <w:rsid w:val="00766DE9"/>
    <w:rsid w:val="007678A5"/>
    <w:rsid w:val="00770841"/>
    <w:rsid w:val="00771F67"/>
    <w:rsid w:val="00772012"/>
    <w:rsid w:val="0077418F"/>
    <w:rsid w:val="00774C01"/>
    <w:rsid w:val="007823C9"/>
    <w:rsid w:val="007835B7"/>
    <w:rsid w:val="007863E1"/>
    <w:rsid w:val="007910D3"/>
    <w:rsid w:val="0079336E"/>
    <w:rsid w:val="00797D52"/>
    <w:rsid w:val="007A5BD0"/>
    <w:rsid w:val="007B4B46"/>
    <w:rsid w:val="007B5E5F"/>
    <w:rsid w:val="007B6429"/>
    <w:rsid w:val="007B6CA0"/>
    <w:rsid w:val="007B6F71"/>
    <w:rsid w:val="007C06F8"/>
    <w:rsid w:val="007C27E5"/>
    <w:rsid w:val="007C2E24"/>
    <w:rsid w:val="007C3F78"/>
    <w:rsid w:val="007C4B09"/>
    <w:rsid w:val="007C6167"/>
    <w:rsid w:val="007C6EB8"/>
    <w:rsid w:val="007C7809"/>
    <w:rsid w:val="007D13B9"/>
    <w:rsid w:val="007D2774"/>
    <w:rsid w:val="007D4F54"/>
    <w:rsid w:val="007D71F7"/>
    <w:rsid w:val="007E024C"/>
    <w:rsid w:val="007E160E"/>
    <w:rsid w:val="007E1BDD"/>
    <w:rsid w:val="007E700C"/>
    <w:rsid w:val="007E7388"/>
    <w:rsid w:val="007F1BAF"/>
    <w:rsid w:val="007F1F1C"/>
    <w:rsid w:val="007F2277"/>
    <w:rsid w:val="007F433C"/>
    <w:rsid w:val="007F4428"/>
    <w:rsid w:val="007F5337"/>
    <w:rsid w:val="008004B0"/>
    <w:rsid w:val="00800582"/>
    <w:rsid w:val="008045D9"/>
    <w:rsid w:val="00806C8A"/>
    <w:rsid w:val="0080702C"/>
    <w:rsid w:val="00807165"/>
    <w:rsid w:val="00812094"/>
    <w:rsid w:val="0081333B"/>
    <w:rsid w:val="008140D7"/>
    <w:rsid w:val="0081653B"/>
    <w:rsid w:val="0082008B"/>
    <w:rsid w:val="00820F33"/>
    <w:rsid w:val="00821DF6"/>
    <w:rsid w:val="00823CCC"/>
    <w:rsid w:val="00826A56"/>
    <w:rsid w:val="00827179"/>
    <w:rsid w:val="0083029A"/>
    <w:rsid w:val="00830426"/>
    <w:rsid w:val="00830E02"/>
    <w:rsid w:val="00831C83"/>
    <w:rsid w:val="00831E0A"/>
    <w:rsid w:val="008343C4"/>
    <w:rsid w:val="00835847"/>
    <w:rsid w:val="00835C6F"/>
    <w:rsid w:val="00837429"/>
    <w:rsid w:val="0083745B"/>
    <w:rsid w:val="008375D4"/>
    <w:rsid w:val="00840252"/>
    <w:rsid w:val="00840420"/>
    <w:rsid w:val="00842DE3"/>
    <w:rsid w:val="00844F5E"/>
    <w:rsid w:val="00846701"/>
    <w:rsid w:val="0085232F"/>
    <w:rsid w:val="00854E2A"/>
    <w:rsid w:val="008550CD"/>
    <w:rsid w:val="00855A40"/>
    <w:rsid w:val="00857E3A"/>
    <w:rsid w:val="00861135"/>
    <w:rsid w:val="00864495"/>
    <w:rsid w:val="0086449D"/>
    <w:rsid w:val="008651BC"/>
    <w:rsid w:val="00867059"/>
    <w:rsid w:val="00867A5A"/>
    <w:rsid w:val="008711B1"/>
    <w:rsid w:val="00871FBA"/>
    <w:rsid w:val="00872119"/>
    <w:rsid w:val="008722FB"/>
    <w:rsid w:val="00877EA2"/>
    <w:rsid w:val="008808CA"/>
    <w:rsid w:val="00887D93"/>
    <w:rsid w:val="00890912"/>
    <w:rsid w:val="00890D7D"/>
    <w:rsid w:val="008917B4"/>
    <w:rsid w:val="008933C7"/>
    <w:rsid w:val="008941B9"/>
    <w:rsid w:val="00894216"/>
    <w:rsid w:val="008959F9"/>
    <w:rsid w:val="008966AA"/>
    <w:rsid w:val="00896786"/>
    <w:rsid w:val="00897413"/>
    <w:rsid w:val="008A118C"/>
    <w:rsid w:val="008A46DC"/>
    <w:rsid w:val="008A4806"/>
    <w:rsid w:val="008A4BF4"/>
    <w:rsid w:val="008A510D"/>
    <w:rsid w:val="008A5EDE"/>
    <w:rsid w:val="008A636B"/>
    <w:rsid w:val="008A7A4E"/>
    <w:rsid w:val="008A7C4F"/>
    <w:rsid w:val="008B2FA8"/>
    <w:rsid w:val="008B3253"/>
    <w:rsid w:val="008B35A8"/>
    <w:rsid w:val="008B3F5C"/>
    <w:rsid w:val="008C020E"/>
    <w:rsid w:val="008C0E26"/>
    <w:rsid w:val="008C1EE4"/>
    <w:rsid w:val="008C2F9E"/>
    <w:rsid w:val="008D03EA"/>
    <w:rsid w:val="008D16BD"/>
    <w:rsid w:val="008D17A7"/>
    <w:rsid w:val="008D2E91"/>
    <w:rsid w:val="008D58E2"/>
    <w:rsid w:val="008D6283"/>
    <w:rsid w:val="008D7FB0"/>
    <w:rsid w:val="008E050B"/>
    <w:rsid w:val="008E1010"/>
    <w:rsid w:val="008E2C2E"/>
    <w:rsid w:val="008E72A8"/>
    <w:rsid w:val="008F0627"/>
    <w:rsid w:val="008F1FF1"/>
    <w:rsid w:val="008F2498"/>
    <w:rsid w:val="008F41FB"/>
    <w:rsid w:val="008F4B49"/>
    <w:rsid w:val="008F5977"/>
    <w:rsid w:val="008F5C9B"/>
    <w:rsid w:val="008F5F4B"/>
    <w:rsid w:val="009039C8"/>
    <w:rsid w:val="00904BCF"/>
    <w:rsid w:val="00905B77"/>
    <w:rsid w:val="00906FD6"/>
    <w:rsid w:val="009079D0"/>
    <w:rsid w:val="00907DCD"/>
    <w:rsid w:val="009104AA"/>
    <w:rsid w:val="00912784"/>
    <w:rsid w:val="00914466"/>
    <w:rsid w:val="00915D8A"/>
    <w:rsid w:val="00917746"/>
    <w:rsid w:val="009209A5"/>
    <w:rsid w:val="00920F98"/>
    <w:rsid w:val="00922448"/>
    <w:rsid w:val="009228BB"/>
    <w:rsid w:val="00922FDA"/>
    <w:rsid w:val="009244DF"/>
    <w:rsid w:val="00927EF6"/>
    <w:rsid w:val="009303ED"/>
    <w:rsid w:val="00930D45"/>
    <w:rsid w:val="00930E14"/>
    <w:rsid w:val="00933885"/>
    <w:rsid w:val="009338DA"/>
    <w:rsid w:val="00936E93"/>
    <w:rsid w:val="009376D6"/>
    <w:rsid w:val="00937FDA"/>
    <w:rsid w:val="00947632"/>
    <w:rsid w:val="0094786C"/>
    <w:rsid w:val="00947B9F"/>
    <w:rsid w:val="00947FB4"/>
    <w:rsid w:val="00952D2F"/>
    <w:rsid w:val="00952D60"/>
    <w:rsid w:val="00952E44"/>
    <w:rsid w:val="00955447"/>
    <w:rsid w:val="00955A17"/>
    <w:rsid w:val="00957C50"/>
    <w:rsid w:val="00960E12"/>
    <w:rsid w:val="0096331F"/>
    <w:rsid w:val="00963914"/>
    <w:rsid w:val="00963A90"/>
    <w:rsid w:val="009729D8"/>
    <w:rsid w:val="00974274"/>
    <w:rsid w:val="0097453F"/>
    <w:rsid w:val="00974577"/>
    <w:rsid w:val="00975045"/>
    <w:rsid w:val="00976670"/>
    <w:rsid w:val="00976BC3"/>
    <w:rsid w:val="00976E64"/>
    <w:rsid w:val="00977929"/>
    <w:rsid w:val="0098426D"/>
    <w:rsid w:val="009907A3"/>
    <w:rsid w:val="00993B1F"/>
    <w:rsid w:val="00993F70"/>
    <w:rsid w:val="0099428D"/>
    <w:rsid w:val="00995932"/>
    <w:rsid w:val="00996D49"/>
    <w:rsid w:val="009A1C77"/>
    <w:rsid w:val="009A51E6"/>
    <w:rsid w:val="009A5BC5"/>
    <w:rsid w:val="009A61AA"/>
    <w:rsid w:val="009A747C"/>
    <w:rsid w:val="009A7DAC"/>
    <w:rsid w:val="009B2B6E"/>
    <w:rsid w:val="009B3C1F"/>
    <w:rsid w:val="009B7D7E"/>
    <w:rsid w:val="009C10F7"/>
    <w:rsid w:val="009C11B1"/>
    <w:rsid w:val="009C1722"/>
    <w:rsid w:val="009C6235"/>
    <w:rsid w:val="009C6E76"/>
    <w:rsid w:val="009D00B8"/>
    <w:rsid w:val="009D3E42"/>
    <w:rsid w:val="009D682E"/>
    <w:rsid w:val="009E40F9"/>
    <w:rsid w:val="009E5844"/>
    <w:rsid w:val="009E653F"/>
    <w:rsid w:val="009E7C9A"/>
    <w:rsid w:val="009F4C6D"/>
    <w:rsid w:val="009F5062"/>
    <w:rsid w:val="00A01D25"/>
    <w:rsid w:val="00A0624A"/>
    <w:rsid w:val="00A06830"/>
    <w:rsid w:val="00A06F87"/>
    <w:rsid w:val="00A12892"/>
    <w:rsid w:val="00A149DF"/>
    <w:rsid w:val="00A1634D"/>
    <w:rsid w:val="00A1707B"/>
    <w:rsid w:val="00A235DC"/>
    <w:rsid w:val="00A32694"/>
    <w:rsid w:val="00A33A18"/>
    <w:rsid w:val="00A350BE"/>
    <w:rsid w:val="00A35C8A"/>
    <w:rsid w:val="00A36343"/>
    <w:rsid w:val="00A36638"/>
    <w:rsid w:val="00A36B9A"/>
    <w:rsid w:val="00A4149B"/>
    <w:rsid w:val="00A4476C"/>
    <w:rsid w:val="00A51ECF"/>
    <w:rsid w:val="00A5335D"/>
    <w:rsid w:val="00A53EBD"/>
    <w:rsid w:val="00A56524"/>
    <w:rsid w:val="00A610B8"/>
    <w:rsid w:val="00A61208"/>
    <w:rsid w:val="00A62660"/>
    <w:rsid w:val="00A62D2C"/>
    <w:rsid w:val="00A64D6A"/>
    <w:rsid w:val="00A66A0F"/>
    <w:rsid w:val="00A67FB0"/>
    <w:rsid w:val="00A700BE"/>
    <w:rsid w:val="00A7038D"/>
    <w:rsid w:val="00A73440"/>
    <w:rsid w:val="00A75908"/>
    <w:rsid w:val="00A75D01"/>
    <w:rsid w:val="00A76B01"/>
    <w:rsid w:val="00A813D7"/>
    <w:rsid w:val="00A83BB1"/>
    <w:rsid w:val="00A87807"/>
    <w:rsid w:val="00A90332"/>
    <w:rsid w:val="00A94426"/>
    <w:rsid w:val="00A9734B"/>
    <w:rsid w:val="00A97D26"/>
    <w:rsid w:val="00AA06C5"/>
    <w:rsid w:val="00AA1669"/>
    <w:rsid w:val="00AA3A8E"/>
    <w:rsid w:val="00AA4C1D"/>
    <w:rsid w:val="00AA5BB8"/>
    <w:rsid w:val="00AA5D50"/>
    <w:rsid w:val="00AA6487"/>
    <w:rsid w:val="00AB001E"/>
    <w:rsid w:val="00AB2D04"/>
    <w:rsid w:val="00AB318B"/>
    <w:rsid w:val="00AB7D6A"/>
    <w:rsid w:val="00AC0A22"/>
    <w:rsid w:val="00AC3A3F"/>
    <w:rsid w:val="00AD190D"/>
    <w:rsid w:val="00AD2DAB"/>
    <w:rsid w:val="00AE1BBB"/>
    <w:rsid w:val="00AE2F4C"/>
    <w:rsid w:val="00AE3B4A"/>
    <w:rsid w:val="00AE4A87"/>
    <w:rsid w:val="00AE673D"/>
    <w:rsid w:val="00AE749B"/>
    <w:rsid w:val="00AF0629"/>
    <w:rsid w:val="00AF1BF1"/>
    <w:rsid w:val="00AF32B8"/>
    <w:rsid w:val="00AF3CB3"/>
    <w:rsid w:val="00AF531B"/>
    <w:rsid w:val="00AF5337"/>
    <w:rsid w:val="00AF53C2"/>
    <w:rsid w:val="00AF71F6"/>
    <w:rsid w:val="00AF7C60"/>
    <w:rsid w:val="00B005C5"/>
    <w:rsid w:val="00B02305"/>
    <w:rsid w:val="00B02E23"/>
    <w:rsid w:val="00B060D5"/>
    <w:rsid w:val="00B1175D"/>
    <w:rsid w:val="00B12731"/>
    <w:rsid w:val="00B12AA5"/>
    <w:rsid w:val="00B146BC"/>
    <w:rsid w:val="00B14DF1"/>
    <w:rsid w:val="00B153B3"/>
    <w:rsid w:val="00B17CBB"/>
    <w:rsid w:val="00B20BBF"/>
    <w:rsid w:val="00B217CC"/>
    <w:rsid w:val="00B25447"/>
    <w:rsid w:val="00B271C9"/>
    <w:rsid w:val="00B31C57"/>
    <w:rsid w:val="00B32F09"/>
    <w:rsid w:val="00B33D96"/>
    <w:rsid w:val="00B33E36"/>
    <w:rsid w:val="00B34F0E"/>
    <w:rsid w:val="00B35F5F"/>
    <w:rsid w:val="00B36F78"/>
    <w:rsid w:val="00B3755E"/>
    <w:rsid w:val="00B404A6"/>
    <w:rsid w:val="00B40A63"/>
    <w:rsid w:val="00B41213"/>
    <w:rsid w:val="00B45C45"/>
    <w:rsid w:val="00B47277"/>
    <w:rsid w:val="00B56FB7"/>
    <w:rsid w:val="00B577A6"/>
    <w:rsid w:val="00B607BE"/>
    <w:rsid w:val="00B61E09"/>
    <w:rsid w:val="00B6274D"/>
    <w:rsid w:val="00B62B63"/>
    <w:rsid w:val="00B64D41"/>
    <w:rsid w:val="00B66CB3"/>
    <w:rsid w:val="00B66D6E"/>
    <w:rsid w:val="00B67351"/>
    <w:rsid w:val="00B706C6"/>
    <w:rsid w:val="00B739CF"/>
    <w:rsid w:val="00B7475F"/>
    <w:rsid w:val="00B80B07"/>
    <w:rsid w:val="00B8178C"/>
    <w:rsid w:val="00B81BF0"/>
    <w:rsid w:val="00B82E33"/>
    <w:rsid w:val="00B82ECB"/>
    <w:rsid w:val="00B8310B"/>
    <w:rsid w:val="00B83C8B"/>
    <w:rsid w:val="00B85BAF"/>
    <w:rsid w:val="00B85CF5"/>
    <w:rsid w:val="00B90874"/>
    <w:rsid w:val="00B90BFA"/>
    <w:rsid w:val="00B93044"/>
    <w:rsid w:val="00B931B0"/>
    <w:rsid w:val="00B93ED9"/>
    <w:rsid w:val="00B95E2C"/>
    <w:rsid w:val="00BA2C17"/>
    <w:rsid w:val="00BA40F3"/>
    <w:rsid w:val="00BA5F6B"/>
    <w:rsid w:val="00BA6BD0"/>
    <w:rsid w:val="00BB0589"/>
    <w:rsid w:val="00BB1AF8"/>
    <w:rsid w:val="00BB2E2A"/>
    <w:rsid w:val="00BB4B39"/>
    <w:rsid w:val="00BC3515"/>
    <w:rsid w:val="00BC59C2"/>
    <w:rsid w:val="00BD02CC"/>
    <w:rsid w:val="00BD22C7"/>
    <w:rsid w:val="00BD277B"/>
    <w:rsid w:val="00BD530D"/>
    <w:rsid w:val="00BE205B"/>
    <w:rsid w:val="00BE264E"/>
    <w:rsid w:val="00BE4E80"/>
    <w:rsid w:val="00BE68B4"/>
    <w:rsid w:val="00BF3CCD"/>
    <w:rsid w:val="00BF4C25"/>
    <w:rsid w:val="00BF71A3"/>
    <w:rsid w:val="00C029B6"/>
    <w:rsid w:val="00C03B0F"/>
    <w:rsid w:val="00C03E68"/>
    <w:rsid w:val="00C05139"/>
    <w:rsid w:val="00C124B7"/>
    <w:rsid w:val="00C15124"/>
    <w:rsid w:val="00C16AB3"/>
    <w:rsid w:val="00C17224"/>
    <w:rsid w:val="00C17685"/>
    <w:rsid w:val="00C20CBD"/>
    <w:rsid w:val="00C223A5"/>
    <w:rsid w:val="00C23A93"/>
    <w:rsid w:val="00C23BCF"/>
    <w:rsid w:val="00C2546E"/>
    <w:rsid w:val="00C2648A"/>
    <w:rsid w:val="00C2711D"/>
    <w:rsid w:val="00C275B4"/>
    <w:rsid w:val="00C310A0"/>
    <w:rsid w:val="00C351DB"/>
    <w:rsid w:val="00C36A88"/>
    <w:rsid w:val="00C44141"/>
    <w:rsid w:val="00C53EEF"/>
    <w:rsid w:val="00C55A01"/>
    <w:rsid w:val="00C56A39"/>
    <w:rsid w:val="00C57DD6"/>
    <w:rsid w:val="00C607D5"/>
    <w:rsid w:val="00C62A8F"/>
    <w:rsid w:val="00C634E0"/>
    <w:rsid w:val="00C66D0B"/>
    <w:rsid w:val="00C671BC"/>
    <w:rsid w:val="00C70919"/>
    <w:rsid w:val="00C7338D"/>
    <w:rsid w:val="00C759E4"/>
    <w:rsid w:val="00C75BEC"/>
    <w:rsid w:val="00C80D96"/>
    <w:rsid w:val="00C83560"/>
    <w:rsid w:val="00C836E3"/>
    <w:rsid w:val="00C83A19"/>
    <w:rsid w:val="00C841DB"/>
    <w:rsid w:val="00C8527E"/>
    <w:rsid w:val="00C855D2"/>
    <w:rsid w:val="00C85E96"/>
    <w:rsid w:val="00C86FBD"/>
    <w:rsid w:val="00C9128F"/>
    <w:rsid w:val="00C91666"/>
    <w:rsid w:val="00C9219D"/>
    <w:rsid w:val="00C923D5"/>
    <w:rsid w:val="00C94E84"/>
    <w:rsid w:val="00CA0D9F"/>
    <w:rsid w:val="00CA18FB"/>
    <w:rsid w:val="00CA1BD1"/>
    <w:rsid w:val="00CA1CEF"/>
    <w:rsid w:val="00CA71C7"/>
    <w:rsid w:val="00CB030A"/>
    <w:rsid w:val="00CB125C"/>
    <w:rsid w:val="00CB455B"/>
    <w:rsid w:val="00CB4D87"/>
    <w:rsid w:val="00CB6FEB"/>
    <w:rsid w:val="00CC4E6E"/>
    <w:rsid w:val="00CC6E0A"/>
    <w:rsid w:val="00CC7617"/>
    <w:rsid w:val="00CC7935"/>
    <w:rsid w:val="00CD17D1"/>
    <w:rsid w:val="00CD20F9"/>
    <w:rsid w:val="00CD66FB"/>
    <w:rsid w:val="00CD67D5"/>
    <w:rsid w:val="00CE696A"/>
    <w:rsid w:val="00CE6D2A"/>
    <w:rsid w:val="00CE70E4"/>
    <w:rsid w:val="00CF0889"/>
    <w:rsid w:val="00CF2156"/>
    <w:rsid w:val="00CF2938"/>
    <w:rsid w:val="00CF30F6"/>
    <w:rsid w:val="00CF3AF9"/>
    <w:rsid w:val="00CF41C5"/>
    <w:rsid w:val="00CF4D7B"/>
    <w:rsid w:val="00CF6914"/>
    <w:rsid w:val="00CF7F30"/>
    <w:rsid w:val="00D003AF"/>
    <w:rsid w:val="00D049C3"/>
    <w:rsid w:val="00D062A5"/>
    <w:rsid w:val="00D07715"/>
    <w:rsid w:val="00D106FE"/>
    <w:rsid w:val="00D10ED3"/>
    <w:rsid w:val="00D125E8"/>
    <w:rsid w:val="00D12D3B"/>
    <w:rsid w:val="00D13D7B"/>
    <w:rsid w:val="00D14535"/>
    <w:rsid w:val="00D15FDA"/>
    <w:rsid w:val="00D161B7"/>
    <w:rsid w:val="00D21A22"/>
    <w:rsid w:val="00D21ED8"/>
    <w:rsid w:val="00D22A32"/>
    <w:rsid w:val="00D23012"/>
    <w:rsid w:val="00D26EC1"/>
    <w:rsid w:val="00D2709A"/>
    <w:rsid w:val="00D30569"/>
    <w:rsid w:val="00D31F30"/>
    <w:rsid w:val="00D31F45"/>
    <w:rsid w:val="00D335BB"/>
    <w:rsid w:val="00D34B05"/>
    <w:rsid w:val="00D37504"/>
    <w:rsid w:val="00D37996"/>
    <w:rsid w:val="00D4725F"/>
    <w:rsid w:val="00D47EAE"/>
    <w:rsid w:val="00D50000"/>
    <w:rsid w:val="00D54091"/>
    <w:rsid w:val="00D54B9A"/>
    <w:rsid w:val="00D54F2F"/>
    <w:rsid w:val="00D557F5"/>
    <w:rsid w:val="00D61100"/>
    <w:rsid w:val="00D61C45"/>
    <w:rsid w:val="00D62AEF"/>
    <w:rsid w:val="00D62CE1"/>
    <w:rsid w:val="00D64DD6"/>
    <w:rsid w:val="00D6587C"/>
    <w:rsid w:val="00D72C4E"/>
    <w:rsid w:val="00D756CA"/>
    <w:rsid w:val="00D77713"/>
    <w:rsid w:val="00D7798A"/>
    <w:rsid w:val="00D8307B"/>
    <w:rsid w:val="00D8327C"/>
    <w:rsid w:val="00D836F7"/>
    <w:rsid w:val="00D84645"/>
    <w:rsid w:val="00D84DC7"/>
    <w:rsid w:val="00D864F8"/>
    <w:rsid w:val="00D879A3"/>
    <w:rsid w:val="00D90729"/>
    <w:rsid w:val="00D92A23"/>
    <w:rsid w:val="00D93123"/>
    <w:rsid w:val="00DA27BF"/>
    <w:rsid w:val="00DA527C"/>
    <w:rsid w:val="00DA5B6B"/>
    <w:rsid w:val="00DA700C"/>
    <w:rsid w:val="00DB2EF0"/>
    <w:rsid w:val="00DB4640"/>
    <w:rsid w:val="00DB72D0"/>
    <w:rsid w:val="00DC44F4"/>
    <w:rsid w:val="00DD027E"/>
    <w:rsid w:val="00DD0447"/>
    <w:rsid w:val="00DD05BB"/>
    <w:rsid w:val="00DD688C"/>
    <w:rsid w:val="00DE2783"/>
    <w:rsid w:val="00DE27B8"/>
    <w:rsid w:val="00DE3D55"/>
    <w:rsid w:val="00DE5707"/>
    <w:rsid w:val="00DE70C6"/>
    <w:rsid w:val="00DF0DB1"/>
    <w:rsid w:val="00DF21A8"/>
    <w:rsid w:val="00DF3A84"/>
    <w:rsid w:val="00DF7C6E"/>
    <w:rsid w:val="00E01663"/>
    <w:rsid w:val="00E01A46"/>
    <w:rsid w:val="00E04FDE"/>
    <w:rsid w:val="00E07A39"/>
    <w:rsid w:val="00E104EF"/>
    <w:rsid w:val="00E125CB"/>
    <w:rsid w:val="00E13C7D"/>
    <w:rsid w:val="00E13EDF"/>
    <w:rsid w:val="00E146EE"/>
    <w:rsid w:val="00E165C9"/>
    <w:rsid w:val="00E17165"/>
    <w:rsid w:val="00E202E6"/>
    <w:rsid w:val="00E21B3E"/>
    <w:rsid w:val="00E21F7E"/>
    <w:rsid w:val="00E224C3"/>
    <w:rsid w:val="00E22BB4"/>
    <w:rsid w:val="00E23B83"/>
    <w:rsid w:val="00E23FD1"/>
    <w:rsid w:val="00E25D87"/>
    <w:rsid w:val="00E27377"/>
    <w:rsid w:val="00E300EC"/>
    <w:rsid w:val="00E304F7"/>
    <w:rsid w:val="00E31E46"/>
    <w:rsid w:val="00E332F5"/>
    <w:rsid w:val="00E34AE2"/>
    <w:rsid w:val="00E37601"/>
    <w:rsid w:val="00E42235"/>
    <w:rsid w:val="00E43B3E"/>
    <w:rsid w:val="00E4414C"/>
    <w:rsid w:val="00E443BA"/>
    <w:rsid w:val="00E45FB7"/>
    <w:rsid w:val="00E470CE"/>
    <w:rsid w:val="00E50F94"/>
    <w:rsid w:val="00E52894"/>
    <w:rsid w:val="00E528C9"/>
    <w:rsid w:val="00E5462E"/>
    <w:rsid w:val="00E62AD0"/>
    <w:rsid w:val="00E65605"/>
    <w:rsid w:val="00E65AFF"/>
    <w:rsid w:val="00E66F2C"/>
    <w:rsid w:val="00E6767D"/>
    <w:rsid w:val="00E71BF0"/>
    <w:rsid w:val="00E7411A"/>
    <w:rsid w:val="00E77A83"/>
    <w:rsid w:val="00E85972"/>
    <w:rsid w:val="00E90E9C"/>
    <w:rsid w:val="00E9512C"/>
    <w:rsid w:val="00EA0077"/>
    <w:rsid w:val="00EA0E38"/>
    <w:rsid w:val="00EA1872"/>
    <w:rsid w:val="00EA604E"/>
    <w:rsid w:val="00EA6536"/>
    <w:rsid w:val="00EA7167"/>
    <w:rsid w:val="00EB0026"/>
    <w:rsid w:val="00EB0384"/>
    <w:rsid w:val="00EB39F8"/>
    <w:rsid w:val="00EB3AE8"/>
    <w:rsid w:val="00EB6196"/>
    <w:rsid w:val="00EB67F0"/>
    <w:rsid w:val="00EB6B0C"/>
    <w:rsid w:val="00EB6F46"/>
    <w:rsid w:val="00EC058C"/>
    <w:rsid w:val="00EC1BDE"/>
    <w:rsid w:val="00EC1F4B"/>
    <w:rsid w:val="00ED1413"/>
    <w:rsid w:val="00ED1663"/>
    <w:rsid w:val="00ED50F5"/>
    <w:rsid w:val="00ED6BE1"/>
    <w:rsid w:val="00ED7099"/>
    <w:rsid w:val="00ED7757"/>
    <w:rsid w:val="00EE027B"/>
    <w:rsid w:val="00EE31DF"/>
    <w:rsid w:val="00EE4568"/>
    <w:rsid w:val="00EE7916"/>
    <w:rsid w:val="00EF1C6E"/>
    <w:rsid w:val="00EF2C80"/>
    <w:rsid w:val="00EF4D3B"/>
    <w:rsid w:val="00EF6A34"/>
    <w:rsid w:val="00EF7579"/>
    <w:rsid w:val="00F00BE0"/>
    <w:rsid w:val="00F016BD"/>
    <w:rsid w:val="00F026F0"/>
    <w:rsid w:val="00F0680A"/>
    <w:rsid w:val="00F06ED0"/>
    <w:rsid w:val="00F12013"/>
    <w:rsid w:val="00F12999"/>
    <w:rsid w:val="00F13822"/>
    <w:rsid w:val="00F14565"/>
    <w:rsid w:val="00F14A70"/>
    <w:rsid w:val="00F175A5"/>
    <w:rsid w:val="00F230F1"/>
    <w:rsid w:val="00F27B8D"/>
    <w:rsid w:val="00F304FB"/>
    <w:rsid w:val="00F313F8"/>
    <w:rsid w:val="00F315AB"/>
    <w:rsid w:val="00F33F07"/>
    <w:rsid w:val="00F35871"/>
    <w:rsid w:val="00F35D52"/>
    <w:rsid w:val="00F35F8C"/>
    <w:rsid w:val="00F36C93"/>
    <w:rsid w:val="00F373E1"/>
    <w:rsid w:val="00F42574"/>
    <w:rsid w:val="00F45257"/>
    <w:rsid w:val="00F45CA2"/>
    <w:rsid w:val="00F45D78"/>
    <w:rsid w:val="00F46154"/>
    <w:rsid w:val="00F46AD5"/>
    <w:rsid w:val="00F47DCD"/>
    <w:rsid w:val="00F50CA4"/>
    <w:rsid w:val="00F50CE7"/>
    <w:rsid w:val="00F51438"/>
    <w:rsid w:val="00F5301A"/>
    <w:rsid w:val="00F549E7"/>
    <w:rsid w:val="00F5550D"/>
    <w:rsid w:val="00F618BB"/>
    <w:rsid w:val="00F6302F"/>
    <w:rsid w:val="00F67625"/>
    <w:rsid w:val="00F67F18"/>
    <w:rsid w:val="00F76B14"/>
    <w:rsid w:val="00F81487"/>
    <w:rsid w:val="00F85F21"/>
    <w:rsid w:val="00F86516"/>
    <w:rsid w:val="00F90CF5"/>
    <w:rsid w:val="00F91AD8"/>
    <w:rsid w:val="00F922B1"/>
    <w:rsid w:val="00F9331C"/>
    <w:rsid w:val="00FA1CBD"/>
    <w:rsid w:val="00FA35C2"/>
    <w:rsid w:val="00FA56EF"/>
    <w:rsid w:val="00FA5D99"/>
    <w:rsid w:val="00FA6505"/>
    <w:rsid w:val="00FA72F6"/>
    <w:rsid w:val="00FB10A3"/>
    <w:rsid w:val="00FB36D4"/>
    <w:rsid w:val="00FB3B0F"/>
    <w:rsid w:val="00FB510B"/>
    <w:rsid w:val="00FB5D1B"/>
    <w:rsid w:val="00FB75F9"/>
    <w:rsid w:val="00FB7C5A"/>
    <w:rsid w:val="00FC1C97"/>
    <w:rsid w:val="00FC26BF"/>
    <w:rsid w:val="00FC423E"/>
    <w:rsid w:val="00FC523E"/>
    <w:rsid w:val="00FC6CE0"/>
    <w:rsid w:val="00FC7232"/>
    <w:rsid w:val="00FC7525"/>
    <w:rsid w:val="00FD1A30"/>
    <w:rsid w:val="00FD418F"/>
    <w:rsid w:val="00FD4365"/>
    <w:rsid w:val="00FD4D39"/>
    <w:rsid w:val="00FD4F52"/>
    <w:rsid w:val="00FD532F"/>
    <w:rsid w:val="00FE1EF3"/>
    <w:rsid w:val="00FE315D"/>
    <w:rsid w:val="00FE3182"/>
    <w:rsid w:val="00FE41E1"/>
    <w:rsid w:val="00FE55F1"/>
    <w:rsid w:val="00FF213C"/>
    <w:rsid w:val="00FF4D81"/>
    <w:rsid w:val="00FF75F5"/>
    <w:rsid w:val="011646D9"/>
    <w:rsid w:val="01592D24"/>
    <w:rsid w:val="01775986"/>
    <w:rsid w:val="018E7ABF"/>
    <w:rsid w:val="0198796C"/>
    <w:rsid w:val="01C133B8"/>
    <w:rsid w:val="020F2171"/>
    <w:rsid w:val="02600B79"/>
    <w:rsid w:val="02780976"/>
    <w:rsid w:val="02A3645B"/>
    <w:rsid w:val="02E32EB6"/>
    <w:rsid w:val="02F778BD"/>
    <w:rsid w:val="02FE7248"/>
    <w:rsid w:val="030F740A"/>
    <w:rsid w:val="03121468"/>
    <w:rsid w:val="032B08FF"/>
    <w:rsid w:val="035F6E34"/>
    <w:rsid w:val="03822C68"/>
    <w:rsid w:val="03894C9B"/>
    <w:rsid w:val="039F2BBC"/>
    <w:rsid w:val="03D96AC5"/>
    <w:rsid w:val="03EA4660"/>
    <w:rsid w:val="040B71FD"/>
    <w:rsid w:val="04857E10"/>
    <w:rsid w:val="0496655E"/>
    <w:rsid w:val="05071955"/>
    <w:rsid w:val="050842DC"/>
    <w:rsid w:val="050B36B6"/>
    <w:rsid w:val="05186DA8"/>
    <w:rsid w:val="051E3875"/>
    <w:rsid w:val="052D54F8"/>
    <w:rsid w:val="0533125B"/>
    <w:rsid w:val="054F4EE9"/>
    <w:rsid w:val="055222CD"/>
    <w:rsid w:val="059B176D"/>
    <w:rsid w:val="05A4721B"/>
    <w:rsid w:val="06215A85"/>
    <w:rsid w:val="0647513E"/>
    <w:rsid w:val="06702C23"/>
    <w:rsid w:val="06A4010F"/>
    <w:rsid w:val="06AB5586"/>
    <w:rsid w:val="06BB3727"/>
    <w:rsid w:val="06BF4752"/>
    <w:rsid w:val="06CB44B7"/>
    <w:rsid w:val="06E5052A"/>
    <w:rsid w:val="06E94152"/>
    <w:rsid w:val="06EE20B1"/>
    <w:rsid w:val="06F31143"/>
    <w:rsid w:val="075B63E2"/>
    <w:rsid w:val="079426EA"/>
    <w:rsid w:val="079E0D1A"/>
    <w:rsid w:val="07AA712B"/>
    <w:rsid w:val="07B1625B"/>
    <w:rsid w:val="07D96E9C"/>
    <w:rsid w:val="082B45BE"/>
    <w:rsid w:val="08534B88"/>
    <w:rsid w:val="086A5080"/>
    <w:rsid w:val="086E5A46"/>
    <w:rsid w:val="0884649D"/>
    <w:rsid w:val="08A3495F"/>
    <w:rsid w:val="08C3297E"/>
    <w:rsid w:val="08CF313D"/>
    <w:rsid w:val="08F062C2"/>
    <w:rsid w:val="090B19E1"/>
    <w:rsid w:val="0910646C"/>
    <w:rsid w:val="0935694A"/>
    <w:rsid w:val="09401F50"/>
    <w:rsid w:val="094B3B3B"/>
    <w:rsid w:val="09915912"/>
    <w:rsid w:val="099245AB"/>
    <w:rsid w:val="09A35C82"/>
    <w:rsid w:val="09AC6517"/>
    <w:rsid w:val="09B6127A"/>
    <w:rsid w:val="09E15530"/>
    <w:rsid w:val="09F15E14"/>
    <w:rsid w:val="09F22C0C"/>
    <w:rsid w:val="0A1B58FF"/>
    <w:rsid w:val="0A6A0544"/>
    <w:rsid w:val="0A6D7B49"/>
    <w:rsid w:val="0A89404A"/>
    <w:rsid w:val="0ABB55F8"/>
    <w:rsid w:val="0AD11D45"/>
    <w:rsid w:val="0AD13D79"/>
    <w:rsid w:val="0AD60A6A"/>
    <w:rsid w:val="0AE903B8"/>
    <w:rsid w:val="0AF16FCA"/>
    <w:rsid w:val="0B0C1C85"/>
    <w:rsid w:val="0B1873A5"/>
    <w:rsid w:val="0B2F7131"/>
    <w:rsid w:val="0B714AAD"/>
    <w:rsid w:val="0B7462A1"/>
    <w:rsid w:val="0BA14B06"/>
    <w:rsid w:val="0BA16641"/>
    <w:rsid w:val="0BF56037"/>
    <w:rsid w:val="0C0759AC"/>
    <w:rsid w:val="0C2825BF"/>
    <w:rsid w:val="0C2C3BDF"/>
    <w:rsid w:val="0C3472AC"/>
    <w:rsid w:val="0CAC6BB6"/>
    <w:rsid w:val="0CC34F37"/>
    <w:rsid w:val="0CD66CE8"/>
    <w:rsid w:val="0CE23077"/>
    <w:rsid w:val="0CE65557"/>
    <w:rsid w:val="0CEA1C84"/>
    <w:rsid w:val="0CFF6E50"/>
    <w:rsid w:val="0D021AE7"/>
    <w:rsid w:val="0D0C585B"/>
    <w:rsid w:val="0D30674E"/>
    <w:rsid w:val="0D3419BA"/>
    <w:rsid w:val="0D671166"/>
    <w:rsid w:val="0D864353"/>
    <w:rsid w:val="0D9D6002"/>
    <w:rsid w:val="0DA33C82"/>
    <w:rsid w:val="0DD4291F"/>
    <w:rsid w:val="0DD505F0"/>
    <w:rsid w:val="0DEA5E6A"/>
    <w:rsid w:val="0DF34311"/>
    <w:rsid w:val="0DFC36FB"/>
    <w:rsid w:val="0E013467"/>
    <w:rsid w:val="0E194089"/>
    <w:rsid w:val="0E483874"/>
    <w:rsid w:val="0E5F1069"/>
    <w:rsid w:val="0E8A0AC8"/>
    <w:rsid w:val="0E911DEC"/>
    <w:rsid w:val="0EB37705"/>
    <w:rsid w:val="0EB8373C"/>
    <w:rsid w:val="0EBB42A0"/>
    <w:rsid w:val="0ECE0F6B"/>
    <w:rsid w:val="0ED31185"/>
    <w:rsid w:val="0F0D26CC"/>
    <w:rsid w:val="0F184ADA"/>
    <w:rsid w:val="0F20177B"/>
    <w:rsid w:val="0F4F7698"/>
    <w:rsid w:val="0F71660E"/>
    <w:rsid w:val="0F811AB3"/>
    <w:rsid w:val="0FA1669B"/>
    <w:rsid w:val="0FC409C2"/>
    <w:rsid w:val="0FEC40F3"/>
    <w:rsid w:val="0FF96498"/>
    <w:rsid w:val="10050318"/>
    <w:rsid w:val="10165BCE"/>
    <w:rsid w:val="10526C57"/>
    <w:rsid w:val="10742924"/>
    <w:rsid w:val="108718E6"/>
    <w:rsid w:val="10BC2F82"/>
    <w:rsid w:val="10EF538B"/>
    <w:rsid w:val="11312DC0"/>
    <w:rsid w:val="114701EB"/>
    <w:rsid w:val="114C1E2E"/>
    <w:rsid w:val="118848CF"/>
    <w:rsid w:val="119913B2"/>
    <w:rsid w:val="11BD75F7"/>
    <w:rsid w:val="11C11380"/>
    <w:rsid w:val="11C27CB8"/>
    <w:rsid w:val="12092462"/>
    <w:rsid w:val="120F2891"/>
    <w:rsid w:val="121D403F"/>
    <w:rsid w:val="121E5620"/>
    <w:rsid w:val="121F11AA"/>
    <w:rsid w:val="1236431D"/>
    <w:rsid w:val="12471464"/>
    <w:rsid w:val="125816F3"/>
    <w:rsid w:val="129F7C67"/>
    <w:rsid w:val="12AC57F8"/>
    <w:rsid w:val="12F76EF5"/>
    <w:rsid w:val="13367AFF"/>
    <w:rsid w:val="13380DD8"/>
    <w:rsid w:val="133C58FA"/>
    <w:rsid w:val="1344521A"/>
    <w:rsid w:val="134E1D67"/>
    <w:rsid w:val="135054F8"/>
    <w:rsid w:val="13645ACB"/>
    <w:rsid w:val="13BF6C59"/>
    <w:rsid w:val="13CD2646"/>
    <w:rsid w:val="13E957B5"/>
    <w:rsid w:val="13F54664"/>
    <w:rsid w:val="141637CB"/>
    <w:rsid w:val="14276A18"/>
    <w:rsid w:val="14412BB2"/>
    <w:rsid w:val="14514F63"/>
    <w:rsid w:val="146F0E3A"/>
    <w:rsid w:val="146F2D0E"/>
    <w:rsid w:val="14A13B2B"/>
    <w:rsid w:val="14CE0CF1"/>
    <w:rsid w:val="14D31E97"/>
    <w:rsid w:val="14E84975"/>
    <w:rsid w:val="14FB7D9D"/>
    <w:rsid w:val="15510901"/>
    <w:rsid w:val="155E113E"/>
    <w:rsid w:val="155E56DF"/>
    <w:rsid w:val="15666A49"/>
    <w:rsid w:val="156B1A85"/>
    <w:rsid w:val="15A078BC"/>
    <w:rsid w:val="15A56745"/>
    <w:rsid w:val="15AE733A"/>
    <w:rsid w:val="15BF5201"/>
    <w:rsid w:val="15C240E3"/>
    <w:rsid w:val="15FB195D"/>
    <w:rsid w:val="16071FB4"/>
    <w:rsid w:val="164F6705"/>
    <w:rsid w:val="165017C7"/>
    <w:rsid w:val="16E00741"/>
    <w:rsid w:val="16E57078"/>
    <w:rsid w:val="16EB2EC2"/>
    <w:rsid w:val="16F93153"/>
    <w:rsid w:val="170A538D"/>
    <w:rsid w:val="1715638D"/>
    <w:rsid w:val="172A1253"/>
    <w:rsid w:val="17650EF7"/>
    <w:rsid w:val="176B5566"/>
    <w:rsid w:val="17DA7214"/>
    <w:rsid w:val="17E43A9D"/>
    <w:rsid w:val="17FE1807"/>
    <w:rsid w:val="185429A1"/>
    <w:rsid w:val="185F0F31"/>
    <w:rsid w:val="18904498"/>
    <w:rsid w:val="18930B18"/>
    <w:rsid w:val="18A3471E"/>
    <w:rsid w:val="18BA7627"/>
    <w:rsid w:val="18C03F47"/>
    <w:rsid w:val="18EC3461"/>
    <w:rsid w:val="18FE52A6"/>
    <w:rsid w:val="19216C1C"/>
    <w:rsid w:val="192B4DF7"/>
    <w:rsid w:val="192E2608"/>
    <w:rsid w:val="19787F60"/>
    <w:rsid w:val="19867CE7"/>
    <w:rsid w:val="19A639E9"/>
    <w:rsid w:val="19B616C6"/>
    <w:rsid w:val="19BA6371"/>
    <w:rsid w:val="19C57049"/>
    <w:rsid w:val="19DC0589"/>
    <w:rsid w:val="19E2505F"/>
    <w:rsid w:val="19F90D7B"/>
    <w:rsid w:val="1A02632C"/>
    <w:rsid w:val="1A187B61"/>
    <w:rsid w:val="1A300E92"/>
    <w:rsid w:val="1A4964D8"/>
    <w:rsid w:val="1A532F89"/>
    <w:rsid w:val="1AF6583C"/>
    <w:rsid w:val="1B0D58B6"/>
    <w:rsid w:val="1B1D13A2"/>
    <w:rsid w:val="1B27517D"/>
    <w:rsid w:val="1B702CEB"/>
    <w:rsid w:val="1B7B66B5"/>
    <w:rsid w:val="1BDC39D9"/>
    <w:rsid w:val="1C225F98"/>
    <w:rsid w:val="1C272EF4"/>
    <w:rsid w:val="1C4B17F6"/>
    <w:rsid w:val="1C5606E1"/>
    <w:rsid w:val="1C74135E"/>
    <w:rsid w:val="1C8F305D"/>
    <w:rsid w:val="1CAE425A"/>
    <w:rsid w:val="1CF96C89"/>
    <w:rsid w:val="1CFB5503"/>
    <w:rsid w:val="1D320A97"/>
    <w:rsid w:val="1D3541D9"/>
    <w:rsid w:val="1D3E6FE0"/>
    <w:rsid w:val="1D4F2685"/>
    <w:rsid w:val="1D6A1093"/>
    <w:rsid w:val="1D71209B"/>
    <w:rsid w:val="1DA10F7B"/>
    <w:rsid w:val="1DD71411"/>
    <w:rsid w:val="1E3E2D25"/>
    <w:rsid w:val="1E4507E4"/>
    <w:rsid w:val="1E4A2E19"/>
    <w:rsid w:val="1E6070EC"/>
    <w:rsid w:val="1E6210B8"/>
    <w:rsid w:val="1E662CD2"/>
    <w:rsid w:val="1EC014EF"/>
    <w:rsid w:val="1EC664F8"/>
    <w:rsid w:val="1EDA6951"/>
    <w:rsid w:val="1F1A7E37"/>
    <w:rsid w:val="1F8960A3"/>
    <w:rsid w:val="1FD8008E"/>
    <w:rsid w:val="1FE6001A"/>
    <w:rsid w:val="1FF91559"/>
    <w:rsid w:val="201F6A56"/>
    <w:rsid w:val="202F2315"/>
    <w:rsid w:val="20465798"/>
    <w:rsid w:val="205073F3"/>
    <w:rsid w:val="20555606"/>
    <w:rsid w:val="207F61E1"/>
    <w:rsid w:val="208A7C12"/>
    <w:rsid w:val="209973CF"/>
    <w:rsid w:val="209F4849"/>
    <w:rsid w:val="20C917B4"/>
    <w:rsid w:val="20F167E1"/>
    <w:rsid w:val="20FD33CA"/>
    <w:rsid w:val="211D24F8"/>
    <w:rsid w:val="212E224E"/>
    <w:rsid w:val="216B09F7"/>
    <w:rsid w:val="217F0C3B"/>
    <w:rsid w:val="21A078FC"/>
    <w:rsid w:val="21A3266E"/>
    <w:rsid w:val="21D71101"/>
    <w:rsid w:val="22155EFF"/>
    <w:rsid w:val="22345C7D"/>
    <w:rsid w:val="22427AC0"/>
    <w:rsid w:val="224A1B49"/>
    <w:rsid w:val="226006F6"/>
    <w:rsid w:val="226C62B8"/>
    <w:rsid w:val="228B52E3"/>
    <w:rsid w:val="22B42BC9"/>
    <w:rsid w:val="22F33FCF"/>
    <w:rsid w:val="230A1732"/>
    <w:rsid w:val="231B40DB"/>
    <w:rsid w:val="23207452"/>
    <w:rsid w:val="234B5E1C"/>
    <w:rsid w:val="234E399F"/>
    <w:rsid w:val="2364528E"/>
    <w:rsid w:val="2395665B"/>
    <w:rsid w:val="23A2667D"/>
    <w:rsid w:val="23C27B05"/>
    <w:rsid w:val="23CB68A3"/>
    <w:rsid w:val="23F56B46"/>
    <w:rsid w:val="24363828"/>
    <w:rsid w:val="24B73377"/>
    <w:rsid w:val="24EF381D"/>
    <w:rsid w:val="24F36825"/>
    <w:rsid w:val="250D7E56"/>
    <w:rsid w:val="251206CC"/>
    <w:rsid w:val="251B0AA1"/>
    <w:rsid w:val="25445D9E"/>
    <w:rsid w:val="254E0830"/>
    <w:rsid w:val="2556786A"/>
    <w:rsid w:val="25680EAF"/>
    <w:rsid w:val="25B418A5"/>
    <w:rsid w:val="26074CC6"/>
    <w:rsid w:val="260D48C0"/>
    <w:rsid w:val="26275C7A"/>
    <w:rsid w:val="263D4A6F"/>
    <w:rsid w:val="2641044F"/>
    <w:rsid w:val="26626BBA"/>
    <w:rsid w:val="266C0AFA"/>
    <w:rsid w:val="26737A8D"/>
    <w:rsid w:val="26804A23"/>
    <w:rsid w:val="269A19B7"/>
    <w:rsid w:val="26BB1747"/>
    <w:rsid w:val="26C90A2D"/>
    <w:rsid w:val="26CF57CC"/>
    <w:rsid w:val="26DE21CD"/>
    <w:rsid w:val="26DF0F0C"/>
    <w:rsid w:val="26EB12F6"/>
    <w:rsid w:val="27022042"/>
    <w:rsid w:val="2715510C"/>
    <w:rsid w:val="272849F1"/>
    <w:rsid w:val="273A77D7"/>
    <w:rsid w:val="275A73E3"/>
    <w:rsid w:val="275B2388"/>
    <w:rsid w:val="275E5DA9"/>
    <w:rsid w:val="27636F98"/>
    <w:rsid w:val="276C29FF"/>
    <w:rsid w:val="277D2A21"/>
    <w:rsid w:val="27854172"/>
    <w:rsid w:val="27B13177"/>
    <w:rsid w:val="27B764B0"/>
    <w:rsid w:val="27F30B8E"/>
    <w:rsid w:val="27FA0C6E"/>
    <w:rsid w:val="280B2AE2"/>
    <w:rsid w:val="281B6DE1"/>
    <w:rsid w:val="284956FC"/>
    <w:rsid w:val="285F6EC1"/>
    <w:rsid w:val="28801D31"/>
    <w:rsid w:val="28855A7D"/>
    <w:rsid w:val="28A47EE5"/>
    <w:rsid w:val="28AA5B55"/>
    <w:rsid w:val="28B830C8"/>
    <w:rsid w:val="293B62A8"/>
    <w:rsid w:val="293E5049"/>
    <w:rsid w:val="29411B73"/>
    <w:rsid w:val="295362DD"/>
    <w:rsid w:val="296663EF"/>
    <w:rsid w:val="29DB16DF"/>
    <w:rsid w:val="29EB624B"/>
    <w:rsid w:val="2A31569E"/>
    <w:rsid w:val="2A3E0BD6"/>
    <w:rsid w:val="2A43500D"/>
    <w:rsid w:val="2A472991"/>
    <w:rsid w:val="2A517FAE"/>
    <w:rsid w:val="2A6642B5"/>
    <w:rsid w:val="2A67206C"/>
    <w:rsid w:val="2A7F6BCF"/>
    <w:rsid w:val="2A8A01D6"/>
    <w:rsid w:val="2ABF25ED"/>
    <w:rsid w:val="2AC73417"/>
    <w:rsid w:val="2AC869C9"/>
    <w:rsid w:val="2B167DDF"/>
    <w:rsid w:val="2B22427B"/>
    <w:rsid w:val="2B2A3917"/>
    <w:rsid w:val="2B347F25"/>
    <w:rsid w:val="2B461EC1"/>
    <w:rsid w:val="2B6B79BA"/>
    <w:rsid w:val="2B7330C5"/>
    <w:rsid w:val="2B9E1E90"/>
    <w:rsid w:val="2BDF1B42"/>
    <w:rsid w:val="2BE95450"/>
    <w:rsid w:val="2C0440A1"/>
    <w:rsid w:val="2C2548D0"/>
    <w:rsid w:val="2C2643AF"/>
    <w:rsid w:val="2C273BFF"/>
    <w:rsid w:val="2C48758C"/>
    <w:rsid w:val="2C4C599A"/>
    <w:rsid w:val="2C4E1464"/>
    <w:rsid w:val="2C5A5369"/>
    <w:rsid w:val="2C791ACF"/>
    <w:rsid w:val="2C837261"/>
    <w:rsid w:val="2CB019CA"/>
    <w:rsid w:val="2CC76232"/>
    <w:rsid w:val="2CF271A5"/>
    <w:rsid w:val="2D0844A8"/>
    <w:rsid w:val="2D254E30"/>
    <w:rsid w:val="2D395076"/>
    <w:rsid w:val="2D426A09"/>
    <w:rsid w:val="2D69305E"/>
    <w:rsid w:val="2D8400D7"/>
    <w:rsid w:val="2D851D9A"/>
    <w:rsid w:val="2D8719B5"/>
    <w:rsid w:val="2D8D35D0"/>
    <w:rsid w:val="2D995BC6"/>
    <w:rsid w:val="2DFD330E"/>
    <w:rsid w:val="2E321F13"/>
    <w:rsid w:val="2E5F6B11"/>
    <w:rsid w:val="2E6518E6"/>
    <w:rsid w:val="2E7F5737"/>
    <w:rsid w:val="2E8B35DE"/>
    <w:rsid w:val="2EA324E5"/>
    <w:rsid w:val="2EA35766"/>
    <w:rsid w:val="2EDE0726"/>
    <w:rsid w:val="2EF7146D"/>
    <w:rsid w:val="2F254788"/>
    <w:rsid w:val="2F6373B5"/>
    <w:rsid w:val="2F7B10A8"/>
    <w:rsid w:val="2FA80522"/>
    <w:rsid w:val="2FBA7536"/>
    <w:rsid w:val="2FE7396B"/>
    <w:rsid w:val="300A1BE5"/>
    <w:rsid w:val="300D7D4A"/>
    <w:rsid w:val="30836B34"/>
    <w:rsid w:val="30A947A7"/>
    <w:rsid w:val="30C24CD7"/>
    <w:rsid w:val="30FA3F52"/>
    <w:rsid w:val="310476A5"/>
    <w:rsid w:val="31151DF1"/>
    <w:rsid w:val="31187BC4"/>
    <w:rsid w:val="315138CA"/>
    <w:rsid w:val="315D3A23"/>
    <w:rsid w:val="315E491C"/>
    <w:rsid w:val="31757F09"/>
    <w:rsid w:val="317B24D7"/>
    <w:rsid w:val="31B4721D"/>
    <w:rsid w:val="31FE7C49"/>
    <w:rsid w:val="320A7FA2"/>
    <w:rsid w:val="323A3658"/>
    <w:rsid w:val="324463DD"/>
    <w:rsid w:val="32D25E7D"/>
    <w:rsid w:val="32D67EFD"/>
    <w:rsid w:val="32E77D8A"/>
    <w:rsid w:val="33380434"/>
    <w:rsid w:val="33D321C5"/>
    <w:rsid w:val="344F4A69"/>
    <w:rsid w:val="345638EB"/>
    <w:rsid w:val="346644D8"/>
    <w:rsid w:val="346C5D96"/>
    <w:rsid w:val="34782B79"/>
    <w:rsid w:val="34815D00"/>
    <w:rsid w:val="34906EBC"/>
    <w:rsid w:val="34AF1410"/>
    <w:rsid w:val="34BE5ABB"/>
    <w:rsid w:val="34C658FC"/>
    <w:rsid w:val="34C6696F"/>
    <w:rsid w:val="34C81410"/>
    <w:rsid w:val="34D84DA0"/>
    <w:rsid w:val="34E843A6"/>
    <w:rsid w:val="34EC12FA"/>
    <w:rsid w:val="34ED3B35"/>
    <w:rsid w:val="34ED3C88"/>
    <w:rsid w:val="34FC6942"/>
    <w:rsid w:val="34FE1204"/>
    <w:rsid w:val="35335E17"/>
    <w:rsid w:val="356976B5"/>
    <w:rsid w:val="358E55C9"/>
    <w:rsid w:val="35B6520A"/>
    <w:rsid w:val="35DF78D2"/>
    <w:rsid w:val="360607D9"/>
    <w:rsid w:val="36190C5C"/>
    <w:rsid w:val="361A5E43"/>
    <w:rsid w:val="363D616D"/>
    <w:rsid w:val="367458FF"/>
    <w:rsid w:val="3680580C"/>
    <w:rsid w:val="36C43AD6"/>
    <w:rsid w:val="36C47EB2"/>
    <w:rsid w:val="36C774C5"/>
    <w:rsid w:val="36D40252"/>
    <w:rsid w:val="36F5556E"/>
    <w:rsid w:val="37407194"/>
    <w:rsid w:val="374E2D59"/>
    <w:rsid w:val="374E40B8"/>
    <w:rsid w:val="37720110"/>
    <w:rsid w:val="378749F5"/>
    <w:rsid w:val="379873CA"/>
    <w:rsid w:val="37A159D8"/>
    <w:rsid w:val="37C736C3"/>
    <w:rsid w:val="37D1067D"/>
    <w:rsid w:val="37E352AA"/>
    <w:rsid w:val="37EA422D"/>
    <w:rsid w:val="385054B4"/>
    <w:rsid w:val="38544F26"/>
    <w:rsid w:val="385A07E5"/>
    <w:rsid w:val="386A4F97"/>
    <w:rsid w:val="387F4B36"/>
    <w:rsid w:val="38974E77"/>
    <w:rsid w:val="389D198B"/>
    <w:rsid w:val="389E008F"/>
    <w:rsid w:val="38A94C99"/>
    <w:rsid w:val="38D6246F"/>
    <w:rsid w:val="38D7365B"/>
    <w:rsid w:val="38F00189"/>
    <w:rsid w:val="38F5276B"/>
    <w:rsid w:val="391131FE"/>
    <w:rsid w:val="39190452"/>
    <w:rsid w:val="391B35CB"/>
    <w:rsid w:val="39290FEC"/>
    <w:rsid w:val="393F3129"/>
    <w:rsid w:val="39635ADA"/>
    <w:rsid w:val="39657494"/>
    <w:rsid w:val="39D30D2A"/>
    <w:rsid w:val="39E20CFF"/>
    <w:rsid w:val="3A264483"/>
    <w:rsid w:val="3A3C70DA"/>
    <w:rsid w:val="3A77322B"/>
    <w:rsid w:val="3A8E5D10"/>
    <w:rsid w:val="3A9A2363"/>
    <w:rsid w:val="3AE11A4E"/>
    <w:rsid w:val="3B0819B6"/>
    <w:rsid w:val="3B10495E"/>
    <w:rsid w:val="3B2A4FB6"/>
    <w:rsid w:val="3B55695D"/>
    <w:rsid w:val="3B932D9C"/>
    <w:rsid w:val="3BBD6D16"/>
    <w:rsid w:val="3BD26834"/>
    <w:rsid w:val="3C030AB7"/>
    <w:rsid w:val="3C19288C"/>
    <w:rsid w:val="3C452D6E"/>
    <w:rsid w:val="3C5830E2"/>
    <w:rsid w:val="3C5C670A"/>
    <w:rsid w:val="3C7660DA"/>
    <w:rsid w:val="3C8F1376"/>
    <w:rsid w:val="3CAA2E00"/>
    <w:rsid w:val="3CBA43FC"/>
    <w:rsid w:val="3CCE5FE8"/>
    <w:rsid w:val="3CF3040E"/>
    <w:rsid w:val="3D42493C"/>
    <w:rsid w:val="3D573AAE"/>
    <w:rsid w:val="3D96052C"/>
    <w:rsid w:val="3DC9207F"/>
    <w:rsid w:val="3DCF3F1B"/>
    <w:rsid w:val="3DDC6AF7"/>
    <w:rsid w:val="3E065ABD"/>
    <w:rsid w:val="3E257932"/>
    <w:rsid w:val="3E5F1E94"/>
    <w:rsid w:val="3E6709FD"/>
    <w:rsid w:val="3E677DEB"/>
    <w:rsid w:val="3E7C4BCD"/>
    <w:rsid w:val="3E9928EB"/>
    <w:rsid w:val="3EF70B3D"/>
    <w:rsid w:val="3EF9248F"/>
    <w:rsid w:val="3EFE0737"/>
    <w:rsid w:val="3F022944"/>
    <w:rsid w:val="3F125943"/>
    <w:rsid w:val="3F1B2335"/>
    <w:rsid w:val="3F1E56A2"/>
    <w:rsid w:val="3F4C6319"/>
    <w:rsid w:val="3F732FFB"/>
    <w:rsid w:val="3F763756"/>
    <w:rsid w:val="3F781FB5"/>
    <w:rsid w:val="3F817D6A"/>
    <w:rsid w:val="3FAF4912"/>
    <w:rsid w:val="3FBC2A73"/>
    <w:rsid w:val="3FBE0741"/>
    <w:rsid w:val="3FC15626"/>
    <w:rsid w:val="40426DB9"/>
    <w:rsid w:val="40611F9D"/>
    <w:rsid w:val="406A72FF"/>
    <w:rsid w:val="408E4E41"/>
    <w:rsid w:val="40BC6B1F"/>
    <w:rsid w:val="40CB1477"/>
    <w:rsid w:val="40CD787E"/>
    <w:rsid w:val="40D66DCB"/>
    <w:rsid w:val="41015C0E"/>
    <w:rsid w:val="41633AEB"/>
    <w:rsid w:val="4173422C"/>
    <w:rsid w:val="41A34C97"/>
    <w:rsid w:val="41DE62BE"/>
    <w:rsid w:val="42033B56"/>
    <w:rsid w:val="421B7832"/>
    <w:rsid w:val="421E0D71"/>
    <w:rsid w:val="42254A34"/>
    <w:rsid w:val="426727E5"/>
    <w:rsid w:val="429462ED"/>
    <w:rsid w:val="429B755D"/>
    <w:rsid w:val="42BC7DDF"/>
    <w:rsid w:val="42CB6E04"/>
    <w:rsid w:val="4303280C"/>
    <w:rsid w:val="43076C51"/>
    <w:rsid w:val="43365940"/>
    <w:rsid w:val="4353208A"/>
    <w:rsid w:val="437E2698"/>
    <w:rsid w:val="43930EDD"/>
    <w:rsid w:val="43AD43B9"/>
    <w:rsid w:val="43E45E4E"/>
    <w:rsid w:val="43E50BF3"/>
    <w:rsid w:val="44140268"/>
    <w:rsid w:val="44201AAB"/>
    <w:rsid w:val="44345DAC"/>
    <w:rsid w:val="443B3AD6"/>
    <w:rsid w:val="443B46C4"/>
    <w:rsid w:val="446E1B58"/>
    <w:rsid w:val="447008D6"/>
    <w:rsid w:val="448A72D9"/>
    <w:rsid w:val="44916FE6"/>
    <w:rsid w:val="44A66B56"/>
    <w:rsid w:val="44BB2959"/>
    <w:rsid w:val="44E501E1"/>
    <w:rsid w:val="44EB6276"/>
    <w:rsid w:val="44EF1B82"/>
    <w:rsid w:val="4506059B"/>
    <w:rsid w:val="4514163A"/>
    <w:rsid w:val="45617A2D"/>
    <w:rsid w:val="45797C51"/>
    <w:rsid w:val="45841395"/>
    <w:rsid w:val="45A168B6"/>
    <w:rsid w:val="45AB5674"/>
    <w:rsid w:val="45BA0292"/>
    <w:rsid w:val="45C4405C"/>
    <w:rsid w:val="45E23D3B"/>
    <w:rsid w:val="45EE4E64"/>
    <w:rsid w:val="461B2714"/>
    <w:rsid w:val="461B535F"/>
    <w:rsid w:val="46242B43"/>
    <w:rsid w:val="4630503A"/>
    <w:rsid w:val="463B01D3"/>
    <w:rsid w:val="4641069E"/>
    <w:rsid w:val="465C0A70"/>
    <w:rsid w:val="46A75F6F"/>
    <w:rsid w:val="46AB5C21"/>
    <w:rsid w:val="46D078B4"/>
    <w:rsid w:val="46DF1563"/>
    <w:rsid w:val="46F41301"/>
    <w:rsid w:val="46FC6C97"/>
    <w:rsid w:val="471D27C3"/>
    <w:rsid w:val="471F1BDF"/>
    <w:rsid w:val="473B1E18"/>
    <w:rsid w:val="473D2DF8"/>
    <w:rsid w:val="474353F0"/>
    <w:rsid w:val="474A6941"/>
    <w:rsid w:val="47551D86"/>
    <w:rsid w:val="478C4B70"/>
    <w:rsid w:val="47A32B59"/>
    <w:rsid w:val="47BB0A1B"/>
    <w:rsid w:val="47E36126"/>
    <w:rsid w:val="47E94783"/>
    <w:rsid w:val="47F66832"/>
    <w:rsid w:val="48027FD5"/>
    <w:rsid w:val="4812105C"/>
    <w:rsid w:val="48161DCD"/>
    <w:rsid w:val="481B6936"/>
    <w:rsid w:val="4841419B"/>
    <w:rsid w:val="48C41A98"/>
    <w:rsid w:val="49294530"/>
    <w:rsid w:val="494A2A5D"/>
    <w:rsid w:val="495C066F"/>
    <w:rsid w:val="496953B8"/>
    <w:rsid w:val="49852D39"/>
    <w:rsid w:val="499C6261"/>
    <w:rsid w:val="499D4260"/>
    <w:rsid w:val="49B451D1"/>
    <w:rsid w:val="49BE1D11"/>
    <w:rsid w:val="49C64EE4"/>
    <w:rsid w:val="49DE6C06"/>
    <w:rsid w:val="4A904C50"/>
    <w:rsid w:val="4ADC712C"/>
    <w:rsid w:val="4AE92BB7"/>
    <w:rsid w:val="4B150642"/>
    <w:rsid w:val="4B4115F6"/>
    <w:rsid w:val="4B807D59"/>
    <w:rsid w:val="4BA56968"/>
    <w:rsid w:val="4BA72EF2"/>
    <w:rsid w:val="4BBB4121"/>
    <w:rsid w:val="4BC3002E"/>
    <w:rsid w:val="4BC930A1"/>
    <w:rsid w:val="4BDB06E3"/>
    <w:rsid w:val="4C1120BF"/>
    <w:rsid w:val="4C1A5A61"/>
    <w:rsid w:val="4C1C2AE1"/>
    <w:rsid w:val="4C2C143E"/>
    <w:rsid w:val="4C3E203F"/>
    <w:rsid w:val="4C4623ED"/>
    <w:rsid w:val="4C4A2448"/>
    <w:rsid w:val="4C607A12"/>
    <w:rsid w:val="4C9A7A0B"/>
    <w:rsid w:val="4CBE6A7F"/>
    <w:rsid w:val="4CF6285E"/>
    <w:rsid w:val="4D2B7746"/>
    <w:rsid w:val="4D68697E"/>
    <w:rsid w:val="4D7918C2"/>
    <w:rsid w:val="4DA13CAC"/>
    <w:rsid w:val="4DB11D90"/>
    <w:rsid w:val="4DED52D5"/>
    <w:rsid w:val="4DFF60CF"/>
    <w:rsid w:val="4E23386D"/>
    <w:rsid w:val="4E3B2540"/>
    <w:rsid w:val="4E7611CD"/>
    <w:rsid w:val="4E787FC6"/>
    <w:rsid w:val="4E941852"/>
    <w:rsid w:val="4ECF17A1"/>
    <w:rsid w:val="4F0D4D7F"/>
    <w:rsid w:val="4F5B30A4"/>
    <w:rsid w:val="4F73779A"/>
    <w:rsid w:val="4FA520C6"/>
    <w:rsid w:val="4FB97DFA"/>
    <w:rsid w:val="4FC01238"/>
    <w:rsid w:val="500B00E9"/>
    <w:rsid w:val="505C2484"/>
    <w:rsid w:val="50785974"/>
    <w:rsid w:val="50902684"/>
    <w:rsid w:val="50912456"/>
    <w:rsid w:val="509B0AEA"/>
    <w:rsid w:val="50DF56DA"/>
    <w:rsid w:val="50E410DA"/>
    <w:rsid w:val="510500B3"/>
    <w:rsid w:val="510B6A40"/>
    <w:rsid w:val="516A1F01"/>
    <w:rsid w:val="519E0C3C"/>
    <w:rsid w:val="51CA5022"/>
    <w:rsid w:val="51D47608"/>
    <w:rsid w:val="51DC7471"/>
    <w:rsid w:val="51E45838"/>
    <w:rsid w:val="51EC34F8"/>
    <w:rsid w:val="52272456"/>
    <w:rsid w:val="52432980"/>
    <w:rsid w:val="525B7138"/>
    <w:rsid w:val="52693681"/>
    <w:rsid w:val="527103FC"/>
    <w:rsid w:val="529A792F"/>
    <w:rsid w:val="52A4759B"/>
    <w:rsid w:val="52B35629"/>
    <w:rsid w:val="52D06318"/>
    <w:rsid w:val="52D32AFD"/>
    <w:rsid w:val="53096661"/>
    <w:rsid w:val="532D789E"/>
    <w:rsid w:val="53481136"/>
    <w:rsid w:val="53784748"/>
    <w:rsid w:val="537B518E"/>
    <w:rsid w:val="539F3171"/>
    <w:rsid w:val="539F60F0"/>
    <w:rsid w:val="53BB4B14"/>
    <w:rsid w:val="53FD01B2"/>
    <w:rsid w:val="5466258B"/>
    <w:rsid w:val="54685C27"/>
    <w:rsid w:val="546F5F53"/>
    <w:rsid w:val="54AB37FC"/>
    <w:rsid w:val="54B558D2"/>
    <w:rsid w:val="550B2E0C"/>
    <w:rsid w:val="552235EE"/>
    <w:rsid w:val="554C347C"/>
    <w:rsid w:val="554E1E48"/>
    <w:rsid w:val="555B5931"/>
    <w:rsid w:val="558161E2"/>
    <w:rsid w:val="55992337"/>
    <w:rsid w:val="559D14B2"/>
    <w:rsid w:val="55AD1EB5"/>
    <w:rsid w:val="55D002DE"/>
    <w:rsid w:val="56024C66"/>
    <w:rsid w:val="561F1F50"/>
    <w:rsid w:val="56262AA1"/>
    <w:rsid w:val="562E2336"/>
    <w:rsid w:val="564730C1"/>
    <w:rsid w:val="56571DD2"/>
    <w:rsid w:val="565A6C07"/>
    <w:rsid w:val="565F1615"/>
    <w:rsid w:val="56604D7E"/>
    <w:rsid w:val="567A725D"/>
    <w:rsid w:val="56871B43"/>
    <w:rsid w:val="56A8141C"/>
    <w:rsid w:val="56AC5C52"/>
    <w:rsid w:val="56B24AC3"/>
    <w:rsid w:val="572B3560"/>
    <w:rsid w:val="57363FAA"/>
    <w:rsid w:val="57472060"/>
    <w:rsid w:val="578307CD"/>
    <w:rsid w:val="578A6C00"/>
    <w:rsid w:val="57A62B27"/>
    <w:rsid w:val="57B14495"/>
    <w:rsid w:val="57E74100"/>
    <w:rsid w:val="57F67305"/>
    <w:rsid w:val="584C0BBF"/>
    <w:rsid w:val="58DF6CF4"/>
    <w:rsid w:val="58E0287B"/>
    <w:rsid w:val="58FA7278"/>
    <w:rsid w:val="58FF6D77"/>
    <w:rsid w:val="5904132B"/>
    <w:rsid w:val="59060509"/>
    <w:rsid w:val="59140D7B"/>
    <w:rsid w:val="59157827"/>
    <w:rsid w:val="594400A5"/>
    <w:rsid w:val="59460EC7"/>
    <w:rsid w:val="595F7590"/>
    <w:rsid w:val="59607984"/>
    <w:rsid w:val="596C60C2"/>
    <w:rsid w:val="598A25FA"/>
    <w:rsid w:val="59C90F05"/>
    <w:rsid w:val="59E47341"/>
    <w:rsid w:val="5A1C717C"/>
    <w:rsid w:val="5A253D84"/>
    <w:rsid w:val="5A311091"/>
    <w:rsid w:val="5A373203"/>
    <w:rsid w:val="5A383F4E"/>
    <w:rsid w:val="5A5067F1"/>
    <w:rsid w:val="5A560441"/>
    <w:rsid w:val="5A642CB5"/>
    <w:rsid w:val="5A651A98"/>
    <w:rsid w:val="5A9410D3"/>
    <w:rsid w:val="5A971D60"/>
    <w:rsid w:val="5AB23A35"/>
    <w:rsid w:val="5AB51443"/>
    <w:rsid w:val="5AB67F8E"/>
    <w:rsid w:val="5ACB0186"/>
    <w:rsid w:val="5AF413B3"/>
    <w:rsid w:val="5B0462DA"/>
    <w:rsid w:val="5B4F7AA0"/>
    <w:rsid w:val="5BFE0C9C"/>
    <w:rsid w:val="5C0A42B8"/>
    <w:rsid w:val="5C2A1A4D"/>
    <w:rsid w:val="5C3914B8"/>
    <w:rsid w:val="5C6D68F5"/>
    <w:rsid w:val="5C745D60"/>
    <w:rsid w:val="5C85755D"/>
    <w:rsid w:val="5CDF74D3"/>
    <w:rsid w:val="5D0E0ECC"/>
    <w:rsid w:val="5D7647EC"/>
    <w:rsid w:val="5D8B40D2"/>
    <w:rsid w:val="5DBA1FF8"/>
    <w:rsid w:val="5DD459F3"/>
    <w:rsid w:val="5DF82171"/>
    <w:rsid w:val="5DF86BCD"/>
    <w:rsid w:val="5E025BC2"/>
    <w:rsid w:val="5E10717F"/>
    <w:rsid w:val="5E174527"/>
    <w:rsid w:val="5E1D3725"/>
    <w:rsid w:val="5E37668B"/>
    <w:rsid w:val="5E7B1844"/>
    <w:rsid w:val="5E8A597E"/>
    <w:rsid w:val="5E934598"/>
    <w:rsid w:val="5E9C51FA"/>
    <w:rsid w:val="5EAD2CA1"/>
    <w:rsid w:val="5EB05373"/>
    <w:rsid w:val="5EC42D73"/>
    <w:rsid w:val="5ED54C52"/>
    <w:rsid w:val="5EEB67F5"/>
    <w:rsid w:val="5EF43CED"/>
    <w:rsid w:val="5F1A0E03"/>
    <w:rsid w:val="5F673996"/>
    <w:rsid w:val="5F92436A"/>
    <w:rsid w:val="5F956481"/>
    <w:rsid w:val="5FD96D6D"/>
    <w:rsid w:val="5FF04C26"/>
    <w:rsid w:val="5FF40ABD"/>
    <w:rsid w:val="604278DE"/>
    <w:rsid w:val="60584F12"/>
    <w:rsid w:val="605B7944"/>
    <w:rsid w:val="608B7F4C"/>
    <w:rsid w:val="60AA7134"/>
    <w:rsid w:val="60B53C44"/>
    <w:rsid w:val="60C346C6"/>
    <w:rsid w:val="60C73328"/>
    <w:rsid w:val="60E437FC"/>
    <w:rsid w:val="6114072B"/>
    <w:rsid w:val="61141727"/>
    <w:rsid w:val="611B34F2"/>
    <w:rsid w:val="6151266D"/>
    <w:rsid w:val="61772D97"/>
    <w:rsid w:val="61C75364"/>
    <w:rsid w:val="61CA25E5"/>
    <w:rsid w:val="61D41829"/>
    <w:rsid w:val="61DC7192"/>
    <w:rsid w:val="621252F9"/>
    <w:rsid w:val="62135B16"/>
    <w:rsid w:val="621B07EB"/>
    <w:rsid w:val="623C05D3"/>
    <w:rsid w:val="625E1FC6"/>
    <w:rsid w:val="62B033B9"/>
    <w:rsid w:val="62BF011F"/>
    <w:rsid w:val="62C5385C"/>
    <w:rsid w:val="62E321F7"/>
    <w:rsid w:val="630048F7"/>
    <w:rsid w:val="63073F31"/>
    <w:rsid w:val="63215DB8"/>
    <w:rsid w:val="632757F0"/>
    <w:rsid w:val="63336BC0"/>
    <w:rsid w:val="639B0BF9"/>
    <w:rsid w:val="63AF32C8"/>
    <w:rsid w:val="63B77B8E"/>
    <w:rsid w:val="63EA6497"/>
    <w:rsid w:val="6417790E"/>
    <w:rsid w:val="643F33B0"/>
    <w:rsid w:val="644E060D"/>
    <w:rsid w:val="645079A9"/>
    <w:rsid w:val="646B3905"/>
    <w:rsid w:val="648E77F2"/>
    <w:rsid w:val="64AC27F4"/>
    <w:rsid w:val="64BE130D"/>
    <w:rsid w:val="64D7639E"/>
    <w:rsid w:val="64F874E3"/>
    <w:rsid w:val="650A4AEB"/>
    <w:rsid w:val="655468AC"/>
    <w:rsid w:val="659064B3"/>
    <w:rsid w:val="65B253BE"/>
    <w:rsid w:val="65C25B5A"/>
    <w:rsid w:val="65C67249"/>
    <w:rsid w:val="65CA4FC0"/>
    <w:rsid w:val="6608641A"/>
    <w:rsid w:val="661E22C8"/>
    <w:rsid w:val="66337F02"/>
    <w:rsid w:val="666E595E"/>
    <w:rsid w:val="668F7750"/>
    <w:rsid w:val="669E173D"/>
    <w:rsid w:val="66EB7727"/>
    <w:rsid w:val="66F70374"/>
    <w:rsid w:val="67372FC6"/>
    <w:rsid w:val="674003AF"/>
    <w:rsid w:val="67524CAD"/>
    <w:rsid w:val="679E4E5F"/>
    <w:rsid w:val="67C96E71"/>
    <w:rsid w:val="67F259FD"/>
    <w:rsid w:val="67FA2386"/>
    <w:rsid w:val="67FE0233"/>
    <w:rsid w:val="68000823"/>
    <w:rsid w:val="682D6C2A"/>
    <w:rsid w:val="682F61EE"/>
    <w:rsid w:val="68375D1F"/>
    <w:rsid w:val="683B79AA"/>
    <w:rsid w:val="68562FF8"/>
    <w:rsid w:val="68644BCB"/>
    <w:rsid w:val="6878082B"/>
    <w:rsid w:val="687D0497"/>
    <w:rsid w:val="68846E47"/>
    <w:rsid w:val="68E66D01"/>
    <w:rsid w:val="68E77D19"/>
    <w:rsid w:val="68F101E2"/>
    <w:rsid w:val="68F10571"/>
    <w:rsid w:val="692B0CE1"/>
    <w:rsid w:val="693C1BAD"/>
    <w:rsid w:val="695B2625"/>
    <w:rsid w:val="69626790"/>
    <w:rsid w:val="6976424E"/>
    <w:rsid w:val="69817E23"/>
    <w:rsid w:val="69AE2BF1"/>
    <w:rsid w:val="69D01D88"/>
    <w:rsid w:val="69D6003B"/>
    <w:rsid w:val="69F8671F"/>
    <w:rsid w:val="6A1560B0"/>
    <w:rsid w:val="6A160FCF"/>
    <w:rsid w:val="6A296146"/>
    <w:rsid w:val="6A6B5CA5"/>
    <w:rsid w:val="6A8F72B9"/>
    <w:rsid w:val="6AAB7F50"/>
    <w:rsid w:val="6AEE7EE0"/>
    <w:rsid w:val="6AF20FCD"/>
    <w:rsid w:val="6B2B6D43"/>
    <w:rsid w:val="6B60351F"/>
    <w:rsid w:val="6B616392"/>
    <w:rsid w:val="6B777044"/>
    <w:rsid w:val="6B9A22DF"/>
    <w:rsid w:val="6BB46349"/>
    <w:rsid w:val="6BCB23F3"/>
    <w:rsid w:val="6BF147EC"/>
    <w:rsid w:val="6C1D51AB"/>
    <w:rsid w:val="6C310293"/>
    <w:rsid w:val="6C4D78EB"/>
    <w:rsid w:val="6C5D7FE5"/>
    <w:rsid w:val="6C7B4C2C"/>
    <w:rsid w:val="6CAE2671"/>
    <w:rsid w:val="6CC90D79"/>
    <w:rsid w:val="6CCD752F"/>
    <w:rsid w:val="6CFB1EF1"/>
    <w:rsid w:val="6D020114"/>
    <w:rsid w:val="6D476E8B"/>
    <w:rsid w:val="6D6C728C"/>
    <w:rsid w:val="6D713DD1"/>
    <w:rsid w:val="6D886B3D"/>
    <w:rsid w:val="6D9956BA"/>
    <w:rsid w:val="6DE822BC"/>
    <w:rsid w:val="6DFC351E"/>
    <w:rsid w:val="6E1A6F49"/>
    <w:rsid w:val="6E1C5234"/>
    <w:rsid w:val="6E625129"/>
    <w:rsid w:val="6E673517"/>
    <w:rsid w:val="6EA16987"/>
    <w:rsid w:val="6EB46F69"/>
    <w:rsid w:val="6ED20DF0"/>
    <w:rsid w:val="6ED226F2"/>
    <w:rsid w:val="6ED8510E"/>
    <w:rsid w:val="6F484143"/>
    <w:rsid w:val="6F574271"/>
    <w:rsid w:val="6F5D4785"/>
    <w:rsid w:val="6F646EB9"/>
    <w:rsid w:val="6F750F26"/>
    <w:rsid w:val="6F7B72E9"/>
    <w:rsid w:val="6F8445D4"/>
    <w:rsid w:val="6F8D5C1A"/>
    <w:rsid w:val="6F8E342E"/>
    <w:rsid w:val="6F9F7B1B"/>
    <w:rsid w:val="6FA77CDB"/>
    <w:rsid w:val="6FA8133A"/>
    <w:rsid w:val="6FAE4177"/>
    <w:rsid w:val="6FD27139"/>
    <w:rsid w:val="6FE023E8"/>
    <w:rsid w:val="70134CBF"/>
    <w:rsid w:val="70452F15"/>
    <w:rsid w:val="70476D69"/>
    <w:rsid w:val="705832C7"/>
    <w:rsid w:val="70755FD2"/>
    <w:rsid w:val="70AF6013"/>
    <w:rsid w:val="70C143B0"/>
    <w:rsid w:val="70CD2B48"/>
    <w:rsid w:val="70E90B8E"/>
    <w:rsid w:val="70F01642"/>
    <w:rsid w:val="71126EE7"/>
    <w:rsid w:val="715454EA"/>
    <w:rsid w:val="715C67EB"/>
    <w:rsid w:val="715F49B2"/>
    <w:rsid w:val="71654E27"/>
    <w:rsid w:val="716D09C4"/>
    <w:rsid w:val="71810CC4"/>
    <w:rsid w:val="71992582"/>
    <w:rsid w:val="719E73CE"/>
    <w:rsid w:val="71BB44A6"/>
    <w:rsid w:val="71F6500C"/>
    <w:rsid w:val="72470C12"/>
    <w:rsid w:val="72A2477A"/>
    <w:rsid w:val="72AB1549"/>
    <w:rsid w:val="72BB70AC"/>
    <w:rsid w:val="72C76B03"/>
    <w:rsid w:val="72D4750A"/>
    <w:rsid w:val="72DC0230"/>
    <w:rsid w:val="734642F2"/>
    <w:rsid w:val="737E24ED"/>
    <w:rsid w:val="738E0060"/>
    <w:rsid w:val="73A86E9D"/>
    <w:rsid w:val="73BC6E43"/>
    <w:rsid w:val="73F91DCB"/>
    <w:rsid w:val="740404D7"/>
    <w:rsid w:val="740C644E"/>
    <w:rsid w:val="74203020"/>
    <w:rsid w:val="743D4E1D"/>
    <w:rsid w:val="7498670A"/>
    <w:rsid w:val="74A825BE"/>
    <w:rsid w:val="74BB5AAD"/>
    <w:rsid w:val="74E22636"/>
    <w:rsid w:val="74EE3F86"/>
    <w:rsid w:val="750A19EF"/>
    <w:rsid w:val="75102D70"/>
    <w:rsid w:val="75117886"/>
    <w:rsid w:val="75323B0D"/>
    <w:rsid w:val="75327ED9"/>
    <w:rsid w:val="757C043C"/>
    <w:rsid w:val="758E41A2"/>
    <w:rsid w:val="75A546BA"/>
    <w:rsid w:val="75B3517B"/>
    <w:rsid w:val="75B72E5F"/>
    <w:rsid w:val="75BC188C"/>
    <w:rsid w:val="75D21B75"/>
    <w:rsid w:val="76134845"/>
    <w:rsid w:val="762379C3"/>
    <w:rsid w:val="76250430"/>
    <w:rsid w:val="763079A3"/>
    <w:rsid w:val="763922F4"/>
    <w:rsid w:val="765C03DD"/>
    <w:rsid w:val="76AE196E"/>
    <w:rsid w:val="76B45A88"/>
    <w:rsid w:val="76C166E3"/>
    <w:rsid w:val="76F611C4"/>
    <w:rsid w:val="76F8399D"/>
    <w:rsid w:val="77022A79"/>
    <w:rsid w:val="77456278"/>
    <w:rsid w:val="77464D68"/>
    <w:rsid w:val="774B075C"/>
    <w:rsid w:val="77896DD2"/>
    <w:rsid w:val="77BA59F8"/>
    <w:rsid w:val="77DBFCAF"/>
    <w:rsid w:val="77E258C0"/>
    <w:rsid w:val="782A7F03"/>
    <w:rsid w:val="78864E9F"/>
    <w:rsid w:val="78C8614D"/>
    <w:rsid w:val="7915488B"/>
    <w:rsid w:val="795B5726"/>
    <w:rsid w:val="795E10ED"/>
    <w:rsid w:val="79616DC4"/>
    <w:rsid w:val="799E3A92"/>
    <w:rsid w:val="79E820BE"/>
    <w:rsid w:val="79E86ADE"/>
    <w:rsid w:val="79FC7D8A"/>
    <w:rsid w:val="7A350CD5"/>
    <w:rsid w:val="7A862644"/>
    <w:rsid w:val="7AB51C44"/>
    <w:rsid w:val="7AD63356"/>
    <w:rsid w:val="7B0F7578"/>
    <w:rsid w:val="7B312E12"/>
    <w:rsid w:val="7B331A90"/>
    <w:rsid w:val="7B4128F5"/>
    <w:rsid w:val="7B465735"/>
    <w:rsid w:val="7B58415C"/>
    <w:rsid w:val="7B681A01"/>
    <w:rsid w:val="7B7065FF"/>
    <w:rsid w:val="7B86410F"/>
    <w:rsid w:val="7BAD3E71"/>
    <w:rsid w:val="7BD3539E"/>
    <w:rsid w:val="7BED32DA"/>
    <w:rsid w:val="7C05253D"/>
    <w:rsid w:val="7C47478B"/>
    <w:rsid w:val="7CAB2C74"/>
    <w:rsid w:val="7CB42860"/>
    <w:rsid w:val="7CD804CD"/>
    <w:rsid w:val="7D021F92"/>
    <w:rsid w:val="7D212F91"/>
    <w:rsid w:val="7D37215D"/>
    <w:rsid w:val="7D5C0643"/>
    <w:rsid w:val="7DB5217D"/>
    <w:rsid w:val="7DC0265E"/>
    <w:rsid w:val="7E6E2E4D"/>
    <w:rsid w:val="7E7A235B"/>
    <w:rsid w:val="7EAB03F1"/>
    <w:rsid w:val="7EBA4C74"/>
    <w:rsid w:val="7EBE6F11"/>
    <w:rsid w:val="7EC40A46"/>
    <w:rsid w:val="7EC85D6B"/>
    <w:rsid w:val="7ECB3264"/>
    <w:rsid w:val="7ED42BA3"/>
    <w:rsid w:val="7EDF4CAE"/>
    <w:rsid w:val="7EE30DF1"/>
    <w:rsid w:val="7EFB6855"/>
    <w:rsid w:val="7F0F3D01"/>
    <w:rsid w:val="7F304FB8"/>
    <w:rsid w:val="7F340A37"/>
    <w:rsid w:val="7F614BA1"/>
    <w:rsid w:val="7F833D8D"/>
    <w:rsid w:val="7F89711B"/>
    <w:rsid w:val="7FAB2D47"/>
    <w:rsid w:val="7FD05443"/>
    <w:rsid w:val="7FE02C3C"/>
    <w:rsid w:val="FEFF1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0"/>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6">
    <w:name w:val="heading 2"/>
    <w:basedOn w:val="1"/>
    <w:next w:val="3"/>
    <w:link w:val="67"/>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2">
    <w:name w:val="heading 3"/>
    <w:basedOn w:val="1"/>
    <w:next w:val="3"/>
    <w:link w:val="7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qFormat/>
    <w:uiPriority w:val="99"/>
    <w:pPr>
      <w:keepNext/>
      <w:keepLines/>
      <w:numPr>
        <w:ilvl w:val="3"/>
        <w:numId w:val="1"/>
      </w:numPr>
      <w:spacing w:before="260" w:after="260"/>
      <w:ind w:firstLine="482" w:firstLineChars="200"/>
      <w:jc w:val="left"/>
      <w:outlineLvl w:val="3"/>
    </w:pPr>
    <w:rPr>
      <w:rFonts w:ascii="Arial" w:hAnsi="Arial"/>
      <w:b/>
      <w:sz w:val="1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4"/>
    <w:qFormat/>
    <w:uiPriority w:val="0"/>
    <w:pPr>
      <w:autoSpaceDE w:val="0"/>
      <w:autoSpaceDN w:val="0"/>
      <w:adjustRightInd w:val="0"/>
      <w:ind w:firstLine="420"/>
      <w:jc w:val="left"/>
    </w:pPr>
    <w:rPr>
      <w:rFonts w:ascii="宋体"/>
      <w:kern w:val="0"/>
      <w:sz w:val="24"/>
      <w:szCs w:val="20"/>
    </w:rPr>
  </w:style>
  <w:style w:type="paragraph" w:styleId="4">
    <w:name w:val="toa heading"/>
    <w:basedOn w:val="1"/>
    <w:next w:val="1"/>
    <w:qFormat/>
    <w:uiPriority w:val="0"/>
    <w:pPr>
      <w:spacing w:before="120"/>
    </w:pPr>
    <w:rPr>
      <w:rFonts w:ascii="Cambria" w:hAnsi="Cambria"/>
      <w:sz w:val="24"/>
    </w:rPr>
  </w:style>
  <w:style w:type="paragraph" w:styleId="8">
    <w:name w:val="toc 7"/>
    <w:basedOn w:val="1"/>
    <w:next w:val="1"/>
    <w:qFormat/>
    <w:uiPriority w:val="39"/>
    <w:pPr>
      <w:ind w:left="2520" w:leftChars="1200"/>
    </w:pPr>
  </w:style>
  <w:style w:type="paragraph" w:styleId="9">
    <w:name w:val="Document Map"/>
    <w:basedOn w:val="1"/>
    <w:link w:val="71"/>
    <w:qFormat/>
    <w:uiPriority w:val="0"/>
    <w:rPr>
      <w:rFonts w:ascii="宋体"/>
      <w:sz w:val="18"/>
      <w:szCs w:val="18"/>
    </w:rPr>
  </w:style>
  <w:style w:type="paragraph" w:styleId="10">
    <w:name w:val="annotation text"/>
    <w:basedOn w:val="1"/>
    <w:link w:val="77"/>
    <w:qFormat/>
    <w:uiPriority w:val="99"/>
    <w:pPr>
      <w:jc w:val="left"/>
    </w:pPr>
  </w:style>
  <w:style w:type="paragraph" w:styleId="11">
    <w:name w:val="Body Text"/>
    <w:basedOn w:val="1"/>
    <w:next w:val="1"/>
    <w:link w:val="76"/>
    <w:qFormat/>
    <w:uiPriority w:val="0"/>
    <w:pPr>
      <w:tabs>
        <w:tab w:val="left" w:pos="567"/>
      </w:tabs>
      <w:spacing w:before="120" w:line="22" w:lineRule="atLeast"/>
    </w:pPr>
    <w:rPr>
      <w:rFonts w:ascii="宋体" w:hAnsi="宋体"/>
      <w:sz w:val="24"/>
    </w:rPr>
  </w:style>
  <w:style w:type="paragraph" w:styleId="12">
    <w:name w:val="Body Text Indent"/>
    <w:basedOn w:val="1"/>
    <w:qFormat/>
    <w:uiPriority w:val="0"/>
    <w:pPr>
      <w:spacing w:line="360" w:lineRule="auto"/>
      <w:ind w:firstLine="570"/>
    </w:pPr>
    <w:rPr>
      <w:sz w:val="24"/>
    </w:rPr>
  </w:style>
  <w:style w:type="paragraph" w:styleId="13">
    <w:name w:val="Block Text"/>
    <w:basedOn w:val="1"/>
    <w:qFormat/>
    <w:uiPriority w:val="99"/>
    <w:pPr>
      <w:spacing w:after="120"/>
      <w:ind w:left="1440" w:leftChars="700" w:right="1440" w:rightChars="700"/>
    </w:pPr>
  </w:style>
  <w:style w:type="paragraph" w:styleId="14">
    <w:name w:val="toc 5"/>
    <w:basedOn w:val="1"/>
    <w:next w:val="1"/>
    <w:qFormat/>
    <w:uiPriority w:val="39"/>
    <w:pPr>
      <w:ind w:left="1680" w:leftChars="800"/>
    </w:pPr>
  </w:style>
  <w:style w:type="paragraph" w:styleId="15">
    <w:name w:val="toc 3"/>
    <w:basedOn w:val="1"/>
    <w:next w:val="1"/>
    <w:qFormat/>
    <w:uiPriority w:val="39"/>
    <w:pPr>
      <w:tabs>
        <w:tab w:val="left" w:pos="1260"/>
        <w:tab w:val="right" w:leader="dot" w:pos="8630"/>
      </w:tabs>
      <w:ind w:left="840" w:leftChars="400"/>
    </w:pPr>
  </w:style>
  <w:style w:type="paragraph" w:styleId="16">
    <w:name w:val="Plain Text"/>
    <w:basedOn w:val="1"/>
    <w:next w:val="3"/>
    <w:link w:val="75"/>
    <w:qFormat/>
    <w:uiPriority w:val="0"/>
    <w:rPr>
      <w:rFonts w:ascii="宋体" w:hAnsi="Courier New"/>
      <w:szCs w:val="20"/>
    </w:rPr>
  </w:style>
  <w:style w:type="paragraph" w:styleId="17">
    <w:name w:val="toc 8"/>
    <w:basedOn w:val="1"/>
    <w:next w:val="1"/>
    <w:qFormat/>
    <w:uiPriority w:val="39"/>
    <w:pPr>
      <w:ind w:left="2940" w:leftChars="1400"/>
    </w:pPr>
  </w:style>
  <w:style w:type="paragraph" w:styleId="18">
    <w:name w:val="Date"/>
    <w:basedOn w:val="1"/>
    <w:next w:val="1"/>
    <w:link w:val="72"/>
    <w:qFormat/>
    <w:uiPriority w:val="0"/>
    <w:pPr>
      <w:ind w:left="100" w:leftChars="2500"/>
    </w:pPr>
    <w:rPr>
      <w:rFonts w:ascii="仿宋_GB2312" w:hAnsi="宋体" w:eastAsia="仿宋_GB2312"/>
      <w:color w:val="000000"/>
      <w:sz w:val="24"/>
    </w:rPr>
  </w:style>
  <w:style w:type="paragraph" w:styleId="19">
    <w:name w:val="Body Text Indent 2"/>
    <w:basedOn w:val="1"/>
    <w:qFormat/>
    <w:uiPriority w:val="0"/>
    <w:pPr>
      <w:ind w:firstLine="480" w:firstLineChars="200"/>
    </w:pPr>
    <w:rPr>
      <w:rFonts w:ascii="仿宋_GB2312" w:eastAsia="仿宋_GB2312"/>
      <w:sz w:val="24"/>
    </w:rPr>
  </w:style>
  <w:style w:type="paragraph" w:styleId="20">
    <w:name w:val="Balloon Text"/>
    <w:basedOn w:val="1"/>
    <w:link w:val="68"/>
    <w:qFormat/>
    <w:uiPriority w:val="0"/>
    <w:rPr>
      <w:sz w:val="18"/>
      <w:szCs w:val="18"/>
    </w:rPr>
  </w:style>
  <w:style w:type="paragraph" w:styleId="21">
    <w:name w:val="footer"/>
    <w:basedOn w:val="1"/>
    <w:link w:val="65"/>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2">
    <w:name w:val="header"/>
    <w:basedOn w:val="1"/>
    <w:link w:val="62"/>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style>
  <w:style w:type="paragraph" w:styleId="24">
    <w:name w:val="toc 4"/>
    <w:basedOn w:val="1"/>
    <w:next w:val="1"/>
    <w:qFormat/>
    <w:uiPriority w:val="39"/>
    <w:pPr>
      <w:ind w:left="1260" w:leftChars="600"/>
    </w:pPr>
  </w:style>
  <w:style w:type="paragraph" w:styleId="25">
    <w:name w:val="footnote text"/>
    <w:basedOn w:val="1"/>
    <w:qFormat/>
    <w:uiPriority w:val="0"/>
    <w:pPr>
      <w:snapToGrid w:val="0"/>
      <w:jc w:val="left"/>
    </w:pPr>
    <w:rPr>
      <w:sz w:val="18"/>
    </w:rPr>
  </w:style>
  <w:style w:type="paragraph" w:styleId="26">
    <w:name w:val="toc 6"/>
    <w:basedOn w:val="1"/>
    <w:next w:val="1"/>
    <w:qFormat/>
    <w:uiPriority w:val="39"/>
    <w:pPr>
      <w:ind w:left="2100" w:leftChars="1000"/>
    </w:pPr>
  </w:style>
  <w:style w:type="paragraph" w:styleId="27">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8">
    <w:name w:val="index 7"/>
    <w:basedOn w:val="1"/>
    <w:next w:val="1"/>
    <w:qFormat/>
    <w:uiPriority w:val="0"/>
    <w:pPr>
      <w:ind w:left="2520"/>
    </w:pPr>
  </w:style>
  <w:style w:type="paragraph" w:styleId="29">
    <w:name w:val="toc 2"/>
    <w:basedOn w:val="1"/>
    <w:next w:val="1"/>
    <w:qFormat/>
    <w:uiPriority w:val="39"/>
    <w:pPr>
      <w:ind w:left="420" w:leftChars="200"/>
    </w:pPr>
  </w:style>
  <w:style w:type="paragraph" w:styleId="30">
    <w:name w:val="toc 9"/>
    <w:basedOn w:val="1"/>
    <w:next w:val="1"/>
    <w:qFormat/>
    <w:uiPriority w:val="39"/>
    <w:pPr>
      <w:ind w:left="3360" w:leftChars="1600"/>
    </w:pPr>
  </w:style>
  <w:style w:type="paragraph" w:styleId="31">
    <w:name w:val="Normal (Web)"/>
    <w:basedOn w:val="1"/>
    <w:unhideWhenUsed/>
    <w:qFormat/>
    <w:uiPriority w:val="99"/>
    <w:rPr>
      <w:sz w:val="24"/>
    </w:rPr>
  </w:style>
  <w:style w:type="paragraph" w:styleId="32">
    <w:name w:val="index 1"/>
    <w:basedOn w:val="1"/>
    <w:next w:val="1"/>
    <w:semiHidden/>
    <w:qFormat/>
    <w:uiPriority w:val="0"/>
    <w:rPr>
      <w:szCs w:val="20"/>
    </w:rPr>
  </w:style>
  <w:style w:type="paragraph" w:styleId="33">
    <w:name w:val="annotation subject"/>
    <w:basedOn w:val="10"/>
    <w:next w:val="10"/>
    <w:link w:val="78"/>
    <w:qFormat/>
    <w:uiPriority w:val="0"/>
    <w:rPr>
      <w:b/>
      <w:bCs/>
    </w:rPr>
  </w:style>
  <w:style w:type="paragraph" w:styleId="34">
    <w:name w:val="Body Text First Indent"/>
    <w:basedOn w:val="11"/>
    <w:qFormat/>
    <w:uiPriority w:val="0"/>
    <w:pPr>
      <w:ind w:firstLine="420" w:firstLineChars="100"/>
    </w:pPr>
  </w:style>
  <w:style w:type="paragraph" w:styleId="35">
    <w:name w:val="Body Text First Indent 2"/>
    <w:basedOn w:val="12"/>
    <w:qFormat/>
    <w:uiPriority w:val="0"/>
    <w:pPr>
      <w:ind w:firstLine="420" w:firstLineChars="200"/>
    </w:p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0"/>
    <w:rPr>
      <w:b/>
      <w:bCs/>
    </w:rPr>
  </w:style>
  <w:style w:type="character" w:styleId="40">
    <w:name w:val="page number"/>
    <w:basedOn w:val="38"/>
    <w:qFormat/>
    <w:uiPriority w:val="0"/>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paragraph" w:customStyle="1" w:styleId="43">
    <w:name w:val="索引 11"/>
    <w:basedOn w:val="1"/>
    <w:next w:val="1"/>
    <w:qFormat/>
    <w:uiPriority w:val="0"/>
    <w:pPr>
      <w:spacing w:line="360" w:lineRule="auto"/>
    </w:pPr>
    <w:rPr>
      <w:rFonts w:ascii="仿宋_GB2312" w:eastAsia="仿宋_GB2312"/>
      <w:sz w:val="24"/>
      <w:szCs w:val="20"/>
    </w:rPr>
  </w:style>
  <w:style w:type="paragraph" w:customStyle="1" w:styleId="44">
    <w:name w:val="列出段落1"/>
    <w:basedOn w:val="1"/>
    <w:qFormat/>
    <w:uiPriority w:val="34"/>
    <w:pPr>
      <w:widowControl/>
      <w:ind w:firstLine="420" w:firstLineChars="200"/>
      <w:jc w:val="left"/>
    </w:pPr>
    <w:rPr>
      <w:kern w:val="0"/>
      <w:sz w:val="24"/>
    </w:rPr>
  </w:style>
  <w:style w:type="paragraph" w:customStyle="1" w:styleId="45">
    <w:name w:val="列出段落11"/>
    <w:basedOn w:val="1"/>
    <w:next w:val="44"/>
    <w:qFormat/>
    <w:uiPriority w:val="34"/>
    <w:pPr>
      <w:widowControl/>
      <w:ind w:firstLine="420" w:firstLineChars="200"/>
      <w:jc w:val="left"/>
    </w:pPr>
    <w:rPr>
      <w:rFonts w:ascii="宋体" w:hAnsi="宋体" w:cs="宋体"/>
      <w:kern w:val="0"/>
      <w:sz w:val="24"/>
    </w:rPr>
  </w:style>
  <w:style w:type="paragraph" w:customStyle="1" w:styleId="46">
    <w:name w:val="List Paragraph1"/>
    <w:basedOn w:val="1"/>
    <w:qFormat/>
    <w:uiPriority w:val="34"/>
    <w:pPr>
      <w:ind w:firstLine="420" w:firstLineChars="200"/>
    </w:pPr>
  </w:style>
  <w:style w:type="paragraph" w:customStyle="1" w:styleId="47">
    <w:name w:val="Table Paragraph"/>
    <w:basedOn w:val="1"/>
    <w:qFormat/>
    <w:uiPriority w:val="1"/>
    <w:pPr>
      <w:widowControl/>
      <w:jc w:val="left"/>
    </w:pPr>
    <w:rPr>
      <w:rFonts w:ascii="宋体" w:hAnsi="宋体" w:cs="宋体"/>
      <w:kern w:val="0"/>
      <w:szCs w:val="20"/>
      <w:lang w:val="zh-CN" w:bidi="zh-CN"/>
    </w:rPr>
  </w:style>
  <w:style w:type="paragraph" w:customStyle="1" w:styleId="48">
    <w:name w:val="p0"/>
    <w:basedOn w:val="1"/>
    <w:qFormat/>
    <w:uiPriority w:val="0"/>
    <w:pPr>
      <w:widowControl/>
    </w:pPr>
    <w:rPr>
      <w:kern w:val="0"/>
      <w:szCs w:val="21"/>
    </w:rPr>
  </w:style>
  <w:style w:type="paragraph" w:customStyle="1" w:styleId="49">
    <w:name w:val="图例"/>
    <w:basedOn w:val="1"/>
    <w:qFormat/>
    <w:uiPriority w:val="0"/>
    <w:pPr>
      <w:spacing w:before="120" w:after="120" w:line="360" w:lineRule="auto"/>
      <w:jc w:val="center"/>
    </w:pPr>
    <w:rPr>
      <w:rFonts w:eastAsia="仿宋_GB2312"/>
      <w:b/>
      <w:sz w:val="24"/>
    </w:rPr>
  </w:style>
  <w:style w:type="paragraph" w:customStyle="1" w:styleId="50">
    <w:name w:val="Default"/>
    <w:next w:val="28"/>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51">
    <w:name w:val="正文段"/>
    <w:basedOn w:val="1"/>
    <w:qFormat/>
    <w:uiPriority w:val="0"/>
    <w:pPr>
      <w:widowControl/>
      <w:snapToGrid w:val="0"/>
      <w:spacing w:afterLines="50"/>
      <w:ind w:firstLine="200" w:firstLineChars="200"/>
    </w:pPr>
    <w:rPr>
      <w:kern w:val="0"/>
      <w:sz w:val="24"/>
    </w:rPr>
  </w:style>
  <w:style w:type="paragraph" w:customStyle="1" w:styleId="52">
    <w:name w:val="首行缩进"/>
    <w:basedOn w:val="1"/>
    <w:qFormat/>
    <w:uiPriority w:val="0"/>
    <w:pPr>
      <w:ind w:firstLine="480" w:firstLineChars="200"/>
    </w:pPr>
    <w:rPr>
      <w:lang w:val="zh-CN"/>
    </w:rPr>
  </w:style>
  <w:style w:type="paragraph" w:customStyle="1" w:styleId="53">
    <w:name w:val="纯文本1"/>
    <w:basedOn w:val="1"/>
    <w:link w:val="69"/>
    <w:qFormat/>
    <w:uiPriority w:val="0"/>
    <w:rPr>
      <w:rFonts w:ascii="宋体" w:hAnsi="Courier New"/>
      <w:kern w:val="0"/>
      <w:sz w:val="20"/>
      <w:szCs w:val="20"/>
    </w:rPr>
  </w:style>
  <w:style w:type="paragraph" w:customStyle="1" w:styleId="54">
    <w:name w:val="Char"/>
    <w:basedOn w:val="1"/>
    <w:qFormat/>
    <w:uiPriority w:val="0"/>
    <w:pPr>
      <w:tabs>
        <w:tab w:val="left" w:pos="360"/>
      </w:tabs>
    </w:pPr>
    <w:rPr>
      <w:sz w:val="24"/>
    </w:rPr>
  </w:style>
  <w:style w:type="paragraph" w:customStyle="1" w:styleId="55">
    <w:name w:val="正文缩进1"/>
    <w:basedOn w:val="1"/>
    <w:link w:val="58"/>
    <w:qFormat/>
    <w:uiPriority w:val="0"/>
    <w:pPr>
      <w:autoSpaceDE w:val="0"/>
      <w:autoSpaceDN w:val="0"/>
      <w:adjustRightInd w:val="0"/>
      <w:ind w:firstLine="420"/>
      <w:jc w:val="left"/>
    </w:pPr>
    <w:rPr>
      <w:rFonts w:ascii="宋体"/>
      <w:kern w:val="0"/>
      <w:sz w:val="24"/>
      <w:szCs w:val="20"/>
    </w:rPr>
  </w:style>
  <w:style w:type="paragraph" w:customStyle="1" w:styleId="56">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szCs w:val="20"/>
    </w:rPr>
  </w:style>
  <w:style w:type="character" w:customStyle="1" w:styleId="57">
    <w:name w:val="font91"/>
    <w:basedOn w:val="38"/>
    <w:qFormat/>
    <w:uiPriority w:val="0"/>
    <w:rPr>
      <w:rFonts w:hint="eastAsia" w:ascii="宋体" w:hAnsi="宋体" w:eastAsia="宋体" w:cs="宋体"/>
      <w:color w:val="000000"/>
      <w:sz w:val="20"/>
      <w:szCs w:val="20"/>
      <w:u w:val="none"/>
      <w:vertAlign w:val="subscript"/>
    </w:rPr>
  </w:style>
  <w:style w:type="character" w:customStyle="1" w:styleId="58">
    <w:name w:val="正文缩进 Char1"/>
    <w:link w:val="55"/>
    <w:qFormat/>
    <w:uiPriority w:val="0"/>
    <w:rPr>
      <w:rFonts w:ascii="宋体"/>
      <w:sz w:val="24"/>
    </w:rPr>
  </w:style>
  <w:style w:type="character" w:customStyle="1" w:styleId="59">
    <w:name w:val="批注主题 Char1"/>
    <w:semiHidden/>
    <w:qFormat/>
    <w:uiPriority w:val="99"/>
    <w:rPr>
      <w:b/>
      <w:bCs/>
      <w:kern w:val="2"/>
      <w:sz w:val="21"/>
      <w:szCs w:val="24"/>
    </w:rPr>
  </w:style>
  <w:style w:type="character" w:customStyle="1" w:styleId="60">
    <w:name w:val="font31"/>
    <w:basedOn w:val="38"/>
    <w:qFormat/>
    <w:uiPriority w:val="0"/>
    <w:rPr>
      <w:rFonts w:hint="eastAsia" w:ascii="宋体" w:hAnsi="宋体" w:eastAsia="宋体" w:cs="宋体"/>
      <w:color w:val="404040"/>
      <w:sz w:val="20"/>
      <w:szCs w:val="20"/>
      <w:u w:val="none"/>
    </w:rPr>
  </w:style>
  <w:style w:type="character" w:customStyle="1" w:styleId="61">
    <w:name w:val="font61"/>
    <w:basedOn w:val="38"/>
    <w:qFormat/>
    <w:uiPriority w:val="0"/>
    <w:rPr>
      <w:rFonts w:hint="eastAsia" w:ascii="宋体" w:hAnsi="宋体" w:eastAsia="宋体" w:cs="宋体"/>
      <w:color w:val="333333"/>
      <w:sz w:val="20"/>
      <w:szCs w:val="20"/>
      <w:u w:val="none"/>
    </w:rPr>
  </w:style>
  <w:style w:type="character" w:customStyle="1" w:styleId="62">
    <w:name w:val="页眉 Char"/>
    <w:link w:val="22"/>
    <w:qFormat/>
    <w:uiPriority w:val="99"/>
    <w:rPr>
      <w:kern w:val="2"/>
      <w:sz w:val="18"/>
      <w:szCs w:val="18"/>
    </w:rPr>
  </w:style>
  <w:style w:type="character" w:customStyle="1" w:styleId="63">
    <w:name w:val="批注文字 Char1"/>
    <w:semiHidden/>
    <w:qFormat/>
    <w:uiPriority w:val="99"/>
    <w:rPr>
      <w:kern w:val="2"/>
      <w:sz w:val="21"/>
      <w:szCs w:val="24"/>
    </w:rPr>
  </w:style>
  <w:style w:type="character" w:customStyle="1" w:styleId="64">
    <w:name w:val="font41"/>
    <w:basedOn w:val="38"/>
    <w:qFormat/>
    <w:uiPriority w:val="0"/>
    <w:rPr>
      <w:rFonts w:hint="eastAsia" w:ascii="宋体" w:hAnsi="宋体" w:eastAsia="宋体" w:cs="宋体"/>
      <w:color w:val="000000"/>
      <w:sz w:val="20"/>
      <w:szCs w:val="20"/>
      <w:u w:val="none"/>
    </w:rPr>
  </w:style>
  <w:style w:type="character" w:customStyle="1" w:styleId="65">
    <w:name w:val="页脚 Char"/>
    <w:link w:val="21"/>
    <w:qFormat/>
    <w:uiPriority w:val="99"/>
    <w:rPr>
      <w:rFonts w:ascii="宋体"/>
      <w:sz w:val="18"/>
    </w:rPr>
  </w:style>
  <w:style w:type="character" w:customStyle="1" w:styleId="66">
    <w:name w:val="font101"/>
    <w:basedOn w:val="38"/>
    <w:qFormat/>
    <w:uiPriority w:val="0"/>
    <w:rPr>
      <w:rFonts w:hint="eastAsia" w:ascii="宋体" w:hAnsi="宋体" w:eastAsia="宋体" w:cs="宋体"/>
      <w:color w:val="000000"/>
      <w:sz w:val="20"/>
      <w:szCs w:val="20"/>
      <w:u w:val="none"/>
    </w:rPr>
  </w:style>
  <w:style w:type="character" w:customStyle="1" w:styleId="67">
    <w:name w:val="标题 2 Char"/>
    <w:link w:val="6"/>
    <w:qFormat/>
    <w:uiPriority w:val="0"/>
    <w:rPr>
      <w:rFonts w:ascii="Arial" w:hAnsi="Arial" w:eastAsia="黑体"/>
      <w:b/>
      <w:sz w:val="30"/>
    </w:rPr>
  </w:style>
  <w:style w:type="character" w:customStyle="1" w:styleId="68">
    <w:name w:val="批注框文本 Char"/>
    <w:link w:val="20"/>
    <w:qFormat/>
    <w:uiPriority w:val="0"/>
    <w:rPr>
      <w:kern w:val="2"/>
      <w:sz w:val="18"/>
      <w:szCs w:val="18"/>
    </w:rPr>
  </w:style>
  <w:style w:type="character" w:customStyle="1" w:styleId="69">
    <w:name w:val="纯文本 Char1"/>
    <w:link w:val="53"/>
    <w:qFormat/>
    <w:uiPriority w:val="0"/>
    <w:rPr>
      <w:rFonts w:ascii="宋体" w:hAnsi="Courier New"/>
    </w:rPr>
  </w:style>
  <w:style w:type="character" w:customStyle="1" w:styleId="70">
    <w:name w:val="font81"/>
    <w:basedOn w:val="38"/>
    <w:qFormat/>
    <w:uiPriority w:val="0"/>
    <w:rPr>
      <w:rFonts w:hint="eastAsia" w:ascii="宋体" w:hAnsi="宋体" w:eastAsia="宋体" w:cs="宋体"/>
      <w:color w:val="404040"/>
      <w:sz w:val="20"/>
      <w:szCs w:val="20"/>
      <w:u w:val="none"/>
    </w:rPr>
  </w:style>
  <w:style w:type="character" w:customStyle="1" w:styleId="71">
    <w:name w:val="文档结构图 Char"/>
    <w:basedOn w:val="38"/>
    <w:link w:val="9"/>
    <w:qFormat/>
    <w:uiPriority w:val="0"/>
    <w:rPr>
      <w:rFonts w:ascii="宋体"/>
      <w:kern w:val="2"/>
      <w:sz w:val="18"/>
      <w:szCs w:val="18"/>
    </w:rPr>
  </w:style>
  <w:style w:type="character" w:customStyle="1" w:styleId="72">
    <w:name w:val="日期 Char"/>
    <w:link w:val="18"/>
    <w:qFormat/>
    <w:uiPriority w:val="0"/>
    <w:rPr>
      <w:rFonts w:ascii="仿宋_GB2312" w:hAnsi="宋体" w:eastAsia="仿宋_GB2312"/>
      <w:color w:val="000000"/>
      <w:kern w:val="2"/>
      <w:sz w:val="24"/>
      <w:szCs w:val="24"/>
    </w:rPr>
  </w:style>
  <w:style w:type="character" w:customStyle="1" w:styleId="73">
    <w:name w:val="页眉 Char1"/>
    <w:semiHidden/>
    <w:qFormat/>
    <w:uiPriority w:val="99"/>
    <w:rPr>
      <w:kern w:val="2"/>
      <w:sz w:val="18"/>
      <w:szCs w:val="18"/>
    </w:rPr>
  </w:style>
  <w:style w:type="character" w:customStyle="1" w:styleId="74">
    <w:name w:val="批注框文本 Char1"/>
    <w:semiHidden/>
    <w:qFormat/>
    <w:uiPriority w:val="99"/>
    <w:rPr>
      <w:kern w:val="2"/>
      <w:sz w:val="18"/>
      <w:szCs w:val="18"/>
    </w:rPr>
  </w:style>
  <w:style w:type="character" w:customStyle="1" w:styleId="75">
    <w:name w:val="纯文本 Char"/>
    <w:link w:val="16"/>
    <w:qFormat/>
    <w:uiPriority w:val="0"/>
    <w:rPr>
      <w:rFonts w:ascii="宋体" w:hAnsi="Courier New"/>
      <w:kern w:val="2"/>
      <w:sz w:val="21"/>
    </w:rPr>
  </w:style>
  <w:style w:type="character" w:customStyle="1" w:styleId="76">
    <w:name w:val="正文文本 Char"/>
    <w:link w:val="11"/>
    <w:qFormat/>
    <w:uiPriority w:val="0"/>
    <w:rPr>
      <w:rFonts w:ascii="宋体" w:hAnsi="宋体"/>
      <w:kern w:val="2"/>
      <w:sz w:val="24"/>
      <w:szCs w:val="24"/>
    </w:rPr>
  </w:style>
  <w:style w:type="character" w:customStyle="1" w:styleId="77">
    <w:name w:val="批注文字 Char"/>
    <w:link w:val="10"/>
    <w:qFormat/>
    <w:uiPriority w:val="99"/>
    <w:rPr>
      <w:kern w:val="2"/>
      <w:sz w:val="21"/>
      <w:szCs w:val="24"/>
    </w:rPr>
  </w:style>
  <w:style w:type="character" w:customStyle="1" w:styleId="78">
    <w:name w:val="批注主题 Char"/>
    <w:link w:val="33"/>
    <w:qFormat/>
    <w:uiPriority w:val="0"/>
    <w:rPr>
      <w:b/>
      <w:bCs/>
      <w:kern w:val="2"/>
      <w:sz w:val="21"/>
      <w:szCs w:val="24"/>
    </w:rPr>
  </w:style>
  <w:style w:type="character" w:customStyle="1" w:styleId="79">
    <w:name w:val="标题 3 Char"/>
    <w:link w:val="2"/>
    <w:qFormat/>
    <w:uiPriority w:val="0"/>
    <w:rPr>
      <w:rFonts w:ascii="宋体"/>
      <w:b/>
      <w:sz w:val="24"/>
      <w:u w:val="single"/>
    </w:rPr>
  </w:style>
  <w:style w:type="character" w:customStyle="1" w:styleId="80">
    <w:name w:val="标题 1 Char"/>
    <w:link w:val="5"/>
    <w:qFormat/>
    <w:uiPriority w:val="0"/>
    <w:rPr>
      <w:rFonts w:ascii="宋体"/>
      <w:b/>
      <w:kern w:val="44"/>
      <w:sz w:val="32"/>
    </w:rPr>
  </w:style>
  <w:style w:type="paragraph" w:styleId="81">
    <w:name w:val="List Paragraph"/>
    <w:basedOn w:val="1"/>
    <w:qFormat/>
    <w:uiPriority w:val="34"/>
    <w:pPr>
      <w:ind w:firstLine="420" w:firstLineChars="200"/>
    </w:pPr>
    <w:rPr>
      <w:rFonts w:ascii="Calibri" w:hAnsi="Calibri"/>
      <w:szCs w:val="22"/>
    </w:rPr>
  </w:style>
  <w:style w:type="paragraph" w:customStyle="1" w:styleId="82">
    <w:name w:val="样式 正文（首行缩进两字） + 首行缩进:  2 字符2"/>
    <w:basedOn w:val="3"/>
    <w:qFormat/>
    <w:uiPriority w:val="0"/>
    <w:pPr>
      <w:widowControl w:val="0"/>
      <w:snapToGrid/>
      <w:spacing w:after="0" w:line="360" w:lineRule="auto"/>
      <w:ind w:firstLine="0" w:firstLineChars="0"/>
      <w:textAlignment w:val="baseline"/>
    </w:pPr>
    <w:rPr>
      <w:rFonts w:ascii="宋体" w:hAnsi="宋体" w:eastAsia="楷体_GB2312" w:cs="宋体"/>
      <w:bCs/>
      <w:kern w:val="2"/>
      <w:sz w:val="21"/>
      <w:szCs w:val="21"/>
    </w:rPr>
  </w:style>
  <w:style w:type="paragraph" w:customStyle="1" w:styleId="83">
    <w:name w:val="正文 New New New New"/>
    <w:qFormat/>
    <w:uiPriority w:val="0"/>
    <w:pPr>
      <w:widowControl w:val="0"/>
      <w:jc w:val="both"/>
    </w:pPr>
    <w:rPr>
      <w:rFonts w:ascii="Times New Roman" w:hAnsi="Times New Roman" w:eastAsia="宋体" w:cs="Times New Roman"/>
      <w:kern w:val="2"/>
      <w:sz w:val="24"/>
      <w:lang w:val="en-US" w:eastAsia="zh-CN" w:bidi="ar-SA"/>
    </w:rPr>
  </w:style>
  <w:style w:type="paragraph" w:customStyle="1" w:styleId="84">
    <w:name w:val="表格文字"/>
    <w:basedOn w:val="16"/>
    <w:next w:val="11"/>
    <w:qFormat/>
    <w:uiPriority w:val="0"/>
    <w:pPr>
      <w:spacing w:before="25" w:after="25"/>
      <w:jc w:val="left"/>
    </w:pPr>
    <w:rPr>
      <w:bCs/>
      <w:spacing w:val="10"/>
      <w:kern w:val="0"/>
      <w:szCs w:val="20"/>
    </w:rPr>
  </w:style>
  <w:style w:type="character" w:customStyle="1" w:styleId="85">
    <w:name w:val="font11"/>
    <w:basedOn w:val="38"/>
    <w:qFormat/>
    <w:uiPriority w:val="0"/>
    <w:rPr>
      <w:rFonts w:hint="default" w:ascii="微软雅黑" w:hAnsi="微软雅黑" w:eastAsia="微软雅黑" w:cs="微软雅黑"/>
      <w:color w:val="538DD5"/>
      <w:sz w:val="22"/>
      <w:szCs w:val="22"/>
      <w:u w:val="none"/>
    </w:rPr>
  </w:style>
  <w:style w:type="character" w:customStyle="1" w:styleId="86">
    <w:name w:val="NormalCharacter"/>
    <w:qFormat/>
    <w:uiPriority w:val="0"/>
  </w:style>
  <w:style w:type="paragraph" w:customStyle="1" w:styleId="87">
    <w:name w:val="Body text|1"/>
    <w:basedOn w:val="1"/>
    <w:qFormat/>
    <w:uiPriority w:val="0"/>
    <w:pPr>
      <w:widowControl w:val="0"/>
      <w:spacing w:line="394" w:lineRule="auto"/>
      <w:ind w:firstLine="400"/>
    </w:pPr>
    <w:rPr>
      <w:rFonts w:ascii="宋体" w:hAnsi="宋体"/>
      <w:sz w:val="28"/>
      <w:szCs w:val="28"/>
      <w:lang w:val="zh-TW" w:eastAsia="zh-TW" w:bidi="zh-TW"/>
    </w:rPr>
  </w:style>
  <w:style w:type="table" w:customStyle="1" w:styleId="88">
    <w:name w:val="Table Normal"/>
    <w:unhideWhenUsed/>
    <w:qFormat/>
    <w:uiPriority w:val="0"/>
    <w:tblPr>
      <w:tblCellMar>
        <w:top w:w="0" w:type="dxa"/>
        <w:left w:w="0" w:type="dxa"/>
        <w:bottom w:w="0" w:type="dxa"/>
        <w:right w:w="0" w:type="dxa"/>
      </w:tblCellMar>
    </w:tblPr>
  </w:style>
  <w:style w:type="paragraph" w:customStyle="1" w:styleId="89">
    <w:name w:val="正文1"/>
    <w:qFormat/>
    <w:uiPriority w:val="0"/>
    <w:pPr>
      <w:widowControl w:val="0"/>
      <w:suppressAutoHyphens w:val="0"/>
      <w:bidi w:val="0"/>
      <w:spacing w:line="360" w:lineRule="auto"/>
      <w:jc w:val="both"/>
    </w:pPr>
    <w:rPr>
      <w:rFonts w:ascii="Times New Roman" w:hAnsi="Times New Roman" w:eastAsia="宋体" w:cs="Times New Roman"/>
      <w:color w:val="auto"/>
      <w:kern w:val="2"/>
      <w:sz w:val="24"/>
      <w:szCs w:val="24"/>
      <w:lang w:val="en-US" w:eastAsia="zh-CN" w:bidi="ar-SA"/>
    </w:rPr>
  </w:style>
  <w:style w:type="character" w:customStyle="1" w:styleId="90">
    <w:name w:val="font01"/>
    <w:basedOn w:val="3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33526</Words>
  <Characters>36286</Characters>
  <Lines>314</Lines>
  <Paragraphs>88</Paragraphs>
  <TotalTime>0</TotalTime>
  <ScaleCrop>false</ScaleCrop>
  <LinksUpToDate>false</LinksUpToDate>
  <CharactersWithSpaces>40937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2018-11-17T02:05:00Z</dcterms:created>
  <dc:creator>USER-</dc:creator>
  <cp:lastModifiedBy>宁宁宁呀宁</cp:lastModifiedBy>
  <cp:lastPrinted>2022-05-18T05:33:00Z</cp:lastPrinted>
  <dcterms:modified xsi:type="dcterms:W3CDTF">2022-10-18T12:59:55Z</dcterms:modified>
  <dc:title>02年杜范本稿</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EF851125769D4061BD76E1FAEB93433E</vt:lpwstr>
  </property>
</Properties>
</file>