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8"/>
      </w:pPr>
    </w:p>
    <w:p>
      <w:pPr>
        <w:spacing w:line="360" w:lineRule="auto"/>
        <w:rPr>
          <w:rFonts w:ascii="宋体" w:hAnsi="宋体"/>
          <w:sz w:val="32"/>
        </w:rPr>
      </w:pPr>
    </w:p>
    <w:p>
      <w:pPr>
        <w:pStyle w:val="2"/>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2"/>
        <w:rPr>
          <w:rFonts w:ascii="黑体" w:hAnsi="宋体" w:eastAsia="黑体"/>
          <w:sz w:val="32"/>
        </w:rPr>
      </w:pPr>
    </w:p>
    <w:p>
      <w:pPr>
        <w:pStyle w:val="2"/>
        <w:rPr>
          <w:rFonts w:ascii="黑体" w:hAnsi="宋体" w:eastAsia="黑体"/>
          <w:sz w:val="32"/>
        </w:rPr>
      </w:pPr>
    </w:p>
    <w:p>
      <w:pPr>
        <w:pStyle w:val="114"/>
        <w:ind w:firstLine="560"/>
      </w:pPr>
    </w:p>
    <w:p>
      <w:pPr>
        <w:pStyle w:val="18"/>
      </w:pPr>
    </w:p>
    <w:p>
      <w:pPr>
        <w:spacing w:line="360" w:lineRule="auto"/>
        <w:rPr>
          <w:rFonts w:ascii="黑体" w:hAnsi="宋体" w:eastAsia="黑体"/>
          <w:sz w:val="32"/>
        </w:rPr>
      </w:pPr>
    </w:p>
    <w:p>
      <w:pPr>
        <w:pStyle w:val="14"/>
        <w:rPr>
          <w:rFonts w:hint="eastAsia" w:ascii="宋体" w:hAnsi="宋体" w:cs="宋体"/>
          <w:b/>
          <w:sz w:val="32"/>
          <w:szCs w:val="31"/>
        </w:rPr>
      </w:pPr>
      <w:r>
        <w:rPr>
          <w:rFonts w:hint="eastAsia" w:ascii="宋体" w:hAnsi="宋体" w:cs="宋体"/>
          <w:b/>
          <w:sz w:val="32"/>
          <w:szCs w:val="31"/>
        </w:rPr>
        <w:t>招标项目名称：新疆若羌县地质灾害风险调查评价</w:t>
      </w:r>
    </w:p>
    <w:p/>
    <w:p>
      <w:pPr>
        <w:ind w:firstLine="643" w:firstLineChars="200"/>
        <w:rPr>
          <w:rFonts w:hint="eastAsia" w:ascii="宋体" w:hAnsi="宋体" w:cs="宋体"/>
          <w:b/>
          <w:sz w:val="32"/>
          <w:szCs w:val="31"/>
        </w:rPr>
      </w:pPr>
      <w:r>
        <w:rPr>
          <w:rFonts w:hint="eastAsia" w:ascii="宋体" w:hAnsi="宋体" w:cs="宋体"/>
          <w:b/>
          <w:sz w:val="32"/>
          <w:szCs w:val="31"/>
          <w:lang w:val="en-US" w:eastAsia="zh-CN"/>
        </w:rPr>
        <w:t>招 标 单 位：若羌县自然资源局（林业和草原局）</w:t>
      </w:r>
    </w:p>
    <w:p>
      <w:pPr>
        <w:pStyle w:val="18"/>
      </w:pPr>
    </w:p>
    <w:p/>
    <w:p>
      <w:pPr>
        <w:pStyle w:val="114"/>
        <w:ind w:firstLine="560"/>
      </w:pPr>
    </w:p>
    <w:p>
      <w:pPr>
        <w:pStyle w:val="114"/>
        <w:ind w:firstLine="560"/>
      </w:pPr>
    </w:p>
    <w:p>
      <w:pPr>
        <w:pStyle w:val="114"/>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7"/>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4"/>
              <w:keepNext w:val="0"/>
              <w:keepLines w:val="0"/>
              <w:widowControl/>
              <w:spacing w:line="240" w:lineRule="auto"/>
              <w:jc w:val="both"/>
              <w:rPr>
                <w:rFonts w:ascii="宋体" w:hAnsi="宋体" w:cs="宋体"/>
                <w:b w:val="0"/>
                <w:bCs w:val="0"/>
                <w:color w:val="000000"/>
                <w:kern w:val="2"/>
                <w:sz w:val="28"/>
                <w:szCs w:val="28"/>
              </w:rPr>
            </w:pPr>
            <w:bookmarkStart w:id="1" w:name="_Toc30456"/>
            <w:bookmarkStart w:id="2" w:name="_Toc16152"/>
            <w:bookmarkStart w:id="3" w:name="_Toc30975"/>
            <w:bookmarkStart w:id="4" w:name="_Toc9512"/>
            <w:bookmarkStart w:id="5" w:name="_Toc11510"/>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4"/>
              <w:keepNext w:val="0"/>
              <w:keepLines w:val="0"/>
              <w:widowControl/>
              <w:spacing w:line="240" w:lineRule="auto"/>
              <w:jc w:val="both"/>
              <w:rPr>
                <w:rFonts w:ascii="宋体" w:hAnsi="宋体" w:cs="宋体"/>
                <w:b w:val="0"/>
                <w:bCs w:val="0"/>
                <w:color w:val="000000"/>
                <w:kern w:val="2"/>
                <w:sz w:val="28"/>
                <w:szCs w:val="28"/>
              </w:rPr>
            </w:pPr>
            <w:r>
              <w:rPr>
                <w:rFonts w:hint="eastAsia" w:ascii="宋体" w:hAnsi="宋体" w:cs="宋体"/>
                <w:b/>
                <w:bCs/>
                <w:color w:val="000000"/>
                <w:kern w:val="2"/>
                <w:sz w:val="28"/>
                <w:szCs w:val="28"/>
              </w:rPr>
              <w:t>新疆若羌县地质灾害风险调查评价</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14"/>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14"/>
              <w:ind w:firstLine="0" w:firstLineChars="0"/>
              <w:rPr>
                <w:rFonts w:ascii="宋体" w:hAnsi="宋体" w:cs="宋体"/>
                <w:b/>
                <w:color w:val="000000"/>
                <w:sz w:val="28"/>
                <w:szCs w:val="28"/>
              </w:rPr>
            </w:pPr>
            <w:r>
              <w:rPr>
                <w:rFonts w:hint="eastAsia" w:ascii="宋体" w:hAnsi="宋体" w:cs="宋体"/>
                <w:b/>
                <w:color w:val="000000"/>
                <w:sz w:val="28"/>
                <w:szCs w:val="28"/>
              </w:rPr>
              <w:t>ZGJHZFCG2022-0</w:t>
            </w:r>
            <w:r>
              <w:rPr>
                <w:rFonts w:hint="eastAsia" w:ascii="宋体" w:hAnsi="宋体" w:cs="宋体"/>
                <w:b/>
                <w:color w:val="000000"/>
                <w:sz w:val="28"/>
                <w:szCs w:val="28"/>
                <w:lang w:val="en-US" w:eastAsia="zh-CN"/>
              </w:rPr>
              <w:t>32</w:t>
            </w:r>
            <w:r>
              <w:rPr>
                <w:rFonts w:hint="eastAsia" w:ascii="宋体" w:hAnsi="宋体" w:cs="宋体"/>
                <w:b/>
                <w:color w:val="000000"/>
                <w:sz w:val="28"/>
                <w:szCs w:val="28"/>
              </w:rPr>
              <w:t>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8"/>
            </w:pPr>
          </w:p>
          <w:p/>
          <w:p>
            <w:pPr>
              <w:pStyle w:val="18"/>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14"/>
              <w:ind w:firstLine="0" w:firstLineChars="0"/>
              <w:rPr>
                <w:rFonts w:ascii="宋体" w:hAnsi="宋体" w:cs="宋体"/>
                <w:b/>
                <w:sz w:val="28"/>
                <w:szCs w:val="28"/>
              </w:rPr>
            </w:pPr>
            <w:r>
              <w:rPr>
                <w:rFonts w:hint="eastAsia" w:ascii="宋体" w:hAnsi="宋体" w:cs="宋体"/>
                <w:b/>
                <w:sz w:val="28"/>
                <w:szCs w:val="28"/>
              </w:rPr>
              <w:t>若羌县自然资源局（林业和草原局）（盖章）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张</w:t>
            </w:r>
            <w:r>
              <w:rPr>
                <w:rFonts w:hint="eastAsia" w:ascii="宋体" w:hAnsi="宋体" w:cs="宋体"/>
                <w:b/>
                <w:sz w:val="28"/>
                <w:szCs w:val="28"/>
                <w:lang w:val="en-US" w:eastAsia="zh-CN"/>
              </w:rPr>
              <w:t xml:space="preserve">  </w:t>
            </w:r>
            <w:r>
              <w:rPr>
                <w:rFonts w:hint="default" w:ascii="宋体" w:hAnsi="宋体" w:eastAsia="宋体" w:cs="宋体"/>
                <w:b/>
                <w:sz w:val="28"/>
                <w:szCs w:val="28"/>
                <w:lang w:val="en-US" w:eastAsia="zh-CN"/>
              </w:rPr>
              <w:t>辉</w:t>
            </w: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13239963111</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8"/>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hint="eastAsia" w:ascii="宋体" w:hAnsi="宋体" w:cs="宋体"/>
                <w:b/>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eastAsia" w:ascii="宋体" w:hAnsi="宋体" w:eastAsia="宋体" w:cs="宋体"/>
                <w:b/>
                <w:sz w:val="28"/>
                <w:szCs w:val="28"/>
                <w:lang w:eastAsia="zh-CN"/>
              </w:rPr>
            </w:pPr>
            <w:r>
              <w:rPr>
                <w:rFonts w:hint="eastAsia" w:ascii="宋体" w:hAnsi="宋体" w:cs="宋体"/>
                <w:b/>
                <w:sz w:val="28"/>
                <w:szCs w:val="28"/>
                <w:lang w:val="en-US" w:eastAsia="zh-CN"/>
              </w:rPr>
              <w:t>18099592556</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19777"/>
      <w:bookmarkStart w:id="8" w:name="_Toc26427"/>
      <w:r>
        <w:t xml:space="preserve"> </w:t>
      </w:r>
    </w:p>
    <w:p>
      <w:pPr>
        <w:pStyle w:val="4"/>
        <w:adjustRightInd w:val="0"/>
        <w:snapToGrid w:val="0"/>
        <w:jc w:val="both"/>
        <w:rPr>
          <w:b w:val="0"/>
          <w:bCs w:val="0"/>
          <w:sz w:val="40"/>
          <w:szCs w:val="52"/>
        </w:rPr>
      </w:pPr>
    </w:p>
    <w:p>
      <w:pPr>
        <w:pStyle w:val="4"/>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4"/>
        <w:adjustRightInd w:val="0"/>
        <w:snapToGrid w:val="0"/>
        <w:rPr>
          <w:rFonts w:hint="eastAsia" w:ascii="宋体" w:hAnsi="宋体" w:cs="宋体"/>
          <w:bCs w:val="0"/>
          <w:kern w:val="2"/>
          <w:szCs w:val="32"/>
          <w:lang w:val="en-US" w:eastAsia="zh-CN"/>
        </w:rPr>
      </w:pPr>
      <w:bookmarkStart w:id="9" w:name="_Toc18331"/>
      <w:bookmarkStart w:id="10" w:name="_Toc9759"/>
      <w:r>
        <w:rPr>
          <w:rFonts w:hint="eastAsia" w:ascii="宋体" w:hAnsi="宋体" w:cs="宋体"/>
          <w:bCs w:val="0"/>
          <w:kern w:val="2"/>
          <w:szCs w:val="32"/>
          <w:lang w:val="en-US" w:eastAsia="zh-CN"/>
        </w:rPr>
        <w:t xml:space="preserve">  新疆若羌县地质灾害风险调查评价</w:t>
      </w:r>
    </w:p>
    <w:p>
      <w:pPr>
        <w:pStyle w:val="4"/>
        <w:adjustRightInd w:val="0"/>
        <w:snapToGrid w:val="0"/>
        <w:rPr>
          <w:rFonts w:ascii="宋体" w:hAnsi="宋体" w:cs="宋体"/>
          <w:bCs w:val="0"/>
          <w:kern w:val="2"/>
          <w:szCs w:val="32"/>
        </w:rPr>
      </w:pPr>
      <w:r>
        <w:rPr>
          <w:rFonts w:hint="eastAsia" w:ascii="宋体" w:hAnsi="宋体" w:cs="宋体"/>
          <w:bCs w:val="0"/>
          <w:kern w:val="2"/>
          <w:szCs w:val="32"/>
        </w:rPr>
        <w:t>竞争性磋商公告</w:t>
      </w:r>
    </w:p>
    <w:p>
      <w:pPr>
        <w:pStyle w:val="16"/>
        <w:numPr>
          <w:ilvl w:val="0"/>
          <w:numId w:val="0"/>
        </w:numPr>
        <w:spacing w:before="75" w:beforeAutospacing="0" w:after="75" w:afterAutospacing="0"/>
        <w:ind w:firstLine="241" w:firstLineChars="100"/>
        <w:rPr>
          <w:rFonts w:hint="eastAsia" w:cs="宋体"/>
          <w:bCs/>
          <w:kern w:val="2"/>
          <w:szCs w:val="24"/>
        </w:rPr>
      </w:pPr>
      <w:r>
        <w:rPr>
          <w:rFonts w:hint="eastAsia" w:cs="宋体"/>
          <w:b/>
          <w:kern w:val="2"/>
          <w:szCs w:val="24"/>
        </w:rPr>
        <w:t>采购项目编号：</w:t>
      </w:r>
      <w:r>
        <w:rPr>
          <w:rFonts w:hint="eastAsia" w:cs="宋体"/>
          <w:bCs/>
          <w:kern w:val="2"/>
          <w:szCs w:val="24"/>
        </w:rPr>
        <w:t>ZGJHZFCG2022-0</w:t>
      </w:r>
      <w:r>
        <w:rPr>
          <w:rFonts w:hint="eastAsia" w:cs="宋体"/>
          <w:bCs/>
          <w:kern w:val="2"/>
          <w:szCs w:val="24"/>
          <w:lang w:val="en-US" w:eastAsia="zh-CN"/>
        </w:rPr>
        <w:t>32</w:t>
      </w:r>
      <w:r>
        <w:rPr>
          <w:rFonts w:hint="eastAsia" w:cs="宋体"/>
          <w:bCs/>
          <w:kern w:val="2"/>
          <w:szCs w:val="24"/>
        </w:rPr>
        <w:t>号</w:t>
      </w:r>
    </w:p>
    <w:p>
      <w:pPr>
        <w:pStyle w:val="16"/>
        <w:numPr>
          <w:ilvl w:val="0"/>
          <w:numId w:val="0"/>
        </w:numPr>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6"/>
        <w:spacing w:before="75" w:beforeAutospacing="0" w:after="75" w:afterAutospacing="0"/>
        <w:rPr>
          <w:rFonts w:cs="宋体"/>
          <w:color w:val="000000"/>
          <w:sz w:val="21"/>
          <w:szCs w:val="21"/>
        </w:rPr>
      </w:pPr>
      <w:r>
        <w:rPr>
          <w:rFonts w:hint="eastAsia" w:cs="宋体"/>
          <w:b/>
          <w:kern w:val="2"/>
          <w:szCs w:val="24"/>
        </w:rPr>
        <w:t>三、采购项目概况：</w:t>
      </w:r>
    </w:p>
    <w:tbl>
      <w:tblPr>
        <w:tblStyle w:val="37"/>
        <w:tblW w:w="9592" w:type="dxa"/>
        <w:tblInd w:w="0" w:type="dxa"/>
        <w:tblLayout w:type="fixed"/>
        <w:tblCellMar>
          <w:top w:w="15" w:type="dxa"/>
          <w:left w:w="15" w:type="dxa"/>
          <w:bottom w:w="15" w:type="dxa"/>
          <w:right w:w="15" w:type="dxa"/>
        </w:tblCellMar>
      </w:tblPr>
      <w:tblGrid>
        <w:gridCol w:w="1250"/>
        <w:gridCol w:w="1944"/>
        <w:gridCol w:w="812"/>
        <w:gridCol w:w="1419"/>
        <w:gridCol w:w="1165"/>
        <w:gridCol w:w="3002"/>
      </w:tblGrid>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标项名称</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数量</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ind w:firstLine="240" w:firstLineChars="100"/>
              <w:rPr>
                <w:rFonts w:cs="宋体"/>
                <w:bCs/>
                <w:kern w:val="2"/>
                <w:szCs w:val="24"/>
              </w:rPr>
            </w:pPr>
            <w:r>
              <w:rPr>
                <w:rFonts w:hint="eastAsia" w:cs="宋体"/>
                <w:bCs/>
                <w:kern w:val="2"/>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单位</w:t>
            </w:r>
          </w:p>
        </w:tc>
        <w:tc>
          <w:tcPr>
            <w:tcW w:w="300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ind w:firstLine="720" w:firstLineChars="300"/>
              <w:rPr>
                <w:rFonts w:hint="eastAsia" w:eastAsia="宋体" w:cs="宋体"/>
                <w:bCs/>
                <w:kern w:val="2"/>
                <w:szCs w:val="24"/>
                <w:lang w:eastAsia="zh-CN"/>
              </w:rPr>
            </w:pPr>
            <w:r>
              <w:rPr>
                <w:rFonts w:hint="eastAsia" w:cs="宋体"/>
                <w:bCs/>
                <w:kern w:val="2"/>
                <w:szCs w:val="24"/>
                <w:lang w:val="en-US" w:eastAsia="zh-CN"/>
              </w:rPr>
              <w:t>采购内容</w:t>
            </w:r>
          </w:p>
        </w:tc>
      </w:tr>
      <w:tr>
        <w:tblPrEx>
          <w:tblCellMar>
            <w:top w:w="15" w:type="dxa"/>
            <w:left w:w="15" w:type="dxa"/>
            <w:bottom w:w="15" w:type="dxa"/>
            <w:right w:w="15" w:type="dxa"/>
          </w:tblCellMar>
        </w:tblPrEx>
        <w:trPr>
          <w:trHeight w:val="3990" w:hRule="atLeast"/>
        </w:trPr>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jc w:val="center"/>
              <w:rPr>
                <w:rFonts w:cs="宋体"/>
                <w:bCs/>
                <w:kern w:val="2"/>
                <w:szCs w:val="24"/>
              </w:rPr>
            </w:pPr>
            <w:r>
              <w:rPr>
                <w:rFonts w:hint="eastAsia" w:cs="宋体"/>
                <w:bCs/>
                <w:kern w:val="2"/>
                <w:szCs w:val="24"/>
              </w:rPr>
              <w:t>新疆若羌县地质灾害风险调查评价</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1</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lang w:val="en-US" w:eastAsia="zh-CN"/>
              </w:rPr>
              <w:t>130</w:t>
            </w:r>
            <w:r>
              <w:rPr>
                <w:rFonts w:hint="eastAsia" w:cs="宋体"/>
                <w:bCs/>
                <w:kern w:val="2"/>
                <w:szCs w:val="24"/>
              </w:rPr>
              <w:t>万元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个</w:t>
            </w:r>
          </w:p>
        </w:tc>
        <w:tc>
          <w:tcPr>
            <w:tcW w:w="300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6"/>
              <w:spacing w:before="75" w:beforeAutospacing="0" w:after="75" w:afterAutospacing="0"/>
              <w:rPr>
                <w:rFonts w:cs="宋体"/>
                <w:bCs/>
                <w:kern w:val="2"/>
                <w:szCs w:val="24"/>
              </w:rPr>
            </w:pPr>
            <w:r>
              <w:rPr>
                <w:rFonts w:hint="eastAsia" w:cs="宋体"/>
                <w:bCs/>
                <w:kern w:val="2"/>
                <w:szCs w:val="24"/>
              </w:rPr>
              <w:t>在以往工作的基础上，开展若羌县地质灾害与孕灾地质条件、承灾体调查、判别地质灾害隐患，总结调查区地质灾害发育分布规律，分析地质灾害成灾模式、开展地质灾害易发性、危险性和风险性评价，提出地质灾害风险管控对策建议，为防灾减灾管理、国土空间规划和用途管制等提供基础依据</w:t>
            </w:r>
          </w:p>
        </w:tc>
      </w:tr>
    </w:tbl>
    <w:p>
      <w:pPr>
        <w:pStyle w:val="16"/>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6"/>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6"/>
        <w:spacing w:before="75" w:beforeAutospacing="0" w:after="75" w:afterAutospacing="0"/>
        <w:rPr>
          <w:rFonts w:hint="eastAsia" w:cs="宋体"/>
          <w:bCs/>
          <w:kern w:val="2"/>
          <w:szCs w:val="24"/>
          <w:lang w:eastAsia="zh-CN"/>
        </w:rPr>
      </w:pPr>
      <w:r>
        <w:rPr>
          <w:rFonts w:hint="eastAsia" w:cs="宋体"/>
          <w:bCs/>
          <w:kern w:val="2"/>
          <w:szCs w:val="24"/>
        </w:rPr>
        <w:t>（2）</w:t>
      </w:r>
      <w:r>
        <w:rPr>
          <w:rFonts w:hint="eastAsia" w:cs="宋体"/>
          <w:bCs/>
          <w:kern w:val="2"/>
          <w:szCs w:val="24"/>
          <w:lang w:eastAsia="zh-CN"/>
        </w:rPr>
        <w:t>、</w:t>
      </w:r>
      <w:r>
        <w:rPr>
          <w:rFonts w:hint="eastAsia" w:ascii="宋体" w:hAnsi="宋体" w:eastAsia="宋体" w:cs="宋体"/>
          <w:color w:val="FF0000"/>
          <w:szCs w:val="21"/>
        </w:rPr>
        <w:t xml:space="preserve"> </w:t>
      </w:r>
      <w:r>
        <w:rPr>
          <w:rFonts w:hint="eastAsia" w:cs="宋体"/>
          <w:bCs/>
          <w:kern w:val="2"/>
          <w:szCs w:val="24"/>
        </w:rPr>
        <w:t>投标单位需提供地质灾害治理工程勘查、设计乙级（含乙级） 以上资质；</w:t>
      </w:r>
    </w:p>
    <w:p>
      <w:pPr>
        <w:pStyle w:val="16"/>
        <w:spacing w:before="75" w:beforeAutospacing="0" w:after="75" w:afterAutospacing="0"/>
        <w:rPr>
          <w:rFonts w:cs="宋体"/>
          <w:bCs/>
          <w:kern w:val="2"/>
          <w:szCs w:val="24"/>
        </w:rPr>
      </w:pPr>
      <w:r>
        <w:rPr>
          <w:rFonts w:hint="eastAsia" w:cs="宋体"/>
          <w:bCs/>
          <w:kern w:val="2"/>
          <w:szCs w:val="24"/>
          <w:lang w:eastAsia="zh-CN"/>
        </w:rPr>
        <w:t>（</w:t>
      </w:r>
      <w:r>
        <w:rPr>
          <w:rFonts w:hint="eastAsia" w:cs="宋体"/>
          <w:bCs/>
          <w:kern w:val="2"/>
          <w:szCs w:val="24"/>
          <w:lang w:val="en-US" w:eastAsia="zh-CN"/>
        </w:rPr>
        <w:t>3</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4</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5</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pStyle w:val="16"/>
        <w:spacing w:before="75" w:beforeAutospacing="0" w:after="75" w:afterAutospacing="0"/>
        <w:rPr>
          <w:rFonts w:hint="eastAsia" w:cs="宋体"/>
          <w:bCs/>
          <w:kern w:val="2"/>
          <w:szCs w:val="24"/>
          <w:lang w:val="en-US" w:eastAsia="zh-CN"/>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）、投标保证金：</w:t>
      </w:r>
      <w:r>
        <w:rPr>
          <w:rFonts w:hint="eastAsia" w:cs="宋体"/>
          <w:bCs/>
          <w:kern w:val="2"/>
          <w:szCs w:val="24"/>
          <w:lang w:val="en-US" w:eastAsia="zh-CN"/>
        </w:rPr>
        <w:t>贰万元整</w:t>
      </w:r>
    </w:p>
    <w:p>
      <w:pPr>
        <w:pStyle w:val="16"/>
        <w:spacing w:before="75" w:beforeAutospacing="0" w:after="75" w:afterAutospacing="0"/>
        <w:rPr>
          <w:rFonts w:cs="宋体"/>
          <w:bCs/>
          <w:kern w:val="2"/>
          <w:szCs w:val="24"/>
        </w:rPr>
      </w:pPr>
      <w:r>
        <w:rPr>
          <w:rFonts w:hint="eastAsia" w:cs="宋体"/>
          <w:b/>
          <w:kern w:val="2"/>
          <w:szCs w:val="24"/>
        </w:rPr>
        <w:t>五、招标文件的获取</w:t>
      </w:r>
    </w:p>
    <w:p>
      <w:pPr>
        <w:pStyle w:val="16"/>
        <w:spacing w:before="75" w:beforeAutospacing="0" w:after="75" w:afterAutospacing="0"/>
        <w:rPr>
          <w:rFonts w:hint="eastAsia" w:eastAsia="宋体" w:cs="宋体"/>
          <w:bCs/>
          <w:kern w:val="2"/>
          <w:szCs w:val="24"/>
          <w:lang w:eastAsia="zh-CN"/>
        </w:rPr>
      </w:pPr>
      <w:r>
        <w:rPr>
          <w:rFonts w:hint="eastAsia" w:cs="宋体"/>
          <w:bCs/>
          <w:kern w:val="2"/>
          <w:szCs w:val="24"/>
        </w:rPr>
        <w:t>1、取获招标文件时间：2022年</w:t>
      </w:r>
      <w:r>
        <w:rPr>
          <w:rFonts w:hint="eastAsia" w:cs="宋体"/>
          <w:bCs/>
          <w:kern w:val="2"/>
          <w:szCs w:val="24"/>
          <w:lang w:val="en-US" w:eastAsia="zh-CN"/>
        </w:rPr>
        <w:t>8</w:t>
      </w:r>
      <w:r>
        <w:rPr>
          <w:rFonts w:hint="eastAsia" w:cs="宋体"/>
          <w:bCs/>
          <w:kern w:val="2"/>
          <w:szCs w:val="24"/>
        </w:rPr>
        <w:t>月</w:t>
      </w:r>
      <w:r>
        <w:rPr>
          <w:rFonts w:hint="eastAsia" w:cs="宋体"/>
          <w:bCs/>
          <w:kern w:val="2"/>
          <w:szCs w:val="24"/>
          <w:lang w:val="en-US" w:eastAsia="zh-CN"/>
        </w:rPr>
        <w:t>30</w:t>
      </w:r>
      <w:r>
        <w:rPr>
          <w:rFonts w:hint="eastAsia" w:cs="宋体"/>
          <w:bCs/>
          <w:kern w:val="2"/>
          <w:szCs w:val="24"/>
        </w:rPr>
        <w:t>日起至2022年</w:t>
      </w:r>
      <w:r>
        <w:rPr>
          <w:rFonts w:hint="eastAsia" w:cs="宋体"/>
          <w:bCs/>
          <w:kern w:val="2"/>
          <w:szCs w:val="24"/>
          <w:lang w:val="en-US" w:eastAsia="zh-CN"/>
        </w:rPr>
        <w:t>9</w:t>
      </w:r>
      <w:r>
        <w:rPr>
          <w:rFonts w:hint="eastAsia" w:cs="宋体"/>
          <w:bCs/>
          <w:kern w:val="2"/>
          <w:szCs w:val="24"/>
        </w:rPr>
        <w:t>月</w:t>
      </w:r>
      <w:r>
        <w:rPr>
          <w:rFonts w:hint="eastAsia" w:cs="宋体"/>
          <w:bCs/>
          <w:kern w:val="2"/>
          <w:szCs w:val="24"/>
          <w:lang w:val="en-US" w:eastAsia="zh-CN"/>
        </w:rPr>
        <w:t xml:space="preserve">6 </w:t>
      </w:r>
      <w:r>
        <w:rPr>
          <w:rFonts w:hint="eastAsia" w:cs="宋体"/>
          <w:bCs/>
          <w:kern w:val="2"/>
          <w:szCs w:val="24"/>
        </w:rPr>
        <w:t>日止。（工作日10：00-13：30，16：00-19：00）</w:t>
      </w:r>
      <w:r>
        <w:rPr>
          <w:rFonts w:hint="eastAsia" w:cs="宋体"/>
          <w:bCs/>
          <w:kern w:val="2"/>
          <w:szCs w:val="24"/>
          <w:lang w:eastAsia="zh-CN"/>
        </w:rPr>
        <w:t>；</w:t>
      </w:r>
    </w:p>
    <w:p>
      <w:pPr>
        <w:pStyle w:val="16"/>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6"/>
        <w:spacing w:before="75" w:beforeAutospacing="0" w:after="75" w:afterAutospacing="0"/>
        <w:rPr>
          <w:rFonts w:cs="宋体"/>
          <w:bCs/>
          <w:kern w:val="2"/>
          <w:szCs w:val="24"/>
        </w:rPr>
      </w:pPr>
      <w:r>
        <w:rPr>
          <w:rFonts w:hint="eastAsia" w:cs="宋体"/>
          <w:bCs/>
          <w:kern w:val="2"/>
          <w:szCs w:val="24"/>
        </w:rPr>
        <w:t>3、获取招标文件应上传：</w:t>
      </w:r>
    </w:p>
    <w:p>
      <w:pPr>
        <w:pStyle w:val="16"/>
        <w:spacing w:before="75" w:beforeAutospacing="0" w:after="75" w:afterAutospacing="0"/>
        <w:rPr>
          <w:rFonts w:hint="eastAsia" w:cs="宋体"/>
          <w:bCs/>
          <w:color w:val="auto"/>
          <w:kern w:val="2"/>
          <w:szCs w:val="24"/>
        </w:rPr>
      </w:pPr>
      <w:r>
        <w:rPr>
          <w:rFonts w:hint="eastAsia" w:cs="宋体"/>
          <w:bCs/>
          <w:color w:val="auto"/>
          <w:kern w:val="2"/>
          <w:szCs w:val="24"/>
        </w:rPr>
        <w:t>营业执照副本扫描件原件</w:t>
      </w:r>
      <w:r>
        <w:rPr>
          <w:rFonts w:hint="eastAsia" w:cs="宋体"/>
          <w:bCs/>
          <w:color w:val="auto"/>
          <w:kern w:val="2"/>
          <w:szCs w:val="24"/>
          <w:lang w:val="en-US" w:eastAsia="zh-CN"/>
        </w:rPr>
        <w:t>或事业单位法人证书</w:t>
      </w:r>
      <w:r>
        <w:rPr>
          <w:rFonts w:hint="eastAsia" w:cs="宋体"/>
          <w:bCs/>
          <w:color w:val="auto"/>
          <w:kern w:val="2"/>
          <w:szCs w:val="24"/>
        </w:rPr>
        <w:t>； </w:t>
      </w:r>
    </w:p>
    <w:p>
      <w:pPr>
        <w:pStyle w:val="16"/>
        <w:spacing w:before="75" w:beforeAutospacing="0" w:after="75" w:afterAutospacing="0"/>
        <w:rPr>
          <w:rFonts w:hint="default" w:eastAsia="宋体" w:cs="宋体"/>
          <w:bCs/>
          <w:kern w:val="2"/>
          <w:szCs w:val="24"/>
          <w:lang w:val="en-US" w:eastAsia="zh-CN"/>
        </w:rPr>
      </w:pPr>
      <w:r>
        <w:rPr>
          <w:rFonts w:hint="eastAsia" w:cs="宋体"/>
          <w:bCs/>
          <w:kern w:val="2"/>
          <w:szCs w:val="24"/>
        </w:rPr>
        <w:t>地质灾害治理工程勘查、设计乙级（含乙级） 以上资质</w:t>
      </w:r>
      <w:r>
        <w:rPr>
          <w:rFonts w:hint="eastAsia" w:cs="宋体"/>
          <w:bCs/>
          <w:kern w:val="2"/>
          <w:szCs w:val="24"/>
          <w:lang w:val="en-US" w:eastAsia="zh-CN"/>
        </w:rPr>
        <w:t>原件的扫描件；</w:t>
      </w:r>
    </w:p>
    <w:p>
      <w:pPr>
        <w:pStyle w:val="16"/>
        <w:spacing w:before="75" w:beforeAutospacing="0" w:after="75" w:afterAutospacing="0"/>
        <w:rPr>
          <w:rFonts w:hint="eastAsia" w:cs="宋体"/>
          <w:bCs/>
          <w:color w:val="auto"/>
          <w:kern w:val="2"/>
          <w:szCs w:val="24"/>
        </w:rPr>
      </w:pPr>
      <w:r>
        <w:rPr>
          <w:rFonts w:hint="eastAsia" w:cs="宋体"/>
          <w:bCs/>
          <w:color w:val="auto"/>
          <w:kern w:val="2"/>
          <w:szCs w:val="24"/>
        </w:rPr>
        <w:t>法人授权委托书扫描件原件或具有同等法律效力的证明材料及被授权人《居民身份证》扫描件原件； </w:t>
      </w:r>
    </w:p>
    <w:p>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p>
    <w:p>
      <w:pPr>
        <w:pStyle w:val="16"/>
        <w:spacing w:before="75" w:beforeAutospacing="0" w:after="75" w:afterAutospacing="0"/>
        <w:rPr>
          <w:rFonts w:cs="宋体"/>
          <w:bCs/>
          <w:kern w:val="2"/>
          <w:szCs w:val="24"/>
        </w:rPr>
      </w:pPr>
      <w:r>
        <w:rPr>
          <w:rFonts w:hint="eastAsia" w:cs="宋体"/>
          <w:bCs/>
          <w:color w:val="auto"/>
          <w:kern w:val="2"/>
          <w:szCs w:val="24"/>
        </w:rPr>
        <w:t>4、投标保证金缴纳及确认时间：凡拟参加本次招标项目的供应商，必须在2022年</w:t>
      </w:r>
      <w:r>
        <w:rPr>
          <w:rFonts w:hint="eastAsia" w:cs="宋体"/>
          <w:bCs/>
          <w:color w:val="auto"/>
          <w:kern w:val="2"/>
          <w:szCs w:val="24"/>
          <w:lang w:val="en-US" w:eastAsia="zh-CN"/>
        </w:rPr>
        <w:t>9</w:t>
      </w:r>
      <w:r>
        <w:rPr>
          <w:rFonts w:hint="eastAsia" w:cs="宋体"/>
          <w:bCs/>
          <w:color w:val="auto"/>
          <w:kern w:val="2"/>
          <w:szCs w:val="24"/>
        </w:rPr>
        <w:t>月</w:t>
      </w:r>
      <w:r>
        <w:rPr>
          <w:rFonts w:hint="eastAsia" w:cs="宋体"/>
          <w:bCs/>
          <w:color w:val="auto"/>
          <w:kern w:val="2"/>
          <w:szCs w:val="24"/>
          <w:lang w:val="en-US" w:eastAsia="zh-CN"/>
        </w:rPr>
        <w:t xml:space="preserve">15 </w:t>
      </w:r>
      <w:r>
        <w:rPr>
          <w:rFonts w:hint="eastAsia" w:cs="宋体"/>
          <w:bCs/>
          <w:color w:val="auto"/>
          <w:kern w:val="2"/>
          <w:szCs w:val="24"/>
        </w:rPr>
        <w:t>日10:30时（北京时间）前将投标保证金汇入指定账户。投标保证金汇款凭证上用途栏应注明本项目招标项目名称[标准格式：（新疆若羌县地质灾害风险调查评价</w:t>
      </w:r>
      <w:r>
        <w:rPr>
          <w:rFonts w:hint="eastAsia" w:cs="宋体"/>
          <w:bCs/>
          <w:kern w:val="2"/>
          <w:szCs w:val="24"/>
        </w:rPr>
        <w:t>）否则，届时其投标将被拒绝。</w:t>
      </w:r>
    </w:p>
    <w:p>
      <w:pPr>
        <w:pStyle w:val="16"/>
        <w:spacing w:before="75" w:beforeAutospacing="0" w:after="75" w:afterAutospacing="0"/>
        <w:rPr>
          <w:rFonts w:cs="宋体"/>
          <w:bCs/>
          <w:kern w:val="2"/>
          <w:szCs w:val="24"/>
        </w:rPr>
      </w:pPr>
      <w:r>
        <w:rPr>
          <w:rFonts w:hint="eastAsia" w:cs="宋体"/>
          <w:bCs/>
          <w:kern w:val="2"/>
          <w:szCs w:val="24"/>
        </w:rPr>
        <w:t>5、开标（投标）日</w:t>
      </w:r>
      <w:r>
        <w:rPr>
          <w:rFonts w:hint="eastAsia" w:cs="宋体"/>
          <w:bCs/>
          <w:color w:val="auto"/>
          <w:kern w:val="2"/>
          <w:szCs w:val="24"/>
        </w:rPr>
        <w:t>期：2022年</w:t>
      </w:r>
      <w:r>
        <w:rPr>
          <w:rFonts w:hint="eastAsia" w:cs="宋体"/>
          <w:bCs/>
          <w:color w:val="auto"/>
          <w:kern w:val="2"/>
          <w:szCs w:val="24"/>
          <w:lang w:val="en-US" w:eastAsia="zh-CN"/>
        </w:rPr>
        <w:t>9</w:t>
      </w:r>
      <w:r>
        <w:rPr>
          <w:rFonts w:hint="eastAsia" w:cs="宋体"/>
          <w:bCs/>
          <w:color w:val="auto"/>
          <w:kern w:val="2"/>
          <w:szCs w:val="24"/>
        </w:rPr>
        <w:t>月</w:t>
      </w:r>
      <w:r>
        <w:rPr>
          <w:rFonts w:hint="eastAsia" w:cs="宋体"/>
          <w:bCs/>
          <w:color w:val="auto"/>
          <w:kern w:val="2"/>
          <w:szCs w:val="24"/>
          <w:lang w:val="en-US" w:eastAsia="zh-CN"/>
        </w:rPr>
        <w:t xml:space="preserve"> 15 </w:t>
      </w:r>
      <w:r>
        <w:rPr>
          <w:rFonts w:hint="eastAsia" w:cs="宋体"/>
          <w:bCs/>
          <w:color w:val="auto"/>
          <w:kern w:val="2"/>
          <w:szCs w:val="24"/>
        </w:rPr>
        <w:t>日</w:t>
      </w:r>
      <w:r>
        <w:rPr>
          <w:rFonts w:hint="eastAsia" w:cs="宋体"/>
          <w:bCs/>
          <w:color w:val="auto"/>
          <w:kern w:val="2"/>
          <w:szCs w:val="24"/>
          <w:lang w:val="en-US" w:eastAsia="zh-CN"/>
        </w:rPr>
        <w:t>上</w:t>
      </w:r>
      <w:r>
        <w:rPr>
          <w:rFonts w:hint="eastAsia" w:cs="宋体"/>
          <w:bCs/>
          <w:color w:val="auto"/>
          <w:kern w:val="2"/>
          <w:szCs w:val="24"/>
        </w:rPr>
        <w:t>午</w:t>
      </w:r>
      <w:r>
        <w:rPr>
          <w:rFonts w:hint="eastAsia" w:cs="宋体"/>
          <w:bCs/>
          <w:color w:val="auto"/>
          <w:kern w:val="2"/>
          <w:szCs w:val="24"/>
          <w:lang w:val="en-US" w:eastAsia="zh-CN"/>
        </w:rPr>
        <w:t>10</w:t>
      </w:r>
      <w:r>
        <w:rPr>
          <w:rFonts w:hint="eastAsia" w:cs="宋体"/>
          <w:bCs/>
          <w:kern w:val="2"/>
          <w:szCs w:val="24"/>
        </w:rPr>
        <w:t>：30时（北京时间）。若逾时，届时其投标将被拒绝。</w:t>
      </w:r>
    </w:p>
    <w:p>
      <w:pPr>
        <w:pStyle w:val="16"/>
        <w:spacing w:before="75" w:beforeAutospacing="0" w:after="75" w:afterAutospacing="0"/>
        <w:rPr>
          <w:rFonts w:cs="宋体"/>
          <w:bCs/>
          <w:kern w:val="2"/>
          <w:szCs w:val="24"/>
        </w:rPr>
      </w:pPr>
      <w:r>
        <w:rPr>
          <w:rFonts w:hint="eastAsia" w:cs="宋体"/>
          <w:bCs/>
          <w:kern w:val="2"/>
          <w:szCs w:val="24"/>
        </w:rPr>
        <w:t>6、开标地点：新疆中工建辉工程咨询有限公司开标厅（库尔勒市欢乐海岸3号楼16层）</w:t>
      </w:r>
    </w:p>
    <w:p>
      <w:pPr>
        <w:pStyle w:val="16"/>
        <w:spacing w:before="75" w:beforeAutospacing="0" w:after="75" w:afterAutospacing="0"/>
        <w:rPr>
          <w:rFonts w:hint="eastAsia" w:eastAsia="宋体" w:cs="宋体"/>
          <w:bCs/>
          <w:kern w:val="2"/>
          <w:szCs w:val="24"/>
          <w:lang w:eastAsia="zh-CN"/>
        </w:rPr>
      </w:pPr>
      <w:r>
        <w:rPr>
          <w:rFonts w:hint="eastAsia" w:cs="宋体"/>
          <w:bCs/>
          <w:kern w:val="2"/>
          <w:szCs w:val="24"/>
        </w:rPr>
        <w:t>六、联系方式</w:t>
      </w:r>
    </w:p>
    <w:p>
      <w:pPr>
        <w:pStyle w:val="16"/>
        <w:spacing w:before="75" w:beforeAutospacing="0" w:after="75" w:afterAutospacing="0"/>
        <w:rPr>
          <w:rFonts w:hint="eastAsia" w:eastAsia="宋体" w:cs="宋体"/>
          <w:bCs/>
          <w:kern w:val="2"/>
          <w:szCs w:val="24"/>
          <w:lang w:eastAsia="zh-CN"/>
        </w:rPr>
      </w:pPr>
      <w:r>
        <w:rPr>
          <w:rFonts w:hint="eastAsia" w:cs="宋体"/>
          <w:bCs/>
          <w:kern w:val="2"/>
          <w:szCs w:val="24"/>
        </w:rPr>
        <w:t>代理公司名称：新疆中工建辉工程咨询有限公司</w:t>
      </w:r>
    </w:p>
    <w:p>
      <w:pPr>
        <w:pStyle w:val="16"/>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r>
        <w:rPr>
          <w:rFonts w:hint="eastAsia" w:cs="宋体"/>
          <w:bCs/>
          <w:kern w:val="2"/>
          <w:szCs w:val="24"/>
        </w:rPr>
        <w:t>　</w:t>
      </w:r>
    </w:p>
    <w:p>
      <w:pPr>
        <w:pStyle w:val="16"/>
        <w:spacing w:before="75" w:beforeAutospacing="0" w:after="75" w:afterAutospacing="0"/>
        <w:rPr>
          <w:rFonts w:hint="eastAsia" w:cs="宋体"/>
          <w:bCs/>
          <w:kern w:val="2"/>
          <w:szCs w:val="24"/>
          <w:lang w:val="en-US" w:eastAsia="zh-CN"/>
        </w:rPr>
      </w:pPr>
      <w:r>
        <w:rPr>
          <w:rFonts w:hint="eastAsia" w:cs="宋体"/>
          <w:bCs/>
          <w:kern w:val="2"/>
          <w:szCs w:val="24"/>
        </w:rPr>
        <w:t>联系电话：</w:t>
      </w:r>
      <w:r>
        <w:rPr>
          <w:rFonts w:hint="eastAsia" w:cs="宋体"/>
          <w:bCs/>
          <w:kern w:val="2"/>
          <w:szCs w:val="24"/>
          <w:lang w:val="en-US" w:eastAsia="zh-CN"/>
        </w:rPr>
        <w:t>18099592556</w:t>
      </w:r>
    </w:p>
    <w:p>
      <w:pPr>
        <w:pStyle w:val="16"/>
        <w:spacing w:before="75" w:beforeAutospacing="0" w:after="75" w:afterAutospacing="0"/>
        <w:rPr>
          <w:rFonts w:hint="eastAsia" w:cs="宋体"/>
          <w:bCs/>
          <w:color w:val="auto"/>
          <w:kern w:val="2"/>
          <w:szCs w:val="24"/>
        </w:rPr>
      </w:pPr>
      <w:r>
        <w:rPr>
          <w:rFonts w:hint="eastAsia" w:cs="宋体"/>
          <w:bCs/>
          <w:color w:val="auto"/>
          <w:kern w:val="2"/>
          <w:szCs w:val="24"/>
        </w:rPr>
        <w:t>采购单位：若羌县自然资源局（林业和草原局）</w:t>
      </w:r>
    </w:p>
    <w:p>
      <w:pPr>
        <w:pStyle w:val="16"/>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采购人：张  辉</w:t>
      </w:r>
    </w:p>
    <w:p>
      <w:pPr>
        <w:pStyle w:val="16"/>
        <w:spacing w:before="75" w:beforeAutospacing="0" w:after="75" w:afterAutospacing="0"/>
        <w:rPr>
          <w:rFonts w:hint="default" w:cs="宋体"/>
          <w:bCs/>
          <w:kern w:val="2"/>
          <w:szCs w:val="24"/>
          <w:lang w:val="en-US" w:eastAsia="zh-CN"/>
        </w:rPr>
      </w:pPr>
      <w:r>
        <w:rPr>
          <w:rFonts w:hint="eastAsia" w:cs="宋体"/>
          <w:bCs/>
          <w:kern w:val="2"/>
          <w:szCs w:val="24"/>
          <w:lang w:val="en-US" w:eastAsia="zh-CN"/>
        </w:rPr>
        <w:t>电  话：13239963111</w:t>
      </w:r>
    </w:p>
    <w:p/>
    <w:p>
      <w:pPr>
        <w:pStyle w:val="16"/>
        <w:spacing w:before="75" w:beforeAutospacing="0" w:after="75" w:afterAutospacing="0"/>
        <w:rPr>
          <w:rFonts w:cs="宋体"/>
          <w:bCs/>
          <w:kern w:val="2"/>
          <w:szCs w:val="24"/>
        </w:rPr>
      </w:pPr>
    </w:p>
    <w:p>
      <w:pPr>
        <w:pStyle w:val="16"/>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6"/>
        <w:spacing w:before="75" w:beforeAutospacing="0" w:after="75" w:afterAutospacing="0"/>
        <w:ind w:firstLine="5760" w:firstLineChars="2400"/>
        <w:rPr>
          <w:rFonts w:cs="宋体"/>
          <w:bCs/>
          <w:kern w:val="2"/>
          <w:szCs w:val="24"/>
        </w:rPr>
      </w:pPr>
      <w:r>
        <w:rPr>
          <w:rFonts w:hint="eastAsia" w:cs="宋体"/>
          <w:bCs/>
          <w:kern w:val="2"/>
          <w:szCs w:val="24"/>
        </w:rPr>
        <w:t>2022年</w:t>
      </w:r>
      <w:r>
        <w:rPr>
          <w:rFonts w:hint="eastAsia" w:cs="宋体"/>
          <w:bCs/>
          <w:kern w:val="2"/>
          <w:szCs w:val="24"/>
          <w:lang w:val="en-US" w:eastAsia="zh-CN"/>
        </w:rPr>
        <w:t>8</w:t>
      </w:r>
      <w:r>
        <w:rPr>
          <w:rFonts w:hint="eastAsia" w:cs="宋体"/>
          <w:bCs/>
          <w:kern w:val="2"/>
          <w:szCs w:val="24"/>
        </w:rPr>
        <w:t>月</w:t>
      </w:r>
      <w:r>
        <w:rPr>
          <w:rFonts w:hint="eastAsia" w:cs="宋体"/>
          <w:bCs/>
          <w:kern w:val="2"/>
          <w:szCs w:val="24"/>
          <w:lang w:val="en-US" w:eastAsia="zh-CN"/>
        </w:rPr>
        <w:t xml:space="preserve">30  </w:t>
      </w:r>
      <w:r>
        <w:rPr>
          <w:rFonts w:hint="eastAsia" w:cs="宋体"/>
          <w:bCs/>
          <w:kern w:val="2"/>
          <w:szCs w:val="24"/>
        </w:rPr>
        <w:t>日</w:t>
      </w:r>
    </w:p>
    <w:p>
      <w:pPr>
        <w:pStyle w:val="16"/>
        <w:spacing w:before="75" w:beforeAutospacing="0" w:after="75" w:afterAutospacing="0"/>
        <w:rPr>
          <w:rFonts w:cs="宋体"/>
          <w:bCs/>
          <w:kern w:val="2"/>
          <w:szCs w:val="24"/>
        </w:rPr>
      </w:pPr>
    </w:p>
    <w:p>
      <w:pPr>
        <w:pStyle w:val="16"/>
        <w:spacing w:before="75" w:beforeAutospacing="0" w:after="75" w:afterAutospacing="0"/>
        <w:rPr>
          <w:rFonts w:cs="宋体"/>
          <w:bCs/>
          <w:kern w:val="2"/>
          <w:szCs w:val="24"/>
        </w:rPr>
      </w:pPr>
    </w:p>
    <w:p>
      <w:pPr>
        <w:pStyle w:val="16"/>
        <w:spacing w:before="75" w:beforeAutospacing="0" w:after="75" w:afterAutospacing="0"/>
        <w:jc w:val="both"/>
        <w:rPr>
          <w:rFonts w:cs="宋体"/>
          <w:b/>
          <w:kern w:val="2"/>
          <w:szCs w:val="24"/>
        </w:rPr>
      </w:pPr>
    </w:p>
    <w:p>
      <w:pPr>
        <w:jc w:val="center"/>
        <w:rPr>
          <w:rFonts w:hint="eastAsia"/>
          <w:b/>
          <w:sz w:val="28"/>
          <w:szCs w:val="28"/>
        </w:rPr>
      </w:pPr>
      <w:r>
        <w:rPr>
          <w:rFonts w:hint="eastAsia"/>
          <w:b/>
          <w:sz w:val="28"/>
          <w:szCs w:val="28"/>
        </w:rPr>
        <w:t>二、投标单位须知</w:t>
      </w:r>
      <w:bookmarkEnd w:id="9"/>
      <w:bookmarkEnd w:id="10"/>
    </w:p>
    <w:p>
      <w:pPr>
        <w:jc w:val="center"/>
        <w:rPr>
          <w:rFonts w:hint="eastAsia"/>
          <w:b/>
          <w:sz w:val="28"/>
          <w:szCs w:val="28"/>
        </w:rPr>
      </w:pPr>
      <w:bookmarkStart w:id="11" w:name="_Toc21720"/>
      <w:r>
        <w:rPr>
          <w:rFonts w:hint="eastAsia"/>
          <w:b/>
          <w:sz w:val="28"/>
          <w:szCs w:val="28"/>
          <w:lang w:val="en-US" w:eastAsia="zh-CN"/>
        </w:rPr>
        <w:t xml:space="preserve">     </w:t>
      </w:r>
      <w:r>
        <w:rPr>
          <w:rFonts w:hint="eastAsia"/>
          <w:b/>
          <w:sz w:val="28"/>
          <w:szCs w:val="28"/>
        </w:rPr>
        <w:t>投标单位须知前附表</w:t>
      </w:r>
      <w:bookmarkEnd w:id="11"/>
    </w:p>
    <w:tbl>
      <w:tblPr>
        <w:tblStyle w:val="37"/>
        <w:tblW w:w="9792"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9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958"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新疆若羌县地质灾害风险调查评价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958" w:type="dxa"/>
            <w:vAlign w:val="center"/>
          </w:tcPr>
          <w:p>
            <w:pPr>
              <w:pStyle w:val="16"/>
              <w:spacing w:before="75" w:beforeAutospacing="0" w:after="75" w:afterAutospacing="0"/>
              <w:rPr>
                <w:rFonts w:hint="eastAsia" w:cs="宋体"/>
                <w:bCs/>
                <w:kern w:val="2"/>
                <w:szCs w:val="24"/>
              </w:rPr>
            </w:pPr>
            <w:r>
              <w:rPr>
                <w:rFonts w:hint="eastAsia" w:cs="宋体"/>
                <w:bCs/>
                <w:kern w:val="2"/>
                <w:szCs w:val="24"/>
              </w:rPr>
              <w:t>名  称：若羌县自然资源局（林业和草原局）</w:t>
            </w:r>
          </w:p>
          <w:p>
            <w:pPr>
              <w:pStyle w:val="16"/>
              <w:spacing w:before="75" w:beforeAutospacing="0" w:after="75" w:afterAutospacing="0"/>
              <w:rPr>
                <w:rFonts w:hint="eastAsia" w:cs="宋体"/>
                <w:bCs/>
                <w:kern w:val="2"/>
                <w:szCs w:val="24"/>
              </w:rPr>
            </w:pPr>
            <w:r>
              <w:rPr>
                <w:rFonts w:hint="eastAsia" w:cs="宋体"/>
                <w:bCs/>
                <w:kern w:val="2"/>
                <w:szCs w:val="24"/>
              </w:rPr>
              <w:t xml:space="preserve">地  址：若羌县 </w:t>
            </w:r>
          </w:p>
          <w:p>
            <w:pPr>
              <w:pStyle w:val="16"/>
              <w:spacing w:before="75" w:beforeAutospacing="0" w:after="75" w:afterAutospacing="0"/>
              <w:rPr>
                <w:rFonts w:hint="eastAsia" w:cs="宋体"/>
                <w:bCs/>
                <w:kern w:val="2"/>
                <w:szCs w:val="24"/>
              </w:rPr>
            </w:pPr>
            <w:r>
              <w:rPr>
                <w:rFonts w:hint="eastAsia" w:cs="宋体"/>
                <w:bCs/>
                <w:kern w:val="2"/>
                <w:szCs w:val="24"/>
              </w:rPr>
              <w:t>采购人：张</w:t>
            </w:r>
            <w:r>
              <w:rPr>
                <w:rFonts w:hint="eastAsia" w:cs="宋体"/>
                <w:bCs/>
                <w:kern w:val="2"/>
                <w:szCs w:val="24"/>
                <w:lang w:val="en-US" w:eastAsia="zh-CN"/>
              </w:rPr>
              <w:t xml:space="preserve">  </w:t>
            </w:r>
            <w:r>
              <w:rPr>
                <w:rFonts w:hint="eastAsia" w:cs="宋体"/>
                <w:bCs/>
                <w:kern w:val="2"/>
                <w:szCs w:val="24"/>
              </w:rPr>
              <w:t>辉</w:t>
            </w:r>
          </w:p>
          <w:p>
            <w:pPr>
              <w:pStyle w:val="16"/>
              <w:spacing w:before="75" w:beforeAutospacing="0" w:after="75" w:afterAutospacing="0"/>
              <w:rPr>
                <w:rFonts w:cs="宋体"/>
                <w:bCs/>
                <w:kern w:val="2"/>
                <w:szCs w:val="24"/>
              </w:rPr>
            </w:pPr>
            <w:r>
              <w:rPr>
                <w:rFonts w:hint="eastAsia" w:cs="宋体"/>
                <w:bCs/>
                <w:kern w:val="2"/>
                <w:szCs w:val="24"/>
              </w:rPr>
              <w:t xml:space="preserve">电  话：13239963111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6"/>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6"/>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p>
          <w:p>
            <w:pPr>
              <w:pStyle w:val="16"/>
              <w:spacing w:before="75" w:beforeAutospacing="0" w:after="75" w:afterAutospacing="0"/>
              <w:rPr>
                <w:rFonts w:cs="宋体"/>
                <w:bCs/>
                <w:kern w:val="2"/>
                <w:szCs w:val="24"/>
              </w:rPr>
            </w:pPr>
            <w:r>
              <w:rPr>
                <w:rFonts w:hint="eastAsia" w:cs="宋体"/>
                <w:bCs/>
                <w:kern w:val="2"/>
                <w:szCs w:val="24"/>
              </w:rPr>
              <w:t>联系电话：</w:t>
            </w:r>
            <w:r>
              <w:rPr>
                <w:rFonts w:hint="eastAsia" w:cs="宋体"/>
                <w:bCs/>
                <w:kern w:val="2"/>
                <w:szCs w:val="24"/>
                <w:lang w:val="en-US" w:eastAsia="zh-CN"/>
              </w:rPr>
              <w:t>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资金来源：财 政</w:t>
            </w:r>
          </w:p>
          <w:p>
            <w:pPr>
              <w:pStyle w:val="16"/>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lang w:val="en-US" w:eastAsia="zh-CN"/>
              </w:rPr>
              <w:t>130</w:t>
            </w:r>
            <w:r>
              <w:rPr>
                <w:rFonts w:hint="eastAsia" w:cs="宋体"/>
                <w:bCs/>
                <w:kern w:val="2"/>
                <w:szCs w:val="24"/>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投标单位资格条件</w:t>
            </w:r>
          </w:p>
        </w:tc>
        <w:tc>
          <w:tcPr>
            <w:tcW w:w="5958" w:type="dxa"/>
            <w:vAlign w:val="center"/>
          </w:tcPr>
          <w:p>
            <w:pPr>
              <w:pStyle w:val="16"/>
              <w:numPr>
                <w:ilvl w:val="0"/>
                <w:numId w:val="2"/>
              </w:numPr>
              <w:spacing w:before="75" w:beforeAutospacing="0" w:after="75" w:afterAutospacing="0"/>
              <w:rPr>
                <w:rFonts w:hint="eastAsia"/>
              </w:rPr>
            </w:pPr>
            <w:r>
              <w:rPr>
                <w:rFonts w:hint="eastAsia" w:cs="宋体"/>
                <w:bCs/>
                <w:kern w:val="2"/>
                <w:szCs w:val="24"/>
                <w:lang w:eastAsia="zh-CN"/>
              </w:rPr>
              <w:t>、</w:t>
            </w:r>
            <w:r>
              <w:rPr>
                <w:rFonts w:hint="eastAsia" w:cs="宋体"/>
                <w:bCs/>
                <w:kern w:val="2"/>
                <w:szCs w:val="24"/>
              </w:rPr>
              <w:t>符合《中华人民共和国政府采购法》第二十二条的规定；</w:t>
            </w:r>
          </w:p>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kern w:val="2"/>
                <w:szCs w:val="24"/>
              </w:rPr>
              <w:t>（2）</w:t>
            </w:r>
            <w:r>
              <w:rPr>
                <w:rFonts w:hint="eastAsia" w:cs="宋体"/>
                <w:bCs/>
                <w:kern w:val="2"/>
                <w:szCs w:val="24"/>
                <w:lang w:eastAsia="zh-CN"/>
              </w:rPr>
              <w:t>、投标单位需提供地质灾害治理工程勘查、设计乙级（含乙级） 以上资质；</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3</w:t>
            </w:r>
            <w:r>
              <w:rPr>
                <w:rFonts w:hint="eastAsia" w:cs="宋体"/>
                <w:bCs/>
                <w:kern w:val="2"/>
                <w:szCs w:val="24"/>
              </w:rPr>
              <w:t>）</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4</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6"/>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5</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pStyle w:val="16"/>
              <w:spacing w:before="75" w:beforeAutospacing="0" w:after="75" w:afterAutospacing="0"/>
              <w:rPr>
                <w:rFonts w:hint="default" w:cs="宋体"/>
                <w:bCs/>
                <w:kern w:val="2"/>
                <w:szCs w:val="24"/>
                <w:lang w:val="en-US"/>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）、投标保证金：</w:t>
            </w:r>
            <w:r>
              <w:rPr>
                <w:rFonts w:hint="eastAsia" w:cs="宋体"/>
                <w:bCs/>
                <w:kern w:val="2"/>
                <w:szCs w:val="24"/>
                <w:lang w:val="en-US" w:eastAsia="zh-CN"/>
              </w:rPr>
              <w:t>贰万元整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联合体投标    </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6"/>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备选方案</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6"/>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信息公告媒体</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响应文件递交截止时间</w:t>
            </w:r>
          </w:p>
        </w:tc>
        <w:tc>
          <w:tcPr>
            <w:tcW w:w="5958"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2022年</w:t>
            </w:r>
            <w:r>
              <w:rPr>
                <w:rFonts w:hint="eastAsia" w:cs="宋体"/>
                <w:bCs/>
                <w:color w:val="auto"/>
                <w:kern w:val="2"/>
                <w:szCs w:val="24"/>
                <w:lang w:val="en-US" w:eastAsia="zh-CN"/>
              </w:rPr>
              <w:t>9</w:t>
            </w:r>
            <w:r>
              <w:rPr>
                <w:rFonts w:hint="eastAsia" w:cs="宋体"/>
                <w:bCs/>
                <w:color w:val="auto"/>
                <w:kern w:val="2"/>
                <w:szCs w:val="24"/>
              </w:rPr>
              <w:t>月</w:t>
            </w:r>
            <w:r>
              <w:rPr>
                <w:rFonts w:hint="eastAsia" w:cs="宋体"/>
                <w:bCs/>
                <w:color w:val="auto"/>
                <w:kern w:val="2"/>
                <w:szCs w:val="24"/>
                <w:lang w:val="en-US" w:eastAsia="zh-CN"/>
              </w:rPr>
              <w:t xml:space="preserve"> 15</w:t>
            </w:r>
            <w:r>
              <w:rPr>
                <w:rFonts w:hint="eastAsia" w:cs="宋体"/>
                <w:bCs/>
                <w:color w:val="auto"/>
                <w:kern w:val="2"/>
                <w:szCs w:val="24"/>
              </w:rPr>
              <w:t>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开标地点及投标文件递交</w:t>
            </w:r>
          </w:p>
        </w:tc>
        <w:tc>
          <w:tcPr>
            <w:tcW w:w="5958" w:type="dxa"/>
            <w:vAlign w:val="center"/>
          </w:tcPr>
          <w:p>
            <w:pPr>
              <w:pStyle w:val="16"/>
              <w:spacing w:before="75" w:beforeAutospacing="0" w:after="75" w:afterAutospacing="0"/>
              <w:rPr>
                <w:rFonts w:cs="宋体"/>
                <w:bCs/>
                <w:color w:val="auto"/>
                <w:kern w:val="2"/>
                <w:szCs w:val="24"/>
              </w:rPr>
            </w:pPr>
            <w:r>
              <w:rPr>
                <w:rFonts w:hint="eastAsia" w:cs="宋体"/>
                <w:bCs/>
                <w:color w:val="auto"/>
                <w:kern w:val="2"/>
                <w:szCs w:val="24"/>
              </w:rPr>
              <w:t>蹉商地址：新疆中工建辉工程咨询有限公司开标厅（库尔勒市欢乐海岸3号楼16层）。</w:t>
            </w:r>
          </w:p>
          <w:p>
            <w:pPr>
              <w:pStyle w:val="16"/>
              <w:spacing w:before="75" w:beforeAutospacing="0" w:after="75" w:afterAutospacing="0"/>
              <w:rPr>
                <w:rFonts w:cs="宋体"/>
                <w:bCs/>
                <w:color w:val="auto"/>
                <w:kern w:val="2"/>
                <w:szCs w:val="24"/>
              </w:rPr>
            </w:pPr>
            <w:r>
              <w:rPr>
                <w:rFonts w:hint="eastAsia" w:cs="宋体"/>
                <w:bCs/>
                <w:color w:val="auto"/>
                <w:kern w:val="2"/>
                <w:szCs w:val="24"/>
              </w:rPr>
              <w:t>投标人应于2022年</w:t>
            </w:r>
            <w:r>
              <w:rPr>
                <w:rFonts w:hint="eastAsia" w:cs="宋体"/>
                <w:bCs/>
                <w:color w:val="auto"/>
                <w:kern w:val="2"/>
                <w:szCs w:val="24"/>
                <w:lang w:val="en-US" w:eastAsia="zh-CN"/>
              </w:rPr>
              <w:t>9</w:t>
            </w:r>
            <w:r>
              <w:rPr>
                <w:rFonts w:hint="eastAsia" w:cs="宋体"/>
                <w:bCs/>
                <w:color w:val="auto"/>
                <w:kern w:val="2"/>
                <w:szCs w:val="24"/>
              </w:rPr>
              <w:t>月</w:t>
            </w:r>
            <w:r>
              <w:rPr>
                <w:rFonts w:hint="eastAsia" w:cs="宋体"/>
                <w:bCs/>
                <w:color w:val="auto"/>
                <w:kern w:val="2"/>
                <w:szCs w:val="24"/>
                <w:lang w:val="en-US" w:eastAsia="zh-CN"/>
              </w:rPr>
              <w:t xml:space="preserve"> 15</w:t>
            </w:r>
            <w:r>
              <w:rPr>
                <w:rFonts w:hint="eastAsia" w:cs="宋体"/>
                <w:bCs/>
                <w:color w:val="auto"/>
                <w:kern w:val="2"/>
                <w:szCs w:val="24"/>
              </w:rPr>
              <w:t xml:space="preserve">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招标采购单位依法组建磋商小组共5人组成</w:t>
            </w:r>
          </w:p>
          <w:p>
            <w:pPr>
              <w:pStyle w:val="16"/>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6"/>
              <w:spacing w:before="75" w:beforeAutospacing="0" w:after="75" w:afterAutospacing="0"/>
              <w:rPr>
                <w:rFonts w:cs="宋体"/>
                <w:bCs/>
                <w:kern w:val="2"/>
                <w:szCs w:val="24"/>
              </w:rPr>
            </w:pPr>
            <w:r>
              <w:rPr>
                <w:rFonts w:hint="eastAsia" w:cs="宋体"/>
                <w:bCs/>
                <w:kern w:val="2"/>
                <w:szCs w:val="24"/>
              </w:rPr>
              <w:t>磋商保证金</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6"/>
              <w:spacing w:before="75" w:beforeAutospacing="0" w:after="75" w:afterAutospacing="0"/>
              <w:rPr>
                <w:rFonts w:cs="宋体"/>
                <w:bCs/>
                <w:kern w:val="2"/>
                <w:szCs w:val="24"/>
              </w:rPr>
            </w:pP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金额（小写）：</w:t>
            </w:r>
            <w:r>
              <w:rPr>
                <w:rFonts w:hint="eastAsia" w:cs="宋体"/>
                <w:bCs/>
                <w:kern w:val="2"/>
                <w:szCs w:val="24"/>
                <w:lang w:val="en-US" w:eastAsia="zh-CN"/>
              </w:rPr>
              <w:t>20000.00</w:t>
            </w:r>
            <w:r>
              <w:rPr>
                <w:rFonts w:hint="eastAsia" w:cs="宋体"/>
                <w:bCs/>
                <w:kern w:val="2"/>
                <w:szCs w:val="24"/>
              </w:rPr>
              <w:t xml:space="preserve">元                                    </w:t>
            </w:r>
          </w:p>
          <w:p>
            <w:pPr>
              <w:pStyle w:val="16"/>
              <w:spacing w:before="75" w:beforeAutospacing="0" w:after="75" w:afterAutospacing="0"/>
              <w:rPr>
                <w:rFonts w:cs="宋体"/>
                <w:bCs/>
                <w:kern w:val="2"/>
                <w:szCs w:val="24"/>
              </w:rPr>
            </w:pPr>
            <w:r>
              <w:rPr>
                <w:rFonts w:hint="eastAsia" w:cs="宋体"/>
                <w:bCs/>
                <w:kern w:val="2"/>
                <w:szCs w:val="24"/>
              </w:rPr>
              <w:t xml:space="preserve">金额（大写）：贰万元整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6"/>
              <w:spacing w:before="75" w:beforeAutospacing="0" w:after="75" w:afterAutospacing="0"/>
              <w:rPr>
                <w:rFonts w:cs="宋体"/>
                <w:bCs/>
                <w:kern w:val="2"/>
                <w:szCs w:val="24"/>
              </w:rPr>
            </w:pP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投标保证金金额：</w:t>
            </w:r>
            <w:r>
              <w:rPr>
                <w:rFonts w:hint="eastAsia" w:cs="宋体"/>
                <w:bCs/>
                <w:kern w:val="2"/>
                <w:szCs w:val="24"/>
                <w:lang w:val="en-US" w:eastAsia="zh-CN"/>
              </w:rPr>
              <w:t>贰万元整</w:t>
            </w:r>
            <w:r>
              <w:rPr>
                <w:rFonts w:hint="eastAsia" w:cs="宋体"/>
                <w:bCs/>
                <w:kern w:val="2"/>
                <w:szCs w:val="24"/>
              </w:rPr>
              <w:t>（</w:t>
            </w:r>
            <w:r>
              <w:rPr>
                <w:rFonts w:hint="eastAsia" w:cs="宋体"/>
                <w:bCs/>
                <w:kern w:val="2"/>
                <w:szCs w:val="24"/>
                <w:lang w:val="en-US" w:eastAsia="zh-CN"/>
              </w:rPr>
              <w:t>20000</w:t>
            </w:r>
            <w:r>
              <w:rPr>
                <w:rFonts w:hint="eastAsia" w:cs="宋体"/>
                <w:bCs/>
                <w:kern w:val="2"/>
                <w:szCs w:val="24"/>
              </w:rPr>
              <w:t>元整）</w:t>
            </w:r>
          </w:p>
          <w:p>
            <w:pPr>
              <w:pStyle w:val="16"/>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6"/>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6"/>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6"/>
              <w:spacing w:before="75" w:beforeAutospacing="0" w:after="75" w:afterAutospacing="0"/>
              <w:rPr>
                <w:rFonts w:cs="宋体"/>
                <w:bCs/>
                <w:kern w:val="2"/>
                <w:szCs w:val="24"/>
              </w:rPr>
            </w:pPr>
          </w:p>
        </w:tc>
        <w:tc>
          <w:tcPr>
            <w:tcW w:w="5958" w:type="dxa"/>
            <w:vAlign w:val="center"/>
          </w:tcPr>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到账截止时间：2022年</w:t>
            </w:r>
            <w:r>
              <w:rPr>
                <w:rFonts w:hint="eastAsia" w:cs="宋体"/>
                <w:bCs/>
                <w:color w:val="000000" w:themeColor="text1"/>
                <w:kern w:val="2"/>
                <w:szCs w:val="24"/>
                <w:lang w:val="en-US" w:eastAsia="zh-CN"/>
                <w14:textFill>
                  <w14:solidFill>
                    <w14:schemeClr w14:val="tx1"/>
                  </w14:solidFill>
                </w14:textFill>
              </w:rPr>
              <w:t>9</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 xml:space="preserve">15 </w:t>
            </w:r>
            <w:r>
              <w:rPr>
                <w:rFonts w:hint="eastAsia" w:cs="宋体"/>
                <w:bCs/>
                <w:color w:val="000000" w:themeColor="text1"/>
                <w:kern w:val="2"/>
                <w:szCs w:val="24"/>
                <w14:textFill>
                  <w14:solidFill>
                    <w14:schemeClr w14:val="tx1"/>
                  </w14:solidFill>
                </w14:textFill>
              </w:rPr>
              <w:t>日1</w:t>
            </w:r>
            <w:r>
              <w:rPr>
                <w:rFonts w:hint="eastAsia" w:cs="宋体"/>
                <w:bCs/>
                <w:color w:val="000000" w:themeColor="text1"/>
                <w:kern w:val="2"/>
                <w:szCs w:val="24"/>
                <w:lang w:val="en-US" w:eastAsia="zh-CN"/>
                <w14:textFill>
                  <w14:solidFill>
                    <w14:schemeClr w14:val="tx1"/>
                  </w14:solidFill>
                </w14:textFill>
              </w:rPr>
              <w:t>0</w:t>
            </w:r>
            <w:r>
              <w:rPr>
                <w:rFonts w:hint="eastAsia" w:cs="宋体"/>
                <w:bCs/>
                <w:color w:val="000000" w:themeColor="text1"/>
                <w:kern w:val="2"/>
                <w:szCs w:val="24"/>
                <w14:textFill>
                  <w14:solidFill>
                    <w14:schemeClr w14:val="tx1"/>
                  </w14:solidFill>
                </w14:textFill>
              </w:rPr>
              <w:t>：</w:t>
            </w:r>
            <w:r>
              <w:rPr>
                <w:rFonts w:hint="eastAsia" w:cs="宋体"/>
                <w:bCs/>
                <w:color w:val="000000" w:themeColor="text1"/>
                <w:kern w:val="2"/>
                <w:szCs w:val="24"/>
                <w:lang w:val="en-US" w:eastAsia="zh-CN"/>
                <w14:textFill>
                  <w14:solidFill>
                    <w14:schemeClr w14:val="tx1"/>
                  </w14:solidFill>
                </w14:textFill>
              </w:rPr>
              <w:t>00</w:t>
            </w:r>
            <w:r>
              <w:rPr>
                <w:rFonts w:hint="eastAsia" w:cs="宋体"/>
                <w:bCs/>
                <w:color w:val="000000" w:themeColor="text1"/>
                <w:kern w:val="2"/>
                <w:szCs w:val="24"/>
                <w14:textFill>
                  <w14:solidFill>
                    <w14:schemeClr w14:val="tx1"/>
                  </w14:solidFill>
                </w14:textFill>
              </w:rPr>
              <w:t>北京时间）</w:t>
            </w:r>
          </w:p>
          <w:p>
            <w:pPr>
              <w:pStyle w:val="16"/>
              <w:spacing w:before="75" w:beforeAutospacing="0" w:after="75" w:afterAutospacing="0"/>
              <w:rPr>
                <w:rFonts w:cs="宋体"/>
                <w:bCs/>
                <w:kern w:val="2"/>
                <w:szCs w:val="24"/>
              </w:rPr>
            </w:pPr>
            <w:r>
              <w:rPr>
                <w:rFonts w:hint="eastAsia" w:cs="宋体"/>
                <w:bCs/>
                <w:color w:val="000000" w:themeColor="text1"/>
                <w:kern w:val="2"/>
                <w:szCs w:val="24"/>
                <w14:textFill>
                  <w14:solidFill>
                    <w14:schemeClr w14:val="tx1"/>
                  </w14:solidFill>
                </w14:textFill>
              </w:rPr>
              <w:t>注：（1）用转账或银行电汇提交保证金的，应当从其基本账户转入</w:t>
            </w:r>
            <w:r>
              <w:rPr>
                <w:rFonts w:hint="eastAsia" w:cs="宋体"/>
                <w:bCs/>
                <w:kern w:val="2"/>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6"/>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eastAsia="zh-CN"/>
              </w:rPr>
              <w:t>16</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评审办法</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磋商有效期</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标前准备</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6"/>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6"/>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踏勘现场</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代理服务费</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履约保证金</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质量标准</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21</w:t>
            </w:r>
          </w:p>
        </w:tc>
        <w:tc>
          <w:tcPr>
            <w:tcW w:w="2717" w:type="dxa"/>
            <w:vAlign w:val="center"/>
          </w:tcPr>
          <w:p>
            <w:pPr>
              <w:pStyle w:val="16"/>
              <w:spacing w:before="75" w:beforeAutospacing="0" w:after="75" w:afterAutospacing="0"/>
              <w:rPr>
                <w:rFonts w:hint="eastAsia" w:cs="宋体"/>
                <w:bCs/>
                <w:kern w:val="2"/>
                <w:szCs w:val="24"/>
              </w:rPr>
            </w:pPr>
            <w:r>
              <w:rPr>
                <w:rFonts w:hint="eastAsia" w:cs="宋体"/>
                <w:bCs/>
                <w:kern w:val="2"/>
                <w:szCs w:val="24"/>
              </w:rPr>
              <w:t>合同履约期限</w:t>
            </w:r>
          </w:p>
        </w:tc>
        <w:tc>
          <w:tcPr>
            <w:tcW w:w="5958" w:type="dxa"/>
            <w:vAlign w:val="center"/>
          </w:tcPr>
          <w:p>
            <w:pPr>
              <w:pStyle w:val="16"/>
              <w:spacing w:before="75" w:beforeAutospacing="0" w:after="75" w:afterAutospacing="0"/>
              <w:rPr>
                <w:rFonts w:hint="eastAsia" w:eastAsia="宋体" w:cs="宋体"/>
                <w:bCs/>
                <w:kern w:val="2"/>
                <w:szCs w:val="24"/>
                <w:lang w:val="en-US" w:eastAsia="zh-CN"/>
              </w:rPr>
            </w:pPr>
            <w:r>
              <w:rPr>
                <w:rFonts w:hint="eastAsia" w:cs="宋体"/>
                <w:bCs/>
                <w:kern w:val="2"/>
                <w:szCs w:val="24"/>
                <w:lang w:val="en-US" w:eastAsia="zh-CN"/>
              </w:rPr>
              <w:t>15天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22</w:t>
            </w:r>
          </w:p>
        </w:tc>
        <w:tc>
          <w:tcPr>
            <w:tcW w:w="2717" w:type="dxa"/>
            <w:vAlign w:val="center"/>
          </w:tcPr>
          <w:p>
            <w:pPr>
              <w:pStyle w:val="16"/>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958" w:type="dxa"/>
            <w:vAlign w:val="center"/>
          </w:tcPr>
          <w:p>
            <w:pPr>
              <w:pStyle w:val="16"/>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23</w:t>
            </w:r>
          </w:p>
        </w:tc>
        <w:tc>
          <w:tcPr>
            <w:tcW w:w="2717" w:type="dxa"/>
            <w:vAlign w:val="center"/>
          </w:tcPr>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招标文件解密时间</w:t>
            </w:r>
          </w:p>
          <w:p>
            <w:pPr>
              <w:pStyle w:val="16"/>
              <w:spacing w:before="75" w:beforeAutospacing="0" w:after="75" w:afterAutospacing="0"/>
              <w:rPr>
                <w:rFonts w:cs="宋体"/>
                <w:bCs/>
                <w:color w:val="000000" w:themeColor="text1"/>
                <w:kern w:val="2"/>
                <w:szCs w:val="24"/>
                <w14:textFill>
                  <w14:solidFill>
                    <w14:schemeClr w14:val="tx1"/>
                  </w14:solidFill>
                </w14:textFill>
              </w:rPr>
            </w:pPr>
          </w:p>
        </w:tc>
        <w:tc>
          <w:tcPr>
            <w:tcW w:w="5958" w:type="dxa"/>
            <w:vAlign w:val="center"/>
          </w:tcPr>
          <w:p>
            <w:pPr>
              <w:pStyle w:val="16"/>
              <w:spacing w:before="75" w:beforeAutospacing="0" w:after="75" w:afterAutospacing="0"/>
              <w:rPr>
                <w:rFonts w:hint="eastAsia" w:eastAsia="宋体" w:cs="宋体"/>
                <w:bCs/>
                <w:color w:val="000000" w:themeColor="text1"/>
                <w:kern w:val="2"/>
                <w:szCs w:val="24"/>
                <w:lang w:val="en-US" w:eastAsia="zh-CN"/>
                <w14:textFill>
                  <w14:solidFill>
                    <w14:schemeClr w14:val="tx1"/>
                  </w14:solidFill>
                </w14:textFill>
              </w:rPr>
            </w:pPr>
            <w:r>
              <w:rPr>
                <w:rFonts w:hint="eastAsia" w:cs="宋体"/>
                <w:bCs/>
                <w:color w:val="000000" w:themeColor="text1"/>
                <w:kern w:val="2"/>
                <w:szCs w:val="24"/>
                <w14:textFill>
                  <w14:solidFill>
                    <w14:schemeClr w14:val="tx1"/>
                  </w14:solidFill>
                </w14:textFill>
              </w:rPr>
              <w:t>开标时间后30分钟内（2022年</w:t>
            </w:r>
            <w:r>
              <w:rPr>
                <w:rFonts w:hint="eastAsia" w:cs="宋体"/>
                <w:bCs/>
                <w:color w:val="000000" w:themeColor="text1"/>
                <w:kern w:val="2"/>
                <w:szCs w:val="24"/>
                <w:lang w:val="en-US" w:eastAsia="zh-CN"/>
                <w14:textFill>
                  <w14:solidFill>
                    <w14:schemeClr w14:val="tx1"/>
                  </w14:solidFill>
                </w14:textFill>
              </w:rPr>
              <w:t>9</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 xml:space="preserve">15 </w:t>
            </w:r>
            <w:r>
              <w:rPr>
                <w:rFonts w:hint="eastAsia" w:cs="宋体"/>
                <w:bCs/>
                <w:color w:val="000000" w:themeColor="text1"/>
                <w:kern w:val="2"/>
                <w:szCs w:val="24"/>
                <w14:textFill>
                  <w14:solidFill>
                    <w14:schemeClr w14:val="tx1"/>
                  </w14:solidFill>
                </w14:textFill>
              </w:rPr>
              <w:t>日上午10:30-11：00前）供应商可以登录“政采云”平台，用“项目采购-开标评标”功能进行解密投标文件。若供应商在规定时间内（2022年</w:t>
            </w:r>
            <w:r>
              <w:rPr>
                <w:rFonts w:hint="eastAsia" w:cs="宋体"/>
                <w:bCs/>
                <w:color w:val="000000" w:themeColor="text1"/>
                <w:kern w:val="2"/>
                <w:szCs w:val="24"/>
                <w:lang w:val="en-US" w:eastAsia="zh-CN"/>
                <w14:textFill>
                  <w14:solidFill>
                    <w14:schemeClr w14:val="tx1"/>
                  </w14:solidFill>
                </w14:textFill>
              </w:rPr>
              <w:t>9</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15</w:t>
            </w:r>
            <w:r>
              <w:rPr>
                <w:rFonts w:hint="eastAsia" w:cs="宋体"/>
                <w:bCs/>
                <w:color w:val="000000" w:themeColor="text1"/>
                <w:kern w:val="2"/>
                <w:szCs w:val="24"/>
                <w14:textFill>
                  <w14:solidFill>
                    <w14:schemeClr w14:val="tx1"/>
                  </w14:solidFill>
                </w14:textFill>
              </w:rPr>
              <w:t>日上午10:30前）</w:t>
            </w:r>
            <w:r>
              <w:rPr>
                <w:rFonts w:hint="eastAsia" w:cs="宋体"/>
                <w:bCs/>
                <w:color w:val="000000" w:themeColor="text1"/>
                <w:kern w:val="2"/>
                <w:szCs w:val="24"/>
                <w:lang w:val="en-US" w:eastAsia="zh-CN"/>
                <w14:textFill>
                  <w14:solidFill>
                    <w14:schemeClr w14:val="tx1"/>
                  </w14:solidFill>
                </w14:textFill>
              </w:rPr>
              <w:t xml:space="preserve"> </w:t>
            </w:r>
          </w:p>
          <w:p>
            <w:pPr>
              <w:pStyle w:val="16"/>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958"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9"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675"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117" w:type="dxa"/>
            <w:vAlign w:val="center"/>
          </w:tcPr>
          <w:p>
            <w:pPr>
              <w:pStyle w:val="116"/>
              <w:spacing w:line="440" w:lineRule="exact"/>
              <w:jc w:val="center"/>
              <w:rPr>
                <w:bCs/>
                <w:kern w:val="2"/>
              </w:rPr>
            </w:pPr>
            <w:r>
              <w:rPr>
                <w:rFonts w:hint="eastAsia"/>
                <w:bCs/>
                <w:kern w:val="2"/>
              </w:rPr>
              <w:t>质疑须知</w:t>
            </w:r>
          </w:p>
        </w:tc>
        <w:tc>
          <w:tcPr>
            <w:tcW w:w="8675" w:type="dxa"/>
            <w:gridSpan w:val="2"/>
            <w:vAlign w:val="center"/>
          </w:tcPr>
          <w:p>
            <w:pPr>
              <w:pStyle w:val="116"/>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6"/>
              <w:spacing w:line="440" w:lineRule="exact"/>
              <w:jc w:val="both"/>
              <w:rPr>
                <w:bCs/>
                <w:kern w:val="2"/>
              </w:rPr>
            </w:pPr>
            <w:r>
              <w:rPr>
                <w:rFonts w:hint="eastAsia"/>
                <w:bCs/>
                <w:kern w:val="2"/>
              </w:rPr>
              <w:t>接受质疑的单位：新疆中工建辉工程咨询有限公司</w:t>
            </w:r>
          </w:p>
          <w:p>
            <w:pPr>
              <w:pStyle w:val="116"/>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0"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675" w:type="dxa"/>
            <w:gridSpan w:val="2"/>
            <w:vAlign w:val="center"/>
          </w:tcPr>
          <w:p>
            <w:pPr>
              <w:spacing w:line="440" w:lineRule="exact"/>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hint="eastAsia"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hint="eastAsia"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5"/>
      </w:pPr>
      <w:bookmarkStart w:id="12" w:name="_Toc16938518"/>
      <w:bookmarkEnd w:id="12"/>
      <w:bookmarkStart w:id="13" w:name="_Toc120614213"/>
      <w:bookmarkEnd w:id="13"/>
      <w:bookmarkStart w:id="14" w:name="_Toc513029202"/>
      <w:bookmarkEnd w:id="14"/>
      <w:bookmarkStart w:id="15" w:name="_Toc20823274"/>
      <w:bookmarkEnd w:id="15"/>
      <w:bookmarkStart w:id="16" w:name="_Toc455227390"/>
      <w:bookmarkEnd w:id="16"/>
      <w:bookmarkStart w:id="17" w:name="_Toc26751"/>
      <w:bookmarkStart w:id="18" w:name="_Toc11413"/>
      <w:r>
        <w:rPr>
          <w:rFonts w:hint="eastAsia"/>
          <w:bCs/>
        </w:rPr>
        <w:t>一、说明</w:t>
      </w:r>
      <w:bookmarkEnd w:id="17"/>
      <w:bookmarkEnd w:id="18"/>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14"/>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14"/>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14"/>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14"/>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14"/>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3"/>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14"/>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14"/>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14"/>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5"/>
        <w:rPr>
          <w:rFonts w:ascii="宋体" w:hAnsi="宋体" w:cs="宋体"/>
          <w:sz w:val="24"/>
          <w:szCs w:val="24"/>
        </w:rPr>
      </w:pPr>
      <w:bookmarkStart w:id="19" w:name="_Toc293738992"/>
      <w:bookmarkStart w:id="20" w:name="_Toc27123"/>
      <w:bookmarkStart w:id="21" w:name="_Toc293736011"/>
      <w:bookmarkStart w:id="22" w:name="_Toc446599311"/>
      <w:bookmarkStart w:id="23" w:name="_Toc2362"/>
      <w:bookmarkStart w:id="24" w:name="_Toc293736054"/>
      <w:r>
        <w:rPr>
          <w:rFonts w:hint="eastAsia" w:ascii="宋体" w:hAnsi="宋体" w:cs="宋体"/>
          <w:sz w:val="24"/>
          <w:szCs w:val="24"/>
        </w:rPr>
        <w:t>二、磋商文件</w:t>
      </w:r>
      <w:bookmarkEnd w:id="19"/>
      <w:bookmarkEnd w:id="20"/>
      <w:bookmarkEnd w:id="21"/>
      <w:bookmarkEnd w:id="22"/>
      <w:bookmarkEnd w:id="23"/>
      <w:bookmarkEnd w:id="24"/>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14"/>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14"/>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14"/>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14"/>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14"/>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14"/>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14"/>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14"/>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14"/>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14"/>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14"/>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5"/>
        <w:rPr>
          <w:rFonts w:ascii="宋体" w:hAnsi="宋体" w:cs="宋体"/>
          <w:b w:val="0"/>
          <w:bCs/>
          <w:sz w:val="24"/>
          <w:szCs w:val="24"/>
        </w:rPr>
      </w:pPr>
      <w:bookmarkStart w:id="25" w:name="_Toc293738993"/>
      <w:bookmarkStart w:id="26" w:name="_Toc137"/>
      <w:bookmarkStart w:id="27" w:name="_Toc293736055"/>
      <w:bookmarkStart w:id="28" w:name="_Toc293736012"/>
      <w:bookmarkStart w:id="29" w:name="_Toc446599312"/>
      <w:bookmarkStart w:id="30" w:name="_Toc29642"/>
      <w:r>
        <w:rPr>
          <w:rFonts w:hint="eastAsia" w:ascii="宋体" w:hAnsi="宋体" w:cs="宋体"/>
          <w:sz w:val="24"/>
          <w:szCs w:val="24"/>
        </w:rPr>
        <w:t>三、响应文件的编制和数量</w:t>
      </w:r>
      <w:bookmarkEnd w:id="25"/>
      <w:bookmarkEnd w:id="26"/>
      <w:bookmarkEnd w:id="27"/>
      <w:bookmarkEnd w:id="28"/>
      <w:bookmarkEnd w:id="29"/>
      <w:bookmarkEnd w:id="30"/>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14"/>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14"/>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14"/>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14"/>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14"/>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3"/>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14"/>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14"/>
        <w:spacing w:line="360" w:lineRule="auto"/>
        <w:ind w:firstLine="480"/>
        <w:rPr>
          <w:rFonts w:ascii="宋体" w:hAnsi="宋体" w:cs="宋体"/>
          <w:bCs/>
          <w:kern w:val="0"/>
          <w:sz w:val="24"/>
          <w:szCs w:val="24"/>
        </w:rPr>
      </w:pPr>
    </w:p>
    <w:p>
      <w:pPr>
        <w:pStyle w:val="5"/>
        <w:rPr>
          <w:rFonts w:ascii="宋体" w:hAnsi="宋体" w:cs="宋体"/>
          <w:b w:val="0"/>
          <w:bCs/>
          <w:sz w:val="24"/>
          <w:szCs w:val="24"/>
        </w:rPr>
      </w:pPr>
      <w:bookmarkStart w:id="31" w:name="_Toc293736056"/>
      <w:bookmarkStart w:id="32" w:name="_Toc293736013"/>
      <w:bookmarkStart w:id="33" w:name="_Toc293738994"/>
      <w:bookmarkStart w:id="34" w:name="_Toc13278"/>
      <w:bookmarkStart w:id="35" w:name="_Toc446599313"/>
      <w:bookmarkStart w:id="36" w:name="_Toc8970"/>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hint="eastAsia" w:ascii="宋体" w:hAnsi="宋体" w:eastAsia="宋体" w:cs="宋体"/>
          <w:b/>
          <w:kern w:val="2"/>
          <w:sz w:val="24"/>
          <w:szCs w:val="24"/>
          <w:lang w:val="en-US" w:eastAsia="zh-CN" w:bidi="ar-SA"/>
        </w:rPr>
      </w:pPr>
      <w:bookmarkStart w:id="37" w:name="_Toc293736014"/>
      <w:bookmarkStart w:id="38" w:name="_Toc446599314"/>
      <w:bookmarkStart w:id="39" w:name="_Toc293736057"/>
      <w:bookmarkStart w:id="40" w:name="_Toc293738995"/>
      <w:bookmarkStart w:id="41" w:name="_Toc12422"/>
      <w:bookmarkStart w:id="42" w:name="_Toc9068"/>
      <w:r>
        <w:rPr>
          <w:rFonts w:hint="eastAsia" w:ascii="宋体" w:hAnsi="宋体" w:eastAsia="宋体" w:cs="宋体"/>
          <w:b/>
          <w:kern w:val="2"/>
          <w:sz w:val="24"/>
          <w:szCs w:val="24"/>
          <w:lang w:val="en-US" w:eastAsia="zh-CN" w:bidi="ar-SA"/>
        </w:rPr>
        <w:t>4.1 投标文件的标记</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　任何不完整或不满足招标文件要求的投标文件将被拒绝。</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由于不可抗拒原因或无法控制的事件而导致的丢失或损坏投标包装体内的投标文件时，招标方将不负责任。</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4.2. 投标截止时间</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4.2.1</w:t>
      </w:r>
      <w:r>
        <w:rPr>
          <w:rFonts w:hint="eastAsia" w:ascii="宋体" w:hAnsi="宋体" w:eastAsia="宋体" w:cs="宋体"/>
          <w:bCs/>
          <w:kern w:val="0"/>
          <w:sz w:val="24"/>
          <w:szCs w:val="24"/>
        </w:rPr>
        <w:t xml:space="preserve">  投标文件的递交不得迟于招标文件规定的截止时间，以密封形式递交至</w:t>
      </w:r>
      <w:r>
        <w:rPr>
          <w:rFonts w:hint="eastAsia" w:ascii="宋体" w:hAnsi="宋体" w:eastAsia="宋体" w:cs="宋体"/>
          <w:bCs/>
          <w:kern w:val="0"/>
          <w:sz w:val="24"/>
          <w:szCs w:val="24"/>
          <w:lang w:eastAsia="zh-CN"/>
        </w:rPr>
        <w:t>代理公司</w:t>
      </w:r>
      <w:r>
        <w:rPr>
          <w:rFonts w:hint="eastAsia" w:ascii="宋体" w:hAnsi="宋体" w:eastAsia="宋体" w:cs="宋体"/>
          <w:bCs/>
          <w:kern w:val="0"/>
          <w:sz w:val="24"/>
          <w:szCs w:val="24"/>
        </w:rPr>
        <w:t>指定开标地点。</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4.2.2</w:t>
      </w:r>
      <w:r>
        <w:rPr>
          <w:rFonts w:hint="eastAsia" w:ascii="宋体" w:hAnsi="宋体" w:eastAsia="宋体" w:cs="宋体"/>
          <w:bCs/>
          <w:kern w:val="0"/>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pStyle w:val="1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4.2.3</w:t>
      </w:r>
      <w:r>
        <w:rPr>
          <w:rFonts w:hint="eastAsia" w:ascii="宋体" w:hAnsi="宋体" w:eastAsia="宋体" w:cs="宋体"/>
          <w:bCs/>
          <w:kern w:val="0"/>
          <w:sz w:val="24"/>
          <w:szCs w:val="24"/>
        </w:rPr>
        <w:t xml:space="preserve">  出现因招标文件的修改而推迟投标截止时间的情况时，投标人则需按招标方的书面修改通知重新规定的投标时间递交。</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4.3. 投标文件解密时间</w:t>
      </w:r>
    </w:p>
    <w:p>
      <w:pPr>
        <w:pStyle w:val="14"/>
        <w:rPr>
          <w:rFonts w:hint="eastAsia"/>
          <w:color w:val="000000" w:themeColor="text1"/>
          <w:lang w:val="en-US" w:eastAsia="zh-CN"/>
          <w14:textFill>
            <w14:solidFill>
              <w14:schemeClr w14:val="tx1"/>
            </w14:solidFill>
          </w14:textFill>
        </w:rPr>
      </w:pPr>
    </w:p>
    <w:p>
      <w:pPr>
        <w:pStyle w:val="14"/>
        <w:spacing w:line="360" w:lineRule="auto"/>
        <w:ind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开标时间后</w:t>
      </w:r>
      <w:r>
        <w:rPr>
          <w:rFonts w:hint="eastAsia" w:ascii="宋体" w:hAnsi="宋体" w:eastAsia="宋体" w:cs="宋体"/>
          <w:bCs/>
          <w:color w:val="000000" w:themeColor="text1"/>
          <w:kern w:val="0"/>
          <w:sz w:val="24"/>
          <w:szCs w:val="24"/>
          <w:lang w:val="en-US" w:eastAsia="zh-CN"/>
          <w14:textFill>
            <w14:solidFill>
              <w14:schemeClr w14:val="tx1"/>
            </w14:solidFill>
          </w14:textFill>
        </w:rPr>
        <w:t>30分钟</w:t>
      </w:r>
      <w:r>
        <w:rPr>
          <w:rFonts w:hint="eastAsia" w:ascii="宋体" w:hAnsi="宋体" w:eastAsia="宋体" w:cs="宋体"/>
          <w:bCs/>
          <w:color w:val="000000" w:themeColor="text1"/>
          <w:kern w:val="0"/>
          <w:sz w:val="24"/>
          <w:szCs w:val="24"/>
          <w14:textFill>
            <w14:solidFill>
              <w14:schemeClr w14:val="tx1"/>
            </w14:solidFill>
          </w14:textFill>
        </w:rPr>
        <w:t>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9</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15</w:t>
      </w:r>
      <w:r>
        <w:rPr>
          <w:rFonts w:hint="eastAsia" w:ascii="宋体" w:hAnsi="宋体" w:eastAsia="宋体" w:cs="宋体"/>
          <w:bCs/>
          <w:color w:val="000000" w:themeColor="text1"/>
          <w:kern w:val="0"/>
          <w:sz w:val="24"/>
          <w:szCs w:val="24"/>
          <w14:textFill>
            <w14:solidFill>
              <w14:schemeClr w14:val="tx1"/>
            </w14:solidFill>
          </w14:textFill>
        </w:rPr>
        <w:t>日上午10:</w:t>
      </w:r>
      <w:r>
        <w:rPr>
          <w:rFonts w:hint="eastAsia" w:ascii="宋体" w:hAnsi="宋体" w:eastAsia="宋体" w:cs="宋体"/>
          <w:bCs/>
          <w:color w:val="000000" w:themeColor="text1"/>
          <w:kern w:val="0"/>
          <w:sz w:val="24"/>
          <w:szCs w:val="24"/>
          <w:lang w:val="en-US" w:eastAsia="zh-CN"/>
          <w14:textFill>
            <w14:solidFill>
              <w14:schemeClr w14:val="tx1"/>
            </w14:solidFill>
          </w14:textFill>
        </w:rPr>
        <w:t>3</w:t>
      </w:r>
      <w:r>
        <w:rPr>
          <w:rFonts w:hint="eastAsia" w:ascii="宋体" w:hAnsi="宋体" w:eastAsia="宋体" w:cs="宋体"/>
          <w:bCs/>
          <w:color w:val="000000" w:themeColor="text1"/>
          <w:kern w:val="0"/>
          <w:sz w:val="24"/>
          <w:szCs w:val="24"/>
          <w14:textFill>
            <w14:solidFill>
              <w14:schemeClr w14:val="tx1"/>
            </w14:solidFill>
          </w14:textFill>
        </w:rPr>
        <w:t>0</w:t>
      </w:r>
      <w:r>
        <w:rPr>
          <w:rFonts w:hint="eastAsia" w:ascii="宋体" w:hAnsi="宋体" w:eastAsia="宋体" w:cs="宋体"/>
          <w:bCs/>
          <w:color w:val="000000" w:themeColor="text1"/>
          <w:kern w:val="0"/>
          <w:sz w:val="24"/>
          <w:szCs w:val="24"/>
          <w:lang w:val="en-US" w:eastAsia="zh-CN"/>
          <w14:textFill>
            <w14:solidFill>
              <w14:schemeClr w14:val="tx1"/>
            </w14:solidFill>
          </w14:textFill>
        </w:rPr>
        <w:t>-11：00</w:t>
      </w:r>
      <w:r>
        <w:rPr>
          <w:rFonts w:hint="eastAsia" w:ascii="宋体" w:hAnsi="宋体" w:eastAsia="宋体" w:cs="宋体"/>
          <w:bCs/>
          <w:color w:val="000000" w:themeColor="text1"/>
          <w:kern w:val="0"/>
          <w:sz w:val="24"/>
          <w:szCs w:val="24"/>
          <w14:textFill>
            <w14:solidFill>
              <w14:schemeClr w14:val="tx1"/>
            </w14:solidFill>
          </w14:textFill>
        </w:rPr>
        <w:t>前）供应商可以登录“政采云”平台，用“项目采购-开标评标”功能进行解密投标文件。若供应商在规定时间内（202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9</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15</w:t>
      </w:r>
      <w:r>
        <w:rPr>
          <w:rFonts w:hint="eastAsia" w:ascii="宋体" w:hAnsi="宋体" w:eastAsia="宋体" w:cs="宋体"/>
          <w:bCs/>
          <w:color w:val="000000" w:themeColor="text1"/>
          <w:kern w:val="0"/>
          <w:sz w:val="24"/>
          <w:szCs w:val="24"/>
          <w14:textFill>
            <w14:solidFill>
              <w14:schemeClr w14:val="tx1"/>
            </w14:solidFill>
          </w14:textFill>
        </w:rPr>
        <w:t>日上午</w:t>
      </w:r>
      <w:r>
        <w:rPr>
          <w:rFonts w:hint="eastAsia" w:ascii="宋体" w:hAnsi="宋体" w:eastAsia="宋体" w:cs="宋体"/>
          <w:bCs/>
          <w:color w:val="000000" w:themeColor="text1"/>
          <w:kern w:val="0"/>
          <w:sz w:val="24"/>
          <w:szCs w:val="24"/>
          <w:lang w:val="en-US" w:eastAsia="zh-CN"/>
          <w14:textFill>
            <w14:solidFill>
              <w14:schemeClr w14:val="tx1"/>
            </w14:solidFill>
          </w14:textFill>
        </w:rPr>
        <w:t>11</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0</w:t>
      </w:r>
      <w:r>
        <w:rPr>
          <w:rFonts w:hint="eastAsia" w:ascii="宋体" w:hAnsi="宋体" w:eastAsia="宋体" w:cs="宋体"/>
          <w:bCs/>
          <w:color w:val="000000" w:themeColor="text1"/>
          <w:kern w:val="0"/>
          <w:sz w:val="24"/>
          <w:szCs w:val="24"/>
          <w14:textFill>
            <w14:solidFill>
              <w14:schemeClr w14:val="tx1"/>
            </w14:solidFill>
          </w14:textFill>
        </w:rPr>
        <w:t>0前）未按时解密的，视为投标文件撤回。</w:t>
      </w:r>
    </w:p>
    <w:p>
      <w:pPr>
        <w:pStyle w:val="5"/>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hint="eastAsia" w:ascii="宋体" w:hAnsi="宋体" w:cs="宋体"/>
          <w:bCs/>
          <w:kern w:val="0"/>
          <w:sz w:val="24"/>
          <w:szCs w:val="24"/>
        </w:rPr>
        <w:fldChar w:fldCharType="end"/>
      </w:r>
      <w:r>
        <w:rPr>
          <w:rFonts w:hint="eastAsia" w:ascii="宋体" w:hAnsi="宋体" w:cs="宋体"/>
          <w:bCs/>
          <w:kern w:val="0"/>
          <w:sz w:val="24"/>
          <w:szCs w:val="24"/>
        </w:rPr>
        <w:t>。</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4"/>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3"/>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14"/>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14"/>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4"/>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p>
    <w:p>
      <w:pPr>
        <w:pStyle w:val="14"/>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14"/>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3"/>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293736015"/>
      <w:bookmarkStart w:id="44" w:name="_Toc293736058"/>
      <w:bookmarkStart w:id="45" w:name="_Toc293738996"/>
      <w:bookmarkStart w:id="46" w:name="_Toc446599315"/>
    </w:p>
    <w:p>
      <w:pPr>
        <w:pStyle w:val="5"/>
        <w:rPr>
          <w:rFonts w:ascii="宋体" w:hAnsi="宋体" w:cs="宋体"/>
          <w:sz w:val="24"/>
          <w:szCs w:val="24"/>
          <w:highlight w:val="green"/>
        </w:rPr>
      </w:pPr>
      <w:bookmarkStart w:id="47" w:name="_Toc17108"/>
      <w:bookmarkStart w:id="48" w:name="_Toc9991"/>
      <w:r>
        <w:rPr>
          <w:rFonts w:hint="eastAsia" w:ascii="宋体" w:hAnsi="宋体" w:cs="宋体"/>
          <w:sz w:val="24"/>
          <w:szCs w:val="24"/>
        </w:rPr>
        <w:t>六、 授予合同</w:t>
      </w:r>
      <w:bookmarkEnd w:id="43"/>
      <w:bookmarkEnd w:id="44"/>
      <w:bookmarkEnd w:id="45"/>
      <w:bookmarkEnd w:id="46"/>
      <w:bookmarkEnd w:id="47"/>
      <w:bookmarkEnd w:id="48"/>
    </w:p>
    <w:p>
      <w:pPr>
        <w:pStyle w:val="23"/>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5"/>
        <w:rPr>
          <w:rFonts w:ascii="宋体" w:hAnsi="宋体" w:cs="宋体"/>
          <w:sz w:val="24"/>
          <w:szCs w:val="24"/>
        </w:rPr>
      </w:pPr>
      <w:bookmarkStart w:id="49" w:name="_Toc293738997"/>
      <w:bookmarkStart w:id="50" w:name="_Toc293736016"/>
      <w:bookmarkStart w:id="51" w:name="_Toc293736059"/>
      <w:bookmarkStart w:id="52" w:name="_Toc446599316"/>
      <w:bookmarkStart w:id="53" w:name="_Toc30278"/>
      <w:bookmarkStart w:id="54" w:name="_Toc6301"/>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446599317"/>
      <w:bookmarkStart w:id="56" w:name="_Toc293736017"/>
      <w:bookmarkStart w:id="57" w:name="_Toc293736060"/>
      <w:bookmarkStart w:id="58" w:name="_Toc293738998"/>
      <w:bookmarkStart w:id="59" w:name="_Toc294515577"/>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14"/>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14"/>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9365"/>
      <w:bookmarkStart w:id="61" w:name="_Toc483174929"/>
      <w:bookmarkStart w:id="62" w:name="_Toc456336161"/>
      <w:bookmarkStart w:id="63" w:name="_Toc450546725"/>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5"/>
        <w:rPr>
          <w:rFonts w:ascii="宋体" w:hAnsi="宋体" w:cs="宋体"/>
          <w:b w:val="0"/>
          <w:bCs/>
          <w:kern w:val="0"/>
          <w:sz w:val="24"/>
          <w:szCs w:val="24"/>
        </w:rPr>
      </w:pPr>
      <w:bookmarkStart w:id="64" w:name="_Toc28310"/>
      <w:bookmarkStart w:id="65" w:name="_Toc21328"/>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5"/>
        <w:rPr>
          <w:rFonts w:ascii="宋体" w:hAnsi="宋体" w:cs="宋体"/>
          <w:sz w:val="24"/>
          <w:szCs w:val="24"/>
        </w:rPr>
      </w:pPr>
      <w:bookmarkStart w:id="66" w:name="_Toc293736061"/>
      <w:bookmarkStart w:id="67" w:name="_Toc293738999"/>
      <w:bookmarkStart w:id="68" w:name="_Toc19629"/>
      <w:bookmarkStart w:id="69" w:name="_Toc293736018"/>
      <w:bookmarkStart w:id="70" w:name="_Toc29378"/>
      <w:bookmarkStart w:id="71" w:name="_Toc44659931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5"/>
        <w:rPr>
          <w:rFonts w:ascii="宋体" w:hAnsi="宋体" w:cs="宋体"/>
          <w:sz w:val="24"/>
          <w:szCs w:val="24"/>
        </w:rPr>
      </w:pPr>
      <w:bookmarkStart w:id="72" w:name="_Toc23207"/>
      <w:bookmarkStart w:id="73" w:name="_Toc278891599"/>
      <w:bookmarkStart w:id="74" w:name="_Toc446599319"/>
      <w:bookmarkStart w:id="75" w:name="_Toc437611460"/>
      <w:bookmarkStart w:id="76" w:name="_Toc272247702"/>
      <w:bookmarkStart w:id="77" w:name="_Toc12755"/>
      <w:r>
        <w:rPr>
          <w:rFonts w:hint="eastAsia" w:ascii="宋体" w:hAnsi="宋体" w:cs="宋体"/>
          <w:sz w:val="24"/>
          <w:szCs w:val="24"/>
        </w:rPr>
        <w:t>十、磋商文件的解释权</w:t>
      </w:r>
      <w:bookmarkEnd w:id="72"/>
      <w:bookmarkEnd w:id="73"/>
      <w:bookmarkEnd w:id="74"/>
      <w:bookmarkEnd w:id="75"/>
      <w:bookmarkEnd w:id="76"/>
      <w:bookmarkEnd w:id="77"/>
    </w:p>
    <w:p>
      <w:pPr>
        <w:pStyle w:val="14"/>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5"/>
        <w:rPr>
          <w:rFonts w:ascii="宋体" w:hAnsi="宋体" w:cs="宋体"/>
          <w:sz w:val="24"/>
          <w:szCs w:val="24"/>
        </w:rPr>
      </w:pPr>
      <w:bookmarkStart w:id="78" w:name="_Toc446599320"/>
      <w:bookmarkStart w:id="79" w:name="_Toc437611461"/>
      <w:bookmarkStart w:id="80" w:name="_Toc26060"/>
      <w:bookmarkStart w:id="81" w:name="_Toc21111"/>
      <w:r>
        <w:rPr>
          <w:rFonts w:hint="eastAsia" w:ascii="宋体" w:hAnsi="宋体" w:cs="宋体"/>
          <w:sz w:val="24"/>
          <w:szCs w:val="24"/>
        </w:rPr>
        <w:t>十一、其他注意事项</w:t>
      </w:r>
      <w:bookmarkEnd w:id="78"/>
      <w:bookmarkEnd w:id="79"/>
      <w:bookmarkEnd w:id="80"/>
      <w:bookmarkEnd w:id="81"/>
    </w:p>
    <w:p>
      <w:pPr>
        <w:pStyle w:val="14"/>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14"/>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14"/>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14"/>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14"/>
        <w:spacing w:line="360" w:lineRule="auto"/>
        <w:ind w:firstLine="480"/>
        <w:rPr>
          <w:rFonts w:hAnsi="宋体" w:cs="宋体"/>
          <w:color w:val="FF00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p>
    <w:p>
      <w:pPr>
        <w:spacing w:line="540" w:lineRule="exact"/>
        <w:rPr>
          <w:color w:val="FF0000"/>
        </w:rPr>
      </w:pPr>
      <w:bookmarkStart w:id="82" w:name="_Toc293736063"/>
      <w:bookmarkStart w:id="83" w:name="_Toc22876"/>
      <w:bookmarkStart w:id="84" w:name="_Toc20901"/>
      <w:bookmarkStart w:id="85" w:name="_Toc446599322"/>
      <w:bookmarkStart w:id="86" w:name="_Toc293739001"/>
      <w:bookmarkStart w:id="87" w:name="_Toc293736020"/>
    </w:p>
    <w:p>
      <w:pPr>
        <w:pStyle w:val="23"/>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446599330"/>
      <w:bookmarkStart w:id="89" w:name="_Toc293736024"/>
      <w:bookmarkStart w:id="90" w:name="_Toc293739005"/>
      <w:bookmarkStart w:id="91" w:name="_Toc293736067"/>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w:t>
      </w:r>
      <w:r>
        <w:rPr>
          <w:rFonts w:hint="eastAsia" w:ascii="宋体" w:hAnsi="宋体" w:cs="宋体"/>
          <w:sz w:val="24"/>
          <w:szCs w:val="24"/>
          <w:highlight w:val="white"/>
          <w:lang w:eastAsia="zh-CN"/>
        </w:rPr>
        <w:t>16</w:t>
      </w:r>
      <w:r>
        <w:rPr>
          <w:rFonts w:hint="eastAsia" w:ascii="宋体" w:hAnsi="宋体" w:cs="宋体"/>
          <w:sz w:val="24"/>
          <w:szCs w:val="24"/>
          <w:highlight w:val="white"/>
        </w:rPr>
        <w:t>]2</w:t>
      </w:r>
      <w:r>
        <w:rPr>
          <w:rFonts w:hint="eastAsia" w:ascii="宋体" w:hAnsi="宋体" w:cs="宋体"/>
          <w:sz w:val="24"/>
          <w:szCs w:val="24"/>
          <w:highlight w:val="white"/>
          <w:lang w:eastAsia="zh-CN"/>
        </w:rPr>
        <w:t>16号</w:t>
      </w:r>
      <w:r>
        <w:rPr>
          <w:rFonts w:hint="eastAsia" w:ascii="宋体" w:hAnsi="宋体" w:cs="宋体"/>
          <w:sz w:val="24"/>
          <w:szCs w:val="24"/>
          <w:highlight w:val="white"/>
        </w:rPr>
        <w:t>）中第三条第三项的规定和执行统一价格标准的项目，其价格不列为评分因素。有特殊情况需要在上述规定范围外设定价格分权重的，应当经本级人民政府财政部门审核同意。</w:t>
      </w:r>
    </w:p>
    <w:p>
      <w:pPr>
        <w:pStyle w:val="18"/>
        <w:rPr>
          <w:highlight w:val="white"/>
        </w:rPr>
      </w:pPr>
    </w:p>
    <w:p>
      <w:pPr>
        <w:rPr>
          <w:highlight w:val="white"/>
        </w:rPr>
      </w:pPr>
    </w:p>
    <w:p>
      <w:pPr>
        <w:pStyle w:val="18"/>
        <w:rPr>
          <w:color w:val="FF0000"/>
          <w:highlight w:val="white"/>
        </w:rPr>
      </w:pPr>
    </w:p>
    <w:p>
      <w:pPr>
        <w:rPr>
          <w:color w:val="FF0000"/>
          <w:highlight w:val="white"/>
        </w:rPr>
      </w:pPr>
    </w:p>
    <w:p>
      <w:pPr>
        <w:pStyle w:val="18"/>
        <w:rPr>
          <w:color w:val="FF0000"/>
          <w:highlight w:val="white"/>
        </w:rPr>
      </w:pPr>
    </w:p>
    <w:p>
      <w:pPr>
        <w:rPr>
          <w:color w:val="FF0000"/>
          <w:highlight w:val="white"/>
        </w:rPr>
      </w:pPr>
    </w:p>
    <w:p>
      <w:pPr>
        <w:pStyle w:val="18"/>
        <w:rPr>
          <w:color w:val="FF0000"/>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18"/>
        <w:rPr>
          <w:highlight w:val="white"/>
        </w:rPr>
      </w:pPr>
    </w:p>
    <w:p>
      <w:pPr>
        <w:rPr>
          <w:highlight w:val="white"/>
        </w:rPr>
      </w:pPr>
    </w:p>
    <w:p>
      <w:pPr>
        <w:pStyle w:val="6"/>
      </w:pPr>
    </w:p>
    <w:p>
      <w:pPr>
        <w:pStyle w:val="18"/>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14"/>
        <w:ind w:firstLine="1928" w:firstLineChars="600"/>
        <w:rPr>
          <w:rFonts w:hint="eastAsia" w:ascii="宋体" w:hAnsi="宋体" w:eastAsia="宋体" w:cs="宋体"/>
          <w:b/>
          <w:kern w:val="2"/>
          <w:sz w:val="32"/>
          <w:szCs w:val="32"/>
          <w:lang w:val="en-US" w:eastAsia="zh-CN" w:bidi="ar-SA"/>
        </w:rPr>
      </w:pPr>
      <w:bookmarkStart w:id="92" w:name="EB2b9517aba70e41b6b8039ac384a1ee3b"/>
      <w:r>
        <w:rPr>
          <w:rFonts w:hint="eastAsia" w:ascii="宋体" w:hAnsi="宋体" w:eastAsia="宋体" w:cs="宋体"/>
          <w:b/>
          <w:kern w:val="2"/>
          <w:sz w:val="32"/>
          <w:szCs w:val="32"/>
          <w:lang w:val="en-US" w:eastAsia="zh-CN" w:bidi="ar-SA"/>
        </w:rPr>
        <w:t>投标文件响应程度初步审查表</w:t>
      </w:r>
    </w:p>
    <w:p>
      <w:pPr>
        <w:spacing w:line="360" w:lineRule="auto"/>
        <w:jc w:val="left"/>
        <w:rPr>
          <w:rFonts w:hint="eastAsia" w:ascii="宋体" w:hAnsi="宋体" w:cs="宋体"/>
          <w:b/>
          <w:bCs/>
          <w:sz w:val="24"/>
          <w:szCs w:val="24"/>
          <w:highlight w:val="white"/>
        </w:rPr>
      </w:pPr>
      <w:r>
        <w:rPr>
          <w:rFonts w:hint="eastAsia" w:ascii="宋体" w:hAnsi="宋体" w:cs="宋体"/>
          <w:b/>
          <w:bCs/>
          <w:sz w:val="24"/>
          <w:szCs w:val="24"/>
          <w:highlight w:val="white"/>
        </w:rPr>
        <w:t>1.资格性审查</w:t>
      </w:r>
    </w:p>
    <w:tbl>
      <w:tblPr>
        <w:tblStyle w:val="37"/>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lang w:val="en-US" w:eastAsia="zh-CN"/>
              </w:rPr>
              <w:t>1</w:t>
            </w: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hint="default" w:ascii="宋体" w:hAnsi="宋体" w:eastAsia="宋体" w:cs="宋体"/>
                <w:sz w:val="24"/>
                <w:szCs w:val="24"/>
                <w:highlight w:val="white"/>
                <w:lang w:val="en-US" w:eastAsia="zh-CN"/>
              </w:rPr>
            </w:pPr>
            <w:r>
              <w:rPr>
                <w:rFonts w:hint="eastAsia" w:ascii="宋体" w:hAnsi="宋体" w:cs="宋体"/>
                <w:sz w:val="24"/>
                <w:szCs w:val="24"/>
                <w:highlight w:val="white"/>
              </w:rPr>
              <w:t>有效的工商营业执照副本、税务登记证副本、组织机构代码证本或“三证合一”的营业执照副本</w:t>
            </w:r>
            <w:r>
              <w:rPr>
                <w:rFonts w:hint="eastAsia" w:ascii="宋体" w:hAnsi="宋体" w:cs="宋体"/>
                <w:sz w:val="24"/>
                <w:szCs w:val="24"/>
                <w:highlight w:val="white"/>
                <w:lang w:val="en-US" w:eastAsia="zh-CN"/>
              </w:rPr>
              <w:t>或事业单位法人证书；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ab/>
              <w:t>2</w:t>
            </w:r>
          </w:p>
        </w:tc>
        <w:tc>
          <w:tcPr>
            <w:tcW w:w="6964" w:type="dxa"/>
            <w:tcBorders>
              <w:right w:val="single" w:color="auto" w:sz="4" w:space="0"/>
            </w:tcBorders>
            <w:vAlign w:val="center"/>
          </w:tcPr>
          <w:p>
            <w:pPr>
              <w:pStyle w:val="16"/>
              <w:spacing w:before="75" w:beforeAutospacing="0" w:after="75" w:afterAutospacing="0"/>
              <w:rPr>
                <w:rFonts w:hint="eastAsia" w:ascii="宋体" w:hAnsi="宋体" w:cs="宋体"/>
                <w:sz w:val="24"/>
                <w:szCs w:val="24"/>
                <w:highlight w:val="white"/>
              </w:rPr>
            </w:pPr>
            <w:r>
              <w:rPr>
                <w:rFonts w:hint="eastAsia" w:ascii="宋体" w:hAnsi="宋体" w:eastAsia="宋体" w:cs="宋体"/>
                <w:color w:val="000000" w:themeColor="text1"/>
                <w:szCs w:val="21"/>
                <w14:textFill>
                  <w14:solidFill>
                    <w14:schemeClr w14:val="tx1"/>
                  </w14:solidFill>
                </w14:textFill>
              </w:rPr>
              <w:t>投标单位需提供地质灾害治理工程勘查、设计乙级（含乙级） 以上资质；；</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eastAsia="zh-CN"/>
              </w:rPr>
            </w:pPr>
            <w:r>
              <w:rPr>
                <w:rFonts w:hint="eastAsia" w:ascii="宋体" w:hAnsi="宋体" w:cs="宋体"/>
                <w:sz w:val="24"/>
                <w:szCs w:val="24"/>
                <w:highlight w:val="white"/>
                <w:lang w:eastAsia="zh-CN"/>
              </w:rPr>
              <w:tab/>
            </w:r>
            <w:r>
              <w:rPr>
                <w:rFonts w:hint="eastAsia" w:ascii="宋体" w:hAnsi="宋体" w:cs="宋体"/>
                <w:sz w:val="24"/>
                <w:szCs w:val="24"/>
                <w:highlight w:val="white"/>
                <w:lang w:val="en-US" w:eastAsia="zh-CN"/>
              </w:rPr>
              <w:t>3</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eastAsia="zh-CN"/>
              </w:rPr>
            </w:pPr>
            <w:r>
              <w:rPr>
                <w:rFonts w:hint="eastAsia" w:ascii="宋体" w:hAnsi="宋体" w:cs="宋体"/>
                <w:sz w:val="24"/>
                <w:szCs w:val="24"/>
                <w:highlight w:val="white"/>
                <w:lang w:val="en-US" w:eastAsia="zh-CN"/>
              </w:rPr>
              <w:t>44</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vAlign w:val="top"/>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360" w:lineRule="auto"/>
        <w:jc w:val="left"/>
        <w:rPr>
          <w:rFonts w:hint="eastAsia" w:ascii="宋体" w:hAnsi="宋体" w:cs="宋体"/>
          <w:b/>
          <w:bCs/>
          <w:sz w:val="24"/>
          <w:szCs w:val="24"/>
          <w:highlight w:val="white"/>
        </w:rPr>
      </w:pPr>
      <w:r>
        <w:rPr>
          <w:rFonts w:hint="eastAsia" w:ascii="宋体" w:hAnsi="宋体" w:cs="宋体"/>
          <w:b/>
          <w:bCs/>
          <w:sz w:val="24"/>
          <w:szCs w:val="24"/>
          <w:highlight w:val="white"/>
        </w:rPr>
        <w:t>2.符合性审查</w:t>
      </w:r>
    </w:p>
    <w:tbl>
      <w:tblPr>
        <w:tblStyle w:val="37"/>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1</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2</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是否满足招标文件规定的</w:t>
            </w:r>
            <w:r>
              <w:rPr>
                <w:rFonts w:hint="eastAsia" w:ascii="宋体" w:hAnsi="宋体" w:cs="宋体"/>
                <w:sz w:val="24"/>
                <w:szCs w:val="24"/>
                <w:highlight w:val="white"/>
                <w:lang w:eastAsia="zh-CN"/>
              </w:rPr>
              <w:t>服务</w:t>
            </w:r>
            <w:r>
              <w:rPr>
                <w:rFonts w:hint="eastAsia" w:ascii="宋体" w:hAnsi="宋体" w:cs="宋体"/>
                <w:sz w:val="24"/>
                <w:szCs w:val="24"/>
                <w:highlight w:val="white"/>
              </w:rPr>
              <w:t>期限；</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3</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4</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5</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6</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7</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bookmarkStart w:id="148" w:name="_GoBack"/>
            <w:bookmarkEnd w:id="148"/>
          </w:p>
        </w:tc>
        <w:tc>
          <w:tcPr>
            <w:tcW w:w="646" w:type="dxa"/>
            <w:tcBorders>
              <w:left w:val="single" w:color="auto" w:sz="4" w:space="0"/>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left w:val="single" w:color="auto" w:sz="4" w:space="0"/>
              <w:bottom w:val="single" w:color="auto" w:sz="12" w:space="0"/>
            </w:tcBorders>
            <w:vAlign w:val="top"/>
          </w:tcPr>
          <w:p>
            <w:pPr>
              <w:spacing w:line="360" w:lineRule="auto"/>
              <w:jc w:val="left"/>
              <w:rPr>
                <w:rFonts w:hint="eastAsia" w:ascii="宋体" w:hAnsi="宋体" w:cs="宋体"/>
                <w:sz w:val="24"/>
                <w:szCs w:val="24"/>
                <w:highlight w:val="white"/>
              </w:rPr>
            </w:pPr>
          </w:p>
        </w:tc>
        <w:tc>
          <w:tcPr>
            <w:tcW w:w="646" w:type="dxa"/>
            <w:tcBorders>
              <w:bottom w:val="single" w:color="auto" w:sz="12" w:space="0"/>
            </w:tcBorders>
            <w:vAlign w:val="top"/>
          </w:tcPr>
          <w:p>
            <w:pPr>
              <w:spacing w:line="360" w:lineRule="auto"/>
              <w:jc w:val="left"/>
              <w:rPr>
                <w:rFonts w:hint="eastAsia" w:ascii="宋体" w:hAnsi="宋体" w:cs="宋体"/>
                <w:sz w:val="24"/>
                <w:szCs w:val="24"/>
                <w:highlight w:val="white"/>
              </w:rPr>
            </w:pPr>
          </w:p>
        </w:tc>
        <w:tc>
          <w:tcPr>
            <w:tcW w:w="597" w:type="dxa"/>
            <w:tcBorders>
              <w:bottom w:val="single" w:color="auto" w:sz="12" w:space="0"/>
            </w:tcBorders>
            <w:vAlign w:val="top"/>
          </w:tcPr>
          <w:p>
            <w:pPr>
              <w:spacing w:line="360" w:lineRule="auto"/>
              <w:jc w:val="left"/>
              <w:rPr>
                <w:rFonts w:hint="eastAsia" w:ascii="宋体" w:hAnsi="宋体" w:cs="宋体"/>
                <w:sz w:val="24"/>
                <w:szCs w:val="24"/>
                <w:highlight w:val="white"/>
              </w:rPr>
            </w:pPr>
          </w:p>
        </w:tc>
      </w:tr>
    </w:tbl>
    <w:p>
      <w:pPr>
        <w:pStyle w:val="32"/>
        <w:rPr>
          <w:rFonts w:hint="eastAsia"/>
          <w:b w:val="0"/>
          <w:bCs w:val="0"/>
          <w:color w:val="auto"/>
          <w:sz w:val="24"/>
          <w:szCs w:val="24"/>
          <w:lang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ind w:firstLine="3600" w:firstLineChars="1500"/>
        <w:rPr>
          <w:rFonts w:hint="eastAsia"/>
          <w:b w:val="0"/>
          <w:bCs w:val="0"/>
          <w:color w:val="auto"/>
          <w:sz w:val="24"/>
          <w:szCs w:val="24"/>
          <w:lang w:val="en-US" w:eastAsia="zh-CN"/>
        </w:rPr>
      </w:pPr>
    </w:p>
    <w:p>
      <w:pPr>
        <w:pStyle w:val="32"/>
        <w:rPr>
          <w:rFonts w:hint="eastAsia" w:ascii="宋体" w:hAnsi="宋体" w:eastAsia="宋体" w:cs="宋体"/>
          <w:kern w:val="2"/>
          <w:sz w:val="24"/>
          <w:szCs w:val="24"/>
          <w:highlight w:val="white"/>
          <w:lang w:val="en-US" w:eastAsia="zh-CN" w:bidi="ar-SA"/>
        </w:rPr>
      </w:pPr>
    </w:p>
    <w:p>
      <w:pPr>
        <w:pStyle w:val="32"/>
        <w:rPr>
          <w:rFonts w:hint="eastAsia" w:ascii="宋体" w:hAnsi="宋体" w:eastAsia="宋体" w:cs="宋体"/>
          <w:b/>
          <w:bCs/>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                       </w:t>
      </w:r>
      <w:r>
        <w:rPr>
          <w:rFonts w:hint="eastAsia" w:ascii="宋体" w:hAnsi="宋体" w:eastAsia="宋体" w:cs="宋体"/>
          <w:b/>
          <w:bCs/>
          <w:kern w:val="2"/>
          <w:sz w:val="24"/>
          <w:szCs w:val="24"/>
          <w:highlight w:val="white"/>
          <w:lang w:val="en-US" w:eastAsia="zh-CN" w:bidi="ar-SA"/>
        </w:rPr>
        <w:t xml:space="preserve">   3、 详细评审表</w:t>
      </w:r>
    </w:p>
    <w:tbl>
      <w:tblPr>
        <w:tblStyle w:val="37"/>
        <w:tblpPr w:leftFromText="180" w:rightFromText="180" w:vertAnchor="page" w:horzAnchor="page" w:tblpX="938" w:tblpY="2649"/>
        <w:tblW w:w="10534" w:type="dxa"/>
        <w:tblInd w:w="0" w:type="dxa"/>
        <w:tblLayout w:type="fixed"/>
        <w:tblCellMar>
          <w:top w:w="0" w:type="dxa"/>
          <w:left w:w="108" w:type="dxa"/>
          <w:bottom w:w="0" w:type="dxa"/>
          <w:right w:w="108" w:type="dxa"/>
        </w:tblCellMar>
      </w:tblPr>
      <w:tblGrid>
        <w:gridCol w:w="743"/>
        <w:gridCol w:w="1559"/>
        <w:gridCol w:w="851"/>
        <w:gridCol w:w="7381"/>
      </w:tblGrid>
      <w:tr>
        <w:tblPrEx>
          <w:tblCellMar>
            <w:top w:w="0" w:type="dxa"/>
            <w:left w:w="108" w:type="dxa"/>
            <w:bottom w:w="0" w:type="dxa"/>
            <w:right w:w="108" w:type="dxa"/>
          </w:tblCellMar>
        </w:tblPrEx>
        <w:trPr>
          <w:trHeight w:val="750"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序号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评标指标       </w:t>
            </w:r>
          </w:p>
        </w:tc>
        <w:tc>
          <w:tcPr>
            <w:tcW w:w="851" w:type="dxa"/>
            <w:vMerge w:val="restart"/>
            <w:tcBorders>
              <w:top w:val="single" w:color="auto" w:sz="4" w:space="0"/>
              <w:left w:val="nil"/>
              <w:bottom w:val="single" w:color="000000" w:sz="4" w:space="0"/>
              <w:right w:val="nil"/>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分值    </w:t>
            </w:r>
          </w:p>
        </w:tc>
        <w:tc>
          <w:tcPr>
            <w:tcW w:w="7381" w:type="dxa"/>
            <w:vMerge w:val="restart"/>
            <w:tcBorders>
              <w:top w:val="single" w:color="auto" w:sz="4" w:space="0"/>
              <w:left w:val="single" w:color="auto" w:sz="4" w:space="0"/>
              <w:bottom w:val="single" w:color="000000" w:sz="4" w:space="0"/>
              <w:right w:val="single" w:color="000000" w:sz="4" w:space="0"/>
            </w:tcBorders>
            <w:vAlign w:val="center"/>
          </w:tcPr>
          <w:p>
            <w:pPr>
              <w:spacing w:line="360" w:lineRule="auto"/>
              <w:ind w:firstLine="2880" w:firstLineChars="1200"/>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评标内容</w:t>
            </w:r>
          </w:p>
        </w:tc>
      </w:tr>
      <w:tr>
        <w:tblPrEx>
          <w:tblCellMar>
            <w:top w:w="0" w:type="dxa"/>
            <w:left w:w="108" w:type="dxa"/>
            <w:bottom w:w="0" w:type="dxa"/>
            <w:right w:w="108" w:type="dxa"/>
          </w:tblCellMar>
        </w:tblPrEx>
        <w:trPr>
          <w:trHeight w:val="312"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c>
          <w:tcPr>
            <w:tcW w:w="851" w:type="dxa"/>
            <w:vMerge w:val="continue"/>
            <w:tcBorders>
              <w:top w:val="single" w:color="auto" w:sz="4" w:space="0"/>
              <w:left w:val="nil"/>
              <w:bottom w:val="single" w:color="000000" w:sz="4" w:space="0"/>
              <w:right w:val="nil"/>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c>
          <w:tcPr>
            <w:tcW w:w="7381" w:type="dxa"/>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kern w:val="2"/>
                <w:sz w:val="24"/>
                <w:szCs w:val="24"/>
                <w:highlight w:val="white"/>
                <w:lang w:val="en-US" w:eastAsia="zh-CN" w:bidi="ar-SA"/>
              </w:rPr>
            </w:pPr>
          </w:p>
        </w:tc>
      </w:tr>
      <w:tr>
        <w:tblPrEx>
          <w:tblCellMar>
            <w:top w:w="0" w:type="dxa"/>
            <w:left w:w="108" w:type="dxa"/>
            <w:bottom w:w="0" w:type="dxa"/>
            <w:right w:w="108" w:type="dxa"/>
          </w:tblCellMar>
        </w:tblPrEx>
        <w:trPr>
          <w:trHeight w:val="695" w:hRule="atLeast"/>
        </w:trPr>
        <w:tc>
          <w:tcPr>
            <w:tcW w:w="743" w:type="dxa"/>
            <w:vMerge w:val="restart"/>
            <w:tcBorders>
              <w:top w:val="nil"/>
              <w:left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1</w:t>
            </w:r>
          </w:p>
          <w:p>
            <w:pPr>
              <w:spacing w:line="360" w:lineRule="auto"/>
              <w:jc w:val="center"/>
              <w:rPr>
                <w:rFonts w:hint="default" w:ascii="宋体" w:hAnsi="宋体" w:eastAsia="宋体" w:cs="宋体"/>
                <w:kern w:val="2"/>
                <w:sz w:val="24"/>
                <w:szCs w:val="24"/>
                <w:highlight w:val="white"/>
                <w:lang w:val="en-US" w:eastAsia="zh-CN" w:bidi="ar-SA"/>
              </w:rPr>
            </w:pPr>
          </w:p>
        </w:tc>
        <w:tc>
          <w:tcPr>
            <w:tcW w:w="1559" w:type="dxa"/>
            <w:vMerge w:val="restart"/>
            <w:tcBorders>
              <w:top w:val="nil"/>
              <w:left w:val="nil"/>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cs="宋体"/>
                <w:kern w:val="2"/>
                <w:sz w:val="24"/>
                <w:szCs w:val="24"/>
                <w:highlight w:val="white"/>
                <w:lang w:val="en-US" w:eastAsia="zh-CN" w:bidi="ar-SA"/>
              </w:rPr>
              <w:t>商务</w:t>
            </w:r>
            <w:r>
              <w:rPr>
                <w:rFonts w:hint="eastAsia" w:ascii="宋体" w:hAnsi="宋体" w:cs="宋体"/>
                <w:sz w:val="24"/>
                <w:szCs w:val="24"/>
                <w:highlight w:val="white"/>
                <w:lang w:val="en-US" w:eastAsia="zh-CN"/>
              </w:rPr>
              <w:t>响应部分</w:t>
            </w:r>
          </w:p>
        </w:tc>
        <w:tc>
          <w:tcPr>
            <w:tcW w:w="851" w:type="dxa"/>
            <w:tcBorders>
              <w:top w:val="nil"/>
              <w:left w:val="nil"/>
              <w:bottom w:val="single" w:color="auto" w:sz="4" w:space="0"/>
              <w:right w:val="nil"/>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10分</w:t>
            </w:r>
          </w:p>
        </w:tc>
        <w:tc>
          <w:tcPr>
            <w:tcW w:w="7381"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投标价格最低的投标报价为评标基准价，其价格分为满分。价格分的计算：投标报价得分=(评标基准价／投标报价)×0.1×100</w:t>
            </w:r>
          </w:p>
        </w:tc>
      </w:tr>
      <w:tr>
        <w:tblPrEx>
          <w:tblCellMar>
            <w:top w:w="0" w:type="dxa"/>
            <w:left w:w="108" w:type="dxa"/>
            <w:bottom w:w="0" w:type="dxa"/>
            <w:right w:w="108" w:type="dxa"/>
          </w:tblCellMar>
        </w:tblPrEx>
        <w:trPr>
          <w:trHeight w:val="1128" w:hRule="atLeast"/>
        </w:trPr>
        <w:tc>
          <w:tcPr>
            <w:tcW w:w="743" w:type="dxa"/>
            <w:vMerge w:val="continue"/>
            <w:tcBorders>
              <w:left w:val="single" w:color="auto" w:sz="4" w:space="0"/>
              <w:right w:val="single" w:color="auto" w:sz="4" w:space="0"/>
            </w:tcBorders>
            <w:vAlign w:val="center"/>
          </w:tcPr>
          <w:p>
            <w:pPr>
              <w:spacing w:line="360" w:lineRule="auto"/>
              <w:jc w:val="center"/>
              <w:rPr>
                <w:rFonts w:hint="default" w:ascii="宋体" w:hAnsi="宋体" w:eastAsia="宋体" w:cs="宋体"/>
                <w:kern w:val="2"/>
                <w:sz w:val="24"/>
                <w:szCs w:val="24"/>
                <w:highlight w:val="white"/>
                <w:lang w:val="en-US" w:eastAsia="zh-CN" w:bidi="ar-SA"/>
              </w:rPr>
            </w:pPr>
          </w:p>
        </w:tc>
        <w:tc>
          <w:tcPr>
            <w:tcW w:w="1559" w:type="dxa"/>
            <w:vMerge w:val="continue"/>
            <w:tcBorders>
              <w:left w:val="nil"/>
              <w:right w:val="single" w:color="auto" w:sz="4" w:space="0"/>
            </w:tcBorders>
            <w:vAlign w:val="center"/>
          </w:tcPr>
          <w:p>
            <w:pPr>
              <w:spacing w:line="360" w:lineRule="auto"/>
              <w:rPr>
                <w:rFonts w:hint="eastAsia" w:ascii="宋体" w:hAnsi="宋体" w:cs="宋体"/>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default" w:ascii="宋体" w:hAnsi="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cs="宋体"/>
                <w:color w:val="000000" w:themeColor="text1"/>
                <w:kern w:val="2"/>
                <w:sz w:val="24"/>
                <w:szCs w:val="24"/>
                <w:highlight w:val="white"/>
                <w:lang w:val="en-US" w:eastAsia="zh-CN" w:bidi="ar-SA"/>
                <w14:textFill>
                  <w14:solidFill>
                    <w14:schemeClr w14:val="tx1"/>
                  </w14:solidFill>
                </w14:textFill>
              </w:rPr>
              <w:t>10分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本项包含项目标报价及承诺、项目概况（含工作区基本情况）、项目设计预  算编制依据、工程方案内容及工作量情况、采用的费用标准和计算方法、工程技术指标分析、需要说明的问题等每个方面内容。</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满分10分；</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 xml:space="preserve">其中：缺少项目投标报价及承诺扣 </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分；项目概况、项目设计预算编制依据、工程方案内容及工作量情况、采用的费用标准和计算方法、工程技术指标分析、需要说明的问题等 6 项，每缺一方面内容扣</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分。每个方面内容不详细、不全面或不正确者扣1 分。本项分值扣完为止。</w:t>
            </w:r>
          </w:p>
        </w:tc>
      </w:tr>
      <w:tr>
        <w:tblPrEx>
          <w:tblCellMar>
            <w:top w:w="0" w:type="dxa"/>
            <w:left w:w="108" w:type="dxa"/>
            <w:bottom w:w="0" w:type="dxa"/>
            <w:right w:w="108" w:type="dxa"/>
          </w:tblCellMar>
        </w:tblPrEx>
        <w:trPr>
          <w:trHeight w:val="1128" w:hRule="atLeast"/>
        </w:trPr>
        <w:tc>
          <w:tcPr>
            <w:tcW w:w="74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white"/>
                <w:lang w:val="en-US" w:eastAsia="zh-CN" w:bidi="ar-SA"/>
              </w:rPr>
            </w:pPr>
          </w:p>
        </w:tc>
        <w:tc>
          <w:tcPr>
            <w:tcW w:w="1559" w:type="dxa"/>
            <w:vMerge w:val="continue"/>
            <w:tcBorders>
              <w:left w:val="nil"/>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default" w:ascii="宋体" w:hAnsi="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cs="宋体"/>
                <w:color w:val="000000" w:themeColor="text1"/>
                <w:kern w:val="2"/>
                <w:sz w:val="24"/>
                <w:szCs w:val="24"/>
                <w:highlight w:val="white"/>
                <w:lang w:val="en-US" w:eastAsia="zh-CN" w:bidi="ar-SA"/>
                <w14:textFill>
                  <w14:solidFill>
                    <w14:schemeClr w14:val="tx1"/>
                  </w14:solidFill>
                </w14:textFill>
              </w:rPr>
              <w:t>4分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工作方法、工作部署、工作量布置及其他相关技术指标等与技术方案完全一致得满分</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4分</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，每错 1 处扣1 分，本项分值扣完为止。</w:t>
            </w:r>
          </w:p>
        </w:tc>
      </w:tr>
      <w:tr>
        <w:tblPrEx>
          <w:tblCellMar>
            <w:top w:w="0" w:type="dxa"/>
            <w:left w:w="108" w:type="dxa"/>
            <w:bottom w:w="0" w:type="dxa"/>
            <w:right w:w="108" w:type="dxa"/>
          </w:tblCellMar>
        </w:tblPrEx>
        <w:trPr>
          <w:trHeight w:val="90" w:hRule="atLeast"/>
        </w:trPr>
        <w:tc>
          <w:tcPr>
            <w:tcW w:w="743"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2"/>
                <w:sz w:val="24"/>
                <w:szCs w:val="24"/>
                <w:highlight w:val="white"/>
                <w:lang w:val="en-US" w:eastAsia="zh-CN" w:bidi="ar-SA"/>
              </w:rPr>
            </w:pPr>
          </w:p>
        </w:tc>
        <w:tc>
          <w:tcPr>
            <w:tcW w:w="1559" w:type="dxa"/>
            <w:vMerge w:val="continue"/>
            <w:tcBorders>
              <w:left w:val="nil"/>
              <w:bottom w:val="single" w:color="auto" w:sz="4" w:space="0"/>
              <w:right w:val="single" w:color="auto" w:sz="4" w:space="0"/>
            </w:tcBorders>
            <w:vAlign w:val="center"/>
          </w:tcPr>
          <w:p>
            <w:pPr>
              <w:spacing w:line="360" w:lineRule="auto"/>
              <w:rPr>
                <w:rFonts w:hint="eastAsia" w:ascii="宋体" w:hAnsi="宋体" w:eastAsia="宋体" w:cs="宋体"/>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cs="宋体"/>
                <w:color w:val="000000" w:themeColor="text1"/>
                <w:kern w:val="2"/>
                <w:sz w:val="24"/>
                <w:szCs w:val="24"/>
                <w:highlight w:val="whit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提供</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2019年至今</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 xml:space="preserve">类似业绩并提供证明材料得 1 分，未提供证明材料不得分，本项最高得 </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white"/>
                <w:lang w:val="en-US" w:eastAsia="zh-CN" w:bidi="ar-SA"/>
                <w14:textFill>
                  <w14:solidFill>
                    <w14:schemeClr w14:val="tx1"/>
                  </w14:solidFill>
                </w14:textFill>
              </w:rPr>
              <w:t xml:space="preserve"> 分。  </w:t>
            </w:r>
            <w:r>
              <w:rPr>
                <w:rFonts w:hint="eastAsia" w:ascii="宋体" w:hAnsi="宋体" w:cs="宋体"/>
                <w:color w:val="000000" w:themeColor="text1"/>
                <w:kern w:val="2"/>
                <w:sz w:val="24"/>
                <w:szCs w:val="24"/>
                <w:highlight w:val="white"/>
                <w:lang w:val="en-US" w:eastAsia="zh-CN" w:bidi="ar-SA"/>
                <w14:textFill>
                  <w14:solidFill>
                    <w14:schemeClr w14:val="tx1"/>
                  </w14:solidFill>
                </w14:textFill>
              </w:rPr>
              <w:t>（证明材料：合同及中标通知书）</w:t>
            </w:r>
          </w:p>
        </w:tc>
      </w:tr>
      <w:tr>
        <w:tblPrEx>
          <w:tblCellMar>
            <w:top w:w="0" w:type="dxa"/>
            <w:left w:w="108" w:type="dxa"/>
            <w:bottom w:w="0" w:type="dxa"/>
            <w:right w:w="108" w:type="dxa"/>
          </w:tblCellMar>
        </w:tblPrEx>
        <w:trPr>
          <w:trHeight w:val="1266"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both"/>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技术响应部分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000000" w:themeColor="text1"/>
                <w:sz w:val="24"/>
                <w:szCs w:val="24"/>
                <w:highlight w:val="white"/>
                <w14:textFill>
                  <w14:solidFill>
                    <w14:schemeClr w14:val="tx1"/>
                  </w14:solidFill>
                </w14:textFill>
              </w:rPr>
            </w:pPr>
            <w:r>
              <w:rPr>
                <w:rFonts w:hint="eastAsia" w:ascii="宋体" w:hAnsi="宋体" w:cs="宋体"/>
                <w:color w:val="000000" w:themeColor="text1"/>
                <w:sz w:val="24"/>
                <w:szCs w:val="24"/>
                <w:highlight w:val="white"/>
                <w:lang w:val="en-US" w:eastAsia="zh-CN"/>
                <w14:textFill>
                  <w14:solidFill>
                    <w14:schemeClr w14:val="tx1"/>
                  </w14:solidFill>
                </w14:textFill>
              </w:rPr>
              <w:t>20</w:t>
            </w:r>
            <w:r>
              <w:rPr>
                <w:rFonts w:hint="eastAsia" w:ascii="宋体" w:hAnsi="宋体" w:cs="宋体"/>
                <w:color w:val="000000" w:themeColor="text1"/>
                <w:sz w:val="24"/>
                <w:szCs w:val="24"/>
                <w:highlight w:val="white"/>
                <w14:textFill>
                  <w14:solidFill>
                    <w14:schemeClr w14:val="tx1"/>
                  </w14:solidFill>
                </w14:textFill>
              </w:rPr>
              <w:t>分</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rPr>
            </w:pPr>
            <w:r>
              <w:rPr>
                <w:rFonts w:hint="eastAsia"/>
              </w:rPr>
              <w:t>工作思路、工作部署、工作量布置、进度安排明确清晰。主要内容包括：</w:t>
            </w:r>
          </w:p>
          <w:p>
            <w:pPr>
              <w:spacing w:line="360" w:lineRule="auto"/>
              <w:rPr>
                <w:rFonts w:hint="eastAsia"/>
              </w:rPr>
            </w:pPr>
            <w:r>
              <w:rPr>
                <w:rFonts w:hint="eastAsia"/>
              </w:rPr>
              <w:t>1.调查、评价和预测滑坡、崩塌、泥石流发展趋势， 进行环境工程地质条件区划；</w:t>
            </w:r>
          </w:p>
          <w:p>
            <w:pPr>
              <w:spacing w:line="360" w:lineRule="auto"/>
              <w:rPr>
                <w:rFonts w:hint="eastAsia"/>
              </w:rPr>
            </w:pPr>
            <w:r>
              <w:rPr>
                <w:rFonts w:hint="eastAsia"/>
              </w:rPr>
              <w:t>2.调查潜在和已发生滑坡、崩塌、泥石流等地质灾害点并评估复活性、危险性、危害性，提出防治措施建议；</w:t>
            </w:r>
          </w:p>
          <w:p>
            <w:pPr>
              <w:spacing w:line="360" w:lineRule="auto"/>
              <w:rPr>
                <w:rFonts w:hint="eastAsia"/>
              </w:rPr>
            </w:pPr>
            <w:r>
              <w:rPr>
                <w:rFonts w:hint="eastAsia"/>
              </w:rPr>
              <w:t>3.部署重要区域大比例尺风险调查、重大单体孕灾机理研究等，工作部署和量科学合理；</w:t>
            </w:r>
          </w:p>
          <w:p>
            <w:pPr>
              <w:spacing w:line="360" w:lineRule="auto"/>
              <w:rPr>
                <w:rFonts w:hint="eastAsia"/>
              </w:rPr>
            </w:pPr>
            <w:r>
              <w:rPr>
                <w:rFonts w:hint="eastAsia"/>
              </w:rPr>
              <w:t>4.进行地质灾害分区评价，圈定易发区和危险区，编制（或完善）地质灾害防治区划（建议）；协助地方政府完善地质灾害群测群防网络，编制重要地质灾害隐患点防灾预案；</w:t>
            </w:r>
          </w:p>
          <w:p>
            <w:pPr>
              <w:spacing w:line="360" w:lineRule="auto"/>
              <w:rPr>
                <w:rFonts w:hint="eastAsia"/>
              </w:rPr>
            </w:pPr>
            <w:r>
              <w:rPr>
                <w:rFonts w:hint="eastAsia"/>
              </w:rPr>
              <w:t>5、提出地质灾害风险管控对策建议，为防灾减灾管理、国土空间规划和用途管制等提供基础依据。</w:t>
            </w:r>
          </w:p>
          <w:p>
            <w:pPr>
              <w:spacing w:line="360" w:lineRule="auto"/>
              <w:rPr>
                <w:rFonts w:hint="eastAsia"/>
              </w:rPr>
            </w:pPr>
            <w:r>
              <w:rPr>
                <w:rFonts w:hint="eastAsia"/>
              </w:rPr>
              <w:t>6、建立地质灾害风险调查空间数据库。</w:t>
            </w:r>
          </w:p>
          <w:p>
            <w:pPr>
              <w:spacing w:line="360" w:lineRule="auto"/>
              <w:rPr>
                <w:rFonts w:hint="eastAsia"/>
              </w:rPr>
            </w:pPr>
            <w:r>
              <w:rPr>
                <w:rFonts w:hint="eastAsia"/>
              </w:rPr>
              <w:t>内容全面、合理 20 分，每缺 1 项扣 4 分，内容不合理或不完整的每处扣 2 分。</w:t>
            </w:r>
          </w:p>
        </w:tc>
      </w:tr>
      <w:tr>
        <w:tblPrEx>
          <w:tblCellMar>
            <w:top w:w="0" w:type="dxa"/>
            <w:left w:w="108" w:type="dxa"/>
            <w:bottom w:w="0" w:type="dxa"/>
            <w:right w:w="108" w:type="dxa"/>
          </w:tblCellMar>
        </w:tblPrEx>
        <w:trPr>
          <w:trHeight w:val="86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15分</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包括实施计划、组织管理、服务方案及具体服务措施、保障措施，优良得15-10分、中得9-6分、差得5-0分三个档次。</w:t>
            </w:r>
          </w:p>
        </w:tc>
      </w:tr>
      <w:tr>
        <w:tblPrEx>
          <w:tblCellMar>
            <w:top w:w="0" w:type="dxa"/>
            <w:left w:w="108" w:type="dxa"/>
            <w:bottom w:w="0" w:type="dxa"/>
            <w:right w:w="108" w:type="dxa"/>
          </w:tblCellMar>
        </w:tblPrEx>
        <w:trPr>
          <w:trHeight w:val="111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5</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管理机构健全明确、项目人员专业组成全面、分工合理 5 分，基本健全明确、基本全面、合理、基本满足 1-4 分，无内容 0 分.</w:t>
            </w:r>
          </w:p>
        </w:tc>
      </w:tr>
      <w:tr>
        <w:tblPrEx>
          <w:tblCellMar>
            <w:top w:w="0" w:type="dxa"/>
            <w:left w:w="108" w:type="dxa"/>
            <w:bottom w:w="0" w:type="dxa"/>
            <w:right w:w="108" w:type="dxa"/>
          </w:tblCellMar>
        </w:tblPrEx>
        <w:trPr>
          <w:trHeight w:val="660"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7</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white"/>
                <w:lang w:eastAsia="zh-CN"/>
              </w:rPr>
            </w:pPr>
            <w:r>
              <w:rPr>
                <w:rFonts w:hint="eastAsia" w:ascii="宋体" w:hAnsi="宋体" w:cs="宋体"/>
                <w:sz w:val="24"/>
                <w:szCs w:val="24"/>
                <w:highlight w:val="white"/>
              </w:rPr>
              <w:t>预期成果应对提交的成果报告、附图、附件、信息系统建设等予以明确</w:t>
            </w:r>
            <w:r>
              <w:rPr>
                <w:rFonts w:hint="eastAsia" w:ascii="宋体" w:hAnsi="宋体" w:cs="宋体"/>
                <w:sz w:val="24"/>
                <w:szCs w:val="24"/>
                <w:highlight w:val="white"/>
                <w:lang w:eastAsia="zh-CN"/>
              </w:rPr>
              <w:t>，预期成果与招标任务书要求完全一致7 分，基本一致 1-6 分，完全不一致 0 分。</w:t>
            </w:r>
          </w:p>
        </w:tc>
      </w:tr>
      <w:tr>
        <w:tblPrEx>
          <w:tblCellMar>
            <w:top w:w="0" w:type="dxa"/>
            <w:left w:w="108" w:type="dxa"/>
            <w:bottom w:w="0" w:type="dxa"/>
            <w:right w:w="108" w:type="dxa"/>
          </w:tblCellMar>
        </w:tblPrEx>
        <w:trPr>
          <w:trHeight w:val="82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5</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质量、进度、安全的保障体系应健全，主要措施应明确</w:t>
            </w:r>
            <w:r>
              <w:rPr>
                <w:rFonts w:hint="eastAsia" w:ascii="宋体" w:hAnsi="宋体" w:cs="宋体"/>
                <w:sz w:val="24"/>
                <w:szCs w:val="24"/>
                <w:highlight w:val="white"/>
                <w:lang w:eastAsia="zh-CN"/>
              </w:rPr>
              <w:t>，</w:t>
            </w:r>
            <w:r>
              <w:rPr>
                <w:rFonts w:hint="eastAsia" w:ascii="宋体" w:hAnsi="宋体" w:cs="宋体"/>
                <w:sz w:val="24"/>
                <w:szCs w:val="24"/>
                <w:highlight w:val="white"/>
              </w:rPr>
              <w:t>健全明确</w:t>
            </w:r>
            <w:r>
              <w:rPr>
                <w:rFonts w:hint="eastAsia" w:ascii="宋体" w:hAnsi="宋体" w:cs="宋体"/>
                <w:sz w:val="24"/>
                <w:szCs w:val="24"/>
                <w:highlight w:val="white"/>
                <w:lang w:val="en-US" w:eastAsia="zh-CN"/>
              </w:rPr>
              <w:t>5</w:t>
            </w:r>
            <w:r>
              <w:rPr>
                <w:rFonts w:hint="eastAsia" w:ascii="宋体" w:hAnsi="宋体" w:cs="宋体"/>
                <w:sz w:val="24"/>
                <w:szCs w:val="24"/>
                <w:highlight w:val="white"/>
              </w:rPr>
              <w:t>分，基本健全明确 1-</w:t>
            </w:r>
            <w:r>
              <w:rPr>
                <w:rFonts w:hint="eastAsia" w:ascii="宋体" w:hAnsi="宋体" w:cs="宋体"/>
                <w:sz w:val="24"/>
                <w:szCs w:val="24"/>
                <w:highlight w:val="white"/>
                <w:lang w:val="en-US" w:eastAsia="zh-CN"/>
              </w:rPr>
              <w:t>4</w:t>
            </w:r>
            <w:r>
              <w:rPr>
                <w:rFonts w:hint="eastAsia" w:ascii="宋体" w:hAnsi="宋体" w:cs="宋体"/>
                <w:sz w:val="24"/>
                <w:szCs w:val="24"/>
                <w:highlight w:val="white"/>
              </w:rPr>
              <w:t>分，无内容 0 分</w:t>
            </w:r>
          </w:p>
        </w:tc>
      </w:tr>
      <w:tr>
        <w:tblPrEx>
          <w:tblCellMar>
            <w:top w:w="0" w:type="dxa"/>
            <w:left w:w="108" w:type="dxa"/>
            <w:bottom w:w="0" w:type="dxa"/>
            <w:right w:w="108" w:type="dxa"/>
          </w:tblCellMar>
        </w:tblPrEx>
        <w:trPr>
          <w:trHeight w:val="933"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lang w:val="en-US" w:eastAsia="zh-CN"/>
              </w:rPr>
              <w:t>10</w:t>
            </w:r>
            <w:r>
              <w:rPr>
                <w:rFonts w:hint="eastAsia" w:ascii="宋体" w:hAnsi="宋体" w:cs="宋体"/>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工作方法手段得当、适宜，技术要求明确，采用遥感解译、地面调查等工作手段等。完善地质灾害信息系统，健全完善群测群防的监测网络，为减灾防灾和制定防灾规划提供基础地质依据工作方法具有针对性，符合技术规范要求，适宜明确 6-10 分；针对</w:t>
            </w:r>
          </w:p>
          <w:p>
            <w:pPr>
              <w:spacing w:line="360" w:lineRule="auto"/>
              <w:rPr>
                <w:rFonts w:hint="eastAsia" w:ascii="宋体" w:hAnsi="宋体" w:cs="宋体"/>
                <w:sz w:val="24"/>
                <w:szCs w:val="24"/>
                <w:highlight w:val="white"/>
              </w:rPr>
            </w:pPr>
            <w:r>
              <w:rPr>
                <w:rFonts w:hint="eastAsia" w:ascii="宋体" w:hAnsi="宋体" w:cs="宋体"/>
                <w:sz w:val="24"/>
                <w:szCs w:val="24"/>
                <w:highlight w:val="white"/>
              </w:rPr>
              <w:t>性较好、基本符合规范要求 1-5 分；</w:t>
            </w:r>
          </w:p>
          <w:p>
            <w:pPr>
              <w:spacing w:line="360" w:lineRule="auto"/>
              <w:rPr>
                <w:rFonts w:hint="eastAsia" w:ascii="宋体" w:hAnsi="宋体" w:cs="宋体"/>
                <w:sz w:val="24"/>
                <w:szCs w:val="24"/>
                <w:highlight w:val="white"/>
              </w:rPr>
            </w:pPr>
            <w:r>
              <w:rPr>
                <w:rFonts w:hint="eastAsia" w:ascii="宋体" w:hAnsi="宋体" w:cs="宋体"/>
                <w:sz w:val="24"/>
                <w:szCs w:val="24"/>
                <w:highlight w:val="white"/>
              </w:rPr>
              <w:t>无针对性、不符合规范要求 0 分。</w:t>
            </w:r>
          </w:p>
        </w:tc>
      </w:tr>
      <w:tr>
        <w:tblPrEx>
          <w:tblCellMar>
            <w:top w:w="0" w:type="dxa"/>
            <w:left w:w="108" w:type="dxa"/>
            <w:bottom w:w="0" w:type="dxa"/>
            <w:right w:w="108" w:type="dxa"/>
          </w:tblCellMar>
        </w:tblPrEx>
        <w:trPr>
          <w:trHeight w:val="993"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hint="eastAsia" w:ascii="宋体" w:hAnsi="宋体" w:cs="宋体"/>
                <w:b/>
                <w:bCs/>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3分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主要设备配置应齐备</w:t>
            </w:r>
            <w:r>
              <w:rPr>
                <w:rFonts w:hint="eastAsia" w:ascii="宋体" w:hAnsi="宋体" w:cs="宋体"/>
                <w:sz w:val="24"/>
                <w:szCs w:val="24"/>
                <w:highlight w:val="white"/>
                <w:lang w:eastAsia="zh-CN"/>
              </w:rPr>
              <w:t>，</w:t>
            </w:r>
            <w:r>
              <w:rPr>
                <w:rFonts w:hint="eastAsia" w:ascii="宋体" w:hAnsi="宋体" w:cs="宋体"/>
                <w:sz w:val="24"/>
                <w:szCs w:val="24"/>
                <w:highlight w:val="white"/>
              </w:rPr>
              <w:t>符合项目技术要求、齐备 3 分，基本符合 1-2 分，不符合 0 分。</w:t>
            </w:r>
          </w:p>
        </w:tc>
      </w:tr>
      <w:tr>
        <w:tblPrEx>
          <w:tblCellMar>
            <w:top w:w="0" w:type="dxa"/>
            <w:left w:w="108" w:type="dxa"/>
            <w:bottom w:w="0" w:type="dxa"/>
            <w:right w:w="108" w:type="dxa"/>
          </w:tblCellMar>
        </w:tblPrEx>
        <w:trPr>
          <w:trHeight w:val="791"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bCs/>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3分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对项目整体方案清楚了解，提供管理承诺、运行方案及唱标质量较高得0-</w:t>
            </w:r>
            <w:r>
              <w:rPr>
                <w:rFonts w:hint="eastAsia" w:ascii="宋体" w:hAnsi="宋体" w:cs="宋体"/>
                <w:sz w:val="24"/>
                <w:szCs w:val="24"/>
                <w:highlight w:val="white"/>
                <w:lang w:val="en-US" w:eastAsia="zh-CN"/>
              </w:rPr>
              <w:t>3</w:t>
            </w:r>
            <w:r>
              <w:rPr>
                <w:rFonts w:hint="eastAsia" w:ascii="宋体" w:hAnsi="宋体" w:cs="宋体"/>
                <w:sz w:val="24"/>
                <w:szCs w:val="24"/>
                <w:highlight w:val="white"/>
              </w:rPr>
              <w:t>分；</w:t>
            </w:r>
          </w:p>
        </w:tc>
      </w:tr>
      <w:tr>
        <w:tblPrEx>
          <w:tblCellMar>
            <w:top w:w="0" w:type="dxa"/>
            <w:left w:w="108" w:type="dxa"/>
            <w:bottom w:w="0" w:type="dxa"/>
            <w:right w:w="108" w:type="dxa"/>
          </w:tblCellMar>
        </w:tblPrEx>
        <w:trPr>
          <w:trHeight w:val="986"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2分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经审计</w:t>
            </w:r>
            <w:r>
              <w:rPr>
                <w:rFonts w:hint="eastAsia" w:ascii="宋体" w:hAnsi="宋体" w:cs="宋体"/>
                <w:sz w:val="24"/>
                <w:szCs w:val="24"/>
                <w:highlight w:val="white"/>
                <w:lang w:val="en-US" w:eastAsia="zh-CN"/>
              </w:rPr>
              <w:t>的</w:t>
            </w:r>
            <w:r>
              <w:rPr>
                <w:rFonts w:hint="eastAsia" w:ascii="宋体" w:hAnsi="宋体" w:cs="宋体"/>
                <w:sz w:val="24"/>
                <w:szCs w:val="24"/>
                <w:highlight w:val="white"/>
                <w:lang w:eastAsia="zh-CN"/>
              </w:rPr>
              <w:t>（</w:t>
            </w:r>
            <w:r>
              <w:rPr>
                <w:rFonts w:hint="eastAsia" w:ascii="宋体" w:hAnsi="宋体" w:cs="宋体"/>
                <w:sz w:val="24"/>
                <w:szCs w:val="24"/>
                <w:highlight w:val="white"/>
                <w:lang w:val="en-US" w:eastAsia="zh-CN"/>
              </w:rPr>
              <w:t>2021</w:t>
            </w:r>
            <w:r>
              <w:rPr>
                <w:rFonts w:hint="eastAsia" w:ascii="宋体" w:hAnsi="宋体" w:cs="宋体"/>
                <w:sz w:val="24"/>
                <w:szCs w:val="24"/>
                <w:highlight w:val="white"/>
                <w:lang w:eastAsia="zh-CN"/>
              </w:rPr>
              <w:t>）</w:t>
            </w:r>
            <w:r>
              <w:rPr>
                <w:rFonts w:hint="eastAsia" w:ascii="宋体" w:hAnsi="宋体" w:cs="宋体"/>
                <w:sz w:val="24"/>
                <w:szCs w:val="24"/>
                <w:highlight w:val="white"/>
              </w:rPr>
              <w:t>度会计报表显示资产负债率小于50%（不含）的得2分；≥50%得1分；</w:t>
            </w:r>
          </w:p>
        </w:tc>
      </w:tr>
      <w:tr>
        <w:tblPrEx>
          <w:tblCellMar>
            <w:top w:w="0" w:type="dxa"/>
            <w:left w:w="108" w:type="dxa"/>
            <w:bottom w:w="0" w:type="dxa"/>
            <w:right w:w="108" w:type="dxa"/>
          </w:tblCellMar>
        </w:tblPrEx>
        <w:trPr>
          <w:trHeight w:val="469"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p>
        </w:tc>
        <w:tc>
          <w:tcPr>
            <w:tcW w:w="8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100分</w:t>
            </w:r>
          </w:p>
        </w:tc>
        <w:tc>
          <w:tcPr>
            <w:tcW w:w="7381" w:type="dxa"/>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cs="宋体"/>
                <w:sz w:val="24"/>
                <w:szCs w:val="24"/>
                <w:highlight w:val="white"/>
              </w:rPr>
            </w:pPr>
            <w:r>
              <w:rPr>
                <w:rFonts w:hint="eastAsia" w:ascii="宋体" w:hAnsi="宋体" w:cs="宋体"/>
                <w:sz w:val="24"/>
                <w:szCs w:val="24"/>
                <w:highlight w:val="white"/>
              </w:rPr>
              <w:t>总计</w:t>
            </w:r>
          </w:p>
        </w:tc>
      </w:tr>
    </w:tbl>
    <w:p>
      <w:pPr>
        <w:spacing w:line="360" w:lineRule="exact"/>
        <w:rPr>
          <w:rFonts w:hint="eastAsia" w:ascii="宋体" w:hAnsi="宋体" w:cs="宋体"/>
          <w:color w:val="000080"/>
          <w:sz w:val="24"/>
          <w:szCs w:val="24"/>
          <w:highlight w:val="white"/>
          <w:lang w:val="en-US" w:eastAsia="zh-CN"/>
        </w:rPr>
      </w:pPr>
      <w:r>
        <w:rPr>
          <w:rFonts w:hint="eastAsia" w:ascii="宋体" w:hAnsi="宋体" w:cs="宋体"/>
          <w:color w:val="000080"/>
          <w:sz w:val="24"/>
          <w:szCs w:val="24"/>
          <w:highlight w:val="white"/>
        </w:rPr>
        <w:t xml:space="preserve"> </w:t>
      </w:r>
      <w:bookmarkEnd w:id="92"/>
      <w:bookmarkStart w:id="93" w:name="EB727693b662f248a4a3607ff2f7c636d8"/>
      <w:r>
        <w:rPr>
          <w:rFonts w:hint="eastAsia" w:ascii="宋体" w:hAnsi="宋体" w:cs="宋体"/>
          <w:color w:val="000080"/>
          <w:sz w:val="24"/>
          <w:szCs w:val="24"/>
          <w:highlight w:val="white"/>
          <w:lang w:val="en-US" w:eastAsia="zh-CN"/>
        </w:rPr>
        <w:t xml:space="preserve"> </w:t>
      </w:r>
    </w:p>
    <w:p>
      <w:pPr>
        <w:spacing w:line="360" w:lineRule="exact"/>
        <w:rPr>
          <w:rFonts w:hint="eastAsia" w:ascii="宋体" w:hAnsi="宋体" w:cs="宋体"/>
          <w:color w:val="000080"/>
          <w:sz w:val="24"/>
          <w:szCs w:val="24"/>
          <w:highlight w:val="white"/>
          <w:lang w:val="en-US" w:eastAsia="zh-CN"/>
        </w:rPr>
      </w:pPr>
    </w:p>
    <w:p>
      <w:pPr>
        <w:spacing w:line="360" w:lineRule="exact"/>
        <w:rPr>
          <w:rFonts w:hint="eastAsia" w:ascii="宋体" w:hAnsi="宋体" w:cs="宋体"/>
          <w:color w:val="000080"/>
          <w:sz w:val="24"/>
          <w:szCs w:val="24"/>
          <w:highlight w:val="white"/>
          <w:lang w:val="en-US" w:eastAsia="zh-CN"/>
        </w:rPr>
      </w:pPr>
    </w:p>
    <w:p>
      <w:pPr>
        <w:pStyle w:val="2"/>
        <w:rPr>
          <w:rFonts w:hint="eastAsia"/>
          <w:lang w:val="en-US" w:eastAsia="zh-CN"/>
        </w:rPr>
      </w:pPr>
    </w:p>
    <w:p>
      <w:pPr>
        <w:spacing w:line="360" w:lineRule="exact"/>
        <w:rPr>
          <w:rFonts w:hint="eastAsia" w:ascii="宋体" w:hAnsi="宋体" w:cs="宋体"/>
          <w:b/>
          <w:bCs/>
          <w:sz w:val="24"/>
          <w:szCs w:val="24"/>
          <w:highlight w:val="white"/>
        </w:rPr>
      </w:pPr>
      <w:r>
        <w:rPr>
          <w:rFonts w:hint="eastAsia" w:ascii="宋体" w:hAnsi="宋体" w:cs="宋体"/>
          <w:color w:val="000080"/>
          <w:sz w:val="24"/>
          <w:szCs w:val="24"/>
          <w:highlight w:val="white"/>
          <w:lang w:val="en-US" w:eastAsia="zh-CN"/>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rFonts w:hint="eastAsia" w:ascii="宋体" w:hAnsi="宋体" w:cs="宋体"/>
          <w:sz w:val="24"/>
          <w:szCs w:val="24"/>
          <w:highlight w:val="white"/>
        </w:rPr>
      </w:pPr>
      <w:r>
        <w:rPr>
          <w:rFonts w:hint="eastAsia" w:ascii="宋体" w:hAnsi="宋体" w:cs="宋体"/>
          <w:sz w:val="24"/>
          <w:szCs w:val="24"/>
          <w:highlight w:val="white"/>
        </w:rPr>
        <w:br w:type="page"/>
      </w:r>
      <w:bookmarkStart w:id="94" w:name="_Toc6177"/>
      <w:bookmarkStart w:id="95" w:name="_Toc17352"/>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b/>
          <w:bCs/>
          <w:sz w:val="32"/>
        </w:rPr>
      </w:pPr>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合同书</w:t>
      </w:r>
    </w:p>
    <w:p>
      <w:pPr>
        <w:spacing w:line="560" w:lineRule="exact"/>
        <w:ind w:firstLine="601"/>
        <w:jc w:val="center"/>
        <w:rPr>
          <w:rFonts w:ascii="仿宋_GB2312" w:hAnsi="仿宋_GB2312" w:eastAsia="仿宋_GB2312"/>
          <w:b/>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w:t>
      </w:r>
      <w:r>
        <w:rPr>
          <w:rFonts w:hint="eastAsia" w:ascii="宋体" w:hAnsi="宋体"/>
          <w:color w:val="000000"/>
          <w:sz w:val="32"/>
          <w:szCs w:val="32"/>
          <w:lang w:val="en-US" w:eastAsia="zh-CN"/>
        </w:rPr>
        <w:t>2</w:t>
      </w:r>
      <w:r>
        <w:rPr>
          <w:rFonts w:hint="eastAsia" w:ascii="宋体" w:hAnsi="宋体"/>
          <w:color w:val="000000"/>
          <w:sz w:val="32"/>
          <w:szCs w:val="32"/>
        </w:rPr>
        <w:t>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jc w:val="both"/>
        <w:rPr>
          <w:rFonts w:ascii="仿宋_GB2312" w:hAnsi="仿宋_GB2312" w:eastAsia="仿宋_GB2312"/>
          <w:b/>
          <w:color w:val="000000"/>
          <w:sz w:val="28"/>
          <w:szCs w:val="28"/>
        </w:rPr>
      </w:pPr>
    </w:p>
    <w:p>
      <w:pPr>
        <w:pStyle w:val="6"/>
      </w:pP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hint="eastAsia" w:ascii="宋体" w:hAnsi="宋体" w:cs="宋体"/>
          <w:b/>
          <w:bCs w:val="0"/>
          <w:sz w:val="24"/>
          <w:szCs w:val="24"/>
          <w:highlight w:val="white"/>
        </w:rPr>
      </w:pPr>
      <w:r>
        <w:rPr>
          <w:rFonts w:hint="eastAsia" w:ascii="宋体" w:hAnsi="宋体" w:cs="宋体"/>
          <w:b/>
          <w:bCs w:val="0"/>
          <w:sz w:val="24"/>
          <w:szCs w:val="24"/>
          <w:highlight w:val="white"/>
        </w:rPr>
        <w:t>第一部分 通用条款</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6"/>
        <w:rPr>
          <w:rFonts w:hAnsi="仿宋_GB2312" w:eastAsia="仿宋_GB2312"/>
          <w:color w:val="000000"/>
          <w:sz w:val="24"/>
        </w:rPr>
      </w:pPr>
    </w:p>
    <w:p/>
    <w:p>
      <w:pPr>
        <w:pStyle w:val="4"/>
        <w:jc w:val="both"/>
        <w:rPr>
          <w:b w:val="0"/>
          <w:bCs w:val="0"/>
        </w:rPr>
      </w:pPr>
      <w:bookmarkStart w:id="96" w:name="_Toc13678"/>
      <w:bookmarkStart w:id="97" w:name="_Toc29466"/>
      <w:bookmarkStart w:id="98" w:name="_Toc257633148"/>
    </w:p>
    <w:p>
      <w:pPr>
        <w:rPr>
          <w:b w:val="0"/>
          <w:bCs w:val="0"/>
        </w:rPr>
      </w:pPr>
    </w:p>
    <w:p>
      <w:pPr>
        <w:pStyle w:val="14"/>
        <w:rPr>
          <w:b w:val="0"/>
          <w:bCs w:val="0"/>
        </w:rPr>
      </w:pPr>
    </w:p>
    <w:p>
      <w:pPr>
        <w:rPr>
          <w:b w:val="0"/>
          <w:bCs w:val="0"/>
        </w:rPr>
      </w:pPr>
    </w:p>
    <w:p>
      <w:pPr>
        <w:pStyle w:val="14"/>
        <w:rPr>
          <w:b w:val="0"/>
          <w:bCs w:val="0"/>
        </w:rPr>
      </w:pPr>
    </w:p>
    <w:p>
      <w:pPr>
        <w:rPr>
          <w:b w:val="0"/>
          <w:bCs w:val="0"/>
        </w:rPr>
      </w:pPr>
    </w:p>
    <w:p>
      <w:pPr>
        <w:pStyle w:val="14"/>
        <w:rPr>
          <w:b w:val="0"/>
          <w:bCs w:val="0"/>
        </w:rPr>
      </w:pPr>
    </w:p>
    <w:p/>
    <w:p>
      <w:pPr>
        <w:spacing w:line="360" w:lineRule="auto"/>
        <w:jc w:val="center"/>
        <w:rPr>
          <w:rFonts w:hint="eastAsia" w:ascii="宋体" w:hAnsi="宋体" w:cs="宋体"/>
          <w:b/>
          <w:sz w:val="44"/>
          <w:szCs w:val="44"/>
        </w:rPr>
      </w:pPr>
    </w:p>
    <w:p>
      <w:pPr>
        <w:spacing w:line="360" w:lineRule="auto"/>
        <w:jc w:val="center"/>
        <w:rPr>
          <w:rFonts w:hint="eastAsia" w:ascii="宋体" w:hAnsi="宋体" w:cs="宋体"/>
          <w:b/>
          <w:sz w:val="44"/>
          <w:szCs w:val="44"/>
        </w:rPr>
      </w:pPr>
      <w:r>
        <w:rPr>
          <w:rFonts w:hint="eastAsia" w:ascii="宋体" w:hAnsi="宋体" w:cs="宋体"/>
          <w:b/>
          <w:sz w:val="44"/>
          <w:szCs w:val="44"/>
        </w:rPr>
        <w:t>六、竞争性磋商响应文件格式</w:t>
      </w:r>
      <w:bookmarkEnd w:id="96"/>
      <w:bookmarkEnd w:id="97"/>
    </w:p>
    <w:p>
      <w:pPr>
        <w:spacing w:line="360" w:lineRule="auto"/>
        <w:jc w:val="center"/>
        <w:rPr>
          <w:rFonts w:hint="eastAsia" w:ascii="宋体" w:hAnsi="宋体" w:cs="宋体"/>
          <w:b/>
          <w:sz w:val="44"/>
          <w:szCs w:val="44"/>
        </w:rPr>
      </w:pPr>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14"/>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14"/>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14"/>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14"/>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14"/>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14"/>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14"/>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14"/>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8"/>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14"/>
        <w:spacing w:line="360" w:lineRule="auto"/>
        <w:ind w:firstLine="480"/>
        <w:rPr>
          <w:rFonts w:ascii="宋体" w:hAnsi="宋体"/>
          <w:sz w:val="24"/>
          <w:szCs w:val="24"/>
        </w:rPr>
      </w:pPr>
      <w:r>
        <w:rPr>
          <w:rFonts w:hint="eastAsia" w:ascii="宋体" w:hAnsi="宋体"/>
          <w:sz w:val="24"/>
          <w:szCs w:val="24"/>
        </w:rPr>
        <w:t>五、近三年（2019年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8"/>
        <w:tabs>
          <w:tab w:val="left" w:pos="1490"/>
        </w:tabs>
      </w:pPr>
    </w:p>
    <w:p/>
    <w:p>
      <w:pPr>
        <w:pStyle w:val="18"/>
      </w:pPr>
    </w:p>
    <w:p/>
    <w:p>
      <w:pPr>
        <w:pStyle w:val="18"/>
      </w:pPr>
    </w:p>
    <w:p/>
    <w:p>
      <w:pPr>
        <w:pStyle w:val="18"/>
      </w:pPr>
    </w:p>
    <w:p/>
    <w:p>
      <w:pPr>
        <w:pStyle w:val="18"/>
      </w:pPr>
    </w:p>
    <w:p/>
    <w:p>
      <w:pPr>
        <w:pStyle w:val="18"/>
      </w:pPr>
    </w:p>
    <w:p/>
    <w:p>
      <w:pPr>
        <w:pStyle w:val="18"/>
      </w:pPr>
    </w:p>
    <w:p/>
    <w:p>
      <w:pPr>
        <w:pStyle w:val="6"/>
      </w:pPr>
    </w:p>
    <w:p/>
    <w:p>
      <w:pPr>
        <w:pStyle w:val="6"/>
      </w:pPr>
    </w:p>
    <w:p/>
    <w:p>
      <w:pPr>
        <w:pStyle w:val="6"/>
      </w:pPr>
    </w:p>
    <w:p/>
    <w:p>
      <w:pPr>
        <w:pStyle w:val="6"/>
      </w:pPr>
    </w:p>
    <w:p/>
    <w:p>
      <w:pPr>
        <w:pStyle w:val="18"/>
      </w:pPr>
    </w:p>
    <w:p/>
    <w:p>
      <w:pPr>
        <w:pStyle w:val="18"/>
      </w:pPr>
    </w:p>
    <w:bookmarkEnd w:id="99"/>
    <w:p>
      <w:pPr>
        <w:pStyle w:val="108"/>
        <w:widowControl/>
        <w:spacing w:before="0" w:after="0" w:line="360" w:lineRule="auto"/>
        <w:rPr>
          <w:sz w:val="30"/>
          <w:szCs w:val="30"/>
        </w:rPr>
      </w:pPr>
      <w:bookmarkStart w:id="100" w:name="_Toc17151"/>
      <w:bookmarkStart w:id="101" w:name="_Toc8774"/>
      <w:bookmarkStart w:id="102" w:name="_Toc6808"/>
      <w:bookmarkStart w:id="103" w:name="_Toc22745"/>
      <w:bookmarkStart w:id="104" w:name="_Toc19025"/>
      <w:r>
        <w:rPr>
          <w:sz w:val="30"/>
          <w:szCs w:val="30"/>
        </w:rPr>
        <w:t>商务</w:t>
      </w:r>
      <w:r>
        <w:rPr>
          <w:rFonts w:hint="eastAsia"/>
          <w:sz w:val="30"/>
          <w:szCs w:val="30"/>
        </w:rPr>
        <w:t>、经济</w:t>
      </w:r>
      <w:r>
        <w:rPr>
          <w:sz w:val="30"/>
          <w:szCs w:val="30"/>
        </w:rPr>
        <w:t>文件</w:t>
      </w:r>
      <w:bookmarkEnd w:id="100"/>
      <w:bookmarkEnd w:id="101"/>
    </w:p>
    <w:p>
      <w:pPr>
        <w:pStyle w:val="108"/>
        <w:widowControl/>
        <w:spacing w:before="0" w:after="0" w:line="360" w:lineRule="auto"/>
        <w:rPr>
          <w:rFonts w:hint="eastAsia" w:ascii="宋体" w:hAnsi="宋体" w:eastAsia="宋体" w:cs="宋体"/>
          <w:b/>
          <w:bCs w:val="0"/>
          <w:kern w:val="2"/>
          <w:sz w:val="36"/>
          <w:szCs w:val="36"/>
          <w:lang w:val="en-US" w:eastAsia="zh-CN" w:bidi="ar-SA"/>
        </w:rPr>
      </w:pPr>
      <w:bookmarkStart w:id="105" w:name="_Toc689"/>
      <w:bookmarkStart w:id="106" w:name="_Toc10664"/>
      <w:bookmarkStart w:id="107" w:name="_Toc688"/>
      <w:r>
        <w:rPr>
          <w:rFonts w:hint="eastAsia" w:ascii="宋体" w:hAnsi="宋体" w:eastAsia="宋体" w:cs="宋体"/>
          <w:b/>
          <w:bCs w:val="0"/>
          <w:kern w:val="2"/>
          <w:sz w:val="36"/>
          <w:szCs w:val="36"/>
          <w:lang w:val="en-US" w:eastAsia="zh-CN" w:bidi="ar-SA"/>
        </w:rPr>
        <w:t>★投标函</w:t>
      </w:r>
      <w:bookmarkEnd w:id="105"/>
      <w:bookmarkEnd w:id="106"/>
      <w:bookmarkEnd w:id="107"/>
    </w:p>
    <w:p>
      <w:pPr>
        <w:pStyle w:val="102"/>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2"/>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4"/>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4"/>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4"/>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4"/>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4"/>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4"/>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4"/>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4"/>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4"/>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4"/>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4"/>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4"/>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4"/>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4"/>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4"/>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4"/>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4"/>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4"/>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4"/>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4"/>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14"/>
        <w:ind w:firstLine="482"/>
        <w:rPr>
          <w:rFonts w:ascii="宋体" w:hAnsi="宋体" w:cs="宋体"/>
          <w:b/>
          <w:color w:val="000000"/>
          <w:sz w:val="24"/>
          <w:szCs w:val="24"/>
        </w:rPr>
      </w:pPr>
    </w:p>
    <w:p>
      <w:pPr>
        <w:pStyle w:val="24"/>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7"/>
        <w:jc w:val="center"/>
        <w:outlineLvl w:val="2"/>
        <w:rPr>
          <w:rFonts w:hint="eastAsia" w:ascii="宋体" w:hAnsi="宋体" w:eastAsia="宋体" w:cs="宋体"/>
          <w:b/>
          <w:kern w:val="2"/>
          <w:sz w:val="36"/>
          <w:szCs w:val="36"/>
          <w:lang w:val="en-US" w:eastAsia="zh-CN" w:bidi="ar-SA"/>
        </w:rPr>
      </w:pPr>
      <w:r>
        <w:br w:type="page"/>
      </w:r>
      <w:r>
        <w:rPr>
          <w:rFonts w:hint="eastAsia" w:ascii="宋体" w:hAnsi="宋体" w:eastAsia="宋体" w:cs="宋体"/>
          <w:b/>
          <w:kern w:val="2"/>
          <w:sz w:val="36"/>
          <w:szCs w:val="36"/>
          <w:lang w:val="en-US" w:eastAsia="zh-CN" w:bidi="ar-SA"/>
        </w:rPr>
        <w:t>★法定代表人身份证明书及授权委托书</w:t>
      </w:r>
      <w:bookmarkEnd w:id="102"/>
      <w:bookmarkEnd w:id="103"/>
      <w:bookmarkEnd w:id="104"/>
    </w:p>
    <w:p>
      <w:pPr>
        <w:pStyle w:val="111"/>
        <w:outlineLvl w:val="9"/>
        <w:rPr>
          <w:b w:val="0"/>
          <w:sz w:val="24"/>
          <w:szCs w:val="24"/>
        </w:rPr>
      </w:pPr>
      <w:bookmarkStart w:id="108" w:name="_Toc480371721"/>
      <w:bookmarkStart w:id="109" w:name="_Toc480368595"/>
      <w:bookmarkStart w:id="110" w:name="_Toc480368653"/>
      <w:bookmarkStart w:id="111" w:name="_Toc480368424"/>
    </w:p>
    <w:p>
      <w:pPr>
        <w:pStyle w:val="111"/>
        <w:outlineLvl w:val="9"/>
        <w:rPr>
          <w:b w:val="0"/>
          <w:sz w:val="24"/>
          <w:szCs w:val="24"/>
        </w:rPr>
      </w:pPr>
      <w:bookmarkStart w:id="112" w:name="_Toc18836"/>
      <w:bookmarkStart w:id="113" w:name="_Toc23900"/>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3"/>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7"/>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3"/>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1"/>
        <w:outlineLvl w:val="9"/>
        <w:rPr>
          <w:b w:val="0"/>
        </w:rPr>
      </w:pPr>
      <w:bookmarkStart w:id="114" w:name="_Toc468535483"/>
      <w:r>
        <w:rPr>
          <w:rFonts w:hint="eastAsia"/>
          <w:b w:val="0"/>
        </w:rPr>
        <w:t xml:space="preserve"> </w:t>
      </w:r>
      <w:bookmarkStart w:id="115" w:name="_Toc480368596"/>
      <w:bookmarkStart w:id="116" w:name="_Toc480371722"/>
      <w:bookmarkStart w:id="117" w:name="_Toc480368654"/>
      <w:bookmarkStart w:id="118" w:name="_Toc480368425"/>
    </w:p>
    <w:p>
      <w:pPr>
        <w:pStyle w:val="111"/>
        <w:outlineLvl w:val="9"/>
        <w:rPr>
          <w:rFonts w:hint="eastAsia" w:ascii="宋体" w:hAnsi="宋体" w:eastAsia="宋体" w:cs="宋体"/>
          <w:b/>
          <w:bCs w:val="0"/>
          <w:kern w:val="2"/>
          <w:sz w:val="36"/>
          <w:szCs w:val="36"/>
          <w:lang w:val="en-US" w:eastAsia="zh-CN" w:bidi="ar-SA"/>
        </w:rPr>
      </w:pPr>
      <w:r>
        <w:rPr>
          <w:rFonts w:hint="eastAsia"/>
          <w:b w:val="0"/>
        </w:rPr>
        <w:br w:type="page"/>
      </w:r>
      <w:bookmarkStart w:id="119" w:name="_Toc613"/>
      <w:bookmarkStart w:id="120" w:name="_Toc1879"/>
      <w:r>
        <w:rPr>
          <w:rFonts w:hint="eastAsia" w:ascii="宋体" w:hAnsi="宋体" w:eastAsia="宋体" w:cs="宋体"/>
          <w:b/>
          <w:bCs w:val="0"/>
          <w:kern w:val="2"/>
          <w:sz w:val="36"/>
          <w:szCs w:val="36"/>
          <w:lang w:val="en-US" w:eastAsia="zh-CN" w:bidi="ar-SA"/>
        </w:rPr>
        <w:t>法定代表人授权委托书</w:t>
      </w:r>
      <w:bookmarkEnd w:id="114"/>
      <w:bookmarkEnd w:id="115"/>
      <w:bookmarkEnd w:id="116"/>
      <w:bookmarkEnd w:id="117"/>
      <w:bookmarkEnd w:id="118"/>
      <w:bookmarkEnd w:id="119"/>
      <w:bookmarkEnd w:id="120"/>
    </w:p>
    <w:p>
      <w:pPr>
        <w:pStyle w:val="93"/>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3"/>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3"/>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3"/>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500" w:lineRule="exact"/>
        <w:ind w:left="-88" w:leftChars="-42" w:firstLine="600" w:firstLineChars="250"/>
        <w:rPr>
          <w:rFonts w:ascii="宋体" w:hAnsi="宋体"/>
          <w:sz w:val="24"/>
          <w:szCs w:val="24"/>
          <w:u w:val="single"/>
        </w:rPr>
      </w:pPr>
    </w:p>
    <w:tbl>
      <w:tblPr>
        <w:tblStyle w:val="37"/>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7"/>
        <w:tabs>
          <w:tab w:val="left" w:pos="8786"/>
        </w:tabs>
        <w:spacing w:after="0" w:line="360" w:lineRule="auto"/>
        <w:rPr>
          <w:rFonts w:ascii="宋体" w:hAnsi="宋体"/>
          <w:b/>
          <w:color w:val="000000"/>
          <w:sz w:val="24"/>
        </w:rPr>
      </w:pPr>
    </w:p>
    <w:p>
      <w:pPr>
        <w:pStyle w:val="97"/>
        <w:tabs>
          <w:tab w:val="left" w:pos="8786"/>
        </w:tabs>
        <w:spacing w:after="0" w:line="360" w:lineRule="auto"/>
        <w:rPr>
          <w:rFonts w:ascii="宋体" w:hAnsi="宋体"/>
          <w:b/>
          <w:color w:val="000000"/>
          <w:sz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3"/>
        <w:tabs>
          <w:tab w:val="left" w:pos="750"/>
        </w:tabs>
        <w:adjustRightInd w:val="0"/>
        <w:snapToGrid w:val="0"/>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7"/>
        <w:jc w:val="center"/>
        <w:outlineLvl w:val="2"/>
        <w:rPr>
          <w:rFonts w:hint="eastAsia" w:ascii="宋体" w:hAnsi="宋体" w:eastAsia="宋体" w:cs="宋体"/>
          <w:b/>
          <w:bCs w:val="0"/>
          <w:kern w:val="2"/>
          <w:sz w:val="36"/>
          <w:szCs w:val="36"/>
          <w:lang w:val="en-US" w:eastAsia="zh-CN" w:bidi="ar-SA"/>
        </w:rPr>
      </w:pPr>
      <w:r>
        <w:rPr>
          <w:rFonts w:hint="eastAsia" w:ascii="宋体" w:hAnsi="宋体" w:eastAsia="宋体" w:cs="宋体"/>
          <w:sz w:val="24"/>
        </w:rPr>
        <w:br w:type="page"/>
      </w:r>
      <w:bookmarkStart w:id="121" w:name="_Toc30613"/>
      <w:bookmarkStart w:id="122" w:name="_Toc15747"/>
      <w:bookmarkStart w:id="123" w:name="_Toc18505"/>
      <w:r>
        <w:rPr>
          <w:rFonts w:hint="eastAsia" w:ascii="宋体" w:hAnsi="宋体" w:eastAsia="宋体" w:cs="宋体"/>
          <w:b/>
          <w:bCs w:val="0"/>
          <w:kern w:val="2"/>
          <w:sz w:val="36"/>
          <w:szCs w:val="36"/>
          <w:lang w:val="en-US" w:eastAsia="zh-CN" w:bidi="ar-SA"/>
        </w:rPr>
        <w:t>★开标一览表</w:t>
      </w:r>
      <w:bookmarkEnd w:id="121"/>
      <w:bookmarkEnd w:id="122"/>
      <w:bookmarkEnd w:id="123"/>
    </w:p>
    <w:tbl>
      <w:tblPr>
        <w:tblStyle w:val="3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1"/>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1"/>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1"/>
              <w:tabs>
                <w:tab w:val="left" w:pos="1337"/>
              </w:tabs>
              <w:spacing w:line="360" w:lineRule="auto"/>
              <w:rPr>
                <w:rFonts w:ascii="宋体" w:hAnsi="宋体" w:cs="宋体"/>
                <w:bCs/>
                <w:sz w:val="24"/>
              </w:rPr>
            </w:pPr>
          </w:p>
          <w:p>
            <w:pPr>
              <w:pStyle w:val="91"/>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u w:val="single"/>
              </w:rPr>
              <w:t xml:space="preserve">                  </w:t>
            </w:r>
          </w:p>
          <w:p>
            <w:pPr>
              <w:pStyle w:val="91"/>
              <w:tabs>
                <w:tab w:val="left" w:pos="1337"/>
              </w:tabs>
              <w:spacing w:line="360" w:lineRule="auto"/>
              <w:rPr>
                <w:rFonts w:ascii="宋体" w:hAnsi="宋体" w:cs="宋体"/>
                <w:bCs/>
                <w:sz w:val="24"/>
                <w:u w:val="single"/>
              </w:rPr>
            </w:pPr>
          </w:p>
          <w:p>
            <w:pPr>
              <w:pStyle w:val="91"/>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1"/>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r>
              <w:rPr>
                <w:rFonts w:hint="eastAsia" w:ascii="宋体" w:hAnsi="宋体" w:cs="宋体"/>
                <w:bCs/>
                <w:color w:val="000000"/>
                <w:sz w:val="24"/>
                <w:u w:val="single"/>
                <w:lang w:val="en-US" w:eastAsia="zh-CN"/>
              </w:rPr>
              <w:t xml:space="preserve">     </w:t>
            </w:r>
            <w:r>
              <w:rPr>
                <w:rFonts w:hint="eastAsia" w:ascii="宋体" w:hAnsi="宋体" w:cs="宋体"/>
                <w:bCs/>
                <w:color w:val="000000"/>
                <w:sz w:val="24"/>
                <w:u w:val="single"/>
              </w:rPr>
              <w:t xml:space="preserve">           </w:t>
            </w:r>
          </w:p>
        </w:tc>
      </w:tr>
    </w:tbl>
    <w:p>
      <w:pPr>
        <w:pStyle w:val="91"/>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1"/>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1"/>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10"/>
        <w:jc w:val="center"/>
        <w:outlineLvl w:val="2"/>
        <w:rPr>
          <w:rFonts w:ascii="宋体" w:hAnsi="宋体" w:cs="仿宋"/>
          <w:sz w:val="24"/>
        </w:rPr>
      </w:pPr>
      <w:r>
        <w:rPr>
          <w:rFonts w:hint="eastAsia" w:ascii="宋体" w:hAnsi="宋体" w:cs="仿宋"/>
          <w:sz w:val="24"/>
        </w:rPr>
        <w:t xml:space="preserve">            </w:t>
      </w:r>
    </w:p>
    <w:p>
      <w:pPr>
        <w:pStyle w:val="110"/>
        <w:jc w:val="center"/>
        <w:outlineLvl w:val="2"/>
        <w:rPr>
          <w:rFonts w:hint="eastAsia" w:ascii="宋体" w:hAnsi="宋体" w:eastAsia="宋体" w:cs="宋体"/>
          <w:b/>
          <w:bCs w:val="0"/>
          <w:kern w:val="2"/>
          <w:sz w:val="36"/>
          <w:szCs w:val="36"/>
          <w:lang w:val="en-US" w:eastAsia="zh-CN" w:bidi="ar-SA"/>
        </w:rPr>
      </w:pPr>
      <w:r>
        <w:rPr>
          <w:rFonts w:hint="eastAsia" w:ascii="宋体" w:hAnsi="宋体" w:cs="仿宋"/>
          <w:sz w:val="24"/>
        </w:rPr>
        <w:t xml:space="preserve">               日期：   年   月   日</w:t>
      </w:r>
      <w:r>
        <w:rPr>
          <w:rFonts w:hint="eastAsia"/>
        </w:rPr>
        <w:br w:type="page"/>
      </w:r>
      <w:bookmarkStart w:id="124" w:name="_Toc22219"/>
      <w:bookmarkStart w:id="125" w:name="_Toc11982"/>
      <w:bookmarkStart w:id="126" w:name="_Toc30687"/>
      <w:r>
        <w:rPr>
          <w:rFonts w:hint="eastAsia" w:ascii="宋体" w:hAnsi="宋体" w:eastAsia="宋体" w:cs="宋体"/>
          <w:b/>
          <w:bCs w:val="0"/>
          <w:kern w:val="2"/>
          <w:sz w:val="36"/>
          <w:szCs w:val="36"/>
          <w:lang w:val="en-US" w:eastAsia="zh-CN" w:bidi="ar-SA"/>
        </w:rPr>
        <w:t>★资格证明文件</w:t>
      </w:r>
      <w:bookmarkEnd w:id="124"/>
      <w:bookmarkEnd w:id="125"/>
      <w:bookmarkEnd w:id="126"/>
    </w:p>
    <w:p>
      <w:pPr>
        <w:pStyle w:val="109"/>
        <w:outlineLvl w:val="2"/>
        <w:rPr>
          <w:sz w:val="24"/>
        </w:rPr>
      </w:pPr>
    </w:p>
    <w:p>
      <w:pPr>
        <w:pStyle w:val="109"/>
        <w:outlineLvl w:val="2"/>
        <w:rPr>
          <w:rFonts w:ascii="宋体" w:hAnsi="宋体" w:eastAsia="宋体" w:cs="宋体"/>
          <w:sz w:val="24"/>
        </w:rPr>
      </w:pPr>
      <w:bookmarkStart w:id="127" w:name="_Toc6635"/>
      <w:bookmarkStart w:id="128" w:name="_Toc14031"/>
      <w:bookmarkStart w:id="129" w:name="_Toc9140"/>
      <w:r>
        <w:rPr>
          <w:rFonts w:hint="eastAsia" w:ascii="宋体" w:hAnsi="宋体" w:eastAsia="宋体" w:cs="宋体"/>
          <w:sz w:val="24"/>
        </w:rPr>
        <w:t>★营业执照、组织机构代码证、税务登记证（或三证合一的营业执照）</w:t>
      </w:r>
      <w:bookmarkEnd w:id="127"/>
      <w:bookmarkEnd w:id="128"/>
      <w:bookmarkEnd w:id="129"/>
    </w:p>
    <w:p>
      <w:pPr>
        <w:pStyle w:val="109"/>
        <w:outlineLvl w:val="2"/>
        <w:rPr>
          <w:rFonts w:ascii="宋体" w:hAnsi="宋体" w:eastAsia="宋体" w:cs="宋体"/>
          <w:sz w:val="24"/>
        </w:rPr>
      </w:pPr>
      <w:bookmarkStart w:id="130" w:name="_Toc3674"/>
      <w:bookmarkStart w:id="131" w:name="_Toc27653"/>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7"/>
        <w:outlineLvl w:val="2"/>
        <w:rPr>
          <w:rFonts w:ascii="宋体" w:hAnsi="宋体" w:eastAsia="宋体" w:cs="宋体"/>
          <w:sz w:val="24"/>
        </w:rPr>
      </w:pPr>
      <w:bookmarkStart w:id="132" w:name="_Toc10958"/>
      <w:bookmarkStart w:id="133" w:name="_Toc17608"/>
      <w:bookmarkStart w:id="134" w:name="_Toc5625"/>
      <w:r>
        <w:rPr>
          <w:rFonts w:hint="eastAsia" w:ascii="宋体" w:hAnsi="宋体" w:eastAsia="宋体" w:cs="宋体"/>
          <w:sz w:val="24"/>
        </w:rPr>
        <w:t>★投标保证金收据（以回执单为准）</w:t>
      </w:r>
      <w:bookmarkEnd w:id="132"/>
      <w:bookmarkEnd w:id="133"/>
      <w:bookmarkEnd w:id="134"/>
    </w:p>
    <w:p>
      <w:pPr>
        <w:pStyle w:val="87"/>
        <w:outlineLvl w:val="2"/>
        <w:rPr>
          <w:rFonts w:ascii="宋体" w:hAnsi="宋体" w:eastAsia="宋体" w:cs="宋体"/>
          <w:sz w:val="24"/>
        </w:rPr>
      </w:pPr>
      <w:bookmarkStart w:id="135" w:name="_Toc18070"/>
      <w:bookmarkStart w:id="136" w:name="_Toc30884"/>
      <w:bookmarkStart w:id="137" w:name="_Toc15360"/>
      <w:r>
        <w:rPr>
          <w:rFonts w:hint="eastAsia" w:ascii="宋体" w:hAnsi="宋体" w:eastAsia="宋体" w:cs="宋体"/>
          <w:sz w:val="24"/>
        </w:rPr>
        <w:t>★“信用中国”、“中国政府采购网”网页打印件</w:t>
      </w:r>
      <w:bookmarkEnd w:id="135"/>
      <w:bookmarkEnd w:id="136"/>
      <w:bookmarkEnd w:id="137"/>
    </w:p>
    <w:p>
      <w:pPr>
        <w:pStyle w:val="87"/>
        <w:outlineLvl w:val="2"/>
        <w:rPr>
          <w:rFonts w:ascii="宋体" w:hAnsi="宋体" w:eastAsia="宋体" w:cs="宋体"/>
          <w:sz w:val="24"/>
        </w:rPr>
      </w:pPr>
      <w:bookmarkStart w:id="138" w:name="_Toc17856"/>
      <w:bookmarkStart w:id="139" w:name="_Toc16449"/>
      <w:bookmarkStart w:id="140" w:name="_Toc17345"/>
      <w:r>
        <w:rPr>
          <w:rFonts w:hint="eastAsia" w:ascii="宋体" w:hAnsi="宋体" w:eastAsia="宋体" w:cs="宋体"/>
          <w:sz w:val="24"/>
        </w:rPr>
        <w:t>★中、小微企业声明函（中、小、微型企业产品价格需扣除的须提供）</w:t>
      </w:r>
      <w:bookmarkEnd w:id="138"/>
      <w:bookmarkEnd w:id="139"/>
      <w:bookmarkEnd w:id="140"/>
    </w:p>
    <w:p>
      <w:pPr>
        <w:pStyle w:val="87"/>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7"/>
        <w:outlineLvl w:val="2"/>
        <w:rPr>
          <w:rFonts w:ascii="宋体" w:hAnsi="宋体" w:eastAsia="宋体" w:cs="宋体"/>
          <w:sz w:val="24"/>
        </w:rPr>
      </w:pPr>
    </w:p>
    <w:p>
      <w:pPr>
        <w:pStyle w:val="80"/>
        <w:spacing w:line="360" w:lineRule="auto"/>
        <w:ind w:right="-97"/>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中小企业声明函</w:t>
      </w:r>
    </w:p>
    <w:p>
      <w:pPr>
        <w:pStyle w:val="105"/>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80"/>
        <w:spacing w:line="360" w:lineRule="auto"/>
        <w:ind w:firstLine="5040" w:firstLineChars="2100"/>
        <w:rPr>
          <w:color w:val="000000"/>
          <w:sz w:val="24"/>
        </w:rPr>
      </w:pPr>
    </w:p>
    <w:p>
      <w:pPr>
        <w:pStyle w:val="80"/>
        <w:spacing w:line="360" w:lineRule="auto"/>
        <w:ind w:firstLine="5040" w:firstLineChars="2100"/>
        <w:rPr>
          <w:color w:val="000000"/>
          <w:sz w:val="24"/>
        </w:rPr>
      </w:pPr>
      <w:r>
        <w:rPr>
          <w:rFonts w:hint="eastAsia"/>
          <w:color w:val="000000"/>
          <w:sz w:val="24"/>
        </w:rPr>
        <w:t>投标单位名称（加盖公章）：</w:t>
      </w:r>
    </w:p>
    <w:p>
      <w:pPr>
        <w:pStyle w:val="80"/>
        <w:spacing w:line="360" w:lineRule="auto"/>
        <w:ind w:firstLine="6000" w:firstLineChars="2500"/>
        <w:rPr>
          <w:color w:val="000000"/>
          <w:sz w:val="24"/>
        </w:rPr>
      </w:pPr>
      <w:r>
        <w:rPr>
          <w:rFonts w:hint="eastAsia"/>
          <w:color w:val="000000"/>
          <w:sz w:val="24"/>
        </w:rPr>
        <w:t>年   月   日</w:t>
      </w:r>
    </w:p>
    <w:p>
      <w:pPr>
        <w:pStyle w:val="80"/>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hint="eastAsia" w:ascii="宋体" w:hAnsi="宋体" w:eastAsia="宋体" w:cs="宋体"/>
          <w:b/>
          <w:bCs w:val="0"/>
          <w:kern w:val="2"/>
          <w:sz w:val="36"/>
          <w:szCs w:val="36"/>
          <w:lang w:val="en-US" w:eastAsia="zh-CN" w:bidi="ar-SA"/>
        </w:rPr>
      </w:pPr>
      <w:r>
        <w:rPr>
          <w:rFonts w:hint="eastAsia" w:ascii="宋体" w:hAnsi="宋体"/>
          <w:sz w:val="24"/>
        </w:rPr>
        <w:br w:type="page"/>
      </w:r>
      <w:r>
        <w:rPr>
          <w:rFonts w:hint="eastAsia" w:ascii="宋体" w:hAnsi="宋体" w:eastAsia="宋体" w:cs="宋体"/>
          <w:b/>
          <w:bCs w:val="0"/>
          <w:kern w:val="2"/>
          <w:sz w:val="36"/>
          <w:szCs w:val="36"/>
          <w:lang w:val="en-US" w:eastAsia="zh-CN" w:bidi="ar-SA"/>
        </w:rPr>
        <w:t>★</w:t>
      </w:r>
      <w:bookmarkStart w:id="142" w:name="_Toc449191483"/>
      <w:bookmarkStart w:id="143" w:name="_Toc448862871"/>
      <w:r>
        <w:rPr>
          <w:rFonts w:hint="eastAsia" w:ascii="宋体" w:hAnsi="宋体" w:eastAsia="宋体" w:cs="宋体"/>
          <w:b/>
          <w:bCs w:val="0"/>
          <w:kern w:val="2"/>
          <w:sz w:val="36"/>
          <w:szCs w:val="36"/>
          <w:lang w:val="en-US" w:eastAsia="zh-CN" w:bidi="ar-SA"/>
        </w:rPr>
        <w:t>近三年类似业绩一览表</w:t>
      </w:r>
    </w:p>
    <w:p>
      <w:p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近三年（2019年1月1日至今）类似业绩一览表</w:t>
      </w:r>
    </w:p>
    <w:tbl>
      <w:tblPr>
        <w:tblStyle w:val="37"/>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pStyle w:val="2"/>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hint="eastAsia" w:ascii="宋体" w:hAnsi="宋体" w:eastAsia="宋体" w:cs="宋体"/>
          <w:b/>
          <w:bCs w:val="0"/>
          <w:kern w:val="2"/>
          <w:sz w:val="36"/>
          <w:szCs w:val="36"/>
          <w:lang w:val="en-US" w:eastAsia="zh-CN" w:bidi="ar-SA"/>
        </w:rPr>
      </w:pPr>
      <w:r>
        <w:rPr>
          <w:rFonts w:hint="eastAsia" w:ascii="宋体" w:hAnsi="宋体" w:cs="宋体"/>
          <w:bCs/>
          <w:sz w:val="24"/>
          <w:szCs w:val="24"/>
          <w:lang w:bidi="ar"/>
        </w:rPr>
        <w:br w:type="page"/>
      </w:r>
      <w:bookmarkStart w:id="144" w:name="_Toc16745"/>
      <w:bookmarkStart w:id="145" w:name="_Toc23931"/>
      <w:bookmarkStart w:id="146" w:name="_Toc1858"/>
      <w:bookmarkStart w:id="147" w:name="_Toc19733"/>
      <w:r>
        <w:rPr>
          <w:rFonts w:hint="eastAsia" w:ascii="宋体" w:hAnsi="宋体" w:eastAsia="宋体" w:cs="宋体"/>
          <w:b/>
          <w:bCs w:val="0"/>
          <w:kern w:val="2"/>
          <w:sz w:val="36"/>
          <w:szCs w:val="36"/>
          <w:lang w:val="en-US" w:eastAsia="zh-CN" w:bidi="ar-SA"/>
        </w:rPr>
        <w:t>★</w:t>
      </w:r>
      <w:bookmarkEnd w:id="144"/>
      <w:bookmarkEnd w:id="145"/>
      <w:bookmarkEnd w:id="146"/>
      <w:bookmarkEnd w:id="147"/>
      <w:r>
        <w:rPr>
          <w:rFonts w:hint="eastAsia" w:ascii="宋体" w:hAnsi="宋体" w:eastAsia="宋体" w:cs="宋体"/>
          <w:b/>
          <w:bCs w:val="0"/>
          <w:kern w:val="2"/>
          <w:sz w:val="36"/>
          <w:szCs w:val="36"/>
          <w:lang w:val="en-US" w:eastAsia="zh-CN" w:bidi="ar-SA"/>
        </w:rPr>
        <w:t>人 员 信 息 表</w:t>
      </w:r>
    </w:p>
    <w:tbl>
      <w:tblPr>
        <w:tblStyle w:val="37"/>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14"/>
        <w:ind w:firstLine="480"/>
        <w:rPr>
          <w:rFonts w:ascii="宋体" w:hAnsi="宋体" w:cs="宋体"/>
          <w:sz w:val="24"/>
          <w:szCs w:val="24"/>
        </w:rPr>
      </w:pPr>
    </w:p>
    <w:p>
      <w:pPr>
        <w:pStyle w:val="14"/>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14"/>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pStyle w:val="80"/>
        <w:spacing w:line="360" w:lineRule="auto"/>
        <w:ind w:right="-97"/>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技术方案</w:t>
      </w:r>
    </w:p>
    <w:p>
      <w:pPr>
        <w:pStyle w:val="80"/>
        <w:spacing w:line="360" w:lineRule="auto"/>
        <w:ind w:right="-97"/>
        <w:jc w:val="center"/>
        <w:rPr>
          <w:rFonts w:hint="eastAsia" w:ascii="宋体" w:hAnsi="宋体" w:eastAsia="宋体" w:cs="宋体"/>
          <w:b/>
          <w:bCs w:val="0"/>
          <w:kern w:val="2"/>
          <w:sz w:val="36"/>
          <w:szCs w:val="36"/>
          <w:lang w:val="en-US" w:eastAsia="zh-CN" w:bidi="ar-SA"/>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其他材料</w:t>
      </w:r>
    </w:p>
    <w:p>
      <w:pPr>
        <w:pStyle w:val="14"/>
        <w:ind w:firstLine="482"/>
        <w:rPr>
          <w:b/>
          <w:bCs/>
          <w:kern w:val="0"/>
          <w:sz w:val="32"/>
          <w:szCs w:val="32"/>
        </w:rPr>
      </w:pPr>
    </w:p>
    <w:p>
      <w:pPr>
        <w:pStyle w:val="14"/>
        <w:ind w:firstLine="482"/>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14"/>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pStyle w:val="14"/>
        <w:rPr>
          <w:rFonts w:hint="eastAsia" w:ascii="宋体" w:hAnsi="宋体"/>
          <w:sz w:val="28"/>
          <w:szCs w:val="28"/>
          <w:lang w:val="en-US" w:eastAsia="zh-CN"/>
        </w:rPr>
      </w:pPr>
    </w:p>
    <w:p>
      <w:pPr>
        <w:jc w:val="center"/>
        <w:rPr>
          <w:rFonts w:hint="eastAsia" w:ascii="宋体" w:hAnsi="宋体" w:eastAsia="宋体" w:cs="宋体"/>
          <w:b/>
          <w:bCs w:val="0"/>
          <w:kern w:val="2"/>
          <w:sz w:val="36"/>
          <w:szCs w:val="36"/>
          <w:lang w:val="en-US" w:eastAsia="zh-CN" w:bidi="ar-SA"/>
        </w:rPr>
      </w:pPr>
      <w:r>
        <w:rPr>
          <w:rFonts w:hint="eastAsia" w:ascii="宋体" w:hAnsi="宋体"/>
          <w:sz w:val="28"/>
          <w:szCs w:val="28"/>
          <w:lang w:val="en-US" w:eastAsia="zh-CN"/>
        </w:rPr>
        <w:t xml:space="preserve"> </w:t>
      </w:r>
      <w:r>
        <w:rPr>
          <w:rFonts w:hint="eastAsia" w:ascii="宋体" w:hAnsi="宋体"/>
          <w:sz w:val="36"/>
          <w:szCs w:val="36"/>
          <w:lang w:val="en-US" w:eastAsia="zh-CN"/>
        </w:rPr>
        <w:t xml:space="preserve">  </w:t>
      </w:r>
      <w:r>
        <w:rPr>
          <w:rFonts w:hint="eastAsia" w:ascii="宋体" w:hAnsi="宋体" w:eastAsia="宋体" w:cs="宋体"/>
          <w:b/>
          <w:bCs w:val="0"/>
          <w:kern w:val="2"/>
          <w:sz w:val="36"/>
          <w:szCs w:val="36"/>
          <w:lang w:val="en-US" w:eastAsia="zh-CN" w:bidi="ar-SA"/>
        </w:rPr>
        <w:t>采购内容</w:t>
      </w:r>
    </w:p>
    <w:p>
      <w:pPr>
        <w:jc w:val="center"/>
        <w:rPr>
          <w:rFonts w:hint="eastAsia" w:ascii="宋体" w:hAnsi="宋体" w:eastAsia="宋体" w:cs="宋体"/>
          <w:b/>
          <w:bCs w:val="0"/>
          <w:kern w:val="2"/>
          <w:sz w:val="36"/>
          <w:szCs w:val="36"/>
          <w:lang w:val="en-US" w:eastAsia="zh-CN" w:bidi="ar-SA"/>
        </w:rPr>
      </w:pPr>
    </w:p>
    <w:p>
      <w:pPr>
        <w:ind w:firstLine="840" w:firstLineChars="300"/>
        <w:rPr>
          <w:rFonts w:hint="eastAsia" w:ascii="宋体" w:hAnsi="宋体" w:eastAsia="宋体" w:cs="Courier New"/>
          <w:kern w:val="2"/>
          <w:sz w:val="28"/>
          <w:szCs w:val="28"/>
          <w:lang w:val="en-US" w:eastAsia="zh-CN" w:bidi="ar-SA"/>
        </w:rPr>
      </w:pPr>
      <w:r>
        <w:rPr>
          <w:rFonts w:hint="eastAsia" w:ascii="宋体" w:hAnsi="宋体" w:eastAsia="宋体" w:cs="Courier New"/>
          <w:kern w:val="2"/>
          <w:sz w:val="28"/>
          <w:szCs w:val="28"/>
          <w:lang w:val="en-US" w:eastAsia="zh-CN" w:bidi="ar-SA"/>
        </w:rPr>
        <w:t>在以往工作的基础上，开展若羌县地质灾害与孕灾地质条件、承灾体调查、判别地质灾害隐患，总结调查区地质灾害发育分布规律，分析地质灾害成灾模式、开展地质灾害易发性、危险性和风险性评价，提出地质灾害风险管控对策建议，为防灾减灾管理、国土空间规划和用途管制等提供基础依据。</w:t>
      </w: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1">
    <w:nsid w:val="6028E202"/>
    <w:multiLevelType w:val="singleLevel"/>
    <w:tmpl w:val="6028E2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OTk2MzU5NWNmOTlhZjZiMTgyNWQ1OTdmMmI4NTcifQ=="/>
  </w:docVars>
  <w:rsids>
    <w:rsidRoot w:val="0052125D"/>
    <w:rsid w:val="0000015D"/>
    <w:rsid w:val="000026EC"/>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534C"/>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5F0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2F5F9F"/>
    <w:rsid w:val="017B7C9A"/>
    <w:rsid w:val="019B3634"/>
    <w:rsid w:val="01DF4CDD"/>
    <w:rsid w:val="028F6666"/>
    <w:rsid w:val="03064AB8"/>
    <w:rsid w:val="039941AC"/>
    <w:rsid w:val="039D7B38"/>
    <w:rsid w:val="03F93A73"/>
    <w:rsid w:val="042046F5"/>
    <w:rsid w:val="061D3091"/>
    <w:rsid w:val="068425CE"/>
    <w:rsid w:val="0698114A"/>
    <w:rsid w:val="06C8511E"/>
    <w:rsid w:val="06FD7B63"/>
    <w:rsid w:val="0731401A"/>
    <w:rsid w:val="073C31C4"/>
    <w:rsid w:val="07DB5C80"/>
    <w:rsid w:val="07E147B8"/>
    <w:rsid w:val="08066F25"/>
    <w:rsid w:val="08413FD1"/>
    <w:rsid w:val="0858632F"/>
    <w:rsid w:val="0870074C"/>
    <w:rsid w:val="08712537"/>
    <w:rsid w:val="08CA6700"/>
    <w:rsid w:val="08D566AD"/>
    <w:rsid w:val="09071A9A"/>
    <w:rsid w:val="09490FF4"/>
    <w:rsid w:val="09F340E8"/>
    <w:rsid w:val="0A1D5332"/>
    <w:rsid w:val="0A732D15"/>
    <w:rsid w:val="0ABA31D3"/>
    <w:rsid w:val="0AE861F4"/>
    <w:rsid w:val="0B987147"/>
    <w:rsid w:val="0BDE31F1"/>
    <w:rsid w:val="0C852589"/>
    <w:rsid w:val="0CD849FA"/>
    <w:rsid w:val="0D1C451A"/>
    <w:rsid w:val="0D4829AA"/>
    <w:rsid w:val="0D817CDD"/>
    <w:rsid w:val="0E6320AD"/>
    <w:rsid w:val="0EB321BB"/>
    <w:rsid w:val="0F0D0EA4"/>
    <w:rsid w:val="0F344429"/>
    <w:rsid w:val="0FD063B1"/>
    <w:rsid w:val="0FF8717C"/>
    <w:rsid w:val="10277B5C"/>
    <w:rsid w:val="10CD3604"/>
    <w:rsid w:val="10EE35C3"/>
    <w:rsid w:val="113E35C5"/>
    <w:rsid w:val="114F26C3"/>
    <w:rsid w:val="1164103E"/>
    <w:rsid w:val="11B86BB3"/>
    <w:rsid w:val="121D6EB6"/>
    <w:rsid w:val="127D2F5A"/>
    <w:rsid w:val="12817FF4"/>
    <w:rsid w:val="13203999"/>
    <w:rsid w:val="132D1193"/>
    <w:rsid w:val="13336E3E"/>
    <w:rsid w:val="138A253A"/>
    <w:rsid w:val="13BA3963"/>
    <w:rsid w:val="13BE01A0"/>
    <w:rsid w:val="13D962F5"/>
    <w:rsid w:val="13DD4ED1"/>
    <w:rsid w:val="15F44823"/>
    <w:rsid w:val="1609743A"/>
    <w:rsid w:val="16311102"/>
    <w:rsid w:val="1631473A"/>
    <w:rsid w:val="165C6DCA"/>
    <w:rsid w:val="167C26C4"/>
    <w:rsid w:val="169B1732"/>
    <w:rsid w:val="16D5092B"/>
    <w:rsid w:val="16EA49EA"/>
    <w:rsid w:val="176534B8"/>
    <w:rsid w:val="177E44BC"/>
    <w:rsid w:val="178818BA"/>
    <w:rsid w:val="17BE7C25"/>
    <w:rsid w:val="181D2B9D"/>
    <w:rsid w:val="18516D51"/>
    <w:rsid w:val="18A312F5"/>
    <w:rsid w:val="18A65254"/>
    <w:rsid w:val="18F6151F"/>
    <w:rsid w:val="19EF0BD6"/>
    <w:rsid w:val="19FC44C3"/>
    <w:rsid w:val="1A974163"/>
    <w:rsid w:val="1AD06319"/>
    <w:rsid w:val="1AD53B33"/>
    <w:rsid w:val="1AD8404B"/>
    <w:rsid w:val="1B2B711A"/>
    <w:rsid w:val="1B352404"/>
    <w:rsid w:val="1B3A3A66"/>
    <w:rsid w:val="1BCD2368"/>
    <w:rsid w:val="1C084047"/>
    <w:rsid w:val="1C3F60F3"/>
    <w:rsid w:val="1C567B4C"/>
    <w:rsid w:val="1D0D3CA0"/>
    <w:rsid w:val="1D3C38E1"/>
    <w:rsid w:val="1D4A5240"/>
    <w:rsid w:val="1DEA1FEA"/>
    <w:rsid w:val="1DF646A1"/>
    <w:rsid w:val="1E17083B"/>
    <w:rsid w:val="1E505DFB"/>
    <w:rsid w:val="1EDF0728"/>
    <w:rsid w:val="1F2C1918"/>
    <w:rsid w:val="1FA6791C"/>
    <w:rsid w:val="1FEC380D"/>
    <w:rsid w:val="203931EC"/>
    <w:rsid w:val="210A7A37"/>
    <w:rsid w:val="219E17CE"/>
    <w:rsid w:val="21FA7BC8"/>
    <w:rsid w:val="21FC6654"/>
    <w:rsid w:val="224F4AB9"/>
    <w:rsid w:val="22E12559"/>
    <w:rsid w:val="231F1167"/>
    <w:rsid w:val="235C2BD4"/>
    <w:rsid w:val="23651A3C"/>
    <w:rsid w:val="23FF4341"/>
    <w:rsid w:val="24035E1E"/>
    <w:rsid w:val="24324F1D"/>
    <w:rsid w:val="24EB70A7"/>
    <w:rsid w:val="2555132B"/>
    <w:rsid w:val="256E69E8"/>
    <w:rsid w:val="2581038F"/>
    <w:rsid w:val="258C4EBE"/>
    <w:rsid w:val="25A67D3C"/>
    <w:rsid w:val="25B11518"/>
    <w:rsid w:val="25B86563"/>
    <w:rsid w:val="26606DD5"/>
    <w:rsid w:val="26807ACE"/>
    <w:rsid w:val="26C64400"/>
    <w:rsid w:val="27F136FF"/>
    <w:rsid w:val="281F6039"/>
    <w:rsid w:val="28AB1AFF"/>
    <w:rsid w:val="2938027B"/>
    <w:rsid w:val="29816226"/>
    <w:rsid w:val="298A6908"/>
    <w:rsid w:val="29C1340D"/>
    <w:rsid w:val="29F10FDB"/>
    <w:rsid w:val="2A193FB9"/>
    <w:rsid w:val="2A5D4D9B"/>
    <w:rsid w:val="2A676E5E"/>
    <w:rsid w:val="2A787A01"/>
    <w:rsid w:val="2ADA66CC"/>
    <w:rsid w:val="2AF31683"/>
    <w:rsid w:val="2B61195F"/>
    <w:rsid w:val="2C3C17A7"/>
    <w:rsid w:val="2C4550B6"/>
    <w:rsid w:val="2C7D521A"/>
    <w:rsid w:val="2C895BBB"/>
    <w:rsid w:val="2CA31F00"/>
    <w:rsid w:val="2CF47464"/>
    <w:rsid w:val="2D427D83"/>
    <w:rsid w:val="2D6232B4"/>
    <w:rsid w:val="2D67415A"/>
    <w:rsid w:val="2E15498A"/>
    <w:rsid w:val="2E916D24"/>
    <w:rsid w:val="2ED33834"/>
    <w:rsid w:val="2F1D1A5A"/>
    <w:rsid w:val="2FDA73CD"/>
    <w:rsid w:val="2FDB37C9"/>
    <w:rsid w:val="2FDE4FD2"/>
    <w:rsid w:val="2FE871EE"/>
    <w:rsid w:val="30550CCF"/>
    <w:rsid w:val="30C44045"/>
    <w:rsid w:val="31364011"/>
    <w:rsid w:val="31822DF7"/>
    <w:rsid w:val="31832FA6"/>
    <w:rsid w:val="319D724C"/>
    <w:rsid w:val="31C615EA"/>
    <w:rsid w:val="320A42DF"/>
    <w:rsid w:val="3261739C"/>
    <w:rsid w:val="32CA69E2"/>
    <w:rsid w:val="32FB322A"/>
    <w:rsid w:val="33654413"/>
    <w:rsid w:val="34117E84"/>
    <w:rsid w:val="34765CE9"/>
    <w:rsid w:val="349242F3"/>
    <w:rsid w:val="34A81741"/>
    <w:rsid w:val="350D526F"/>
    <w:rsid w:val="35237865"/>
    <w:rsid w:val="35315E89"/>
    <w:rsid w:val="3540076A"/>
    <w:rsid w:val="35551771"/>
    <w:rsid w:val="35FB7D42"/>
    <w:rsid w:val="36345EE6"/>
    <w:rsid w:val="36685CD9"/>
    <w:rsid w:val="3674215F"/>
    <w:rsid w:val="36975642"/>
    <w:rsid w:val="36D72EDD"/>
    <w:rsid w:val="36FF23C6"/>
    <w:rsid w:val="37111108"/>
    <w:rsid w:val="375717D0"/>
    <w:rsid w:val="376A2689"/>
    <w:rsid w:val="37FA7F01"/>
    <w:rsid w:val="38411EC3"/>
    <w:rsid w:val="386C58FB"/>
    <w:rsid w:val="386D15ED"/>
    <w:rsid w:val="388E7B3B"/>
    <w:rsid w:val="389F7463"/>
    <w:rsid w:val="39233DD7"/>
    <w:rsid w:val="397C48AB"/>
    <w:rsid w:val="39A2608B"/>
    <w:rsid w:val="39AB0323"/>
    <w:rsid w:val="3A081DF9"/>
    <w:rsid w:val="3AEC7935"/>
    <w:rsid w:val="3B560CEF"/>
    <w:rsid w:val="3B6650C4"/>
    <w:rsid w:val="3BAE1BDB"/>
    <w:rsid w:val="3BF45333"/>
    <w:rsid w:val="3CF2002E"/>
    <w:rsid w:val="3D5B74C6"/>
    <w:rsid w:val="3D6D0BA5"/>
    <w:rsid w:val="3DD414B2"/>
    <w:rsid w:val="3E467691"/>
    <w:rsid w:val="3EC97FB2"/>
    <w:rsid w:val="3ED93D06"/>
    <w:rsid w:val="3EFF2568"/>
    <w:rsid w:val="3F2F6B8F"/>
    <w:rsid w:val="3FE36681"/>
    <w:rsid w:val="409F5A4A"/>
    <w:rsid w:val="40C304AF"/>
    <w:rsid w:val="415D69F7"/>
    <w:rsid w:val="41AA697C"/>
    <w:rsid w:val="41F21437"/>
    <w:rsid w:val="4225331F"/>
    <w:rsid w:val="424711C0"/>
    <w:rsid w:val="42843695"/>
    <w:rsid w:val="42B31885"/>
    <w:rsid w:val="42C84BF9"/>
    <w:rsid w:val="42CE7F5A"/>
    <w:rsid w:val="43010CC8"/>
    <w:rsid w:val="433F58BD"/>
    <w:rsid w:val="4359092D"/>
    <w:rsid w:val="43666688"/>
    <w:rsid w:val="4371282F"/>
    <w:rsid w:val="437F4981"/>
    <w:rsid w:val="438413DB"/>
    <w:rsid w:val="439E4C80"/>
    <w:rsid w:val="43BA05BB"/>
    <w:rsid w:val="44636210"/>
    <w:rsid w:val="44771EA0"/>
    <w:rsid w:val="44936C55"/>
    <w:rsid w:val="44FC5765"/>
    <w:rsid w:val="4520299F"/>
    <w:rsid w:val="45322804"/>
    <w:rsid w:val="453E2BF0"/>
    <w:rsid w:val="45C41F63"/>
    <w:rsid w:val="46205483"/>
    <w:rsid w:val="467F70E2"/>
    <w:rsid w:val="468D2996"/>
    <w:rsid w:val="46D676EB"/>
    <w:rsid w:val="47433AB9"/>
    <w:rsid w:val="47943E4F"/>
    <w:rsid w:val="47E7599A"/>
    <w:rsid w:val="47F41A4D"/>
    <w:rsid w:val="48365BE9"/>
    <w:rsid w:val="485F237C"/>
    <w:rsid w:val="49844CAB"/>
    <w:rsid w:val="49E36933"/>
    <w:rsid w:val="4A012E2B"/>
    <w:rsid w:val="4A522460"/>
    <w:rsid w:val="4A5D667A"/>
    <w:rsid w:val="4A7D0DB9"/>
    <w:rsid w:val="4A915202"/>
    <w:rsid w:val="4AED3C84"/>
    <w:rsid w:val="4BB3139E"/>
    <w:rsid w:val="4C06644A"/>
    <w:rsid w:val="4C6E282C"/>
    <w:rsid w:val="4C7C057E"/>
    <w:rsid w:val="4C9F1633"/>
    <w:rsid w:val="4CAA6A9E"/>
    <w:rsid w:val="4CCC6BB3"/>
    <w:rsid w:val="4CCF07E4"/>
    <w:rsid w:val="4D2770F7"/>
    <w:rsid w:val="4D677A6F"/>
    <w:rsid w:val="4D9604BC"/>
    <w:rsid w:val="4DC74FFF"/>
    <w:rsid w:val="4DEC6CD7"/>
    <w:rsid w:val="4E2F2707"/>
    <w:rsid w:val="4E6B689F"/>
    <w:rsid w:val="4ED76125"/>
    <w:rsid w:val="4EDD7CD8"/>
    <w:rsid w:val="4EF86F9D"/>
    <w:rsid w:val="4F04441F"/>
    <w:rsid w:val="4F232AC9"/>
    <w:rsid w:val="4F2953A8"/>
    <w:rsid w:val="4FC918B1"/>
    <w:rsid w:val="4FD765C5"/>
    <w:rsid w:val="4FDD44A2"/>
    <w:rsid w:val="501233E8"/>
    <w:rsid w:val="502F2D27"/>
    <w:rsid w:val="50DC7DD1"/>
    <w:rsid w:val="51082263"/>
    <w:rsid w:val="5198572E"/>
    <w:rsid w:val="522D450B"/>
    <w:rsid w:val="52E247F6"/>
    <w:rsid w:val="52FA2762"/>
    <w:rsid w:val="53221C49"/>
    <w:rsid w:val="532408EC"/>
    <w:rsid w:val="53574187"/>
    <w:rsid w:val="536270DB"/>
    <w:rsid w:val="53986C67"/>
    <w:rsid w:val="53FD147E"/>
    <w:rsid w:val="543109BA"/>
    <w:rsid w:val="54323331"/>
    <w:rsid w:val="54AF3253"/>
    <w:rsid w:val="54F03E7B"/>
    <w:rsid w:val="55307659"/>
    <w:rsid w:val="5555355C"/>
    <w:rsid w:val="55E0339D"/>
    <w:rsid w:val="55FE1D5B"/>
    <w:rsid w:val="56757C8E"/>
    <w:rsid w:val="56B63238"/>
    <w:rsid w:val="57AA1051"/>
    <w:rsid w:val="57BF3573"/>
    <w:rsid w:val="58416358"/>
    <w:rsid w:val="58424AB5"/>
    <w:rsid w:val="585D27D8"/>
    <w:rsid w:val="58D05A14"/>
    <w:rsid w:val="58F3699F"/>
    <w:rsid w:val="595455B5"/>
    <w:rsid w:val="595C09AB"/>
    <w:rsid w:val="59730A0E"/>
    <w:rsid w:val="59AC5C70"/>
    <w:rsid w:val="59F22154"/>
    <w:rsid w:val="5A2275C4"/>
    <w:rsid w:val="5A4F3C35"/>
    <w:rsid w:val="5AAD41B2"/>
    <w:rsid w:val="5B0E4FB1"/>
    <w:rsid w:val="5B275FD5"/>
    <w:rsid w:val="5C972052"/>
    <w:rsid w:val="5CE01DE0"/>
    <w:rsid w:val="5D0C2A23"/>
    <w:rsid w:val="5D786872"/>
    <w:rsid w:val="5DE15411"/>
    <w:rsid w:val="5DF14806"/>
    <w:rsid w:val="5E94174C"/>
    <w:rsid w:val="5F2A7A3E"/>
    <w:rsid w:val="5FC11B8B"/>
    <w:rsid w:val="6004506B"/>
    <w:rsid w:val="600E71BC"/>
    <w:rsid w:val="601E106B"/>
    <w:rsid w:val="606175A3"/>
    <w:rsid w:val="60AA36E5"/>
    <w:rsid w:val="60B65D19"/>
    <w:rsid w:val="61127D2A"/>
    <w:rsid w:val="61601D33"/>
    <w:rsid w:val="622F11D2"/>
    <w:rsid w:val="62315C63"/>
    <w:rsid w:val="626C074C"/>
    <w:rsid w:val="62E37F5D"/>
    <w:rsid w:val="631A0F8F"/>
    <w:rsid w:val="63236775"/>
    <w:rsid w:val="63383313"/>
    <w:rsid w:val="634E38B9"/>
    <w:rsid w:val="63633AA7"/>
    <w:rsid w:val="63871BA4"/>
    <w:rsid w:val="63963E64"/>
    <w:rsid w:val="63A23524"/>
    <w:rsid w:val="646F6853"/>
    <w:rsid w:val="64AF5EF8"/>
    <w:rsid w:val="64B96ED9"/>
    <w:rsid w:val="64C42F54"/>
    <w:rsid w:val="64CE04C8"/>
    <w:rsid w:val="64DC1AA7"/>
    <w:rsid w:val="64EE4632"/>
    <w:rsid w:val="65890259"/>
    <w:rsid w:val="66380607"/>
    <w:rsid w:val="663A71E2"/>
    <w:rsid w:val="66624AC4"/>
    <w:rsid w:val="66CF3EB6"/>
    <w:rsid w:val="67120F71"/>
    <w:rsid w:val="677B0DB5"/>
    <w:rsid w:val="67F43406"/>
    <w:rsid w:val="6808615A"/>
    <w:rsid w:val="6852251D"/>
    <w:rsid w:val="68A04182"/>
    <w:rsid w:val="68E601F2"/>
    <w:rsid w:val="694941BC"/>
    <w:rsid w:val="69620955"/>
    <w:rsid w:val="69931B9F"/>
    <w:rsid w:val="69A02426"/>
    <w:rsid w:val="6A5C18FD"/>
    <w:rsid w:val="6A6B167A"/>
    <w:rsid w:val="6A800F11"/>
    <w:rsid w:val="6A840C8C"/>
    <w:rsid w:val="6AEE453B"/>
    <w:rsid w:val="6AF3124A"/>
    <w:rsid w:val="6B166CD1"/>
    <w:rsid w:val="6B515E39"/>
    <w:rsid w:val="6B517CF7"/>
    <w:rsid w:val="6B7E7D5F"/>
    <w:rsid w:val="6CE82148"/>
    <w:rsid w:val="6CEC35B0"/>
    <w:rsid w:val="6D1856E9"/>
    <w:rsid w:val="6E903FBA"/>
    <w:rsid w:val="6E976E60"/>
    <w:rsid w:val="6F3829E8"/>
    <w:rsid w:val="6F6C3363"/>
    <w:rsid w:val="6FB57CB8"/>
    <w:rsid w:val="6FBB7E54"/>
    <w:rsid w:val="6FD33AC8"/>
    <w:rsid w:val="70885FAA"/>
    <w:rsid w:val="708F3534"/>
    <w:rsid w:val="70AC2FCB"/>
    <w:rsid w:val="710B646C"/>
    <w:rsid w:val="710F69FE"/>
    <w:rsid w:val="71F01781"/>
    <w:rsid w:val="71F43287"/>
    <w:rsid w:val="727C0EC4"/>
    <w:rsid w:val="72BA7323"/>
    <w:rsid w:val="72D336FA"/>
    <w:rsid w:val="72D75763"/>
    <w:rsid w:val="73374E73"/>
    <w:rsid w:val="735C324C"/>
    <w:rsid w:val="742B1FE0"/>
    <w:rsid w:val="743F42E8"/>
    <w:rsid w:val="74714F78"/>
    <w:rsid w:val="747A102E"/>
    <w:rsid w:val="753161AE"/>
    <w:rsid w:val="75371582"/>
    <w:rsid w:val="75D47F04"/>
    <w:rsid w:val="75EB43FB"/>
    <w:rsid w:val="763C5D0A"/>
    <w:rsid w:val="76CF27C0"/>
    <w:rsid w:val="76D80CE3"/>
    <w:rsid w:val="773C649E"/>
    <w:rsid w:val="773D0465"/>
    <w:rsid w:val="77526C08"/>
    <w:rsid w:val="781454A1"/>
    <w:rsid w:val="786B2585"/>
    <w:rsid w:val="79391802"/>
    <w:rsid w:val="79671759"/>
    <w:rsid w:val="797075DA"/>
    <w:rsid w:val="7A1B3C8B"/>
    <w:rsid w:val="7AAA05AF"/>
    <w:rsid w:val="7B2714CA"/>
    <w:rsid w:val="7B3A2568"/>
    <w:rsid w:val="7B4414D8"/>
    <w:rsid w:val="7BB41C3D"/>
    <w:rsid w:val="7BDC50A2"/>
    <w:rsid w:val="7CA04D2F"/>
    <w:rsid w:val="7CC606DC"/>
    <w:rsid w:val="7CD87D18"/>
    <w:rsid w:val="7CEB3C59"/>
    <w:rsid w:val="7CF2528C"/>
    <w:rsid w:val="7D0B0461"/>
    <w:rsid w:val="7D282903"/>
    <w:rsid w:val="7D401A7F"/>
    <w:rsid w:val="7E015867"/>
    <w:rsid w:val="7E0D1A37"/>
    <w:rsid w:val="7E2F166A"/>
    <w:rsid w:val="7E3E720E"/>
    <w:rsid w:val="7E5954A9"/>
    <w:rsid w:val="7E753116"/>
    <w:rsid w:val="7E7951BF"/>
    <w:rsid w:val="7F0A4FAE"/>
    <w:rsid w:val="7F2F3071"/>
    <w:rsid w:val="7F761634"/>
    <w:rsid w:val="7F8E48CA"/>
    <w:rsid w:val="7FAB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5"/>
    <w:qFormat/>
    <w:uiPriority w:val="9"/>
    <w:pPr>
      <w:keepNext/>
      <w:keepLines/>
      <w:spacing w:line="360" w:lineRule="auto"/>
      <w:jc w:val="center"/>
      <w:outlineLvl w:val="0"/>
    </w:pPr>
    <w:rPr>
      <w:rFonts w:ascii="Cambria" w:hAnsi="Cambria"/>
      <w:b/>
      <w:bCs/>
      <w:kern w:val="44"/>
      <w:sz w:val="32"/>
      <w:szCs w:val="44"/>
    </w:rPr>
  </w:style>
  <w:style w:type="paragraph" w:styleId="5">
    <w:name w:val="heading 2"/>
    <w:basedOn w:val="1"/>
    <w:next w:val="1"/>
    <w:link w:val="46"/>
    <w:qFormat/>
    <w:uiPriority w:val="0"/>
    <w:pPr>
      <w:keepNext/>
      <w:keepLines/>
      <w:spacing w:line="360" w:lineRule="auto"/>
      <w:contextualSpacing/>
      <w:jc w:val="center"/>
      <w:outlineLvl w:val="1"/>
    </w:pPr>
    <w:rPr>
      <w:rFonts w:ascii="Cambria" w:hAnsi="Cambria"/>
      <w:b/>
      <w:sz w:val="28"/>
      <w:szCs w:val="28"/>
    </w:rPr>
  </w:style>
  <w:style w:type="paragraph" w:styleId="6">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7">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8"/>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8"/>
    <w:next w:val="1"/>
    <w:link w:val="49"/>
    <w:qFormat/>
    <w:uiPriority w:val="0"/>
    <w:pPr>
      <w:tabs>
        <w:tab w:val="left" w:pos="1440"/>
      </w:tabs>
      <w:spacing w:before="260" w:after="260" w:line="360" w:lineRule="auto"/>
      <w:ind w:left="1134" w:hanging="1134"/>
      <w:outlineLvl w:val="5"/>
    </w:pPr>
    <w:rPr>
      <w:sz w:val="30"/>
      <w:szCs w:val="18"/>
    </w:rPr>
  </w:style>
  <w:style w:type="paragraph" w:styleId="10">
    <w:name w:val="heading 7"/>
    <w:basedOn w:val="9"/>
    <w:next w:val="1"/>
    <w:link w:val="50"/>
    <w:qFormat/>
    <w:uiPriority w:val="0"/>
    <w:pPr>
      <w:tabs>
        <w:tab w:val="left" w:pos="1800"/>
        <w:tab w:val="clear" w:pos="1440"/>
      </w:tabs>
      <w:ind w:left="1276" w:hanging="1276"/>
      <w:outlineLvl w:val="6"/>
    </w:pPr>
    <w:rPr>
      <w:rFonts w:ascii="Times New Roman" w:hAnsi="Times New Roman"/>
    </w:rPr>
  </w:style>
  <w:style w:type="paragraph" w:styleId="11">
    <w:name w:val="heading 8"/>
    <w:basedOn w:val="10"/>
    <w:next w:val="1"/>
    <w:link w:val="51"/>
    <w:qFormat/>
    <w:uiPriority w:val="0"/>
    <w:pPr>
      <w:ind w:left="1418" w:hanging="1418"/>
      <w:outlineLvl w:val="7"/>
    </w:pPr>
  </w:style>
  <w:style w:type="paragraph" w:styleId="12">
    <w:name w:val="heading 9"/>
    <w:basedOn w:val="11"/>
    <w:next w:val="1"/>
    <w:link w:val="52"/>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pPr>
  </w:style>
  <w:style w:type="paragraph" w:styleId="3">
    <w:name w:val="Body Text"/>
    <w:basedOn w:val="1"/>
    <w:next w:val="2"/>
    <w:unhideWhenUsed/>
    <w:qFormat/>
    <w:uiPriority w:val="0"/>
    <w:pPr>
      <w:spacing w:after="120"/>
    </w:pPr>
  </w:style>
  <w:style w:type="paragraph" w:styleId="13">
    <w:name w:val="table of authorities"/>
    <w:basedOn w:val="1"/>
    <w:next w:val="1"/>
    <w:semiHidden/>
    <w:qFormat/>
    <w:uiPriority w:val="99"/>
    <w:pPr>
      <w:ind w:left="200" w:leftChars="200"/>
    </w:pPr>
  </w:style>
  <w:style w:type="paragraph" w:styleId="14">
    <w:name w:val="Normal Indent"/>
    <w:basedOn w:val="1"/>
    <w:next w:val="1"/>
    <w:link w:val="53"/>
    <w:unhideWhenUsed/>
    <w:qFormat/>
    <w:uiPriority w:val="0"/>
    <w:pPr>
      <w:ind w:firstLine="420" w:firstLineChars="200"/>
    </w:pPr>
    <w:rPr>
      <w:rFonts w:ascii="Calibri" w:hAnsi="Calibri"/>
    </w:rPr>
  </w:style>
  <w:style w:type="paragraph" w:styleId="15">
    <w:name w:val="List Bullet"/>
    <w:basedOn w:val="1"/>
    <w:next w:val="16"/>
    <w:semiHidden/>
    <w:unhideWhenUsed/>
    <w:qFormat/>
    <w:uiPriority w:val="0"/>
    <w:pPr>
      <w:numPr>
        <w:ilvl w:val="0"/>
        <w:numId w:val="1"/>
      </w:numPr>
    </w:pPr>
  </w:style>
  <w:style w:type="paragraph" w:styleId="16">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7">
    <w:name w:val="Document Map"/>
    <w:basedOn w:val="1"/>
    <w:link w:val="54"/>
    <w:qFormat/>
    <w:uiPriority w:val="0"/>
    <w:rPr>
      <w:rFonts w:ascii="宋体" w:hAnsi="Calibri"/>
      <w:sz w:val="18"/>
      <w:szCs w:val="18"/>
    </w:rPr>
  </w:style>
  <w:style w:type="paragraph" w:styleId="18">
    <w:name w:val="toa heading"/>
    <w:basedOn w:val="1"/>
    <w:next w:val="1"/>
    <w:qFormat/>
    <w:uiPriority w:val="0"/>
    <w:pPr>
      <w:spacing w:before="120"/>
    </w:pPr>
    <w:rPr>
      <w:rFonts w:ascii="Arial" w:hAnsi="Arial"/>
      <w:sz w:val="24"/>
      <w:szCs w:val="21"/>
    </w:rPr>
  </w:style>
  <w:style w:type="paragraph" w:styleId="19">
    <w:name w:val="annotation text"/>
    <w:basedOn w:val="1"/>
    <w:link w:val="55"/>
    <w:qFormat/>
    <w:uiPriority w:val="0"/>
    <w:pPr>
      <w:jc w:val="left"/>
    </w:pPr>
    <w:rPr>
      <w:rFonts w:ascii="Calibri" w:hAnsi="Calibri"/>
    </w:rPr>
  </w:style>
  <w:style w:type="paragraph" w:styleId="20">
    <w:name w:val="Body Text Indent"/>
    <w:basedOn w:val="1"/>
    <w:qFormat/>
    <w:uiPriority w:val="0"/>
    <w:pPr>
      <w:ind w:firstLine="830" w:firstLineChars="352"/>
    </w:pPr>
    <w:rPr>
      <w:rFonts w:ascii="仿宋_GB2312" w:eastAsia="仿宋_GB2312"/>
      <w:sz w:val="32"/>
      <w:szCs w:val="20"/>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56"/>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List"/>
    <w:basedOn w:val="1"/>
    <w:next w:val="30"/>
    <w:unhideWhenUsed/>
    <w:qFormat/>
    <w:uiPriority w:val="0"/>
    <w:pPr>
      <w:ind w:left="200" w:hanging="200" w:hangingChars="200"/>
      <w:contextualSpacing/>
    </w:pPr>
    <w:rPr>
      <w:szCs w:val="20"/>
    </w:rPr>
  </w:style>
  <w:style w:type="paragraph" w:styleId="30">
    <w:name w:val="Body Text Indent 3"/>
    <w:basedOn w:val="1"/>
    <w:next w:val="15"/>
    <w:link w:val="58"/>
    <w:unhideWhenUsed/>
    <w:qFormat/>
    <w:uiPriority w:val="0"/>
    <w:pPr>
      <w:spacing w:after="120"/>
      <w:ind w:left="420" w:leftChars="200"/>
    </w:pPr>
    <w:rPr>
      <w:rFonts w:ascii="Calibri" w:hAnsi="Calibri"/>
      <w:sz w:val="16"/>
      <w:szCs w:val="16"/>
    </w:rPr>
  </w:style>
  <w:style w:type="paragraph" w:styleId="31">
    <w:name w:val="toc 2"/>
    <w:basedOn w:val="1"/>
    <w:next w:val="1"/>
    <w:qFormat/>
    <w:uiPriority w:val="39"/>
    <w:pPr>
      <w:tabs>
        <w:tab w:val="right" w:leader="dot" w:pos="8222"/>
      </w:tabs>
      <w:ind w:left="420" w:leftChars="200"/>
      <w:jc w:val="left"/>
    </w:pPr>
    <w:rPr>
      <w:sz w:val="28"/>
    </w:rPr>
  </w:style>
  <w:style w:type="paragraph" w:styleId="32">
    <w:name w:val="HTML Preformatted"/>
    <w:basedOn w:val="1"/>
    <w:qFormat/>
    <w:uiPriority w:val="0"/>
    <w:rPr>
      <w:rFonts w:ascii="Courier New" w:hAnsi="Courier New"/>
      <w:sz w:val="20"/>
    </w:rPr>
  </w:style>
  <w:style w:type="paragraph" w:styleId="33">
    <w:name w:val="index 1"/>
    <w:basedOn w:val="1"/>
    <w:next w:val="1"/>
    <w:qFormat/>
    <w:uiPriority w:val="0"/>
    <w:pPr>
      <w:jc w:val="center"/>
    </w:pPr>
    <w:rPr>
      <w:szCs w:val="24"/>
    </w:rPr>
  </w:style>
  <w:style w:type="paragraph" w:styleId="34">
    <w:name w:val="Title"/>
    <w:basedOn w:val="5"/>
    <w:next w:val="1"/>
    <w:link w:val="59"/>
    <w:qFormat/>
    <w:uiPriority w:val="0"/>
    <w:pPr>
      <w:jc w:val="both"/>
    </w:pPr>
    <w:rPr>
      <w:rFonts w:ascii="宋体" w:hAnsi="宋体"/>
      <w:sz w:val="44"/>
    </w:rPr>
  </w:style>
  <w:style w:type="paragraph" w:styleId="35">
    <w:name w:val="annotation subject"/>
    <w:basedOn w:val="19"/>
    <w:next w:val="19"/>
    <w:link w:val="60"/>
    <w:qFormat/>
    <w:uiPriority w:val="99"/>
    <w:rPr>
      <w:rFonts w:ascii="Times New Roman" w:hAnsi="Times New Roman"/>
      <w:b/>
      <w:sz w:val="28"/>
      <w:szCs w:val="20"/>
    </w:rPr>
  </w:style>
  <w:style w:type="paragraph" w:styleId="36">
    <w:name w:val="Body Text First Indent 2"/>
    <w:basedOn w:val="20"/>
    <w:qFormat/>
    <w:uiPriority w:val="0"/>
    <w:pPr>
      <w:ind w:firstLine="420" w:firstLineChars="200"/>
    </w:p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unhideWhenUsed/>
    <w:qFormat/>
    <w:uiPriority w:val="0"/>
    <w:rPr>
      <w:sz w:val="21"/>
      <w:szCs w:val="21"/>
    </w:rPr>
  </w:style>
  <w:style w:type="character" w:customStyle="1" w:styleId="44">
    <w:name w:val="标题 3 字符"/>
    <w:link w:val="6"/>
    <w:qFormat/>
    <w:uiPriority w:val="0"/>
    <w:rPr>
      <w:rFonts w:ascii="仿宋_GB2312" w:hAnsi="宋体" w:eastAsia="宋体"/>
      <w:b/>
      <w:kern w:val="2"/>
      <w:sz w:val="32"/>
      <w:szCs w:val="32"/>
    </w:rPr>
  </w:style>
  <w:style w:type="character" w:customStyle="1" w:styleId="45">
    <w:name w:val="标题 1 字符1"/>
    <w:link w:val="4"/>
    <w:qFormat/>
    <w:uiPriority w:val="9"/>
    <w:rPr>
      <w:rFonts w:ascii="Cambria" w:hAnsi="Cambria" w:eastAsia="宋体"/>
      <w:b/>
      <w:bCs/>
      <w:kern w:val="44"/>
      <w:sz w:val="32"/>
      <w:szCs w:val="44"/>
    </w:rPr>
  </w:style>
  <w:style w:type="character" w:customStyle="1" w:styleId="46">
    <w:name w:val="标题 2 字符"/>
    <w:link w:val="5"/>
    <w:qFormat/>
    <w:uiPriority w:val="0"/>
    <w:rPr>
      <w:rFonts w:ascii="Cambria" w:hAnsi="Cambria" w:eastAsia="宋体"/>
      <w:b/>
      <w:kern w:val="2"/>
      <w:sz w:val="28"/>
      <w:szCs w:val="28"/>
    </w:rPr>
  </w:style>
  <w:style w:type="character" w:customStyle="1" w:styleId="47">
    <w:name w:val="标题 4 字符"/>
    <w:link w:val="7"/>
    <w:qFormat/>
    <w:uiPriority w:val="0"/>
    <w:rPr>
      <w:rFonts w:ascii="Arial" w:hAnsi="Arial" w:eastAsia="黑体"/>
      <w:b/>
      <w:bCs/>
      <w:kern w:val="2"/>
      <w:sz w:val="28"/>
      <w:szCs w:val="28"/>
    </w:rPr>
  </w:style>
  <w:style w:type="character" w:customStyle="1" w:styleId="48">
    <w:name w:val="标题 5 字符"/>
    <w:link w:val="8"/>
    <w:qFormat/>
    <w:uiPriority w:val="0"/>
    <w:rPr>
      <w:rFonts w:ascii="Calibri" w:hAnsi="Calibri"/>
      <w:b/>
      <w:bCs/>
      <w:kern w:val="2"/>
      <w:sz w:val="28"/>
      <w:szCs w:val="28"/>
    </w:rPr>
  </w:style>
  <w:style w:type="character" w:customStyle="1" w:styleId="49">
    <w:name w:val="标题 6 字符"/>
    <w:link w:val="9"/>
    <w:qFormat/>
    <w:uiPriority w:val="0"/>
    <w:rPr>
      <w:b/>
      <w:bCs/>
      <w:kern w:val="2"/>
      <w:sz w:val="30"/>
      <w:szCs w:val="18"/>
    </w:rPr>
  </w:style>
  <w:style w:type="character" w:customStyle="1" w:styleId="50">
    <w:name w:val="标题 7 字符"/>
    <w:link w:val="10"/>
    <w:qFormat/>
    <w:uiPriority w:val="0"/>
    <w:rPr>
      <w:b/>
      <w:bCs/>
      <w:kern w:val="2"/>
      <w:sz w:val="30"/>
      <w:szCs w:val="18"/>
    </w:rPr>
  </w:style>
  <w:style w:type="character" w:customStyle="1" w:styleId="51">
    <w:name w:val="标题 8 字符"/>
    <w:link w:val="11"/>
    <w:qFormat/>
    <w:uiPriority w:val="0"/>
    <w:rPr>
      <w:b/>
      <w:bCs/>
      <w:kern w:val="2"/>
      <w:sz w:val="30"/>
      <w:szCs w:val="18"/>
    </w:rPr>
  </w:style>
  <w:style w:type="character" w:customStyle="1" w:styleId="52">
    <w:name w:val="标题 9 字符"/>
    <w:link w:val="12"/>
    <w:qFormat/>
    <w:uiPriority w:val="0"/>
    <w:rPr>
      <w:b/>
      <w:bCs/>
      <w:kern w:val="2"/>
      <w:sz w:val="30"/>
      <w:szCs w:val="18"/>
    </w:rPr>
  </w:style>
  <w:style w:type="character" w:customStyle="1" w:styleId="53">
    <w:name w:val="正文缩进 字符1"/>
    <w:link w:val="14"/>
    <w:qFormat/>
    <w:uiPriority w:val="0"/>
    <w:rPr>
      <w:rFonts w:ascii="Calibri" w:hAnsi="Calibri" w:eastAsia="宋体"/>
      <w:kern w:val="2"/>
      <w:sz w:val="21"/>
      <w:szCs w:val="22"/>
      <w:lang w:val="en-US" w:eastAsia="zh-CN" w:bidi="ar-SA"/>
    </w:rPr>
  </w:style>
  <w:style w:type="character" w:customStyle="1" w:styleId="54">
    <w:name w:val="文档结构图 字符"/>
    <w:link w:val="17"/>
    <w:qFormat/>
    <w:uiPriority w:val="0"/>
    <w:rPr>
      <w:rFonts w:ascii="宋体" w:hAnsi="Calibri"/>
      <w:kern w:val="2"/>
      <w:sz w:val="18"/>
      <w:szCs w:val="18"/>
    </w:rPr>
  </w:style>
  <w:style w:type="character" w:customStyle="1" w:styleId="55">
    <w:name w:val="批注文字 字符"/>
    <w:link w:val="19"/>
    <w:qFormat/>
    <w:uiPriority w:val="0"/>
    <w:rPr>
      <w:rFonts w:ascii="Calibri" w:hAnsi="Calibri"/>
      <w:kern w:val="2"/>
      <w:sz w:val="21"/>
      <w:szCs w:val="22"/>
    </w:rPr>
  </w:style>
  <w:style w:type="character" w:customStyle="1" w:styleId="56">
    <w:name w:val="纯文本 字符"/>
    <w:link w:val="23"/>
    <w:qFormat/>
    <w:locked/>
    <w:uiPriority w:val="0"/>
    <w:rPr>
      <w:rFonts w:ascii="宋体" w:hAnsi="Courier New" w:eastAsia="宋体" w:cs="Courier New"/>
      <w:kern w:val="2"/>
      <w:sz w:val="21"/>
      <w:szCs w:val="21"/>
    </w:rPr>
  </w:style>
  <w:style w:type="character" w:customStyle="1" w:styleId="57">
    <w:name w:val="页眉 字符"/>
    <w:link w:val="27"/>
    <w:qFormat/>
    <w:uiPriority w:val="99"/>
    <w:rPr>
      <w:rFonts w:ascii="Calibri" w:hAnsi="Calibri" w:eastAsia="宋体" w:cs="Times New Roman"/>
      <w:kern w:val="2"/>
      <w:sz w:val="18"/>
      <w:szCs w:val="18"/>
    </w:rPr>
  </w:style>
  <w:style w:type="character" w:customStyle="1" w:styleId="58">
    <w:name w:val="正文文本缩进 3 字符"/>
    <w:link w:val="30"/>
    <w:semiHidden/>
    <w:qFormat/>
    <w:uiPriority w:val="0"/>
    <w:rPr>
      <w:rFonts w:ascii="Calibri" w:hAnsi="Calibri"/>
      <w:kern w:val="2"/>
      <w:sz w:val="16"/>
      <w:szCs w:val="16"/>
    </w:rPr>
  </w:style>
  <w:style w:type="character" w:customStyle="1" w:styleId="59">
    <w:name w:val="标题 字符"/>
    <w:link w:val="34"/>
    <w:qFormat/>
    <w:uiPriority w:val="0"/>
    <w:rPr>
      <w:rFonts w:ascii="宋体" w:hAnsi="宋体" w:eastAsia="宋体"/>
      <w:b/>
      <w:kern w:val="2"/>
      <w:sz w:val="44"/>
      <w:szCs w:val="28"/>
    </w:rPr>
  </w:style>
  <w:style w:type="character" w:customStyle="1" w:styleId="60">
    <w:name w:val="批注主题 字符"/>
    <w:link w:val="35"/>
    <w:qFormat/>
    <w:uiPriority w:val="99"/>
    <w:rPr>
      <w:b/>
      <w:kern w:val="2"/>
      <w:sz w:val="28"/>
    </w:rPr>
  </w:style>
  <w:style w:type="character" w:customStyle="1" w:styleId="61">
    <w:name w:val="font41"/>
    <w:qFormat/>
    <w:uiPriority w:val="0"/>
    <w:rPr>
      <w:rFonts w:hint="eastAsia" w:ascii="宋体" w:hAnsi="宋体" w:eastAsia="宋体" w:cs="宋体"/>
      <w:b/>
      <w:color w:val="000000"/>
      <w:sz w:val="18"/>
      <w:szCs w:val="18"/>
      <w:u w:val="none"/>
    </w:rPr>
  </w:style>
  <w:style w:type="character" w:customStyle="1" w:styleId="62">
    <w:name w:val="需求样式 Char"/>
    <w:link w:val="63"/>
    <w:qFormat/>
    <w:uiPriority w:val="0"/>
    <w:rPr>
      <w:b/>
      <w:bCs/>
      <w:kern w:val="44"/>
      <w:sz w:val="32"/>
      <w:szCs w:val="28"/>
    </w:rPr>
  </w:style>
  <w:style w:type="paragraph" w:customStyle="1" w:styleId="63">
    <w:name w:val="需求样式"/>
    <w:basedOn w:val="4"/>
    <w:link w:val="62"/>
    <w:qFormat/>
    <w:uiPriority w:val="0"/>
    <w:pPr>
      <w:spacing w:before="120" w:after="120"/>
      <w:ind w:left="425" w:hanging="425"/>
    </w:pPr>
    <w:rPr>
      <w:b w:val="0"/>
      <w:szCs w:val="28"/>
    </w:rPr>
  </w:style>
  <w:style w:type="character" w:customStyle="1" w:styleId="64">
    <w:name w:val="case31"/>
    <w:qFormat/>
    <w:uiPriority w:val="0"/>
    <w:rPr>
      <w:rFonts w:hint="default"/>
      <w:spacing w:val="390"/>
      <w:sz w:val="21"/>
      <w:szCs w:val="21"/>
    </w:rPr>
  </w:style>
  <w:style w:type="character" w:customStyle="1" w:styleId="65">
    <w:name w:val="font81"/>
    <w:qFormat/>
    <w:uiPriority w:val="0"/>
    <w:rPr>
      <w:rFonts w:hint="default" w:ascii="Calibri" w:hAnsi="Calibri" w:cs="Calibri"/>
      <w:color w:val="000000"/>
      <w:sz w:val="20"/>
      <w:szCs w:val="20"/>
      <w:u w:val="none"/>
    </w:rPr>
  </w:style>
  <w:style w:type="character" w:customStyle="1" w:styleId="66">
    <w:name w:val="标题 1 字符"/>
    <w:qFormat/>
    <w:uiPriority w:val="9"/>
    <w:rPr>
      <w:rFonts w:ascii="Times New Roman" w:hAnsi="Times New Roman" w:eastAsia="宋体" w:cs="Times New Roman"/>
      <w:bCs/>
      <w:kern w:val="44"/>
      <w:sz w:val="32"/>
      <w:szCs w:val="44"/>
    </w:rPr>
  </w:style>
  <w:style w:type="character" w:customStyle="1" w:styleId="67">
    <w:name w:val="font21"/>
    <w:qFormat/>
    <w:uiPriority w:val="0"/>
    <w:rPr>
      <w:rFonts w:hint="eastAsia" w:ascii="宋体" w:hAnsi="宋体" w:eastAsia="宋体" w:cs="宋体"/>
      <w:color w:val="000000"/>
      <w:sz w:val="24"/>
      <w:szCs w:val="24"/>
      <w:u w:val="none"/>
    </w:rPr>
  </w:style>
  <w:style w:type="character" w:customStyle="1" w:styleId="68">
    <w:name w:val="普通文字 Char Char2"/>
    <w:qFormat/>
    <w:uiPriority w:val="0"/>
    <w:rPr>
      <w:rFonts w:ascii="宋体" w:hAnsi="Courier New" w:cs="Courier New"/>
      <w:kern w:val="2"/>
      <w:sz w:val="21"/>
      <w:szCs w:val="21"/>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character" w:customStyle="1" w:styleId="71">
    <w:name w:val="font51"/>
    <w:qFormat/>
    <w:uiPriority w:val="0"/>
    <w:rPr>
      <w:rFonts w:hint="eastAsia" w:ascii="宋体" w:hAnsi="宋体" w:eastAsia="宋体" w:cs="宋体"/>
      <w:color w:val="000000"/>
      <w:sz w:val="20"/>
      <w:szCs w:val="20"/>
      <w:u w:val="none"/>
    </w:rPr>
  </w:style>
  <w:style w:type="character" w:customStyle="1" w:styleId="72">
    <w:name w:val="批注主题 Char1"/>
    <w:qFormat/>
    <w:uiPriority w:val="0"/>
    <w:rPr>
      <w:rFonts w:ascii="Calibri" w:hAnsi="Calibri"/>
      <w:b/>
      <w:bCs/>
      <w:kern w:val="2"/>
      <w:sz w:val="21"/>
      <w:szCs w:val="22"/>
    </w:rPr>
  </w:style>
  <w:style w:type="character" w:customStyle="1" w:styleId="73">
    <w:name w:val="正文缩进 字符"/>
    <w:qFormat/>
    <w:uiPriority w:val="0"/>
    <w:rPr>
      <w:rFonts w:ascii="Calibri" w:hAnsi="Calibri"/>
    </w:rPr>
  </w:style>
  <w:style w:type="paragraph" w:styleId="74">
    <w:name w:val="List Paragraph"/>
    <w:basedOn w:val="1"/>
    <w:qFormat/>
    <w:uiPriority w:val="1"/>
    <w:pPr>
      <w:ind w:firstLine="420" w:firstLineChars="200"/>
    </w:pPr>
  </w:style>
  <w:style w:type="paragraph" w:customStyle="1" w:styleId="75">
    <w:name w:val="Normal_16"/>
    <w:qFormat/>
    <w:uiPriority w:val="0"/>
    <w:rPr>
      <w:rFonts w:ascii="黑体" w:hAnsi="黑体" w:eastAsia="黑体" w:cs="Times New Roman"/>
      <w:b/>
      <w:sz w:val="32"/>
      <w:szCs w:val="24"/>
      <w:lang w:val="en-US" w:eastAsia="zh-CN" w:bidi="ar-SA"/>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OC 标题1"/>
    <w:basedOn w:val="4"/>
    <w:next w:val="1"/>
    <w:qFormat/>
    <w:uiPriority w:val="39"/>
    <w:pPr>
      <w:widowControl/>
      <w:spacing w:before="480" w:line="276" w:lineRule="auto"/>
      <w:jc w:val="left"/>
      <w:outlineLvl w:val="9"/>
    </w:pPr>
    <w:rPr>
      <w:color w:val="365F91"/>
      <w:kern w:val="0"/>
      <w:sz w:val="28"/>
    </w:rPr>
  </w:style>
  <w:style w:type="paragraph" w:customStyle="1" w:styleId="7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9">
    <w:name w:val="È±Ê¡ÎÄ±¾"/>
    <w:basedOn w:val="1"/>
    <w:qFormat/>
    <w:uiPriority w:val="0"/>
    <w:pPr>
      <w:widowControl/>
      <w:overflowPunct w:val="0"/>
      <w:autoSpaceDE w:val="0"/>
      <w:autoSpaceDN w:val="0"/>
      <w:adjustRightInd w:val="0"/>
      <w:jc w:val="left"/>
    </w:pPr>
    <w:rPr>
      <w:kern w:val="0"/>
      <w:sz w:val="24"/>
    </w:rPr>
  </w:style>
  <w:style w:type="paragraph" w:customStyle="1" w:styleId="8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4">
    <w:name w:val="正文1"/>
    <w:qFormat/>
    <w:uiPriority w:val="0"/>
    <w:rPr>
      <w:rFonts w:ascii="Times New Roman" w:hAnsi="Times New Roman" w:eastAsia="Times New Roman" w:cs="Times New Roman"/>
      <w:sz w:val="24"/>
      <w:szCs w:val="24"/>
      <w:lang w:val="en-US" w:eastAsia="zh-CN" w:bidi="ar-SA"/>
    </w:rPr>
  </w:style>
  <w:style w:type="paragraph" w:customStyle="1" w:styleId="85">
    <w:name w:val="默认段落字体 Para Char"/>
    <w:basedOn w:val="1"/>
    <w:qFormat/>
    <w:uiPriority w:val="0"/>
    <w:pPr>
      <w:adjustRightInd w:val="0"/>
      <w:spacing w:line="360" w:lineRule="auto"/>
    </w:pPr>
    <w:rPr>
      <w:rFonts w:eastAsia="微软雅黑"/>
      <w:szCs w:val="24"/>
    </w:rPr>
  </w:style>
  <w:style w:type="paragraph" w:customStyle="1" w:styleId="86">
    <w:name w:val="SF正文"/>
    <w:basedOn w:val="1"/>
    <w:qFormat/>
    <w:uiPriority w:val="0"/>
    <w:pPr>
      <w:spacing w:line="460" w:lineRule="exact"/>
      <w:ind w:firstLine="200" w:firstLineChars="200"/>
    </w:pPr>
    <w:rPr>
      <w:rFonts w:ascii="Century Gothic" w:hAnsi="Century Gothic"/>
      <w:sz w:val="24"/>
      <w:szCs w:val="24"/>
    </w:rPr>
  </w:style>
  <w:style w:type="paragraph" w:customStyle="1" w:styleId="87">
    <w:name w:val="Normal_5"/>
    <w:qFormat/>
    <w:uiPriority w:val="0"/>
    <w:rPr>
      <w:rFonts w:ascii="黑体" w:hAnsi="黑体" w:eastAsia="黑体" w:cs="Times New Roman"/>
      <w:b/>
      <w:sz w:val="32"/>
      <w:szCs w:val="24"/>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标题 3_0"/>
    <w:basedOn w:val="78"/>
    <w:next w:val="78"/>
    <w:qFormat/>
    <w:uiPriority w:val="0"/>
    <w:pPr>
      <w:adjustRightInd w:val="0"/>
      <w:snapToGrid w:val="0"/>
      <w:spacing w:line="500" w:lineRule="exact"/>
      <w:jc w:val="center"/>
      <w:outlineLvl w:val="2"/>
    </w:pPr>
    <w:rPr>
      <w:rFonts w:ascii="宋体" w:hAnsi="宋体"/>
      <w:b/>
      <w:sz w:val="32"/>
      <w:szCs w:val="32"/>
    </w:rPr>
  </w:style>
  <w:style w:type="paragraph" w:customStyle="1" w:styleId="9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列出段落1"/>
    <w:basedOn w:val="1"/>
    <w:qFormat/>
    <w:uiPriority w:val="34"/>
    <w:pPr>
      <w:ind w:firstLine="420" w:firstLineChars="200"/>
    </w:p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正文文本_1"/>
    <w:basedOn w:val="98"/>
    <w:qFormat/>
    <w:uiPriority w:val="0"/>
    <w:pPr>
      <w:spacing w:after="120"/>
    </w:pPr>
    <w:rPr>
      <w:kern w:val="0"/>
      <w:sz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00">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1">
    <w:name w:val="正文文本缩进_1"/>
    <w:basedOn w:val="91"/>
    <w:qFormat/>
    <w:uiPriority w:val="0"/>
    <w:pPr>
      <w:spacing w:line="500" w:lineRule="exact"/>
      <w:ind w:left="1588" w:leftChars="832" w:firstLine="433" w:firstLineChars="196"/>
    </w:pPr>
    <w:rPr>
      <w:kern w:val="0"/>
      <w:sz w:val="24"/>
    </w:rPr>
  </w:style>
  <w:style w:type="paragraph" w:customStyle="1" w:styleId="102">
    <w:name w:val="日期_0"/>
    <w:basedOn w:val="89"/>
    <w:next w:val="89"/>
    <w:qFormat/>
    <w:uiPriority w:val="0"/>
    <w:pPr>
      <w:ind w:left="100" w:leftChars="2500"/>
    </w:pPr>
    <w:rPr>
      <w:kern w:val="0"/>
      <w:sz w:val="20"/>
    </w:rPr>
  </w:style>
  <w:style w:type="paragraph" w:customStyle="1" w:styleId="1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TOC 标题2"/>
    <w:basedOn w:val="4"/>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5">
    <w:name w:val="正文文本缩进_0_0"/>
    <w:basedOn w:val="80"/>
    <w:qFormat/>
    <w:uiPriority w:val="0"/>
    <w:pPr>
      <w:spacing w:line="500" w:lineRule="exact"/>
      <w:ind w:left="1588" w:leftChars="832" w:firstLine="433" w:firstLineChars="196"/>
    </w:pPr>
    <w:rPr>
      <w:kern w:val="0"/>
      <w:sz w:val="24"/>
    </w:rPr>
  </w:style>
  <w:style w:type="paragraph" w:customStyle="1" w:styleId="10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1"/>
    <w:qFormat/>
    <w:uiPriority w:val="0"/>
    <w:rPr>
      <w:rFonts w:ascii="黑体" w:hAnsi="黑体" w:eastAsia="黑体" w:cs="Times New Roman"/>
      <w:b/>
      <w:sz w:val="32"/>
      <w:szCs w:val="24"/>
      <w:lang w:val="en-US" w:eastAsia="zh-CN" w:bidi="ar-SA"/>
    </w:rPr>
  </w:style>
  <w:style w:type="paragraph" w:customStyle="1" w:styleId="108">
    <w:name w:val="标题 2_0"/>
    <w:basedOn w:val="78"/>
    <w:next w:val="78"/>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9">
    <w:name w:val="Normal_3"/>
    <w:qFormat/>
    <w:uiPriority w:val="0"/>
    <w:rPr>
      <w:rFonts w:ascii="黑体" w:hAnsi="黑体" w:eastAsia="黑体" w:cs="Times New Roman"/>
      <w:b/>
      <w:sz w:val="32"/>
      <w:szCs w:val="24"/>
      <w:lang w:val="en-US" w:eastAsia="zh-CN" w:bidi="ar-SA"/>
    </w:rPr>
  </w:style>
  <w:style w:type="paragraph" w:customStyle="1" w:styleId="110">
    <w:name w:val="Normal_13"/>
    <w:qFormat/>
    <w:uiPriority w:val="0"/>
    <w:rPr>
      <w:rFonts w:ascii="黑体" w:hAnsi="黑体" w:eastAsia="黑体" w:cs="Times New Roman"/>
      <w:b/>
      <w:sz w:val="32"/>
      <w:szCs w:val="24"/>
      <w:lang w:val="en-US" w:eastAsia="zh-CN" w:bidi="ar-SA"/>
    </w:rPr>
  </w:style>
  <w:style w:type="paragraph" w:customStyle="1" w:styleId="111">
    <w:name w:val="标题 3_0_0"/>
    <w:basedOn w:val="93"/>
    <w:next w:val="9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标题 2_0_0"/>
    <w:basedOn w:val="111"/>
    <w:next w:val="90"/>
    <w:qFormat/>
    <w:uiPriority w:val="0"/>
    <w:pPr>
      <w:outlineLvl w:val="1"/>
    </w:pPr>
    <w:rPr>
      <w:rFonts w:ascii="Calibri" w:hAnsi="Calibri"/>
    </w:rPr>
  </w:style>
  <w:style w:type="paragraph" w:customStyle="1" w:styleId="114">
    <w:name w:val="BodyText1I2"/>
    <w:basedOn w:val="115"/>
    <w:qFormat/>
    <w:uiPriority w:val="0"/>
    <w:pPr>
      <w:spacing w:after="0"/>
      <w:ind w:left="0" w:leftChars="0" w:firstLine="200" w:firstLineChars="200"/>
    </w:pPr>
    <w:rPr>
      <w:sz w:val="28"/>
    </w:rPr>
  </w:style>
  <w:style w:type="paragraph" w:customStyle="1" w:styleId="115">
    <w:name w:val="BodyTextIndent"/>
    <w:basedOn w:val="1"/>
    <w:qFormat/>
    <w:uiPriority w:val="0"/>
    <w:pPr>
      <w:spacing w:after="120"/>
      <w:ind w:left="420" w:leftChars="200"/>
      <w:textAlignment w:val="baseline"/>
    </w:pPr>
  </w:style>
  <w:style w:type="paragraph" w:customStyle="1" w:styleId="1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8">
    <w:name w:val="fontstyle01"/>
    <w:basedOn w:val="39"/>
    <w:qFormat/>
    <w:uiPriority w:val="0"/>
    <w:rPr>
      <w:rFonts w:hint="eastAsia" w:ascii="仿宋_GB2312" w:eastAsia="仿宋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18669</Words>
  <Characters>19833</Characters>
  <Lines>156</Lines>
  <Paragraphs>44</Paragraphs>
  <TotalTime>1</TotalTime>
  <ScaleCrop>false</ScaleCrop>
  <LinksUpToDate>false</LinksUpToDate>
  <CharactersWithSpaces>21555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Administrator</cp:lastModifiedBy>
  <cp:lastPrinted>2021-01-04T03:56:00Z</cp:lastPrinted>
  <dcterms:modified xsi:type="dcterms:W3CDTF">2022-08-30T06:25:10Z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ADB3B7D4120E406EB18FEFA146E6E940</vt:lpwstr>
  </property>
</Properties>
</file>