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drawing>
          <wp:inline distT="0" distB="0" distL="114300" distR="114300">
            <wp:extent cx="3556000" cy="294005"/>
            <wp:effectExtent l="0" t="0" r="6350" b="1079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20"/>
                    <a:stretch>
                      <a:fillRect/>
                    </a:stretch>
                  </pic:blipFill>
                  <pic:spPr>
                    <a:xfrm>
                      <a:off x="0" y="0"/>
                      <a:ext cx="3556000" cy="294005"/>
                    </a:xfrm>
                    <a:prstGeom prst="rect">
                      <a:avLst/>
                    </a:prstGeom>
                    <a:noFill/>
                    <a:ln w="9525">
                      <a:noFill/>
                    </a:ln>
                  </pic:spPr>
                </pic:pic>
              </a:graphicData>
            </a:graphic>
          </wp:inline>
        </w:drawing>
      </w:r>
    </w:p>
    <w:p>
      <w:pPr>
        <w:spacing w:before="320" w:after="160" w:line="360" w:lineRule="auto"/>
        <w:rPr>
          <w:rFonts w:hint="eastAsia" w:ascii="仿宋" w:hAnsi="仿宋" w:eastAsia="仿宋" w:cs="仿宋"/>
          <w:b/>
          <w:bCs/>
          <w:color w:val="000000" w:themeColor="text1"/>
          <w:sz w:val="84"/>
          <w:szCs w:val="84"/>
          <w:highlight w:val="none"/>
          <w14:textFill>
            <w14:solidFill>
              <w14:schemeClr w14:val="tx1"/>
            </w14:solidFill>
          </w14:textFill>
        </w:rPr>
      </w:pPr>
    </w:p>
    <w:p>
      <w:pPr>
        <w:spacing w:before="320" w:after="160" w:line="360" w:lineRule="auto"/>
        <w:jc w:val="center"/>
        <w:rPr>
          <w:rFonts w:hint="eastAsia" w:ascii="仿宋" w:hAnsi="仿宋" w:eastAsia="仿宋" w:cs="仿宋"/>
          <w:b/>
          <w:bCs/>
          <w:color w:val="000000" w:themeColor="text1"/>
          <w:sz w:val="84"/>
          <w:szCs w:val="84"/>
          <w:highlight w:val="none"/>
          <w14:textFill>
            <w14:solidFill>
              <w14:schemeClr w14:val="tx1"/>
            </w14:solidFill>
          </w14:textFill>
        </w:rPr>
      </w:pPr>
    </w:p>
    <w:p>
      <w:pPr>
        <w:spacing w:before="320" w:after="160" w:line="360" w:lineRule="auto"/>
        <w:jc w:val="center"/>
        <w:rPr>
          <w:rFonts w:hint="eastAsia" w:ascii="仿宋" w:hAnsi="仿宋" w:eastAsia="仿宋" w:cs="仿宋"/>
          <w:b/>
          <w:bCs/>
          <w:color w:val="000000" w:themeColor="text1"/>
          <w:sz w:val="84"/>
          <w:szCs w:val="84"/>
          <w:highlight w:val="none"/>
          <w14:textFill>
            <w14:solidFill>
              <w14:schemeClr w14:val="tx1"/>
            </w14:solidFill>
          </w14:textFill>
        </w:rPr>
      </w:pPr>
      <w:r>
        <w:rPr>
          <w:rFonts w:hint="eastAsia" w:ascii="仿宋" w:hAnsi="仿宋" w:eastAsia="仿宋" w:cs="仿宋"/>
          <w:b/>
          <w:bCs/>
          <w:color w:val="000000" w:themeColor="text1"/>
          <w:sz w:val="84"/>
          <w:szCs w:val="84"/>
          <w:highlight w:val="none"/>
          <w14:textFill>
            <w14:solidFill>
              <w14:schemeClr w14:val="tx1"/>
            </w14:solidFill>
          </w14:textFill>
        </w:rPr>
        <w:t>招标文件</w:t>
      </w:r>
    </w:p>
    <w:p>
      <w:pPr>
        <w:spacing w:before="320" w:after="160" w:line="360" w:lineRule="auto"/>
        <w:jc w:val="center"/>
        <w:rPr>
          <w:rFonts w:hint="eastAsia" w:ascii="仿宋" w:hAnsi="仿宋" w:eastAsia="仿宋" w:cs="仿宋"/>
          <w:color w:val="000000" w:themeColor="text1"/>
          <w:sz w:val="32"/>
          <w:highlight w:val="none"/>
          <w14:textFill>
            <w14:solidFill>
              <w14:schemeClr w14:val="tx1"/>
            </w14:solidFill>
          </w14:textFill>
        </w:rPr>
      </w:pPr>
    </w:p>
    <w:p>
      <w:pPr>
        <w:tabs>
          <w:tab w:val="left" w:pos="5870"/>
        </w:tabs>
        <w:spacing w:line="360" w:lineRule="auto"/>
        <w:ind w:right="17"/>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ab/>
      </w:r>
    </w:p>
    <w:p>
      <w:pPr>
        <w:spacing w:line="360" w:lineRule="auto"/>
        <w:ind w:right="17"/>
        <w:jc w:val="center"/>
        <w:rPr>
          <w:rFonts w:hint="eastAsia" w:ascii="仿宋" w:hAnsi="仿宋" w:eastAsia="仿宋" w:cs="仿宋"/>
          <w:bCs/>
          <w:color w:val="000000" w:themeColor="text1"/>
          <w:sz w:val="28"/>
          <w:szCs w:val="28"/>
          <w:highlight w:val="none"/>
          <w14:textFill>
            <w14:solidFill>
              <w14:schemeClr w14:val="tx1"/>
            </w14:solidFill>
          </w14:textFill>
        </w:rPr>
      </w:pPr>
    </w:p>
    <w:tbl>
      <w:tblPr>
        <w:tblStyle w:val="15"/>
        <w:tblpPr w:leftFromText="180" w:rightFromText="180" w:vertAnchor="text" w:horzAnchor="page" w:tblpX="1697" w:tblpY="279"/>
        <w:tblW w:w="8928" w:type="dxa"/>
        <w:tblInd w:w="0" w:type="dxa"/>
        <w:tblLayout w:type="fixed"/>
        <w:tblCellMar>
          <w:top w:w="0" w:type="dxa"/>
          <w:left w:w="108" w:type="dxa"/>
          <w:bottom w:w="0" w:type="dxa"/>
          <w:right w:w="108" w:type="dxa"/>
        </w:tblCellMar>
      </w:tblPr>
      <w:tblGrid>
        <w:gridCol w:w="1973"/>
        <w:gridCol w:w="645"/>
        <w:gridCol w:w="6310"/>
      </w:tblGrid>
      <w:tr>
        <w:tblPrEx>
          <w:tblCellMar>
            <w:top w:w="0" w:type="dxa"/>
            <w:left w:w="108" w:type="dxa"/>
            <w:bottom w:w="0" w:type="dxa"/>
            <w:right w:w="108" w:type="dxa"/>
          </w:tblCellMar>
        </w:tblPrEx>
        <w:trPr>
          <w:trHeight w:val="1071" w:hRule="atLeast"/>
        </w:trPr>
        <w:tc>
          <w:tcPr>
            <w:tcW w:w="1973" w:type="dxa"/>
            <w:tcBorders>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 目 名 称</w:t>
            </w:r>
          </w:p>
        </w:tc>
        <w:tc>
          <w:tcPr>
            <w:tcW w:w="645" w:type="dxa"/>
            <w:tcBorders>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tcBorders>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新疆农业科学院农业质量标准与检测技术研究所2022年仪器设备采购项目</w:t>
            </w:r>
          </w:p>
        </w:tc>
      </w:tr>
      <w:tr>
        <w:tblPrEx>
          <w:tblCellMar>
            <w:top w:w="0" w:type="dxa"/>
            <w:left w:w="108" w:type="dxa"/>
            <w:bottom w:w="0" w:type="dxa"/>
            <w:right w:w="108" w:type="dxa"/>
          </w:tblCellMar>
        </w:tblPrEx>
        <w:trPr>
          <w:trHeight w:val="567" w:hRule="atLeast"/>
        </w:trPr>
        <w:tc>
          <w:tcPr>
            <w:tcW w:w="1973" w:type="dxa"/>
            <w:tcBorders>
              <w:top w:val="nil"/>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项 目 编 号</w:t>
            </w:r>
          </w:p>
        </w:tc>
        <w:tc>
          <w:tcPr>
            <w:tcW w:w="645" w:type="dxa"/>
            <w:tcBorders>
              <w:top w:val="nil"/>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tcBorders>
              <w:top w:val="nil"/>
              <w:bottom w:val="nil"/>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XJLY22HW06</w:t>
            </w:r>
            <w:r>
              <w:rPr>
                <w:rFonts w:hint="eastAsia" w:ascii="仿宋" w:hAnsi="仿宋" w:eastAsia="仿宋" w:cs="仿宋"/>
                <w:b/>
                <w:color w:val="000000" w:themeColor="text1"/>
                <w:sz w:val="28"/>
                <w:szCs w:val="28"/>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567" w:hRule="atLeast"/>
        </w:trPr>
        <w:tc>
          <w:tcPr>
            <w:tcW w:w="1973" w:type="dxa"/>
            <w:tcBorders>
              <w:top w:val="nil"/>
              <w:bottom w:val="single" w:color="auto" w:sz="4" w:space="0"/>
            </w:tcBorders>
            <w:vAlign w:val="center"/>
          </w:tcPr>
          <w:p>
            <w:pPr>
              <w:keepNext w:val="0"/>
              <w:keepLines w:val="0"/>
              <w:suppressLineNumbers w:val="0"/>
              <w:spacing w:before="0" w:beforeAutospacing="0" w:after="0" w:afterAutospacing="0" w:line="240" w:lineRule="auto"/>
              <w:ind w:left="0" w:right="-139" w:rightChars="-66"/>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pacing w:val="44"/>
                <w:kern w:val="0"/>
                <w:sz w:val="28"/>
                <w:szCs w:val="28"/>
                <w:highlight w:val="none"/>
                <w14:textFill>
                  <w14:solidFill>
                    <w14:schemeClr w14:val="tx1"/>
                  </w14:solidFill>
                </w14:textFill>
              </w:rPr>
              <w:t>采</w:t>
            </w:r>
            <w:r>
              <w:rPr>
                <w:rFonts w:hint="eastAsia" w:ascii="仿宋" w:hAnsi="仿宋" w:eastAsia="仿宋" w:cs="仿宋"/>
                <w:b/>
                <w:color w:val="000000" w:themeColor="text1"/>
                <w:spacing w:val="44"/>
                <w:kern w:val="0"/>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44"/>
                <w:kern w:val="0"/>
                <w:sz w:val="28"/>
                <w:szCs w:val="28"/>
                <w:highlight w:val="none"/>
                <w14:textFill>
                  <w14:solidFill>
                    <w14:schemeClr w14:val="tx1"/>
                  </w14:solidFill>
                </w14:textFill>
              </w:rPr>
              <w:t>购</w:t>
            </w:r>
            <w:r>
              <w:rPr>
                <w:rFonts w:hint="eastAsia" w:ascii="仿宋" w:hAnsi="仿宋" w:eastAsia="仿宋" w:cs="仿宋"/>
                <w:b/>
                <w:color w:val="000000" w:themeColor="text1"/>
                <w:spacing w:val="44"/>
                <w:kern w:val="0"/>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44"/>
                <w:kern w:val="0"/>
                <w:sz w:val="28"/>
                <w:szCs w:val="28"/>
                <w:highlight w:val="none"/>
                <w14:textFill>
                  <w14:solidFill>
                    <w14:schemeClr w14:val="tx1"/>
                  </w14:solidFill>
                </w14:textFill>
              </w:rPr>
              <w:t>人</w:t>
            </w:r>
          </w:p>
        </w:tc>
        <w:tc>
          <w:tcPr>
            <w:tcW w:w="645" w:type="dxa"/>
            <w:tcBorders>
              <w:top w:val="nil"/>
              <w:bottom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tcBorders>
              <w:top w:val="nil"/>
              <w:bottom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新疆农业科学院农业质量标准与检测技术研究所</w:t>
            </w:r>
          </w:p>
        </w:tc>
      </w:tr>
      <w:tr>
        <w:tblPrEx>
          <w:tblCellMar>
            <w:top w:w="0" w:type="dxa"/>
            <w:left w:w="108" w:type="dxa"/>
            <w:bottom w:w="0" w:type="dxa"/>
            <w:right w:w="108" w:type="dxa"/>
          </w:tblCellMar>
        </w:tblPrEx>
        <w:trPr>
          <w:trHeight w:val="567" w:hRule="atLeast"/>
        </w:trPr>
        <w:tc>
          <w:tcPr>
            <w:tcW w:w="1973" w:type="dxa"/>
            <w:tcBorders>
              <w:top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pacing w:val="11"/>
                <w:kern w:val="0"/>
                <w:sz w:val="28"/>
                <w:szCs w:val="28"/>
                <w:highlight w:val="none"/>
                <w14:textFill>
                  <w14:solidFill>
                    <w14:schemeClr w14:val="tx1"/>
                  </w14:solidFill>
                </w14:textFill>
              </w:rPr>
              <w:t>代 理 机</w:t>
            </w:r>
            <w:r>
              <w:rPr>
                <w:rFonts w:hint="eastAsia" w:ascii="仿宋" w:hAnsi="仿宋" w:eastAsia="仿宋" w:cs="仿宋"/>
                <w:b/>
                <w:color w:val="000000" w:themeColor="text1"/>
                <w:spacing w:val="3"/>
                <w:kern w:val="0"/>
                <w:sz w:val="28"/>
                <w:szCs w:val="28"/>
                <w:highlight w:val="none"/>
                <w14:textFill>
                  <w14:solidFill>
                    <w14:schemeClr w14:val="tx1"/>
                  </w14:solidFill>
                </w14:textFill>
              </w:rPr>
              <w:t>构</w:t>
            </w:r>
          </w:p>
        </w:tc>
        <w:tc>
          <w:tcPr>
            <w:tcW w:w="645" w:type="dxa"/>
            <w:tcBorders>
              <w:top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tcBorders>
              <w:top w:val="single" w:color="auto" w:sz="4" w:space="0"/>
            </w:tcBorders>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新疆凌云天成工程管理咨询有限公司</w:t>
            </w:r>
          </w:p>
        </w:tc>
      </w:tr>
      <w:tr>
        <w:tblPrEx>
          <w:tblCellMar>
            <w:top w:w="0" w:type="dxa"/>
            <w:left w:w="108" w:type="dxa"/>
            <w:bottom w:w="0" w:type="dxa"/>
            <w:right w:w="108" w:type="dxa"/>
          </w:tblCellMar>
        </w:tblPrEx>
        <w:trPr>
          <w:trHeight w:val="567" w:hRule="atLeast"/>
        </w:trPr>
        <w:tc>
          <w:tcPr>
            <w:tcW w:w="1973"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pacing w:val="149"/>
                <w:kern w:val="0"/>
                <w:sz w:val="28"/>
                <w:szCs w:val="28"/>
                <w:highlight w:val="none"/>
                <w14:textFill>
                  <w14:solidFill>
                    <w14:schemeClr w14:val="tx1"/>
                  </w14:solidFill>
                </w14:textFill>
              </w:rPr>
              <w:t>联系</w:t>
            </w:r>
            <w:r>
              <w:rPr>
                <w:rFonts w:hint="eastAsia" w:ascii="仿宋" w:hAnsi="仿宋" w:eastAsia="仿宋" w:cs="仿宋"/>
                <w:b/>
                <w:color w:val="000000" w:themeColor="text1"/>
                <w:spacing w:val="1"/>
                <w:kern w:val="0"/>
                <w:sz w:val="28"/>
                <w:szCs w:val="28"/>
                <w:highlight w:val="none"/>
                <w14:textFill>
                  <w14:solidFill>
                    <w14:schemeClr w14:val="tx1"/>
                  </w14:solidFill>
                </w14:textFill>
              </w:rPr>
              <w:t>人</w:t>
            </w:r>
          </w:p>
        </w:tc>
        <w:tc>
          <w:tcPr>
            <w:tcW w:w="645"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张婷</w:t>
            </w:r>
          </w:p>
        </w:tc>
      </w:tr>
      <w:tr>
        <w:tblPrEx>
          <w:tblCellMar>
            <w:top w:w="0" w:type="dxa"/>
            <w:left w:w="108" w:type="dxa"/>
            <w:bottom w:w="0" w:type="dxa"/>
            <w:right w:w="108" w:type="dxa"/>
          </w:tblCellMar>
        </w:tblPrEx>
        <w:trPr>
          <w:trHeight w:val="567" w:hRule="atLeast"/>
        </w:trPr>
        <w:tc>
          <w:tcPr>
            <w:tcW w:w="1973"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pacing w:val="59"/>
                <w:kern w:val="0"/>
                <w:sz w:val="28"/>
                <w:szCs w:val="28"/>
                <w:highlight w:val="none"/>
                <w14:textFill>
                  <w14:solidFill>
                    <w14:schemeClr w14:val="tx1"/>
                  </w14:solidFill>
                </w14:textFill>
              </w:rPr>
              <w:t>联系电</w:t>
            </w:r>
            <w:r>
              <w:rPr>
                <w:rFonts w:hint="eastAsia" w:ascii="仿宋" w:hAnsi="仿宋" w:eastAsia="仿宋" w:cs="仿宋"/>
                <w:b/>
                <w:color w:val="000000" w:themeColor="text1"/>
                <w:spacing w:val="1"/>
                <w:kern w:val="0"/>
                <w:sz w:val="28"/>
                <w:szCs w:val="28"/>
                <w:highlight w:val="none"/>
                <w14:textFill>
                  <w14:solidFill>
                    <w14:schemeClr w14:val="tx1"/>
                  </w14:solidFill>
                </w14:textFill>
              </w:rPr>
              <w:t>话</w:t>
            </w:r>
          </w:p>
        </w:tc>
        <w:tc>
          <w:tcPr>
            <w:tcW w:w="645"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p>
        </w:tc>
        <w:tc>
          <w:tcPr>
            <w:tcW w:w="6310" w:type="dxa"/>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0991-3193958</w:t>
            </w:r>
          </w:p>
        </w:tc>
      </w:tr>
    </w:tbl>
    <w:p>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378" w:right="1418" w:bottom="1001" w:left="1418" w:header="851" w:footer="992" w:gutter="0"/>
          <w:pgNumType w:start="0"/>
          <w:cols w:space="720" w:num="1"/>
          <w:titlePg/>
          <w:docGrid w:linePitch="312" w:charSpace="0"/>
        </w:sectPr>
      </w:pPr>
    </w:p>
    <w:p>
      <w:pPr>
        <w:tabs>
          <w:tab w:val="left" w:pos="2960"/>
          <w:tab w:val="center" w:pos="4879"/>
        </w:tabs>
        <w:spacing w:line="360" w:lineRule="auto"/>
        <w:jc w:val="both"/>
        <w:rPr>
          <w:rFonts w:hint="eastAsia" w:ascii="仿宋" w:hAnsi="仿宋" w:eastAsia="仿宋" w:cs="仿宋"/>
          <w:b/>
          <w:bCs/>
          <w:color w:val="000000" w:themeColor="text1"/>
          <w:sz w:val="32"/>
          <w:szCs w:val="32"/>
          <w:highlight w:val="none"/>
          <w:lang w:eastAsia="zh-CN"/>
          <w14:textFill>
            <w14:solidFill>
              <w14:schemeClr w14:val="tx1"/>
            </w14:solidFill>
          </w14:textFill>
        </w:rPr>
      </w:pPr>
    </w:p>
    <w:sdt>
      <w:sdtPr>
        <w:rPr>
          <w:rFonts w:hint="eastAsia" w:ascii="仿宋" w:hAnsi="仿宋" w:eastAsia="仿宋" w:cs="仿宋"/>
          <w:b/>
          <w:bCs/>
          <w:color w:val="000000" w:themeColor="text1"/>
          <w:sz w:val="32"/>
          <w:szCs w:val="32"/>
          <w:highlight w:val="none"/>
          <w14:textFill>
            <w14:solidFill>
              <w14:schemeClr w14:val="tx1"/>
            </w14:solidFill>
          </w14:textFill>
        </w:rPr>
        <w:id w:val="147482905"/>
        <w:docPartObj>
          <w:docPartGallery w:val="Table of Contents"/>
          <w:docPartUnique/>
        </w:docPartObj>
      </w:sdtPr>
      <w:sdtEndPr>
        <w:rPr>
          <w:rFonts w:hint="eastAsia" w:ascii="仿宋" w:hAnsi="仿宋" w:eastAsia="仿宋" w:cs="仿宋"/>
          <w:b/>
          <w:bCs/>
          <w:color w:val="000000" w:themeColor="text1"/>
          <w:sz w:val="21"/>
          <w:szCs w:val="24"/>
          <w:highlight w:val="none"/>
          <w14:textFill>
            <w14:solidFill>
              <w14:schemeClr w14:val="tx1"/>
            </w14:solidFill>
          </w14:textFill>
        </w:rPr>
      </w:sdtEndPr>
      <w:sdtContent>
        <w:p>
          <w:pPr>
            <w:tabs>
              <w:tab w:val="left" w:pos="2960"/>
              <w:tab w:val="center" w:pos="4879"/>
            </w:tabs>
            <w:spacing w:line="360" w:lineRule="auto"/>
            <w:jc w:val="left"/>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ab/>
          </w:r>
        </w:p>
        <w:p>
          <w:pPr>
            <w:spacing w:line="360" w:lineRule="auto"/>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目</w:t>
          </w:r>
          <w:r>
            <w:rPr>
              <w:rFonts w:hint="eastAsia" w:ascii="仿宋" w:hAnsi="仿宋" w:eastAsia="仿宋" w:cs="仿宋"/>
              <w:b/>
              <w:bCs/>
              <w:color w:val="000000" w:themeColor="text1"/>
              <w:sz w:val="40"/>
              <w:szCs w:val="40"/>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40"/>
              <w:szCs w:val="40"/>
              <w:highlight w:val="none"/>
              <w14:textFill>
                <w14:solidFill>
                  <w14:schemeClr w14:val="tx1"/>
                </w14:solidFill>
              </w14:textFill>
            </w:rPr>
            <w:t>录</w:t>
          </w:r>
        </w:p>
        <w:p>
          <w:pPr>
            <w:pStyle w:val="13"/>
            <w:tabs>
              <w:tab w:val="right" w:leader="dot" w:pos="9638"/>
            </w:tabs>
            <w:spacing w:line="600" w:lineRule="auto"/>
            <w:rPr>
              <w:rFonts w:hint="eastAsia" w:ascii="仿宋" w:hAnsi="仿宋" w:eastAsia="仿宋" w:cs="仿宋"/>
              <w:b/>
              <w:bCs/>
              <w:sz w:val="28"/>
              <w:szCs w:val="36"/>
              <w:highlight w:val="none"/>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TOC \o "1-1" \h \u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b/>
              <w:bCs/>
              <w:sz w:val="28"/>
              <w:szCs w:val="44"/>
              <w:highlight w:val="none"/>
            </w:rPr>
            <w:fldChar w:fldCharType="begin"/>
          </w:r>
          <w:r>
            <w:rPr>
              <w:rFonts w:hint="eastAsia" w:ascii="仿宋" w:hAnsi="仿宋" w:eastAsia="仿宋" w:cs="仿宋"/>
              <w:b/>
              <w:bCs/>
              <w:sz w:val="28"/>
              <w:szCs w:val="44"/>
              <w:highlight w:val="none"/>
            </w:rPr>
            <w:instrText xml:space="preserve"> HYPERLINK \l _Toc27224 </w:instrText>
          </w:r>
          <w:r>
            <w:rPr>
              <w:rFonts w:hint="eastAsia" w:ascii="仿宋" w:hAnsi="仿宋" w:eastAsia="仿宋" w:cs="仿宋"/>
              <w:b/>
              <w:bCs/>
              <w:sz w:val="28"/>
              <w:szCs w:val="44"/>
              <w:highlight w:val="none"/>
            </w:rPr>
            <w:fldChar w:fldCharType="separate"/>
          </w:r>
          <w:r>
            <w:rPr>
              <w:rFonts w:hint="eastAsia" w:ascii="仿宋" w:hAnsi="仿宋" w:eastAsia="仿宋" w:cs="仿宋"/>
              <w:b/>
              <w:bCs/>
              <w:sz w:val="28"/>
              <w:szCs w:val="44"/>
              <w:highlight w:val="none"/>
            </w:rPr>
            <w:t>第一部分  招标采购公告</w:t>
          </w:r>
          <w:r>
            <w:rPr>
              <w:rFonts w:hint="eastAsia" w:ascii="仿宋" w:hAnsi="仿宋" w:eastAsia="仿宋" w:cs="仿宋"/>
              <w:b/>
              <w:bCs/>
              <w:sz w:val="28"/>
              <w:szCs w:val="44"/>
              <w:highlight w:val="none"/>
            </w:rPr>
            <w:tab/>
          </w:r>
          <w:r>
            <w:rPr>
              <w:rFonts w:hint="eastAsia" w:ascii="仿宋" w:hAnsi="仿宋" w:eastAsia="仿宋" w:cs="仿宋"/>
              <w:b/>
              <w:bCs/>
              <w:sz w:val="28"/>
              <w:szCs w:val="44"/>
              <w:highlight w:val="none"/>
            </w:rPr>
            <w:fldChar w:fldCharType="begin"/>
          </w:r>
          <w:r>
            <w:rPr>
              <w:rFonts w:hint="eastAsia" w:ascii="仿宋" w:hAnsi="仿宋" w:eastAsia="仿宋" w:cs="仿宋"/>
              <w:b/>
              <w:bCs/>
              <w:sz w:val="28"/>
              <w:szCs w:val="44"/>
              <w:highlight w:val="none"/>
            </w:rPr>
            <w:instrText xml:space="preserve"> PAGEREF _Toc27224 </w:instrText>
          </w:r>
          <w:r>
            <w:rPr>
              <w:rFonts w:hint="eastAsia" w:ascii="仿宋" w:hAnsi="仿宋" w:eastAsia="仿宋" w:cs="仿宋"/>
              <w:b/>
              <w:bCs/>
              <w:sz w:val="28"/>
              <w:szCs w:val="44"/>
              <w:highlight w:val="none"/>
            </w:rPr>
            <w:fldChar w:fldCharType="separate"/>
          </w:r>
          <w:r>
            <w:rPr>
              <w:rFonts w:hint="eastAsia" w:ascii="仿宋" w:hAnsi="仿宋" w:eastAsia="仿宋" w:cs="仿宋"/>
              <w:b/>
              <w:bCs/>
              <w:sz w:val="28"/>
              <w:szCs w:val="44"/>
              <w:highlight w:val="none"/>
            </w:rPr>
            <w:t>1</w:t>
          </w:r>
          <w:r>
            <w:rPr>
              <w:rFonts w:hint="eastAsia" w:ascii="仿宋" w:hAnsi="仿宋" w:eastAsia="仿宋" w:cs="仿宋"/>
              <w:b/>
              <w:bCs/>
              <w:sz w:val="28"/>
              <w:szCs w:val="44"/>
              <w:highlight w:val="none"/>
            </w:rPr>
            <w:fldChar w:fldCharType="end"/>
          </w:r>
          <w:r>
            <w:rPr>
              <w:rFonts w:hint="eastAsia" w:ascii="仿宋" w:hAnsi="仿宋" w:eastAsia="仿宋" w:cs="仿宋"/>
              <w:b/>
              <w:bCs/>
              <w:sz w:val="28"/>
              <w:szCs w:val="44"/>
              <w:highlight w:val="none"/>
            </w:rPr>
            <w:fldChar w:fldCharType="end"/>
          </w:r>
        </w:p>
        <w:p>
          <w:pPr>
            <w:pStyle w:val="13"/>
            <w:tabs>
              <w:tab w:val="right" w:leader="dot" w:pos="9638"/>
            </w:tabs>
            <w:spacing w:line="600" w:lineRule="auto"/>
            <w:rPr>
              <w:rFonts w:hint="eastAsia" w:ascii="仿宋" w:hAnsi="仿宋" w:eastAsia="仿宋" w:cs="仿宋"/>
              <w:b/>
              <w:bCs/>
              <w:sz w:val="28"/>
              <w:szCs w:val="36"/>
              <w:highlight w:val="none"/>
            </w:rPr>
          </w:pPr>
          <w:r>
            <w:rPr>
              <w:rFonts w:hint="eastAsia" w:ascii="仿宋" w:hAnsi="仿宋" w:eastAsia="仿宋" w:cs="仿宋"/>
              <w:b/>
              <w:bCs/>
              <w:color w:val="000000" w:themeColor="text1"/>
              <w:sz w:val="28"/>
              <w:szCs w:val="48"/>
              <w:highlight w:val="none"/>
              <w14:textFill>
                <w14:solidFill>
                  <w14:schemeClr w14:val="tx1"/>
                </w14:solidFill>
              </w14:textFill>
            </w:rPr>
            <w:fldChar w:fldCharType="begin"/>
          </w:r>
          <w:r>
            <w:rPr>
              <w:rFonts w:hint="eastAsia" w:ascii="仿宋" w:hAnsi="仿宋" w:eastAsia="仿宋" w:cs="仿宋"/>
              <w:b/>
              <w:bCs/>
              <w:sz w:val="28"/>
              <w:szCs w:val="48"/>
              <w:highlight w:val="none"/>
            </w:rPr>
            <w:instrText xml:space="preserve"> HYPERLINK \l _Toc2249 </w:instrText>
          </w:r>
          <w:r>
            <w:rPr>
              <w:rFonts w:hint="eastAsia" w:ascii="仿宋" w:hAnsi="仿宋" w:eastAsia="仿宋" w:cs="仿宋"/>
              <w:b/>
              <w:bCs/>
              <w:sz w:val="28"/>
              <w:szCs w:val="48"/>
              <w:highlight w:val="none"/>
            </w:rPr>
            <w:fldChar w:fldCharType="separate"/>
          </w:r>
          <w:r>
            <w:rPr>
              <w:rFonts w:hint="eastAsia" w:ascii="仿宋" w:hAnsi="仿宋" w:eastAsia="仿宋" w:cs="仿宋"/>
              <w:b/>
              <w:bCs/>
              <w:sz w:val="28"/>
              <w:szCs w:val="44"/>
              <w:highlight w:val="none"/>
            </w:rPr>
            <w:t>第二部分  投标人须知</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_Toc2249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w:t>
          </w:r>
          <w:r>
            <w:rPr>
              <w:rFonts w:hint="eastAsia" w:ascii="仿宋" w:hAnsi="仿宋" w:eastAsia="仿宋" w:cs="仿宋"/>
              <w:b/>
              <w:bCs/>
              <w:sz w:val="28"/>
              <w:szCs w:val="36"/>
              <w:highlight w:val="none"/>
            </w:rPr>
            <w:fldChar w:fldCharType="end"/>
          </w:r>
          <w:r>
            <w:rPr>
              <w:rFonts w:hint="eastAsia" w:ascii="仿宋" w:hAnsi="仿宋" w:eastAsia="仿宋" w:cs="仿宋"/>
              <w:b/>
              <w:bCs/>
              <w:color w:val="000000" w:themeColor="text1"/>
              <w:sz w:val="28"/>
              <w:szCs w:val="48"/>
              <w:highlight w:val="none"/>
              <w14:textFill>
                <w14:solidFill>
                  <w14:schemeClr w14:val="tx1"/>
                </w14:solidFill>
              </w14:textFill>
            </w:rPr>
            <w:fldChar w:fldCharType="end"/>
          </w:r>
        </w:p>
        <w:p>
          <w:pPr>
            <w:pStyle w:val="13"/>
            <w:tabs>
              <w:tab w:val="right" w:leader="dot" w:pos="9638"/>
            </w:tabs>
            <w:spacing w:line="600" w:lineRule="auto"/>
            <w:rPr>
              <w:rFonts w:hint="eastAsia" w:ascii="仿宋" w:hAnsi="仿宋" w:eastAsia="仿宋" w:cs="仿宋"/>
              <w:b/>
              <w:bCs/>
              <w:sz w:val="28"/>
              <w:szCs w:val="36"/>
              <w:highlight w:val="none"/>
            </w:rPr>
          </w:pPr>
          <w:r>
            <w:rPr>
              <w:rFonts w:hint="eastAsia" w:ascii="仿宋" w:hAnsi="仿宋" w:eastAsia="仿宋" w:cs="仿宋"/>
              <w:b/>
              <w:bCs/>
              <w:color w:val="000000" w:themeColor="text1"/>
              <w:sz w:val="28"/>
              <w:szCs w:val="48"/>
              <w:highlight w:val="none"/>
              <w14:textFill>
                <w14:solidFill>
                  <w14:schemeClr w14:val="tx1"/>
                </w14:solidFill>
              </w14:textFill>
            </w:rPr>
            <w:fldChar w:fldCharType="begin"/>
          </w:r>
          <w:r>
            <w:rPr>
              <w:rFonts w:hint="eastAsia" w:ascii="仿宋" w:hAnsi="仿宋" w:eastAsia="仿宋" w:cs="仿宋"/>
              <w:b/>
              <w:bCs/>
              <w:sz w:val="28"/>
              <w:szCs w:val="48"/>
              <w:highlight w:val="none"/>
            </w:rPr>
            <w:instrText xml:space="preserve"> HYPERLINK \l _Toc7831 </w:instrText>
          </w:r>
          <w:r>
            <w:rPr>
              <w:rFonts w:hint="eastAsia" w:ascii="仿宋" w:hAnsi="仿宋" w:eastAsia="仿宋" w:cs="仿宋"/>
              <w:b/>
              <w:bCs/>
              <w:sz w:val="28"/>
              <w:szCs w:val="48"/>
              <w:highlight w:val="none"/>
            </w:rPr>
            <w:fldChar w:fldCharType="separate"/>
          </w:r>
          <w:r>
            <w:rPr>
              <w:rFonts w:hint="eastAsia" w:ascii="仿宋" w:hAnsi="仿宋" w:eastAsia="仿宋" w:cs="仿宋"/>
              <w:b/>
              <w:bCs/>
              <w:sz w:val="28"/>
              <w:szCs w:val="44"/>
              <w:highlight w:val="none"/>
            </w:rPr>
            <w:t>第三部分</w:t>
          </w:r>
          <w:r>
            <w:rPr>
              <w:rFonts w:hint="eastAsia" w:ascii="仿宋" w:hAnsi="仿宋" w:eastAsia="仿宋" w:cs="仿宋"/>
              <w:b/>
              <w:bCs/>
              <w:sz w:val="28"/>
              <w:szCs w:val="44"/>
              <w:highlight w:val="none"/>
              <w:lang w:val="en-US" w:eastAsia="zh-CN"/>
            </w:rPr>
            <w:t xml:space="preserve">  </w:t>
          </w:r>
          <w:r>
            <w:rPr>
              <w:rFonts w:hint="eastAsia" w:ascii="仿宋" w:hAnsi="仿宋" w:eastAsia="仿宋" w:cs="仿宋"/>
              <w:b/>
              <w:bCs/>
              <w:sz w:val="28"/>
              <w:szCs w:val="44"/>
              <w:highlight w:val="none"/>
            </w:rPr>
            <w:t>授予合同</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_Toc7831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26</w:t>
          </w:r>
          <w:r>
            <w:rPr>
              <w:rFonts w:hint="eastAsia" w:ascii="仿宋" w:hAnsi="仿宋" w:eastAsia="仿宋" w:cs="仿宋"/>
              <w:b/>
              <w:bCs/>
              <w:sz w:val="28"/>
              <w:szCs w:val="36"/>
              <w:highlight w:val="none"/>
            </w:rPr>
            <w:fldChar w:fldCharType="end"/>
          </w:r>
          <w:r>
            <w:rPr>
              <w:rFonts w:hint="eastAsia" w:ascii="仿宋" w:hAnsi="仿宋" w:eastAsia="仿宋" w:cs="仿宋"/>
              <w:b/>
              <w:bCs/>
              <w:color w:val="000000" w:themeColor="text1"/>
              <w:sz w:val="28"/>
              <w:szCs w:val="48"/>
              <w:highlight w:val="none"/>
              <w14:textFill>
                <w14:solidFill>
                  <w14:schemeClr w14:val="tx1"/>
                </w14:solidFill>
              </w14:textFill>
            </w:rPr>
            <w:fldChar w:fldCharType="end"/>
          </w:r>
        </w:p>
        <w:p>
          <w:pPr>
            <w:pStyle w:val="13"/>
            <w:tabs>
              <w:tab w:val="right" w:leader="dot" w:pos="9638"/>
            </w:tabs>
            <w:spacing w:line="600" w:lineRule="auto"/>
            <w:rPr>
              <w:rFonts w:hint="eastAsia" w:ascii="仿宋" w:hAnsi="仿宋" w:eastAsia="仿宋" w:cs="仿宋"/>
              <w:b/>
              <w:bCs/>
              <w:sz w:val="28"/>
              <w:szCs w:val="36"/>
              <w:highlight w:val="none"/>
            </w:rPr>
          </w:pPr>
          <w:r>
            <w:rPr>
              <w:rFonts w:hint="eastAsia" w:ascii="仿宋" w:hAnsi="仿宋" w:eastAsia="仿宋" w:cs="仿宋"/>
              <w:b/>
              <w:bCs/>
              <w:color w:val="000000" w:themeColor="text1"/>
              <w:sz w:val="28"/>
              <w:szCs w:val="48"/>
              <w:highlight w:val="none"/>
              <w14:textFill>
                <w14:solidFill>
                  <w14:schemeClr w14:val="tx1"/>
                </w14:solidFill>
              </w14:textFill>
            </w:rPr>
            <w:fldChar w:fldCharType="begin"/>
          </w:r>
          <w:r>
            <w:rPr>
              <w:rFonts w:hint="eastAsia" w:ascii="仿宋" w:hAnsi="仿宋" w:eastAsia="仿宋" w:cs="仿宋"/>
              <w:b/>
              <w:bCs/>
              <w:sz w:val="28"/>
              <w:szCs w:val="48"/>
              <w:highlight w:val="none"/>
            </w:rPr>
            <w:instrText xml:space="preserve"> HYPERLINK \l _Toc11897 </w:instrText>
          </w:r>
          <w:r>
            <w:rPr>
              <w:rFonts w:hint="eastAsia" w:ascii="仿宋" w:hAnsi="仿宋" w:eastAsia="仿宋" w:cs="仿宋"/>
              <w:b/>
              <w:bCs/>
              <w:sz w:val="28"/>
              <w:szCs w:val="48"/>
              <w:highlight w:val="none"/>
            </w:rPr>
            <w:fldChar w:fldCharType="separate"/>
          </w:r>
          <w:r>
            <w:rPr>
              <w:rFonts w:hint="eastAsia" w:ascii="仿宋" w:hAnsi="仿宋" w:eastAsia="仿宋" w:cs="仿宋"/>
              <w:b/>
              <w:bCs/>
              <w:sz w:val="28"/>
              <w:szCs w:val="44"/>
              <w:highlight w:val="none"/>
            </w:rPr>
            <w:t>第四部分 项目招标要求及说明</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_Toc11897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33</w:t>
          </w:r>
          <w:r>
            <w:rPr>
              <w:rFonts w:hint="eastAsia" w:ascii="仿宋" w:hAnsi="仿宋" w:eastAsia="仿宋" w:cs="仿宋"/>
              <w:b/>
              <w:bCs/>
              <w:sz w:val="28"/>
              <w:szCs w:val="36"/>
              <w:highlight w:val="none"/>
            </w:rPr>
            <w:fldChar w:fldCharType="end"/>
          </w:r>
          <w:r>
            <w:rPr>
              <w:rFonts w:hint="eastAsia" w:ascii="仿宋" w:hAnsi="仿宋" w:eastAsia="仿宋" w:cs="仿宋"/>
              <w:b/>
              <w:bCs/>
              <w:color w:val="000000" w:themeColor="text1"/>
              <w:sz w:val="28"/>
              <w:szCs w:val="48"/>
              <w:highlight w:val="none"/>
              <w14:textFill>
                <w14:solidFill>
                  <w14:schemeClr w14:val="tx1"/>
                </w14:solidFill>
              </w14:textFill>
            </w:rPr>
            <w:fldChar w:fldCharType="end"/>
          </w:r>
        </w:p>
        <w:p>
          <w:pPr>
            <w:pStyle w:val="13"/>
            <w:tabs>
              <w:tab w:val="right" w:leader="dot" w:pos="9638"/>
            </w:tabs>
            <w:spacing w:line="600" w:lineRule="auto"/>
            <w:rPr>
              <w:rFonts w:hint="eastAsia" w:ascii="仿宋" w:hAnsi="仿宋" w:eastAsia="仿宋" w:cs="仿宋"/>
              <w:highlight w:val="none"/>
            </w:rPr>
          </w:pPr>
          <w:r>
            <w:rPr>
              <w:rFonts w:hint="eastAsia" w:ascii="仿宋" w:hAnsi="仿宋" w:eastAsia="仿宋" w:cs="仿宋"/>
              <w:b/>
              <w:bCs/>
              <w:color w:val="000000" w:themeColor="text1"/>
              <w:sz w:val="28"/>
              <w:szCs w:val="48"/>
              <w:highlight w:val="none"/>
              <w14:textFill>
                <w14:solidFill>
                  <w14:schemeClr w14:val="tx1"/>
                </w14:solidFill>
              </w14:textFill>
            </w:rPr>
            <w:fldChar w:fldCharType="begin"/>
          </w:r>
          <w:r>
            <w:rPr>
              <w:rFonts w:hint="eastAsia" w:ascii="仿宋" w:hAnsi="仿宋" w:eastAsia="仿宋" w:cs="仿宋"/>
              <w:b/>
              <w:bCs/>
              <w:sz w:val="28"/>
              <w:szCs w:val="48"/>
              <w:highlight w:val="none"/>
            </w:rPr>
            <w:instrText xml:space="preserve"> HYPERLINK \l _Toc23777 </w:instrText>
          </w:r>
          <w:r>
            <w:rPr>
              <w:rFonts w:hint="eastAsia" w:ascii="仿宋" w:hAnsi="仿宋" w:eastAsia="仿宋" w:cs="仿宋"/>
              <w:b/>
              <w:bCs/>
              <w:sz w:val="28"/>
              <w:szCs w:val="48"/>
              <w:highlight w:val="none"/>
            </w:rPr>
            <w:fldChar w:fldCharType="separate"/>
          </w:r>
          <w:r>
            <w:rPr>
              <w:rFonts w:hint="eastAsia" w:ascii="仿宋" w:hAnsi="仿宋" w:eastAsia="仿宋" w:cs="仿宋"/>
              <w:b/>
              <w:bCs/>
              <w:sz w:val="28"/>
              <w:szCs w:val="44"/>
              <w:highlight w:val="none"/>
            </w:rPr>
            <w:t>第五部分 投标文件格式</w:t>
          </w:r>
          <w:r>
            <w:rPr>
              <w:rFonts w:hint="eastAsia" w:ascii="仿宋" w:hAnsi="仿宋" w:eastAsia="仿宋" w:cs="仿宋"/>
              <w:b/>
              <w:bCs/>
              <w:sz w:val="28"/>
              <w:szCs w:val="36"/>
              <w:highlight w:val="none"/>
            </w:rPr>
            <w:tab/>
          </w:r>
          <w:r>
            <w:rPr>
              <w:rFonts w:hint="eastAsia" w:ascii="仿宋" w:hAnsi="仿宋" w:eastAsia="仿宋" w:cs="仿宋"/>
              <w:b/>
              <w:bCs/>
              <w:sz w:val="28"/>
              <w:szCs w:val="36"/>
              <w:highlight w:val="none"/>
            </w:rPr>
            <w:fldChar w:fldCharType="begin"/>
          </w:r>
          <w:r>
            <w:rPr>
              <w:rFonts w:hint="eastAsia" w:ascii="仿宋" w:hAnsi="仿宋" w:eastAsia="仿宋" w:cs="仿宋"/>
              <w:b/>
              <w:bCs/>
              <w:sz w:val="28"/>
              <w:szCs w:val="36"/>
              <w:highlight w:val="none"/>
            </w:rPr>
            <w:instrText xml:space="preserve"> PAGEREF _Toc23777 </w:instrText>
          </w:r>
          <w:r>
            <w:rPr>
              <w:rFonts w:hint="eastAsia" w:ascii="仿宋" w:hAnsi="仿宋" w:eastAsia="仿宋" w:cs="仿宋"/>
              <w:b/>
              <w:bCs/>
              <w:sz w:val="28"/>
              <w:szCs w:val="36"/>
              <w:highlight w:val="none"/>
            </w:rPr>
            <w:fldChar w:fldCharType="separate"/>
          </w:r>
          <w:r>
            <w:rPr>
              <w:rFonts w:hint="eastAsia" w:ascii="仿宋" w:hAnsi="仿宋" w:eastAsia="仿宋" w:cs="仿宋"/>
              <w:b/>
              <w:bCs/>
              <w:sz w:val="28"/>
              <w:szCs w:val="36"/>
              <w:highlight w:val="none"/>
            </w:rPr>
            <w:t>50</w:t>
          </w:r>
          <w:r>
            <w:rPr>
              <w:rFonts w:hint="eastAsia" w:ascii="仿宋" w:hAnsi="仿宋" w:eastAsia="仿宋" w:cs="仿宋"/>
              <w:b/>
              <w:bCs/>
              <w:sz w:val="28"/>
              <w:szCs w:val="36"/>
              <w:highlight w:val="none"/>
            </w:rPr>
            <w:fldChar w:fldCharType="end"/>
          </w:r>
          <w:r>
            <w:rPr>
              <w:rFonts w:hint="eastAsia" w:ascii="仿宋" w:hAnsi="仿宋" w:eastAsia="仿宋" w:cs="仿宋"/>
              <w:b/>
              <w:bCs/>
              <w:color w:val="000000" w:themeColor="text1"/>
              <w:sz w:val="28"/>
              <w:szCs w:val="48"/>
              <w:highlight w:val="none"/>
              <w14:textFill>
                <w14:solidFill>
                  <w14:schemeClr w14:val="tx1"/>
                </w14:solidFill>
              </w14:textFill>
            </w:rPr>
            <w:fldChar w:fldCharType="end"/>
          </w:r>
        </w:p>
        <w:p>
          <w:pPr>
            <w:spacing w:line="360" w:lineRule="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Cs/>
              <w:color w:val="000000" w:themeColor="text1"/>
              <w:szCs w:val="36"/>
              <w:highlight w:val="none"/>
              <w14:textFill>
                <w14:solidFill>
                  <w14:schemeClr w14:val="tx1"/>
                </w14:solidFill>
              </w14:textFill>
            </w:rPr>
            <w:fldChar w:fldCharType="end"/>
          </w:r>
        </w:p>
      </w:sdtContent>
    </w:sdt>
    <w:p>
      <w:pPr>
        <w:adjustRightInd w:val="0"/>
        <w:spacing w:line="360" w:lineRule="auto"/>
        <w:ind w:right="105" w:rightChars="50" w:firstLine="360"/>
        <w:jc w:val="distribute"/>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b/>
          <w:bCs/>
          <w:color w:val="000000" w:themeColor="text1"/>
          <w:sz w:val="30"/>
          <w:szCs w:val="30"/>
          <w:highlight w:val="none"/>
          <w14:textFill>
            <w14:solidFill>
              <w14:schemeClr w14:val="tx1"/>
            </w14:solidFill>
          </w14:textFill>
        </w:rPr>
        <w:sectPr>
          <w:headerReference r:id="rId9" w:type="first"/>
          <w:footerReference r:id="rId11" w:type="first"/>
          <w:headerReference r:id="rId8" w:type="default"/>
          <w:footerReference r:id="rId10" w:type="default"/>
          <w:pgSz w:w="11906" w:h="16838"/>
          <w:pgMar w:top="1418" w:right="1134" w:bottom="1418" w:left="1134" w:header="851" w:footer="992" w:gutter="0"/>
          <w:cols w:space="720" w:num="1"/>
          <w:titlePg/>
          <w:docGrid w:type="lines" w:linePitch="312" w:charSpace="0"/>
        </w:sectPr>
      </w:pPr>
      <w:bookmarkStart w:id="0" w:name="_Toc21627_WPSOffice_Level1"/>
      <w:bookmarkStart w:id="1" w:name="_Toc22613"/>
      <w:bookmarkStart w:id="2" w:name="_Toc8469"/>
    </w:p>
    <w:bookmarkEnd w:id="0"/>
    <w:bookmarkEnd w:id="1"/>
    <w:bookmarkEnd w:id="2"/>
    <w:p>
      <w:pPr>
        <w:pStyle w:val="3"/>
        <w:bidi w:val="0"/>
        <w:rPr>
          <w:rFonts w:hint="eastAsia" w:ascii="仿宋" w:hAnsi="仿宋" w:eastAsia="仿宋" w:cs="仿宋"/>
          <w:sz w:val="32"/>
          <w:szCs w:val="32"/>
          <w:highlight w:val="none"/>
        </w:rPr>
      </w:pPr>
      <w:bookmarkStart w:id="3" w:name="_Toc27224"/>
      <w:bookmarkStart w:id="4" w:name="_Toc16868"/>
      <w:bookmarkStart w:id="5" w:name="_Toc23058_WPSOffice_Level1"/>
      <w:bookmarkStart w:id="6" w:name="_Toc20127"/>
      <w:r>
        <w:rPr>
          <w:rFonts w:hint="eastAsia" w:ascii="仿宋" w:hAnsi="仿宋" w:eastAsia="仿宋" w:cs="仿宋"/>
          <w:sz w:val="32"/>
          <w:szCs w:val="32"/>
          <w:highlight w:val="none"/>
        </w:rPr>
        <w:t>第一部分  招标采购公告</w:t>
      </w:r>
      <w:bookmarkEnd w:id="3"/>
    </w:p>
    <w:p>
      <w:pPr>
        <w:autoSpaceDE w:val="0"/>
        <w:autoSpaceDN w:val="0"/>
        <w:adjustRightInd w:val="0"/>
        <w:spacing w:line="400" w:lineRule="atLeast"/>
        <w:ind w:firstLine="480" w:firstLineChars="200"/>
        <w:rPr>
          <w:rFonts w:hint="eastAsia" w:ascii="仿宋" w:hAnsi="仿宋" w:eastAsia="仿宋" w:cs="仿宋"/>
          <w:kern w:val="0"/>
          <w:sz w:val="24"/>
          <w:highlight w:val="none"/>
          <w:lang w:val="zh-CN"/>
        </w:rPr>
      </w:pPr>
      <w:r>
        <w:rPr>
          <w:rFonts w:hint="eastAsia" w:ascii="仿宋" w:hAnsi="仿宋" w:eastAsia="仿宋" w:cs="仿宋"/>
          <w:sz w:val="24"/>
          <w:highlight w:val="none"/>
        </w:rPr>
        <w:t>新疆凌云天成工程管理咨询有限公司</w:t>
      </w:r>
      <w:r>
        <w:rPr>
          <w:rFonts w:hint="eastAsia" w:ascii="仿宋" w:hAnsi="仿宋" w:eastAsia="仿宋" w:cs="仿宋"/>
          <w:sz w:val="24"/>
          <w:highlight w:val="none"/>
          <w:lang w:eastAsia="zh-CN"/>
        </w:rPr>
        <w:t>受新疆农业科学院农业质量标准与检测技术研究所</w:t>
      </w:r>
      <w:r>
        <w:rPr>
          <w:rFonts w:hint="eastAsia" w:ascii="仿宋" w:hAnsi="仿宋" w:eastAsia="仿宋" w:cs="仿宋"/>
          <w:kern w:val="0"/>
          <w:sz w:val="24"/>
          <w:highlight w:val="none"/>
          <w:lang w:val="zh-CN"/>
        </w:rPr>
        <w:t>的委托，对</w:t>
      </w:r>
      <w:r>
        <w:rPr>
          <w:rFonts w:hint="eastAsia" w:ascii="仿宋" w:hAnsi="仿宋" w:eastAsia="仿宋" w:cs="仿宋"/>
          <w:kern w:val="0"/>
          <w:sz w:val="24"/>
          <w:highlight w:val="none"/>
          <w:lang w:val="zh-CN" w:eastAsia="zh-CN"/>
        </w:rPr>
        <w:t>新疆农业科学院农业质量标准与检测技术研究所2022年仪器设备采购项目</w:t>
      </w:r>
      <w:r>
        <w:rPr>
          <w:rFonts w:hint="eastAsia" w:ascii="仿宋" w:hAnsi="仿宋" w:eastAsia="仿宋" w:cs="仿宋"/>
          <w:kern w:val="0"/>
          <w:sz w:val="24"/>
          <w:highlight w:val="none"/>
          <w:lang w:val="zh-CN"/>
        </w:rPr>
        <w:t xml:space="preserve">进行公开招标，欢迎合格的投标人参加投标。 </w:t>
      </w:r>
    </w:p>
    <w:p>
      <w:pPr>
        <w:numPr>
          <w:ilvl w:val="0"/>
          <w:numId w:val="1"/>
        </w:numPr>
        <w:autoSpaceDE w:val="0"/>
        <w:autoSpaceDN w:val="0"/>
        <w:adjustRightInd w:val="0"/>
        <w:spacing w:line="400" w:lineRule="atLeast"/>
        <w:ind w:firstLine="482" w:firstLineChars="200"/>
        <w:rPr>
          <w:rFonts w:hint="eastAsia" w:ascii="仿宋" w:hAnsi="仿宋" w:eastAsia="仿宋" w:cs="仿宋"/>
          <w:b/>
          <w:bCs/>
          <w:kern w:val="0"/>
          <w:sz w:val="24"/>
          <w:highlight w:val="none"/>
          <w:lang w:val="zh-CN"/>
        </w:rPr>
      </w:pPr>
      <w:r>
        <w:rPr>
          <w:rFonts w:hint="eastAsia" w:ascii="仿宋" w:hAnsi="仿宋" w:eastAsia="仿宋" w:cs="仿宋"/>
          <w:b/>
          <w:bCs/>
          <w:kern w:val="0"/>
          <w:sz w:val="24"/>
          <w:highlight w:val="none"/>
          <w:lang w:val="zh-CN"/>
        </w:rPr>
        <w:t>项目名称：</w:t>
      </w:r>
      <w:r>
        <w:rPr>
          <w:rFonts w:hint="eastAsia" w:ascii="仿宋" w:hAnsi="仿宋" w:eastAsia="仿宋" w:cs="仿宋"/>
          <w:b/>
          <w:bCs/>
          <w:kern w:val="0"/>
          <w:sz w:val="24"/>
          <w:highlight w:val="none"/>
          <w:lang w:val="zh-CN" w:eastAsia="zh-CN"/>
        </w:rPr>
        <w:t>新疆农业科学院农业质量标准与检测技术研究所2022年仪器设备采购项目</w:t>
      </w:r>
      <w:r>
        <w:rPr>
          <w:rFonts w:hint="eastAsia" w:ascii="仿宋" w:hAnsi="仿宋" w:eastAsia="仿宋" w:cs="仿宋"/>
          <w:b/>
          <w:bCs/>
          <w:kern w:val="0"/>
          <w:sz w:val="24"/>
          <w:highlight w:val="none"/>
          <w:lang w:val="zh-CN"/>
        </w:rPr>
        <w:t xml:space="preserve">  </w:t>
      </w:r>
    </w:p>
    <w:p>
      <w:pPr>
        <w:numPr>
          <w:ilvl w:val="0"/>
          <w:numId w:val="0"/>
        </w:numPr>
        <w:autoSpaceDE w:val="0"/>
        <w:autoSpaceDN w:val="0"/>
        <w:adjustRightInd w:val="0"/>
        <w:spacing w:line="400" w:lineRule="atLeast"/>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val="zh-CN"/>
        </w:rPr>
        <w:t>二、项目编号：XJLY22HW06</w:t>
      </w:r>
      <w:r>
        <w:rPr>
          <w:rFonts w:hint="eastAsia" w:ascii="仿宋" w:hAnsi="仿宋" w:eastAsia="仿宋" w:cs="仿宋"/>
          <w:b/>
          <w:bCs/>
          <w:kern w:val="0"/>
          <w:sz w:val="24"/>
          <w:highlight w:val="none"/>
          <w:lang w:val="en-US" w:eastAsia="zh-CN"/>
        </w:rPr>
        <w:t>5</w:t>
      </w:r>
    </w:p>
    <w:p>
      <w:pPr>
        <w:autoSpaceDE w:val="0"/>
        <w:autoSpaceDN w:val="0"/>
        <w:adjustRightInd w:val="0"/>
        <w:spacing w:line="400" w:lineRule="atLeast"/>
        <w:ind w:firstLine="482" w:firstLineChars="200"/>
        <w:rPr>
          <w:rFonts w:hint="eastAsia" w:ascii="仿宋" w:hAnsi="仿宋" w:eastAsia="仿宋" w:cs="仿宋"/>
          <w:b/>
          <w:bCs/>
          <w:kern w:val="0"/>
          <w:sz w:val="24"/>
          <w:highlight w:val="none"/>
          <w:lang w:val="zh-CN"/>
        </w:rPr>
      </w:pPr>
      <w:r>
        <w:rPr>
          <w:rFonts w:hint="eastAsia" w:ascii="仿宋" w:hAnsi="仿宋" w:eastAsia="仿宋" w:cs="仿宋"/>
          <w:b/>
          <w:bCs/>
          <w:kern w:val="0"/>
          <w:sz w:val="24"/>
          <w:highlight w:val="none"/>
          <w:lang w:val="zh-CN"/>
        </w:rPr>
        <w:t>三、采购内容：</w:t>
      </w:r>
    </w:p>
    <w:tbl>
      <w:tblPr>
        <w:tblStyle w:val="15"/>
        <w:tblW w:w="9953" w:type="dxa"/>
        <w:jc w:val="center"/>
        <w:tblLayout w:type="fixed"/>
        <w:tblCellMar>
          <w:top w:w="15" w:type="dxa"/>
          <w:left w:w="15" w:type="dxa"/>
          <w:bottom w:w="15" w:type="dxa"/>
          <w:right w:w="15" w:type="dxa"/>
        </w:tblCellMar>
      </w:tblPr>
      <w:tblGrid>
        <w:gridCol w:w="1245"/>
        <w:gridCol w:w="3350"/>
        <w:gridCol w:w="681"/>
        <w:gridCol w:w="1072"/>
        <w:gridCol w:w="2841"/>
        <w:gridCol w:w="764"/>
      </w:tblGrid>
      <w:tr>
        <w:tblPrEx>
          <w:tblCellMar>
            <w:top w:w="15" w:type="dxa"/>
            <w:left w:w="15" w:type="dxa"/>
            <w:bottom w:w="15" w:type="dxa"/>
            <w:right w:w="15" w:type="dxa"/>
          </w:tblCellMar>
        </w:tblPrEx>
        <w:trPr>
          <w:jc w:val="center"/>
        </w:trPr>
        <w:tc>
          <w:tcPr>
            <w:tcW w:w="12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标项序号</w:t>
            </w:r>
          </w:p>
        </w:tc>
        <w:tc>
          <w:tcPr>
            <w:tcW w:w="33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标项名称</w:t>
            </w:r>
          </w:p>
        </w:tc>
        <w:tc>
          <w:tcPr>
            <w:tcW w:w="6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数量</w:t>
            </w:r>
          </w:p>
        </w:tc>
        <w:tc>
          <w:tcPr>
            <w:tcW w:w="10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预算金额（万元）</w:t>
            </w:r>
          </w:p>
        </w:tc>
        <w:tc>
          <w:tcPr>
            <w:tcW w:w="28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简要规格描述</w:t>
            </w:r>
          </w:p>
        </w:tc>
        <w:tc>
          <w:tcPr>
            <w:tcW w:w="7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eastAsia="zh-CN"/>
              </w:rPr>
              <w:t>备注</w:t>
            </w:r>
          </w:p>
        </w:tc>
      </w:tr>
      <w:tr>
        <w:tblPrEx>
          <w:tblCellMar>
            <w:top w:w="15" w:type="dxa"/>
            <w:left w:w="15" w:type="dxa"/>
            <w:bottom w:w="15" w:type="dxa"/>
            <w:right w:w="15" w:type="dxa"/>
          </w:tblCellMar>
        </w:tblPrEx>
        <w:trPr>
          <w:jc w:val="center"/>
        </w:trPr>
        <w:tc>
          <w:tcPr>
            <w:tcW w:w="12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zh-CN" w:eastAsia="zh-CN"/>
              </w:rPr>
              <w:t>XJLY22HW06</w:t>
            </w:r>
            <w:r>
              <w:rPr>
                <w:rFonts w:hint="eastAsia" w:ascii="仿宋" w:hAnsi="仿宋" w:eastAsia="仿宋" w:cs="仿宋"/>
                <w:color w:val="000000"/>
                <w:kern w:val="0"/>
                <w:szCs w:val="21"/>
                <w:highlight w:val="none"/>
                <w:shd w:val="clear" w:color="auto" w:fill="FFFFFF"/>
                <w:lang w:val="en-US" w:eastAsia="zh-CN"/>
              </w:rPr>
              <w:t>5-1</w:t>
            </w:r>
          </w:p>
        </w:tc>
        <w:tc>
          <w:tcPr>
            <w:tcW w:w="33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zh-CN" w:eastAsia="zh-CN"/>
              </w:rPr>
              <w:t>新疆农科院2022年农业科研项目国产仪器设备其他专用仪器仪表（第一包）</w:t>
            </w:r>
          </w:p>
        </w:tc>
        <w:tc>
          <w:tcPr>
            <w:tcW w:w="6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val="en-US" w:eastAsia="zh-CN"/>
              </w:rPr>
              <w:t>1</w:t>
            </w:r>
          </w:p>
        </w:tc>
        <w:tc>
          <w:tcPr>
            <w:tcW w:w="10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en-US" w:eastAsia="zh-CN"/>
              </w:rPr>
              <w:t>50.774</w:t>
            </w:r>
          </w:p>
        </w:tc>
        <w:tc>
          <w:tcPr>
            <w:tcW w:w="28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eastAsia="zh-CN"/>
              </w:rPr>
              <w:t>测汞仪、火焰光度计、试剂柜（带双锁）、立式高压蒸汽灭菌器、超低温冰箱、乳脂离心机（含盖勃管16根）、麦氏比浊仪（细菌浊度计）</w:t>
            </w:r>
          </w:p>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color w:val="000000"/>
                <w:kern w:val="0"/>
                <w:szCs w:val="21"/>
                <w:highlight w:val="none"/>
                <w:shd w:val="clear" w:color="auto" w:fill="FFFFFF"/>
                <w:lang w:eastAsia="zh-CN"/>
              </w:rPr>
              <w:t>分光光度计、红外线灭菌器。</w:t>
            </w:r>
          </w:p>
        </w:tc>
        <w:tc>
          <w:tcPr>
            <w:tcW w:w="7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eastAsia="zh-CN"/>
              </w:rPr>
              <w:t>无</w:t>
            </w:r>
          </w:p>
        </w:tc>
      </w:tr>
      <w:tr>
        <w:tblPrEx>
          <w:tblCellMar>
            <w:top w:w="15" w:type="dxa"/>
            <w:left w:w="15" w:type="dxa"/>
            <w:bottom w:w="15" w:type="dxa"/>
            <w:right w:w="15" w:type="dxa"/>
          </w:tblCellMar>
        </w:tblPrEx>
        <w:trPr>
          <w:jc w:val="center"/>
        </w:trPr>
        <w:tc>
          <w:tcPr>
            <w:tcW w:w="124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val="zh-CN" w:eastAsia="zh-CN"/>
              </w:rPr>
              <w:t>XJLY22HW06</w:t>
            </w:r>
            <w:r>
              <w:rPr>
                <w:rFonts w:hint="eastAsia" w:ascii="仿宋" w:hAnsi="仿宋" w:eastAsia="仿宋" w:cs="仿宋"/>
                <w:color w:val="000000"/>
                <w:kern w:val="0"/>
                <w:szCs w:val="21"/>
                <w:highlight w:val="none"/>
                <w:shd w:val="clear" w:color="auto" w:fill="FFFFFF"/>
                <w:lang w:val="en-US" w:eastAsia="zh-CN"/>
              </w:rPr>
              <w:t>5-2</w:t>
            </w:r>
          </w:p>
        </w:tc>
        <w:tc>
          <w:tcPr>
            <w:tcW w:w="33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zh-CN" w:eastAsia="zh-CN"/>
              </w:rPr>
              <w:t>新疆农科院2022年农业科研项目进口仪器设备其他专用仪器仪表（第二包）</w:t>
            </w:r>
          </w:p>
        </w:tc>
        <w:tc>
          <w:tcPr>
            <w:tcW w:w="68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en-US" w:eastAsia="zh-CN"/>
              </w:rPr>
              <w:t>1</w:t>
            </w:r>
          </w:p>
        </w:tc>
        <w:tc>
          <w:tcPr>
            <w:tcW w:w="107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val="en-US" w:eastAsia="zh-CN"/>
              </w:rPr>
            </w:pPr>
            <w:r>
              <w:rPr>
                <w:rFonts w:hint="eastAsia" w:ascii="仿宋" w:hAnsi="仿宋" w:eastAsia="仿宋" w:cs="仿宋"/>
                <w:color w:val="000000"/>
                <w:kern w:val="0"/>
                <w:szCs w:val="21"/>
                <w:highlight w:val="none"/>
                <w:shd w:val="clear" w:color="auto" w:fill="FFFFFF"/>
                <w:lang w:val="en-US" w:eastAsia="zh-CN"/>
              </w:rPr>
              <w:t>82</w:t>
            </w:r>
          </w:p>
        </w:tc>
        <w:tc>
          <w:tcPr>
            <w:tcW w:w="28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eastAsia="zh-CN"/>
              </w:rPr>
              <w:t>全自动凯氏定氮仪、高灵敏度双扫描荧光检测器主机Waters2475、十万分之一电子天平</w:t>
            </w:r>
          </w:p>
        </w:tc>
        <w:tc>
          <w:tcPr>
            <w:tcW w:w="7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eastAsia="zh-CN"/>
              </w:rPr>
              <w:t>无</w:t>
            </w:r>
          </w:p>
        </w:tc>
      </w:tr>
    </w:tbl>
    <w:p>
      <w:pPr>
        <w:pStyle w:val="2"/>
        <w:rPr>
          <w:rFonts w:hint="eastAsia" w:ascii="仿宋" w:hAnsi="仿宋" w:eastAsia="仿宋" w:cs="仿宋"/>
          <w:highlight w:val="none"/>
          <w:lang w:val="zh-CN"/>
        </w:rPr>
      </w:pPr>
    </w:p>
    <w:p>
      <w:pPr>
        <w:autoSpaceDE w:val="0"/>
        <w:autoSpaceDN w:val="0"/>
        <w:adjustRightInd w:val="0"/>
        <w:spacing w:line="400" w:lineRule="atLeast"/>
        <w:ind w:firstLine="482" w:firstLineChars="200"/>
        <w:rPr>
          <w:rFonts w:hint="eastAsia" w:ascii="仿宋" w:hAnsi="仿宋" w:eastAsia="仿宋" w:cs="仿宋"/>
          <w:b/>
          <w:bCs/>
          <w:kern w:val="0"/>
          <w:sz w:val="24"/>
          <w:highlight w:val="none"/>
          <w:lang w:val="zh-CN"/>
        </w:rPr>
      </w:pPr>
      <w:r>
        <w:rPr>
          <w:rFonts w:hint="eastAsia" w:ascii="仿宋" w:hAnsi="仿宋" w:eastAsia="仿宋" w:cs="仿宋"/>
          <w:b/>
          <w:bCs/>
          <w:kern w:val="0"/>
          <w:sz w:val="24"/>
          <w:highlight w:val="none"/>
          <w:lang w:val="zh-CN"/>
        </w:rPr>
        <w:t>四、投标人资格要求：</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lang w:val="en-US" w:eastAsia="zh-CN"/>
        </w:rPr>
        <w:t>（一）符合政府采购法第二十二条之供应商资格规定：</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（1）具有独立承担民事责任的能力；</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（3）具有履行合同所必需的设备和专业技术能力；</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（4）有依法缴纳税收和社会保障资金的良好纪录；</w:t>
      </w:r>
    </w:p>
    <w:p>
      <w:pPr>
        <w:pStyle w:val="14"/>
        <w:spacing w:beforeAutospacing="0" w:afterAutospacing="0" w:line="312" w:lineRule="auto"/>
        <w:ind w:right="84" w:rightChars="40" w:firstLine="360" w:firstLineChars="150"/>
        <w:rPr>
          <w:rFonts w:hint="eastAsia" w:ascii="仿宋" w:hAnsi="仿宋" w:eastAsia="仿宋" w:cs="仿宋"/>
          <w:highlight w:val="none"/>
          <w:lang w:eastAsia="zh-CN"/>
        </w:rPr>
      </w:pPr>
      <w:r>
        <w:rPr>
          <w:rFonts w:hint="eastAsia" w:ascii="仿宋" w:hAnsi="仿宋" w:eastAsia="仿宋" w:cs="仿宋"/>
          <w:highlight w:val="none"/>
        </w:rPr>
        <w:t>（5）参加采购活动前三年内，在经营活动中没有重大违法记录</w:t>
      </w:r>
      <w:r>
        <w:rPr>
          <w:rFonts w:hint="eastAsia" w:ascii="仿宋" w:hAnsi="仿宋" w:eastAsia="仿宋" w:cs="仿宋"/>
          <w:highlight w:val="none"/>
          <w:lang w:eastAsia="zh-CN"/>
        </w:rPr>
        <w:t>；</w:t>
      </w:r>
    </w:p>
    <w:p>
      <w:pPr>
        <w:pStyle w:val="14"/>
        <w:spacing w:beforeAutospacing="0" w:afterAutospacing="0" w:line="312" w:lineRule="auto"/>
        <w:ind w:right="84" w:rightChars="40" w:firstLine="360" w:firstLineChars="150"/>
        <w:rPr>
          <w:rFonts w:hint="eastAsia" w:ascii="仿宋" w:hAnsi="仿宋" w:eastAsia="仿宋" w:cs="仿宋"/>
          <w:highlight w:val="none"/>
          <w:lang w:eastAsia="zh-CN"/>
        </w:rPr>
      </w:pPr>
      <w:bookmarkStart w:id="7" w:name="_Toc8937"/>
      <w:r>
        <w:rPr>
          <w:rFonts w:hint="eastAsia" w:ascii="仿宋" w:hAnsi="仿宋" w:eastAsia="仿宋" w:cs="仿宋"/>
          <w:highlight w:val="none"/>
          <w:lang w:val="en-US" w:eastAsia="zh-CN"/>
        </w:rPr>
        <w:t>（6）法律、行政法规规定的其他条件。</w:t>
      </w:r>
      <w:bookmarkEnd w:id="7"/>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二</w:t>
      </w:r>
      <w:r>
        <w:rPr>
          <w:rFonts w:hint="eastAsia" w:ascii="仿宋" w:hAnsi="仿宋" w:eastAsia="仿宋" w:cs="仿宋"/>
          <w:highlight w:val="none"/>
        </w:rPr>
        <w:t>）</w:t>
      </w:r>
      <w:r>
        <w:rPr>
          <w:rFonts w:hint="eastAsia" w:ascii="仿宋" w:hAnsi="仿宋" w:eastAsia="仿宋" w:cs="仿宋"/>
          <w:highlight w:val="none"/>
          <w:lang w:val="en-US" w:eastAsia="zh-CN"/>
        </w:rPr>
        <w:t>必须是中华人民共和国境内注册并取得营业执照，且</w:t>
      </w:r>
      <w:r>
        <w:rPr>
          <w:rFonts w:hint="eastAsia" w:ascii="仿宋" w:hAnsi="仿宋" w:eastAsia="仿宋" w:cs="仿宋"/>
          <w:highlight w:val="none"/>
        </w:rPr>
        <w:t>所投产品及服务须在其法定营业范围内</w:t>
      </w:r>
      <w:r>
        <w:rPr>
          <w:rFonts w:hint="eastAsia" w:ascii="仿宋" w:hAnsi="仿宋" w:eastAsia="仿宋" w:cs="仿宋"/>
          <w:highlight w:val="none"/>
          <w:lang w:eastAsia="zh-CN"/>
        </w:rPr>
        <w:t>，进口设备需提供厂家授权</w:t>
      </w:r>
      <w:r>
        <w:rPr>
          <w:rFonts w:hint="eastAsia" w:ascii="仿宋" w:hAnsi="仿宋" w:eastAsia="仿宋" w:cs="仿宋"/>
          <w:highlight w:val="none"/>
        </w:rPr>
        <w:t>；</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三</w:t>
      </w:r>
      <w:r>
        <w:rPr>
          <w:rFonts w:hint="eastAsia" w:ascii="仿宋" w:hAnsi="仿宋" w:eastAsia="仿宋" w:cs="仿宋"/>
          <w:highlight w:val="none"/>
        </w:rPr>
        <w:t>）</w:t>
      </w:r>
      <w:r>
        <w:rPr>
          <w:rFonts w:hint="eastAsia" w:ascii="仿宋" w:hAnsi="仿宋" w:eastAsia="仿宋" w:cs="仿宋"/>
          <w:highlight w:val="none"/>
          <w:lang w:val="en-US" w:eastAsia="zh-CN"/>
        </w:rPr>
        <w:t>参与投标的法人应携带身份证原件，委托代理人应携带《法人代表授权委托书》和身份证原件；</w:t>
      </w:r>
    </w:p>
    <w:p>
      <w:pPr>
        <w:pStyle w:val="14"/>
        <w:spacing w:beforeAutospacing="0" w:afterAutospacing="0" w:line="312" w:lineRule="auto"/>
        <w:ind w:right="84" w:rightChars="40" w:firstLine="360" w:firstLineChars="15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highlight w:val="none"/>
        </w:rPr>
        <w:t>（</w:t>
      </w:r>
      <w:r>
        <w:rPr>
          <w:rFonts w:hint="eastAsia" w:ascii="仿宋" w:hAnsi="仿宋" w:eastAsia="仿宋" w:cs="仿宋"/>
          <w:highlight w:val="none"/>
          <w:lang w:val="en-US" w:eastAsia="zh-CN"/>
        </w:rPr>
        <w:t>四</w:t>
      </w:r>
      <w:r>
        <w:rPr>
          <w:rFonts w:hint="eastAsia" w:ascii="仿宋" w:hAnsi="仿宋" w:eastAsia="仿宋" w:cs="仿宋"/>
          <w:highlight w:val="none"/>
        </w:rPr>
        <w:t>）供应商须提供在“信用中国”（www.creditchina.gov.cn）和中国政府采购网（www.ccgp.gov.cn）网站上未列入失信被执行人、</w:t>
      </w:r>
      <w:r>
        <w:rPr>
          <w:rFonts w:hint="eastAsia" w:ascii="仿宋" w:hAnsi="仿宋" w:eastAsia="仿宋" w:cs="仿宋"/>
          <w:highlight w:val="none"/>
          <w:lang w:eastAsia="zh-CN"/>
        </w:rPr>
        <w:t>重大税收违法失信主体</w:t>
      </w:r>
      <w:r>
        <w:rPr>
          <w:rFonts w:hint="eastAsia" w:ascii="仿宋" w:hAnsi="仿宋" w:eastAsia="仿宋" w:cs="仿宋"/>
          <w:highlight w:val="none"/>
        </w:rPr>
        <w:t>名单以及政府采购严重违法失信行为记录名单的网页打印件</w:t>
      </w:r>
      <w:r>
        <w:rPr>
          <w:rFonts w:hint="eastAsia" w:ascii="仿宋" w:hAnsi="仿宋" w:eastAsia="仿宋" w:cs="仿宋"/>
          <w:highlight w:val="none"/>
          <w:lang w:eastAsia="zh-CN"/>
        </w:rPr>
        <w:t>；</w:t>
      </w:r>
      <w:r>
        <w:rPr>
          <w:rFonts w:hint="eastAsia" w:ascii="仿宋" w:hAnsi="仿宋" w:eastAsia="仿宋" w:cs="仿宋"/>
          <w:color w:val="000000" w:themeColor="text1"/>
          <w:sz w:val="24"/>
          <w:highlight w:val="none"/>
          <w14:textFill>
            <w14:solidFill>
              <w14:schemeClr w14:val="tx1"/>
            </w14:solidFill>
          </w14:textFill>
        </w:rPr>
        <w:t>投标人近三年无因投标申请人违约或不恰当履约引起的合同终止、纠纷、争议、仲裁和公诉纪录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中国裁判文书网（http://wenshu.court.gov.cn/）</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14"/>
        <w:spacing w:beforeAutospacing="0" w:afterAutospacing="0" w:line="312" w:lineRule="auto"/>
        <w:ind w:right="84" w:rightChars="40" w:firstLine="360" w:firstLineChars="15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提供上一年度经审计的财务报告，或其基本开户银行出具的资信证明</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提供近半年依法缴纳税收和社会保障资金的材料：纳税证明、社保缴纳证明。</w:t>
      </w:r>
    </w:p>
    <w:p>
      <w:pPr>
        <w:pStyle w:val="14"/>
        <w:spacing w:beforeAutospacing="0" w:afterAutospacing="0" w:line="312" w:lineRule="auto"/>
        <w:ind w:right="84" w:rightChars="40" w:firstLine="360" w:firstLineChars="15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（六）参加政府采购活动前3年内在经营活动中没有重大违法记录的声明函。</w:t>
      </w:r>
    </w:p>
    <w:p>
      <w:pPr>
        <w:pStyle w:val="14"/>
        <w:spacing w:beforeAutospacing="0" w:afterAutospacing="0" w:line="312" w:lineRule="auto"/>
        <w:ind w:right="84" w:rightChars="40" w:firstLine="360" w:firstLineChars="150"/>
        <w:rPr>
          <w:rFonts w:hint="eastAsia" w:ascii="仿宋" w:hAnsi="仿宋" w:eastAsia="仿宋" w:cs="仿宋"/>
          <w:highlight w:val="none"/>
          <w:lang w:val="en-US" w:eastAsia="zh-CN"/>
        </w:rPr>
      </w:pPr>
      <w:r>
        <w:rPr>
          <w:rFonts w:hint="eastAsia" w:ascii="仿宋" w:hAnsi="仿宋" w:eastAsia="仿宋" w:cs="仿宋"/>
          <w:highlight w:val="none"/>
        </w:rPr>
        <w:t>（</w:t>
      </w:r>
      <w:r>
        <w:rPr>
          <w:rFonts w:hint="eastAsia" w:ascii="仿宋" w:hAnsi="仿宋" w:eastAsia="仿宋" w:cs="仿宋"/>
          <w:highlight w:val="none"/>
          <w:lang w:val="en-US" w:eastAsia="zh-CN"/>
        </w:rPr>
        <w:t>七</w:t>
      </w:r>
      <w:r>
        <w:rPr>
          <w:rFonts w:hint="eastAsia" w:ascii="仿宋" w:hAnsi="仿宋" w:eastAsia="仿宋" w:cs="仿宋"/>
          <w:highlight w:val="none"/>
        </w:rPr>
        <w:t>）</w:t>
      </w:r>
      <w:r>
        <w:rPr>
          <w:rFonts w:hint="eastAsia" w:ascii="仿宋" w:hAnsi="仿宋" w:eastAsia="仿宋" w:cs="仿宋"/>
          <w:highlight w:val="none"/>
          <w:lang w:val="en-US" w:eastAsia="zh-CN"/>
        </w:rPr>
        <w:t>本项目须提供反商业贿赂承诺书原件。</w:t>
      </w:r>
    </w:p>
    <w:p>
      <w:pPr>
        <w:pStyle w:val="14"/>
        <w:spacing w:beforeAutospacing="0" w:afterAutospacing="0" w:line="312" w:lineRule="auto"/>
        <w:ind w:right="84" w:rightChars="40" w:firstLine="360" w:firstLineChars="150"/>
        <w:rPr>
          <w:rFonts w:hint="eastAsia" w:ascii="仿宋" w:hAnsi="仿宋" w:eastAsia="仿宋" w:cs="仿宋"/>
          <w:highlight w:val="none"/>
          <w:lang w:val="en-US" w:eastAsia="zh-CN"/>
        </w:rPr>
      </w:pPr>
      <w:r>
        <w:rPr>
          <w:rFonts w:hint="eastAsia" w:ascii="仿宋" w:hAnsi="仿宋" w:eastAsia="仿宋" w:cs="仿宋"/>
          <w:highlight w:val="none"/>
          <w:lang w:val="en-US" w:eastAsia="zh-CN"/>
        </w:rPr>
        <w:t>（八）单位负责人为同一人或者存在直接控股、管理关系的不同供应商，厂家及其代理商，不得参加同一合同项下的政府采购活动。</w:t>
      </w:r>
    </w:p>
    <w:p>
      <w:pPr>
        <w:pStyle w:val="14"/>
        <w:spacing w:beforeAutospacing="0" w:afterAutospacing="0" w:line="312" w:lineRule="auto"/>
        <w:ind w:right="84" w:rightChars="40" w:firstLine="360" w:firstLineChars="15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九</w:t>
      </w:r>
      <w:r>
        <w:rPr>
          <w:rFonts w:hint="eastAsia" w:ascii="仿宋" w:hAnsi="仿宋" w:eastAsia="仿宋" w:cs="仿宋"/>
          <w:highlight w:val="none"/>
        </w:rPr>
        <w:t>）本项目不接受联合体投标。</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atLeast"/>
        <w:ind w:right="0" w:rightChars="0" w:firstLine="482" w:firstLineChars="200"/>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zh-CN"/>
        </w:rPr>
        <w:t>五、获取招标文件及报名时间</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sz w:val="24"/>
          <w:szCs w:val="24"/>
          <w:highlight w:val="none"/>
          <w:lang w:val="zh-CN"/>
        </w:rPr>
        <w:t>日至</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lang w:val="en-US" w:eastAsia="zh-CN"/>
        </w:rPr>
        <w:t>1</w:t>
      </w:r>
      <w:bookmarkStart w:id="157" w:name="_GoBack"/>
      <w:bookmarkEnd w:id="157"/>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每天上午</w:t>
      </w:r>
      <w:r>
        <w:rPr>
          <w:rFonts w:hint="eastAsia" w:ascii="仿宋" w:hAnsi="仿宋" w:eastAsia="仿宋" w:cs="仿宋"/>
          <w:sz w:val="24"/>
          <w:szCs w:val="24"/>
          <w:highlight w:val="none"/>
        </w:rPr>
        <w:t>10：30</w:t>
      </w:r>
      <w:r>
        <w:rPr>
          <w:rFonts w:hint="eastAsia" w:ascii="仿宋" w:hAnsi="仿宋" w:eastAsia="仿宋" w:cs="仿宋"/>
          <w:sz w:val="24"/>
          <w:szCs w:val="24"/>
          <w:highlight w:val="none"/>
          <w:lang w:val="zh-CN"/>
        </w:rPr>
        <w:t>至</w:t>
      </w:r>
      <w:r>
        <w:rPr>
          <w:rFonts w:hint="eastAsia" w:ascii="仿宋" w:hAnsi="仿宋" w:eastAsia="仿宋" w:cs="仿宋"/>
          <w:sz w:val="24"/>
          <w:szCs w:val="24"/>
          <w:highlight w:val="none"/>
        </w:rPr>
        <w:t>13：30，</w:t>
      </w:r>
      <w:r>
        <w:rPr>
          <w:rFonts w:hint="eastAsia" w:ascii="仿宋" w:hAnsi="仿宋" w:eastAsia="仿宋" w:cs="仿宋"/>
          <w:sz w:val="24"/>
          <w:szCs w:val="24"/>
          <w:highlight w:val="none"/>
          <w:lang w:val="zh-CN"/>
        </w:rPr>
        <w:t>下午</w:t>
      </w:r>
      <w:r>
        <w:rPr>
          <w:rFonts w:hint="eastAsia" w:ascii="仿宋" w:hAnsi="仿宋" w:eastAsia="仿宋" w:cs="仿宋"/>
          <w:sz w:val="24"/>
          <w:szCs w:val="24"/>
          <w:highlight w:val="none"/>
        </w:rPr>
        <w:t>15：30</w:t>
      </w:r>
      <w:r>
        <w:rPr>
          <w:rFonts w:hint="eastAsia" w:ascii="仿宋" w:hAnsi="仿宋" w:eastAsia="仿宋" w:cs="仿宋"/>
          <w:sz w:val="24"/>
          <w:szCs w:val="24"/>
          <w:highlight w:val="none"/>
          <w:lang w:val="zh-CN"/>
        </w:rPr>
        <w:t>至</w:t>
      </w:r>
      <w:r>
        <w:rPr>
          <w:rFonts w:hint="eastAsia" w:ascii="仿宋" w:hAnsi="仿宋" w:eastAsia="仿宋" w:cs="仿宋"/>
          <w:sz w:val="24"/>
          <w:szCs w:val="24"/>
          <w:highlight w:val="none"/>
        </w:rPr>
        <w:t>18：30</w:t>
      </w:r>
      <w:r>
        <w:rPr>
          <w:rFonts w:hint="eastAsia" w:ascii="仿宋" w:hAnsi="仿宋" w:eastAsia="仿宋" w:cs="仿宋"/>
          <w:sz w:val="24"/>
          <w:szCs w:val="24"/>
          <w:highlight w:val="none"/>
          <w:lang w:val="zh-CN"/>
        </w:rPr>
        <w:t>北京时间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请投标人携带营业执照副本、法人授权委托书和被授权人身份有效证件、</w:t>
      </w:r>
      <w:r>
        <w:rPr>
          <w:rFonts w:hint="eastAsia" w:ascii="仿宋" w:hAnsi="仿宋" w:eastAsia="仿宋" w:cs="仿宋"/>
          <w:sz w:val="24"/>
          <w:szCs w:val="24"/>
          <w:highlight w:val="none"/>
        </w:rPr>
        <w:t>“信用中国”网站（www.creditchina.gov.cn）上失信被执行人、</w:t>
      </w:r>
      <w:r>
        <w:rPr>
          <w:rFonts w:hint="eastAsia" w:ascii="仿宋" w:hAnsi="仿宋" w:eastAsia="仿宋" w:cs="仿宋"/>
          <w:color w:val="auto"/>
          <w:sz w:val="24"/>
          <w:szCs w:val="24"/>
          <w:highlight w:val="none"/>
        </w:rPr>
        <w:t>重大税收违法</w:t>
      </w:r>
      <w:r>
        <w:rPr>
          <w:rFonts w:hint="eastAsia" w:ascii="仿宋" w:hAnsi="仿宋" w:eastAsia="仿宋" w:cs="仿宋"/>
          <w:color w:val="auto"/>
          <w:sz w:val="24"/>
          <w:szCs w:val="24"/>
          <w:highlight w:val="none"/>
          <w:lang w:eastAsia="zh-CN"/>
        </w:rPr>
        <w:t>失信主体</w:t>
      </w:r>
      <w:r>
        <w:rPr>
          <w:rFonts w:hint="eastAsia" w:ascii="仿宋" w:hAnsi="仿宋" w:eastAsia="仿宋" w:cs="仿宋"/>
          <w:sz w:val="24"/>
          <w:szCs w:val="24"/>
          <w:highlight w:val="none"/>
        </w:rPr>
        <w:t>、政府采购严重违法失信行为记录名单的查询结果和中国政府采购网（www.ccgp.gov.cn）上政府采购严重违法失信行为记录名单的查询结果（尚在处罚期内的</w:t>
      </w:r>
      <w:r>
        <w:rPr>
          <w:rFonts w:hint="eastAsia" w:ascii="仿宋" w:hAnsi="仿宋" w:eastAsia="仿宋" w:cs="仿宋"/>
          <w:color w:val="0000FF"/>
          <w:sz w:val="24"/>
          <w:szCs w:val="24"/>
          <w:highlight w:val="none"/>
        </w:rPr>
        <w:t>，</w:t>
      </w:r>
      <w:r>
        <w:rPr>
          <w:rFonts w:hint="eastAsia" w:ascii="仿宋" w:hAnsi="仿宋" w:eastAsia="仿宋" w:cs="仿宋"/>
          <w:sz w:val="24"/>
          <w:szCs w:val="24"/>
          <w:highlight w:val="none"/>
        </w:rPr>
        <w:t>将拒绝其参加本次政府采购活动），</w:t>
      </w:r>
      <w:r>
        <w:rPr>
          <w:rFonts w:hint="eastAsia" w:ascii="仿宋" w:hAnsi="仿宋" w:eastAsia="仿宋" w:cs="仿宋"/>
          <w:sz w:val="24"/>
          <w:szCs w:val="24"/>
          <w:highlight w:val="none"/>
          <w:lang w:val="zh-CN"/>
        </w:rPr>
        <w:t>以上资料需提供原件查验</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复印件叁份</w:t>
      </w:r>
      <w:r>
        <w:rPr>
          <w:rFonts w:hint="eastAsia" w:ascii="仿宋" w:hAnsi="仿宋" w:eastAsia="仿宋" w:cs="仿宋"/>
          <w:sz w:val="24"/>
          <w:szCs w:val="24"/>
          <w:highlight w:val="none"/>
          <w:lang w:val="en-US" w:eastAsia="zh-CN"/>
        </w:rPr>
        <w:t>/包</w:t>
      </w:r>
      <w:r>
        <w:rPr>
          <w:rFonts w:hint="eastAsia" w:ascii="仿宋" w:hAnsi="仿宋" w:eastAsia="仿宋" w:cs="仿宋"/>
          <w:sz w:val="24"/>
          <w:szCs w:val="24"/>
          <w:highlight w:val="none"/>
          <w:lang w:val="zh-CN"/>
        </w:rPr>
        <w:t>加盖公章作为报名资料留存。</w:t>
      </w:r>
    </w:p>
    <w:p>
      <w:pPr>
        <w:keepNext w:val="0"/>
        <w:keepLines w:val="0"/>
        <w:pageBreakBefore w:val="0"/>
        <w:kinsoku/>
        <w:wordWrap/>
        <w:overflowPunct/>
        <w:topLinePunct w:val="0"/>
        <w:bidi w:val="0"/>
        <w:snapToGrid/>
        <w:spacing w:line="400" w:lineRule="atLeast"/>
        <w:ind w:firstLine="482" w:firstLineChars="200"/>
        <w:jc w:val="both"/>
        <w:textAlignment w:val="auto"/>
        <w:rPr>
          <w:rFonts w:hint="eastAsia" w:ascii="仿宋" w:hAnsi="仿宋" w:eastAsia="仿宋" w:cs="仿宋"/>
          <w:sz w:val="24"/>
          <w:highlight w:val="none"/>
        </w:rPr>
      </w:pPr>
      <w:r>
        <w:rPr>
          <w:rFonts w:hint="eastAsia" w:ascii="仿宋" w:hAnsi="仿宋" w:eastAsia="仿宋" w:cs="仿宋"/>
          <w:b/>
          <w:bCs/>
          <w:kern w:val="0"/>
          <w:sz w:val="24"/>
          <w:highlight w:val="none"/>
          <w:lang w:val="zh-CN"/>
        </w:rPr>
        <w:t>六、获取招标文件及报名地点：</w:t>
      </w:r>
      <w:r>
        <w:rPr>
          <w:rFonts w:hint="eastAsia" w:ascii="仿宋" w:hAnsi="仿宋" w:eastAsia="仿宋" w:cs="仿宋"/>
          <w:sz w:val="24"/>
          <w:highlight w:val="none"/>
        </w:rPr>
        <w:t>乌鲁木齐新市区北京南路高新街217号盈科广场B座2709室</w:t>
      </w:r>
    </w:p>
    <w:p>
      <w:pPr>
        <w:keepNext w:val="0"/>
        <w:keepLines w:val="0"/>
        <w:pageBreakBefore w:val="0"/>
        <w:kinsoku/>
        <w:wordWrap/>
        <w:overflowPunct/>
        <w:topLinePunct w:val="0"/>
        <w:autoSpaceDE w:val="0"/>
        <w:autoSpaceDN w:val="0"/>
        <w:bidi w:val="0"/>
        <w:adjustRightInd w:val="0"/>
        <w:snapToGrid/>
        <w:spacing w:line="400" w:lineRule="atLeast"/>
        <w:ind w:firstLine="482" w:firstLineChars="200"/>
        <w:jc w:val="both"/>
        <w:textAlignment w:val="auto"/>
        <w:rPr>
          <w:rFonts w:hint="eastAsia" w:ascii="仿宋" w:hAnsi="仿宋" w:eastAsia="仿宋" w:cs="仿宋"/>
          <w:color w:val="FF0000"/>
          <w:kern w:val="0"/>
          <w:sz w:val="24"/>
          <w:highlight w:val="none"/>
          <w:lang w:val="zh-CN"/>
        </w:rPr>
      </w:pPr>
      <w:r>
        <w:rPr>
          <w:rFonts w:hint="eastAsia" w:ascii="仿宋" w:hAnsi="仿宋" w:eastAsia="仿宋" w:cs="仿宋"/>
          <w:b/>
          <w:bCs/>
          <w:kern w:val="0"/>
          <w:sz w:val="24"/>
          <w:highlight w:val="none"/>
          <w:lang w:val="zh-CN"/>
        </w:rPr>
        <w:t>七、招标文件递交截止及开标时间：</w:t>
      </w:r>
      <w:r>
        <w:rPr>
          <w:rFonts w:hint="eastAsia" w:ascii="仿宋" w:hAnsi="仿宋" w:eastAsia="仿宋" w:cs="仿宋"/>
          <w:kern w:val="0"/>
          <w:sz w:val="24"/>
          <w:highlight w:val="none"/>
          <w:lang w:val="zh-CN"/>
        </w:rPr>
        <w:t>20</w:t>
      </w: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val="zh-CN"/>
        </w:rPr>
        <w:t>年</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lang w:val="zh-CN"/>
        </w:rPr>
        <w:t>月</w:t>
      </w:r>
      <w:r>
        <w:rPr>
          <w:rFonts w:hint="eastAsia" w:ascii="仿宋" w:hAnsi="仿宋" w:eastAsia="仿宋" w:cs="仿宋"/>
          <w:color w:val="auto"/>
          <w:kern w:val="0"/>
          <w:sz w:val="24"/>
          <w:highlight w:val="none"/>
          <w:lang w:val="en-US" w:eastAsia="zh-CN"/>
        </w:rPr>
        <w:t>15</w:t>
      </w:r>
      <w:r>
        <w:rPr>
          <w:rFonts w:hint="eastAsia" w:ascii="仿宋" w:hAnsi="仿宋" w:eastAsia="仿宋" w:cs="仿宋"/>
          <w:kern w:val="0"/>
          <w:sz w:val="24"/>
          <w:highlight w:val="none"/>
          <w:lang w:val="zh-CN"/>
        </w:rPr>
        <w:t>日</w:t>
      </w:r>
      <w:r>
        <w:rPr>
          <w:rFonts w:hint="eastAsia" w:ascii="仿宋" w:hAnsi="仿宋" w:eastAsia="仿宋" w:cs="仿宋"/>
          <w:kern w:val="0"/>
          <w:sz w:val="24"/>
          <w:highlight w:val="none"/>
          <w:lang w:val="en-US" w:eastAsia="zh-CN"/>
        </w:rPr>
        <w:t>下</w:t>
      </w:r>
      <w:r>
        <w:rPr>
          <w:rFonts w:hint="eastAsia" w:ascii="仿宋" w:hAnsi="仿宋" w:eastAsia="仿宋" w:cs="仿宋"/>
          <w:kern w:val="0"/>
          <w:sz w:val="24"/>
          <w:highlight w:val="none"/>
          <w:lang w:val="zh-CN"/>
        </w:rPr>
        <w:t>午1</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lang w:val="zh-CN"/>
        </w:rPr>
        <w:t>：</w:t>
      </w:r>
      <w:r>
        <w:rPr>
          <w:rFonts w:hint="eastAsia" w:ascii="仿宋" w:hAnsi="仿宋" w:eastAsia="仿宋" w:cs="仿宋"/>
          <w:kern w:val="0"/>
          <w:sz w:val="24"/>
          <w:highlight w:val="none"/>
          <w:lang w:val="en-US" w:eastAsia="zh-CN"/>
        </w:rPr>
        <w:t>00</w:t>
      </w:r>
      <w:r>
        <w:rPr>
          <w:rFonts w:hint="eastAsia" w:ascii="仿宋" w:hAnsi="仿宋" w:eastAsia="仿宋" w:cs="仿宋"/>
          <w:kern w:val="0"/>
          <w:sz w:val="24"/>
          <w:highlight w:val="none"/>
          <w:lang w:val="zh-CN"/>
        </w:rPr>
        <w:t>（北京时间）</w:t>
      </w:r>
    </w:p>
    <w:p>
      <w:pPr>
        <w:keepNext w:val="0"/>
        <w:keepLines w:val="0"/>
        <w:pageBreakBefore w:val="0"/>
        <w:widowControl/>
        <w:kinsoku/>
        <w:wordWrap/>
        <w:overflowPunct/>
        <w:topLinePunct w:val="0"/>
        <w:bidi w:val="0"/>
        <w:snapToGrid/>
        <w:spacing w:line="400" w:lineRule="atLeast"/>
        <w:ind w:firstLine="482" w:firstLineChars="200"/>
        <w:jc w:val="both"/>
        <w:textAlignment w:val="auto"/>
        <w:rPr>
          <w:rFonts w:hint="eastAsia" w:ascii="仿宋" w:hAnsi="仿宋" w:eastAsia="仿宋" w:cs="仿宋"/>
          <w:sz w:val="24"/>
          <w:highlight w:val="none"/>
        </w:rPr>
      </w:pPr>
      <w:r>
        <w:rPr>
          <w:rFonts w:hint="eastAsia" w:ascii="仿宋" w:hAnsi="仿宋" w:eastAsia="仿宋" w:cs="仿宋"/>
          <w:b/>
          <w:bCs/>
          <w:kern w:val="0"/>
          <w:sz w:val="24"/>
          <w:highlight w:val="none"/>
          <w:lang w:val="zh-CN"/>
        </w:rPr>
        <w:t>八、开标地点：</w:t>
      </w:r>
      <w:r>
        <w:rPr>
          <w:rFonts w:hint="eastAsia" w:ascii="仿宋" w:hAnsi="仿宋" w:eastAsia="仿宋" w:cs="仿宋"/>
          <w:sz w:val="24"/>
          <w:highlight w:val="none"/>
        </w:rPr>
        <w:t>新疆凌云天成工程管理咨询有限公司</w:t>
      </w:r>
      <w:r>
        <w:rPr>
          <w:rFonts w:hint="eastAsia" w:ascii="仿宋" w:hAnsi="仿宋" w:eastAsia="仿宋" w:cs="仿宋"/>
          <w:sz w:val="24"/>
          <w:highlight w:val="none"/>
          <w:lang w:eastAsia="zh-CN"/>
        </w:rPr>
        <w:t>会议室</w:t>
      </w:r>
      <w:r>
        <w:rPr>
          <w:rFonts w:hint="eastAsia" w:ascii="仿宋" w:hAnsi="仿宋" w:eastAsia="仿宋" w:cs="仿宋"/>
          <w:sz w:val="24"/>
          <w:highlight w:val="none"/>
        </w:rPr>
        <w:t>。</w:t>
      </w:r>
    </w:p>
    <w:p>
      <w:pPr>
        <w:keepNext w:val="0"/>
        <w:keepLines w:val="0"/>
        <w:pageBreakBefore w:val="0"/>
        <w:widowControl/>
        <w:kinsoku/>
        <w:wordWrap/>
        <w:overflowPunct/>
        <w:topLinePunct w:val="0"/>
        <w:bidi w:val="0"/>
        <w:snapToGrid/>
        <w:spacing w:line="400" w:lineRule="atLeast"/>
        <w:ind w:firstLine="482" w:firstLineChars="200"/>
        <w:jc w:val="both"/>
        <w:textAlignment w:val="auto"/>
        <w:rPr>
          <w:rFonts w:hint="eastAsia" w:ascii="仿宋" w:hAnsi="仿宋" w:eastAsia="仿宋" w:cs="仿宋"/>
          <w:kern w:val="0"/>
          <w:sz w:val="24"/>
          <w:szCs w:val="24"/>
          <w:highlight w:val="none"/>
          <w:lang w:eastAsia="zh-CN"/>
        </w:rPr>
      </w:pPr>
      <w:r>
        <w:rPr>
          <w:rFonts w:hint="eastAsia" w:ascii="仿宋" w:hAnsi="仿宋" w:eastAsia="仿宋" w:cs="仿宋"/>
          <w:b/>
          <w:bCs/>
          <w:sz w:val="24"/>
          <w:highlight w:val="none"/>
          <w:lang w:val="en-US" w:eastAsia="zh-CN"/>
        </w:rPr>
        <w:t>九、</w:t>
      </w:r>
      <w:r>
        <w:rPr>
          <w:rFonts w:hint="eastAsia" w:ascii="仿宋" w:hAnsi="仿宋" w:eastAsia="仿宋" w:cs="仿宋"/>
          <w:b/>
          <w:bCs/>
          <w:sz w:val="24"/>
          <w:highlight w:val="none"/>
        </w:rPr>
        <w:t>投标地点：</w:t>
      </w:r>
      <w:r>
        <w:rPr>
          <w:rFonts w:hint="eastAsia" w:ascii="仿宋" w:hAnsi="仿宋" w:eastAsia="仿宋" w:cs="仿宋"/>
          <w:sz w:val="24"/>
          <w:highlight w:val="none"/>
        </w:rPr>
        <w:t>新疆凌云天成工程管理咨询有限公司</w:t>
      </w:r>
      <w:r>
        <w:rPr>
          <w:rFonts w:hint="eastAsia" w:ascii="仿宋" w:hAnsi="仿宋" w:eastAsia="仿宋" w:cs="仿宋"/>
          <w:sz w:val="24"/>
          <w:highlight w:val="none"/>
          <w:lang w:eastAsia="zh-CN"/>
        </w:rPr>
        <w:t>会议室</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bidi w:val="0"/>
        <w:snapToGrid/>
        <w:spacing w:line="400" w:lineRule="atLeast"/>
        <w:ind w:firstLine="482" w:firstLineChars="200"/>
        <w:jc w:val="both"/>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十、联系方式</w:t>
      </w:r>
    </w:p>
    <w:p>
      <w:pPr>
        <w:keepNext w:val="0"/>
        <w:keepLines w:val="0"/>
        <w:pageBreakBefore w:val="0"/>
        <w:kinsoku/>
        <w:wordWrap/>
        <w:overflowPunct/>
        <w:topLinePunct w:val="0"/>
        <w:autoSpaceDE w:val="0"/>
        <w:autoSpaceDN w:val="0"/>
        <w:bidi w:val="0"/>
        <w:adjustRightInd w:val="0"/>
        <w:snapToGrid/>
        <w:spacing w:line="400" w:lineRule="atLeast"/>
        <w:ind w:firstLine="480" w:firstLineChars="200"/>
        <w:jc w:val="both"/>
        <w:textAlignment w:val="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采购人：</w:t>
      </w:r>
      <w:r>
        <w:rPr>
          <w:rFonts w:hint="eastAsia" w:ascii="仿宋" w:hAnsi="仿宋" w:eastAsia="仿宋" w:cs="仿宋"/>
          <w:kern w:val="0"/>
          <w:sz w:val="24"/>
          <w:highlight w:val="none"/>
          <w:lang w:val="zh-CN" w:eastAsia="zh-CN"/>
        </w:rPr>
        <w:t>新疆农业科学院农业质量标准与检测技术研究所</w:t>
      </w:r>
    </w:p>
    <w:p>
      <w:pPr>
        <w:keepNext w:val="0"/>
        <w:keepLines w:val="0"/>
        <w:pageBreakBefore w:val="0"/>
        <w:kinsoku/>
        <w:wordWrap/>
        <w:overflowPunct/>
        <w:topLinePunct w:val="0"/>
        <w:autoSpaceDE w:val="0"/>
        <w:autoSpaceDN w:val="0"/>
        <w:bidi w:val="0"/>
        <w:adjustRightInd w:val="0"/>
        <w:snapToGrid/>
        <w:spacing w:line="400" w:lineRule="atLeast"/>
        <w:ind w:firstLine="480" w:firstLineChars="200"/>
        <w:jc w:val="both"/>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联系人：</w:t>
      </w:r>
      <w:r>
        <w:rPr>
          <w:rFonts w:hint="eastAsia" w:ascii="仿宋" w:hAnsi="仿宋" w:eastAsia="仿宋" w:cs="仿宋"/>
          <w:b/>
          <w:color w:val="auto"/>
          <w:sz w:val="24"/>
          <w:highlight w:val="none"/>
          <w:lang w:val="en-US" w:eastAsia="zh-CN"/>
        </w:rPr>
        <w:t>王老师</w:t>
      </w:r>
    </w:p>
    <w:p>
      <w:pPr>
        <w:keepNext w:val="0"/>
        <w:keepLines w:val="0"/>
        <w:pageBreakBefore w:val="0"/>
        <w:kinsoku/>
        <w:wordWrap/>
        <w:overflowPunct/>
        <w:topLinePunct w:val="0"/>
        <w:bidi w:val="0"/>
        <w:snapToGrid/>
        <w:spacing w:line="400" w:lineRule="atLeast"/>
        <w:ind w:firstLine="480" w:firstLineChars="200"/>
        <w:jc w:val="both"/>
        <w:textAlignment w:val="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招标代理机构：</w:t>
      </w:r>
      <w:r>
        <w:rPr>
          <w:rFonts w:hint="eastAsia" w:ascii="仿宋" w:hAnsi="仿宋" w:eastAsia="仿宋" w:cs="仿宋"/>
          <w:sz w:val="24"/>
          <w:highlight w:val="none"/>
        </w:rPr>
        <w:t xml:space="preserve">新疆凌云天成工程管理咨询有限公司 </w:t>
      </w:r>
    </w:p>
    <w:p>
      <w:pPr>
        <w:keepNext w:val="0"/>
        <w:keepLines w:val="0"/>
        <w:pageBreakBefore w:val="0"/>
        <w:kinsoku/>
        <w:wordWrap/>
        <w:overflowPunct/>
        <w:topLinePunct w:val="0"/>
        <w:autoSpaceDE w:val="0"/>
        <w:autoSpaceDN w:val="0"/>
        <w:bidi w:val="0"/>
        <w:adjustRightInd w:val="0"/>
        <w:snapToGrid/>
        <w:spacing w:line="400" w:lineRule="atLeast"/>
        <w:ind w:firstLine="480"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kern w:val="0"/>
          <w:sz w:val="24"/>
          <w:highlight w:val="none"/>
          <w:lang w:val="zh-CN"/>
        </w:rPr>
        <w:t>联系人：</w:t>
      </w:r>
      <w:r>
        <w:rPr>
          <w:rFonts w:hint="eastAsia" w:ascii="仿宋" w:hAnsi="仿宋" w:eastAsia="仿宋" w:cs="仿宋"/>
          <w:sz w:val="24"/>
          <w:highlight w:val="none"/>
          <w:lang w:val="en-US" w:eastAsia="zh-CN"/>
        </w:rPr>
        <w:t>张婷</w: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lang w:val="zh-CN"/>
        </w:rPr>
        <w:t>电话：</w:t>
      </w:r>
      <w:r>
        <w:rPr>
          <w:rFonts w:hint="eastAsia" w:ascii="仿宋" w:hAnsi="仿宋" w:eastAsia="仿宋" w:cs="仿宋"/>
          <w:sz w:val="24"/>
          <w:highlight w:val="none"/>
        </w:rPr>
        <w:t>0991-3193958</w:t>
      </w:r>
      <w:r>
        <w:rPr>
          <w:rFonts w:hint="eastAsia" w:ascii="仿宋" w:hAnsi="仿宋" w:eastAsia="仿宋" w:cs="仿宋"/>
          <w:kern w:val="0"/>
          <w:sz w:val="24"/>
          <w:highlight w:val="none"/>
        </w:rPr>
        <w:t xml:space="preserve"> </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8" w:name="_Toc2249"/>
      <w:r>
        <w:rPr>
          <w:rFonts w:hint="eastAsia" w:ascii="仿宋" w:hAnsi="仿宋" w:eastAsia="仿宋" w:cs="仿宋"/>
          <w:b/>
          <w:bCs/>
          <w:color w:val="000000" w:themeColor="text1"/>
          <w:sz w:val="32"/>
          <w:szCs w:val="32"/>
          <w:highlight w:val="none"/>
          <w14:textFill>
            <w14:solidFill>
              <w14:schemeClr w14:val="tx1"/>
            </w14:solidFill>
          </w14:textFill>
        </w:rPr>
        <w:t>第二部分  投标人须知</w:t>
      </w:r>
      <w:bookmarkEnd w:id="4"/>
      <w:bookmarkEnd w:id="5"/>
      <w:bookmarkEnd w:id="6"/>
      <w:bookmarkEnd w:id="8"/>
    </w:p>
    <w:p>
      <w:pPr>
        <w:spacing w:line="360" w:lineRule="auto"/>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9" w:name="_Toc1036"/>
      <w:bookmarkStart w:id="10" w:name="_Toc12517"/>
      <w:r>
        <w:rPr>
          <w:rFonts w:hint="eastAsia" w:ascii="仿宋" w:hAnsi="仿宋" w:eastAsia="仿宋" w:cs="仿宋"/>
          <w:b/>
          <w:color w:val="000000" w:themeColor="text1"/>
          <w:sz w:val="24"/>
          <w:highlight w:val="none"/>
          <w14:textFill>
            <w14:solidFill>
              <w14:schemeClr w14:val="tx1"/>
            </w14:solidFill>
          </w14:textFill>
        </w:rPr>
        <w:t>投标人须知前附表</w:t>
      </w:r>
      <w:bookmarkEnd w:id="9"/>
      <w:bookmarkEnd w:id="10"/>
    </w:p>
    <w:tbl>
      <w:tblPr>
        <w:tblStyle w:val="1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w:t>
            </w:r>
          </w:p>
        </w:tc>
        <w:tc>
          <w:tcPr>
            <w:tcW w:w="873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采购人：</w:t>
            </w:r>
            <w:r>
              <w:rPr>
                <w:rFonts w:hint="eastAsia" w:ascii="仿宋" w:hAnsi="仿宋" w:eastAsia="仿宋" w:cs="仿宋"/>
                <w:b/>
                <w:bCs/>
                <w:color w:val="000000" w:themeColor="text1"/>
                <w:sz w:val="24"/>
                <w:highlight w:val="none"/>
                <w:lang w:val="zh-CN" w:eastAsia="zh-CN"/>
                <w14:textFill>
                  <w14:solidFill>
                    <w14:schemeClr w14:val="tx1"/>
                  </w14:solidFill>
                </w14:textFill>
              </w:rPr>
              <w:t>新疆农业科学院农业质量标准与检测技术研究所</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联系人：</w:t>
            </w:r>
            <w:r>
              <w:rPr>
                <w:rFonts w:hint="eastAsia" w:ascii="仿宋" w:hAnsi="仿宋" w:eastAsia="仿宋" w:cs="仿宋"/>
                <w:b/>
                <w:bCs/>
                <w:color w:val="000000" w:themeColor="text1"/>
                <w:sz w:val="24"/>
                <w:highlight w:val="none"/>
                <w:lang w:val="en-US" w:eastAsia="zh-CN"/>
                <w14:textFill>
                  <w14:solidFill>
                    <w14:schemeClr w14:val="tx1"/>
                  </w14:solidFill>
                </w14:textFill>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招标代理机构：</w:t>
            </w:r>
            <w:r>
              <w:rPr>
                <w:rFonts w:hint="eastAsia" w:ascii="仿宋" w:hAnsi="仿宋" w:eastAsia="仿宋" w:cs="仿宋"/>
                <w:bCs/>
                <w:color w:val="000000" w:themeColor="text1"/>
                <w:sz w:val="24"/>
                <w:highlight w:val="none"/>
                <w14:textFill>
                  <w14:solidFill>
                    <w14:schemeClr w14:val="tx1"/>
                  </w14:solidFill>
                </w14:textFill>
              </w:rPr>
              <w:t>新疆凌云天成工程管理咨询有限公司</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联系人：</w:t>
            </w:r>
            <w:r>
              <w:rPr>
                <w:rFonts w:hint="eastAsia" w:ascii="仿宋" w:hAnsi="仿宋" w:eastAsia="仿宋" w:cs="仿宋"/>
                <w:color w:val="000000" w:themeColor="text1"/>
                <w:sz w:val="24"/>
                <w:highlight w:val="none"/>
                <w:lang w:val="en-US" w:eastAsia="zh-CN"/>
                <w14:textFill>
                  <w14:solidFill>
                    <w14:schemeClr w14:val="tx1"/>
                  </w14:solidFill>
                </w14:textFill>
              </w:rPr>
              <w:t>张婷</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联系电话：</w:t>
            </w:r>
            <w:r>
              <w:rPr>
                <w:rFonts w:hint="eastAsia" w:ascii="仿宋" w:hAnsi="仿宋" w:eastAsia="仿宋" w:cs="仿宋"/>
                <w:color w:val="000000" w:themeColor="text1"/>
                <w:sz w:val="24"/>
                <w:highlight w:val="none"/>
                <w14:textFill>
                  <w14:solidFill>
                    <w14:schemeClr w14:val="tx1"/>
                  </w14:solidFill>
                </w14:textFill>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8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项目名称：</w:t>
            </w:r>
            <w:r>
              <w:rPr>
                <w:rFonts w:hint="eastAsia" w:ascii="仿宋" w:hAnsi="仿宋" w:eastAsia="仿宋" w:cs="仿宋"/>
                <w:b/>
                <w:bCs/>
                <w:kern w:val="0"/>
                <w:sz w:val="24"/>
                <w:highlight w:val="none"/>
                <w:lang w:val="zh-CN" w:eastAsia="zh-CN"/>
              </w:rPr>
              <w:t>新疆农业科学院农业质量标准与检测技术研究所2022年仪器设备采购项目</w:t>
            </w:r>
            <w:r>
              <w:rPr>
                <w:rFonts w:hint="eastAsia" w:ascii="仿宋" w:hAnsi="仿宋" w:eastAsia="仿宋" w:cs="仿宋"/>
                <w:b/>
                <w:bCs/>
                <w:kern w:val="0"/>
                <w:sz w:val="24"/>
                <w:highlight w:val="none"/>
                <w:lang w:val="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项目编号：</w:t>
            </w:r>
            <w:r>
              <w:rPr>
                <w:rFonts w:hint="eastAsia" w:ascii="仿宋" w:hAnsi="仿宋" w:eastAsia="仿宋" w:cs="仿宋"/>
                <w:b/>
                <w:bCs/>
                <w:color w:val="000000" w:themeColor="text1"/>
                <w:sz w:val="24"/>
                <w:highlight w:val="none"/>
                <w:lang w:val="zh-CN"/>
                <w14:textFill>
                  <w14:solidFill>
                    <w14:schemeClr w14:val="tx1"/>
                  </w14:solidFill>
                </w14:textFill>
              </w:rPr>
              <w:t>XJLY22HW06</w:t>
            </w:r>
            <w:r>
              <w:rPr>
                <w:rFonts w:hint="eastAsia" w:ascii="仿宋" w:hAnsi="仿宋" w:eastAsia="仿宋" w:cs="仿宋"/>
                <w:b/>
                <w:bCs/>
                <w:color w:val="000000" w:themeColor="text1"/>
                <w:sz w:val="24"/>
                <w:highlight w:val="none"/>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873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2"/>
                <w:highlight w:val="none"/>
                <w14:textFill>
                  <w14:solidFill>
                    <w14:schemeClr w14:val="tx1"/>
                  </w14:solidFill>
                </w14:textFill>
              </w:rPr>
              <w:t>招标方式</w:t>
            </w:r>
            <w:r>
              <w:rPr>
                <w:rFonts w:hint="eastAsia" w:ascii="仿宋" w:hAnsi="仿宋" w:eastAsia="仿宋" w:cs="仿宋"/>
                <w:b/>
                <w:bCs/>
                <w:color w:val="000000" w:themeColor="text1"/>
                <w:highlight w:val="none"/>
                <w14:textFill>
                  <w14:solidFill>
                    <w14:schemeClr w14:val="tx1"/>
                  </w14:solidFill>
                </w14:textFill>
              </w:rPr>
              <w:t>：</w:t>
            </w:r>
            <w:r>
              <w:rPr>
                <w:rFonts w:hint="eastAsia" w:ascii="仿宋" w:hAnsi="仿宋" w:eastAsia="仿宋" w:cs="仿宋"/>
                <w:color w:val="000000" w:themeColor="text1"/>
                <w:sz w:val="24"/>
                <w:szCs w:val="32"/>
                <w:highlight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3"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8730" w:type="dxa"/>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采购预算：</w:t>
            </w:r>
          </w:p>
          <w:tbl>
            <w:tblPr>
              <w:tblStyle w:val="15"/>
              <w:tblW w:w="8157" w:type="dxa"/>
              <w:jc w:val="center"/>
              <w:tblLayout w:type="fixed"/>
              <w:tblCellMar>
                <w:top w:w="15" w:type="dxa"/>
                <w:left w:w="15" w:type="dxa"/>
                <w:bottom w:w="15" w:type="dxa"/>
                <w:right w:w="15" w:type="dxa"/>
              </w:tblCellMar>
            </w:tblPr>
            <w:tblGrid>
              <w:gridCol w:w="1105"/>
              <w:gridCol w:w="3942"/>
              <w:gridCol w:w="816"/>
              <w:gridCol w:w="1616"/>
              <w:gridCol w:w="678"/>
            </w:tblGrid>
            <w:tr>
              <w:tblPrEx>
                <w:tblCellMar>
                  <w:top w:w="15" w:type="dxa"/>
                  <w:left w:w="15" w:type="dxa"/>
                  <w:bottom w:w="15" w:type="dxa"/>
                  <w:right w:w="15" w:type="dxa"/>
                </w:tblCellMar>
              </w:tblPrEx>
              <w:trPr>
                <w:trHeight w:val="513" w:hRule="atLeast"/>
                <w:jc w:val="center"/>
              </w:trPr>
              <w:tc>
                <w:tcPr>
                  <w:tcW w:w="11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eastAsia" w:ascii="仿宋" w:hAnsi="仿宋" w:eastAsia="仿宋" w:cs="仿宋"/>
                      <w:kern w:val="0"/>
                      <w:szCs w:val="21"/>
                      <w:highlight w:val="none"/>
                    </w:rPr>
                  </w:pPr>
                  <w:r>
                    <w:rPr>
                      <w:rFonts w:hint="eastAsia" w:ascii="仿宋" w:hAnsi="仿宋" w:eastAsia="仿宋" w:cs="仿宋"/>
                      <w:kern w:val="0"/>
                      <w:szCs w:val="21"/>
                      <w:highlight w:val="none"/>
                    </w:rPr>
                    <w:t>标项序号</w:t>
                  </w:r>
                </w:p>
              </w:tc>
              <w:tc>
                <w:tcPr>
                  <w:tcW w:w="394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标项名称</w:t>
                  </w:r>
                </w:p>
              </w:tc>
              <w:tc>
                <w:tcPr>
                  <w:tcW w:w="8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数量</w:t>
                  </w:r>
                </w:p>
              </w:tc>
              <w:tc>
                <w:tcPr>
                  <w:tcW w:w="16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预算金额（万元）</w:t>
                  </w:r>
                </w:p>
              </w:tc>
              <w:tc>
                <w:tcPr>
                  <w:tcW w:w="67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单位</w:t>
                  </w:r>
                </w:p>
              </w:tc>
            </w:tr>
            <w:tr>
              <w:tblPrEx>
                <w:tblCellMar>
                  <w:top w:w="15" w:type="dxa"/>
                  <w:left w:w="15" w:type="dxa"/>
                  <w:bottom w:w="15" w:type="dxa"/>
                  <w:right w:w="15" w:type="dxa"/>
                </w:tblCellMar>
              </w:tblPrEx>
              <w:trPr>
                <w:trHeight w:val="876" w:hRule="atLeast"/>
                <w:jc w:val="center"/>
              </w:trPr>
              <w:tc>
                <w:tcPr>
                  <w:tcW w:w="11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kern w:val="0"/>
                      <w:szCs w:val="21"/>
                      <w:highlight w:val="none"/>
                      <w:lang w:val="en-US" w:eastAsia="zh-CN"/>
                    </w:rPr>
                  </w:pPr>
                  <w:r>
                    <w:rPr>
                      <w:rFonts w:hint="eastAsia" w:ascii="仿宋" w:hAnsi="仿宋" w:eastAsia="仿宋" w:cs="仿宋"/>
                      <w:b/>
                      <w:bCs/>
                      <w:kern w:val="0"/>
                      <w:sz w:val="24"/>
                      <w:highlight w:val="none"/>
                      <w:lang w:val="zh-CN"/>
                    </w:rPr>
                    <w:t>XJLY22HW06</w:t>
                  </w:r>
                  <w:r>
                    <w:rPr>
                      <w:rFonts w:hint="eastAsia" w:ascii="仿宋" w:hAnsi="仿宋" w:eastAsia="仿宋" w:cs="仿宋"/>
                      <w:b/>
                      <w:bCs/>
                      <w:kern w:val="0"/>
                      <w:sz w:val="24"/>
                      <w:highlight w:val="none"/>
                      <w:lang w:val="en-US" w:eastAsia="zh-CN"/>
                    </w:rPr>
                    <w:t>5-1</w:t>
                  </w:r>
                </w:p>
              </w:tc>
              <w:tc>
                <w:tcPr>
                  <w:tcW w:w="394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left"/>
                    <w:rPr>
                      <w:rFonts w:hint="eastAsia" w:ascii="仿宋" w:hAnsi="仿宋" w:eastAsia="仿宋" w:cs="仿宋"/>
                      <w:b/>
                      <w:bCs/>
                      <w:kern w:val="0"/>
                      <w:szCs w:val="21"/>
                      <w:highlight w:val="none"/>
                      <w:lang w:val="en-US"/>
                    </w:rPr>
                  </w:pPr>
                  <w:r>
                    <w:rPr>
                      <w:rFonts w:hint="eastAsia" w:ascii="仿宋" w:hAnsi="仿宋" w:eastAsia="仿宋" w:cs="仿宋"/>
                      <w:b/>
                      <w:bCs/>
                      <w:kern w:val="0"/>
                      <w:sz w:val="24"/>
                      <w:highlight w:val="none"/>
                      <w:lang w:val="zh-CN" w:eastAsia="zh-CN"/>
                    </w:rPr>
                    <w:t>新疆农科院2022年农业科研项目国产仪器设备其他专用仪器仪表（第一包）</w:t>
                  </w:r>
                </w:p>
              </w:tc>
              <w:tc>
                <w:tcPr>
                  <w:tcW w:w="8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b/>
                      <w:bCs/>
                      <w:color w:val="000000"/>
                      <w:kern w:val="0"/>
                      <w:szCs w:val="21"/>
                      <w:highlight w:val="none"/>
                      <w:shd w:val="clear" w:color="auto" w:fill="FFFFFF"/>
                      <w:lang w:val="en-US" w:eastAsia="zh-CN"/>
                    </w:rPr>
                    <w:t>1</w:t>
                  </w:r>
                </w:p>
              </w:tc>
              <w:tc>
                <w:tcPr>
                  <w:tcW w:w="16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50.774</w:t>
                  </w:r>
                </w:p>
              </w:tc>
              <w:tc>
                <w:tcPr>
                  <w:tcW w:w="67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Cs w:val="21"/>
                      <w:highlight w:val="none"/>
                      <w:lang w:eastAsia="zh-CN"/>
                    </w:rPr>
                  </w:pPr>
                  <w:r>
                    <w:rPr>
                      <w:rFonts w:hint="eastAsia" w:ascii="仿宋" w:hAnsi="仿宋" w:eastAsia="仿宋" w:cs="仿宋"/>
                      <w:color w:val="000000"/>
                      <w:kern w:val="0"/>
                      <w:szCs w:val="21"/>
                      <w:highlight w:val="none"/>
                      <w:shd w:val="clear" w:color="auto" w:fill="FFFFFF"/>
                      <w:lang w:eastAsia="zh-CN"/>
                    </w:rPr>
                    <w:t>项</w:t>
                  </w:r>
                </w:p>
              </w:tc>
            </w:tr>
            <w:tr>
              <w:tblPrEx>
                <w:tblCellMar>
                  <w:top w:w="15" w:type="dxa"/>
                  <w:left w:w="15" w:type="dxa"/>
                  <w:bottom w:w="15" w:type="dxa"/>
                  <w:right w:w="15" w:type="dxa"/>
                </w:tblCellMar>
              </w:tblPrEx>
              <w:trPr>
                <w:trHeight w:val="889" w:hRule="atLeast"/>
                <w:jc w:val="center"/>
              </w:trPr>
              <w:tc>
                <w:tcPr>
                  <w:tcW w:w="11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kern w:val="0"/>
                      <w:szCs w:val="21"/>
                      <w:highlight w:val="none"/>
                    </w:rPr>
                  </w:pPr>
                  <w:r>
                    <w:rPr>
                      <w:rFonts w:hint="eastAsia" w:ascii="仿宋" w:hAnsi="仿宋" w:eastAsia="仿宋" w:cs="仿宋"/>
                      <w:b/>
                      <w:bCs/>
                      <w:kern w:val="0"/>
                      <w:sz w:val="24"/>
                      <w:highlight w:val="none"/>
                      <w:lang w:val="zh-CN"/>
                    </w:rPr>
                    <w:t>XJLY22HW06</w:t>
                  </w:r>
                  <w:r>
                    <w:rPr>
                      <w:rFonts w:hint="eastAsia" w:ascii="仿宋" w:hAnsi="仿宋" w:eastAsia="仿宋" w:cs="仿宋"/>
                      <w:b/>
                      <w:bCs/>
                      <w:kern w:val="0"/>
                      <w:sz w:val="24"/>
                      <w:highlight w:val="none"/>
                      <w:lang w:val="en-US" w:eastAsia="zh-CN"/>
                    </w:rPr>
                    <w:t>5-2</w:t>
                  </w:r>
                </w:p>
              </w:tc>
              <w:tc>
                <w:tcPr>
                  <w:tcW w:w="394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left"/>
                    <w:rPr>
                      <w:rFonts w:hint="eastAsia" w:ascii="仿宋" w:hAnsi="仿宋" w:eastAsia="仿宋" w:cs="仿宋"/>
                      <w:b/>
                      <w:bCs/>
                      <w:kern w:val="0"/>
                      <w:szCs w:val="21"/>
                      <w:highlight w:val="none"/>
                      <w:lang w:val="en-US" w:eastAsia="zh-CN"/>
                    </w:rPr>
                  </w:pPr>
                  <w:r>
                    <w:rPr>
                      <w:rFonts w:hint="eastAsia" w:ascii="仿宋" w:hAnsi="仿宋" w:eastAsia="仿宋" w:cs="仿宋"/>
                      <w:b/>
                      <w:bCs/>
                      <w:kern w:val="0"/>
                      <w:sz w:val="24"/>
                      <w:highlight w:val="none"/>
                      <w:lang w:val="zh-CN" w:eastAsia="zh-CN"/>
                    </w:rPr>
                    <w:t>新疆农科院2022年农业科研项目进口仪器设备其他专用仪器仪表（第二包）</w:t>
                  </w:r>
                </w:p>
              </w:tc>
              <w:tc>
                <w:tcPr>
                  <w:tcW w:w="8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bCs/>
                      <w:color w:val="000000"/>
                      <w:kern w:val="0"/>
                      <w:szCs w:val="21"/>
                      <w:highlight w:val="none"/>
                      <w:shd w:val="clear" w:color="auto" w:fill="FFFFFF"/>
                      <w:lang w:val="en-US" w:eastAsia="zh-CN"/>
                    </w:rPr>
                  </w:pPr>
                  <w:r>
                    <w:rPr>
                      <w:rFonts w:hint="eastAsia" w:ascii="仿宋" w:hAnsi="仿宋" w:eastAsia="仿宋" w:cs="仿宋"/>
                      <w:b/>
                      <w:bCs/>
                      <w:color w:val="000000"/>
                      <w:kern w:val="0"/>
                      <w:szCs w:val="21"/>
                      <w:highlight w:val="none"/>
                      <w:shd w:val="clear" w:color="auto" w:fill="FFFFFF"/>
                      <w:lang w:val="en-US" w:eastAsia="zh-CN"/>
                    </w:rPr>
                    <w:t>1</w:t>
                  </w:r>
                </w:p>
              </w:tc>
              <w:tc>
                <w:tcPr>
                  <w:tcW w:w="16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82</w:t>
                  </w:r>
                </w:p>
              </w:tc>
              <w:tc>
                <w:tcPr>
                  <w:tcW w:w="67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color w:val="000000"/>
                      <w:kern w:val="0"/>
                      <w:szCs w:val="21"/>
                      <w:highlight w:val="none"/>
                      <w:shd w:val="clear" w:color="auto" w:fill="FFFFFF"/>
                      <w:lang w:eastAsia="zh-CN"/>
                    </w:rPr>
                  </w:pPr>
                  <w:r>
                    <w:rPr>
                      <w:rFonts w:hint="eastAsia" w:ascii="仿宋" w:hAnsi="仿宋" w:eastAsia="仿宋" w:cs="仿宋"/>
                      <w:color w:val="000000"/>
                      <w:kern w:val="0"/>
                      <w:szCs w:val="21"/>
                      <w:highlight w:val="none"/>
                      <w:shd w:val="clear" w:color="auto" w:fill="FFFFFF"/>
                      <w:lang w:eastAsia="zh-CN"/>
                    </w:rPr>
                    <w:t>项</w:t>
                  </w:r>
                </w:p>
              </w:tc>
            </w:tr>
          </w:tbl>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kern w:val="0"/>
                <w:szCs w:val="21"/>
                <w:highlight w:val="none"/>
                <w:lang w:val="en-US" w:eastAsia="zh-CN"/>
              </w:rPr>
            </w:pPr>
            <w:r>
              <w:rPr>
                <w:rFonts w:hint="eastAsia" w:ascii="仿宋" w:hAnsi="仿宋" w:eastAsia="仿宋" w:cs="仿宋"/>
                <w:b/>
                <w:bCs/>
                <w:color w:val="000000" w:themeColor="text1"/>
                <w:highlight w:val="none"/>
                <w:lang w:val="en-US" w:eastAsia="zh-CN"/>
                <w14:textFill>
                  <w14:solidFill>
                    <w14:schemeClr w14:val="tx1"/>
                  </w14:solidFill>
                </w14:textFill>
              </w:rPr>
              <w:t>预算总金额132.774万元。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bCs/>
                <w:color w:val="000000" w:themeColor="text1"/>
                <w:szCs w:val="22"/>
                <w:highlight w:val="none"/>
                <w14:textFill>
                  <w14:solidFill>
                    <w14:schemeClr w14:val="tx1"/>
                  </w14:solidFill>
                </w14:textFill>
              </w:rPr>
            </w:pPr>
            <w:r>
              <w:rPr>
                <w:rFonts w:hint="eastAsia" w:ascii="仿宋" w:hAnsi="仿宋" w:eastAsia="仿宋" w:cs="仿宋"/>
                <w:b/>
                <w:bCs/>
                <w:color w:val="000000" w:themeColor="text1"/>
                <w:szCs w:val="22"/>
                <w:highlight w:val="none"/>
                <w14:textFill>
                  <w14:solidFill>
                    <w14:schemeClr w14:val="tx1"/>
                  </w14:solidFill>
                </w14:textFill>
              </w:rPr>
              <w:t>采购内容：</w:t>
            </w:r>
          </w:p>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bCs/>
                <w:color w:val="000000" w:themeColor="text1"/>
                <w:szCs w:val="22"/>
                <w:highlight w:val="none"/>
                <w14:textFill>
                  <w14:solidFill>
                    <w14:schemeClr w14:val="tx1"/>
                  </w14:solidFill>
                </w14:textFill>
              </w:rPr>
            </w:pPr>
            <w:r>
              <w:rPr>
                <w:rFonts w:hint="eastAsia" w:ascii="仿宋" w:hAnsi="仿宋" w:eastAsia="仿宋" w:cs="仿宋"/>
                <w:b/>
                <w:bCs/>
                <w:kern w:val="0"/>
                <w:sz w:val="24"/>
                <w:highlight w:val="none"/>
                <w:lang w:val="zh-CN" w:eastAsia="zh-CN"/>
              </w:rPr>
              <w:t>新疆农科院2022年农业科研项目国产仪器设备其他专用仪器仪表（第一包）：</w:t>
            </w:r>
          </w:p>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测汞仪、火焰光度计、试剂柜（带双锁）、立式高压蒸汽灭菌器、超低温冰箱、乳脂离心机（含盖勃管16根）、麦氏比浊仪（细菌浊度计）</w:t>
            </w:r>
          </w:p>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分光光度计、红外线灭菌器。</w:t>
            </w:r>
          </w:p>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b/>
                <w:bCs/>
                <w:kern w:val="0"/>
                <w:sz w:val="24"/>
                <w:highlight w:val="none"/>
                <w:lang w:val="zh-CN" w:eastAsia="zh-CN"/>
              </w:rPr>
              <w:t>新疆农科院2022年农业科研项目进口仪器设备其他专用仪器仪表（第二包）：</w:t>
            </w:r>
            <w:r>
              <w:rPr>
                <w:rFonts w:hint="eastAsia" w:ascii="仿宋" w:hAnsi="仿宋" w:eastAsia="仿宋" w:cs="仿宋"/>
                <w:color w:val="000000" w:themeColor="text1"/>
                <w:szCs w:val="22"/>
                <w:highlight w:val="none"/>
                <w14:textFill>
                  <w14:solidFill>
                    <w14:schemeClr w14:val="tx1"/>
                  </w14:solidFill>
                </w14:textFill>
              </w:rPr>
              <w:t>全自动凯氏定氮仪、高灵敏度双扫描荧光检测器主机Waters2475、十万分之一电子天平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bCs/>
                <w:color w:val="FF0000"/>
                <w:szCs w:val="22"/>
                <w:highlight w:val="none"/>
                <w:lang w:val="en-US" w:eastAsia="zh-CN"/>
              </w:rPr>
            </w:pPr>
            <w:r>
              <w:rPr>
                <w:rFonts w:hint="eastAsia" w:ascii="仿宋" w:hAnsi="仿宋" w:eastAsia="仿宋" w:cs="仿宋"/>
                <w:b/>
                <w:bCs/>
                <w:color w:val="000000" w:themeColor="text1"/>
                <w:szCs w:val="22"/>
                <w:highlight w:val="none"/>
                <w:lang w:val="en-US" w:eastAsia="zh-CN"/>
                <w14:textFill>
                  <w14:solidFill>
                    <w14:schemeClr w14:val="tx1"/>
                  </w14:solidFill>
                </w14:textFill>
              </w:rPr>
              <w:t>质保期：详见“第四部分 项目招标要求及说明”。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bCs/>
                <w:color w:val="000000" w:themeColor="text1"/>
                <w:szCs w:val="22"/>
                <w:highlight w:val="none"/>
                <w:lang w:val="en-US" w:eastAsia="zh-CN"/>
                <w14:textFill>
                  <w14:solidFill>
                    <w14:schemeClr w14:val="tx1"/>
                  </w14:solidFill>
                </w14:textFill>
              </w:rPr>
            </w:pPr>
            <w:r>
              <w:rPr>
                <w:rFonts w:hint="eastAsia" w:ascii="仿宋" w:hAnsi="仿宋" w:eastAsia="仿宋" w:cs="仿宋"/>
                <w:b/>
                <w:bCs/>
                <w:color w:val="auto"/>
                <w:szCs w:val="22"/>
                <w:highlight w:val="none"/>
              </w:rPr>
              <w:t>交货期：</w:t>
            </w:r>
            <w:r>
              <w:rPr>
                <w:rFonts w:hint="eastAsia" w:ascii="仿宋" w:hAnsi="仿宋" w:eastAsia="仿宋" w:cs="仿宋"/>
                <w:b/>
                <w:bCs/>
                <w:color w:val="000000" w:themeColor="text1"/>
                <w:szCs w:val="22"/>
                <w:highlight w:val="none"/>
                <w:lang w:eastAsia="zh-CN"/>
                <w14:textFill>
                  <w14:solidFill>
                    <w14:schemeClr w14:val="tx1"/>
                  </w14:solidFill>
                </w14:textFill>
              </w:rPr>
              <w:t>合同签订后</w:t>
            </w:r>
            <w:r>
              <w:rPr>
                <w:rFonts w:hint="eastAsia" w:ascii="仿宋" w:hAnsi="仿宋" w:eastAsia="仿宋" w:cs="仿宋"/>
                <w:b/>
                <w:bCs/>
                <w:color w:val="000000" w:themeColor="text1"/>
                <w:szCs w:val="22"/>
                <w:highlight w:val="none"/>
                <w:lang w:val="en-US" w:eastAsia="zh-CN"/>
                <w14:textFill>
                  <w14:solidFill>
                    <w14:schemeClr w14:val="tx1"/>
                  </w14:solidFill>
                </w14:textFill>
              </w:rPr>
              <w:t xml:space="preserve">60天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w:t>
            </w:r>
          </w:p>
        </w:tc>
        <w:tc>
          <w:tcPr>
            <w:tcW w:w="873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投标人资格条件</w:t>
            </w:r>
            <w:r>
              <w:rPr>
                <w:rFonts w:hint="eastAsia" w:ascii="仿宋" w:hAnsi="仿宋" w:eastAsia="仿宋" w:cs="仿宋"/>
                <w:color w:val="000000" w:themeColor="text1"/>
                <w:sz w:val="24"/>
                <w:highlight w:val="none"/>
                <w14:textFill>
                  <w14:solidFill>
                    <w14:schemeClr w14:val="tx1"/>
                  </w14:solidFill>
                </w14:textFill>
              </w:rPr>
              <w:t xml:space="preserve">： </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lang w:val="en-US" w:eastAsia="zh-CN"/>
              </w:rPr>
              <w:t>（一）符合政府采购法第二十二条之供应商资格规定：</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（1）具有独立承担民事责任的能力；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（3）具有履行合同所必需的设备和专业技术能力；</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（4）有依法缴纳税收和社会保障资金的良好纪录；</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lang w:eastAsia="zh-CN"/>
              </w:rPr>
            </w:pPr>
            <w:r>
              <w:rPr>
                <w:rFonts w:hint="eastAsia" w:ascii="仿宋" w:hAnsi="仿宋" w:eastAsia="仿宋" w:cs="仿宋"/>
                <w:highlight w:val="none"/>
              </w:rPr>
              <w:t>（5）参加采购活动前三年内，在经营活动中没有重大违法记录</w:t>
            </w:r>
            <w:r>
              <w:rPr>
                <w:rFonts w:hint="eastAsia" w:ascii="仿宋" w:hAnsi="仿宋" w:eastAsia="仿宋" w:cs="仿宋"/>
                <w:highlight w:val="none"/>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（6）法律、行政法规规定的其他条件。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二</w:t>
            </w:r>
            <w:r>
              <w:rPr>
                <w:rFonts w:hint="eastAsia" w:ascii="仿宋" w:hAnsi="仿宋" w:eastAsia="仿宋" w:cs="仿宋"/>
                <w:highlight w:val="none"/>
              </w:rPr>
              <w:t>）</w:t>
            </w:r>
            <w:r>
              <w:rPr>
                <w:rFonts w:hint="eastAsia" w:ascii="仿宋" w:hAnsi="仿宋" w:eastAsia="仿宋" w:cs="仿宋"/>
                <w:highlight w:val="none"/>
                <w:lang w:val="en-US" w:eastAsia="zh-CN"/>
              </w:rPr>
              <w:t>必须是中华人民共和国境内注册并取得营业执照，且</w:t>
            </w:r>
            <w:r>
              <w:rPr>
                <w:rFonts w:hint="eastAsia" w:ascii="仿宋" w:hAnsi="仿宋" w:eastAsia="仿宋" w:cs="仿宋"/>
                <w:highlight w:val="none"/>
              </w:rPr>
              <w:t>所投产品及服务须在其法定营业范围内</w:t>
            </w:r>
            <w:r>
              <w:rPr>
                <w:rFonts w:hint="eastAsia" w:ascii="仿宋" w:hAnsi="仿宋" w:eastAsia="仿宋" w:cs="仿宋"/>
                <w:highlight w:val="none"/>
                <w:lang w:eastAsia="zh-CN"/>
              </w:rPr>
              <w:t>，进口设备需提供厂家授权</w:t>
            </w:r>
            <w:r>
              <w:rPr>
                <w:rFonts w:hint="eastAsia" w:ascii="仿宋" w:hAnsi="仿宋" w:eastAsia="仿宋" w:cs="仿宋"/>
                <w:highlight w:val="none"/>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三</w:t>
            </w:r>
            <w:r>
              <w:rPr>
                <w:rFonts w:hint="eastAsia" w:ascii="仿宋" w:hAnsi="仿宋" w:eastAsia="仿宋" w:cs="仿宋"/>
                <w:highlight w:val="none"/>
              </w:rPr>
              <w:t>）</w:t>
            </w:r>
            <w:r>
              <w:rPr>
                <w:rFonts w:hint="eastAsia" w:ascii="仿宋" w:hAnsi="仿宋" w:eastAsia="仿宋" w:cs="仿宋"/>
                <w:highlight w:val="none"/>
                <w:lang w:val="en-US" w:eastAsia="zh-CN"/>
              </w:rPr>
              <w:t>参与投标的法人应携带身份证原件，委托代理人应携带《法人代表授权委托书》和身份证原件；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highlight w:val="none"/>
              </w:rPr>
              <w:t>（</w:t>
            </w:r>
            <w:r>
              <w:rPr>
                <w:rFonts w:hint="eastAsia" w:ascii="仿宋" w:hAnsi="仿宋" w:eastAsia="仿宋" w:cs="仿宋"/>
                <w:highlight w:val="none"/>
                <w:lang w:val="en-US" w:eastAsia="zh-CN"/>
              </w:rPr>
              <w:t>四</w:t>
            </w:r>
            <w:r>
              <w:rPr>
                <w:rFonts w:hint="eastAsia" w:ascii="仿宋" w:hAnsi="仿宋" w:eastAsia="仿宋" w:cs="仿宋"/>
                <w:highlight w:val="none"/>
              </w:rPr>
              <w:t>）供应商须提供在“信用中国”（www.creditchina.gov.cn）和中国政府采购网（www.ccgp.gov.cn）网站上未列入失信被执行人、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highlight w:val="none"/>
              </w:rPr>
              <w:t>名单以及政府采购严重违法失信行为记录名单的网页打印件</w:t>
            </w:r>
            <w:r>
              <w:rPr>
                <w:rFonts w:hint="eastAsia" w:ascii="仿宋" w:hAnsi="仿宋" w:eastAsia="仿宋" w:cs="仿宋"/>
                <w:highlight w:val="none"/>
                <w:lang w:eastAsia="zh-CN"/>
              </w:rPr>
              <w:t>；</w:t>
            </w:r>
            <w:r>
              <w:rPr>
                <w:rFonts w:hint="eastAsia" w:ascii="仿宋" w:hAnsi="仿宋" w:eastAsia="仿宋" w:cs="仿宋"/>
                <w:color w:val="000000" w:themeColor="text1"/>
                <w:sz w:val="24"/>
                <w:highlight w:val="none"/>
                <w14:textFill>
                  <w14:solidFill>
                    <w14:schemeClr w14:val="tx1"/>
                  </w14:solidFill>
                </w14:textFill>
              </w:rPr>
              <w:t>投标人近三年无因投标申请人违约或不恰当履约引起的合同终止、纠纷、争议、仲裁和公诉纪录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中国裁判文书网（http://wenshu.court.gov.cn/）</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提供上一年度经审计的财务报告，或其基本开户银行出具的资信证明</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提供近半年依法缴纳税收和社会保障资金的材料：纳税证明、社保缴纳证明。</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（六）参加政府采购活动前3年内在经营活动中没有重大违法记录的声明函。</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w:t>
            </w:r>
            <w:r>
              <w:rPr>
                <w:rFonts w:hint="eastAsia" w:ascii="仿宋" w:hAnsi="仿宋" w:eastAsia="仿宋" w:cs="仿宋"/>
                <w:highlight w:val="none"/>
                <w:lang w:val="en-US" w:eastAsia="zh-CN"/>
              </w:rPr>
              <w:t>七</w:t>
            </w:r>
            <w:r>
              <w:rPr>
                <w:rFonts w:hint="eastAsia" w:ascii="仿宋" w:hAnsi="仿宋" w:eastAsia="仿宋" w:cs="仿宋"/>
                <w:highlight w:val="none"/>
              </w:rPr>
              <w:t>）</w:t>
            </w:r>
            <w:r>
              <w:rPr>
                <w:rFonts w:hint="eastAsia" w:ascii="仿宋" w:hAnsi="仿宋" w:eastAsia="仿宋" w:cs="仿宋"/>
                <w:highlight w:val="none"/>
                <w:lang w:val="en-US" w:eastAsia="zh-CN"/>
              </w:rPr>
              <w:t>本项目须提供反商业贿赂承诺书原件。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（八）单位负责人为同一人或者存在直接控股、管理关系的不同供应商，厂家及其代理商，不得参加同一合同项下的政府采购活动。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w:t>
            </w:r>
            <w:r>
              <w:rPr>
                <w:rFonts w:hint="eastAsia" w:ascii="仿宋" w:hAnsi="仿宋" w:eastAsia="仿宋" w:cs="仿宋"/>
                <w:highlight w:val="none"/>
                <w:lang w:val="en-US" w:eastAsia="zh-CN"/>
              </w:rPr>
              <w:t>九</w:t>
            </w:r>
            <w:r>
              <w:rPr>
                <w:rFonts w:hint="eastAsia" w:ascii="仿宋" w:hAnsi="仿宋" w:eastAsia="仿宋" w:cs="仿宋"/>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投标保证金：</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 xml:space="preserve">             </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公司名称：新疆凌云天成工程管理咨询有限公司</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账号：8113701013600070647 </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开户行：中信银行乌鲁木齐河北路支行 </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行号：302881000115</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预算金额2%。</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第一包：10000元；大写：壹万元整</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第二包：16000元；大写：壹万陆仟元整</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投标保证金须在响应文件接收截止时间前缴纳。具体到账情况，由招标代理机构核实为准。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项目地址：</w:t>
            </w:r>
            <w:r>
              <w:rPr>
                <w:rFonts w:hint="eastAsia" w:ascii="仿宋" w:hAnsi="仿宋" w:eastAsia="仿宋" w:cs="仿宋"/>
                <w:color w:val="000000" w:themeColor="text1"/>
                <w:sz w:val="24"/>
                <w:highlight w:val="none"/>
                <w14:textFill>
                  <w14:solidFill>
                    <w14:schemeClr w14:val="tx1"/>
                  </w14:solidFill>
                </w14:textFill>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投标文件份数：</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开标一览表：一份（投标函、投标报价表)（单独密封）</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投标文件:一正、四副（投标文件签字或盖章要求：按照招标文件规定签字盖章，否则视为无效标，副本可为正本复印件。）；</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另附：投标文件电子版（PDF格式）光盘和U盘各1份，密封在开标一览表封袋中。</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封袋表面注明：开标一览表、投标文件；项目名称、投标单位名称、地址、邮政编码、联系人及联系电话，此封袋必须在开启处密封，并加盖投标人公章，与投标文件一同递交。否则整个投标文件将被视为不响应招标文件，而予以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装订要求：</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分册装订；投标文件采用死页胶装方式装订,装订应牢固、不易拆散和换页，活页装订将作为废标处理。</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投标文件需在骑缝处加盖公章，因标注不清而产生的一切后果由投标人自负。</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本次招标不退还投标文件，如未按要求提供后果自行负责。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p>
        </w:tc>
        <w:tc>
          <w:tcPr>
            <w:tcW w:w="8730" w:type="dxa"/>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投标文件递交时间：</w:t>
            </w:r>
            <w:r>
              <w:rPr>
                <w:rFonts w:hint="eastAsia" w:ascii="仿宋" w:hAnsi="仿宋" w:eastAsia="仿宋" w:cs="仿宋"/>
                <w:b/>
                <w:bCs/>
                <w:kern w:val="0"/>
                <w:sz w:val="24"/>
                <w:highlight w:val="none"/>
                <w:lang w:val="zh-CN"/>
              </w:rPr>
              <w:t>20</w:t>
            </w: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lang w:val="zh-CN"/>
              </w:rPr>
              <w:t>年</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lang w:val="zh-CN"/>
              </w:rPr>
              <w:t>月</w:t>
            </w:r>
            <w:r>
              <w:rPr>
                <w:rFonts w:hint="eastAsia" w:ascii="仿宋" w:hAnsi="仿宋" w:eastAsia="仿宋" w:cs="仿宋"/>
                <w:b/>
                <w:bCs/>
                <w:kern w:val="0"/>
                <w:sz w:val="24"/>
                <w:highlight w:val="none"/>
                <w:lang w:val="en-US" w:eastAsia="zh-CN"/>
              </w:rPr>
              <w:t>15</w:t>
            </w:r>
            <w:r>
              <w:rPr>
                <w:rFonts w:hint="eastAsia" w:ascii="仿宋" w:hAnsi="仿宋" w:eastAsia="仿宋" w:cs="仿宋"/>
                <w:b/>
                <w:bCs/>
                <w:kern w:val="0"/>
                <w:sz w:val="24"/>
                <w:highlight w:val="none"/>
                <w:lang w:val="zh-CN"/>
              </w:rPr>
              <w:t>日</w:t>
            </w:r>
            <w:r>
              <w:rPr>
                <w:rFonts w:hint="eastAsia" w:ascii="仿宋" w:hAnsi="仿宋" w:eastAsia="仿宋" w:cs="仿宋"/>
                <w:b/>
                <w:bCs/>
                <w:kern w:val="0"/>
                <w:sz w:val="24"/>
                <w:highlight w:val="none"/>
                <w:lang w:val="en-US" w:eastAsia="zh-CN"/>
              </w:rPr>
              <w:t>下</w:t>
            </w:r>
            <w:r>
              <w:rPr>
                <w:rFonts w:hint="eastAsia" w:ascii="仿宋" w:hAnsi="仿宋" w:eastAsia="仿宋" w:cs="仿宋"/>
                <w:b/>
                <w:bCs/>
                <w:kern w:val="0"/>
                <w:sz w:val="24"/>
                <w:highlight w:val="none"/>
                <w:lang w:val="zh-CN"/>
              </w:rPr>
              <w:t>午1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lang w:val="zh-CN"/>
              </w:rPr>
              <w:t>：</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lang w:val="zh-CN"/>
              </w:rPr>
              <w:t>0</w:t>
            </w:r>
            <w:r>
              <w:rPr>
                <w:rFonts w:hint="eastAsia" w:ascii="仿宋" w:hAnsi="仿宋" w:eastAsia="仿宋" w:cs="仿宋"/>
                <w:kern w:val="0"/>
                <w:sz w:val="24"/>
                <w:highlight w:val="none"/>
                <w:lang w:val="zh-CN"/>
              </w:rPr>
              <w:t>（北京时间）</w:t>
            </w:r>
            <w:r>
              <w:rPr>
                <w:rFonts w:hint="eastAsia" w:ascii="仿宋" w:hAnsi="仿宋" w:eastAsia="仿宋" w:cs="仿宋"/>
                <w:sz w:val="24"/>
                <w:highlight w:val="none"/>
              </w:rPr>
              <w:t>止</w:t>
            </w:r>
            <w:r>
              <w:rPr>
                <w:rFonts w:hint="eastAsia" w:ascii="仿宋" w:hAnsi="仿宋" w:eastAsia="仿宋" w:cs="仿宋"/>
                <w:color w:val="000000" w:themeColor="text1"/>
                <w:sz w:val="24"/>
                <w:highlight w:val="none"/>
                <w14:textFill>
                  <w14:solidFill>
                    <w14:schemeClr w14:val="tx1"/>
                  </w14:solidFill>
                </w14:textFill>
              </w:rPr>
              <w:t>，之后所提交的文件将被拒绝接收。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投标文件有效期：</w:t>
            </w:r>
            <w:r>
              <w:rPr>
                <w:rFonts w:hint="eastAsia" w:ascii="仿宋" w:hAnsi="仿宋" w:eastAsia="仿宋" w:cs="仿宋"/>
                <w:color w:val="000000" w:themeColor="text1"/>
                <w:sz w:val="24"/>
                <w:highlight w:val="none"/>
                <w14:textFill>
                  <w14:solidFill>
                    <w14:schemeClr w14:val="tx1"/>
                  </w14:solidFill>
                </w14:textFill>
              </w:rPr>
              <w:t>自递交投标文件截止之日起90日。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评标委员会组成：</w:t>
            </w:r>
            <w:r>
              <w:rPr>
                <w:rFonts w:hint="eastAsia" w:ascii="仿宋" w:hAnsi="仿宋" w:eastAsia="仿宋" w:cs="仿宋"/>
                <w:color w:val="000000" w:themeColor="text1"/>
                <w:sz w:val="24"/>
                <w:highlight w:val="none"/>
                <w:u w:val="single"/>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人，其中采购人代表</w:t>
            </w:r>
            <w:r>
              <w:rPr>
                <w:rFonts w:hint="eastAsia" w:ascii="仿宋" w:hAnsi="仿宋" w:eastAsia="仿宋" w:cs="仿宋"/>
                <w:color w:val="000000" w:themeColor="text1"/>
                <w:sz w:val="24"/>
                <w:highlight w:val="none"/>
                <w:u w:val="singl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人,专家</w:t>
            </w:r>
            <w:r>
              <w:rPr>
                <w:rFonts w:hint="eastAsia" w:ascii="仿宋" w:hAnsi="仿宋" w:eastAsia="仿宋" w:cs="仿宋"/>
                <w:color w:val="000000" w:themeColor="text1"/>
                <w:sz w:val="24"/>
                <w:highlight w:val="none"/>
                <w:u w:val="single"/>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人；专家从政采云平台专家库随机抽取。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p>
        </w:tc>
        <w:tc>
          <w:tcPr>
            <w:tcW w:w="8730" w:type="dxa"/>
            <w:vAlign w:val="center"/>
          </w:tcPr>
          <w:p>
            <w:pPr>
              <w:keepNext w:val="0"/>
              <w:keepLines w:val="0"/>
              <w:suppressLineNumbers w:val="0"/>
              <w:spacing w:before="0" w:beforeAutospacing="0" w:after="0" w:afterAutospacing="0" w:line="360" w:lineRule="auto"/>
              <w:ind w:left="0" w:right="105" w:rightChars="50"/>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投标文件递交至：乌鲁木齐新市区北京南路高新街217号盈科广场B座2709室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8</w:t>
            </w:r>
          </w:p>
        </w:tc>
        <w:tc>
          <w:tcPr>
            <w:tcW w:w="8730" w:type="dxa"/>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val="0"/>
                <w:sz w:val="24"/>
                <w:highlight w:val="none"/>
              </w:rPr>
              <w:t>开标日期：</w:t>
            </w:r>
            <w:r>
              <w:rPr>
                <w:rFonts w:hint="eastAsia" w:ascii="仿宋" w:hAnsi="仿宋" w:eastAsia="仿宋" w:cs="仿宋"/>
                <w:b/>
                <w:bCs/>
                <w:kern w:val="0"/>
                <w:sz w:val="24"/>
                <w:highlight w:val="none"/>
                <w:lang w:val="zh-CN"/>
              </w:rPr>
              <w:t>20</w:t>
            </w: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lang w:val="zh-CN"/>
              </w:rPr>
              <w:t>年</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lang w:val="zh-CN"/>
              </w:rPr>
              <w:t>月</w:t>
            </w:r>
            <w:r>
              <w:rPr>
                <w:rFonts w:hint="eastAsia" w:ascii="仿宋" w:hAnsi="仿宋" w:eastAsia="仿宋" w:cs="仿宋"/>
                <w:b/>
                <w:bCs/>
                <w:kern w:val="0"/>
                <w:sz w:val="24"/>
                <w:highlight w:val="none"/>
                <w:lang w:val="en-US" w:eastAsia="zh-CN"/>
              </w:rPr>
              <w:t>15</w:t>
            </w:r>
            <w:r>
              <w:rPr>
                <w:rFonts w:hint="eastAsia" w:ascii="仿宋" w:hAnsi="仿宋" w:eastAsia="仿宋" w:cs="仿宋"/>
                <w:b/>
                <w:bCs/>
                <w:kern w:val="0"/>
                <w:sz w:val="24"/>
                <w:highlight w:val="none"/>
                <w:lang w:val="zh-CN"/>
              </w:rPr>
              <w:t>日</w:t>
            </w:r>
            <w:r>
              <w:rPr>
                <w:rFonts w:hint="eastAsia" w:ascii="仿宋" w:hAnsi="仿宋" w:eastAsia="仿宋" w:cs="仿宋"/>
                <w:b/>
                <w:bCs/>
                <w:kern w:val="0"/>
                <w:sz w:val="24"/>
                <w:highlight w:val="none"/>
                <w:lang w:val="en-US" w:eastAsia="zh-CN"/>
              </w:rPr>
              <w:t>下</w:t>
            </w:r>
            <w:r>
              <w:rPr>
                <w:rFonts w:hint="eastAsia" w:ascii="仿宋" w:hAnsi="仿宋" w:eastAsia="仿宋" w:cs="仿宋"/>
                <w:b/>
                <w:bCs/>
                <w:kern w:val="0"/>
                <w:sz w:val="24"/>
                <w:highlight w:val="none"/>
                <w:lang w:val="zh-CN"/>
              </w:rPr>
              <w:t>午1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lang w:val="zh-CN"/>
              </w:rPr>
              <w:t>：</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lang w:val="zh-CN"/>
              </w:rPr>
              <w:t>0</w:t>
            </w:r>
            <w:r>
              <w:rPr>
                <w:rFonts w:hint="eastAsia" w:ascii="仿宋" w:hAnsi="仿宋" w:eastAsia="仿宋" w:cs="仿宋"/>
                <w:b/>
                <w:bCs w:val="0"/>
                <w:kern w:val="0"/>
                <w:sz w:val="24"/>
                <w:highlight w:val="none"/>
                <w:lang w:val="zh-CN"/>
              </w:rPr>
              <w:t>（北京时间）</w:t>
            </w:r>
            <w:r>
              <w:rPr>
                <w:rFonts w:hint="eastAsia" w:ascii="仿宋" w:hAnsi="仿宋" w:eastAsia="仿宋" w:cs="仿宋"/>
                <w:color w:val="000000" w:themeColor="text1"/>
                <w:sz w:val="24"/>
                <w:highlight w:val="none"/>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9</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交货期：</w:t>
            </w: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合同签订后60天</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交货地点</w:t>
            </w:r>
            <w:r>
              <w:rPr>
                <w:rFonts w:hint="eastAsia" w:ascii="仿宋" w:hAnsi="仿宋" w:eastAsia="仿宋" w:cs="仿宋"/>
                <w:b w:val="0"/>
                <w:bCs/>
                <w:color w:val="000000" w:themeColor="text1"/>
                <w:sz w:val="24"/>
                <w:highlight w:val="none"/>
                <w:lang w:val="en-US" w:eastAsia="zh-CN"/>
                <w14:textFill>
                  <w14:solidFill>
                    <w14:schemeClr w14:val="tx1"/>
                  </w14:solidFill>
                </w14:textFill>
              </w:rPr>
              <w:t>：甲方指定地点</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highlight w:val="none"/>
                <w:lang w:val="en-US"/>
              </w:rPr>
            </w:pPr>
            <w:r>
              <w:rPr>
                <w:rFonts w:hint="eastAsia" w:ascii="仿宋" w:hAnsi="仿宋" w:eastAsia="仿宋" w:cs="仿宋"/>
                <w:b/>
                <w:color w:val="000000" w:themeColor="text1"/>
                <w:sz w:val="24"/>
                <w:highlight w:val="none"/>
                <w:lang w:val="en-US" w:eastAsia="zh-CN"/>
                <w14:textFill>
                  <w14:solidFill>
                    <w14:schemeClr w14:val="tx1"/>
                  </w14:solidFill>
                </w14:textFill>
              </w:rPr>
              <w:t>质保期</w:t>
            </w:r>
            <w:r>
              <w:rPr>
                <w:rFonts w:hint="eastAsia" w:ascii="仿宋" w:hAnsi="仿宋" w:eastAsia="仿宋" w:cs="仿宋"/>
                <w:b w:val="0"/>
                <w:bCs/>
                <w:color w:val="000000" w:themeColor="text1"/>
                <w:sz w:val="24"/>
                <w:highlight w:val="none"/>
                <w:lang w:val="en-US" w:eastAsia="zh-CN"/>
                <w14:textFill>
                  <w14:solidFill>
                    <w14:schemeClr w14:val="tx1"/>
                  </w14:solidFill>
                </w14:textFill>
              </w:rPr>
              <w:t>： 满足“第四部分 项目招标要求及说明”要求。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bCs/>
                <w:color w:val="auto"/>
                <w:sz w:val="24"/>
                <w:highlight w:val="none"/>
              </w:rPr>
              <w:t>付款方式：</w:t>
            </w:r>
            <w:r>
              <w:rPr>
                <w:rFonts w:hint="eastAsia" w:ascii="仿宋" w:hAnsi="仿宋" w:eastAsia="仿宋" w:cs="仿宋"/>
                <w:b/>
                <w:bCs/>
                <w:color w:val="auto"/>
                <w:sz w:val="24"/>
                <w:highlight w:val="none"/>
                <w:lang w:eastAsia="zh-CN"/>
              </w:rPr>
              <w:t>以正式签订合同为准。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1</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szCs w:val="21"/>
                <w:highlight w:val="none"/>
                <w14:textFill>
                  <w14:solidFill>
                    <w14:schemeClr w14:val="tx1"/>
                  </w14:solidFill>
                </w14:textFill>
              </w:rPr>
              <w:t>各供应商的调研费、差旅费等费用自理。</w:t>
            </w:r>
            <w:r>
              <w:rPr>
                <w:rFonts w:hint="eastAsia" w:ascii="仿宋" w:hAnsi="仿宋" w:eastAsia="仿宋" w:cs="仿宋"/>
                <w:bCs/>
                <w:color w:val="000000" w:themeColor="text1"/>
                <w:sz w:val="24"/>
                <w:highlight w:val="none"/>
                <w14:textFill>
                  <w14:solidFill>
                    <w14:schemeClr w14:val="tx1"/>
                  </w14:solidFill>
                </w14:textFill>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Cs/>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成交原则：</w:t>
            </w:r>
            <w:r>
              <w:rPr>
                <w:rFonts w:hint="eastAsia" w:ascii="仿宋" w:hAnsi="仿宋" w:eastAsia="仿宋" w:cs="仿宋"/>
                <w:bCs/>
                <w:color w:val="000000" w:themeColor="text1"/>
                <w:sz w:val="24"/>
                <w:szCs w:val="21"/>
                <w:highlight w:val="none"/>
                <w14:textFill>
                  <w14:solidFill>
                    <w14:schemeClr w14:val="tx1"/>
                  </w14:solidFill>
                </w14:textFill>
              </w:rPr>
              <w:t>本项目采用综合评分法。</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szCs w:val="21"/>
                <w:highlight w:val="none"/>
                <w14:textFill>
                  <w14:solidFill>
                    <w14:schemeClr w14:val="tx1"/>
                  </w14:solidFill>
                </w14:textFill>
              </w:rPr>
              <w:t>综合评分法，是指投标文件满足投标文件全部实质性要求且按评审因素的量化指标评审得分最高的供应商为成交候选供应商的评审方法。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合同签订：</w:t>
            </w:r>
            <w:r>
              <w:rPr>
                <w:rFonts w:hint="eastAsia" w:ascii="仿宋" w:hAnsi="仿宋" w:eastAsia="仿宋" w:cs="仿宋"/>
                <w:bCs/>
                <w:color w:val="000000" w:themeColor="text1"/>
                <w:sz w:val="24"/>
                <w:highlight w:val="none"/>
                <w14:textFill>
                  <w14:solidFill>
                    <w14:schemeClr w14:val="tx1"/>
                  </w14:solidFill>
                </w14:textFill>
              </w:rPr>
              <w:t>发出中标通知书 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24</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t>最高限价：</w:t>
            </w:r>
          </w:p>
          <w:p>
            <w:pPr>
              <w:pStyle w:val="2"/>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t>第一包：</w:t>
            </w:r>
          </w:p>
          <w:tbl>
            <w:tblPr>
              <w:tblStyle w:val="15"/>
              <w:tblW w:w="795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3450"/>
              <w:gridCol w:w="1080"/>
              <w:gridCol w:w="129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进口/国产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测汞仪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火焰光度计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试剂柜（带双锁）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立式高压蒸汽灭菌器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超低温冰箱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乳脂离心机（含盖勃管16根）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21760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麦氏比浊仪（细菌浊度计）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分光光度计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红外线灭菌器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507740</w:t>
                  </w:r>
                </w:p>
              </w:tc>
            </w:tr>
          </w:tbl>
          <w:p>
            <w:pPr>
              <w:pStyle w:val="2"/>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pPr>
          </w:p>
          <w:p>
            <w:pPr>
              <w:pStyle w:val="2"/>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1"/>
                <w:highlight w:val="none"/>
                <w:lang w:val="en-US" w:eastAsia="zh-CN"/>
                <w14:textFill>
                  <w14:solidFill>
                    <w14:schemeClr w14:val="tx1"/>
                  </w14:solidFill>
                </w14:textFill>
              </w:rPr>
              <w:t>第二包：</w:t>
            </w:r>
          </w:p>
          <w:tbl>
            <w:tblPr>
              <w:tblStyle w:val="15"/>
              <w:tblW w:w="795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3450"/>
              <w:gridCol w:w="1080"/>
              <w:gridCol w:w="129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进口/国产</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数量（个）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全自动凯氏定氮仪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进口</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高灵敏度双扫描荧光检测器主机Waters2475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进口</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十万分之一电子天平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进口</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820000</w:t>
                  </w:r>
                </w:p>
              </w:tc>
            </w:tr>
          </w:tbl>
          <w:p>
            <w:pPr>
              <w:pStyle w:val="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pPr>
              <w:pStyle w:val="2"/>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说明：投标报价不得超过最高限价（包含分项报价及总报价）。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p>
        </w:tc>
        <w:tc>
          <w:tcPr>
            <w:tcW w:w="873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特别说明：</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2、采购人若发现成交候选人在竞标过程中提供虚假证明文件，故意隐瞒公司不良信誉和财务状况，以及存在可能对合同圆满履行造成风险的其他因素等，则按规定取消其成交资格，监管部门依法进行处理。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730" w:type="dxa"/>
            <w:gridSpan w:val="2"/>
            <w:vAlign w:val="top"/>
          </w:tcPr>
          <w:p>
            <w:pPr>
              <w:keepNext w:val="0"/>
              <w:keepLines w:val="0"/>
              <w:widowControl w:val="0"/>
              <w:suppressLineNumbers w:val="0"/>
              <w:spacing w:before="0" w:beforeAutospacing="0" w:after="0" w:afterAutospacing="0" w:line="360" w:lineRule="auto"/>
              <w:ind w:left="0" w:right="0" w:firstLine="470" w:firstLineChars="196"/>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kern w:val="2"/>
                <w:sz w:val="24"/>
                <w:szCs w:val="24"/>
                <w:highlight w:val="none"/>
                <w:lang w:val="en-US" w:eastAsia="zh-CN" w:bidi="ar"/>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730" w:type="dxa"/>
            <w:gridSpan w:val="2"/>
            <w:vAlign w:val="top"/>
          </w:tcPr>
          <w:p>
            <w:pPr>
              <w:keepNext w:val="0"/>
              <w:keepLines w:val="0"/>
              <w:widowControl w:val="0"/>
              <w:suppressLineNumbers w:val="0"/>
              <w:spacing w:before="0" w:beforeAutospacing="0" w:after="0" w:afterAutospacing="0" w:line="360" w:lineRule="auto"/>
              <w:ind w:left="0" w:right="0" w:firstLine="472" w:firstLineChars="196"/>
              <w:jc w:val="both"/>
              <w:rPr>
                <w:rFonts w:hint="eastAsia" w:ascii="仿宋" w:hAnsi="仿宋" w:eastAsia="仿宋" w:cs="仿宋"/>
                <w:kern w:val="2"/>
                <w:sz w:val="24"/>
                <w:szCs w:val="24"/>
                <w:highlight w:val="none"/>
                <w:lang w:val="en-US" w:eastAsia="zh-CN" w:bidi="ar"/>
              </w:rPr>
            </w:pPr>
            <w:bookmarkStart w:id="11" w:name="_Toc20870"/>
            <w:bookmarkStart w:id="12" w:name="_Toc21138"/>
            <w:r>
              <w:rPr>
                <w:rFonts w:hint="eastAsia" w:ascii="仿宋" w:hAnsi="仿宋" w:eastAsia="仿宋" w:cs="仿宋"/>
                <w:b/>
                <w:bCs/>
                <w:kern w:val="2"/>
                <w:sz w:val="24"/>
                <w:szCs w:val="24"/>
                <w:highlight w:val="none"/>
                <w:lang w:val="en-US" w:eastAsia="zh-CN" w:bidi="ar"/>
              </w:rPr>
              <w:t>开标时监督人资格审查内容：★开标时须随身单独携带：</w:t>
            </w:r>
            <w:r>
              <w:rPr>
                <w:rFonts w:hint="eastAsia" w:ascii="仿宋" w:hAnsi="仿宋" w:eastAsia="仿宋" w:cs="仿宋"/>
                <w:kern w:val="2"/>
                <w:sz w:val="24"/>
                <w:szCs w:val="24"/>
                <w:highlight w:val="none"/>
                <w:lang w:val="en-US" w:eastAsia="zh-CN" w:bidi="ar"/>
              </w:rPr>
              <w:t>1.法人代表授权委托书原件及被授权人身份证原件；2.营业执照复印件；3.投标保证金收据原件；4.信用中国”上失信被执行人查询名单、</w:t>
            </w:r>
            <w:r>
              <w:rPr>
                <w:rFonts w:hint="eastAsia" w:ascii="仿宋" w:hAnsi="仿宋" w:eastAsia="仿宋" w:cs="仿宋"/>
                <w:color w:val="auto"/>
                <w:kern w:val="2"/>
                <w:sz w:val="24"/>
                <w:szCs w:val="24"/>
                <w:highlight w:val="none"/>
                <w:lang w:val="en-US" w:eastAsia="zh-CN" w:bidi="ar"/>
              </w:rPr>
              <w:t>重大税收违法失信主体名单</w:t>
            </w:r>
            <w:r>
              <w:rPr>
                <w:rFonts w:hint="eastAsia" w:ascii="仿宋" w:hAnsi="仿宋" w:eastAsia="仿宋" w:cs="仿宋"/>
                <w:kern w:val="2"/>
                <w:sz w:val="24"/>
                <w:szCs w:val="24"/>
                <w:highlight w:val="none"/>
                <w:lang w:val="en-US" w:eastAsia="zh-CN" w:bidi="ar"/>
              </w:rPr>
              <w:t>、政府采购严重违法失信行为记录查询结果（以上复印件需加盖单位公章）。</w:t>
            </w:r>
          </w:p>
          <w:p>
            <w:pPr>
              <w:keepNext w:val="0"/>
              <w:keepLines w:val="0"/>
              <w:widowControl w:val="0"/>
              <w:suppressLineNumbers w:val="0"/>
              <w:spacing w:before="0" w:beforeAutospacing="0" w:after="0" w:afterAutospacing="0" w:line="360" w:lineRule="auto"/>
              <w:ind w:left="0" w:right="0" w:firstLine="472" w:firstLineChars="196"/>
              <w:jc w:val="both"/>
              <w:rPr>
                <w:rFonts w:hint="eastAsia" w:ascii="仿宋" w:hAnsi="仿宋" w:eastAsia="仿宋" w:cs="仿宋"/>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以上资料开标时少带或不带，将视为监督人资格审查不通过，监督人资格审查未通过不进行下一项评审。</w:t>
            </w:r>
          </w:p>
        </w:tc>
      </w:tr>
    </w:tbl>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一、总</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则</w:t>
      </w:r>
      <w:bookmarkEnd w:id="11"/>
      <w:bookmarkEnd w:id="12"/>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13" w:name="_Toc3132"/>
      <w:r>
        <w:rPr>
          <w:rFonts w:hint="eastAsia" w:ascii="仿宋" w:hAnsi="仿宋" w:eastAsia="仿宋" w:cs="仿宋"/>
          <w:b/>
          <w:bCs/>
          <w:color w:val="000000" w:themeColor="text1"/>
          <w:sz w:val="24"/>
          <w:highlight w:val="none"/>
          <w14:textFill>
            <w14:solidFill>
              <w14:schemeClr w14:val="tx1"/>
            </w14:solidFill>
          </w14:textFill>
        </w:rPr>
        <w:t>（一）采购方式</w:t>
      </w:r>
      <w:bookmarkEnd w:id="13"/>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本项目采取公开招标方式采购。</w:t>
      </w:r>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14" w:name="_Toc23200"/>
      <w:r>
        <w:rPr>
          <w:rFonts w:hint="eastAsia" w:ascii="仿宋" w:hAnsi="仿宋" w:eastAsia="仿宋" w:cs="仿宋"/>
          <w:b/>
          <w:bCs/>
          <w:color w:val="000000" w:themeColor="text1"/>
          <w:sz w:val="24"/>
          <w:highlight w:val="none"/>
          <w14:textFill>
            <w14:solidFill>
              <w14:schemeClr w14:val="tx1"/>
            </w14:solidFill>
          </w14:textFill>
        </w:rPr>
        <w:t>（二）合格的投标人</w:t>
      </w:r>
      <w:bookmarkEnd w:id="14"/>
    </w:p>
    <w:p>
      <w:pPr>
        <w:spacing w:line="360" w:lineRule="auto"/>
        <w:ind w:firstLine="480" w:firstLineChars="200"/>
        <w:jc w:val="left"/>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1、合格的投标人必须是</w:t>
      </w:r>
      <w:r>
        <w:rPr>
          <w:rFonts w:hint="eastAsia" w:ascii="仿宋" w:hAnsi="仿宋" w:eastAsia="仿宋" w:cs="仿宋"/>
          <w:bCs/>
          <w:color w:val="000000" w:themeColor="text1"/>
          <w:sz w:val="24"/>
          <w:highlight w:val="none"/>
          <w14:textFill>
            <w14:solidFill>
              <w14:schemeClr w14:val="tx1"/>
            </w14:solidFill>
          </w14:textFill>
        </w:rPr>
        <w:t>具有独立法人资格且营业执照在有效期内，并且</w:t>
      </w:r>
      <w:r>
        <w:rPr>
          <w:rFonts w:hint="eastAsia" w:ascii="仿宋" w:hAnsi="仿宋" w:eastAsia="仿宋" w:cs="仿宋"/>
          <w:color w:val="000000" w:themeColor="text1"/>
          <w:sz w:val="24"/>
          <w:highlight w:val="none"/>
          <w14:textFill>
            <w14:solidFill>
              <w14:schemeClr w14:val="tx1"/>
            </w14:solidFill>
          </w14:textFill>
        </w:rPr>
        <w:t>有能力按照本招标文件规定的要求提供服务，且具有独立承担民事等法律责任的法人或其它经济组织，</w:t>
      </w:r>
      <w:r>
        <w:rPr>
          <w:rFonts w:hint="eastAsia" w:ascii="仿宋" w:hAnsi="仿宋" w:eastAsia="仿宋" w:cs="仿宋"/>
          <w:color w:val="000000" w:themeColor="text1"/>
          <w:sz w:val="24"/>
          <w:highlight w:val="none"/>
          <w:u w:val="single"/>
          <w14:textFill>
            <w14:solidFill>
              <w14:schemeClr w14:val="tx1"/>
            </w14:solidFill>
          </w14:textFill>
        </w:rPr>
        <w:t>本次招标不接受联合体投标。</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2、合格的投标人必须具有良好的商业信誉和健全的财务会计制度，符合招标文件中供应商资格要求的规定，具有履行合同所必需的设备和专业技术能力，成交后不允许分包、转包。</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3、合格的投标人必须是参加本次政府采购活动前三年内，在经营活动中没有重大违法违规记录，且有依法缴纳税收和社会保障资金的良好记录。</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4、合格的投标人应遵守中华人民共和国《政府采购法》、《招标法》、《合同法》和《反不正当竞争法》等有关法律、法规。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bCs/>
          <w:color w:val="000000" w:themeColor="text1"/>
          <w:sz w:val="24"/>
          <w:highlight w:val="none"/>
          <w14:textFill>
            <w14:solidFill>
              <w14:schemeClr w14:val="tx1"/>
            </w14:solidFill>
          </w14:textFill>
        </w:rPr>
        <w:t>同一法定代表人的不同公司，参加同一标段的投标，其投标无效。</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15" w:name="_Toc14076"/>
      <w:r>
        <w:rPr>
          <w:rFonts w:hint="eastAsia" w:ascii="仿宋" w:hAnsi="仿宋" w:eastAsia="仿宋" w:cs="仿宋"/>
          <w:b/>
          <w:bCs/>
          <w:color w:val="000000" w:themeColor="text1"/>
          <w:sz w:val="24"/>
          <w:highlight w:val="none"/>
          <w14:textFill>
            <w14:solidFill>
              <w14:schemeClr w14:val="tx1"/>
            </w14:solidFill>
          </w14:textFill>
        </w:rPr>
        <w:t>（三）适用法律</w:t>
      </w:r>
      <w:bookmarkEnd w:id="15"/>
    </w:p>
    <w:p>
      <w:pPr>
        <w:pStyle w:val="1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本次评标及由本次评标产生的合同受中华人民共和国的相关法律、法规制约和保护。</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16" w:name="_Toc24127"/>
      <w:r>
        <w:rPr>
          <w:rFonts w:hint="eastAsia" w:ascii="仿宋" w:hAnsi="仿宋" w:eastAsia="仿宋" w:cs="仿宋"/>
          <w:b/>
          <w:bCs/>
          <w:color w:val="000000" w:themeColor="text1"/>
          <w:sz w:val="24"/>
          <w:highlight w:val="none"/>
          <w14:textFill>
            <w14:solidFill>
              <w14:schemeClr w14:val="tx1"/>
            </w14:solidFill>
          </w14:textFill>
        </w:rPr>
        <w:t>（四）招标费用</w:t>
      </w:r>
      <w:bookmarkEnd w:id="16"/>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投标人应自行承担所有参加评标有关的费用。</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17" w:name="_Toc15005"/>
      <w:r>
        <w:rPr>
          <w:rFonts w:hint="eastAsia" w:ascii="仿宋" w:hAnsi="仿宋" w:eastAsia="仿宋" w:cs="仿宋"/>
          <w:b/>
          <w:bCs/>
          <w:color w:val="000000" w:themeColor="text1"/>
          <w:sz w:val="24"/>
          <w:highlight w:val="none"/>
          <w14:textFill>
            <w14:solidFill>
              <w14:schemeClr w14:val="tx1"/>
            </w14:solidFill>
          </w14:textFill>
        </w:rPr>
        <w:t>（五）招标文件的约束力</w:t>
      </w:r>
      <w:bookmarkEnd w:id="17"/>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投标人一旦报名参加本项目投标，即被认为接受了本招标文件中的所有条件和规定。</w:t>
      </w:r>
    </w:p>
    <w:p>
      <w:pPr>
        <w:spacing w:line="360" w:lineRule="auto"/>
        <w:ind w:firstLine="562" w:firstLineChars="200"/>
        <w:jc w:val="left"/>
        <w:rPr>
          <w:rFonts w:hint="eastAsia" w:ascii="仿宋" w:hAnsi="仿宋" w:eastAsia="仿宋" w:cs="仿宋"/>
          <w:b/>
          <w:color w:val="000000" w:themeColor="text1"/>
          <w:sz w:val="28"/>
          <w:szCs w:val="28"/>
          <w:highlight w:val="none"/>
          <w14:textFill>
            <w14:solidFill>
              <w14:schemeClr w14:val="tx1"/>
            </w14:solidFill>
          </w14:textFill>
        </w:rPr>
      </w:pPr>
      <w:bookmarkStart w:id="18" w:name="_Toc26674"/>
      <w:bookmarkStart w:id="19" w:name="_Toc22908"/>
    </w:p>
    <w:p>
      <w:pPr>
        <w:spacing w:line="360" w:lineRule="auto"/>
        <w:ind w:firstLine="562" w:firstLineChars="200"/>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二、招标文件</w:t>
      </w:r>
      <w:bookmarkEnd w:id="18"/>
      <w:bookmarkEnd w:id="19"/>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20" w:name="_Toc8615"/>
      <w:r>
        <w:rPr>
          <w:rFonts w:hint="eastAsia" w:ascii="仿宋" w:hAnsi="仿宋" w:eastAsia="仿宋" w:cs="仿宋"/>
          <w:b/>
          <w:bCs/>
          <w:color w:val="000000" w:themeColor="text1"/>
          <w:sz w:val="24"/>
          <w:highlight w:val="none"/>
          <w14:textFill>
            <w14:solidFill>
              <w14:schemeClr w14:val="tx1"/>
            </w14:solidFill>
          </w14:textFill>
        </w:rPr>
        <w:t>（六）招标文件构成</w:t>
      </w:r>
      <w:bookmarkEnd w:id="20"/>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投标人须知；</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授予合同；</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项目招标要求及说明；</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投标文件格式。</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投标人获取招标文件后，应仔细检查招标文件页数和附件数量，如发现有缺漏，请及时与采购人联系补全。如果投标人不按上述要求操作而造成不良后果，采购人不承担责任。</w:t>
      </w:r>
    </w:p>
    <w:p>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21" w:name="_Toc22722"/>
      <w:r>
        <w:rPr>
          <w:rFonts w:hint="eastAsia" w:ascii="仿宋" w:hAnsi="仿宋" w:eastAsia="仿宋" w:cs="仿宋"/>
          <w:b/>
          <w:bCs/>
          <w:color w:val="000000" w:themeColor="text1"/>
          <w:sz w:val="24"/>
          <w:highlight w:val="none"/>
          <w14:textFill>
            <w14:solidFill>
              <w14:schemeClr w14:val="tx1"/>
            </w14:solidFill>
          </w14:textFill>
        </w:rPr>
        <w:t>（七）招标文件的</w:t>
      </w:r>
      <w:bookmarkEnd w:id="21"/>
      <w:r>
        <w:rPr>
          <w:rFonts w:hint="eastAsia" w:ascii="仿宋" w:hAnsi="仿宋" w:eastAsia="仿宋" w:cs="仿宋"/>
          <w:b/>
          <w:bCs/>
          <w:color w:val="000000" w:themeColor="text1"/>
          <w:sz w:val="24"/>
          <w:highlight w:val="none"/>
          <w14:textFill>
            <w14:solidFill>
              <w14:schemeClr w14:val="tx1"/>
            </w14:solidFill>
          </w14:textFill>
        </w:rPr>
        <w:t>澄清</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任何要求对招标文件澄清的投标人，均应在投标文件递交截止日10日之前按公告中的通讯地址，以书面形式（如信函、传真等）通知采购人，采购人对规定时间内收到的澄清要求以书面形式予以答复，答复不包括问题的来源。</w:t>
      </w:r>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22" w:name="_Toc19148"/>
      <w:r>
        <w:rPr>
          <w:rFonts w:hint="eastAsia" w:ascii="仿宋" w:hAnsi="仿宋" w:eastAsia="仿宋" w:cs="仿宋"/>
          <w:b/>
          <w:bCs/>
          <w:color w:val="000000" w:themeColor="text1"/>
          <w:sz w:val="24"/>
          <w:highlight w:val="none"/>
          <w14:textFill>
            <w14:solidFill>
              <w14:schemeClr w14:val="tx1"/>
            </w14:solidFill>
          </w14:textFill>
        </w:rPr>
        <w:t>（八）招标文件的修改</w:t>
      </w:r>
      <w:bookmarkEnd w:id="22"/>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1、在投标文件接收截止日期前，采购人可以更正公告或补充文件的形式对招标文件进行修改。</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4、代理机构发出的所有补充、修改和变更文件均作为招标文件的组成部分，与招标文件具有同等法律效力。</w:t>
      </w:r>
      <w:bookmarkStart w:id="23" w:name="_Toc7177"/>
      <w:bookmarkStart w:id="24" w:name="_Toc13840"/>
    </w:p>
    <w:p>
      <w:pPr>
        <w:spacing w:line="360" w:lineRule="auto"/>
        <w:ind w:firstLine="562" w:firstLineChars="200"/>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23"/>
      <w:bookmarkEnd w:id="24"/>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25" w:name="_Toc10740"/>
      <w:r>
        <w:rPr>
          <w:rFonts w:hint="eastAsia" w:ascii="仿宋" w:hAnsi="仿宋" w:eastAsia="仿宋" w:cs="仿宋"/>
          <w:b/>
          <w:bCs/>
          <w:color w:val="000000" w:themeColor="text1"/>
          <w:sz w:val="24"/>
          <w:highlight w:val="none"/>
          <w14:textFill>
            <w14:solidFill>
              <w14:schemeClr w14:val="tx1"/>
            </w14:solidFill>
          </w14:textFill>
        </w:rPr>
        <w:t>（九）投标文件的编制要求</w:t>
      </w:r>
      <w:bookmarkEnd w:id="25"/>
    </w:p>
    <w:p>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Fonts w:hint="eastAsia" w:ascii="仿宋" w:hAnsi="仿宋" w:eastAsia="仿宋" w:cs="仿宋"/>
          <w:color w:val="000000" w:themeColor="text1"/>
          <w:sz w:val="24"/>
          <w:highlight w:val="none"/>
          <w:u w:val="single"/>
          <w14:textFill>
            <w14:solidFill>
              <w14:schemeClr w14:val="tx1"/>
            </w14:solidFill>
          </w14:textFill>
        </w:rPr>
        <w:t>对同一标段以同一投标人名义，递送两套或以上的投标文件，其投标无效。</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26" w:name="_Toc21565"/>
      <w:r>
        <w:rPr>
          <w:rFonts w:hint="eastAsia" w:ascii="仿宋" w:hAnsi="仿宋" w:eastAsia="仿宋" w:cs="仿宋"/>
          <w:b/>
          <w:bCs/>
          <w:color w:val="000000" w:themeColor="text1"/>
          <w:sz w:val="24"/>
          <w:highlight w:val="none"/>
          <w14:textFill>
            <w14:solidFill>
              <w14:schemeClr w14:val="tx1"/>
            </w14:solidFill>
          </w14:textFill>
        </w:rPr>
        <w:t>（十）投标文件构成</w:t>
      </w:r>
      <w:bookmarkEnd w:id="2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bookmarkStart w:id="27" w:name="_Toc21791"/>
      <w:r>
        <w:rPr>
          <w:rFonts w:hint="eastAsia" w:ascii="仿宋" w:hAnsi="仿宋" w:eastAsia="仿宋" w:cs="仿宋"/>
          <w:color w:val="000000" w:themeColor="text1"/>
          <w:sz w:val="24"/>
          <w:highlight w:val="none"/>
          <w14:textFill>
            <w14:solidFill>
              <w14:schemeClr w14:val="tx1"/>
            </w14:solidFill>
          </w14:textFill>
        </w:rPr>
        <w:t>按照招标文件第</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部分 投标文件格式制作投标人需将投标文件按顺序编制目录和页码。</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（十一）投标文件格式</w:t>
      </w:r>
      <w:bookmarkEnd w:id="27"/>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投标人需按照上述投标文件构成顺序编制投标文件，并按招标文件中提供的格式填写投标函、授权委托书、报价一览表等材料。</w:t>
      </w:r>
    </w:p>
    <w:p>
      <w:pPr>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28" w:name="_Toc32746"/>
      <w:r>
        <w:rPr>
          <w:rFonts w:hint="eastAsia" w:ascii="仿宋" w:hAnsi="仿宋" w:eastAsia="仿宋" w:cs="仿宋"/>
          <w:b/>
          <w:bCs/>
          <w:color w:val="000000" w:themeColor="text1"/>
          <w:sz w:val="24"/>
          <w:highlight w:val="none"/>
          <w14:textFill>
            <w14:solidFill>
              <w14:schemeClr w14:val="tx1"/>
            </w14:solidFill>
          </w14:textFill>
        </w:rPr>
        <w:t>（十二）</w:t>
      </w:r>
      <w:r>
        <w:rPr>
          <w:rFonts w:hint="eastAsia" w:ascii="仿宋" w:hAnsi="仿宋" w:eastAsia="仿宋" w:cs="仿宋"/>
          <w:b/>
          <w:color w:val="000000" w:themeColor="text1"/>
          <w:sz w:val="24"/>
          <w:highlight w:val="none"/>
          <w14:textFill>
            <w14:solidFill>
              <w14:schemeClr w14:val="tx1"/>
            </w14:solidFill>
          </w14:textFill>
        </w:rPr>
        <w:t>中标服务费</w:t>
      </w:r>
      <w:bookmarkEnd w:id="28"/>
    </w:p>
    <w:p>
      <w:pPr>
        <w:pStyle w:val="21"/>
        <w:spacing w:line="360" w:lineRule="auto"/>
        <w:ind w:right="-13" w:rightChars="-6" w:firstLine="588" w:firstLineChars="24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成交人应向新疆凌云天成工程管理咨询有限公司交纳中标服务费。</w:t>
      </w:r>
      <w:bookmarkStart w:id="29" w:name="_Toc9968"/>
    </w:p>
    <w:p>
      <w:pPr>
        <w:pStyle w:val="21"/>
        <w:spacing w:line="360" w:lineRule="auto"/>
        <w:ind w:right="-13" w:rightChars="-6" w:firstLine="588" w:firstLineChars="24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取费标准例：</w:t>
      </w:r>
    </w:p>
    <w:p>
      <w:pPr>
        <w:pStyle w:val="21"/>
        <w:spacing w:line="360" w:lineRule="auto"/>
        <w:ind w:right="-13" w:rightChars="-6"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招标代理服务收费标准</w:t>
      </w:r>
    </w:p>
    <w:tbl>
      <w:tblPr>
        <w:tblStyle w:val="15"/>
        <w:tblW w:w="8388" w:type="dxa"/>
        <w:jc w:val="center"/>
        <w:tblLayout w:type="fixed"/>
        <w:tblCellMar>
          <w:top w:w="0" w:type="dxa"/>
          <w:left w:w="108" w:type="dxa"/>
          <w:bottom w:w="0" w:type="dxa"/>
          <w:right w:w="108" w:type="dxa"/>
        </w:tblCellMar>
      </w:tblPr>
      <w:tblGrid>
        <w:gridCol w:w="2445"/>
        <w:gridCol w:w="1981"/>
        <w:gridCol w:w="1981"/>
        <w:gridCol w:w="1981"/>
      </w:tblGrid>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    服务类型</w:t>
            </w:r>
          </w:p>
          <w:p>
            <w:pPr>
              <w:pStyle w:val="14"/>
              <w:keepNext w:val="0"/>
              <w:keepLines w:val="0"/>
              <w:suppressLineNumbers w:val="0"/>
              <w:spacing w:before="0" w:after="0" w:line="360" w:lineRule="auto"/>
              <w:ind w:left="0" w:right="0"/>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 xml:space="preserve">   费率 </w:t>
            </w:r>
          </w:p>
          <w:p>
            <w:pPr>
              <w:pStyle w:val="14"/>
              <w:keepNext w:val="0"/>
              <w:keepLines w:val="0"/>
              <w:suppressLineNumbers w:val="0"/>
              <w:spacing w:before="0" w:after="0" w:line="360" w:lineRule="auto"/>
              <w:ind w:left="0" w:right="0"/>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成交金额（万元）</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货物招标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服务招标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14:textFill>
                  <w14:solidFill>
                    <w14:schemeClr w14:val="tx1"/>
                  </w14:solidFill>
                </w14:textFill>
              </w:rPr>
              <w:t>工程招标</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100以下</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100-500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0.7%</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500-1000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0.45%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0.55%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1000-5000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0.35%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5000-10000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0.2%</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10000-100000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1000000以上</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0.01%</w:t>
            </w:r>
          </w:p>
        </w:tc>
      </w:tr>
    </w:tbl>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注：1.按本表费率计算的收费为招标代理服务全过程的收费基准价格，单独提供编制招标文件（有标底的含标底）服务的，可按规定标准的30%计收。 </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2.招标代理服务收费按差额定率累进法计算。例如：某工程招标代理业务成交金额为6000万元，计算招标代理服务收费额如下： </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100万元×1.0%=1万元</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（500-100）万元×0.7%=2.8万元</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（1000-500）×0.55%=2.75万元</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（5000-1000）×0.35%=14万元</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（6000-5000）×0.2%=2万元</w:t>
      </w:r>
    </w:p>
    <w:p>
      <w:pPr>
        <w:pStyle w:val="14"/>
        <w:autoSpaceDE w:val="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合计收费=1+2.8+2.75+14+2=22.55（万元）</w:t>
      </w:r>
    </w:p>
    <w:p>
      <w:pPr>
        <w:pStyle w:val="6"/>
        <w:numPr>
          <w:ilvl w:val="0"/>
          <w:numId w:val="2"/>
        </w:numP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投标保证金</w:t>
      </w:r>
      <w:bookmarkEnd w:id="29"/>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履约保证金</w:t>
      </w:r>
    </w:p>
    <w:p>
      <w:pPr>
        <w:numPr>
          <w:ilvl w:val="0"/>
          <w:numId w:val="0"/>
        </w:numPr>
        <w:rPr>
          <w:rFonts w:hint="eastAsia" w:ascii="仿宋" w:hAnsi="仿宋" w:eastAsia="仿宋" w:cs="仿宋"/>
          <w:highlight w:val="none"/>
        </w:rPr>
      </w:pPr>
    </w:p>
    <w:p>
      <w:pPr>
        <w:spacing w:line="360" w:lineRule="auto"/>
        <w:ind w:firstLine="482"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投标保证金</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1、投标人需提交投标保证金（投标保证金额、银行账号见前附表），并作为投标组成部分之一。</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2、对于未按要求提交投标保证金的，将被视为非响应性投标而予以拒绝。</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3、下列任何情况发生时，投标保证金将被没收:</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（1）投标人在投标有效期内撤回其投标文件的；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（2）成交人未在规定期限内及时签订项目合同的；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（3）其它违反政府采购法律法规的有关情况。</w:t>
      </w:r>
    </w:p>
    <w:p>
      <w:pPr>
        <w:pStyle w:val="6"/>
        <w:ind w:firstLine="482" w:firstLineChars="200"/>
        <w:rPr>
          <w:rFonts w:hint="eastAsia" w:ascii="仿宋" w:hAnsi="仿宋" w:eastAsia="仿宋" w:cs="仿宋"/>
          <w:highlight w:val="none"/>
        </w:rPr>
      </w:pPr>
      <w:r>
        <w:rPr>
          <w:rFonts w:hint="eastAsia" w:ascii="仿宋" w:hAnsi="仿宋" w:eastAsia="仿宋" w:cs="仿宋"/>
          <w:b/>
          <w:bCs/>
          <w:color w:val="000000" w:themeColor="text1"/>
          <w:sz w:val="24"/>
          <w:highlight w:val="none"/>
          <w:lang w:val="en-US" w:eastAsia="zh-CN"/>
          <w14:textFill>
            <w14:solidFill>
              <w14:schemeClr w14:val="tx1"/>
            </w14:solidFill>
          </w14:textFill>
        </w:rPr>
        <w:t>履约保证金</w:t>
      </w:r>
    </w:p>
    <w:p>
      <w:pPr>
        <w:pStyle w:val="6"/>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中标人投标保证金转为履约保证金，合同执行完毕之后退回，（需携带原始交款凭据、采购单位出具的“验收合格”证明资料、开户银行许可证复印件等资料办理退付手续）</w:t>
      </w:r>
    </w:p>
    <w:p>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bookmarkStart w:id="30" w:name="_Toc4057"/>
      <w:r>
        <w:rPr>
          <w:rFonts w:hint="eastAsia" w:ascii="仿宋" w:hAnsi="仿宋" w:eastAsia="仿宋" w:cs="仿宋"/>
          <w:b/>
          <w:bCs/>
          <w:color w:val="000000" w:themeColor="text1"/>
          <w:sz w:val="24"/>
          <w:highlight w:val="none"/>
          <w14:textFill>
            <w14:solidFill>
              <w14:schemeClr w14:val="tx1"/>
            </w14:solidFill>
          </w14:textFill>
        </w:rPr>
        <w:t>（十四）投标有效期</w:t>
      </w:r>
      <w:bookmarkEnd w:id="30"/>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1、投标有效期为招标文件规定的投标人提交投标文件截止之日起</w:t>
      </w:r>
      <w:r>
        <w:rPr>
          <w:rFonts w:hint="eastAsia" w:ascii="仿宋" w:hAnsi="仿宋" w:eastAsia="仿宋" w:cs="仿宋"/>
          <w:color w:val="000000" w:themeColor="text1"/>
          <w:sz w:val="24"/>
          <w:highlight w:val="none"/>
          <w:u w:val="single"/>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天。投标有效期不满足招标文件要求的将视为非响应性文件而予以拒绝。</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pacing w:line="360" w:lineRule="auto"/>
        <w:ind w:firstLine="236" w:firstLineChars="98"/>
        <w:jc w:val="left"/>
        <w:rPr>
          <w:rFonts w:hint="eastAsia" w:ascii="仿宋" w:hAnsi="仿宋" w:eastAsia="仿宋" w:cs="仿宋"/>
          <w:color w:val="000000" w:themeColor="text1"/>
          <w:sz w:val="24"/>
          <w:highlight w:val="none"/>
          <w14:textFill>
            <w14:solidFill>
              <w14:schemeClr w14:val="tx1"/>
            </w14:solidFill>
          </w14:textFill>
        </w:rPr>
      </w:pPr>
      <w:bookmarkStart w:id="31" w:name="_Toc32415"/>
      <w:r>
        <w:rPr>
          <w:rFonts w:hint="eastAsia" w:ascii="仿宋" w:hAnsi="仿宋" w:eastAsia="仿宋" w:cs="仿宋"/>
          <w:b/>
          <w:bCs/>
          <w:color w:val="000000" w:themeColor="text1"/>
          <w:sz w:val="24"/>
          <w:highlight w:val="none"/>
          <w14:textFill>
            <w14:solidFill>
              <w14:schemeClr w14:val="tx1"/>
            </w14:solidFill>
          </w14:textFill>
        </w:rPr>
        <w:t>（十五）投标文件份数和签署</w:t>
      </w:r>
      <w:bookmarkEnd w:id="31"/>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32" w:name="_Toc11128"/>
      <w:r>
        <w:rPr>
          <w:rFonts w:hint="eastAsia" w:ascii="仿宋" w:hAnsi="仿宋" w:eastAsia="仿宋" w:cs="仿宋"/>
          <w:color w:val="000000" w:themeColor="text1"/>
          <w:sz w:val="24"/>
          <w:highlight w:val="none"/>
          <w14:textFill>
            <w14:solidFill>
              <w14:schemeClr w14:val="tx1"/>
            </w14:solidFill>
          </w14:textFill>
        </w:rPr>
        <w:t>1、供应商应严格按照供应商须知的要求准备投标文件，每份招标文件封面显著处必须清楚地标明“正本”或“副本”字样。招标文件的正本和副本均需打印，正本和副本不符的，以正本为准。</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2、除供应商对错处做必要修改外，招标文件不得行间插字、涂改或增删，必要的修改处必须有供应商法人代表或其授权代表人签字并盖公章。</w:t>
      </w:r>
    </w:p>
    <w:p>
      <w:pPr>
        <w:spacing w:line="360" w:lineRule="auto"/>
        <w:ind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（十六）投标文件装订</w:t>
      </w:r>
      <w:bookmarkEnd w:id="32"/>
    </w:p>
    <w:p>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1、除特别说明外，全套投标文件的书面部分均使用A4规格纸张无线胶装方式装订，</w:t>
      </w:r>
      <w:r>
        <w:rPr>
          <w:rFonts w:hint="eastAsia" w:ascii="仿宋" w:hAnsi="仿宋" w:eastAsia="仿宋" w:cs="仿宋"/>
          <w:b/>
          <w:color w:val="000000" w:themeColor="text1"/>
          <w:sz w:val="24"/>
          <w:highlight w:val="none"/>
          <w14:textFill>
            <w14:solidFill>
              <w14:schemeClr w14:val="tx1"/>
            </w14:solidFill>
          </w14:textFill>
        </w:rPr>
        <w:t>不得采用活页夹等可随时拆换的方式装订。</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2、投标文件需在骑缝处加盖公章，因标注不清而产生的一切后果由投标人自负。</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3、投标人应按每个标段分别装订、标记、密封投标文件。</w:t>
      </w:r>
    </w:p>
    <w:p>
      <w:pPr>
        <w:spacing w:line="360" w:lineRule="auto"/>
        <w:ind w:firstLine="48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若投标文件未按第（十五）条款和第（十六）条款要求密封和加写标记，将作为无效标处理。</w:t>
      </w:r>
      <w:bookmarkStart w:id="33" w:name="_Toc10561"/>
      <w:bookmarkStart w:id="34" w:name="_Toc6236"/>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四、投标文件的递交</w:t>
      </w:r>
      <w:bookmarkEnd w:id="33"/>
      <w:bookmarkEnd w:id="34"/>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35" w:name="_Toc6804"/>
      <w:r>
        <w:rPr>
          <w:rFonts w:hint="eastAsia" w:ascii="仿宋" w:hAnsi="仿宋" w:eastAsia="仿宋" w:cs="仿宋"/>
          <w:b/>
          <w:bCs/>
          <w:color w:val="000000" w:themeColor="text1"/>
          <w:sz w:val="24"/>
          <w:highlight w:val="none"/>
          <w14:textFill>
            <w14:solidFill>
              <w14:schemeClr w14:val="tx1"/>
            </w14:solidFill>
          </w14:textFill>
        </w:rPr>
        <w:t>（十七）投标文件递交截止日期及方式</w:t>
      </w:r>
      <w:bookmarkEnd w:id="35"/>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1、投标文件必须在招标文件规定的递交截止时间前按投标人须知前附表要求提交，采购人对误投或过早启封概不负责。</w:t>
      </w:r>
    </w:p>
    <w:p>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2、采购代理机构将在招标文件规定的时间和地点组织评标会议。</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3、采购人可以通过修改招标文件酌情延长投标文件接收截止日期，在此情况下，投标人的所有权利和义务以及投标人受制约的截止日期均应以延长后新的截止日期为准。</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36" w:name="_Toc4020"/>
      <w:r>
        <w:rPr>
          <w:rFonts w:hint="eastAsia" w:ascii="仿宋" w:hAnsi="仿宋" w:eastAsia="仿宋" w:cs="仿宋"/>
          <w:b/>
          <w:bCs/>
          <w:color w:val="000000" w:themeColor="text1"/>
          <w:sz w:val="24"/>
          <w:highlight w:val="none"/>
          <w14:textFill>
            <w14:solidFill>
              <w14:schemeClr w14:val="tx1"/>
            </w14:solidFill>
          </w14:textFill>
        </w:rPr>
        <w:t>（十八）迟交的投标文件</w:t>
      </w:r>
      <w:bookmarkEnd w:id="36"/>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采购人将拒绝接收在规定的截止日期后递交的任何投标文件。</w:t>
      </w:r>
      <w:bookmarkStart w:id="37" w:name="_Toc213839733"/>
    </w:p>
    <w:p>
      <w:pPr>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38" w:name="_Toc31148"/>
      <w:r>
        <w:rPr>
          <w:rFonts w:hint="eastAsia" w:ascii="仿宋" w:hAnsi="仿宋" w:eastAsia="仿宋" w:cs="仿宋"/>
          <w:b/>
          <w:color w:val="000000" w:themeColor="text1"/>
          <w:sz w:val="24"/>
          <w:highlight w:val="none"/>
          <w14:textFill>
            <w14:solidFill>
              <w14:schemeClr w14:val="tx1"/>
            </w14:solidFill>
          </w14:textFill>
        </w:rPr>
        <w:t>（十九）投标文件的修改</w:t>
      </w:r>
      <w:bookmarkEnd w:id="37"/>
      <w:bookmarkEnd w:id="38"/>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投标人在递交投标文件截止时间之前，对所递交的投标文件可以补充、修改，补充、修改的内容为投标文件的组成部分，对投标人具有约束力。</w:t>
      </w:r>
      <w:bookmarkStart w:id="39" w:name="_Toc213839734"/>
    </w:p>
    <w:p>
      <w:pPr>
        <w:spacing w:line="360" w:lineRule="auto"/>
        <w:ind w:firstLine="198"/>
        <w:rPr>
          <w:rFonts w:hint="eastAsia" w:ascii="仿宋" w:hAnsi="仿宋" w:eastAsia="仿宋" w:cs="仿宋"/>
          <w:b/>
          <w:color w:val="000000" w:themeColor="text1"/>
          <w:sz w:val="28"/>
          <w:szCs w:val="28"/>
          <w:highlight w:val="none"/>
          <w14:textFill>
            <w14:solidFill>
              <w14:schemeClr w14:val="tx1"/>
            </w14:solidFill>
          </w14:textFill>
        </w:rPr>
      </w:pPr>
      <w:bookmarkStart w:id="40" w:name="_Toc16896"/>
      <w:bookmarkStart w:id="41" w:name="_Toc27048"/>
    </w:p>
    <w:p>
      <w:pPr>
        <w:spacing w:line="360" w:lineRule="auto"/>
        <w:ind w:firstLine="198"/>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五、无效标、废标条款</w:t>
      </w:r>
      <w:bookmarkEnd w:id="40"/>
      <w:bookmarkEnd w:id="41"/>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42" w:name="_Toc12860"/>
      <w:r>
        <w:rPr>
          <w:rFonts w:hint="eastAsia" w:ascii="仿宋" w:hAnsi="仿宋" w:eastAsia="仿宋" w:cs="仿宋"/>
          <w:b/>
          <w:bCs/>
          <w:color w:val="000000" w:themeColor="text1"/>
          <w:sz w:val="24"/>
          <w:highlight w:val="none"/>
          <w14:textFill>
            <w14:solidFill>
              <w14:schemeClr w14:val="tx1"/>
            </w14:solidFill>
          </w14:textFill>
        </w:rPr>
        <w:t>（二十）无效投标条款</w:t>
      </w:r>
      <w:bookmarkEnd w:id="42"/>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1、投标人资格不符合招标文件规定或未按规定提交资质证件的；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2、投标人未在规定的时间内提交投标保证金收据的；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3、投标文件签署、盖章不符合招标文件要求的；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4、投标文件出现重大偏差，未对招标文件进行实质性响应；</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5、被授权人不参加评标仪式及质询事宜的；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6、其它评标委员会认为有必要取消的投标；</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7、法律、法规规定的其他情况。</w:t>
      </w:r>
    </w:p>
    <w:p>
      <w:pPr>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43" w:name="_Toc26713"/>
      <w:r>
        <w:rPr>
          <w:rFonts w:hint="eastAsia" w:ascii="仿宋" w:hAnsi="仿宋" w:eastAsia="仿宋" w:cs="仿宋"/>
          <w:b/>
          <w:color w:val="000000" w:themeColor="text1"/>
          <w:sz w:val="24"/>
          <w:highlight w:val="none"/>
          <w14:textFill>
            <w14:solidFill>
              <w14:schemeClr w14:val="tx1"/>
            </w14:solidFill>
          </w14:textFill>
        </w:rPr>
        <w:t>（二十一）废标条款</w:t>
      </w:r>
      <w:bookmarkEnd w:id="43"/>
    </w:p>
    <w:p>
      <w:pPr>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1、符合专业条件的投标人或者对招标文件作实质响应的投标人不足三家的；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3、因重大变故，采购任务取消的。</w:t>
      </w:r>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44" w:name="_Toc18982"/>
      <w:r>
        <w:rPr>
          <w:rFonts w:hint="eastAsia" w:ascii="仿宋" w:hAnsi="仿宋" w:eastAsia="仿宋" w:cs="仿宋"/>
          <w:b/>
          <w:bCs/>
          <w:color w:val="000000" w:themeColor="text1"/>
          <w:sz w:val="24"/>
          <w:highlight w:val="none"/>
          <w14:textFill>
            <w14:solidFill>
              <w14:schemeClr w14:val="tx1"/>
            </w14:solidFill>
          </w14:textFill>
        </w:rPr>
        <w:t>（二十二）投标人不足三家情形处理</w:t>
      </w:r>
      <w:bookmarkEnd w:id="44"/>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如出现投标截止时间结束后参加的投标人不足三家的，采购单位应当报告财政部门，按照以下原则处理：</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有效投标人不足三家的，除采购任务取消外，可废标后重新组织采购。投标文件存在不合理条款的，采购公告时间及程序不符合规定的，应予以废标。</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在评标期间，出现符合条件的投标人或者对招标文件做出实质响应的投标人不足三家情形的，参照执行。</w:t>
      </w:r>
    </w:p>
    <w:p>
      <w:pPr>
        <w:snapToGrid w:val="0"/>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45" w:name="_Toc15683"/>
      <w:r>
        <w:rPr>
          <w:rFonts w:hint="eastAsia" w:ascii="仿宋" w:hAnsi="仿宋" w:eastAsia="仿宋" w:cs="仿宋"/>
          <w:b/>
          <w:bCs/>
          <w:color w:val="000000" w:themeColor="text1"/>
          <w:sz w:val="24"/>
          <w:highlight w:val="none"/>
          <w14:textFill>
            <w14:solidFill>
              <w14:schemeClr w14:val="tx1"/>
            </w14:solidFill>
          </w14:textFill>
        </w:rPr>
        <w:t>（二十三）取消成交候选人资格条款</w:t>
      </w:r>
      <w:bookmarkEnd w:id="45"/>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1、提供虚假材料谋取成交的；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2、采取不正当手段诋毁、排挤其他投标人的；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3、与采购人、其他投标人或者采购代理机构恶意串通的；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4、向采购人、采购代理机构行贿或者提供其他不正当利益的；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5、在规定的时间内未与采购人签订采购合同的；</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6、法律、法规规定的其他情况。</w:t>
      </w:r>
    </w:p>
    <w:p>
      <w:pPr>
        <w:spacing w:line="360" w:lineRule="auto"/>
        <w:ind w:firstLine="198"/>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46" w:name="_Toc18112"/>
      <w:bookmarkStart w:id="47" w:name="_Toc27538"/>
      <w:r>
        <w:rPr>
          <w:rFonts w:hint="eastAsia" w:ascii="仿宋" w:hAnsi="仿宋" w:eastAsia="仿宋" w:cs="仿宋"/>
          <w:b/>
          <w:color w:val="000000" w:themeColor="text1"/>
          <w:sz w:val="28"/>
          <w:szCs w:val="28"/>
          <w:highlight w:val="none"/>
          <w14:textFill>
            <w14:solidFill>
              <w14:schemeClr w14:val="tx1"/>
            </w14:solidFill>
          </w14:textFill>
        </w:rPr>
        <w:t>六、</w:t>
      </w:r>
      <w:bookmarkEnd w:id="39"/>
      <w:r>
        <w:rPr>
          <w:rFonts w:hint="eastAsia" w:ascii="仿宋" w:hAnsi="仿宋" w:eastAsia="仿宋" w:cs="仿宋"/>
          <w:b/>
          <w:color w:val="000000" w:themeColor="text1"/>
          <w:sz w:val="28"/>
          <w:szCs w:val="28"/>
          <w:highlight w:val="none"/>
          <w14:textFill>
            <w14:solidFill>
              <w14:schemeClr w14:val="tx1"/>
            </w14:solidFill>
          </w14:textFill>
        </w:rPr>
        <w:t>开标和评标</w:t>
      </w:r>
      <w:bookmarkEnd w:id="46"/>
      <w:bookmarkEnd w:id="47"/>
    </w:p>
    <w:p>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48" w:name="_Toc5660"/>
      <w:r>
        <w:rPr>
          <w:rFonts w:hint="eastAsia" w:ascii="仿宋" w:hAnsi="仿宋" w:eastAsia="仿宋" w:cs="仿宋"/>
          <w:b/>
          <w:bCs/>
          <w:color w:val="000000" w:themeColor="text1"/>
          <w:sz w:val="24"/>
          <w:highlight w:val="none"/>
          <w14:textFill>
            <w14:solidFill>
              <w14:schemeClr w14:val="tx1"/>
            </w14:solidFill>
          </w14:textFill>
        </w:rPr>
        <w:t>（二十四）开标程序</w:t>
      </w:r>
      <w:bookmarkEnd w:id="48"/>
    </w:p>
    <w:p>
      <w:pPr>
        <w:numPr>
          <w:ilvl w:val="0"/>
          <w:numId w:val="3"/>
        </w:numPr>
        <w:spacing w:line="360" w:lineRule="auto"/>
        <w:ind w:left="-60" w:leftChars="0" w:right="105" w:rightChars="50" w:firstLine="480" w:firstLineChars="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招标人将于投标须知前附表规定的时间和地点开标，开标由招标人或其委托的招标代理机构主持，邀请所有投标人参加。</w:t>
      </w:r>
      <w:r>
        <w:rPr>
          <w:rFonts w:hint="eastAsia" w:ascii="仿宋" w:hAnsi="仿宋" w:eastAsia="仿宋" w:cs="仿宋"/>
          <w:b/>
          <w:bCs w:val="0"/>
          <w:color w:val="000000" w:themeColor="text1"/>
          <w:sz w:val="24"/>
          <w:highlight w:val="none"/>
          <w14:textFill>
            <w14:solidFill>
              <w14:schemeClr w14:val="tx1"/>
            </w14:solidFill>
          </w14:textFill>
        </w:rPr>
        <w:t>投标人法定代表人或法定代表人委托的代理人必须到场参加开标。</w:t>
      </w:r>
    </w:p>
    <w:p>
      <w:pPr>
        <w:numPr>
          <w:ilvl w:val="0"/>
          <w:numId w:val="3"/>
        </w:numPr>
        <w:spacing w:line="360" w:lineRule="auto"/>
        <w:ind w:left="-60" w:leftChars="0" w:right="105" w:rightChars="50" w:firstLine="480" w:firstLineChars="0"/>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开标时监督人资格审查内容：★开标时须随身单独携带：1.法人代表授权委托书原件及被授权人身份证原件；2.营业执照复印件；3.投标保证金收据原件；4.信用中国”上失信被执行人查询名单、重大税收违法失信主体名单、政府采购严重违法失信行为记录查询结果（以上复印件需加盖单位公章）。</w:t>
      </w:r>
    </w:p>
    <w:p>
      <w:pPr>
        <w:numPr>
          <w:ilvl w:val="0"/>
          <w:numId w:val="3"/>
        </w:numPr>
        <w:spacing w:line="360" w:lineRule="auto"/>
        <w:ind w:left="-60" w:leftChars="0" w:right="105" w:rightChars="50" w:firstLine="480" w:firstLineChars="0"/>
        <w:rPr>
          <w:rFonts w:hint="eastAsia"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以上资料开标时少带或不带，将视为监督人资格审查不通过，监督人资格审查未通过不进行下一项评审。</w:t>
      </w:r>
    </w:p>
    <w:p>
      <w:pPr>
        <w:numPr>
          <w:ilvl w:val="0"/>
          <w:numId w:val="3"/>
        </w:numPr>
        <w:spacing w:line="360" w:lineRule="auto"/>
        <w:ind w:left="-60" w:leftChars="0" w:right="105" w:rightChars="50" w:firstLine="48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2.唱标时，投标文件中投</w:t>
      </w:r>
      <w:r>
        <w:rPr>
          <w:rFonts w:hint="eastAsia" w:ascii="仿宋" w:hAnsi="仿宋" w:eastAsia="仿宋" w:cs="仿宋"/>
          <w:color w:val="000000" w:themeColor="text1"/>
          <w:sz w:val="24"/>
          <w:highlight w:val="none"/>
          <w14:textFill>
            <w14:solidFill>
              <w14:schemeClr w14:val="tx1"/>
            </w14:solidFill>
          </w14:textFill>
        </w:rPr>
        <w:t>标报价表内容与投标文件正本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0"/>
          <w:numId w:val="3"/>
        </w:numPr>
        <w:spacing w:line="360" w:lineRule="auto"/>
        <w:ind w:left="-60" w:leftChars="0" w:firstLine="480" w:firstLineChars="0"/>
        <w:rPr>
          <w:rFonts w:hint="eastAsia" w:ascii="仿宋" w:hAnsi="仿宋" w:eastAsia="仿宋" w:cs="仿宋"/>
          <w:color w:val="000000" w:themeColor="text1"/>
          <w:sz w:val="24"/>
          <w:highlight w:val="none"/>
          <w14:textFill>
            <w14:solidFill>
              <w14:schemeClr w14:val="tx1"/>
            </w14:solidFill>
          </w14:textFill>
        </w:rPr>
      </w:pPr>
      <w:bookmarkStart w:id="49" w:name="_Toc20683"/>
      <w:r>
        <w:rPr>
          <w:rFonts w:hint="eastAsia" w:ascii="仿宋" w:hAnsi="仿宋" w:eastAsia="仿宋" w:cs="仿宋"/>
          <w:color w:val="000000" w:themeColor="text1"/>
          <w:sz w:val="24"/>
          <w:highlight w:val="none"/>
          <w14:textFill>
            <w14:solidFill>
              <w14:schemeClr w14:val="tx1"/>
            </w14:solidFill>
          </w14:textFill>
        </w:rPr>
        <w:t>项目开标结束后，采购人、采购代理机构或评标委员会应当依法对投标人的资格证明文件进行资格审查，资格审查未通过的，采购人将拒绝其投标文件。</w:t>
      </w:r>
    </w:p>
    <w:p>
      <w:pPr>
        <w:numPr>
          <w:ilvl w:val="0"/>
          <w:numId w:val="3"/>
        </w:numPr>
        <w:spacing w:line="360" w:lineRule="auto"/>
        <w:ind w:left="-60" w:leftChars="0" w:firstLine="48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无效的投标文件</w:t>
      </w:r>
    </w:p>
    <w:p>
      <w:pPr>
        <w:numPr>
          <w:ilvl w:val="0"/>
          <w:numId w:val="3"/>
        </w:numPr>
        <w:spacing w:line="360" w:lineRule="auto"/>
        <w:ind w:left="-60" w:leftChars="0" w:firstLine="48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开标时，投标文件出现下列情形之一的，应当作为无效投标文件，不得进入评标：</w:t>
      </w:r>
    </w:p>
    <w:p>
      <w:pPr>
        <w:numPr>
          <w:ilvl w:val="0"/>
          <w:numId w:val="0"/>
        </w:numPr>
        <w:spacing w:line="360" w:lineRule="auto"/>
        <w:ind w:left="420" w:lef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 投标文件未按照招标文件的要求予以密封的；</w:t>
      </w:r>
    </w:p>
    <w:p>
      <w:pPr>
        <w:numPr>
          <w:ilvl w:val="0"/>
          <w:numId w:val="0"/>
        </w:numPr>
        <w:spacing w:line="360" w:lineRule="auto"/>
        <w:ind w:left="420" w:lef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 投标文件未按规定时间送达的；</w:t>
      </w:r>
    </w:p>
    <w:p>
      <w:pPr>
        <w:numPr>
          <w:ilvl w:val="0"/>
          <w:numId w:val="0"/>
        </w:numPr>
        <w:spacing w:line="360" w:lineRule="auto"/>
        <w:ind w:left="420" w:lef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 投标人的法定代表人或委托代理人未参加开标会议的；</w:t>
      </w:r>
    </w:p>
    <w:p>
      <w:pPr>
        <w:numPr>
          <w:ilvl w:val="0"/>
          <w:numId w:val="0"/>
        </w:numPr>
        <w:spacing w:line="360" w:lineRule="auto"/>
        <w:ind w:left="420" w:lef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 投标人未按照招标文件要求提供投标保证金的；</w:t>
      </w:r>
    </w:p>
    <w:p>
      <w:pPr>
        <w:numPr>
          <w:ilvl w:val="0"/>
          <w:numId w:val="0"/>
        </w:numPr>
        <w:spacing w:line="360" w:lineRule="auto"/>
        <w:ind w:left="420" w:left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 按</w:t>
      </w:r>
      <w:r>
        <w:rPr>
          <w:rFonts w:hint="eastAsia" w:ascii="仿宋" w:hAnsi="仿宋" w:eastAsia="仿宋" w:cs="仿宋"/>
          <w:color w:val="000000" w:themeColor="text1"/>
          <w:sz w:val="24"/>
          <w:highlight w:val="none"/>
          <w:lang w:eastAsia="zh-CN"/>
          <w14:textFill>
            <w14:solidFill>
              <w14:schemeClr w14:val="tx1"/>
            </w14:solidFill>
          </w14:textFill>
        </w:rPr>
        <w:t>招标文件</w:t>
      </w:r>
      <w:r>
        <w:rPr>
          <w:rFonts w:hint="eastAsia" w:ascii="仿宋" w:hAnsi="仿宋" w:eastAsia="仿宋" w:cs="仿宋"/>
          <w:color w:val="000000" w:themeColor="text1"/>
          <w:sz w:val="24"/>
          <w:highlight w:val="none"/>
          <w14:textFill>
            <w14:solidFill>
              <w14:schemeClr w14:val="tx1"/>
            </w14:solidFill>
          </w14:textFill>
        </w:rPr>
        <w:t>规定及有效证件不齐全的投标人的投标文件。</w:t>
      </w:r>
    </w:p>
    <w:p>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（二十五）评标委员会</w:t>
      </w:r>
      <w:bookmarkEnd w:id="49"/>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采购单位根据本项目的特点，于开标前半天内，从评审专家库中随机抽取组建评标委员会，其组员由有关技术、经济等方面的专家等五人以上单数组成。评标委员会在监督人员的监督下独立完成评标工作，负责对投标文件进行审查、质询、评审、推选成交候选人。</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1、评标事务由评标委员会负责，并独立履行下列职责：</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bookmarkStart w:id="50" w:name="_Toc8651"/>
      <w:r>
        <w:rPr>
          <w:rFonts w:hint="eastAsia" w:ascii="仿宋" w:hAnsi="仿宋" w:eastAsia="仿宋" w:cs="仿宋"/>
          <w:color w:val="000000" w:themeColor="text1"/>
          <w:sz w:val="24"/>
          <w:highlight w:val="none"/>
          <w14:textFill>
            <w14:solidFill>
              <w14:schemeClr w14:val="tx1"/>
            </w14:solidFill>
          </w14:textFill>
        </w:rPr>
        <w:t>（a）审查投标文件是否符合本文件要求，并作出评价；</w:t>
      </w:r>
      <w:bookmarkEnd w:id="50"/>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（b）要求投标人对投标文件有关事项作出澄清或答复；</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bookmarkStart w:id="51" w:name="_Toc23504"/>
      <w:r>
        <w:rPr>
          <w:rFonts w:hint="eastAsia" w:ascii="仿宋" w:hAnsi="仿宋" w:eastAsia="仿宋" w:cs="仿宋"/>
          <w:color w:val="000000" w:themeColor="text1"/>
          <w:sz w:val="24"/>
          <w:highlight w:val="none"/>
          <w14:textFill>
            <w14:solidFill>
              <w14:schemeClr w14:val="tx1"/>
            </w14:solidFill>
          </w14:textFill>
        </w:rPr>
        <w:t>（c）推荐成交候选人名单，或者直接确定成交人；</w:t>
      </w:r>
      <w:bookmarkEnd w:id="51"/>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（d）向招标采购单位或者有关部门报告非法干预评标工作的行为。</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bookmarkStart w:id="52" w:name="_Toc22049"/>
      <w:r>
        <w:rPr>
          <w:rFonts w:hint="eastAsia" w:ascii="仿宋" w:hAnsi="仿宋" w:eastAsia="仿宋" w:cs="仿宋"/>
          <w:color w:val="000000" w:themeColor="text1"/>
          <w:sz w:val="24"/>
          <w:highlight w:val="none"/>
          <w14:textFill>
            <w14:solidFill>
              <w14:schemeClr w14:val="tx1"/>
            </w14:solidFill>
          </w14:textFill>
        </w:rPr>
        <w:t>2．评标委员会成员的义务</w:t>
      </w:r>
      <w:bookmarkEnd w:id="52"/>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（a）遵纪守法，客观、公正、廉洁地履行职责；</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（b）按照招标文件规定的评标方法和标准进行评标，对评审意见承担个人责任；</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bookmarkStart w:id="53" w:name="_Toc8126"/>
      <w:r>
        <w:rPr>
          <w:rFonts w:hint="eastAsia" w:ascii="仿宋" w:hAnsi="仿宋" w:eastAsia="仿宋" w:cs="仿宋"/>
          <w:color w:val="000000" w:themeColor="text1"/>
          <w:sz w:val="24"/>
          <w:highlight w:val="none"/>
          <w14:textFill>
            <w14:solidFill>
              <w14:schemeClr w14:val="tx1"/>
            </w14:solidFill>
          </w14:textFill>
        </w:rPr>
        <w:t>（c）对评标过程和结果，以及供应商的商业秘密保密；</w:t>
      </w:r>
      <w:bookmarkEnd w:id="53"/>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（d）参与评标报告的起草；</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（e）配合财政部门的投诉处理工作；</w:t>
      </w:r>
    </w:p>
    <w:p>
      <w:pPr>
        <w:spacing w:line="360" w:lineRule="auto"/>
        <w:ind w:left="713" w:leftChars="115" w:hanging="472" w:hanging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（f）配合招标采购单位答复投标人提出的质疑。</w:t>
      </w:r>
    </w:p>
    <w:p>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54" w:name="_Toc17454"/>
      <w:r>
        <w:rPr>
          <w:rFonts w:hint="eastAsia" w:ascii="仿宋" w:hAnsi="仿宋" w:eastAsia="仿宋" w:cs="仿宋"/>
          <w:b/>
          <w:bCs/>
          <w:color w:val="000000" w:themeColor="text1"/>
          <w:sz w:val="24"/>
          <w:highlight w:val="none"/>
          <w14:textFill>
            <w14:solidFill>
              <w14:schemeClr w14:val="tx1"/>
            </w14:solidFill>
          </w14:textFill>
        </w:rPr>
        <w:t>（二十六）评标原则</w:t>
      </w:r>
      <w:bookmarkEnd w:id="54"/>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“公开、公平、公正、客观、择优”为评标的基本原则，评标委员会将根据这一原则，公正、平等地对待各投标人。</w:t>
      </w:r>
    </w:p>
    <w:p>
      <w:pPr>
        <w:spacing w:line="360" w:lineRule="auto"/>
        <w:ind w:firstLine="482" w:firstLineChars="200"/>
        <w:rPr>
          <w:rFonts w:hint="eastAsia" w:ascii="仿宋" w:hAnsi="仿宋" w:eastAsia="仿宋" w:cs="仿宋"/>
          <w:b/>
          <w:bCs/>
          <w:color w:val="000000" w:themeColor="text1"/>
          <w:sz w:val="24"/>
          <w:highlight w:val="none"/>
          <w14:textFill>
            <w14:solidFill>
              <w14:schemeClr w14:val="tx1"/>
            </w14:solidFill>
          </w14:textFill>
        </w:rPr>
      </w:pPr>
      <w:bookmarkStart w:id="55" w:name="_Toc4667"/>
      <w:r>
        <w:rPr>
          <w:rFonts w:hint="eastAsia" w:ascii="仿宋" w:hAnsi="仿宋" w:eastAsia="仿宋" w:cs="仿宋"/>
          <w:b/>
          <w:bCs/>
          <w:color w:val="000000" w:themeColor="text1"/>
          <w:sz w:val="24"/>
          <w:highlight w:val="none"/>
          <w14:textFill>
            <w14:solidFill>
              <w14:schemeClr w14:val="tx1"/>
            </w14:solidFill>
          </w14:textFill>
        </w:rPr>
        <w:t>（二十七）评标程序</w:t>
      </w:r>
      <w:bookmarkEnd w:id="55"/>
    </w:p>
    <w:p>
      <w:pPr>
        <w:spacing w:line="360" w:lineRule="auto"/>
        <w:ind w:firstLine="480"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评标委员会首先对各投标文件进行初步评审，初步审查包括资格性审查和符合性审查，未通过审查的为无效标。</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⑴资格性检查：评标委员会将根据法律法规和招标文件的规定，对投标文件的资格证明文件、投标保证金等进行审查，以确定投标人是否具备招标资格。</w:t>
      </w:r>
    </w:p>
    <w:p>
      <w:pPr>
        <w:widowControl/>
        <w:tabs>
          <w:tab w:val="left" w:pos="540"/>
        </w:tabs>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⑵符合性检查：依据招标文件的规定，从投标文件的有效性、完整性和对招标文件的响应程度进行审查，以确定是否对招标文件的要求作出了实质性的响应。</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2、评标委员会判断“投标文件”的响应性，仅基于“投标文件”本身而不靠外部证据。非实质性响应的投标文件，投标人不能通过修正或撤销不符之处，而使其成为实质性响应。</w:t>
      </w:r>
      <w:r>
        <w:rPr>
          <w:rFonts w:hint="eastAsia" w:ascii="仿宋" w:hAnsi="仿宋" w:eastAsia="仿宋" w:cs="仿宋"/>
          <w:b/>
          <w:color w:val="000000" w:themeColor="text1"/>
          <w:sz w:val="24"/>
          <w:highlight w:val="none"/>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9"/>
        <w:tabs>
          <w:tab w:val="left" w:pos="1260"/>
        </w:tabs>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3、评标委员会根据招标文件要求，讨论、通过评标工作流程和评标要点。</w:t>
      </w:r>
    </w:p>
    <w:p>
      <w:pPr>
        <w:pStyle w:val="9"/>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4、围绕评标要点，评标委员会全体成员按招标文件中规定的评标方法和标准，对资格性检查和符合性检查合格的投标文件进行商务和技术评估，综合比较与评价。</w:t>
      </w:r>
    </w:p>
    <w:p>
      <w:pPr>
        <w:pStyle w:val="9"/>
        <w:spacing w:line="360" w:lineRule="auto"/>
        <w:ind w:firstLine="477" w:firstLineChars="199"/>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5、评标过程出现异议的，由评标委员会共同商讨决定，需要投标人澄清的，评标委员会将以书面形式通知投标人。</w:t>
      </w:r>
    </w:p>
    <w:p>
      <w:pPr>
        <w:pStyle w:val="9"/>
        <w:spacing w:line="360" w:lineRule="auto"/>
        <w:rPr>
          <w:rFonts w:hint="eastAsia" w:ascii="仿宋" w:hAnsi="仿宋" w:eastAsia="仿宋" w:cs="仿宋"/>
          <w:b/>
          <w:color w:val="000000" w:themeColor="text1"/>
          <w:sz w:val="24"/>
          <w:szCs w:val="24"/>
          <w:highlight w:val="none"/>
          <w14:textFill>
            <w14:solidFill>
              <w14:schemeClr w14:val="tx1"/>
            </w14:solidFill>
          </w14:textFill>
        </w:rPr>
      </w:pPr>
      <w:bookmarkStart w:id="56" w:name="_Toc30825"/>
      <w:r>
        <w:rPr>
          <w:rFonts w:hint="eastAsia" w:ascii="仿宋" w:hAnsi="仿宋" w:eastAsia="仿宋" w:cs="仿宋"/>
          <w:b/>
          <w:color w:val="000000" w:themeColor="text1"/>
          <w:sz w:val="24"/>
          <w:szCs w:val="24"/>
          <w:highlight w:val="none"/>
          <w14:textFill>
            <w14:solidFill>
              <w14:schemeClr w14:val="tx1"/>
            </w14:solidFill>
          </w14:textFill>
        </w:rPr>
        <w:t>（二十八）中标候选人</w:t>
      </w:r>
      <w:bookmarkEnd w:id="56"/>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1、评标委员会统一签署评标汇总表，按综合得分高低推荐成交候选人或者确定成交人。得分相同的，以报价低的为优先中标候选人。</w:t>
      </w:r>
    </w:p>
    <w:p>
      <w:pPr>
        <w:pStyle w:val="9"/>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2、评标委员会</w:t>
      </w:r>
      <w:r>
        <w:rPr>
          <w:rFonts w:hint="eastAsia" w:ascii="仿宋" w:hAnsi="仿宋" w:eastAsia="仿宋" w:cs="仿宋"/>
          <w:b/>
          <w:color w:val="000000" w:themeColor="text1"/>
          <w:sz w:val="24"/>
          <w:szCs w:val="24"/>
          <w:highlight w:val="none"/>
          <w14:textFill>
            <w14:solidFill>
              <w14:schemeClr w14:val="tx1"/>
            </w14:solidFill>
          </w14:textFill>
        </w:rPr>
        <w:t>认为成交候选人投标价或某些分项报价明显不合理或低于成本</w:t>
      </w:r>
      <w:r>
        <w:rPr>
          <w:rFonts w:hint="eastAsia" w:ascii="仿宋" w:hAnsi="仿宋" w:eastAsia="仿宋" w:cs="仿宋"/>
          <w:color w:val="000000" w:themeColor="text1"/>
          <w:sz w:val="24"/>
          <w:szCs w:val="24"/>
          <w:highlight w:val="none"/>
          <w14:textFill>
            <w14:solidFill>
              <w14:schemeClr w14:val="tx1"/>
            </w14:solidFill>
          </w14:textFill>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仿宋" w:hAnsi="仿宋" w:eastAsia="仿宋" w:cs="仿宋"/>
          <w:b/>
          <w:color w:val="000000" w:themeColor="text1"/>
          <w:sz w:val="24"/>
          <w:highlight w:val="none"/>
          <w14:textFill>
            <w14:solidFill>
              <w14:schemeClr w14:val="tx1"/>
            </w14:solidFill>
          </w14:textFill>
        </w:rPr>
        <w:t>为保证本项目产品质量、良好的售后服务，最低报价不作为中标的唯一依据。</w:t>
      </w:r>
    </w:p>
    <w:p>
      <w:pPr>
        <w:spacing w:line="360" w:lineRule="auto"/>
        <w:rPr>
          <w:rFonts w:hint="eastAsia" w:ascii="仿宋" w:hAnsi="仿宋" w:eastAsia="仿宋" w:cs="仿宋"/>
          <w:b/>
          <w:color w:val="000000" w:themeColor="text1"/>
          <w:sz w:val="24"/>
          <w:highlight w:val="none"/>
          <w14:textFill>
            <w14:solidFill>
              <w14:schemeClr w14:val="tx1"/>
            </w14:solidFill>
          </w14:textFill>
        </w:rPr>
      </w:pPr>
      <w:bookmarkStart w:id="57" w:name="_Toc213839741"/>
      <w:bookmarkStart w:id="58" w:name="_Toc3468"/>
      <w:r>
        <w:rPr>
          <w:rFonts w:hint="eastAsia" w:ascii="仿宋" w:hAnsi="仿宋" w:eastAsia="仿宋" w:cs="仿宋"/>
          <w:b/>
          <w:color w:val="000000" w:themeColor="text1"/>
          <w:sz w:val="24"/>
          <w:highlight w:val="none"/>
          <w14:textFill>
            <w14:solidFill>
              <w14:schemeClr w14:val="tx1"/>
            </w14:solidFill>
          </w14:textFill>
        </w:rPr>
        <w:t>（二十九）评标过程</w:t>
      </w:r>
      <w:bookmarkEnd w:id="57"/>
      <w:r>
        <w:rPr>
          <w:rFonts w:hint="eastAsia" w:ascii="仿宋" w:hAnsi="仿宋" w:eastAsia="仿宋" w:cs="仿宋"/>
          <w:b/>
          <w:color w:val="000000" w:themeColor="text1"/>
          <w:sz w:val="24"/>
          <w:highlight w:val="none"/>
          <w14:textFill>
            <w14:solidFill>
              <w14:schemeClr w14:val="tx1"/>
            </w14:solidFill>
          </w14:textFill>
        </w:rPr>
        <w:t>保密</w:t>
      </w:r>
      <w:bookmarkEnd w:id="58"/>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2、投标人不得探听上述信息，不得以任何行为影响评标过程，否则其投标文件将被作为无效投标文件。</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3、在评标期间，采购人有专门工作人员与投标人进行联络。</w:t>
      </w:r>
    </w:p>
    <w:p>
      <w:pPr>
        <w:spacing w:line="360" w:lineRule="auto"/>
        <w:ind w:left="1" w:firstLine="480" w:firstLineChars="200"/>
        <w:rPr>
          <w:rFonts w:hint="eastAsia" w:ascii="仿宋" w:hAnsi="仿宋" w:eastAsia="仿宋" w:cs="仿宋"/>
          <w:color w:val="000000" w:themeColor="text1"/>
          <w:spacing w:val="-2"/>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4、采购人和评标委员会不向未成交的投标人解释未成交原因，也不对评标过程中的细节问题进行公布。</w:t>
      </w:r>
    </w:p>
    <w:p>
      <w:pPr>
        <w:spacing w:line="360" w:lineRule="auto"/>
        <w:ind w:left="718" w:leftChars="1" w:hanging="716" w:hangingChars="297"/>
        <w:rPr>
          <w:rFonts w:hint="eastAsia" w:ascii="仿宋" w:hAnsi="仿宋" w:eastAsia="仿宋" w:cs="仿宋"/>
          <w:b/>
          <w:bCs/>
          <w:color w:val="000000" w:themeColor="text1"/>
          <w:sz w:val="24"/>
          <w:highlight w:val="none"/>
          <w14:textFill>
            <w14:solidFill>
              <w14:schemeClr w14:val="tx1"/>
            </w14:solidFill>
          </w14:textFill>
        </w:rPr>
      </w:pPr>
      <w:bookmarkStart w:id="59" w:name="_Toc3343"/>
      <w:r>
        <w:rPr>
          <w:rFonts w:hint="eastAsia" w:ascii="仿宋" w:hAnsi="仿宋" w:eastAsia="仿宋" w:cs="仿宋"/>
          <w:b/>
          <w:color w:val="000000" w:themeColor="text1"/>
          <w:sz w:val="24"/>
          <w:highlight w:val="none"/>
          <w14:textFill>
            <w14:solidFill>
              <w14:schemeClr w14:val="tx1"/>
            </w14:solidFill>
          </w14:textFill>
        </w:rPr>
        <w:t>（三十）</w:t>
      </w:r>
      <w:r>
        <w:rPr>
          <w:rFonts w:hint="eastAsia" w:ascii="仿宋" w:hAnsi="仿宋" w:eastAsia="仿宋" w:cs="仿宋"/>
          <w:b/>
          <w:bCs/>
          <w:color w:val="000000" w:themeColor="text1"/>
          <w:sz w:val="24"/>
          <w:highlight w:val="none"/>
          <w14:textFill>
            <w14:solidFill>
              <w14:schemeClr w14:val="tx1"/>
            </w14:solidFill>
          </w14:textFill>
        </w:rPr>
        <w:t>投标人有下列情形之一的，视为无效投标。</w:t>
      </w:r>
      <w:bookmarkEnd w:id="59"/>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（1）超出营业执照经营范围投标的；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（2）投标文件所投标段中的应标范围小于本文件对应标段要求的采购范围的；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（3）投标文件与事实不符的；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（4）经评标委员会一致认定为重大偏离的；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（5）不符合本文件中规定的其他实质性要求的；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（6）不符合法律、法规有关规定的。</w:t>
      </w:r>
    </w:p>
    <w:p>
      <w:pPr>
        <w:spacing w:line="360" w:lineRule="auto"/>
        <w:ind w:left="718" w:leftChars="1" w:hanging="716" w:hangingChars="297"/>
        <w:rPr>
          <w:rFonts w:hint="eastAsia" w:ascii="仿宋" w:hAnsi="仿宋" w:eastAsia="仿宋" w:cs="仿宋"/>
          <w:b/>
          <w:bCs/>
          <w:color w:val="000000" w:themeColor="text1"/>
          <w:sz w:val="24"/>
          <w:highlight w:val="none"/>
          <w14:textFill>
            <w14:solidFill>
              <w14:schemeClr w14:val="tx1"/>
            </w14:solidFill>
          </w14:textFill>
        </w:rPr>
      </w:pPr>
      <w:bookmarkStart w:id="60" w:name="_Toc20472"/>
      <w:r>
        <w:rPr>
          <w:rFonts w:hint="eastAsia" w:ascii="仿宋" w:hAnsi="仿宋" w:eastAsia="仿宋" w:cs="仿宋"/>
          <w:b/>
          <w:color w:val="000000" w:themeColor="text1"/>
          <w:sz w:val="24"/>
          <w:highlight w:val="none"/>
          <w14:textFill>
            <w14:solidFill>
              <w14:schemeClr w14:val="tx1"/>
            </w14:solidFill>
          </w14:textFill>
        </w:rPr>
        <w:t>（三十一）</w:t>
      </w:r>
      <w:bookmarkEnd w:id="60"/>
      <w:r>
        <w:rPr>
          <w:rFonts w:hint="eastAsia" w:ascii="仿宋" w:hAnsi="仿宋" w:eastAsia="仿宋" w:cs="仿宋"/>
          <w:b/>
          <w:bCs/>
          <w:color w:val="000000" w:themeColor="text1"/>
          <w:sz w:val="24"/>
          <w:highlight w:val="none"/>
          <w14:textFill>
            <w14:solidFill>
              <w14:schemeClr w14:val="tx1"/>
            </w14:solidFill>
          </w14:textFill>
        </w:rPr>
        <w:t>有效投标人不足三家的，除采购任务取消外，可废标后重新组织采购。</w:t>
      </w:r>
    </w:p>
    <w:p>
      <w:pPr>
        <w:spacing w:line="360" w:lineRule="auto"/>
        <w:ind w:left="592" w:leftChars="1" w:hanging="590" w:hangingChars="245"/>
        <w:rPr>
          <w:rFonts w:hint="eastAsia" w:ascii="仿宋" w:hAnsi="仿宋" w:eastAsia="仿宋" w:cs="仿宋"/>
          <w:b/>
          <w:color w:val="000000" w:themeColor="text1"/>
          <w:sz w:val="24"/>
          <w:highlight w:val="none"/>
          <w14:textFill>
            <w14:solidFill>
              <w14:schemeClr w14:val="tx1"/>
            </w14:solidFill>
          </w14:textFill>
        </w:rPr>
      </w:pPr>
      <w:bookmarkStart w:id="61" w:name="_Toc2132"/>
      <w:r>
        <w:rPr>
          <w:rFonts w:hint="eastAsia" w:ascii="仿宋" w:hAnsi="仿宋" w:eastAsia="仿宋" w:cs="仿宋"/>
          <w:b/>
          <w:color w:val="000000" w:themeColor="text1"/>
          <w:sz w:val="24"/>
          <w:highlight w:val="none"/>
          <w14:textFill>
            <w14:solidFill>
              <w14:schemeClr w14:val="tx1"/>
            </w14:solidFill>
          </w14:textFill>
        </w:rPr>
        <w:t>（三十二）出现下列情形之一的，本项目作废标处理，除采购任务取消外，重新组织采购。</w:t>
      </w:r>
      <w:bookmarkEnd w:id="61"/>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（1）本文件存在不合理条款，公告时间及程序不符合规定的；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360" w:lineRule="auto"/>
        <w:ind w:left="714" w:leftChars="1" w:hanging="712" w:hangingChars="2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（3）因重大变故，采购任务取消的。</w:t>
      </w:r>
    </w:p>
    <w:p>
      <w:pPr>
        <w:spacing w:line="360" w:lineRule="auto"/>
        <w:ind w:left="1" w:firstLine="53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非以上情形导致项目被废标的，经政府采购管理部门同意，所有评委（监委）签字认可，可书面通知投标人当场改作招标或单一来源方式采购。</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（三十三）评标办法</w:t>
      </w:r>
    </w:p>
    <w:p>
      <w:pPr>
        <w:spacing w:line="360" w:lineRule="auto"/>
        <w:ind w:left="1" w:firstLine="480" w:firstLineChars="200"/>
        <w:rPr>
          <w:rFonts w:hint="eastAsia" w:ascii="仿宋" w:hAnsi="仿宋" w:eastAsia="仿宋" w:cs="仿宋"/>
          <w:color w:val="000000" w:themeColor="text1"/>
          <w:spacing w:val="-2"/>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本次招标的评标方法采用综合评分法，</w:t>
      </w:r>
      <w:r>
        <w:rPr>
          <w:rFonts w:hint="eastAsia" w:ascii="仿宋" w:hAnsi="仿宋" w:eastAsia="仿宋" w:cs="仿宋"/>
          <w:color w:val="000000" w:themeColor="text1"/>
          <w:spacing w:val="-2"/>
          <w:sz w:val="24"/>
          <w:highlight w:val="none"/>
          <w14:textFill>
            <w14:solidFill>
              <w14:schemeClr w14:val="tx1"/>
            </w14:solidFill>
          </w14:textFill>
        </w:rPr>
        <w:t>即在最大限度地满足招标文件实质性要求前提下，按照招标文件中规定的各项因素进行综合评审。</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评标委员会严格按照招标文件的要求、条件及投标人所作的实质性响应内容，对投标人的投标文件进行综合打分。评标委员会由业主代表及相关专家五人组成，负责对投标文件进行审查、评审和比较等工作。</w:t>
      </w:r>
      <w:r>
        <w:rPr>
          <w:rFonts w:hint="eastAsia" w:ascii="仿宋" w:hAnsi="仿宋" w:eastAsia="仿宋" w:cs="仿宋"/>
          <w:bCs/>
          <w:color w:val="000000" w:themeColor="text1"/>
          <w:sz w:val="24"/>
          <w:highlight w:val="none"/>
          <w14:textFill>
            <w14:solidFill>
              <w14:schemeClr w14:val="tx1"/>
            </w14:solidFill>
          </w14:textFill>
        </w:rPr>
        <w:t>投标人的得分为各评委所给分数的平均分。计算结果值在小数点后均保留两位小数，后余位数四舍五入计。</w:t>
      </w:r>
      <w:r>
        <w:rPr>
          <w:rFonts w:hint="eastAsia" w:ascii="仿宋" w:hAnsi="仿宋" w:eastAsia="仿宋" w:cs="仿宋"/>
          <w:color w:val="000000" w:themeColor="text1"/>
          <w:sz w:val="24"/>
          <w:highlight w:val="none"/>
          <w14:textFill>
            <w14:solidFill>
              <w14:schemeClr w14:val="tx1"/>
            </w14:solidFill>
          </w14:textFill>
        </w:rPr>
        <w:t>并以综合评分法进行评估，总分值为100分。</w:t>
      </w:r>
    </w:p>
    <w:p>
      <w:pPr>
        <w:numPr>
          <w:ilvl w:val="0"/>
          <w:numId w:val="4"/>
        </w:numPr>
        <w:snapToGrid w:val="0"/>
        <w:spacing w:line="360" w:lineRule="auto"/>
        <w:ind w:firstLine="562" w:firstLineChars="2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投标报价权重30%（满分30分）</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62" w:name="_Toc11627"/>
      <w:r>
        <w:rPr>
          <w:rFonts w:hint="eastAsia" w:ascii="仿宋" w:hAnsi="仿宋" w:eastAsia="仿宋" w:cs="仿宋"/>
          <w:color w:val="000000" w:themeColor="text1"/>
          <w:sz w:val="24"/>
          <w:highlight w:val="none"/>
          <w14:textFill>
            <w14:solidFill>
              <w14:schemeClr w14:val="tx1"/>
            </w14:solidFill>
          </w14:textFill>
        </w:rPr>
        <w:t>价格扣除：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本项目价格扣除比例</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w:t>
      </w:r>
    </w:p>
    <w:p>
      <w:pPr>
        <w:spacing w:line="360" w:lineRule="auto"/>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在政府采购活动中，监狱企业视同小型、微型企业，享受预留份额、评标中价格扣除等政府采购促进中小企业发展的政府采购政策。</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见投标须知前附表。</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用扣除后的价格参与评审。同一投标人（包括联合体），中小微企业产品和残疾人企业产品价格扣除优惠只享受一次，不得重复享受。</w:t>
      </w:r>
    </w:p>
    <w:p>
      <w:pPr>
        <w:spacing w:line="360" w:lineRule="auto"/>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评分法中的价格分统一采用低价优先法计算，即满足投标文件要求且最后报价最低的供应商的价格为评标基准价，其价格分为满分。其他投标人的价格分统一按照下列公式计算：投标报价得分=(评标基准价／评标报价)×投标报价权重</w:t>
      </w: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注：评标报价=投标报价-所投中小微（残疾人福利性单位、监狱企业）企业产品报价合计×</w:t>
      </w: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bookmarkEnd w:id="62"/>
    </w:p>
    <w:p>
      <w:pPr>
        <w:spacing w:line="360" w:lineRule="auto"/>
        <w:ind w:firstLine="3855" w:firstLineChars="1200"/>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pPr>
        <w:spacing w:line="360" w:lineRule="auto"/>
        <w:ind w:firstLine="3855" w:firstLineChars="1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初步评审表</w:t>
      </w:r>
    </w:p>
    <w:p>
      <w:pPr>
        <w:snapToGrid w:val="0"/>
        <w:spacing w:line="360" w:lineRule="auto"/>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资格性检查表</w:t>
      </w:r>
    </w:p>
    <w:tbl>
      <w:tblPr>
        <w:tblStyle w:val="1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619"/>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3587" w:type="dxa"/>
            <w:gridSpan w:val="2"/>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检查因素</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968" w:type="dxa"/>
            <w:vMerge w:val="restart"/>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符合《中华人民共和国政府采购法》第二十二条规定，提供：</w:t>
            </w:r>
          </w:p>
        </w:tc>
        <w:tc>
          <w:tcPr>
            <w:tcW w:w="2619"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（1）具有独立承担民事责任的能力</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34"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6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619"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（2）具有良好的商业信誉和健全的财务会计制度</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供应商应提供上一年度经审计的财务报告，或其基本开户银行出具的资信证明。其他组织和自然人，没有经审计的财务报告，提供银行出具的资信证明。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34"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6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619"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（3）具有履行合同所必须的设备和专业技术能力</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供应商履行合同所必须的设备和专业技术能力的证明材料或声明。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6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619"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（4）有依法缴纳税收和社会保障金的良好记录</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依法缴纳税收的证明材料：本项目响应截止时间前6个月内缴纳税收的凭据（完税证、缴款书、印花税票、银行代扣（代缴）转账凭证等均可）；供应商依法缴纳社会保障资金的证明材料：本项目响应截止时间前6个月内缴纳社会保险的凭据（专用收据或社会保险交纳清单）；供应商为其他组织或自然人的，也需要按此项规定提供缴纳税收的凭据和交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6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619"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（5）参加政府采购活动近3年内，在经营活动中没有重大违法记录</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3587" w:type="dxa"/>
            <w:gridSpan w:val="2"/>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信用查询</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供应商未被列入“信用中国”网站失信被执行人和“</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名单</w:t>
            </w:r>
            <w:r>
              <w:rPr>
                <w:rFonts w:hint="eastAsia" w:ascii="仿宋" w:hAnsi="仿宋" w:eastAsia="仿宋" w:cs="仿宋"/>
                <w:color w:val="FF0000"/>
                <w:sz w:val="24"/>
                <w:highlight w:val="none"/>
              </w:rPr>
              <w:t>”</w:t>
            </w:r>
            <w:r>
              <w:rPr>
                <w:rFonts w:hint="eastAsia" w:ascii="仿宋" w:hAnsi="仿宋" w:eastAsia="仿宋" w:cs="仿宋"/>
                <w:color w:val="000000" w:themeColor="text1"/>
                <w:sz w:val="24"/>
                <w:highlight w:val="none"/>
                <w14:textFill>
                  <w14:solidFill>
                    <w14:schemeClr w14:val="tx1"/>
                  </w14:solidFill>
                </w14:textFill>
              </w:rPr>
              <w:t>和“中国政府采购网站的政府采购严重违法失信行为名单”</w:t>
            </w:r>
          </w:p>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"http://www.ccgp.gov.cn" </w:instrText>
            </w:r>
            <w:r>
              <w:rPr>
                <w:rFonts w:hint="eastAsia" w:ascii="仿宋" w:hAnsi="仿宋" w:eastAsia="仿宋" w:cs="仿宋"/>
                <w:highlight w:val="none"/>
              </w:rPr>
              <w:fldChar w:fldCharType="separate"/>
            </w:r>
            <w:r>
              <w:rPr>
                <w:rFonts w:hint="eastAsia" w:ascii="仿宋" w:hAnsi="仿宋" w:eastAsia="仿宋" w:cs="仿宋"/>
                <w:color w:val="000000" w:themeColor="text1"/>
                <w:sz w:val="24"/>
                <w:highlight w:val="none"/>
                <w14:textFill>
                  <w14:solidFill>
                    <w14:schemeClr w14:val="tx1"/>
                  </w14:solidFill>
                </w14:textFill>
              </w:rPr>
              <w:t>www.ccgp.gov.cn</w:t>
            </w:r>
            <w:r>
              <w:rPr>
                <w:rFonts w:hint="eastAsia" w:ascii="仿宋" w:hAnsi="仿宋" w:eastAsia="仿宋" w:cs="仿宋"/>
                <w:color w:val="000000" w:themeColor="text1"/>
                <w:sz w:val="24"/>
                <w:highlight w:val="none"/>
                <w14:textFill>
                  <w14:solidFill>
                    <w14:schemeClr w14:val="tx1"/>
                  </w14:solidFill>
                </w14:textFill>
              </w:rPr>
              <w:fldChar w:fldCharType="end"/>
            </w:r>
          </w:p>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"http://www.creditchina.gov.cn" </w:instrText>
            </w:r>
            <w:r>
              <w:rPr>
                <w:rFonts w:hint="eastAsia" w:ascii="仿宋" w:hAnsi="仿宋" w:eastAsia="仿宋" w:cs="仿宋"/>
                <w:highlight w:val="none"/>
              </w:rPr>
              <w:fldChar w:fldCharType="separate"/>
            </w:r>
            <w:r>
              <w:rPr>
                <w:rFonts w:hint="eastAsia" w:ascii="仿宋" w:hAnsi="仿宋" w:eastAsia="仿宋" w:cs="仿宋"/>
                <w:color w:val="000000" w:themeColor="text1"/>
                <w:sz w:val="24"/>
                <w:highlight w:val="none"/>
                <w14:textFill>
                  <w14:solidFill>
                    <w14:schemeClr w14:val="tx1"/>
                  </w14:solidFill>
                </w14:textFill>
              </w:rPr>
              <w:t>www.creditchina.gov.cn</w:t>
            </w:r>
            <w:r>
              <w:rPr>
                <w:rFonts w:hint="eastAsia" w:ascii="仿宋" w:hAnsi="仿宋" w:eastAsia="仿宋" w:cs="仿宋"/>
                <w:color w:val="000000" w:themeColor="text1"/>
                <w:sz w:val="24"/>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3587" w:type="dxa"/>
            <w:gridSpan w:val="2"/>
            <w:vMerge w:val="restart"/>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限制行为</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投标人近三年无因投标申请人违约或不恰当履约引起的合同终止、纠纷、争议、仲裁和公诉纪录；中国裁判文书网（http://wenshu.court.gov.cn/）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734"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3587" w:type="dxa"/>
            <w:gridSpan w:val="2"/>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单位负责人为同一人或者存在直接控股、管理关系的不同投标人，不得参加同一合同项下的政府采购活动。除单一来源采购项目外，为采购项目提供整体设计、规范编制或者项目管理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检测等服务的投标人，不得再参加该采购项目的其他采购活动；</w:t>
            </w:r>
          </w:p>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投标人提供相关承诺函并加盖投标人单位公章。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34" w:type="dxa"/>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3587" w:type="dxa"/>
            <w:gridSpan w:val="2"/>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投标文件按招标文件规定格式完整提供</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34" w:type="dxa"/>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p>
        </w:tc>
        <w:tc>
          <w:tcPr>
            <w:tcW w:w="3587" w:type="dxa"/>
            <w:gridSpan w:val="2"/>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其他要求</w:t>
            </w:r>
          </w:p>
        </w:tc>
        <w:tc>
          <w:tcPr>
            <w:tcW w:w="5417"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不允许分包、转包任务。</w:t>
            </w:r>
          </w:p>
        </w:tc>
      </w:tr>
    </w:tbl>
    <w:p>
      <w:pPr>
        <w:rPr>
          <w:rFonts w:hint="eastAsia" w:ascii="仿宋" w:hAnsi="仿宋" w:eastAsia="仿宋" w:cs="仿宋"/>
          <w:b/>
          <w:bCs/>
          <w:color w:val="000000" w:themeColor="text1"/>
          <w:sz w:val="24"/>
          <w:highlight w:val="none"/>
          <w14:textFill>
            <w14:solidFill>
              <w14:schemeClr w14:val="tx1"/>
            </w14:solidFill>
          </w14:textFill>
        </w:rPr>
      </w:pPr>
    </w:p>
    <w:p>
      <w:pPr>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符合性检查表</w:t>
      </w:r>
    </w:p>
    <w:tbl>
      <w:tblPr>
        <w:tblStyle w:val="1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18"/>
        <w:gridCol w:w="2314"/>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0"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3232" w:type="dxa"/>
            <w:gridSpan w:val="2"/>
            <w:noWrap/>
            <w:vAlign w:val="center"/>
          </w:tcPr>
          <w:p>
            <w:pPr>
              <w:keepNext w:val="0"/>
              <w:keepLines w:val="0"/>
              <w:suppressLineNumbers w:val="0"/>
              <w:snapToGrid w:val="0"/>
              <w:spacing w:before="0" w:beforeAutospacing="0" w:after="0" w:afterAutospacing="0" w:line="360" w:lineRule="auto"/>
              <w:ind w:left="0" w:right="0" w:firstLine="1200" w:firstLineChars="5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检查因素</w:t>
            </w:r>
          </w:p>
        </w:tc>
        <w:tc>
          <w:tcPr>
            <w:tcW w:w="5961" w:type="dxa"/>
            <w:noWrap/>
            <w:vAlign w:val="center"/>
          </w:tcPr>
          <w:p>
            <w:pPr>
              <w:keepNext w:val="0"/>
              <w:keepLines w:val="0"/>
              <w:suppressLineNumbers w:val="0"/>
              <w:snapToGrid w:val="0"/>
              <w:spacing w:before="0" w:beforeAutospacing="0" w:after="0" w:afterAutospacing="0" w:line="360" w:lineRule="auto"/>
              <w:ind w:left="0" w:right="0" w:firstLine="2160" w:firstLineChars="9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50" w:type="dxa"/>
            <w:vMerge w:val="restart"/>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918" w:type="dxa"/>
            <w:vMerge w:val="restart"/>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有效性审查</w:t>
            </w: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营业执照、资质证书是否与投标文件一致且有效。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投标文件签署</w:t>
            </w:r>
          </w:p>
        </w:tc>
        <w:tc>
          <w:tcPr>
            <w:tcW w:w="5961" w:type="dxa"/>
            <w:noWrap/>
            <w:vAlign w:val="center"/>
          </w:tcPr>
          <w:p>
            <w:pPr>
              <w:keepNext w:val="0"/>
              <w:keepLines w:val="0"/>
              <w:suppressLineNumbers w:val="0"/>
              <w:snapToGrid w:val="0"/>
              <w:spacing w:before="0" w:beforeAutospacing="0" w:after="0" w:afterAutospacing="0" w:line="360" w:lineRule="auto"/>
              <w:ind w:left="0" w:leftChars="0" w:right="0" w:rightChars="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w:t>
            </w:r>
            <w:r>
              <w:rPr>
                <w:rFonts w:hint="eastAsia" w:ascii="仿宋" w:hAnsi="仿宋" w:eastAsia="仿宋" w:cs="仿宋"/>
                <w:color w:val="000000" w:themeColor="text1"/>
                <w:sz w:val="24"/>
                <w:highlight w:val="none"/>
                <w:lang w:val="en-US" w:eastAsia="zh-CN"/>
                <w14:textFill>
                  <w14:solidFill>
                    <w14:schemeClr w14:val="tx1"/>
                  </w14:solidFill>
                </w14:textFill>
              </w:rPr>
              <w:t>封皮</w:t>
            </w:r>
            <w:r>
              <w:rPr>
                <w:rFonts w:hint="eastAsia" w:ascii="仿宋" w:hAnsi="仿宋" w:eastAsia="仿宋" w:cs="仿宋"/>
                <w:color w:val="000000" w:themeColor="text1"/>
                <w:sz w:val="24"/>
                <w:highlight w:val="none"/>
                <w14:textFill>
                  <w14:solidFill>
                    <w14:schemeClr w14:val="tx1"/>
                  </w14:solidFill>
                </w14:textFill>
              </w:rPr>
              <w:t>上法定代表人</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其授权代理人的签字、供应商的单位章齐全。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法定代表人身份证明及授权委托书</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响应方案</w:t>
            </w:r>
          </w:p>
        </w:tc>
        <w:tc>
          <w:tcPr>
            <w:tcW w:w="5961" w:type="dxa"/>
            <w:noWrap/>
            <w:vAlign w:val="center"/>
          </w:tcPr>
          <w:p>
            <w:pPr>
              <w:keepNext w:val="0"/>
              <w:keepLines w:val="0"/>
              <w:suppressLineNumbers w:val="0"/>
              <w:snapToGrid w:val="0"/>
              <w:spacing w:before="0" w:beforeAutospacing="0" w:after="0" w:afterAutospacing="0" w:line="360" w:lineRule="auto"/>
              <w:ind w:left="0" w:leftChars="0" w:right="0" w:right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报价唯一</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投标保证金</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按时、足额缴纳投标保证金。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50" w:type="dxa"/>
            <w:vMerge w:val="restart"/>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918" w:type="dxa"/>
            <w:vMerge w:val="restart"/>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完整性审查</w:t>
            </w: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投标文件份数</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投标文件内容</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投标文件内容齐全、字迹清晰可辨、无遗漏。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0" w:type="dxa"/>
            <w:vMerge w:val="restart"/>
            <w:noWrap/>
            <w:vAlign w:val="center"/>
          </w:tcPr>
          <w:p>
            <w:pPr>
              <w:keepNext w:val="0"/>
              <w:keepLines w:val="0"/>
              <w:suppressLineNumbers w:val="0"/>
              <w:snapToGrid w:val="0"/>
              <w:spacing w:before="0" w:beforeAutospacing="0" w:after="0" w:afterAutospacing="0" w:line="360" w:lineRule="auto"/>
              <w:ind w:left="0" w:right="0"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918" w:type="dxa"/>
            <w:vMerge w:val="restart"/>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对招标文件的响应程度审查</w:t>
            </w: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所投产品</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对招标文件规定的技术参数星号项全部作出实质响应。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交货期</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响应有效期</w:t>
            </w:r>
          </w:p>
        </w:tc>
        <w:tc>
          <w:tcPr>
            <w:tcW w:w="5961" w:type="dxa"/>
            <w:noWrap/>
            <w:vAlign w:val="center"/>
          </w:tcPr>
          <w:p>
            <w:pPr>
              <w:keepNext w:val="0"/>
              <w:keepLines w:val="0"/>
              <w:suppressLineNumbers w:val="0"/>
              <w:snapToGrid w:val="0"/>
              <w:spacing w:before="0" w:beforeAutospacing="0" w:after="0" w:afterAutospacing="0" w:line="360" w:lineRule="auto"/>
              <w:ind w:left="0" w:leftChars="0" w:right="0" w:rightChars="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投标文件</w:t>
            </w:r>
            <w:r>
              <w:rPr>
                <w:rFonts w:hint="eastAsia" w:ascii="仿宋" w:hAnsi="仿宋" w:eastAsia="仿宋" w:cs="仿宋"/>
                <w:color w:val="000000" w:themeColor="text1"/>
                <w:sz w:val="24"/>
                <w:highlight w:val="none"/>
                <w14:textFill>
                  <w14:solidFill>
                    <w14:schemeClr w14:val="tx1"/>
                  </w14:solidFill>
                </w14:textFill>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付款方式</w:t>
            </w:r>
          </w:p>
        </w:tc>
        <w:tc>
          <w:tcPr>
            <w:tcW w:w="5961" w:type="dxa"/>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投标文件承诺的的付款方式满足招标文件要求。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50"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18" w:type="dxa"/>
            <w:vMerge w:val="continue"/>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2314" w:type="dxa"/>
            <w:tcBorders>
              <w:bottom w:val="single" w:color="auto" w:sz="4" w:space="0"/>
            </w:tcBorders>
            <w:noWrap/>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5961" w:type="dxa"/>
            <w:tcBorders>
              <w:bottom w:val="single" w:color="auto" w:sz="4" w:space="0"/>
            </w:tcBorders>
            <w:noWrap/>
            <w:vAlign w:val="center"/>
          </w:tcPr>
          <w:p>
            <w:pPr>
              <w:keepNext w:val="0"/>
              <w:keepLines w:val="0"/>
              <w:suppressLineNumbers w:val="0"/>
              <w:snapToGrid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投标文件未附有采购人不能接受的附加条件及法律、法规和招标文件规定的其他无效情形。</w:t>
            </w:r>
          </w:p>
        </w:tc>
      </w:tr>
    </w:tbl>
    <w:p>
      <w:pPr>
        <w:pStyle w:val="8"/>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备注：1.本表与招标文件中相关评审条款内容不一致的，以本表内容为准。</w:t>
      </w:r>
    </w:p>
    <w:p>
      <w:pPr>
        <w:pStyle w:val="8"/>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2.每一项符合的打“O”，不符合的打“×”。</w:t>
      </w:r>
    </w:p>
    <w:p>
      <w:pPr>
        <w:pStyle w:val="8"/>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3.“结论”一栏填写“通过”或“不通过”；任何一项出现“×”的，结论为不通过；不通过的为无效响应。</w:t>
      </w:r>
    </w:p>
    <w:p>
      <w:pPr>
        <w:pStyle w:val="8"/>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4.汇总时出现不同意见的，评标小组按简单多数原则表决决定。</w:t>
      </w:r>
    </w:p>
    <w:p>
      <w:pPr>
        <w:spacing w:line="360" w:lineRule="auto"/>
        <w:ind w:firstLine="3855" w:firstLineChars="1200"/>
        <w:rPr>
          <w:rFonts w:hint="eastAsia" w:ascii="仿宋" w:hAnsi="仿宋" w:eastAsia="仿宋" w:cs="仿宋"/>
          <w:b/>
          <w:color w:val="000000" w:themeColor="text1"/>
          <w:sz w:val="32"/>
          <w:szCs w:val="32"/>
          <w:highlight w:val="none"/>
          <w14:textFill>
            <w14:solidFill>
              <w14:schemeClr w14:val="tx1"/>
            </w14:solidFill>
          </w14:textFill>
        </w:rPr>
      </w:pPr>
    </w:p>
    <w:p>
      <w:pPr>
        <w:pStyle w:val="18"/>
        <w:ind w:firstLine="0" w:firstLineChars="0"/>
        <w:rPr>
          <w:rFonts w:hint="eastAsia" w:ascii="仿宋" w:hAnsi="仿宋" w:eastAsia="仿宋" w:cs="仿宋"/>
          <w:b/>
          <w:color w:val="000000" w:themeColor="text1"/>
          <w:sz w:val="32"/>
          <w:szCs w:val="32"/>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bookmarkStart w:id="63" w:name="_Toc6582"/>
      <w:bookmarkStart w:id="64" w:name="_Toc3891"/>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highlight w:val="none"/>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bCs/>
          <w:color w:val="000000" w:themeColor="text1"/>
          <w:sz w:val="28"/>
          <w:szCs w:val="28"/>
          <w:highlight w:val="none"/>
          <w:lang w:eastAsia="zh-CN"/>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商务权重10%、技术权重60%（满分70分）</w:t>
      </w:r>
      <w:r>
        <w:rPr>
          <w:rFonts w:hint="eastAsia" w:ascii="仿宋" w:hAnsi="仿宋" w:eastAsia="仿宋" w:cs="仿宋"/>
          <w:color w:val="000000" w:themeColor="text1"/>
          <w:sz w:val="28"/>
          <w:szCs w:val="28"/>
          <w:highlight w:val="none"/>
          <w14:textFill>
            <w14:solidFill>
              <w14:schemeClr w14:val="tx1"/>
            </w14:solidFill>
          </w14:textFill>
        </w:rPr>
        <w:t xml:space="preserve"> </w:t>
      </w:r>
    </w:p>
    <w:tbl>
      <w:tblPr>
        <w:tblStyle w:val="15"/>
        <w:tblpPr w:leftFromText="180" w:rightFromText="180" w:vertAnchor="text" w:horzAnchor="page" w:tblpX="1302" w:tblpY="342"/>
        <w:tblOverlap w:val="never"/>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942"/>
        <w:gridCol w:w="1375"/>
        <w:gridCol w:w="527"/>
        <w:gridCol w:w="4911"/>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3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9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项目</w:t>
            </w:r>
          </w:p>
        </w:tc>
        <w:tc>
          <w:tcPr>
            <w:tcW w:w="137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评分项目</w:t>
            </w:r>
          </w:p>
        </w:tc>
        <w:tc>
          <w:tcPr>
            <w:tcW w:w="52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分值</w:t>
            </w:r>
          </w:p>
        </w:tc>
        <w:tc>
          <w:tcPr>
            <w:tcW w:w="6276"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38" w:type="dxa"/>
            <w:vMerge w:val="restart"/>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1</w:t>
            </w:r>
          </w:p>
        </w:tc>
        <w:tc>
          <w:tcPr>
            <w:tcW w:w="942" w:type="dxa"/>
            <w:vMerge w:val="restart"/>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商务部分（权重A1=1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 xml:space="preserve">）   </w:t>
            </w: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投标文件总体响应程度</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2</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投标文件编制质量对招标文件的总体响应程度，高于或完全响应得2分，基本</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得1分，不响应不得分。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主要产品来源证明材料</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提供有效的产品授权书原件，或自身为生产厂家则提供说明（满分2分）。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类似业绩</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有同类产品设备在国内成功案例、提供所投设备近三年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2019年1月1日至今）</w:t>
            </w:r>
            <w:r>
              <w:rPr>
                <w:rFonts w:hint="eastAsia" w:ascii="仿宋" w:hAnsi="仿宋" w:eastAsia="仿宋" w:cs="仿宋"/>
                <w:color w:val="auto"/>
                <w:sz w:val="24"/>
                <w:highlight w:val="none"/>
              </w:rPr>
              <w:t>的销售业绩清单（附中标通知书或合同为有效案例），每提供一项得2分，最多得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38" w:type="dxa"/>
            <w:vMerge w:val="restart"/>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2</w:t>
            </w:r>
          </w:p>
        </w:tc>
        <w:tc>
          <w:tcPr>
            <w:tcW w:w="942" w:type="dxa"/>
            <w:vMerge w:val="restart"/>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 xml:space="preserve">技术部分（权重A2=60）  </w:t>
            </w:r>
          </w:p>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综合评价</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2</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根据所投</w:t>
            </w:r>
            <w:r>
              <w:rPr>
                <w:rFonts w:hint="eastAsia" w:ascii="仿宋" w:hAnsi="仿宋" w:eastAsia="仿宋" w:cs="仿宋"/>
                <w:sz w:val="24"/>
                <w:highlight w:val="none"/>
                <w:lang w:val="en-US" w:eastAsia="zh-CN"/>
              </w:rPr>
              <w:t>设备</w:t>
            </w:r>
            <w:r>
              <w:rPr>
                <w:rFonts w:hint="eastAsia" w:ascii="仿宋" w:hAnsi="仿宋" w:eastAsia="仿宋" w:cs="仿宋"/>
                <w:sz w:val="24"/>
                <w:highlight w:val="none"/>
              </w:rPr>
              <w:t>综合评价打分。技术参数优于或全部符合招标文件要求得2分，基本符合招标文件要求得1分，不符合招标文件要求不得分。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配置及性能指标，技术参数的符合程度</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35</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根据所投设备的配置与性能指标的响应程度及招标文件关键技术指标参数要求综合评价打分。技术参数指标等</w:t>
            </w:r>
            <w:r>
              <w:rPr>
                <w:rFonts w:hint="eastAsia" w:ascii="仿宋" w:hAnsi="仿宋" w:eastAsia="仿宋" w:cs="仿宋"/>
                <w:sz w:val="24"/>
                <w:highlight w:val="none"/>
                <w:lang w:val="en-US" w:eastAsia="zh-CN"/>
              </w:rPr>
              <w:t>高于实质性要求得2</w:t>
            </w:r>
            <w:r>
              <w:rPr>
                <w:rFonts w:hint="eastAsia" w:ascii="仿宋" w:hAnsi="仿宋" w:eastAsia="仿宋" w:cs="仿宋"/>
                <w:sz w:val="24"/>
                <w:highlight w:val="none"/>
              </w:rPr>
              <w:t>5-</w:t>
            </w:r>
            <w:r>
              <w:rPr>
                <w:rFonts w:hint="eastAsia" w:ascii="仿宋" w:hAnsi="仿宋" w:eastAsia="仿宋" w:cs="仿宋"/>
                <w:sz w:val="24"/>
                <w:highlight w:val="none"/>
                <w:lang w:val="en-US" w:eastAsia="zh-CN"/>
              </w:rPr>
              <w:t>35</w:t>
            </w:r>
            <w:r>
              <w:rPr>
                <w:rFonts w:hint="eastAsia" w:ascii="仿宋" w:hAnsi="仿宋" w:eastAsia="仿宋" w:cs="仿宋"/>
                <w:sz w:val="24"/>
                <w:highlight w:val="none"/>
              </w:rPr>
              <w:t xml:space="preserve"> 分，</w:t>
            </w:r>
            <w:r>
              <w:rPr>
                <w:rFonts w:hint="eastAsia" w:ascii="仿宋" w:hAnsi="仿宋" w:eastAsia="仿宋" w:cs="仿宋"/>
                <w:sz w:val="24"/>
                <w:highlight w:val="none"/>
                <w:lang w:val="en-US" w:eastAsia="zh-CN"/>
              </w:rPr>
              <w:t>完全响应实质性要求得15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 xml:space="preserve"> 分，</w:t>
            </w:r>
            <w:r>
              <w:rPr>
                <w:rFonts w:hint="eastAsia" w:ascii="仿宋" w:hAnsi="仿宋" w:eastAsia="仿宋" w:cs="仿宋"/>
                <w:sz w:val="24"/>
                <w:highlight w:val="none"/>
                <w:lang w:val="en-US" w:eastAsia="zh-CN"/>
              </w:rPr>
              <w:t>基本响应得</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 xml:space="preserve"> 分,不</w:t>
            </w:r>
            <w:r>
              <w:rPr>
                <w:rFonts w:hint="eastAsia" w:ascii="仿宋" w:hAnsi="仿宋" w:eastAsia="仿宋" w:cs="仿宋"/>
                <w:sz w:val="24"/>
                <w:highlight w:val="none"/>
                <w:lang w:val="en-US" w:eastAsia="zh-CN"/>
              </w:rPr>
              <w:t>响应得</w:t>
            </w:r>
            <w:r>
              <w:rPr>
                <w:rFonts w:hint="eastAsia" w:ascii="仿宋" w:hAnsi="仿宋" w:eastAsia="仿宋" w:cs="仿宋"/>
                <w:sz w:val="24"/>
                <w:highlight w:val="none"/>
              </w:rPr>
              <w:t>0-</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 分。技术参数指标关键项，每负偏离一项扣</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分，非关键项，每负偏离一项扣</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售后服务</w:t>
            </w:r>
            <w:r>
              <w:rPr>
                <w:rFonts w:hint="eastAsia" w:ascii="仿宋" w:hAnsi="仿宋" w:eastAsia="仿宋" w:cs="仿宋"/>
                <w:sz w:val="24"/>
                <w:highlight w:val="none"/>
                <w:lang w:val="en-US" w:eastAsia="zh-CN"/>
              </w:rPr>
              <w:t>计划及承诺</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lang w:eastAsia="zh-CN"/>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p>
        </w:tc>
        <w:tc>
          <w:tcPr>
            <w:tcW w:w="6276" w:type="dxa"/>
            <w:gridSpan w:val="2"/>
            <w:vAlign w:val="center"/>
          </w:tcPr>
          <w:p>
            <w:pPr>
              <w:keepNext w:val="0"/>
              <w:keepLines w:val="0"/>
              <w:numPr>
                <w:ilvl w:val="0"/>
                <w:numId w:val="5"/>
              </w:numPr>
              <w:suppressLineNumbers w:val="0"/>
              <w:spacing w:before="0" w:beforeAutospacing="0" w:after="0" w:afterAutospacing="0" w:line="360" w:lineRule="auto"/>
              <w:ind w:left="0" w:right="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售后服务说明，保修、售后人员配置情况、售后服务方案，包括货物出现质量问题时可免费退换；不能及时兑现服务承诺内容而影响买方使用时，卖方应给予的补偿。服务响应时间、到场时间、修复时间、应急处理等售后计划措施符合本项目实际情况。服务方案合理科学、可行、针对性强得10分，方案较合理、基本满足服务需要得9-4分，方案合理得4-1分。</w:t>
            </w:r>
          </w:p>
          <w:p>
            <w:pPr>
              <w:keepNext w:val="0"/>
              <w:keepLines w:val="0"/>
              <w:numPr>
                <w:ilvl w:val="0"/>
                <w:numId w:val="5"/>
              </w:numPr>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供货方能保证用户单位完全掌握设备正常使用和基础维护，有完整的培训计划，充分满足用户要求，完备合理</w:t>
            </w:r>
            <w:r>
              <w:rPr>
                <w:rFonts w:hint="eastAsia" w:ascii="仿宋" w:hAnsi="仿宋" w:eastAsia="仿宋" w:cs="仿宋"/>
                <w:highlight w:val="none"/>
                <w:lang w:val="en-US" w:eastAsia="zh-CN"/>
              </w:rPr>
              <w:t>计</w:t>
            </w:r>
            <w:r>
              <w:rPr>
                <w:rFonts w:hint="eastAsia" w:ascii="仿宋" w:hAnsi="仿宋" w:eastAsia="仿宋" w:cs="仿宋"/>
                <w:sz w:val="24"/>
                <w:highlight w:val="none"/>
                <w:lang w:val="en-US" w:eastAsia="zh-CN"/>
              </w:rPr>
              <w:t>划</w:t>
            </w:r>
            <w:r>
              <w:rPr>
                <w:rFonts w:hint="eastAsia" w:ascii="仿宋" w:hAnsi="仿宋" w:eastAsia="仿宋" w:cs="仿宋"/>
                <w:sz w:val="24"/>
                <w:highlight w:val="none"/>
              </w:rPr>
              <w:t>完善，措施有利得</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计划</w:t>
            </w:r>
            <w:r>
              <w:rPr>
                <w:rFonts w:hint="eastAsia" w:ascii="仿宋" w:hAnsi="仿宋" w:eastAsia="仿宋" w:cs="仿宋"/>
                <w:sz w:val="24"/>
                <w:highlight w:val="none"/>
              </w:rPr>
              <w:t>较完善，措施合理</w:t>
            </w:r>
            <w:r>
              <w:rPr>
                <w:rFonts w:hint="eastAsia" w:ascii="仿宋" w:hAnsi="仿宋" w:eastAsia="仿宋" w:cs="仿宋"/>
                <w:sz w:val="24"/>
                <w:highlight w:val="none"/>
                <w:lang w:val="en-US" w:eastAsia="zh-CN"/>
              </w:rPr>
              <w:t>4-2</w:t>
            </w:r>
            <w:r>
              <w:rPr>
                <w:rFonts w:hint="eastAsia" w:ascii="仿宋" w:hAnsi="仿宋" w:eastAsia="仿宋" w:cs="仿宋"/>
                <w:sz w:val="24"/>
                <w:highlight w:val="none"/>
              </w:rPr>
              <w:t>分，</w:t>
            </w:r>
            <w:r>
              <w:rPr>
                <w:rFonts w:hint="eastAsia" w:ascii="仿宋" w:hAnsi="仿宋" w:eastAsia="仿宋" w:cs="仿宋"/>
                <w:sz w:val="24"/>
                <w:highlight w:val="none"/>
                <w:lang w:val="en-US" w:eastAsia="zh-CN"/>
              </w:rPr>
              <w:t>计划</w:t>
            </w:r>
            <w:r>
              <w:rPr>
                <w:rFonts w:hint="eastAsia" w:ascii="仿宋" w:hAnsi="仿宋" w:eastAsia="仿宋" w:cs="仿宋"/>
                <w:sz w:val="24"/>
                <w:highlight w:val="none"/>
              </w:rPr>
              <w:t>及措施欠完整</w:t>
            </w:r>
            <w:r>
              <w:rPr>
                <w:rFonts w:hint="eastAsia" w:ascii="仿宋" w:hAnsi="仿宋" w:eastAsia="仿宋" w:cs="仿宋"/>
                <w:sz w:val="24"/>
                <w:highlight w:val="none"/>
                <w:lang w:val="en-US" w:eastAsia="zh-CN"/>
              </w:rPr>
              <w:t>得1</w:t>
            </w:r>
            <w:r>
              <w:rPr>
                <w:rFonts w:hint="eastAsia" w:ascii="仿宋" w:hAnsi="仿宋" w:eastAsia="仿宋" w:cs="仿宋"/>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交货期及保证措施</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5</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提供货物供货期承诺及设备安装调试进度计划、现场人员计划，质量安全保证措施方案。</w:t>
            </w:r>
            <w:r>
              <w:rPr>
                <w:rFonts w:hint="eastAsia" w:ascii="仿宋" w:hAnsi="仿宋" w:eastAsia="仿宋" w:cs="仿宋"/>
                <w:sz w:val="24"/>
                <w:highlight w:val="none"/>
              </w:rPr>
              <w:t>保证措施可</w:t>
            </w:r>
            <w:r>
              <w:rPr>
                <w:rFonts w:hint="eastAsia" w:ascii="仿宋" w:hAnsi="仿宋" w:eastAsia="仿宋" w:cs="仿宋"/>
                <w:sz w:val="24"/>
                <w:highlight w:val="none"/>
                <w:lang w:val="en-US" w:eastAsia="zh-CN"/>
              </w:rPr>
              <w:t>行考虑全面，有针对性</w:t>
            </w:r>
            <w:r>
              <w:rPr>
                <w:rFonts w:hint="eastAsia" w:ascii="仿宋" w:hAnsi="仿宋" w:eastAsia="仿宋" w:cs="仿宋"/>
                <w:sz w:val="24"/>
                <w:highlight w:val="none"/>
              </w:rPr>
              <w:t>得</w:t>
            </w:r>
            <w:r>
              <w:rPr>
                <w:rFonts w:hint="eastAsia" w:ascii="仿宋" w:hAnsi="仿宋" w:eastAsia="仿宋" w:cs="仿宋"/>
                <w:sz w:val="24"/>
                <w:highlight w:val="none"/>
                <w:lang w:val="en-US" w:eastAsia="zh-CN"/>
              </w:rPr>
              <w:t>5-3</w:t>
            </w:r>
            <w:r>
              <w:rPr>
                <w:rFonts w:hint="eastAsia" w:ascii="仿宋" w:hAnsi="仿宋" w:eastAsia="仿宋" w:cs="仿宋"/>
                <w:sz w:val="24"/>
                <w:highlight w:val="none"/>
              </w:rPr>
              <w:t>分，合理、可行、细节待完善得</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分，欠合理，可行性较差得0分。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38"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Merge w:val="continue"/>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1375"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投标商的优惠条件及备品配件</w:t>
            </w:r>
          </w:p>
        </w:tc>
        <w:tc>
          <w:tcPr>
            <w:tcW w:w="527"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3</w:t>
            </w:r>
          </w:p>
        </w:tc>
        <w:tc>
          <w:tcPr>
            <w:tcW w:w="627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投标商的技术答疑及承诺的优惠条件、备品备件、耗材成本及保修期外运行情况，较多较优合理</w:t>
            </w:r>
            <w:r>
              <w:rPr>
                <w:rFonts w:hint="eastAsia" w:ascii="仿宋" w:hAnsi="仿宋" w:eastAsia="仿宋" w:cs="仿宋"/>
                <w:sz w:val="24"/>
                <w:highlight w:val="none"/>
                <w:lang w:val="en-US" w:eastAsia="zh-CN"/>
              </w:rPr>
              <w:t>得</w:t>
            </w:r>
            <w:r>
              <w:rPr>
                <w:rFonts w:hint="eastAsia" w:ascii="仿宋" w:hAnsi="仿宋" w:eastAsia="仿宋" w:cs="仿宋"/>
                <w:sz w:val="24"/>
                <w:highlight w:val="none"/>
              </w:rPr>
              <w:t>3分，基本满足需要得2分，无</w:t>
            </w:r>
            <w:r>
              <w:rPr>
                <w:rFonts w:hint="eastAsia" w:ascii="仿宋" w:hAnsi="仿宋" w:eastAsia="仿宋" w:cs="仿宋"/>
                <w:sz w:val="24"/>
                <w:highlight w:val="none"/>
                <w:lang w:val="en-US" w:eastAsia="zh-CN"/>
              </w:rPr>
              <w:t>则</w:t>
            </w:r>
            <w:r>
              <w:rPr>
                <w:rFonts w:hint="eastAsia" w:ascii="仿宋" w:hAnsi="仿宋" w:eastAsia="仿宋" w:cs="仿宋"/>
                <w:sz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38"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p>
        </w:tc>
        <w:tc>
          <w:tcPr>
            <w:tcW w:w="942" w:type="dxa"/>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sz w:val="24"/>
                <w:highlight w:val="none"/>
              </w:rPr>
            </w:pPr>
            <w:r>
              <w:rPr>
                <w:rFonts w:hint="eastAsia" w:ascii="仿宋" w:hAnsi="仿宋" w:eastAsia="仿宋" w:cs="仿宋"/>
                <w:sz w:val="24"/>
                <w:highlight w:val="none"/>
              </w:rPr>
              <w:t xml:space="preserve">价格 </w:t>
            </w:r>
          </w:p>
        </w:tc>
        <w:tc>
          <w:tcPr>
            <w:tcW w:w="1375" w:type="dxa"/>
            <w:vAlign w:val="center"/>
          </w:tcPr>
          <w:p>
            <w:pPr>
              <w:keepNext w:val="0"/>
              <w:keepLines w:val="0"/>
              <w:suppressLineNumbers w:val="0"/>
              <w:spacing w:before="0" w:beforeAutospacing="0" w:after="0" w:afterAutospacing="0" w:line="360" w:lineRule="auto"/>
              <w:ind w:left="0" w:leftChars="0" w:right="0" w:right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 xml:space="preserve">（权重A3=30） </w:t>
            </w:r>
          </w:p>
        </w:tc>
        <w:tc>
          <w:tcPr>
            <w:tcW w:w="5438" w:type="dxa"/>
            <w:gridSpan w:val="2"/>
            <w:vAlign w:val="center"/>
          </w:tcPr>
          <w:p>
            <w:pPr>
              <w:keepNext w:val="0"/>
              <w:keepLines w:val="0"/>
              <w:suppressLineNumbers w:val="0"/>
              <w:spacing w:before="0" w:beforeAutospacing="0" w:after="0" w:afterAutospacing="0" w:line="360" w:lineRule="auto"/>
              <w:ind w:left="0" w:leftChars="0" w:right="0" w:right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1、满足招标文件要求且投标价格最低的投标报价为评标基准价，其价格分为满分。其他投标人的价格分统一按照下列公式计算：投标报价得分=(评标基准价／投标报价)×30%×100</w:t>
            </w:r>
          </w:p>
        </w:tc>
        <w:tc>
          <w:tcPr>
            <w:tcW w:w="1365" w:type="dxa"/>
            <w:vAlign w:val="center"/>
          </w:tcPr>
          <w:p>
            <w:pPr>
              <w:keepNext w:val="0"/>
              <w:keepLines w:val="0"/>
              <w:suppressLineNumbers w:val="0"/>
              <w:spacing w:before="0" w:beforeAutospacing="0" w:after="0" w:afterAutospacing="0" w:line="360" w:lineRule="auto"/>
              <w:ind w:left="0" w:leftChars="0" w:right="0" w:right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价格部分得分</w:t>
            </w:r>
          </w:p>
        </w:tc>
      </w:tr>
    </w:tbl>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both"/>
        <w:outlineLvl w:val="1"/>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七、成交及合同签订</w:t>
      </w:r>
      <w:bookmarkEnd w:id="63"/>
      <w:bookmarkEnd w:id="64"/>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65" w:name="_Toc13949"/>
      <w:r>
        <w:rPr>
          <w:rFonts w:hint="eastAsia" w:ascii="仿宋" w:hAnsi="仿宋" w:eastAsia="仿宋" w:cs="仿宋"/>
          <w:b/>
          <w:bCs/>
          <w:color w:val="000000" w:themeColor="text1"/>
          <w:sz w:val="24"/>
          <w:highlight w:val="none"/>
          <w14:textFill>
            <w14:solidFill>
              <w14:schemeClr w14:val="tx1"/>
            </w14:solidFill>
          </w14:textFill>
        </w:rPr>
        <w:t>（三十四）成交人</w:t>
      </w:r>
      <w:bookmarkEnd w:id="65"/>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根据评标委员会对各投标人满足招标文件实质性要求（所谓实质性响应，是指文件应与招标文件的所有实质性条款、条件和要求相符，无显著差异或保留（由评标委员会确定））、综合评分最高的为成交候选人。</w:t>
      </w:r>
    </w:p>
    <w:p>
      <w:pPr>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采购人从评标委员会提出的成交候选投标人中根据符合采购需求、质量和服务相等且综合得分最高的确定成交投标人。</w:t>
      </w:r>
    </w:p>
    <w:p>
      <w:pPr>
        <w:snapToGrid w:val="0"/>
        <w:spacing w:line="360" w:lineRule="auto"/>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66" w:name="_Toc20671"/>
      <w:r>
        <w:rPr>
          <w:rFonts w:hint="eastAsia" w:ascii="仿宋" w:hAnsi="仿宋" w:eastAsia="仿宋" w:cs="仿宋"/>
          <w:b/>
          <w:bCs/>
          <w:color w:val="000000" w:themeColor="text1"/>
          <w:sz w:val="24"/>
          <w:highlight w:val="none"/>
          <w14:textFill>
            <w14:solidFill>
              <w14:schemeClr w14:val="tx1"/>
            </w14:solidFill>
          </w14:textFill>
        </w:rPr>
        <w:t>（三十五）资格后审</w:t>
      </w:r>
      <w:bookmarkEnd w:id="66"/>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购人将在签订合同前对成交候选人是否能圆满地履行合同进行审查。审查包括成交候选人投标文件中提供的所有资格证明材料原件，成交候选人投标文件及补充承诺中涉及的其他相关资料原件，以及对本项目实施可能存在风险的其他因素。</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2、采购人若发现成交候选人在投标过程中提供虚假证明文件，故意隐瞒公司不良信誉和财务状况，以及存在可能对合同圆满履行造成风险的其他因素等，则按规定取消其成交资格，监管部门依法进行处理。</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3、如果成交候选投标人被确认为不具备执行合同的能力，采购人将考虑按同样的程序审查下一个成交候选人。</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67" w:name="_Toc30221"/>
      <w:r>
        <w:rPr>
          <w:rFonts w:hint="eastAsia" w:ascii="仿宋" w:hAnsi="仿宋" w:eastAsia="仿宋" w:cs="仿宋"/>
          <w:b/>
          <w:bCs/>
          <w:color w:val="000000" w:themeColor="text1"/>
          <w:sz w:val="24"/>
          <w:highlight w:val="none"/>
          <w14:textFill>
            <w14:solidFill>
              <w14:schemeClr w14:val="tx1"/>
            </w14:solidFill>
          </w14:textFill>
        </w:rPr>
        <w:t>（三十六）成交通知书</w:t>
      </w:r>
      <w:bookmarkEnd w:id="67"/>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1、成交结果在财政部门指定信息媒体（新疆维吾尔自治区政府采购网）上发布公告后，向成交人发出成交通知书。</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2、成交人应及时领取成交通知书，成交通知书是签订合同的依据和组成部分。</w:t>
      </w:r>
    </w:p>
    <w:p>
      <w:pPr>
        <w:spacing w:line="360" w:lineRule="auto"/>
        <w:ind w:firstLine="482" w:firstLineChars="200"/>
        <w:jc w:val="left"/>
        <w:rPr>
          <w:rFonts w:hint="eastAsia" w:ascii="仿宋" w:hAnsi="仿宋" w:eastAsia="仿宋" w:cs="仿宋"/>
          <w:color w:val="000000" w:themeColor="text1"/>
          <w:sz w:val="24"/>
          <w:highlight w:val="none"/>
          <w14:textFill>
            <w14:solidFill>
              <w14:schemeClr w14:val="tx1"/>
            </w14:solidFill>
          </w14:textFill>
        </w:rPr>
      </w:pPr>
      <w:bookmarkStart w:id="68" w:name="_Toc31892"/>
      <w:r>
        <w:rPr>
          <w:rFonts w:hint="eastAsia" w:ascii="仿宋" w:hAnsi="仿宋" w:eastAsia="仿宋" w:cs="仿宋"/>
          <w:b/>
          <w:bCs/>
          <w:color w:val="000000" w:themeColor="text1"/>
          <w:sz w:val="24"/>
          <w:highlight w:val="none"/>
          <w14:textFill>
            <w14:solidFill>
              <w14:schemeClr w14:val="tx1"/>
            </w14:solidFill>
          </w14:textFill>
        </w:rPr>
        <w:t>（三十七）签订合同</w:t>
      </w:r>
      <w:bookmarkEnd w:id="68"/>
    </w:p>
    <w:p>
      <w:pPr>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成交人应在规定的时间、地点与采购人签订合同，招标文件、成交人的投标文件、服务承诺文件以及评标过程中有关澄清文件均作为合同附件，</w:t>
      </w:r>
      <w:r>
        <w:rPr>
          <w:rFonts w:hint="eastAsia" w:ascii="仿宋" w:hAnsi="仿宋" w:eastAsia="仿宋" w:cs="仿宋"/>
          <w:b/>
          <w:color w:val="000000" w:themeColor="text1"/>
          <w:sz w:val="24"/>
          <w:highlight w:val="none"/>
          <w14:textFill>
            <w14:solidFill>
              <w14:schemeClr w14:val="tx1"/>
            </w14:solidFill>
          </w14:textFill>
        </w:rPr>
        <w:t>合同经采购人审核盖章后实施</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项目数量增减、合同条款变更、预算追加等按规定报批后，另行签订补充合同。</w:t>
      </w:r>
    </w:p>
    <w:p>
      <w:pPr>
        <w:spacing w:line="360" w:lineRule="auto"/>
        <w:ind w:left="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1、成交人无正当理由未在规定时间内与采购人签订合同的，采购人有权建议取消其成交资格，监管部门将对其依法处理。</w:t>
      </w:r>
    </w:p>
    <w:p>
      <w:pPr>
        <w:spacing w:line="360" w:lineRule="auto"/>
        <w:ind w:left="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2、采购人不得向成交人提出任何不合理的要求，作为签订合同的条件；不得与成交人私下订立背离合同实质性内容的协议。</w:t>
      </w:r>
    </w:p>
    <w:p>
      <w:pPr>
        <w:spacing w:line="360" w:lineRule="auto"/>
        <w:ind w:left="1"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3、成交人因不可抗力或自身原因不能签订采购合同或者不能履行合同的，参照财政部87号令，采购人可以按成交候选顺序确定新的成交人并签订合同，以此类推，或重新进行采购。</w:t>
      </w:r>
    </w:p>
    <w:p>
      <w:pPr>
        <w:spacing w:line="360" w:lineRule="auto"/>
        <w:ind w:firstLine="360" w:firstLineChars="1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4、采购人在授予合同时有权对本文件规定的货物和服务予以适当的增加或减少，但不得改变单价或其他条款和条件。</w:t>
      </w:r>
    </w:p>
    <w:p>
      <w:pPr>
        <w:spacing w:line="360" w:lineRule="auto"/>
        <w:ind w:left="122" w:leftChars="58" w:firstLine="361" w:firstLineChars="15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合同履行中，追加采购与合同标的相同的货物或服务的，按规定报批后，签订补充合同。</w:t>
      </w:r>
    </w:p>
    <w:p>
      <w:pPr>
        <w:spacing w:line="360" w:lineRule="auto"/>
        <w:ind w:left="2"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5、成交人应当按照合同约定履行义务，完成中标项目，不得将中标项目转让给他人。除本文件另有规定外，也不得将中标项目进行分包给他人。</w:t>
      </w: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bookmarkStart w:id="69" w:name="_Toc21153"/>
      <w:bookmarkStart w:id="70" w:name="_Toc5345"/>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八、验收及付款</w:t>
      </w:r>
      <w:bookmarkEnd w:id="69"/>
      <w:bookmarkEnd w:id="70"/>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71" w:name="_Toc5999"/>
      <w:r>
        <w:rPr>
          <w:rFonts w:hint="eastAsia" w:ascii="仿宋" w:hAnsi="仿宋" w:eastAsia="仿宋" w:cs="仿宋"/>
          <w:b/>
          <w:bCs/>
          <w:color w:val="000000" w:themeColor="text1"/>
          <w:sz w:val="24"/>
          <w:highlight w:val="none"/>
          <w14:textFill>
            <w14:solidFill>
              <w14:schemeClr w14:val="tx1"/>
            </w14:solidFill>
          </w14:textFill>
        </w:rPr>
        <w:t>（三十八）验收</w:t>
      </w:r>
      <w:bookmarkEnd w:id="71"/>
    </w:p>
    <w:p>
      <w:pPr>
        <w:spacing w:line="360" w:lineRule="auto"/>
        <w:ind w:right="105" w:rightChars="50"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1、采购单位组建验收小组，验收小组由单位纪检人员、技术人员等三人以上组成，按</w:t>
      </w:r>
      <w:r>
        <w:rPr>
          <w:rFonts w:hint="eastAsia" w:ascii="仿宋" w:hAnsi="仿宋" w:eastAsia="仿宋" w:cs="仿宋"/>
          <w:bCs/>
          <w:color w:val="000000" w:themeColor="text1"/>
          <w:sz w:val="24"/>
          <w:highlight w:val="none"/>
          <w14:textFill>
            <w14:solidFill>
              <w14:schemeClr w14:val="tx1"/>
            </w14:solidFill>
          </w14:textFill>
        </w:rPr>
        <w:t>采购合同约定的时间组织验收。</w:t>
      </w:r>
    </w:p>
    <w:p>
      <w:pPr>
        <w:spacing w:line="360" w:lineRule="auto"/>
        <w:ind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bookmarkStart w:id="72" w:name="_Toc12375"/>
      <w:r>
        <w:rPr>
          <w:rFonts w:hint="eastAsia" w:ascii="仿宋" w:hAnsi="仿宋" w:eastAsia="仿宋" w:cs="仿宋"/>
          <w:b/>
          <w:bCs/>
          <w:color w:val="000000" w:themeColor="text1"/>
          <w:sz w:val="24"/>
          <w:highlight w:val="none"/>
          <w14:textFill>
            <w14:solidFill>
              <w14:schemeClr w14:val="tx1"/>
            </w14:solidFill>
          </w14:textFill>
        </w:rPr>
        <w:t>（三十九）项目办结及付款</w:t>
      </w:r>
      <w:bookmarkEnd w:id="72"/>
    </w:p>
    <w:p>
      <w:pPr>
        <w:spacing w:line="360" w:lineRule="auto"/>
        <w:ind w:firstLine="480" w:firstLineChars="200"/>
        <w:jc w:val="lef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采购人凭项目合同、验收报告、发票原件在合同约定的时间内办理采购款支付手续。</w:t>
      </w:r>
    </w:p>
    <w:p>
      <w:pPr>
        <w:spacing w:line="360" w:lineRule="auto"/>
        <w:ind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bookmarkStart w:id="73" w:name="_Toc18132"/>
      <w:bookmarkStart w:id="74" w:name="_Toc21036"/>
    </w:p>
    <w:p>
      <w:pPr>
        <w:spacing w:line="360" w:lineRule="auto"/>
        <w:jc w:val="center"/>
        <w:outlineLvl w:val="1"/>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九、法律责任</w:t>
      </w:r>
      <w:bookmarkEnd w:id="73"/>
      <w:bookmarkEnd w:id="74"/>
    </w:p>
    <w:p>
      <w:pPr>
        <w:spacing w:line="360" w:lineRule="auto"/>
        <w:ind w:left="718" w:leftChars="1" w:hanging="716" w:hangingChars="297"/>
        <w:rPr>
          <w:rFonts w:hint="eastAsia" w:ascii="仿宋" w:hAnsi="仿宋" w:eastAsia="仿宋" w:cs="仿宋"/>
          <w:b/>
          <w:color w:val="000000" w:themeColor="text1"/>
          <w:sz w:val="24"/>
          <w:highlight w:val="none"/>
          <w14:textFill>
            <w14:solidFill>
              <w14:schemeClr w14:val="tx1"/>
            </w14:solidFill>
          </w14:textFill>
        </w:rPr>
      </w:pPr>
      <w:bookmarkStart w:id="75" w:name="_Toc22257"/>
      <w:r>
        <w:rPr>
          <w:rFonts w:hint="eastAsia" w:ascii="仿宋" w:hAnsi="仿宋" w:eastAsia="仿宋" w:cs="仿宋"/>
          <w:b/>
          <w:color w:val="000000" w:themeColor="text1"/>
          <w:sz w:val="24"/>
          <w:highlight w:val="none"/>
          <w14:textFill>
            <w14:solidFill>
              <w14:schemeClr w14:val="tx1"/>
            </w14:solidFill>
          </w14:textFill>
        </w:rPr>
        <w:t xml:space="preserve">    （四十）法律责任</w:t>
      </w:r>
      <w:bookmarkEnd w:id="75"/>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76" w:name="_Toc21912"/>
      <w:bookmarkStart w:id="77" w:name="_Toc1613"/>
      <w:r>
        <w:rPr>
          <w:rFonts w:hint="eastAsia" w:ascii="仿宋" w:hAnsi="仿宋" w:eastAsia="仿宋" w:cs="仿宋"/>
          <w:color w:val="000000" w:themeColor="text1"/>
          <w:sz w:val="24"/>
          <w:highlight w:val="none"/>
          <w14:textFill>
            <w14:solidFill>
              <w14:schemeClr w14:val="tx1"/>
            </w14:solidFill>
          </w14:textFill>
        </w:rPr>
        <w:t>投标人有下列情形之一的，处以采购项目采购金额千分之五以上千分之十以下的罚款，列入不良行为记录名单，在一至三年内禁止参加我公司的招标采购活动，并予以公告，有违法所得的，并处没收违法所得，构成犯罪的，依法追究刑事责任：</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bookmarkStart w:id="78" w:name="_Toc20745_WPSOffice_Level2"/>
      <w:r>
        <w:rPr>
          <w:rFonts w:hint="eastAsia" w:ascii="仿宋" w:hAnsi="仿宋" w:eastAsia="仿宋" w:cs="仿宋"/>
          <w:color w:val="000000" w:themeColor="text1"/>
          <w:sz w:val="24"/>
          <w:highlight w:val="none"/>
          <w14:textFill>
            <w14:solidFill>
              <w14:schemeClr w14:val="tx1"/>
            </w14:solidFill>
          </w14:textFill>
        </w:rPr>
        <w:t>1、提供虚假材料谋取中标的；</w:t>
      </w:r>
      <w:bookmarkEnd w:id="78"/>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bookmarkStart w:id="79" w:name="_Toc12413_WPSOffice_Level2"/>
      <w:r>
        <w:rPr>
          <w:rFonts w:hint="eastAsia" w:ascii="仿宋" w:hAnsi="仿宋" w:eastAsia="仿宋" w:cs="仿宋"/>
          <w:color w:val="000000" w:themeColor="text1"/>
          <w:sz w:val="24"/>
          <w:highlight w:val="none"/>
          <w14:textFill>
            <w14:solidFill>
              <w14:schemeClr w14:val="tx1"/>
            </w14:solidFill>
          </w14:textFill>
        </w:rPr>
        <w:t>2、采取不正当手段诋毁、排挤其他投标人的；</w:t>
      </w:r>
      <w:bookmarkEnd w:id="79"/>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bookmarkStart w:id="80" w:name="_Toc11321_WPSOffice_Level2"/>
      <w:r>
        <w:rPr>
          <w:rFonts w:hint="eastAsia" w:ascii="仿宋" w:hAnsi="仿宋" w:eastAsia="仿宋" w:cs="仿宋"/>
          <w:color w:val="000000" w:themeColor="text1"/>
          <w:sz w:val="24"/>
          <w:highlight w:val="none"/>
          <w14:textFill>
            <w14:solidFill>
              <w14:schemeClr w14:val="tx1"/>
            </w14:solidFill>
          </w14:textFill>
        </w:rPr>
        <w:t>3、与招标人、其他投标人或采购代理机构恶意串通的；</w:t>
      </w:r>
      <w:bookmarkEnd w:id="80"/>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b/>
      </w:r>
      <w:bookmarkStart w:id="81" w:name="_Toc28466_WPSOffice_Level2"/>
      <w:r>
        <w:rPr>
          <w:rFonts w:hint="eastAsia" w:ascii="仿宋" w:hAnsi="仿宋" w:eastAsia="仿宋" w:cs="仿宋"/>
          <w:color w:val="000000" w:themeColor="text1"/>
          <w:sz w:val="24"/>
          <w:highlight w:val="none"/>
          <w14:textFill>
            <w14:solidFill>
              <w14:schemeClr w14:val="tx1"/>
            </w14:solidFill>
          </w14:textFill>
        </w:rPr>
        <w:t>4、向招标人、采购代理机构行贿或者提供其他不正当利益的；</w:t>
      </w:r>
      <w:bookmarkEnd w:id="81"/>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投标人有前款情形之一的，中标无效。</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中标人有下列情形之一的，招标采购单位不予退还其交纳的投标保证金；情节严重的，将列入不良行为记录名单，在一至三年内禁止参加我公司招标采购活动，并予以通报：</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1、中标后无正当理由不与招标人签订合同，或者与招标人另行订立背离合同实质性内容的协议的；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2、将中标项目转让给他人，或者在投标文件中未说明，且未经招标人同意，将中标项目分包给他人的；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3、拒绝履行合同义务的。</w:t>
      </w:r>
    </w:p>
    <w:p>
      <w:pPr>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中标人有前款情形之一的，中标无效。</w:t>
      </w:r>
    </w:p>
    <w:p>
      <w:pPr>
        <w:spacing w:line="360" w:lineRule="auto"/>
        <w:ind w:left="1"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本招标文件依据《中华人民共和国政府采购法》规定编制，解释权属新疆凌云天成工程管理咨询有限公司。</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bookmarkEnd w:id="76"/>
    <w:bookmarkEnd w:id="77"/>
    <w:p>
      <w:pPr>
        <w:spacing w:line="360" w:lineRule="auto"/>
        <w:jc w:val="center"/>
        <w:outlineLvl w:val="0"/>
        <w:rPr>
          <w:rFonts w:hint="eastAsia" w:ascii="仿宋" w:hAnsi="仿宋" w:eastAsia="仿宋" w:cs="仿宋"/>
          <w:color w:val="000000" w:themeColor="text1"/>
          <w:highlight w:val="none"/>
          <w14:textFill>
            <w14:solidFill>
              <w14:schemeClr w14:val="tx1"/>
            </w14:solidFill>
          </w14:textFill>
        </w:rPr>
      </w:pPr>
      <w:bookmarkStart w:id="82" w:name="_Toc7831"/>
      <w:bookmarkStart w:id="83" w:name="_Toc13487_WPSOffice_Level1"/>
      <w:bookmarkStart w:id="84" w:name="_Toc25157"/>
      <w:bookmarkStart w:id="85" w:name="_Toc31101"/>
      <w:bookmarkStart w:id="86" w:name="_Toc5426"/>
      <w:bookmarkStart w:id="87" w:name="_Toc8586"/>
      <w:bookmarkStart w:id="88" w:name="_Toc2509"/>
      <w:bookmarkStart w:id="89" w:name="_Toc603"/>
      <w:r>
        <w:rPr>
          <w:rFonts w:hint="eastAsia" w:ascii="仿宋" w:hAnsi="仿宋" w:eastAsia="仿宋" w:cs="仿宋"/>
          <w:b/>
          <w:bCs/>
          <w:color w:val="000000" w:themeColor="text1"/>
          <w:sz w:val="32"/>
          <w:szCs w:val="32"/>
          <w:highlight w:val="none"/>
          <w14:textFill>
            <w14:solidFill>
              <w14:schemeClr w14:val="tx1"/>
            </w14:solidFill>
          </w14:textFill>
        </w:rPr>
        <w:t>第三部分授予合同</w:t>
      </w:r>
      <w:bookmarkEnd w:id="82"/>
      <w:bookmarkEnd w:id="83"/>
      <w:bookmarkEnd w:id="84"/>
      <w:bookmarkEnd w:id="85"/>
      <w:bookmarkEnd w:id="86"/>
      <w:bookmarkEnd w:id="87"/>
    </w:p>
    <w:bookmarkEnd w:id="88"/>
    <w:bookmarkEnd w:id="89"/>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bookmarkStart w:id="90" w:name="_Toc7751_WPSOffice_Level1"/>
      <w:r>
        <w:rPr>
          <w:rFonts w:hint="eastAsia" w:ascii="仿宋" w:hAnsi="仿宋" w:eastAsia="仿宋" w:cs="仿宋"/>
          <w:b/>
          <w:color w:val="000000" w:themeColor="text1"/>
          <w:sz w:val="28"/>
          <w:szCs w:val="28"/>
          <w:highlight w:val="none"/>
          <w14:textFill>
            <w14:solidFill>
              <w14:schemeClr w14:val="tx1"/>
            </w14:solidFill>
          </w14:textFill>
        </w:rPr>
        <w:t>具体以成交人与采购人最终签订的合同为准</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采购单位（全称）： （简称甲方）</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中标供应商（全称）：（简称乙方）</w:t>
      </w:r>
    </w:p>
    <w:p>
      <w:pPr>
        <w:autoSpaceDN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依照《中华人民共和国政府采购法》、《中华人民共和国合同法》及其他有关法律、行政法规，遵循平等、自愿、公平和诚实信用的原则，双方就        </w:t>
      </w:r>
      <w:r>
        <w:rPr>
          <w:rFonts w:hint="eastAsia" w:ascii="仿宋" w:hAnsi="仿宋" w:eastAsia="仿宋" w:cs="仿宋"/>
          <w:bCs/>
          <w:color w:val="000000" w:themeColor="text1"/>
          <w:sz w:val="24"/>
          <w:highlight w:val="none"/>
          <w14:textFill>
            <w14:solidFill>
              <w14:schemeClr w14:val="tx1"/>
            </w14:solidFill>
          </w14:textFill>
        </w:rPr>
        <w:t>项目相关</w:t>
      </w:r>
      <w:r>
        <w:rPr>
          <w:rFonts w:hint="eastAsia" w:ascii="仿宋" w:hAnsi="仿宋" w:eastAsia="仿宋" w:cs="仿宋"/>
          <w:color w:val="000000" w:themeColor="text1"/>
          <w:sz w:val="24"/>
          <w:highlight w:val="none"/>
          <w14:textFill>
            <w14:solidFill>
              <w14:schemeClr w14:val="tx1"/>
            </w14:solidFill>
          </w14:textFill>
        </w:rPr>
        <w:t>事项协商一致，达成如下合同条款：</w:t>
      </w:r>
    </w:p>
    <w:p>
      <w:pPr>
        <w:snapToGrid w:val="0"/>
        <w:spacing w:line="360" w:lineRule="auto"/>
        <w:ind w:firstLine="475" w:firstLineChars="197"/>
        <w:rPr>
          <w:rFonts w:hint="eastAsia" w:ascii="仿宋" w:hAnsi="仿宋" w:eastAsia="仿宋" w:cs="仿宋"/>
          <w:color w:val="000000" w:themeColor="text1"/>
          <w:sz w:val="24"/>
          <w:highlight w:val="none"/>
          <w14:textFill>
            <w14:solidFill>
              <w14:schemeClr w14:val="tx1"/>
            </w14:solidFill>
          </w14:textFill>
        </w:rPr>
      </w:pPr>
      <w:bookmarkStart w:id="91" w:name="_Toc29195"/>
      <w:r>
        <w:rPr>
          <w:rFonts w:hint="eastAsia" w:ascii="仿宋" w:hAnsi="仿宋" w:eastAsia="仿宋" w:cs="仿宋"/>
          <w:b/>
          <w:color w:val="000000" w:themeColor="text1"/>
          <w:sz w:val="24"/>
          <w:highlight w:val="none"/>
          <w14:textFill>
            <w14:solidFill>
              <w14:schemeClr w14:val="tx1"/>
            </w14:solidFill>
          </w14:textFill>
        </w:rPr>
        <w:t>一、乙方向甲方提供总价值为元的标的（货物/服务）。</w:t>
      </w:r>
      <w:bookmarkEnd w:id="91"/>
    </w:p>
    <w:p>
      <w:pPr>
        <w:snapToGrid w:val="0"/>
        <w:spacing w:line="360" w:lineRule="auto"/>
        <w:ind w:firstLine="4016" w:firstLineChars="125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标 的 清 单</w:t>
      </w:r>
    </w:p>
    <w:tbl>
      <w:tblPr>
        <w:tblStyle w:val="15"/>
        <w:tblW w:w="890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790"/>
        <w:gridCol w:w="1230"/>
        <w:gridCol w:w="181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货物名称及品牌.规格.型号</w:t>
            </w:r>
          </w:p>
        </w:tc>
        <w:tc>
          <w:tcPr>
            <w:tcW w:w="79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w:t>
            </w:r>
          </w:p>
        </w:tc>
        <w:tc>
          <w:tcPr>
            <w:tcW w:w="123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81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单价（元）</w:t>
            </w:r>
          </w:p>
        </w:tc>
        <w:tc>
          <w:tcPr>
            <w:tcW w:w="183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5" w:type="dxa"/>
            <w:gridSpan w:val="5"/>
            <w:vAlign w:val="center"/>
          </w:tcPr>
          <w:p>
            <w:pPr>
              <w:keepNext w:val="0"/>
              <w:keepLines w:val="0"/>
              <w:suppressLineNumbers w:val="0"/>
              <w:spacing w:before="0" w:beforeAutospacing="0" w:after="0" w:afterAutospacing="0" w:line="360" w:lineRule="auto"/>
              <w:ind w:left="0" w:right="0"/>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合计人民币金额（大写）：                          （￥：    ）</w:t>
            </w:r>
          </w:p>
        </w:tc>
      </w:tr>
    </w:tbl>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注：可另附清单。</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92" w:name="_Toc17723"/>
      <w:r>
        <w:rPr>
          <w:rFonts w:hint="eastAsia" w:ascii="仿宋" w:hAnsi="仿宋" w:eastAsia="仿宋" w:cs="仿宋"/>
          <w:b/>
          <w:color w:val="000000" w:themeColor="text1"/>
          <w:sz w:val="24"/>
          <w:highlight w:val="none"/>
          <w14:textFill>
            <w14:solidFill>
              <w14:schemeClr w14:val="tx1"/>
            </w14:solidFill>
          </w14:textFill>
        </w:rPr>
        <w:t>二、交货时间、地点</w:t>
      </w:r>
      <w:bookmarkEnd w:id="92"/>
    </w:p>
    <w:p>
      <w:pPr>
        <w:spacing w:line="360" w:lineRule="auto"/>
        <w:ind w:firstLine="480" w:firstLineChars="200"/>
        <w:rPr>
          <w:rFonts w:hint="eastAsia" w:ascii="仿宋" w:hAnsi="仿宋" w:eastAsia="仿宋" w:cs="仿宋"/>
          <w:color w:val="000000" w:themeColor="text1"/>
          <w:sz w:val="24"/>
          <w:highlight w:val="none"/>
          <w:u w:val="single"/>
          <w:lang w:val="en-US" w:eastAsia="zh-CN"/>
          <w14:textFill>
            <w14:solidFill>
              <w14:schemeClr w14:val="tx1"/>
            </w14:solidFill>
          </w14:textFill>
        </w:rPr>
      </w:pPr>
      <w:bookmarkStart w:id="93" w:name="_Toc24105"/>
      <w:bookmarkStart w:id="94" w:name="_Toc28864"/>
      <w:r>
        <w:rPr>
          <w:rFonts w:hint="eastAsia" w:ascii="仿宋" w:hAnsi="仿宋" w:eastAsia="仿宋" w:cs="仿宋"/>
          <w:color w:val="000000" w:themeColor="text1"/>
          <w:sz w:val="24"/>
          <w:highlight w:val="none"/>
          <w14:textFill>
            <w14:solidFill>
              <w14:schemeClr w14:val="tx1"/>
            </w14:solidFill>
          </w14:textFill>
        </w:rPr>
        <w:t>（一）交货时间</w:t>
      </w:r>
      <w:r>
        <w:rPr>
          <w:rFonts w:hint="eastAsia" w:ascii="仿宋" w:hAnsi="仿宋" w:eastAsia="仿宋" w:cs="仿宋"/>
          <w:color w:val="000000" w:themeColor="text1"/>
          <w:sz w:val="24"/>
          <w:highlight w:val="none"/>
          <w:u w:val="single"/>
          <w14:textFill>
            <w14:solidFill>
              <w14:schemeClr w14:val="tx1"/>
            </w14:solidFill>
          </w14:textFill>
        </w:rPr>
        <w:t>：</w:t>
      </w:r>
      <w:bookmarkEnd w:id="93"/>
      <w:bookmarkEnd w:id="94"/>
      <w:r>
        <w:rPr>
          <w:rFonts w:hint="eastAsia" w:ascii="仿宋" w:hAnsi="仿宋" w:eastAsia="仿宋" w:cs="仿宋"/>
          <w:color w:val="000000" w:themeColor="text1"/>
          <w:sz w:val="24"/>
          <w:highlight w:val="none"/>
          <w:u w:val="single"/>
          <w:lang w:val="en-US" w:eastAsia="zh-CN"/>
          <w14:textFill>
            <w14:solidFill>
              <w14:schemeClr w14:val="tx1"/>
            </w14:solidFill>
          </w14:textFill>
        </w:rPr>
        <w:t>合同签订后60天。</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95" w:name="_Toc3567"/>
      <w:bookmarkStart w:id="96" w:name="_Toc24086"/>
      <w:r>
        <w:rPr>
          <w:rFonts w:hint="eastAsia" w:ascii="仿宋" w:hAnsi="仿宋" w:eastAsia="仿宋" w:cs="仿宋"/>
          <w:color w:val="000000" w:themeColor="text1"/>
          <w:sz w:val="24"/>
          <w:highlight w:val="none"/>
          <w14:textFill>
            <w14:solidFill>
              <w14:schemeClr w14:val="tx1"/>
            </w14:solidFill>
          </w14:textFill>
        </w:rPr>
        <w:t>（二）交货地点：</w:t>
      </w:r>
      <w:r>
        <w:rPr>
          <w:rFonts w:hint="eastAsia" w:ascii="仿宋" w:hAnsi="仿宋" w:eastAsia="仿宋" w:cs="仿宋"/>
          <w:color w:val="000000" w:themeColor="text1"/>
          <w:sz w:val="24"/>
          <w:highlight w:val="none"/>
          <w:u w:val="single"/>
          <w14:textFill>
            <w14:solidFill>
              <w14:schemeClr w14:val="tx1"/>
            </w14:solidFill>
          </w14:textFill>
        </w:rPr>
        <w:t>乌鲁木齐市</w:t>
      </w:r>
      <w:r>
        <w:rPr>
          <w:rFonts w:hint="eastAsia" w:ascii="仿宋" w:hAnsi="仿宋" w:eastAsia="仿宋" w:cs="仿宋"/>
          <w:color w:val="000000" w:themeColor="text1"/>
          <w:sz w:val="24"/>
          <w:highlight w:val="none"/>
          <w14:textFill>
            <w14:solidFill>
              <w14:schemeClr w14:val="tx1"/>
            </w14:solidFill>
          </w14:textFill>
        </w:rPr>
        <w:t>。</w:t>
      </w:r>
      <w:bookmarkEnd w:id="95"/>
      <w:bookmarkEnd w:id="96"/>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97" w:name="_Toc13828"/>
      <w:r>
        <w:rPr>
          <w:rFonts w:hint="eastAsia" w:ascii="仿宋" w:hAnsi="仿宋" w:eastAsia="仿宋" w:cs="仿宋"/>
          <w:b/>
          <w:color w:val="000000" w:themeColor="text1"/>
          <w:sz w:val="24"/>
          <w:highlight w:val="none"/>
          <w14:textFill>
            <w14:solidFill>
              <w14:schemeClr w14:val="tx1"/>
            </w14:solidFill>
          </w14:textFill>
        </w:rPr>
        <w:t>三、质量技术标准</w:t>
      </w:r>
      <w:bookmarkEnd w:id="97"/>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乙方提供的产品性能及质量有国家标准的应符合国家标准。无国家标准的应符合行业标准或企业标准，并满足招标文件要求，实现文件承诺条款。</w:t>
      </w:r>
    </w:p>
    <w:p>
      <w:pPr>
        <w:spacing w:line="360" w:lineRule="auto"/>
        <w:ind w:firstLine="475" w:firstLineChars="197"/>
        <w:rPr>
          <w:rFonts w:hint="eastAsia" w:ascii="仿宋" w:hAnsi="仿宋" w:eastAsia="仿宋" w:cs="仿宋"/>
          <w:color w:val="000000" w:themeColor="text1"/>
          <w:sz w:val="24"/>
          <w:highlight w:val="none"/>
          <w14:textFill>
            <w14:solidFill>
              <w14:schemeClr w14:val="tx1"/>
            </w14:solidFill>
          </w14:textFill>
        </w:rPr>
      </w:pPr>
      <w:bookmarkStart w:id="98" w:name="_Toc11217"/>
      <w:r>
        <w:rPr>
          <w:rFonts w:hint="eastAsia" w:ascii="仿宋" w:hAnsi="仿宋" w:eastAsia="仿宋" w:cs="仿宋"/>
          <w:b/>
          <w:color w:val="000000" w:themeColor="text1"/>
          <w:sz w:val="24"/>
          <w:highlight w:val="none"/>
          <w14:textFill>
            <w14:solidFill>
              <w14:schemeClr w14:val="tx1"/>
            </w14:solidFill>
          </w14:textFill>
        </w:rPr>
        <w:t>四、运输方式及费用</w:t>
      </w:r>
      <w:bookmarkEnd w:id="98"/>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由乙方视情况自定运输方式，费用自负。</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99" w:name="_Toc7265"/>
      <w:r>
        <w:rPr>
          <w:rFonts w:hint="eastAsia" w:ascii="仿宋" w:hAnsi="仿宋" w:eastAsia="仿宋" w:cs="仿宋"/>
          <w:b/>
          <w:color w:val="000000" w:themeColor="text1"/>
          <w:sz w:val="24"/>
          <w:highlight w:val="none"/>
          <w14:textFill>
            <w14:solidFill>
              <w14:schemeClr w14:val="tx1"/>
            </w14:solidFill>
          </w14:textFill>
        </w:rPr>
        <w:t>五、验收</w:t>
      </w:r>
      <w:bookmarkEnd w:id="99"/>
    </w:p>
    <w:p>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w:t>
      </w:r>
      <w:r>
        <w:rPr>
          <w:rFonts w:hint="eastAsia" w:ascii="仿宋" w:hAnsi="仿宋" w:eastAsia="仿宋" w:cs="仿宋"/>
          <w:color w:val="000000" w:themeColor="text1"/>
          <w:kern w:val="0"/>
          <w:sz w:val="24"/>
          <w:highlight w:val="none"/>
          <w14:textFill>
            <w14:solidFill>
              <w14:schemeClr w14:val="tx1"/>
            </w14:solidFill>
          </w14:textFill>
        </w:rPr>
        <w:t>在货物进场并安装调试后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二）甲方应按签订采购合同约定时间组织验收，并出具验收合格报告。采购单位自行组织验收，随机抽取专业评委组成验收小组，财政部门、纪检监察部门现场监督，并可委托有资质的中介机构进行验收。从政府采购评审库中抽取专业评委参与验收的，评委费（200-400元/人.次）由乙方支付。</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甲方在验收中，如发现有与合同规定不符的，应在天内向乙方提出书面</w:t>
      </w:r>
    </w:p>
    <w:p>
      <w:pPr>
        <w:widowControl/>
        <w:snapToGrid w:val="0"/>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意见，不签发验收单。乙方在接到甲方书面意见后，应在天内予以处理，并将处理结果以</w:t>
      </w:r>
      <w:r>
        <w:rPr>
          <w:rFonts w:hint="eastAsia" w:ascii="仿宋" w:hAnsi="仿宋" w:eastAsia="仿宋" w:cs="仿宋"/>
          <w:b w:val="0"/>
          <w:bCs/>
          <w:color w:val="000000" w:themeColor="text1"/>
          <w:sz w:val="24"/>
          <w:highlight w:val="none"/>
          <w14:textFill>
            <w14:solidFill>
              <w14:schemeClr w14:val="tx1"/>
            </w14:solidFill>
          </w14:textFill>
        </w:rPr>
        <w:t>书面形式告知采购人。</w:t>
      </w:r>
    </w:p>
    <w:p>
      <w:pPr>
        <w:widowControl/>
        <w:snapToGrid w:val="0"/>
        <w:spacing w:line="360" w:lineRule="auto"/>
        <w:ind w:firstLine="482" w:firstLineChars="200"/>
        <w:rPr>
          <w:rFonts w:hint="eastAsia" w:ascii="仿宋" w:hAnsi="仿宋" w:eastAsia="仿宋" w:cs="仿宋"/>
          <w:b/>
          <w:color w:val="000000" w:themeColor="text1"/>
          <w:sz w:val="24"/>
          <w:highlight w:val="none"/>
          <w:lang w:eastAsia="zh-CN"/>
          <w14:textFill>
            <w14:solidFill>
              <w14:schemeClr w14:val="tx1"/>
            </w14:solidFill>
          </w14:textFill>
        </w:rPr>
      </w:pPr>
      <w:bookmarkStart w:id="100" w:name="_Toc5495"/>
      <w:r>
        <w:rPr>
          <w:rFonts w:hint="eastAsia" w:ascii="仿宋" w:hAnsi="仿宋" w:eastAsia="仿宋" w:cs="仿宋"/>
          <w:b/>
          <w:color w:val="000000" w:themeColor="text1"/>
          <w:sz w:val="24"/>
          <w:highlight w:val="none"/>
          <w14:textFill>
            <w14:solidFill>
              <w14:schemeClr w14:val="tx1"/>
            </w14:solidFill>
          </w14:textFill>
        </w:rPr>
        <w:t>六、付款方式</w:t>
      </w:r>
      <w:bookmarkEnd w:id="100"/>
      <w:r>
        <w:rPr>
          <w:rFonts w:hint="eastAsia" w:ascii="仿宋" w:hAnsi="仿宋" w:eastAsia="仿宋" w:cs="仿宋"/>
          <w:b/>
          <w:color w:val="000000" w:themeColor="text1"/>
          <w:sz w:val="24"/>
          <w:highlight w:val="none"/>
          <w:lang w:eastAsia="zh-CN"/>
          <w14:textFill>
            <w14:solidFill>
              <w14:schemeClr w14:val="tx1"/>
            </w14:solidFill>
          </w14:textFill>
        </w:rPr>
        <w:t>：</w:t>
      </w:r>
      <w:bookmarkStart w:id="101" w:name="_Toc18384"/>
      <w:r>
        <w:rPr>
          <w:rFonts w:hint="eastAsia" w:ascii="仿宋" w:hAnsi="仿宋" w:eastAsia="仿宋" w:cs="仿宋"/>
          <w:b/>
          <w:color w:val="000000" w:themeColor="text1"/>
          <w:sz w:val="24"/>
          <w:highlight w:val="none"/>
          <w:lang w:eastAsia="zh-CN"/>
          <w14:textFill>
            <w14:solidFill>
              <w14:schemeClr w14:val="tx1"/>
            </w14:solidFill>
          </w14:textFill>
        </w:rPr>
        <w:t>按正式合同签订文件为准。</w:t>
      </w:r>
    </w:p>
    <w:p>
      <w:pPr>
        <w:widowControl/>
        <w:snapToGrid w:val="0"/>
        <w:spacing w:line="360" w:lineRule="auto"/>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七、售后服务</w:t>
      </w:r>
      <w:bookmarkEnd w:id="101"/>
    </w:p>
    <w:p>
      <w:pPr>
        <w:spacing w:line="360" w:lineRule="auto"/>
        <w:ind w:firstLine="470" w:firstLineChars="196"/>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（一）验收通过之日起对设备免费保修一年。在质保期内乙方对产品质量实行三包，因设备配置或制造质量问题而引起的故障，乙方应在2小时内立即予以免费维修或更换，由此引起的一切费用由乙方承担。</w:t>
      </w:r>
    </w:p>
    <w:p>
      <w:pPr>
        <w:spacing w:line="360" w:lineRule="auto"/>
        <w:ind w:firstLine="470" w:firstLineChars="196"/>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（二）技术支持响应时间。一般问题</w:t>
      </w:r>
      <w:r>
        <w:rPr>
          <w:rFonts w:hint="eastAsia" w:ascii="仿宋" w:hAnsi="仿宋" w:eastAsia="仿宋" w:cs="仿宋"/>
          <w:color w:val="000000" w:themeColor="text1"/>
          <w:sz w:val="24"/>
          <w:highlight w:val="none"/>
          <w:u w:val="single"/>
          <w14:textFill>
            <w14:solidFill>
              <w14:schemeClr w14:val="tx1"/>
            </w14:solidFill>
          </w14:textFill>
        </w:rPr>
        <w:t>半</w:t>
      </w:r>
      <w:r>
        <w:rPr>
          <w:rFonts w:hint="eastAsia" w:ascii="仿宋" w:hAnsi="仿宋" w:eastAsia="仿宋" w:cs="仿宋"/>
          <w:color w:val="000000" w:themeColor="text1"/>
          <w:sz w:val="24"/>
          <w:highlight w:val="none"/>
          <w14:textFill>
            <w14:solidFill>
              <w14:schemeClr w14:val="tx1"/>
            </w14:solidFill>
          </w14:textFill>
        </w:rPr>
        <w:t>小时内电话支持，难点、重点问题</w:t>
      </w:r>
      <w:r>
        <w:rPr>
          <w:rFonts w:hint="eastAsia" w:ascii="仿宋" w:hAnsi="仿宋" w:eastAsia="仿宋" w:cs="仿宋"/>
          <w:color w:val="000000" w:themeColor="text1"/>
          <w:sz w:val="24"/>
          <w:highlight w:val="none"/>
          <w:u w:val="singl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天内现场解决，质保期内相关费用由乙方承担，质保期满后乙方收取成本费。</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02" w:name="_Toc7714"/>
      <w:r>
        <w:rPr>
          <w:rFonts w:hint="eastAsia" w:ascii="仿宋" w:hAnsi="仿宋" w:eastAsia="仿宋" w:cs="仿宋"/>
          <w:b/>
          <w:color w:val="000000" w:themeColor="text1"/>
          <w:sz w:val="24"/>
          <w:highlight w:val="none"/>
          <w14:textFill>
            <w14:solidFill>
              <w14:schemeClr w14:val="tx1"/>
            </w14:solidFill>
          </w14:textFill>
        </w:rPr>
        <w:t>八、违约条款</w:t>
      </w:r>
      <w:bookmarkEnd w:id="102"/>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（一）乙方不按期完成合同约定的内容，应向甲方支付违约金，除甲方或不可抗力造成原因外，每延迟交付一天，按合同总价款的</w:t>
      </w:r>
      <w:r>
        <w:rPr>
          <w:rFonts w:hint="eastAsia" w:ascii="仿宋" w:hAnsi="仿宋" w:eastAsia="仿宋" w:cs="仿宋"/>
          <w:color w:val="000000" w:themeColor="text1"/>
          <w:sz w:val="24"/>
          <w:highlight w:val="none"/>
          <w:u w:val="single"/>
          <w14:textFill>
            <w14:solidFill>
              <w14:schemeClr w14:val="tx1"/>
            </w14:solidFill>
          </w14:textFill>
        </w:rPr>
        <w:t>5 ‰</w:t>
      </w:r>
      <w:r>
        <w:rPr>
          <w:rFonts w:hint="eastAsia" w:ascii="仿宋" w:hAnsi="仿宋" w:eastAsia="仿宋" w:cs="仿宋"/>
          <w:color w:val="000000" w:themeColor="text1"/>
          <w:sz w:val="24"/>
          <w:highlight w:val="none"/>
          <w14:textFill>
            <w14:solidFill>
              <w14:schemeClr w14:val="tx1"/>
            </w14:solidFill>
          </w14:textFill>
        </w:rPr>
        <w:t>支付违约金，违约金可直接从合同款项中扣除; 延期超过</w:t>
      </w:r>
      <w:r>
        <w:rPr>
          <w:rFonts w:hint="eastAsia" w:ascii="仿宋" w:hAnsi="仿宋" w:eastAsia="仿宋" w:cs="仿宋"/>
          <w:color w:val="000000" w:themeColor="text1"/>
          <w:sz w:val="24"/>
          <w:highlight w:val="none"/>
          <w:u w:val="single"/>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日，甲方有权强制解除合同并没收合同款项。</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（二）乙方所供产品品种、型号、规格、花色、质量不符合规定的，由其负责包换或包修，并承担修理、调换或退货而支付的实际费用。 </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（三）非因甲方原因，乙方不履行本合同规定的义务，致使工作延误，甲方有权要求其强制履行或解除合同，并要求乙方等额赔偿由此造成的一切损失。</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（四）本项目不得转让分包，如有发生，除没收其合同款项外，所造成的一切损失由乙方负责。</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03" w:name="_Toc16520"/>
      <w:r>
        <w:rPr>
          <w:rFonts w:hint="eastAsia" w:ascii="仿宋" w:hAnsi="仿宋" w:eastAsia="仿宋" w:cs="仿宋"/>
          <w:b/>
          <w:color w:val="000000" w:themeColor="text1"/>
          <w:sz w:val="24"/>
          <w:highlight w:val="none"/>
          <w14:textFill>
            <w14:solidFill>
              <w14:schemeClr w14:val="tx1"/>
            </w14:solidFill>
          </w14:textFill>
        </w:rPr>
        <w:t>九、知识产权</w:t>
      </w:r>
      <w:bookmarkEnd w:id="103"/>
    </w:p>
    <w:p>
      <w:pPr>
        <w:pStyle w:val="1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04" w:name="_Toc24823"/>
      <w:r>
        <w:rPr>
          <w:rFonts w:hint="eastAsia" w:ascii="仿宋" w:hAnsi="仿宋" w:eastAsia="仿宋" w:cs="仿宋"/>
          <w:b/>
          <w:color w:val="000000" w:themeColor="text1"/>
          <w:sz w:val="24"/>
          <w:highlight w:val="none"/>
          <w14:textFill>
            <w14:solidFill>
              <w14:schemeClr w14:val="tx1"/>
            </w14:solidFill>
          </w14:textFill>
        </w:rPr>
        <w:t>十、合同生效及审核</w:t>
      </w:r>
      <w:bookmarkEnd w:id="104"/>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本合同经甲方、乙方签字盖章后生效，合同签订的内容不能超出招标文件和文件的实质性内容。</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05" w:name="_Toc16821"/>
      <w:r>
        <w:rPr>
          <w:rFonts w:hint="eastAsia" w:ascii="仿宋" w:hAnsi="仿宋" w:eastAsia="仿宋" w:cs="仿宋"/>
          <w:b/>
          <w:color w:val="000000" w:themeColor="text1"/>
          <w:sz w:val="24"/>
          <w:highlight w:val="none"/>
          <w14:textFill>
            <w14:solidFill>
              <w14:schemeClr w14:val="tx1"/>
            </w14:solidFill>
          </w14:textFill>
        </w:rPr>
        <w:t>十一、合同的组成部分</w:t>
      </w:r>
      <w:bookmarkEnd w:id="105"/>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本合同条款、成交通知书、投标文件及供应商在开标时的书面承诺等构成合同的组成部分。 </w:t>
      </w:r>
    </w:p>
    <w:p>
      <w:pPr>
        <w:spacing w:line="360" w:lineRule="auto"/>
        <w:ind w:firstLine="475" w:firstLineChars="197"/>
        <w:rPr>
          <w:rFonts w:hint="eastAsia" w:ascii="仿宋" w:hAnsi="仿宋" w:eastAsia="仿宋" w:cs="仿宋"/>
          <w:color w:val="000000" w:themeColor="text1"/>
          <w:sz w:val="24"/>
          <w:highlight w:val="none"/>
          <w14:textFill>
            <w14:solidFill>
              <w14:schemeClr w14:val="tx1"/>
            </w14:solidFill>
          </w14:textFill>
        </w:rPr>
      </w:pPr>
      <w:bookmarkStart w:id="106" w:name="_Toc3720"/>
      <w:r>
        <w:rPr>
          <w:rFonts w:hint="eastAsia" w:ascii="仿宋" w:hAnsi="仿宋" w:eastAsia="仿宋" w:cs="仿宋"/>
          <w:b/>
          <w:color w:val="000000" w:themeColor="text1"/>
          <w:sz w:val="24"/>
          <w:highlight w:val="none"/>
          <w14:textFill>
            <w14:solidFill>
              <w14:schemeClr w14:val="tx1"/>
            </w14:solidFill>
          </w14:textFill>
        </w:rPr>
        <w:t>十二</w:t>
      </w:r>
      <w:r>
        <w:rPr>
          <w:rFonts w:hint="eastAsia" w:ascii="仿宋" w:hAnsi="仿宋" w:eastAsia="仿宋" w:cs="仿宋"/>
          <w:color w:val="000000" w:themeColor="text1"/>
          <w:sz w:val="24"/>
          <w:highlight w:val="none"/>
          <w14:textFill>
            <w14:solidFill>
              <w14:schemeClr w14:val="tx1"/>
            </w14:solidFill>
          </w14:textFill>
        </w:rPr>
        <w:t>、本合同一式五份，以中文书写，甲方、乙方各执两份，代理机构一份。</w:t>
      </w:r>
      <w:bookmarkEnd w:id="106"/>
    </w:p>
    <w:p>
      <w:pPr>
        <w:spacing w:line="360" w:lineRule="auto"/>
        <w:ind w:firstLine="475" w:firstLineChars="197"/>
        <w:rPr>
          <w:rFonts w:hint="eastAsia" w:ascii="仿宋" w:hAnsi="仿宋" w:eastAsia="仿宋" w:cs="仿宋"/>
          <w:color w:val="000000" w:themeColor="text1"/>
          <w:sz w:val="24"/>
          <w:highlight w:val="none"/>
          <w14:textFill>
            <w14:solidFill>
              <w14:schemeClr w14:val="tx1"/>
            </w14:solidFill>
          </w14:textFill>
        </w:rPr>
      </w:pPr>
      <w:bookmarkStart w:id="107" w:name="_Toc31576"/>
      <w:r>
        <w:rPr>
          <w:rFonts w:hint="eastAsia" w:ascii="仿宋" w:hAnsi="仿宋" w:eastAsia="仿宋" w:cs="仿宋"/>
          <w:b/>
          <w:color w:val="000000" w:themeColor="text1"/>
          <w:sz w:val="24"/>
          <w:highlight w:val="none"/>
          <w14:textFill>
            <w14:solidFill>
              <w14:schemeClr w14:val="tx1"/>
            </w14:solidFill>
          </w14:textFill>
        </w:rPr>
        <w:t>十三、</w:t>
      </w:r>
      <w:r>
        <w:rPr>
          <w:rFonts w:hint="eastAsia" w:ascii="仿宋" w:hAnsi="仿宋" w:eastAsia="仿宋" w:cs="仿宋"/>
          <w:color w:val="000000" w:themeColor="text1"/>
          <w:sz w:val="24"/>
          <w:highlight w:val="none"/>
          <w14:textFill>
            <w14:solidFill>
              <w14:schemeClr w14:val="tx1"/>
            </w14:solidFill>
          </w14:textFill>
        </w:rPr>
        <w:t>本合同一切未尽事宜，按合同法有关规定执行，无相关规定的，由甲乙双方协商解决。</w:t>
      </w:r>
      <w:bookmarkEnd w:id="107"/>
    </w:p>
    <w:p>
      <w:pPr>
        <w:widowControl/>
        <w:snapToGrid w:val="0"/>
        <w:spacing w:line="360" w:lineRule="auto"/>
        <w:ind w:firstLine="200"/>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通用条款</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08" w:name="_Toc6591"/>
      <w:r>
        <w:rPr>
          <w:rFonts w:hint="eastAsia" w:ascii="仿宋" w:hAnsi="仿宋" w:eastAsia="仿宋" w:cs="仿宋"/>
          <w:b/>
          <w:color w:val="000000" w:themeColor="text1"/>
          <w:sz w:val="24"/>
          <w:highlight w:val="none"/>
          <w14:textFill>
            <w14:solidFill>
              <w14:schemeClr w14:val="tx1"/>
            </w14:solidFill>
          </w14:textFill>
        </w:rPr>
        <w:t>十四、词语涵义</w:t>
      </w:r>
      <w:bookmarkEnd w:id="108"/>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（一）合同：甲乙双方签署的、合同格式中载明的甲方与乙方所达成的协议，包括所有的附件、附录和构成合同的所有文件。</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（二）合同价：根据合同规定，乙方在正确地完全履行合同义务后甲方应支付给卖方的价格。</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（三）货物：乙方根据合同规定须向买方提供的一切设备、机械、仪表、备件、工具、手册和其他技术资料及其他材料。</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（四）服务：根据合同规定甲方承担与供货有关的辅助服务，如运输、保险以及其它的伴随服务，比如安装、调试、提供技术援助、培训和其他类似的乙方应承担的义务。</w:t>
      </w:r>
    </w:p>
    <w:p>
      <w:pPr>
        <w:widowControl/>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（五）甲方：采购单位，即</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（六）乙方：提供货物和服务的公司或实体，即</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pPr>
        <w:snapToGrid w:val="0"/>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（七）不可抗力：指</w:t>
      </w:r>
      <w:r>
        <w:rPr>
          <w:rFonts w:hint="eastAsia" w:ascii="仿宋" w:hAnsi="仿宋" w:eastAsia="仿宋" w:cs="仿宋"/>
          <w:color w:val="000000" w:themeColor="text1"/>
          <w:spacing w:val="8"/>
          <w:sz w:val="24"/>
          <w:szCs w:val="21"/>
          <w:highlight w:val="none"/>
          <w14:textFill>
            <w14:solidFill>
              <w14:schemeClr w14:val="tx1"/>
            </w14:solidFill>
          </w14:textFill>
        </w:rPr>
        <w:t>不能预见、不能避免和不能克服的客观情况，</w:t>
      </w:r>
      <w:r>
        <w:rPr>
          <w:rFonts w:hint="eastAsia" w:ascii="仿宋" w:hAnsi="仿宋" w:eastAsia="仿宋" w:cs="仿宋"/>
          <w:color w:val="000000" w:themeColor="text1"/>
          <w:kern w:val="0"/>
          <w:sz w:val="24"/>
          <w:highlight w:val="none"/>
          <w14:textFill>
            <w14:solidFill>
              <w14:schemeClr w14:val="tx1"/>
            </w14:solidFill>
          </w14:textFill>
        </w:rPr>
        <w:t>如战争、动乱、空中飞行物体坠落或其它非甲乙方责任造成的爆炸、火灾，以及协议条款约定等级以上的风、雨、雪、地震等。</w:t>
      </w:r>
    </w:p>
    <w:p>
      <w:pPr>
        <w:snapToGrid w:val="0"/>
        <w:spacing w:line="360" w:lineRule="auto"/>
        <w:ind w:firstLine="475" w:firstLineChars="197"/>
        <w:rPr>
          <w:rFonts w:hint="eastAsia" w:ascii="仿宋" w:hAnsi="仿宋" w:eastAsia="仿宋" w:cs="仿宋"/>
          <w:color w:val="000000" w:themeColor="text1"/>
          <w:kern w:val="0"/>
          <w:sz w:val="24"/>
          <w:highlight w:val="none"/>
          <w14:textFill>
            <w14:solidFill>
              <w14:schemeClr w14:val="tx1"/>
            </w14:solidFill>
          </w14:textFill>
        </w:rPr>
      </w:pPr>
      <w:bookmarkStart w:id="109" w:name="_Toc13298"/>
      <w:r>
        <w:rPr>
          <w:rFonts w:hint="eastAsia" w:ascii="仿宋" w:hAnsi="仿宋" w:eastAsia="仿宋" w:cs="仿宋"/>
          <w:b/>
          <w:bCs/>
          <w:color w:val="000000" w:themeColor="text1"/>
          <w:sz w:val="24"/>
          <w:highlight w:val="none"/>
          <w14:textFill>
            <w14:solidFill>
              <w14:schemeClr w14:val="tx1"/>
            </w14:solidFill>
          </w14:textFill>
        </w:rPr>
        <w:t>十五、技术规格</w:t>
      </w:r>
      <w:bookmarkEnd w:id="109"/>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乙方所提供货物的技术规格应与招标文件规定的技术规格以及所附的技术规格响应表相一致。</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0" w:name="_Toc22867"/>
      <w:r>
        <w:rPr>
          <w:rFonts w:hint="eastAsia" w:ascii="仿宋" w:hAnsi="仿宋" w:eastAsia="仿宋" w:cs="仿宋"/>
          <w:b/>
          <w:color w:val="000000" w:themeColor="text1"/>
          <w:sz w:val="24"/>
          <w:highlight w:val="none"/>
          <w14:textFill>
            <w14:solidFill>
              <w14:schemeClr w14:val="tx1"/>
            </w14:solidFill>
          </w14:textFill>
        </w:rPr>
        <w:t>十六、专利权</w:t>
      </w:r>
      <w:bookmarkEnd w:id="110"/>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乙方应保证甲方在使用该货物或其任何一部分时不受第三方提出侵犯其专利权、商标权和工业设计权的起诉。一旦出现专利侵权，乙方应负全部责任。</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1" w:name="_Toc20658"/>
      <w:r>
        <w:rPr>
          <w:rFonts w:hint="eastAsia" w:ascii="仿宋" w:hAnsi="仿宋" w:eastAsia="仿宋" w:cs="仿宋"/>
          <w:b/>
          <w:color w:val="000000" w:themeColor="text1"/>
          <w:sz w:val="24"/>
          <w:highlight w:val="none"/>
          <w14:textFill>
            <w14:solidFill>
              <w14:schemeClr w14:val="tx1"/>
            </w14:solidFill>
          </w14:textFill>
        </w:rPr>
        <w:t>十七、包装要求</w:t>
      </w:r>
      <w:bookmarkEnd w:id="111"/>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（二）每件包装箱内应附一份详细装箱单和质量合格标识。</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2" w:name="_Toc10687"/>
      <w:r>
        <w:rPr>
          <w:rFonts w:hint="eastAsia" w:ascii="仿宋" w:hAnsi="仿宋" w:eastAsia="仿宋" w:cs="仿宋"/>
          <w:b/>
          <w:color w:val="000000" w:themeColor="text1"/>
          <w:sz w:val="24"/>
          <w:highlight w:val="none"/>
          <w14:textFill>
            <w14:solidFill>
              <w14:schemeClr w14:val="tx1"/>
            </w14:solidFill>
          </w14:textFill>
        </w:rPr>
        <w:t>十八、装运条件</w:t>
      </w:r>
      <w:bookmarkEnd w:id="112"/>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根据采购人指定地点，乙方负责安排运输，并承担运费。</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3" w:name="_Toc16392"/>
      <w:r>
        <w:rPr>
          <w:rFonts w:hint="eastAsia" w:ascii="仿宋" w:hAnsi="仿宋" w:eastAsia="仿宋" w:cs="仿宋"/>
          <w:b/>
          <w:color w:val="000000" w:themeColor="text1"/>
          <w:sz w:val="24"/>
          <w:highlight w:val="none"/>
          <w14:textFill>
            <w14:solidFill>
              <w14:schemeClr w14:val="tx1"/>
            </w14:solidFill>
          </w14:textFill>
        </w:rPr>
        <w:t>十九、付款</w:t>
      </w:r>
      <w:bookmarkEnd w:id="113"/>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（一）本合同以人民币付款。</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（二）乙方应按照与甲方签订的合同规定交货。交货后乙方向甲方提供下列单据，按合同规定审核后付款：</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1、发票；</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2、制造厂家出具的质量检验证书等；</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3、装箱单；</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4、验收合格证书；</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5、买方加盖公章证明货物交付使用合格的验收合格报告。</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4" w:name="_Toc15375"/>
      <w:r>
        <w:rPr>
          <w:rFonts w:hint="eastAsia" w:ascii="仿宋" w:hAnsi="仿宋" w:eastAsia="仿宋" w:cs="仿宋"/>
          <w:b/>
          <w:color w:val="000000" w:themeColor="text1"/>
          <w:sz w:val="24"/>
          <w:highlight w:val="none"/>
          <w14:textFill>
            <w14:solidFill>
              <w14:schemeClr w14:val="tx1"/>
            </w14:solidFill>
          </w14:textFill>
        </w:rPr>
        <w:t>二十、伴随服务</w:t>
      </w:r>
      <w:bookmarkEnd w:id="114"/>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乙方应按照国家有关规定和合同中所附的服务承诺提供服务，主要包括：</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（一）货物的现场安装；</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（二）提供货物组装和维修所需的工具；</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（三）在合同中乙方承诺的期限内对所提供货物实施运行监督、维修，该服务并不能免除乙方在质量保证期内应承担的义务；</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（四）在项目交货现场就货物的安装、启动、运行、维护对使用方人员进行培训。</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5" w:name="_Toc25025"/>
      <w:r>
        <w:rPr>
          <w:rFonts w:hint="eastAsia" w:ascii="仿宋" w:hAnsi="仿宋" w:eastAsia="仿宋" w:cs="仿宋"/>
          <w:b/>
          <w:color w:val="000000" w:themeColor="text1"/>
          <w:sz w:val="24"/>
          <w:highlight w:val="none"/>
          <w14:textFill>
            <w14:solidFill>
              <w14:schemeClr w14:val="tx1"/>
            </w14:solidFill>
          </w14:textFill>
        </w:rPr>
        <w:t>二十一、质量保证</w:t>
      </w:r>
      <w:bookmarkEnd w:id="115"/>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（一）乙方所提供的产品必须符合最新的国家标准和行业标准。</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6" w:name="_Toc24581"/>
      <w:r>
        <w:rPr>
          <w:rFonts w:hint="eastAsia" w:ascii="仿宋" w:hAnsi="仿宋" w:eastAsia="仿宋" w:cs="仿宋"/>
          <w:b/>
          <w:color w:val="000000" w:themeColor="text1"/>
          <w:sz w:val="24"/>
          <w:highlight w:val="none"/>
          <w14:textFill>
            <w14:solidFill>
              <w14:schemeClr w14:val="tx1"/>
            </w14:solidFill>
          </w14:textFill>
        </w:rPr>
        <w:t>二十二、检验</w:t>
      </w:r>
      <w:bookmarkEnd w:id="116"/>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甲方在乙方交货后及时组织验收，如果货物的质量和规格与合同规定相符，甲方应及时填写验收表，加盖公章后；如果货物的质量、规格与合同规定不符，或在质量保证期内发现货物是有缺陷的（包括潜在缺陷或使用不符合要求的材料），甲方应报请法定检验机构进行检查，有权凭其出具的检验报告向乙方提出索赔，检验报告送县政府采购管理部门备案。</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7" w:name="_Toc8478"/>
      <w:r>
        <w:rPr>
          <w:rFonts w:hint="eastAsia" w:ascii="仿宋" w:hAnsi="仿宋" w:eastAsia="仿宋" w:cs="仿宋"/>
          <w:b/>
          <w:color w:val="000000" w:themeColor="text1"/>
          <w:sz w:val="24"/>
          <w:highlight w:val="none"/>
          <w14:textFill>
            <w14:solidFill>
              <w14:schemeClr w14:val="tx1"/>
            </w14:solidFill>
          </w14:textFill>
        </w:rPr>
        <w:t>二十三、索赔</w:t>
      </w:r>
      <w:bookmarkEnd w:id="117"/>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1、乙方同意退货，按合同中规定的货币将货款退还给甲方，并承担由此发生的一切损失和费用，包括利息、银行手续费、运费、保险费、检验费、仓储费、装卸费以及为保护退回货物所需的其它必要费用。</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2、根据货物的低劣程度、损坏程度以及买方所遭损失的数额，乙方须降低货物价格。</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（二）在甲方发出索赔通知后20天内，如乙方未作答复，上述索赔应视为已被接受，按照本合同规定的任何一种方法解决索赔事宜，甲方将从乙方开具的合同款项中扣除索赔金额或采用法律手段解决索赔事宜。</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8" w:name="_Toc19545"/>
      <w:r>
        <w:rPr>
          <w:rFonts w:hint="eastAsia" w:ascii="仿宋" w:hAnsi="仿宋" w:eastAsia="仿宋" w:cs="仿宋"/>
          <w:b/>
          <w:color w:val="000000" w:themeColor="text1"/>
          <w:sz w:val="24"/>
          <w:highlight w:val="none"/>
          <w14:textFill>
            <w14:solidFill>
              <w14:schemeClr w14:val="tx1"/>
            </w14:solidFill>
          </w14:textFill>
        </w:rPr>
        <w:t>二十四、误期赔偿</w:t>
      </w:r>
      <w:bookmarkEnd w:id="118"/>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除合同规定外，如果乙方没有按照合同规定的时间交货和提供服务，甲方将从货款中扣除误期赔偿费而不影响合同项目的其他补救方法，赔偿费按每周迟交货物交货价或未提供服务费用的0.5%计收，直至交货或提供服务为止，一周按7天计算，不足7天按一周计算。但误期赔偿费的最高限为误期货物或服务合同价的5%。一旦达到误期赔偿的最高限额，甲方可考虑终止合同。</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19" w:name="_Toc22656"/>
      <w:r>
        <w:rPr>
          <w:rFonts w:hint="eastAsia" w:ascii="仿宋" w:hAnsi="仿宋" w:eastAsia="仿宋" w:cs="仿宋"/>
          <w:b/>
          <w:color w:val="000000" w:themeColor="text1"/>
          <w:sz w:val="24"/>
          <w:highlight w:val="none"/>
          <w14:textFill>
            <w14:solidFill>
              <w14:schemeClr w14:val="tx1"/>
            </w14:solidFill>
          </w14:textFill>
        </w:rPr>
        <w:t>二十五、不可抗力</w:t>
      </w:r>
      <w:bookmarkEnd w:id="119"/>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20" w:name="_Toc15920"/>
      <w:r>
        <w:rPr>
          <w:rFonts w:hint="eastAsia" w:ascii="仿宋" w:hAnsi="仿宋" w:eastAsia="仿宋" w:cs="仿宋"/>
          <w:b/>
          <w:color w:val="000000" w:themeColor="text1"/>
          <w:sz w:val="24"/>
          <w:highlight w:val="none"/>
          <w14:textFill>
            <w14:solidFill>
              <w14:schemeClr w14:val="tx1"/>
            </w14:solidFill>
          </w14:textFill>
        </w:rPr>
        <w:t>二十六、税费</w:t>
      </w:r>
      <w:bookmarkEnd w:id="120"/>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中国政府根据现行税法规定对甲方征收的与本合同有关的一切税费由甲方负担；规定对乙方征收的与本合同有关的一切税费由乙方负担。</w:t>
      </w:r>
    </w:p>
    <w:p>
      <w:pPr>
        <w:spacing w:line="360" w:lineRule="auto"/>
        <w:ind w:firstLine="475" w:firstLineChars="197"/>
        <w:rPr>
          <w:rFonts w:hint="eastAsia" w:ascii="仿宋" w:hAnsi="仿宋" w:eastAsia="仿宋" w:cs="仿宋"/>
          <w:b/>
          <w:color w:val="000000" w:themeColor="text1"/>
          <w:sz w:val="24"/>
          <w:highlight w:val="none"/>
          <w14:textFill>
            <w14:solidFill>
              <w14:schemeClr w14:val="tx1"/>
            </w14:solidFill>
          </w14:textFill>
        </w:rPr>
      </w:pPr>
      <w:bookmarkStart w:id="121" w:name="_Toc5027"/>
      <w:r>
        <w:rPr>
          <w:rFonts w:hint="eastAsia" w:ascii="仿宋" w:hAnsi="仿宋" w:eastAsia="仿宋" w:cs="仿宋"/>
          <w:b/>
          <w:color w:val="000000" w:themeColor="text1"/>
          <w:sz w:val="24"/>
          <w:highlight w:val="none"/>
          <w14:textFill>
            <w14:solidFill>
              <w14:schemeClr w14:val="tx1"/>
            </w14:solidFill>
          </w14:textFill>
        </w:rPr>
        <w:t>二十七、合同争议</w:t>
      </w:r>
      <w:bookmarkEnd w:id="121"/>
    </w:p>
    <w:p>
      <w:pPr>
        <w:snapToGrid w:val="0"/>
        <w:spacing w:line="360" w:lineRule="auto"/>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甲乙双方应通过友好协商，解决在执行本合同中所发生的或与本合同有关的一切争议。如果协商仍得不到解决，任何一方均可按“中华人民共和国合同法”规定提交调解和仲裁。</w:t>
      </w:r>
    </w:p>
    <w:p>
      <w:pPr>
        <w:snapToGrid w:val="0"/>
        <w:spacing w:line="360" w:lineRule="auto"/>
        <w:ind w:firstLine="475" w:firstLineChars="197"/>
        <w:rPr>
          <w:rFonts w:hint="eastAsia" w:ascii="仿宋" w:hAnsi="仿宋" w:eastAsia="仿宋" w:cs="仿宋"/>
          <w:color w:val="000000" w:themeColor="text1"/>
          <w:sz w:val="24"/>
          <w:highlight w:val="none"/>
          <w14:textFill>
            <w14:solidFill>
              <w14:schemeClr w14:val="tx1"/>
            </w14:solidFill>
          </w14:textFill>
        </w:rPr>
      </w:pPr>
      <w:bookmarkStart w:id="122" w:name="_Toc20722"/>
      <w:r>
        <w:rPr>
          <w:rFonts w:hint="eastAsia" w:ascii="仿宋" w:hAnsi="仿宋" w:eastAsia="仿宋" w:cs="仿宋"/>
          <w:b/>
          <w:color w:val="000000" w:themeColor="text1"/>
          <w:sz w:val="24"/>
          <w:highlight w:val="none"/>
          <w14:textFill>
            <w14:solidFill>
              <w14:schemeClr w14:val="tx1"/>
            </w14:solidFill>
          </w14:textFill>
        </w:rPr>
        <w:t>二十八、适用法律</w:t>
      </w:r>
      <w:bookmarkEnd w:id="122"/>
      <w:r>
        <w:rPr>
          <w:rFonts w:hint="eastAsia" w:ascii="仿宋" w:hAnsi="仿宋" w:eastAsia="仿宋" w:cs="仿宋"/>
          <w:color w:val="000000" w:themeColor="text1"/>
          <w:sz w:val="24"/>
          <w:highlight w:val="none"/>
          <w14:textFill>
            <w14:solidFill>
              <w14:schemeClr w14:val="tx1"/>
            </w14:solidFill>
          </w14:textFill>
        </w:rPr>
        <w:t>本合同应按照中华人民共和国的现行法律进行解释。</w:t>
      </w:r>
    </w:p>
    <w:p>
      <w:pPr>
        <w:ind w:firstLine="1446" w:firstLineChars="6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本合同未尽事宜，由中标人和业主协商另行签订补充协议。</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sectPr>
          <w:footerReference r:id="rId13" w:type="first"/>
          <w:footerReference r:id="rId12" w:type="default"/>
          <w:pgSz w:w="11906" w:h="16838"/>
          <w:pgMar w:top="1378" w:right="1418" w:bottom="1001" w:left="1418" w:header="851" w:footer="992" w:gutter="0"/>
          <w:pgNumType w:fmt="decimal" w:start="1"/>
          <w:cols w:space="720" w:num="1"/>
          <w:docGrid w:linePitch="312" w:charSpace="0"/>
        </w:sect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甲方：（盖章）            </w:t>
      </w:r>
    </w:p>
    <w:p>
      <w:pPr>
        <w:widowControl/>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14:textFill>
            <w14:solidFill>
              <w14:schemeClr w14:val="tx1"/>
            </w14:solidFill>
          </w14:textFill>
        </w:rPr>
        <w:t>法</w:t>
      </w:r>
      <w:r>
        <w:rPr>
          <w:rFonts w:hint="eastAsia" w:ascii="仿宋" w:hAnsi="仿宋" w:eastAsia="仿宋" w:cs="仿宋"/>
          <w:color w:val="auto"/>
          <w:sz w:val="24"/>
          <w:highlight w:val="none"/>
        </w:rPr>
        <w:t>定（授权）代表人：</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二零二</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年 月 日</w:t>
      </w:r>
    </w:p>
    <w:p>
      <w:pPr>
        <w:spacing w:line="360" w:lineRule="auto"/>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乙方：（盖章）</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法定（授权）代表人：</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p>
      <w:pPr>
        <w:widowControl/>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pPr>
        <w:widowControl/>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二零二</w:t>
      </w:r>
      <w:r>
        <w:rPr>
          <w:rFonts w:hint="eastAsia" w:ascii="仿宋" w:hAnsi="仿宋" w:eastAsia="仿宋" w:cs="仿宋"/>
          <w:color w:val="auto"/>
          <w:sz w:val="24"/>
          <w:highlight w:val="none"/>
          <w:lang w:eastAsia="zh-CN"/>
        </w:rPr>
        <w:t>二</w:t>
      </w:r>
      <w:r>
        <w:rPr>
          <w:rFonts w:hint="eastAsia" w:ascii="仿宋" w:hAnsi="仿宋" w:eastAsia="仿宋" w:cs="仿宋"/>
          <w:color w:val="auto"/>
          <w:sz w:val="24"/>
          <w:highlight w:val="none"/>
        </w:rPr>
        <w:t>年 月 日</w:t>
      </w:r>
    </w:p>
    <w:bookmarkEnd w:id="90"/>
    <w:p>
      <w:pPr>
        <w:spacing w:line="360" w:lineRule="auto"/>
        <w:jc w:val="both"/>
        <w:outlineLvl w:val="0"/>
        <w:rPr>
          <w:rFonts w:hint="eastAsia" w:ascii="仿宋" w:hAnsi="仿宋" w:eastAsia="仿宋" w:cs="仿宋"/>
          <w:b/>
          <w:color w:val="000000" w:themeColor="text1"/>
          <w:sz w:val="32"/>
          <w:szCs w:val="32"/>
          <w:highlight w:val="none"/>
          <w14:textFill>
            <w14:solidFill>
              <w14:schemeClr w14:val="tx1"/>
            </w14:solidFill>
          </w14:textFill>
        </w:rPr>
        <w:sectPr>
          <w:headerReference r:id="rId14" w:type="default"/>
          <w:footerReference r:id="rId15" w:type="default"/>
          <w:pgSz w:w="11910" w:h="16840"/>
          <w:pgMar w:top="1134" w:right="1191" w:bottom="1134" w:left="1304" w:header="0" w:footer="895" w:gutter="0"/>
          <w:pgNumType w:fmt="decimal"/>
          <w:cols w:space="720" w:num="1"/>
        </w:sectPr>
      </w:pPr>
      <w:bookmarkStart w:id="123" w:name="_Toc11897"/>
    </w:p>
    <w:p>
      <w:pPr>
        <w:numPr>
          <w:ilvl w:val="0"/>
          <w:numId w:val="6"/>
        </w:numPr>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项目招标要求及说明</w:t>
      </w:r>
      <w:bookmarkEnd w:id="123"/>
    </w:p>
    <w:p>
      <w:pPr>
        <w:pStyle w:val="2"/>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第一包：</w:t>
      </w:r>
      <w:bookmarkStart w:id="124" w:name="_Toc50691034"/>
      <w:bookmarkStart w:id="125" w:name="_Toc50737296"/>
      <w:bookmarkStart w:id="126" w:name="_Toc50736476"/>
      <w:bookmarkStart w:id="127" w:name="_Toc43264522"/>
      <w:bookmarkStart w:id="128" w:name="_Toc52165080"/>
      <w:bookmarkStart w:id="129" w:name="_Toc251236132"/>
      <w:bookmarkStart w:id="130" w:name="_Toc234834021"/>
      <w:bookmarkStart w:id="131" w:name="_Toc50737328"/>
    </w:p>
    <w:p>
      <w:pPr>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eastAsia="zh-CN"/>
        </w:rPr>
        <w:t>检二室</w:t>
      </w:r>
      <w:r>
        <w:rPr>
          <w:rFonts w:hint="eastAsia" w:ascii="仿宋" w:hAnsi="仿宋" w:eastAsia="仿宋" w:cs="仿宋"/>
          <w:b/>
          <w:bCs/>
          <w:kern w:val="0"/>
          <w:sz w:val="28"/>
          <w:szCs w:val="28"/>
          <w:highlight w:val="none"/>
        </w:rPr>
        <w:t>设备参数</w:t>
      </w:r>
    </w:p>
    <w:p>
      <w:pPr>
        <w:widowControl/>
        <w:spacing w:line="360" w:lineRule="auto"/>
        <w:jc w:val="left"/>
        <w:rPr>
          <w:rFonts w:hint="eastAsia" w:ascii="仿宋" w:hAnsi="仿宋" w:eastAsia="仿宋" w:cs="仿宋"/>
          <w:kern w:val="0"/>
          <w:sz w:val="24"/>
          <w:szCs w:val="24"/>
          <w:highlight w:val="none"/>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2781"/>
        <w:gridCol w:w="1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60"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940"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试剂柜（带双锁）</w:t>
            </w:r>
          </w:p>
        </w:tc>
        <w:tc>
          <w:tcPr>
            <w:tcW w:w="3898" w:type="pct"/>
            <w:noWrap w:val="0"/>
            <w:vAlign w:val="center"/>
          </w:tcPr>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容量：110加仑</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双人双锁</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带通风管道，配通风管</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防静电</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防爆</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双层钢板防漏</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带报警器</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质保12个月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60" w:type="pct"/>
            <w:noWrap w:val="0"/>
            <w:vAlign w:val="center"/>
          </w:tcPr>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940" w:type="pct"/>
            <w:noWrap w:val="0"/>
            <w:vAlign w:val="center"/>
          </w:tcPr>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紫外可见分光光度计</w:t>
            </w:r>
          </w:p>
        </w:tc>
        <w:tc>
          <w:tcPr>
            <w:tcW w:w="3898" w:type="pct"/>
            <w:noWrap w:val="0"/>
            <w:vAlign w:val="top"/>
          </w:tcPr>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1、波长范围W：190-1000nm </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2、测光方式： 双光束</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3、波长示值误差： ±0.3nm </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4、波长重复性WR：≤ 0.1nm </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5、光度准确度PA：±0.002Abs(0～0.5Abs)；±0.004Abs(0.5～1.0Abs)；±0.3%T(0～100%T)</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6、光度重复性PR：0.001Abs(0～0.5Abs)；0.002Abs(0.5～1.0Abs)</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7、杂散光SL：≤ 0.02%（220nm、360nm处） </w:t>
            </w:r>
          </w:p>
          <w:p>
            <w:pPr>
              <w:numPr>
                <w:ilvl w:val="0"/>
                <w:numId w:val="0"/>
              </w:numPr>
              <w:tabs>
                <w:tab w:val="left" w:pos="315"/>
              </w:tabs>
              <w:spacing w:line="360" w:lineRule="auto"/>
              <w:ind w:left="86" w:left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8、稳定性ST（基线漂移）：±0.0004Abs/h(500nm, 0Abs预热2小时后)</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狭缝：连续可调型</w:t>
            </w:r>
          </w:p>
          <w:p>
            <w:pPr>
              <w:numPr>
                <w:ilvl w:val="0"/>
                <w:numId w:val="7"/>
              </w:num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12代i5台式电脑一台，屏幕27英寸。</w:t>
            </w:r>
          </w:p>
          <w:p>
            <w:pPr>
              <w:numPr>
                <w:ilvl w:val="0"/>
                <w:numId w:val="0"/>
              </w:numPr>
              <w:tabs>
                <w:tab w:val="left" w:pos="315"/>
              </w:tabs>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11、质保12个月</w:t>
            </w:r>
          </w:p>
        </w:tc>
      </w:tr>
    </w:tbl>
    <w:p>
      <w:pPr>
        <w:spacing w:line="360" w:lineRule="auto"/>
        <w:rPr>
          <w:rFonts w:hint="eastAsia" w:ascii="仿宋" w:hAnsi="仿宋" w:eastAsia="仿宋" w:cs="仿宋"/>
          <w:color w:val="323232"/>
          <w:sz w:val="28"/>
          <w:szCs w:val="28"/>
          <w:highlight w:val="none"/>
        </w:rPr>
      </w:pPr>
    </w:p>
    <w:bookmarkEnd w:id="124"/>
    <w:bookmarkEnd w:id="125"/>
    <w:bookmarkEnd w:id="126"/>
    <w:bookmarkEnd w:id="127"/>
    <w:bookmarkEnd w:id="128"/>
    <w:bookmarkEnd w:id="129"/>
    <w:bookmarkEnd w:id="130"/>
    <w:bookmarkEnd w:id="131"/>
    <w:p>
      <w:pPr>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eastAsia="zh-CN"/>
        </w:rPr>
        <w:t>检三室</w:t>
      </w:r>
      <w:r>
        <w:rPr>
          <w:rFonts w:hint="eastAsia" w:ascii="仿宋" w:hAnsi="仿宋" w:eastAsia="仿宋" w:cs="仿宋"/>
          <w:b/>
          <w:bCs/>
          <w:kern w:val="0"/>
          <w:sz w:val="28"/>
          <w:szCs w:val="28"/>
          <w:highlight w:val="none"/>
        </w:rPr>
        <w:t>设备参数</w:t>
      </w:r>
    </w:p>
    <w:p>
      <w:pPr>
        <w:widowControl/>
        <w:spacing w:line="360" w:lineRule="auto"/>
        <w:jc w:val="left"/>
        <w:rPr>
          <w:rFonts w:hint="eastAsia" w:ascii="仿宋" w:hAnsi="仿宋" w:eastAsia="仿宋" w:cs="仿宋"/>
          <w:kern w:val="0"/>
          <w:sz w:val="24"/>
          <w:szCs w:val="24"/>
          <w:highlight w:val="none"/>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760"/>
        <w:gridCol w:w="10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69" w:type="pct"/>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933" w:type="pct"/>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品目名称</w:t>
            </w:r>
          </w:p>
        </w:tc>
        <w:tc>
          <w:tcPr>
            <w:tcW w:w="3696" w:type="pct"/>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69" w:type="pct"/>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933" w:type="pct"/>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超低温保存箱</w:t>
            </w:r>
          </w:p>
        </w:tc>
        <w:tc>
          <w:tcPr>
            <w:tcW w:w="3696" w:type="pct"/>
            <w:noWrap w:val="0"/>
            <w:vAlign w:val="center"/>
          </w:tcPr>
          <w:p>
            <w:pPr>
              <w:pStyle w:val="14"/>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1整体结构:箱壳材质：冷轧钢板喷粉</w:t>
            </w:r>
          </w:p>
          <w:p>
            <w:pPr>
              <w:pStyle w:val="14"/>
              <w:tabs>
                <w:tab w:val="left" w:pos="959"/>
                <w:tab w:val="left" w:pos="3085"/>
              </w:tabs>
              <w:spacing w:before="0" w:beforeAutospacing="0" w:after="0" w:afterAutospacing="0" w:line="360" w:lineRule="auto"/>
              <w:ind w:left="108"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内胆采用δ0.8材料全防腐特殊耐低温镀锌板，发泡层采用硬质聚氨脂发泡（无氟）材料</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2外部尺寸（mm）:769(宽)*825(深)*1120(高)</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3内部尺寸（mm）:470(宽)*450(深)*480(高)</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4冻存架规格:卧式  9个冻存架/台</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5冻存架尺寸:465*138*142</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6冻存盒规格:存放81份样本/盒</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7冻存盒尺寸:130*130*50</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8样本容量:72盒，5832份样本/台（以9×9规格2寸冻存盒计算）</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9总有效容积:100L</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10内门数量:1个</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11发泡箱体保温层:130mm</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12电压要求/频率:220V/50HZ</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13温度范围:-40 ~ -86 ℃</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14输入功率:650W</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15电池:全封闭可充电电池12V 4AH</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16多重故障报警:高低温报警、传感器故障、冷凝器脏、高低电压报警、环温过高等报警、断电报警、开门报警、电池电量低报警</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17两种报警方式:声音蜂鸣、灯光闪烁</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18远程报警功能:有</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19网络功能:RS232、RS485接口、可有线和无线连接计算机网络（可选配）</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20保护功能:密码保护、压机延时保护</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21 USB数据存储功能:存储时间大于10年</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22均匀性:≤6℃</w:t>
            </w:r>
          </w:p>
          <w:p>
            <w:pPr>
              <w:pStyle w:val="14"/>
              <w:tabs>
                <w:tab w:val="left" w:pos="959"/>
                <w:tab w:val="left" w:pos="3085"/>
              </w:tabs>
              <w:spacing w:before="0" w:beforeAutospacing="0" w:after="0" w:afterAutospacing="0" w:line="360" w:lineRule="auto"/>
              <w:ind w:left="-44" w:leftChars="-21" w:firstLine="88" w:firstLineChars="37"/>
              <w:rPr>
                <w:rFonts w:hint="eastAsia" w:ascii="仿宋" w:hAnsi="仿宋" w:eastAsia="仿宋" w:cs="仿宋"/>
                <w:sz w:val="24"/>
                <w:szCs w:val="24"/>
                <w:highlight w:val="none"/>
              </w:rPr>
            </w:pPr>
            <w:r>
              <w:rPr>
                <w:rFonts w:hint="eastAsia" w:ascii="仿宋" w:hAnsi="仿宋" w:eastAsia="仿宋" w:cs="仿宋"/>
                <w:sz w:val="24"/>
                <w:szCs w:val="24"/>
                <w:highlight w:val="none"/>
              </w:rPr>
              <w:t>23碳氢节能:耗电量6KWH/24H</w:t>
            </w:r>
          </w:p>
          <w:p>
            <w:pPr>
              <w:widowControl/>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24认证证书: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t>医疗器械注册证、ISO9000系列质量认证，CE认证</w:t>
            </w:r>
          </w:p>
          <w:p>
            <w:pPr>
              <w:widowControl/>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25、质保12个月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jc w:val="center"/>
        </w:trPr>
        <w:tc>
          <w:tcPr>
            <w:tcW w:w="369"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933" w:type="pct"/>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乳脂离心机</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含盖勃管</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rPr>
              <w:t xml:space="preserve"> </w:t>
            </w:r>
            <w:r>
              <w:rPr>
                <w:rFonts w:hint="eastAsia" w:ascii="仿宋" w:hAnsi="仿宋" w:eastAsia="仿宋" w:cs="仿宋"/>
                <w:b/>
                <w:bCs/>
                <w:color w:val="333333"/>
                <w:kern w:val="36"/>
                <w:sz w:val="24"/>
                <w:szCs w:val="24"/>
                <w:highlight w:val="none"/>
              </w:rPr>
              <w:t xml:space="preserve"> </w:t>
            </w:r>
          </w:p>
        </w:tc>
        <w:tc>
          <w:tcPr>
            <w:tcW w:w="3696" w:type="pct"/>
            <w:noWrap w:val="0"/>
            <w:vAlign w:val="center"/>
          </w:tcPr>
          <w:p>
            <w:pPr>
              <w:numPr>
                <w:ilvl w:val="0"/>
                <w:numId w:val="0"/>
              </w:num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最高转速msor</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1400r/min</w:t>
            </w:r>
          </w:p>
          <w:p>
            <w:pPr>
              <w:numPr>
                <w:ilvl w:val="0"/>
                <w:numId w:val="0"/>
              </w:num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最大相对离心力mrcf</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350xg</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转子容量rc</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8x30ml盖勃管</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转速精度sp</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30r/minute</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温度控制范围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室温10~65℃</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时间设置范围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1min~99minute</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整机噪音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&lt;65dB(A)</w:t>
            </w:r>
          </w:p>
          <w:p>
            <w:pPr>
              <w:tabs>
                <w:tab w:val="left" w:pos="315"/>
              </w:tabs>
              <w:spacing w:line="360" w:lineRule="auto"/>
              <w:ind w:left="250" w:hanging="164"/>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8、质保12个月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3" w:hRule="atLeast"/>
          <w:jc w:val="center"/>
        </w:trPr>
        <w:tc>
          <w:tcPr>
            <w:tcW w:w="369"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933" w:type="pct"/>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立式高压蒸汽灭菌器</w:t>
            </w:r>
          </w:p>
          <w:p>
            <w:pPr>
              <w:widowControl/>
              <w:spacing w:line="360" w:lineRule="auto"/>
              <w:jc w:val="center"/>
              <w:rPr>
                <w:rFonts w:hint="eastAsia" w:ascii="仿宋" w:hAnsi="仿宋" w:eastAsia="仿宋" w:cs="仿宋"/>
                <w:kern w:val="0"/>
                <w:sz w:val="24"/>
                <w:szCs w:val="24"/>
                <w:highlight w:val="none"/>
              </w:rPr>
            </w:pPr>
          </w:p>
        </w:tc>
        <w:tc>
          <w:tcPr>
            <w:tcW w:w="3696" w:type="pct"/>
            <w:noWrap w:val="0"/>
            <w:vAlign w:val="center"/>
          </w:tcPr>
          <w:p>
            <w:pPr>
              <w:numPr>
                <w:ilvl w:val="0"/>
                <w:numId w:val="0"/>
              </w:numPr>
              <w:tabs>
                <w:tab w:val="left" w:pos="315"/>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灭菌过程具有动态指示，便于观察灭菌状态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具有风冷式快速冷却装置，确保灭菌结束时对锅体快速降温，从而起到缩短开启锅盖时间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具有灭菌时间的预约功能.</w:t>
            </w:r>
          </w:p>
          <w:p>
            <w:pPr>
              <w:numPr>
                <w:ilvl w:val="0"/>
                <w:numId w:val="0"/>
              </w:numPr>
              <w:tabs>
                <w:tab w:val="left" w:pos="315"/>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 xml:space="preserve">全自动控制，故障自动检测判断系统 </w:t>
            </w:r>
          </w:p>
          <w:p>
            <w:pPr>
              <w:numPr>
                <w:ilvl w:val="0"/>
                <w:numId w:val="0"/>
              </w:numPr>
              <w:tabs>
                <w:tab w:val="left" w:pos="315"/>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具有自动排放冷空气功能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具有断水保护防干烧和漏电保护系统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灭菌温度可选设定范围50℃-134℃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灭菌时间可调设定范围0-99h </w:t>
            </w:r>
            <w:r>
              <w:rPr>
                <w:rFonts w:hint="eastAsia" w:ascii="仿宋" w:hAnsi="仿宋" w:eastAsia="仿宋" w:cs="仿宋"/>
                <w:sz w:val="24"/>
                <w:szCs w:val="24"/>
                <w:highlight w:val="none"/>
              </w:rPr>
              <w:cr/>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xml:space="preserve">容积：50升,电源电压:220V/50Hz 功率:3.5KW </w:t>
            </w:r>
            <w:r>
              <w:rPr>
                <w:rFonts w:hint="eastAsia" w:ascii="仿宋" w:hAnsi="仿宋" w:eastAsia="仿宋" w:cs="仿宋"/>
                <w:sz w:val="24"/>
                <w:szCs w:val="24"/>
                <w:highlight w:val="none"/>
              </w:rPr>
              <w:cr/>
            </w:r>
            <w:r>
              <w:rPr>
                <w:rFonts w:hint="eastAsia" w:ascii="仿宋" w:hAnsi="仿宋" w:eastAsia="仿宋" w:cs="仿宋"/>
                <w:sz w:val="24"/>
                <w:szCs w:val="24"/>
                <w:highlight w:val="none"/>
              </w:rPr>
              <w:t>灭菌室尺寸：φ350×550（mm）</w:t>
            </w:r>
          </w:p>
          <w:p>
            <w:pPr>
              <w:numPr>
                <w:ilvl w:val="0"/>
                <w:numId w:val="0"/>
              </w:numPr>
              <w:tabs>
                <w:tab w:val="left" w:pos="315"/>
              </w:tabs>
              <w:spacing w:line="360" w:lineRule="auto"/>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10、质保12个月</w:t>
            </w:r>
          </w:p>
          <w:p>
            <w:pPr>
              <w:tabs>
                <w:tab w:val="left" w:pos="315"/>
              </w:tabs>
              <w:spacing w:line="360" w:lineRule="auto"/>
              <w:ind w:left="250" w:hanging="164"/>
              <w:jc w:val="left"/>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jc w:val="center"/>
        </w:trPr>
        <w:tc>
          <w:tcPr>
            <w:tcW w:w="369"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933" w:type="pct"/>
            <w:noWrap w:val="0"/>
            <w:vAlign w:val="center"/>
          </w:tcPr>
          <w:p>
            <w:pPr>
              <w:widowControl/>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麦氏比浊仪</w:t>
            </w:r>
            <w:r>
              <w:rPr>
                <w:rFonts w:hint="eastAsia" w:ascii="仿宋" w:hAnsi="仿宋" w:eastAsia="仿宋" w:cs="仿宋"/>
                <w:kern w:val="0"/>
                <w:sz w:val="24"/>
                <w:szCs w:val="24"/>
                <w:highlight w:val="none"/>
                <w:lang w:eastAsia="zh-CN"/>
              </w:rPr>
              <w:t>（细菌浊度仪）</w:t>
            </w:r>
          </w:p>
        </w:tc>
        <w:tc>
          <w:tcPr>
            <w:tcW w:w="3696" w:type="pct"/>
            <w:noWrap w:val="0"/>
            <w:vAlign w:val="top"/>
          </w:tcPr>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最小示值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0.001MCF</w:t>
            </w:r>
          </w:p>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测量范围：0～6 MCF(麦氏浊度单位)1MCF=3×108CFU/ml</w:t>
            </w:r>
          </w:p>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示值误差：±6%(±5%F.S)</w:t>
            </w:r>
          </w:p>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重复性：≤0.5%</w:t>
            </w:r>
          </w:p>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零点漂移：±0.5% F.S</w:t>
            </w:r>
          </w:p>
          <w:p>
            <w:pPr>
              <w:numPr>
                <w:ilvl w:val="0"/>
                <w:numId w:val="8"/>
              </w:numPr>
              <w:tabs>
                <w:tab w:val="left" w:pos="315"/>
              </w:tabs>
              <w:spacing w:line="360" w:lineRule="auto"/>
              <w:ind w:left="374" w:leftChars="0" w:hanging="164" w:firstLineChars="0"/>
              <w:jc w:val="both"/>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质保12个月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369" w:type="pct"/>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933" w:type="pct"/>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红外灭菌器</w:t>
            </w:r>
          </w:p>
        </w:tc>
        <w:tc>
          <w:tcPr>
            <w:tcW w:w="3696" w:type="pct"/>
            <w:noWrap w:val="0"/>
            <w:vAlign w:val="top"/>
          </w:tcPr>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1、热源：红外-卤钨灯</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2、加热温度：900-1300℃</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3、加热区材质：石英玻璃</w:t>
            </w:r>
          </w:p>
          <w:p>
            <w:pPr>
              <w:tabs>
                <w:tab w:val="left" w:pos="315"/>
              </w:tabs>
              <w:spacing w:line="360" w:lineRule="auto"/>
              <w:ind w:left="250" w:hanging="164"/>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4、加热区尺寸：φ15*100mm</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5、自动灭菌终止时间：7秒</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6、红外感受器：有</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kern w:val="0"/>
                <w:sz w:val="24"/>
                <w:szCs w:val="24"/>
                <w:highlight w:val="none"/>
                <w:lang w:val="en-US" w:eastAsia="zh-CN"/>
              </w:rPr>
              <w:t>质保12个月</w:t>
            </w:r>
          </w:p>
          <w:p>
            <w:pPr>
              <w:tabs>
                <w:tab w:val="left" w:pos="315"/>
              </w:tabs>
              <w:spacing w:line="360" w:lineRule="auto"/>
              <w:ind w:left="250" w:hanging="164"/>
              <w:jc w:val="both"/>
              <w:rPr>
                <w:rFonts w:hint="eastAsia" w:ascii="仿宋" w:hAnsi="仿宋" w:eastAsia="仿宋" w:cs="仿宋"/>
                <w:sz w:val="24"/>
                <w:szCs w:val="24"/>
                <w:highlight w:val="none"/>
                <w:lang w:val="en-US" w:eastAsia="zh-CN"/>
              </w:rPr>
            </w:pPr>
          </w:p>
        </w:tc>
      </w:tr>
    </w:tbl>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tabs>
          <w:tab w:val="left" w:pos="2110"/>
        </w:tabs>
        <w:spacing w:line="360" w:lineRule="auto"/>
        <w:rPr>
          <w:rFonts w:hint="eastAsia" w:ascii="仿宋" w:hAnsi="仿宋" w:eastAsia="仿宋" w:cs="仿宋"/>
          <w:sz w:val="24"/>
          <w:szCs w:val="24"/>
          <w:highlight w:val="none"/>
        </w:rPr>
      </w:pPr>
    </w:p>
    <w:p>
      <w:pPr>
        <w:numPr>
          <w:ilvl w:val="0"/>
          <w:numId w:val="0"/>
        </w:numPr>
        <w:spacing w:line="360" w:lineRule="auto"/>
        <w:ind w:leftChars="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火焰光度计主要技术指标</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接受元件:硅光电池</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分光方式:干涉滤色片</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显示方式:液晶显示读数</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*仪器提供了三种曲线标定模式：直线法、折线法和曲线二次拟合法</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稳定性:用标准溶液连续进样,15s内仪器示值的相对最大变化量≤3℅.每分钟测量1次,共测定6次,仪器示值的相对最大变化量≤15℅</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重复性: ≤3℅</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线性误差：K：≤0.005mmol/L，Na：≤0.03mmol/L，</w:t>
      </w:r>
    </w:p>
    <w:p>
      <w:pPr>
        <w:spacing w:line="360" w:lineRule="auto"/>
        <w:ind w:left="114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Ca：≤0.075mmol/L</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响应时间:＜8s</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样品吸喷量:＜6mL∕min</w:t>
      </w:r>
    </w:p>
    <w:p>
      <w:pPr>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*测试范围：</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Na：0 - 100ppm；K：0 - 100ppm；Ca：0-1000ppm；  </w:t>
      </w:r>
    </w:p>
    <w:p>
      <w:pPr>
        <w:widowControl/>
        <w:numPr>
          <w:ilvl w:val="1"/>
          <w:numId w:val="9"/>
        </w:numPr>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检测限：K：≤0.004mmol/L，Na：≤0.008mmol/L，Ca：≤0.050mmol/L；</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12、 *仪器的结构特点：</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1)带有Na、K、Ca三种滤光片，3通道检测；浓度直读.</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可同时检测3种元素、显示3种元素含量；</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2)带数字键触摸面板；</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3)浓度直读</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4)单点校正；仪器可保存校正曲线；</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5)RS232接口；可外接电脑或打印机；</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6)带有湿气分离器；</w:t>
      </w:r>
    </w:p>
    <w:p>
      <w:pPr>
        <w:widowControl/>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7)仪器带有自动熄火保护装置</w:t>
      </w:r>
    </w:p>
    <w:p>
      <w:pPr>
        <w:numPr>
          <w:ilvl w:val="0"/>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仪器正常使用条件</w:t>
      </w:r>
    </w:p>
    <w:p>
      <w:pPr>
        <w:pStyle w:val="9"/>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a) 环境温度：+10℃～+35℃；</w:t>
      </w:r>
    </w:p>
    <w:p>
      <w:pPr>
        <w:pStyle w:val="9"/>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b) 相对湿度：≤ 85%；</w:t>
      </w:r>
    </w:p>
    <w:p>
      <w:pPr>
        <w:pStyle w:val="9"/>
        <w:spacing w:line="360" w:lineRule="auto"/>
        <w:ind w:left="780" w:leftChars="200" w:hanging="360" w:hangingChars="150"/>
        <w:rPr>
          <w:rFonts w:hint="eastAsia" w:ascii="仿宋" w:hAnsi="仿宋" w:eastAsia="仿宋" w:cs="仿宋"/>
          <w:sz w:val="24"/>
          <w:szCs w:val="24"/>
          <w:highlight w:val="none"/>
        </w:rPr>
      </w:pPr>
      <w:r>
        <w:rPr>
          <w:rFonts w:hint="eastAsia" w:ascii="仿宋" w:hAnsi="仿宋" w:eastAsia="仿宋" w:cs="仿宋"/>
          <w:sz w:val="24"/>
          <w:szCs w:val="24"/>
          <w:highlight w:val="none"/>
        </w:rPr>
        <w:t>c) 仪器应水平放置于无震动的工作台上，避免强光直接照射，周围无强烈的电、磁场干扰，气流影响，无影响使用的振动；</w:t>
      </w:r>
    </w:p>
    <w:p>
      <w:pPr>
        <w:pStyle w:val="9"/>
        <w:numPr>
          <w:ilvl w:val="0"/>
          <w:numId w:val="1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产品使用现场不应有易燃易爆、腐蚀性气体，并备有灭火设施；</w:t>
      </w:r>
    </w:p>
    <w:p>
      <w:pPr>
        <w:pStyle w:val="9"/>
        <w:numPr>
          <w:ilvl w:val="0"/>
          <w:numId w:val="1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电源电压220V±22V,频率50Hz±1Hz，并具有良好的接地；</w:t>
      </w:r>
    </w:p>
    <w:p>
      <w:pPr>
        <w:pStyle w:val="9"/>
        <w:numPr>
          <w:ilvl w:val="0"/>
          <w:numId w:val="1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额定功率为250W。</w:t>
      </w:r>
    </w:p>
    <w:p>
      <w:pPr>
        <w:pStyle w:val="9"/>
        <w:numPr>
          <w:ilvl w:val="0"/>
          <w:numId w:val="1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用户备有不含杂质,并燃烧稳定的液化气或丙烷</w:t>
      </w:r>
    </w:p>
    <w:p>
      <w:pPr>
        <w:pStyle w:val="9"/>
        <w:numPr>
          <w:ilvl w:val="0"/>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仪器体积、重量、成套性</w:t>
      </w:r>
    </w:p>
    <w:p>
      <w:pPr>
        <w:pStyle w:val="9"/>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体积:440×310×500mm</w:t>
      </w:r>
    </w:p>
    <w:p>
      <w:pPr>
        <w:pStyle w:val="9"/>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重量:12.5Kg</w:t>
      </w:r>
    </w:p>
    <w:p>
      <w:pPr>
        <w:pStyle w:val="9"/>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成套性:包括主机、空气压缩机、附件备件等</w:t>
      </w:r>
    </w:p>
    <w:p>
      <w:pPr>
        <w:pStyle w:val="9"/>
        <w:numPr>
          <w:ilvl w:val="1"/>
          <w:numId w:val="9"/>
        </w:numPr>
        <w:spacing w:line="360" w:lineRule="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质保12个月</w:t>
      </w:r>
    </w:p>
    <w:p>
      <w:pPr>
        <w:tabs>
          <w:tab w:val="left" w:pos="2110"/>
        </w:tabs>
        <w:spacing w:line="360" w:lineRule="auto"/>
        <w:rPr>
          <w:rFonts w:hint="eastAsia" w:ascii="仿宋" w:hAnsi="仿宋" w:eastAsia="仿宋" w:cs="仿宋"/>
          <w:sz w:val="24"/>
          <w:szCs w:val="24"/>
          <w:highlight w:val="none"/>
        </w:rPr>
      </w:pPr>
    </w:p>
    <w:p>
      <w:pPr>
        <w:tabs>
          <w:tab w:val="left" w:pos="2110"/>
        </w:tabs>
        <w:spacing w:line="360" w:lineRule="auto"/>
        <w:rPr>
          <w:rFonts w:hint="eastAsia" w:ascii="仿宋" w:hAnsi="仿宋" w:eastAsia="仿宋" w:cs="仿宋"/>
          <w:sz w:val="24"/>
          <w:szCs w:val="24"/>
          <w:highlight w:val="none"/>
        </w:rPr>
      </w:pPr>
    </w:p>
    <w:p>
      <w:pPr>
        <w:numPr>
          <w:ilvl w:val="0"/>
          <w:numId w:val="0"/>
        </w:numPr>
        <w:spacing w:line="360" w:lineRule="auto"/>
        <w:ind w:left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全自动测汞仪</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一、用   途：适用于食品、药品、环境、石化、矿石、等实验室，对冻肉、奶制品、血液、尿液、食品、化妆品、土壤、淤泥、固定污染源、环境空气、煤炭、油、等各种固体、液体样品的汞含量的直接检测分析。</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二、仪器原理：</w:t>
      </w:r>
    </w:p>
    <w:p>
      <w:pPr>
        <w:widowControl/>
        <w:shd w:val="clear" w:color="auto" w:fill="FFFFFF"/>
        <w:spacing w:line="360" w:lineRule="auto"/>
        <w:ind w:left="240" w:hanging="240" w:hangingChars="10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1.热解析法（燃烧法）测汞组件原理：利用热分解-金汞齐-冷原子吸收原理进行汞的检测。</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三、技术参数及性能要求：</w:t>
      </w:r>
    </w:p>
    <w:p>
      <w:pPr>
        <w:widowControl/>
        <w:shd w:val="clear" w:color="auto" w:fill="FFFFFF"/>
        <w:spacing w:line="360" w:lineRule="auto"/>
        <w:ind w:left="360" w:hanging="360" w:hangingChars="15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1、使用环境：电源：单相230V±10%，50/60Hz；环境温度：16-35˚C；环境湿度：20%~80%RH。</w:t>
      </w:r>
    </w:p>
    <w:p>
      <w:pPr>
        <w:widowControl/>
        <w:shd w:val="clear" w:color="auto" w:fill="FFFFFF"/>
        <w:spacing w:line="360" w:lineRule="auto"/>
        <w:ind w:left="360" w:hanging="360" w:hangingChars="15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2、主机、双光束光路、高、低灵敏度光学池.</w:t>
      </w:r>
    </w:p>
    <w:p>
      <w:pPr>
        <w:widowControl/>
        <w:shd w:val="clear" w:color="auto" w:fill="FFFFFF"/>
        <w:spacing w:line="360" w:lineRule="auto"/>
        <w:ind w:left="360" w:hanging="360" w:hangingChars="15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*3、开机做样时间：即开即用。冷启动即可做样，有专用高分子材料自动水气去湿干燥管去除水蒸气，无需预热检测器防止水蒸气冷凝。</w:t>
      </w:r>
    </w:p>
    <w:p>
      <w:pPr>
        <w:widowControl/>
        <w:shd w:val="clear" w:color="auto" w:fill="FFFFFF"/>
        <w:spacing w:line="360" w:lineRule="auto"/>
        <w:ind w:left="360" w:hanging="360" w:hangingChars="15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*4、分析速度：≤5分钟/样品，可升级复杂样品分析速度≤1分钟/样品；(提供证明文件) </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5、最大样品量：固体1500mg</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6、长稳精度： RSD≤1.0%</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7、检出极限：0.001ng</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8、测量范围：：0.001ng -1500ng汞，高低量程可自动切换。</w:t>
      </w:r>
    </w:p>
    <w:p>
      <w:pPr>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shd w:val="clear" w:color="auto" w:fill="FFFFFF"/>
        </w:rPr>
        <w:t>9、具有样品自动浓缩、富集功能</w:t>
      </w:r>
    </w:p>
    <w:p>
      <w:pPr>
        <w:widowControl/>
        <w:shd w:val="clear" w:color="auto" w:fill="FFFFFF"/>
        <w:spacing w:line="360" w:lineRule="auto"/>
        <w:ind w:left="480" w:hanging="480" w:hangingChars="20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w:t>
      </w:r>
      <w:r>
        <w:rPr>
          <w:rFonts w:hint="eastAsia" w:ascii="仿宋" w:hAnsi="仿宋" w:eastAsia="仿宋" w:cs="仿宋"/>
          <w:color w:val="000000"/>
          <w:kern w:val="0"/>
          <w:sz w:val="24"/>
          <w:szCs w:val="24"/>
          <w:highlight w:val="none"/>
          <w:shd w:val="clear" w:color="auto" w:fill="FFFFFF"/>
        </w:rPr>
        <w:t>10、光学系统：光学系统在室温下工作，无需加热光学系统和检测器，以免影响</w:t>
      </w:r>
      <w:r>
        <w:rPr>
          <w:rFonts w:hint="eastAsia" w:ascii="仿宋" w:hAnsi="仿宋" w:eastAsia="仿宋" w:cs="仿宋"/>
          <w:kern w:val="0"/>
          <w:sz w:val="24"/>
          <w:szCs w:val="24"/>
          <w:highlight w:val="none"/>
          <w:shd w:val="clear" w:color="auto" w:fill="FFFFFF"/>
        </w:rPr>
        <w:t>仪器的稳定性和准确性。</w:t>
      </w:r>
    </w:p>
    <w:p>
      <w:pPr>
        <w:widowControl/>
        <w:shd w:val="clear" w:color="auto" w:fill="FFFFFF"/>
        <w:spacing w:line="360" w:lineRule="auto"/>
        <w:ind w:left="480" w:hanging="480" w:hangingChars="200"/>
        <w:jc w:val="left"/>
        <w:rPr>
          <w:rFonts w:hint="eastAsia" w:ascii="仿宋" w:hAnsi="仿宋" w:eastAsia="仿宋" w:cs="仿宋"/>
          <w:kern w:val="0"/>
          <w:sz w:val="24"/>
          <w:szCs w:val="24"/>
          <w:highlight w:val="none"/>
          <w:shd w:val="clear" w:color="auto" w:fill="FFFFFF"/>
        </w:rPr>
      </w:pPr>
      <w:r>
        <w:rPr>
          <w:rFonts w:hint="eastAsia" w:ascii="仿宋" w:hAnsi="仿宋" w:eastAsia="仿宋" w:cs="仿宋"/>
          <w:kern w:val="0"/>
          <w:sz w:val="24"/>
          <w:szCs w:val="24"/>
          <w:highlight w:val="none"/>
          <w:shd w:val="clear" w:color="auto" w:fill="FFFFFF"/>
        </w:rPr>
        <w:t>*11、自动进样器：42位自动进样器。由电脑控制机械手臂自动进样；具有无样品数限制的连续分析功能， 紧急样品可以随时插入分析。</w:t>
      </w:r>
    </w:p>
    <w:p>
      <w:pPr>
        <w:widowControl/>
        <w:shd w:val="clear" w:color="auto" w:fill="FFFFFF"/>
        <w:spacing w:line="360" w:lineRule="auto"/>
        <w:ind w:left="360" w:hanging="360" w:hangingChars="15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*12、脱水处理方式：采用去湿膜去除样品蒸汽中的水份，无需加热光学系统和检测器</w:t>
      </w:r>
      <w:r>
        <w:rPr>
          <w:rFonts w:hint="eastAsia" w:ascii="仿宋" w:hAnsi="仿宋" w:eastAsia="仿宋" w:cs="仿宋"/>
          <w:kern w:val="0"/>
          <w:sz w:val="24"/>
          <w:szCs w:val="24"/>
          <w:highlight w:val="none"/>
          <w:shd w:val="clear" w:color="auto" w:fill="FFFFFF"/>
        </w:rPr>
        <w:t>。</w:t>
      </w:r>
    </w:p>
    <w:p>
      <w:pPr>
        <w:widowControl/>
        <w:shd w:val="clear" w:color="auto" w:fill="FFFFFF"/>
        <w:spacing w:line="360" w:lineRule="auto"/>
        <w:ind w:left="480" w:hanging="480" w:hangingChars="20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*13、兼容全自动液体测汞仪的操作系统,用户可方便的在同一套操作系统中实现热解析法与氯化亚锡还原法的操作（提供证明文件）。</w:t>
      </w:r>
    </w:p>
    <w:p>
      <w:pPr>
        <w:widowControl/>
        <w:shd w:val="clear" w:color="auto" w:fill="FFFFFF"/>
        <w:spacing w:line="360" w:lineRule="auto"/>
        <w:ind w:left="480" w:hanging="480" w:hangingChars="20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*14、可以连接氯化亚锡法测汞组件，实现样品的热解析法与氯化亚锡还原法的联测与相互比对（提供证明文件）；</w:t>
      </w:r>
    </w:p>
    <w:p>
      <w:pPr>
        <w:widowControl/>
        <w:shd w:val="clear" w:color="auto" w:fill="FFFFFF"/>
        <w:spacing w:line="360" w:lineRule="auto"/>
        <w:ind w:left="480" w:hanging="480" w:hangingChars="20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15、操作软件：自动样品顺序编排，便于无人操作。分析结果顺序显示，并配有图形，详细直观、便于处理。曲线校准可采用试剂溶液或标准物质，灵活实用。每一样品的所有分析参数均可详细显示，便于数据审计与再处理。用户数据报告形式可由操作者任意选择，便于不同格式的编排。</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四、技术服务：</w:t>
      </w:r>
    </w:p>
    <w:p>
      <w:pPr>
        <w:numPr>
          <w:ilvl w:val="0"/>
          <w:numId w:val="11"/>
        </w:num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kern w:val="0"/>
          <w:sz w:val="24"/>
          <w:szCs w:val="24"/>
          <w:highlight w:val="none"/>
          <w:shd w:val="clear" w:color="auto" w:fill="FFFFFF"/>
        </w:rPr>
        <w:t>1、质保期</w:t>
      </w:r>
      <w:r>
        <w:rPr>
          <w:rFonts w:hint="eastAsia" w:ascii="仿宋" w:hAnsi="仿宋" w:eastAsia="仿宋" w:cs="仿宋"/>
          <w:color w:val="000000" w:themeColor="text1"/>
          <w:sz w:val="24"/>
          <w:highlight w:val="none"/>
          <w14:textFill>
            <w14:solidFill>
              <w14:schemeClr w14:val="tx1"/>
            </w14:solidFill>
          </w14:textFill>
        </w:rPr>
        <w:t>12 个月（自仪器验收合格之日算起），或仪器发运之日起15个月。</w:t>
      </w:r>
    </w:p>
    <w:p>
      <w:pPr>
        <w:numPr>
          <w:ilvl w:val="0"/>
          <w:numId w:val="11"/>
        </w:num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2、供应商必需在使用者的实验室内安装调试仪器直至用户认可仪器符合技术性能为止。</w:t>
      </w:r>
    </w:p>
    <w:p>
      <w:pPr>
        <w:numPr>
          <w:ilvl w:val="0"/>
          <w:numId w:val="11"/>
        </w:num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3、仪器所需型号的配件在最近的10年内都可以购买的到，不受供应商对仪器开发和更新换代的影响。</w:t>
      </w:r>
    </w:p>
    <w:p>
      <w:pPr>
        <w:numPr>
          <w:ilvl w:val="0"/>
          <w:numId w:val="11"/>
        </w:numPr>
        <w:spacing w:line="360" w:lineRule="auto"/>
        <w:ind w:firstLine="480" w:firstLineChars="200"/>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themeColor="text1"/>
          <w:sz w:val="24"/>
          <w:highlight w:val="none"/>
          <w14:textFill>
            <w14:solidFill>
              <w14:schemeClr w14:val="tx1"/>
            </w14:solidFill>
          </w14:textFill>
        </w:rPr>
        <w:t>4、仪器制造商在质保期内提供中国境内培训中心, 技术人员到现场免费进行安装调试该系统，免费培训用户的操作技术人员(二人次/四天/壹台) 。提供800热</w:t>
      </w:r>
      <w:r>
        <w:rPr>
          <w:rFonts w:hint="eastAsia" w:ascii="仿宋" w:hAnsi="仿宋" w:eastAsia="仿宋" w:cs="仿宋"/>
          <w:color w:val="000000"/>
          <w:kern w:val="0"/>
          <w:sz w:val="24"/>
          <w:szCs w:val="24"/>
          <w:highlight w:val="none"/>
          <w:shd w:val="clear" w:color="auto" w:fill="FFFFFF"/>
        </w:rPr>
        <w:t>线服务电话，应用技术、方法的咨询服务响应时间应不大于24小时。仪器故障时可以在2个日历日内得到相应的解决方案。</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5、交货期3个月内。</w:t>
      </w:r>
    </w:p>
    <w:p>
      <w:pPr>
        <w:widowControl/>
        <w:shd w:val="clear" w:color="auto" w:fill="FFFFFF"/>
        <w:spacing w:line="360" w:lineRule="auto"/>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*五、仪器配置：</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1、测汞仪主机                   1套</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2、42位全自动进样器             1套</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3、催化管                       1根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4、镍舟                         42个</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5、金汞齐                       1根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6、干燥管                       2根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7、石英舟                       2套</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8、仪器操作软件                 1套</w:t>
      </w:r>
    </w:p>
    <w:p>
      <w:pPr>
        <w:widowControl/>
        <w:shd w:val="clear" w:color="auto" w:fill="FFFFFF"/>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9、电脑、打印机                 1套</w:t>
      </w:r>
    </w:p>
    <w:p>
      <w:pPr>
        <w:widowControl/>
        <w:shd w:val="clear" w:color="auto" w:fill="FFFFFF"/>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10、氧气瓶                      1套</w:t>
      </w:r>
    </w:p>
    <w:p>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rPr>
        <w:t>11、减压阀                      1套</w:t>
      </w:r>
    </w:p>
    <w:p>
      <w:pPr>
        <w:pStyle w:val="2"/>
        <w:spacing w:line="36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注：以上参数若出现厂家或品牌，仅供参考。</w:t>
      </w:r>
    </w:p>
    <w:p>
      <w:pPr>
        <w:pStyle w:val="2"/>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第二包：</w:t>
      </w:r>
    </w:p>
    <w:p>
      <w:pPr>
        <w:pStyle w:val="2"/>
        <w:numPr>
          <w:ilvl w:val="0"/>
          <w:numId w:val="0"/>
        </w:numPr>
        <w:rPr>
          <w:rFonts w:hint="eastAsia" w:ascii="仿宋" w:hAnsi="仿宋" w:eastAsia="仿宋" w:cs="仿宋"/>
          <w:highlight w:val="none"/>
        </w:rPr>
      </w:pPr>
    </w:p>
    <w:tbl>
      <w:tblPr>
        <w:tblStyle w:val="15"/>
        <w:tblW w:w="14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31"/>
        <w:gridCol w:w="1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03" w:type="dxa"/>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2031" w:type="dxa"/>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品目名称</w:t>
            </w:r>
          </w:p>
        </w:tc>
        <w:tc>
          <w:tcPr>
            <w:tcW w:w="11073" w:type="dxa"/>
            <w:noWrap/>
            <w:vAlign w:val="center"/>
          </w:tcPr>
          <w:p>
            <w:pPr>
              <w:widowControl/>
              <w:spacing w:line="360" w:lineRule="auto"/>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03" w:type="dxa"/>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2031" w:type="dxa"/>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高灵敏度双扫描荧光检测器主机</w:t>
            </w:r>
          </w:p>
        </w:tc>
        <w:tc>
          <w:tcPr>
            <w:tcW w:w="11073" w:type="dxa"/>
            <w:noWrap w:val="0"/>
            <w:vAlign w:val="center"/>
          </w:tcPr>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激发波长：200 to 890 nm</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发射波长：210 to 900 nm</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数据采集模式：2维、3维</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波长准确度：±3nm</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灵敏度：S/N &gt; 1000 (水的拉曼光谱）</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信号范围：0.001 to 10，000EU</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流通池：&lt; 10ul，长轴向设计</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光源：汞/弧氙灯，寿命1000小时</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采样频率：80Hz</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10、适配Waters e2695</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11、XEVO-TQ-Micro 锥孔一个</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12、XEVO-TQ-Micro 毛细管4根</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13、12代i5台式电脑一台，屏幕27英寸。</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14、质保12个月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03" w:type="dxa"/>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2031" w:type="dxa"/>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十万分之一电子天平</w:t>
            </w:r>
          </w:p>
        </w:tc>
        <w:tc>
          <w:tcPr>
            <w:tcW w:w="11073" w:type="dxa"/>
            <w:noWrap w:val="0"/>
            <w:vAlign w:val="center"/>
          </w:tcPr>
          <w:p>
            <w:pPr>
              <w:pStyle w:val="4"/>
              <w:spacing w:line="360" w:lineRule="auto"/>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1、天平</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1.1 测量范围</w:t>
            </w:r>
            <w:r>
              <w:rPr>
                <w:rFonts w:hint="eastAsia" w:ascii="仿宋" w:hAnsi="仿宋" w:eastAsia="仿宋" w:cs="仿宋"/>
                <w:kern w:val="0"/>
                <w:sz w:val="24"/>
                <w:szCs w:val="24"/>
                <w:highlight w:val="none"/>
                <w:lang w:val="en-US" w:eastAsia="zh-CN"/>
              </w:rPr>
              <w:t>120/41 g</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 读数精度</w:t>
            </w:r>
            <w:r>
              <w:rPr>
                <w:rFonts w:hint="eastAsia" w:ascii="仿宋" w:hAnsi="仿宋" w:eastAsia="仿宋" w:cs="仿宋"/>
                <w:kern w:val="0"/>
                <w:sz w:val="24"/>
                <w:szCs w:val="24"/>
                <w:highlight w:val="none"/>
                <w:lang w:val="en-US" w:eastAsia="zh-CN"/>
              </w:rPr>
              <w:t>0.002/0.005 mg</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 xml:space="preserve">*1.3 </w:t>
            </w:r>
            <w:r>
              <w:rPr>
                <w:rFonts w:hint="eastAsia" w:ascii="仿宋" w:hAnsi="仿宋" w:eastAsia="仿宋" w:cs="仿宋"/>
                <w:kern w:val="0"/>
                <w:sz w:val="24"/>
                <w:szCs w:val="24"/>
                <w:highlight w:val="none"/>
                <w:lang w:val="en-US" w:eastAsia="zh-CN"/>
              </w:rPr>
              <w:t>最小称量值(k=2，U=1%)，0.6mg</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 xml:space="preserve">    最小称量值(符合USP),6mg</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典型重复性</w:t>
            </w:r>
            <w:r>
              <w:rPr>
                <w:rFonts w:hint="eastAsia" w:ascii="仿宋" w:hAnsi="仿宋" w:eastAsia="仿宋" w:cs="仿宋"/>
                <w:kern w:val="0"/>
                <w:sz w:val="24"/>
                <w:szCs w:val="24"/>
                <w:highlight w:val="none"/>
                <w:lang w:val="en-US" w:eastAsia="zh-CN"/>
              </w:rPr>
              <w:t>0.003 mg</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采用后置式传感器，内置两组校正砝码，保障天平的高抗污染性，极大的延长天平使用寿命。</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 配置状态指示灯系统，通过颜色直观的显示天平的状态，确保天平的正常使用。</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 配置7寸具有中文界面的彩色智能触摸屏，实现安全、便捷的天平操作，即使佩戴手套也能够灵活操作，全中文操作系统。</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 具备proFACT温度触发的全自动校准技术，根据温度漂移和时间设置自动触发内置砝码进行校准和线性校正，确保获得精确称量结果。</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标配红外感应控制系统，实现无需用手接触的称量操作：开关门、打印、去皮等操作，提高工作效率，降低交叉污染隐患。</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 标配静电检测系统，可检测样品和/或容器上的静电荷，并提供警告，帮助客户避免静电带来的误差。</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 标配网格式秤盘，增加抗污染性的同时，降低气流对称重的影响，确保获得快速、准确称量结果，标配易巧称量组件，方便客户进行去皮容器称量。</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 标配电动马达驱动的全自动防风门，完全可拆卸、清洗的防风罩设计，方便对天平进行快速清洁。</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 配置水平向导系统，当天平偏离水平位置时，会自动报警并在显示屏上实时显示水平调整指示，保障天平的可靠使用。</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 具备权限管理系统，可对天平进行密码和权限的设置，确保天平内部设置的安全性。</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*1.15标配ATC主动式温控系统，可对天平背面德电子元件进行散热处理，提高天平德稳定性，节约称量时间。</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 4个USB接口，1个LAN接口，多连接口可直接与现有网络系统直接链接，也可以与现有梅特勒设备直接串联，方便数据统计的一致性和高效性。</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去静电装置</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2.1</w:t>
            </w:r>
            <w:r>
              <w:rPr>
                <w:rFonts w:hint="eastAsia" w:ascii="仿宋" w:hAnsi="仿宋" w:eastAsia="仿宋" w:cs="仿宋"/>
                <w:kern w:val="0"/>
                <w:sz w:val="24"/>
                <w:szCs w:val="24"/>
                <w:highlight w:val="none"/>
              </w:rPr>
              <w:t>工作电压：2-3KV  由于低工作电流，所以可安全触摸</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2.2</w:t>
            </w:r>
            <w:r>
              <w:rPr>
                <w:rFonts w:hint="eastAsia" w:ascii="仿宋" w:hAnsi="仿宋" w:eastAsia="仿宋" w:cs="仿宋"/>
                <w:kern w:val="0"/>
                <w:sz w:val="24"/>
                <w:szCs w:val="24"/>
                <w:highlight w:val="none"/>
              </w:rPr>
              <w:t>工作功率：10-16Hz</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2.3</w:t>
            </w:r>
            <w:r>
              <w:rPr>
                <w:rFonts w:hint="eastAsia" w:ascii="仿宋" w:hAnsi="仿宋" w:eastAsia="仿宋" w:cs="仿宋"/>
                <w:kern w:val="0"/>
                <w:sz w:val="24"/>
                <w:szCs w:val="24"/>
                <w:highlight w:val="none"/>
              </w:rPr>
              <w:t>有效工作距离：6-10cm</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.4 采用U型外观设计，形成完整的静电场，保障均匀的消除物质表面的静电荷</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.5 分离式电源设计，避免电源电路干扰影响去静电装置的静电消除效果</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.6 采用场式去静电设计原理，无需样品或称量容器与去静电装置接触，即可保证消除静电，避免样品间交叉污染</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.7 适用性强，适用于任何品牌、任何型号的电子天平，无需专机专用，避免增加仪器的操作复杂性。</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.8 便于安装携带，只需将去静电装置安装与天平室任意位置，即可完成所有天平消除静电荷的效果</w:t>
            </w:r>
            <w:r>
              <w:rPr>
                <w:rFonts w:hint="eastAsia" w:ascii="仿宋" w:hAnsi="仿宋" w:eastAsia="仿宋" w:cs="仿宋"/>
                <w:kern w:val="0"/>
                <w:sz w:val="24"/>
                <w:szCs w:val="24"/>
                <w:highlight w:val="none"/>
                <w:lang w:eastAsia="zh-CN"/>
              </w:rPr>
              <w:t>。</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3、防震台一个</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3.1 材料：全钢、</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3.2 三级减震</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4、12代i5台式电脑一台，屏幕27英寸。</w:t>
            </w:r>
          </w:p>
          <w:p>
            <w:pPr>
              <w:widowControl/>
              <w:tabs>
                <w:tab w:val="left" w:pos="394"/>
                <w:tab w:val="left" w:pos="3291"/>
              </w:tabs>
              <w:spacing w:line="360" w:lineRule="auto"/>
              <w:ind w:left="91"/>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质保12个月</w:t>
            </w:r>
          </w:p>
        </w:tc>
      </w:tr>
    </w:tbl>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numPr>
          <w:ilvl w:val="0"/>
          <w:numId w:val="0"/>
        </w:numPr>
        <w:spacing w:line="360" w:lineRule="auto"/>
        <w:ind w:lef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全自动凯式定氮仪</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一、全自动凯氏定氮仪的技术参数特点：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1.总氮检测方法：常量, 半微量氮测定(符合AOAC,IP,DIN,GB,等)</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rPr>
        <w:tab/>
      </w:r>
      <w:r>
        <w:rPr>
          <w:rFonts w:hint="eastAsia" w:ascii="仿宋" w:hAnsi="仿宋" w:eastAsia="仿宋" w:cs="仿宋"/>
          <w:sz w:val="24"/>
          <w:szCs w:val="24"/>
          <w:highlight w:val="none"/>
        </w:rPr>
        <w:t>最低检测限：≥0.</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mg 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3.★测量量范围：0.</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 xml:space="preserve">~200mgN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重复性（RSD）: ≤1%</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rPr>
        <w:tab/>
      </w:r>
      <w:r>
        <w:rPr>
          <w:rFonts w:hint="eastAsia" w:ascii="仿宋" w:hAnsi="仿宋" w:eastAsia="仿宋" w:cs="仿宋"/>
          <w:sz w:val="24"/>
          <w:szCs w:val="24"/>
          <w:highlight w:val="none"/>
        </w:rPr>
        <w:t>回收率：≥99.5%（1-200mg 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rPr>
        <w:tab/>
      </w:r>
      <w:r>
        <w:rPr>
          <w:rFonts w:hint="eastAsia" w:ascii="仿宋" w:hAnsi="仿宋" w:eastAsia="仿宋" w:cs="仿宋"/>
          <w:sz w:val="24"/>
          <w:szCs w:val="24"/>
          <w:highlight w:val="none"/>
        </w:rPr>
        <w:t>自动完成样品的加水稀释、加碱、加接收液、蒸馏、滴定、排空、清洗等功能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rPr>
        <w:tab/>
      </w:r>
      <w:r>
        <w:rPr>
          <w:rFonts w:hint="eastAsia" w:ascii="仿宋" w:hAnsi="仿宋" w:eastAsia="仿宋" w:cs="仿宋"/>
          <w:sz w:val="24"/>
          <w:szCs w:val="24"/>
          <w:highlight w:val="none"/>
        </w:rPr>
        <w:t>仪器采用超大8.4英寸彩色触摸显示屏，分辨率高，可以清晰的看到显示内容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rPr>
        <w:tab/>
      </w:r>
      <w:r>
        <w:rPr>
          <w:rFonts w:hint="eastAsia" w:ascii="仿宋" w:hAnsi="仿宋" w:eastAsia="仿宋" w:cs="仿宋"/>
          <w:sz w:val="24"/>
          <w:szCs w:val="24"/>
          <w:highlight w:val="none"/>
        </w:rPr>
        <w:t>仪器采用智能控制面板，并且包括中文在内的8种文字菜单，可以方便快捷的操作。内置软件可以使操作者在电脑上进行仪器的操作设定，结果的处理等。支持GLP规则，支持LIMS数据交换；数据结果可通过网络，USB自动传输。</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9.蒸馏时间：≥60mgN/4min ， 自动排空清洗时间≤1min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10.蒸馏能力：≥40ml/min</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11.自身可储存超过100,000个测定结果，500个测定方法</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12.★滴定模式：颜色滴定模式和电位滴定模式两种模式可选</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标配颜色滴定电极</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13.防喷溅保护器：玻璃或塑料可选</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14.内置电子蒸汽校准控制器：可自动调控蒸汽通入量、速度及终止，并有隔热保护装置确保蒸汽发生器，高效安全，无需维护</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15.双通道废液分离阀：可分别单独收集样品管、接收瓶中的废液，对环境友好。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16.★自动蒸馏模式，自动侦测仪器待机温度，自动计算蒸馏时间，提高了测量结果的准确性</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17.安全功能: 开机自检功能、样品管在位感应器、防护门感应器、蒸汽发生器过热过压保护和错误提醒功能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18.★使用100ml、300ml、500ml消化管，管壁厚度≥2.3mm；收口防爆沸设计，同时兼容市面上其它品牌250ml的消化管</w:t>
      </w:r>
    </w:p>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19.冷却水温度传感器，自动调节冷却水，结果准确，节约水源</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19.EPDM材质的密封圈具有较长的使用寿命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20.密码锁保护功能，防止非授权操作，满足实验室GLP规范</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21.强大的数据传输功能，仪器可以外接天平、打印机、USB接口、网络、LIMS数据交换等</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22.可以做其他蒸馏测定，如苯酚，二氧化硫，挥发性酸等的蒸馏滴定</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.★最小滴定体积：2 μl/步</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.蒸汽调节输出：30%-100%</w:t>
      </w:r>
    </w:p>
    <w:p>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二、快速消解仪</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技术参数特点：</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1．微电脑控制, 铝模块加热方式，可以同时处理1-20个样品；显示温度及剩余时间；</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 </w:t>
      </w:r>
      <w:bookmarkStart w:id="132" w:name="OLE_LINK7"/>
      <w:bookmarkStart w:id="133" w:name="OLE_LINK6"/>
      <w:r>
        <w:rPr>
          <w:rFonts w:hint="eastAsia" w:ascii="仿宋" w:hAnsi="仿宋" w:eastAsia="仿宋" w:cs="仿宋"/>
          <w:sz w:val="24"/>
          <w:szCs w:val="24"/>
          <w:highlight w:val="none"/>
        </w:rPr>
        <w:t>使用100ml、300ml、500ml消化管，管壁厚度≥2.3mm；收口防爆沸设计，防止溶液溅出、防止瀑沸,增加回流，提高消解效果；同时兼容市面上其它品牌250ml的消化管；</w:t>
      </w:r>
    </w:p>
    <w:bookmarkEnd w:id="132"/>
    <w:bookmarkEnd w:id="133"/>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 每个样品管对应独立的密封,无有害气体的泄漏；</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 铝块中空设计，加热槽深度达到6cm,大大提高了加热效率,室温加热到420℃仅需20min；大大节省样品消化时间；</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rPr>
        <w:tab/>
      </w:r>
      <w:r>
        <w:rPr>
          <w:rFonts w:hint="eastAsia" w:ascii="仿宋" w:hAnsi="仿宋" w:eastAsia="仿宋" w:cs="仿宋"/>
          <w:sz w:val="24"/>
          <w:szCs w:val="24"/>
          <w:highlight w:val="none"/>
        </w:rPr>
        <w:t>消解仪设有状态提示：如到达消解温度和消解完成时都有提示音；</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 消解仪设有安全保护功能，如过温保护、防腐保护和断电保护等；</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★自动提升、下降消化管架及控制消解开始时间，所有的消解方法参数可存储，实现无人看守操作</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最大功率2300W；</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 温度范围30℃-450℃；</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温度精度 ±1℃；</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具有UL/CSA, CE 认证，提供IQ/OQ验证。</w:t>
      </w:r>
    </w:p>
    <w:p>
      <w:pPr>
        <w:spacing w:line="360" w:lineRule="auto"/>
        <w:rPr>
          <w:rFonts w:hint="eastAsia" w:ascii="仿宋" w:hAnsi="仿宋" w:eastAsia="仿宋" w:cs="仿宋"/>
          <w:color w:val="FF0000"/>
          <w:sz w:val="24"/>
          <w:szCs w:val="24"/>
          <w:highlight w:val="none"/>
          <w:lang w:val="en-US" w:eastAsia="zh-CN"/>
        </w:rPr>
      </w:pP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配置清单：</w:t>
      </w:r>
    </w:p>
    <w:p>
      <w:pPr>
        <w:spacing w:line="360" w:lineRule="auto"/>
        <w:rPr>
          <w:rFonts w:hint="eastAsia" w:ascii="仿宋" w:hAnsi="仿宋" w:eastAsia="仿宋" w:cs="仿宋"/>
          <w:b/>
          <w:sz w:val="24"/>
          <w:szCs w:val="24"/>
          <w:highlight w:val="none"/>
        </w:rPr>
      </w:pP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1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restart"/>
            <w:noWrap/>
            <w:vAlign w:val="center"/>
          </w:tcPr>
          <w:p>
            <w:pPr>
              <w:spacing w:line="360" w:lineRule="auto"/>
              <w:rPr>
                <w:rFonts w:hint="eastAsia"/>
                <w:highlight w:val="none"/>
              </w:rPr>
            </w:pPr>
            <w:r>
              <w:rPr>
                <w:rFonts w:hint="eastAsia"/>
                <w:highlight w:val="none"/>
              </w:rPr>
              <w:t>包括：</w:t>
            </w:r>
          </w:p>
          <w:p>
            <w:pPr>
              <w:pStyle w:val="2"/>
              <w:rPr>
                <w:rFonts w:hint="eastAsia"/>
                <w:highlight w:val="none"/>
              </w:rPr>
            </w:pPr>
          </w:p>
        </w:tc>
        <w:tc>
          <w:tcPr>
            <w:tcW w:w="3952" w:type="pct"/>
            <w:noWrap/>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一个样品管夹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2个10升试剂桶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2个20升试剂桶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消化管接头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标准抽吸模块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根样品消化管管（300ml）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标配颜色电极1支，另配PH电极1支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20位消化管架</w:t>
            </w:r>
            <w:r>
              <w:rPr>
                <w:rFonts w:hint="eastAsia" w:ascii="仿宋" w:hAnsi="仿宋" w:eastAsia="仿宋" w:cs="仿宋"/>
                <w:sz w:val="24"/>
                <w:szCs w:val="24"/>
                <w:highlight w:val="none"/>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2.附属配件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20位消化系统1台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24位自动进样器1台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另配自动蒸馏仪1台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配套台式电脑1台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47" w:type="pct"/>
            <w:vMerge w:val="continue"/>
            <w:noWrap/>
            <w:vAlign w:val="center"/>
          </w:tcPr>
          <w:p>
            <w:pPr>
              <w:spacing w:line="360" w:lineRule="auto"/>
              <w:rPr>
                <w:rFonts w:hint="eastAsia" w:ascii="仿宋" w:hAnsi="仿宋" w:eastAsia="仿宋" w:cs="仿宋"/>
                <w:sz w:val="24"/>
                <w:szCs w:val="24"/>
                <w:highlight w:val="none"/>
              </w:rPr>
            </w:pPr>
          </w:p>
        </w:tc>
        <w:tc>
          <w:tcPr>
            <w:tcW w:w="3952" w:type="pct"/>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冷却循环水机 1台</w:t>
            </w:r>
          </w:p>
        </w:tc>
      </w:tr>
    </w:tbl>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4.售后服务</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正规注册的办事处、维修站及零备件保税库。在新疆境内有专门负责的经验丰富的维修工程师和在新疆境内应有专门的技术应用支持工程师，在国内设有应用开发实验室。保修期后，保证长期供应零备件和正常的售后服务. 在国内的技术服务中心（包括维修中心）或消耗品代理商应当提供所有服务,包括备用零配件及消耗品。</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安装验收期间，免费对用户进行仪器的基本操作和日常维护的现场培训，内容包括仪器原理，使用方法和维护方法等。</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4.1质保期：验收合格后，质量保证期一年，终身维修。</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4.2故障服务：仪器设备出现故障时，供货方得到通知1日内派维修人员到达用户现场维修。</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4.3技术资料：免费提供该设备全套技术资料；如有可能欢迎同时提供中文资料。</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4.4验收：仪器设备到达最终用户后，由用户提供验收条件，供应商应即时派维修人员前往验收。</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定货量:1台</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交货期：合同签订后60</w:t>
      </w:r>
      <w:r>
        <w:rPr>
          <w:rFonts w:hint="eastAsia" w:ascii="仿宋" w:hAnsi="仿宋" w:eastAsia="仿宋" w:cs="仿宋"/>
          <w:sz w:val="24"/>
          <w:szCs w:val="24"/>
          <w:highlight w:val="none"/>
          <w:lang w:val="en-US" w:eastAsia="zh-CN"/>
        </w:rPr>
        <w:t>天</w:t>
      </w:r>
    </w:p>
    <w:p>
      <w:pPr>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pPr>
        <w:pStyle w:val="2"/>
        <w:spacing w:line="36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注：以上参数若出现厂家或品牌，仅供参考。</w:t>
      </w:r>
    </w:p>
    <w:p>
      <w:pPr>
        <w:tabs>
          <w:tab w:val="left" w:pos="2110"/>
        </w:tabs>
        <w:rPr>
          <w:rFonts w:hint="eastAsia" w:ascii="仿宋" w:hAnsi="仿宋" w:eastAsia="仿宋" w:cs="仿宋"/>
          <w:sz w:val="24"/>
          <w:highlight w:val="none"/>
        </w:rPr>
      </w:pPr>
    </w:p>
    <w:p>
      <w:pPr>
        <w:tabs>
          <w:tab w:val="left" w:pos="2110"/>
        </w:tabs>
        <w:rPr>
          <w:rFonts w:hint="eastAsia" w:ascii="仿宋" w:hAnsi="仿宋" w:eastAsia="仿宋" w:cs="仿宋"/>
          <w:sz w:val="24"/>
          <w:highlight w:val="none"/>
        </w:rPr>
      </w:pPr>
    </w:p>
    <w:p>
      <w:pPr>
        <w:pStyle w:val="2"/>
        <w:numPr>
          <w:ilvl w:val="0"/>
          <w:numId w:val="0"/>
        </w:numPr>
        <w:rPr>
          <w:rFonts w:hint="eastAsia" w:ascii="仿宋" w:hAnsi="仿宋" w:eastAsia="仿宋" w:cs="仿宋"/>
          <w:highlight w:val="none"/>
        </w:rPr>
        <w:sectPr>
          <w:pgSz w:w="16840" w:h="11910" w:orient="landscape"/>
          <w:pgMar w:top="1304" w:right="1134" w:bottom="1191" w:left="1134" w:header="0" w:footer="895" w:gutter="0"/>
          <w:pgNumType w:fmt="decimal"/>
          <w:cols w:space="720" w:num="1"/>
        </w:sectPr>
      </w:pPr>
    </w:p>
    <w:p>
      <w:pPr>
        <w:spacing w:line="360" w:lineRule="auto"/>
        <w:ind w:firstLine="0" w:firstLineChars="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134" w:name="_Toc23777"/>
      <w:bookmarkStart w:id="135" w:name="_Toc4400"/>
      <w:bookmarkStart w:id="136" w:name="_Toc24559"/>
      <w:r>
        <w:rPr>
          <w:rFonts w:hint="eastAsia" w:ascii="仿宋" w:hAnsi="仿宋" w:eastAsia="仿宋" w:cs="仿宋"/>
          <w:b/>
          <w:bCs/>
          <w:color w:val="000000" w:themeColor="text1"/>
          <w:sz w:val="32"/>
          <w:szCs w:val="32"/>
          <w:highlight w:val="none"/>
          <w14:textFill>
            <w14:solidFill>
              <w14:schemeClr w14:val="tx1"/>
            </w14:solidFill>
          </w14:textFill>
        </w:rPr>
        <w:t>第五部分 投标文件格式</w:t>
      </w:r>
    </w:p>
    <w:p>
      <w:pPr>
        <w:spacing w:line="400" w:lineRule="exact"/>
        <w:ind w:left="540"/>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37" w:name="_Toc28068"/>
      <w:r>
        <w:rPr>
          <w:rFonts w:hint="eastAsia" w:ascii="仿宋" w:hAnsi="仿宋" w:eastAsia="仿宋" w:cs="仿宋"/>
          <w:b/>
          <w:bCs/>
          <w:color w:val="000000" w:themeColor="text1"/>
          <w:sz w:val="28"/>
          <w:szCs w:val="28"/>
          <w:highlight w:val="none"/>
          <w14:textFill>
            <w14:solidFill>
              <w14:schemeClr w14:val="tx1"/>
            </w14:solidFill>
          </w14:textFill>
        </w:rPr>
        <w:t>（如未提供格式，格式自拟）</w:t>
      </w:r>
      <w:bookmarkEnd w:id="137"/>
      <w:bookmarkStart w:id="138" w:name="_Toc13245"/>
      <w:bookmarkStart w:id="139" w:name="_Toc12703"/>
      <w:bookmarkStart w:id="140" w:name="_Toc21182"/>
    </w:p>
    <w:p>
      <w:pPr>
        <w:spacing w:line="400" w:lineRule="exact"/>
        <w:ind w:left="54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投标文件封面</w:t>
      </w:r>
      <w:bookmarkEnd w:id="138"/>
      <w:bookmarkEnd w:id="139"/>
      <w:bookmarkEnd w:id="140"/>
      <w:r>
        <w:rPr>
          <w:rFonts w:hint="eastAsia" w:ascii="仿宋" w:hAnsi="仿宋" w:eastAsia="仿宋" w:cs="仿宋"/>
          <w:color w:val="000000" w:themeColor="text1"/>
          <w:sz w:val="28"/>
          <w:szCs w:val="28"/>
          <w:highlight w:val="none"/>
          <w:lang w:val="en-US" w:eastAsia="zh-CN"/>
          <w14:textFill>
            <w14:solidFill>
              <w14:schemeClr w14:val="tx1"/>
            </w14:solidFill>
          </w14:textFill>
        </w:rPr>
        <w:t>自拟需包含（项目名称、项目编号、投标人名称、地址等招标文件要求的关键信息）</w:t>
      </w:r>
      <w:bookmarkEnd w:id="134"/>
      <w:bookmarkEnd w:id="135"/>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bidi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附件一</w:t>
      </w:r>
      <w:bookmarkEnd w:id="136"/>
    </w:p>
    <w:p>
      <w:pPr>
        <w:spacing w:line="360" w:lineRule="auto"/>
        <w:ind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41" w:name="_Toc23353_WPSOffice_Level1"/>
      <w:r>
        <w:rPr>
          <w:rFonts w:hint="eastAsia" w:ascii="仿宋" w:hAnsi="仿宋" w:eastAsia="仿宋" w:cs="仿宋"/>
          <w:b/>
          <w:bCs/>
          <w:color w:val="000000" w:themeColor="text1"/>
          <w:sz w:val="28"/>
          <w:szCs w:val="28"/>
          <w:highlight w:val="none"/>
          <w14:textFill>
            <w14:solidFill>
              <w14:schemeClr w14:val="tx1"/>
            </w14:solidFill>
          </w14:textFill>
        </w:rPr>
        <w:t>投  标  函</w:t>
      </w:r>
      <w:bookmarkEnd w:id="141"/>
    </w:p>
    <w:p>
      <w:pPr>
        <w:spacing w:line="360" w:lineRule="auto"/>
        <w:ind w:firstLine="120" w:firstLine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（采购人）：</w:t>
      </w:r>
    </w:p>
    <w:p>
      <w:pPr>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经研究，我们决定参加编号为项目的招标活动并投标，为此，我方郑重声明以下诸点，并负法律责任。</w:t>
      </w:r>
    </w:p>
    <w:p>
      <w:pPr>
        <w:numPr>
          <w:ilvl w:val="0"/>
          <w:numId w:val="11"/>
        </w:num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我方提交投标文件，开标一览表：一份（投标函、投标报价表)（单独密封）</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投标文件:一正、四副（投标文件签字或盖章要求：按照招标文件规定签字盖章，否则视为无效标，副本可为正本复印件。）；另附：投标文件电子版（PDF格式）光盘和U盘各1份，密封在开标一览表封袋中。</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二、我公司将积极响应贵方参加本次招标活动，经过对本项目招标文件的详细阅读，对招标文件无疑问，编制投标文件的时间充足，对招标文件中的递交截止时间无异议；</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三、如果我方的投标文件被接受，我方将履行招标文件中规定的每项要求，并按我方投标文件中的承诺按期、按质、按量履约，并承诺若我方中标绝不分包、转包任务；</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四、我方理解，报价不是成交的唯一条件，你们有选择成交人的权利；</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五、我方愿按《中华人民共和国合同法》及其他有关法律、法规的规定，自觉履行自己的全部责任；</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六、我方同意按招标文件的规定交纳投标保证金、中标服务费，遵守贵方有关评标的各项规定；</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七、我方的投标文件有效期为</w:t>
      </w:r>
      <w:r>
        <w:rPr>
          <w:rFonts w:hint="eastAsia" w:ascii="仿宋" w:hAnsi="仿宋" w:eastAsia="仿宋" w:cs="仿宋"/>
          <w:color w:val="000000" w:themeColor="text1"/>
          <w:sz w:val="24"/>
          <w:highlight w:val="none"/>
          <w:u w:val="single"/>
          <w14:textFill>
            <w14:solidFill>
              <w14:schemeClr w14:val="tx1"/>
            </w14:solidFill>
          </w14:textFill>
        </w:rPr>
        <w:t>90</w:t>
      </w:r>
      <w:r>
        <w:rPr>
          <w:rFonts w:hint="eastAsia" w:ascii="仿宋" w:hAnsi="仿宋" w:eastAsia="仿宋" w:cs="仿宋"/>
          <w:color w:val="000000" w:themeColor="text1"/>
          <w:sz w:val="24"/>
          <w:highlight w:val="none"/>
          <w14:textFill>
            <w14:solidFill>
              <w14:schemeClr w14:val="tx1"/>
            </w14:solidFill>
          </w14:textFill>
        </w:rPr>
        <w:t>天。</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105" w:rightChars="5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单位名称（公章）：</w:t>
      </w:r>
    </w:p>
    <w:p>
      <w:pPr>
        <w:spacing w:line="360" w:lineRule="auto"/>
        <w:ind w:right="105" w:rightChars="5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360" w:lineRule="auto"/>
        <w:ind w:right="105" w:rightChars="5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法人授权代表（签字）：</w:t>
      </w: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jc w:val="righ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年月日</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附表二</w:t>
      </w:r>
    </w:p>
    <w:p>
      <w:pPr>
        <w:spacing w:line="360" w:lineRule="auto"/>
        <w:ind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42" w:name="_Toc4812_WPSOffice_Level1"/>
      <w:r>
        <w:rPr>
          <w:rFonts w:hint="eastAsia" w:ascii="仿宋" w:hAnsi="仿宋" w:eastAsia="仿宋" w:cs="仿宋"/>
          <w:b/>
          <w:bCs/>
          <w:color w:val="000000" w:themeColor="text1"/>
          <w:sz w:val="28"/>
          <w:szCs w:val="28"/>
          <w:highlight w:val="none"/>
          <w14:textFill>
            <w14:solidFill>
              <w14:schemeClr w14:val="tx1"/>
            </w14:solidFill>
          </w14:textFill>
        </w:rPr>
        <w:t>法定代表人身份证明或法定代表人授权委托书</w:t>
      </w:r>
      <w:bookmarkEnd w:id="142"/>
    </w:p>
    <w:p>
      <w:pPr>
        <w:spacing w:line="360" w:lineRule="auto"/>
        <w:ind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1、法定代表人身份证明</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兹证明 同志在我单位任 （职务），是我单位的法定代表人。</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附法定代表人基本情况：</w:t>
      </w:r>
    </w:p>
    <w:p>
      <w:pPr>
        <w:autoSpaceDE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r>
        <w:rPr>
          <w:rFonts w:hint="eastAsia" w:ascii="仿宋" w:hAnsi="仿宋" w:eastAsia="仿宋" w:cs="仿宋"/>
          <w:color w:val="000000" w:themeColor="text1"/>
          <w:sz w:val="2"/>
          <w:szCs w:val="2"/>
          <w:highlight w:val="none"/>
          <w14:textFill>
            <w14:solidFill>
              <w14:schemeClr w14:val="tx1"/>
            </w14:solidFill>
          </w14:textFill>
        </w:rPr>
        <w:t>U</w:t>
      </w:r>
      <w:r>
        <w:rPr>
          <w:rFonts w:hint="eastAsia" w:ascii="仿宋" w:hAnsi="仿宋" w:eastAsia="仿宋" w:cs="仿宋"/>
          <w:color w:val="000000" w:themeColor="text1"/>
          <w:sz w:val="24"/>
          <w:highlight w:val="none"/>
          <w:u w:val="single"/>
          <w14:textFill>
            <w14:solidFill>
              <w14:schemeClr w14:val="tx1"/>
            </w14:solidFill>
          </w14:textFill>
        </w:rPr>
        <w:t xml:space="preserve">   （亲笔签字） </w:t>
      </w:r>
      <w:r>
        <w:rPr>
          <w:rFonts w:hint="eastAsia" w:ascii="仿宋" w:hAnsi="仿宋" w:eastAsia="仿宋" w:cs="仿宋"/>
          <w:color w:val="000000" w:themeColor="text1"/>
          <w:sz w:val="24"/>
          <w:highlight w:val="none"/>
          <w14:textFill>
            <w14:solidFill>
              <w14:schemeClr w14:val="tx1"/>
            </w14:solidFill>
          </w14:textFill>
        </w:rPr>
        <w:t xml:space="preserve"> 性别： 年龄：</w:t>
      </w:r>
    </w:p>
    <w:p>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w:t>
      </w:r>
    </w:p>
    <w:p>
      <w:pPr>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电话号码：邮编：</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单位名称：（公章）</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年月日</w:t>
      </w:r>
    </w:p>
    <w:p>
      <w:pPr>
        <w:spacing w:before="100" w:beforeAutospacing="1" w:after="100" w:afterAutospacing="1" w:line="360" w:lineRule="auto"/>
        <w:ind w:firstLine="562" w:firstLineChars="200"/>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附：法定代表人《居民身份证》正反面复印件：</w:t>
      </w: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60" w:lineRule="auto"/>
        <w:ind w:firstLine="482" w:firstLineChars="200"/>
        <w:rPr>
          <w:rFonts w:hint="eastAsia" w:ascii="仿宋" w:hAnsi="仿宋" w:eastAsia="仿宋" w:cs="仿宋"/>
          <w:b/>
          <w:bCs/>
          <w:color w:val="000000" w:themeColor="text1"/>
          <w:sz w:val="24"/>
          <w:szCs w:val="22"/>
          <w:highlight w:val="none"/>
          <w14:textFill>
            <w14:solidFill>
              <w14:schemeClr w14:val="tx1"/>
            </w14:solidFill>
          </w14:textFill>
        </w:rPr>
      </w:pPr>
      <w:r>
        <w:rPr>
          <w:rFonts w:hint="eastAsia" w:ascii="仿宋" w:hAnsi="仿宋" w:eastAsia="仿宋" w:cs="仿宋"/>
          <w:b/>
          <w:bCs/>
          <w:color w:val="000000" w:themeColor="text1"/>
          <w:sz w:val="24"/>
          <w:szCs w:val="22"/>
          <w:highlight w:val="none"/>
          <w14:textFill>
            <w14:solidFill>
              <w14:schemeClr w14:val="tx1"/>
            </w14:solidFill>
          </w14:textFill>
        </w:rPr>
        <w:t>注：1.法定代表人签字或盖章必须是亲笔签名或相关主管行政部门备案的法定代表人印章。</w:t>
      </w:r>
    </w:p>
    <w:p>
      <w:pPr>
        <w:spacing w:line="360" w:lineRule="auto"/>
        <w:ind w:firstLine="2530" w:firstLineChars="900"/>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ind w:firstLine="2530" w:firstLineChars="900"/>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ind w:firstLine="2530" w:firstLineChars="900"/>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spacing w:line="360" w:lineRule="auto"/>
        <w:ind w:firstLine="2530" w:firstLineChars="9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2、法定代表人授权委托书</w:t>
      </w:r>
    </w:p>
    <w:p>
      <w:pPr>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p>
    <w:p>
      <w:pPr>
        <w:autoSpaceDE w:val="0"/>
        <w:autoSpaceDN w:val="0"/>
        <w:adjustRightInd w:val="0"/>
        <w:spacing w:line="360" w:lineRule="auto"/>
        <w:ind w:firstLine="42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本授权声明：注册于中华人民共和国的</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（投标人名称、住址）  </w:t>
      </w:r>
      <w:r>
        <w:rPr>
          <w:rFonts w:hint="eastAsia" w:ascii="仿宋" w:hAnsi="仿宋" w:eastAsia="仿宋" w:cs="仿宋"/>
          <w:color w:val="000000" w:themeColor="text1"/>
          <w:sz w:val="24"/>
          <w:highlight w:val="none"/>
          <w14:textFill>
            <w14:solidFill>
              <w14:schemeClr w14:val="tx1"/>
            </w14:solidFill>
          </w14:textFill>
        </w:rPr>
        <w:t>的法定代表人</w:t>
      </w:r>
      <w:r>
        <w:rPr>
          <w:rFonts w:hint="eastAsia" w:ascii="仿宋" w:hAnsi="仿宋" w:eastAsia="仿宋" w:cs="仿宋"/>
          <w:color w:val="000000" w:themeColor="text1"/>
          <w:sz w:val="24"/>
          <w:highlight w:val="none"/>
          <w:u w:val="single"/>
          <w14:textFill>
            <w14:solidFill>
              <w14:schemeClr w14:val="tx1"/>
            </w14:solidFill>
          </w14:textFill>
        </w:rPr>
        <w:t xml:space="preserve">  （法定代表人姓名、职务）  </w:t>
      </w:r>
      <w:r>
        <w:rPr>
          <w:rFonts w:hint="eastAsia" w:ascii="仿宋" w:hAnsi="仿宋" w:eastAsia="仿宋" w:cs="仿宋"/>
          <w:color w:val="000000" w:themeColor="text1"/>
          <w:sz w:val="24"/>
          <w:highlight w:val="none"/>
          <w14:textFill>
            <w14:solidFill>
              <w14:schemeClr w14:val="tx1"/>
            </w14:solidFill>
          </w14:textFill>
        </w:rPr>
        <w:t>代表本公司授权在下面签字的</w:t>
      </w:r>
      <w:r>
        <w:rPr>
          <w:rFonts w:hint="eastAsia" w:ascii="仿宋" w:hAnsi="仿宋" w:eastAsia="仿宋" w:cs="仿宋"/>
          <w:color w:val="000000" w:themeColor="text1"/>
          <w:sz w:val="24"/>
          <w:highlight w:val="none"/>
          <w:u w:val="single"/>
          <w14:textFill>
            <w14:solidFill>
              <w14:schemeClr w14:val="tx1"/>
            </w14:solidFill>
          </w14:textFill>
        </w:rPr>
        <w:t xml:space="preserve">  （被授权人的姓名、职务）  </w:t>
      </w:r>
      <w:r>
        <w:rPr>
          <w:rFonts w:hint="eastAsia" w:ascii="仿宋" w:hAnsi="仿宋" w:eastAsia="仿宋" w:cs="仿宋"/>
          <w:color w:val="000000" w:themeColor="text1"/>
          <w:sz w:val="24"/>
          <w:highlight w:val="none"/>
          <w14:textFill>
            <w14:solidFill>
              <w14:schemeClr w14:val="tx1"/>
            </w14:solidFill>
          </w14:textFill>
        </w:rPr>
        <w:t>为本公司的合法代理人，就此次</w:t>
      </w:r>
      <w:r>
        <w:rPr>
          <w:rFonts w:hint="eastAsia" w:ascii="仿宋" w:hAnsi="仿宋" w:eastAsia="仿宋" w:cs="仿宋"/>
          <w:color w:val="000000" w:themeColor="text1"/>
          <w:sz w:val="24"/>
          <w:highlight w:val="none"/>
          <w:u w:val="single"/>
          <w14:textFill>
            <w14:solidFill>
              <w14:schemeClr w14:val="tx1"/>
            </w14:solidFill>
          </w14:textFill>
        </w:rPr>
        <w:t xml:space="preserve"> （项目名称、项目包段），</w:t>
      </w:r>
      <w:r>
        <w:rPr>
          <w:rFonts w:hint="eastAsia" w:ascii="仿宋" w:hAnsi="仿宋" w:eastAsia="仿宋" w:cs="仿宋"/>
          <w:color w:val="000000" w:themeColor="text1"/>
          <w:sz w:val="24"/>
          <w:highlight w:val="none"/>
          <w14:textFill>
            <w14:solidFill>
              <w14:schemeClr w14:val="tx1"/>
            </w14:solidFill>
          </w14:textFill>
        </w:rPr>
        <w:t>招标编号为</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（采购内容） </w:t>
      </w:r>
      <w:r>
        <w:rPr>
          <w:rFonts w:hint="eastAsia" w:ascii="仿宋" w:hAnsi="仿宋" w:eastAsia="仿宋" w:cs="仿宋"/>
          <w:color w:val="000000" w:themeColor="text1"/>
          <w:sz w:val="24"/>
          <w:highlight w:val="none"/>
          <w14:textFill>
            <w14:solidFill>
              <w14:schemeClr w14:val="tx1"/>
            </w14:solidFill>
          </w14:textFill>
        </w:rPr>
        <w:t>的投标及合同的执行、完成和后期质保，以本公司名义处理一切与之有关的事务。</w:t>
      </w:r>
    </w:p>
    <w:p>
      <w:pPr>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autoSpaceDE w:val="0"/>
        <w:autoSpaceDN w:val="0"/>
        <w:adjustRightInd w:val="0"/>
        <w:spacing w:line="360" w:lineRule="auto"/>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本授权书于</w:t>
      </w:r>
      <w:r>
        <w:rPr>
          <w:rFonts w:hint="eastAsia" w:ascii="仿宋" w:hAnsi="仿宋" w:eastAsia="仿宋" w:cs="仿宋"/>
          <w:color w:val="000000" w:themeColor="text1"/>
          <w:sz w:val="24"/>
          <w:highlight w:val="none"/>
          <w:u w:val="single"/>
          <w14:textFill>
            <w14:solidFill>
              <w14:schemeClr w14:val="tx1"/>
            </w14:solidFill>
          </w14:textFill>
        </w:rPr>
        <w:t xml:space="preserve">  年  月  日</w:t>
      </w:r>
      <w:r>
        <w:rPr>
          <w:rFonts w:hint="eastAsia" w:ascii="仿宋" w:hAnsi="仿宋" w:eastAsia="仿宋" w:cs="仿宋"/>
          <w:color w:val="000000" w:themeColor="text1"/>
          <w:sz w:val="24"/>
          <w:highlight w:val="none"/>
          <w14:textFill>
            <w14:solidFill>
              <w14:schemeClr w14:val="tx1"/>
            </w14:solidFill>
          </w14:textFill>
        </w:rPr>
        <w:t>签字生效，特此声明。</w:t>
      </w:r>
    </w:p>
    <w:p>
      <w:pPr>
        <w:autoSpaceDE w:val="0"/>
        <w:autoSpaceDN w:val="0"/>
        <w:adjustRightInd w:val="0"/>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法人签字或盖章：</w:t>
      </w:r>
    </w:p>
    <w:p>
      <w:pPr>
        <w:autoSpaceDE w:val="0"/>
        <w:autoSpaceDN w:val="0"/>
        <w:adjustRightInd w:val="0"/>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代理（被授权人）签字或盖章：</w:t>
      </w:r>
    </w:p>
    <w:p>
      <w:pPr>
        <w:autoSpaceDE w:val="0"/>
        <w:autoSpaceDN w:val="0"/>
        <w:adjustRightInd w:val="0"/>
        <w:spacing w:line="360" w:lineRule="auto"/>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代理（被授权人）职务：</w:t>
      </w:r>
    </w:p>
    <w:p>
      <w:pPr>
        <w:spacing w:line="360" w:lineRule="auto"/>
        <w:ind w:firstLine="6240" w:firstLineChars="26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（单位公章）</w:t>
      </w:r>
    </w:p>
    <w:p>
      <w:pPr>
        <w:spacing w:line="360" w:lineRule="auto"/>
        <w:ind w:firstLine="48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20年月日</w:t>
      </w:r>
    </w:p>
    <w:p>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428875" cy="120205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45pt;margin-top:30.1pt;height:94.65pt;width:191.25pt;z-index:251660288;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VqXYnZAAAACgEAAA8AAAAAAAAA&#10;AQAgAAAAIgAAAGRycy9kb3ducmV2LnhtbFBLAQIUABQAAAAIAIdO4kApTmCnSQIAAJgEAAAOAAAA&#10;AAAAAAEAIAAAACgBAABkcnMvZTJvRG9jLnhtbFBLBQYAAAAABgAGAFkBAADjBQ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背面</w:t>
                      </w:r>
                    </w:p>
                  </w:txbxContent>
                </v:textbox>
              </v:shape>
            </w:pict>
          </mc:Fallback>
        </mc:AlternateContent>
      </w: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394970</wp:posOffset>
                </wp:positionH>
                <wp:positionV relativeFrom="paragraph">
                  <wp:posOffset>381635</wp:posOffset>
                </wp:positionV>
                <wp:extent cx="2476500" cy="1218565"/>
                <wp:effectExtent l="5080" t="4445" r="7620" b="889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476500" cy="121856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pt;margin-top:30.05pt;height:95.95pt;width:195pt;z-index:251659264;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yyyZ7YAAAACQEAAA8AAAAAAAAAAQAg&#10;AAAAIgAAAGRycy9kb3ducmV2LnhtbFBLAQIUABQAAAAIAIdO4kDJlArARwIAAJYEAAAOAAAAAAAA&#10;AAEAIAAAACcBAABkcnMvZTJvRG9jLnhtbFBLBQYAAAAABgAGAFkBAADgBQ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正面</w:t>
                      </w:r>
                    </w:p>
                  </w:txbxContent>
                </v:textbox>
              </v:shape>
            </w:pict>
          </mc:Fallback>
        </mc:AlternateContent>
      </w:r>
      <w:r>
        <w:rPr>
          <w:rFonts w:hint="eastAsia" w:ascii="仿宋" w:hAnsi="仿宋" w:eastAsia="仿宋" w:cs="仿宋"/>
          <w:color w:val="000000" w:themeColor="text1"/>
          <w:sz w:val="24"/>
          <w:highlight w:val="none"/>
          <w14:textFill>
            <w14:solidFill>
              <w14:schemeClr w14:val="tx1"/>
            </w14:solidFill>
          </w14:textFill>
        </w:rPr>
        <w:t>法定代表人身份彩色扫描件：</w:t>
      </w:r>
    </w:p>
    <w:p>
      <w:pPr>
        <w:pStyle w:val="5"/>
        <w:spacing w:line="360" w:lineRule="auto"/>
        <w:ind w:firstLine="0"/>
        <w:rPr>
          <w:rFonts w:hint="eastAsia" w:ascii="仿宋" w:hAnsi="仿宋" w:eastAsia="仿宋" w:cs="仿宋"/>
          <w:color w:val="000000" w:themeColor="text1"/>
          <w:sz w:val="24"/>
          <w:szCs w:val="24"/>
          <w:highlight w:val="none"/>
          <w14:textFill>
            <w14:solidFill>
              <w14:schemeClr w14:val="tx1"/>
            </w14:solidFill>
          </w14:textFill>
        </w:rPr>
      </w:pPr>
    </w:p>
    <w:p>
      <w:pPr>
        <w:pStyle w:val="5"/>
        <w:spacing w:line="360" w:lineRule="auto"/>
        <w:ind w:firstLine="0"/>
        <w:rPr>
          <w:rFonts w:hint="eastAsia" w:ascii="仿宋" w:hAnsi="仿宋" w:eastAsia="仿宋" w:cs="仿宋"/>
          <w:color w:val="000000" w:themeColor="text1"/>
          <w:sz w:val="24"/>
          <w:szCs w:val="24"/>
          <w:highlight w:val="none"/>
          <w14:textFill>
            <w14:solidFill>
              <w14:schemeClr w14:val="tx1"/>
            </w14:solidFill>
          </w14:textFill>
        </w:rPr>
      </w:pPr>
    </w:p>
    <w:p>
      <w:pPr>
        <w:pStyle w:val="5"/>
        <w:spacing w:line="360" w:lineRule="auto"/>
        <w:ind w:firstLine="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2160" w:firstLineChars="9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2160" w:firstLineChars="9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2160" w:firstLineChars="900"/>
        <w:rPr>
          <w:rFonts w:hint="eastAsia" w:ascii="仿宋" w:hAnsi="仿宋" w:eastAsia="仿宋" w:cs="仿宋"/>
          <w:color w:val="000000" w:themeColor="text1"/>
          <w:sz w:val="24"/>
          <w:highlight w:val="none"/>
          <w:u w:val="single"/>
          <w14:textFill>
            <w14:solidFill>
              <w14:schemeClr w14:val="tx1"/>
            </w14:solidFill>
          </w14:textFill>
        </w:rPr>
      </w:pPr>
    </w:p>
    <w:p>
      <w:pPr>
        <w:spacing w:line="360" w:lineRule="auto"/>
        <w:ind w:firstLine="48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授权人身份证彩色扫描件：</w:t>
      </w:r>
    </w:p>
    <w:p>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3320415</wp:posOffset>
                </wp:positionH>
                <wp:positionV relativeFrom="paragraph">
                  <wp:posOffset>167005</wp:posOffset>
                </wp:positionV>
                <wp:extent cx="2428875" cy="1189355"/>
                <wp:effectExtent l="4445" t="5080" r="5080" b="1206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428875" cy="118935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背面</w:t>
                            </w:r>
                          </w:p>
                          <w:p>
                            <w:pPr>
                              <w:ind w:firstLine="42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45pt;margin-top:13.15pt;height:93.65pt;width:191.25pt;z-index:251662336;mso-width-relative:page;mso-height-relative:page;" fillcolor="#FFFFFF" filled="t" stroked="t" coordsize="21600,21600" o:gfxdata="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P0SArZAAAACgEAAA8AAAAAAAAA&#10;AQAgAAAAIgAAAGRycy9kb3ducmV2LnhtbFBLAQIUABQAAAAIAIdO4kDLDgw3SQIAAJgEAAAOAAAA&#10;AAAAAAEAIAAAACgBAABkcnMvZTJvRG9jLnhtbFBLBQYAAAAABgAGAFkBAADjBQ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背面</w:t>
                      </w:r>
                    </w:p>
                    <w:p>
                      <w:pPr>
                        <w:ind w:firstLine="420"/>
                      </w:pPr>
                    </w:p>
                  </w:txbxContent>
                </v:textbox>
              </v:shape>
            </w:pict>
          </mc:Fallback>
        </mc:AlternateContent>
      </w: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166370</wp:posOffset>
                </wp:positionV>
                <wp:extent cx="2552700" cy="1205865"/>
                <wp:effectExtent l="4445" t="4445" r="8255" b="889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552700" cy="1205865"/>
                        </a:xfrm>
                        <a:prstGeom prst="rect">
                          <a:avLst/>
                        </a:prstGeom>
                        <a:solidFill>
                          <a:srgbClr val="FFFFFF"/>
                        </a:solidFill>
                        <a:ln w="9525">
                          <a:solidFill>
                            <a:srgbClr val="000000"/>
                          </a:solidFill>
                          <a:miter lim="800000"/>
                        </a:ln>
                        <a:effectLst/>
                      </wps:spPr>
                      <wps:txbx>
                        <w:txbxContent>
                          <w:p>
                            <w:pPr>
                              <w:ind w:firstLine="640"/>
                              <w:jc w:val="center"/>
                              <w:rPr>
                                <w:sz w:val="32"/>
                                <w:szCs w:val="32"/>
                              </w:rPr>
                            </w:pPr>
                          </w:p>
                          <w:p>
                            <w:pPr>
                              <w:ind w:firstLine="1609" w:firstLineChars="503"/>
                              <w:rPr>
                                <w:sz w:val="32"/>
                                <w:szCs w:val="32"/>
                              </w:rPr>
                            </w:pPr>
                            <w:r>
                              <w:rPr>
                                <w:rFonts w:hint="eastAsia"/>
                                <w:sz w:val="32"/>
                                <w:szCs w:val="32"/>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pt;margin-top:13.1pt;height:94.95pt;width:201pt;z-index:251661312;mso-width-relative:page;mso-height-relative:page;" fillcolor="#FFFFFF" filled="t" stroked="t" coordsize="21600,21600" o:gfxdata="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D8b4NcAAAAJAQAADwAAAAAAAAABACAA&#10;AAAiAAAAZHJzL2Rvd25yZXYueG1sUEsBAhQAFAAAAAgAh07iQMS1/7tHAgAAlgQAAA4AAAAAAAAA&#10;AQAgAAAAJgEAAGRycy9lMm9Eb2MueG1sUEsFBgAAAAAGAAYAWQEAAN8FAAAAAA==&#10;">
                <v:fill on="t" focussize="0,0"/>
                <v:stroke color="#000000" miterlimit="8" joinstyle="miter"/>
                <v:imagedata o:title=""/>
                <o:lock v:ext="edit" aspectratio="f"/>
                <v:textbox>
                  <w:txbxContent>
                    <w:p>
                      <w:pPr>
                        <w:ind w:firstLine="640"/>
                        <w:jc w:val="center"/>
                        <w:rPr>
                          <w:sz w:val="32"/>
                          <w:szCs w:val="32"/>
                        </w:rPr>
                      </w:pPr>
                    </w:p>
                    <w:p>
                      <w:pPr>
                        <w:ind w:firstLine="1609" w:firstLineChars="503"/>
                        <w:rPr>
                          <w:sz w:val="32"/>
                          <w:szCs w:val="32"/>
                        </w:rPr>
                      </w:pPr>
                      <w:r>
                        <w:rPr>
                          <w:rFonts w:hint="eastAsia"/>
                          <w:sz w:val="32"/>
                          <w:szCs w:val="32"/>
                        </w:rPr>
                        <w:t>正面</w:t>
                      </w:r>
                    </w:p>
                  </w:txbxContent>
                </v:textbox>
              </v:shape>
            </w:pict>
          </mc:Fallback>
        </mc:AlternateContent>
      </w:r>
    </w:p>
    <w:p>
      <w:pPr>
        <w:spacing w:line="360" w:lineRule="auto"/>
        <w:ind w:firstLine="3360" w:firstLineChars="14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2" w:firstLineChars="200"/>
        <w:jc w:val="center"/>
        <w:rPr>
          <w:rFonts w:hint="eastAsia" w:ascii="仿宋" w:hAnsi="仿宋" w:eastAsia="仿宋" w:cs="仿宋"/>
          <w:b/>
          <w:color w:val="000000" w:themeColor="text1"/>
          <w:sz w:val="24"/>
          <w:highlight w:val="none"/>
          <w14:textFill>
            <w14:solidFill>
              <w14:schemeClr w14:val="tx1"/>
            </w14:solidFill>
          </w14:textFill>
        </w:rPr>
      </w:pPr>
    </w:p>
    <w:p>
      <w:pPr>
        <w:pStyle w:val="5"/>
        <w:spacing w:line="360" w:lineRule="auto"/>
        <w:ind w:firstLine="0"/>
        <w:rPr>
          <w:rFonts w:hint="eastAsia" w:ascii="仿宋" w:hAnsi="仿宋" w:eastAsia="仿宋" w:cs="仿宋"/>
          <w:b/>
          <w:color w:val="000000" w:themeColor="text1"/>
          <w:sz w:val="28"/>
          <w:szCs w:val="24"/>
          <w:highlight w:val="none"/>
          <w14:textFill>
            <w14:solidFill>
              <w14:schemeClr w14:val="tx1"/>
            </w14:solidFill>
          </w14:textFill>
        </w:rPr>
      </w:pPr>
    </w:p>
    <w:p>
      <w:pPr>
        <w:spacing w:line="360" w:lineRule="auto"/>
        <w:rPr>
          <w:rFonts w:hint="eastAsia" w:ascii="仿宋" w:hAnsi="仿宋" w:eastAsia="仿宋" w:cs="仿宋"/>
          <w:b/>
          <w:color w:val="000000" w:themeColor="text1"/>
          <w:sz w:val="24"/>
          <w:highlight w:val="none"/>
          <w14:textFill>
            <w14:solidFill>
              <w14:schemeClr w14:val="tx1"/>
            </w14:solidFill>
          </w14:textFill>
        </w:rPr>
      </w:pPr>
    </w:p>
    <w:p>
      <w:pPr>
        <w:spacing w:before="100" w:beforeAutospacing="1" w:after="100" w:afterAutospacing="1"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2"/>
          <w:highlight w:val="none"/>
          <w14:textFill>
            <w14:solidFill>
              <w14:schemeClr w14:val="tx1"/>
            </w14:solidFill>
          </w14:textFill>
        </w:rPr>
        <w:t>注：1.法定代表人签字或盖章必须是亲笔签名或相关主管行政部门备案的法定代表人印章。</w:t>
      </w: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spacing w:line="360" w:lineRule="auto"/>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附表三</w:t>
      </w:r>
    </w:p>
    <w:p>
      <w:pPr>
        <w:spacing w:line="360" w:lineRule="auto"/>
        <w:ind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43" w:name="_Toc15348_WPSOffice_Level1"/>
      <w:r>
        <w:rPr>
          <w:rFonts w:hint="eastAsia" w:ascii="仿宋" w:hAnsi="仿宋" w:eastAsia="仿宋" w:cs="仿宋"/>
          <w:b/>
          <w:bCs/>
          <w:color w:val="000000" w:themeColor="text1"/>
          <w:sz w:val="28"/>
          <w:szCs w:val="28"/>
          <w:highlight w:val="none"/>
          <w14:textFill>
            <w14:solidFill>
              <w14:schemeClr w14:val="tx1"/>
            </w14:solidFill>
          </w14:textFill>
        </w:rPr>
        <w:t>报 价 一 览 表</w:t>
      </w:r>
      <w:bookmarkEnd w:id="143"/>
    </w:p>
    <w:tbl>
      <w:tblPr>
        <w:tblStyle w:val="15"/>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617"/>
        <w:gridCol w:w="1440"/>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p>
        </w:tc>
        <w:tc>
          <w:tcPr>
            <w:tcW w:w="7558" w:type="dxa"/>
            <w:gridSpan w:val="3"/>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单位地址</w:t>
            </w:r>
          </w:p>
        </w:tc>
        <w:tc>
          <w:tcPr>
            <w:tcW w:w="7558" w:type="dxa"/>
            <w:gridSpan w:val="3"/>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3617"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44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2501"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授权代表</w:t>
            </w:r>
          </w:p>
        </w:tc>
        <w:tc>
          <w:tcPr>
            <w:tcW w:w="3617"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44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2501"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投标项目名称</w:t>
            </w:r>
          </w:p>
        </w:tc>
        <w:tc>
          <w:tcPr>
            <w:tcW w:w="7558" w:type="dxa"/>
            <w:gridSpan w:val="3"/>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c>
        <w:tc>
          <w:tcPr>
            <w:tcW w:w="7558" w:type="dxa"/>
            <w:gridSpan w:val="3"/>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投标总价</w:t>
            </w:r>
            <w:r>
              <w:rPr>
                <w:rFonts w:hint="eastAsia" w:ascii="仿宋" w:hAnsi="仿宋" w:eastAsia="仿宋" w:cs="仿宋"/>
                <w:color w:val="auto"/>
                <w:sz w:val="24"/>
                <w:highlight w:val="none"/>
                <w:lang w:eastAsia="zh-CN"/>
              </w:rPr>
              <w:t>（元）</w:t>
            </w:r>
          </w:p>
        </w:tc>
        <w:tc>
          <w:tcPr>
            <w:tcW w:w="7558" w:type="dxa"/>
            <w:gridSpan w:val="3"/>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p>
          <w:p>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p>
          <w:p>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人民币（大写）：</w:t>
            </w:r>
          </w:p>
          <w:p>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交货期</w:t>
            </w:r>
          </w:p>
        </w:tc>
        <w:tc>
          <w:tcPr>
            <w:tcW w:w="7558"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172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质保期</w:t>
            </w:r>
          </w:p>
        </w:tc>
        <w:tc>
          <w:tcPr>
            <w:tcW w:w="7558" w:type="dxa"/>
            <w:gridSpan w:val="3"/>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105" w:rightChars="50"/>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105" w:rightChars="5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单位公章：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法定代表人或授权代表签字：</w:t>
      </w:r>
    </w:p>
    <w:p>
      <w:pPr>
        <w:pStyle w:val="18"/>
        <w:ind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p>
    <w:p>
      <w:pPr>
        <w:pStyle w:val="18"/>
        <w:ind w:firstLine="0" w:firstLineChars="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日期：年月日</w:t>
      </w:r>
    </w:p>
    <w:p>
      <w:pPr>
        <w:pStyle w:val="18"/>
        <w:ind w:firstLine="562"/>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附表四</w:t>
      </w:r>
    </w:p>
    <w:p>
      <w:pPr>
        <w:spacing w:line="360" w:lineRule="auto"/>
        <w:ind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44" w:name="_Toc28744_WPSOffice_Level1"/>
      <w:r>
        <w:rPr>
          <w:rFonts w:hint="eastAsia" w:ascii="仿宋" w:hAnsi="仿宋" w:eastAsia="仿宋" w:cs="仿宋"/>
          <w:b/>
          <w:bCs/>
          <w:color w:val="000000" w:themeColor="text1"/>
          <w:sz w:val="28"/>
          <w:szCs w:val="28"/>
          <w:highlight w:val="none"/>
          <w14:textFill>
            <w14:solidFill>
              <w14:schemeClr w14:val="tx1"/>
            </w14:solidFill>
          </w14:textFill>
        </w:rPr>
        <w:t>明细报价表</w:t>
      </w:r>
      <w:bookmarkEnd w:id="144"/>
    </w:p>
    <w:p>
      <w:pPr>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项目名称：</w:t>
      </w:r>
    </w:p>
    <w:p>
      <w:pPr>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项目编号：</w:t>
      </w:r>
    </w:p>
    <w:tbl>
      <w:tblPr>
        <w:tblStyle w:val="15"/>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53"/>
        <w:gridCol w:w="2253"/>
        <w:gridCol w:w="945"/>
        <w:gridCol w:w="1080"/>
        <w:gridCol w:w="1065"/>
        <w:gridCol w:w="106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06"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单价（元）</w:t>
            </w: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数量（批）</w:t>
            </w: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品牌</w:t>
            </w: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合价（元）</w:t>
            </w: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320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320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320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320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3206" w:type="dxa"/>
            <w:gridSpan w:val="2"/>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themeColor="text1"/>
                <w:sz w:val="24"/>
                <w:highlight w:val="none"/>
                <w14:textFill>
                  <w14:solidFill>
                    <w14:schemeClr w14:val="tx1"/>
                  </w14:solidFill>
                </w14:textFill>
              </w:rPr>
            </w:pPr>
          </w:p>
        </w:tc>
        <w:tc>
          <w:tcPr>
            <w:tcW w:w="9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06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689"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493" w:type="dxa"/>
            <w:gridSpan w:val="2"/>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w:t>
            </w:r>
          </w:p>
          <w:p>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报价总计</w:t>
            </w:r>
            <w:r>
              <w:rPr>
                <w:rFonts w:hint="eastAsia" w:ascii="仿宋" w:hAnsi="仿宋" w:eastAsia="仿宋" w:cs="仿宋"/>
                <w:b/>
                <w:bCs/>
                <w:color w:val="auto"/>
                <w:sz w:val="24"/>
                <w:highlight w:val="none"/>
                <w:lang w:eastAsia="zh-CN"/>
              </w:rPr>
              <w:t>（元）</w:t>
            </w:r>
          </w:p>
        </w:tc>
        <w:tc>
          <w:tcPr>
            <w:tcW w:w="6408" w:type="dxa"/>
            <w:gridSpan w:val="5"/>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人民币（大写）：</w:t>
            </w:r>
          </w:p>
        </w:tc>
        <w:tc>
          <w:tcPr>
            <w:tcW w:w="1689"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ind w:firstLine="240" w:firstLineChars="1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注：供应商应根据服务内容分项进行填报，表中表格行数可自行添加。投标人按照服务内容作完整唯一的报价，投标报价必须包含项目所有的费用（包括项目检验费、买样费、差旅费等所有费用）。</w:t>
      </w:r>
    </w:p>
    <w:p>
      <w:pPr>
        <w:spacing w:line="360" w:lineRule="auto"/>
        <w:ind w:firstLine="480" w:firstLineChars="200"/>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iCs/>
          <w:color w:val="000000" w:themeColor="text1"/>
          <w:sz w:val="24"/>
          <w:highlight w:val="none"/>
          <w14:textFill>
            <w14:solidFill>
              <w14:schemeClr w14:val="tx1"/>
            </w14:solidFill>
          </w14:textFill>
        </w:rPr>
        <w:t>招标文件中未列出的相关辅助材料和在实施过程中涉及到的劳务、税金等其它一切费用应在报价时一并考虑，项目实施过程中不再单独结算。</w:t>
      </w:r>
      <w:r>
        <w:rPr>
          <w:rFonts w:hint="eastAsia" w:ascii="仿宋" w:hAnsi="仿宋" w:eastAsia="仿宋" w:cs="仿宋"/>
          <w:b/>
          <w:color w:val="000000" w:themeColor="text1"/>
          <w:sz w:val="24"/>
          <w:highlight w:val="none"/>
          <w:u w:val="single"/>
          <w14:textFill>
            <w14:solidFill>
              <w14:schemeClr w14:val="tx1"/>
            </w14:solidFill>
          </w14:textFill>
        </w:rPr>
        <w:t>表中投标报价总计应与对应报价一览表中投标总价一致。</w:t>
      </w:r>
    </w:p>
    <w:p>
      <w:pPr>
        <w:spacing w:line="360" w:lineRule="auto"/>
        <w:ind w:right="105" w:rightChars="50"/>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105" w:rightChars="50"/>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105" w:rightChars="5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单位公章：                       法定代表人或授权代表签字：</w:t>
      </w:r>
    </w:p>
    <w:p>
      <w:pPr>
        <w:spacing w:line="360" w:lineRule="auto"/>
        <w:ind w:right="105" w:rightChars="5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b/>
          <w:bCs/>
          <w:color w:val="000000" w:themeColor="text1"/>
          <w:sz w:val="24"/>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附表五</w:t>
      </w:r>
    </w:p>
    <w:p>
      <w:pPr>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bookmarkStart w:id="145" w:name="_Toc9622_WPSOffice_Level1"/>
      <w:r>
        <w:rPr>
          <w:rFonts w:hint="eastAsia" w:ascii="仿宋" w:hAnsi="仿宋" w:eastAsia="仿宋" w:cs="仿宋"/>
          <w:b/>
          <w:bCs/>
          <w:color w:val="000000" w:themeColor="text1"/>
          <w:sz w:val="28"/>
          <w:szCs w:val="28"/>
          <w:highlight w:val="none"/>
          <w14:textFill>
            <w14:solidFill>
              <w14:schemeClr w14:val="tx1"/>
            </w14:solidFill>
          </w14:textFill>
        </w:rPr>
        <w:t>供应商基本情况</w:t>
      </w:r>
      <w:bookmarkEnd w:id="145"/>
    </w:p>
    <w:tbl>
      <w:tblPr>
        <w:tblStyle w:val="15"/>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386"/>
        <w:gridCol w:w="1387"/>
        <w:gridCol w:w="1387"/>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企业名称</w:t>
            </w:r>
          </w:p>
        </w:tc>
        <w:tc>
          <w:tcPr>
            <w:tcW w:w="6934" w:type="dxa"/>
            <w:gridSpan w:val="5"/>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tc>
        <w:tc>
          <w:tcPr>
            <w:tcW w:w="6934" w:type="dxa"/>
            <w:gridSpan w:val="5"/>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主管部门</w:t>
            </w:r>
          </w:p>
        </w:tc>
        <w:tc>
          <w:tcPr>
            <w:tcW w:w="2773" w:type="dxa"/>
            <w:gridSpan w:val="2"/>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7"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代表人</w:t>
            </w:r>
          </w:p>
        </w:tc>
        <w:tc>
          <w:tcPr>
            <w:tcW w:w="2774" w:type="dxa"/>
            <w:gridSpan w:val="2"/>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注册时间</w:t>
            </w:r>
          </w:p>
        </w:tc>
        <w:tc>
          <w:tcPr>
            <w:tcW w:w="2773"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经济类型</w:t>
            </w:r>
          </w:p>
        </w:tc>
        <w:tc>
          <w:tcPr>
            <w:tcW w:w="2774"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联系人</w:t>
            </w:r>
          </w:p>
        </w:tc>
        <w:tc>
          <w:tcPr>
            <w:tcW w:w="2773"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2774"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159" w:type="dxa"/>
            <w:gridSpan w:val="3"/>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近三年内经营活动中有无重大违法记录</w:t>
            </w:r>
          </w:p>
        </w:tc>
        <w:tc>
          <w:tcPr>
            <w:tcW w:w="4161" w:type="dxa"/>
            <w:gridSpan w:val="3"/>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是否依法缴纳税收</w:t>
            </w:r>
          </w:p>
        </w:tc>
        <w:tc>
          <w:tcPr>
            <w:tcW w:w="2773" w:type="dxa"/>
            <w:gridSpan w:val="2"/>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7"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是否依法缴纳社会保障资金</w:t>
            </w:r>
          </w:p>
        </w:tc>
        <w:tc>
          <w:tcPr>
            <w:tcW w:w="2774" w:type="dxa"/>
            <w:gridSpan w:val="2"/>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位</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概</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况</w:t>
            </w:r>
          </w:p>
        </w:tc>
        <w:tc>
          <w:tcPr>
            <w:tcW w:w="1386"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注册资本</w:t>
            </w: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万元</w:t>
            </w: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占地面积</w:t>
            </w:r>
          </w:p>
        </w:tc>
        <w:tc>
          <w:tcPr>
            <w:tcW w:w="2774" w:type="dxa"/>
            <w:gridSpan w:val="2"/>
          </w:tcPr>
          <w:p>
            <w:pPr>
              <w:keepNext w:val="0"/>
              <w:keepLines w:val="0"/>
              <w:suppressLineNumbers w:val="0"/>
              <w:snapToGrid w:val="0"/>
              <w:spacing w:before="0" w:beforeAutospacing="0" w:after="0" w:afterAutospacing="0" w:line="360" w:lineRule="auto"/>
              <w:ind w:left="0" w:right="0" w:firstLine="1432" w:firstLineChars="5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Merge w:val="continue"/>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6"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职工总数</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人</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建筑面积</w:t>
            </w:r>
          </w:p>
        </w:tc>
        <w:tc>
          <w:tcPr>
            <w:tcW w:w="2774" w:type="dxa"/>
            <w:gridSpan w:val="2"/>
          </w:tcPr>
          <w:p>
            <w:pPr>
              <w:keepNext w:val="0"/>
              <w:keepLines w:val="0"/>
              <w:suppressLineNumbers w:val="0"/>
              <w:snapToGrid w:val="0"/>
              <w:spacing w:before="0" w:beforeAutospacing="0" w:after="0" w:afterAutospacing="0" w:line="360" w:lineRule="auto"/>
              <w:ind w:left="0" w:right="0" w:firstLine="1080" w:firstLineChars="4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Merge w:val="continue"/>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6"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资产</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情况</w:t>
            </w:r>
          </w:p>
        </w:tc>
        <w:tc>
          <w:tcPr>
            <w:tcW w:w="2774"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净资产        万元</w:t>
            </w:r>
          </w:p>
        </w:tc>
        <w:tc>
          <w:tcPr>
            <w:tcW w:w="2774" w:type="dxa"/>
            <w:gridSpan w:val="2"/>
            <w:vMerge w:val="restart"/>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固定资产原值:   万元</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Merge w:val="continue"/>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1386" w:type="dxa"/>
            <w:vMerge w:val="continue"/>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c>
          <w:tcPr>
            <w:tcW w:w="2774" w:type="dxa"/>
            <w:gridSpan w:val="2"/>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负债          万元</w:t>
            </w:r>
          </w:p>
        </w:tc>
        <w:tc>
          <w:tcPr>
            <w:tcW w:w="2774" w:type="dxa"/>
            <w:gridSpan w:val="2"/>
            <w:vMerge w:val="continue"/>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386" w:type="dxa"/>
            <w:vMerge w:val="restart"/>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财务状况</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（上年度）</w:t>
            </w:r>
          </w:p>
        </w:tc>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年份</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主营收入（万元）</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收入总额</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（万元）</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利润总额</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（万元）</w:t>
            </w:r>
          </w:p>
        </w:tc>
        <w:tc>
          <w:tcPr>
            <w:tcW w:w="1387" w:type="dxa"/>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净利润</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86" w:type="dxa"/>
            <w:vMerge w:val="continue"/>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86"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w:t>
            </w: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8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bl>
    <w:p>
      <w:pPr>
        <w:snapToGrid w:val="0"/>
        <w:spacing w:line="360" w:lineRule="auto"/>
        <w:ind w:firstLine="28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我们保证上述声明中的资料和数据是真实的、正确的，我们同意如贵方要求，可以出示相关证明文件。</w:t>
      </w:r>
    </w:p>
    <w:p>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单位公章：               法定代表人或授权代表签字：</w:t>
      </w:r>
    </w:p>
    <w:p>
      <w:pPr>
        <w:pStyle w:val="18"/>
        <w:ind w:firstLine="2880" w:firstLineChars="1200"/>
        <w:rPr>
          <w:rFonts w:hint="eastAsia" w:ascii="仿宋" w:hAnsi="仿宋" w:eastAsia="仿宋" w:cs="仿宋"/>
          <w:highlight w:val="none"/>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60" w:lineRule="auto"/>
        <w:jc w:val="left"/>
        <w:rPr>
          <w:rFonts w:hint="eastAsia" w:ascii="仿宋" w:hAnsi="仿宋" w:eastAsia="仿宋" w:cs="仿宋"/>
          <w:b/>
          <w:color w:val="FF0000"/>
          <w:sz w:val="28"/>
          <w:szCs w:val="28"/>
          <w:highlight w:val="none"/>
        </w:rPr>
      </w:pPr>
      <w:r>
        <w:rPr>
          <w:rFonts w:hint="eastAsia" w:ascii="仿宋" w:hAnsi="仿宋" w:eastAsia="仿宋" w:cs="仿宋"/>
          <w:b/>
          <w:color w:val="000000" w:themeColor="text1"/>
          <w:sz w:val="28"/>
          <w:szCs w:val="28"/>
          <w:highlight w:val="none"/>
          <w14:textFill>
            <w14:solidFill>
              <w14:schemeClr w14:val="tx1"/>
            </w14:solidFill>
          </w14:textFill>
        </w:rPr>
        <w:t>附表六</w:t>
      </w:r>
    </w:p>
    <w:p>
      <w:pPr>
        <w:pStyle w:val="22"/>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投标人近三年</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2019年1月1日至今）</w:t>
      </w:r>
      <w:r>
        <w:rPr>
          <w:rFonts w:hint="eastAsia" w:ascii="仿宋" w:hAnsi="仿宋" w:eastAsia="仿宋" w:cs="仿宋"/>
          <w:b/>
          <w:color w:val="auto"/>
          <w:sz w:val="28"/>
          <w:szCs w:val="28"/>
          <w:highlight w:val="none"/>
        </w:rPr>
        <w:t>项目业绩表</w:t>
      </w:r>
    </w:p>
    <w:p>
      <w:pPr>
        <w:pStyle w:val="22"/>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项目名称：                             </w:t>
      </w:r>
    </w:p>
    <w:p>
      <w:pPr>
        <w:pStyle w:val="22"/>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                                          填表日期：   年   月   日</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180"/>
        <w:gridCol w:w="1324"/>
        <w:gridCol w:w="1230"/>
        <w:gridCol w:w="1297"/>
        <w:gridCol w:w="99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88" w:type="dxa"/>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序号</w:t>
            </w:r>
          </w:p>
        </w:tc>
        <w:tc>
          <w:tcPr>
            <w:tcW w:w="3180"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项目名称</w:t>
            </w:r>
          </w:p>
        </w:tc>
        <w:tc>
          <w:tcPr>
            <w:tcW w:w="1324" w:type="dxa"/>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合同金额</w:t>
            </w:r>
          </w:p>
        </w:tc>
        <w:tc>
          <w:tcPr>
            <w:tcW w:w="1230" w:type="dxa"/>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签约时间</w:t>
            </w:r>
          </w:p>
        </w:tc>
        <w:tc>
          <w:tcPr>
            <w:tcW w:w="1297"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联系人、联系方式</w:t>
            </w:r>
          </w:p>
        </w:tc>
        <w:tc>
          <w:tcPr>
            <w:tcW w:w="995" w:type="dxa"/>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完成</w:t>
            </w:r>
          </w:p>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情况</w:t>
            </w:r>
          </w:p>
        </w:tc>
        <w:tc>
          <w:tcPr>
            <w:tcW w:w="995" w:type="dxa"/>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88"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318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324"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30"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1297"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c>
          <w:tcPr>
            <w:tcW w:w="995" w:type="dxa"/>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000000" w:themeColor="text1"/>
                <w:sz w:val="24"/>
                <w:highlight w:val="none"/>
                <w14:textFill>
                  <w14:solidFill>
                    <w14:schemeClr w14:val="tx1"/>
                  </w14:solidFill>
                </w14:textFill>
              </w:rPr>
            </w:pPr>
          </w:p>
        </w:tc>
      </w:tr>
    </w:tbl>
    <w:p>
      <w:pPr>
        <w:pStyle w:val="8"/>
        <w:spacing w:before="120" w:beforeLines="50"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附：承接项目的合同复印件或中标通知书复印件。</w:t>
      </w:r>
    </w:p>
    <w:p>
      <w:pPr>
        <w:spacing w:line="360" w:lineRule="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投标人法定代表人或授权代理人（盖章或签字）：</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投标人盖章：</w:t>
      </w:r>
    </w:p>
    <w:p>
      <w:pPr>
        <w:spacing w:line="360" w:lineRule="auto"/>
        <w:ind w:firstLine="57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20</w:t>
      </w:r>
      <w:r>
        <w:rPr>
          <w:rFonts w:hint="eastAsia" w:ascii="仿宋" w:hAnsi="仿宋" w:eastAsia="仿宋" w:cs="仿宋"/>
          <w:color w:val="000000" w:themeColor="text1"/>
          <w:sz w:val="24"/>
          <w:highlight w:val="none"/>
          <w:lang w:val="en-US" w:eastAsia="zh-CN"/>
          <w14:textFill>
            <w14:solidFill>
              <w14:schemeClr w14:val="tx1"/>
            </w14:solidFill>
          </w14:textFill>
        </w:rPr>
        <w:t>22</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23"/>
        <w:spacing w:line="360" w:lineRule="exact"/>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注：业绩内容必须按级别分别填写并按填写顺序附</w:t>
      </w:r>
      <w:r>
        <w:rPr>
          <w:rFonts w:hint="eastAsia" w:ascii="仿宋" w:hAnsi="仿宋" w:eastAsia="仿宋" w:cs="仿宋"/>
          <w:b/>
          <w:bCs/>
          <w:color w:val="000000" w:themeColor="text1"/>
          <w:highlight w:val="none"/>
          <w14:textFill>
            <w14:solidFill>
              <w14:schemeClr w14:val="tx1"/>
            </w14:solidFill>
          </w14:textFill>
        </w:rPr>
        <w:t>合同复印件或中标通知书复印件。投标单位须对提交的业绩真实性做出承诺（格式自拟），如不真实，将按照有关规定处理。</w:t>
      </w:r>
    </w:p>
    <w:p>
      <w:pPr>
        <w:pStyle w:val="23"/>
        <w:spacing w:line="360" w:lineRule="exact"/>
        <w:rPr>
          <w:rFonts w:hint="eastAsia" w:ascii="仿宋" w:hAnsi="仿宋" w:eastAsia="仿宋" w:cs="仿宋"/>
          <w:b/>
          <w:bCs/>
          <w:color w:val="000000" w:themeColor="text1"/>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附表七</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bookmarkStart w:id="146" w:name="_Toc8262_WPSOffice_Level1"/>
      <w:r>
        <w:rPr>
          <w:rFonts w:hint="eastAsia" w:ascii="仿宋" w:hAnsi="仿宋" w:eastAsia="仿宋" w:cs="仿宋"/>
          <w:b/>
          <w:color w:val="000000" w:themeColor="text1"/>
          <w:sz w:val="28"/>
          <w:szCs w:val="28"/>
          <w:highlight w:val="none"/>
          <w14:textFill>
            <w14:solidFill>
              <w14:schemeClr w14:val="tx1"/>
            </w14:solidFill>
          </w14:textFill>
        </w:rPr>
        <w:t>商务条款偏离表</w:t>
      </w:r>
      <w:bookmarkEnd w:id="146"/>
    </w:p>
    <w:tbl>
      <w:tblPr>
        <w:tblStyle w:val="15"/>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726"/>
        <w:gridCol w:w="2337"/>
        <w:gridCol w:w="175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highlight w:val="none"/>
                <w14:textFill>
                  <w14:solidFill>
                    <w14:schemeClr w14:val="tx1"/>
                  </w14:solidFill>
                </w14:textFill>
              </w:rPr>
            </w:pPr>
            <w:r>
              <w:rPr>
                <w:rFonts w:hint="eastAsia" w:ascii="仿宋" w:hAnsi="仿宋" w:eastAsia="仿宋" w:cs="仿宋"/>
                <w:b/>
                <w:color w:val="000000" w:themeColor="text1"/>
                <w:sz w:val="22"/>
                <w:highlight w:val="none"/>
                <w14:textFill>
                  <w14:solidFill>
                    <w14:schemeClr w14:val="tx1"/>
                  </w14:solidFill>
                </w14:textFill>
              </w:rPr>
              <w:t>条款号</w:t>
            </w:r>
          </w:p>
        </w:tc>
        <w:tc>
          <w:tcPr>
            <w:tcW w:w="2726" w:type="dxa"/>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highlight w:val="none"/>
                <w14:textFill>
                  <w14:solidFill>
                    <w14:schemeClr w14:val="tx1"/>
                  </w14:solidFill>
                </w14:textFill>
              </w:rPr>
            </w:pPr>
            <w:r>
              <w:rPr>
                <w:rFonts w:hint="eastAsia" w:ascii="仿宋" w:hAnsi="仿宋" w:eastAsia="仿宋" w:cs="仿宋"/>
                <w:b/>
                <w:color w:val="000000" w:themeColor="text1"/>
                <w:sz w:val="22"/>
                <w:highlight w:val="none"/>
                <w14:textFill>
                  <w14:solidFill>
                    <w14:schemeClr w14:val="tx1"/>
                  </w14:solidFill>
                </w14:textFill>
              </w:rPr>
              <w:t>招标文件条款内容</w:t>
            </w:r>
          </w:p>
        </w:tc>
        <w:tc>
          <w:tcPr>
            <w:tcW w:w="2337" w:type="dxa"/>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highlight w:val="none"/>
                <w14:textFill>
                  <w14:solidFill>
                    <w14:schemeClr w14:val="tx1"/>
                  </w14:solidFill>
                </w14:textFill>
              </w:rPr>
            </w:pPr>
            <w:r>
              <w:rPr>
                <w:rFonts w:hint="eastAsia" w:ascii="仿宋" w:hAnsi="仿宋" w:eastAsia="仿宋" w:cs="仿宋"/>
                <w:b/>
                <w:color w:val="000000" w:themeColor="text1"/>
                <w:sz w:val="22"/>
                <w:highlight w:val="none"/>
                <w14:textFill>
                  <w14:solidFill>
                    <w14:schemeClr w14:val="tx1"/>
                  </w14:solidFill>
                </w14:textFill>
              </w:rPr>
              <w:t>招标人响应内容</w:t>
            </w:r>
          </w:p>
        </w:tc>
        <w:tc>
          <w:tcPr>
            <w:tcW w:w="1752" w:type="dxa"/>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highlight w:val="none"/>
                <w14:textFill>
                  <w14:solidFill>
                    <w14:schemeClr w14:val="tx1"/>
                  </w14:solidFill>
                </w14:textFill>
              </w:rPr>
            </w:pPr>
            <w:r>
              <w:rPr>
                <w:rFonts w:hint="eastAsia" w:ascii="仿宋" w:hAnsi="仿宋" w:eastAsia="仿宋" w:cs="仿宋"/>
                <w:b/>
                <w:color w:val="000000" w:themeColor="text1"/>
                <w:sz w:val="22"/>
                <w:highlight w:val="none"/>
                <w14:textFill>
                  <w14:solidFill>
                    <w14:schemeClr w14:val="tx1"/>
                  </w14:solidFill>
                </w14:textFill>
              </w:rPr>
              <w:t>偏离</w:t>
            </w:r>
          </w:p>
        </w:tc>
        <w:tc>
          <w:tcPr>
            <w:tcW w:w="1703" w:type="dxa"/>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highlight w:val="none"/>
                <w14:textFill>
                  <w14:solidFill>
                    <w14:schemeClr w14:val="tx1"/>
                  </w14:solidFill>
                </w14:textFill>
              </w:rPr>
            </w:pPr>
            <w:r>
              <w:rPr>
                <w:rFonts w:hint="eastAsia" w:ascii="仿宋" w:hAnsi="仿宋" w:eastAsia="仿宋" w:cs="仿宋"/>
                <w:b/>
                <w:color w:val="000000" w:themeColor="text1"/>
                <w:sz w:val="22"/>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90"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726"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2337"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52"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c>
          <w:tcPr>
            <w:tcW w:w="1703" w:type="dxa"/>
            <w:noWrap/>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 w:val="22"/>
                <w:highlight w:val="none"/>
                <w14:textFill>
                  <w14:solidFill>
                    <w14:schemeClr w14:val="tx1"/>
                  </w14:solidFill>
                </w14:textFill>
              </w:rPr>
            </w:pPr>
          </w:p>
        </w:tc>
      </w:tr>
    </w:tbl>
    <w:p>
      <w:pPr>
        <w:spacing w:before="100" w:beforeAutospacing="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声明：除本偏离表所列的偏离外，其它均完全响应“招标文件”中的要求。</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w:t>
      </w:r>
      <w:r>
        <w:rPr>
          <w:rFonts w:hint="eastAsia" w:ascii="仿宋" w:hAnsi="仿宋" w:eastAsia="仿宋" w:cs="仿宋"/>
          <w:color w:val="000000" w:themeColor="text1"/>
          <w:spacing w:val="14"/>
          <w:kern w:val="0"/>
          <w:sz w:val="24"/>
          <w:highlight w:val="none"/>
          <w:u w:val="single"/>
          <w14:textFill>
            <w14:solidFill>
              <w14:schemeClr w14:val="tx1"/>
            </w14:solidFill>
          </w14:textFill>
        </w:rPr>
        <w:t xml:space="preserve">（单位全称） （盖章）        </w:t>
      </w:r>
    </w:p>
    <w:p>
      <w:pPr>
        <w:autoSpaceDE w:val="0"/>
        <w:autoSpaceDN w:val="0"/>
        <w:adjustRightInd w:val="0"/>
        <w:snapToGrid w:val="0"/>
        <w:spacing w:line="360" w:lineRule="auto"/>
        <w:rPr>
          <w:rFonts w:hint="eastAsia" w:ascii="仿宋" w:hAnsi="仿宋" w:eastAsia="仿宋" w:cs="仿宋"/>
          <w:color w:val="000000" w:themeColor="text1"/>
          <w:spacing w:val="11"/>
          <w:kern w:val="0"/>
          <w:sz w:val="24"/>
          <w:highlight w:val="none"/>
          <w14:textFill>
            <w14:solidFill>
              <w14:schemeClr w14:val="tx1"/>
            </w14:solidFill>
          </w14:textFill>
        </w:rPr>
      </w:pPr>
      <w:r>
        <w:rPr>
          <w:rFonts w:hint="eastAsia" w:ascii="仿宋" w:hAnsi="仿宋" w:eastAsia="仿宋" w:cs="仿宋"/>
          <w:color w:val="000000" w:themeColor="text1"/>
          <w:spacing w:val="11"/>
          <w:kern w:val="0"/>
          <w:sz w:val="24"/>
          <w:highlight w:val="none"/>
          <w14:textFill>
            <w14:solidFill>
              <w14:schemeClr w14:val="tx1"/>
            </w14:solidFill>
          </w14:textFill>
        </w:rPr>
        <w:t>法定代表人或授权委托人：</w:t>
      </w:r>
      <w:r>
        <w:rPr>
          <w:rFonts w:hint="eastAsia" w:ascii="仿宋" w:hAnsi="仿宋" w:eastAsia="仿宋" w:cs="仿宋"/>
          <w:color w:val="000000" w:themeColor="text1"/>
          <w:spacing w:val="11"/>
          <w:kern w:val="0"/>
          <w:sz w:val="24"/>
          <w:highlight w:val="none"/>
          <w:u w:val="single"/>
          <w14:textFill>
            <w14:solidFill>
              <w14:schemeClr w14:val="tx1"/>
            </w14:solidFill>
          </w14:textFill>
        </w:rPr>
        <w:t xml:space="preserve">         （签字或盖章）         </w:t>
      </w:r>
    </w:p>
    <w:p>
      <w:pPr>
        <w:autoSpaceDE w:val="0"/>
        <w:autoSpaceDN w:val="0"/>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日期：年月日</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spacing w:line="30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注：如无偏差，投标人不需要填表，但应声明：“本投标文件完全响应招标文件所有条款的要求，无偏离。”</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360" w:lineRule="auto"/>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附表八</w:t>
      </w:r>
    </w:p>
    <w:p>
      <w:pPr>
        <w:spacing w:line="360" w:lineRule="auto"/>
        <w:ind w:right="-334" w:rightChars="-159" w:firstLine="275" w:firstLineChars="98"/>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供应商履行合同所必须的设备和专业技术能力的证明材料或声明</w:t>
      </w:r>
    </w:p>
    <w:p>
      <w:pPr>
        <w:pStyle w:val="6"/>
        <w:rPr>
          <w:rFonts w:hint="eastAsia" w:ascii="仿宋" w:hAnsi="仿宋" w:eastAsia="仿宋" w:cs="仿宋"/>
          <w:color w:val="000000" w:themeColor="text1"/>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我方参加（项目名称、编号）的投标，本单位郑重声明，如我方获得中标资格，我方保证具备履行合同所必需的设备和专业技术能力，并承诺如下:</w:t>
      </w: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(一)具有独立承担民事责任的能力;</w:t>
      </w: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(二)具有良好的商业信誉和健全的财务会计制度:</w:t>
      </w: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(三)具有履行合同所必需的设备和专业技术能力;</w:t>
      </w:r>
    </w:p>
    <w:p>
      <w:pPr>
        <w:spacing w:line="360" w:lineRule="auto"/>
        <w:ind w:right="-334" w:rightChars="-159"/>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(四)法律、行政法规规定的其他条件。</w:t>
      </w: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(五)我公司已完全了解本招标文件中规定的技术要求和商务条款。</w:t>
      </w:r>
    </w:p>
    <w:p>
      <w:pPr>
        <w:spacing w:line="360" w:lineRule="auto"/>
        <w:ind w:right="-334" w:rightChars="-159"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特此声明  </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声明单位 ：（签章）</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单位法人（或授权代理人）：（签字）</w:t>
      </w: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60" w:lineRule="auto"/>
        <w:ind w:right="-334" w:rightChars="-159" w:firstLine="275" w:firstLineChars="98"/>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参加政府采购活动前3年内</w:t>
      </w:r>
      <w:bookmarkStart w:id="147" w:name="_Toc508185502"/>
      <w:bookmarkStart w:id="148" w:name="_Toc507424778"/>
      <w:bookmarkStart w:id="149" w:name="_Toc508186950"/>
      <w:r>
        <w:rPr>
          <w:rFonts w:hint="eastAsia" w:ascii="仿宋" w:hAnsi="仿宋" w:eastAsia="仿宋" w:cs="仿宋"/>
          <w:b/>
          <w:color w:val="000000" w:themeColor="text1"/>
          <w:sz w:val="28"/>
          <w:szCs w:val="28"/>
          <w:highlight w:val="none"/>
          <w14:textFill>
            <w14:solidFill>
              <w14:schemeClr w14:val="tx1"/>
            </w14:solidFill>
          </w14:textFill>
        </w:rPr>
        <w:t>在经营活动中没有重大违法记录的书面声明</w:t>
      </w:r>
      <w:bookmarkEnd w:id="147"/>
      <w:bookmarkEnd w:id="148"/>
      <w:bookmarkEnd w:id="149"/>
    </w:p>
    <w:p>
      <w:pPr>
        <w:pStyle w:val="6"/>
        <w:rPr>
          <w:rFonts w:hint="eastAsia" w:ascii="仿宋" w:hAnsi="仿宋" w:eastAsia="仿宋" w:cs="仿宋"/>
          <w:color w:val="000000" w:themeColor="text1"/>
          <w:highlight w:val="none"/>
          <w14:textFill>
            <w14:solidFill>
              <w14:schemeClr w14:val="tx1"/>
            </w14:solidFill>
          </w14:textFill>
        </w:rPr>
      </w:pPr>
    </w:p>
    <w:p>
      <w:pPr>
        <w:spacing w:line="480" w:lineRule="auto"/>
        <w:ind w:right="-334" w:rightChars="-159" w:firstLine="475" w:firstLineChars="198"/>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我方参加（项目名称、编号）的投标，本单位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特此声明  </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声明单位 ：（签章）</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单位法人（或授权代理人）：（签字）</w:t>
      </w: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p>
      <w:pPr>
        <w:pStyle w:val="5"/>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28"/>
          <w:szCs w:val="28"/>
          <w:highlight w:val="none"/>
          <w:u w:val="single"/>
          <w14:textFill>
            <w14:solidFill>
              <w14:schemeClr w14:val="tx1"/>
            </w14:solidFill>
          </w14:textFill>
        </w:rPr>
      </w:pPr>
      <w:bookmarkStart w:id="150" w:name="_Toc9771_WPSOffice_Level1"/>
      <w:r>
        <w:rPr>
          <w:rFonts w:hint="eastAsia" w:ascii="仿宋" w:hAnsi="仿宋" w:eastAsia="仿宋" w:cs="仿宋"/>
          <w:b/>
          <w:color w:val="000000" w:themeColor="text1"/>
          <w:sz w:val="28"/>
          <w:szCs w:val="28"/>
          <w:highlight w:val="none"/>
          <w:u w:val="single"/>
          <w14:textFill>
            <w14:solidFill>
              <w14:schemeClr w14:val="tx1"/>
            </w14:solidFill>
          </w14:textFill>
        </w:rPr>
        <w:br w:type="page"/>
      </w:r>
    </w:p>
    <w:bookmarkEnd w:id="150"/>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附表九</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信用查询</w:t>
      </w:r>
    </w:p>
    <w:p>
      <w:pPr>
        <w:pStyle w:val="18"/>
        <w:spacing w:line="48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投标人不得为国家企业信</w:t>
      </w:r>
      <w:r>
        <w:rPr>
          <w:rFonts w:hint="eastAsia" w:ascii="仿宋" w:hAnsi="仿宋" w:eastAsia="仿宋" w:cs="仿宋"/>
          <w:color w:val="auto"/>
          <w:sz w:val="24"/>
          <w:highlight w:val="none"/>
        </w:rPr>
        <w:t>用信息公示系统及“信用中国”网站上列入（www.creditchina.gov.cn）失信被执行人和</w:t>
      </w:r>
      <w:r>
        <w:rPr>
          <w:rFonts w:hint="eastAsia" w:ascii="仿宋" w:hAnsi="仿宋" w:eastAsia="仿宋" w:cs="仿宋"/>
          <w:color w:val="auto"/>
          <w:sz w:val="24"/>
          <w:highlight w:val="none"/>
          <w:lang w:eastAsia="zh-CN"/>
        </w:rPr>
        <w:t>重大税收违法失信主体</w:t>
      </w:r>
      <w:r>
        <w:rPr>
          <w:rFonts w:hint="eastAsia" w:ascii="仿宋" w:hAnsi="仿宋" w:eastAsia="仿宋" w:cs="仿宋"/>
          <w:color w:val="auto"/>
          <w:sz w:val="24"/>
          <w:highlight w:val="none"/>
        </w:rPr>
        <w:t>名单、政府采购严重违法失信行为记录名单。不得为中国政府采购网（www.ccgp.gov.cn）政</w:t>
      </w:r>
      <w:r>
        <w:rPr>
          <w:rFonts w:hint="eastAsia" w:ascii="仿宋" w:hAnsi="仿宋" w:eastAsia="仿宋" w:cs="仿宋"/>
          <w:color w:val="000000" w:themeColor="text1"/>
          <w:sz w:val="24"/>
          <w:highlight w:val="none"/>
          <w14:textFill>
            <w14:solidFill>
              <w14:schemeClr w14:val="tx1"/>
            </w14:solidFill>
          </w14:textFill>
        </w:rPr>
        <w:t>府采购严重违法失信行为记录名单中被财政部门禁止参加政府采购活动的供应商（处罚决定规定的时间和地域范围内），信用信息截止时点为开标当日</w:t>
      </w:r>
    </w:p>
    <w:p>
      <w:pPr>
        <w:spacing w:line="480" w:lineRule="exact"/>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示例：</w:t>
      </w:r>
    </w:p>
    <w:p>
      <w:pPr>
        <w:numPr>
          <w:ilvl w:val="0"/>
          <w:numId w:val="12"/>
        </w:numPr>
        <w:spacing w:line="480" w:lineRule="exact"/>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信用中国失信被执行人截图</w:t>
      </w:r>
    </w:p>
    <w:p>
      <w:pPr>
        <w:pStyle w:val="9"/>
        <w:jc w:val="center"/>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4809490" cy="2715895"/>
            <wp:effectExtent l="0" t="0" r="1016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4809490" cy="2715895"/>
                    </a:xfrm>
                    <a:prstGeom prst="rect">
                      <a:avLst/>
                    </a:prstGeom>
                    <a:noFill/>
                    <a:ln>
                      <a:noFill/>
                    </a:ln>
                  </pic:spPr>
                </pic:pic>
              </a:graphicData>
            </a:graphic>
          </wp:inline>
        </w:drawing>
      </w:r>
    </w:p>
    <w:p>
      <w:pPr>
        <w:pStyle w:val="9"/>
        <w:rPr>
          <w:rFonts w:hint="eastAsia" w:ascii="仿宋" w:hAnsi="仿宋" w:eastAsia="仿宋" w:cs="仿宋"/>
          <w:highlight w:val="none"/>
        </w:rPr>
      </w:pPr>
    </w:p>
    <w:p>
      <w:pPr>
        <w:pStyle w:val="9"/>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2.信用中国</w:t>
      </w:r>
      <w:r>
        <w:rPr>
          <w:rFonts w:hint="eastAsia" w:ascii="仿宋" w:hAnsi="仿宋" w:eastAsia="仿宋" w:cs="仿宋"/>
          <w:bCs/>
          <w:color w:val="000000" w:themeColor="text1"/>
          <w:sz w:val="28"/>
          <w:szCs w:val="28"/>
          <w:highlight w:val="none"/>
          <w:lang w:eastAsia="zh-CN"/>
          <w14:textFill>
            <w14:solidFill>
              <w14:schemeClr w14:val="tx1"/>
            </w14:solidFill>
          </w14:textFill>
        </w:rPr>
        <w:t>重大税收违法失信主体</w:t>
      </w:r>
      <w:r>
        <w:rPr>
          <w:rFonts w:hint="eastAsia" w:ascii="仿宋" w:hAnsi="仿宋" w:eastAsia="仿宋" w:cs="仿宋"/>
          <w:bCs/>
          <w:color w:val="000000" w:themeColor="text1"/>
          <w:sz w:val="28"/>
          <w:szCs w:val="28"/>
          <w:highlight w:val="none"/>
          <w14:textFill>
            <w14:solidFill>
              <w14:schemeClr w14:val="tx1"/>
            </w14:solidFill>
          </w14:textFill>
        </w:rPr>
        <w:t>名单</w:t>
      </w:r>
    </w:p>
    <w:p>
      <w:pPr>
        <w:pStyle w:val="9"/>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drawing>
          <wp:inline distT="0" distB="0" distL="114300" distR="114300">
            <wp:extent cx="4874260" cy="2374900"/>
            <wp:effectExtent l="0" t="0" r="254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2"/>
                    <a:stretch>
                      <a:fillRect/>
                    </a:stretch>
                  </pic:blipFill>
                  <pic:spPr>
                    <a:xfrm>
                      <a:off x="0" y="0"/>
                      <a:ext cx="4874260" cy="2374900"/>
                    </a:xfrm>
                    <a:prstGeom prst="rect">
                      <a:avLst/>
                    </a:prstGeom>
                    <a:noFill/>
                    <a:ln>
                      <a:noFill/>
                    </a:ln>
                  </pic:spPr>
                </pic:pic>
              </a:graphicData>
            </a:graphic>
          </wp:inline>
        </w:drawing>
      </w:r>
    </w:p>
    <w:p>
      <w:pPr>
        <w:pStyle w:val="9"/>
        <w:rPr>
          <w:rFonts w:hint="eastAsia" w:ascii="仿宋" w:hAnsi="仿宋" w:eastAsia="仿宋" w:cs="仿宋"/>
          <w:color w:val="000000" w:themeColor="text1"/>
          <w:highlight w:val="none"/>
          <w14:textFill>
            <w14:solidFill>
              <w14:schemeClr w14:val="tx1"/>
            </w14:solidFill>
          </w14:textFill>
        </w:rPr>
      </w:pPr>
    </w:p>
    <w:p>
      <w:pPr>
        <w:pStyle w:val="9"/>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3、政府采购严重违法失信行为记录名单</w:t>
      </w:r>
    </w:p>
    <w:p>
      <w:pPr>
        <w:pStyle w:val="9"/>
        <w:rPr>
          <w:rFonts w:hint="eastAsia" w:ascii="仿宋" w:hAnsi="仿宋" w:eastAsia="仿宋" w:cs="仿宋"/>
          <w:color w:val="000000" w:themeColor="text1"/>
          <w:highlight w:val="none"/>
          <w14:textFill>
            <w14:solidFill>
              <w14:schemeClr w14:val="tx1"/>
            </w14:solidFill>
          </w14:textFill>
        </w:rPr>
      </w:pPr>
    </w:p>
    <w:p>
      <w:pPr>
        <w:pStyle w:val="9"/>
        <w:jc w:val="center"/>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4890770" cy="3233420"/>
            <wp:effectExtent l="0" t="0" r="5080"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4890770" cy="3233420"/>
                    </a:xfrm>
                    <a:prstGeom prst="rect">
                      <a:avLst/>
                    </a:prstGeom>
                    <a:noFill/>
                    <a:ln>
                      <a:noFill/>
                    </a:ln>
                  </pic:spPr>
                </pic:pic>
              </a:graphicData>
            </a:graphic>
          </wp:inline>
        </w:drawing>
      </w:r>
    </w:p>
    <w:p>
      <w:pPr>
        <w:pStyle w:val="9"/>
        <w:rPr>
          <w:rFonts w:hint="eastAsia" w:ascii="仿宋" w:hAnsi="仿宋" w:eastAsia="仿宋" w:cs="仿宋"/>
          <w:highlight w:val="none"/>
        </w:rPr>
      </w:pPr>
    </w:p>
    <w:p>
      <w:pPr>
        <w:pStyle w:val="9"/>
        <w:rPr>
          <w:rFonts w:hint="eastAsia" w:ascii="仿宋" w:hAnsi="仿宋" w:eastAsia="仿宋" w:cs="仿宋"/>
          <w:highlight w:val="none"/>
        </w:rPr>
      </w:pPr>
    </w:p>
    <w:p>
      <w:pPr>
        <w:pStyle w:val="9"/>
        <w:rPr>
          <w:rFonts w:hint="eastAsia" w:ascii="仿宋" w:hAnsi="仿宋" w:eastAsia="仿宋" w:cs="仿宋"/>
          <w:color w:val="000000" w:themeColor="text1"/>
          <w:sz w:val="24"/>
          <w:highlight w:val="none"/>
          <w14:textFill>
            <w14:solidFill>
              <w14:schemeClr w14:val="tx1"/>
            </w14:solidFill>
          </w14:textFill>
        </w:rPr>
        <w:sectPr>
          <w:pgSz w:w="11910" w:h="16840"/>
          <w:pgMar w:top="1134" w:right="1191" w:bottom="1134" w:left="1304" w:header="0" w:footer="895" w:gutter="0"/>
          <w:pgNumType w:fmt="decimal"/>
          <w:cols w:space="720" w:num="1"/>
        </w:sectPr>
      </w:pPr>
      <w:r>
        <w:rPr>
          <w:rFonts w:hint="eastAsia" w:ascii="仿宋" w:hAnsi="仿宋" w:eastAsia="仿宋" w:cs="仿宋"/>
          <w:b/>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466725</wp:posOffset>
            </wp:positionH>
            <wp:positionV relativeFrom="paragraph">
              <wp:posOffset>459740</wp:posOffset>
            </wp:positionV>
            <wp:extent cx="5153025" cy="2997835"/>
            <wp:effectExtent l="0" t="0" r="9525" b="12065"/>
            <wp:wrapNone/>
            <wp:docPr id="13" name="图片 4" descr="1607771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1607771019(1)"/>
                    <pic:cNvPicPr>
                      <a:picLocks noChangeAspect="1"/>
                    </pic:cNvPicPr>
                  </pic:nvPicPr>
                  <pic:blipFill>
                    <a:blip r:embed="rId24"/>
                    <a:stretch>
                      <a:fillRect/>
                    </a:stretch>
                  </pic:blipFill>
                  <pic:spPr>
                    <a:xfrm>
                      <a:off x="0" y="0"/>
                      <a:ext cx="5153025" cy="2997835"/>
                    </a:xfrm>
                    <a:prstGeom prst="rect">
                      <a:avLst/>
                    </a:prstGeom>
                    <a:noFill/>
                    <a:ln>
                      <a:noFill/>
                    </a:ln>
                  </pic:spPr>
                </pic:pic>
              </a:graphicData>
            </a:graphic>
          </wp:anchor>
        </w:drawing>
      </w:r>
      <w:r>
        <w:rPr>
          <w:rFonts w:hint="eastAsia" w:ascii="仿宋" w:hAnsi="仿宋" w:eastAsia="仿宋" w:cs="仿宋"/>
          <w:bCs/>
          <w:color w:val="000000" w:themeColor="text1"/>
          <w:sz w:val="28"/>
          <w:szCs w:val="28"/>
          <w:highlight w:val="none"/>
          <w14:textFill>
            <w14:solidFill>
              <w14:schemeClr w14:val="tx1"/>
            </w14:solidFill>
          </w14:textFill>
        </w:rPr>
        <w:t>4.中国政府采购网站的政府采购严重违法失信行为名单</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限制行为</w:t>
      </w:r>
    </w:p>
    <w:p>
      <w:pPr>
        <w:pStyle w:val="18"/>
        <w:numPr>
          <w:ilvl w:val="0"/>
          <w:numId w:val="13"/>
        </w:numPr>
        <w:spacing w:line="360" w:lineRule="auto"/>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投标人近三年无因投标申请人违约或不恰当履约引起的合同终止、纠纷、争议、仲裁和公诉纪录；中国裁判文书网（http://wenshu.court.gov.cn/）</w:t>
      </w:r>
    </w:p>
    <w:p>
      <w:pPr>
        <w:pStyle w:val="18"/>
        <w:spacing w:line="360" w:lineRule="auto"/>
        <w:ind w:firstLine="0" w:firstLineChars="0"/>
        <w:rPr>
          <w:rFonts w:hint="eastAsia" w:ascii="仿宋" w:hAnsi="仿宋" w:eastAsia="仿宋" w:cs="仿宋"/>
          <w:color w:val="000000" w:themeColor="text1"/>
          <w:sz w:val="24"/>
          <w:highlight w:val="none"/>
          <w14:textFill>
            <w14:solidFill>
              <w14:schemeClr w14:val="tx1"/>
            </w14:solidFill>
          </w14:textFill>
        </w:rPr>
      </w:pPr>
    </w:p>
    <w:p>
      <w:pPr>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18"/>
        <w:spacing w:line="360" w:lineRule="auto"/>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投标人提供相关承诺函（自拟格式）并加盖投标人单位公章</w:t>
      </w:r>
    </w:p>
    <w:p>
      <w:pPr>
        <w:spacing w:line="48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w:t>
      </w:r>
    </w:p>
    <w:p>
      <w:pPr>
        <w:pStyle w:val="8"/>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中小企业声明函</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本公司郑重声明，根据《政府采购促进中小企业发展管理办法》（财库〔2020〕46号）的规定，本公司为（请填写：中型、小型、微型）企业。即，本公司同时满足以下条件：</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1.根据《工业和信息化部、国家统计局、国家发展和改革委员会、财政部关于印发中小企业划型标准规定的通知》（工信部联企业[2011]300号）规定的划分标准，本公司为（请填写：中型、小型、微型）企业。</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2.本公司参加单位的项目采购活动提供本企业制造的货物，由本企业承担工程、提供服务，或者提供其他（请填写：中型、小型、微型）企业制造的货物。本条所称货物不包括使用大型企业注册商标的货物。</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本公司对上述声明的真实性负责。如有虚假，将依法承担相应责任。</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投标人名称（盖单位章）：</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法定代表人或其委托代理人签字：</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日期：        年    月    日</w:t>
      </w:r>
    </w:p>
    <w:p>
      <w:pPr>
        <w:rPr>
          <w:rFonts w:hint="eastAsia" w:ascii="仿宋" w:hAnsi="仿宋" w:eastAsia="仿宋" w:cs="仿宋"/>
          <w:b/>
          <w:bCs/>
          <w:color w:val="000000" w:themeColor="text1"/>
          <w:sz w:val="24"/>
          <w:szCs w:val="24"/>
          <w:highlight w:val="none"/>
          <w14:textFill>
            <w14:solidFill>
              <w14:schemeClr w14:val="tx1"/>
            </w14:solidFill>
          </w14:textFill>
        </w:rPr>
      </w:pPr>
    </w:p>
    <w:p>
      <w:pPr>
        <w:rPr>
          <w:rFonts w:hint="eastAsia" w:ascii="仿宋" w:hAnsi="仿宋" w:eastAsia="仿宋" w:cs="仿宋"/>
          <w:b/>
          <w:bCs/>
          <w:color w:val="000000" w:themeColor="text1"/>
          <w:sz w:val="24"/>
          <w:szCs w:val="24"/>
          <w:highlight w:val="none"/>
          <w14:textFill>
            <w14:solidFill>
              <w14:schemeClr w14:val="tx1"/>
            </w14:solidFill>
          </w14:textFill>
        </w:rPr>
      </w:pPr>
    </w:p>
    <w:p>
      <w:pPr>
        <w:pStyle w:val="8"/>
        <w:spacing w:line="360" w:lineRule="auto"/>
        <w:ind w:firstLine="482"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说明：</w:t>
      </w:r>
      <w:r>
        <w:rPr>
          <w:rFonts w:hint="eastAsia" w:ascii="仿宋" w:hAnsi="仿宋" w:eastAsia="仿宋" w:cs="仿宋"/>
          <w:bCs/>
          <w:color w:val="000000" w:themeColor="text1"/>
          <w:sz w:val="24"/>
          <w:szCs w:val="24"/>
          <w:highlight w:val="none"/>
          <w14:textFill>
            <w14:solidFill>
              <w14:schemeClr w14:val="tx1"/>
            </w14:solidFill>
          </w14:textFill>
        </w:rPr>
        <w:t>1、填写前请认真阅读《工业和信息化部、国家统计局、国家发展和改革委员会、财政部关于印发中小企业划型标准规定的通知》（工信部联企业[2011] 300号）和《政府采购促进中小企业发展管理办法》（财库〔2020〕46号）相关规定。</w:t>
      </w:r>
    </w:p>
    <w:p>
      <w:pPr>
        <w:pStyle w:val="8"/>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2、中小企业部分提供其他中小企业制造货物的应另附说明，并与后面的报价一栏表保持一致。</w:t>
      </w: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3、未按上述要求提供、填写的，评标时不予以考虑。</w: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附表十一</w:t>
      </w:r>
    </w:p>
    <w:p>
      <w:pPr>
        <w:pStyle w:val="8"/>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p>
    <w:p>
      <w:pPr>
        <w:pStyle w:val="8"/>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残疾人福利性单位声明函（符合本声明函填写）</w:t>
      </w: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单位的</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jc w:val="righ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投标单位：</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 xml:space="preserve">（盖章） </w:t>
      </w:r>
    </w:p>
    <w:p>
      <w:pPr>
        <w:pStyle w:val="8"/>
        <w:spacing w:line="360" w:lineRule="auto"/>
        <w:ind w:firstLine="480" w:firstLineChars="200"/>
        <w:jc w:val="righ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法定代表人或被授权人：</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（签字）</w:t>
      </w:r>
    </w:p>
    <w:p>
      <w:pPr>
        <w:pStyle w:val="8"/>
        <w:spacing w:line="360" w:lineRule="auto"/>
        <w:ind w:firstLine="480" w:firstLineChars="200"/>
        <w:jc w:val="righ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日</w:t>
      </w:r>
      <w:r>
        <w:rPr>
          <w:rFonts w:hint="eastAsia" w:ascii="仿宋" w:hAnsi="仿宋" w:eastAsia="仿宋" w:cs="仿宋"/>
          <w:bCs/>
          <w:color w:val="000000" w:themeColor="text1"/>
          <w:sz w:val="24"/>
          <w:highlight w:val="non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期：</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年</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月</w:t>
      </w:r>
      <w:r>
        <w:rPr>
          <w:rFonts w:hint="eastAsia" w:ascii="仿宋" w:hAnsi="仿宋" w:eastAsia="仿宋" w:cs="仿宋"/>
          <w:bCs/>
          <w:color w:val="000000" w:themeColor="text1"/>
          <w:sz w:val="24"/>
          <w:highlight w:val="none"/>
          <w:u w:val="single"/>
          <w14:textFill>
            <w14:solidFill>
              <w14:schemeClr w14:val="tx1"/>
            </w14:solidFill>
          </w14:textFill>
        </w:rPr>
        <w:tab/>
      </w:r>
      <w:r>
        <w:rPr>
          <w:rFonts w:hint="eastAsia" w:ascii="仿宋" w:hAnsi="仿宋" w:eastAsia="仿宋" w:cs="仿宋"/>
          <w:bCs/>
          <w:color w:val="000000" w:themeColor="text1"/>
          <w:sz w:val="24"/>
          <w:highlight w:val="none"/>
          <w14:textFill>
            <w14:solidFill>
              <w14:schemeClr w14:val="tx1"/>
            </w14:solidFill>
          </w14:textFill>
        </w:rPr>
        <w:t>日</w:t>
      </w: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p>
    <w:p>
      <w:pPr>
        <w:pStyle w:val="8"/>
        <w:spacing w:line="360" w:lineRule="auto"/>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说明：1.填写前请认真阅读《财政部 民政部 中国残疾人联合会关于促进残疾人就业政府采购 政策的通知》（财库〔2017〕141 号）相关规定。</w:t>
      </w:r>
    </w:p>
    <w:p>
      <w:pPr>
        <w:pStyle w:val="8"/>
        <w:spacing w:line="360" w:lineRule="auto"/>
        <w:ind w:firstLine="960" w:firstLineChars="4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2.残疾人福利性单位应在本声明函后提供相关证明材料。</w:t>
      </w:r>
    </w:p>
    <w:p>
      <w:pPr>
        <w:pStyle w:val="8"/>
        <w:spacing w:line="360" w:lineRule="auto"/>
        <w:ind w:firstLine="1125" w:firstLineChars="469"/>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3.未按上述要求提供、填写的，评审时不予以考虑。</w: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附表十二</w:t>
      </w:r>
    </w:p>
    <w:p>
      <w:pPr>
        <w:bidi w:val="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本项目拟投入人员情况表</w:t>
      </w:r>
    </w:p>
    <w:p>
      <w:pPr>
        <w:jc w:val="center"/>
        <w:rPr>
          <w:rFonts w:hint="eastAsia" w:ascii="仿宋" w:hAnsi="仿宋" w:eastAsia="仿宋" w:cs="仿宋"/>
          <w:b/>
          <w:bCs/>
          <w:color w:val="000000" w:themeColor="text1"/>
          <w:sz w:val="40"/>
          <w:highlight w:val="none"/>
          <w14:textFill>
            <w14:solidFill>
              <w14:schemeClr w14:val="tx1"/>
            </w14:solidFill>
          </w14:textFill>
        </w:rPr>
      </w:pPr>
      <w:bookmarkStart w:id="151" w:name="_Toc17752_WPSOffice_Level1"/>
      <w:r>
        <w:rPr>
          <w:rFonts w:hint="eastAsia" w:ascii="仿宋" w:hAnsi="仿宋" w:eastAsia="仿宋" w:cs="仿宋"/>
          <w:b/>
          <w:color w:val="000000" w:themeColor="text1"/>
          <w:sz w:val="28"/>
          <w:szCs w:val="28"/>
          <w:highlight w:val="none"/>
          <w14:textFill>
            <w14:solidFill>
              <w14:schemeClr w14:val="tx1"/>
            </w14:solidFill>
          </w14:textFill>
        </w:rPr>
        <w:t>技术服务人员一览表</w:t>
      </w:r>
      <w:bookmarkEnd w:id="151"/>
    </w:p>
    <w:tbl>
      <w:tblPr>
        <w:tblStyle w:val="15"/>
        <w:tblpPr w:leftFromText="180" w:rightFromText="180" w:vertAnchor="text" w:horzAnchor="margin" w:tblpXSpec="center" w:tblpY="74"/>
        <w:tblW w:w="9021"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858"/>
        <w:gridCol w:w="956"/>
        <w:gridCol w:w="1150"/>
        <w:gridCol w:w="151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  名</w:t>
            </w: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本项目</w:t>
            </w:r>
          </w:p>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拟任职务</w:t>
            </w: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技术</w:t>
            </w:r>
          </w:p>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职称</w:t>
            </w: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学历</w:t>
            </w: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w:t>
            </w: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主要资历及</w:t>
            </w:r>
          </w:p>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858"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95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150"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1516"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2191" w:type="dxa"/>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color w:val="000000" w:themeColor="text1"/>
                <w:sz w:val="28"/>
                <w:szCs w:val="28"/>
                <w:highlight w:val="none"/>
                <w14:textFill>
                  <w14:solidFill>
                    <w14:schemeClr w14:val="tx1"/>
                  </w14:solidFill>
                </w14:textFill>
              </w:rPr>
            </w:pPr>
          </w:p>
        </w:tc>
      </w:tr>
    </w:tbl>
    <w:p>
      <w:pPr>
        <w:spacing w:line="50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注：1、如供应商成交，技术服务人员必须按本表承诺人员实施，不得擅自更换；</w:t>
      </w:r>
    </w:p>
    <w:p>
      <w:pPr>
        <w:spacing w:line="560" w:lineRule="exact"/>
        <w:ind w:right="105" w:rightChars="50"/>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投标人名称（盖章）：                       法定代表人或授权代表签字： </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附：社保证明（复印件）。</w:t>
      </w:r>
    </w:p>
    <w:p>
      <w:pPr>
        <w:spacing w:before="156" w:beforeLines="50" w:line="360" w:lineRule="auto"/>
        <w:ind w:right="48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p>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sectPr>
          <w:footerReference r:id="rId16" w:type="default"/>
          <w:pgSz w:w="11906" w:h="16838"/>
          <w:pgMar w:top="1440" w:right="1803" w:bottom="1440" w:left="1803" w:header="851" w:footer="992" w:gutter="0"/>
          <w:pgNumType w:fmt="decimal"/>
          <w:cols w:space="720" w:num="1"/>
          <w:docGrid w:type="lines" w:linePitch="312" w:charSpace="0"/>
        </w:sectPr>
      </w:pPr>
    </w:p>
    <w:p>
      <w:pPr>
        <w:bidi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附表十三</w:t>
      </w:r>
    </w:p>
    <w:p>
      <w:pPr>
        <w:spacing w:line="360" w:lineRule="auto"/>
        <w:ind w:right="-334" w:rightChars="-159" w:firstLine="275" w:firstLineChars="98"/>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反商业贿赂承诺书</w:t>
      </w:r>
    </w:p>
    <w:p>
      <w:pPr>
        <w:spacing w:line="360" w:lineRule="auto"/>
        <w:ind w:right="-334" w:rightChars="-159" w:firstLine="313" w:firstLineChars="98"/>
        <w:rPr>
          <w:rFonts w:hint="eastAsia" w:ascii="仿宋" w:hAnsi="仿宋" w:eastAsia="仿宋" w:cs="仿宋"/>
          <w:color w:val="000000" w:themeColor="text1"/>
          <w:sz w:val="32"/>
          <w:szCs w:val="32"/>
          <w:highlight w:val="none"/>
          <w:u w:val="single"/>
          <w14:textFill>
            <w14:solidFill>
              <w14:schemeClr w14:val="tx1"/>
            </w14:solidFill>
          </w14:textFill>
        </w:rPr>
      </w:pPr>
    </w:p>
    <w:p>
      <w:pPr>
        <w:spacing w:line="360" w:lineRule="auto"/>
        <w:ind w:right="-334" w:rightChars="-159" w:firstLine="472" w:firstLine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为了从源头上防治腐败，杜绝商业贿赂行为的发生，更好地配合政府采购的工作，我们供应商承诺如下：</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bookmarkStart w:id="152" w:name="_Toc16548_WPSOffice_Level1"/>
      <w:r>
        <w:rPr>
          <w:rFonts w:hint="eastAsia" w:ascii="仿宋" w:hAnsi="仿宋" w:eastAsia="仿宋" w:cs="仿宋"/>
          <w:color w:val="000000" w:themeColor="text1"/>
          <w:sz w:val="24"/>
          <w:highlight w:val="none"/>
          <w14:textFill>
            <w14:solidFill>
              <w14:schemeClr w14:val="tx1"/>
            </w14:solidFill>
          </w14:textFill>
        </w:rPr>
        <w:t>1、不以各种名义给采购人或采购代理机构借或送现金、有价证券及物品;</w:t>
      </w:r>
      <w:bookmarkEnd w:id="152"/>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bookmarkStart w:id="153" w:name="_Toc29358_WPSOffice_Level1"/>
      <w:r>
        <w:rPr>
          <w:rFonts w:hint="eastAsia" w:ascii="仿宋" w:hAnsi="仿宋" w:eastAsia="仿宋" w:cs="仿宋"/>
          <w:color w:val="000000" w:themeColor="text1"/>
          <w:sz w:val="24"/>
          <w:highlight w:val="none"/>
          <w14:textFill>
            <w14:solidFill>
              <w14:schemeClr w14:val="tx1"/>
            </w14:solidFill>
          </w14:textFill>
        </w:rPr>
        <w:t>2、不以个人名义邀请采购人或采购代理机构工作人员参与考察旅游活动和宴请活动；</w:t>
      </w:r>
      <w:bookmarkEnd w:id="153"/>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bookmarkStart w:id="154" w:name="_Toc1632_WPSOffice_Level1"/>
      <w:r>
        <w:rPr>
          <w:rFonts w:hint="eastAsia" w:ascii="仿宋" w:hAnsi="仿宋" w:eastAsia="仿宋" w:cs="仿宋"/>
          <w:color w:val="000000" w:themeColor="text1"/>
          <w:sz w:val="24"/>
          <w:highlight w:val="none"/>
          <w14:textFill>
            <w14:solidFill>
              <w14:schemeClr w14:val="tx1"/>
            </w14:solidFill>
          </w14:textFill>
        </w:rPr>
        <w:t>3、不发生与采购事项有关的其他违规违纪行为。</w:t>
      </w:r>
      <w:bookmarkEnd w:id="154"/>
    </w:p>
    <w:p>
      <w:pPr>
        <w:spacing w:line="360" w:lineRule="auto"/>
        <w:ind w:right="-334" w:rightChars="-159" w:firstLine="472" w:firstLineChars="19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违反其中一项，采购人或采购代理机构将向新疆维吾尔自治区政府采购管理办公室反映将其列入政府采购黑名单并终止竞标资格，今后不得参与新疆维吾尔自治区政府采购招投标活动，触犯法律由司法部门处理。</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承诺单位 ：（签章）</w:t>
      </w: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firstLine="235" w:firstLineChars="9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单位法人（或授权代理人）：（签字）</w:t>
      </w: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p>
    <w:p>
      <w:pPr>
        <w:spacing w:line="360" w:lineRule="auto"/>
        <w:ind w:right="-334" w:rightChars="-159"/>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bookmarkStart w:id="155" w:name="_Toc11286_WPSOffice_Level1"/>
      <w:bookmarkStart w:id="156" w:name="_Toc15489"/>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pPr>
        <w:pStyle w:val="18"/>
        <w:ind w:firstLine="643"/>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附表十四</w:t>
      </w:r>
    </w:p>
    <w:p>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技术条款偏差表</w:t>
      </w:r>
    </w:p>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bl>
      <w:tblPr>
        <w:tblStyle w:val="15"/>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招标文件内容</w:t>
            </w: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投标文件内容</w:t>
            </w: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c>
          <w:tcPr>
            <w:tcW w:w="2682"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8"/>
                <w:highlight w:val="none"/>
                <w14:textFill>
                  <w14:solidFill>
                    <w14:schemeClr w14:val="tx1"/>
                  </w14:solidFill>
                </w14:textFill>
              </w:rPr>
            </w:pPr>
          </w:p>
        </w:tc>
      </w:tr>
    </w:tbl>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凡投标文件中所投服务内容、要求、质量标准必须在此表中列出，投标人应对照招标文件要求逐条列出并在偏差内容“偏离情况”栏注明“正偏离”、“负偏离”或“无偏离”，禁止左右粘贴，需对所投内容实质性描述。</w:t>
      </w:r>
    </w:p>
    <w:p>
      <w:pPr>
        <w:spacing w:before="1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投标人法定代表人（或法定代表人授权代表）签字：</w:t>
      </w:r>
      <w:r>
        <w:rPr>
          <w:rFonts w:hint="eastAsia" w:ascii="仿宋" w:hAnsi="仿宋" w:eastAsia="仿宋" w:cs="仿宋"/>
          <w:color w:val="000000" w:themeColor="text1"/>
          <w:sz w:val="24"/>
          <w:highlight w:val="none"/>
          <w14:textFill>
            <w14:solidFill>
              <w14:schemeClr w14:val="tx1"/>
            </w14:solidFill>
          </w14:textFill>
        </w:rPr>
        <w:tab/>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投标人名称（签章）：</w:t>
      </w:r>
      <w:r>
        <w:rPr>
          <w:rFonts w:hint="eastAsia" w:ascii="仿宋" w:hAnsi="仿宋" w:eastAsia="仿宋" w:cs="仿宋"/>
          <w:color w:val="000000" w:themeColor="text1"/>
          <w:sz w:val="24"/>
          <w:highlight w:val="none"/>
          <w14:textFill>
            <w14:solidFill>
              <w14:schemeClr w14:val="tx1"/>
            </w14:solidFill>
          </w14:textFill>
        </w:rPr>
        <w:tab/>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14:textFill>
            <w14:solidFill>
              <w14:schemeClr w14:val="tx1"/>
            </w14:solidFill>
          </w14:textFill>
        </w:rPr>
        <w:tab/>
      </w:r>
      <w:r>
        <w:rPr>
          <w:rFonts w:hint="eastAsia" w:ascii="仿宋" w:hAnsi="仿宋" w:eastAsia="仿宋" w:cs="仿宋"/>
          <w:color w:val="000000" w:themeColor="text1"/>
          <w:sz w:val="24"/>
          <w:highlight w:val="none"/>
          <w14:textFill>
            <w14:solidFill>
              <w14:schemeClr w14:val="tx1"/>
            </w14:solidFill>
          </w14:textFill>
        </w:rPr>
        <w:t xml:space="preserve"> 日</w: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附表十五</w:t>
      </w:r>
    </w:p>
    <w:p>
      <w:pPr>
        <w:pStyle w:val="8"/>
        <w:spacing w:line="48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投标保证金缴纳凭证</w:t>
      </w:r>
    </w:p>
    <w:p>
      <w:pPr>
        <w:pStyle w:val="8"/>
        <w:spacing w:line="480" w:lineRule="exact"/>
        <w:rPr>
          <w:rFonts w:hint="eastAsia" w:ascii="仿宋" w:hAnsi="仿宋" w:eastAsia="仿宋" w:cs="仿宋"/>
          <w:bCs/>
          <w:sz w:val="24"/>
          <w:highlight w:val="none"/>
        </w:rPr>
      </w:pPr>
    </w:p>
    <w:p>
      <w:pPr>
        <w:pStyle w:val="8"/>
        <w:spacing w:line="48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我方于</w:t>
      </w:r>
      <w:r>
        <w:rPr>
          <w:rFonts w:hint="eastAsia" w:ascii="仿宋" w:hAnsi="仿宋" w:eastAsia="仿宋" w:cs="仿宋"/>
          <w:bCs/>
          <w:sz w:val="24"/>
          <w:highlight w:val="none"/>
        </w:rPr>
        <w:tab/>
      </w:r>
      <w:r>
        <w:rPr>
          <w:rFonts w:hint="eastAsia" w:ascii="仿宋" w:hAnsi="仿宋" w:eastAsia="仿宋" w:cs="仿宋"/>
          <w:bCs/>
          <w:sz w:val="24"/>
          <w:highlight w:val="none"/>
        </w:rPr>
        <w:t>年</w:t>
      </w:r>
      <w:r>
        <w:rPr>
          <w:rFonts w:hint="eastAsia" w:ascii="仿宋" w:hAnsi="仿宋" w:eastAsia="仿宋" w:cs="仿宋"/>
          <w:bCs/>
          <w:sz w:val="24"/>
          <w:highlight w:val="none"/>
          <w:u w:val="single"/>
        </w:rPr>
        <w:tab/>
      </w:r>
      <w:r>
        <w:rPr>
          <w:rFonts w:hint="eastAsia" w:ascii="仿宋" w:hAnsi="仿宋" w:eastAsia="仿宋" w:cs="仿宋"/>
          <w:bCs/>
          <w:sz w:val="24"/>
          <w:highlight w:val="none"/>
        </w:rPr>
        <w:t>月</w:t>
      </w:r>
      <w:r>
        <w:rPr>
          <w:rFonts w:hint="eastAsia" w:ascii="仿宋" w:hAnsi="仿宋" w:eastAsia="仿宋" w:cs="仿宋"/>
          <w:bCs/>
          <w:sz w:val="24"/>
          <w:highlight w:val="none"/>
          <w:u w:val="single"/>
        </w:rPr>
        <w:tab/>
      </w:r>
      <w:r>
        <w:rPr>
          <w:rFonts w:hint="eastAsia" w:ascii="仿宋" w:hAnsi="仿宋" w:eastAsia="仿宋" w:cs="仿宋"/>
          <w:bCs/>
          <w:sz w:val="24"/>
          <w:highlight w:val="none"/>
        </w:rPr>
        <w:t xml:space="preserve"> 日参加</w:t>
      </w:r>
      <w:r>
        <w:rPr>
          <w:rFonts w:hint="eastAsia" w:ascii="仿宋" w:hAnsi="仿宋" w:eastAsia="仿宋" w:cs="仿宋"/>
          <w:bCs/>
          <w:sz w:val="24"/>
          <w:highlight w:val="none"/>
          <w:u w:val="single"/>
        </w:rPr>
        <w:tab/>
      </w:r>
      <w:r>
        <w:rPr>
          <w:rFonts w:hint="eastAsia" w:ascii="仿宋" w:hAnsi="仿宋" w:eastAsia="仿宋" w:cs="仿宋"/>
          <w:bCs/>
          <w:sz w:val="24"/>
          <w:highlight w:val="none"/>
          <w:u w:val="single"/>
        </w:rPr>
        <w:t xml:space="preserve">（项目名称）   </w:t>
      </w:r>
      <w:r>
        <w:rPr>
          <w:rFonts w:hint="eastAsia" w:ascii="仿宋" w:hAnsi="仿宋" w:eastAsia="仿宋" w:cs="仿宋"/>
          <w:bCs/>
          <w:sz w:val="24"/>
          <w:highlight w:val="none"/>
        </w:rPr>
        <w:t>的投标，现保证：我方在规定的投标有效期内撤销或修改投标文件的，或者涉及招标文件规定的保证金不予退还条款，投标保证金不予退还。</w:t>
      </w:r>
    </w:p>
    <w:p>
      <w:pPr>
        <w:pStyle w:val="8"/>
        <w:spacing w:line="480" w:lineRule="exact"/>
        <w:ind w:firstLine="480" w:firstLineChars="200"/>
        <w:rPr>
          <w:rFonts w:hint="eastAsia" w:ascii="仿宋" w:hAnsi="仿宋" w:eastAsia="仿宋" w:cs="仿宋"/>
          <w:bCs/>
          <w:sz w:val="24"/>
          <w:highlight w:val="none"/>
        </w:rPr>
      </w:pPr>
    </w:p>
    <w:p>
      <w:pPr>
        <w:pStyle w:val="8"/>
        <w:spacing w:line="480" w:lineRule="exact"/>
        <w:ind w:firstLine="480" w:firstLineChars="200"/>
        <w:rPr>
          <w:rFonts w:hint="eastAsia" w:ascii="仿宋" w:hAnsi="仿宋" w:eastAsia="仿宋" w:cs="仿宋"/>
          <w:bCs/>
          <w:sz w:val="24"/>
          <w:highlight w:val="none"/>
        </w:rPr>
      </w:pPr>
    </w:p>
    <w:p>
      <w:pPr>
        <w:pStyle w:val="8"/>
        <w:spacing w:line="480" w:lineRule="exact"/>
        <w:rPr>
          <w:rFonts w:hint="eastAsia" w:ascii="仿宋" w:hAnsi="仿宋" w:eastAsia="仿宋" w:cs="仿宋"/>
          <w:bCs/>
          <w:sz w:val="24"/>
          <w:highlight w:val="none"/>
        </w:rPr>
      </w:pPr>
    </w:p>
    <w:tbl>
      <w:tblPr>
        <w:tblStyle w:val="24"/>
        <w:tblW w:w="9280" w:type="dxa"/>
        <w:tblInd w:w="-421" w:type="dxa"/>
        <w:tblLayout w:type="fixed"/>
        <w:tblCellMar>
          <w:top w:w="0" w:type="dxa"/>
          <w:left w:w="0" w:type="dxa"/>
          <w:bottom w:w="0" w:type="dxa"/>
          <w:right w:w="0" w:type="dxa"/>
        </w:tblCellMar>
      </w:tblPr>
      <w:tblGrid>
        <w:gridCol w:w="9280"/>
      </w:tblGrid>
      <w:tr>
        <w:tblPrEx>
          <w:tblCellMar>
            <w:top w:w="0" w:type="dxa"/>
            <w:left w:w="0" w:type="dxa"/>
            <w:bottom w:w="0" w:type="dxa"/>
            <w:right w:w="0" w:type="dxa"/>
          </w:tblCellMar>
        </w:tblPrEx>
        <w:trPr>
          <w:trHeight w:val="4233" w:hRule="exact"/>
        </w:trPr>
        <w:tc>
          <w:tcPr>
            <w:tcW w:w="9280" w:type="dxa"/>
            <w:tcBorders>
              <w:top w:val="single" w:color="000000" w:sz="4" w:space="0"/>
              <w:left w:val="single" w:color="000000" w:sz="4" w:space="0"/>
              <w:bottom w:val="single" w:color="000000" w:sz="4" w:space="0"/>
              <w:right w:val="single" w:color="000000" w:sz="4" w:space="0"/>
            </w:tcBorders>
            <w:vAlign w:val="center"/>
          </w:tcPr>
          <w:p>
            <w:pPr>
              <w:pStyle w:val="8"/>
              <w:spacing w:line="480" w:lineRule="exact"/>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rPr>
              <w:t>保证金收据或缴款证明</w:t>
            </w:r>
            <w:r>
              <w:rPr>
                <w:rFonts w:hint="eastAsia" w:ascii="仿宋" w:hAnsi="仿宋" w:eastAsia="仿宋" w:cs="仿宋"/>
                <w:bCs/>
                <w:sz w:val="24"/>
                <w:highlight w:val="none"/>
                <w:lang w:eastAsia="zh-CN"/>
              </w:rPr>
              <w:t>（银行汇款单）</w:t>
            </w:r>
          </w:p>
          <w:p>
            <w:pPr>
              <w:pStyle w:val="8"/>
              <w:spacing w:line="480" w:lineRule="exact"/>
              <w:rPr>
                <w:rFonts w:hint="eastAsia" w:ascii="仿宋" w:hAnsi="仿宋" w:eastAsia="仿宋" w:cs="仿宋"/>
                <w:bCs/>
                <w:sz w:val="24"/>
                <w:highlight w:val="none"/>
              </w:rPr>
            </w:pPr>
          </w:p>
          <w:p>
            <w:pPr>
              <w:pStyle w:val="25"/>
              <w:spacing w:line="240" w:lineRule="exact"/>
              <w:ind w:right="11"/>
              <w:jc w:val="center"/>
              <w:rPr>
                <w:rFonts w:hint="eastAsia" w:ascii="仿宋" w:hAnsi="仿宋" w:eastAsia="仿宋" w:cs="仿宋"/>
                <w:color w:val="000000" w:themeColor="text1"/>
                <w:spacing w:val="6"/>
                <w:sz w:val="18"/>
                <w:szCs w:val="18"/>
                <w:highlight w:val="none"/>
                <w14:textFill>
                  <w14:solidFill>
                    <w14:schemeClr w14:val="tx1"/>
                  </w14:solidFill>
                </w14:textFill>
              </w:rPr>
            </w:pPr>
          </w:p>
        </w:tc>
      </w:tr>
    </w:tbl>
    <w:p>
      <w:pPr>
        <w:pStyle w:val="8"/>
        <w:spacing w:line="480" w:lineRule="exact"/>
        <w:rPr>
          <w:rFonts w:hint="eastAsia" w:ascii="仿宋" w:hAnsi="仿宋" w:eastAsia="仿宋" w:cs="仿宋"/>
          <w:bCs/>
          <w:sz w:val="24"/>
          <w:highlight w:val="none"/>
        </w:rPr>
      </w:pPr>
    </w:p>
    <w:p>
      <w:pPr>
        <w:pStyle w:val="8"/>
        <w:spacing w:line="480" w:lineRule="exact"/>
        <w:rPr>
          <w:rFonts w:hint="eastAsia" w:ascii="仿宋" w:hAnsi="仿宋" w:eastAsia="仿宋" w:cs="仿宋"/>
          <w:bCs/>
          <w:sz w:val="24"/>
          <w:highlight w:val="none"/>
        </w:rPr>
      </w:pPr>
    </w:p>
    <w:p>
      <w:pPr>
        <w:pStyle w:val="8"/>
        <w:spacing w:line="480" w:lineRule="exact"/>
        <w:rPr>
          <w:rFonts w:hint="eastAsia" w:ascii="仿宋" w:hAnsi="仿宋" w:eastAsia="仿宋" w:cs="仿宋"/>
          <w:bCs/>
          <w:sz w:val="24"/>
          <w:highlight w:val="none"/>
        </w:rPr>
      </w:pPr>
    </w:p>
    <w:p>
      <w:pPr>
        <w:pStyle w:val="8"/>
        <w:wordWrap w:val="0"/>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投标人：</w:t>
      </w:r>
      <w:r>
        <w:rPr>
          <w:rFonts w:hint="eastAsia" w:ascii="仿宋" w:hAnsi="仿宋" w:eastAsia="仿宋" w:cs="仿宋"/>
          <w:bCs/>
          <w:sz w:val="24"/>
          <w:highlight w:val="none"/>
          <w:u w:val="single"/>
        </w:rPr>
        <w:tab/>
      </w:r>
      <w:r>
        <w:rPr>
          <w:rFonts w:hint="eastAsia" w:ascii="仿宋" w:hAnsi="仿宋" w:eastAsia="仿宋" w:cs="仿宋"/>
          <w:bCs/>
          <w:sz w:val="24"/>
          <w:highlight w:val="none"/>
        </w:rPr>
        <w:t xml:space="preserve">（盖章） </w:t>
      </w:r>
    </w:p>
    <w:p>
      <w:pPr>
        <w:pStyle w:val="8"/>
        <w:wordWrap w:val="0"/>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法定代表人或被授权人：</w:t>
      </w:r>
      <w:r>
        <w:rPr>
          <w:rFonts w:hint="eastAsia" w:ascii="仿宋" w:hAnsi="仿宋" w:eastAsia="仿宋" w:cs="仿宋"/>
          <w:bCs/>
          <w:sz w:val="24"/>
          <w:highlight w:val="none"/>
          <w:u w:val="single"/>
        </w:rPr>
        <w:tab/>
      </w:r>
      <w:r>
        <w:rPr>
          <w:rFonts w:hint="eastAsia" w:ascii="仿宋" w:hAnsi="仿宋" w:eastAsia="仿宋" w:cs="仿宋"/>
          <w:bCs/>
          <w:sz w:val="24"/>
          <w:highlight w:val="none"/>
        </w:rPr>
        <w:t>（签字）</w:t>
      </w:r>
    </w:p>
    <w:p>
      <w:pPr>
        <w:pStyle w:val="8"/>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日</w:t>
      </w:r>
      <w:r>
        <w:rPr>
          <w:rFonts w:hint="eastAsia" w:ascii="仿宋" w:hAnsi="仿宋" w:eastAsia="仿宋" w:cs="仿宋"/>
          <w:bCs/>
          <w:sz w:val="24"/>
          <w:highlight w:val="none"/>
        </w:rPr>
        <w:tab/>
      </w:r>
      <w:r>
        <w:rPr>
          <w:rFonts w:hint="eastAsia" w:ascii="仿宋" w:hAnsi="仿宋" w:eastAsia="仿宋" w:cs="仿宋"/>
          <w:bCs/>
          <w:sz w:val="24"/>
          <w:highlight w:val="none"/>
        </w:rPr>
        <w:t>期：</w:t>
      </w:r>
      <w:r>
        <w:rPr>
          <w:rFonts w:hint="eastAsia" w:ascii="仿宋" w:hAnsi="仿宋" w:eastAsia="仿宋" w:cs="仿宋"/>
          <w:bCs/>
          <w:sz w:val="24"/>
          <w:highlight w:val="none"/>
          <w:u w:val="single"/>
        </w:rPr>
        <w:tab/>
      </w:r>
      <w:r>
        <w:rPr>
          <w:rFonts w:hint="eastAsia" w:ascii="仿宋" w:hAnsi="仿宋" w:eastAsia="仿宋" w:cs="仿宋"/>
          <w:bCs/>
          <w:sz w:val="24"/>
          <w:highlight w:val="none"/>
        </w:rPr>
        <w:t>年</w:t>
      </w:r>
      <w:r>
        <w:rPr>
          <w:rFonts w:hint="eastAsia" w:ascii="仿宋" w:hAnsi="仿宋" w:eastAsia="仿宋" w:cs="仿宋"/>
          <w:bCs/>
          <w:sz w:val="24"/>
          <w:highlight w:val="none"/>
          <w:u w:val="single"/>
        </w:rPr>
        <w:tab/>
      </w:r>
      <w:r>
        <w:rPr>
          <w:rFonts w:hint="eastAsia" w:ascii="仿宋" w:hAnsi="仿宋" w:eastAsia="仿宋" w:cs="仿宋"/>
          <w:bCs/>
          <w:sz w:val="24"/>
          <w:highlight w:val="none"/>
        </w:rPr>
        <w:t>月</w:t>
      </w:r>
      <w:r>
        <w:rPr>
          <w:rFonts w:hint="eastAsia" w:ascii="仿宋" w:hAnsi="仿宋" w:eastAsia="仿宋" w:cs="仿宋"/>
          <w:bCs/>
          <w:sz w:val="24"/>
          <w:highlight w:val="none"/>
          <w:u w:val="single"/>
        </w:rPr>
        <w:tab/>
      </w:r>
      <w:r>
        <w:rPr>
          <w:rFonts w:hint="eastAsia" w:ascii="仿宋" w:hAnsi="仿宋" w:eastAsia="仿宋" w:cs="仿宋"/>
          <w:bCs/>
          <w:sz w:val="24"/>
          <w:highlight w:val="none"/>
        </w:rPr>
        <w:t>日</w:t>
      </w:r>
    </w:p>
    <w:p>
      <w:pPr>
        <w:pStyle w:val="8"/>
        <w:spacing w:line="480" w:lineRule="exact"/>
        <w:rPr>
          <w:rFonts w:hint="eastAsia" w:ascii="仿宋" w:hAnsi="仿宋" w:eastAsia="仿宋" w:cs="仿宋"/>
          <w:bCs/>
          <w:sz w:val="24"/>
          <w:highlight w:val="none"/>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附表十六</w:t>
      </w:r>
    </w:p>
    <w:p>
      <w:pPr>
        <w:pStyle w:val="18"/>
        <w:ind w:firstLine="643"/>
        <w:rPr>
          <w:rFonts w:hint="eastAsia" w:ascii="仿宋" w:hAnsi="仿宋" w:eastAsia="仿宋" w:cs="仿宋"/>
          <w:b/>
          <w:color w:val="000000" w:themeColor="text1"/>
          <w:sz w:val="32"/>
          <w:szCs w:val="32"/>
          <w:highlight w:val="none"/>
          <w14:textFill>
            <w14:solidFill>
              <w14:schemeClr w14:val="tx1"/>
            </w14:solidFill>
          </w14:textFill>
        </w:rPr>
      </w:pPr>
    </w:p>
    <w:p>
      <w:pPr>
        <w:pStyle w:val="18"/>
        <w:ind w:firstLine="643"/>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关于资格的声明函</w:t>
      </w:r>
    </w:p>
    <w:p>
      <w:pPr>
        <w:spacing w:line="360" w:lineRule="auto"/>
        <w:rPr>
          <w:rFonts w:hint="eastAsia" w:ascii="仿宋" w:hAnsi="仿宋" w:eastAsia="仿宋" w:cs="仿宋"/>
          <w:sz w:val="24"/>
          <w:highlight w:val="none"/>
        </w:rPr>
      </w:pPr>
    </w:p>
    <w:p>
      <w:pPr>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关于</w:t>
      </w:r>
      <w:r>
        <w:rPr>
          <w:rFonts w:hint="eastAsia" w:ascii="仿宋" w:hAnsi="仿宋" w:eastAsia="仿宋" w:cs="仿宋"/>
          <w:sz w:val="24"/>
          <w:highlight w:val="none"/>
          <w:u w:val="single"/>
        </w:rPr>
        <w:t>（项目名称）项目</w:t>
      </w:r>
      <w:r>
        <w:rPr>
          <w:rFonts w:hint="eastAsia" w:ascii="仿宋" w:hAnsi="仿宋" w:eastAsia="仿宋" w:cs="仿宋"/>
          <w:sz w:val="24"/>
          <w:highlight w:val="none"/>
        </w:rPr>
        <w:t>，本签字人愿意参加投标，并有能力提供本项目中的相关设备，并保证所提交的所有文件和说明是真实和准确的。</w:t>
      </w:r>
    </w:p>
    <w:p>
      <w:pPr>
        <w:pStyle w:val="8"/>
        <w:wordWrap w:val="0"/>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投标人：</w:t>
      </w:r>
      <w:r>
        <w:rPr>
          <w:rFonts w:hint="eastAsia" w:ascii="仿宋" w:hAnsi="仿宋" w:eastAsia="仿宋" w:cs="仿宋"/>
          <w:bCs/>
          <w:sz w:val="24"/>
          <w:highlight w:val="none"/>
          <w:u w:val="single"/>
        </w:rPr>
        <w:tab/>
      </w:r>
      <w:r>
        <w:rPr>
          <w:rFonts w:hint="eastAsia" w:ascii="仿宋" w:hAnsi="仿宋" w:eastAsia="仿宋" w:cs="仿宋"/>
          <w:bCs/>
          <w:sz w:val="24"/>
          <w:highlight w:val="none"/>
        </w:rPr>
        <w:t xml:space="preserve">（盖章） </w:t>
      </w:r>
    </w:p>
    <w:p>
      <w:pPr>
        <w:pStyle w:val="8"/>
        <w:wordWrap w:val="0"/>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法定代表人或被授权人：</w:t>
      </w:r>
      <w:r>
        <w:rPr>
          <w:rFonts w:hint="eastAsia" w:ascii="仿宋" w:hAnsi="仿宋" w:eastAsia="仿宋" w:cs="仿宋"/>
          <w:bCs/>
          <w:sz w:val="24"/>
          <w:highlight w:val="none"/>
          <w:u w:val="single"/>
        </w:rPr>
        <w:tab/>
      </w:r>
      <w:r>
        <w:rPr>
          <w:rFonts w:hint="eastAsia" w:ascii="仿宋" w:hAnsi="仿宋" w:eastAsia="仿宋" w:cs="仿宋"/>
          <w:bCs/>
          <w:sz w:val="24"/>
          <w:highlight w:val="none"/>
        </w:rPr>
        <w:t>（签字）</w:t>
      </w:r>
    </w:p>
    <w:p>
      <w:pPr>
        <w:pStyle w:val="8"/>
        <w:spacing w:line="48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日</w:t>
      </w:r>
      <w:r>
        <w:rPr>
          <w:rFonts w:hint="eastAsia" w:ascii="仿宋" w:hAnsi="仿宋" w:eastAsia="仿宋" w:cs="仿宋"/>
          <w:bCs/>
          <w:sz w:val="24"/>
          <w:highlight w:val="none"/>
        </w:rPr>
        <w:tab/>
      </w:r>
      <w:r>
        <w:rPr>
          <w:rFonts w:hint="eastAsia" w:ascii="仿宋" w:hAnsi="仿宋" w:eastAsia="仿宋" w:cs="仿宋"/>
          <w:bCs/>
          <w:sz w:val="24"/>
          <w:highlight w:val="none"/>
        </w:rPr>
        <w:t>期：</w:t>
      </w:r>
      <w:r>
        <w:rPr>
          <w:rFonts w:hint="eastAsia" w:ascii="仿宋" w:hAnsi="仿宋" w:eastAsia="仿宋" w:cs="仿宋"/>
          <w:bCs/>
          <w:sz w:val="24"/>
          <w:highlight w:val="none"/>
          <w:u w:val="single"/>
        </w:rPr>
        <w:tab/>
      </w:r>
      <w:r>
        <w:rPr>
          <w:rFonts w:hint="eastAsia" w:ascii="仿宋" w:hAnsi="仿宋" w:eastAsia="仿宋" w:cs="仿宋"/>
          <w:bCs/>
          <w:sz w:val="24"/>
          <w:highlight w:val="none"/>
        </w:rPr>
        <w:t>年</w:t>
      </w:r>
      <w:r>
        <w:rPr>
          <w:rFonts w:hint="eastAsia" w:ascii="仿宋" w:hAnsi="仿宋" w:eastAsia="仿宋" w:cs="仿宋"/>
          <w:bCs/>
          <w:sz w:val="24"/>
          <w:highlight w:val="none"/>
          <w:u w:val="single"/>
        </w:rPr>
        <w:tab/>
      </w:r>
      <w:r>
        <w:rPr>
          <w:rFonts w:hint="eastAsia" w:ascii="仿宋" w:hAnsi="仿宋" w:eastAsia="仿宋" w:cs="仿宋"/>
          <w:bCs/>
          <w:sz w:val="24"/>
          <w:highlight w:val="none"/>
        </w:rPr>
        <w:t>月</w:t>
      </w:r>
      <w:r>
        <w:rPr>
          <w:rFonts w:hint="eastAsia" w:ascii="仿宋" w:hAnsi="仿宋" w:eastAsia="仿宋" w:cs="仿宋"/>
          <w:bCs/>
          <w:sz w:val="24"/>
          <w:highlight w:val="none"/>
          <w:u w:val="single"/>
        </w:rPr>
        <w:tab/>
      </w:r>
      <w:r>
        <w:rPr>
          <w:rFonts w:hint="eastAsia" w:ascii="仿宋" w:hAnsi="仿宋" w:eastAsia="仿宋" w:cs="仿宋"/>
          <w:bCs/>
          <w:sz w:val="24"/>
          <w:highlight w:val="none"/>
        </w:rPr>
        <w:t>日</w:t>
      </w:r>
    </w:p>
    <w:p>
      <w:pPr>
        <w:pStyle w:val="8"/>
        <w:spacing w:line="480" w:lineRule="exact"/>
        <w:rPr>
          <w:rFonts w:hint="eastAsia" w:ascii="仿宋" w:hAnsi="仿宋" w:eastAsia="仿宋" w:cs="仿宋"/>
          <w:sz w:val="24"/>
          <w:highlight w:val="none"/>
        </w:rPr>
      </w:pPr>
    </w:p>
    <w:p>
      <w:pPr>
        <w:pStyle w:val="8"/>
        <w:spacing w:line="480" w:lineRule="exact"/>
        <w:rPr>
          <w:rFonts w:hint="eastAsia" w:ascii="仿宋" w:hAnsi="仿宋" w:eastAsia="仿宋" w:cs="仿宋"/>
          <w:sz w:val="24"/>
          <w:highlight w:val="none"/>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附表十七：</w:t>
      </w:r>
      <w:r>
        <w:rPr>
          <w:rFonts w:hint="eastAsia" w:ascii="仿宋" w:hAnsi="仿宋" w:eastAsia="仿宋" w:cs="仿宋"/>
          <w:bCs/>
          <w:color w:val="000000" w:themeColor="text1"/>
          <w:sz w:val="28"/>
          <w:szCs w:val="28"/>
          <w:highlight w:val="none"/>
          <w14:textFill>
            <w14:solidFill>
              <w14:schemeClr w14:val="tx1"/>
            </w14:solidFill>
          </w14:textFill>
        </w:rPr>
        <w:t>所投产品彩页及详细描述</w:t>
      </w:r>
      <w:r>
        <w:rPr>
          <w:rFonts w:hint="eastAsia" w:ascii="仿宋" w:hAnsi="仿宋" w:eastAsia="仿宋" w:cs="仿宋"/>
          <w:bCs/>
          <w:color w:val="000000" w:themeColor="text1"/>
          <w:sz w:val="28"/>
          <w:szCs w:val="28"/>
          <w:highlight w:val="none"/>
          <w:lang w:eastAsia="zh-CN"/>
          <w14:textFill>
            <w14:solidFill>
              <w14:schemeClr w14:val="tx1"/>
            </w14:solidFill>
          </w14:textFill>
        </w:rPr>
        <w:t>（进口设备需提供厂家授权）</w:t>
      </w: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附表十八：</w:t>
      </w:r>
      <w:r>
        <w:rPr>
          <w:rFonts w:hint="eastAsia" w:ascii="仿宋" w:hAnsi="仿宋" w:eastAsia="仿宋" w:cs="仿宋"/>
          <w:bCs/>
          <w:color w:val="000000" w:themeColor="text1"/>
          <w:sz w:val="28"/>
          <w:szCs w:val="28"/>
          <w:highlight w:val="none"/>
          <w14:textFill>
            <w14:solidFill>
              <w14:schemeClr w14:val="tx1"/>
            </w14:solidFill>
          </w14:textFill>
        </w:rPr>
        <w:t>售后服务方案（包含但不限于安装方案，安装进度、售后服务、应急响应、培训方案）</w:t>
      </w:r>
    </w:p>
    <w:p>
      <w:pPr>
        <w:pStyle w:val="18"/>
        <w:rPr>
          <w:rFonts w:hint="eastAsia" w:ascii="仿宋" w:hAnsi="仿宋" w:eastAsia="仿宋" w:cs="仿宋"/>
          <w:highlight w:val="none"/>
        </w:rPr>
      </w:pP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其它资料（根据招标文件的要求和投标人认为需要提供的资料）：</w:t>
      </w:r>
      <w:bookmarkEnd w:id="155"/>
      <w:bookmarkEnd w:id="156"/>
    </w:p>
    <w:p>
      <w:pPr>
        <w:rPr>
          <w:rFonts w:hint="eastAsia" w:ascii="仿宋" w:hAnsi="仿宋" w:eastAsia="仿宋" w:cs="仿宋"/>
          <w:highlight w:val="none"/>
        </w:rPr>
      </w:pPr>
    </w:p>
    <w:sectPr>
      <w:headerReference r:id="rId17" w:type="default"/>
      <w:footerReference r:id="rId18"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06"/>
        <w:tab w:val="clear" w:pos="4153"/>
        <w:tab w:val="clear" w:pos="8306"/>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Style w:val="26"/>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rPr>
        <w:rStyle w:val="17"/>
      </w:rPr>
    </w:pPr>
    <w:r>
      <w:fldChar w:fldCharType="begin"/>
    </w:r>
    <w:r>
      <w:rPr>
        <w:rStyle w:val="17"/>
      </w:rPr>
      <w:instrText xml:space="preserve">PAGE  </w:instrText>
    </w:r>
    <w:r>
      <w:fldChar w:fldCharType="end"/>
    </w:r>
  </w:p>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ascii="宋体" w:hAnsi="宋体" w:cs="宋体"/>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896E8"/>
    <w:multiLevelType w:val="singleLevel"/>
    <w:tmpl w:val="8FE896E8"/>
    <w:lvl w:ilvl="0" w:tentative="0">
      <w:start w:val="13"/>
      <w:numFmt w:val="chineseCounting"/>
      <w:suff w:val="nothing"/>
      <w:lvlText w:val="（%1）"/>
      <w:lvlJc w:val="left"/>
      <w:rPr>
        <w:rFonts w:hint="eastAsia"/>
      </w:rPr>
    </w:lvl>
  </w:abstractNum>
  <w:abstractNum w:abstractNumId="1">
    <w:nsid w:val="A951D04A"/>
    <w:multiLevelType w:val="singleLevel"/>
    <w:tmpl w:val="A951D04A"/>
    <w:lvl w:ilvl="0" w:tentative="0">
      <w:start w:val="1"/>
      <w:numFmt w:val="decimal"/>
      <w:lvlText w:val="%1."/>
      <w:lvlJc w:val="left"/>
      <w:pPr>
        <w:tabs>
          <w:tab w:val="left" w:pos="312"/>
        </w:tabs>
      </w:pPr>
    </w:lvl>
  </w:abstractNum>
  <w:abstractNum w:abstractNumId="2">
    <w:nsid w:val="AA025836"/>
    <w:multiLevelType w:val="singleLevel"/>
    <w:tmpl w:val="AA025836"/>
    <w:lvl w:ilvl="0" w:tentative="0">
      <w:start w:val="1"/>
      <w:numFmt w:val="decimal"/>
      <w:suff w:val="nothing"/>
      <w:lvlText w:val="%1、"/>
      <w:lvlJc w:val="left"/>
      <w:pPr>
        <w:ind w:left="124"/>
      </w:pPr>
    </w:lvl>
  </w:abstractNum>
  <w:abstractNum w:abstractNumId="3">
    <w:nsid w:val="ABF0344B"/>
    <w:multiLevelType w:val="singleLevel"/>
    <w:tmpl w:val="ABF0344B"/>
    <w:lvl w:ilvl="0" w:tentative="0">
      <w:start w:val="1"/>
      <w:numFmt w:val="decimal"/>
      <w:suff w:val="nothing"/>
      <w:lvlText w:val="%1、"/>
      <w:lvlJc w:val="left"/>
    </w:lvl>
  </w:abstractNum>
  <w:abstractNum w:abstractNumId="4">
    <w:nsid w:val="D1C1271A"/>
    <w:multiLevelType w:val="singleLevel"/>
    <w:tmpl w:val="D1C1271A"/>
    <w:lvl w:ilvl="0" w:tentative="0">
      <w:start w:val="1"/>
      <w:numFmt w:val="decimal"/>
      <w:suff w:val="nothing"/>
      <w:lvlText w:val="%1、"/>
      <w:lvlJc w:val="left"/>
    </w:lvl>
  </w:abstractNum>
  <w:abstractNum w:abstractNumId="5">
    <w:nsid w:val="E356C252"/>
    <w:multiLevelType w:val="singleLevel"/>
    <w:tmpl w:val="E356C252"/>
    <w:lvl w:ilvl="0" w:tentative="0">
      <w:start w:val="1"/>
      <w:numFmt w:val="chineseCounting"/>
      <w:suff w:val="nothing"/>
      <w:lvlText w:val="%1、"/>
      <w:lvlJc w:val="left"/>
      <w:rPr>
        <w:rFonts w:hint="eastAsia"/>
      </w:rPr>
    </w:lvl>
  </w:abstractNum>
  <w:abstractNum w:abstractNumId="6">
    <w:nsid w:val="FFD9988F"/>
    <w:multiLevelType w:val="singleLevel"/>
    <w:tmpl w:val="FFD9988F"/>
    <w:lvl w:ilvl="0" w:tentative="0">
      <w:start w:val="4"/>
      <w:numFmt w:val="chineseCounting"/>
      <w:suff w:val="space"/>
      <w:lvlText w:val="第%1部分"/>
      <w:lvlJc w:val="left"/>
      <w:rPr>
        <w:rFonts w:hint="eastAsia"/>
      </w:rPr>
    </w:lvl>
  </w:abstractNum>
  <w:abstractNum w:abstractNumId="7">
    <w:nsid w:val="00000004"/>
    <w:multiLevelType w:val="singleLevel"/>
    <w:tmpl w:val="00000004"/>
    <w:lvl w:ilvl="0" w:tentative="0">
      <w:start w:val="1"/>
      <w:numFmt w:val="chineseCounting"/>
      <w:suff w:val="nothing"/>
      <w:lvlText w:val="%1、"/>
      <w:lvlJc w:val="left"/>
    </w:lvl>
  </w:abstractNum>
  <w:abstractNum w:abstractNumId="8">
    <w:nsid w:val="16594AC9"/>
    <w:multiLevelType w:val="singleLevel"/>
    <w:tmpl w:val="16594AC9"/>
    <w:lvl w:ilvl="0" w:tentative="0">
      <w:start w:val="1"/>
      <w:numFmt w:val="decimal"/>
      <w:lvlText w:val="%1."/>
      <w:lvlJc w:val="left"/>
      <w:pPr>
        <w:tabs>
          <w:tab w:val="left" w:pos="312"/>
        </w:tabs>
        <w:ind w:left="-60"/>
      </w:pPr>
    </w:lvl>
  </w:abstractNum>
  <w:abstractNum w:abstractNumId="9">
    <w:nsid w:val="22846304"/>
    <w:multiLevelType w:val="multilevel"/>
    <w:tmpl w:val="22846304"/>
    <w:lvl w:ilvl="0" w:tentative="0">
      <w:start w:val="4"/>
      <w:numFmt w:val="lowerLetter"/>
      <w:lvlText w:val="%1)"/>
      <w:lvlJc w:val="left"/>
      <w:pPr>
        <w:tabs>
          <w:tab w:val="left" w:pos="780"/>
        </w:tabs>
        <w:ind w:left="780" w:hanging="360"/>
      </w:pPr>
      <w:rPr>
        <w:rFonts w:hAnsi="宋体"/>
      </w:rPr>
    </w:lvl>
    <w:lvl w:ilvl="1" w:tentative="0">
      <w:start w:val="1"/>
      <w:numFmt w:val="lowerLetter"/>
      <w:lvlText w:val="%2)"/>
      <w:lvlJc w:val="left"/>
      <w:pPr>
        <w:tabs>
          <w:tab w:val="left" w:pos="1260"/>
        </w:tabs>
        <w:ind w:left="1260" w:hanging="420"/>
      </w:pPr>
    </w:lvl>
    <w:lvl w:ilvl="2" w:tentative="0">
      <w:start w:val="1"/>
      <w:numFmt w:val="decimalEnclosedCircle"/>
      <w:lvlText w:val="%3"/>
      <w:lvlJc w:val="left"/>
      <w:pPr>
        <w:tabs>
          <w:tab w:val="left" w:pos="1620"/>
        </w:tabs>
        <w:ind w:left="162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82C1B69"/>
    <w:multiLevelType w:val="singleLevel"/>
    <w:tmpl w:val="382C1B69"/>
    <w:lvl w:ilvl="0" w:tentative="0">
      <w:start w:val="1"/>
      <w:numFmt w:val="decimal"/>
      <w:suff w:val="nothing"/>
      <w:lvlText w:val="%1、"/>
      <w:lvlJc w:val="left"/>
    </w:lvl>
  </w:abstractNum>
  <w:abstractNum w:abstractNumId="11">
    <w:nsid w:val="594A109D"/>
    <w:multiLevelType w:val="singleLevel"/>
    <w:tmpl w:val="594A109D"/>
    <w:lvl w:ilvl="0" w:tentative="0">
      <w:start w:val="1"/>
      <w:numFmt w:val="decimal"/>
      <w:suff w:val="nothing"/>
      <w:lvlText w:val="（%1）"/>
      <w:lvlJc w:val="left"/>
    </w:lvl>
  </w:abstractNum>
  <w:abstractNum w:abstractNumId="12">
    <w:nsid w:val="6C1B1B90"/>
    <w:multiLevelType w:val="multilevel"/>
    <w:tmpl w:val="6C1B1B90"/>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560"/>
        </w:tabs>
        <w:ind w:left="156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0"/>
  </w:num>
  <w:num w:numId="3">
    <w:abstractNumId w:val="8"/>
  </w:num>
  <w:num w:numId="4">
    <w:abstractNumId w:val="11"/>
  </w:num>
  <w:num w:numId="5">
    <w:abstractNumId w:val="4"/>
  </w:num>
  <w:num w:numId="6">
    <w:abstractNumId w:val="6"/>
  </w:num>
  <w:num w:numId="7">
    <w:abstractNumId w:val="10"/>
  </w:num>
  <w:num w:numId="8">
    <w:abstractNumId w:val="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ZjAyNGM2NDQxZWRjZTFhNjUzNmYyMjA0Zjc2MDEifQ=="/>
  </w:docVars>
  <w:rsids>
    <w:rsidRoot w:val="4D304691"/>
    <w:rsid w:val="06F90DC4"/>
    <w:rsid w:val="0B375675"/>
    <w:rsid w:val="17D85364"/>
    <w:rsid w:val="19890C1C"/>
    <w:rsid w:val="1A047D82"/>
    <w:rsid w:val="1E050F34"/>
    <w:rsid w:val="23256A4A"/>
    <w:rsid w:val="2EF02ABD"/>
    <w:rsid w:val="2FAA19D0"/>
    <w:rsid w:val="312E2441"/>
    <w:rsid w:val="33FA172D"/>
    <w:rsid w:val="355F6860"/>
    <w:rsid w:val="364C3C02"/>
    <w:rsid w:val="37C3318F"/>
    <w:rsid w:val="39A51207"/>
    <w:rsid w:val="3EC85EBA"/>
    <w:rsid w:val="439C0C1F"/>
    <w:rsid w:val="458A2F58"/>
    <w:rsid w:val="47455B8D"/>
    <w:rsid w:val="477642CB"/>
    <w:rsid w:val="49F32056"/>
    <w:rsid w:val="4BF73E1D"/>
    <w:rsid w:val="4D304691"/>
    <w:rsid w:val="4DF76A45"/>
    <w:rsid w:val="4F33763A"/>
    <w:rsid w:val="519A0520"/>
    <w:rsid w:val="529933CB"/>
    <w:rsid w:val="531B721F"/>
    <w:rsid w:val="57567DDD"/>
    <w:rsid w:val="57D466C9"/>
    <w:rsid w:val="5BC7063C"/>
    <w:rsid w:val="5CC13B7A"/>
    <w:rsid w:val="5D034902"/>
    <w:rsid w:val="5F8B4E22"/>
    <w:rsid w:val="6105292C"/>
    <w:rsid w:val="6321738F"/>
    <w:rsid w:val="63381C06"/>
    <w:rsid w:val="658020D7"/>
    <w:rsid w:val="6C1865A4"/>
    <w:rsid w:val="6CD04013"/>
    <w:rsid w:val="6CD468B9"/>
    <w:rsid w:val="6D527D69"/>
    <w:rsid w:val="720264EB"/>
    <w:rsid w:val="73BC11A8"/>
    <w:rsid w:val="743513BA"/>
    <w:rsid w:val="76183B60"/>
    <w:rsid w:val="766D6FA0"/>
    <w:rsid w:val="777B1D7A"/>
    <w:rsid w:val="7C390275"/>
    <w:rsid w:val="7D913197"/>
    <w:rsid w:val="7DF26AEA"/>
    <w:rsid w:val="7FFC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400" w:lineRule="atLeast"/>
      <w:jc w:val="center"/>
      <w:outlineLvl w:val="0"/>
    </w:pPr>
    <w:rPr>
      <w:rFonts w:eastAsia="仿宋" w:asciiTheme="minorAscii" w:hAnsiTheme="minorAscii"/>
      <w:b/>
      <w:kern w:val="44"/>
      <w:sz w:val="28"/>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next w:val="1"/>
    <w:qFormat/>
    <w:uiPriority w:val="0"/>
    <w:pPr>
      <w:ind w:firstLine="420"/>
    </w:pPr>
    <w:rPr>
      <w:szCs w:val="20"/>
    </w:rPr>
  </w:style>
  <w:style w:type="paragraph" w:styleId="6">
    <w:name w:val="toa heading"/>
    <w:basedOn w:val="1"/>
    <w:next w:val="1"/>
    <w:qFormat/>
    <w:uiPriority w:val="0"/>
    <w:rPr>
      <w:rFonts w:ascii="Arial" w:hAnsi="Arial"/>
      <w:sz w:val="24"/>
      <w:szCs w:val="20"/>
    </w:rPr>
  </w:style>
  <w:style w:type="paragraph" w:styleId="7">
    <w:name w:val="annotation text"/>
    <w:basedOn w:val="1"/>
    <w:qFormat/>
    <w:uiPriority w:val="0"/>
    <w:pPr>
      <w:jc w:val="left"/>
    </w:pPr>
  </w:style>
  <w:style w:type="paragraph" w:styleId="8">
    <w:name w:val="Body Text"/>
    <w:basedOn w:val="1"/>
    <w:next w:val="1"/>
    <w:semiHidden/>
    <w:qFormat/>
    <w:uiPriority w:val="0"/>
    <w:pPr>
      <w:autoSpaceDE w:val="0"/>
      <w:autoSpaceDN w:val="0"/>
      <w:adjustRightInd w:val="0"/>
      <w:spacing w:line="320" w:lineRule="atLeast"/>
      <w:ind w:firstLine="357"/>
      <w:textAlignment w:val="baseline"/>
    </w:pPr>
    <w:rPr>
      <w:sz w:val="18"/>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line="540" w:lineRule="exact"/>
      <w:ind w:firstLine="720" w:firstLineChars="225"/>
      <w:jc w:val="left"/>
    </w:pPr>
    <w:rPr>
      <w:rFonts w:ascii="仿宋_GB2312" w:eastAsia="仿宋_GB2312"/>
      <w:sz w:val="3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widowControl/>
      <w:spacing w:beforeAutospacing="1" w:afterAutospacing="1"/>
      <w:jc w:val="left"/>
    </w:pPr>
    <w:rPr>
      <w:rFonts w:ascii="宋体" w:hAnsi="宋体" w:cs="宋体"/>
      <w:kern w:val="0"/>
      <w:sz w:val="24"/>
    </w:rPr>
  </w:style>
  <w:style w:type="character" w:styleId="17">
    <w:name w:val="page number"/>
    <w:basedOn w:val="16"/>
    <w:qFormat/>
    <w:uiPriority w:val="0"/>
  </w:style>
  <w:style w:type="paragraph" w:customStyle="1" w:styleId="18">
    <w:name w:val="正文缩进1"/>
    <w:basedOn w:val="1"/>
    <w:qFormat/>
    <w:uiPriority w:val="0"/>
    <w:pPr>
      <w:ind w:firstLine="420" w:firstLineChars="200"/>
    </w:p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Bid_正文"/>
    <w:basedOn w:val="5"/>
    <w:qFormat/>
    <w:uiPriority w:val="0"/>
    <w:pPr>
      <w:spacing w:afterLines="50" w:line="360" w:lineRule="auto"/>
      <w:ind w:firstLine="480" w:firstLineChars="200"/>
    </w:pPr>
    <w:rPr>
      <w:sz w:val="24"/>
    </w:rPr>
  </w:style>
  <w:style w:type="paragraph" w:customStyle="1" w:styleId="21">
    <w:name w:val="_Style 9"/>
    <w:basedOn w:val="1"/>
    <w:qFormat/>
    <w:uiPriority w:val="0"/>
    <w:pPr>
      <w:ind w:firstLine="420" w:firstLineChars="200"/>
    </w:pPr>
  </w:style>
  <w:style w:type="paragraph" w:customStyle="1" w:styleId="22">
    <w:name w:val="缺省文本"/>
    <w:basedOn w:val="1"/>
    <w:qFormat/>
    <w:uiPriority w:val="0"/>
    <w:pPr>
      <w:autoSpaceDE w:val="0"/>
      <w:autoSpaceDN w:val="0"/>
      <w:adjustRightInd w:val="0"/>
      <w:jc w:val="left"/>
    </w:pPr>
    <w:rPr>
      <w:kern w:val="0"/>
      <w:sz w:val="24"/>
      <w:szCs w:val="20"/>
    </w:rPr>
  </w:style>
  <w:style w:type="paragraph" w:customStyle="1" w:styleId="23">
    <w:name w:val="È±Ê¡ÎÄ±¾"/>
    <w:basedOn w:val="1"/>
    <w:qFormat/>
    <w:uiPriority w:val="0"/>
    <w:pPr>
      <w:widowControl/>
      <w:overflowPunct w:val="0"/>
      <w:autoSpaceDE w:val="0"/>
      <w:autoSpaceDN w:val="0"/>
      <w:adjustRightInd w:val="0"/>
      <w:jc w:val="left"/>
      <w:textAlignment w:val="baseline"/>
    </w:pPr>
    <w:rPr>
      <w:kern w:val="0"/>
      <w:sz w:val="24"/>
      <w:szCs w:val="20"/>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customStyle="1" w:styleId="25">
    <w:name w:val="Table Paragraph"/>
    <w:basedOn w:val="1"/>
    <w:qFormat/>
    <w:uiPriority w:val="1"/>
    <w:pPr>
      <w:jc w:val="left"/>
    </w:pPr>
    <w:rPr>
      <w:rFonts w:ascii="Calibri" w:hAnsi="Calibri"/>
      <w:kern w:val="0"/>
      <w:sz w:val="22"/>
      <w:szCs w:val="22"/>
      <w:lang w:eastAsia="en-US"/>
    </w:rPr>
  </w:style>
  <w:style w:type="character" w:customStyle="1" w:styleId="26">
    <w:name w:val="页码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28794</Words>
  <Characters>30918</Characters>
  <Lines>0</Lines>
  <Paragraphs>0</Paragraphs>
  <TotalTime>172</TotalTime>
  <ScaleCrop>false</ScaleCrop>
  <LinksUpToDate>false</LinksUpToDate>
  <CharactersWithSpaces>32069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2021-07-14T07:33:00Z</dcterms:created>
  <dc:creator>阿健</dc:creator>
  <cp:lastModifiedBy>大魔王</cp:lastModifiedBy>
  <cp:lastPrinted>2021-08-04T04:10:00Z</cp:lastPrinted>
  <dcterms:modified xsi:type="dcterms:W3CDTF">2022-07-25T10:29:53Z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9C3FEB506E8B4506A9045A19EC8CA369</vt:lpwstr>
  </property>
</Properties>
</file>