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0"/>
          <w:szCs w:val="22"/>
        </w:rPr>
      </w:pPr>
    </w:p>
    <w:p>
      <w:pPr>
        <w:jc w:val="center"/>
        <w:rPr>
          <w:rFonts w:hint="eastAsia" w:eastAsia="宋体"/>
          <w:b/>
          <w:sz w:val="40"/>
          <w:szCs w:val="22"/>
          <w:lang w:eastAsia="zh-CN"/>
        </w:rPr>
      </w:pPr>
      <w:r>
        <w:rPr>
          <w:rFonts w:hint="eastAsia"/>
          <w:b/>
          <w:sz w:val="40"/>
          <w:szCs w:val="22"/>
          <w:lang w:eastAsia="zh-CN"/>
        </w:rPr>
        <w:t>新疆文物综合信息管理数字资源建设项目（一期）</w:t>
      </w:r>
    </w:p>
    <w:p>
      <w:pPr>
        <w:pStyle w:val="34"/>
        <w:rPr>
          <w:b/>
          <w:color w:val="auto"/>
          <w:sz w:val="40"/>
          <w:szCs w:val="22"/>
        </w:rPr>
      </w:pPr>
    </w:p>
    <w:p>
      <w:pPr>
        <w:pStyle w:val="34"/>
        <w:rPr>
          <w:b/>
          <w:color w:val="auto"/>
          <w:sz w:val="40"/>
          <w:szCs w:val="22"/>
        </w:rPr>
      </w:pPr>
    </w:p>
    <w:p>
      <w:pPr>
        <w:pStyle w:val="34"/>
        <w:rPr>
          <w:b/>
          <w:color w:val="auto"/>
          <w:sz w:val="40"/>
          <w:szCs w:val="22"/>
        </w:rPr>
      </w:pPr>
    </w:p>
    <w:p>
      <w:pPr>
        <w:pStyle w:val="34"/>
        <w:rPr>
          <w:b/>
          <w:color w:val="auto"/>
          <w:sz w:val="40"/>
          <w:szCs w:val="22"/>
        </w:rPr>
      </w:pPr>
    </w:p>
    <w:p>
      <w:pPr>
        <w:spacing w:before="120" w:beforeLines="50"/>
        <w:jc w:val="center"/>
        <w:rPr>
          <w:b/>
          <w:sz w:val="72"/>
          <w:szCs w:val="72"/>
        </w:rPr>
      </w:pPr>
      <w:r>
        <w:rPr>
          <w:rFonts w:hint="eastAsia"/>
          <w:b/>
          <w:sz w:val="72"/>
          <w:szCs w:val="72"/>
        </w:rPr>
        <w:t>招标文件</w:t>
      </w:r>
    </w:p>
    <w:p>
      <w:pPr>
        <w:spacing w:line="400" w:lineRule="exact"/>
        <w:jc w:val="left"/>
        <w:rPr>
          <w:sz w:val="28"/>
          <w:szCs w:val="28"/>
        </w:rPr>
      </w:pPr>
    </w:p>
    <w:p>
      <w:pPr>
        <w:pStyle w:val="13"/>
        <w:ind w:left="0"/>
      </w:pPr>
    </w:p>
    <w:p>
      <w:pPr>
        <w:spacing w:line="400" w:lineRule="exact"/>
        <w:jc w:val="left"/>
        <w:rPr>
          <w:sz w:val="28"/>
          <w:szCs w:val="28"/>
        </w:rPr>
      </w:pPr>
      <w:r>
        <w:rPr>
          <w:rFonts w:hint="eastAsia"/>
          <w:sz w:val="28"/>
          <w:szCs w:val="28"/>
        </w:rPr>
        <w:t>招标人（盖章）：新疆维吾尔自治区文博院</w:t>
      </w:r>
    </w:p>
    <w:p>
      <w:pPr>
        <w:spacing w:line="400" w:lineRule="exact"/>
        <w:jc w:val="left"/>
      </w:pPr>
    </w:p>
    <w:p>
      <w:pPr>
        <w:adjustRightInd w:val="0"/>
        <w:snapToGrid w:val="0"/>
        <w:spacing w:line="480" w:lineRule="auto"/>
        <w:jc w:val="left"/>
        <w:rPr>
          <w:rFonts w:ascii="宋体" w:hAnsi="宋体"/>
          <w:bCs/>
          <w:sz w:val="28"/>
          <w:szCs w:val="28"/>
        </w:rPr>
      </w:pPr>
      <w:r>
        <w:rPr>
          <w:rFonts w:hint="eastAsia" w:ascii="宋体" w:hAnsi="宋体"/>
          <w:bCs/>
          <w:sz w:val="28"/>
          <w:szCs w:val="28"/>
        </w:rPr>
        <w:t>联系人：李博</w:t>
      </w:r>
    </w:p>
    <w:p>
      <w:pPr>
        <w:adjustRightInd w:val="0"/>
        <w:snapToGrid w:val="0"/>
        <w:spacing w:line="480" w:lineRule="auto"/>
        <w:jc w:val="left"/>
        <w:rPr>
          <w:rFonts w:ascii="宋体" w:hAnsi="宋体"/>
          <w:bCs/>
          <w:sz w:val="28"/>
          <w:szCs w:val="28"/>
        </w:rPr>
      </w:pPr>
      <w:r>
        <w:rPr>
          <w:rFonts w:hint="eastAsia" w:ascii="宋体" w:hAnsi="宋体"/>
          <w:bCs/>
          <w:sz w:val="28"/>
          <w:szCs w:val="28"/>
        </w:rPr>
        <w:t>联系电话：15299180110</w:t>
      </w:r>
    </w:p>
    <w:p>
      <w:pPr>
        <w:adjustRightInd w:val="0"/>
        <w:snapToGrid w:val="0"/>
        <w:spacing w:line="480" w:lineRule="auto"/>
        <w:jc w:val="left"/>
        <w:rPr>
          <w:rFonts w:ascii="宋体" w:hAnsi="宋体"/>
          <w:szCs w:val="28"/>
        </w:rPr>
      </w:pPr>
      <w:r>
        <w:rPr>
          <w:rFonts w:hint="eastAsia" w:ascii="宋体" w:hAnsi="宋体"/>
          <w:bCs/>
          <w:sz w:val="28"/>
          <w:szCs w:val="28"/>
        </w:rPr>
        <w:t>地址：乌鲁木齐市沙依巴克区友好北路</w:t>
      </w:r>
      <w:r>
        <w:rPr>
          <w:rFonts w:ascii="宋体" w:hAnsi="宋体"/>
          <w:bCs/>
          <w:sz w:val="28"/>
          <w:szCs w:val="28"/>
        </w:rPr>
        <w:t>167号</w:t>
      </w:r>
    </w:p>
    <w:p/>
    <w:p/>
    <w:p>
      <w:pPr>
        <w:pStyle w:val="13"/>
      </w:pPr>
    </w:p>
    <w:p>
      <w:pPr>
        <w:ind w:firstLine="344" w:firstLineChars="123"/>
        <w:jc w:val="left"/>
        <w:rPr>
          <w:rFonts w:ascii="宋体" w:hAnsi="宋体"/>
          <w:sz w:val="28"/>
          <w:szCs w:val="28"/>
          <w:u w:val="single"/>
        </w:rPr>
      </w:pPr>
      <w:r>
        <w:rPr>
          <w:rFonts w:hint="eastAsia" w:ascii="宋体" w:hAnsi="宋体"/>
          <w:sz w:val="28"/>
          <w:szCs w:val="28"/>
          <w:u w:val="single"/>
        </w:rPr>
        <w:t xml:space="preserve">                                                           </w:t>
      </w:r>
    </w:p>
    <w:p>
      <w:pPr>
        <w:pStyle w:val="44"/>
        <w:spacing w:line="360" w:lineRule="auto"/>
        <w:rPr>
          <w:rFonts w:ascii="宋体" w:hAnsi="宋体"/>
          <w:color w:val="auto"/>
          <w:sz w:val="28"/>
          <w:szCs w:val="28"/>
          <w:u w:val="single"/>
        </w:rPr>
      </w:pPr>
    </w:p>
    <w:p>
      <w:pPr>
        <w:pStyle w:val="44"/>
        <w:spacing w:line="360" w:lineRule="auto"/>
        <w:rPr>
          <w:rFonts w:ascii="宋体" w:hAnsi="宋体"/>
          <w:color w:val="auto"/>
          <w:sz w:val="28"/>
          <w:szCs w:val="28"/>
          <w:u w:val="single"/>
        </w:rPr>
      </w:pPr>
    </w:p>
    <w:p>
      <w:pPr>
        <w:adjustRightInd w:val="0"/>
        <w:snapToGrid w:val="0"/>
        <w:spacing w:line="480" w:lineRule="auto"/>
        <w:jc w:val="left"/>
        <w:rPr>
          <w:rFonts w:ascii="宋体" w:hAnsi="宋体"/>
          <w:bCs/>
          <w:sz w:val="28"/>
          <w:szCs w:val="28"/>
        </w:rPr>
      </w:pPr>
      <w:r>
        <w:rPr>
          <w:rFonts w:hint="eastAsia" w:ascii="宋体" w:hAnsi="宋体"/>
          <w:bCs/>
          <w:sz w:val="28"/>
          <w:szCs w:val="28"/>
        </w:rPr>
        <w:t>招标代理机构（盖章）：新疆天之源项目管理集团有限公司</w:t>
      </w:r>
    </w:p>
    <w:p>
      <w:pPr>
        <w:adjustRightInd w:val="0"/>
        <w:snapToGrid w:val="0"/>
        <w:spacing w:line="480" w:lineRule="auto"/>
        <w:jc w:val="left"/>
        <w:rPr>
          <w:rFonts w:ascii="宋体" w:hAnsi="宋体"/>
          <w:bCs/>
          <w:sz w:val="28"/>
          <w:szCs w:val="28"/>
        </w:rPr>
      </w:pPr>
      <w:r>
        <w:rPr>
          <w:rFonts w:hint="eastAsia" w:ascii="宋体" w:hAnsi="宋体"/>
          <w:bCs/>
          <w:sz w:val="28"/>
          <w:szCs w:val="28"/>
        </w:rPr>
        <w:t>联系人：李飞</w:t>
      </w:r>
    </w:p>
    <w:p>
      <w:pPr>
        <w:adjustRightInd w:val="0"/>
        <w:snapToGrid w:val="0"/>
        <w:spacing w:line="480" w:lineRule="auto"/>
        <w:jc w:val="left"/>
        <w:rPr>
          <w:rFonts w:ascii="宋体" w:hAnsi="宋体"/>
          <w:bCs/>
          <w:sz w:val="28"/>
          <w:szCs w:val="28"/>
        </w:rPr>
      </w:pPr>
      <w:r>
        <w:rPr>
          <w:rFonts w:hint="eastAsia" w:ascii="宋体" w:hAnsi="宋体"/>
          <w:bCs/>
          <w:sz w:val="28"/>
          <w:szCs w:val="28"/>
        </w:rPr>
        <w:t>联系电话：18699146324</w:t>
      </w:r>
    </w:p>
    <w:p>
      <w:pPr>
        <w:adjustRightInd w:val="0"/>
        <w:snapToGrid w:val="0"/>
        <w:spacing w:line="480" w:lineRule="auto"/>
        <w:jc w:val="left"/>
        <w:rPr>
          <w:sz w:val="28"/>
          <w:szCs w:val="28"/>
        </w:rPr>
      </w:pPr>
      <w:r>
        <w:rPr>
          <w:rFonts w:hint="eastAsia"/>
          <w:sz w:val="28"/>
          <w:szCs w:val="28"/>
        </w:rPr>
        <w:t>地址：乌鲁木齐市水磨沟区龙盛街2799号浙商大厦11楼</w:t>
      </w:r>
    </w:p>
    <w:p/>
    <w:p>
      <w:pPr>
        <w:autoSpaceDE w:val="0"/>
        <w:autoSpaceDN w:val="0"/>
        <w:adjustRightInd w:val="0"/>
        <w:jc w:val="center"/>
        <w:rPr>
          <w:rFonts w:ascii="经典美黑简" w:eastAsia="经典美黑简"/>
          <w:sz w:val="32"/>
          <w:szCs w:val="32"/>
        </w:rPr>
      </w:pPr>
      <w:r>
        <w:rPr>
          <w:rFonts w:hint="eastAsia" w:ascii="经典美黑简" w:eastAsia="经典美黑简"/>
          <w:sz w:val="32"/>
          <w:szCs w:val="32"/>
        </w:rPr>
        <w:t>二</w:t>
      </w:r>
      <w:r>
        <w:rPr>
          <w:rFonts w:hint="eastAsia" w:ascii="经典美黑简" w:hAnsi="宋体"/>
          <w:sz w:val="32"/>
          <w:szCs w:val="32"/>
        </w:rPr>
        <w:t>〇二二</w:t>
      </w:r>
      <w:r>
        <w:rPr>
          <w:rFonts w:hint="eastAsia" w:ascii="经典美黑简" w:eastAsia="经典美黑简"/>
          <w:sz w:val="32"/>
          <w:szCs w:val="32"/>
        </w:rPr>
        <w:t>年</w:t>
      </w:r>
      <w:r>
        <w:rPr>
          <w:rFonts w:hint="eastAsia" w:ascii="经典美黑简" w:eastAsia="经典美黑简"/>
          <w:sz w:val="32"/>
          <w:szCs w:val="32"/>
          <w:lang w:eastAsia="zh-CN"/>
        </w:rPr>
        <w:t>十</w:t>
      </w:r>
      <w:r>
        <w:rPr>
          <w:rFonts w:hint="eastAsia" w:ascii="经典美黑简" w:eastAsia="经典美黑简"/>
          <w:sz w:val="32"/>
          <w:szCs w:val="32"/>
        </w:rPr>
        <w:t>月</w:t>
      </w:r>
    </w:p>
    <w:p>
      <w:pPr>
        <w:pStyle w:val="2"/>
      </w:pPr>
      <w:r>
        <w:br w:type="page"/>
      </w:r>
    </w:p>
    <w:p>
      <w:pPr>
        <w:spacing w:line="400" w:lineRule="exact"/>
        <w:jc w:val="center"/>
        <w:rPr>
          <w:rFonts w:ascii="黑体" w:hAnsi="黑体" w:eastAsia="黑体" w:cs="黑体"/>
          <w:b/>
          <w:sz w:val="36"/>
          <w:szCs w:val="36"/>
        </w:rPr>
      </w:pPr>
    </w:p>
    <w:p>
      <w:pPr>
        <w:adjustRightInd w:val="0"/>
        <w:snapToGrid w:val="0"/>
        <w:jc w:val="center"/>
        <w:rPr>
          <w:rFonts w:ascii="黑体" w:hAnsi="黑体" w:eastAsia="黑体" w:cs="黑体"/>
          <w:b/>
          <w:sz w:val="40"/>
          <w:szCs w:val="40"/>
        </w:rPr>
      </w:pPr>
      <w:r>
        <w:rPr>
          <w:rFonts w:hint="eastAsia" w:ascii="黑体" w:hAnsi="黑体" w:eastAsia="黑体" w:cs="黑体"/>
          <w:b/>
          <w:sz w:val="40"/>
          <w:szCs w:val="40"/>
        </w:rPr>
        <w:t>目   录</w:t>
      </w:r>
    </w:p>
    <w:p>
      <w:pPr>
        <w:pStyle w:val="18"/>
        <w:tabs>
          <w:tab w:val="right" w:leader="dot" w:pos="8730"/>
        </w:tabs>
        <w:rPr>
          <w:rFonts w:ascii="宋体" w:hAnsi="宋体" w:cs="宋体"/>
          <w:sz w:val="22"/>
          <w:szCs w:val="21"/>
        </w:rPr>
      </w:pPr>
      <w:r>
        <w:rPr>
          <w:rFonts w:hint="eastAsia" w:ascii="宋体" w:hAnsi="宋体"/>
        </w:rPr>
        <w:fldChar w:fldCharType="begin"/>
      </w:r>
      <w:r>
        <w:rPr>
          <w:rFonts w:hint="eastAsia" w:ascii="宋体" w:hAnsi="宋体"/>
        </w:rPr>
        <w:instrText xml:space="preserve">TOC \o "1-8" \h \u </w:instrText>
      </w:r>
      <w:r>
        <w:rPr>
          <w:rFonts w:hint="eastAsia" w:ascii="宋体" w:hAnsi="宋体"/>
        </w:rPr>
        <w:fldChar w:fldCharType="separate"/>
      </w:r>
      <w:r>
        <w:fldChar w:fldCharType="begin"/>
      </w:r>
      <w:r>
        <w:instrText xml:space="preserve"> HYPERLINK \l "_Toc25387" </w:instrText>
      </w:r>
      <w:r>
        <w:fldChar w:fldCharType="separate"/>
      </w:r>
      <w:r>
        <w:rPr>
          <w:rFonts w:hint="eastAsia" w:ascii="宋体" w:hAnsi="宋体" w:cs="宋体"/>
          <w:sz w:val="22"/>
          <w:szCs w:val="20"/>
        </w:rPr>
        <w:t>招标公告</w:t>
      </w:r>
      <w:r>
        <w:rPr>
          <w:rFonts w:ascii="宋体" w:hAnsi="宋体" w:cs="宋体"/>
          <w:sz w:val="22"/>
          <w:szCs w:val="21"/>
        </w:rPr>
        <w:tab/>
      </w:r>
      <w:r>
        <w:rPr>
          <w:rFonts w:ascii="宋体" w:hAnsi="宋体" w:cs="宋体"/>
          <w:sz w:val="22"/>
          <w:szCs w:val="21"/>
        </w:rPr>
        <w:fldChar w:fldCharType="begin"/>
      </w:r>
      <w:r>
        <w:rPr>
          <w:rFonts w:ascii="宋体" w:hAnsi="宋体" w:cs="宋体"/>
          <w:sz w:val="22"/>
          <w:szCs w:val="21"/>
        </w:rPr>
        <w:instrText xml:space="preserve"> PAGEREF _Toc25387 \h </w:instrText>
      </w:r>
      <w:r>
        <w:rPr>
          <w:rFonts w:ascii="宋体" w:hAnsi="宋体" w:cs="宋体"/>
          <w:sz w:val="22"/>
          <w:szCs w:val="21"/>
        </w:rPr>
        <w:fldChar w:fldCharType="separate"/>
      </w:r>
      <w:r>
        <w:rPr>
          <w:rFonts w:ascii="宋体" w:hAnsi="宋体" w:cs="宋体"/>
          <w:sz w:val="22"/>
          <w:szCs w:val="21"/>
        </w:rPr>
        <w:t>4</w:t>
      </w:r>
      <w:r>
        <w:rPr>
          <w:rFonts w:ascii="宋体" w:hAnsi="宋体" w:cs="宋体"/>
          <w:sz w:val="22"/>
          <w:szCs w:val="21"/>
        </w:rPr>
        <w:fldChar w:fldCharType="end"/>
      </w:r>
      <w:r>
        <w:rPr>
          <w:rFonts w:ascii="宋体" w:hAnsi="宋体" w:cs="宋体"/>
          <w:sz w:val="22"/>
          <w:szCs w:val="21"/>
        </w:rPr>
        <w:fldChar w:fldCharType="end"/>
      </w:r>
    </w:p>
    <w:p>
      <w:pPr>
        <w:pStyle w:val="18"/>
        <w:tabs>
          <w:tab w:val="right" w:leader="dot" w:pos="8730"/>
        </w:tabs>
        <w:rPr>
          <w:rFonts w:ascii="宋体" w:hAnsi="宋体" w:cs="宋体"/>
          <w:sz w:val="22"/>
          <w:szCs w:val="21"/>
        </w:rPr>
      </w:pPr>
      <w:r>
        <w:fldChar w:fldCharType="begin"/>
      </w:r>
      <w:r>
        <w:instrText xml:space="preserve"> HYPERLINK \l "_Toc22685" </w:instrText>
      </w:r>
      <w:r>
        <w:fldChar w:fldCharType="separate"/>
      </w:r>
      <w:r>
        <w:rPr>
          <w:rFonts w:hint="eastAsia" w:ascii="宋体" w:hAnsi="宋体" w:cs="宋体"/>
          <w:sz w:val="22"/>
          <w:szCs w:val="20"/>
        </w:rPr>
        <w:t>第一章</w:t>
      </w:r>
      <w:r>
        <w:rPr>
          <w:rFonts w:ascii="宋体" w:hAnsi="宋体" w:cs="宋体"/>
          <w:sz w:val="22"/>
          <w:szCs w:val="20"/>
        </w:rPr>
        <w:t xml:space="preserve">  </w:t>
      </w:r>
      <w:r>
        <w:rPr>
          <w:rFonts w:hint="eastAsia" w:ascii="宋体" w:hAnsi="宋体" w:cs="宋体"/>
          <w:sz w:val="22"/>
          <w:szCs w:val="20"/>
        </w:rPr>
        <w:t>投标人须知前附表</w:t>
      </w:r>
      <w:r>
        <w:rPr>
          <w:rFonts w:ascii="宋体" w:hAnsi="宋体" w:cs="宋体"/>
          <w:sz w:val="22"/>
          <w:szCs w:val="21"/>
        </w:rPr>
        <w:tab/>
      </w:r>
      <w:r>
        <w:rPr>
          <w:rFonts w:ascii="宋体" w:hAnsi="宋体" w:cs="宋体"/>
          <w:sz w:val="22"/>
          <w:szCs w:val="21"/>
        </w:rPr>
        <w:fldChar w:fldCharType="begin"/>
      </w:r>
      <w:r>
        <w:rPr>
          <w:rFonts w:ascii="宋体" w:hAnsi="宋体" w:cs="宋体"/>
          <w:sz w:val="22"/>
          <w:szCs w:val="21"/>
        </w:rPr>
        <w:instrText xml:space="preserve"> PAGEREF _Toc22685 \h </w:instrText>
      </w:r>
      <w:r>
        <w:rPr>
          <w:rFonts w:ascii="宋体" w:hAnsi="宋体" w:cs="宋体"/>
          <w:sz w:val="22"/>
          <w:szCs w:val="21"/>
        </w:rPr>
        <w:fldChar w:fldCharType="separate"/>
      </w:r>
      <w:r>
        <w:rPr>
          <w:rFonts w:ascii="宋体" w:hAnsi="宋体" w:cs="宋体"/>
          <w:sz w:val="22"/>
          <w:szCs w:val="21"/>
        </w:rPr>
        <w:t>8</w:t>
      </w:r>
      <w:r>
        <w:rPr>
          <w:rFonts w:ascii="宋体" w:hAnsi="宋体" w:cs="宋体"/>
          <w:sz w:val="22"/>
          <w:szCs w:val="21"/>
        </w:rPr>
        <w:fldChar w:fldCharType="end"/>
      </w:r>
      <w:r>
        <w:rPr>
          <w:rFonts w:ascii="宋体" w:hAnsi="宋体" w:cs="宋体"/>
          <w:sz w:val="22"/>
          <w:szCs w:val="21"/>
        </w:rPr>
        <w:fldChar w:fldCharType="end"/>
      </w:r>
    </w:p>
    <w:p>
      <w:pPr>
        <w:pStyle w:val="18"/>
        <w:tabs>
          <w:tab w:val="right" w:leader="dot" w:pos="8730"/>
        </w:tabs>
        <w:rPr>
          <w:rFonts w:ascii="宋体" w:hAnsi="宋体" w:cs="宋体"/>
          <w:sz w:val="22"/>
          <w:szCs w:val="21"/>
        </w:rPr>
      </w:pPr>
      <w:r>
        <w:fldChar w:fldCharType="begin"/>
      </w:r>
      <w:r>
        <w:instrText xml:space="preserve"> HYPERLINK \l "_Toc5683" </w:instrText>
      </w:r>
      <w:r>
        <w:fldChar w:fldCharType="separate"/>
      </w:r>
      <w:r>
        <w:rPr>
          <w:rFonts w:hint="eastAsia" w:ascii="宋体" w:hAnsi="宋体" w:cs="宋体"/>
          <w:sz w:val="22"/>
          <w:szCs w:val="20"/>
        </w:rPr>
        <w:t>第二章</w:t>
      </w:r>
      <w:r>
        <w:rPr>
          <w:rFonts w:ascii="宋体" w:hAnsi="宋体" w:cs="宋体"/>
          <w:sz w:val="22"/>
          <w:szCs w:val="20"/>
        </w:rPr>
        <w:t xml:space="preserve">  </w:t>
      </w:r>
      <w:r>
        <w:rPr>
          <w:rFonts w:hint="eastAsia" w:ascii="宋体" w:hAnsi="宋体" w:cs="宋体"/>
          <w:sz w:val="22"/>
          <w:szCs w:val="20"/>
        </w:rPr>
        <w:t>投标须知</w:t>
      </w:r>
      <w:r>
        <w:rPr>
          <w:rFonts w:ascii="宋体" w:hAnsi="宋体" w:cs="宋体"/>
          <w:sz w:val="22"/>
          <w:szCs w:val="21"/>
        </w:rPr>
        <w:tab/>
      </w:r>
      <w:r>
        <w:rPr>
          <w:rFonts w:ascii="宋体" w:hAnsi="宋体" w:cs="宋体"/>
          <w:sz w:val="22"/>
          <w:szCs w:val="21"/>
        </w:rPr>
        <w:fldChar w:fldCharType="begin"/>
      </w:r>
      <w:r>
        <w:rPr>
          <w:rFonts w:ascii="宋体" w:hAnsi="宋体" w:cs="宋体"/>
          <w:sz w:val="22"/>
          <w:szCs w:val="21"/>
        </w:rPr>
        <w:instrText xml:space="preserve"> PAGEREF _Toc5683 \h </w:instrText>
      </w:r>
      <w:r>
        <w:rPr>
          <w:rFonts w:ascii="宋体" w:hAnsi="宋体" w:cs="宋体"/>
          <w:sz w:val="22"/>
          <w:szCs w:val="21"/>
        </w:rPr>
        <w:fldChar w:fldCharType="separate"/>
      </w:r>
      <w:r>
        <w:rPr>
          <w:rFonts w:ascii="宋体" w:hAnsi="宋体" w:cs="宋体"/>
          <w:sz w:val="22"/>
          <w:szCs w:val="21"/>
        </w:rPr>
        <w:t>13</w:t>
      </w:r>
      <w:r>
        <w:rPr>
          <w:rFonts w:ascii="宋体" w:hAnsi="宋体" w:cs="宋体"/>
          <w:sz w:val="22"/>
          <w:szCs w:val="21"/>
        </w:rPr>
        <w:fldChar w:fldCharType="end"/>
      </w:r>
      <w:r>
        <w:rPr>
          <w:rFonts w:ascii="宋体" w:hAnsi="宋体" w:cs="宋体"/>
          <w:sz w:val="22"/>
          <w:szCs w:val="21"/>
        </w:rPr>
        <w:fldChar w:fldCharType="end"/>
      </w:r>
    </w:p>
    <w:p>
      <w:pPr>
        <w:pStyle w:val="21"/>
        <w:tabs>
          <w:tab w:val="right" w:leader="dot" w:pos="8730"/>
        </w:tabs>
        <w:ind w:left="420"/>
        <w:rPr>
          <w:rFonts w:ascii="宋体" w:hAnsi="宋体" w:eastAsia="宋体" w:cs="宋体"/>
          <w:sz w:val="22"/>
          <w:szCs w:val="21"/>
        </w:rPr>
      </w:pPr>
      <w:r>
        <w:fldChar w:fldCharType="begin"/>
      </w:r>
      <w:r>
        <w:instrText xml:space="preserve"> HYPERLINK \l "_Toc20575" </w:instrText>
      </w:r>
      <w:r>
        <w:fldChar w:fldCharType="separate"/>
      </w:r>
      <w:r>
        <w:rPr>
          <w:rFonts w:hint="eastAsia" w:ascii="宋体" w:hAnsi="宋体" w:eastAsia="宋体" w:cs="宋体"/>
          <w:bCs/>
          <w:sz w:val="22"/>
          <w:szCs w:val="21"/>
        </w:rPr>
        <w:t>（一）投标人须知</w:t>
      </w:r>
      <w:r>
        <w:rPr>
          <w:rFonts w:ascii="宋体" w:hAnsi="宋体" w:eastAsia="宋体" w:cs="宋体"/>
          <w:sz w:val="22"/>
          <w:szCs w:val="21"/>
        </w:rPr>
        <w:tab/>
      </w:r>
      <w:r>
        <w:rPr>
          <w:rFonts w:ascii="宋体" w:hAnsi="宋体" w:eastAsia="宋体" w:cs="宋体"/>
          <w:sz w:val="22"/>
          <w:szCs w:val="21"/>
        </w:rPr>
        <w:fldChar w:fldCharType="begin"/>
      </w:r>
      <w:r>
        <w:rPr>
          <w:rFonts w:ascii="宋体" w:hAnsi="宋体" w:eastAsia="宋体" w:cs="宋体"/>
          <w:sz w:val="22"/>
          <w:szCs w:val="21"/>
        </w:rPr>
        <w:instrText xml:space="preserve"> PAGEREF _Toc20575 \h </w:instrText>
      </w:r>
      <w:r>
        <w:rPr>
          <w:rFonts w:ascii="宋体" w:hAnsi="宋体" w:eastAsia="宋体" w:cs="宋体"/>
          <w:sz w:val="22"/>
          <w:szCs w:val="21"/>
        </w:rPr>
        <w:fldChar w:fldCharType="separate"/>
      </w:r>
      <w:r>
        <w:rPr>
          <w:rFonts w:ascii="宋体" w:hAnsi="宋体" w:eastAsia="宋体" w:cs="宋体"/>
          <w:sz w:val="22"/>
          <w:szCs w:val="21"/>
        </w:rPr>
        <w:t>13</w:t>
      </w:r>
      <w:r>
        <w:rPr>
          <w:rFonts w:ascii="宋体" w:hAnsi="宋体" w:eastAsia="宋体" w:cs="宋体"/>
          <w:sz w:val="22"/>
          <w:szCs w:val="21"/>
        </w:rPr>
        <w:fldChar w:fldCharType="end"/>
      </w:r>
      <w:r>
        <w:rPr>
          <w:rFonts w:ascii="宋体" w:hAnsi="宋体" w:eastAsia="宋体" w:cs="宋体"/>
          <w:sz w:val="22"/>
          <w:szCs w:val="21"/>
        </w:rPr>
        <w:fldChar w:fldCharType="end"/>
      </w:r>
    </w:p>
    <w:p>
      <w:pPr>
        <w:pStyle w:val="21"/>
        <w:tabs>
          <w:tab w:val="right" w:leader="dot" w:pos="8730"/>
        </w:tabs>
        <w:ind w:left="420"/>
        <w:rPr>
          <w:rFonts w:ascii="宋体" w:hAnsi="宋体" w:eastAsia="宋体" w:cs="宋体"/>
          <w:sz w:val="22"/>
          <w:szCs w:val="21"/>
        </w:rPr>
      </w:pPr>
      <w:r>
        <w:fldChar w:fldCharType="begin"/>
      </w:r>
      <w:r>
        <w:instrText xml:space="preserve"> HYPERLINK \l "_Toc8963" </w:instrText>
      </w:r>
      <w:r>
        <w:fldChar w:fldCharType="separate"/>
      </w:r>
      <w:r>
        <w:rPr>
          <w:rFonts w:hint="eastAsia" w:ascii="宋体" w:hAnsi="宋体" w:eastAsia="宋体" w:cs="宋体"/>
          <w:bCs/>
          <w:sz w:val="22"/>
          <w:szCs w:val="21"/>
        </w:rPr>
        <w:t>（二）《招标文件》</w:t>
      </w:r>
      <w:r>
        <w:rPr>
          <w:rFonts w:ascii="宋体" w:hAnsi="宋体" w:eastAsia="宋体" w:cs="宋体"/>
          <w:sz w:val="22"/>
          <w:szCs w:val="21"/>
        </w:rPr>
        <w:tab/>
      </w:r>
      <w:r>
        <w:rPr>
          <w:rFonts w:ascii="宋体" w:hAnsi="宋体" w:eastAsia="宋体" w:cs="宋体"/>
          <w:sz w:val="22"/>
          <w:szCs w:val="21"/>
        </w:rPr>
        <w:fldChar w:fldCharType="begin"/>
      </w:r>
      <w:r>
        <w:rPr>
          <w:rFonts w:ascii="宋体" w:hAnsi="宋体" w:eastAsia="宋体" w:cs="宋体"/>
          <w:sz w:val="22"/>
          <w:szCs w:val="21"/>
        </w:rPr>
        <w:instrText xml:space="preserve"> PAGEREF _Toc8963 \h </w:instrText>
      </w:r>
      <w:r>
        <w:rPr>
          <w:rFonts w:ascii="宋体" w:hAnsi="宋体" w:eastAsia="宋体" w:cs="宋体"/>
          <w:sz w:val="22"/>
          <w:szCs w:val="21"/>
        </w:rPr>
        <w:fldChar w:fldCharType="separate"/>
      </w:r>
      <w:r>
        <w:rPr>
          <w:rFonts w:ascii="宋体" w:hAnsi="宋体" w:eastAsia="宋体" w:cs="宋体"/>
          <w:sz w:val="22"/>
          <w:szCs w:val="21"/>
        </w:rPr>
        <w:t>15</w:t>
      </w:r>
      <w:r>
        <w:rPr>
          <w:rFonts w:ascii="宋体" w:hAnsi="宋体" w:eastAsia="宋体" w:cs="宋体"/>
          <w:sz w:val="22"/>
          <w:szCs w:val="21"/>
        </w:rPr>
        <w:fldChar w:fldCharType="end"/>
      </w:r>
      <w:r>
        <w:rPr>
          <w:rFonts w:ascii="宋体" w:hAnsi="宋体" w:eastAsia="宋体" w:cs="宋体"/>
          <w:sz w:val="22"/>
          <w:szCs w:val="21"/>
        </w:rPr>
        <w:fldChar w:fldCharType="end"/>
      </w:r>
    </w:p>
    <w:p>
      <w:pPr>
        <w:pStyle w:val="21"/>
        <w:tabs>
          <w:tab w:val="right" w:leader="dot" w:pos="8730"/>
        </w:tabs>
        <w:ind w:left="420"/>
        <w:rPr>
          <w:rFonts w:ascii="宋体" w:hAnsi="宋体" w:eastAsia="宋体" w:cs="宋体"/>
          <w:sz w:val="22"/>
          <w:szCs w:val="21"/>
        </w:rPr>
      </w:pPr>
      <w:r>
        <w:fldChar w:fldCharType="begin"/>
      </w:r>
      <w:r>
        <w:instrText xml:space="preserve"> HYPERLINK \l "_Toc22995" </w:instrText>
      </w:r>
      <w:r>
        <w:fldChar w:fldCharType="separate"/>
      </w:r>
      <w:r>
        <w:rPr>
          <w:rFonts w:hint="eastAsia" w:ascii="宋体" w:hAnsi="宋体" w:eastAsia="宋体" w:cs="宋体"/>
          <w:sz w:val="22"/>
          <w:szCs w:val="21"/>
        </w:rPr>
        <w:t>（三）《投标文件》的编制</w:t>
      </w:r>
      <w:r>
        <w:rPr>
          <w:rFonts w:ascii="宋体" w:hAnsi="宋体" w:eastAsia="宋体" w:cs="宋体"/>
          <w:sz w:val="22"/>
          <w:szCs w:val="21"/>
        </w:rPr>
        <w:tab/>
      </w:r>
      <w:r>
        <w:rPr>
          <w:rFonts w:ascii="宋体" w:hAnsi="宋体" w:eastAsia="宋体" w:cs="宋体"/>
          <w:sz w:val="22"/>
          <w:szCs w:val="21"/>
        </w:rPr>
        <w:fldChar w:fldCharType="begin"/>
      </w:r>
      <w:r>
        <w:rPr>
          <w:rFonts w:ascii="宋体" w:hAnsi="宋体" w:eastAsia="宋体" w:cs="宋体"/>
          <w:sz w:val="22"/>
          <w:szCs w:val="21"/>
        </w:rPr>
        <w:instrText xml:space="preserve"> PAGEREF _Toc22995 \h </w:instrText>
      </w:r>
      <w:r>
        <w:rPr>
          <w:rFonts w:ascii="宋体" w:hAnsi="宋体" w:eastAsia="宋体" w:cs="宋体"/>
          <w:sz w:val="22"/>
          <w:szCs w:val="21"/>
        </w:rPr>
        <w:fldChar w:fldCharType="separate"/>
      </w:r>
      <w:r>
        <w:rPr>
          <w:rFonts w:ascii="宋体" w:hAnsi="宋体" w:eastAsia="宋体" w:cs="宋体"/>
          <w:sz w:val="22"/>
          <w:szCs w:val="21"/>
        </w:rPr>
        <w:t>16</w:t>
      </w:r>
      <w:r>
        <w:rPr>
          <w:rFonts w:ascii="宋体" w:hAnsi="宋体" w:eastAsia="宋体" w:cs="宋体"/>
          <w:sz w:val="22"/>
          <w:szCs w:val="21"/>
        </w:rPr>
        <w:fldChar w:fldCharType="end"/>
      </w:r>
      <w:r>
        <w:rPr>
          <w:rFonts w:ascii="宋体" w:hAnsi="宋体" w:eastAsia="宋体" w:cs="宋体"/>
          <w:sz w:val="22"/>
          <w:szCs w:val="21"/>
        </w:rPr>
        <w:fldChar w:fldCharType="end"/>
      </w:r>
    </w:p>
    <w:p>
      <w:pPr>
        <w:pStyle w:val="21"/>
        <w:tabs>
          <w:tab w:val="right" w:leader="dot" w:pos="8730"/>
        </w:tabs>
        <w:ind w:left="420"/>
        <w:rPr>
          <w:rFonts w:ascii="宋体" w:hAnsi="宋体" w:eastAsia="宋体" w:cs="宋体"/>
          <w:sz w:val="22"/>
          <w:szCs w:val="21"/>
        </w:rPr>
      </w:pPr>
      <w:r>
        <w:fldChar w:fldCharType="begin"/>
      </w:r>
      <w:r>
        <w:instrText xml:space="preserve"> HYPERLINK \l "_Toc21152" </w:instrText>
      </w:r>
      <w:r>
        <w:fldChar w:fldCharType="separate"/>
      </w:r>
      <w:r>
        <w:rPr>
          <w:rFonts w:hint="eastAsia" w:ascii="宋体" w:hAnsi="宋体" w:eastAsia="宋体" w:cs="宋体"/>
          <w:sz w:val="22"/>
          <w:szCs w:val="21"/>
        </w:rPr>
        <w:t>（四）投标文件的提交及相关事项</w:t>
      </w:r>
      <w:r>
        <w:rPr>
          <w:rFonts w:ascii="宋体" w:hAnsi="宋体" w:eastAsia="宋体" w:cs="宋体"/>
          <w:sz w:val="22"/>
          <w:szCs w:val="21"/>
        </w:rPr>
        <w:tab/>
      </w:r>
      <w:r>
        <w:rPr>
          <w:rFonts w:ascii="宋体" w:hAnsi="宋体" w:eastAsia="宋体" w:cs="宋体"/>
          <w:sz w:val="22"/>
          <w:szCs w:val="21"/>
        </w:rPr>
        <w:fldChar w:fldCharType="begin"/>
      </w:r>
      <w:r>
        <w:rPr>
          <w:rFonts w:ascii="宋体" w:hAnsi="宋体" w:eastAsia="宋体" w:cs="宋体"/>
          <w:sz w:val="22"/>
          <w:szCs w:val="21"/>
        </w:rPr>
        <w:instrText xml:space="preserve"> PAGEREF _Toc21152 \h </w:instrText>
      </w:r>
      <w:r>
        <w:rPr>
          <w:rFonts w:ascii="宋体" w:hAnsi="宋体" w:eastAsia="宋体" w:cs="宋体"/>
          <w:sz w:val="22"/>
          <w:szCs w:val="21"/>
        </w:rPr>
        <w:fldChar w:fldCharType="separate"/>
      </w:r>
      <w:r>
        <w:rPr>
          <w:rFonts w:ascii="宋体" w:hAnsi="宋体" w:eastAsia="宋体" w:cs="宋体"/>
          <w:sz w:val="22"/>
          <w:szCs w:val="21"/>
        </w:rPr>
        <w:t>20</w:t>
      </w:r>
      <w:r>
        <w:rPr>
          <w:rFonts w:ascii="宋体" w:hAnsi="宋体" w:eastAsia="宋体" w:cs="宋体"/>
          <w:sz w:val="22"/>
          <w:szCs w:val="21"/>
        </w:rPr>
        <w:fldChar w:fldCharType="end"/>
      </w:r>
      <w:r>
        <w:rPr>
          <w:rFonts w:ascii="宋体" w:hAnsi="宋体" w:eastAsia="宋体" w:cs="宋体"/>
          <w:sz w:val="22"/>
          <w:szCs w:val="21"/>
        </w:rPr>
        <w:fldChar w:fldCharType="end"/>
      </w:r>
    </w:p>
    <w:p>
      <w:pPr>
        <w:pStyle w:val="21"/>
        <w:tabs>
          <w:tab w:val="right" w:leader="dot" w:pos="8730"/>
        </w:tabs>
        <w:ind w:left="420"/>
        <w:rPr>
          <w:rFonts w:ascii="宋体" w:hAnsi="宋体" w:eastAsia="宋体" w:cs="宋体"/>
          <w:sz w:val="22"/>
          <w:szCs w:val="21"/>
        </w:rPr>
      </w:pPr>
      <w:r>
        <w:fldChar w:fldCharType="begin"/>
      </w:r>
      <w:r>
        <w:instrText xml:space="preserve"> HYPERLINK \l "_Toc21552" </w:instrText>
      </w:r>
      <w:r>
        <w:fldChar w:fldCharType="separate"/>
      </w:r>
      <w:r>
        <w:rPr>
          <w:rFonts w:hint="eastAsia" w:ascii="宋体" w:hAnsi="宋体" w:eastAsia="宋体" w:cs="宋体"/>
          <w:sz w:val="22"/>
          <w:szCs w:val="21"/>
        </w:rPr>
        <w:t>（五）招标</w:t>
      </w:r>
      <w:r>
        <w:rPr>
          <w:rFonts w:ascii="宋体" w:hAnsi="宋体" w:eastAsia="宋体" w:cs="宋体"/>
          <w:sz w:val="22"/>
          <w:szCs w:val="21"/>
        </w:rPr>
        <w:tab/>
      </w:r>
      <w:r>
        <w:rPr>
          <w:rFonts w:ascii="宋体" w:hAnsi="宋体" w:eastAsia="宋体" w:cs="宋体"/>
          <w:sz w:val="22"/>
          <w:szCs w:val="21"/>
        </w:rPr>
        <w:fldChar w:fldCharType="begin"/>
      </w:r>
      <w:r>
        <w:rPr>
          <w:rFonts w:ascii="宋体" w:hAnsi="宋体" w:eastAsia="宋体" w:cs="宋体"/>
          <w:sz w:val="22"/>
          <w:szCs w:val="21"/>
        </w:rPr>
        <w:instrText xml:space="preserve"> PAGEREF _Toc21552 \h </w:instrText>
      </w:r>
      <w:r>
        <w:rPr>
          <w:rFonts w:ascii="宋体" w:hAnsi="宋体" w:eastAsia="宋体" w:cs="宋体"/>
          <w:sz w:val="22"/>
          <w:szCs w:val="21"/>
        </w:rPr>
        <w:fldChar w:fldCharType="separate"/>
      </w:r>
      <w:r>
        <w:rPr>
          <w:rFonts w:ascii="宋体" w:hAnsi="宋体" w:eastAsia="宋体" w:cs="宋体"/>
          <w:sz w:val="22"/>
          <w:szCs w:val="21"/>
        </w:rPr>
        <w:t>21</w:t>
      </w:r>
      <w:r>
        <w:rPr>
          <w:rFonts w:ascii="宋体" w:hAnsi="宋体" w:eastAsia="宋体" w:cs="宋体"/>
          <w:sz w:val="22"/>
          <w:szCs w:val="21"/>
        </w:rPr>
        <w:fldChar w:fldCharType="end"/>
      </w:r>
      <w:r>
        <w:rPr>
          <w:rFonts w:ascii="宋体" w:hAnsi="宋体" w:eastAsia="宋体" w:cs="宋体"/>
          <w:sz w:val="22"/>
          <w:szCs w:val="21"/>
        </w:rPr>
        <w:fldChar w:fldCharType="end"/>
      </w:r>
    </w:p>
    <w:p>
      <w:pPr>
        <w:pStyle w:val="21"/>
        <w:tabs>
          <w:tab w:val="right" w:leader="dot" w:pos="8730"/>
        </w:tabs>
        <w:ind w:left="420"/>
        <w:rPr>
          <w:rFonts w:ascii="宋体" w:hAnsi="宋体" w:eastAsia="宋体" w:cs="宋体"/>
          <w:sz w:val="22"/>
          <w:szCs w:val="21"/>
        </w:rPr>
      </w:pPr>
      <w:r>
        <w:fldChar w:fldCharType="begin"/>
      </w:r>
      <w:r>
        <w:instrText xml:space="preserve"> HYPERLINK \l "_Toc133" </w:instrText>
      </w:r>
      <w:r>
        <w:fldChar w:fldCharType="separate"/>
      </w:r>
      <w:r>
        <w:rPr>
          <w:rFonts w:hint="eastAsia" w:ascii="宋体" w:hAnsi="宋体" w:eastAsia="宋体" w:cs="宋体"/>
          <w:sz w:val="22"/>
          <w:szCs w:val="21"/>
        </w:rPr>
        <w:t>（六）定标</w:t>
      </w:r>
      <w:r>
        <w:rPr>
          <w:rFonts w:ascii="宋体" w:hAnsi="宋体" w:eastAsia="宋体" w:cs="宋体"/>
          <w:sz w:val="22"/>
          <w:szCs w:val="21"/>
        </w:rPr>
        <w:tab/>
      </w:r>
      <w:r>
        <w:rPr>
          <w:rFonts w:ascii="宋体" w:hAnsi="宋体" w:eastAsia="宋体" w:cs="宋体"/>
          <w:sz w:val="22"/>
          <w:szCs w:val="21"/>
        </w:rPr>
        <w:fldChar w:fldCharType="begin"/>
      </w:r>
      <w:r>
        <w:rPr>
          <w:rFonts w:ascii="宋体" w:hAnsi="宋体" w:eastAsia="宋体" w:cs="宋体"/>
          <w:sz w:val="22"/>
          <w:szCs w:val="21"/>
        </w:rPr>
        <w:instrText xml:space="preserve"> PAGEREF _Toc133 \h </w:instrText>
      </w:r>
      <w:r>
        <w:rPr>
          <w:rFonts w:ascii="宋体" w:hAnsi="宋体" w:eastAsia="宋体" w:cs="宋体"/>
          <w:sz w:val="22"/>
          <w:szCs w:val="21"/>
        </w:rPr>
        <w:fldChar w:fldCharType="separate"/>
      </w:r>
      <w:r>
        <w:rPr>
          <w:rFonts w:ascii="宋体" w:hAnsi="宋体" w:eastAsia="宋体" w:cs="宋体"/>
          <w:sz w:val="22"/>
          <w:szCs w:val="21"/>
        </w:rPr>
        <w:t>22</w:t>
      </w:r>
      <w:r>
        <w:rPr>
          <w:rFonts w:ascii="宋体" w:hAnsi="宋体" w:eastAsia="宋体" w:cs="宋体"/>
          <w:sz w:val="22"/>
          <w:szCs w:val="21"/>
        </w:rPr>
        <w:fldChar w:fldCharType="end"/>
      </w:r>
      <w:r>
        <w:rPr>
          <w:rFonts w:ascii="宋体" w:hAnsi="宋体" w:eastAsia="宋体" w:cs="宋体"/>
          <w:sz w:val="22"/>
          <w:szCs w:val="21"/>
        </w:rPr>
        <w:fldChar w:fldCharType="end"/>
      </w:r>
    </w:p>
    <w:p>
      <w:pPr>
        <w:pStyle w:val="21"/>
        <w:tabs>
          <w:tab w:val="right" w:leader="dot" w:pos="8730"/>
        </w:tabs>
        <w:ind w:left="420"/>
        <w:rPr>
          <w:rFonts w:ascii="宋体" w:hAnsi="宋体" w:eastAsia="宋体" w:cs="宋体"/>
          <w:sz w:val="22"/>
          <w:szCs w:val="21"/>
        </w:rPr>
      </w:pPr>
      <w:r>
        <w:fldChar w:fldCharType="begin"/>
      </w:r>
      <w:r>
        <w:instrText xml:space="preserve"> HYPERLINK \l "_Toc18851" </w:instrText>
      </w:r>
      <w:r>
        <w:fldChar w:fldCharType="separate"/>
      </w:r>
      <w:r>
        <w:rPr>
          <w:rFonts w:hint="eastAsia" w:ascii="宋体" w:hAnsi="宋体" w:eastAsia="宋体" w:cs="宋体"/>
          <w:sz w:val="22"/>
          <w:szCs w:val="21"/>
        </w:rPr>
        <w:t>（七）合同签订及履行</w:t>
      </w:r>
      <w:r>
        <w:rPr>
          <w:rFonts w:ascii="宋体" w:hAnsi="宋体" w:eastAsia="宋体" w:cs="宋体"/>
          <w:sz w:val="22"/>
          <w:szCs w:val="21"/>
        </w:rPr>
        <w:tab/>
      </w:r>
      <w:r>
        <w:rPr>
          <w:rFonts w:ascii="宋体" w:hAnsi="宋体" w:eastAsia="宋体" w:cs="宋体"/>
          <w:sz w:val="22"/>
          <w:szCs w:val="21"/>
        </w:rPr>
        <w:fldChar w:fldCharType="begin"/>
      </w:r>
      <w:r>
        <w:rPr>
          <w:rFonts w:ascii="宋体" w:hAnsi="宋体" w:eastAsia="宋体" w:cs="宋体"/>
          <w:sz w:val="22"/>
          <w:szCs w:val="21"/>
        </w:rPr>
        <w:instrText xml:space="preserve"> PAGEREF _Toc18851 \h </w:instrText>
      </w:r>
      <w:r>
        <w:rPr>
          <w:rFonts w:ascii="宋体" w:hAnsi="宋体" w:eastAsia="宋体" w:cs="宋体"/>
          <w:sz w:val="22"/>
          <w:szCs w:val="21"/>
        </w:rPr>
        <w:fldChar w:fldCharType="separate"/>
      </w:r>
      <w:r>
        <w:rPr>
          <w:rFonts w:ascii="宋体" w:hAnsi="宋体" w:eastAsia="宋体" w:cs="宋体"/>
          <w:sz w:val="22"/>
          <w:szCs w:val="21"/>
        </w:rPr>
        <w:t>23</w:t>
      </w:r>
      <w:r>
        <w:rPr>
          <w:rFonts w:ascii="宋体" w:hAnsi="宋体" w:eastAsia="宋体" w:cs="宋体"/>
          <w:sz w:val="22"/>
          <w:szCs w:val="21"/>
        </w:rPr>
        <w:fldChar w:fldCharType="end"/>
      </w:r>
      <w:r>
        <w:rPr>
          <w:rFonts w:ascii="宋体" w:hAnsi="宋体" w:eastAsia="宋体" w:cs="宋体"/>
          <w:sz w:val="22"/>
          <w:szCs w:val="21"/>
        </w:rPr>
        <w:fldChar w:fldCharType="end"/>
      </w:r>
    </w:p>
    <w:p>
      <w:pPr>
        <w:pStyle w:val="21"/>
        <w:tabs>
          <w:tab w:val="right" w:leader="dot" w:pos="8730"/>
        </w:tabs>
        <w:ind w:left="420"/>
        <w:rPr>
          <w:rFonts w:ascii="宋体" w:hAnsi="宋体" w:eastAsia="宋体" w:cs="宋体"/>
          <w:sz w:val="22"/>
          <w:szCs w:val="21"/>
        </w:rPr>
      </w:pPr>
      <w:r>
        <w:fldChar w:fldCharType="begin"/>
      </w:r>
      <w:r>
        <w:instrText xml:space="preserve"> HYPERLINK \l "_Toc8292" </w:instrText>
      </w:r>
      <w:r>
        <w:fldChar w:fldCharType="separate"/>
      </w:r>
      <w:r>
        <w:rPr>
          <w:rFonts w:hint="eastAsia" w:ascii="宋体" w:hAnsi="宋体" w:eastAsia="宋体" w:cs="宋体"/>
          <w:sz w:val="22"/>
          <w:szCs w:val="21"/>
        </w:rPr>
        <w:t>（八）重新招标和不再招标</w:t>
      </w:r>
      <w:r>
        <w:rPr>
          <w:rFonts w:ascii="宋体" w:hAnsi="宋体" w:eastAsia="宋体" w:cs="宋体"/>
          <w:sz w:val="22"/>
          <w:szCs w:val="21"/>
        </w:rPr>
        <w:tab/>
      </w:r>
      <w:r>
        <w:rPr>
          <w:rFonts w:ascii="宋体" w:hAnsi="宋体" w:eastAsia="宋体" w:cs="宋体"/>
          <w:sz w:val="22"/>
          <w:szCs w:val="21"/>
        </w:rPr>
        <w:fldChar w:fldCharType="begin"/>
      </w:r>
      <w:r>
        <w:rPr>
          <w:rFonts w:ascii="宋体" w:hAnsi="宋体" w:eastAsia="宋体" w:cs="宋体"/>
          <w:sz w:val="22"/>
          <w:szCs w:val="21"/>
        </w:rPr>
        <w:instrText xml:space="preserve"> PAGEREF _Toc8292 \h </w:instrText>
      </w:r>
      <w:r>
        <w:rPr>
          <w:rFonts w:ascii="宋体" w:hAnsi="宋体" w:eastAsia="宋体" w:cs="宋体"/>
          <w:sz w:val="22"/>
          <w:szCs w:val="21"/>
        </w:rPr>
        <w:fldChar w:fldCharType="separate"/>
      </w:r>
      <w:r>
        <w:rPr>
          <w:rFonts w:ascii="宋体" w:hAnsi="宋体" w:eastAsia="宋体" w:cs="宋体"/>
          <w:sz w:val="22"/>
          <w:szCs w:val="21"/>
        </w:rPr>
        <w:t>24</w:t>
      </w:r>
      <w:r>
        <w:rPr>
          <w:rFonts w:ascii="宋体" w:hAnsi="宋体" w:eastAsia="宋体" w:cs="宋体"/>
          <w:sz w:val="22"/>
          <w:szCs w:val="21"/>
        </w:rPr>
        <w:fldChar w:fldCharType="end"/>
      </w:r>
      <w:r>
        <w:rPr>
          <w:rFonts w:ascii="宋体" w:hAnsi="宋体" w:eastAsia="宋体" w:cs="宋体"/>
          <w:sz w:val="22"/>
          <w:szCs w:val="21"/>
        </w:rPr>
        <w:fldChar w:fldCharType="end"/>
      </w:r>
    </w:p>
    <w:p>
      <w:pPr>
        <w:pStyle w:val="21"/>
        <w:tabs>
          <w:tab w:val="right" w:leader="dot" w:pos="8730"/>
        </w:tabs>
        <w:ind w:left="420"/>
        <w:rPr>
          <w:rFonts w:ascii="宋体" w:hAnsi="宋体" w:eastAsia="宋体" w:cs="宋体"/>
          <w:sz w:val="22"/>
          <w:szCs w:val="21"/>
        </w:rPr>
      </w:pPr>
      <w:r>
        <w:fldChar w:fldCharType="begin"/>
      </w:r>
      <w:r>
        <w:instrText xml:space="preserve"> HYPERLINK \l "_Toc28801" </w:instrText>
      </w:r>
      <w:r>
        <w:fldChar w:fldCharType="separate"/>
      </w:r>
      <w:r>
        <w:rPr>
          <w:rFonts w:hint="eastAsia" w:ascii="宋体" w:hAnsi="宋体" w:eastAsia="宋体" w:cs="宋体"/>
          <w:sz w:val="22"/>
          <w:szCs w:val="21"/>
        </w:rPr>
        <w:t>（九）纪律和监督</w:t>
      </w:r>
      <w:r>
        <w:rPr>
          <w:rFonts w:ascii="宋体" w:hAnsi="宋体" w:eastAsia="宋体" w:cs="宋体"/>
          <w:sz w:val="22"/>
          <w:szCs w:val="21"/>
        </w:rPr>
        <w:tab/>
      </w:r>
      <w:r>
        <w:rPr>
          <w:rFonts w:ascii="宋体" w:hAnsi="宋体" w:eastAsia="宋体" w:cs="宋体"/>
          <w:sz w:val="22"/>
          <w:szCs w:val="21"/>
        </w:rPr>
        <w:fldChar w:fldCharType="begin"/>
      </w:r>
      <w:r>
        <w:rPr>
          <w:rFonts w:ascii="宋体" w:hAnsi="宋体" w:eastAsia="宋体" w:cs="宋体"/>
          <w:sz w:val="22"/>
          <w:szCs w:val="21"/>
        </w:rPr>
        <w:instrText xml:space="preserve"> PAGEREF _Toc28801 \h </w:instrText>
      </w:r>
      <w:r>
        <w:rPr>
          <w:rFonts w:ascii="宋体" w:hAnsi="宋体" w:eastAsia="宋体" w:cs="宋体"/>
          <w:sz w:val="22"/>
          <w:szCs w:val="21"/>
        </w:rPr>
        <w:fldChar w:fldCharType="separate"/>
      </w:r>
      <w:r>
        <w:rPr>
          <w:rFonts w:ascii="宋体" w:hAnsi="宋体" w:eastAsia="宋体" w:cs="宋体"/>
          <w:sz w:val="22"/>
          <w:szCs w:val="21"/>
        </w:rPr>
        <w:t>25</w:t>
      </w:r>
      <w:r>
        <w:rPr>
          <w:rFonts w:ascii="宋体" w:hAnsi="宋体" w:eastAsia="宋体" w:cs="宋体"/>
          <w:sz w:val="22"/>
          <w:szCs w:val="21"/>
        </w:rPr>
        <w:fldChar w:fldCharType="end"/>
      </w:r>
      <w:r>
        <w:rPr>
          <w:rFonts w:ascii="宋体" w:hAnsi="宋体" w:eastAsia="宋体" w:cs="宋体"/>
          <w:sz w:val="22"/>
          <w:szCs w:val="21"/>
        </w:rPr>
        <w:fldChar w:fldCharType="end"/>
      </w:r>
    </w:p>
    <w:p>
      <w:pPr>
        <w:pStyle w:val="21"/>
        <w:tabs>
          <w:tab w:val="right" w:leader="dot" w:pos="8730"/>
        </w:tabs>
        <w:ind w:left="420"/>
        <w:rPr>
          <w:rFonts w:ascii="宋体" w:hAnsi="宋体" w:eastAsia="宋体" w:cs="宋体"/>
          <w:sz w:val="22"/>
          <w:szCs w:val="21"/>
        </w:rPr>
      </w:pPr>
      <w:r>
        <w:fldChar w:fldCharType="begin"/>
      </w:r>
      <w:r>
        <w:instrText xml:space="preserve"> HYPERLINK \l "_Toc764" </w:instrText>
      </w:r>
      <w:r>
        <w:fldChar w:fldCharType="separate"/>
      </w:r>
      <w:r>
        <w:rPr>
          <w:rFonts w:hint="eastAsia" w:ascii="宋体" w:hAnsi="宋体" w:eastAsia="宋体" w:cs="宋体"/>
          <w:sz w:val="22"/>
          <w:szCs w:val="21"/>
        </w:rPr>
        <w:t>（十）无效投标</w:t>
      </w:r>
      <w:r>
        <w:rPr>
          <w:rFonts w:ascii="宋体" w:hAnsi="宋体" w:eastAsia="宋体" w:cs="宋体"/>
          <w:sz w:val="22"/>
          <w:szCs w:val="21"/>
        </w:rPr>
        <w:tab/>
      </w:r>
      <w:r>
        <w:rPr>
          <w:rFonts w:ascii="宋体" w:hAnsi="宋体" w:eastAsia="宋体" w:cs="宋体"/>
          <w:sz w:val="22"/>
          <w:szCs w:val="21"/>
        </w:rPr>
        <w:fldChar w:fldCharType="begin"/>
      </w:r>
      <w:r>
        <w:rPr>
          <w:rFonts w:ascii="宋体" w:hAnsi="宋体" w:eastAsia="宋体" w:cs="宋体"/>
          <w:sz w:val="22"/>
          <w:szCs w:val="21"/>
        </w:rPr>
        <w:instrText xml:space="preserve"> PAGEREF _Toc764 \h </w:instrText>
      </w:r>
      <w:r>
        <w:rPr>
          <w:rFonts w:ascii="宋体" w:hAnsi="宋体" w:eastAsia="宋体" w:cs="宋体"/>
          <w:sz w:val="22"/>
          <w:szCs w:val="21"/>
        </w:rPr>
        <w:fldChar w:fldCharType="separate"/>
      </w:r>
      <w:r>
        <w:rPr>
          <w:rFonts w:ascii="宋体" w:hAnsi="宋体" w:eastAsia="宋体" w:cs="宋体"/>
          <w:sz w:val="22"/>
          <w:szCs w:val="21"/>
        </w:rPr>
        <w:t>27</w:t>
      </w:r>
      <w:r>
        <w:rPr>
          <w:rFonts w:ascii="宋体" w:hAnsi="宋体" w:eastAsia="宋体" w:cs="宋体"/>
          <w:sz w:val="22"/>
          <w:szCs w:val="21"/>
        </w:rPr>
        <w:fldChar w:fldCharType="end"/>
      </w:r>
      <w:r>
        <w:rPr>
          <w:rFonts w:ascii="宋体" w:hAnsi="宋体" w:eastAsia="宋体" w:cs="宋体"/>
          <w:sz w:val="22"/>
          <w:szCs w:val="21"/>
        </w:rPr>
        <w:fldChar w:fldCharType="end"/>
      </w:r>
    </w:p>
    <w:p>
      <w:pPr>
        <w:pStyle w:val="21"/>
        <w:tabs>
          <w:tab w:val="right" w:leader="dot" w:pos="8730"/>
        </w:tabs>
        <w:ind w:left="420"/>
        <w:rPr>
          <w:rFonts w:ascii="宋体" w:hAnsi="宋体" w:eastAsia="宋体" w:cs="宋体"/>
          <w:sz w:val="22"/>
          <w:szCs w:val="21"/>
        </w:rPr>
      </w:pPr>
      <w:r>
        <w:fldChar w:fldCharType="begin"/>
      </w:r>
      <w:r>
        <w:instrText xml:space="preserve"> HYPERLINK \l "_Toc836" </w:instrText>
      </w:r>
      <w:r>
        <w:fldChar w:fldCharType="separate"/>
      </w:r>
      <w:r>
        <w:rPr>
          <w:rFonts w:hint="eastAsia" w:ascii="宋体" w:hAnsi="宋体" w:eastAsia="宋体" w:cs="宋体"/>
          <w:sz w:val="22"/>
          <w:szCs w:val="21"/>
        </w:rPr>
        <w:t>（十一）废标</w:t>
      </w:r>
      <w:r>
        <w:rPr>
          <w:rFonts w:ascii="宋体" w:hAnsi="宋体" w:eastAsia="宋体" w:cs="宋体"/>
          <w:sz w:val="22"/>
          <w:szCs w:val="21"/>
        </w:rPr>
        <w:tab/>
      </w:r>
      <w:r>
        <w:rPr>
          <w:rFonts w:ascii="宋体" w:hAnsi="宋体" w:eastAsia="宋体" w:cs="宋体"/>
          <w:sz w:val="22"/>
          <w:szCs w:val="21"/>
        </w:rPr>
        <w:fldChar w:fldCharType="begin"/>
      </w:r>
      <w:r>
        <w:rPr>
          <w:rFonts w:ascii="宋体" w:hAnsi="宋体" w:eastAsia="宋体" w:cs="宋体"/>
          <w:sz w:val="22"/>
          <w:szCs w:val="21"/>
        </w:rPr>
        <w:instrText xml:space="preserve"> PAGEREF _Toc836 \h </w:instrText>
      </w:r>
      <w:r>
        <w:rPr>
          <w:rFonts w:ascii="宋体" w:hAnsi="宋体" w:eastAsia="宋体" w:cs="宋体"/>
          <w:sz w:val="22"/>
          <w:szCs w:val="21"/>
        </w:rPr>
        <w:fldChar w:fldCharType="separate"/>
      </w:r>
      <w:r>
        <w:rPr>
          <w:rFonts w:ascii="宋体" w:hAnsi="宋体" w:eastAsia="宋体" w:cs="宋体"/>
          <w:sz w:val="22"/>
          <w:szCs w:val="21"/>
        </w:rPr>
        <w:t>27</w:t>
      </w:r>
      <w:r>
        <w:rPr>
          <w:rFonts w:ascii="宋体" w:hAnsi="宋体" w:eastAsia="宋体" w:cs="宋体"/>
          <w:sz w:val="22"/>
          <w:szCs w:val="21"/>
        </w:rPr>
        <w:fldChar w:fldCharType="end"/>
      </w:r>
      <w:r>
        <w:rPr>
          <w:rFonts w:ascii="宋体" w:hAnsi="宋体" w:eastAsia="宋体" w:cs="宋体"/>
          <w:sz w:val="22"/>
          <w:szCs w:val="21"/>
        </w:rPr>
        <w:fldChar w:fldCharType="end"/>
      </w:r>
    </w:p>
    <w:p>
      <w:pPr>
        <w:pStyle w:val="21"/>
        <w:tabs>
          <w:tab w:val="right" w:leader="dot" w:pos="8730"/>
        </w:tabs>
        <w:ind w:left="420"/>
        <w:rPr>
          <w:rFonts w:ascii="宋体" w:hAnsi="宋体" w:eastAsia="宋体" w:cs="宋体"/>
          <w:sz w:val="22"/>
          <w:szCs w:val="21"/>
        </w:rPr>
      </w:pPr>
      <w:r>
        <w:fldChar w:fldCharType="begin"/>
      </w:r>
      <w:r>
        <w:instrText xml:space="preserve"> HYPERLINK \l "_Toc23217" </w:instrText>
      </w:r>
      <w:r>
        <w:fldChar w:fldCharType="separate"/>
      </w:r>
      <w:r>
        <w:rPr>
          <w:rFonts w:hint="eastAsia" w:ascii="宋体" w:hAnsi="宋体" w:eastAsia="宋体" w:cs="宋体"/>
          <w:sz w:val="22"/>
          <w:szCs w:val="21"/>
        </w:rPr>
        <w:t>（十二）质疑和投诉</w:t>
      </w:r>
      <w:r>
        <w:rPr>
          <w:rFonts w:ascii="宋体" w:hAnsi="宋体" w:eastAsia="宋体" w:cs="宋体"/>
          <w:sz w:val="22"/>
          <w:szCs w:val="21"/>
        </w:rPr>
        <w:tab/>
      </w:r>
      <w:r>
        <w:rPr>
          <w:rFonts w:ascii="宋体" w:hAnsi="宋体" w:eastAsia="宋体" w:cs="宋体"/>
          <w:sz w:val="22"/>
          <w:szCs w:val="21"/>
        </w:rPr>
        <w:fldChar w:fldCharType="begin"/>
      </w:r>
      <w:r>
        <w:rPr>
          <w:rFonts w:ascii="宋体" w:hAnsi="宋体" w:eastAsia="宋体" w:cs="宋体"/>
          <w:sz w:val="22"/>
          <w:szCs w:val="21"/>
        </w:rPr>
        <w:instrText xml:space="preserve"> PAGEREF _Toc23217 \h </w:instrText>
      </w:r>
      <w:r>
        <w:rPr>
          <w:rFonts w:ascii="宋体" w:hAnsi="宋体" w:eastAsia="宋体" w:cs="宋体"/>
          <w:sz w:val="22"/>
          <w:szCs w:val="21"/>
        </w:rPr>
        <w:fldChar w:fldCharType="separate"/>
      </w:r>
      <w:r>
        <w:rPr>
          <w:rFonts w:ascii="宋体" w:hAnsi="宋体" w:eastAsia="宋体" w:cs="宋体"/>
          <w:sz w:val="22"/>
          <w:szCs w:val="21"/>
        </w:rPr>
        <w:t>28</w:t>
      </w:r>
      <w:r>
        <w:rPr>
          <w:rFonts w:ascii="宋体" w:hAnsi="宋体" w:eastAsia="宋体" w:cs="宋体"/>
          <w:sz w:val="22"/>
          <w:szCs w:val="21"/>
        </w:rPr>
        <w:fldChar w:fldCharType="end"/>
      </w:r>
      <w:r>
        <w:rPr>
          <w:rFonts w:ascii="宋体" w:hAnsi="宋体" w:eastAsia="宋体" w:cs="宋体"/>
          <w:sz w:val="22"/>
          <w:szCs w:val="21"/>
        </w:rPr>
        <w:fldChar w:fldCharType="end"/>
      </w:r>
    </w:p>
    <w:p>
      <w:pPr>
        <w:pStyle w:val="18"/>
        <w:tabs>
          <w:tab w:val="right" w:leader="dot" w:pos="8730"/>
        </w:tabs>
        <w:rPr>
          <w:rFonts w:ascii="宋体" w:hAnsi="宋体" w:cs="宋体"/>
          <w:sz w:val="22"/>
          <w:szCs w:val="21"/>
        </w:rPr>
      </w:pPr>
      <w:r>
        <w:fldChar w:fldCharType="begin"/>
      </w:r>
      <w:r>
        <w:instrText xml:space="preserve"> HYPERLINK \l "_Toc3405" </w:instrText>
      </w:r>
      <w:r>
        <w:fldChar w:fldCharType="separate"/>
      </w:r>
      <w:r>
        <w:rPr>
          <w:rFonts w:hint="eastAsia" w:ascii="宋体" w:hAnsi="宋体" w:cs="宋体"/>
          <w:sz w:val="22"/>
          <w:szCs w:val="20"/>
        </w:rPr>
        <w:t>第三章</w:t>
      </w:r>
      <w:r>
        <w:rPr>
          <w:rFonts w:ascii="宋体" w:hAnsi="宋体" w:cs="宋体"/>
          <w:sz w:val="22"/>
          <w:szCs w:val="20"/>
        </w:rPr>
        <w:t xml:space="preserve">  </w:t>
      </w:r>
      <w:r>
        <w:rPr>
          <w:rFonts w:hint="eastAsia" w:ascii="宋体" w:hAnsi="宋体" w:cs="宋体"/>
          <w:sz w:val="22"/>
          <w:szCs w:val="20"/>
        </w:rPr>
        <w:t>评标办法</w:t>
      </w:r>
      <w:r>
        <w:rPr>
          <w:rFonts w:ascii="宋体" w:hAnsi="宋体" w:cs="宋体"/>
          <w:sz w:val="22"/>
          <w:szCs w:val="21"/>
        </w:rPr>
        <w:tab/>
      </w:r>
      <w:r>
        <w:rPr>
          <w:rFonts w:ascii="宋体" w:hAnsi="宋体" w:cs="宋体"/>
          <w:sz w:val="22"/>
          <w:szCs w:val="21"/>
        </w:rPr>
        <w:fldChar w:fldCharType="begin"/>
      </w:r>
      <w:r>
        <w:rPr>
          <w:rFonts w:ascii="宋体" w:hAnsi="宋体" w:cs="宋体"/>
          <w:sz w:val="22"/>
          <w:szCs w:val="21"/>
        </w:rPr>
        <w:instrText xml:space="preserve"> PAGEREF _Toc3405 \h </w:instrText>
      </w:r>
      <w:r>
        <w:rPr>
          <w:rFonts w:ascii="宋体" w:hAnsi="宋体" w:cs="宋体"/>
          <w:sz w:val="22"/>
          <w:szCs w:val="21"/>
        </w:rPr>
        <w:fldChar w:fldCharType="separate"/>
      </w:r>
      <w:r>
        <w:rPr>
          <w:rFonts w:ascii="宋体" w:hAnsi="宋体" w:cs="宋体"/>
          <w:sz w:val="22"/>
          <w:szCs w:val="21"/>
        </w:rPr>
        <w:t>30</w:t>
      </w:r>
      <w:r>
        <w:rPr>
          <w:rFonts w:ascii="宋体" w:hAnsi="宋体" w:cs="宋体"/>
          <w:sz w:val="22"/>
          <w:szCs w:val="21"/>
        </w:rPr>
        <w:fldChar w:fldCharType="end"/>
      </w:r>
      <w:r>
        <w:rPr>
          <w:rFonts w:ascii="宋体" w:hAnsi="宋体" w:cs="宋体"/>
          <w:sz w:val="22"/>
          <w:szCs w:val="21"/>
        </w:rPr>
        <w:fldChar w:fldCharType="end"/>
      </w:r>
    </w:p>
    <w:p>
      <w:pPr>
        <w:pStyle w:val="21"/>
        <w:tabs>
          <w:tab w:val="right" w:leader="dot" w:pos="8730"/>
        </w:tabs>
        <w:ind w:left="420"/>
        <w:rPr>
          <w:rFonts w:ascii="宋体" w:hAnsi="宋体" w:eastAsia="宋体" w:cs="宋体"/>
          <w:sz w:val="22"/>
          <w:szCs w:val="21"/>
        </w:rPr>
      </w:pPr>
      <w:r>
        <w:fldChar w:fldCharType="begin"/>
      </w:r>
      <w:r>
        <w:instrText xml:space="preserve"> HYPERLINK \l "_Toc17858" </w:instrText>
      </w:r>
      <w:r>
        <w:fldChar w:fldCharType="separate"/>
      </w:r>
      <w:r>
        <w:rPr>
          <w:rFonts w:hint="eastAsia" w:ascii="宋体" w:hAnsi="宋体" w:eastAsia="宋体" w:cs="宋体"/>
          <w:bCs/>
          <w:kern w:val="0"/>
          <w:sz w:val="22"/>
          <w:szCs w:val="22"/>
        </w:rPr>
        <w:t>评标及定标原则</w:t>
      </w:r>
      <w:r>
        <w:rPr>
          <w:rFonts w:ascii="宋体" w:hAnsi="宋体" w:eastAsia="宋体" w:cs="宋体"/>
          <w:sz w:val="22"/>
          <w:szCs w:val="21"/>
        </w:rPr>
        <w:tab/>
      </w:r>
      <w:r>
        <w:rPr>
          <w:rFonts w:ascii="宋体" w:hAnsi="宋体" w:eastAsia="宋体" w:cs="宋体"/>
          <w:sz w:val="22"/>
          <w:szCs w:val="21"/>
        </w:rPr>
        <w:fldChar w:fldCharType="begin"/>
      </w:r>
      <w:r>
        <w:rPr>
          <w:rFonts w:ascii="宋体" w:hAnsi="宋体" w:eastAsia="宋体" w:cs="宋体"/>
          <w:sz w:val="22"/>
          <w:szCs w:val="21"/>
        </w:rPr>
        <w:instrText xml:space="preserve"> PAGEREF _Toc17858 \h </w:instrText>
      </w:r>
      <w:r>
        <w:rPr>
          <w:rFonts w:ascii="宋体" w:hAnsi="宋体" w:eastAsia="宋体" w:cs="宋体"/>
          <w:sz w:val="22"/>
          <w:szCs w:val="21"/>
        </w:rPr>
        <w:fldChar w:fldCharType="separate"/>
      </w:r>
      <w:r>
        <w:rPr>
          <w:rFonts w:ascii="宋体" w:hAnsi="宋体" w:eastAsia="宋体" w:cs="宋体"/>
          <w:sz w:val="22"/>
          <w:szCs w:val="21"/>
        </w:rPr>
        <w:t>36</w:t>
      </w:r>
      <w:r>
        <w:rPr>
          <w:rFonts w:ascii="宋体" w:hAnsi="宋体" w:eastAsia="宋体" w:cs="宋体"/>
          <w:sz w:val="22"/>
          <w:szCs w:val="21"/>
        </w:rPr>
        <w:fldChar w:fldCharType="end"/>
      </w:r>
      <w:r>
        <w:rPr>
          <w:rFonts w:ascii="宋体" w:hAnsi="宋体" w:eastAsia="宋体" w:cs="宋体"/>
          <w:sz w:val="22"/>
          <w:szCs w:val="21"/>
        </w:rPr>
        <w:fldChar w:fldCharType="end"/>
      </w:r>
    </w:p>
    <w:p>
      <w:pPr>
        <w:pStyle w:val="18"/>
        <w:tabs>
          <w:tab w:val="right" w:leader="dot" w:pos="8730"/>
        </w:tabs>
        <w:rPr>
          <w:rFonts w:ascii="宋体" w:hAnsi="宋体" w:cs="宋体"/>
          <w:sz w:val="22"/>
          <w:szCs w:val="21"/>
        </w:rPr>
      </w:pPr>
      <w:r>
        <w:fldChar w:fldCharType="begin"/>
      </w:r>
      <w:r>
        <w:instrText xml:space="preserve"> HYPERLINK \l "_Toc31414" </w:instrText>
      </w:r>
      <w:r>
        <w:fldChar w:fldCharType="separate"/>
      </w:r>
      <w:r>
        <w:rPr>
          <w:rFonts w:hint="eastAsia" w:ascii="宋体" w:hAnsi="宋体" w:cs="宋体"/>
          <w:sz w:val="22"/>
          <w:szCs w:val="20"/>
        </w:rPr>
        <w:t>第四章</w:t>
      </w:r>
      <w:r>
        <w:rPr>
          <w:rFonts w:ascii="宋体" w:hAnsi="宋体" w:cs="宋体"/>
          <w:sz w:val="22"/>
          <w:szCs w:val="20"/>
        </w:rPr>
        <w:t xml:space="preserve"> </w:t>
      </w:r>
      <w:r>
        <w:rPr>
          <w:rFonts w:hint="eastAsia" w:ascii="宋体" w:hAnsi="宋体" w:cs="宋体"/>
          <w:sz w:val="22"/>
          <w:szCs w:val="20"/>
        </w:rPr>
        <w:t>招标项目内容及服务需求</w:t>
      </w:r>
      <w:r>
        <w:rPr>
          <w:rFonts w:ascii="宋体" w:hAnsi="宋体" w:cs="宋体"/>
          <w:sz w:val="22"/>
          <w:szCs w:val="21"/>
        </w:rPr>
        <w:tab/>
      </w:r>
      <w:r>
        <w:rPr>
          <w:rFonts w:ascii="宋体" w:hAnsi="宋体" w:cs="宋体"/>
          <w:sz w:val="22"/>
          <w:szCs w:val="21"/>
        </w:rPr>
        <w:fldChar w:fldCharType="begin"/>
      </w:r>
      <w:r>
        <w:rPr>
          <w:rFonts w:ascii="宋体" w:hAnsi="宋体" w:cs="宋体"/>
          <w:sz w:val="22"/>
          <w:szCs w:val="21"/>
        </w:rPr>
        <w:instrText xml:space="preserve"> PAGEREF _Toc31414 \h </w:instrText>
      </w:r>
      <w:r>
        <w:rPr>
          <w:rFonts w:ascii="宋体" w:hAnsi="宋体" w:cs="宋体"/>
          <w:sz w:val="22"/>
          <w:szCs w:val="21"/>
        </w:rPr>
        <w:fldChar w:fldCharType="separate"/>
      </w:r>
      <w:r>
        <w:rPr>
          <w:rFonts w:ascii="宋体" w:hAnsi="宋体" w:cs="宋体"/>
          <w:sz w:val="22"/>
          <w:szCs w:val="21"/>
        </w:rPr>
        <w:t>39</w:t>
      </w:r>
      <w:r>
        <w:rPr>
          <w:rFonts w:ascii="宋体" w:hAnsi="宋体" w:cs="宋体"/>
          <w:sz w:val="22"/>
          <w:szCs w:val="21"/>
        </w:rPr>
        <w:fldChar w:fldCharType="end"/>
      </w:r>
      <w:r>
        <w:rPr>
          <w:rFonts w:ascii="宋体" w:hAnsi="宋体" w:cs="宋体"/>
          <w:sz w:val="22"/>
          <w:szCs w:val="21"/>
        </w:rPr>
        <w:fldChar w:fldCharType="end"/>
      </w:r>
    </w:p>
    <w:p>
      <w:pPr>
        <w:pStyle w:val="21"/>
        <w:tabs>
          <w:tab w:val="right" w:leader="dot" w:pos="8730"/>
        </w:tabs>
        <w:ind w:left="420"/>
        <w:rPr>
          <w:rFonts w:ascii="宋体" w:hAnsi="宋体" w:eastAsia="宋体" w:cs="宋体"/>
          <w:sz w:val="22"/>
          <w:szCs w:val="21"/>
        </w:rPr>
      </w:pPr>
      <w:r>
        <w:fldChar w:fldCharType="begin"/>
      </w:r>
      <w:r>
        <w:instrText xml:space="preserve"> HYPERLINK \l "_Toc4946" </w:instrText>
      </w:r>
      <w:r>
        <w:fldChar w:fldCharType="separate"/>
      </w:r>
      <w:r>
        <w:rPr>
          <w:rFonts w:ascii="宋体" w:hAnsi="宋体" w:eastAsia="宋体" w:cs="宋体"/>
          <w:bCs/>
          <w:sz w:val="22"/>
          <w:szCs w:val="21"/>
        </w:rPr>
        <w:t xml:space="preserve">1、 </w:t>
      </w:r>
      <w:r>
        <w:rPr>
          <w:rFonts w:hint="eastAsia" w:ascii="宋体" w:hAnsi="宋体" w:eastAsia="宋体" w:cs="宋体"/>
          <w:bCs/>
          <w:sz w:val="22"/>
          <w:szCs w:val="21"/>
        </w:rPr>
        <w:t>项目背景</w:t>
      </w:r>
      <w:r>
        <w:rPr>
          <w:rFonts w:ascii="宋体" w:hAnsi="宋体" w:eastAsia="宋体" w:cs="宋体"/>
          <w:sz w:val="22"/>
          <w:szCs w:val="21"/>
        </w:rPr>
        <w:tab/>
      </w:r>
      <w:r>
        <w:rPr>
          <w:rFonts w:ascii="宋体" w:hAnsi="宋体" w:eastAsia="宋体" w:cs="宋体"/>
          <w:sz w:val="22"/>
          <w:szCs w:val="21"/>
        </w:rPr>
        <w:fldChar w:fldCharType="begin"/>
      </w:r>
      <w:r>
        <w:rPr>
          <w:rFonts w:ascii="宋体" w:hAnsi="宋体" w:eastAsia="宋体" w:cs="宋体"/>
          <w:sz w:val="22"/>
          <w:szCs w:val="21"/>
        </w:rPr>
        <w:instrText xml:space="preserve"> PAGEREF _Toc4946 \h </w:instrText>
      </w:r>
      <w:r>
        <w:rPr>
          <w:rFonts w:ascii="宋体" w:hAnsi="宋体" w:eastAsia="宋体" w:cs="宋体"/>
          <w:sz w:val="22"/>
          <w:szCs w:val="21"/>
        </w:rPr>
        <w:fldChar w:fldCharType="separate"/>
      </w:r>
      <w:r>
        <w:rPr>
          <w:rFonts w:ascii="宋体" w:hAnsi="宋体" w:eastAsia="宋体" w:cs="宋体"/>
          <w:sz w:val="22"/>
          <w:szCs w:val="21"/>
        </w:rPr>
        <w:t>39</w:t>
      </w:r>
      <w:r>
        <w:rPr>
          <w:rFonts w:ascii="宋体" w:hAnsi="宋体" w:eastAsia="宋体" w:cs="宋体"/>
          <w:sz w:val="22"/>
          <w:szCs w:val="21"/>
        </w:rPr>
        <w:fldChar w:fldCharType="end"/>
      </w:r>
      <w:r>
        <w:rPr>
          <w:rFonts w:ascii="宋体" w:hAnsi="宋体" w:eastAsia="宋体" w:cs="宋体"/>
          <w:sz w:val="22"/>
          <w:szCs w:val="21"/>
        </w:rPr>
        <w:fldChar w:fldCharType="end"/>
      </w:r>
    </w:p>
    <w:p>
      <w:pPr>
        <w:pStyle w:val="21"/>
        <w:tabs>
          <w:tab w:val="right" w:leader="dot" w:pos="8730"/>
        </w:tabs>
        <w:ind w:left="420"/>
        <w:rPr>
          <w:rFonts w:ascii="宋体" w:hAnsi="宋体" w:eastAsia="宋体" w:cs="宋体"/>
          <w:sz w:val="22"/>
          <w:szCs w:val="21"/>
        </w:rPr>
      </w:pPr>
      <w:r>
        <w:fldChar w:fldCharType="begin"/>
      </w:r>
      <w:r>
        <w:instrText xml:space="preserve"> HYPERLINK \l "_Toc27584" </w:instrText>
      </w:r>
      <w:r>
        <w:fldChar w:fldCharType="separate"/>
      </w:r>
      <w:r>
        <w:rPr>
          <w:rFonts w:ascii="宋体" w:hAnsi="宋体" w:eastAsia="宋体" w:cs="宋体"/>
          <w:bCs/>
          <w:sz w:val="22"/>
          <w:szCs w:val="21"/>
        </w:rPr>
        <w:t xml:space="preserve">2、 </w:t>
      </w:r>
      <w:r>
        <w:rPr>
          <w:rFonts w:hint="eastAsia" w:ascii="宋体" w:hAnsi="宋体" w:eastAsia="宋体" w:cs="宋体"/>
          <w:sz w:val="22"/>
          <w:szCs w:val="21"/>
        </w:rPr>
        <w:t>建设目标</w:t>
      </w:r>
      <w:r>
        <w:rPr>
          <w:rFonts w:ascii="宋体" w:hAnsi="宋体" w:eastAsia="宋体" w:cs="宋体"/>
          <w:sz w:val="22"/>
          <w:szCs w:val="21"/>
        </w:rPr>
        <w:tab/>
      </w:r>
      <w:r>
        <w:rPr>
          <w:rFonts w:ascii="宋体" w:hAnsi="宋体" w:eastAsia="宋体" w:cs="宋体"/>
          <w:sz w:val="22"/>
          <w:szCs w:val="21"/>
        </w:rPr>
        <w:fldChar w:fldCharType="begin"/>
      </w:r>
      <w:r>
        <w:rPr>
          <w:rFonts w:ascii="宋体" w:hAnsi="宋体" w:eastAsia="宋体" w:cs="宋体"/>
          <w:sz w:val="22"/>
          <w:szCs w:val="21"/>
        </w:rPr>
        <w:instrText xml:space="preserve"> PAGEREF _Toc27584 \h </w:instrText>
      </w:r>
      <w:r>
        <w:rPr>
          <w:rFonts w:ascii="宋体" w:hAnsi="宋体" w:eastAsia="宋体" w:cs="宋体"/>
          <w:sz w:val="22"/>
          <w:szCs w:val="21"/>
        </w:rPr>
        <w:fldChar w:fldCharType="separate"/>
      </w:r>
      <w:r>
        <w:rPr>
          <w:rFonts w:ascii="宋体" w:hAnsi="宋体" w:eastAsia="宋体" w:cs="宋体"/>
          <w:sz w:val="22"/>
          <w:szCs w:val="21"/>
        </w:rPr>
        <w:t>39</w:t>
      </w:r>
      <w:r>
        <w:rPr>
          <w:rFonts w:ascii="宋体" w:hAnsi="宋体" w:eastAsia="宋体" w:cs="宋体"/>
          <w:sz w:val="22"/>
          <w:szCs w:val="21"/>
        </w:rPr>
        <w:fldChar w:fldCharType="end"/>
      </w:r>
      <w:r>
        <w:rPr>
          <w:rFonts w:ascii="宋体" w:hAnsi="宋体" w:eastAsia="宋体" w:cs="宋体"/>
          <w:sz w:val="22"/>
          <w:szCs w:val="21"/>
        </w:rPr>
        <w:fldChar w:fldCharType="end"/>
      </w:r>
    </w:p>
    <w:p>
      <w:pPr>
        <w:pStyle w:val="21"/>
        <w:tabs>
          <w:tab w:val="right" w:leader="dot" w:pos="8730"/>
        </w:tabs>
        <w:ind w:left="420"/>
        <w:rPr>
          <w:rFonts w:ascii="宋体" w:hAnsi="宋体" w:eastAsia="宋体" w:cs="宋体"/>
          <w:sz w:val="22"/>
          <w:szCs w:val="21"/>
        </w:rPr>
      </w:pPr>
      <w:r>
        <w:fldChar w:fldCharType="begin"/>
      </w:r>
      <w:r>
        <w:instrText xml:space="preserve"> HYPERLINK \l "_Toc24997" </w:instrText>
      </w:r>
      <w:r>
        <w:fldChar w:fldCharType="separate"/>
      </w:r>
      <w:r>
        <w:rPr>
          <w:rFonts w:ascii="宋体" w:hAnsi="宋体" w:eastAsia="宋体" w:cs="宋体"/>
          <w:bCs/>
          <w:sz w:val="22"/>
          <w:szCs w:val="21"/>
        </w:rPr>
        <w:t xml:space="preserve">3、 </w:t>
      </w:r>
      <w:r>
        <w:rPr>
          <w:rFonts w:hint="eastAsia" w:ascii="宋体" w:hAnsi="宋体" w:eastAsia="宋体" w:cs="宋体"/>
          <w:bCs/>
          <w:sz w:val="22"/>
          <w:szCs w:val="21"/>
        </w:rPr>
        <w:t>建设内容</w:t>
      </w:r>
      <w:r>
        <w:rPr>
          <w:rFonts w:ascii="宋体" w:hAnsi="宋体" w:eastAsia="宋体" w:cs="宋体"/>
          <w:sz w:val="22"/>
          <w:szCs w:val="21"/>
        </w:rPr>
        <w:tab/>
      </w:r>
      <w:r>
        <w:rPr>
          <w:rFonts w:ascii="宋体" w:hAnsi="宋体" w:eastAsia="宋体" w:cs="宋体"/>
          <w:sz w:val="22"/>
          <w:szCs w:val="21"/>
        </w:rPr>
        <w:fldChar w:fldCharType="begin"/>
      </w:r>
      <w:r>
        <w:rPr>
          <w:rFonts w:ascii="宋体" w:hAnsi="宋体" w:eastAsia="宋体" w:cs="宋体"/>
          <w:sz w:val="22"/>
          <w:szCs w:val="21"/>
        </w:rPr>
        <w:instrText xml:space="preserve"> PAGEREF _Toc24997 \h </w:instrText>
      </w:r>
      <w:r>
        <w:rPr>
          <w:rFonts w:ascii="宋体" w:hAnsi="宋体" w:eastAsia="宋体" w:cs="宋体"/>
          <w:sz w:val="22"/>
          <w:szCs w:val="21"/>
        </w:rPr>
        <w:fldChar w:fldCharType="separate"/>
      </w:r>
      <w:r>
        <w:rPr>
          <w:rFonts w:ascii="宋体" w:hAnsi="宋体" w:eastAsia="宋体" w:cs="宋体"/>
          <w:sz w:val="22"/>
          <w:szCs w:val="21"/>
        </w:rPr>
        <w:t>40</w:t>
      </w:r>
      <w:r>
        <w:rPr>
          <w:rFonts w:ascii="宋体" w:hAnsi="宋体" w:eastAsia="宋体" w:cs="宋体"/>
          <w:sz w:val="22"/>
          <w:szCs w:val="21"/>
        </w:rPr>
        <w:fldChar w:fldCharType="end"/>
      </w:r>
      <w:r>
        <w:rPr>
          <w:rFonts w:ascii="宋体" w:hAnsi="宋体" w:eastAsia="宋体" w:cs="宋体"/>
          <w:sz w:val="22"/>
          <w:szCs w:val="21"/>
        </w:rPr>
        <w:fldChar w:fldCharType="end"/>
      </w:r>
    </w:p>
    <w:p>
      <w:pPr>
        <w:pStyle w:val="21"/>
        <w:tabs>
          <w:tab w:val="right" w:leader="dot" w:pos="8730"/>
        </w:tabs>
        <w:ind w:left="420"/>
        <w:rPr>
          <w:rFonts w:ascii="宋体" w:hAnsi="宋体" w:eastAsia="宋体" w:cs="宋体"/>
          <w:sz w:val="22"/>
          <w:szCs w:val="21"/>
        </w:rPr>
      </w:pPr>
      <w:r>
        <w:fldChar w:fldCharType="begin"/>
      </w:r>
      <w:r>
        <w:instrText xml:space="preserve"> HYPERLINK \l "_Toc4252" </w:instrText>
      </w:r>
      <w:r>
        <w:fldChar w:fldCharType="separate"/>
      </w:r>
      <w:r>
        <w:rPr>
          <w:rFonts w:ascii="宋体" w:hAnsi="宋体" w:eastAsia="宋体" w:cs="宋体"/>
          <w:bCs/>
          <w:sz w:val="22"/>
          <w:szCs w:val="21"/>
        </w:rPr>
        <w:t xml:space="preserve">4、 </w:t>
      </w:r>
      <w:r>
        <w:rPr>
          <w:rFonts w:hint="eastAsia" w:ascii="宋体" w:hAnsi="宋体" w:eastAsia="宋体" w:cs="宋体"/>
          <w:bCs/>
          <w:sz w:val="22"/>
          <w:szCs w:val="21"/>
        </w:rPr>
        <w:t>项目建设需求</w:t>
      </w:r>
      <w:r>
        <w:rPr>
          <w:rFonts w:ascii="宋体" w:hAnsi="宋体" w:eastAsia="宋体" w:cs="宋体"/>
          <w:sz w:val="22"/>
          <w:szCs w:val="21"/>
        </w:rPr>
        <w:tab/>
      </w:r>
      <w:r>
        <w:rPr>
          <w:rFonts w:ascii="宋体" w:hAnsi="宋体" w:eastAsia="宋体" w:cs="宋体"/>
          <w:sz w:val="22"/>
          <w:szCs w:val="21"/>
        </w:rPr>
        <w:fldChar w:fldCharType="begin"/>
      </w:r>
      <w:r>
        <w:rPr>
          <w:rFonts w:ascii="宋体" w:hAnsi="宋体" w:eastAsia="宋体" w:cs="宋体"/>
          <w:sz w:val="22"/>
          <w:szCs w:val="21"/>
        </w:rPr>
        <w:instrText xml:space="preserve"> PAGEREF _Toc4252 \h </w:instrText>
      </w:r>
      <w:r>
        <w:rPr>
          <w:rFonts w:ascii="宋体" w:hAnsi="宋体" w:eastAsia="宋体" w:cs="宋体"/>
          <w:sz w:val="22"/>
          <w:szCs w:val="21"/>
        </w:rPr>
        <w:fldChar w:fldCharType="separate"/>
      </w:r>
      <w:r>
        <w:rPr>
          <w:rFonts w:ascii="宋体" w:hAnsi="宋体" w:eastAsia="宋体" w:cs="宋体"/>
          <w:sz w:val="22"/>
          <w:szCs w:val="21"/>
        </w:rPr>
        <w:t>45</w:t>
      </w:r>
      <w:r>
        <w:rPr>
          <w:rFonts w:ascii="宋体" w:hAnsi="宋体" w:eastAsia="宋体" w:cs="宋体"/>
          <w:sz w:val="22"/>
          <w:szCs w:val="21"/>
        </w:rPr>
        <w:fldChar w:fldCharType="end"/>
      </w:r>
      <w:r>
        <w:rPr>
          <w:rFonts w:ascii="宋体" w:hAnsi="宋体" w:eastAsia="宋体" w:cs="宋体"/>
          <w:sz w:val="22"/>
          <w:szCs w:val="21"/>
        </w:rPr>
        <w:fldChar w:fldCharType="end"/>
      </w:r>
    </w:p>
    <w:p>
      <w:pPr>
        <w:pStyle w:val="21"/>
        <w:tabs>
          <w:tab w:val="right" w:leader="dot" w:pos="8730"/>
        </w:tabs>
        <w:ind w:left="420"/>
        <w:rPr>
          <w:rFonts w:ascii="宋体" w:hAnsi="宋体" w:eastAsia="宋体" w:cs="宋体"/>
          <w:sz w:val="22"/>
          <w:szCs w:val="21"/>
        </w:rPr>
      </w:pPr>
      <w:r>
        <w:fldChar w:fldCharType="begin"/>
      </w:r>
      <w:r>
        <w:instrText xml:space="preserve"> HYPERLINK \l "_Toc26420" </w:instrText>
      </w:r>
      <w:r>
        <w:fldChar w:fldCharType="separate"/>
      </w:r>
      <w:r>
        <w:rPr>
          <w:rFonts w:ascii="宋体" w:hAnsi="宋体" w:eastAsia="宋体" w:cs="宋体"/>
          <w:bCs/>
          <w:sz w:val="22"/>
          <w:szCs w:val="21"/>
        </w:rPr>
        <w:t xml:space="preserve">5、 </w:t>
      </w:r>
      <w:r>
        <w:rPr>
          <w:rFonts w:hint="eastAsia" w:ascii="宋体" w:hAnsi="宋体" w:eastAsia="宋体" w:cs="宋体"/>
          <w:bCs/>
          <w:sz w:val="22"/>
          <w:szCs w:val="21"/>
        </w:rPr>
        <w:t>信息共享建设需求</w:t>
      </w:r>
      <w:r>
        <w:rPr>
          <w:rFonts w:ascii="宋体" w:hAnsi="宋体" w:eastAsia="宋体" w:cs="宋体"/>
          <w:sz w:val="22"/>
          <w:szCs w:val="21"/>
        </w:rPr>
        <w:tab/>
      </w:r>
      <w:r>
        <w:rPr>
          <w:rFonts w:ascii="宋体" w:hAnsi="宋体" w:eastAsia="宋体" w:cs="宋体"/>
          <w:sz w:val="22"/>
          <w:szCs w:val="21"/>
        </w:rPr>
        <w:fldChar w:fldCharType="begin"/>
      </w:r>
      <w:r>
        <w:rPr>
          <w:rFonts w:ascii="宋体" w:hAnsi="宋体" w:eastAsia="宋体" w:cs="宋体"/>
          <w:sz w:val="22"/>
          <w:szCs w:val="21"/>
        </w:rPr>
        <w:instrText xml:space="preserve"> PAGEREF _Toc26420 \h </w:instrText>
      </w:r>
      <w:r>
        <w:rPr>
          <w:rFonts w:ascii="宋体" w:hAnsi="宋体" w:eastAsia="宋体" w:cs="宋体"/>
          <w:sz w:val="22"/>
          <w:szCs w:val="21"/>
        </w:rPr>
        <w:fldChar w:fldCharType="separate"/>
      </w:r>
      <w:r>
        <w:rPr>
          <w:rFonts w:ascii="宋体" w:hAnsi="宋体" w:eastAsia="宋体" w:cs="宋体"/>
          <w:sz w:val="22"/>
          <w:szCs w:val="21"/>
        </w:rPr>
        <w:t>45</w:t>
      </w:r>
      <w:r>
        <w:rPr>
          <w:rFonts w:ascii="宋体" w:hAnsi="宋体" w:eastAsia="宋体" w:cs="宋体"/>
          <w:sz w:val="22"/>
          <w:szCs w:val="21"/>
        </w:rPr>
        <w:fldChar w:fldCharType="end"/>
      </w:r>
      <w:r>
        <w:rPr>
          <w:rFonts w:ascii="宋体" w:hAnsi="宋体" w:eastAsia="宋体" w:cs="宋体"/>
          <w:sz w:val="22"/>
          <w:szCs w:val="21"/>
        </w:rPr>
        <w:fldChar w:fldCharType="end"/>
      </w:r>
    </w:p>
    <w:p>
      <w:pPr>
        <w:pStyle w:val="11"/>
        <w:tabs>
          <w:tab w:val="right" w:leader="dot" w:pos="8730"/>
        </w:tabs>
        <w:ind w:left="840"/>
        <w:rPr>
          <w:rFonts w:ascii="宋体" w:hAnsi="宋体" w:eastAsia="宋体" w:cs="宋体"/>
          <w:sz w:val="21"/>
          <w:szCs w:val="21"/>
        </w:rPr>
      </w:pPr>
      <w:r>
        <w:fldChar w:fldCharType="begin"/>
      </w:r>
      <w:r>
        <w:instrText xml:space="preserve"> HYPERLINK \l "_Toc14502" </w:instrText>
      </w:r>
      <w:r>
        <w:fldChar w:fldCharType="separate"/>
      </w:r>
      <w:r>
        <w:rPr>
          <w:rFonts w:ascii="宋体" w:hAnsi="宋体" w:eastAsia="宋体" w:cs="宋体"/>
          <w:bCs/>
          <w:sz w:val="21"/>
          <w:szCs w:val="21"/>
        </w:rPr>
        <w:t xml:space="preserve">5.1、 </w:t>
      </w:r>
      <w:r>
        <w:rPr>
          <w:rFonts w:hint="eastAsia" w:ascii="宋体" w:hAnsi="宋体" w:eastAsia="宋体" w:cs="宋体"/>
          <w:bCs/>
          <w:sz w:val="21"/>
          <w:szCs w:val="21"/>
        </w:rPr>
        <w:t>信息资源共享需求</w:t>
      </w:r>
      <w:r>
        <w:rPr>
          <w:rFonts w:ascii="宋体" w:hAnsi="宋体" w:eastAsia="宋体" w:cs="宋体"/>
          <w:sz w:val="21"/>
          <w:szCs w:val="21"/>
        </w:rPr>
        <w:tab/>
      </w:r>
      <w:r>
        <w:rPr>
          <w:rFonts w:ascii="宋体" w:hAnsi="宋体" w:eastAsia="宋体" w:cs="宋体"/>
          <w:sz w:val="21"/>
          <w:szCs w:val="21"/>
        </w:rPr>
        <w:fldChar w:fldCharType="begin"/>
      </w:r>
      <w:r>
        <w:rPr>
          <w:rFonts w:ascii="宋体" w:hAnsi="宋体" w:eastAsia="宋体" w:cs="宋体"/>
          <w:sz w:val="21"/>
          <w:szCs w:val="21"/>
        </w:rPr>
        <w:instrText xml:space="preserve"> PAGEREF _Toc14502 \h </w:instrText>
      </w:r>
      <w:r>
        <w:rPr>
          <w:rFonts w:ascii="宋体" w:hAnsi="宋体" w:eastAsia="宋体" w:cs="宋体"/>
          <w:sz w:val="21"/>
          <w:szCs w:val="21"/>
        </w:rPr>
        <w:fldChar w:fldCharType="separate"/>
      </w:r>
      <w:r>
        <w:rPr>
          <w:rFonts w:ascii="宋体" w:hAnsi="宋体" w:eastAsia="宋体" w:cs="宋体"/>
          <w:sz w:val="21"/>
          <w:szCs w:val="21"/>
        </w:rPr>
        <w:t>45</w:t>
      </w:r>
      <w:r>
        <w:rPr>
          <w:rFonts w:ascii="宋体" w:hAnsi="宋体" w:eastAsia="宋体" w:cs="宋体"/>
          <w:sz w:val="21"/>
          <w:szCs w:val="21"/>
        </w:rPr>
        <w:fldChar w:fldCharType="end"/>
      </w:r>
      <w:r>
        <w:rPr>
          <w:rFonts w:ascii="宋体" w:hAnsi="宋体" w:eastAsia="宋体" w:cs="宋体"/>
          <w:sz w:val="21"/>
          <w:szCs w:val="21"/>
        </w:rPr>
        <w:fldChar w:fldCharType="end"/>
      </w:r>
    </w:p>
    <w:p>
      <w:pPr>
        <w:pStyle w:val="11"/>
        <w:tabs>
          <w:tab w:val="right" w:leader="dot" w:pos="8730"/>
        </w:tabs>
        <w:ind w:left="840"/>
        <w:rPr>
          <w:rFonts w:ascii="宋体" w:hAnsi="宋体" w:eastAsia="宋体" w:cs="宋体"/>
          <w:sz w:val="21"/>
          <w:szCs w:val="21"/>
        </w:rPr>
      </w:pPr>
      <w:r>
        <w:fldChar w:fldCharType="begin"/>
      </w:r>
      <w:r>
        <w:instrText xml:space="preserve"> HYPERLINK \l "_Toc1423" </w:instrText>
      </w:r>
      <w:r>
        <w:fldChar w:fldCharType="separate"/>
      </w:r>
      <w:r>
        <w:rPr>
          <w:rFonts w:ascii="宋体" w:hAnsi="宋体" w:eastAsia="宋体" w:cs="宋体"/>
          <w:bCs/>
          <w:sz w:val="21"/>
          <w:szCs w:val="21"/>
        </w:rPr>
        <w:t xml:space="preserve">5.2、 </w:t>
      </w:r>
      <w:r>
        <w:rPr>
          <w:rFonts w:hint="eastAsia" w:ascii="宋体" w:hAnsi="宋体" w:eastAsia="宋体" w:cs="宋体"/>
          <w:bCs/>
          <w:sz w:val="21"/>
          <w:szCs w:val="21"/>
        </w:rPr>
        <w:t>信息资源共享方式</w:t>
      </w:r>
      <w:r>
        <w:rPr>
          <w:rFonts w:ascii="宋体" w:hAnsi="宋体" w:eastAsia="宋体" w:cs="宋体"/>
          <w:sz w:val="21"/>
          <w:szCs w:val="21"/>
        </w:rPr>
        <w:tab/>
      </w:r>
      <w:r>
        <w:rPr>
          <w:rFonts w:ascii="宋体" w:hAnsi="宋体" w:eastAsia="宋体" w:cs="宋体"/>
          <w:sz w:val="21"/>
          <w:szCs w:val="21"/>
        </w:rPr>
        <w:fldChar w:fldCharType="begin"/>
      </w:r>
      <w:r>
        <w:rPr>
          <w:rFonts w:ascii="宋体" w:hAnsi="宋体" w:eastAsia="宋体" w:cs="宋体"/>
          <w:sz w:val="21"/>
          <w:szCs w:val="21"/>
        </w:rPr>
        <w:instrText xml:space="preserve"> PAGEREF _Toc1423 \h </w:instrText>
      </w:r>
      <w:r>
        <w:rPr>
          <w:rFonts w:ascii="宋体" w:hAnsi="宋体" w:eastAsia="宋体" w:cs="宋体"/>
          <w:sz w:val="21"/>
          <w:szCs w:val="21"/>
        </w:rPr>
        <w:fldChar w:fldCharType="separate"/>
      </w:r>
      <w:r>
        <w:rPr>
          <w:rFonts w:ascii="宋体" w:hAnsi="宋体" w:eastAsia="宋体" w:cs="宋体"/>
          <w:sz w:val="21"/>
          <w:szCs w:val="21"/>
        </w:rPr>
        <w:t>45</w:t>
      </w:r>
      <w:r>
        <w:rPr>
          <w:rFonts w:ascii="宋体" w:hAnsi="宋体" w:eastAsia="宋体" w:cs="宋体"/>
          <w:sz w:val="21"/>
          <w:szCs w:val="21"/>
        </w:rPr>
        <w:fldChar w:fldCharType="end"/>
      </w:r>
      <w:r>
        <w:rPr>
          <w:rFonts w:ascii="宋体" w:hAnsi="宋体" w:eastAsia="宋体" w:cs="宋体"/>
          <w:sz w:val="21"/>
          <w:szCs w:val="21"/>
        </w:rPr>
        <w:fldChar w:fldCharType="end"/>
      </w:r>
    </w:p>
    <w:p>
      <w:pPr>
        <w:pStyle w:val="11"/>
        <w:tabs>
          <w:tab w:val="right" w:leader="dot" w:pos="8730"/>
        </w:tabs>
        <w:ind w:left="840"/>
        <w:rPr>
          <w:rFonts w:ascii="宋体" w:hAnsi="宋体" w:eastAsia="宋体" w:cs="宋体"/>
          <w:sz w:val="21"/>
          <w:szCs w:val="21"/>
        </w:rPr>
      </w:pPr>
      <w:r>
        <w:fldChar w:fldCharType="begin"/>
      </w:r>
      <w:r>
        <w:instrText xml:space="preserve"> HYPERLINK \l "_Toc22601" </w:instrText>
      </w:r>
      <w:r>
        <w:fldChar w:fldCharType="separate"/>
      </w:r>
      <w:r>
        <w:rPr>
          <w:rFonts w:ascii="宋体" w:hAnsi="宋体" w:eastAsia="宋体" w:cs="宋体"/>
          <w:bCs/>
          <w:sz w:val="21"/>
          <w:szCs w:val="21"/>
        </w:rPr>
        <w:t xml:space="preserve">5.3、 </w:t>
      </w:r>
      <w:r>
        <w:rPr>
          <w:rFonts w:hint="eastAsia" w:ascii="宋体" w:hAnsi="宋体" w:eastAsia="宋体" w:cs="宋体"/>
          <w:bCs/>
          <w:sz w:val="21"/>
          <w:szCs w:val="21"/>
        </w:rPr>
        <w:t>信息资源共享目录及内容</w:t>
      </w:r>
      <w:r>
        <w:rPr>
          <w:rFonts w:ascii="宋体" w:hAnsi="宋体" w:eastAsia="宋体" w:cs="宋体"/>
          <w:sz w:val="21"/>
          <w:szCs w:val="21"/>
        </w:rPr>
        <w:tab/>
      </w:r>
      <w:r>
        <w:rPr>
          <w:rFonts w:ascii="宋体" w:hAnsi="宋体" w:eastAsia="宋体" w:cs="宋体"/>
          <w:sz w:val="21"/>
          <w:szCs w:val="21"/>
        </w:rPr>
        <w:fldChar w:fldCharType="begin"/>
      </w:r>
      <w:r>
        <w:rPr>
          <w:rFonts w:ascii="宋体" w:hAnsi="宋体" w:eastAsia="宋体" w:cs="宋体"/>
          <w:sz w:val="21"/>
          <w:szCs w:val="21"/>
        </w:rPr>
        <w:instrText xml:space="preserve"> PAGEREF _Toc22601 \h </w:instrText>
      </w:r>
      <w:r>
        <w:rPr>
          <w:rFonts w:ascii="宋体" w:hAnsi="宋体" w:eastAsia="宋体" w:cs="宋体"/>
          <w:sz w:val="21"/>
          <w:szCs w:val="21"/>
        </w:rPr>
        <w:fldChar w:fldCharType="separate"/>
      </w:r>
      <w:r>
        <w:rPr>
          <w:rFonts w:ascii="宋体" w:hAnsi="宋体" w:eastAsia="宋体" w:cs="宋体"/>
          <w:sz w:val="21"/>
          <w:szCs w:val="21"/>
        </w:rPr>
        <w:t>46</w:t>
      </w:r>
      <w:r>
        <w:rPr>
          <w:rFonts w:ascii="宋体" w:hAnsi="宋体" w:eastAsia="宋体" w:cs="宋体"/>
          <w:sz w:val="21"/>
          <w:szCs w:val="21"/>
        </w:rPr>
        <w:fldChar w:fldCharType="end"/>
      </w:r>
      <w:r>
        <w:rPr>
          <w:rFonts w:ascii="宋体" w:hAnsi="宋体" w:eastAsia="宋体" w:cs="宋体"/>
          <w:sz w:val="21"/>
          <w:szCs w:val="21"/>
        </w:rPr>
        <w:fldChar w:fldCharType="end"/>
      </w:r>
    </w:p>
    <w:p>
      <w:pPr>
        <w:pStyle w:val="19"/>
        <w:tabs>
          <w:tab w:val="right" w:leader="dot" w:pos="8730"/>
        </w:tabs>
        <w:ind w:left="1260"/>
        <w:rPr>
          <w:rFonts w:ascii="宋体" w:hAnsi="宋体" w:eastAsia="宋体" w:cs="宋体"/>
          <w:sz w:val="21"/>
          <w:szCs w:val="21"/>
        </w:rPr>
      </w:pPr>
      <w:r>
        <w:fldChar w:fldCharType="begin"/>
      </w:r>
      <w:r>
        <w:instrText xml:space="preserve"> HYPERLINK \l "_Toc31782" </w:instrText>
      </w:r>
      <w:r>
        <w:fldChar w:fldCharType="separate"/>
      </w:r>
      <w:r>
        <w:rPr>
          <w:rFonts w:hint="eastAsia" w:ascii="宋体" w:hAnsi="宋体" w:eastAsia="宋体" w:cs="宋体"/>
          <w:sz w:val="21"/>
          <w:szCs w:val="18"/>
        </w:rPr>
        <w:t>文物基础数据汇聚：第三次全国文物普查不可移动文物、对新疆可移动文物的一普数据进行汇聚，</w:t>
      </w:r>
      <w:r>
        <w:rPr>
          <w:rFonts w:ascii="宋体" w:hAnsi="宋体" w:eastAsia="宋体" w:cs="宋体"/>
          <w:sz w:val="21"/>
          <w:szCs w:val="21"/>
        </w:rPr>
        <w:tab/>
      </w:r>
      <w:r>
        <w:rPr>
          <w:rFonts w:ascii="宋体" w:hAnsi="宋体" w:eastAsia="宋体" w:cs="宋体"/>
          <w:sz w:val="21"/>
          <w:szCs w:val="21"/>
        </w:rPr>
        <w:fldChar w:fldCharType="begin"/>
      </w:r>
      <w:r>
        <w:rPr>
          <w:rFonts w:ascii="宋体" w:hAnsi="宋体" w:eastAsia="宋体" w:cs="宋体"/>
          <w:sz w:val="21"/>
          <w:szCs w:val="21"/>
        </w:rPr>
        <w:instrText xml:space="preserve"> PAGEREF _Toc31782 \h </w:instrText>
      </w:r>
      <w:r>
        <w:rPr>
          <w:rFonts w:ascii="宋体" w:hAnsi="宋体" w:eastAsia="宋体" w:cs="宋体"/>
          <w:sz w:val="21"/>
          <w:szCs w:val="21"/>
        </w:rPr>
        <w:fldChar w:fldCharType="separate"/>
      </w:r>
      <w:r>
        <w:rPr>
          <w:rFonts w:ascii="宋体" w:hAnsi="宋体" w:eastAsia="宋体" w:cs="宋体"/>
          <w:sz w:val="21"/>
          <w:szCs w:val="21"/>
        </w:rPr>
        <w:t>46</w:t>
      </w:r>
      <w:r>
        <w:rPr>
          <w:rFonts w:ascii="宋体" w:hAnsi="宋体" w:eastAsia="宋体" w:cs="宋体"/>
          <w:sz w:val="21"/>
          <w:szCs w:val="21"/>
        </w:rPr>
        <w:fldChar w:fldCharType="end"/>
      </w:r>
      <w:r>
        <w:rPr>
          <w:rFonts w:ascii="宋体" w:hAnsi="宋体" w:eastAsia="宋体" w:cs="宋体"/>
          <w:sz w:val="21"/>
          <w:szCs w:val="21"/>
        </w:rPr>
        <w:fldChar w:fldCharType="end"/>
      </w:r>
    </w:p>
    <w:p>
      <w:pPr>
        <w:pStyle w:val="21"/>
        <w:tabs>
          <w:tab w:val="right" w:leader="dot" w:pos="8730"/>
        </w:tabs>
        <w:ind w:left="420"/>
        <w:rPr>
          <w:rFonts w:ascii="宋体" w:hAnsi="宋体" w:eastAsia="宋体" w:cs="宋体"/>
          <w:sz w:val="22"/>
          <w:szCs w:val="21"/>
        </w:rPr>
      </w:pPr>
      <w:r>
        <w:fldChar w:fldCharType="begin"/>
      </w:r>
      <w:r>
        <w:instrText xml:space="preserve"> HYPERLINK \l "_Toc8994" </w:instrText>
      </w:r>
      <w:r>
        <w:fldChar w:fldCharType="separate"/>
      </w:r>
      <w:r>
        <w:rPr>
          <w:rFonts w:ascii="宋体" w:hAnsi="宋体" w:eastAsia="宋体" w:cs="宋体"/>
          <w:bCs/>
          <w:sz w:val="22"/>
          <w:szCs w:val="21"/>
        </w:rPr>
        <w:t xml:space="preserve">6、 </w:t>
      </w:r>
      <w:r>
        <w:rPr>
          <w:rFonts w:hint="eastAsia" w:ascii="宋体" w:hAnsi="宋体" w:eastAsia="宋体" w:cs="宋体"/>
          <w:bCs/>
          <w:sz w:val="22"/>
          <w:szCs w:val="21"/>
        </w:rPr>
        <w:t>第三方测评需求</w:t>
      </w:r>
      <w:r>
        <w:rPr>
          <w:rFonts w:ascii="宋体" w:hAnsi="宋体" w:eastAsia="宋体" w:cs="宋体"/>
          <w:sz w:val="22"/>
          <w:szCs w:val="21"/>
        </w:rPr>
        <w:tab/>
      </w:r>
      <w:r>
        <w:rPr>
          <w:rFonts w:ascii="宋体" w:hAnsi="宋体" w:eastAsia="宋体" w:cs="宋体"/>
          <w:sz w:val="22"/>
          <w:szCs w:val="21"/>
        </w:rPr>
        <w:fldChar w:fldCharType="begin"/>
      </w:r>
      <w:r>
        <w:rPr>
          <w:rFonts w:ascii="宋体" w:hAnsi="宋体" w:eastAsia="宋体" w:cs="宋体"/>
          <w:sz w:val="22"/>
          <w:szCs w:val="21"/>
        </w:rPr>
        <w:instrText xml:space="preserve"> PAGEREF _Toc8994 \h </w:instrText>
      </w:r>
      <w:r>
        <w:rPr>
          <w:rFonts w:ascii="宋体" w:hAnsi="宋体" w:eastAsia="宋体" w:cs="宋体"/>
          <w:sz w:val="22"/>
          <w:szCs w:val="21"/>
        </w:rPr>
        <w:fldChar w:fldCharType="separate"/>
      </w:r>
      <w:r>
        <w:rPr>
          <w:rFonts w:ascii="宋体" w:hAnsi="宋体" w:eastAsia="宋体" w:cs="宋体"/>
          <w:sz w:val="22"/>
          <w:szCs w:val="21"/>
        </w:rPr>
        <w:t>46</w:t>
      </w:r>
      <w:r>
        <w:rPr>
          <w:rFonts w:ascii="宋体" w:hAnsi="宋体" w:eastAsia="宋体" w:cs="宋体"/>
          <w:sz w:val="22"/>
          <w:szCs w:val="21"/>
        </w:rPr>
        <w:fldChar w:fldCharType="end"/>
      </w:r>
      <w:r>
        <w:rPr>
          <w:rFonts w:ascii="宋体" w:hAnsi="宋体" w:eastAsia="宋体" w:cs="宋体"/>
          <w:sz w:val="22"/>
          <w:szCs w:val="21"/>
        </w:rPr>
        <w:fldChar w:fldCharType="end"/>
      </w:r>
    </w:p>
    <w:p>
      <w:pPr>
        <w:pStyle w:val="21"/>
        <w:tabs>
          <w:tab w:val="right" w:leader="dot" w:pos="8730"/>
        </w:tabs>
        <w:ind w:left="420"/>
        <w:rPr>
          <w:rFonts w:ascii="宋体" w:hAnsi="宋体" w:eastAsia="宋体" w:cs="宋体"/>
          <w:sz w:val="22"/>
          <w:szCs w:val="21"/>
        </w:rPr>
      </w:pPr>
      <w:r>
        <w:fldChar w:fldCharType="begin"/>
      </w:r>
      <w:r>
        <w:instrText xml:space="preserve"> HYPERLINK \l "_Toc615" </w:instrText>
      </w:r>
      <w:r>
        <w:fldChar w:fldCharType="separate"/>
      </w:r>
      <w:r>
        <w:rPr>
          <w:rFonts w:ascii="宋体" w:hAnsi="宋体" w:eastAsia="宋体" w:cs="宋体"/>
          <w:bCs/>
          <w:sz w:val="22"/>
          <w:szCs w:val="21"/>
        </w:rPr>
        <w:t xml:space="preserve">7、 </w:t>
      </w:r>
      <w:r>
        <w:rPr>
          <w:rFonts w:hint="eastAsia" w:ascii="宋体" w:hAnsi="宋体" w:eastAsia="宋体" w:cs="宋体"/>
          <w:bCs/>
          <w:sz w:val="22"/>
          <w:szCs w:val="21"/>
        </w:rPr>
        <w:t>系统性能需求</w:t>
      </w:r>
      <w:r>
        <w:rPr>
          <w:rFonts w:ascii="宋体" w:hAnsi="宋体" w:eastAsia="宋体" w:cs="宋体"/>
          <w:sz w:val="22"/>
          <w:szCs w:val="21"/>
        </w:rPr>
        <w:tab/>
      </w:r>
      <w:r>
        <w:rPr>
          <w:rFonts w:ascii="宋体" w:hAnsi="宋体" w:eastAsia="宋体" w:cs="宋体"/>
          <w:sz w:val="22"/>
          <w:szCs w:val="21"/>
        </w:rPr>
        <w:fldChar w:fldCharType="begin"/>
      </w:r>
      <w:r>
        <w:rPr>
          <w:rFonts w:ascii="宋体" w:hAnsi="宋体" w:eastAsia="宋体" w:cs="宋体"/>
          <w:sz w:val="22"/>
          <w:szCs w:val="21"/>
        </w:rPr>
        <w:instrText xml:space="preserve"> PAGEREF _Toc615 \h </w:instrText>
      </w:r>
      <w:r>
        <w:rPr>
          <w:rFonts w:ascii="宋体" w:hAnsi="宋体" w:eastAsia="宋体" w:cs="宋体"/>
          <w:sz w:val="22"/>
          <w:szCs w:val="21"/>
        </w:rPr>
        <w:fldChar w:fldCharType="separate"/>
      </w:r>
      <w:r>
        <w:rPr>
          <w:rFonts w:ascii="宋体" w:hAnsi="宋体" w:eastAsia="宋体" w:cs="宋体"/>
          <w:sz w:val="22"/>
          <w:szCs w:val="21"/>
        </w:rPr>
        <w:t>47</w:t>
      </w:r>
      <w:r>
        <w:rPr>
          <w:rFonts w:ascii="宋体" w:hAnsi="宋体" w:eastAsia="宋体" w:cs="宋体"/>
          <w:sz w:val="22"/>
          <w:szCs w:val="21"/>
        </w:rPr>
        <w:fldChar w:fldCharType="end"/>
      </w:r>
      <w:r>
        <w:rPr>
          <w:rFonts w:ascii="宋体" w:hAnsi="宋体" w:eastAsia="宋体" w:cs="宋体"/>
          <w:sz w:val="22"/>
          <w:szCs w:val="21"/>
        </w:rPr>
        <w:fldChar w:fldCharType="end"/>
      </w:r>
    </w:p>
    <w:p>
      <w:pPr>
        <w:pStyle w:val="11"/>
        <w:tabs>
          <w:tab w:val="right" w:leader="dot" w:pos="8730"/>
        </w:tabs>
        <w:ind w:left="840"/>
        <w:rPr>
          <w:rFonts w:ascii="宋体" w:hAnsi="宋体" w:eastAsia="宋体" w:cs="宋体"/>
          <w:sz w:val="21"/>
          <w:szCs w:val="21"/>
        </w:rPr>
      </w:pPr>
      <w:r>
        <w:fldChar w:fldCharType="begin"/>
      </w:r>
      <w:r>
        <w:instrText xml:space="preserve"> HYPERLINK \l "_Toc1053" </w:instrText>
      </w:r>
      <w:r>
        <w:fldChar w:fldCharType="separate"/>
      </w:r>
      <w:r>
        <w:rPr>
          <w:rFonts w:ascii="宋体" w:hAnsi="宋体" w:eastAsia="宋体" w:cs="宋体"/>
          <w:bCs/>
          <w:sz w:val="21"/>
          <w:szCs w:val="21"/>
        </w:rPr>
        <w:t xml:space="preserve">7.1、 </w:t>
      </w:r>
      <w:r>
        <w:rPr>
          <w:rFonts w:hint="eastAsia" w:ascii="宋体" w:hAnsi="宋体" w:eastAsia="宋体" w:cs="宋体"/>
          <w:bCs/>
          <w:sz w:val="21"/>
          <w:szCs w:val="21"/>
        </w:rPr>
        <w:t>国产化需求</w:t>
      </w:r>
      <w:r>
        <w:rPr>
          <w:rFonts w:ascii="宋体" w:hAnsi="宋体" w:eastAsia="宋体" w:cs="宋体"/>
          <w:sz w:val="21"/>
          <w:szCs w:val="21"/>
        </w:rPr>
        <w:tab/>
      </w:r>
      <w:r>
        <w:rPr>
          <w:rFonts w:ascii="宋体" w:hAnsi="宋体" w:eastAsia="宋体" w:cs="宋体"/>
          <w:sz w:val="21"/>
          <w:szCs w:val="21"/>
        </w:rPr>
        <w:fldChar w:fldCharType="begin"/>
      </w:r>
      <w:r>
        <w:rPr>
          <w:rFonts w:ascii="宋体" w:hAnsi="宋体" w:eastAsia="宋体" w:cs="宋体"/>
          <w:sz w:val="21"/>
          <w:szCs w:val="21"/>
        </w:rPr>
        <w:instrText xml:space="preserve"> PAGEREF _Toc1053 \h </w:instrText>
      </w:r>
      <w:r>
        <w:rPr>
          <w:rFonts w:ascii="宋体" w:hAnsi="宋体" w:eastAsia="宋体" w:cs="宋体"/>
          <w:sz w:val="21"/>
          <w:szCs w:val="21"/>
        </w:rPr>
        <w:fldChar w:fldCharType="separate"/>
      </w:r>
      <w:r>
        <w:rPr>
          <w:rFonts w:ascii="宋体" w:hAnsi="宋体" w:eastAsia="宋体" w:cs="宋体"/>
          <w:sz w:val="21"/>
          <w:szCs w:val="21"/>
        </w:rPr>
        <w:t>47</w:t>
      </w:r>
      <w:r>
        <w:rPr>
          <w:rFonts w:ascii="宋体" w:hAnsi="宋体" w:eastAsia="宋体" w:cs="宋体"/>
          <w:sz w:val="21"/>
          <w:szCs w:val="21"/>
        </w:rPr>
        <w:fldChar w:fldCharType="end"/>
      </w:r>
      <w:r>
        <w:rPr>
          <w:rFonts w:ascii="宋体" w:hAnsi="宋体" w:eastAsia="宋体" w:cs="宋体"/>
          <w:sz w:val="21"/>
          <w:szCs w:val="21"/>
        </w:rPr>
        <w:fldChar w:fldCharType="end"/>
      </w:r>
    </w:p>
    <w:p>
      <w:pPr>
        <w:pStyle w:val="11"/>
        <w:tabs>
          <w:tab w:val="right" w:leader="dot" w:pos="8730"/>
        </w:tabs>
        <w:ind w:left="840"/>
        <w:rPr>
          <w:rFonts w:ascii="宋体" w:hAnsi="宋体" w:eastAsia="宋体" w:cs="宋体"/>
          <w:sz w:val="21"/>
          <w:szCs w:val="21"/>
        </w:rPr>
      </w:pPr>
      <w:r>
        <w:fldChar w:fldCharType="begin"/>
      </w:r>
      <w:r>
        <w:instrText xml:space="preserve"> HYPERLINK \l "_Toc3037" </w:instrText>
      </w:r>
      <w:r>
        <w:fldChar w:fldCharType="separate"/>
      </w:r>
      <w:r>
        <w:rPr>
          <w:rFonts w:ascii="宋体" w:hAnsi="宋体" w:eastAsia="宋体" w:cs="宋体"/>
          <w:bCs/>
          <w:sz w:val="21"/>
          <w:szCs w:val="21"/>
        </w:rPr>
        <w:t xml:space="preserve">7.2、 </w:t>
      </w:r>
      <w:r>
        <w:rPr>
          <w:rFonts w:hint="eastAsia" w:ascii="宋体" w:hAnsi="宋体" w:eastAsia="宋体" w:cs="宋体"/>
          <w:bCs/>
          <w:sz w:val="21"/>
          <w:szCs w:val="21"/>
        </w:rPr>
        <w:t>主要性能需求</w:t>
      </w:r>
      <w:r>
        <w:rPr>
          <w:rFonts w:ascii="宋体" w:hAnsi="宋体" w:eastAsia="宋体" w:cs="宋体"/>
          <w:sz w:val="21"/>
          <w:szCs w:val="21"/>
        </w:rPr>
        <w:tab/>
      </w:r>
      <w:r>
        <w:rPr>
          <w:rFonts w:ascii="宋体" w:hAnsi="宋体" w:eastAsia="宋体" w:cs="宋体"/>
          <w:sz w:val="21"/>
          <w:szCs w:val="21"/>
        </w:rPr>
        <w:fldChar w:fldCharType="begin"/>
      </w:r>
      <w:r>
        <w:rPr>
          <w:rFonts w:ascii="宋体" w:hAnsi="宋体" w:eastAsia="宋体" w:cs="宋体"/>
          <w:sz w:val="21"/>
          <w:szCs w:val="21"/>
        </w:rPr>
        <w:instrText xml:space="preserve"> PAGEREF _Toc3037 \h </w:instrText>
      </w:r>
      <w:r>
        <w:rPr>
          <w:rFonts w:ascii="宋体" w:hAnsi="宋体" w:eastAsia="宋体" w:cs="宋体"/>
          <w:sz w:val="21"/>
          <w:szCs w:val="21"/>
        </w:rPr>
        <w:fldChar w:fldCharType="separate"/>
      </w:r>
      <w:r>
        <w:rPr>
          <w:rFonts w:ascii="宋体" w:hAnsi="宋体" w:eastAsia="宋体" w:cs="宋体"/>
          <w:sz w:val="21"/>
          <w:szCs w:val="21"/>
        </w:rPr>
        <w:t>47</w:t>
      </w:r>
      <w:r>
        <w:rPr>
          <w:rFonts w:ascii="宋体" w:hAnsi="宋体" w:eastAsia="宋体" w:cs="宋体"/>
          <w:sz w:val="21"/>
          <w:szCs w:val="21"/>
        </w:rPr>
        <w:fldChar w:fldCharType="end"/>
      </w:r>
      <w:r>
        <w:rPr>
          <w:rFonts w:ascii="宋体" w:hAnsi="宋体" w:eastAsia="宋体" w:cs="宋体"/>
          <w:sz w:val="21"/>
          <w:szCs w:val="21"/>
        </w:rPr>
        <w:fldChar w:fldCharType="end"/>
      </w:r>
    </w:p>
    <w:p>
      <w:pPr>
        <w:pStyle w:val="11"/>
        <w:tabs>
          <w:tab w:val="right" w:leader="dot" w:pos="8730"/>
        </w:tabs>
        <w:ind w:left="840"/>
        <w:rPr>
          <w:rFonts w:ascii="宋体" w:hAnsi="宋体" w:eastAsia="宋体" w:cs="宋体"/>
          <w:sz w:val="21"/>
          <w:szCs w:val="21"/>
        </w:rPr>
      </w:pPr>
      <w:r>
        <w:fldChar w:fldCharType="begin"/>
      </w:r>
      <w:r>
        <w:instrText xml:space="preserve"> HYPERLINK \l "_Toc19363" </w:instrText>
      </w:r>
      <w:r>
        <w:fldChar w:fldCharType="separate"/>
      </w:r>
      <w:r>
        <w:rPr>
          <w:rFonts w:ascii="宋体" w:hAnsi="宋体" w:eastAsia="宋体" w:cs="宋体"/>
          <w:bCs/>
          <w:sz w:val="21"/>
          <w:szCs w:val="21"/>
        </w:rPr>
        <w:t xml:space="preserve">7.3、 </w:t>
      </w:r>
      <w:r>
        <w:rPr>
          <w:rFonts w:hint="eastAsia" w:ascii="宋体" w:hAnsi="宋体" w:eastAsia="宋体" w:cs="宋体"/>
          <w:bCs/>
          <w:sz w:val="21"/>
          <w:szCs w:val="21"/>
        </w:rPr>
        <w:t>访问接口需求</w:t>
      </w:r>
      <w:r>
        <w:rPr>
          <w:rFonts w:ascii="宋体" w:hAnsi="宋体" w:eastAsia="宋体" w:cs="宋体"/>
          <w:sz w:val="21"/>
          <w:szCs w:val="21"/>
        </w:rPr>
        <w:tab/>
      </w:r>
      <w:r>
        <w:rPr>
          <w:rFonts w:ascii="宋体" w:hAnsi="宋体" w:eastAsia="宋体" w:cs="宋体"/>
          <w:sz w:val="21"/>
          <w:szCs w:val="21"/>
        </w:rPr>
        <w:fldChar w:fldCharType="begin"/>
      </w:r>
      <w:r>
        <w:rPr>
          <w:rFonts w:ascii="宋体" w:hAnsi="宋体" w:eastAsia="宋体" w:cs="宋体"/>
          <w:sz w:val="21"/>
          <w:szCs w:val="21"/>
        </w:rPr>
        <w:instrText xml:space="preserve"> PAGEREF _Toc19363 \h </w:instrText>
      </w:r>
      <w:r>
        <w:rPr>
          <w:rFonts w:ascii="宋体" w:hAnsi="宋体" w:eastAsia="宋体" w:cs="宋体"/>
          <w:sz w:val="21"/>
          <w:szCs w:val="21"/>
        </w:rPr>
        <w:fldChar w:fldCharType="separate"/>
      </w:r>
      <w:r>
        <w:rPr>
          <w:rFonts w:ascii="宋体" w:hAnsi="宋体" w:eastAsia="宋体" w:cs="宋体"/>
          <w:sz w:val="21"/>
          <w:szCs w:val="21"/>
        </w:rPr>
        <w:t>48</w:t>
      </w:r>
      <w:r>
        <w:rPr>
          <w:rFonts w:ascii="宋体" w:hAnsi="宋体" w:eastAsia="宋体" w:cs="宋体"/>
          <w:sz w:val="21"/>
          <w:szCs w:val="21"/>
        </w:rPr>
        <w:fldChar w:fldCharType="end"/>
      </w:r>
      <w:r>
        <w:rPr>
          <w:rFonts w:ascii="宋体" w:hAnsi="宋体" w:eastAsia="宋体" w:cs="宋体"/>
          <w:sz w:val="21"/>
          <w:szCs w:val="21"/>
        </w:rPr>
        <w:fldChar w:fldCharType="end"/>
      </w:r>
    </w:p>
    <w:p>
      <w:pPr>
        <w:pStyle w:val="21"/>
        <w:tabs>
          <w:tab w:val="right" w:leader="dot" w:pos="8730"/>
        </w:tabs>
        <w:ind w:left="420"/>
        <w:rPr>
          <w:rFonts w:ascii="宋体" w:hAnsi="宋体" w:eastAsia="宋体" w:cs="宋体"/>
          <w:sz w:val="22"/>
          <w:szCs w:val="21"/>
        </w:rPr>
      </w:pPr>
      <w:r>
        <w:fldChar w:fldCharType="begin"/>
      </w:r>
      <w:r>
        <w:instrText xml:space="preserve"> HYPERLINK \l "_Toc20018" </w:instrText>
      </w:r>
      <w:r>
        <w:fldChar w:fldCharType="separate"/>
      </w:r>
      <w:r>
        <w:rPr>
          <w:rFonts w:ascii="宋体" w:hAnsi="宋体" w:eastAsia="宋体" w:cs="宋体"/>
          <w:bCs/>
          <w:sz w:val="22"/>
          <w:szCs w:val="21"/>
        </w:rPr>
        <w:t xml:space="preserve">8、 </w:t>
      </w:r>
      <w:r>
        <w:rPr>
          <w:rFonts w:hint="eastAsia" w:ascii="宋体" w:hAnsi="宋体" w:eastAsia="宋体" w:cs="宋体"/>
          <w:bCs/>
          <w:sz w:val="22"/>
          <w:szCs w:val="21"/>
        </w:rPr>
        <w:t>网络系统建设需求</w:t>
      </w:r>
      <w:r>
        <w:rPr>
          <w:rFonts w:ascii="宋体" w:hAnsi="宋体" w:eastAsia="宋体" w:cs="宋体"/>
          <w:sz w:val="22"/>
          <w:szCs w:val="21"/>
        </w:rPr>
        <w:tab/>
      </w:r>
      <w:r>
        <w:rPr>
          <w:rFonts w:ascii="宋体" w:hAnsi="宋体" w:eastAsia="宋体" w:cs="宋体"/>
          <w:sz w:val="22"/>
          <w:szCs w:val="21"/>
        </w:rPr>
        <w:fldChar w:fldCharType="begin"/>
      </w:r>
      <w:r>
        <w:rPr>
          <w:rFonts w:ascii="宋体" w:hAnsi="宋体" w:eastAsia="宋体" w:cs="宋体"/>
          <w:sz w:val="22"/>
          <w:szCs w:val="21"/>
        </w:rPr>
        <w:instrText xml:space="preserve"> PAGEREF _Toc20018 \h </w:instrText>
      </w:r>
      <w:r>
        <w:rPr>
          <w:rFonts w:ascii="宋体" w:hAnsi="宋体" w:eastAsia="宋体" w:cs="宋体"/>
          <w:sz w:val="22"/>
          <w:szCs w:val="21"/>
        </w:rPr>
        <w:fldChar w:fldCharType="separate"/>
      </w:r>
      <w:r>
        <w:rPr>
          <w:rFonts w:ascii="宋体" w:hAnsi="宋体" w:eastAsia="宋体" w:cs="宋体"/>
          <w:sz w:val="22"/>
          <w:szCs w:val="21"/>
        </w:rPr>
        <w:t>48</w:t>
      </w:r>
      <w:r>
        <w:rPr>
          <w:rFonts w:ascii="宋体" w:hAnsi="宋体" w:eastAsia="宋体" w:cs="宋体"/>
          <w:sz w:val="22"/>
          <w:szCs w:val="21"/>
        </w:rPr>
        <w:fldChar w:fldCharType="end"/>
      </w:r>
      <w:r>
        <w:rPr>
          <w:rFonts w:ascii="宋体" w:hAnsi="宋体" w:eastAsia="宋体" w:cs="宋体"/>
          <w:sz w:val="22"/>
          <w:szCs w:val="21"/>
        </w:rPr>
        <w:fldChar w:fldCharType="end"/>
      </w:r>
    </w:p>
    <w:p>
      <w:pPr>
        <w:pStyle w:val="18"/>
        <w:tabs>
          <w:tab w:val="right" w:pos="3200"/>
          <w:tab w:val="right" w:leader="dot" w:pos="8730"/>
        </w:tabs>
        <w:rPr>
          <w:rFonts w:ascii="宋体" w:hAnsi="宋体" w:cs="宋体"/>
          <w:sz w:val="22"/>
          <w:szCs w:val="21"/>
        </w:rPr>
      </w:pPr>
      <w:r>
        <w:fldChar w:fldCharType="begin"/>
      </w:r>
      <w:r>
        <w:instrText xml:space="preserve"> HYPERLINK \l "_Toc27666" </w:instrText>
      </w:r>
      <w:r>
        <w:fldChar w:fldCharType="separate"/>
      </w:r>
      <w:r>
        <w:rPr>
          <w:rFonts w:hint="eastAsia" w:ascii="宋体" w:hAnsi="宋体" w:cs="宋体"/>
          <w:sz w:val="22"/>
          <w:szCs w:val="20"/>
        </w:rPr>
        <w:t>第五章</w:t>
      </w:r>
      <w:r>
        <w:rPr>
          <w:rFonts w:ascii="宋体" w:hAnsi="宋体" w:cs="宋体"/>
          <w:sz w:val="22"/>
          <w:szCs w:val="20"/>
        </w:rPr>
        <w:tab/>
      </w:r>
      <w:r>
        <w:rPr>
          <w:rFonts w:ascii="宋体" w:hAnsi="宋体" w:cs="宋体"/>
          <w:sz w:val="22"/>
          <w:szCs w:val="20"/>
        </w:rPr>
        <w:t xml:space="preserve"> 合同条款及合同格式</w:t>
      </w:r>
      <w:r>
        <w:rPr>
          <w:rFonts w:ascii="宋体" w:hAnsi="宋体" w:cs="宋体"/>
          <w:sz w:val="22"/>
          <w:szCs w:val="21"/>
        </w:rPr>
        <w:tab/>
      </w:r>
      <w:r>
        <w:rPr>
          <w:rFonts w:ascii="宋体" w:hAnsi="宋体" w:cs="宋体"/>
          <w:sz w:val="22"/>
          <w:szCs w:val="21"/>
        </w:rPr>
        <w:fldChar w:fldCharType="begin"/>
      </w:r>
      <w:r>
        <w:rPr>
          <w:rFonts w:ascii="宋体" w:hAnsi="宋体" w:cs="宋体"/>
          <w:sz w:val="22"/>
          <w:szCs w:val="21"/>
        </w:rPr>
        <w:instrText xml:space="preserve"> PAGEREF _Toc27666 \h </w:instrText>
      </w:r>
      <w:r>
        <w:rPr>
          <w:rFonts w:ascii="宋体" w:hAnsi="宋体" w:cs="宋体"/>
          <w:sz w:val="22"/>
          <w:szCs w:val="21"/>
        </w:rPr>
        <w:fldChar w:fldCharType="separate"/>
      </w:r>
      <w:r>
        <w:rPr>
          <w:rFonts w:ascii="宋体" w:hAnsi="宋体" w:cs="宋体"/>
          <w:sz w:val="22"/>
          <w:szCs w:val="21"/>
        </w:rPr>
        <w:t>49</w:t>
      </w:r>
      <w:r>
        <w:rPr>
          <w:rFonts w:ascii="宋体" w:hAnsi="宋体" w:cs="宋体"/>
          <w:sz w:val="22"/>
          <w:szCs w:val="21"/>
        </w:rPr>
        <w:fldChar w:fldCharType="end"/>
      </w:r>
      <w:r>
        <w:rPr>
          <w:rFonts w:ascii="宋体" w:hAnsi="宋体" w:cs="宋体"/>
          <w:sz w:val="22"/>
          <w:szCs w:val="21"/>
        </w:rPr>
        <w:fldChar w:fldCharType="end"/>
      </w:r>
    </w:p>
    <w:p>
      <w:pPr>
        <w:pStyle w:val="18"/>
        <w:tabs>
          <w:tab w:val="right" w:leader="dot" w:pos="8730"/>
        </w:tabs>
        <w:rPr>
          <w:rFonts w:ascii="宋体" w:hAnsi="宋体" w:cs="宋体"/>
          <w:sz w:val="22"/>
          <w:szCs w:val="21"/>
        </w:rPr>
      </w:pPr>
      <w:r>
        <w:fldChar w:fldCharType="begin"/>
      </w:r>
      <w:r>
        <w:instrText xml:space="preserve"> HYPERLINK \l "_Toc8251" </w:instrText>
      </w:r>
      <w:r>
        <w:fldChar w:fldCharType="separate"/>
      </w:r>
      <w:r>
        <w:rPr>
          <w:rFonts w:hint="eastAsia" w:ascii="宋体" w:hAnsi="宋体" w:cs="宋体"/>
          <w:sz w:val="22"/>
          <w:szCs w:val="20"/>
        </w:rPr>
        <w:t>第六章</w:t>
      </w:r>
      <w:r>
        <w:rPr>
          <w:rFonts w:ascii="宋体" w:hAnsi="宋体" w:cs="宋体"/>
          <w:sz w:val="22"/>
          <w:szCs w:val="20"/>
        </w:rPr>
        <w:t xml:space="preserve">  </w:t>
      </w:r>
      <w:r>
        <w:rPr>
          <w:rFonts w:hint="eastAsia" w:ascii="宋体" w:hAnsi="宋体" w:cs="宋体"/>
          <w:sz w:val="22"/>
          <w:szCs w:val="20"/>
        </w:rPr>
        <w:t>投标文件格式</w:t>
      </w:r>
      <w:r>
        <w:rPr>
          <w:rFonts w:ascii="宋体" w:hAnsi="宋体" w:cs="宋体"/>
          <w:sz w:val="22"/>
          <w:szCs w:val="21"/>
        </w:rPr>
        <w:tab/>
      </w:r>
      <w:r>
        <w:rPr>
          <w:rFonts w:ascii="宋体" w:hAnsi="宋体" w:cs="宋体"/>
          <w:sz w:val="22"/>
          <w:szCs w:val="21"/>
        </w:rPr>
        <w:fldChar w:fldCharType="begin"/>
      </w:r>
      <w:r>
        <w:rPr>
          <w:rFonts w:ascii="宋体" w:hAnsi="宋体" w:cs="宋体"/>
          <w:sz w:val="22"/>
          <w:szCs w:val="21"/>
        </w:rPr>
        <w:instrText xml:space="preserve"> PAGEREF _Toc8251 \h </w:instrText>
      </w:r>
      <w:r>
        <w:rPr>
          <w:rFonts w:ascii="宋体" w:hAnsi="宋体" w:cs="宋体"/>
          <w:sz w:val="22"/>
          <w:szCs w:val="21"/>
        </w:rPr>
        <w:fldChar w:fldCharType="separate"/>
      </w:r>
      <w:r>
        <w:rPr>
          <w:rFonts w:ascii="宋体" w:hAnsi="宋体" w:cs="宋体"/>
          <w:sz w:val="22"/>
          <w:szCs w:val="21"/>
        </w:rPr>
        <w:t>53</w:t>
      </w:r>
      <w:r>
        <w:rPr>
          <w:rFonts w:ascii="宋体" w:hAnsi="宋体" w:cs="宋体"/>
          <w:sz w:val="22"/>
          <w:szCs w:val="21"/>
        </w:rPr>
        <w:fldChar w:fldCharType="end"/>
      </w:r>
      <w:r>
        <w:rPr>
          <w:rFonts w:ascii="宋体" w:hAnsi="宋体" w:cs="宋体"/>
          <w:sz w:val="22"/>
          <w:szCs w:val="21"/>
        </w:rPr>
        <w:fldChar w:fldCharType="end"/>
      </w:r>
    </w:p>
    <w:p>
      <w:pPr>
        <w:spacing w:line="360" w:lineRule="auto"/>
        <w:jc w:val="left"/>
        <w:rPr>
          <w:rFonts w:hint="eastAsia" w:ascii="宋体" w:hAnsi="宋体" w:eastAsia="宋体"/>
          <w:b/>
          <w:sz w:val="40"/>
          <w:szCs w:val="22"/>
          <w:lang w:eastAsia="zh-CN"/>
        </w:rPr>
      </w:pPr>
      <w:r>
        <w:rPr>
          <w:rFonts w:hint="eastAsia" w:ascii="宋体" w:hAnsi="宋体"/>
        </w:rPr>
        <w:fldChar w:fldCharType="end"/>
      </w:r>
      <w:r>
        <w:rPr>
          <w:rFonts w:ascii="Cambria" w:hAnsi="Cambria" w:cs="Cambria"/>
          <w:b/>
          <w:sz w:val="24"/>
        </w:rPr>
        <w:br w:type="page"/>
      </w:r>
      <w:r>
        <w:rPr>
          <w:rFonts w:hint="eastAsia" w:ascii="Cambria" w:hAnsi="Cambria" w:cs="Cambria"/>
          <w:b/>
          <w:sz w:val="40"/>
          <w:szCs w:val="40"/>
          <w:lang w:eastAsia="zh-CN"/>
        </w:rPr>
        <w:t>新疆文物综合信息管理数字资源建设项目（一期）</w:t>
      </w:r>
    </w:p>
    <w:p>
      <w:pPr>
        <w:adjustRightInd w:val="0"/>
        <w:snapToGrid w:val="0"/>
        <w:spacing w:line="360" w:lineRule="auto"/>
        <w:jc w:val="center"/>
        <w:outlineLvl w:val="0"/>
        <w:rPr>
          <w:rFonts w:ascii="微软雅黑" w:hAnsi="微软雅黑" w:eastAsia="微软雅黑" w:cs="微软雅黑"/>
          <w:b/>
          <w:sz w:val="40"/>
          <w:szCs w:val="22"/>
        </w:rPr>
      </w:pPr>
      <w:bookmarkStart w:id="0" w:name="_Toc32715"/>
      <w:bookmarkStart w:id="1" w:name="_Toc24894"/>
      <w:bookmarkStart w:id="2" w:name="_Toc6503"/>
      <w:bookmarkStart w:id="3" w:name="_Toc25387"/>
      <w:bookmarkStart w:id="4" w:name="_Toc7878"/>
      <w:r>
        <w:rPr>
          <w:rFonts w:hint="eastAsia" w:ascii="微软雅黑" w:hAnsi="微软雅黑" w:eastAsia="微软雅黑" w:cs="微软雅黑"/>
          <w:b/>
          <w:sz w:val="40"/>
          <w:szCs w:val="22"/>
        </w:rPr>
        <w:t>招标公告</w:t>
      </w:r>
      <w:bookmarkEnd w:id="0"/>
      <w:bookmarkEnd w:id="1"/>
      <w:bookmarkEnd w:id="2"/>
      <w:bookmarkEnd w:id="3"/>
      <w:bookmarkEnd w:id="4"/>
    </w:p>
    <w:p>
      <w:pPr>
        <w:spacing w:line="360" w:lineRule="auto"/>
        <w:ind w:left="1080" w:hanging="1080" w:hangingChars="450"/>
        <w:rPr>
          <w:rFonts w:ascii="宋体" w:hAnsi="宋体" w:cs="宋体"/>
          <w:kern w:val="0"/>
          <w:sz w:val="24"/>
        </w:rPr>
      </w:pPr>
      <w:r>
        <w:rPr>
          <w:rFonts w:hint="eastAsia" w:ascii="宋体" w:hAnsi="宋体" w:cs="宋体"/>
          <w:kern w:val="0"/>
          <w:sz w:val="24"/>
        </w:rPr>
        <w:t>（一）招标项目名称、内容、范围、规模、资金来源：</w:t>
      </w:r>
    </w:p>
    <w:p>
      <w:pPr>
        <w:spacing w:line="360" w:lineRule="auto"/>
        <w:ind w:firstLine="480" w:firstLineChars="200"/>
        <w:rPr>
          <w:rFonts w:hint="eastAsia" w:ascii="宋体" w:hAnsi="宋体" w:eastAsia="宋体" w:cs="宋体"/>
          <w:b/>
          <w:kern w:val="0"/>
          <w:sz w:val="24"/>
          <w:lang w:eastAsia="zh-CN"/>
        </w:rPr>
      </w:pPr>
      <w:r>
        <w:rPr>
          <w:rFonts w:hint="eastAsia" w:ascii="宋体" w:hAnsi="宋体" w:cs="宋体"/>
          <w:kern w:val="0"/>
          <w:sz w:val="24"/>
        </w:rPr>
        <w:t>1.项目名称：</w:t>
      </w:r>
      <w:r>
        <w:rPr>
          <w:rFonts w:hint="eastAsia" w:ascii="宋体" w:hAnsi="宋体" w:cs="宋体"/>
          <w:b/>
          <w:color w:val="000000"/>
          <w:sz w:val="24"/>
          <w:lang w:eastAsia="zh-CN"/>
        </w:rPr>
        <w:t>新疆文物综合信息管理数字资源建设项目（一期）</w:t>
      </w:r>
    </w:p>
    <w:p>
      <w:pPr>
        <w:spacing w:line="360" w:lineRule="auto"/>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rPr>
        <w:t>项目采购预算：1670000元</w:t>
      </w:r>
    </w:p>
    <w:p>
      <w:pPr>
        <w:spacing w:line="360" w:lineRule="auto"/>
        <w:ind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资金</w:t>
      </w:r>
      <w:r>
        <w:rPr>
          <w:rFonts w:ascii="宋体" w:hAnsi="宋体" w:cs="宋体"/>
          <w:kern w:val="0"/>
          <w:sz w:val="24"/>
        </w:rPr>
        <w:t>来源</w:t>
      </w:r>
      <w:r>
        <w:rPr>
          <w:rFonts w:hint="eastAsia" w:ascii="宋体" w:hAnsi="宋体" w:cs="宋体"/>
          <w:kern w:val="0"/>
          <w:sz w:val="24"/>
        </w:rPr>
        <w:t>:财政资金</w:t>
      </w:r>
    </w:p>
    <w:p>
      <w:pPr>
        <w:pStyle w:val="34"/>
        <w:ind w:firstLine="480" w:firstLineChars="200"/>
      </w:pPr>
      <w:r>
        <w:rPr>
          <w:rFonts w:hint="eastAsia"/>
          <w:color w:val="auto"/>
        </w:rPr>
        <w:t>4.采购方式：公开招标</w:t>
      </w:r>
    </w:p>
    <w:p>
      <w:pPr>
        <w:spacing w:line="360" w:lineRule="auto"/>
        <w:ind w:firstLine="480" w:firstLineChars="200"/>
        <w:rPr>
          <w:rFonts w:ascii="宋体" w:hAnsi="宋体" w:cs="宋体"/>
          <w:kern w:val="0"/>
          <w:sz w:val="24"/>
        </w:rPr>
      </w:pPr>
      <w:r>
        <w:rPr>
          <w:rFonts w:hint="eastAsia" w:ascii="宋体" w:hAnsi="宋体" w:cs="宋体"/>
          <w:kern w:val="0"/>
          <w:sz w:val="24"/>
        </w:rPr>
        <w:t>5.项目基本情况：</w:t>
      </w:r>
    </w:p>
    <w:p>
      <w:pPr>
        <w:pStyle w:val="34"/>
        <w:spacing w:line="360" w:lineRule="auto"/>
        <w:ind w:firstLine="480" w:firstLineChars="200"/>
        <w:rPr>
          <w:rFonts w:hint="eastAsia" w:eastAsia="宋体"/>
          <w:color w:val="auto"/>
          <w:lang w:eastAsia="zh-CN"/>
        </w:rPr>
      </w:pPr>
      <w:r>
        <w:rPr>
          <w:rFonts w:hint="eastAsia"/>
          <w:color w:val="auto"/>
        </w:rPr>
        <w:t>标项名称：</w:t>
      </w:r>
      <w:r>
        <w:rPr>
          <w:rFonts w:hint="eastAsia"/>
          <w:color w:val="auto"/>
          <w:lang w:eastAsia="zh-CN"/>
        </w:rPr>
        <w:t>新疆文物综合信息管理数字资源建设项目（一期）</w:t>
      </w:r>
    </w:p>
    <w:p>
      <w:pPr>
        <w:pStyle w:val="34"/>
        <w:spacing w:line="360" w:lineRule="auto"/>
        <w:ind w:firstLine="480" w:firstLineChars="200"/>
        <w:rPr>
          <w:rFonts w:hint="eastAsia" w:eastAsia="宋体"/>
          <w:color w:val="auto"/>
          <w:lang w:eastAsia="zh-CN"/>
        </w:rPr>
      </w:pPr>
      <w:r>
        <w:rPr>
          <w:rFonts w:hint="eastAsia"/>
          <w:color w:val="auto"/>
        </w:rPr>
        <w:t>标项编号：</w:t>
      </w:r>
      <w:r>
        <w:rPr>
          <w:rFonts w:hint="eastAsia"/>
          <w:color w:val="auto"/>
          <w:lang w:eastAsia="zh-CN"/>
        </w:rPr>
        <w:t>XJTZY2022-1-C0046-1</w:t>
      </w:r>
    </w:p>
    <w:p>
      <w:pPr>
        <w:pStyle w:val="34"/>
        <w:spacing w:line="360" w:lineRule="auto"/>
        <w:ind w:firstLine="480" w:firstLineChars="200"/>
        <w:rPr>
          <w:color w:val="auto"/>
        </w:rPr>
      </w:pPr>
      <w:r>
        <w:rPr>
          <w:rFonts w:hint="eastAsia"/>
          <w:color w:val="auto"/>
        </w:rPr>
        <w:t>简要规格描述：为了更好地贯彻落党中央、自治区党委的系列决策部署，加强新疆文物保护利用，开展文化润疆工程的迫切需要，文博院按照“总体规划、分期实施”的原则逐步推进新疆文物综合信息管理数字资源建设项目建设。</w:t>
      </w:r>
    </w:p>
    <w:p>
      <w:pPr>
        <w:pStyle w:val="34"/>
        <w:spacing w:line="360" w:lineRule="auto"/>
        <w:ind w:firstLine="480" w:firstLineChars="200"/>
        <w:rPr>
          <w:b/>
          <w:bCs/>
          <w:color w:val="auto"/>
        </w:rPr>
      </w:pPr>
      <w:r>
        <w:rPr>
          <w:rFonts w:hint="eastAsia"/>
          <w:color w:val="auto"/>
        </w:rPr>
        <w:t>通过本期项目建设，进一步加强新疆文物保护利用，切实开展文化润疆工程，实现新疆文物资源数据初步汇聚与数据治理，为新疆文物综合信息管理提供基础数据资源支撑；对已汇聚的文物数字展示资源，借助现有新疆智慧旅游平台实现微信端公众展示，一定程度提高公众服务职能；充分发挥丝绸之路文化遗产密集优势，让文化旅游和文物数字资源进行融合共享，在一定程度上提升新疆文物数字资源管理水平和公众服务能力。详见招标文件中采购需求。</w:t>
      </w:r>
    </w:p>
    <w:p>
      <w:pPr>
        <w:ind w:firstLine="480" w:firstLineChars="200"/>
        <w:rPr>
          <w:rFonts w:ascii="宋体" w:hAnsi="宋体" w:cs="宋体"/>
          <w:kern w:val="0"/>
          <w:sz w:val="24"/>
        </w:rPr>
      </w:pPr>
      <w:r>
        <w:rPr>
          <w:rFonts w:hint="eastAsia" w:ascii="宋体" w:hAnsi="宋体" w:cs="宋体"/>
          <w:kern w:val="0"/>
          <w:sz w:val="24"/>
        </w:rPr>
        <w:t>二、申请人的资格要求：</w:t>
      </w:r>
    </w:p>
    <w:p>
      <w:pPr>
        <w:ind w:firstLine="480" w:firstLineChars="200"/>
        <w:rPr>
          <w:rFonts w:ascii="宋体" w:hAnsi="宋体" w:cs="宋体"/>
          <w:kern w:val="0"/>
          <w:sz w:val="24"/>
        </w:rPr>
      </w:pPr>
      <w:r>
        <w:rPr>
          <w:rFonts w:hint="eastAsia" w:ascii="宋体" w:hAnsi="宋体" w:cs="宋体"/>
          <w:kern w:val="0"/>
          <w:sz w:val="24"/>
        </w:rPr>
        <w:t>1.满足《中华人民共和国政府采购法》第二十二条规定：</w:t>
      </w:r>
    </w:p>
    <w:p>
      <w:pPr>
        <w:ind w:firstLine="480" w:firstLineChars="200"/>
        <w:rPr>
          <w:rFonts w:ascii="宋体" w:hAnsi="宋体" w:cs="宋体"/>
          <w:kern w:val="0"/>
          <w:sz w:val="24"/>
        </w:rPr>
      </w:pPr>
      <w:r>
        <w:rPr>
          <w:rFonts w:hint="eastAsia" w:ascii="宋体" w:hAnsi="宋体" w:cs="宋体"/>
          <w:kern w:val="0"/>
          <w:sz w:val="24"/>
        </w:rPr>
        <w:t>（1）依法注册、具有合法的法人资格及独立承担民事责任的能力；</w:t>
      </w:r>
    </w:p>
    <w:p>
      <w:pPr>
        <w:ind w:firstLine="480" w:firstLineChars="200"/>
        <w:rPr>
          <w:rFonts w:ascii="宋体" w:hAnsi="宋体" w:cs="宋体"/>
          <w:kern w:val="0"/>
          <w:sz w:val="24"/>
        </w:rPr>
      </w:pPr>
      <w:r>
        <w:rPr>
          <w:rFonts w:hint="eastAsia" w:ascii="宋体" w:hAnsi="宋体" w:cs="宋体"/>
          <w:kern w:val="0"/>
          <w:sz w:val="24"/>
        </w:rPr>
        <w:t>（2）具有良好的商业信誉和健全的财务会计制度；</w:t>
      </w:r>
    </w:p>
    <w:p>
      <w:pPr>
        <w:ind w:firstLine="480" w:firstLineChars="200"/>
        <w:rPr>
          <w:rFonts w:ascii="宋体" w:hAnsi="宋体" w:cs="宋体"/>
          <w:kern w:val="0"/>
          <w:sz w:val="24"/>
        </w:rPr>
      </w:pPr>
      <w:r>
        <w:rPr>
          <w:rFonts w:hint="eastAsia" w:ascii="宋体" w:hAnsi="宋体" w:cs="宋体"/>
          <w:kern w:val="0"/>
          <w:sz w:val="24"/>
        </w:rPr>
        <w:t>（3）有依法缴纳税收和社会保障资金的良好纪录；</w:t>
      </w:r>
    </w:p>
    <w:p>
      <w:pPr>
        <w:ind w:firstLine="480" w:firstLineChars="200"/>
        <w:rPr>
          <w:rFonts w:ascii="宋体" w:hAnsi="宋体" w:cs="宋体"/>
          <w:kern w:val="0"/>
          <w:sz w:val="24"/>
        </w:rPr>
      </w:pPr>
      <w:r>
        <w:rPr>
          <w:rFonts w:hint="eastAsia" w:ascii="宋体" w:hAnsi="宋体" w:cs="宋体"/>
          <w:kern w:val="0"/>
          <w:sz w:val="24"/>
        </w:rPr>
        <w:t>（4）具有履行合同所必需的专业技术能力，能够按时保质保量地完成布展工作任务；</w:t>
      </w:r>
    </w:p>
    <w:p>
      <w:pPr>
        <w:ind w:firstLine="480" w:firstLineChars="200"/>
        <w:rPr>
          <w:rFonts w:ascii="宋体" w:hAnsi="宋体" w:cs="宋体"/>
          <w:kern w:val="0"/>
          <w:sz w:val="24"/>
        </w:rPr>
      </w:pPr>
      <w:r>
        <w:rPr>
          <w:rFonts w:hint="eastAsia" w:ascii="宋体" w:hAnsi="宋体" w:cs="宋体"/>
          <w:kern w:val="0"/>
          <w:sz w:val="24"/>
        </w:rPr>
        <w:t>（5）参加采购活动前三年内，在经营活动中没有重大违法记录；</w:t>
      </w:r>
    </w:p>
    <w:p>
      <w:pPr>
        <w:ind w:firstLine="480" w:firstLineChars="200"/>
        <w:rPr>
          <w:rFonts w:ascii="宋体" w:hAnsi="宋体" w:cs="宋体"/>
          <w:kern w:val="0"/>
          <w:sz w:val="24"/>
        </w:rPr>
      </w:pPr>
      <w:r>
        <w:rPr>
          <w:rFonts w:hint="eastAsia" w:ascii="宋体" w:hAnsi="宋体" w:cs="宋体"/>
          <w:kern w:val="0"/>
          <w:sz w:val="24"/>
        </w:rPr>
        <w:t>（6）符合国家有关法律法规的规定；</w:t>
      </w:r>
    </w:p>
    <w:p>
      <w:pPr>
        <w:ind w:firstLine="480" w:firstLineChars="200"/>
        <w:rPr>
          <w:rFonts w:ascii="宋体" w:hAnsi="宋体" w:cs="宋体"/>
          <w:kern w:val="0"/>
          <w:sz w:val="24"/>
        </w:rPr>
      </w:pPr>
      <w:r>
        <w:rPr>
          <w:rFonts w:hint="eastAsia" w:ascii="宋体" w:hAnsi="宋体" w:cs="宋体"/>
          <w:kern w:val="0"/>
          <w:sz w:val="24"/>
        </w:rPr>
        <w:t>2.落实政府采购政策需满足的资格要求：</w:t>
      </w:r>
    </w:p>
    <w:p>
      <w:pPr>
        <w:ind w:firstLine="480" w:firstLineChars="200"/>
        <w:rPr>
          <w:rFonts w:ascii="宋体" w:hAnsi="宋体" w:cs="宋体"/>
          <w:kern w:val="0"/>
          <w:sz w:val="24"/>
        </w:rPr>
      </w:pPr>
      <w:r>
        <w:rPr>
          <w:rFonts w:hint="eastAsia" w:ascii="宋体" w:hAnsi="宋体" w:cs="宋体"/>
          <w:kern w:val="0"/>
          <w:sz w:val="24"/>
        </w:rPr>
        <w:t>（1）采购政策</w:t>
      </w:r>
    </w:p>
    <w:p>
      <w:pPr>
        <w:ind w:firstLine="480" w:firstLineChars="200"/>
        <w:rPr>
          <w:rFonts w:ascii="宋体" w:hAnsi="宋体" w:cs="宋体"/>
          <w:kern w:val="0"/>
          <w:sz w:val="24"/>
        </w:rPr>
      </w:pPr>
      <w:r>
        <w:rPr>
          <w:rFonts w:hint="eastAsia" w:ascii="宋体" w:hAnsi="宋体" w:cs="宋体"/>
          <w:kern w:val="0"/>
          <w:sz w:val="24"/>
        </w:rPr>
        <w:t>政府采购应当优先采购本国货物、工程和服务，并执行节能产品、环境标志产品、中小企业、残疾人福利性单位、监狱企业等适宜本项目的政府采购政策。</w:t>
      </w:r>
    </w:p>
    <w:p>
      <w:pPr>
        <w:ind w:firstLine="480" w:firstLineChars="200"/>
        <w:rPr>
          <w:rFonts w:ascii="宋体" w:hAnsi="宋体" w:cs="宋体"/>
          <w:kern w:val="0"/>
          <w:sz w:val="24"/>
        </w:rPr>
      </w:pPr>
      <w:r>
        <w:rPr>
          <w:rFonts w:hint="eastAsia" w:ascii="宋体" w:hAnsi="宋体" w:cs="宋体"/>
          <w:kern w:val="0"/>
          <w:sz w:val="24"/>
        </w:rPr>
        <w:t xml:space="preserve">（2）政策依据  </w:t>
      </w:r>
    </w:p>
    <w:p>
      <w:pPr>
        <w:ind w:firstLine="480" w:firstLineChars="200"/>
        <w:rPr>
          <w:rFonts w:ascii="宋体" w:hAnsi="宋体" w:cs="宋体"/>
          <w:kern w:val="0"/>
          <w:sz w:val="24"/>
        </w:rPr>
      </w:pPr>
      <w:r>
        <w:rPr>
          <w:rFonts w:hint="eastAsia" w:ascii="宋体" w:hAnsi="宋体" w:cs="宋体"/>
          <w:kern w:val="0"/>
          <w:sz w:val="24"/>
        </w:rPr>
        <w:t>1）财政部、国家发展改革委、生态环境部、市场监管总局《关于调整优化节能产品、环境标志产品政府采购执行机制的通知》（财库[2019]9号文）；</w:t>
      </w:r>
    </w:p>
    <w:p>
      <w:pPr>
        <w:ind w:firstLine="480" w:firstLineChars="200"/>
        <w:rPr>
          <w:rFonts w:ascii="宋体" w:hAnsi="宋体" w:cs="宋体"/>
          <w:kern w:val="0"/>
          <w:sz w:val="24"/>
        </w:rPr>
      </w:pPr>
      <w:r>
        <w:rPr>
          <w:rFonts w:hint="eastAsia" w:ascii="宋体" w:hAnsi="宋体" w:cs="宋体"/>
          <w:kern w:val="0"/>
          <w:sz w:val="24"/>
        </w:rPr>
        <w:t>2）财政部、生态环境部《关于印发环境标志产品政府采购品目清单的通知》（财库[2019]18号文）；</w:t>
      </w:r>
    </w:p>
    <w:p>
      <w:pPr>
        <w:ind w:firstLine="480" w:firstLineChars="200"/>
        <w:rPr>
          <w:rFonts w:ascii="宋体" w:hAnsi="宋体" w:cs="宋体"/>
          <w:kern w:val="0"/>
          <w:sz w:val="24"/>
        </w:rPr>
      </w:pPr>
      <w:r>
        <w:rPr>
          <w:rFonts w:hint="eastAsia" w:ascii="宋体" w:hAnsi="宋体" w:cs="宋体"/>
          <w:kern w:val="0"/>
          <w:sz w:val="24"/>
        </w:rPr>
        <w:t xml:space="preserve">3）财政部、发展改革委《关于印发节能产品政府采购品目清单的通知》（财库[2019]19号文）；  </w:t>
      </w:r>
    </w:p>
    <w:p>
      <w:pPr>
        <w:ind w:firstLine="480" w:firstLineChars="200"/>
        <w:rPr>
          <w:rFonts w:ascii="宋体" w:hAnsi="宋体" w:cs="宋体"/>
          <w:kern w:val="0"/>
          <w:sz w:val="24"/>
        </w:rPr>
      </w:pPr>
      <w:r>
        <w:rPr>
          <w:rFonts w:hint="eastAsia" w:ascii="宋体" w:hAnsi="宋体" w:cs="宋体"/>
          <w:kern w:val="0"/>
          <w:sz w:val="24"/>
        </w:rPr>
        <w:t>4）市场监管总局《市场监管总局关于发布参与实施政府采购节能产品、环境标志产品认证机构名录的公告》（2019年第16号）；</w:t>
      </w:r>
    </w:p>
    <w:p>
      <w:pPr>
        <w:ind w:firstLine="480" w:firstLineChars="200"/>
        <w:rPr>
          <w:rFonts w:ascii="宋体" w:hAnsi="宋体" w:cs="宋体"/>
          <w:kern w:val="0"/>
          <w:sz w:val="24"/>
        </w:rPr>
      </w:pPr>
      <w:r>
        <w:rPr>
          <w:rFonts w:hint="eastAsia" w:ascii="宋体" w:hAnsi="宋体" w:cs="宋体"/>
          <w:kern w:val="0"/>
          <w:sz w:val="24"/>
        </w:rPr>
        <w:t>5）财政部、工业和信息化部关于印发《政府采购促进中小企业发展管理办法》的通知（财库﹝2020﹞46 号）；</w:t>
      </w:r>
    </w:p>
    <w:p>
      <w:pPr>
        <w:ind w:firstLine="480" w:firstLineChars="200"/>
        <w:rPr>
          <w:rFonts w:ascii="宋体" w:hAnsi="宋体" w:cs="宋体"/>
          <w:kern w:val="0"/>
          <w:sz w:val="24"/>
        </w:rPr>
      </w:pPr>
      <w:r>
        <w:rPr>
          <w:rFonts w:hint="eastAsia" w:ascii="宋体" w:hAnsi="宋体" w:cs="宋体"/>
          <w:kern w:val="0"/>
          <w:sz w:val="24"/>
        </w:rPr>
        <w:t>6）财政部、民政部、中国残疾人联合会《关于促进残疾人就业政府采购政策的通知》（财库[2017]141号）；</w:t>
      </w:r>
    </w:p>
    <w:p>
      <w:pPr>
        <w:ind w:firstLine="480" w:firstLineChars="200"/>
        <w:rPr>
          <w:rFonts w:ascii="宋体" w:hAnsi="宋体" w:cs="宋体"/>
          <w:kern w:val="0"/>
          <w:sz w:val="24"/>
        </w:rPr>
      </w:pPr>
      <w:r>
        <w:rPr>
          <w:rFonts w:hint="eastAsia" w:ascii="宋体" w:hAnsi="宋体" w:cs="宋体"/>
          <w:kern w:val="0"/>
          <w:sz w:val="24"/>
        </w:rPr>
        <w:t>7）财政部、司法部《关于政府采购支持监狱企业发展有关问题的通知》（财库[2014]68号文）。</w:t>
      </w:r>
    </w:p>
    <w:p>
      <w:pPr>
        <w:ind w:firstLine="480" w:firstLineChars="200"/>
        <w:rPr>
          <w:rFonts w:ascii="宋体" w:hAnsi="宋体" w:cs="宋体"/>
          <w:kern w:val="0"/>
          <w:sz w:val="24"/>
        </w:rPr>
      </w:pPr>
      <w:r>
        <w:rPr>
          <w:rFonts w:hint="eastAsia" w:ascii="宋体" w:hAnsi="宋体" w:cs="宋体"/>
          <w:kern w:val="0"/>
          <w:sz w:val="24"/>
        </w:rPr>
        <w:t>3.本项目的特定资格要求：</w:t>
      </w:r>
    </w:p>
    <w:p>
      <w:pPr>
        <w:ind w:firstLine="480" w:firstLineChars="200"/>
        <w:rPr>
          <w:rFonts w:ascii="宋体" w:hAnsi="宋体" w:cs="宋体"/>
          <w:kern w:val="0"/>
          <w:sz w:val="24"/>
        </w:rPr>
      </w:pPr>
      <w:r>
        <w:rPr>
          <w:rFonts w:hint="eastAsia" w:ascii="宋体" w:hAnsi="宋体" w:cs="宋体"/>
          <w:kern w:val="0"/>
          <w:sz w:val="24"/>
        </w:rPr>
        <w:t>（1）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投标人公章为准；</w:t>
      </w:r>
    </w:p>
    <w:p>
      <w:pPr>
        <w:ind w:firstLine="480" w:firstLineChars="200"/>
        <w:rPr>
          <w:rFonts w:ascii="宋体" w:hAnsi="宋体" w:cs="宋体"/>
          <w:kern w:val="0"/>
          <w:sz w:val="24"/>
        </w:rPr>
      </w:pPr>
      <w:r>
        <w:rPr>
          <w:rFonts w:hint="eastAsia" w:ascii="宋体" w:hAnsi="宋体" w:cs="宋体"/>
          <w:kern w:val="0"/>
          <w:sz w:val="24"/>
        </w:rPr>
        <w:t>（2）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ind w:firstLine="480" w:firstLineChars="200"/>
      </w:pPr>
      <w:r>
        <w:rPr>
          <w:rFonts w:hint="eastAsia" w:ascii="宋体" w:hAnsi="宋体" w:cs="宋体"/>
          <w:kern w:val="0"/>
          <w:sz w:val="24"/>
        </w:rPr>
        <w:t>（3）根据《政府采购促进中小企业发展管理办法》要求，本项目应当专门面向中小企业采购（提供中小微企业声明函）</w:t>
      </w:r>
    </w:p>
    <w:p>
      <w:pPr>
        <w:adjustRightInd w:val="0"/>
        <w:snapToGrid w:val="0"/>
        <w:spacing w:line="360" w:lineRule="auto"/>
        <w:ind w:left="2160" w:hanging="2160" w:hangingChars="900"/>
        <w:textAlignment w:val="baseline"/>
        <w:rPr>
          <w:rFonts w:ascii="宋体" w:hAnsi="宋体" w:cs="宋体"/>
          <w:kern w:val="0"/>
          <w:sz w:val="24"/>
        </w:rPr>
      </w:pPr>
      <w:r>
        <w:rPr>
          <w:rFonts w:hint="eastAsia" w:ascii="宋体" w:hAnsi="宋体" w:cs="宋体"/>
          <w:kern w:val="0"/>
          <w:sz w:val="24"/>
        </w:rPr>
        <w:t>（三）获取招标文件的时间、方式：</w:t>
      </w:r>
    </w:p>
    <w:p>
      <w:pPr>
        <w:spacing w:line="360" w:lineRule="auto"/>
        <w:ind w:firstLine="540"/>
        <w:rPr>
          <w:rFonts w:ascii="仿宋" w:hAnsi="仿宋" w:eastAsia="仿宋" w:cs="宋体"/>
          <w:sz w:val="28"/>
          <w:szCs w:val="28"/>
        </w:rPr>
      </w:pPr>
      <w:r>
        <w:rPr>
          <w:rFonts w:hint="eastAsia" w:ascii="宋体" w:hAnsi="宋体" w:cs="宋体"/>
          <w:b/>
          <w:bCs/>
          <w:sz w:val="24"/>
        </w:rPr>
        <w:t>时间：</w:t>
      </w:r>
      <w:r>
        <w:rPr>
          <w:rFonts w:hint="eastAsia" w:ascii="宋体" w:hAnsi="宋体" w:cs="宋体"/>
          <w:sz w:val="24"/>
          <w:highlight w:val="yellow"/>
          <w:u w:val="single"/>
        </w:rPr>
        <w:t>2022年9月</w:t>
      </w:r>
      <w:r>
        <w:rPr>
          <w:rFonts w:hint="eastAsia" w:ascii="宋体" w:hAnsi="宋体" w:cs="宋体"/>
          <w:sz w:val="24"/>
          <w:highlight w:val="yellow"/>
          <w:u w:val="single"/>
          <w:lang w:val="en-US" w:eastAsia="zh-CN"/>
        </w:rPr>
        <w:t>30</w:t>
      </w:r>
      <w:r>
        <w:rPr>
          <w:rFonts w:hint="eastAsia" w:ascii="宋体" w:hAnsi="宋体" w:cs="宋体"/>
          <w:sz w:val="24"/>
          <w:highlight w:val="yellow"/>
          <w:u w:val="single"/>
        </w:rPr>
        <w:t>日</w:t>
      </w:r>
      <w:r>
        <w:rPr>
          <w:rFonts w:hint="eastAsia" w:ascii="宋体" w:hAnsi="宋体" w:cs="宋体"/>
          <w:sz w:val="24"/>
          <w:highlight w:val="yellow"/>
        </w:rPr>
        <w:t>至</w:t>
      </w:r>
      <w:r>
        <w:rPr>
          <w:rFonts w:hint="eastAsia" w:ascii="宋体" w:hAnsi="宋体" w:cs="宋体"/>
          <w:sz w:val="24"/>
          <w:highlight w:val="yellow"/>
          <w:u w:val="single"/>
        </w:rPr>
        <w:t>2022年</w:t>
      </w:r>
      <w:r>
        <w:rPr>
          <w:rFonts w:hint="eastAsia" w:ascii="宋体" w:hAnsi="宋体" w:cs="宋体"/>
          <w:sz w:val="24"/>
          <w:highlight w:val="yellow"/>
          <w:u w:val="single"/>
          <w:lang w:val="en-US" w:eastAsia="zh-CN"/>
        </w:rPr>
        <w:t>10</w:t>
      </w:r>
      <w:r>
        <w:rPr>
          <w:rFonts w:hint="eastAsia" w:ascii="宋体" w:hAnsi="宋体" w:cs="宋体"/>
          <w:sz w:val="24"/>
          <w:highlight w:val="yellow"/>
          <w:u w:val="single"/>
        </w:rPr>
        <w:t>月</w:t>
      </w:r>
      <w:r>
        <w:rPr>
          <w:rFonts w:hint="eastAsia" w:ascii="宋体" w:hAnsi="宋体" w:cs="宋体"/>
          <w:sz w:val="24"/>
          <w:highlight w:val="yellow"/>
          <w:u w:val="single"/>
          <w:lang w:val="en-US" w:eastAsia="zh-CN"/>
        </w:rPr>
        <w:t>12</w:t>
      </w:r>
      <w:r>
        <w:rPr>
          <w:rFonts w:hint="eastAsia" w:ascii="宋体" w:hAnsi="宋体" w:cs="宋体"/>
          <w:sz w:val="24"/>
          <w:highlight w:val="yellow"/>
          <w:u w:val="single"/>
        </w:rPr>
        <w:t xml:space="preserve"> 日</w:t>
      </w:r>
      <w:r>
        <w:rPr>
          <w:rFonts w:hint="eastAsia" w:ascii="宋体" w:hAnsi="宋体" w:cs="宋体"/>
          <w:sz w:val="24"/>
          <w:highlight w:val="yellow"/>
        </w:rPr>
        <w:t>，每天上午</w:t>
      </w:r>
      <w:r>
        <w:rPr>
          <w:rFonts w:hint="eastAsia" w:ascii="宋体" w:hAnsi="宋体" w:cs="宋体"/>
          <w:sz w:val="24"/>
          <w:highlight w:val="yellow"/>
          <w:u w:val="single"/>
        </w:rPr>
        <w:t xml:space="preserve"> 10:00</w:t>
      </w:r>
      <w:r>
        <w:rPr>
          <w:rFonts w:hint="eastAsia" w:ascii="宋体" w:hAnsi="宋体" w:cs="宋体"/>
          <w:sz w:val="24"/>
          <w:highlight w:val="yellow"/>
        </w:rPr>
        <w:t>至</w:t>
      </w:r>
      <w:r>
        <w:rPr>
          <w:rFonts w:hint="eastAsia" w:ascii="宋体" w:hAnsi="宋体" w:cs="宋体"/>
          <w:sz w:val="24"/>
          <w:highlight w:val="yellow"/>
          <w:u w:val="single"/>
        </w:rPr>
        <w:t>13:30</w:t>
      </w:r>
      <w:r>
        <w:rPr>
          <w:rFonts w:hint="eastAsia" w:ascii="宋体" w:hAnsi="宋体" w:cs="宋体"/>
          <w:sz w:val="24"/>
          <w:highlight w:val="yellow"/>
        </w:rPr>
        <w:t>，下午</w:t>
      </w:r>
      <w:r>
        <w:rPr>
          <w:rFonts w:hint="eastAsia" w:ascii="宋体" w:hAnsi="宋体" w:cs="宋体"/>
          <w:sz w:val="24"/>
          <w:highlight w:val="yellow"/>
          <w:u w:val="single"/>
        </w:rPr>
        <w:t>15:30</w:t>
      </w:r>
      <w:r>
        <w:rPr>
          <w:rFonts w:hint="eastAsia" w:ascii="宋体" w:hAnsi="宋体" w:cs="宋体"/>
          <w:sz w:val="24"/>
          <w:highlight w:val="yellow"/>
        </w:rPr>
        <w:t>至18</w:t>
      </w:r>
      <w:r>
        <w:rPr>
          <w:rFonts w:hint="eastAsia" w:ascii="宋体" w:hAnsi="宋体" w:cs="宋体"/>
          <w:sz w:val="24"/>
          <w:highlight w:val="yellow"/>
          <w:u w:val="single"/>
        </w:rPr>
        <w:t>:30</w:t>
      </w:r>
      <w:r>
        <w:rPr>
          <w:rFonts w:hint="eastAsia" w:ascii="宋体" w:hAnsi="宋体" w:cs="宋体"/>
          <w:sz w:val="24"/>
          <w:highlight w:val="yellow"/>
        </w:rPr>
        <w:t>（北京时间，法定节假日除外 ）</w:t>
      </w:r>
    </w:p>
    <w:p>
      <w:pPr>
        <w:spacing w:line="360" w:lineRule="auto"/>
        <w:ind w:firstLine="540"/>
        <w:rPr>
          <w:rFonts w:ascii="宋体" w:hAnsi="宋体" w:cs="宋体"/>
          <w:sz w:val="24"/>
        </w:rPr>
      </w:pPr>
      <w:r>
        <w:rPr>
          <w:rFonts w:hint="eastAsia" w:ascii="宋体" w:hAnsi="宋体" w:cs="宋体"/>
          <w:b/>
          <w:bCs/>
          <w:sz w:val="24"/>
        </w:rPr>
        <w:t>地点：</w:t>
      </w:r>
      <w:r>
        <w:rPr>
          <w:rFonts w:hint="eastAsia" w:ascii="宋体" w:hAnsi="宋体" w:cs="宋体"/>
          <w:sz w:val="24"/>
        </w:rPr>
        <w:t>新疆天之源项目管理集团有限公司（乌鲁木齐市水磨沟区龙盛街2799号浙商大厦11楼招标一部）</w:t>
      </w:r>
    </w:p>
    <w:p>
      <w:pPr>
        <w:spacing w:line="360" w:lineRule="auto"/>
        <w:ind w:firstLine="540"/>
        <w:rPr>
          <w:rFonts w:ascii="宋体" w:hAnsi="宋体" w:cs="宋体"/>
          <w:sz w:val="24"/>
        </w:rPr>
      </w:pPr>
      <w:r>
        <w:rPr>
          <w:rFonts w:hint="eastAsia" w:ascii="宋体" w:hAnsi="宋体" w:cs="宋体"/>
          <w:b/>
          <w:bCs/>
          <w:sz w:val="24"/>
        </w:rPr>
        <w:t>方式：</w:t>
      </w:r>
      <w:r>
        <w:rPr>
          <w:rFonts w:hint="eastAsia" w:ascii="宋体" w:hAnsi="宋体" w:cs="宋体"/>
          <w:sz w:val="24"/>
        </w:rPr>
        <w:t>因疫情原因无法线下获取文件，供应商获取招标文件时需将以下内容按先后扫描成PDF格式发送到QQ邮箱183760585@qq.com。</w:t>
      </w:r>
    </w:p>
    <w:p>
      <w:pPr>
        <w:spacing w:line="360" w:lineRule="auto"/>
        <w:ind w:firstLine="480" w:firstLineChars="200"/>
        <w:rPr>
          <w:rFonts w:ascii="宋体" w:hAnsi="宋体" w:cs="宋体"/>
          <w:sz w:val="24"/>
        </w:rPr>
      </w:pPr>
      <w:r>
        <w:rPr>
          <w:rFonts w:hint="eastAsia" w:ascii="宋体" w:hAnsi="宋体" w:cs="宋体"/>
          <w:sz w:val="24"/>
        </w:rPr>
        <w:t>（1）法人授权委托书和被授权人有效身份证（法人直接参加的需出示法人身份证明及身份证原件）；</w:t>
      </w:r>
    </w:p>
    <w:p>
      <w:pPr>
        <w:spacing w:line="360" w:lineRule="auto"/>
        <w:ind w:firstLine="480" w:firstLineChars="200"/>
        <w:rPr>
          <w:rFonts w:ascii="宋体" w:hAnsi="宋体" w:cs="宋体"/>
          <w:sz w:val="24"/>
        </w:rPr>
      </w:pPr>
      <w:r>
        <w:rPr>
          <w:rFonts w:hint="eastAsia" w:ascii="宋体" w:hAnsi="宋体" w:cs="宋体"/>
          <w:sz w:val="24"/>
        </w:rPr>
        <w:t>（2）供应商为企业法人应提供合法有效的标识有统一社会信用代码的营业执照；事业法人应提供事业单位法人证书；其他组织应提供合法登记证明文件；</w:t>
      </w:r>
    </w:p>
    <w:p>
      <w:pPr>
        <w:spacing w:line="360" w:lineRule="auto"/>
        <w:ind w:firstLine="480" w:firstLineChars="200"/>
        <w:rPr>
          <w:rFonts w:ascii="宋体" w:hAnsi="宋体" w:cs="宋体"/>
          <w:sz w:val="24"/>
        </w:rPr>
      </w:pPr>
      <w:r>
        <w:rPr>
          <w:rFonts w:hint="eastAsia" w:ascii="宋体" w:hAnsi="宋体" w:cs="宋体"/>
          <w:sz w:val="24"/>
        </w:rPr>
        <w:t>（3）根据《政府采购促进中小企业发展管理办法》要求，本项目应当专门面向中小企业采购（提供中小微企业声明函）</w:t>
      </w:r>
    </w:p>
    <w:p>
      <w:pPr>
        <w:spacing w:line="360" w:lineRule="auto"/>
        <w:ind w:firstLine="480" w:firstLineChars="200"/>
        <w:rPr>
          <w:rFonts w:ascii="宋体" w:hAnsi="宋体" w:cs="宋体"/>
          <w:sz w:val="24"/>
        </w:rPr>
      </w:pPr>
      <w:r>
        <w:rPr>
          <w:rFonts w:hint="eastAsia" w:ascii="宋体" w:hAnsi="宋体" w:cs="宋体"/>
          <w:sz w:val="24"/>
        </w:rPr>
        <w:t>（4）社会保障资金缴纳证明：供应商提供近半年内已缴存的至少一个月的社会保障资金缴存单据或社保机构开具的社会保险参保缴费情况证明，依法不需要缴纳社会保障资金的供应商应提供相关文件证明；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sz w:val="24"/>
        </w:rPr>
      </w:pPr>
      <w:r>
        <w:rPr>
          <w:rFonts w:hint="eastAsia" w:ascii="宋体" w:hAnsi="宋体" w:cs="宋体"/>
          <w:sz w:val="24"/>
        </w:rPr>
        <w:t>（5）财务状况报告：供应商提供近1年的财务审计报告（至少包括审计报告、资产负债表和利润表，成立时间至提交投标文件截止时间不足一年的可提供成立后任意时段的资产负债表），或其开标前三个月内基本存款账户开户银行出具的资信证明；</w:t>
      </w:r>
    </w:p>
    <w:p>
      <w:pPr>
        <w:spacing w:line="360" w:lineRule="auto"/>
        <w:ind w:firstLine="480" w:firstLineChars="200"/>
        <w:rPr>
          <w:rFonts w:ascii="宋体" w:hAnsi="宋体" w:cs="宋体"/>
          <w:sz w:val="24"/>
        </w:rPr>
      </w:pPr>
      <w:r>
        <w:rPr>
          <w:rFonts w:hint="eastAsia" w:ascii="宋体" w:hAnsi="宋体" w:cs="宋体"/>
          <w:sz w:val="24"/>
        </w:rPr>
        <w:t>（6）税收缴纳证明：供应商提供近半年内已缴纳的至少一个月的纳税证明或完税证明，纳税证明或完税证明上应有代收机构或税务机关的公章，依法免税的供应商应提供相关文件证明；</w:t>
      </w:r>
    </w:p>
    <w:p>
      <w:pPr>
        <w:spacing w:line="360" w:lineRule="auto"/>
        <w:ind w:firstLine="480" w:firstLineChars="200"/>
        <w:rPr>
          <w:rFonts w:ascii="宋体" w:hAnsi="宋体" w:cs="宋体"/>
          <w:sz w:val="24"/>
        </w:rPr>
      </w:pPr>
      <w:r>
        <w:rPr>
          <w:rFonts w:hint="eastAsia" w:ascii="宋体" w:hAnsi="宋体" w:cs="宋体"/>
          <w:sz w:val="24"/>
        </w:rPr>
        <w:t>（7）供应商应具备良好的商业信誉，提供参加政府采购活动前3年内在经营活动中没有重大违法记录的书面声明；</w:t>
      </w:r>
    </w:p>
    <w:p>
      <w:pPr>
        <w:spacing w:line="360" w:lineRule="auto"/>
        <w:ind w:firstLine="480" w:firstLineChars="200"/>
        <w:rPr>
          <w:rFonts w:ascii="仿宋" w:hAnsi="仿宋" w:eastAsia="仿宋" w:cs="宋体"/>
          <w:sz w:val="28"/>
          <w:szCs w:val="28"/>
          <w:u w:val="single"/>
        </w:rPr>
      </w:pPr>
      <w:r>
        <w:rPr>
          <w:rFonts w:hint="eastAsia" w:ascii="宋体" w:hAnsi="宋体" w:cs="宋体"/>
          <w:sz w:val="24"/>
        </w:rPr>
        <w:t>（8）供应商应在“信用中国”网站（</w:t>
      </w:r>
      <w:r>
        <w:rPr>
          <w:rFonts w:hint="eastAsia"/>
        </w:rPr>
        <w:t>www.creditchina.gov.cn）</w:t>
      </w:r>
      <w:r>
        <w:rPr>
          <w:rFonts w:hint="eastAsia" w:ascii="宋体" w:hAnsi="宋体" w:cs="宋体"/>
          <w:sz w:val="24"/>
        </w:rPr>
        <w:t>未被列入失信被执行人记录、重大税收违法案件当事人名单且在中国政府采购网</w:t>
      </w:r>
      <w:r>
        <w:rPr>
          <w:rFonts w:hint="eastAsia"/>
        </w:rPr>
        <w:t>（www.ccgp.gov.cn）</w:t>
      </w:r>
      <w:r>
        <w:rPr>
          <w:rFonts w:hint="eastAsia" w:ascii="宋体" w:hAnsi="宋体" w:cs="宋体"/>
          <w:sz w:val="24"/>
        </w:rPr>
        <w:t>没有相关主体政府采购严重违法失信行为记录（被禁止在一定期限内参加政府采购活动但期限届满的除外）（查询日期为从采购文件发售之日起至投标截止日前），以网页截图（需显示查询时间）加盖供应商公章为准；</w:t>
      </w:r>
    </w:p>
    <w:p>
      <w:pPr>
        <w:adjustRightInd w:val="0"/>
        <w:snapToGrid w:val="0"/>
        <w:spacing w:line="360" w:lineRule="auto"/>
        <w:textAlignment w:val="baseline"/>
        <w:rPr>
          <w:rFonts w:ascii="宋体" w:hAnsi="宋体" w:cs="宋体"/>
          <w:kern w:val="0"/>
          <w:sz w:val="24"/>
        </w:rPr>
      </w:pPr>
      <w:r>
        <w:rPr>
          <w:rFonts w:hint="eastAsia" w:ascii="宋体" w:hAnsi="宋体" w:cs="宋体"/>
          <w:kern w:val="0"/>
          <w:sz w:val="24"/>
        </w:rPr>
        <w:t>（四）递交投标文件的截止时间、方式:</w:t>
      </w:r>
    </w:p>
    <w:p>
      <w:pPr>
        <w:spacing w:line="360" w:lineRule="auto"/>
        <w:ind w:firstLine="480" w:firstLineChars="200"/>
        <w:rPr>
          <w:rFonts w:ascii="宋体" w:hAnsi="宋体" w:cs="宋体"/>
          <w:kern w:val="0"/>
          <w:sz w:val="24"/>
        </w:rPr>
      </w:pPr>
      <w:r>
        <w:rPr>
          <w:rFonts w:hint="eastAsia" w:ascii="宋体" w:hAnsi="宋体" w:cs="宋体"/>
          <w:kern w:val="0"/>
          <w:sz w:val="24"/>
          <w:highlight w:val="yellow"/>
        </w:rPr>
        <w:t>1.投标截止时间：2022年</w:t>
      </w:r>
      <w:r>
        <w:rPr>
          <w:rFonts w:hint="eastAsia" w:ascii="宋体" w:hAnsi="宋体" w:cs="宋体"/>
          <w:kern w:val="0"/>
          <w:sz w:val="24"/>
          <w:highlight w:val="yellow"/>
          <w:lang w:val="en-US" w:eastAsia="zh-CN"/>
        </w:rPr>
        <w:t>10</w:t>
      </w:r>
      <w:r>
        <w:rPr>
          <w:rFonts w:hint="eastAsia" w:ascii="宋体" w:hAnsi="宋体" w:cs="宋体"/>
          <w:kern w:val="0"/>
          <w:sz w:val="24"/>
          <w:highlight w:val="yellow"/>
        </w:rPr>
        <w:t>月</w:t>
      </w:r>
      <w:r>
        <w:rPr>
          <w:rFonts w:hint="eastAsia" w:ascii="宋体" w:hAnsi="宋体" w:cs="宋体"/>
          <w:kern w:val="0"/>
          <w:sz w:val="24"/>
          <w:highlight w:val="yellow"/>
          <w:lang w:val="en-US" w:eastAsia="zh-CN"/>
        </w:rPr>
        <w:t>21</w:t>
      </w:r>
      <w:r>
        <w:rPr>
          <w:rFonts w:hint="eastAsia" w:ascii="宋体" w:hAnsi="宋体" w:cs="宋体"/>
          <w:kern w:val="0"/>
          <w:sz w:val="24"/>
          <w:highlight w:val="yellow"/>
        </w:rPr>
        <w:t>日1</w:t>
      </w:r>
      <w:r>
        <w:rPr>
          <w:rFonts w:hint="eastAsia" w:ascii="宋体" w:hAnsi="宋体" w:cs="宋体"/>
          <w:kern w:val="0"/>
          <w:sz w:val="24"/>
          <w:highlight w:val="yellow"/>
          <w:lang w:val="en-US" w:eastAsia="zh-CN"/>
        </w:rPr>
        <w:t>1</w:t>
      </w:r>
      <w:r>
        <w:rPr>
          <w:rFonts w:hint="eastAsia" w:ascii="宋体" w:hAnsi="宋体" w:cs="宋体"/>
          <w:kern w:val="0"/>
          <w:sz w:val="24"/>
          <w:highlight w:val="yellow"/>
        </w:rPr>
        <w:t>:00（北京时间）。</w:t>
      </w:r>
    </w:p>
    <w:p>
      <w:pPr>
        <w:spacing w:line="360" w:lineRule="auto"/>
        <w:ind w:firstLine="480" w:firstLineChars="200"/>
        <w:rPr>
          <w:rFonts w:ascii="宋体" w:hAnsi="宋体" w:cs="宋体"/>
          <w:kern w:val="0"/>
          <w:sz w:val="24"/>
        </w:rPr>
      </w:pPr>
      <w:r>
        <w:rPr>
          <w:rFonts w:hint="eastAsia" w:ascii="宋体" w:hAnsi="宋体" w:cs="宋体"/>
          <w:kern w:val="0"/>
          <w:sz w:val="24"/>
        </w:rPr>
        <w:t>2.递交投标文件地点：乌鲁木齐市水磨沟区龙盛街2799号浙商大厦11楼会议室。</w:t>
      </w:r>
    </w:p>
    <w:p>
      <w:pPr>
        <w:spacing w:line="360" w:lineRule="auto"/>
        <w:ind w:firstLine="480" w:firstLineChars="200"/>
        <w:rPr>
          <w:rFonts w:ascii="宋体" w:hAnsi="宋体" w:cs="宋体"/>
          <w:kern w:val="0"/>
          <w:sz w:val="24"/>
        </w:rPr>
      </w:pPr>
      <w:r>
        <w:rPr>
          <w:rFonts w:hint="eastAsia" w:ascii="宋体" w:hAnsi="宋体" w:cs="宋体"/>
          <w:kern w:val="0"/>
          <w:sz w:val="24"/>
        </w:rPr>
        <w:t>3.采购方式：公开招标。</w:t>
      </w:r>
    </w:p>
    <w:p>
      <w:pPr>
        <w:adjustRightInd w:val="0"/>
        <w:snapToGrid w:val="0"/>
        <w:spacing w:line="360" w:lineRule="auto"/>
        <w:textAlignment w:val="baseline"/>
        <w:rPr>
          <w:rFonts w:ascii="宋体" w:hAnsi="宋体" w:cs="宋体"/>
          <w:kern w:val="0"/>
          <w:sz w:val="24"/>
        </w:rPr>
      </w:pPr>
      <w:r>
        <w:rPr>
          <w:rFonts w:hint="eastAsia" w:ascii="宋体" w:hAnsi="宋体" w:cs="宋体"/>
          <w:kern w:val="0"/>
          <w:sz w:val="24"/>
        </w:rPr>
        <w:t>（五）招标人及其招标代理机构的名称、地址、联系人及联系方式：</w:t>
      </w:r>
    </w:p>
    <w:p>
      <w:pPr>
        <w:spacing w:line="360" w:lineRule="auto"/>
        <w:ind w:firstLine="480" w:firstLineChars="200"/>
        <w:rPr>
          <w:rFonts w:ascii="宋体" w:hAnsi="宋体" w:cs="宋体"/>
          <w:kern w:val="0"/>
          <w:sz w:val="24"/>
        </w:rPr>
      </w:pPr>
      <w:r>
        <w:rPr>
          <w:rFonts w:hint="eastAsia" w:ascii="宋体" w:hAnsi="宋体" w:cs="宋体"/>
          <w:kern w:val="0"/>
          <w:sz w:val="24"/>
        </w:rPr>
        <w:t>1.采购人：新疆维吾尔自治区文博院</w:t>
      </w:r>
    </w:p>
    <w:p>
      <w:pPr>
        <w:spacing w:line="360" w:lineRule="auto"/>
        <w:ind w:firstLine="720" w:firstLineChars="300"/>
        <w:rPr>
          <w:rFonts w:ascii="宋体" w:hAnsi="宋体" w:cs="宋体"/>
          <w:kern w:val="0"/>
          <w:sz w:val="24"/>
        </w:rPr>
      </w:pPr>
      <w:r>
        <w:rPr>
          <w:rFonts w:hint="eastAsia" w:ascii="宋体" w:hAnsi="宋体" w:cs="宋体"/>
          <w:kern w:val="0"/>
          <w:sz w:val="24"/>
        </w:rPr>
        <w:t>联系人：李博</w:t>
      </w:r>
    </w:p>
    <w:p>
      <w:pPr>
        <w:spacing w:line="360" w:lineRule="auto"/>
        <w:ind w:firstLine="720" w:firstLineChars="300"/>
        <w:rPr>
          <w:rFonts w:ascii="宋体" w:hAnsi="宋体" w:cs="宋体"/>
          <w:kern w:val="0"/>
          <w:sz w:val="24"/>
        </w:rPr>
      </w:pPr>
      <w:r>
        <w:rPr>
          <w:rFonts w:hint="eastAsia" w:ascii="宋体" w:hAnsi="宋体" w:cs="宋体"/>
          <w:kern w:val="0"/>
          <w:sz w:val="24"/>
        </w:rPr>
        <w:t>电 话：15299180110</w:t>
      </w:r>
    </w:p>
    <w:p>
      <w:pPr>
        <w:spacing w:line="360" w:lineRule="auto"/>
        <w:ind w:firstLine="720" w:firstLineChars="300"/>
        <w:rPr>
          <w:rFonts w:ascii="宋体" w:hAnsi="宋体" w:cs="宋体"/>
          <w:kern w:val="0"/>
          <w:sz w:val="24"/>
        </w:rPr>
      </w:pPr>
      <w:r>
        <w:rPr>
          <w:rFonts w:hint="eastAsia" w:ascii="宋体" w:hAnsi="宋体" w:cs="宋体"/>
          <w:kern w:val="0"/>
          <w:sz w:val="24"/>
        </w:rPr>
        <w:t>单位地址：乌鲁木齐市沙依巴克区友好北路</w:t>
      </w:r>
      <w:r>
        <w:rPr>
          <w:rFonts w:ascii="宋体" w:hAnsi="宋体" w:cs="宋体"/>
          <w:kern w:val="0"/>
          <w:sz w:val="24"/>
        </w:rPr>
        <w:t>167号</w:t>
      </w:r>
    </w:p>
    <w:p/>
    <w:p>
      <w:pPr>
        <w:spacing w:line="360" w:lineRule="auto"/>
        <w:ind w:firstLine="480" w:firstLineChars="200"/>
        <w:rPr>
          <w:rFonts w:ascii="宋体" w:hAnsi="宋体" w:cs="宋体"/>
          <w:kern w:val="0"/>
          <w:sz w:val="24"/>
        </w:rPr>
      </w:pPr>
      <w:r>
        <w:rPr>
          <w:rFonts w:hint="eastAsia" w:ascii="宋体" w:hAnsi="宋体" w:cs="宋体"/>
          <w:kern w:val="0"/>
          <w:sz w:val="24"/>
        </w:rPr>
        <w:t>2.代理机构：新疆天之源项目管理集团有限公司</w:t>
      </w:r>
    </w:p>
    <w:p>
      <w:pPr>
        <w:spacing w:line="360" w:lineRule="auto"/>
        <w:ind w:firstLine="720" w:firstLineChars="300"/>
        <w:rPr>
          <w:rFonts w:ascii="宋体" w:hAnsi="宋体" w:cs="宋体"/>
          <w:kern w:val="0"/>
          <w:sz w:val="24"/>
        </w:rPr>
      </w:pPr>
      <w:r>
        <w:rPr>
          <w:rFonts w:hint="eastAsia" w:ascii="宋体" w:hAnsi="宋体" w:cs="宋体"/>
          <w:kern w:val="0"/>
          <w:sz w:val="24"/>
        </w:rPr>
        <w:t>联系人：李飞</w:t>
      </w:r>
    </w:p>
    <w:p>
      <w:pPr>
        <w:spacing w:line="360" w:lineRule="auto"/>
        <w:ind w:firstLine="720" w:firstLineChars="300"/>
        <w:rPr>
          <w:rFonts w:ascii="宋体" w:hAnsi="宋体" w:cs="宋体"/>
          <w:kern w:val="0"/>
          <w:sz w:val="24"/>
        </w:rPr>
      </w:pPr>
      <w:r>
        <w:rPr>
          <w:rFonts w:hint="eastAsia" w:ascii="宋体" w:hAnsi="宋体" w:cs="宋体"/>
          <w:kern w:val="0"/>
          <w:sz w:val="24"/>
        </w:rPr>
        <w:t>电 话：18699146324</w:t>
      </w:r>
    </w:p>
    <w:p>
      <w:pPr>
        <w:spacing w:line="360" w:lineRule="auto"/>
        <w:ind w:firstLine="720" w:firstLineChars="300"/>
        <w:rPr>
          <w:rFonts w:ascii="宋体" w:hAnsi="宋体" w:cs="宋体"/>
          <w:kern w:val="0"/>
          <w:sz w:val="24"/>
        </w:rPr>
      </w:pPr>
      <w:r>
        <w:rPr>
          <w:rFonts w:hint="eastAsia" w:ascii="宋体" w:hAnsi="宋体" w:cs="宋体"/>
          <w:kern w:val="0"/>
          <w:sz w:val="24"/>
        </w:rPr>
        <w:t>单位地址：乌鲁木齐市水磨沟区龙盛街2799号浙商大厦11楼</w:t>
      </w:r>
    </w:p>
    <w:p>
      <w:pPr>
        <w:adjustRightInd w:val="0"/>
        <w:snapToGrid w:val="0"/>
        <w:spacing w:before="120" w:after="120"/>
        <w:jc w:val="center"/>
        <w:textAlignment w:val="baseline"/>
        <w:outlineLvl w:val="0"/>
        <w:rPr>
          <w:rFonts w:ascii="微软雅黑" w:hAnsi="微软雅黑" w:eastAsia="微软雅黑" w:cs="微软雅黑"/>
          <w:b/>
          <w:sz w:val="40"/>
          <w:szCs w:val="22"/>
        </w:rPr>
      </w:pPr>
      <w:r>
        <w:rPr>
          <w:rFonts w:hint="eastAsia" w:ascii="宋体" w:hAnsi="宋体" w:cs="宋体"/>
          <w:kern w:val="0"/>
          <w:sz w:val="24"/>
        </w:rPr>
        <w:br w:type="page"/>
      </w:r>
      <w:bookmarkStart w:id="5" w:name="_Toc3587"/>
      <w:bookmarkStart w:id="6" w:name="_Toc32254"/>
      <w:bookmarkStart w:id="7" w:name="_Toc25164"/>
      <w:bookmarkStart w:id="8" w:name="_Toc22685"/>
      <w:bookmarkStart w:id="9" w:name="_Toc26842"/>
      <w:r>
        <w:rPr>
          <w:rFonts w:hint="eastAsia" w:ascii="微软雅黑" w:hAnsi="微软雅黑" w:eastAsia="微软雅黑" w:cs="微软雅黑"/>
          <w:b/>
          <w:sz w:val="40"/>
          <w:szCs w:val="22"/>
        </w:rPr>
        <w:t xml:space="preserve">第一章  </w:t>
      </w:r>
      <w:bookmarkEnd w:id="5"/>
      <w:bookmarkEnd w:id="6"/>
      <w:r>
        <w:rPr>
          <w:rFonts w:hint="eastAsia" w:ascii="微软雅黑" w:hAnsi="微软雅黑" w:eastAsia="微软雅黑" w:cs="微软雅黑"/>
          <w:b/>
          <w:sz w:val="40"/>
          <w:szCs w:val="22"/>
        </w:rPr>
        <w:t>投标人须知前附表</w:t>
      </w:r>
      <w:bookmarkEnd w:id="7"/>
      <w:bookmarkEnd w:id="8"/>
      <w:bookmarkEnd w:id="9"/>
    </w:p>
    <w:tbl>
      <w:tblPr>
        <w:tblStyle w:val="27"/>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8"/>
        <w:gridCol w:w="9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exact"/>
          <w:jc w:val="center"/>
        </w:trPr>
        <w:tc>
          <w:tcPr>
            <w:tcW w:w="698" w:type="dxa"/>
          </w:tcPr>
          <w:p>
            <w:pPr>
              <w:pStyle w:val="50"/>
              <w:kinsoku w:val="0"/>
              <w:overflowPunct w:val="0"/>
              <w:spacing w:before="74"/>
              <w:ind w:left="130"/>
              <w:rPr>
                <w:rFonts w:ascii="宋体" w:hAnsi="宋体" w:cs="宋体"/>
              </w:rPr>
            </w:pPr>
            <w:bookmarkStart w:id="10" w:name="_Toc24346"/>
            <w:bookmarkStart w:id="11" w:name="_Toc28652"/>
            <w:bookmarkStart w:id="12" w:name="_Toc22369"/>
            <w:r>
              <w:rPr>
                <w:rFonts w:hint="eastAsia" w:ascii="宋体" w:hAnsi="宋体" w:cs="宋体"/>
                <w:b/>
                <w:bCs/>
              </w:rPr>
              <w:t>序号</w:t>
            </w:r>
          </w:p>
        </w:tc>
        <w:tc>
          <w:tcPr>
            <w:tcW w:w="9032" w:type="dxa"/>
            <w:tcBorders>
              <w:bottom w:val="single" w:color="auto" w:sz="4" w:space="0"/>
            </w:tcBorders>
          </w:tcPr>
          <w:p>
            <w:pPr>
              <w:pStyle w:val="50"/>
              <w:tabs>
                <w:tab w:val="left" w:pos="627"/>
                <w:tab w:val="left" w:pos="1227"/>
                <w:tab w:val="left" w:pos="1832"/>
              </w:tabs>
              <w:kinsoku w:val="0"/>
              <w:overflowPunct w:val="0"/>
              <w:spacing w:before="74"/>
              <w:ind w:left="25"/>
              <w:jc w:val="center"/>
              <w:rPr>
                <w:rFonts w:ascii="宋体" w:hAnsi="宋体" w:cs="宋体"/>
              </w:rPr>
            </w:pPr>
            <w:r>
              <w:rPr>
                <w:rFonts w:hint="eastAsia" w:ascii="宋体" w:hAnsi="宋体" w:cs="宋体"/>
                <w:b/>
                <w:bCs/>
                <w:w w:val="95"/>
              </w:rPr>
              <w:t>内</w:t>
            </w:r>
            <w:r>
              <w:rPr>
                <w:rFonts w:hint="eastAsia" w:ascii="宋体" w:hAnsi="宋体" w:cs="宋体"/>
                <w:b/>
                <w:bCs/>
                <w:w w:val="95"/>
              </w:rPr>
              <w:tab/>
            </w:r>
            <w:r>
              <w:rPr>
                <w:rFonts w:hint="eastAsia" w:ascii="宋体" w:hAnsi="宋体" w:cs="宋体"/>
                <w:b/>
                <w:bCs/>
                <w:w w:val="95"/>
              </w:rPr>
              <w:t>容</w:t>
            </w:r>
            <w:r>
              <w:rPr>
                <w:rFonts w:hint="eastAsia" w:ascii="宋体" w:hAnsi="宋体" w:cs="宋体"/>
                <w:b/>
                <w:bCs/>
                <w:w w:val="95"/>
              </w:rPr>
              <w:tab/>
            </w:r>
            <w:r>
              <w:rPr>
                <w:rFonts w:hint="eastAsia" w:ascii="宋体" w:hAnsi="宋体" w:cs="宋体"/>
                <w:b/>
                <w:bCs/>
                <w:w w:val="95"/>
              </w:rPr>
              <w:t>规</w:t>
            </w:r>
            <w:r>
              <w:rPr>
                <w:rFonts w:hint="eastAsia" w:ascii="宋体" w:hAnsi="宋体" w:cs="宋体"/>
                <w:b/>
                <w:bCs/>
                <w:w w:val="95"/>
              </w:rPr>
              <w:tab/>
            </w:r>
            <w:r>
              <w:rPr>
                <w:rFonts w:hint="eastAsia" w:ascii="宋体" w:hAnsi="宋体" w:cs="宋体"/>
                <w:b/>
                <w:bCs/>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exact"/>
          <w:jc w:val="center"/>
        </w:trPr>
        <w:tc>
          <w:tcPr>
            <w:tcW w:w="698" w:type="dxa"/>
            <w:vMerge w:val="restart"/>
            <w:vAlign w:val="center"/>
          </w:tcPr>
          <w:p>
            <w:pPr>
              <w:pStyle w:val="50"/>
              <w:kinsoku w:val="0"/>
              <w:overflowPunct w:val="0"/>
              <w:ind w:right="14"/>
              <w:jc w:val="center"/>
              <w:rPr>
                <w:rFonts w:ascii="宋体" w:hAnsi="宋体" w:cs="宋体"/>
              </w:rPr>
            </w:pPr>
            <w:r>
              <w:rPr>
                <w:rFonts w:hint="eastAsia" w:ascii="宋体" w:hAnsi="宋体" w:cs="宋体"/>
              </w:rPr>
              <w:t>1</w:t>
            </w:r>
          </w:p>
        </w:tc>
        <w:tc>
          <w:tcPr>
            <w:tcW w:w="9032" w:type="dxa"/>
            <w:tcBorders>
              <w:bottom w:val="nil"/>
            </w:tcBorders>
          </w:tcPr>
          <w:p>
            <w:pPr>
              <w:pStyle w:val="50"/>
              <w:kinsoku w:val="0"/>
              <w:overflowPunct w:val="0"/>
              <w:spacing w:before="57"/>
              <w:ind w:left="102"/>
              <w:rPr>
                <w:rFonts w:ascii="宋体" w:hAnsi="宋体" w:cs="宋体"/>
                <w:b/>
                <w:bCs/>
              </w:rPr>
            </w:pPr>
            <w:r>
              <w:rPr>
                <w:rFonts w:hint="eastAsia" w:ascii="宋体" w:hAnsi="宋体" w:cs="宋体"/>
                <w:b/>
                <w:bCs/>
              </w:rPr>
              <w:t>采 购 人：</w:t>
            </w:r>
            <w:r>
              <w:rPr>
                <w:rFonts w:hint="eastAsia" w:ascii="宋体" w:hAnsi="宋体" w:cs="宋体"/>
              </w:rPr>
              <w:t>新疆维吾尔自治区文博院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exact"/>
          <w:jc w:val="center"/>
        </w:trPr>
        <w:tc>
          <w:tcPr>
            <w:tcW w:w="698" w:type="dxa"/>
            <w:vMerge w:val="continue"/>
            <w:vAlign w:val="center"/>
          </w:tcPr>
          <w:p>
            <w:pPr>
              <w:pStyle w:val="50"/>
              <w:kinsoku w:val="0"/>
              <w:overflowPunct w:val="0"/>
              <w:spacing w:before="57"/>
              <w:ind w:left="102"/>
              <w:jc w:val="center"/>
              <w:rPr>
                <w:rFonts w:ascii="宋体" w:hAnsi="宋体" w:cs="宋体"/>
              </w:rPr>
            </w:pPr>
          </w:p>
        </w:tc>
        <w:tc>
          <w:tcPr>
            <w:tcW w:w="9032" w:type="dxa"/>
            <w:tcBorders>
              <w:top w:val="nil"/>
              <w:bottom w:val="nil"/>
            </w:tcBorders>
          </w:tcPr>
          <w:p>
            <w:pPr>
              <w:pStyle w:val="50"/>
              <w:kinsoku w:val="0"/>
              <w:overflowPunct w:val="0"/>
              <w:spacing w:before="57"/>
              <w:ind w:left="102"/>
              <w:rPr>
                <w:rFonts w:ascii="宋体" w:hAnsi="宋体" w:cs="宋体"/>
                <w:b/>
                <w:bCs/>
              </w:rPr>
            </w:pPr>
            <w:r>
              <w:rPr>
                <w:rFonts w:hint="eastAsia" w:ascii="宋体" w:hAnsi="宋体" w:cs="宋体"/>
                <w:b/>
                <w:bCs/>
              </w:rPr>
              <w:t>地</w:t>
            </w:r>
            <w:r>
              <w:rPr>
                <w:rFonts w:hint="eastAsia" w:ascii="宋体" w:hAnsi="宋体" w:cs="宋体"/>
                <w:b/>
                <w:bCs/>
              </w:rPr>
              <w:tab/>
            </w:r>
            <w:r>
              <w:rPr>
                <w:rFonts w:hint="eastAsia" w:ascii="宋体" w:hAnsi="宋体" w:cs="宋体"/>
                <w:b/>
                <w:bCs/>
              </w:rPr>
              <w:t xml:space="preserve">   址：</w:t>
            </w:r>
            <w:r>
              <w:rPr>
                <w:rFonts w:hint="eastAsia" w:ascii="宋体" w:hAnsi="宋体" w:cs="宋体"/>
              </w:rPr>
              <w:t>乌鲁木齐市沙依巴克区友好北路167号</w:t>
            </w:r>
          </w:p>
          <w:p>
            <w:pPr>
              <w:pStyle w:val="50"/>
              <w:kinsoku w:val="0"/>
              <w:overflowPunct w:val="0"/>
              <w:spacing w:before="57"/>
              <w:ind w:left="102"/>
              <w:rPr>
                <w:rFonts w:ascii="宋体" w:hAnsi="宋体" w:cs="宋体"/>
                <w:b/>
                <w:bCs/>
              </w:rPr>
            </w:pPr>
            <w:r>
              <w:rPr>
                <w:rFonts w:hint="eastAsia" w:ascii="宋体" w:hAnsi="宋体" w:cs="宋体"/>
                <w:b/>
                <w:bCs/>
              </w:rPr>
              <w:t>联 系 人：</w:t>
            </w:r>
            <w:r>
              <w:rPr>
                <w:rFonts w:hint="eastAsia" w:ascii="宋体" w:hAnsi="宋体" w:cs="宋体"/>
              </w:rPr>
              <w:t>李博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exact"/>
          <w:jc w:val="center"/>
        </w:trPr>
        <w:tc>
          <w:tcPr>
            <w:tcW w:w="698" w:type="dxa"/>
            <w:vMerge w:val="continue"/>
            <w:vAlign w:val="center"/>
          </w:tcPr>
          <w:p>
            <w:pPr>
              <w:pStyle w:val="50"/>
              <w:tabs>
                <w:tab w:val="left" w:pos="824"/>
              </w:tabs>
              <w:kinsoku w:val="0"/>
              <w:overflowPunct w:val="0"/>
              <w:spacing w:before="16" w:line="320" w:lineRule="auto"/>
              <w:ind w:left="102" w:right="4066"/>
              <w:jc w:val="center"/>
              <w:rPr>
                <w:rFonts w:ascii="宋体" w:hAnsi="宋体" w:cs="宋体"/>
              </w:rPr>
            </w:pPr>
          </w:p>
        </w:tc>
        <w:tc>
          <w:tcPr>
            <w:tcW w:w="9032" w:type="dxa"/>
            <w:tcBorders>
              <w:top w:val="nil"/>
              <w:bottom w:val="single" w:color="auto" w:sz="4" w:space="0"/>
            </w:tcBorders>
          </w:tcPr>
          <w:p>
            <w:pPr>
              <w:pStyle w:val="50"/>
              <w:kinsoku w:val="0"/>
              <w:overflowPunct w:val="0"/>
              <w:spacing w:before="57"/>
              <w:ind w:left="102"/>
              <w:rPr>
                <w:rFonts w:ascii="宋体" w:hAnsi="宋体" w:cs="宋体"/>
                <w:b/>
                <w:bCs/>
              </w:rPr>
            </w:pPr>
            <w:r>
              <w:rPr>
                <w:rFonts w:hint="eastAsia" w:ascii="宋体" w:hAnsi="宋体" w:cs="宋体"/>
                <w:b/>
                <w:bCs/>
              </w:rPr>
              <w:t>联系电话：</w:t>
            </w:r>
            <w:r>
              <w:rPr>
                <w:rFonts w:hint="eastAsia" w:ascii="宋体" w:hAnsi="宋体" w:cs="宋体"/>
              </w:rPr>
              <w:t xml:space="preserve">15299180110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98" w:type="dxa"/>
            <w:vMerge w:val="restart"/>
            <w:vAlign w:val="center"/>
          </w:tcPr>
          <w:p>
            <w:pPr>
              <w:pStyle w:val="50"/>
              <w:kinsoku w:val="0"/>
              <w:overflowPunct w:val="0"/>
              <w:ind w:right="14"/>
              <w:jc w:val="center"/>
              <w:rPr>
                <w:rFonts w:ascii="宋体" w:hAnsi="宋体" w:cs="宋体"/>
              </w:rPr>
            </w:pPr>
            <w:r>
              <w:rPr>
                <w:rFonts w:hint="eastAsia" w:ascii="宋体" w:hAnsi="宋体" w:cs="宋体"/>
              </w:rPr>
              <w:t>2</w:t>
            </w:r>
          </w:p>
        </w:tc>
        <w:tc>
          <w:tcPr>
            <w:tcW w:w="9032" w:type="dxa"/>
            <w:tcBorders>
              <w:bottom w:val="nil"/>
            </w:tcBorders>
          </w:tcPr>
          <w:p>
            <w:pPr>
              <w:pStyle w:val="50"/>
              <w:kinsoku w:val="0"/>
              <w:overflowPunct w:val="0"/>
              <w:spacing w:before="56"/>
              <w:ind w:left="102"/>
              <w:rPr>
                <w:rFonts w:ascii="宋体" w:hAnsi="宋体" w:cs="宋体"/>
                <w:b/>
                <w:bCs/>
              </w:rPr>
            </w:pPr>
            <w:r>
              <w:rPr>
                <w:rFonts w:hint="eastAsia" w:ascii="宋体" w:hAnsi="宋体" w:cs="宋体"/>
                <w:b/>
                <w:bCs/>
              </w:rPr>
              <w:t>代理机构：</w:t>
            </w:r>
            <w:r>
              <w:rPr>
                <w:rFonts w:hint="eastAsia" w:ascii="宋体" w:hAnsi="宋体" w:cs="宋体"/>
              </w:rPr>
              <w:t>新疆天之源项目管理集团有限公司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exact"/>
          <w:jc w:val="center"/>
        </w:trPr>
        <w:tc>
          <w:tcPr>
            <w:tcW w:w="698" w:type="dxa"/>
            <w:vMerge w:val="continue"/>
            <w:vAlign w:val="center"/>
          </w:tcPr>
          <w:p>
            <w:pPr>
              <w:pStyle w:val="50"/>
              <w:kinsoku w:val="0"/>
              <w:overflowPunct w:val="0"/>
              <w:spacing w:before="56"/>
              <w:ind w:left="102"/>
              <w:jc w:val="center"/>
              <w:rPr>
                <w:rFonts w:ascii="宋体" w:hAnsi="宋体" w:cs="宋体"/>
              </w:rPr>
            </w:pPr>
          </w:p>
        </w:tc>
        <w:tc>
          <w:tcPr>
            <w:tcW w:w="9032" w:type="dxa"/>
            <w:tcBorders>
              <w:top w:val="nil"/>
              <w:bottom w:val="nil"/>
            </w:tcBorders>
          </w:tcPr>
          <w:p>
            <w:pPr>
              <w:pStyle w:val="50"/>
              <w:kinsoku w:val="0"/>
              <w:overflowPunct w:val="0"/>
              <w:spacing w:before="56"/>
              <w:ind w:left="102"/>
              <w:rPr>
                <w:rFonts w:ascii="宋体" w:hAnsi="宋体" w:cs="宋体"/>
                <w:b/>
                <w:bCs/>
              </w:rPr>
            </w:pPr>
            <w:r>
              <w:rPr>
                <w:rFonts w:hint="eastAsia" w:ascii="宋体" w:hAnsi="宋体" w:cs="宋体"/>
                <w:b/>
                <w:bCs/>
              </w:rPr>
              <w:t xml:space="preserve">地  </w:t>
            </w:r>
            <w:r>
              <w:rPr>
                <w:rFonts w:hint="eastAsia" w:ascii="宋体" w:hAnsi="宋体" w:cs="宋体"/>
                <w:b/>
                <w:bCs/>
              </w:rPr>
              <w:tab/>
            </w:r>
            <w:r>
              <w:rPr>
                <w:rFonts w:hint="eastAsia" w:ascii="宋体" w:hAnsi="宋体" w:cs="宋体"/>
                <w:b/>
                <w:bCs/>
              </w:rPr>
              <w:t>址：</w:t>
            </w:r>
            <w:r>
              <w:rPr>
                <w:rFonts w:hint="eastAsia" w:ascii="宋体" w:hAnsi="宋体" w:cs="宋体"/>
              </w:rPr>
              <w:t>乌鲁木齐市水磨沟区龙盛街2799号浙商大厦11楼招标一部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98" w:type="dxa"/>
            <w:vMerge w:val="continue"/>
            <w:vAlign w:val="center"/>
          </w:tcPr>
          <w:p>
            <w:pPr>
              <w:pStyle w:val="50"/>
              <w:tabs>
                <w:tab w:val="left" w:pos="824"/>
              </w:tabs>
              <w:kinsoku w:val="0"/>
              <w:overflowPunct w:val="0"/>
              <w:spacing w:before="16"/>
              <w:ind w:left="102"/>
              <w:jc w:val="center"/>
              <w:rPr>
                <w:rFonts w:ascii="宋体" w:hAnsi="宋体" w:cs="宋体"/>
              </w:rPr>
            </w:pPr>
          </w:p>
        </w:tc>
        <w:tc>
          <w:tcPr>
            <w:tcW w:w="9032" w:type="dxa"/>
            <w:tcBorders>
              <w:top w:val="nil"/>
              <w:bottom w:val="nil"/>
            </w:tcBorders>
          </w:tcPr>
          <w:p>
            <w:pPr>
              <w:pStyle w:val="50"/>
              <w:kinsoku w:val="0"/>
              <w:overflowPunct w:val="0"/>
              <w:spacing w:before="56"/>
              <w:ind w:left="102"/>
              <w:rPr>
                <w:rFonts w:ascii="宋体" w:hAnsi="宋体" w:cs="宋体"/>
                <w:b/>
                <w:bCs/>
              </w:rPr>
            </w:pPr>
            <w:r>
              <w:rPr>
                <w:rFonts w:hint="eastAsia" w:ascii="宋体" w:hAnsi="宋体" w:cs="宋体"/>
                <w:b/>
                <w:bCs/>
              </w:rPr>
              <w:t>联 系 人：</w:t>
            </w:r>
            <w:r>
              <w:rPr>
                <w:rFonts w:hint="eastAsia" w:ascii="宋体" w:hAnsi="宋体" w:cs="宋体"/>
              </w:rPr>
              <w:t>李飞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98" w:type="dxa"/>
            <w:vMerge w:val="continue"/>
            <w:vAlign w:val="center"/>
          </w:tcPr>
          <w:p>
            <w:pPr>
              <w:pStyle w:val="50"/>
              <w:kinsoku w:val="0"/>
              <w:overflowPunct w:val="0"/>
              <w:spacing w:before="16"/>
              <w:ind w:left="102"/>
              <w:jc w:val="center"/>
              <w:rPr>
                <w:rFonts w:ascii="宋体" w:hAnsi="宋体" w:cs="宋体"/>
              </w:rPr>
            </w:pPr>
          </w:p>
        </w:tc>
        <w:tc>
          <w:tcPr>
            <w:tcW w:w="9032" w:type="dxa"/>
            <w:tcBorders>
              <w:top w:val="nil"/>
              <w:bottom w:val="single" w:color="auto" w:sz="4" w:space="0"/>
            </w:tcBorders>
          </w:tcPr>
          <w:p>
            <w:pPr>
              <w:pStyle w:val="50"/>
              <w:kinsoku w:val="0"/>
              <w:overflowPunct w:val="0"/>
              <w:spacing w:before="56"/>
              <w:ind w:left="102"/>
              <w:rPr>
                <w:rFonts w:ascii="宋体" w:hAnsi="宋体" w:cs="宋体"/>
                <w:b/>
                <w:bCs/>
              </w:rPr>
            </w:pPr>
            <w:r>
              <w:rPr>
                <w:rFonts w:hint="eastAsia" w:ascii="宋体" w:hAnsi="宋体" w:cs="宋体"/>
                <w:b/>
                <w:bCs/>
              </w:rPr>
              <w:t>联系电话：</w:t>
            </w:r>
            <w:r>
              <w:rPr>
                <w:rFonts w:hint="eastAsia" w:ascii="宋体" w:hAnsi="宋体" w:cs="宋体"/>
              </w:rPr>
              <w:t>18699146324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exact"/>
          <w:jc w:val="center"/>
        </w:trPr>
        <w:tc>
          <w:tcPr>
            <w:tcW w:w="698" w:type="dxa"/>
            <w:vMerge w:val="restart"/>
            <w:vAlign w:val="center"/>
          </w:tcPr>
          <w:p>
            <w:pPr>
              <w:pStyle w:val="50"/>
              <w:kinsoku w:val="0"/>
              <w:overflowPunct w:val="0"/>
              <w:ind w:right="14"/>
              <w:jc w:val="center"/>
              <w:rPr>
                <w:rFonts w:ascii="宋体" w:hAnsi="宋体" w:cs="宋体"/>
              </w:rPr>
            </w:pPr>
            <w:r>
              <w:rPr>
                <w:rFonts w:hint="eastAsia" w:ascii="宋体" w:hAnsi="宋体" w:cs="宋体"/>
              </w:rPr>
              <w:t>3</w:t>
            </w:r>
          </w:p>
        </w:tc>
        <w:tc>
          <w:tcPr>
            <w:tcW w:w="9032" w:type="dxa"/>
            <w:tcBorders>
              <w:top w:val="nil"/>
              <w:bottom w:val="nil"/>
            </w:tcBorders>
          </w:tcPr>
          <w:p>
            <w:pPr>
              <w:pStyle w:val="50"/>
              <w:kinsoku w:val="0"/>
              <w:overflowPunct w:val="0"/>
              <w:spacing w:before="16" w:line="320" w:lineRule="auto"/>
              <w:ind w:left="1788" w:leftChars="48" w:right="77" w:hanging="1687" w:hangingChars="700"/>
              <w:rPr>
                <w:rFonts w:ascii="宋体" w:hAnsi="宋体" w:cs="宋体"/>
              </w:rPr>
            </w:pPr>
            <w:r>
              <w:rPr>
                <w:rFonts w:hint="eastAsia" w:ascii="宋体" w:hAnsi="宋体" w:cs="宋体"/>
                <w:b/>
                <w:bCs/>
              </w:rPr>
              <w:t>1、项目名称：</w:t>
            </w:r>
            <w:r>
              <w:rPr>
                <w:rFonts w:hint="eastAsia" w:ascii="宋体" w:hAnsi="宋体" w:cs="宋体"/>
                <w:lang w:eastAsia="zh-CN"/>
              </w:rPr>
              <w:t>新疆文物综合信息管理数字资源建设项目（一期）</w:t>
            </w:r>
            <w:r>
              <w:rPr>
                <w:rFonts w:hint="eastAsia" w:ascii="宋体" w:hAnsi="宋体" w:cs="宋体"/>
                <w:w w:val="95"/>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exact"/>
          <w:jc w:val="center"/>
        </w:trPr>
        <w:tc>
          <w:tcPr>
            <w:tcW w:w="698" w:type="dxa"/>
            <w:vMerge w:val="continue"/>
            <w:vAlign w:val="center"/>
          </w:tcPr>
          <w:p>
            <w:pPr>
              <w:pStyle w:val="50"/>
              <w:kinsoku w:val="0"/>
              <w:overflowPunct w:val="0"/>
              <w:spacing w:before="56"/>
              <w:ind w:left="102"/>
              <w:jc w:val="center"/>
              <w:rPr>
                <w:rFonts w:ascii="宋体" w:hAnsi="宋体" w:cs="宋体"/>
              </w:rPr>
            </w:pPr>
          </w:p>
        </w:tc>
        <w:tc>
          <w:tcPr>
            <w:tcW w:w="9032" w:type="dxa"/>
            <w:tcBorders>
              <w:top w:val="nil"/>
            </w:tcBorders>
          </w:tcPr>
          <w:p>
            <w:pPr>
              <w:pStyle w:val="50"/>
              <w:kinsoku w:val="0"/>
              <w:overflowPunct w:val="0"/>
              <w:spacing w:before="16"/>
              <w:ind w:left="102"/>
              <w:rPr>
                <w:rFonts w:hint="default" w:ascii="宋体" w:hAnsi="宋体" w:eastAsia="宋体" w:cs="宋体"/>
                <w:b/>
                <w:bCs/>
                <w:w w:val="95"/>
                <w:lang w:val="en-US" w:eastAsia="zh-CN"/>
              </w:rPr>
            </w:pPr>
            <w:r>
              <w:rPr>
                <w:rFonts w:hint="eastAsia" w:ascii="宋体" w:hAnsi="宋体" w:cs="宋体"/>
                <w:b/>
                <w:bCs/>
              </w:rPr>
              <w:t>2、招标文件编号：</w:t>
            </w:r>
            <w:r>
              <w:rPr>
                <w:rFonts w:hint="eastAsia" w:ascii="宋体" w:hAnsi="宋体" w:cs="宋体"/>
                <w:lang w:eastAsia="zh-CN"/>
              </w:rPr>
              <w:t>XJTZY2022-1-C0046-1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9" w:hRule="exact"/>
          <w:jc w:val="center"/>
        </w:trPr>
        <w:tc>
          <w:tcPr>
            <w:tcW w:w="698" w:type="dxa"/>
            <w:vMerge w:val="continue"/>
            <w:vAlign w:val="center"/>
          </w:tcPr>
          <w:p>
            <w:pPr>
              <w:pStyle w:val="50"/>
              <w:kinsoku w:val="0"/>
              <w:overflowPunct w:val="0"/>
              <w:spacing w:before="16" w:line="320" w:lineRule="auto"/>
              <w:ind w:left="102" w:right="77"/>
              <w:jc w:val="center"/>
              <w:rPr>
                <w:rFonts w:ascii="宋体" w:hAnsi="宋体" w:cs="宋体"/>
              </w:rPr>
            </w:pPr>
          </w:p>
        </w:tc>
        <w:tc>
          <w:tcPr>
            <w:tcW w:w="9032" w:type="dxa"/>
          </w:tcPr>
          <w:p>
            <w:pPr>
              <w:pStyle w:val="50"/>
              <w:kinsoku w:val="0"/>
              <w:overflowPunct w:val="0"/>
              <w:spacing w:line="276" w:lineRule="exact"/>
              <w:ind w:left="102"/>
              <w:rPr>
                <w:rFonts w:ascii="宋体" w:hAnsi="宋体" w:cs="宋体"/>
              </w:rPr>
            </w:pPr>
            <w:r>
              <w:rPr>
                <w:rFonts w:hint="eastAsia" w:ascii="宋体" w:hAnsi="宋体" w:cs="宋体"/>
                <w:b/>
                <w:bCs/>
              </w:rPr>
              <w:t>招标内容：</w:t>
            </w:r>
          </w:p>
          <w:p>
            <w:pPr>
              <w:pStyle w:val="50"/>
              <w:kinsoku w:val="0"/>
              <w:overflowPunct w:val="0"/>
              <w:spacing w:before="8"/>
              <w:ind w:left="102"/>
              <w:rPr>
                <w:rFonts w:ascii="宋体" w:hAnsi="宋体" w:cs="宋体"/>
              </w:rPr>
            </w:pPr>
            <w:r>
              <w:rPr>
                <w:rFonts w:hint="eastAsia" w:ascii="宋体" w:hAnsi="宋体" w:cs="宋体"/>
                <w:b/>
                <w:bCs/>
              </w:rPr>
              <w:t>1、主要招标内容：</w:t>
            </w:r>
          </w:p>
          <w:p>
            <w:pPr>
              <w:pStyle w:val="50"/>
              <w:kinsoku w:val="0"/>
              <w:overflowPunct w:val="0"/>
              <w:spacing w:before="16"/>
              <w:ind w:left="102" w:firstLine="720" w:firstLineChars="300"/>
              <w:rPr>
                <w:rFonts w:ascii="宋体" w:hAnsi="宋体" w:cs="宋体"/>
              </w:rPr>
            </w:pPr>
            <w:r>
              <w:rPr>
                <w:rFonts w:hint="eastAsia" w:ascii="宋体" w:hAnsi="宋体" w:cs="宋体"/>
              </w:rPr>
              <w:t>新疆文物综合信息管理数字资源建设项目建设。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exact"/>
          <w:jc w:val="center"/>
        </w:trPr>
        <w:tc>
          <w:tcPr>
            <w:tcW w:w="698" w:type="dxa"/>
            <w:vAlign w:val="center"/>
          </w:tcPr>
          <w:p>
            <w:pPr>
              <w:pStyle w:val="50"/>
              <w:kinsoku w:val="0"/>
              <w:overflowPunct w:val="0"/>
              <w:spacing w:before="16" w:line="320" w:lineRule="auto"/>
              <w:ind w:left="102" w:right="77"/>
              <w:jc w:val="center"/>
              <w:rPr>
                <w:rFonts w:ascii="宋体" w:hAnsi="宋体" w:cs="宋体"/>
              </w:rPr>
            </w:pPr>
            <w:r>
              <w:rPr>
                <w:rFonts w:hint="eastAsia" w:ascii="宋体" w:hAnsi="宋体" w:cs="宋体"/>
              </w:rPr>
              <w:t>4</w:t>
            </w:r>
          </w:p>
        </w:tc>
        <w:tc>
          <w:tcPr>
            <w:tcW w:w="9032" w:type="dxa"/>
          </w:tcPr>
          <w:p>
            <w:pPr>
              <w:pStyle w:val="50"/>
              <w:kinsoku w:val="0"/>
              <w:overflowPunct w:val="0"/>
              <w:spacing w:before="16"/>
              <w:rPr>
                <w:rFonts w:ascii="宋体" w:hAnsi="宋体" w:cs="宋体"/>
              </w:rPr>
            </w:pPr>
            <w:r>
              <w:rPr>
                <w:rFonts w:hint="eastAsia" w:ascii="宋体" w:hAnsi="宋体" w:cs="宋体"/>
                <w:b/>
                <w:bCs/>
              </w:rPr>
              <w:t>项目服务期：以合同签订为准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atLeast"/>
          <w:jc w:val="center"/>
        </w:trPr>
        <w:tc>
          <w:tcPr>
            <w:tcW w:w="698" w:type="dxa"/>
            <w:vAlign w:val="center"/>
          </w:tcPr>
          <w:p>
            <w:pPr>
              <w:pStyle w:val="50"/>
              <w:kinsoku w:val="0"/>
              <w:overflowPunct w:val="0"/>
              <w:ind w:right="14"/>
              <w:jc w:val="center"/>
              <w:rPr>
                <w:rFonts w:ascii="宋体" w:hAnsi="宋体" w:cs="宋体"/>
              </w:rPr>
            </w:pPr>
            <w:r>
              <w:rPr>
                <w:rFonts w:hint="eastAsia" w:ascii="宋体" w:hAnsi="宋体" w:cs="宋体"/>
              </w:rPr>
              <w:t>5</w:t>
            </w:r>
          </w:p>
        </w:tc>
        <w:tc>
          <w:tcPr>
            <w:tcW w:w="9032" w:type="dxa"/>
          </w:tcPr>
          <w:p>
            <w:pPr>
              <w:pStyle w:val="50"/>
              <w:kinsoku w:val="0"/>
              <w:overflowPunct w:val="0"/>
              <w:spacing w:before="122"/>
              <w:ind w:left="102"/>
              <w:rPr>
                <w:rFonts w:ascii="宋体" w:hAnsi="宋体" w:cs="宋体"/>
              </w:rPr>
            </w:pPr>
            <w:r>
              <w:rPr>
                <w:rFonts w:hint="eastAsia" w:ascii="宋体" w:hAnsi="宋体" w:cs="宋体"/>
                <w:b/>
                <w:bCs/>
              </w:rPr>
              <w:t>项目采购预算：</w:t>
            </w:r>
            <w:r>
              <w:rPr>
                <w:rFonts w:hint="eastAsia" w:ascii="宋体" w:hAnsi="宋体" w:cs="宋体"/>
              </w:rPr>
              <w:t>1670000.00</w:t>
            </w:r>
            <w:r>
              <w:rPr>
                <w:rFonts w:hint="eastAsia" w:ascii="宋体" w:hAnsi="宋体" w:cs="宋体"/>
                <w:spacing w:val="-65"/>
              </w:rPr>
              <w:t xml:space="preserve"> </w:t>
            </w:r>
            <w:r>
              <w:rPr>
                <w:rFonts w:hint="eastAsia" w:ascii="宋体" w:hAnsi="宋体" w:cs="宋体"/>
              </w:rPr>
              <w:t>元（大写：壹佰陆拾柒万元整）</w:t>
            </w:r>
          </w:p>
          <w:p>
            <w:pPr>
              <w:pStyle w:val="50"/>
              <w:kinsoku w:val="0"/>
              <w:overflowPunct w:val="0"/>
              <w:spacing w:before="122"/>
              <w:ind w:left="102"/>
              <w:rPr>
                <w:rFonts w:ascii="宋体" w:hAnsi="宋体" w:cs="宋体"/>
              </w:rPr>
            </w:pPr>
            <w:r>
              <w:rPr>
                <w:rFonts w:hint="eastAsia" w:ascii="宋体" w:hAnsi="宋体" w:cs="宋体"/>
                <w:b/>
                <w:bCs/>
              </w:rPr>
              <w:t>★投标人的投标报价超过采购预算的按无效投标处理。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698" w:type="dxa"/>
            <w:vAlign w:val="center"/>
          </w:tcPr>
          <w:p>
            <w:pPr>
              <w:pStyle w:val="50"/>
              <w:kinsoku w:val="0"/>
              <w:overflowPunct w:val="0"/>
              <w:ind w:right="14"/>
              <w:jc w:val="center"/>
              <w:rPr>
                <w:rFonts w:ascii="宋体" w:hAnsi="宋体" w:cs="宋体"/>
              </w:rPr>
            </w:pPr>
            <w:r>
              <w:rPr>
                <w:rFonts w:hint="eastAsia" w:ascii="宋体" w:hAnsi="宋体" w:cs="宋体"/>
              </w:rPr>
              <w:t>6</w:t>
            </w:r>
          </w:p>
        </w:tc>
        <w:tc>
          <w:tcPr>
            <w:tcW w:w="9032" w:type="dxa"/>
          </w:tcPr>
          <w:p>
            <w:pPr>
              <w:pStyle w:val="50"/>
              <w:kinsoku w:val="0"/>
              <w:overflowPunct w:val="0"/>
              <w:spacing w:before="122"/>
              <w:ind w:left="102"/>
              <w:rPr>
                <w:rFonts w:ascii="宋体" w:hAnsi="宋体" w:cs="宋体"/>
                <w:b/>
                <w:bCs/>
              </w:rPr>
            </w:pPr>
            <w:r>
              <w:rPr>
                <w:rFonts w:hint="eastAsia" w:ascii="宋体" w:hAnsi="宋体" w:cs="宋体"/>
                <w:b/>
                <w:bCs/>
              </w:rPr>
              <w:t>★1、投标人资格要求：</w:t>
            </w:r>
          </w:p>
          <w:p>
            <w:pPr>
              <w:pStyle w:val="50"/>
              <w:kinsoku w:val="0"/>
              <w:overflowPunct w:val="0"/>
              <w:spacing w:before="122"/>
              <w:ind w:left="102"/>
              <w:rPr>
                <w:rFonts w:ascii="宋体" w:hAnsi="宋体" w:cs="宋体"/>
              </w:rPr>
            </w:pPr>
            <w:r>
              <w:rPr>
                <w:rFonts w:hint="eastAsia" w:ascii="宋体" w:hAnsi="宋体" w:cs="宋体"/>
              </w:rPr>
              <w:t>（1）符合《中华人民共和国政府采购法》第二十二条的相关规定；</w:t>
            </w:r>
          </w:p>
          <w:p>
            <w:pPr>
              <w:pStyle w:val="50"/>
              <w:kinsoku w:val="0"/>
              <w:overflowPunct w:val="0"/>
              <w:spacing w:before="122"/>
              <w:ind w:left="102"/>
              <w:rPr>
                <w:rFonts w:ascii="宋体" w:hAnsi="宋体" w:cs="宋体"/>
              </w:rPr>
            </w:pPr>
            <w:r>
              <w:rPr>
                <w:rFonts w:hint="eastAsia" w:ascii="宋体" w:hAnsi="宋体" w:cs="宋体"/>
              </w:rPr>
              <w:t>（2）在中华人民共和国境内注册的法人、其他组织或者自然人，且有承担本项目能力的投标人；</w:t>
            </w:r>
          </w:p>
          <w:p>
            <w:pPr>
              <w:pStyle w:val="50"/>
              <w:kinsoku w:val="0"/>
              <w:overflowPunct w:val="0"/>
              <w:spacing w:before="122"/>
              <w:ind w:left="102"/>
              <w:rPr>
                <w:rFonts w:ascii="宋体" w:hAnsi="宋体" w:cs="宋体"/>
              </w:rPr>
            </w:pPr>
            <w:r>
              <w:rPr>
                <w:rFonts w:hint="eastAsia" w:ascii="宋体" w:hAnsi="宋体" w:cs="宋体"/>
              </w:rPr>
              <w:t>（3）投标人为企业法人应提供合法有效的标识有统一社会信用代码的营业执照；事业法人应提供事业单位法人证书；其他组织应提供合法登记证明文件；</w:t>
            </w:r>
          </w:p>
          <w:p>
            <w:pPr>
              <w:pStyle w:val="50"/>
              <w:kinsoku w:val="0"/>
              <w:overflowPunct w:val="0"/>
              <w:spacing w:before="122"/>
              <w:ind w:left="102"/>
              <w:rPr>
                <w:rFonts w:ascii="宋体" w:hAnsi="宋体" w:cs="宋体"/>
              </w:rPr>
            </w:pPr>
            <w:r>
              <w:rPr>
                <w:rFonts w:hint="eastAsia" w:ascii="宋体" w:hAnsi="宋体" w:cs="宋体"/>
              </w:rPr>
              <w:t>（4）具有良好的商业信誉和健全的财务会计制度以及内部管理机制，且有较强的风险控制能力；</w:t>
            </w:r>
          </w:p>
          <w:p>
            <w:pPr>
              <w:pStyle w:val="50"/>
              <w:kinsoku w:val="0"/>
              <w:overflowPunct w:val="0"/>
              <w:spacing w:before="122"/>
              <w:ind w:left="102"/>
              <w:rPr>
                <w:rFonts w:ascii="宋体" w:hAnsi="宋体" w:cs="宋体"/>
              </w:rPr>
            </w:pPr>
            <w:r>
              <w:rPr>
                <w:rFonts w:hint="eastAsia" w:ascii="宋体" w:hAnsi="宋体" w:cs="宋体"/>
              </w:rPr>
              <w:t>（5）财务稳健，资本充足率、不良贷款率、拨备覆盖率、流动性比例等指标达到监管标准；</w:t>
            </w:r>
          </w:p>
          <w:p>
            <w:pPr>
              <w:pStyle w:val="50"/>
              <w:kinsoku w:val="0"/>
              <w:overflowPunct w:val="0"/>
              <w:spacing w:before="122"/>
              <w:ind w:left="102"/>
              <w:rPr>
                <w:rFonts w:ascii="宋体" w:hAnsi="宋体" w:cs="宋体"/>
              </w:rPr>
            </w:pPr>
            <w:r>
              <w:rPr>
                <w:rFonts w:hint="eastAsia" w:ascii="宋体" w:hAnsi="宋体" w:cs="宋体"/>
              </w:rPr>
              <w:t>（6）经信用中国（</w:t>
            </w:r>
            <w:r>
              <w:fldChar w:fldCharType="begin"/>
            </w:r>
            <w:r>
              <w:instrText xml:space="preserve"> HYPERLINK "http://www.creditchina.gov.xn--cn)(www-0o3fu69vuosgftrgs7o1fgtwb3oo.ccgp.gov.xn--cn)-x33e002goji19wjl4almi/" \t "_blank" </w:instrText>
            </w:r>
            <w:r>
              <w:fldChar w:fldCharType="separate"/>
            </w:r>
            <w:r>
              <w:rPr>
                <w:rFonts w:hint="eastAsia" w:ascii="宋体" w:hAnsi="宋体" w:cs="宋体"/>
              </w:rPr>
              <w:t>www.creditchina.gov.cn）、中国政府采购网（www.ccgp.gov.cn）等渠道查询后</w:t>
            </w:r>
            <w:r>
              <w:rPr>
                <w:rFonts w:hint="eastAsia" w:ascii="宋体" w:hAnsi="宋体" w:cs="宋体"/>
              </w:rPr>
              <w:fldChar w:fldCharType="end"/>
            </w:r>
            <w:r>
              <w:rPr>
                <w:rFonts w:hint="eastAsia" w:ascii="宋体" w:hAnsi="宋体" w:cs="宋体"/>
              </w:rPr>
              <w:t>，列入失信被执行人、重大税收违法失信主体记录、政府采购严重违法失信行为记录名单的，取消投标资格。（提供“信用中国”网站无任何不良记录的查询截图并加盖公章）；</w:t>
            </w:r>
          </w:p>
          <w:p>
            <w:pPr>
              <w:pStyle w:val="50"/>
              <w:kinsoku w:val="0"/>
              <w:overflowPunct w:val="0"/>
              <w:spacing w:before="122"/>
              <w:ind w:left="102"/>
              <w:rPr>
                <w:rFonts w:ascii="宋体" w:hAnsi="宋体" w:cs="宋体"/>
              </w:rPr>
            </w:pPr>
            <w:r>
              <w:rPr>
                <w:rFonts w:hint="eastAsia" w:ascii="宋体" w:hAnsi="宋体" w:cs="宋体"/>
              </w:rPr>
              <w:t>（7）为充分保证完善的售后服务，本项目不接受联合体投标。</w:t>
            </w:r>
          </w:p>
          <w:p>
            <w:pPr>
              <w:pStyle w:val="50"/>
              <w:kinsoku w:val="0"/>
              <w:overflowPunct w:val="0"/>
              <w:spacing w:before="122"/>
              <w:ind w:left="102"/>
              <w:rPr>
                <w:rFonts w:ascii="宋体" w:hAnsi="宋体" w:cs="宋体"/>
                <w:b/>
                <w:bCs/>
                <w:w w:val="95"/>
              </w:rPr>
            </w:pPr>
            <w:r>
              <w:rPr>
                <w:rFonts w:hint="eastAsia" w:ascii="宋体" w:hAnsi="宋体" w:cs="宋体"/>
                <w:b/>
                <w:bCs/>
                <w:w w:val="95"/>
              </w:rPr>
              <w:t>★</w:t>
            </w:r>
            <w:r>
              <w:rPr>
                <w:rFonts w:hint="eastAsia" w:ascii="宋体" w:hAnsi="宋体" w:cs="宋体"/>
                <w:b/>
                <w:bCs/>
                <w:spacing w:val="1"/>
                <w:w w:val="95"/>
              </w:rPr>
              <w:t>2</w:t>
            </w:r>
            <w:r>
              <w:rPr>
                <w:rFonts w:hint="eastAsia" w:ascii="宋体" w:hAnsi="宋体" w:cs="宋体"/>
                <w:b/>
                <w:bCs/>
                <w:w w:val="95"/>
              </w:rPr>
              <w:t>.响应人上</w:t>
            </w:r>
            <w:r>
              <w:rPr>
                <w:rFonts w:hint="eastAsia" w:ascii="宋体" w:hAnsi="宋体" w:cs="宋体"/>
                <w:b/>
                <w:bCs/>
                <w:spacing w:val="1"/>
                <w:w w:val="95"/>
              </w:rPr>
              <w:t>须</w:t>
            </w:r>
            <w:r>
              <w:rPr>
                <w:rFonts w:hint="eastAsia" w:ascii="宋体" w:hAnsi="宋体" w:cs="宋体"/>
                <w:b/>
                <w:bCs/>
                <w:w w:val="95"/>
              </w:rPr>
              <w:t>递交</w:t>
            </w:r>
            <w:r>
              <w:rPr>
                <w:rFonts w:hint="eastAsia" w:ascii="宋体" w:hAnsi="宋体" w:cs="宋体"/>
                <w:b/>
                <w:bCs/>
                <w:spacing w:val="1"/>
                <w:w w:val="95"/>
              </w:rPr>
              <w:t>备</w:t>
            </w:r>
            <w:r>
              <w:rPr>
                <w:rFonts w:hint="eastAsia" w:ascii="宋体" w:hAnsi="宋体" w:cs="宋体"/>
                <w:b/>
                <w:bCs/>
                <w:w w:val="95"/>
              </w:rPr>
              <w:t>查</w:t>
            </w:r>
            <w:r>
              <w:rPr>
                <w:rFonts w:hint="eastAsia" w:ascii="宋体" w:hAnsi="宋体" w:cs="宋体"/>
                <w:b/>
                <w:bCs/>
                <w:spacing w:val="1"/>
                <w:w w:val="95"/>
              </w:rPr>
              <w:t>的</w:t>
            </w:r>
            <w:r>
              <w:rPr>
                <w:rFonts w:hint="eastAsia" w:ascii="宋体" w:hAnsi="宋体" w:cs="宋体"/>
                <w:b/>
                <w:bCs/>
                <w:w w:val="95"/>
              </w:rPr>
              <w:t>资质</w:t>
            </w:r>
            <w:r>
              <w:rPr>
                <w:rFonts w:hint="eastAsia" w:ascii="宋体" w:hAnsi="宋体" w:cs="宋体"/>
                <w:b/>
                <w:bCs/>
                <w:spacing w:val="1"/>
                <w:w w:val="95"/>
              </w:rPr>
              <w:t>证</w:t>
            </w:r>
            <w:r>
              <w:rPr>
                <w:rFonts w:hint="eastAsia" w:ascii="宋体" w:hAnsi="宋体" w:cs="宋体"/>
                <w:b/>
                <w:bCs/>
                <w:w w:val="95"/>
              </w:rPr>
              <w:t>书原件</w:t>
            </w:r>
            <w:r>
              <w:rPr>
                <w:rFonts w:hint="eastAsia" w:ascii="宋体" w:hAnsi="宋体" w:cs="宋体"/>
                <w:b/>
                <w:bCs/>
                <w:w w:val="95"/>
                <w:lang w:eastAsia="zh-Hans"/>
              </w:rPr>
              <w:t>或</w:t>
            </w:r>
            <w:r>
              <w:rPr>
                <w:rFonts w:hint="eastAsia" w:ascii="宋体" w:hAnsi="宋体" w:cs="宋体"/>
                <w:b/>
                <w:bCs/>
                <w:w w:val="95"/>
              </w:rPr>
              <w:t>加盖</w:t>
            </w:r>
            <w:r>
              <w:rPr>
                <w:rFonts w:hint="eastAsia" w:ascii="宋体" w:hAnsi="宋体" w:cs="宋体"/>
                <w:b/>
                <w:bCs/>
                <w:w w:val="95"/>
                <w:lang w:eastAsia="zh-Hans"/>
              </w:rPr>
              <w:t>公章</w:t>
            </w:r>
            <w:r>
              <w:rPr>
                <w:rFonts w:hint="eastAsia" w:ascii="宋体" w:hAnsi="宋体" w:cs="宋体"/>
                <w:b/>
                <w:bCs/>
                <w:w w:val="95"/>
              </w:rPr>
              <w:t>的复印件。（不提供视为无效投标文件）：</w:t>
            </w:r>
          </w:p>
          <w:p>
            <w:pPr>
              <w:spacing w:line="360" w:lineRule="auto"/>
              <w:rPr>
                <w:rFonts w:ascii="宋体" w:hAnsi="宋体" w:cs="宋体"/>
                <w:sz w:val="24"/>
              </w:rPr>
            </w:pPr>
            <w:r>
              <w:rPr>
                <w:rFonts w:hint="eastAsia" w:ascii="宋体" w:hAnsi="宋体" w:cs="宋体"/>
                <w:sz w:val="24"/>
              </w:rPr>
              <w:t>1、法人授权委托书和被授权人有效身份证（法人直接参加的需出示法人身份证明及身份证原件）；</w:t>
            </w:r>
          </w:p>
          <w:p>
            <w:pPr>
              <w:spacing w:line="360" w:lineRule="auto"/>
              <w:rPr>
                <w:rFonts w:ascii="宋体" w:hAnsi="宋体" w:cs="宋体"/>
                <w:sz w:val="24"/>
              </w:rPr>
            </w:pPr>
            <w:r>
              <w:rPr>
                <w:rFonts w:hint="eastAsia" w:ascii="宋体" w:hAnsi="宋体" w:cs="宋体"/>
                <w:sz w:val="24"/>
              </w:rPr>
              <w:t>2、投标人为企业法人应提供合法有效的标识有统一社会信用代码的营业执照；事业法人应提供事业单位法人证书；其他组织应提供合法登记证明文件；</w:t>
            </w:r>
          </w:p>
          <w:p>
            <w:pPr>
              <w:spacing w:line="360" w:lineRule="auto"/>
              <w:rPr>
                <w:rFonts w:ascii="宋体" w:hAnsi="宋体" w:cs="宋体"/>
                <w:sz w:val="24"/>
                <w:lang w:val="zh-CN"/>
              </w:rPr>
            </w:pPr>
            <w:r>
              <w:rPr>
                <w:rFonts w:hint="eastAsia" w:ascii="宋体" w:hAnsi="宋体" w:cs="宋体"/>
                <w:sz w:val="24"/>
              </w:rPr>
              <w:t>3、社会保障资金缴纳证明：</w:t>
            </w:r>
            <w:r>
              <w:rPr>
                <w:rFonts w:hint="eastAsia" w:ascii="宋体" w:hAnsi="宋体" w:cs="宋体"/>
                <w:sz w:val="24"/>
                <w:lang w:val="zh-CN"/>
              </w:rPr>
              <w:t>投标人</w:t>
            </w:r>
            <w:r>
              <w:rPr>
                <w:rFonts w:hint="eastAsia" w:ascii="宋体" w:hAnsi="宋体" w:cs="宋体"/>
                <w:sz w:val="24"/>
              </w:rPr>
              <w:t>提供近半年内已缴存的至少一个月的社会保障资金缴存单据或社保机构开具的社会保险参保缴费情况证明，依法不需要缴纳社会保障资金的投标人应提供相关文件证明</w:t>
            </w:r>
            <w:r>
              <w:rPr>
                <w:rFonts w:hint="eastAsia" w:ascii="宋体" w:hAnsi="宋体" w:cs="宋体"/>
                <w:sz w:val="24"/>
                <w:lang w:val="zh-CN"/>
              </w:rPr>
              <w:t>；</w:t>
            </w:r>
          </w:p>
          <w:p>
            <w:pPr>
              <w:spacing w:line="360" w:lineRule="auto"/>
              <w:rPr>
                <w:rFonts w:ascii="宋体" w:hAnsi="宋体" w:cs="宋体"/>
                <w:sz w:val="24"/>
              </w:rPr>
            </w:pPr>
            <w:r>
              <w:rPr>
                <w:rFonts w:hint="eastAsia" w:ascii="宋体" w:hAnsi="宋体" w:cs="宋体"/>
                <w:sz w:val="24"/>
              </w:rPr>
              <w:t>4、税收缴纳证明：投标人提供近半年内已缴纳的至少一个月的纳税证明或完税证明，纳税证明或完税证明上应有代收机构或税务机关的公章，依法免税的投标人应提供相关文件证明；</w:t>
            </w:r>
          </w:p>
          <w:p>
            <w:pPr>
              <w:spacing w:line="360" w:lineRule="auto"/>
              <w:rPr>
                <w:rFonts w:ascii="宋体" w:hAnsi="宋体" w:cs="宋体"/>
                <w:sz w:val="24"/>
                <w:lang w:val="zh-CN"/>
              </w:rPr>
            </w:pPr>
            <w:r>
              <w:rPr>
                <w:rFonts w:hint="eastAsia" w:ascii="宋体" w:hAnsi="宋体" w:cs="宋体"/>
                <w:sz w:val="24"/>
              </w:rPr>
              <w:t>5、财务状况报告：投标人提供近1年的财务审计报告（至少包括审计报告、资产负债表和利润表，成立时间至提交投标文件截止时间不足一年的可提供成立后任意时段的资产负债表），或其开标前三个月内基本存款账户开户银行出具的资信证明；</w:t>
            </w:r>
          </w:p>
          <w:p>
            <w:pPr>
              <w:spacing w:line="360" w:lineRule="auto"/>
              <w:rPr>
                <w:rFonts w:ascii="宋体" w:hAnsi="宋体" w:cs="宋体"/>
                <w:sz w:val="24"/>
              </w:rPr>
            </w:pPr>
            <w:r>
              <w:rPr>
                <w:rFonts w:hint="eastAsia" w:ascii="宋体" w:hAnsi="宋体" w:cs="宋体"/>
                <w:sz w:val="24"/>
              </w:rPr>
              <w:t>6、投标人应具备良好的商业信誉，提供参加政府采购活动前3年内在经营活动中没有重大违法记录的书面声明；</w:t>
            </w:r>
          </w:p>
          <w:p>
            <w:pPr>
              <w:spacing w:line="360" w:lineRule="auto"/>
              <w:rPr>
                <w:rFonts w:ascii="宋体" w:hAnsi="宋体" w:cs="宋体"/>
                <w:sz w:val="24"/>
              </w:rPr>
            </w:pPr>
            <w:r>
              <w:rPr>
                <w:rFonts w:hint="eastAsia" w:ascii="宋体" w:hAnsi="宋体" w:cs="宋体"/>
                <w:sz w:val="24"/>
              </w:rPr>
              <w:t>7、投标人应在“信用中国”网站（www.creditchina.gov.cn）未被列入失信被执行人记录、重大税收违法失信主体记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投标人公章为准；</w:t>
            </w:r>
          </w:p>
          <w:p>
            <w:pPr>
              <w:spacing w:line="360" w:lineRule="auto"/>
            </w:pPr>
            <w:r>
              <w:rPr>
                <w:rFonts w:hint="eastAsia" w:ascii="宋体" w:hAnsi="宋体" w:cs="宋体"/>
                <w:sz w:val="24"/>
              </w:rPr>
              <w:t>8、根据《政府采购促进中小企业发展管理办法》要求，本项目应当专门面向中小企业采购（提供中小微企业声明函）。</w:t>
            </w:r>
          </w:p>
          <w:p>
            <w:pPr>
              <w:pStyle w:val="50"/>
              <w:kinsoku w:val="0"/>
              <w:overflowPunct w:val="0"/>
              <w:spacing w:before="122"/>
              <w:ind w:left="102"/>
              <w:rPr>
                <w:rFonts w:ascii="宋体" w:hAnsi="宋体" w:cs="宋体"/>
                <w:b/>
                <w:bCs/>
              </w:rPr>
            </w:pPr>
            <w:r>
              <w:rPr>
                <w:rFonts w:hint="eastAsia" w:ascii="宋体" w:hAnsi="宋体" w:cs="宋体"/>
              </w:rPr>
              <w:t>备注：招标文件涉及要求投标人在开标</w:t>
            </w:r>
            <w:r>
              <w:rPr>
                <w:rFonts w:hint="eastAsia" w:ascii="宋体" w:hAnsi="宋体" w:cs="宋体"/>
                <w:b w:val="0"/>
                <w:bCs w:val="0"/>
                <w:color w:val="000000" w:themeColor="text1"/>
                <w14:textFill>
                  <w14:solidFill>
                    <w14:schemeClr w14:val="tx1"/>
                  </w14:solidFill>
                </w14:textFill>
              </w:rPr>
              <w:t>时所带的原件或加盖公章的复印件</w:t>
            </w:r>
            <w:r>
              <w:rPr>
                <w:rFonts w:hint="eastAsia" w:ascii="宋体" w:hAnsi="宋体" w:cs="宋体"/>
              </w:rPr>
              <w:t>，请投标人在开标现场一次性提供。投标人提交的所有证明文件及材料必须清晰、准确、真实、有效；对于不提供或提供不真实或虚假资料者按无效标处理。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698" w:type="dxa"/>
            <w:vAlign w:val="center"/>
          </w:tcPr>
          <w:p>
            <w:pPr>
              <w:pStyle w:val="50"/>
              <w:kinsoku w:val="0"/>
              <w:overflowPunct w:val="0"/>
              <w:ind w:right="14"/>
              <w:jc w:val="center"/>
              <w:rPr>
                <w:rFonts w:ascii="宋体" w:hAnsi="宋体" w:cs="宋体"/>
              </w:rPr>
            </w:pPr>
            <w:r>
              <w:rPr>
                <w:rFonts w:hint="eastAsia" w:ascii="宋体" w:hAnsi="宋体" w:cs="宋体"/>
              </w:rPr>
              <w:t>7</w:t>
            </w:r>
          </w:p>
        </w:tc>
        <w:tc>
          <w:tcPr>
            <w:tcW w:w="9032" w:type="dxa"/>
          </w:tcPr>
          <w:p>
            <w:pPr>
              <w:pStyle w:val="50"/>
              <w:kinsoku w:val="0"/>
              <w:overflowPunct w:val="0"/>
              <w:spacing w:before="122"/>
              <w:ind w:left="102"/>
              <w:rPr>
                <w:rFonts w:ascii="宋体" w:hAnsi="宋体" w:cs="宋体"/>
              </w:rPr>
            </w:pPr>
            <w:r>
              <w:rPr>
                <w:rFonts w:hint="eastAsia" w:ascii="宋体" w:hAnsi="宋体" w:cs="宋体"/>
                <w:b/>
                <w:bCs/>
              </w:rPr>
              <w:t>资格审查方式：</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98" w:type="dxa"/>
            <w:vAlign w:val="center"/>
          </w:tcPr>
          <w:p>
            <w:pPr>
              <w:pStyle w:val="50"/>
              <w:kinsoku w:val="0"/>
              <w:overflowPunct w:val="0"/>
              <w:spacing w:before="73"/>
              <w:ind w:right="14"/>
              <w:jc w:val="center"/>
              <w:rPr>
                <w:rFonts w:ascii="宋体" w:hAnsi="宋体" w:cs="宋体"/>
              </w:rPr>
            </w:pPr>
            <w:r>
              <w:rPr>
                <w:rFonts w:hint="eastAsia" w:ascii="宋体" w:hAnsi="宋体" w:cs="宋体"/>
              </w:rPr>
              <w:t>8</w:t>
            </w:r>
          </w:p>
        </w:tc>
        <w:tc>
          <w:tcPr>
            <w:tcW w:w="9032" w:type="dxa"/>
          </w:tcPr>
          <w:p>
            <w:pPr>
              <w:pStyle w:val="50"/>
              <w:kinsoku w:val="0"/>
              <w:overflowPunct w:val="0"/>
              <w:spacing w:before="73"/>
              <w:ind w:left="102"/>
              <w:rPr>
                <w:rFonts w:ascii="宋体" w:hAnsi="宋体" w:cs="宋体"/>
                <w:b/>
                <w:bCs/>
              </w:rPr>
            </w:pPr>
            <w:r>
              <w:rPr>
                <w:rFonts w:hint="eastAsia" w:ascii="宋体" w:hAnsi="宋体" w:cs="宋体"/>
                <w:b/>
                <w:bCs/>
              </w:rPr>
              <w:t>投标语言：</w:t>
            </w:r>
            <w:r>
              <w:rPr>
                <w:rFonts w:hint="eastAsia" w:ascii="宋体" w:hAnsi="宋体" w:cs="宋体"/>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98" w:type="dxa"/>
            <w:vAlign w:val="center"/>
          </w:tcPr>
          <w:p>
            <w:pPr>
              <w:pStyle w:val="50"/>
              <w:kinsoku w:val="0"/>
              <w:overflowPunct w:val="0"/>
              <w:spacing w:before="72"/>
              <w:jc w:val="center"/>
              <w:rPr>
                <w:rFonts w:ascii="宋体" w:hAnsi="宋体" w:cs="宋体"/>
              </w:rPr>
            </w:pPr>
            <w:r>
              <w:rPr>
                <w:rFonts w:hint="eastAsia" w:ascii="宋体" w:hAnsi="宋体" w:cs="宋体"/>
              </w:rPr>
              <w:t>9</w:t>
            </w:r>
          </w:p>
        </w:tc>
        <w:tc>
          <w:tcPr>
            <w:tcW w:w="9032" w:type="dxa"/>
          </w:tcPr>
          <w:p>
            <w:pPr>
              <w:pStyle w:val="50"/>
              <w:kinsoku w:val="0"/>
              <w:overflowPunct w:val="0"/>
              <w:spacing w:before="72"/>
              <w:ind w:left="102"/>
              <w:rPr>
                <w:rFonts w:ascii="宋体" w:hAnsi="宋体" w:cs="宋体"/>
              </w:rPr>
            </w:pPr>
            <w:r>
              <w:rPr>
                <w:rFonts w:hint="eastAsia" w:ascii="宋体" w:hAnsi="宋体" w:cs="宋体"/>
                <w:b/>
                <w:bCs/>
              </w:rPr>
              <w:t>投标有效期：</w:t>
            </w:r>
            <w:r>
              <w:rPr>
                <w:rFonts w:hint="eastAsia" w:ascii="宋体" w:hAnsi="宋体" w:cs="宋体"/>
              </w:rPr>
              <w:t>90</w:t>
            </w:r>
            <w:r>
              <w:rPr>
                <w:rFonts w:hint="eastAsia" w:ascii="宋体" w:hAnsi="宋体" w:cs="宋体"/>
                <w:spacing w:val="-75"/>
              </w:rPr>
              <w:t xml:space="preserve"> </w:t>
            </w:r>
            <w:r>
              <w:rPr>
                <w:rFonts w:hint="eastAsia" w:ascii="宋体" w:hAnsi="宋体" w:cs="宋体"/>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98" w:type="dxa"/>
            <w:vAlign w:val="center"/>
          </w:tcPr>
          <w:p>
            <w:pPr>
              <w:pStyle w:val="50"/>
              <w:kinsoku w:val="0"/>
              <w:overflowPunct w:val="0"/>
              <w:spacing w:before="74"/>
              <w:jc w:val="center"/>
              <w:rPr>
                <w:rFonts w:ascii="宋体" w:hAnsi="宋体" w:cs="宋体"/>
              </w:rPr>
            </w:pPr>
            <w:r>
              <w:rPr>
                <w:rFonts w:hint="eastAsia" w:ascii="宋体" w:hAnsi="宋体" w:cs="宋体"/>
              </w:rPr>
              <w:t>10</w:t>
            </w:r>
          </w:p>
        </w:tc>
        <w:tc>
          <w:tcPr>
            <w:tcW w:w="9032" w:type="dxa"/>
          </w:tcPr>
          <w:p>
            <w:pPr>
              <w:pStyle w:val="50"/>
              <w:kinsoku w:val="0"/>
              <w:overflowPunct w:val="0"/>
              <w:spacing w:before="74"/>
              <w:ind w:left="102"/>
              <w:rPr>
                <w:rFonts w:hint="eastAsia" w:ascii="宋体" w:hAnsi="宋体" w:eastAsia="宋体" w:cs="宋体"/>
                <w:lang w:eastAsia="zh-CN"/>
              </w:rPr>
            </w:pPr>
            <w:r>
              <w:rPr>
                <w:rFonts w:hint="eastAsia" w:ascii="宋体" w:hAnsi="宋体" w:cs="宋体"/>
                <w:b/>
                <w:bCs/>
              </w:rPr>
              <w:t>投标截止时间：</w:t>
            </w:r>
            <w:r>
              <w:rPr>
                <w:rFonts w:hint="eastAsia" w:ascii="宋体" w:hAnsi="宋体" w:cs="宋体"/>
                <w:b/>
                <w:bCs/>
                <w:spacing w:val="-3"/>
              </w:rPr>
              <w:t xml:space="preserve"> </w:t>
            </w:r>
            <w:r>
              <w:rPr>
                <w:rFonts w:hint="eastAsia" w:ascii="宋体" w:hAnsi="宋体" w:cs="宋体"/>
                <w:highlight w:val="yellow"/>
                <w:lang w:eastAsia="zh-CN"/>
              </w:rPr>
              <w:t>2022年10月21日11:00（北京时间）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98" w:type="dxa"/>
            <w:vAlign w:val="center"/>
          </w:tcPr>
          <w:p>
            <w:pPr>
              <w:pStyle w:val="50"/>
              <w:kinsoku w:val="0"/>
              <w:overflowPunct w:val="0"/>
              <w:spacing w:before="73"/>
              <w:jc w:val="center"/>
              <w:rPr>
                <w:rFonts w:ascii="宋体" w:hAnsi="宋体" w:cs="宋体"/>
              </w:rPr>
            </w:pPr>
            <w:r>
              <w:rPr>
                <w:rFonts w:hint="eastAsia" w:ascii="宋体" w:hAnsi="宋体" w:cs="宋体"/>
              </w:rPr>
              <w:t>11</w:t>
            </w:r>
          </w:p>
        </w:tc>
        <w:tc>
          <w:tcPr>
            <w:tcW w:w="9032" w:type="dxa"/>
          </w:tcPr>
          <w:p>
            <w:pPr>
              <w:pStyle w:val="50"/>
              <w:kinsoku w:val="0"/>
              <w:overflowPunct w:val="0"/>
              <w:spacing w:before="73"/>
              <w:ind w:left="102"/>
              <w:rPr>
                <w:rFonts w:ascii="宋体" w:hAnsi="宋体" w:cs="宋体"/>
              </w:rPr>
            </w:pPr>
            <w:r>
              <w:rPr>
                <w:rFonts w:hint="eastAsia" w:ascii="宋体" w:hAnsi="宋体" w:cs="宋体"/>
                <w:b/>
                <w:bCs/>
              </w:rPr>
              <w:t>是否退还招标文件：否（招标文件售价 300元 ，过期不售，售后不退）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98" w:type="dxa"/>
            <w:vAlign w:val="center"/>
          </w:tcPr>
          <w:p>
            <w:pPr>
              <w:pStyle w:val="50"/>
              <w:kinsoku w:val="0"/>
              <w:overflowPunct w:val="0"/>
              <w:spacing w:before="72"/>
              <w:jc w:val="center"/>
              <w:rPr>
                <w:rFonts w:ascii="宋体" w:hAnsi="宋体" w:cs="宋体"/>
              </w:rPr>
            </w:pPr>
            <w:r>
              <w:rPr>
                <w:rFonts w:hint="eastAsia" w:ascii="宋体" w:hAnsi="宋体" w:cs="宋体"/>
              </w:rPr>
              <w:t>12</w:t>
            </w:r>
          </w:p>
        </w:tc>
        <w:tc>
          <w:tcPr>
            <w:tcW w:w="9032" w:type="dxa"/>
          </w:tcPr>
          <w:p>
            <w:pPr>
              <w:pStyle w:val="50"/>
              <w:kinsoku w:val="0"/>
              <w:overflowPunct w:val="0"/>
              <w:spacing w:before="72"/>
              <w:ind w:left="102"/>
              <w:rPr>
                <w:rFonts w:ascii="宋体" w:hAnsi="宋体" w:cs="宋体"/>
              </w:rPr>
            </w:pPr>
            <w:r>
              <w:rPr>
                <w:rFonts w:hint="eastAsia" w:ascii="宋体" w:hAnsi="宋体" w:cs="宋体"/>
                <w:b/>
                <w:bCs/>
              </w:rPr>
              <w:t>联合投标：</w:t>
            </w:r>
            <w:r>
              <w:rPr>
                <w:rFonts w:hint="eastAsia" w:ascii="宋体" w:hAnsi="宋体" w:cs="宋体"/>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98" w:type="dxa"/>
            <w:vAlign w:val="center"/>
          </w:tcPr>
          <w:p>
            <w:pPr>
              <w:pStyle w:val="50"/>
              <w:kinsoku w:val="0"/>
              <w:overflowPunct w:val="0"/>
              <w:spacing w:before="74"/>
              <w:jc w:val="center"/>
              <w:rPr>
                <w:rFonts w:ascii="宋体" w:hAnsi="宋体" w:cs="宋体"/>
              </w:rPr>
            </w:pPr>
            <w:r>
              <w:rPr>
                <w:rFonts w:hint="eastAsia" w:ascii="宋体" w:hAnsi="宋体" w:cs="宋体"/>
              </w:rPr>
              <w:t>13</w:t>
            </w:r>
          </w:p>
        </w:tc>
        <w:tc>
          <w:tcPr>
            <w:tcW w:w="9032" w:type="dxa"/>
          </w:tcPr>
          <w:p>
            <w:pPr>
              <w:pStyle w:val="50"/>
              <w:kinsoku w:val="0"/>
              <w:overflowPunct w:val="0"/>
              <w:spacing w:before="74"/>
              <w:ind w:left="102"/>
              <w:rPr>
                <w:rFonts w:ascii="宋体" w:hAnsi="宋体" w:cs="宋体"/>
              </w:rPr>
            </w:pPr>
            <w:r>
              <w:rPr>
                <w:rFonts w:hint="eastAsia" w:ascii="宋体" w:hAnsi="宋体" w:cs="宋体"/>
                <w:b/>
                <w:bCs/>
              </w:rPr>
              <w:t>投标报价货币</w:t>
            </w:r>
            <w:r>
              <w:rPr>
                <w:rFonts w:hint="eastAsia" w:ascii="宋体" w:hAnsi="宋体" w:cs="宋体"/>
              </w:rPr>
              <w:t>:</w:t>
            </w:r>
            <w:r>
              <w:rPr>
                <w:rFonts w:hint="eastAsia" w:ascii="宋体" w:hAnsi="宋体" w:cs="宋体"/>
                <w:spacing w:val="-15"/>
              </w:rPr>
              <w:t xml:space="preserve"> </w:t>
            </w:r>
            <w:r>
              <w:rPr>
                <w:rFonts w:hint="eastAsia" w:ascii="宋体" w:hAnsi="宋体" w:cs="宋体"/>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98" w:type="dxa"/>
            <w:vAlign w:val="center"/>
          </w:tcPr>
          <w:p>
            <w:pPr>
              <w:pStyle w:val="50"/>
              <w:kinsoku w:val="0"/>
              <w:overflowPunct w:val="0"/>
              <w:spacing w:before="73"/>
              <w:jc w:val="center"/>
              <w:rPr>
                <w:rFonts w:ascii="宋体" w:hAnsi="宋体" w:cs="宋体"/>
              </w:rPr>
            </w:pPr>
            <w:r>
              <w:rPr>
                <w:rFonts w:hint="eastAsia" w:ascii="宋体" w:hAnsi="宋体" w:cs="宋体"/>
              </w:rPr>
              <w:t>14</w:t>
            </w:r>
          </w:p>
        </w:tc>
        <w:tc>
          <w:tcPr>
            <w:tcW w:w="9032" w:type="dxa"/>
          </w:tcPr>
          <w:p>
            <w:pPr>
              <w:pStyle w:val="50"/>
              <w:kinsoku w:val="0"/>
              <w:overflowPunct w:val="0"/>
              <w:spacing w:before="73"/>
              <w:ind w:left="102"/>
              <w:rPr>
                <w:rFonts w:ascii="宋体" w:hAnsi="宋体" w:cs="宋体"/>
              </w:rPr>
            </w:pPr>
            <w:r>
              <w:rPr>
                <w:rFonts w:hint="eastAsia" w:ascii="宋体" w:hAnsi="宋体" w:cs="宋体"/>
                <w:b/>
                <w:bCs/>
              </w:rPr>
              <w:t>采购方式：</w:t>
            </w:r>
            <w:r>
              <w:rPr>
                <w:rFonts w:hint="eastAsia" w:ascii="宋体" w:hAnsi="宋体" w:cs="宋体"/>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98" w:type="dxa"/>
            <w:vAlign w:val="center"/>
          </w:tcPr>
          <w:p>
            <w:pPr>
              <w:pStyle w:val="50"/>
              <w:kinsoku w:val="0"/>
              <w:overflowPunct w:val="0"/>
              <w:spacing w:before="72"/>
              <w:jc w:val="center"/>
              <w:rPr>
                <w:rFonts w:ascii="宋体" w:hAnsi="宋体" w:cs="宋体"/>
              </w:rPr>
            </w:pPr>
            <w:r>
              <w:rPr>
                <w:rFonts w:hint="eastAsia" w:ascii="宋体" w:hAnsi="宋体" w:cs="宋体"/>
              </w:rPr>
              <w:t>15</w:t>
            </w:r>
          </w:p>
        </w:tc>
        <w:tc>
          <w:tcPr>
            <w:tcW w:w="9032" w:type="dxa"/>
          </w:tcPr>
          <w:p>
            <w:pPr>
              <w:pStyle w:val="50"/>
              <w:kinsoku w:val="0"/>
              <w:overflowPunct w:val="0"/>
              <w:spacing w:before="72"/>
              <w:ind w:left="102"/>
              <w:rPr>
                <w:rFonts w:ascii="宋体" w:hAnsi="宋体" w:cs="宋体"/>
              </w:rPr>
            </w:pPr>
            <w:r>
              <w:rPr>
                <w:rFonts w:hint="eastAsia" w:ascii="宋体" w:hAnsi="宋体" w:cs="宋体"/>
                <w:b/>
                <w:bCs/>
              </w:rPr>
              <w:t>评标办法：</w:t>
            </w:r>
            <w:r>
              <w:rPr>
                <w:rFonts w:hint="eastAsia" w:ascii="宋体" w:hAnsi="宋体" w:cs="宋体"/>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98" w:type="dxa"/>
            <w:vAlign w:val="center"/>
          </w:tcPr>
          <w:p>
            <w:pPr>
              <w:pStyle w:val="50"/>
              <w:kinsoku w:val="0"/>
              <w:overflowPunct w:val="0"/>
              <w:spacing w:before="201"/>
              <w:jc w:val="center"/>
              <w:rPr>
                <w:rFonts w:ascii="宋体" w:hAnsi="宋体" w:cs="宋体"/>
              </w:rPr>
            </w:pPr>
            <w:r>
              <w:rPr>
                <w:rFonts w:hint="eastAsia" w:ascii="宋体" w:hAnsi="宋体" w:cs="宋体"/>
              </w:rPr>
              <w:t>16</w:t>
            </w:r>
          </w:p>
        </w:tc>
        <w:tc>
          <w:tcPr>
            <w:tcW w:w="9032" w:type="dxa"/>
          </w:tcPr>
          <w:p>
            <w:pPr>
              <w:pStyle w:val="50"/>
              <w:kinsoku w:val="0"/>
              <w:overflowPunct w:val="0"/>
              <w:spacing w:before="57"/>
              <w:ind w:left="102"/>
              <w:rPr>
                <w:rFonts w:ascii="宋体" w:hAnsi="宋体" w:cs="宋体"/>
              </w:rPr>
            </w:pPr>
            <w:r>
              <w:rPr>
                <w:rFonts w:hint="eastAsia" w:ascii="宋体" w:hAnsi="宋体" w:cs="宋体"/>
                <w:b/>
                <w:bCs/>
              </w:rPr>
              <w:t>评标小组的组建：/</w:t>
            </w:r>
          </w:p>
          <w:p>
            <w:pPr>
              <w:pStyle w:val="50"/>
              <w:kinsoku w:val="0"/>
              <w:overflowPunct w:val="0"/>
              <w:spacing w:before="16"/>
              <w:ind w:left="102"/>
              <w:rPr>
                <w:rFonts w:ascii="宋体" w:hAnsi="宋体" w:cs="宋体"/>
              </w:rPr>
            </w:pPr>
            <w:r>
              <w:rPr>
                <w:rFonts w:hint="eastAsia" w:ascii="宋体" w:hAnsi="宋体" w:cs="宋体"/>
                <w:b/>
                <w:bCs/>
              </w:rPr>
              <w:t>评标小组构成：</w:t>
            </w:r>
            <w:r>
              <w:rPr>
                <w:rFonts w:hint="eastAsia" w:ascii="宋体" w:hAnsi="宋体" w:cs="宋体"/>
              </w:rPr>
              <w:t>共 5人，由采购人专家代表与技术、经济等方面的专家组成。</w:t>
            </w:r>
          </w:p>
          <w:p>
            <w:pPr>
              <w:pStyle w:val="50"/>
              <w:kinsoku w:val="0"/>
              <w:overflowPunct w:val="0"/>
              <w:spacing w:before="16"/>
              <w:ind w:left="102"/>
              <w:rPr>
                <w:rFonts w:ascii="宋体" w:hAnsi="宋体" w:cs="宋体"/>
              </w:rPr>
            </w:pPr>
            <w:r>
              <w:rPr>
                <w:rFonts w:hint="eastAsia" w:ascii="宋体" w:hAnsi="宋体" w:cs="宋体"/>
                <w:b/>
                <w:bCs/>
              </w:rPr>
              <w:t>评标小组确定方式：</w:t>
            </w:r>
            <w:r>
              <w:rPr>
                <w:rFonts w:hint="eastAsia" w:ascii="宋体" w:hAnsi="宋体" w:cs="宋体"/>
              </w:rPr>
              <w:t>从政采云专家库中随机抽取。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698" w:type="dxa"/>
            <w:vAlign w:val="center"/>
          </w:tcPr>
          <w:p>
            <w:pPr>
              <w:pStyle w:val="50"/>
              <w:kinsoku w:val="0"/>
              <w:overflowPunct w:val="0"/>
              <w:spacing w:before="72"/>
              <w:jc w:val="center"/>
              <w:rPr>
                <w:rFonts w:ascii="宋体" w:hAnsi="宋体" w:cs="宋体"/>
              </w:rPr>
            </w:pPr>
            <w:r>
              <w:rPr>
                <w:rFonts w:hint="eastAsia" w:ascii="宋体" w:hAnsi="宋体" w:cs="宋体"/>
              </w:rPr>
              <w:t>17</w:t>
            </w:r>
          </w:p>
        </w:tc>
        <w:tc>
          <w:tcPr>
            <w:tcW w:w="9032" w:type="dxa"/>
          </w:tcPr>
          <w:p>
            <w:pPr>
              <w:pStyle w:val="50"/>
              <w:kinsoku w:val="0"/>
              <w:overflowPunct w:val="0"/>
              <w:spacing w:before="72"/>
              <w:ind w:left="102"/>
              <w:rPr>
                <w:rFonts w:ascii="宋体" w:hAnsi="宋体" w:cs="宋体"/>
              </w:rPr>
            </w:pPr>
            <w:r>
              <w:rPr>
                <w:rFonts w:hint="eastAsia" w:ascii="宋体" w:hAnsi="宋体" w:cs="宋体"/>
                <w:b/>
                <w:bCs/>
              </w:rPr>
              <w:t>分包（转让）：</w:t>
            </w: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98" w:type="dxa"/>
            <w:vAlign w:val="center"/>
          </w:tcPr>
          <w:p>
            <w:pPr>
              <w:pStyle w:val="50"/>
              <w:kinsoku w:val="0"/>
              <w:overflowPunct w:val="0"/>
              <w:jc w:val="center"/>
              <w:rPr>
                <w:rFonts w:ascii="宋体" w:hAnsi="宋体" w:cs="宋体"/>
              </w:rPr>
            </w:pPr>
            <w:r>
              <w:rPr>
                <w:rFonts w:hint="eastAsia" w:ascii="宋体" w:hAnsi="宋体" w:cs="宋体"/>
              </w:rPr>
              <w:t>18</w:t>
            </w:r>
          </w:p>
        </w:tc>
        <w:tc>
          <w:tcPr>
            <w:tcW w:w="9032" w:type="dxa"/>
          </w:tcPr>
          <w:p>
            <w:pPr>
              <w:pStyle w:val="50"/>
              <w:kinsoku w:val="0"/>
              <w:overflowPunct w:val="0"/>
              <w:spacing w:before="55"/>
              <w:ind w:left="102"/>
              <w:rPr>
                <w:rFonts w:ascii="宋体" w:hAnsi="宋体" w:cs="宋体"/>
              </w:rPr>
            </w:pPr>
            <w:r>
              <w:rPr>
                <w:rFonts w:hint="eastAsia" w:ascii="宋体" w:hAnsi="宋体" w:cs="宋体"/>
                <w:b/>
                <w:bCs/>
              </w:rPr>
              <w:t>考察现场、招标前答疑会：</w:t>
            </w:r>
            <w:r>
              <w:rPr>
                <w:rFonts w:hint="eastAsia" w:ascii="宋体" w:hAnsi="宋体" w:cs="宋体"/>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98" w:type="dxa"/>
            <w:vAlign w:val="center"/>
          </w:tcPr>
          <w:p>
            <w:pPr>
              <w:pStyle w:val="50"/>
              <w:kinsoku w:val="0"/>
              <w:overflowPunct w:val="0"/>
              <w:spacing w:before="73"/>
              <w:jc w:val="center"/>
              <w:rPr>
                <w:rFonts w:ascii="宋体" w:hAnsi="宋体" w:cs="宋体"/>
              </w:rPr>
            </w:pPr>
            <w:r>
              <w:rPr>
                <w:rFonts w:hint="eastAsia" w:ascii="宋体" w:hAnsi="宋体" w:cs="宋体"/>
              </w:rPr>
              <w:t>19</w:t>
            </w:r>
          </w:p>
        </w:tc>
        <w:tc>
          <w:tcPr>
            <w:tcW w:w="9032" w:type="dxa"/>
          </w:tcPr>
          <w:p>
            <w:pPr>
              <w:pStyle w:val="50"/>
              <w:kinsoku w:val="0"/>
              <w:overflowPunct w:val="0"/>
              <w:spacing w:before="73"/>
              <w:ind w:left="102"/>
              <w:rPr>
                <w:rFonts w:ascii="宋体" w:hAnsi="宋体" w:cs="宋体"/>
              </w:rPr>
            </w:pPr>
            <w:r>
              <w:rPr>
                <w:rFonts w:hint="eastAsia" w:ascii="宋体" w:hAnsi="宋体" w:cs="宋体"/>
                <w:b/>
                <w:bCs/>
              </w:rPr>
              <w:t>构成招标文件的其他文件：</w:t>
            </w:r>
            <w:r>
              <w:rPr>
                <w:rFonts w:hint="eastAsia" w:ascii="宋体" w:hAnsi="宋体" w:cs="宋体"/>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98" w:type="dxa"/>
            <w:vAlign w:val="center"/>
          </w:tcPr>
          <w:p>
            <w:pPr>
              <w:pStyle w:val="50"/>
              <w:kinsoku w:val="0"/>
              <w:overflowPunct w:val="0"/>
              <w:spacing w:before="73"/>
              <w:jc w:val="center"/>
              <w:rPr>
                <w:rFonts w:ascii="宋体" w:hAnsi="宋体" w:cs="宋体"/>
              </w:rPr>
            </w:pPr>
            <w:r>
              <w:rPr>
                <w:rFonts w:hint="eastAsia" w:ascii="宋体" w:hAnsi="宋体" w:cs="宋体"/>
              </w:rPr>
              <w:t>20</w:t>
            </w:r>
          </w:p>
        </w:tc>
        <w:tc>
          <w:tcPr>
            <w:tcW w:w="9032" w:type="dxa"/>
          </w:tcPr>
          <w:p>
            <w:pPr>
              <w:pStyle w:val="50"/>
              <w:kinsoku w:val="0"/>
              <w:overflowPunct w:val="0"/>
              <w:spacing w:before="57"/>
              <w:ind w:left="102"/>
              <w:rPr>
                <w:rFonts w:ascii="宋体" w:hAnsi="宋体" w:cs="宋体"/>
              </w:rPr>
            </w:pPr>
            <w:r>
              <w:rPr>
                <w:rFonts w:hint="eastAsia" w:ascii="宋体" w:hAnsi="宋体" w:cs="宋体"/>
                <w:b/>
                <w:bCs/>
              </w:rPr>
              <w:t>投标保证金</w:t>
            </w:r>
          </w:p>
          <w:p>
            <w:pPr>
              <w:rPr>
                <w:rFonts w:ascii="宋体" w:hAnsi="宋体" w:cs="宋体"/>
                <w:kern w:val="0"/>
                <w:sz w:val="24"/>
              </w:rPr>
            </w:pPr>
            <w:r>
              <w:rPr>
                <w:rFonts w:hint="eastAsia" w:ascii="宋体" w:hAnsi="宋体" w:cs="宋体"/>
                <w:kern w:val="0"/>
                <w:sz w:val="24"/>
              </w:rPr>
              <w:t>投标保证金的形式：电汇、转账等形式，</w:t>
            </w:r>
            <w:r>
              <w:rPr>
                <w:rFonts w:hint="eastAsia" w:ascii="宋体" w:hAnsi="宋体" w:cs="宋体"/>
                <w:sz w:val="24"/>
              </w:rPr>
              <w:t>均应从基本账户转出。</w:t>
            </w:r>
          </w:p>
          <w:p>
            <w:pPr>
              <w:rPr>
                <w:rFonts w:ascii="宋体" w:hAnsi="宋体" w:cs="宋体"/>
                <w:kern w:val="0"/>
                <w:sz w:val="24"/>
              </w:rPr>
            </w:pPr>
            <w:r>
              <w:rPr>
                <w:rFonts w:hint="eastAsia" w:ascii="宋体" w:hAnsi="宋体" w:cs="宋体"/>
                <w:kern w:val="0"/>
                <w:sz w:val="24"/>
              </w:rPr>
              <w:t>投标保证金的金额：16000元（壹万陆仟元整）</w:t>
            </w:r>
          </w:p>
          <w:p>
            <w:pPr>
              <w:rPr>
                <w:rFonts w:ascii="宋体" w:hAnsi="宋体" w:cs="宋体"/>
                <w:kern w:val="0"/>
                <w:sz w:val="24"/>
              </w:rPr>
            </w:pPr>
            <w:r>
              <w:rPr>
                <w:rFonts w:hint="eastAsia" w:ascii="宋体" w:hAnsi="宋体" w:cs="宋体"/>
                <w:kern w:val="0"/>
                <w:sz w:val="24"/>
              </w:rPr>
              <w:t>投标保证金必须在开标前一天缴纳至以下账号：</w:t>
            </w:r>
          </w:p>
          <w:p>
            <w:pPr>
              <w:pStyle w:val="50"/>
              <w:rPr>
                <w:rFonts w:ascii="宋体" w:hAnsi="宋体" w:cs="宋体"/>
              </w:rPr>
            </w:pPr>
            <w:r>
              <w:rPr>
                <w:rFonts w:hint="eastAsia" w:ascii="宋体" w:hAnsi="宋体" w:cs="宋体"/>
              </w:rPr>
              <w:t>单位名称：新疆天之源项目管理集团有限公司</w:t>
            </w:r>
          </w:p>
          <w:p>
            <w:pPr>
              <w:pStyle w:val="50"/>
              <w:spacing w:before="132" w:line="345" w:lineRule="auto"/>
              <w:ind w:right="152"/>
              <w:rPr>
                <w:rFonts w:ascii="宋体" w:hAnsi="宋体" w:cs="宋体"/>
              </w:rPr>
            </w:pPr>
            <w:r>
              <w:rPr>
                <w:rFonts w:hint="eastAsia" w:ascii="宋体" w:hAnsi="宋体" w:cs="宋体"/>
              </w:rPr>
              <w:t>开户银行：</w:t>
            </w:r>
            <w:r>
              <w:rPr>
                <w:rFonts w:hint="eastAsia"/>
              </w:rPr>
              <w:t>招商银行股份有限公司乌鲁木齐人民路支行</w:t>
            </w:r>
          </w:p>
          <w:p>
            <w:pPr>
              <w:pStyle w:val="50"/>
              <w:spacing w:line="343" w:lineRule="auto"/>
              <w:ind w:right="1952"/>
              <w:rPr>
                <w:rFonts w:ascii="宋体" w:hAnsi="宋体" w:cs="宋体"/>
              </w:rPr>
            </w:pPr>
            <w:r>
              <w:rPr>
                <w:rFonts w:hint="eastAsia" w:ascii="宋体" w:hAnsi="宋体" w:cs="宋体"/>
              </w:rPr>
              <w:t>银行账号：991902337110201 行号：308881029059</w:t>
            </w:r>
          </w:p>
          <w:p>
            <w:pPr>
              <w:rPr>
                <w:rFonts w:ascii="宋体" w:hAnsi="宋体" w:cs="宋体"/>
              </w:rPr>
            </w:pPr>
            <w:r>
              <w:rPr>
                <w:rFonts w:hint="eastAsia" w:ascii="宋体" w:hAnsi="宋体" w:cs="宋体"/>
                <w:kern w:val="0"/>
                <w:sz w:val="24"/>
              </w:rPr>
              <w:t>投标人办理保证金时，须注明“项目名称+投标保证金”（如字数超出规定字数可简写项目名称）。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98" w:type="dxa"/>
            <w:vAlign w:val="center"/>
          </w:tcPr>
          <w:p>
            <w:pPr>
              <w:pStyle w:val="50"/>
              <w:kinsoku w:val="0"/>
              <w:overflowPunct w:val="0"/>
              <w:spacing w:before="73"/>
              <w:jc w:val="center"/>
              <w:rPr>
                <w:rFonts w:ascii="宋体" w:hAnsi="宋体" w:cs="宋体"/>
              </w:rPr>
            </w:pPr>
            <w:r>
              <w:rPr>
                <w:rFonts w:hint="eastAsia" w:ascii="宋体" w:hAnsi="宋体" w:cs="宋体"/>
              </w:rPr>
              <w:t>21</w:t>
            </w:r>
          </w:p>
        </w:tc>
        <w:tc>
          <w:tcPr>
            <w:tcW w:w="9032" w:type="dxa"/>
          </w:tcPr>
          <w:p>
            <w:pPr>
              <w:pStyle w:val="50"/>
              <w:kinsoku w:val="0"/>
              <w:overflowPunct w:val="0"/>
              <w:spacing w:before="57"/>
              <w:ind w:left="102"/>
              <w:rPr>
                <w:rFonts w:ascii="宋体" w:hAnsi="宋体" w:cs="宋体"/>
              </w:rPr>
            </w:pPr>
            <w:r>
              <w:rPr>
                <w:rFonts w:hint="eastAsia" w:ascii="宋体" w:hAnsi="宋体" w:cs="宋体"/>
                <w:b/>
                <w:bCs/>
              </w:rPr>
              <w:t>投标保证金退还：</w:t>
            </w:r>
          </w:p>
          <w:p>
            <w:pPr>
              <w:pStyle w:val="50"/>
              <w:kinsoku w:val="0"/>
              <w:overflowPunct w:val="0"/>
              <w:spacing w:before="16"/>
              <w:ind w:left="582"/>
              <w:rPr>
                <w:rFonts w:ascii="宋体" w:hAnsi="宋体" w:cs="宋体"/>
              </w:rPr>
            </w:pPr>
            <w:r>
              <w:rPr>
                <w:rFonts w:hint="eastAsia" w:ascii="宋体" w:hAnsi="宋体" w:cs="宋体"/>
              </w:rPr>
              <w:t>未中标投标人的投标保证金，在中标结果公示期满后</w:t>
            </w:r>
            <w:r>
              <w:rPr>
                <w:rFonts w:hint="eastAsia" w:ascii="宋体" w:hAnsi="宋体" w:cs="宋体"/>
                <w:spacing w:val="-60"/>
              </w:rPr>
              <w:t xml:space="preserve"> </w:t>
            </w:r>
            <w:r>
              <w:rPr>
                <w:rFonts w:hint="eastAsia" w:ascii="宋体" w:hAnsi="宋体" w:cs="宋体"/>
              </w:rPr>
              <w:t>5</w:t>
            </w:r>
            <w:r>
              <w:rPr>
                <w:rFonts w:hint="eastAsia" w:ascii="宋体" w:hAnsi="宋体" w:cs="宋体"/>
                <w:spacing w:val="-60"/>
              </w:rPr>
              <w:t xml:space="preserve"> </w:t>
            </w:r>
            <w:r>
              <w:rPr>
                <w:rFonts w:hint="eastAsia" w:ascii="宋体" w:hAnsi="宋体" w:cs="宋体"/>
              </w:rPr>
              <w:t>个工作日内由招</w:t>
            </w:r>
          </w:p>
          <w:p>
            <w:pPr>
              <w:pStyle w:val="50"/>
              <w:kinsoku w:val="0"/>
              <w:overflowPunct w:val="0"/>
              <w:spacing w:before="16"/>
              <w:ind w:left="102"/>
              <w:rPr>
                <w:rFonts w:ascii="宋体" w:hAnsi="宋体" w:cs="宋体"/>
              </w:rPr>
            </w:pPr>
            <w:r>
              <w:rPr>
                <w:rFonts w:hint="eastAsia" w:ascii="宋体" w:hAnsi="宋体" w:cs="宋体"/>
              </w:rPr>
              <w:t>标代理机构退还。</w:t>
            </w:r>
          </w:p>
          <w:p>
            <w:pPr>
              <w:pStyle w:val="50"/>
              <w:kinsoku w:val="0"/>
              <w:overflowPunct w:val="0"/>
              <w:spacing w:before="16"/>
              <w:ind w:left="582"/>
              <w:rPr>
                <w:rFonts w:ascii="宋体" w:hAnsi="宋体" w:cs="宋体"/>
              </w:rPr>
            </w:pPr>
            <w:r>
              <w:rPr>
                <w:rFonts w:hint="eastAsia" w:ascii="宋体" w:hAnsi="宋体" w:cs="宋体"/>
              </w:rPr>
              <w:t>中标投标人的投标保证金，在签订合同后</w:t>
            </w:r>
            <w:r>
              <w:rPr>
                <w:rFonts w:hint="eastAsia" w:ascii="宋体" w:hAnsi="宋体" w:cs="宋体"/>
                <w:spacing w:val="-60"/>
              </w:rPr>
              <w:t xml:space="preserve"> </w:t>
            </w:r>
            <w:r>
              <w:rPr>
                <w:rFonts w:hint="eastAsia" w:ascii="宋体" w:hAnsi="宋体" w:cs="宋体"/>
              </w:rPr>
              <w:t>5</w:t>
            </w:r>
            <w:r>
              <w:rPr>
                <w:rFonts w:hint="eastAsia" w:ascii="宋体" w:hAnsi="宋体" w:cs="宋体"/>
                <w:spacing w:val="-60"/>
              </w:rPr>
              <w:t xml:space="preserve"> </w:t>
            </w:r>
            <w:r>
              <w:rPr>
                <w:rFonts w:hint="eastAsia" w:ascii="宋体" w:hAnsi="宋体" w:cs="宋体"/>
              </w:rPr>
              <w:t>个工作日内由招标代理机构</w:t>
            </w:r>
          </w:p>
          <w:p>
            <w:pPr>
              <w:pStyle w:val="50"/>
              <w:kinsoku w:val="0"/>
              <w:overflowPunct w:val="0"/>
              <w:spacing w:before="16"/>
              <w:ind w:left="102"/>
              <w:rPr>
                <w:rFonts w:ascii="宋体" w:hAnsi="宋体" w:cs="宋体"/>
              </w:rPr>
            </w:pPr>
            <w:r>
              <w:rPr>
                <w:rFonts w:hint="eastAsia" w:ascii="宋体" w:hAnsi="宋体" w:cs="宋体"/>
              </w:rPr>
              <w:t>退还。</w:t>
            </w:r>
          </w:p>
          <w:p>
            <w:pPr>
              <w:pStyle w:val="50"/>
              <w:kinsoku w:val="0"/>
              <w:overflowPunct w:val="0"/>
              <w:spacing w:before="16"/>
              <w:ind w:left="582"/>
              <w:rPr>
                <w:rFonts w:ascii="宋体" w:hAnsi="宋体" w:cs="宋体"/>
              </w:rPr>
            </w:pPr>
            <w:r>
              <w:rPr>
                <w:rFonts w:hint="eastAsia" w:ascii="宋体" w:hAnsi="宋体" w:cs="宋体"/>
                <w:b/>
                <w:bCs/>
              </w:rPr>
              <w:t>如投标人有下列情形之一的，投标保证金不予退还</w:t>
            </w:r>
            <w:r>
              <w:rPr>
                <w:rFonts w:hint="eastAsia" w:ascii="宋体" w:hAnsi="宋体" w:cs="宋体"/>
              </w:rPr>
              <w:t>：</w:t>
            </w:r>
          </w:p>
          <w:p>
            <w:pPr>
              <w:pStyle w:val="50"/>
              <w:kinsoku w:val="0"/>
              <w:overflowPunct w:val="0"/>
              <w:spacing w:before="16"/>
              <w:ind w:left="582"/>
              <w:rPr>
                <w:rFonts w:ascii="宋体" w:hAnsi="宋体" w:cs="宋体"/>
              </w:rPr>
            </w:pPr>
            <w:r>
              <w:rPr>
                <w:rFonts w:hint="eastAsia" w:ascii="宋体" w:hAnsi="宋体" w:cs="宋体"/>
              </w:rPr>
              <w:t>(1)投标人未按规定的时间、地点参加投标或者开标后投标方撤标的；</w:t>
            </w:r>
          </w:p>
          <w:p>
            <w:pPr>
              <w:pStyle w:val="50"/>
              <w:kinsoku w:val="0"/>
              <w:overflowPunct w:val="0"/>
              <w:spacing w:before="16"/>
              <w:ind w:left="582"/>
              <w:rPr>
                <w:rFonts w:ascii="宋体" w:hAnsi="宋体" w:cs="宋体"/>
              </w:rPr>
            </w:pPr>
            <w:r>
              <w:rPr>
                <w:rFonts w:hint="eastAsia" w:ascii="宋体" w:hAnsi="宋体" w:cs="宋体"/>
              </w:rPr>
              <w:t>(2)中标人在规定期限内未能按规定签订合同的；</w:t>
            </w:r>
          </w:p>
          <w:p>
            <w:pPr>
              <w:pStyle w:val="50"/>
              <w:kinsoku w:val="0"/>
              <w:overflowPunct w:val="0"/>
              <w:spacing w:before="16"/>
              <w:ind w:left="582"/>
              <w:rPr>
                <w:rFonts w:ascii="宋体" w:hAnsi="宋体" w:cs="宋体"/>
              </w:rPr>
            </w:pPr>
            <w:r>
              <w:rPr>
                <w:rFonts w:hint="eastAsia" w:ascii="宋体" w:hAnsi="宋体" w:cs="宋体"/>
              </w:rPr>
              <w:t>(3)投标人在投标文件中提供虚假资质或证明材料</w:t>
            </w:r>
            <w:r>
              <w:rPr>
                <w:rFonts w:hint="eastAsia" w:ascii="宋体" w:hAnsi="宋体" w:cs="宋体"/>
                <w:spacing w:val="-94"/>
              </w:rPr>
              <w:t>，</w:t>
            </w:r>
            <w:r>
              <w:rPr>
                <w:rFonts w:hint="eastAsia" w:ascii="宋体" w:hAnsi="宋体" w:cs="宋体"/>
              </w:rPr>
              <w:t>进行无效投标的；</w:t>
            </w:r>
          </w:p>
          <w:p>
            <w:pPr>
              <w:pStyle w:val="50"/>
              <w:kinsoku w:val="0"/>
              <w:overflowPunct w:val="0"/>
              <w:spacing w:before="57"/>
              <w:ind w:left="102" w:firstLine="480" w:firstLineChars="200"/>
              <w:rPr>
                <w:rFonts w:ascii="宋体" w:hAnsi="宋体" w:cs="宋体"/>
              </w:rPr>
            </w:pPr>
            <w:r>
              <w:rPr>
                <w:rFonts w:hint="eastAsia" w:ascii="宋体" w:hAnsi="宋体" w:cs="宋体"/>
              </w:rPr>
              <w:t>(4)有证据证明投标人参与了串标、商业贿赂等违法、违规行为的；</w:t>
            </w:r>
          </w:p>
          <w:p>
            <w:pPr>
              <w:pStyle w:val="50"/>
              <w:kinsoku w:val="0"/>
              <w:overflowPunct w:val="0"/>
              <w:spacing w:before="23"/>
              <w:ind w:left="582"/>
              <w:rPr>
                <w:rFonts w:ascii="宋体" w:hAnsi="宋体" w:cs="宋体"/>
              </w:rPr>
            </w:pPr>
            <w:r>
              <w:rPr>
                <w:rFonts w:hint="eastAsia" w:ascii="宋体" w:hAnsi="宋体" w:cs="宋体"/>
              </w:rPr>
              <w:t>(5)</w:t>
            </w:r>
            <w:r>
              <w:rPr>
                <w:rFonts w:hint="eastAsia" w:ascii="宋体" w:hAnsi="宋体" w:cs="宋体"/>
                <w:spacing w:val="4"/>
                <w:kern w:val="2"/>
                <w:sz w:val="21"/>
                <w:szCs w:val="22"/>
              </w:rPr>
              <w:t xml:space="preserve"> </w:t>
            </w:r>
            <w:r>
              <w:rPr>
                <w:rFonts w:hint="eastAsia" w:ascii="宋体" w:hAnsi="宋体" w:cs="宋体"/>
              </w:rPr>
              <w:t>缴纳投标保证金的投标人无正当理由不参加投标，且开标前</w:t>
            </w:r>
            <w:r>
              <w:rPr>
                <w:rFonts w:hint="eastAsia" w:ascii="宋体" w:hAnsi="宋体" w:cs="宋体"/>
                <w:spacing w:val="-60"/>
              </w:rPr>
              <w:t xml:space="preserve"> </w:t>
            </w:r>
            <w:r>
              <w:rPr>
                <w:rFonts w:hint="eastAsia" w:ascii="宋体" w:hAnsi="宋体" w:cs="宋体"/>
              </w:rPr>
              <w:t>24</w:t>
            </w:r>
            <w:r>
              <w:rPr>
                <w:rFonts w:hint="eastAsia" w:ascii="宋体" w:hAnsi="宋体" w:cs="宋体"/>
                <w:spacing w:val="-60"/>
              </w:rPr>
              <w:t xml:space="preserve"> </w:t>
            </w:r>
            <w:r>
              <w:rPr>
                <w:rFonts w:hint="eastAsia" w:ascii="宋体" w:hAnsi="宋体" w:cs="宋体"/>
              </w:rPr>
              <w:t>小时</w:t>
            </w:r>
          </w:p>
          <w:p>
            <w:pPr>
              <w:pStyle w:val="50"/>
              <w:kinsoku w:val="0"/>
              <w:overflowPunct w:val="0"/>
              <w:spacing w:before="16"/>
              <w:ind w:left="102"/>
              <w:rPr>
                <w:rFonts w:ascii="宋体" w:hAnsi="宋体" w:cs="宋体"/>
              </w:rPr>
            </w:pPr>
            <w:r>
              <w:rPr>
                <w:rFonts w:hint="eastAsia" w:ascii="宋体" w:hAnsi="宋体" w:cs="宋体"/>
              </w:rPr>
              <w:t>之前未书面通知招标机构的；</w:t>
            </w:r>
          </w:p>
          <w:p>
            <w:pPr>
              <w:pStyle w:val="50"/>
              <w:kinsoku w:val="0"/>
              <w:overflowPunct w:val="0"/>
              <w:spacing w:before="16"/>
              <w:ind w:left="582"/>
              <w:rPr>
                <w:rFonts w:ascii="宋体" w:hAnsi="宋体" w:cs="宋体"/>
              </w:rPr>
            </w:pPr>
            <w:r>
              <w:rPr>
                <w:rFonts w:hint="eastAsia" w:ascii="宋体" w:hAnsi="宋体" w:cs="宋体"/>
              </w:rPr>
              <w:t>(6)投标人被通知中标后</w:t>
            </w:r>
            <w:r>
              <w:rPr>
                <w:rFonts w:hint="eastAsia" w:ascii="宋体" w:hAnsi="宋体" w:cs="宋体"/>
                <w:spacing w:val="-94"/>
              </w:rPr>
              <w:t>，</w:t>
            </w:r>
            <w:r>
              <w:rPr>
                <w:rFonts w:hint="eastAsia" w:ascii="宋体" w:hAnsi="宋体" w:cs="宋体"/>
              </w:rPr>
              <w:t>不按规定的时间或拒绝按中标状态签订合同的</w:t>
            </w:r>
          </w:p>
          <w:p>
            <w:pPr>
              <w:pStyle w:val="50"/>
              <w:kinsoku w:val="0"/>
              <w:overflowPunct w:val="0"/>
              <w:spacing w:before="16"/>
              <w:ind w:left="102"/>
              <w:rPr>
                <w:rFonts w:ascii="宋体" w:hAnsi="宋体" w:cs="宋体"/>
              </w:rPr>
            </w:pPr>
            <w:r>
              <w:rPr>
                <w:rFonts w:hint="eastAsia" w:ascii="宋体" w:hAnsi="宋体" w:cs="宋体"/>
              </w:rPr>
              <w:t>（即不按中标时规定的技术要求，投标报价，保修服务等签订合同）；</w:t>
            </w:r>
          </w:p>
          <w:p>
            <w:pPr>
              <w:pStyle w:val="50"/>
              <w:kinsoku w:val="0"/>
              <w:overflowPunct w:val="0"/>
              <w:spacing w:before="57"/>
              <w:ind w:left="102" w:firstLine="480" w:firstLineChars="200"/>
              <w:rPr>
                <w:rFonts w:ascii="宋体" w:hAnsi="宋体" w:cs="宋体"/>
                <w:b/>
                <w:bCs/>
              </w:rPr>
            </w:pPr>
            <w:r>
              <w:rPr>
                <w:rFonts w:hint="eastAsia" w:ascii="宋体" w:hAnsi="宋体" w:cs="宋体"/>
              </w:rPr>
              <w:t>(7)《招标文件》规定的其它情形。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98" w:type="dxa"/>
            <w:vAlign w:val="center"/>
          </w:tcPr>
          <w:p>
            <w:pPr>
              <w:pStyle w:val="50"/>
              <w:kinsoku w:val="0"/>
              <w:overflowPunct w:val="0"/>
              <w:spacing w:before="73"/>
              <w:jc w:val="center"/>
              <w:rPr>
                <w:rFonts w:ascii="宋体" w:hAnsi="宋体" w:cs="宋体"/>
              </w:rPr>
            </w:pPr>
            <w:r>
              <w:rPr>
                <w:rFonts w:hint="eastAsia" w:ascii="宋体" w:hAnsi="宋体" w:cs="宋体"/>
              </w:rPr>
              <w:t>22</w:t>
            </w:r>
          </w:p>
        </w:tc>
        <w:tc>
          <w:tcPr>
            <w:tcW w:w="9032" w:type="dxa"/>
          </w:tcPr>
          <w:p>
            <w:pPr>
              <w:pStyle w:val="50"/>
              <w:kinsoku w:val="0"/>
              <w:overflowPunct w:val="0"/>
              <w:spacing w:before="56"/>
              <w:ind w:left="102"/>
              <w:rPr>
                <w:rFonts w:ascii="宋体" w:hAnsi="宋体" w:cs="宋体"/>
              </w:rPr>
            </w:pPr>
            <w:r>
              <w:rPr>
                <w:rFonts w:hint="eastAsia" w:ascii="宋体" w:hAnsi="宋体" w:cs="宋体"/>
                <w:b/>
                <w:bCs/>
              </w:rPr>
              <w:t>《投标文件》递交份数、时间及地点：</w:t>
            </w:r>
          </w:p>
          <w:p>
            <w:pPr>
              <w:pStyle w:val="50"/>
              <w:kinsoku w:val="0"/>
              <w:overflowPunct w:val="0"/>
              <w:spacing w:before="16"/>
              <w:ind w:left="582" w:right="-34"/>
              <w:rPr>
                <w:rFonts w:ascii="宋体" w:hAnsi="宋体" w:cs="宋体"/>
              </w:rPr>
            </w:pPr>
            <w:r>
              <w:rPr>
                <w:rFonts w:hint="eastAsia" w:ascii="宋体" w:hAnsi="宋体" w:cs="宋体"/>
                <w:b/>
                <w:bCs/>
                <w:spacing w:val="-5"/>
              </w:rPr>
              <w:t>1、份数：</w:t>
            </w:r>
            <w:r>
              <w:rPr>
                <w:rFonts w:hint="eastAsia" w:ascii="宋体" w:hAnsi="宋体" w:cs="宋体"/>
                <w:spacing w:val="-4"/>
              </w:rPr>
              <w:t>正本</w:t>
            </w:r>
            <w:r>
              <w:rPr>
                <w:rFonts w:hint="eastAsia" w:ascii="宋体" w:hAnsi="宋体" w:cs="宋体"/>
              </w:rPr>
              <w:t xml:space="preserve"> 1 份,副本4 份，电子版 1 份</w:t>
            </w:r>
            <w:r>
              <w:rPr>
                <w:rFonts w:hint="eastAsia" w:ascii="宋体" w:hAnsi="宋体" w:cs="宋体"/>
                <w:spacing w:val="-6"/>
              </w:rPr>
              <w:t>（U</w:t>
            </w:r>
            <w:r>
              <w:rPr>
                <w:rFonts w:hint="eastAsia" w:ascii="宋体" w:hAnsi="宋体" w:cs="宋体"/>
                <w:spacing w:val="-61"/>
              </w:rPr>
              <w:t xml:space="preserve"> </w:t>
            </w:r>
            <w:r>
              <w:rPr>
                <w:rFonts w:hint="eastAsia" w:ascii="宋体" w:hAnsi="宋体" w:cs="宋体"/>
                <w:spacing w:val="-3"/>
              </w:rPr>
              <w:t>盘，含所有签章的正本扫描件、格式：PDF、一份），报价一览表1份，</w:t>
            </w:r>
            <w:r>
              <w:rPr>
                <w:rFonts w:hint="eastAsia" w:ascii="宋体" w:hAnsi="宋体" w:cs="宋体"/>
              </w:rPr>
              <w:t>所有文件递交不退。</w:t>
            </w:r>
          </w:p>
          <w:p>
            <w:pPr>
              <w:pStyle w:val="50"/>
              <w:kinsoku w:val="0"/>
              <w:overflowPunct w:val="0"/>
              <w:spacing w:before="16"/>
              <w:ind w:left="582"/>
              <w:rPr>
                <w:rFonts w:ascii="宋体" w:hAnsi="宋体" w:cs="宋体"/>
              </w:rPr>
            </w:pPr>
            <w:r>
              <w:rPr>
                <w:rFonts w:hint="eastAsia" w:ascii="宋体" w:hAnsi="宋体" w:cs="宋体"/>
                <w:b/>
                <w:bCs/>
                <w:spacing w:val="2"/>
              </w:rPr>
              <w:t>特</w:t>
            </w:r>
            <w:r>
              <w:rPr>
                <w:rFonts w:hint="eastAsia" w:ascii="宋体" w:hAnsi="宋体" w:cs="宋体"/>
                <w:b/>
                <w:bCs/>
              </w:rPr>
              <w:t>别</w:t>
            </w:r>
            <w:r>
              <w:rPr>
                <w:rFonts w:hint="eastAsia" w:ascii="宋体" w:hAnsi="宋体" w:cs="宋体"/>
                <w:b/>
                <w:bCs/>
                <w:spacing w:val="2"/>
              </w:rPr>
              <w:t>提示</w:t>
            </w:r>
            <w:r>
              <w:rPr>
                <w:rFonts w:hint="eastAsia" w:ascii="宋体" w:hAnsi="宋体" w:cs="宋体"/>
                <w:b/>
                <w:bCs/>
                <w:spacing w:val="-30"/>
              </w:rPr>
              <w:t>：</w:t>
            </w:r>
            <w:r>
              <w:rPr>
                <w:rFonts w:hint="eastAsia" w:ascii="宋体" w:hAnsi="宋体" w:cs="宋体"/>
                <w:b/>
                <w:bCs/>
                <w:spacing w:val="2"/>
              </w:rPr>
              <w:t>电</w:t>
            </w:r>
            <w:r>
              <w:rPr>
                <w:rFonts w:hint="eastAsia" w:ascii="宋体" w:hAnsi="宋体" w:cs="宋体"/>
                <w:b/>
                <w:bCs/>
              </w:rPr>
              <w:t>子</w:t>
            </w:r>
            <w:r>
              <w:rPr>
                <w:rFonts w:hint="eastAsia" w:ascii="宋体" w:hAnsi="宋体" w:cs="宋体"/>
                <w:b/>
                <w:bCs/>
                <w:spacing w:val="-28"/>
              </w:rPr>
              <w:t>版</w:t>
            </w:r>
            <w:r>
              <w:rPr>
                <w:rFonts w:hint="eastAsia" w:ascii="宋体" w:hAnsi="宋体" w:cs="宋体"/>
                <w:b/>
                <w:bCs/>
              </w:rPr>
              <w:t>《</w:t>
            </w:r>
            <w:r>
              <w:rPr>
                <w:rFonts w:hint="eastAsia" w:ascii="宋体" w:hAnsi="宋体" w:cs="宋体"/>
                <w:b/>
                <w:bCs/>
                <w:spacing w:val="2"/>
              </w:rPr>
              <w:t>投标</w:t>
            </w:r>
            <w:r>
              <w:rPr>
                <w:rFonts w:hint="eastAsia" w:ascii="宋体" w:hAnsi="宋体" w:cs="宋体"/>
                <w:b/>
                <w:bCs/>
              </w:rPr>
              <w:t>文</w:t>
            </w:r>
            <w:r>
              <w:rPr>
                <w:rFonts w:hint="eastAsia" w:ascii="宋体" w:hAnsi="宋体" w:cs="宋体"/>
                <w:b/>
                <w:bCs/>
                <w:spacing w:val="2"/>
              </w:rPr>
              <w:t>件</w:t>
            </w:r>
            <w:r>
              <w:rPr>
                <w:rFonts w:hint="eastAsia" w:ascii="宋体" w:hAnsi="宋体" w:cs="宋体"/>
                <w:b/>
                <w:bCs/>
                <w:spacing w:val="-30"/>
              </w:rPr>
              <w:t>》</w:t>
            </w:r>
            <w:r>
              <w:rPr>
                <w:rFonts w:hint="eastAsia" w:ascii="宋体" w:hAnsi="宋体" w:cs="宋体"/>
                <w:b/>
                <w:bCs/>
                <w:spacing w:val="2"/>
              </w:rPr>
              <w:t>必</w:t>
            </w:r>
            <w:r>
              <w:rPr>
                <w:rFonts w:hint="eastAsia" w:ascii="宋体" w:hAnsi="宋体" w:cs="宋体"/>
                <w:b/>
                <w:bCs/>
              </w:rPr>
              <w:t>须</w:t>
            </w:r>
            <w:r>
              <w:rPr>
                <w:rFonts w:hint="eastAsia" w:ascii="宋体" w:hAnsi="宋体" w:cs="宋体"/>
                <w:b/>
                <w:bCs/>
                <w:spacing w:val="2"/>
              </w:rPr>
              <w:t>与纸质</w:t>
            </w:r>
            <w:r>
              <w:rPr>
                <w:rFonts w:hint="eastAsia" w:ascii="宋体" w:hAnsi="宋体" w:cs="宋体"/>
                <w:b/>
                <w:bCs/>
                <w:spacing w:val="-30"/>
              </w:rPr>
              <w:t>版</w:t>
            </w:r>
            <w:r>
              <w:rPr>
                <w:rFonts w:hint="eastAsia" w:ascii="宋体" w:hAnsi="宋体" w:cs="宋体"/>
                <w:b/>
                <w:bCs/>
                <w:spacing w:val="2"/>
              </w:rPr>
              <w:t>《投标</w:t>
            </w:r>
            <w:r>
              <w:rPr>
                <w:rFonts w:hint="eastAsia" w:ascii="宋体" w:hAnsi="宋体" w:cs="宋体"/>
                <w:b/>
                <w:bCs/>
              </w:rPr>
              <w:t>文件》</w:t>
            </w:r>
          </w:p>
          <w:p>
            <w:pPr>
              <w:pStyle w:val="50"/>
              <w:kinsoku w:val="0"/>
              <w:overflowPunct w:val="0"/>
              <w:spacing w:before="16"/>
              <w:ind w:left="102"/>
              <w:rPr>
                <w:rFonts w:ascii="宋体" w:hAnsi="宋体" w:cs="宋体"/>
              </w:rPr>
            </w:pPr>
            <w:r>
              <w:rPr>
                <w:rFonts w:hint="eastAsia" w:ascii="宋体" w:hAnsi="宋体" w:cs="宋体"/>
                <w:b/>
                <w:bCs/>
              </w:rPr>
              <w:t>完全一致。</w:t>
            </w:r>
          </w:p>
          <w:p>
            <w:pPr>
              <w:pStyle w:val="50"/>
              <w:kinsoku w:val="0"/>
              <w:overflowPunct w:val="0"/>
              <w:spacing w:before="16"/>
              <w:ind w:left="582"/>
              <w:rPr>
                <w:rFonts w:ascii="宋体" w:hAnsi="宋体" w:cs="宋体"/>
              </w:rPr>
            </w:pPr>
            <w:r>
              <w:rPr>
                <w:rFonts w:hint="eastAsia" w:ascii="宋体" w:hAnsi="宋体" w:cs="宋体"/>
                <w:b/>
                <w:bCs/>
              </w:rPr>
              <w:t>2、递交截止时间</w:t>
            </w:r>
            <w:r>
              <w:rPr>
                <w:rFonts w:hint="eastAsia" w:ascii="宋体" w:hAnsi="宋体" w:cs="宋体"/>
                <w:b/>
                <w:bCs/>
                <w:highlight w:val="yellow"/>
              </w:rPr>
              <w:t>：</w:t>
            </w:r>
            <w:r>
              <w:rPr>
                <w:rFonts w:hint="eastAsia" w:ascii="宋体" w:hAnsi="宋体" w:cs="宋体"/>
                <w:highlight w:val="yellow"/>
                <w:lang w:eastAsia="zh-CN"/>
              </w:rPr>
              <w:t>2022年10月21日11:00（北京时间）</w:t>
            </w:r>
            <w:r>
              <w:rPr>
                <w:rFonts w:hint="eastAsia" w:ascii="宋体" w:hAnsi="宋体" w:cs="宋体"/>
                <w:highlight w:val="yellow"/>
              </w:rPr>
              <w:t xml:space="preserve"> </w:t>
            </w:r>
          </w:p>
          <w:p>
            <w:pPr>
              <w:pStyle w:val="50"/>
              <w:kinsoku w:val="0"/>
              <w:overflowPunct w:val="0"/>
              <w:spacing w:before="16"/>
              <w:ind w:left="582"/>
              <w:rPr>
                <w:rFonts w:ascii="宋体" w:hAnsi="宋体" w:cs="宋体"/>
                <w:b/>
                <w:bCs/>
              </w:rPr>
            </w:pPr>
            <w:r>
              <w:rPr>
                <w:rFonts w:hint="eastAsia" w:ascii="宋体" w:hAnsi="宋体" w:cs="宋体"/>
                <w:b/>
                <w:bCs/>
              </w:rPr>
              <w:t>3、递交地点：</w:t>
            </w:r>
            <w:r>
              <w:rPr>
                <w:rFonts w:hint="eastAsia" w:ascii="宋体" w:hAnsi="宋体" w:cs="宋体"/>
              </w:rPr>
              <w:t>新疆天之源项目管理集团有限公司（乌鲁木齐市水磨沟区龙盛街2799号浙商大厦11楼会议室）</w:t>
            </w:r>
            <w:r>
              <w:rPr>
                <w:rFonts w:hint="eastAsia" w:ascii="宋体" w:hAnsi="宋体" w:cs="宋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98" w:type="dxa"/>
            <w:vAlign w:val="center"/>
          </w:tcPr>
          <w:p>
            <w:pPr>
              <w:pStyle w:val="50"/>
              <w:kinsoku w:val="0"/>
              <w:overflowPunct w:val="0"/>
              <w:spacing w:before="73"/>
              <w:jc w:val="center"/>
              <w:rPr>
                <w:rFonts w:ascii="宋体" w:hAnsi="宋体" w:cs="宋体"/>
              </w:rPr>
            </w:pPr>
            <w:r>
              <w:rPr>
                <w:rFonts w:hint="eastAsia" w:ascii="宋体" w:hAnsi="宋体" w:cs="宋体"/>
              </w:rPr>
              <w:t>23</w:t>
            </w:r>
          </w:p>
        </w:tc>
        <w:tc>
          <w:tcPr>
            <w:tcW w:w="9032" w:type="dxa"/>
          </w:tcPr>
          <w:p>
            <w:pPr>
              <w:pStyle w:val="50"/>
              <w:kinsoku w:val="0"/>
              <w:overflowPunct w:val="0"/>
              <w:spacing w:line="277" w:lineRule="exact"/>
              <w:ind w:left="102"/>
              <w:rPr>
                <w:rFonts w:ascii="宋体" w:hAnsi="宋体" w:cs="宋体"/>
              </w:rPr>
            </w:pPr>
            <w:r>
              <w:rPr>
                <w:rFonts w:hint="eastAsia" w:ascii="宋体" w:hAnsi="宋体" w:cs="宋体"/>
                <w:sz w:val="22"/>
                <w:szCs w:val="22"/>
              </w:rPr>
              <w:t>★</w:t>
            </w:r>
            <w:r>
              <w:rPr>
                <w:rFonts w:hint="eastAsia" w:ascii="宋体" w:hAnsi="宋体" w:cs="宋体"/>
                <w:b/>
                <w:bCs/>
              </w:rPr>
              <w:t>投标文件的密封和标记</w:t>
            </w:r>
          </w:p>
          <w:p>
            <w:pPr>
              <w:pStyle w:val="50"/>
              <w:kinsoku w:val="0"/>
              <w:overflowPunct w:val="0"/>
              <w:spacing w:before="38"/>
              <w:ind w:left="102" w:right="-43" w:firstLine="472" w:firstLineChars="200"/>
              <w:rPr>
                <w:rFonts w:ascii="宋体" w:hAnsi="宋体" w:cs="宋体"/>
                <w:spacing w:val="-2"/>
              </w:rPr>
            </w:pPr>
            <w:r>
              <w:rPr>
                <w:rFonts w:hint="eastAsia" w:ascii="宋体" w:hAnsi="宋体" w:cs="宋体"/>
                <w:spacing w:val="-2"/>
              </w:rPr>
              <w:t>1、投标文件正本与副本应分别密封，并加贴“密封”字样封条，在封套的封口处应加盖单位公章。投标人未按此要求采用其他包装的，将造成投标文件被拒收。</w:t>
            </w:r>
          </w:p>
          <w:p>
            <w:pPr>
              <w:pStyle w:val="50"/>
              <w:tabs>
                <w:tab w:val="left" w:pos="5415"/>
                <w:tab w:val="left" w:pos="6023"/>
                <w:tab w:val="left" w:pos="6627"/>
                <w:tab w:val="left" w:pos="7232"/>
                <w:tab w:val="left" w:pos="7839"/>
              </w:tabs>
              <w:kinsoku w:val="0"/>
              <w:overflowPunct w:val="0"/>
              <w:spacing w:before="38"/>
              <w:ind w:left="102" w:firstLine="472" w:firstLineChars="200"/>
              <w:rPr>
                <w:rFonts w:ascii="宋体" w:hAnsi="宋体" w:cs="宋体"/>
                <w:spacing w:val="-2"/>
              </w:rPr>
            </w:pPr>
            <w:r>
              <w:rPr>
                <w:rFonts w:hint="eastAsia" w:ascii="宋体" w:hAnsi="宋体" w:cs="宋体"/>
                <w:spacing w:val="-2"/>
              </w:rPr>
              <w:t>2、在封套上注明项目名称、项目编号及“在</w:t>
            </w:r>
            <w:r>
              <w:rPr>
                <w:rFonts w:hint="eastAsia" w:ascii="宋体" w:hAnsi="宋体" w:cs="宋体"/>
                <w:spacing w:val="-2"/>
              </w:rPr>
              <w:tab/>
            </w:r>
            <w:r>
              <w:rPr>
                <w:rFonts w:hint="eastAsia" w:ascii="宋体" w:hAnsi="宋体" w:cs="宋体"/>
                <w:spacing w:val="-2"/>
              </w:rPr>
              <w:t>年</w:t>
            </w:r>
            <w:r>
              <w:rPr>
                <w:rFonts w:hint="eastAsia" w:ascii="宋体" w:hAnsi="宋体" w:cs="宋体"/>
                <w:spacing w:val="-2"/>
              </w:rPr>
              <w:tab/>
            </w:r>
            <w:r>
              <w:rPr>
                <w:rFonts w:hint="eastAsia" w:ascii="宋体" w:hAnsi="宋体" w:cs="宋体"/>
                <w:spacing w:val="-2"/>
              </w:rPr>
              <w:t>月</w:t>
            </w:r>
            <w:r>
              <w:rPr>
                <w:rFonts w:hint="eastAsia" w:ascii="宋体" w:hAnsi="宋体" w:cs="宋体"/>
                <w:spacing w:val="-2"/>
              </w:rPr>
              <w:tab/>
            </w:r>
            <w:r>
              <w:rPr>
                <w:rFonts w:hint="eastAsia" w:ascii="宋体" w:hAnsi="宋体" w:cs="宋体"/>
                <w:spacing w:val="-2"/>
              </w:rPr>
              <w:t>日</w:t>
            </w:r>
            <w:r>
              <w:rPr>
                <w:rFonts w:hint="eastAsia" w:ascii="宋体" w:hAnsi="宋体" w:cs="宋体"/>
                <w:spacing w:val="-2"/>
              </w:rPr>
              <w:tab/>
            </w:r>
            <w:r>
              <w:rPr>
                <w:rFonts w:hint="eastAsia" w:ascii="宋体" w:hAnsi="宋体" w:cs="宋体"/>
                <w:spacing w:val="-2"/>
              </w:rPr>
              <w:t>时</w:t>
            </w:r>
            <w:r>
              <w:rPr>
                <w:rFonts w:hint="eastAsia" w:ascii="宋体" w:hAnsi="宋体" w:cs="宋体"/>
                <w:spacing w:val="-2"/>
              </w:rPr>
              <w:tab/>
            </w:r>
            <w:r>
              <w:rPr>
                <w:rFonts w:hint="eastAsia" w:ascii="宋体" w:hAnsi="宋体" w:cs="宋体"/>
                <w:spacing w:val="-2"/>
              </w:rPr>
              <w:t>分</w:t>
            </w:r>
          </w:p>
          <w:p>
            <w:pPr>
              <w:pStyle w:val="50"/>
              <w:kinsoku w:val="0"/>
              <w:overflowPunct w:val="0"/>
              <w:spacing w:before="127"/>
              <w:ind w:left="102"/>
              <w:rPr>
                <w:rFonts w:ascii="宋体" w:hAnsi="宋体" w:cs="宋体"/>
                <w:spacing w:val="-2"/>
              </w:rPr>
            </w:pPr>
            <w:r>
              <w:rPr>
                <w:rFonts w:hint="eastAsia" w:ascii="宋体" w:hAnsi="宋体" w:cs="宋体"/>
                <w:spacing w:val="-2"/>
              </w:rPr>
              <w:t>之前不得启封”字样。</w:t>
            </w:r>
          </w:p>
          <w:p>
            <w:pPr>
              <w:pStyle w:val="50"/>
              <w:kinsoku w:val="0"/>
              <w:overflowPunct w:val="0"/>
              <w:spacing w:before="38"/>
              <w:ind w:left="102" w:firstLine="472" w:firstLineChars="200"/>
              <w:rPr>
                <w:rFonts w:ascii="宋体" w:hAnsi="宋体" w:cs="宋体"/>
                <w:spacing w:val="-2"/>
              </w:rPr>
            </w:pPr>
            <w:r>
              <w:rPr>
                <w:rFonts w:hint="eastAsia" w:ascii="宋体" w:hAnsi="宋体" w:cs="宋体"/>
                <w:spacing w:val="-2"/>
              </w:rPr>
              <w:t>3、未按本章第 1 项或 2 项密封和加写标记的投标文件, 造成投标文件被拒收的不利后果由投标人自行承担。</w:t>
            </w:r>
          </w:p>
          <w:p>
            <w:pPr>
              <w:pStyle w:val="50"/>
              <w:kinsoku w:val="0"/>
              <w:overflowPunct w:val="0"/>
              <w:spacing w:before="86"/>
              <w:ind w:left="102" w:firstLine="472" w:firstLineChars="200"/>
              <w:rPr>
                <w:rFonts w:ascii="宋体" w:hAnsi="宋体" w:cs="宋体"/>
                <w:b/>
                <w:bCs/>
              </w:rPr>
            </w:pPr>
            <w:r>
              <w:rPr>
                <w:rFonts w:hint="eastAsia" w:ascii="宋体" w:hAnsi="宋体" w:cs="宋体"/>
                <w:spacing w:val="-2"/>
              </w:rPr>
              <w:t>4、投标人必须将“电子版</w:t>
            </w:r>
            <w:r>
              <w:rPr>
                <w:rFonts w:hint="eastAsia" w:ascii="宋体" w:hAnsi="宋体" w:cs="宋体"/>
                <w:spacing w:val="-60"/>
              </w:rPr>
              <w:t xml:space="preserve"> </w:t>
            </w:r>
            <w:r>
              <w:rPr>
                <w:rFonts w:hint="eastAsia" w:ascii="宋体" w:hAnsi="宋体" w:cs="宋体"/>
              </w:rPr>
              <w:t>U</w:t>
            </w:r>
            <w:r>
              <w:rPr>
                <w:rFonts w:hint="eastAsia" w:ascii="宋体" w:hAnsi="宋体" w:cs="宋体"/>
                <w:spacing w:val="-60"/>
              </w:rPr>
              <w:t xml:space="preserve"> </w:t>
            </w:r>
            <w:r>
              <w:rPr>
                <w:rFonts w:hint="eastAsia" w:ascii="宋体" w:hAnsi="宋体" w:cs="宋体"/>
                <w:spacing w:val="-2"/>
              </w:rPr>
              <w:t>盘”与“</w:t>
            </w:r>
            <w:r>
              <w:rPr>
                <w:rFonts w:hint="eastAsia" w:ascii="宋体" w:hAnsi="宋体" w:cs="宋体"/>
                <w:spacing w:val="-4"/>
              </w:rPr>
              <w:t>正本</w:t>
            </w:r>
            <w:r>
              <w:rPr>
                <w:rFonts w:hint="eastAsia" w:ascii="宋体" w:hAnsi="宋体" w:cs="宋体"/>
                <w:spacing w:val="-2"/>
              </w:rPr>
              <w:t>”共同密封提交，并在封面上注明</w:t>
            </w:r>
            <w:r>
              <w:rPr>
                <w:rFonts w:hint="eastAsia" w:ascii="宋体" w:hAnsi="宋体" w:cs="宋体"/>
              </w:rPr>
              <w:t>项目名称</w:t>
            </w:r>
            <w:r>
              <w:rPr>
                <w:rFonts w:hint="eastAsia" w:ascii="宋体" w:hAnsi="宋体" w:cs="宋体"/>
                <w:spacing w:val="-65"/>
              </w:rPr>
              <w:t>、</w:t>
            </w:r>
            <w:r>
              <w:rPr>
                <w:rFonts w:hint="eastAsia" w:ascii="宋体" w:hAnsi="宋体" w:cs="宋体"/>
              </w:rPr>
              <w:t>项目编号</w:t>
            </w:r>
            <w:r>
              <w:rPr>
                <w:rFonts w:hint="eastAsia" w:ascii="宋体" w:hAnsi="宋体" w:cs="宋体"/>
                <w:spacing w:val="-65"/>
              </w:rPr>
              <w:t>、</w:t>
            </w:r>
            <w:r>
              <w:rPr>
                <w:rFonts w:hint="eastAsia" w:ascii="宋体" w:hAnsi="宋体" w:cs="宋体"/>
              </w:rPr>
              <w:t>投标单位名</w:t>
            </w:r>
            <w:r>
              <w:rPr>
                <w:rFonts w:hint="eastAsia" w:ascii="宋体" w:hAnsi="宋体" w:cs="宋体"/>
                <w:spacing w:val="-63"/>
              </w:rPr>
              <w:t>称</w:t>
            </w:r>
            <w:r>
              <w:rPr>
                <w:rFonts w:hint="eastAsia" w:ascii="宋体" w:hAnsi="宋体" w:cs="宋体"/>
              </w:rPr>
              <w:t>（并加盖公章</w:t>
            </w:r>
            <w:r>
              <w:rPr>
                <w:rFonts w:hint="eastAsia" w:ascii="宋体" w:hAnsi="宋体" w:cs="宋体"/>
                <w:spacing w:val="-65"/>
              </w:rPr>
              <w:t>）</w:t>
            </w:r>
            <w:r>
              <w:rPr>
                <w:rFonts w:hint="eastAsia" w:ascii="宋体" w:hAnsi="宋体" w:cs="宋体"/>
                <w:spacing w:val="-63"/>
              </w:rPr>
              <w:t>及</w:t>
            </w:r>
            <w:r>
              <w:rPr>
                <w:rFonts w:hint="eastAsia" w:ascii="宋体" w:hAnsi="宋体" w:cs="宋体"/>
                <w:spacing w:val="-8"/>
              </w:rPr>
              <w:t>“</w:t>
            </w:r>
            <w:r>
              <w:rPr>
                <w:rFonts w:hint="eastAsia" w:ascii="宋体" w:hAnsi="宋体" w:cs="宋体"/>
                <w:spacing w:val="-1"/>
              </w:rPr>
              <w:t>在</w:t>
            </w:r>
            <w:r>
              <w:rPr>
                <w:rFonts w:hint="eastAsia" w:ascii="宋体" w:hAnsi="宋体" w:cs="宋体"/>
                <w:spacing w:val="-1"/>
                <w:u w:val="single"/>
              </w:rPr>
              <w:tab/>
            </w:r>
            <w:r>
              <w:rPr>
                <w:rFonts w:hint="eastAsia" w:ascii="宋体" w:hAnsi="宋体" w:cs="宋体"/>
                <w:spacing w:val="-1"/>
                <w:u w:val="single"/>
              </w:rPr>
              <w:t xml:space="preserve"> </w:t>
            </w:r>
            <w:r>
              <w:rPr>
                <w:rFonts w:hint="eastAsia" w:ascii="宋体" w:hAnsi="宋体" w:cs="宋体"/>
                <w:spacing w:val="-1"/>
                <w:w w:val="95"/>
              </w:rPr>
              <w:t>年</w:t>
            </w:r>
            <w:r>
              <w:rPr>
                <w:rFonts w:hint="eastAsia" w:ascii="宋体" w:hAnsi="宋体" w:cs="宋体"/>
                <w:spacing w:val="-1"/>
                <w:w w:val="95"/>
                <w:u w:val="single"/>
              </w:rPr>
              <w:tab/>
            </w:r>
            <w:r>
              <w:rPr>
                <w:rFonts w:hint="eastAsia" w:ascii="宋体" w:hAnsi="宋体" w:cs="宋体"/>
                <w:spacing w:val="-1"/>
                <w:w w:val="95"/>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spacing w:val="-1"/>
              </w:rPr>
              <w:t>日</w:t>
            </w:r>
            <w:r>
              <w:rPr>
                <w:rFonts w:hint="eastAsia" w:ascii="宋体" w:hAnsi="宋体" w:cs="宋体"/>
                <w:spacing w:val="-1"/>
                <w:u w:val="single"/>
              </w:rPr>
              <w:tab/>
            </w:r>
            <w:r>
              <w:rPr>
                <w:rFonts w:hint="eastAsia" w:ascii="宋体" w:hAnsi="宋体" w:cs="宋体"/>
                <w:spacing w:val="-1"/>
                <w:u w:val="single"/>
              </w:rPr>
              <w:t xml:space="preserve"> </w:t>
            </w:r>
            <w:r>
              <w:rPr>
                <w:rFonts w:hint="eastAsia" w:ascii="宋体" w:hAnsi="宋体" w:cs="宋体"/>
                <w:spacing w:val="-1"/>
              </w:rPr>
              <w:t>时</w:t>
            </w:r>
            <w:r>
              <w:rPr>
                <w:rFonts w:hint="eastAsia" w:ascii="宋体" w:hAnsi="宋体" w:cs="宋体"/>
                <w:spacing w:val="-1"/>
                <w:u w:val="single"/>
              </w:rPr>
              <w:tab/>
            </w:r>
            <w:r>
              <w:rPr>
                <w:rFonts w:hint="eastAsia" w:ascii="宋体" w:hAnsi="宋体" w:cs="宋体"/>
                <w:spacing w:val="-1"/>
                <w:u w:val="single"/>
              </w:rPr>
              <w:t xml:space="preserve">  </w:t>
            </w:r>
            <w:r>
              <w:rPr>
                <w:rFonts w:hint="eastAsia" w:ascii="宋体" w:hAnsi="宋体" w:cs="宋体"/>
                <w:spacing w:val="-1"/>
              </w:rPr>
              <w:t>分之前不得启封”字样，</w:t>
            </w:r>
            <w:r>
              <w:rPr>
                <w:rFonts w:hint="eastAsia" w:ascii="宋体" w:hAnsi="宋体" w:cs="宋体"/>
                <w:spacing w:val="-3"/>
              </w:rPr>
              <w:t>报价</w:t>
            </w:r>
            <w:r>
              <w:rPr>
                <w:rFonts w:hint="eastAsia" w:ascii="宋体" w:hAnsi="宋体" w:cs="宋体"/>
                <w:spacing w:val="-1"/>
              </w:rPr>
              <w:t>一览表单独密封。密封后粘贴密封条。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98" w:type="dxa"/>
            <w:vAlign w:val="center"/>
          </w:tcPr>
          <w:p>
            <w:pPr>
              <w:pStyle w:val="50"/>
              <w:kinsoku w:val="0"/>
              <w:overflowPunct w:val="0"/>
              <w:spacing w:before="73"/>
              <w:jc w:val="center"/>
              <w:rPr>
                <w:rFonts w:ascii="宋体" w:hAnsi="宋体" w:cs="宋体"/>
              </w:rPr>
            </w:pPr>
            <w:r>
              <w:rPr>
                <w:rFonts w:hint="eastAsia" w:ascii="宋体" w:hAnsi="宋体" w:cs="宋体"/>
              </w:rPr>
              <w:t>24</w:t>
            </w:r>
          </w:p>
        </w:tc>
        <w:tc>
          <w:tcPr>
            <w:tcW w:w="9032" w:type="dxa"/>
          </w:tcPr>
          <w:p>
            <w:pPr>
              <w:pStyle w:val="50"/>
              <w:kinsoku w:val="0"/>
              <w:overflowPunct w:val="0"/>
              <w:spacing w:before="56"/>
              <w:rPr>
                <w:rFonts w:ascii="宋体" w:hAnsi="宋体" w:cs="宋体"/>
              </w:rPr>
            </w:pPr>
            <w:r>
              <w:rPr>
                <w:rFonts w:hint="eastAsia" w:ascii="宋体" w:hAnsi="宋体" w:cs="宋体"/>
                <w:b/>
                <w:bCs/>
              </w:rPr>
              <w:t>开标时间及地点：</w:t>
            </w:r>
          </w:p>
          <w:p>
            <w:pPr>
              <w:pStyle w:val="50"/>
              <w:kinsoku w:val="0"/>
              <w:overflowPunct w:val="0"/>
              <w:spacing w:before="38"/>
              <w:rPr>
                <w:rFonts w:ascii="宋体" w:hAnsi="宋体" w:cs="宋体"/>
              </w:rPr>
            </w:pPr>
            <w:r>
              <w:rPr>
                <w:rFonts w:hint="eastAsia" w:ascii="宋体" w:hAnsi="宋体" w:cs="宋体"/>
                <w:b/>
                <w:bCs/>
              </w:rPr>
              <w:t>开标时间：</w:t>
            </w:r>
            <w:r>
              <w:rPr>
                <w:rFonts w:hint="eastAsia" w:ascii="宋体" w:hAnsi="宋体" w:cs="宋体"/>
              </w:rPr>
              <w:t>同投标文件递交截止时间</w:t>
            </w:r>
          </w:p>
          <w:p>
            <w:pPr>
              <w:pStyle w:val="50"/>
              <w:kinsoku w:val="0"/>
              <w:overflowPunct w:val="0"/>
              <w:spacing w:before="38"/>
              <w:rPr>
                <w:rFonts w:ascii="宋体" w:hAnsi="宋体" w:cs="宋体"/>
              </w:rPr>
            </w:pPr>
            <w:r>
              <w:rPr>
                <w:rFonts w:hint="eastAsia" w:ascii="宋体" w:hAnsi="宋体" w:cs="宋体"/>
                <w:b/>
                <w:bCs/>
                <w:spacing w:val="-2"/>
              </w:rPr>
              <w:t>开标地点：</w:t>
            </w:r>
            <w:r>
              <w:rPr>
                <w:rFonts w:hint="eastAsia" w:ascii="宋体" w:hAnsi="宋体" w:cs="宋体"/>
              </w:rPr>
              <w:t>同投标文件递交地点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98" w:type="dxa"/>
            <w:vAlign w:val="center"/>
          </w:tcPr>
          <w:p>
            <w:pPr>
              <w:pStyle w:val="50"/>
              <w:kinsoku w:val="0"/>
              <w:overflowPunct w:val="0"/>
              <w:spacing w:before="73"/>
              <w:jc w:val="center"/>
              <w:rPr>
                <w:rFonts w:ascii="宋体" w:hAnsi="宋体" w:cs="宋体"/>
              </w:rPr>
            </w:pPr>
            <w:r>
              <w:rPr>
                <w:rFonts w:hint="eastAsia" w:ascii="宋体" w:hAnsi="宋体" w:cs="宋体"/>
              </w:rPr>
              <w:t>25</w:t>
            </w:r>
          </w:p>
        </w:tc>
        <w:tc>
          <w:tcPr>
            <w:tcW w:w="9032" w:type="dxa"/>
          </w:tcPr>
          <w:p>
            <w:pPr>
              <w:pStyle w:val="50"/>
              <w:kinsoku w:val="0"/>
              <w:overflowPunct w:val="0"/>
              <w:spacing w:before="56"/>
              <w:ind w:left="102"/>
              <w:rPr>
                <w:rFonts w:ascii="宋体" w:hAnsi="宋体" w:cs="宋体"/>
                <w:sz w:val="22"/>
                <w:szCs w:val="22"/>
              </w:rPr>
            </w:pPr>
            <w:r>
              <w:rPr>
                <w:rFonts w:hint="eastAsia" w:ascii="宋体" w:hAnsi="宋体" w:cs="宋体"/>
                <w:b/>
                <w:bCs/>
              </w:rPr>
              <w:t>付款方式：</w:t>
            </w:r>
            <w:r>
              <w:rPr>
                <w:rFonts w:hint="eastAsia" w:ascii="宋体" w:hAnsi="宋体" w:cs="宋体"/>
              </w:rPr>
              <w:t>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98" w:type="dxa"/>
            <w:vAlign w:val="center"/>
          </w:tcPr>
          <w:p>
            <w:pPr>
              <w:pStyle w:val="50"/>
              <w:kinsoku w:val="0"/>
              <w:overflowPunct w:val="0"/>
              <w:spacing w:before="73"/>
              <w:jc w:val="center"/>
              <w:rPr>
                <w:rFonts w:ascii="宋体" w:hAnsi="宋体" w:cs="宋体"/>
              </w:rPr>
            </w:pPr>
            <w:r>
              <w:rPr>
                <w:rFonts w:hint="eastAsia" w:ascii="宋体" w:hAnsi="宋体" w:cs="宋体"/>
              </w:rPr>
              <w:t>26</w:t>
            </w:r>
          </w:p>
        </w:tc>
        <w:tc>
          <w:tcPr>
            <w:tcW w:w="9032" w:type="dxa"/>
          </w:tcPr>
          <w:p>
            <w:pPr>
              <w:pStyle w:val="50"/>
              <w:kinsoku w:val="0"/>
              <w:overflowPunct w:val="0"/>
              <w:spacing w:line="277" w:lineRule="exact"/>
              <w:ind w:left="102"/>
              <w:rPr>
                <w:rFonts w:ascii="宋体" w:hAnsi="宋体" w:cs="宋体"/>
              </w:rPr>
            </w:pPr>
            <w:r>
              <w:rPr>
                <w:rFonts w:hint="eastAsia" w:ascii="宋体" w:hAnsi="宋体" w:cs="宋体"/>
                <w:b/>
                <w:bCs/>
              </w:rPr>
              <w:t>★履约保证金：/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98" w:type="dxa"/>
            <w:vAlign w:val="center"/>
          </w:tcPr>
          <w:p>
            <w:pPr>
              <w:pStyle w:val="50"/>
              <w:kinsoku w:val="0"/>
              <w:overflowPunct w:val="0"/>
              <w:spacing w:before="73"/>
              <w:jc w:val="center"/>
              <w:rPr>
                <w:rFonts w:ascii="宋体" w:hAnsi="宋体" w:cs="宋体"/>
              </w:rPr>
            </w:pPr>
            <w:r>
              <w:rPr>
                <w:rFonts w:hint="eastAsia" w:ascii="宋体" w:hAnsi="宋体" w:cs="宋体"/>
              </w:rPr>
              <w:t>27</w:t>
            </w:r>
          </w:p>
        </w:tc>
        <w:tc>
          <w:tcPr>
            <w:tcW w:w="9032" w:type="dxa"/>
          </w:tcPr>
          <w:p>
            <w:pPr>
              <w:pStyle w:val="50"/>
              <w:kinsoku w:val="0"/>
              <w:overflowPunct w:val="0"/>
              <w:spacing w:line="274" w:lineRule="exact"/>
              <w:ind w:left="102"/>
              <w:rPr>
                <w:rFonts w:ascii="宋体" w:hAnsi="宋体" w:cs="宋体"/>
              </w:rPr>
            </w:pPr>
            <w:r>
              <w:rPr>
                <w:rFonts w:hint="eastAsia" w:ascii="宋体" w:hAnsi="宋体" w:cs="宋体"/>
                <w:b/>
                <w:bCs/>
              </w:rPr>
              <w:t>代理服务费</w:t>
            </w:r>
            <w:r>
              <w:rPr>
                <w:rFonts w:hint="eastAsia" w:ascii="宋体" w:hAnsi="宋体" w:cs="宋体"/>
              </w:rPr>
              <w:t>：</w:t>
            </w:r>
          </w:p>
          <w:p>
            <w:pPr>
              <w:pStyle w:val="50"/>
              <w:kinsoku w:val="0"/>
              <w:overflowPunct w:val="0"/>
              <w:spacing w:line="276" w:lineRule="exact"/>
              <w:ind w:left="102" w:firstLine="472" w:firstLineChars="200"/>
              <w:rPr>
                <w:rFonts w:ascii="宋体" w:hAnsi="宋体" w:cs="宋体"/>
              </w:rPr>
            </w:pPr>
            <w:r>
              <w:rPr>
                <w:rFonts w:hint="eastAsia" w:ascii="宋体" w:hAnsi="宋体" w:cs="宋体"/>
                <w:spacing w:val="-2"/>
              </w:rPr>
              <w:t>参照国家计委《招标代理服务收费管理暂行办法》(计价格﹝2002﹞1980 号)所规定及与采购方签订合同所规定的费率取费，由中标人支付，该代理服务费在中标人领取中标通知书时向招标代理机构缴纳。此费由投标人综合考虑到投标报价中，不再单独列项。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5" w:hRule="atLeast"/>
          <w:jc w:val="center"/>
        </w:trPr>
        <w:tc>
          <w:tcPr>
            <w:tcW w:w="698" w:type="dxa"/>
            <w:vAlign w:val="center"/>
          </w:tcPr>
          <w:p>
            <w:pPr>
              <w:pStyle w:val="50"/>
              <w:kinsoku w:val="0"/>
              <w:overflowPunct w:val="0"/>
              <w:spacing w:before="73"/>
              <w:jc w:val="center"/>
              <w:rPr>
                <w:rFonts w:ascii="宋体" w:hAnsi="宋体" w:cs="宋体"/>
              </w:rPr>
            </w:pPr>
            <w:r>
              <w:rPr>
                <w:rFonts w:hint="eastAsia" w:ascii="宋体" w:hAnsi="宋体" w:cs="宋体"/>
              </w:rPr>
              <w:t>28</w:t>
            </w:r>
          </w:p>
        </w:tc>
        <w:tc>
          <w:tcPr>
            <w:tcW w:w="9032" w:type="dxa"/>
          </w:tcPr>
          <w:p>
            <w:pPr>
              <w:pStyle w:val="50"/>
              <w:kinsoku w:val="0"/>
              <w:overflowPunct w:val="0"/>
              <w:spacing w:line="277" w:lineRule="exact"/>
              <w:ind w:left="102"/>
              <w:rPr>
                <w:rFonts w:ascii="宋体" w:hAnsi="宋体" w:cs="宋体"/>
              </w:rPr>
            </w:pPr>
            <w:r>
              <w:rPr>
                <w:rFonts w:hint="eastAsia" w:ascii="宋体" w:hAnsi="宋体" w:cs="宋体"/>
                <w:b/>
                <w:bCs/>
              </w:rPr>
              <w:t>采购项目需要落实的政府采购政策:</w:t>
            </w:r>
          </w:p>
          <w:p>
            <w:pPr>
              <w:pStyle w:val="50"/>
              <w:kinsoku w:val="0"/>
              <w:overflowPunct w:val="0"/>
              <w:spacing w:before="38"/>
              <w:ind w:left="102" w:firstLine="472" w:firstLineChars="200"/>
              <w:rPr>
                <w:rFonts w:ascii="宋体" w:hAnsi="宋体" w:cs="宋体"/>
                <w:spacing w:val="-2"/>
              </w:rPr>
            </w:pPr>
            <w:r>
              <w:rPr>
                <w:rFonts w:hint="eastAsia" w:ascii="宋体" w:hAnsi="宋体" w:cs="宋体"/>
                <w:spacing w:val="-2"/>
              </w:rPr>
              <w:t>1、根据</w:t>
            </w:r>
            <w:r>
              <w:rPr>
                <w:rFonts w:hint="eastAsia" w:ascii="宋体" w:hAnsi="宋体" w:cs="宋体"/>
              </w:rPr>
              <w:t>《新财购〔2022〕22</w:t>
            </w:r>
            <w:r>
              <w:rPr>
                <w:rFonts w:hint="eastAsia" w:ascii="宋体" w:hAnsi="宋体" w:cs="宋体"/>
                <w:spacing w:val="-2"/>
              </w:rPr>
              <w:t>号》文件规定，适用政府采购法的政府采购项目对小微企业报价给予10%-20%的扣除；大中型企业与小微企业组成联合体或大中型企业向小微企业分包的，评审给予4%-6%的价格扣除，用扣除后的价格参与评审。</w:t>
            </w:r>
          </w:p>
          <w:p>
            <w:pPr>
              <w:pStyle w:val="50"/>
              <w:kinsoku w:val="0"/>
              <w:overflowPunct w:val="0"/>
              <w:spacing w:before="38"/>
              <w:ind w:left="102" w:firstLine="472" w:firstLineChars="200"/>
              <w:rPr>
                <w:rFonts w:ascii="宋体" w:hAnsi="宋体" w:cs="宋体"/>
                <w:spacing w:val="-2"/>
              </w:rPr>
            </w:pPr>
            <w:r>
              <w:rPr>
                <w:rFonts w:hint="eastAsia" w:ascii="宋体" w:hAnsi="宋体" w:cs="宋体"/>
                <w:spacing w:val="-2"/>
              </w:rPr>
              <w:t>适用招标投标法的政府采购工程建设项目，采用综合评估法但未采用低价优先法计算价格分的，评标时应当在采用原报价进行评分的基础上阶段性增加其价格得分的6%-10%作为其价格分。</w:t>
            </w:r>
          </w:p>
          <w:p>
            <w:pPr>
              <w:pStyle w:val="50"/>
              <w:kinsoku w:val="0"/>
              <w:overflowPunct w:val="0"/>
              <w:spacing w:before="38"/>
              <w:ind w:left="102" w:firstLine="472" w:firstLineChars="200"/>
              <w:rPr>
                <w:rFonts w:ascii="宋体" w:hAnsi="宋体" w:cs="宋体"/>
                <w:spacing w:val="-2"/>
              </w:rPr>
            </w:pPr>
            <w:r>
              <w:rPr>
                <w:rFonts w:hint="eastAsia" w:ascii="宋体" w:hAnsi="宋体" w:cs="宋体"/>
                <w:spacing w:val="-2"/>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的扣除，用扣除后的价格参加评审。具体办法详见招标文件评标办法和标准；</w:t>
            </w:r>
          </w:p>
          <w:p>
            <w:pPr>
              <w:pStyle w:val="50"/>
              <w:kinsoku w:val="0"/>
              <w:overflowPunct w:val="0"/>
              <w:spacing w:before="38"/>
              <w:ind w:left="102" w:firstLine="472" w:firstLineChars="200"/>
              <w:rPr>
                <w:rFonts w:ascii="宋体" w:hAnsi="宋体" w:cs="宋体"/>
              </w:rPr>
            </w:pPr>
            <w:r>
              <w:rPr>
                <w:rFonts w:hint="eastAsia" w:ascii="宋体" w:hAnsi="宋体" w:cs="宋体"/>
                <w:spacing w:val="-2"/>
              </w:rPr>
              <w:t>2、根据《财政部民政部中国残疾人联合会关于促进残疾人就业政府采购政策的通知》（财库【2017】141 号）文件规定，对满足价格扣除条件且在响应性文件中提交了《残疾人福利性单位声明函》等证明文件的投标人，其投标报价扣除 6%-10%后参与评审。具体办法详见招标文件评标办法和标准。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98" w:type="dxa"/>
            <w:vAlign w:val="center"/>
          </w:tcPr>
          <w:p>
            <w:pPr>
              <w:pStyle w:val="50"/>
              <w:kinsoku w:val="0"/>
              <w:overflowPunct w:val="0"/>
              <w:spacing w:before="73"/>
              <w:jc w:val="center"/>
              <w:rPr>
                <w:rFonts w:ascii="宋体" w:hAnsi="宋体" w:cs="宋体"/>
              </w:rPr>
            </w:pPr>
            <w:r>
              <w:rPr>
                <w:rFonts w:hint="eastAsia" w:ascii="宋体" w:hAnsi="宋体" w:cs="宋体"/>
              </w:rPr>
              <w:t>29</w:t>
            </w:r>
          </w:p>
        </w:tc>
        <w:tc>
          <w:tcPr>
            <w:tcW w:w="9032" w:type="dxa"/>
          </w:tcPr>
          <w:p>
            <w:pPr>
              <w:pStyle w:val="50"/>
              <w:kinsoku w:val="0"/>
              <w:overflowPunct w:val="0"/>
              <w:spacing w:line="277" w:lineRule="exact"/>
              <w:ind w:left="102"/>
              <w:rPr>
                <w:rFonts w:ascii="宋体" w:hAnsi="宋体" w:cs="宋体"/>
                <w:b/>
                <w:bCs/>
              </w:rPr>
            </w:pPr>
            <w:r>
              <w:rPr>
                <w:rFonts w:hint="eastAsia" w:ascii="宋体" w:hAnsi="宋体" w:cs="宋体"/>
                <w:b/>
                <w:bCs/>
              </w:rPr>
              <w:t xml:space="preserve">投标文件递交要求： </w:t>
            </w:r>
          </w:p>
          <w:p>
            <w:pPr>
              <w:pStyle w:val="50"/>
              <w:kinsoku w:val="0"/>
              <w:overflowPunct w:val="0"/>
              <w:spacing w:before="38"/>
              <w:ind w:left="102" w:firstLine="472" w:firstLineChars="200"/>
              <w:rPr>
                <w:rFonts w:ascii="宋体" w:hAnsi="宋体" w:cs="宋体"/>
                <w:spacing w:val="-2"/>
              </w:rPr>
            </w:pPr>
            <w:r>
              <w:rPr>
                <w:rFonts w:hint="eastAsia" w:ascii="宋体" w:hAnsi="宋体" w:cs="宋体"/>
                <w:spacing w:val="-2"/>
              </w:rPr>
              <w:t>投标人参加投标时，投标人的法定代表人或委托代理人在开标时必须到达现场，并提供授权委托书原件和有效的居民身份证备验，现场核查后，方可接收投标人的投标文件；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98" w:type="dxa"/>
            <w:vAlign w:val="center"/>
          </w:tcPr>
          <w:p>
            <w:pPr>
              <w:pStyle w:val="50"/>
              <w:kinsoku w:val="0"/>
              <w:overflowPunct w:val="0"/>
              <w:spacing w:before="73"/>
              <w:jc w:val="center"/>
              <w:rPr>
                <w:rFonts w:ascii="宋体" w:hAnsi="宋体" w:cs="宋体"/>
              </w:rPr>
            </w:pPr>
            <w:r>
              <w:rPr>
                <w:rFonts w:hint="eastAsia" w:ascii="宋体" w:hAnsi="宋体" w:cs="宋体"/>
              </w:rPr>
              <w:t>30</w:t>
            </w:r>
          </w:p>
        </w:tc>
        <w:tc>
          <w:tcPr>
            <w:tcW w:w="9032" w:type="dxa"/>
          </w:tcPr>
          <w:p>
            <w:pPr>
              <w:pStyle w:val="50"/>
              <w:kinsoku w:val="0"/>
              <w:overflowPunct w:val="0"/>
              <w:spacing w:before="38"/>
              <w:ind w:left="102" w:firstLine="472" w:firstLineChars="200"/>
              <w:rPr>
                <w:rFonts w:ascii="宋体" w:hAnsi="宋体" w:cs="宋体"/>
              </w:rPr>
            </w:pPr>
            <w:r>
              <w:rPr>
                <w:rFonts w:hint="eastAsia" w:ascii="宋体" w:hAnsi="宋体" w:cs="宋体"/>
                <w:spacing w:val="-2"/>
              </w:rPr>
              <w:t>关于放弃投标：</w:t>
            </w:r>
            <w:r>
              <w:rPr>
                <w:rFonts w:hint="eastAsia" w:ascii="宋体" w:hAnsi="宋体" w:cs="宋体"/>
              </w:rPr>
              <w:t>投标人获取</w:t>
            </w:r>
            <w:r>
              <w:rPr>
                <w:rFonts w:hint="eastAsia" w:cs="宋体"/>
              </w:rPr>
              <w:t>投标</w:t>
            </w:r>
            <w:r>
              <w:rPr>
                <w:rFonts w:hint="eastAsia" w:ascii="宋体" w:hAnsi="宋体" w:cs="宋体"/>
              </w:rPr>
              <w:t>文件后如放弃</w:t>
            </w:r>
            <w:r>
              <w:rPr>
                <w:rFonts w:hint="eastAsia" w:cs="宋体"/>
              </w:rPr>
              <w:t>投标</w:t>
            </w:r>
            <w:r>
              <w:rPr>
                <w:rFonts w:hint="eastAsia" w:ascii="宋体" w:hAnsi="宋体" w:cs="宋体"/>
              </w:rPr>
              <w:t>，需在提交响应文件截止前1日提交书面弃标函（如不然，将承担相应的失信</w:t>
            </w:r>
            <w:r>
              <w:rPr>
                <w:rFonts w:hint="eastAsia" w:cs="宋体"/>
              </w:rPr>
              <w:t>后</w:t>
            </w:r>
            <w:r>
              <w:rPr>
                <w:rFonts w:hint="eastAsia" w:ascii="宋体" w:hAnsi="宋体" w:cs="宋体"/>
              </w:rPr>
              <w:t>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98" w:type="dxa"/>
            <w:vAlign w:val="center"/>
          </w:tcPr>
          <w:p>
            <w:pPr>
              <w:pStyle w:val="50"/>
              <w:kinsoku w:val="0"/>
              <w:overflowPunct w:val="0"/>
              <w:spacing w:before="73"/>
              <w:jc w:val="center"/>
              <w:rPr>
                <w:rFonts w:ascii="宋体" w:hAnsi="宋体" w:cs="宋体"/>
              </w:rPr>
            </w:pPr>
          </w:p>
        </w:tc>
        <w:tc>
          <w:tcPr>
            <w:tcW w:w="9032" w:type="dxa"/>
          </w:tcPr>
          <w:p>
            <w:pPr>
              <w:pStyle w:val="50"/>
              <w:kinsoku w:val="0"/>
              <w:overflowPunct w:val="0"/>
              <w:spacing w:before="38"/>
              <w:ind w:left="102" w:firstLine="472" w:firstLineChars="200"/>
              <w:rPr>
                <w:rFonts w:ascii="宋体" w:hAnsi="宋体" w:cs="宋体"/>
                <w:spacing w:val="-2"/>
              </w:rPr>
            </w:pPr>
          </w:p>
        </w:tc>
      </w:tr>
    </w:tbl>
    <w:p>
      <w:pPr>
        <w:adjustRightInd w:val="0"/>
        <w:snapToGrid w:val="0"/>
        <w:spacing w:before="120" w:after="120"/>
        <w:jc w:val="center"/>
        <w:textAlignment w:val="baseline"/>
        <w:outlineLvl w:val="0"/>
        <w:rPr>
          <w:rFonts w:ascii="微软雅黑" w:hAnsi="微软雅黑" w:eastAsia="微软雅黑" w:cs="微软雅黑"/>
          <w:b/>
          <w:sz w:val="40"/>
          <w:szCs w:val="22"/>
        </w:rPr>
      </w:pPr>
      <w:r>
        <w:rPr>
          <w:rFonts w:hint="eastAsia" w:ascii="微软雅黑" w:hAnsi="微软雅黑" w:eastAsia="微软雅黑" w:cs="微软雅黑"/>
          <w:b/>
          <w:sz w:val="40"/>
          <w:szCs w:val="22"/>
        </w:rPr>
        <w:br w:type="page"/>
      </w:r>
      <w:bookmarkStart w:id="13" w:name="_Toc5683"/>
      <w:bookmarkStart w:id="14" w:name="_Toc31092"/>
      <w:r>
        <w:rPr>
          <w:rFonts w:hint="eastAsia" w:ascii="微软雅黑" w:hAnsi="微软雅黑" w:eastAsia="微软雅黑" w:cs="微软雅黑"/>
          <w:b/>
          <w:sz w:val="40"/>
          <w:szCs w:val="22"/>
        </w:rPr>
        <w:t>第二章  投标须知</w:t>
      </w:r>
      <w:bookmarkEnd w:id="10"/>
      <w:bookmarkEnd w:id="11"/>
      <w:bookmarkEnd w:id="12"/>
      <w:bookmarkEnd w:id="13"/>
      <w:bookmarkEnd w:id="14"/>
    </w:p>
    <w:p>
      <w:pPr>
        <w:outlineLvl w:val="1"/>
        <w:rPr>
          <w:rFonts w:ascii="宋体" w:hAnsi="宋体" w:cs="宋体"/>
          <w:color w:val="000000"/>
        </w:rPr>
      </w:pPr>
      <w:bookmarkStart w:id="15" w:name="_Toc24361"/>
      <w:bookmarkStart w:id="16" w:name="_Toc22467"/>
      <w:bookmarkStart w:id="17" w:name="_Toc20575"/>
      <w:bookmarkStart w:id="18" w:name="_Toc30728"/>
      <w:bookmarkStart w:id="19" w:name="_Toc6650"/>
      <w:bookmarkStart w:id="20" w:name="_Toc7219"/>
      <w:bookmarkStart w:id="21" w:name="_Toc30106"/>
      <w:bookmarkStart w:id="22" w:name="_Toc4754"/>
      <w:bookmarkStart w:id="23" w:name="_Toc17563"/>
      <w:bookmarkStart w:id="24" w:name="_Toc15837"/>
      <w:bookmarkStart w:id="25" w:name="_Toc16808"/>
      <w:bookmarkStart w:id="26" w:name="_Toc83222346"/>
      <w:bookmarkStart w:id="27" w:name="_Toc20008"/>
      <w:bookmarkStart w:id="28" w:name="_Toc175"/>
      <w:bookmarkStart w:id="29" w:name="_Toc15247"/>
      <w:bookmarkStart w:id="30" w:name="_Toc9625"/>
      <w:bookmarkStart w:id="31" w:name="_Toc4544"/>
      <w:bookmarkStart w:id="32" w:name="_Toc26692"/>
      <w:bookmarkStart w:id="33" w:name="_Toc32737"/>
      <w:bookmarkStart w:id="34" w:name="_Toc8077"/>
      <w:bookmarkStart w:id="35" w:name="_Toc30758"/>
      <w:bookmarkStart w:id="36" w:name="_Toc3258"/>
      <w:bookmarkStart w:id="37" w:name="_Toc1288"/>
      <w:bookmarkStart w:id="38" w:name="_Toc82550848"/>
      <w:r>
        <w:rPr>
          <w:rFonts w:hint="eastAsia" w:ascii="宋体" w:hAnsi="宋体" w:cs="宋体"/>
          <w:b/>
          <w:bCs/>
          <w:color w:val="000000"/>
          <w:sz w:val="28"/>
        </w:rPr>
        <w:t>（一）投标人须知</w:t>
      </w:r>
      <w:bookmarkEnd w:id="15"/>
      <w:bookmarkEnd w:id="16"/>
      <w:bookmarkEnd w:id="17"/>
    </w:p>
    <w:p>
      <w:pPr>
        <w:pStyle w:val="2"/>
        <w:kinsoku w:val="0"/>
        <w:overflowPunct w:val="0"/>
        <w:spacing w:before="47" w:line="264" w:lineRule="auto"/>
        <w:ind w:right="5041"/>
        <w:rPr>
          <w:rFonts w:ascii="宋体" w:hAnsi="宋体" w:cs="宋体"/>
          <w:b/>
          <w:bCs/>
          <w:color w:val="000000"/>
        </w:rPr>
      </w:pPr>
      <w:r>
        <w:rPr>
          <w:rFonts w:hint="eastAsia" w:ascii="宋体" w:hAnsi="宋体" w:cs="宋体"/>
          <w:b/>
          <w:bCs/>
          <w:color w:val="000000"/>
        </w:rPr>
        <w:t>1、综合说明</w:t>
      </w:r>
    </w:p>
    <w:p>
      <w:pPr>
        <w:pStyle w:val="2"/>
        <w:kinsoku w:val="0"/>
        <w:overflowPunct w:val="0"/>
        <w:spacing w:before="130" w:line="355" w:lineRule="auto"/>
        <w:ind w:right="7" w:firstLine="480"/>
        <w:rPr>
          <w:rFonts w:ascii="宋体" w:hAnsi="宋体" w:cs="宋体"/>
          <w:color w:val="000000"/>
          <w:spacing w:val="4"/>
        </w:rPr>
      </w:pPr>
      <w:r>
        <w:rPr>
          <w:rFonts w:hint="eastAsia" w:ascii="宋体" w:hAnsi="宋体" w:cs="宋体"/>
          <w:color w:val="000000"/>
          <w:spacing w:val="4"/>
        </w:rPr>
        <w:t>本项目按照《中华人民共和国政府采购法》、《中华人民共和国政府采购法实施条 例》、《政府采购货物和服务招标投标管理办法》、《政府购买服务管理办法（暂行）》、《政府采购招标采购方式管理暂行办法》、《财政部关于政府采购招标采购方式管理暂行办法有关问题的补充通知》及相关法规，已办理政府采购相关手续，并得到行业主管部门批准，现通过招标来择优选定为本项目提供服务的投标人。本招标文件包括本文所列内容及按本须知发出的全部和补充资料。投标人应认真阅读本招标文件中所有的事项、格式、条款、技术规范等实质性的条件和要求，并熟悉本招标项目的全部内容及与履行合同有关的全部内容，熟悉招标文件的格式、条件和范围。投标人没有按照招标文件的要求提交相关资料，或者投标人没有对招标文件相关内容都做出实质性响应是投标人的风险，并可能导致其投标无效，其风险由投标投标人自行承担。</w:t>
      </w:r>
    </w:p>
    <w:p>
      <w:pPr>
        <w:pStyle w:val="2"/>
        <w:kinsoku w:val="0"/>
        <w:overflowPunct w:val="0"/>
        <w:spacing w:before="47" w:line="264" w:lineRule="auto"/>
        <w:ind w:right="5041"/>
        <w:rPr>
          <w:rFonts w:ascii="宋体" w:hAnsi="宋体" w:cs="宋体"/>
          <w:b/>
          <w:bCs/>
          <w:color w:val="000000"/>
        </w:rPr>
      </w:pPr>
      <w:r>
        <w:rPr>
          <w:rFonts w:hint="eastAsia" w:ascii="宋体" w:hAnsi="宋体" w:cs="宋体"/>
          <w:b/>
          <w:bCs/>
          <w:color w:val="000000"/>
        </w:rPr>
        <w:t>2.适用范围</w:t>
      </w:r>
    </w:p>
    <w:p>
      <w:pPr>
        <w:pStyle w:val="2"/>
        <w:kinsoku w:val="0"/>
        <w:overflowPunct w:val="0"/>
        <w:spacing w:before="130" w:line="355" w:lineRule="auto"/>
        <w:ind w:right="7" w:firstLine="480"/>
        <w:rPr>
          <w:rFonts w:ascii="宋体" w:hAnsi="宋体" w:cs="宋体"/>
          <w:color w:val="000000"/>
          <w:spacing w:val="4"/>
        </w:rPr>
      </w:pPr>
      <w:r>
        <w:rPr>
          <w:rFonts w:hint="eastAsia" w:ascii="宋体" w:hAnsi="宋体" w:cs="宋体"/>
          <w:color w:val="000000"/>
          <w:spacing w:val="4"/>
        </w:rPr>
        <w:t>本招标文件仅适用于本次招标所叙述的招标项目。</w:t>
      </w:r>
    </w:p>
    <w:p>
      <w:pPr>
        <w:pStyle w:val="2"/>
        <w:kinsoku w:val="0"/>
        <w:overflowPunct w:val="0"/>
        <w:spacing w:before="38"/>
        <w:rPr>
          <w:rFonts w:ascii="宋体" w:hAnsi="宋体" w:cs="宋体"/>
          <w:color w:val="000000"/>
        </w:rPr>
      </w:pPr>
      <w:r>
        <w:rPr>
          <w:rFonts w:hint="eastAsia" w:ascii="宋体" w:hAnsi="宋体" w:cs="宋体"/>
          <w:b/>
          <w:bCs/>
          <w:color w:val="000000"/>
          <w:spacing w:val="-1"/>
        </w:rPr>
        <w:t>3.定义</w:t>
      </w:r>
    </w:p>
    <w:p>
      <w:pPr>
        <w:pStyle w:val="2"/>
        <w:kinsoku w:val="0"/>
        <w:overflowPunct w:val="0"/>
        <w:spacing w:before="130" w:line="355" w:lineRule="auto"/>
        <w:ind w:right="7" w:firstLine="480"/>
        <w:rPr>
          <w:rFonts w:ascii="宋体" w:hAnsi="宋体" w:cs="宋体"/>
          <w:color w:val="000000"/>
          <w:spacing w:val="4"/>
        </w:rPr>
      </w:pPr>
      <w:r>
        <w:rPr>
          <w:rFonts w:hint="eastAsia" w:ascii="宋体" w:hAnsi="宋体" w:cs="宋体"/>
          <w:color w:val="000000"/>
          <w:spacing w:val="4"/>
        </w:rPr>
        <w:t>3.1 “政府采购当事人”系指在政府采购活动中享有权利和承担义务的各类主体，包括采购人、投标人和招标代理机构。</w:t>
      </w:r>
    </w:p>
    <w:p>
      <w:pPr>
        <w:pStyle w:val="2"/>
        <w:kinsoku w:val="0"/>
        <w:overflowPunct w:val="0"/>
        <w:spacing w:before="130" w:line="355" w:lineRule="auto"/>
        <w:ind w:right="7" w:firstLine="480"/>
        <w:rPr>
          <w:rFonts w:ascii="宋体" w:hAnsi="宋体" w:cs="宋体"/>
          <w:color w:val="000000"/>
          <w:spacing w:val="4"/>
        </w:rPr>
      </w:pPr>
      <w:r>
        <w:rPr>
          <w:rFonts w:hint="eastAsia" w:ascii="宋体" w:hAnsi="宋体" w:cs="宋体"/>
          <w:color w:val="000000"/>
          <w:spacing w:val="4"/>
        </w:rPr>
        <w:t>3.2 “采购人”系指</w:t>
      </w:r>
      <w:r>
        <w:rPr>
          <w:rFonts w:hint="eastAsia" w:ascii="宋体" w:hAnsi="宋体" w:cs="宋体"/>
          <w:sz w:val="24"/>
        </w:rPr>
        <w:t>新疆维吾尔自治区文博院</w:t>
      </w:r>
      <w:r>
        <w:rPr>
          <w:rFonts w:hint="eastAsia" w:ascii="宋体" w:hAnsi="宋体" w:cs="宋体"/>
          <w:color w:val="000000"/>
          <w:spacing w:val="4"/>
        </w:rPr>
        <w:t>；</w:t>
      </w:r>
    </w:p>
    <w:p>
      <w:pPr>
        <w:pStyle w:val="2"/>
        <w:kinsoku w:val="0"/>
        <w:overflowPunct w:val="0"/>
        <w:spacing w:before="130" w:line="355" w:lineRule="auto"/>
        <w:ind w:right="7" w:firstLine="480"/>
        <w:rPr>
          <w:rFonts w:ascii="宋体" w:hAnsi="宋体" w:cs="宋体"/>
          <w:color w:val="000000"/>
          <w:spacing w:val="4"/>
        </w:rPr>
      </w:pPr>
      <w:r>
        <w:rPr>
          <w:rFonts w:hint="eastAsia" w:ascii="宋体" w:hAnsi="宋体" w:cs="宋体"/>
          <w:color w:val="000000"/>
          <w:spacing w:val="4"/>
        </w:rPr>
        <w:t>3.3 “招标代理机构”系指</w:t>
      </w:r>
      <w:r>
        <w:rPr>
          <w:rFonts w:hint="eastAsia" w:ascii="宋体" w:hAnsi="宋体" w:cs="宋体"/>
          <w:sz w:val="24"/>
        </w:rPr>
        <w:t>新疆天之源项目管理集团有限公司</w:t>
      </w:r>
      <w:r>
        <w:rPr>
          <w:rFonts w:hint="eastAsia" w:ascii="宋体" w:hAnsi="宋体" w:cs="宋体"/>
          <w:color w:val="000000"/>
          <w:spacing w:val="4"/>
        </w:rPr>
        <w:t>；</w:t>
      </w:r>
    </w:p>
    <w:p>
      <w:pPr>
        <w:pStyle w:val="2"/>
        <w:kinsoku w:val="0"/>
        <w:overflowPunct w:val="0"/>
        <w:spacing w:before="130" w:line="355" w:lineRule="auto"/>
        <w:ind w:right="7" w:firstLine="480"/>
        <w:rPr>
          <w:rFonts w:ascii="宋体" w:hAnsi="宋体" w:cs="宋体"/>
          <w:color w:val="000000"/>
          <w:spacing w:val="4"/>
        </w:rPr>
      </w:pPr>
      <w:r>
        <w:rPr>
          <w:rFonts w:hint="eastAsia" w:ascii="宋体" w:hAnsi="宋体" w:cs="宋体"/>
          <w:color w:val="000000"/>
          <w:spacing w:val="4"/>
        </w:rPr>
        <w:t>3.4 “投标人、投标单位、”系指符合本招标项目资质要求，参加招标竞争的法人机构或其他组织。</w:t>
      </w:r>
    </w:p>
    <w:p>
      <w:pPr>
        <w:pStyle w:val="2"/>
        <w:kinsoku w:val="0"/>
        <w:overflowPunct w:val="0"/>
        <w:spacing w:before="130" w:line="355" w:lineRule="auto"/>
        <w:ind w:right="7" w:firstLine="480"/>
        <w:rPr>
          <w:rFonts w:ascii="宋体" w:hAnsi="宋体" w:cs="宋体"/>
          <w:color w:val="000000"/>
          <w:spacing w:val="4"/>
        </w:rPr>
      </w:pPr>
      <w:r>
        <w:rPr>
          <w:rFonts w:hint="eastAsia" w:ascii="宋体" w:hAnsi="宋体" w:cs="宋体"/>
          <w:color w:val="000000"/>
          <w:spacing w:val="4"/>
        </w:rPr>
        <w:t>3.5 “招标文件”系指由采购人和招标代理机构发出的文本、文件，包括全部章节和附件及答疑会议纪要。</w:t>
      </w:r>
    </w:p>
    <w:p>
      <w:pPr>
        <w:pStyle w:val="2"/>
        <w:kinsoku w:val="0"/>
        <w:overflowPunct w:val="0"/>
        <w:spacing w:before="130" w:line="355" w:lineRule="auto"/>
        <w:ind w:right="7" w:firstLine="480"/>
        <w:rPr>
          <w:rFonts w:ascii="宋体" w:hAnsi="宋体" w:cs="宋体"/>
          <w:color w:val="000000"/>
          <w:spacing w:val="4"/>
        </w:rPr>
      </w:pPr>
      <w:r>
        <w:rPr>
          <w:rFonts w:hint="eastAsia" w:ascii="宋体" w:hAnsi="宋体" w:cs="宋体"/>
          <w:color w:val="000000"/>
          <w:spacing w:val="4"/>
        </w:rPr>
        <w:t>3.6 “投标文件”系指投标人根据本《招标文件》向采购人提交的全部文件。</w:t>
      </w:r>
    </w:p>
    <w:p>
      <w:pPr>
        <w:pStyle w:val="2"/>
        <w:kinsoku w:val="0"/>
        <w:overflowPunct w:val="0"/>
        <w:spacing w:before="130" w:line="355" w:lineRule="auto"/>
        <w:ind w:right="7" w:firstLine="480"/>
        <w:rPr>
          <w:rFonts w:ascii="宋体" w:hAnsi="宋体" w:cs="宋体"/>
          <w:color w:val="000000"/>
          <w:spacing w:val="4"/>
        </w:rPr>
      </w:pPr>
      <w:r>
        <w:rPr>
          <w:rFonts w:hint="eastAsia" w:ascii="宋体" w:hAnsi="宋体" w:cs="宋体"/>
          <w:color w:val="000000"/>
          <w:spacing w:val="4"/>
        </w:rPr>
        <w:t>3.7 “采购文件”系指包括采购活动的记录、采购预算、招标文件、投标文件、评标标准、评估报告、定标文件、合同文本、验收证明、质疑答复、投诉处理决定及其他有关文件、资料。</w:t>
      </w:r>
    </w:p>
    <w:p>
      <w:pPr>
        <w:pStyle w:val="2"/>
        <w:kinsoku w:val="0"/>
        <w:overflowPunct w:val="0"/>
        <w:spacing w:before="130" w:line="355" w:lineRule="auto"/>
        <w:ind w:right="7" w:firstLine="480"/>
        <w:rPr>
          <w:rFonts w:ascii="宋体" w:hAnsi="宋体" w:cs="宋体"/>
          <w:color w:val="000000"/>
          <w:spacing w:val="4"/>
        </w:rPr>
      </w:pPr>
      <w:r>
        <w:rPr>
          <w:rFonts w:hint="eastAsia" w:ascii="宋体" w:hAnsi="宋体" w:cs="宋体"/>
          <w:color w:val="000000"/>
          <w:spacing w:val="4"/>
        </w:rPr>
        <w:t>3.8 “书面形式”系指任何手写、打印或印刷的各种函件，不包括电传、电报、传真、电子邮件。</w:t>
      </w:r>
    </w:p>
    <w:p>
      <w:pPr>
        <w:pStyle w:val="2"/>
        <w:kinsoku w:val="0"/>
        <w:overflowPunct w:val="0"/>
        <w:spacing w:before="130" w:line="355" w:lineRule="auto"/>
        <w:ind w:right="7" w:firstLine="480"/>
        <w:rPr>
          <w:rFonts w:ascii="宋体" w:hAnsi="宋体" w:cs="宋体"/>
          <w:color w:val="000000"/>
          <w:spacing w:val="4"/>
        </w:rPr>
      </w:pPr>
      <w:r>
        <w:rPr>
          <w:rFonts w:hint="eastAsia" w:ascii="宋体" w:hAnsi="宋体" w:cs="宋体"/>
          <w:color w:val="000000"/>
          <w:spacing w:val="4"/>
        </w:rPr>
        <w:t>3.9 “货物”系指投标人中标后根据招标文件和合同的规定须向采购人提供的各种形态和种类的货物。</w:t>
      </w:r>
    </w:p>
    <w:p>
      <w:pPr>
        <w:pStyle w:val="2"/>
        <w:kinsoku w:val="0"/>
        <w:overflowPunct w:val="0"/>
        <w:spacing w:before="130" w:line="355" w:lineRule="auto"/>
        <w:ind w:right="7" w:firstLine="480"/>
        <w:rPr>
          <w:rFonts w:ascii="宋体" w:hAnsi="宋体" w:cs="宋体"/>
          <w:color w:val="000000"/>
          <w:spacing w:val="4"/>
        </w:rPr>
      </w:pPr>
      <w:r>
        <w:rPr>
          <w:rFonts w:hint="eastAsia" w:ascii="宋体" w:hAnsi="宋体" w:cs="宋体"/>
          <w:color w:val="000000"/>
          <w:spacing w:val="4"/>
        </w:rPr>
        <w:t>3.10 “服务”系指投标人中标后根据招标文件和合同的规定承担有关的服务。</w:t>
      </w:r>
    </w:p>
    <w:p>
      <w:pPr>
        <w:pStyle w:val="2"/>
        <w:kinsoku w:val="0"/>
        <w:overflowPunct w:val="0"/>
        <w:spacing w:before="38"/>
        <w:rPr>
          <w:rFonts w:ascii="宋体" w:hAnsi="宋体" w:cs="宋体"/>
          <w:color w:val="000000"/>
        </w:rPr>
      </w:pPr>
      <w:r>
        <w:rPr>
          <w:rFonts w:hint="eastAsia" w:ascii="宋体" w:hAnsi="宋体" w:cs="宋体"/>
          <w:b/>
          <w:bCs/>
          <w:color w:val="000000"/>
        </w:rPr>
        <w:t>4.合格的投标人</w:t>
      </w:r>
    </w:p>
    <w:p>
      <w:pPr>
        <w:pStyle w:val="2"/>
        <w:kinsoku w:val="0"/>
        <w:overflowPunct w:val="0"/>
        <w:spacing w:before="130" w:line="355" w:lineRule="auto"/>
        <w:ind w:right="7" w:firstLine="480"/>
        <w:rPr>
          <w:rFonts w:ascii="宋体" w:hAnsi="宋体" w:cs="宋体"/>
          <w:color w:val="000000"/>
          <w:spacing w:val="4"/>
        </w:rPr>
      </w:pPr>
      <w:r>
        <w:rPr>
          <w:rFonts w:hint="eastAsia" w:ascii="宋体" w:hAnsi="宋体" w:cs="宋体"/>
          <w:color w:val="000000"/>
          <w:spacing w:val="4"/>
        </w:rPr>
        <w:t>4.1 具备“投标人须知前附表”第六款的基本条件；</w:t>
      </w:r>
    </w:p>
    <w:p>
      <w:pPr>
        <w:pStyle w:val="2"/>
        <w:kinsoku w:val="0"/>
        <w:overflowPunct w:val="0"/>
        <w:spacing w:before="130" w:line="355" w:lineRule="auto"/>
        <w:ind w:right="7" w:firstLine="480"/>
        <w:rPr>
          <w:rFonts w:ascii="宋体" w:hAnsi="宋体" w:cs="宋体"/>
          <w:color w:val="000000"/>
          <w:spacing w:val="4"/>
        </w:rPr>
      </w:pPr>
      <w:r>
        <w:rPr>
          <w:rFonts w:hint="eastAsia" w:ascii="宋体" w:hAnsi="宋体" w:cs="宋体"/>
          <w:color w:val="000000"/>
          <w:spacing w:val="4"/>
        </w:rPr>
        <w:t>4.2 凡是符合国家工商行政管理部门登记审核，具有相应生产经营许可的，有一定技术实力和生产规模，并有能力提供招标货物的投标人。</w:t>
      </w:r>
    </w:p>
    <w:p>
      <w:pPr>
        <w:pStyle w:val="2"/>
        <w:kinsoku w:val="0"/>
        <w:overflowPunct w:val="0"/>
        <w:spacing w:before="130" w:line="355" w:lineRule="auto"/>
        <w:ind w:right="7" w:firstLine="480"/>
        <w:rPr>
          <w:rFonts w:ascii="宋体" w:hAnsi="宋体" w:cs="宋体"/>
          <w:color w:val="000000"/>
          <w:spacing w:val="4"/>
        </w:rPr>
      </w:pPr>
      <w:r>
        <w:rPr>
          <w:rFonts w:hint="eastAsia" w:ascii="宋体" w:hAnsi="宋体" w:cs="宋体"/>
          <w:color w:val="000000"/>
          <w:spacing w:val="4"/>
        </w:rPr>
        <w:t>4.3 投标单位不得直接或间接地与本次招标进行设计、编制规范和其他文件所委托的咨询公司或其附属机构有任何关联；</w:t>
      </w:r>
    </w:p>
    <w:p>
      <w:pPr>
        <w:pStyle w:val="2"/>
        <w:kinsoku w:val="0"/>
        <w:overflowPunct w:val="0"/>
        <w:spacing w:before="130" w:line="355" w:lineRule="auto"/>
        <w:ind w:right="7" w:firstLine="480"/>
        <w:rPr>
          <w:rFonts w:ascii="宋体" w:hAnsi="宋体" w:cs="宋体"/>
          <w:color w:val="000000"/>
          <w:spacing w:val="4"/>
        </w:rPr>
      </w:pPr>
      <w:r>
        <w:rPr>
          <w:rFonts w:hint="eastAsia" w:ascii="宋体" w:hAnsi="宋体" w:cs="宋体"/>
          <w:color w:val="000000"/>
          <w:spacing w:val="4"/>
        </w:rPr>
        <w:t>4.4 投标单位与采购人存在利害关系可能影响招标公正性的法人、其他组织或个人，不得参加投标。单位负责人为同一人或者存在控股、管理关系的不同单位，不得参加同一标段投标或者未划分标段的同一招标项目投标；</w:t>
      </w:r>
    </w:p>
    <w:p>
      <w:pPr>
        <w:pStyle w:val="2"/>
        <w:kinsoku w:val="0"/>
        <w:overflowPunct w:val="0"/>
        <w:spacing w:before="130" w:line="355" w:lineRule="auto"/>
        <w:ind w:right="7" w:firstLine="480"/>
        <w:rPr>
          <w:rFonts w:ascii="宋体" w:hAnsi="宋体" w:cs="宋体"/>
          <w:color w:val="000000"/>
          <w:spacing w:val="4"/>
        </w:rPr>
      </w:pPr>
      <w:r>
        <w:rPr>
          <w:rFonts w:hint="eastAsia" w:ascii="宋体" w:hAnsi="宋体" w:cs="宋体"/>
          <w:color w:val="000000"/>
          <w:spacing w:val="4"/>
        </w:rPr>
        <w:t>4.5 遵守国家有关的法律、法规和条例及《招标文件》的规定。</w:t>
      </w:r>
    </w:p>
    <w:p>
      <w:pPr>
        <w:pStyle w:val="2"/>
        <w:kinsoku w:val="0"/>
        <w:overflowPunct w:val="0"/>
        <w:spacing w:before="151"/>
        <w:rPr>
          <w:rFonts w:ascii="宋体" w:hAnsi="宋体" w:cs="宋体"/>
          <w:color w:val="000000"/>
        </w:rPr>
      </w:pPr>
      <w:r>
        <w:rPr>
          <w:rFonts w:hint="eastAsia" w:ascii="宋体" w:hAnsi="宋体" w:cs="宋体"/>
          <w:b/>
          <w:bCs/>
          <w:color w:val="000000"/>
        </w:rPr>
        <w:t>5.费用承担</w:t>
      </w:r>
    </w:p>
    <w:p>
      <w:pPr>
        <w:pStyle w:val="2"/>
        <w:kinsoku w:val="0"/>
        <w:overflowPunct w:val="0"/>
        <w:spacing w:before="130" w:line="355" w:lineRule="auto"/>
        <w:ind w:right="7" w:firstLine="480"/>
        <w:rPr>
          <w:rFonts w:ascii="宋体" w:hAnsi="宋体" w:cs="宋体"/>
          <w:color w:val="000000"/>
          <w:spacing w:val="4"/>
        </w:rPr>
      </w:pPr>
      <w:r>
        <w:rPr>
          <w:rFonts w:hint="eastAsia" w:ascii="宋体" w:hAnsi="宋体" w:cs="宋体"/>
          <w:color w:val="000000"/>
          <w:spacing w:val="4"/>
        </w:rPr>
        <w:t>投标人应承担与招标代理活动有关的一切费用。不论招标的结果如何，招标代理机构和采购人在任何情况下均无义务和责任承担这些费用。</w:t>
      </w:r>
    </w:p>
    <w:p>
      <w:pPr>
        <w:pStyle w:val="2"/>
        <w:kinsoku w:val="0"/>
        <w:overflowPunct w:val="0"/>
        <w:spacing w:before="38"/>
        <w:rPr>
          <w:rFonts w:ascii="宋体" w:hAnsi="宋体" w:cs="宋体"/>
          <w:color w:val="000000"/>
        </w:rPr>
      </w:pPr>
      <w:r>
        <w:rPr>
          <w:rFonts w:hint="eastAsia" w:ascii="宋体" w:hAnsi="宋体" w:cs="宋体"/>
          <w:b/>
          <w:bCs/>
          <w:color w:val="000000"/>
        </w:rPr>
        <w:t>6.</w:t>
      </w:r>
      <w:r>
        <w:rPr>
          <w:rFonts w:hint="eastAsia" w:ascii="宋体" w:hAnsi="宋体" w:cs="宋体"/>
          <w:color w:val="000000"/>
          <w:spacing w:val="4"/>
          <w:szCs w:val="22"/>
        </w:rPr>
        <w:t xml:space="preserve"> </w:t>
      </w:r>
      <w:r>
        <w:rPr>
          <w:rFonts w:hint="eastAsia" w:ascii="宋体" w:hAnsi="宋体" w:cs="宋体"/>
          <w:b/>
          <w:bCs/>
          <w:color w:val="000000"/>
        </w:rPr>
        <w:t>招标代理服务费</w:t>
      </w:r>
    </w:p>
    <w:p>
      <w:pPr>
        <w:pStyle w:val="2"/>
        <w:kinsoku w:val="0"/>
        <w:overflowPunct w:val="0"/>
        <w:spacing w:before="130" w:line="355" w:lineRule="auto"/>
        <w:ind w:right="7" w:firstLine="480"/>
        <w:rPr>
          <w:rFonts w:ascii="宋体" w:hAnsi="宋体" w:cs="宋体"/>
          <w:color w:val="000000"/>
          <w:spacing w:val="4"/>
        </w:rPr>
      </w:pPr>
      <w:r>
        <w:rPr>
          <w:rFonts w:hint="eastAsia" w:ascii="宋体" w:hAnsi="宋体" w:cs="宋体"/>
          <w:color w:val="000000"/>
          <w:spacing w:val="4"/>
        </w:rPr>
        <w:t>投标人应承担所有与准备和参加招标有关的费用。不论招标的结果如何，招标代理机构和采购人均无义务和责任承担这些费用；</w:t>
      </w:r>
    </w:p>
    <w:p>
      <w:pPr>
        <w:pStyle w:val="2"/>
        <w:kinsoku w:val="0"/>
        <w:overflowPunct w:val="0"/>
        <w:spacing w:before="130" w:line="355" w:lineRule="auto"/>
        <w:ind w:right="7" w:firstLine="480"/>
        <w:rPr>
          <w:rFonts w:ascii="宋体" w:hAnsi="宋体" w:cs="宋体"/>
          <w:bCs/>
          <w:color w:val="000000"/>
        </w:rPr>
      </w:pPr>
      <w:r>
        <w:rPr>
          <w:rFonts w:hint="eastAsia" w:ascii="宋体" w:hAnsi="宋体" w:cs="宋体"/>
          <w:bCs/>
          <w:color w:val="000000"/>
        </w:rPr>
        <w:t>中标人在领取《中标通知书》时须一次性付给采购代理单位采购代理服务费，招标代理服务费参照国家计委《招标代理服务收费管理暂行办法》(计价格﹝2002﹞1980 号)所规定取费。</w:t>
      </w:r>
    </w:p>
    <w:p>
      <w:pPr>
        <w:pStyle w:val="2"/>
        <w:kinsoku w:val="0"/>
        <w:overflowPunct w:val="0"/>
        <w:rPr>
          <w:rFonts w:ascii="宋体" w:hAnsi="宋体" w:cs="宋体"/>
          <w:b/>
          <w:bCs/>
          <w:color w:val="000000"/>
        </w:rPr>
      </w:pPr>
      <w:r>
        <w:rPr>
          <w:rFonts w:hint="eastAsia" w:ascii="宋体" w:hAnsi="宋体" w:cs="宋体"/>
          <w:b/>
          <w:bCs/>
          <w:color w:val="000000"/>
          <w:spacing w:val="1"/>
        </w:rPr>
        <w:t>7.</w:t>
      </w:r>
      <w:r>
        <w:rPr>
          <w:rFonts w:hint="eastAsia" w:ascii="宋体" w:hAnsi="宋体" w:cs="宋体"/>
          <w:b/>
          <w:bCs/>
          <w:color w:val="000000"/>
          <w:spacing w:val="-23"/>
        </w:rPr>
        <w:t xml:space="preserve"> </w:t>
      </w:r>
      <w:r>
        <w:rPr>
          <w:rFonts w:hint="eastAsia" w:ascii="宋体" w:hAnsi="宋体" w:cs="宋体"/>
          <w:b/>
          <w:bCs/>
          <w:color w:val="000000"/>
        </w:rPr>
        <w:t>踏勘现场和答疑会</w:t>
      </w:r>
    </w:p>
    <w:p>
      <w:pPr>
        <w:pStyle w:val="2"/>
        <w:kinsoku w:val="0"/>
        <w:overflowPunct w:val="0"/>
        <w:spacing w:before="130" w:line="355" w:lineRule="auto"/>
        <w:ind w:right="7" w:firstLine="480"/>
        <w:rPr>
          <w:rFonts w:ascii="宋体" w:hAnsi="宋体" w:cs="宋体"/>
          <w:color w:val="000000"/>
          <w:spacing w:val="4"/>
        </w:rPr>
      </w:pPr>
      <w:r>
        <w:rPr>
          <w:rFonts w:hint="eastAsia" w:ascii="宋体" w:hAnsi="宋体" w:cs="宋体"/>
          <w:color w:val="000000"/>
          <w:spacing w:val="4"/>
        </w:rPr>
        <w:t>不组织</w:t>
      </w:r>
    </w:p>
    <w:p>
      <w:pPr>
        <w:pStyle w:val="2"/>
        <w:kinsoku w:val="0"/>
        <w:overflowPunct w:val="0"/>
        <w:spacing w:before="151" w:line="357" w:lineRule="auto"/>
        <w:ind w:right="963"/>
        <w:rPr>
          <w:rFonts w:ascii="宋体" w:hAnsi="宋体" w:cs="宋体"/>
          <w:color w:val="000000"/>
        </w:rPr>
      </w:pPr>
      <w:r>
        <w:rPr>
          <w:rFonts w:hint="eastAsia" w:ascii="宋体" w:hAnsi="宋体" w:cs="宋体"/>
          <w:b/>
          <w:bCs/>
          <w:color w:val="000000"/>
        </w:rPr>
        <w:t>8．保密</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参与招标投标活动的各方应对招标文件和投标文件中的商业和技术等秘密保密，违者应对由此造成的后果承担法律责任。</w:t>
      </w:r>
    </w:p>
    <w:p>
      <w:pPr>
        <w:pStyle w:val="2"/>
        <w:kinsoku w:val="0"/>
        <w:overflowPunct w:val="0"/>
        <w:spacing w:before="38"/>
        <w:rPr>
          <w:rFonts w:ascii="宋体" w:hAnsi="宋体" w:cs="宋体"/>
        </w:rPr>
      </w:pPr>
      <w:r>
        <w:rPr>
          <w:rFonts w:hint="eastAsia" w:ascii="宋体" w:hAnsi="宋体" w:cs="宋体"/>
          <w:b/>
          <w:bCs/>
        </w:rPr>
        <w:t>9.</w:t>
      </w:r>
      <w:r>
        <w:rPr>
          <w:rFonts w:hint="eastAsia" w:ascii="宋体" w:hAnsi="宋体" w:cs="宋体"/>
          <w:b/>
          <w:bCs/>
          <w:spacing w:val="-12"/>
        </w:rPr>
        <w:t xml:space="preserve"> </w:t>
      </w:r>
      <w:r>
        <w:rPr>
          <w:rFonts w:hint="eastAsia" w:ascii="宋体" w:hAnsi="宋体" w:cs="宋体"/>
          <w:b/>
          <w:bCs/>
        </w:rPr>
        <w:t>适用法律</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本次政府采购，招标采购单位、投标人、评标委员会的相关行为均受《《中华人民共和国政府采购法》、《中华人民共和国政府采购法实施条例》、《政府采购货物和服务 招标投标管理办法》、《政府购买服务管理办法（暂行）》、《政府采购招标采购方式管理暂行办法》和本项目采购人本级和上级财政部门政府采购有关规定的约束，其权利受到上述法律法规的保护。</w:t>
      </w:r>
    </w:p>
    <w:p>
      <w:pPr>
        <w:jc w:val="left"/>
        <w:outlineLvl w:val="1"/>
        <w:rPr>
          <w:rFonts w:ascii="宋体" w:hAnsi="宋体" w:cs="宋体"/>
        </w:rPr>
      </w:pPr>
      <w:bookmarkStart w:id="39" w:name="_Toc29229"/>
      <w:bookmarkStart w:id="40" w:name="_Toc20516"/>
      <w:bookmarkStart w:id="41" w:name="_Toc8963"/>
      <w:r>
        <w:rPr>
          <w:rFonts w:hint="eastAsia" w:ascii="宋体" w:hAnsi="宋体" w:cs="宋体"/>
          <w:b/>
          <w:bCs/>
          <w:color w:val="000000"/>
          <w:sz w:val="28"/>
        </w:rPr>
        <w:t>（二）《招标文件》</w:t>
      </w:r>
      <w:bookmarkEnd w:id="39"/>
      <w:bookmarkEnd w:id="40"/>
      <w:bookmarkEnd w:id="41"/>
    </w:p>
    <w:p>
      <w:pPr>
        <w:pStyle w:val="2"/>
        <w:kinsoku w:val="0"/>
        <w:overflowPunct w:val="0"/>
        <w:spacing w:before="122" w:line="357" w:lineRule="auto"/>
        <w:ind w:left="598" w:hanging="480"/>
        <w:rPr>
          <w:rFonts w:ascii="宋体" w:hAnsi="宋体" w:cs="宋体"/>
          <w:b/>
          <w:bCs/>
          <w:spacing w:val="27"/>
          <w:w w:val="99"/>
        </w:rPr>
      </w:pPr>
      <w:r>
        <w:rPr>
          <w:rFonts w:hint="eastAsia" w:ascii="宋体" w:hAnsi="宋体" w:cs="宋体"/>
          <w:b/>
          <w:bCs/>
        </w:rPr>
        <w:t>1.《招标文件》的组成</w:t>
      </w:r>
      <w:r>
        <w:rPr>
          <w:rFonts w:hint="eastAsia" w:ascii="宋体" w:hAnsi="宋体" w:cs="宋体"/>
          <w:b/>
          <w:bCs/>
          <w:spacing w:val="27"/>
          <w:w w:val="99"/>
        </w:rPr>
        <w:t xml:space="preserve"> </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招标文件用以阐明招标项目所需的资质、技术、服务及报价等要求、招标投标程序、有关规定和注意事项以及合同主要条款等。本招标文件包括以下内容,但不限于这些内容：</w:t>
      </w:r>
    </w:p>
    <w:p>
      <w:pPr>
        <w:pStyle w:val="2"/>
        <w:numPr>
          <w:ilvl w:val="0"/>
          <w:numId w:val="1"/>
        </w:numPr>
        <w:kinsoku w:val="0"/>
        <w:overflowPunct w:val="0"/>
        <w:spacing w:before="130" w:line="355" w:lineRule="auto"/>
        <w:ind w:right="7" w:firstLine="480"/>
        <w:rPr>
          <w:rFonts w:ascii="宋体" w:hAnsi="宋体" w:cs="宋体"/>
          <w:spacing w:val="4"/>
        </w:rPr>
      </w:pPr>
      <w:r>
        <w:rPr>
          <w:rFonts w:hint="eastAsia" w:ascii="宋体" w:hAnsi="宋体" w:cs="宋体"/>
          <w:spacing w:val="4"/>
        </w:rPr>
        <w:t>招标公告</w:t>
      </w:r>
    </w:p>
    <w:p>
      <w:pPr>
        <w:pStyle w:val="2"/>
        <w:numPr>
          <w:ilvl w:val="0"/>
          <w:numId w:val="1"/>
        </w:numPr>
        <w:kinsoku w:val="0"/>
        <w:overflowPunct w:val="0"/>
        <w:spacing w:before="130" w:line="355" w:lineRule="auto"/>
        <w:ind w:right="7" w:firstLine="480"/>
        <w:rPr>
          <w:rFonts w:ascii="宋体" w:hAnsi="宋体" w:cs="宋体"/>
          <w:spacing w:val="4"/>
        </w:rPr>
      </w:pPr>
      <w:r>
        <w:rPr>
          <w:rFonts w:hint="eastAsia" w:ascii="宋体" w:hAnsi="宋体" w:cs="宋体"/>
          <w:spacing w:val="4"/>
        </w:rPr>
        <w:t>投标人须知及前附表</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3）评标办法</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4）招标内容</w:t>
      </w:r>
    </w:p>
    <w:p>
      <w:pPr>
        <w:pStyle w:val="2"/>
        <w:kinsoku w:val="0"/>
        <w:overflowPunct w:val="0"/>
        <w:spacing w:before="130" w:line="355" w:lineRule="auto"/>
        <w:ind w:right="7" w:firstLine="480"/>
        <w:rPr>
          <w:rFonts w:ascii="宋体" w:hAnsi="宋体" w:cs="宋体"/>
          <w:spacing w:val="4"/>
        </w:rPr>
      </w:pPr>
      <w:bookmarkStart w:id="42" w:name="bookmark5"/>
      <w:bookmarkEnd w:id="42"/>
      <w:bookmarkStart w:id="43" w:name="（四）《磋商响应性文件》的编制"/>
      <w:bookmarkEnd w:id="43"/>
      <w:r>
        <w:rPr>
          <w:rFonts w:hint="eastAsia" w:ascii="宋体" w:hAnsi="宋体" w:cs="宋体"/>
          <w:spacing w:val="4"/>
        </w:rPr>
        <w:t>5）合同条款及合同格式</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6）《投标文件》格式</w:t>
      </w:r>
    </w:p>
    <w:p>
      <w:pPr>
        <w:pStyle w:val="2"/>
        <w:kinsoku w:val="0"/>
        <w:overflowPunct w:val="0"/>
        <w:spacing w:line="355" w:lineRule="auto"/>
        <w:ind w:left="598" w:right="50" w:hanging="480"/>
        <w:rPr>
          <w:rFonts w:ascii="宋体" w:hAnsi="宋体" w:cs="宋体"/>
          <w:b/>
          <w:bCs/>
          <w:spacing w:val="27"/>
          <w:w w:val="99"/>
        </w:rPr>
      </w:pPr>
      <w:r>
        <w:rPr>
          <w:rFonts w:hint="eastAsia" w:ascii="宋体" w:hAnsi="宋体" w:cs="宋体"/>
          <w:b/>
          <w:bCs/>
        </w:rPr>
        <w:t>2.《招标文件》的澄清</w:t>
      </w:r>
      <w:r>
        <w:rPr>
          <w:rFonts w:hint="eastAsia" w:ascii="宋体" w:hAnsi="宋体" w:cs="宋体"/>
          <w:b/>
          <w:bCs/>
          <w:spacing w:val="27"/>
          <w:w w:val="99"/>
        </w:rPr>
        <w:t xml:space="preserve"> </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投标人若对《招标文件》有任何疑问，根据《政府采购货物和服务招标投标管理办法》相关规定，投标人应于投标截止日期 3 日前以书面形式向招标代理机构提出 澄清要求，送至招标代理机构。如认为有必要，招标代理机构将以书面形式予以澄清，同时将书面澄清文件向所有投标人发送。投标人在收到该澄清文件后，应于 1 日内以书面形式（加盖公章）向招标代理机构予以确认，该答复作为《招标文件》的组成部分，具有同《招标文件》同样的约束作用。未确认情况应当视为对招标文件修改的知晓，也将视为对修改内容接受的默认。对于未在投标文件中对修改内容做实质性响应的，对其产生的不利因素由未确认者自行承担。</w:t>
      </w:r>
    </w:p>
    <w:p>
      <w:pPr>
        <w:pStyle w:val="2"/>
        <w:kinsoku w:val="0"/>
        <w:overflowPunct w:val="0"/>
        <w:spacing w:before="151" w:line="356" w:lineRule="auto"/>
        <w:ind w:right="106"/>
        <w:rPr>
          <w:rFonts w:ascii="宋体" w:hAnsi="宋体" w:cs="宋体"/>
        </w:rPr>
      </w:pPr>
      <w:r>
        <w:rPr>
          <w:rFonts w:hint="eastAsia" w:ascii="宋体" w:hAnsi="宋体" w:cs="宋体"/>
        </w:rPr>
        <w:t xml:space="preserve"> </w:t>
      </w:r>
      <w:r>
        <w:rPr>
          <w:rFonts w:hint="eastAsia" w:ascii="宋体" w:hAnsi="宋体" w:cs="宋体"/>
          <w:b/>
          <w:bCs/>
        </w:rPr>
        <w:t>3.《招标文件》的修改</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3.1 投标截止期 3 日前，无论出于何种原因，招标采购单位可主动地或在解答投标人提出的澄清问题时对《招标文件》进行修改，《招标文件》的修改书将构成《招标文件》的组成部分。</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3.2《招标文件》的修改将以书面形式通知所有领取《招标文件》的投标单位，并对其具有约束力。投标人在收到上述通知后，应于 1 日内以书面形式（加盖公章）向招标代理机构予以确认。未确认情况应当视为对招标文件修改的知晓，也将视为对修改内容接受的默认。</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3.3 为使投标人在编制《投标文件》时有充分时间对《招标文件》的修改部分进行研究，招标代理机构可自行决定是否延长投标截止日期和推迟开标时间，并通知全部投标人。</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3.4 投标人在应当领取招标文件的 3 日内可对招标文件的内容提出质 疑，招标采购单位按规定时间答复，超过时间的质疑将不予接受。</w:t>
      </w:r>
    </w:p>
    <w:p>
      <w:pPr>
        <w:pStyle w:val="4"/>
        <w:rPr>
          <w:rFonts w:ascii="宋体" w:hAnsi="宋体" w:cs="宋体"/>
        </w:rPr>
      </w:pPr>
      <w:bookmarkStart w:id="44" w:name="_Toc4571"/>
      <w:bookmarkStart w:id="45" w:name="_Toc22995"/>
      <w:bookmarkStart w:id="46" w:name="_Toc8528"/>
      <w:r>
        <w:rPr>
          <w:rFonts w:hint="eastAsia" w:ascii="宋体" w:hAnsi="宋体" w:cs="宋体"/>
        </w:rPr>
        <w:t>（三）《投标文件》的编制</w:t>
      </w:r>
      <w:bookmarkEnd w:id="44"/>
      <w:bookmarkEnd w:id="45"/>
      <w:bookmarkEnd w:id="46"/>
    </w:p>
    <w:p>
      <w:pPr>
        <w:pStyle w:val="2"/>
        <w:kinsoku w:val="0"/>
        <w:overflowPunct w:val="0"/>
        <w:spacing w:before="124"/>
        <w:rPr>
          <w:rFonts w:ascii="宋体" w:hAnsi="宋体" w:cs="宋体"/>
        </w:rPr>
      </w:pPr>
      <w:r>
        <w:rPr>
          <w:rFonts w:hint="eastAsia" w:ascii="宋体" w:hAnsi="宋体" w:cs="宋体"/>
          <w:b/>
          <w:bCs/>
          <w:spacing w:val="1"/>
        </w:rPr>
        <w:t>1.</w:t>
      </w:r>
      <w:r>
        <w:rPr>
          <w:rFonts w:hint="eastAsia" w:ascii="宋体" w:hAnsi="宋体" w:cs="宋体"/>
          <w:b/>
          <w:bCs/>
          <w:spacing w:val="-22"/>
        </w:rPr>
        <w:t xml:space="preserve"> </w:t>
      </w:r>
      <w:r>
        <w:rPr>
          <w:rFonts w:hint="eastAsia" w:ascii="宋体" w:hAnsi="宋体" w:cs="宋体"/>
          <w:b/>
          <w:bCs/>
        </w:rPr>
        <w:t>《投标文件》编制要求</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 xml:space="preserve">1.1 投标人应仔细阅读和充分理解《招标文件》的所有内容，并按照《招标文件》的“投标文件格式”规定及要求内容的格式提交完整的《投标文件》。投标文件应使用中文、编排有序，并按要求编制文件目录和页码，准确标明文件内容所在位置。投标人没有对招标文件全面做出实质性响应是投标人的风险。没有按照招标文件要求作出实质性响应的不利后果由投标人自行承担。 </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1.2 投标文件应字迹清楚，内容齐全，不得涂改和增删。如有修改错漏处，必须由投标人法定代表人或其授权代表签字。资格证明材料的复印件应是清晰可辨并加盖投标人鲜章。</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1.3 投标文件所提供的全部资料必须真实可靠。若投标文件填报的内容资料不详，或提供了虚假资料，其投标文件为无效投标文件。</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1.4 投标文件应严格按照招标文件格式的要求提交，并按规定的统一 格式逐项填写，不准有空项；无相应内容可填的项应填写“无”、“没有相应指标”等明确的回答文字。</w:t>
      </w:r>
    </w:p>
    <w:p>
      <w:pPr>
        <w:pStyle w:val="2"/>
        <w:kinsoku w:val="0"/>
        <w:overflowPunct w:val="0"/>
        <w:spacing w:before="35"/>
        <w:rPr>
          <w:rFonts w:ascii="宋体" w:hAnsi="宋体" w:cs="宋体"/>
        </w:rPr>
      </w:pPr>
      <w:r>
        <w:rPr>
          <w:rFonts w:hint="eastAsia" w:ascii="宋体" w:hAnsi="宋体" w:cs="宋体"/>
          <w:b/>
          <w:bCs/>
          <w:spacing w:val="1"/>
        </w:rPr>
        <w:t>2.</w:t>
      </w:r>
      <w:r>
        <w:rPr>
          <w:rFonts w:hint="eastAsia" w:ascii="宋体" w:hAnsi="宋体" w:cs="宋体"/>
          <w:b/>
          <w:bCs/>
          <w:spacing w:val="-19"/>
        </w:rPr>
        <w:t xml:space="preserve"> </w:t>
      </w:r>
      <w:r>
        <w:rPr>
          <w:rFonts w:hint="eastAsia" w:ascii="宋体" w:hAnsi="宋体" w:cs="宋体"/>
          <w:b/>
          <w:bCs/>
        </w:rPr>
        <w:t>投标语言：</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2.1 专用术语外，与招标投标有关的投标文件、投标交换的文件和往来信件应均使用中文，必要时专用术语应附有中文注释。</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2.2 投标文件中如附有外文资料，必须逐一对应翻译成中文并加盖投标人公章后附在相关外文资料后面，否则，投标人的投标文件将作为无效投标处理。</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2.3 翻译的中文资料与外文资料如果出现差异和矛盾时，以中文为准。但不能故意错误翻译，否则投标人的投标文件将作为无效投标处理。</w:t>
      </w:r>
    </w:p>
    <w:p>
      <w:pPr>
        <w:pStyle w:val="2"/>
        <w:kinsoku w:val="0"/>
        <w:overflowPunct w:val="0"/>
        <w:spacing w:before="34" w:line="356" w:lineRule="auto"/>
        <w:ind w:right="50"/>
        <w:rPr>
          <w:rFonts w:ascii="宋体" w:hAnsi="宋体" w:cs="宋体"/>
          <w:b/>
          <w:bCs/>
          <w:spacing w:val="-2"/>
        </w:rPr>
      </w:pPr>
      <w:r>
        <w:rPr>
          <w:rFonts w:hint="eastAsia" w:ascii="宋体" w:hAnsi="宋体" w:cs="宋体"/>
        </w:rPr>
        <w:t xml:space="preserve"> </w:t>
      </w:r>
      <w:r>
        <w:rPr>
          <w:rFonts w:hint="eastAsia" w:ascii="宋体" w:hAnsi="宋体" w:cs="宋体"/>
          <w:b/>
          <w:bCs/>
          <w:spacing w:val="-2"/>
        </w:rPr>
        <w:t>3.计量单位：</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除工程规范中另有规定外，投标文件使用的度量衡单位，均应使用中华人民共和国法定计量单位。</w:t>
      </w:r>
    </w:p>
    <w:p>
      <w:pPr>
        <w:pStyle w:val="2"/>
        <w:kinsoku w:val="0"/>
        <w:overflowPunct w:val="0"/>
        <w:spacing w:before="37"/>
        <w:rPr>
          <w:rFonts w:ascii="宋体" w:hAnsi="宋体" w:cs="宋体"/>
          <w:b/>
          <w:bCs/>
        </w:rPr>
      </w:pPr>
      <w:r>
        <w:rPr>
          <w:rFonts w:hint="eastAsia" w:ascii="宋体" w:hAnsi="宋体" w:cs="宋体"/>
          <w:b/>
          <w:bCs/>
        </w:rPr>
        <w:t>4.投标货币：</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本次招标项目的投标均以人民币报价。</w:t>
      </w:r>
    </w:p>
    <w:p>
      <w:pPr>
        <w:pStyle w:val="2"/>
        <w:kinsoku w:val="0"/>
        <w:overflowPunct w:val="0"/>
        <w:rPr>
          <w:rFonts w:ascii="宋体" w:hAnsi="宋体" w:cs="宋体"/>
          <w:b/>
          <w:bCs/>
        </w:rPr>
      </w:pPr>
      <w:r>
        <w:rPr>
          <w:rFonts w:hint="eastAsia" w:ascii="宋体" w:hAnsi="宋体" w:cs="宋体"/>
          <w:b/>
          <w:bCs/>
        </w:rPr>
        <w:t>5.联合投标：</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本项目不接受联合体投标。</w:t>
      </w:r>
    </w:p>
    <w:p>
      <w:pPr>
        <w:pStyle w:val="2"/>
        <w:kinsoku w:val="0"/>
        <w:overflowPunct w:val="0"/>
        <w:spacing w:before="151"/>
        <w:rPr>
          <w:rFonts w:ascii="宋体" w:hAnsi="宋体" w:cs="宋体"/>
        </w:rPr>
      </w:pPr>
      <w:r>
        <w:rPr>
          <w:rFonts w:hint="eastAsia" w:ascii="宋体" w:hAnsi="宋体" w:cs="宋体"/>
          <w:b/>
          <w:bCs/>
        </w:rPr>
        <w:t>6.知识产权</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6.1 投标人应保证在本项目使用的任何技术成果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6.2 采购人享有本项目实施过程中产生的知识成果及知识产权。</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6.3 投标人如欲在项目实施过程中采用自有知识成果，需在投标文件中声明，并提供相关知识产权证明文件。使用该知识成果后，投标人需提供开发接口和开发手册 等技术文档，并承诺提供无限期技术支持，采购人享有永久使用权。</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6.4 如采用投标人所不拥有的知识产权，则在投标报价中必须包括合法获取该知识产权的相关费用。</w:t>
      </w:r>
    </w:p>
    <w:p>
      <w:pPr>
        <w:pStyle w:val="2"/>
        <w:kinsoku w:val="0"/>
        <w:overflowPunct w:val="0"/>
        <w:spacing w:before="26"/>
        <w:rPr>
          <w:rFonts w:ascii="宋体" w:hAnsi="宋体" w:cs="宋体"/>
        </w:rPr>
      </w:pPr>
      <w:r>
        <w:rPr>
          <w:rFonts w:hint="eastAsia" w:ascii="宋体" w:hAnsi="宋体" w:cs="宋体"/>
          <w:b/>
          <w:bCs/>
        </w:rPr>
        <w:t>7.《投标文件》的组成</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《投标文件》应由商务文件部分（包括资格证明文件）、技术文件部分（包括技术响应、服务方案等）、投标报价及其它部分组成，所有复印件须加盖公章。按如下顺序编制：</w:t>
      </w:r>
    </w:p>
    <w:p>
      <w:pPr>
        <w:pStyle w:val="2"/>
        <w:kinsoku w:val="0"/>
        <w:overflowPunct w:val="0"/>
        <w:spacing w:before="130" w:line="355" w:lineRule="auto"/>
        <w:ind w:right="7" w:firstLine="480"/>
        <w:rPr>
          <w:rFonts w:ascii="宋体" w:hAnsi="宋体" w:cs="宋体"/>
          <w:b/>
          <w:spacing w:val="4"/>
        </w:rPr>
      </w:pPr>
      <w:r>
        <w:rPr>
          <w:rFonts w:hint="eastAsia" w:ascii="宋体" w:hAnsi="宋体" w:cs="宋体"/>
          <w:b/>
          <w:spacing w:val="4"/>
        </w:rPr>
        <w:t>7.1  商务文件部分、投标报价部分应包括：</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(1)投标函；</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 xml:space="preserve">(2)法定代表人身份证明（附法定代表人身份证复印件）； </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 xml:space="preserve">(3)授权委托书（附被授权人身份证复印件）； </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 xml:space="preserve">(4)投标保证金缴纳凭证（复印件加盖公章）； </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 xml:space="preserve">(5 </w:t>
      </w:r>
      <w:r>
        <w:rPr>
          <w:rFonts w:hint="eastAsia" w:ascii="宋体" w:hAnsi="宋体" w:cs="宋体"/>
        </w:rPr>
        <w:t>报价一览表</w:t>
      </w:r>
      <w:r>
        <w:rPr>
          <w:rFonts w:hint="eastAsia" w:ascii="宋体" w:hAnsi="宋体" w:cs="宋体"/>
          <w:spacing w:val="4"/>
        </w:rPr>
        <w:t>；</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 xml:space="preserve">(6)投标报价汇总表； </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(7)投标人基本情况；</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1）投标人基本情况表；</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2）营业执照副本、税务登记证、组织机构代码证、（三证合一的提供统一社会信用代码的营业执照）、公司资质证书（复印件加盖公章）；</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3）近1年财务状况报告相关材料（复印件加盖公章）；</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4）单位社会保障缴费证明（复印件加盖公章）；</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(8)</w:t>
      </w:r>
      <w:r>
        <w:rPr>
          <w:rFonts w:hint="eastAsia" w:ascii="宋体" w:hAnsi="宋体" w:cs="宋体"/>
          <w:b/>
          <w:bCs/>
          <w:spacing w:val="4"/>
        </w:rPr>
        <w:t xml:space="preserve"> </w:t>
      </w:r>
      <w:r>
        <w:rPr>
          <w:rFonts w:hint="eastAsia" w:ascii="宋体" w:hAnsi="宋体" w:cs="宋体"/>
          <w:spacing w:val="4"/>
        </w:rPr>
        <w:t xml:space="preserve">一般商务条款偏离表； </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 xml:space="preserve">(9)同类项目业绩介绍； </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(10)中小企业声明函（符合本声明函填写）；</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(11)残疾人福利性单位声明函（符合本声明函填写） ；</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(12)缴纳招标代理服务费承诺书；</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(13)退还保证金说明函；</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(14)其他商务资格证明资料（格式自定）。</w:t>
      </w:r>
    </w:p>
    <w:p>
      <w:pPr>
        <w:pStyle w:val="2"/>
        <w:kinsoku w:val="0"/>
        <w:overflowPunct w:val="0"/>
        <w:spacing w:before="130" w:line="355" w:lineRule="auto"/>
        <w:ind w:right="7" w:firstLine="480"/>
        <w:rPr>
          <w:rFonts w:ascii="宋体" w:hAnsi="宋体" w:cs="宋体"/>
          <w:b/>
          <w:spacing w:val="4"/>
        </w:rPr>
      </w:pPr>
      <w:r>
        <w:rPr>
          <w:rFonts w:hint="eastAsia" w:ascii="宋体" w:hAnsi="宋体" w:cs="宋体"/>
          <w:b/>
          <w:spacing w:val="4"/>
        </w:rPr>
        <w:t>7.2 技术文件部分应包括：</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(16)项目实施方案；</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(17)投标人认为需要提交的技术资料；</w:t>
      </w:r>
    </w:p>
    <w:p>
      <w:pPr>
        <w:pStyle w:val="2"/>
        <w:kinsoku w:val="0"/>
        <w:overflowPunct w:val="0"/>
        <w:spacing w:before="130" w:line="355" w:lineRule="auto"/>
        <w:ind w:right="7" w:firstLine="480"/>
        <w:rPr>
          <w:rFonts w:ascii="宋体" w:hAnsi="宋体" w:cs="宋体"/>
          <w:b/>
          <w:spacing w:val="4"/>
        </w:rPr>
      </w:pPr>
      <w:r>
        <w:rPr>
          <w:rFonts w:hint="eastAsia" w:ascii="宋体" w:hAnsi="宋体" w:cs="宋体"/>
          <w:b/>
          <w:spacing w:val="4"/>
        </w:rPr>
        <w:t>7.3 本次投标报价要求：</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7.3.1 总价格包括完成采购范围内全部内容采购及相关伴随服务全过程的全部费用。</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7.3.2 投标人只允许在《投标文件》中有一个报价，并且在合同履行过程中是固定不变的，任何有选择或可调整的报价将不予接受，并按无效投标处理。</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7.3.3 投标人的报价作为评标的重要依据之一，但并不是本项目采购人招标、评标确定中标投标人的唯一依据。拒绝不计成本的故意压低投标报价和恶意以低价投标的行为。</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7.3.4 本项目投标报价是在符合招标文件对项目相关要求的情况下，以最大限度的折扣价或优惠后价格的体现。</w:t>
      </w:r>
    </w:p>
    <w:p>
      <w:pPr>
        <w:pStyle w:val="2"/>
        <w:kinsoku w:val="0"/>
        <w:overflowPunct w:val="0"/>
        <w:spacing w:before="36"/>
        <w:rPr>
          <w:rFonts w:ascii="宋体" w:hAnsi="宋体" w:cs="宋体"/>
        </w:rPr>
      </w:pPr>
      <w:r>
        <w:rPr>
          <w:rFonts w:hint="eastAsia" w:ascii="宋体" w:hAnsi="宋体" w:cs="宋体"/>
          <w:b/>
          <w:bCs/>
        </w:rPr>
        <w:t>8.投标文件格式</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8.1 投标人应按《招标文件》的内容与要求和第六章提供的格式编写其《投标文件》，投标人不得空留或缺少任何《招标文件》要求填写的表格或提交的资料，未列出格式的部分投标人可自行编制。</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8.2 投标人提交的《投标文件》中全部资料必须真实可靠，并接受采购人、招标代理机构对其中任何资料进一步审查的要求。</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8.3 《投标文件》的封面及密封袋封面编制格式详见附件。</w:t>
      </w:r>
    </w:p>
    <w:p>
      <w:pPr>
        <w:pStyle w:val="2"/>
        <w:kinsoku w:val="0"/>
        <w:overflowPunct w:val="0"/>
        <w:spacing w:before="151"/>
        <w:rPr>
          <w:rFonts w:ascii="宋体" w:hAnsi="宋体" w:cs="宋体"/>
        </w:rPr>
      </w:pPr>
      <w:r>
        <w:rPr>
          <w:rFonts w:hint="eastAsia" w:ascii="宋体" w:hAnsi="宋体" w:cs="宋体"/>
          <w:b/>
          <w:bCs/>
        </w:rPr>
        <w:t>9.投标有效期</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9.1 投标有效期见本须知前附表所规定的期限，在此期限内，投标人不得要求撤销或修改其投标文件。</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9.2 在特殊情况下，采购人在原定投标有效期内，可以根据需要以书面形式向投标人提出延长投标有效期的要求，对此要求投标人须以书面形式予以答复。投标人可以拒绝采购人这种要求</w:t>
      </w:r>
      <w:bookmarkStart w:id="47" w:name="（五）磋商响应性文件的提交及相关事项"/>
      <w:bookmarkEnd w:id="47"/>
      <w:bookmarkStart w:id="48" w:name="bookmark6"/>
      <w:bookmarkEnd w:id="48"/>
      <w:r>
        <w:rPr>
          <w:rFonts w:hint="eastAsia" w:ascii="宋体" w:hAnsi="宋体" w:cs="宋体"/>
          <w:spacing w:val="4"/>
        </w:rPr>
        <w:t>，而不被没收投标保证金。同意延长投标有效期的投标人既不能要求也不允许修改其投标文件，但需要相应的延长投标担保的有效期，在延长的投标有效期内须知前附表第 21 条关于投标担保的退还与没收的规定仍然适用。</w:t>
      </w:r>
    </w:p>
    <w:p>
      <w:pPr>
        <w:pStyle w:val="2"/>
        <w:kinsoku w:val="0"/>
        <w:overflowPunct w:val="0"/>
        <w:spacing w:before="37"/>
        <w:rPr>
          <w:rFonts w:ascii="宋体" w:hAnsi="宋体" w:cs="宋体"/>
        </w:rPr>
      </w:pPr>
      <w:r>
        <w:rPr>
          <w:rFonts w:hint="eastAsia" w:ascii="宋体" w:hAnsi="宋体" w:cs="宋体"/>
          <w:b/>
          <w:bCs/>
        </w:rPr>
        <w:t>10.投标保证金</w:t>
      </w:r>
    </w:p>
    <w:p>
      <w:pPr>
        <w:pStyle w:val="2"/>
        <w:kinsoku w:val="0"/>
        <w:overflowPunct w:val="0"/>
        <w:spacing w:before="130" w:line="355" w:lineRule="auto"/>
        <w:ind w:right="7" w:firstLine="480"/>
        <w:rPr>
          <w:rFonts w:ascii="宋体" w:hAnsi="宋体" w:cs="宋体"/>
          <w:spacing w:val="4"/>
          <w:szCs w:val="21"/>
        </w:rPr>
      </w:pPr>
      <w:r>
        <w:rPr>
          <w:rFonts w:hint="eastAsia" w:ascii="宋体" w:hAnsi="宋体" w:cs="宋体"/>
          <w:spacing w:val="4"/>
          <w:szCs w:val="21"/>
        </w:rPr>
        <w:t>10.1投标保证金应用投标货币即人民币，并采用下列任何一种形式：</w:t>
      </w:r>
    </w:p>
    <w:p>
      <w:pPr>
        <w:pStyle w:val="2"/>
        <w:kinsoku w:val="0"/>
        <w:overflowPunct w:val="0"/>
        <w:spacing w:before="130" w:line="355" w:lineRule="auto"/>
        <w:ind w:right="7" w:firstLine="480"/>
        <w:rPr>
          <w:rFonts w:ascii="宋体" w:hAnsi="宋体" w:cs="宋体"/>
          <w:kern w:val="0"/>
          <w:szCs w:val="21"/>
        </w:rPr>
      </w:pPr>
      <w:r>
        <w:rPr>
          <w:rFonts w:hint="eastAsia" w:ascii="宋体" w:hAnsi="宋体" w:cs="宋体"/>
          <w:kern w:val="0"/>
          <w:szCs w:val="21"/>
        </w:rPr>
        <w:t>投标保证金的形式：电汇、转账等形式，均应从基本账户转出。</w:t>
      </w:r>
    </w:p>
    <w:p>
      <w:pPr>
        <w:pStyle w:val="2"/>
        <w:kinsoku w:val="0"/>
        <w:overflowPunct w:val="0"/>
        <w:spacing w:before="130" w:line="355" w:lineRule="auto"/>
        <w:ind w:right="7" w:firstLine="480"/>
        <w:rPr>
          <w:rFonts w:ascii="宋体" w:hAnsi="宋体" w:cs="宋体"/>
          <w:kern w:val="0"/>
          <w:szCs w:val="21"/>
        </w:rPr>
      </w:pPr>
      <w:r>
        <w:rPr>
          <w:rFonts w:hint="eastAsia" w:ascii="宋体" w:hAnsi="宋体" w:cs="宋体"/>
          <w:kern w:val="0"/>
          <w:szCs w:val="21"/>
        </w:rPr>
        <w:t>投标保证金的金额：16000元（壹万陆仟元整）</w:t>
      </w:r>
    </w:p>
    <w:p>
      <w:pPr>
        <w:pStyle w:val="2"/>
        <w:kinsoku w:val="0"/>
        <w:overflowPunct w:val="0"/>
        <w:spacing w:before="130" w:line="355" w:lineRule="auto"/>
        <w:ind w:right="7" w:firstLine="480"/>
        <w:rPr>
          <w:rFonts w:ascii="宋体" w:hAnsi="宋体" w:cs="宋体"/>
          <w:kern w:val="0"/>
          <w:szCs w:val="21"/>
        </w:rPr>
      </w:pPr>
      <w:r>
        <w:rPr>
          <w:rFonts w:hint="eastAsia" w:ascii="宋体" w:hAnsi="宋体" w:cs="宋体"/>
          <w:kern w:val="0"/>
          <w:szCs w:val="21"/>
        </w:rPr>
        <w:t>投标保证金必须在投标文件递交截止时间前1个工作日确保到帐（投标人未按招标文件要求提交投标保证金的，投标文件无效）至以下账号：</w:t>
      </w:r>
    </w:p>
    <w:p>
      <w:pPr>
        <w:pStyle w:val="2"/>
        <w:kinsoku w:val="0"/>
        <w:overflowPunct w:val="0"/>
        <w:spacing w:before="130" w:line="355" w:lineRule="auto"/>
        <w:ind w:right="7" w:firstLine="480"/>
        <w:rPr>
          <w:rFonts w:ascii="宋体" w:hAnsi="宋体" w:cs="宋体"/>
          <w:kern w:val="0"/>
          <w:szCs w:val="21"/>
        </w:rPr>
      </w:pPr>
      <w:r>
        <w:rPr>
          <w:rFonts w:hint="eastAsia" w:ascii="宋体" w:hAnsi="宋体" w:cs="宋体"/>
          <w:kern w:val="0"/>
          <w:szCs w:val="21"/>
        </w:rPr>
        <w:t>单位名称：新疆天之源项目管理集团有限公司</w:t>
      </w:r>
    </w:p>
    <w:p>
      <w:pPr>
        <w:pStyle w:val="2"/>
        <w:kinsoku w:val="0"/>
        <w:overflowPunct w:val="0"/>
        <w:spacing w:before="130" w:line="355" w:lineRule="auto"/>
        <w:ind w:right="7" w:firstLine="480"/>
        <w:rPr>
          <w:rFonts w:ascii="宋体" w:hAnsi="宋体" w:cs="宋体"/>
          <w:kern w:val="0"/>
          <w:szCs w:val="21"/>
        </w:rPr>
      </w:pPr>
      <w:r>
        <w:rPr>
          <w:rFonts w:hint="eastAsia" w:ascii="宋体" w:hAnsi="宋体" w:cs="宋体"/>
          <w:kern w:val="0"/>
          <w:szCs w:val="21"/>
        </w:rPr>
        <w:t>开户银行：招商银行股份有限公司乌鲁木齐人民路支行</w:t>
      </w:r>
    </w:p>
    <w:p>
      <w:pPr>
        <w:pStyle w:val="2"/>
        <w:kinsoku w:val="0"/>
        <w:overflowPunct w:val="0"/>
        <w:spacing w:before="130" w:line="355" w:lineRule="auto"/>
        <w:ind w:right="7" w:firstLine="480"/>
        <w:rPr>
          <w:rFonts w:ascii="宋体" w:hAnsi="宋体" w:cs="宋体"/>
          <w:kern w:val="0"/>
          <w:szCs w:val="21"/>
        </w:rPr>
      </w:pPr>
      <w:r>
        <w:rPr>
          <w:rFonts w:hint="eastAsia" w:ascii="宋体" w:hAnsi="宋体" w:cs="宋体"/>
          <w:kern w:val="0"/>
          <w:szCs w:val="21"/>
        </w:rPr>
        <w:t>银行账号：991902337110201</w:t>
      </w:r>
    </w:p>
    <w:p>
      <w:pPr>
        <w:pStyle w:val="2"/>
        <w:kinsoku w:val="0"/>
        <w:overflowPunct w:val="0"/>
        <w:spacing w:before="130" w:line="355" w:lineRule="auto"/>
        <w:ind w:right="7" w:firstLine="480"/>
        <w:rPr>
          <w:rFonts w:ascii="宋体" w:hAnsi="宋体" w:cs="宋体"/>
          <w:kern w:val="0"/>
          <w:szCs w:val="21"/>
        </w:rPr>
      </w:pPr>
      <w:r>
        <w:rPr>
          <w:rFonts w:hint="eastAsia" w:ascii="宋体" w:hAnsi="宋体" w:cs="宋体"/>
          <w:kern w:val="0"/>
          <w:szCs w:val="21"/>
        </w:rPr>
        <w:t xml:space="preserve"> 行号：308881029059</w:t>
      </w:r>
    </w:p>
    <w:p>
      <w:pPr>
        <w:pStyle w:val="2"/>
        <w:kinsoku w:val="0"/>
        <w:overflowPunct w:val="0"/>
        <w:spacing w:before="130" w:line="355" w:lineRule="auto"/>
        <w:ind w:right="7" w:firstLine="480"/>
        <w:rPr>
          <w:rFonts w:ascii="宋体" w:hAnsi="宋体" w:cs="宋体"/>
          <w:kern w:val="0"/>
          <w:szCs w:val="21"/>
        </w:rPr>
      </w:pPr>
      <w:r>
        <w:rPr>
          <w:rFonts w:hint="eastAsia" w:ascii="宋体" w:hAnsi="宋体" w:cs="宋体"/>
          <w:kern w:val="0"/>
          <w:szCs w:val="21"/>
        </w:rPr>
        <w:t>投标人办理保证金时，须注明“项目名称+投标保证金”（如字数超出规定字数可简写项目名称）。</w:t>
      </w:r>
    </w:p>
    <w:p>
      <w:pPr>
        <w:pStyle w:val="2"/>
        <w:kinsoku w:val="0"/>
        <w:overflowPunct w:val="0"/>
        <w:spacing w:before="130" w:line="355" w:lineRule="auto"/>
        <w:ind w:right="7" w:firstLine="480"/>
        <w:rPr>
          <w:rFonts w:ascii="宋体" w:hAnsi="宋体" w:cs="宋体"/>
          <w:spacing w:val="4"/>
        </w:rPr>
      </w:pPr>
      <w:r>
        <w:rPr>
          <w:rFonts w:hint="eastAsia" w:ascii="宋体" w:hAnsi="宋体" w:cs="宋体"/>
          <w:spacing w:val="4"/>
        </w:rPr>
        <w:t>10.2投标保证金为投标文件的重要组成部分。未按规定提交投标保证金的投标人，将被视为无效投标而予以拒绝。</w:t>
      </w:r>
    </w:p>
    <w:p>
      <w:pPr>
        <w:pStyle w:val="2"/>
        <w:kinsoku w:val="0"/>
        <w:overflowPunct w:val="0"/>
        <w:spacing w:before="130" w:after="0" w:line="355" w:lineRule="auto"/>
        <w:ind w:right="6" w:firstLine="482"/>
        <w:rPr>
          <w:rFonts w:ascii="宋体" w:hAnsi="宋体" w:cs="宋体"/>
          <w:spacing w:val="4"/>
        </w:rPr>
      </w:pPr>
      <w:r>
        <w:rPr>
          <w:rFonts w:hint="eastAsia" w:ascii="宋体" w:hAnsi="宋体" w:cs="宋体"/>
          <w:spacing w:val="4"/>
        </w:rPr>
        <w:t>10.3中标人的投标保证金，在中标人按规定的金额付清招标代理服务费后予以无息退还。</w:t>
      </w:r>
    </w:p>
    <w:p>
      <w:pPr>
        <w:pStyle w:val="2"/>
        <w:kinsoku w:val="0"/>
        <w:overflowPunct w:val="0"/>
        <w:spacing w:before="130" w:line="355" w:lineRule="auto"/>
        <w:ind w:right="7" w:firstLine="480"/>
        <w:rPr>
          <w:rFonts w:ascii="宋体" w:hAnsi="宋体" w:cs="宋体"/>
        </w:rPr>
      </w:pPr>
      <w:r>
        <w:rPr>
          <w:rFonts w:hint="eastAsia" w:ascii="宋体" w:hAnsi="宋体" w:cs="宋体"/>
        </w:rPr>
        <w:t>10.4</w:t>
      </w:r>
      <w:r>
        <w:rPr>
          <w:rFonts w:hint="eastAsia" w:ascii="宋体" w:hAnsi="宋体" w:cs="宋体"/>
          <w:spacing w:val="-60"/>
        </w:rPr>
        <w:t xml:space="preserve"> </w:t>
      </w:r>
      <w:r>
        <w:rPr>
          <w:rFonts w:hint="eastAsia" w:ascii="宋体" w:hAnsi="宋体" w:cs="宋体"/>
        </w:rPr>
        <w:t>投标保证金的</w:t>
      </w:r>
      <w:r>
        <w:rPr>
          <w:rFonts w:hint="eastAsia" w:ascii="宋体" w:hAnsi="宋体" w:cs="宋体"/>
          <w:spacing w:val="4"/>
        </w:rPr>
        <w:t>缴纳</w:t>
      </w:r>
      <w:r>
        <w:rPr>
          <w:rFonts w:hint="eastAsia" w:ascii="宋体" w:hAnsi="宋体" w:cs="宋体"/>
        </w:rPr>
        <w:t>和退付（详见“投标人须知前附表”）。</w:t>
      </w:r>
    </w:p>
    <w:p>
      <w:pPr>
        <w:pStyle w:val="2"/>
        <w:kinsoku w:val="0"/>
        <w:overflowPunct w:val="0"/>
        <w:spacing w:before="151"/>
        <w:rPr>
          <w:rFonts w:ascii="宋体" w:hAnsi="宋体" w:cs="宋体"/>
        </w:rPr>
      </w:pPr>
      <w:r>
        <w:rPr>
          <w:rFonts w:hint="eastAsia" w:ascii="宋体" w:hAnsi="宋体" w:cs="宋体"/>
          <w:b/>
          <w:bCs/>
        </w:rPr>
        <w:t>11.投标文件的印制和签署</w:t>
      </w:r>
    </w:p>
    <w:p>
      <w:pPr>
        <w:pStyle w:val="2"/>
        <w:kinsoku w:val="0"/>
        <w:overflowPunct w:val="0"/>
        <w:spacing w:line="355" w:lineRule="auto"/>
        <w:ind w:right="234" w:firstLine="480"/>
        <w:rPr>
          <w:rFonts w:ascii="宋体" w:hAnsi="宋体" w:cs="宋体"/>
        </w:rPr>
      </w:pPr>
      <w:r>
        <w:rPr>
          <w:rFonts w:hint="eastAsia" w:ascii="宋体" w:hAnsi="宋体" w:cs="宋体"/>
        </w:rPr>
        <w:t>11.1</w:t>
      </w:r>
      <w:r>
        <w:rPr>
          <w:rFonts w:hint="eastAsia" w:ascii="宋体" w:hAnsi="宋体" w:cs="宋体"/>
          <w:spacing w:val="-60"/>
        </w:rPr>
        <w:t xml:space="preserve"> </w:t>
      </w:r>
      <w:r>
        <w:rPr>
          <w:rFonts w:hint="eastAsia" w:ascii="宋体" w:hAnsi="宋体" w:cs="宋体"/>
        </w:rPr>
        <w:t>投标人应</w:t>
      </w:r>
      <w:r>
        <w:rPr>
          <w:rFonts w:hint="eastAsia" w:ascii="宋体" w:hAnsi="宋体" w:cs="宋体"/>
          <w:spacing w:val="-27"/>
        </w:rPr>
        <w:t>按</w:t>
      </w:r>
      <w:r>
        <w:rPr>
          <w:rFonts w:hint="eastAsia" w:ascii="宋体" w:hAnsi="宋体" w:cs="宋体"/>
        </w:rPr>
        <w:t>“投标人须知前附表</w:t>
      </w:r>
      <w:r>
        <w:rPr>
          <w:rFonts w:hint="eastAsia" w:ascii="宋体" w:hAnsi="宋体" w:cs="宋体"/>
          <w:spacing w:val="-27"/>
        </w:rPr>
        <w:t>”</w:t>
      </w:r>
      <w:r>
        <w:rPr>
          <w:rFonts w:hint="eastAsia" w:ascii="宋体" w:hAnsi="宋体" w:cs="宋体"/>
        </w:rPr>
        <w:t>规定的份数提</w:t>
      </w:r>
      <w:r>
        <w:rPr>
          <w:rFonts w:hint="eastAsia" w:ascii="宋体" w:hAnsi="宋体" w:cs="宋体"/>
          <w:spacing w:val="-29"/>
        </w:rPr>
        <w:t>交</w:t>
      </w:r>
      <w:r>
        <w:rPr>
          <w:rFonts w:hint="eastAsia" w:ascii="宋体" w:hAnsi="宋体" w:cs="宋体"/>
        </w:rPr>
        <w:t>《投标文</w:t>
      </w:r>
      <w:r>
        <w:rPr>
          <w:rFonts w:hint="eastAsia" w:ascii="宋体" w:hAnsi="宋体" w:cs="宋体"/>
          <w:spacing w:val="2"/>
        </w:rPr>
        <w:t>件</w:t>
      </w:r>
      <w:r>
        <w:rPr>
          <w:rFonts w:hint="eastAsia" w:ascii="宋体" w:hAnsi="宋体" w:cs="宋体"/>
          <w:spacing w:val="-29"/>
        </w:rPr>
        <w:t>》</w:t>
      </w:r>
      <w:r>
        <w:rPr>
          <w:rFonts w:hint="eastAsia" w:ascii="宋体" w:hAnsi="宋体" w:cs="宋体"/>
        </w:rPr>
        <w:t>一正四副</w:t>
      </w:r>
      <w:r>
        <w:rPr>
          <w:rFonts w:hint="eastAsia" w:ascii="宋体" w:hAnsi="宋体" w:cs="宋体"/>
          <w:spacing w:val="-2"/>
        </w:rPr>
        <w:t>，</w:t>
      </w:r>
      <w:r>
        <w:rPr>
          <w:rFonts w:hint="eastAsia" w:ascii="宋体" w:hAnsi="宋体" w:cs="宋体"/>
        </w:rPr>
        <w:t>电子版（正本扫描件、PDF格式）一份。</w:t>
      </w:r>
    </w:p>
    <w:p>
      <w:pPr>
        <w:pStyle w:val="2"/>
        <w:kinsoku w:val="0"/>
        <w:overflowPunct w:val="0"/>
        <w:spacing w:before="38" w:line="356" w:lineRule="auto"/>
        <w:ind w:right="238" w:firstLine="480"/>
        <w:rPr>
          <w:rFonts w:ascii="宋体" w:hAnsi="宋体" w:cs="宋体"/>
        </w:rPr>
      </w:pPr>
      <w:r>
        <w:rPr>
          <w:rFonts w:hint="eastAsia" w:ascii="宋体" w:hAnsi="宋体" w:cs="宋体"/>
        </w:rPr>
        <w:t>11.2 《投标文件》的正本和副本均需打印或使用不褪色墨水笔书写，字迹</w:t>
      </w:r>
      <w:r>
        <w:rPr>
          <w:rFonts w:hint="eastAsia" w:ascii="宋体" w:hAnsi="宋体" w:cs="宋体"/>
          <w:spacing w:val="-2"/>
        </w:rPr>
        <w:t>应清晰易于辨认，并应在《投标文件》封面的右上角清楚地注明“正本”或“副</w:t>
      </w:r>
      <w:r>
        <w:rPr>
          <w:rFonts w:hint="eastAsia" w:ascii="宋体" w:hAnsi="宋体" w:cs="宋体"/>
        </w:rPr>
        <w:t>本”。正本和副本如有不一致之处，以正本为准。</w:t>
      </w:r>
    </w:p>
    <w:p>
      <w:pPr>
        <w:pStyle w:val="2"/>
        <w:kinsoku w:val="0"/>
        <w:overflowPunct w:val="0"/>
        <w:spacing w:before="37" w:line="355" w:lineRule="auto"/>
        <w:ind w:right="238" w:firstLine="480"/>
        <w:rPr>
          <w:rFonts w:ascii="宋体" w:hAnsi="宋体" w:cs="宋体"/>
        </w:rPr>
      </w:pPr>
      <w:r>
        <w:rPr>
          <w:rFonts w:hint="eastAsia" w:ascii="宋体" w:hAnsi="宋体" w:cs="宋体"/>
        </w:rPr>
        <w:t>11.3 《投标文件》的正本和副本均应在签字盖章处加盖投标单位公章，并</w:t>
      </w:r>
      <w:r>
        <w:rPr>
          <w:rFonts w:hint="eastAsia" w:ascii="宋体" w:hAnsi="宋体" w:cs="宋体"/>
          <w:spacing w:val="-2"/>
        </w:rPr>
        <w:t>经法定代表人或被授权人签字或盖章的《投标文件》，《投标文件》中</w:t>
      </w:r>
      <w:r>
        <w:rPr>
          <w:rFonts w:hint="eastAsia" w:ascii="宋体" w:hAnsi="宋体" w:cs="宋体"/>
        </w:rPr>
        <w:t>须同时提交“委托授权书”。</w:t>
      </w:r>
    </w:p>
    <w:p>
      <w:pPr>
        <w:pStyle w:val="2"/>
        <w:kinsoku w:val="0"/>
        <w:overflowPunct w:val="0"/>
        <w:spacing w:before="38" w:line="357" w:lineRule="auto"/>
        <w:ind w:right="238" w:firstLine="480"/>
        <w:rPr>
          <w:rFonts w:ascii="宋体" w:hAnsi="宋体" w:cs="宋体"/>
        </w:rPr>
      </w:pPr>
      <w:r>
        <w:rPr>
          <w:rFonts w:hint="eastAsia" w:ascii="宋体" w:hAnsi="宋体" w:cs="宋体"/>
        </w:rPr>
        <w:t>11.4 除投标人对错误处须修改外，全套《投标文件》应无涂改或行间插字</w:t>
      </w:r>
      <w:r>
        <w:rPr>
          <w:rFonts w:hint="eastAsia" w:ascii="宋体" w:hAnsi="宋体" w:cs="宋体"/>
          <w:spacing w:val="-2"/>
        </w:rPr>
        <w:t>和增删。如有修改，修改处应由投标人加盖投标单位的印章或由《投标文件》签</w:t>
      </w:r>
      <w:r>
        <w:rPr>
          <w:rFonts w:hint="eastAsia" w:ascii="宋体" w:hAnsi="宋体" w:cs="宋体"/>
        </w:rPr>
        <w:t>字人签字或盖章</w:t>
      </w:r>
      <w:r>
        <w:rPr>
          <w:rFonts w:hint="eastAsia" w:ascii="宋体" w:hAnsi="宋体" w:cs="宋体"/>
          <w:spacing w:val="-27"/>
        </w:rPr>
        <w:t>。</w:t>
      </w:r>
      <w:r>
        <w:rPr>
          <w:rFonts w:hint="eastAsia" w:ascii="宋体" w:hAnsi="宋体" w:cs="宋体"/>
        </w:rPr>
        <w:t>字迹潦草</w:t>
      </w:r>
      <w:r>
        <w:rPr>
          <w:rFonts w:hint="eastAsia" w:ascii="宋体" w:hAnsi="宋体" w:cs="宋体"/>
          <w:spacing w:val="-24"/>
        </w:rPr>
        <w:t>、</w:t>
      </w:r>
      <w:r>
        <w:rPr>
          <w:rFonts w:hint="eastAsia" w:ascii="宋体" w:hAnsi="宋体" w:cs="宋体"/>
        </w:rPr>
        <w:t>表达不清或可能导致非唯一理解的投标文件可能视为无效投标。</w:t>
      </w:r>
    </w:p>
    <w:p>
      <w:pPr>
        <w:pStyle w:val="2"/>
        <w:kinsoku w:val="0"/>
        <w:overflowPunct w:val="0"/>
        <w:spacing w:before="34" w:line="357" w:lineRule="auto"/>
        <w:ind w:right="306" w:firstLine="480"/>
        <w:rPr>
          <w:rFonts w:ascii="宋体" w:hAnsi="宋体" w:cs="宋体"/>
        </w:rPr>
      </w:pPr>
      <w:r>
        <w:rPr>
          <w:rFonts w:hint="eastAsia" w:ascii="宋体" w:hAnsi="宋体" w:cs="宋体"/>
        </w:rPr>
        <w:t>11.5 《投标文件》的印制应采用70克以上的复印纸打印，采用胶装方式装订，即不可抽取调换内页的书式平装方式，无脱落无散页，有目录、有页码。</w:t>
      </w:r>
    </w:p>
    <w:p>
      <w:pPr>
        <w:pStyle w:val="2"/>
        <w:kinsoku w:val="0"/>
        <w:overflowPunct w:val="0"/>
        <w:spacing w:before="34" w:line="357" w:lineRule="auto"/>
        <w:ind w:right="306" w:firstLine="480"/>
        <w:rPr>
          <w:rFonts w:ascii="宋体" w:hAnsi="宋体" w:cs="宋体"/>
        </w:rPr>
      </w:pPr>
      <w:r>
        <w:rPr>
          <w:rFonts w:hint="eastAsia" w:ascii="宋体" w:hAnsi="宋体" w:cs="宋体"/>
        </w:rPr>
        <w:t>11.6 《投标文件》应根据《招标文件》的要求签署、盖章及密封，内容应完整详细，如有遗漏，将被视为无效投标。</w:t>
      </w:r>
    </w:p>
    <w:p>
      <w:pPr>
        <w:pStyle w:val="4"/>
        <w:rPr>
          <w:rFonts w:ascii="宋体" w:hAnsi="宋体" w:cs="宋体"/>
        </w:rPr>
      </w:pPr>
      <w:bookmarkStart w:id="49" w:name="_Toc32099"/>
      <w:bookmarkStart w:id="50" w:name="_Toc21152"/>
      <w:bookmarkStart w:id="51" w:name="_Toc31041"/>
      <w:r>
        <w:rPr>
          <w:rFonts w:hint="eastAsia" w:ascii="宋体" w:hAnsi="宋体" w:cs="宋体"/>
        </w:rPr>
        <w:t>（四）投标文件的提交及相关事项</w:t>
      </w:r>
      <w:bookmarkEnd w:id="49"/>
      <w:bookmarkEnd w:id="50"/>
      <w:bookmarkEnd w:id="51"/>
    </w:p>
    <w:p>
      <w:pPr>
        <w:pStyle w:val="2"/>
        <w:kinsoku w:val="0"/>
        <w:overflowPunct w:val="0"/>
        <w:spacing w:before="151"/>
        <w:rPr>
          <w:rFonts w:ascii="宋体" w:hAnsi="宋体" w:cs="宋体"/>
          <w:b/>
          <w:bCs/>
        </w:rPr>
      </w:pPr>
      <w:r>
        <w:rPr>
          <w:rFonts w:hint="eastAsia" w:ascii="宋体" w:hAnsi="宋体" w:cs="宋体"/>
          <w:b/>
          <w:bCs/>
        </w:rPr>
        <w:t>1.投标文件的密封和标记</w:t>
      </w:r>
    </w:p>
    <w:p>
      <w:pPr>
        <w:pStyle w:val="2"/>
        <w:kinsoku w:val="0"/>
        <w:overflowPunct w:val="0"/>
        <w:spacing w:before="34" w:line="357" w:lineRule="auto"/>
        <w:ind w:right="306" w:firstLine="480"/>
        <w:rPr>
          <w:rFonts w:ascii="宋体" w:hAnsi="宋体" w:cs="宋体"/>
        </w:rPr>
      </w:pPr>
      <w:r>
        <w:rPr>
          <w:rFonts w:hint="eastAsia" w:ascii="宋体" w:hAnsi="宋体" w:cs="宋体"/>
        </w:rPr>
        <w:t>1.1投标文件正本与副本应分别密封，并加贴“密封”字样封条，在封套的封口处应加盖单位公章。投标人未按此要求采用其他包装的，将造成投标文件被拒收。</w:t>
      </w:r>
    </w:p>
    <w:p>
      <w:pPr>
        <w:pStyle w:val="2"/>
        <w:kinsoku w:val="0"/>
        <w:overflowPunct w:val="0"/>
        <w:spacing w:before="34" w:line="357" w:lineRule="auto"/>
        <w:ind w:right="306" w:firstLine="480"/>
        <w:rPr>
          <w:rFonts w:ascii="宋体" w:hAnsi="宋体" w:cs="宋体"/>
        </w:rPr>
      </w:pPr>
      <w:r>
        <w:rPr>
          <w:rFonts w:hint="eastAsia" w:ascii="宋体" w:hAnsi="宋体" w:cs="宋体"/>
        </w:rPr>
        <w:t>1.2在封套上注明项目名称、项目编号及“在</w:t>
      </w:r>
      <w:r>
        <w:rPr>
          <w:rFonts w:hint="eastAsia" w:ascii="宋体" w:hAnsi="宋体" w:cs="宋体"/>
          <w:u w:val="single"/>
        </w:rPr>
        <w:tab/>
      </w:r>
      <w:r>
        <w:rPr>
          <w:rFonts w:hint="eastAsia" w:ascii="宋体" w:hAnsi="宋体" w:cs="宋体"/>
        </w:rPr>
        <w:t>年</w:t>
      </w:r>
      <w:r>
        <w:rPr>
          <w:rFonts w:hint="eastAsia" w:ascii="宋体" w:hAnsi="宋体" w:cs="宋体"/>
          <w:u w:val="single"/>
        </w:rPr>
        <w:tab/>
      </w:r>
      <w:r>
        <w:rPr>
          <w:rFonts w:hint="eastAsia" w:ascii="宋体" w:hAnsi="宋体" w:cs="宋体"/>
        </w:rPr>
        <w:t>月</w:t>
      </w:r>
      <w:r>
        <w:rPr>
          <w:rFonts w:hint="eastAsia" w:ascii="宋体" w:hAnsi="宋体" w:cs="宋体"/>
          <w:u w:val="single"/>
        </w:rPr>
        <w:tab/>
      </w:r>
      <w:r>
        <w:rPr>
          <w:rFonts w:hint="eastAsia" w:ascii="宋体" w:hAnsi="宋体" w:cs="宋体"/>
        </w:rPr>
        <w:t>日</w:t>
      </w:r>
      <w:r>
        <w:rPr>
          <w:rFonts w:hint="eastAsia" w:ascii="宋体" w:hAnsi="宋体" w:cs="宋体"/>
          <w:u w:val="single"/>
        </w:rPr>
        <w:tab/>
      </w:r>
      <w:r>
        <w:rPr>
          <w:rFonts w:hint="eastAsia" w:ascii="宋体" w:hAnsi="宋体" w:cs="宋体"/>
        </w:rPr>
        <w:t>时</w:t>
      </w:r>
      <w:r>
        <w:rPr>
          <w:rFonts w:hint="eastAsia" w:ascii="宋体" w:hAnsi="宋体" w:cs="宋体"/>
          <w:u w:val="single"/>
        </w:rPr>
        <w:tab/>
      </w:r>
      <w:r>
        <w:rPr>
          <w:rFonts w:hint="eastAsia" w:ascii="宋体" w:hAnsi="宋体" w:cs="宋体"/>
        </w:rPr>
        <w:t>分之前不得启封”字样。</w:t>
      </w:r>
    </w:p>
    <w:p>
      <w:pPr>
        <w:pStyle w:val="2"/>
        <w:kinsoku w:val="0"/>
        <w:overflowPunct w:val="0"/>
        <w:spacing w:before="34" w:line="357" w:lineRule="auto"/>
        <w:ind w:right="306" w:firstLine="480"/>
        <w:rPr>
          <w:rFonts w:ascii="宋体" w:hAnsi="宋体" w:cs="宋体"/>
        </w:rPr>
      </w:pPr>
      <w:r>
        <w:rPr>
          <w:rFonts w:hint="eastAsia" w:ascii="宋体" w:hAnsi="宋体" w:cs="宋体"/>
        </w:rPr>
        <w:t>1.3未按本章第1.1项或1.2项密封和加写标记的投标文件, 造成投标文件被拒收的不利后果由投标人自行承担。</w:t>
      </w:r>
    </w:p>
    <w:p>
      <w:pPr>
        <w:pStyle w:val="2"/>
        <w:kinsoku w:val="0"/>
        <w:overflowPunct w:val="0"/>
        <w:spacing w:before="34" w:line="357" w:lineRule="auto"/>
        <w:ind w:right="306" w:firstLine="480"/>
        <w:rPr>
          <w:rFonts w:ascii="宋体" w:hAnsi="宋体" w:cs="宋体"/>
        </w:rPr>
      </w:pPr>
      <w:r>
        <w:rPr>
          <w:rFonts w:hint="eastAsia" w:ascii="宋体" w:hAnsi="宋体" w:cs="宋体"/>
        </w:rPr>
        <w:t>1.4投标人必须将“电子版U盘”与“正本”共同密封提交，并在封面上注明项目名称、项目编号、投标单位名称（并加盖公章）及“在</w:t>
      </w:r>
      <w:r>
        <w:rPr>
          <w:rFonts w:hint="eastAsia" w:ascii="宋体" w:hAnsi="宋体" w:cs="宋体"/>
          <w:u w:val="single"/>
        </w:rPr>
        <w:tab/>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ab/>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ab/>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ab/>
      </w:r>
      <w:r>
        <w:rPr>
          <w:rFonts w:hint="eastAsia" w:ascii="宋体" w:hAnsi="宋体" w:cs="宋体"/>
          <w:u w:val="single"/>
        </w:rPr>
        <w:t xml:space="preserve">  </w:t>
      </w:r>
      <w:r>
        <w:rPr>
          <w:rFonts w:hint="eastAsia" w:ascii="宋体" w:hAnsi="宋体" w:cs="宋体"/>
        </w:rPr>
        <w:t>分之前不得启封”字样。密封后粘贴密封条。</w:t>
      </w:r>
    </w:p>
    <w:p>
      <w:pPr>
        <w:pStyle w:val="2"/>
        <w:kinsoku w:val="0"/>
        <w:overflowPunct w:val="0"/>
        <w:spacing w:before="34" w:line="357" w:lineRule="auto"/>
        <w:ind w:right="306" w:firstLine="480"/>
        <w:rPr>
          <w:rFonts w:ascii="宋体" w:hAnsi="宋体" w:cs="宋体"/>
        </w:rPr>
      </w:pPr>
      <w:r>
        <w:rPr>
          <w:rFonts w:hint="eastAsia" w:ascii="宋体" w:hAnsi="宋体" w:cs="宋体"/>
        </w:rPr>
        <w:t>1.5 如果封口处未按要求密封和加写标记，招标代理机构对误投或过早启封概不负责。</w:t>
      </w:r>
    </w:p>
    <w:p>
      <w:pPr>
        <w:pStyle w:val="2"/>
        <w:kinsoku w:val="0"/>
        <w:overflowPunct w:val="0"/>
        <w:spacing w:before="151"/>
        <w:rPr>
          <w:rFonts w:ascii="宋体" w:hAnsi="宋体" w:cs="宋体"/>
          <w:b/>
          <w:bCs/>
        </w:rPr>
      </w:pPr>
      <w:r>
        <w:rPr>
          <w:rFonts w:hint="eastAsia" w:ascii="宋体" w:hAnsi="宋体" w:cs="宋体"/>
          <w:b/>
          <w:bCs/>
        </w:rPr>
        <w:t>2.投标文件的提交</w:t>
      </w:r>
    </w:p>
    <w:p>
      <w:pPr>
        <w:pStyle w:val="2"/>
        <w:kinsoku w:val="0"/>
        <w:overflowPunct w:val="0"/>
        <w:spacing w:before="34" w:line="357" w:lineRule="auto"/>
        <w:ind w:right="306" w:firstLine="480"/>
        <w:rPr>
          <w:rFonts w:ascii="宋体" w:hAnsi="宋体" w:cs="宋体"/>
        </w:rPr>
      </w:pPr>
      <w:r>
        <w:rPr>
          <w:rFonts w:hint="eastAsia" w:ascii="宋体" w:hAnsi="宋体" w:cs="宋体"/>
        </w:rPr>
        <w:t>2.1 投标人应按本须知前附表所规定的地点，于递交截止时间前提交投标文 件。</w:t>
      </w:r>
    </w:p>
    <w:p>
      <w:pPr>
        <w:pStyle w:val="2"/>
        <w:kinsoku w:val="0"/>
        <w:overflowPunct w:val="0"/>
        <w:spacing w:before="34" w:line="357" w:lineRule="auto"/>
        <w:ind w:right="306" w:firstLine="480"/>
        <w:rPr>
          <w:rFonts w:ascii="宋体" w:hAnsi="宋体" w:cs="宋体"/>
        </w:rPr>
      </w:pPr>
      <w:r>
        <w:rPr>
          <w:rFonts w:hint="eastAsia" w:ascii="宋体" w:hAnsi="宋体" w:cs="宋体"/>
        </w:rPr>
        <w:t>2.2 投标截止时间为《招标文件》“投标人须知前附表”中规定时间，逾期送达的、未按招标文件要求密封的《投标文件》招标代理机构和采购人概不接受。</w:t>
      </w:r>
    </w:p>
    <w:p>
      <w:pPr>
        <w:pStyle w:val="2"/>
        <w:kinsoku w:val="0"/>
        <w:overflowPunct w:val="0"/>
        <w:spacing w:before="34" w:line="357" w:lineRule="auto"/>
        <w:ind w:right="306" w:firstLine="480"/>
        <w:rPr>
          <w:rFonts w:ascii="宋体" w:hAnsi="宋体" w:cs="宋体"/>
        </w:rPr>
      </w:pPr>
      <w:r>
        <w:rPr>
          <w:rFonts w:hint="eastAsia" w:ascii="宋体" w:hAnsi="宋体" w:cs="宋体"/>
        </w:rPr>
        <w:t>2.3 采购人可按本须知规定以修改补充通知的方式，酌情延长提交投标文件 的截止时间。在此情况下，投标人的所有权利和义务以及投标人受制约的截止时间，均以延长后新的投标截止时间为准。</w:t>
      </w:r>
    </w:p>
    <w:p>
      <w:pPr>
        <w:pStyle w:val="2"/>
        <w:kinsoku w:val="0"/>
        <w:overflowPunct w:val="0"/>
        <w:spacing w:before="34" w:line="357" w:lineRule="auto"/>
        <w:ind w:right="126" w:firstLine="480"/>
        <w:rPr>
          <w:rFonts w:ascii="宋体" w:hAnsi="宋体" w:cs="宋体"/>
        </w:rPr>
      </w:pPr>
      <w:r>
        <w:rPr>
          <w:rFonts w:hint="eastAsia" w:ascii="宋体" w:hAnsi="宋体" w:cs="宋体"/>
        </w:rPr>
        <w:t>2.4 到投标截止时间止，采购人收到的投标文件少于</w:t>
      </w:r>
      <w:r>
        <w:rPr>
          <w:rFonts w:hint="eastAsia" w:ascii="宋体" w:hAnsi="宋体" w:cs="宋体"/>
          <w:spacing w:val="4"/>
        </w:rPr>
        <w:t>《政府采购货物和服务招标投标管理办法》、《政府购买服务管理办法（暂行）》、《政府采购招标采购方式管理暂行办法》、《财政部关于政府采购招标采购方式管理暂行办法有关问题的补充通知》及相关法规</w:t>
      </w:r>
      <w:r>
        <w:rPr>
          <w:rFonts w:hint="eastAsia" w:ascii="宋体" w:hAnsi="宋体" w:cs="宋体"/>
        </w:rPr>
        <w:t>规定的家数，采购人将依法重新组织招标。</w:t>
      </w:r>
    </w:p>
    <w:p>
      <w:pPr>
        <w:pStyle w:val="2"/>
        <w:kinsoku w:val="0"/>
        <w:overflowPunct w:val="0"/>
        <w:spacing w:before="34" w:line="357" w:lineRule="auto"/>
        <w:ind w:right="306" w:firstLine="480"/>
        <w:rPr>
          <w:rFonts w:ascii="宋体" w:hAnsi="宋体" w:cs="宋体"/>
        </w:rPr>
      </w:pPr>
      <w:r>
        <w:rPr>
          <w:rFonts w:hint="eastAsia" w:ascii="宋体" w:hAnsi="宋体" w:cs="宋体"/>
        </w:rPr>
        <w:t>2.5 本次招标不接受邮寄的投标文件。</w:t>
      </w:r>
    </w:p>
    <w:p>
      <w:pPr>
        <w:pStyle w:val="2"/>
        <w:kinsoku w:val="0"/>
        <w:overflowPunct w:val="0"/>
        <w:spacing w:before="151"/>
        <w:rPr>
          <w:rFonts w:ascii="宋体" w:hAnsi="宋体" w:cs="宋体"/>
          <w:b/>
          <w:bCs/>
        </w:rPr>
      </w:pPr>
      <w:r>
        <w:rPr>
          <w:rFonts w:hint="eastAsia" w:ascii="宋体" w:hAnsi="宋体" w:cs="宋体"/>
          <w:b/>
          <w:bCs/>
        </w:rPr>
        <w:t xml:space="preserve">3.投标截止时间 </w:t>
      </w:r>
    </w:p>
    <w:p>
      <w:pPr>
        <w:pStyle w:val="2"/>
        <w:kinsoku w:val="0"/>
        <w:overflowPunct w:val="0"/>
        <w:spacing w:before="34" w:line="357" w:lineRule="auto"/>
        <w:ind w:right="306" w:firstLine="480"/>
        <w:rPr>
          <w:rFonts w:ascii="宋体" w:hAnsi="宋体" w:cs="宋体"/>
        </w:rPr>
      </w:pPr>
      <w:r>
        <w:rPr>
          <w:rFonts w:hint="eastAsia" w:ascii="宋体" w:hAnsi="宋体" w:cs="宋体"/>
        </w:rPr>
        <w:t>投标截止时间为“投标人须知前附表”中规定时间。</w:t>
      </w:r>
    </w:p>
    <w:p>
      <w:pPr>
        <w:pStyle w:val="2"/>
        <w:kinsoku w:val="0"/>
        <w:overflowPunct w:val="0"/>
        <w:spacing w:before="34" w:line="357" w:lineRule="auto"/>
        <w:ind w:left="598" w:right="101" w:hanging="480"/>
        <w:rPr>
          <w:rFonts w:ascii="宋体" w:hAnsi="宋体" w:cs="宋体"/>
          <w:b/>
          <w:bCs/>
          <w:spacing w:val="27"/>
          <w:w w:val="99"/>
        </w:rPr>
      </w:pPr>
      <w:r>
        <w:rPr>
          <w:rFonts w:hint="eastAsia" w:ascii="宋体" w:hAnsi="宋体" w:cs="宋体"/>
          <w:b/>
          <w:bCs/>
        </w:rPr>
        <w:t>4.迟交的投标文件</w:t>
      </w:r>
      <w:r>
        <w:rPr>
          <w:rFonts w:hint="eastAsia" w:ascii="宋体" w:hAnsi="宋体" w:cs="宋体"/>
          <w:b/>
          <w:bCs/>
          <w:spacing w:val="27"/>
          <w:w w:val="99"/>
        </w:rPr>
        <w:t xml:space="preserve"> </w:t>
      </w:r>
    </w:p>
    <w:p>
      <w:pPr>
        <w:pStyle w:val="2"/>
        <w:kinsoku w:val="0"/>
        <w:overflowPunct w:val="0"/>
        <w:spacing w:before="34" w:line="357" w:lineRule="auto"/>
        <w:ind w:right="306" w:firstLine="480"/>
        <w:rPr>
          <w:rFonts w:ascii="宋体" w:hAnsi="宋体" w:cs="宋体"/>
        </w:rPr>
      </w:pPr>
      <w:r>
        <w:rPr>
          <w:rFonts w:hint="eastAsia" w:ascii="宋体" w:hAnsi="宋体" w:cs="宋体"/>
        </w:rPr>
        <w:t>采购人将拒绝并退回在其规定的截止时间后收到的任何投标文件。</w:t>
      </w:r>
    </w:p>
    <w:p>
      <w:pPr>
        <w:pStyle w:val="2"/>
        <w:kinsoku w:val="0"/>
        <w:overflowPunct w:val="0"/>
        <w:spacing w:before="34" w:line="357" w:lineRule="auto"/>
        <w:ind w:left="598" w:right="101" w:hanging="480"/>
        <w:rPr>
          <w:rFonts w:ascii="宋体" w:hAnsi="宋体" w:cs="宋体"/>
          <w:b/>
          <w:bCs/>
        </w:rPr>
      </w:pPr>
      <w:r>
        <w:rPr>
          <w:rFonts w:hint="eastAsia" w:ascii="宋体" w:hAnsi="宋体" w:cs="宋体"/>
          <w:b/>
          <w:bCs/>
        </w:rPr>
        <w:t>5.投标文件的补充、修改与撤回</w:t>
      </w:r>
    </w:p>
    <w:p>
      <w:pPr>
        <w:pStyle w:val="2"/>
        <w:kinsoku w:val="0"/>
        <w:overflowPunct w:val="0"/>
        <w:spacing w:before="34" w:line="357" w:lineRule="auto"/>
        <w:ind w:right="306" w:firstLine="480"/>
        <w:rPr>
          <w:rFonts w:ascii="宋体" w:hAnsi="宋体" w:cs="宋体"/>
        </w:rPr>
      </w:pPr>
      <w:r>
        <w:rPr>
          <w:rFonts w:hint="eastAsia" w:ascii="宋体" w:hAnsi="宋体" w:cs="宋体"/>
        </w:rPr>
        <w:t>5.1 投标人在提交投标文件以后，在规定的投标截止时间之前，可以书面形式补充修改或撤回已提交的投标文件，并以书面形式通知采购人。补充、修改的内容为投标文件的组成部分。</w:t>
      </w:r>
    </w:p>
    <w:p>
      <w:pPr>
        <w:pStyle w:val="2"/>
        <w:kinsoku w:val="0"/>
        <w:overflowPunct w:val="0"/>
        <w:spacing w:before="34" w:line="357" w:lineRule="auto"/>
        <w:ind w:right="306" w:firstLine="480"/>
        <w:rPr>
          <w:rFonts w:ascii="宋体" w:hAnsi="宋体" w:cs="宋体"/>
        </w:rPr>
      </w:pPr>
      <w:r>
        <w:rPr>
          <w:rFonts w:hint="eastAsia" w:ascii="宋体" w:hAnsi="宋体" w:cs="宋体"/>
        </w:rPr>
        <w:t>5.2 投标人对投标文件的补充、修改，应按本须知有关规定密封、标记和提交，并在内外层投标文件密封袋上清楚标明“补充、修改”或“撤回”字样。</w:t>
      </w:r>
    </w:p>
    <w:p>
      <w:pPr>
        <w:pStyle w:val="2"/>
        <w:kinsoku w:val="0"/>
        <w:overflowPunct w:val="0"/>
        <w:spacing w:before="34" w:line="357" w:lineRule="auto"/>
        <w:ind w:right="306" w:firstLine="480"/>
        <w:rPr>
          <w:rFonts w:ascii="宋体" w:hAnsi="宋体" w:cs="宋体"/>
        </w:rPr>
      </w:pPr>
      <w:r>
        <w:rPr>
          <w:rFonts w:hint="eastAsia" w:ascii="宋体" w:hAnsi="宋体" w:cs="宋体"/>
        </w:rPr>
        <w:t>5.3 在投标截止时间之后，投标人不得补充、修改投标文件。</w:t>
      </w:r>
    </w:p>
    <w:p>
      <w:pPr>
        <w:pStyle w:val="2"/>
        <w:kinsoku w:val="0"/>
        <w:overflowPunct w:val="0"/>
        <w:spacing w:before="34" w:line="357" w:lineRule="auto"/>
        <w:ind w:right="306" w:firstLine="480"/>
        <w:rPr>
          <w:rFonts w:ascii="宋体" w:hAnsi="宋体" w:cs="宋体"/>
        </w:rPr>
      </w:pPr>
      <w:r>
        <w:rPr>
          <w:rFonts w:hint="eastAsia" w:ascii="宋体" w:hAnsi="宋体" w:cs="宋体"/>
        </w:rPr>
        <w:t>5.4 在投标截止时间至投标有效期满之前，投标人不得撤回其投标文件，否则其投标保证金将被没收。</w:t>
      </w:r>
    </w:p>
    <w:p>
      <w:pPr>
        <w:pStyle w:val="4"/>
        <w:rPr>
          <w:rFonts w:ascii="宋体" w:hAnsi="宋体" w:cs="宋体"/>
        </w:rPr>
      </w:pPr>
      <w:bookmarkStart w:id="52" w:name="_Toc1690"/>
      <w:bookmarkStart w:id="53" w:name="_Toc21552"/>
      <w:bookmarkStart w:id="54" w:name="_Toc30259"/>
      <w:r>
        <w:rPr>
          <w:rFonts w:hint="eastAsia" w:ascii="宋体" w:hAnsi="宋体" w:cs="宋体"/>
        </w:rPr>
        <w:t>（五）</w:t>
      </w:r>
      <w:bookmarkEnd w:id="52"/>
      <w:r>
        <w:rPr>
          <w:rFonts w:hint="eastAsia" w:ascii="宋体" w:hAnsi="宋体" w:cs="宋体"/>
        </w:rPr>
        <w:t>招标</w:t>
      </w:r>
      <w:bookmarkEnd w:id="53"/>
      <w:bookmarkEnd w:id="54"/>
    </w:p>
    <w:p>
      <w:pPr>
        <w:pStyle w:val="2"/>
        <w:kinsoku w:val="0"/>
        <w:overflowPunct w:val="0"/>
        <w:spacing w:before="35"/>
        <w:rPr>
          <w:rFonts w:ascii="宋体" w:hAnsi="宋体" w:cs="宋体"/>
          <w:b/>
          <w:bCs/>
          <w:spacing w:val="1"/>
        </w:rPr>
      </w:pPr>
      <w:r>
        <w:rPr>
          <w:rFonts w:hint="eastAsia" w:ascii="宋体" w:hAnsi="宋体" w:cs="宋体"/>
          <w:b/>
          <w:bCs/>
          <w:spacing w:val="1"/>
        </w:rPr>
        <w:t>1.评标委员会</w:t>
      </w:r>
    </w:p>
    <w:p>
      <w:pPr>
        <w:pStyle w:val="2"/>
        <w:tabs>
          <w:tab w:val="left" w:pos="1080"/>
        </w:tabs>
        <w:kinsoku w:val="0"/>
        <w:overflowPunct w:val="0"/>
        <w:spacing w:before="26" w:line="355" w:lineRule="auto"/>
        <w:ind w:right="234" w:firstLine="480"/>
        <w:rPr>
          <w:rFonts w:ascii="宋体" w:hAnsi="宋体" w:cs="宋体"/>
        </w:rPr>
      </w:pPr>
      <w:r>
        <w:rPr>
          <w:rFonts w:hint="eastAsia" w:ascii="宋体" w:hAnsi="宋体" w:cs="宋体"/>
        </w:rPr>
        <w:t>1.1</w:t>
      </w:r>
      <w:r>
        <w:rPr>
          <w:rFonts w:hint="eastAsia" w:ascii="宋体" w:hAnsi="宋体" w:cs="宋体"/>
        </w:rPr>
        <w:tab/>
      </w:r>
      <w:r>
        <w:rPr>
          <w:rFonts w:hint="eastAsia" w:ascii="宋体" w:hAnsi="宋体" w:cs="宋体"/>
          <w:spacing w:val="1"/>
        </w:rPr>
        <w:t>评标由采购人依法组建的评标委员会负责。评标委员会由采购人熟悉相关业务</w:t>
      </w:r>
      <w:r>
        <w:rPr>
          <w:rFonts w:hint="eastAsia" w:ascii="宋体" w:hAnsi="宋体" w:cs="宋体"/>
        </w:rPr>
        <w:t>的代表，以及有关技术、经济等方面的专家五人的单数组成。</w:t>
      </w:r>
    </w:p>
    <w:p>
      <w:pPr>
        <w:pStyle w:val="2"/>
        <w:tabs>
          <w:tab w:val="left" w:pos="1438"/>
        </w:tabs>
        <w:kinsoku w:val="0"/>
        <w:overflowPunct w:val="0"/>
        <w:spacing w:before="36"/>
        <w:ind w:left="598"/>
        <w:rPr>
          <w:rFonts w:ascii="宋体" w:hAnsi="宋体" w:cs="宋体"/>
        </w:rPr>
      </w:pPr>
      <w:r>
        <w:rPr>
          <w:rFonts w:hint="eastAsia" w:ascii="宋体" w:hAnsi="宋体" w:cs="宋体"/>
        </w:rPr>
        <w:t>1.2 评标委员会成员有下列情形之一的，应当回避；</w:t>
      </w:r>
    </w:p>
    <w:p>
      <w:pPr>
        <w:pStyle w:val="2"/>
        <w:kinsoku w:val="0"/>
        <w:overflowPunct w:val="0"/>
        <w:ind w:left="598"/>
        <w:rPr>
          <w:rFonts w:ascii="宋体" w:hAnsi="宋体" w:cs="宋体"/>
        </w:rPr>
      </w:pPr>
      <w:r>
        <w:rPr>
          <w:rFonts w:hint="eastAsia" w:ascii="宋体" w:hAnsi="宋体" w:cs="宋体"/>
        </w:rPr>
        <w:t>（1）采购人或投标人的主要负责人的近亲属。</w:t>
      </w:r>
    </w:p>
    <w:p>
      <w:pPr>
        <w:pStyle w:val="2"/>
        <w:kinsoku w:val="0"/>
        <w:overflowPunct w:val="0"/>
        <w:ind w:left="598"/>
        <w:rPr>
          <w:rFonts w:ascii="宋体" w:hAnsi="宋体" w:cs="宋体"/>
        </w:rPr>
      </w:pPr>
      <w:r>
        <w:rPr>
          <w:rFonts w:hint="eastAsia" w:ascii="宋体" w:hAnsi="宋体" w:cs="宋体"/>
        </w:rPr>
        <w:t>（2）项目主管部门或者行政监督部门的人员。</w:t>
      </w:r>
    </w:p>
    <w:p>
      <w:pPr>
        <w:pStyle w:val="2"/>
        <w:kinsoku w:val="0"/>
        <w:overflowPunct w:val="0"/>
        <w:spacing w:before="151"/>
        <w:ind w:left="598"/>
        <w:rPr>
          <w:rFonts w:ascii="宋体" w:hAnsi="宋体" w:cs="宋体"/>
        </w:rPr>
      </w:pPr>
      <w:r>
        <w:rPr>
          <w:rFonts w:hint="eastAsia" w:ascii="宋体" w:hAnsi="宋体" w:cs="宋体"/>
        </w:rPr>
        <w:t>（3）与投标人有经济利益关系，可能影响对投标公正评审的。</w:t>
      </w:r>
    </w:p>
    <w:p>
      <w:pPr>
        <w:pStyle w:val="2"/>
        <w:kinsoku w:val="0"/>
        <w:overflowPunct w:val="0"/>
        <w:spacing w:line="355" w:lineRule="auto"/>
        <w:ind w:right="50" w:firstLine="480"/>
        <w:rPr>
          <w:rFonts w:ascii="宋体" w:hAnsi="宋体" w:cs="宋体"/>
        </w:rPr>
      </w:pPr>
      <w:r>
        <w:rPr>
          <w:rFonts w:hint="eastAsia" w:ascii="宋体" w:hAnsi="宋体" w:cs="宋体"/>
          <w:spacing w:val="1"/>
        </w:rPr>
        <w:t>（4）曾因在招标、评标以及其他与招标投标有关活动中从事违法行为而受过行政</w:t>
      </w:r>
      <w:r>
        <w:rPr>
          <w:rFonts w:hint="eastAsia" w:ascii="宋体" w:hAnsi="宋体" w:cs="宋体"/>
        </w:rPr>
        <w:t>处罚或刑事处罚的。</w:t>
      </w:r>
    </w:p>
    <w:p>
      <w:pPr>
        <w:pStyle w:val="2"/>
        <w:kinsoku w:val="0"/>
        <w:overflowPunct w:val="0"/>
        <w:spacing w:before="34" w:line="357" w:lineRule="auto"/>
        <w:ind w:right="306" w:firstLine="480"/>
        <w:rPr>
          <w:rFonts w:ascii="宋体" w:hAnsi="宋体" w:cs="宋体"/>
        </w:rPr>
      </w:pPr>
      <w:r>
        <w:rPr>
          <w:rFonts w:hint="eastAsia" w:ascii="宋体" w:hAnsi="宋体" w:cs="宋体"/>
        </w:rPr>
        <w:t>（5）其它可能影响公正评标的情形。</w:t>
      </w:r>
    </w:p>
    <w:p>
      <w:pPr>
        <w:pStyle w:val="2"/>
        <w:kinsoku w:val="0"/>
        <w:overflowPunct w:val="0"/>
        <w:spacing w:before="35"/>
        <w:rPr>
          <w:rFonts w:ascii="宋体" w:hAnsi="宋体" w:cs="宋体"/>
          <w:b/>
          <w:bCs/>
          <w:spacing w:val="1"/>
        </w:rPr>
      </w:pPr>
      <w:r>
        <w:rPr>
          <w:rFonts w:hint="eastAsia" w:ascii="宋体" w:hAnsi="宋体" w:cs="宋体"/>
          <w:b/>
          <w:bCs/>
          <w:spacing w:val="1"/>
        </w:rPr>
        <w:t>2.评标原则</w:t>
      </w:r>
    </w:p>
    <w:p>
      <w:pPr>
        <w:pStyle w:val="2"/>
        <w:tabs>
          <w:tab w:val="left" w:pos="1080"/>
        </w:tabs>
        <w:kinsoku w:val="0"/>
        <w:overflowPunct w:val="0"/>
        <w:spacing w:before="26" w:line="355" w:lineRule="auto"/>
        <w:ind w:right="234" w:firstLine="480"/>
        <w:rPr>
          <w:rFonts w:ascii="宋体" w:hAnsi="宋体" w:cs="宋体"/>
        </w:rPr>
      </w:pPr>
      <w:r>
        <w:rPr>
          <w:rFonts w:hint="eastAsia" w:ascii="宋体" w:hAnsi="宋体" w:cs="宋体"/>
        </w:rPr>
        <w:t>2.1 本次招标遵循公开透明、公平竞争、公正和诚实信用的原则。评标委员会成员按照客观、公正、审慎的原则，根据招标文件规定的评审程序、评审方法和评审标准进行独立评审。未实质性响应招标文件的响应文件按无效响应处理，并告知提交响应文件的投标人。</w:t>
      </w:r>
    </w:p>
    <w:p>
      <w:pPr>
        <w:pStyle w:val="2"/>
        <w:tabs>
          <w:tab w:val="left" w:pos="1080"/>
        </w:tabs>
        <w:kinsoku w:val="0"/>
        <w:overflowPunct w:val="0"/>
        <w:spacing w:before="26" w:line="355" w:lineRule="auto"/>
        <w:ind w:right="234" w:firstLine="480"/>
        <w:rPr>
          <w:rFonts w:ascii="宋体" w:hAnsi="宋体" w:cs="宋体"/>
        </w:rPr>
      </w:pPr>
      <w:r>
        <w:rPr>
          <w:rFonts w:hint="eastAsia" w:ascii="宋体" w:hAnsi="宋体" w:cs="宋体"/>
        </w:rPr>
        <w:t>2.2 项目实施机构成立评标委员会，负责本次项目采购的招标工作，评标委员会由业主代表与技术、经济等方面专家组成共5人以上组成，其中评审专家人数不得少于评标委员会成员总数的2/3。评审专家应当从政府采购评审庄家库内相关专业的专家名单中随机抽取，符合本办法（财库214号文）第三条第四项规定情形的项目，以及特殊情况。评标委员会应当根据综合评分情况，按照评审得分由高到低顺序推荐 3 名中标候选投标人，并编写评审报告。评审得分相同的，按照最后报价由低到高的顺序推荐；评审得分且最后报价相同的，按照技术指标优劣顺序推荐。</w:t>
      </w:r>
    </w:p>
    <w:p>
      <w:pPr>
        <w:pStyle w:val="2"/>
        <w:tabs>
          <w:tab w:val="left" w:pos="1080"/>
        </w:tabs>
        <w:kinsoku w:val="0"/>
        <w:overflowPunct w:val="0"/>
        <w:spacing w:before="26" w:line="355" w:lineRule="auto"/>
        <w:ind w:right="234" w:firstLine="480"/>
        <w:rPr>
          <w:rFonts w:ascii="宋体" w:hAnsi="宋体" w:cs="宋体"/>
        </w:rPr>
      </w:pPr>
      <w:r>
        <w:rPr>
          <w:rFonts w:hint="eastAsia" w:ascii="宋体" w:hAnsi="宋体" w:cs="宋体"/>
        </w:rPr>
        <w:t>2.3 评审报告应当由评标委员会全体人员签字认可。评标委员会成员对评审报告有异议的，评标委员会按照少数服从多数的原则推荐中标候选投标人，采购程序继续进行。对评审报告有异议的评标委员会成员，应当在报告上签署不同意见并说明理由，由评标委员会书面记录相关情况。评标委员会成员拒绝在报告上签字又不书面说明其不同意见和理由的，视为同意评审报告。</w:t>
      </w:r>
    </w:p>
    <w:p>
      <w:pPr>
        <w:pStyle w:val="2"/>
        <w:kinsoku w:val="0"/>
        <w:overflowPunct w:val="0"/>
        <w:spacing w:before="35" w:line="357" w:lineRule="auto"/>
        <w:ind w:left="598" w:right="238" w:hanging="480"/>
        <w:rPr>
          <w:rFonts w:ascii="宋体" w:hAnsi="宋体" w:cs="宋体"/>
          <w:b/>
          <w:bCs/>
          <w:spacing w:val="22"/>
          <w:w w:val="99"/>
        </w:rPr>
      </w:pPr>
      <w:r>
        <w:rPr>
          <w:rFonts w:hint="eastAsia" w:ascii="宋体" w:hAnsi="宋体" w:cs="宋体"/>
          <w:b/>
          <w:bCs/>
          <w:w w:val="95"/>
        </w:rPr>
        <w:t>3.</w:t>
      </w:r>
      <w:r>
        <w:rPr>
          <w:rFonts w:hint="eastAsia" w:ascii="宋体" w:hAnsi="宋体" w:cs="宋体"/>
          <w:b/>
          <w:bCs/>
        </w:rPr>
        <w:t>评标</w:t>
      </w:r>
      <w:r>
        <w:rPr>
          <w:rFonts w:hint="eastAsia" w:ascii="宋体" w:hAnsi="宋体" w:cs="宋体"/>
          <w:b/>
          <w:bCs/>
          <w:spacing w:val="22"/>
          <w:w w:val="99"/>
        </w:rPr>
        <w:t xml:space="preserve"> </w:t>
      </w:r>
    </w:p>
    <w:p>
      <w:pPr>
        <w:pStyle w:val="2"/>
        <w:tabs>
          <w:tab w:val="left" w:pos="1080"/>
        </w:tabs>
        <w:kinsoku w:val="0"/>
        <w:overflowPunct w:val="0"/>
        <w:spacing w:before="26" w:line="355" w:lineRule="auto"/>
        <w:ind w:right="234" w:firstLine="480"/>
        <w:rPr>
          <w:rFonts w:ascii="宋体" w:hAnsi="宋体" w:cs="宋体"/>
        </w:rPr>
      </w:pPr>
      <w:r>
        <w:rPr>
          <w:rFonts w:hint="eastAsia" w:ascii="宋体" w:hAnsi="宋体" w:cs="宋体"/>
        </w:rPr>
        <w:t>3.1评标委员会按照招标文件中规定的方法、评审因素、标准和程序对招标应性文件进行评审。招标文件中没有规定的方法、评审因素和标准，不作为评标依据。 详见“评标办法”内容。</w:t>
      </w:r>
    </w:p>
    <w:p>
      <w:pPr>
        <w:pStyle w:val="2"/>
        <w:tabs>
          <w:tab w:val="left" w:pos="1080"/>
        </w:tabs>
        <w:kinsoku w:val="0"/>
        <w:overflowPunct w:val="0"/>
        <w:spacing w:before="26" w:line="355" w:lineRule="auto"/>
        <w:ind w:right="234" w:firstLine="480"/>
        <w:rPr>
          <w:rFonts w:ascii="宋体" w:hAnsi="宋体" w:cs="宋体"/>
        </w:rPr>
      </w:pPr>
      <w:r>
        <w:rPr>
          <w:rFonts w:hint="eastAsia" w:ascii="宋体" w:hAnsi="宋体" w:cs="宋体"/>
        </w:rPr>
        <w:t>3.2评标过程严格保密。投标人对评委会的评标过程或合同授予决定施加影响的任何行为都可能导致其投标被拒绝。</w:t>
      </w:r>
    </w:p>
    <w:p>
      <w:pPr>
        <w:pStyle w:val="2"/>
        <w:tabs>
          <w:tab w:val="left" w:pos="1080"/>
        </w:tabs>
        <w:kinsoku w:val="0"/>
        <w:overflowPunct w:val="0"/>
        <w:spacing w:before="26" w:line="355" w:lineRule="auto"/>
        <w:ind w:right="234" w:firstLine="480"/>
        <w:rPr>
          <w:rFonts w:ascii="宋体" w:hAnsi="宋体" w:cs="宋体"/>
        </w:rPr>
      </w:pPr>
      <w:r>
        <w:rPr>
          <w:rFonts w:hint="eastAsia" w:ascii="宋体" w:hAnsi="宋体" w:cs="宋体"/>
        </w:rPr>
        <w:t>3.3 在评标期间，评委会可要求投标人对其投标文件中非实质性的有关问题进行 澄清、说明或者补正。有关澄清、说明或者补正的要求和答复应以书面形式提交。供应 商的澄清、说明或者补正不得超出投标文件的范围或者改变投标文件的实 质性内容。</w:t>
      </w:r>
    </w:p>
    <w:p>
      <w:pPr>
        <w:pStyle w:val="2"/>
        <w:tabs>
          <w:tab w:val="left" w:pos="1080"/>
        </w:tabs>
        <w:kinsoku w:val="0"/>
        <w:overflowPunct w:val="0"/>
        <w:spacing w:before="26" w:line="355" w:lineRule="auto"/>
        <w:ind w:right="234" w:firstLine="480"/>
        <w:rPr>
          <w:rFonts w:ascii="宋体" w:hAnsi="宋体" w:cs="宋体"/>
        </w:rPr>
      </w:pPr>
      <w:r>
        <w:rPr>
          <w:rFonts w:hint="eastAsia" w:ascii="宋体" w:hAnsi="宋体" w:cs="宋体"/>
        </w:rPr>
        <w:t>3.4 评委会认定实质性响应招标文件的投标是投标文件与招标文件 要求的全部条款、条件和规格相符，没有实质性负偏离。评委会评审投标文件的 响应性依据是投标文件本身的内容，而不寻求外部的证据。</w:t>
      </w:r>
    </w:p>
    <w:p>
      <w:pPr>
        <w:pStyle w:val="2"/>
        <w:tabs>
          <w:tab w:val="left" w:pos="1080"/>
        </w:tabs>
        <w:kinsoku w:val="0"/>
        <w:overflowPunct w:val="0"/>
        <w:spacing w:before="26" w:line="355" w:lineRule="auto"/>
        <w:ind w:right="234" w:firstLine="480"/>
        <w:rPr>
          <w:rFonts w:ascii="宋体" w:hAnsi="宋体" w:cs="宋体"/>
        </w:rPr>
      </w:pPr>
      <w:r>
        <w:rPr>
          <w:rFonts w:hint="eastAsia" w:ascii="宋体" w:hAnsi="宋体" w:cs="宋体"/>
        </w:rPr>
        <w:t>3.5 如果投标文件没有实质性响应招标文件的要求，评委会将予以拒绝。 投标人不得通过修正或撤消不合要求的偏离或保留从而使其投标成为实质性响应的投 标。</w:t>
      </w:r>
    </w:p>
    <w:p>
      <w:pPr>
        <w:pStyle w:val="2"/>
        <w:tabs>
          <w:tab w:val="left" w:pos="1080"/>
        </w:tabs>
        <w:kinsoku w:val="0"/>
        <w:overflowPunct w:val="0"/>
        <w:spacing w:before="26" w:line="355" w:lineRule="auto"/>
        <w:ind w:right="234" w:firstLine="480"/>
        <w:rPr>
          <w:rFonts w:ascii="宋体" w:hAnsi="宋体" w:cs="宋体"/>
        </w:rPr>
      </w:pPr>
      <w:r>
        <w:rPr>
          <w:rFonts w:hint="eastAsia" w:ascii="宋体" w:hAnsi="宋体" w:cs="宋体"/>
        </w:rPr>
        <w:t>3.6 评委会只对确定为实质性响应招标文件要求的投标文件，根据招标 招标文件的评审标准采用相同的评标程序、评分办法进行评价和比较。</w:t>
      </w:r>
    </w:p>
    <w:p>
      <w:pPr>
        <w:pStyle w:val="4"/>
        <w:rPr>
          <w:rFonts w:ascii="宋体" w:hAnsi="宋体" w:cs="宋体"/>
        </w:rPr>
      </w:pPr>
      <w:bookmarkStart w:id="55" w:name="_Toc4770"/>
      <w:bookmarkStart w:id="56" w:name="_Toc11796"/>
      <w:bookmarkStart w:id="57" w:name="_Toc133"/>
      <w:r>
        <w:rPr>
          <w:rFonts w:hint="eastAsia" w:ascii="宋体" w:hAnsi="宋体" w:cs="宋体"/>
        </w:rPr>
        <w:t>（六）定标</w:t>
      </w:r>
      <w:bookmarkEnd w:id="55"/>
      <w:bookmarkEnd w:id="56"/>
      <w:bookmarkEnd w:id="57"/>
    </w:p>
    <w:p>
      <w:pPr>
        <w:pStyle w:val="2"/>
        <w:kinsoku w:val="0"/>
        <w:overflowPunct w:val="0"/>
        <w:spacing w:before="35" w:line="357" w:lineRule="auto"/>
        <w:ind w:left="598" w:right="238" w:hanging="480"/>
        <w:rPr>
          <w:rFonts w:ascii="宋体" w:hAnsi="宋体" w:cs="宋体"/>
          <w:b/>
          <w:bCs/>
          <w:w w:val="95"/>
        </w:rPr>
      </w:pPr>
      <w:r>
        <w:rPr>
          <w:rFonts w:hint="eastAsia" w:ascii="宋体" w:hAnsi="宋体" w:cs="宋体"/>
          <w:b/>
          <w:bCs/>
          <w:w w:val="95"/>
        </w:rPr>
        <w:t>1.定标</w:t>
      </w:r>
    </w:p>
    <w:p>
      <w:pPr>
        <w:spacing w:line="360" w:lineRule="auto"/>
        <w:ind w:firstLine="420" w:firstLineChars="200"/>
        <w:rPr>
          <w:rFonts w:ascii="宋体" w:hAnsi="宋体" w:cs="宋体"/>
          <w:b/>
          <w:bCs/>
          <w:w w:val="95"/>
          <w:kern w:val="0"/>
          <w:szCs w:val="21"/>
        </w:rPr>
      </w:pPr>
      <w:r>
        <w:rPr>
          <w:rFonts w:hint="eastAsia" w:ascii="宋体" w:hAnsi="宋体" w:cs="宋体"/>
          <w:szCs w:val="21"/>
        </w:rPr>
        <w:t>1.1 定标原则：评标委员会按照公开、公平、公正、诚实信用的原则对待参与招标的投标人的响应文件；经招标确定最终采购需求和提交最后报价的投标人后，由评标委员会采用综合评分法对提交最后报价的投标人的响应文件和最后报价进行综合评分。</w:t>
      </w:r>
      <w:r>
        <w:rPr>
          <w:rFonts w:hint="eastAsia" w:ascii="宋体" w:hAnsi="宋体" w:cs="宋体"/>
          <w:kern w:val="0"/>
          <w:szCs w:val="21"/>
        </w:rPr>
        <w:t xml:space="preserve">能够最大限度满足招标文件中规定的各项综合评价标准且得分最高（但投标价格低于成本价的除外）。 </w:t>
      </w:r>
    </w:p>
    <w:p>
      <w:pPr>
        <w:pStyle w:val="2"/>
        <w:tabs>
          <w:tab w:val="left" w:pos="1080"/>
        </w:tabs>
        <w:kinsoku w:val="0"/>
        <w:overflowPunct w:val="0"/>
        <w:spacing w:before="26" w:line="355" w:lineRule="auto"/>
        <w:ind w:right="234" w:firstLine="480"/>
        <w:rPr>
          <w:rFonts w:ascii="宋体" w:hAnsi="宋体" w:cs="宋体"/>
          <w:szCs w:val="21"/>
        </w:rPr>
      </w:pPr>
      <w:r>
        <w:rPr>
          <w:rFonts w:hint="eastAsia" w:ascii="宋体" w:hAnsi="宋体" w:cs="宋体"/>
          <w:szCs w:val="21"/>
        </w:rPr>
        <w:t>1.2 定标方法：综合评分法。</w:t>
      </w:r>
    </w:p>
    <w:p>
      <w:pPr>
        <w:pStyle w:val="2"/>
        <w:tabs>
          <w:tab w:val="left" w:pos="1080"/>
        </w:tabs>
        <w:kinsoku w:val="0"/>
        <w:overflowPunct w:val="0"/>
        <w:spacing w:before="26" w:line="355" w:lineRule="auto"/>
        <w:ind w:right="234" w:firstLine="480"/>
        <w:rPr>
          <w:rFonts w:ascii="宋体" w:hAnsi="宋体" w:cs="宋体"/>
        </w:rPr>
      </w:pPr>
      <w:r>
        <w:rPr>
          <w:rFonts w:hint="eastAsia" w:ascii="宋体" w:hAnsi="宋体" w:cs="宋体"/>
        </w:rPr>
        <w:t>1.3 定标方式：根据评委会推荐的中标候选人名单，采购人确定中标人。</w:t>
      </w:r>
    </w:p>
    <w:p>
      <w:pPr>
        <w:pStyle w:val="2"/>
        <w:kinsoku w:val="0"/>
        <w:overflowPunct w:val="0"/>
        <w:spacing w:before="35" w:line="357" w:lineRule="auto"/>
        <w:ind w:left="598" w:right="238" w:hanging="480"/>
        <w:rPr>
          <w:rFonts w:ascii="宋体" w:hAnsi="宋体" w:cs="宋体"/>
          <w:b/>
          <w:bCs/>
          <w:w w:val="95"/>
        </w:rPr>
      </w:pPr>
      <w:r>
        <w:rPr>
          <w:rFonts w:hint="eastAsia" w:ascii="宋体" w:hAnsi="宋体" w:cs="宋体"/>
          <w:b/>
          <w:bCs/>
          <w:w w:val="95"/>
        </w:rPr>
        <w:t>2.定标程序</w:t>
      </w:r>
    </w:p>
    <w:p>
      <w:pPr>
        <w:pStyle w:val="2"/>
        <w:tabs>
          <w:tab w:val="left" w:pos="1080"/>
        </w:tabs>
        <w:kinsoku w:val="0"/>
        <w:overflowPunct w:val="0"/>
        <w:spacing w:before="26" w:line="355" w:lineRule="auto"/>
        <w:ind w:right="234" w:firstLine="480"/>
        <w:rPr>
          <w:rFonts w:ascii="宋体" w:hAnsi="宋体" w:cs="宋体"/>
        </w:rPr>
      </w:pPr>
      <w:r>
        <w:rPr>
          <w:rFonts w:hint="eastAsia" w:ascii="宋体" w:hAnsi="宋体" w:cs="宋体"/>
        </w:rPr>
        <w:t>2.1 评标委员会按照综合评审打分结果由高到低排列顺序。综合得分相同的，按投标报价由低到高顺序排列。得分且投标报价相同的，按技术指标优劣顺序排列。前三名的投标人为拟中标候选人。</w:t>
      </w:r>
    </w:p>
    <w:p>
      <w:pPr>
        <w:pStyle w:val="2"/>
        <w:tabs>
          <w:tab w:val="left" w:pos="1080"/>
        </w:tabs>
        <w:kinsoku w:val="0"/>
        <w:overflowPunct w:val="0"/>
        <w:spacing w:before="26" w:line="355" w:lineRule="auto"/>
        <w:ind w:right="234" w:firstLine="480"/>
        <w:rPr>
          <w:rFonts w:ascii="宋体" w:hAnsi="宋体" w:cs="宋体"/>
        </w:rPr>
      </w:pPr>
      <w:r>
        <w:rPr>
          <w:rFonts w:hint="eastAsia" w:ascii="宋体" w:hAnsi="宋体" w:cs="宋体"/>
        </w:rPr>
        <w:t>2.2 采购人根据书面评标报告和被推荐的中标候选人，确定得分最高的投标人为拟中标供单位。</w:t>
      </w:r>
    </w:p>
    <w:p>
      <w:pPr>
        <w:pStyle w:val="2"/>
        <w:tabs>
          <w:tab w:val="left" w:pos="1080"/>
        </w:tabs>
        <w:kinsoku w:val="0"/>
        <w:overflowPunct w:val="0"/>
        <w:spacing w:before="26" w:line="355" w:lineRule="auto"/>
        <w:ind w:right="234" w:firstLine="480"/>
        <w:rPr>
          <w:rFonts w:ascii="宋体" w:hAnsi="宋体" w:cs="宋体"/>
          <w:sz w:val="24"/>
        </w:rPr>
      </w:pPr>
      <w:r>
        <w:rPr>
          <w:rFonts w:hint="eastAsia" w:ascii="宋体" w:hAnsi="宋体" w:cs="宋体"/>
          <w:kern w:val="0"/>
          <w:sz w:val="24"/>
        </w:rPr>
        <w:t>2.3</w:t>
      </w:r>
      <w:r>
        <w:rPr>
          <w:rFonts w:hint="eastAsia" w:ascii="宋体" w:hAnsi="宋体" w:cs="宋体"/>
        </w:rPr>
        <w:t xml:space="preserve"> </w:t>
      </w:r>
      <w:r>
        <w:rPr>
          <w:rFonts w:hint="eastAsia" w:ascii="宋体" w:hAnsi="宋体" w:cs="宋体"/>
          <w:sz w:val="24"/>
        </w:rPr>
        <w:t>中标结果在“新疆政府采购网” 上予以公告。同时向中标人发出中标通知书。</w:t>
      </w:r>
    </w:p>
    <w:p>
      <w:pPr>
        <w:pStyle w:val="2"/>
        <w:kinsoku w:val="0"/>
        <w:overflowPunct w:val="0"/>
        <w:spacing w:before="151"/>
        <w:rPr>
          <w:rFonts w:ascii="宋体" w:hAnsi="宋体" w:cs="宋体"/>
        </w:rPr>
      </w:pPr>
      <w:r>
        <w:rPr>
          <w:rFonts w:hint="eastAsia" w:ascii="宋体" w:hAnsi="宋体" w:cs="宋体"/>
          <w:b/>
          <w:bCs/>
        </w:rPr>
        <w:t>3.中标通知书</w:t>
      </w:r>
    </w:p>
    <w:p>
      <w:pPr>
        <w:pStyle w:val="2"/>
        <w:tabs>
          <w:tab w:val="left" w:pos="1080"/>
        </w:tabs>
        <w:kinsoku w:val="0"/>
        <w:overflowPunct w:val="0"/>
        <w:spacing w:before="26" w:line="355" w:lineRule="auto"/>
        <w:ind w:right="234" w:firstLine="480"/>
        <w:rPr>
          <w:rFonts w:ascii="宋体" w:hAnsi="宋体" w:cs="宋体"/>
        </w:rPr>
      </w:pPr>
      <w:r>
        <w:rPr>
          <w:rFonts w:hint="eastAsia" w:ascii="宋体" w:hAnsi="宋体" w:cs="宋体"/>
        </w:rPr>
        <w:t>3.1 中标结果在公示期满无质疑或投诉后，该结果将作为正式中标或签订《采购合同》的凭据。招标代理机构将以书面形式《中标通知书》通知中标的投标人其投标被接受。在该通知书发出三十日内，中标单位应与采购人签订采购合同。</w:t>
      </w:r>
    </w:p>
    <w:p>
      <w:pPr>
        <w:pStyle w:val="2"/>
        <w:tabs>
          <w:tab w:val="left" w:pos="1080"/>
        </w:tabs>
        <w:kinsoku w:val="0"/>
        <w:overflowPunct w:val="0"/>
        <w:spacing w:before="26" w:line="355" w:lineRule="auto"/>
        <w:ind w:right="234" w:firstLine="480"/>
        <w:rPr>
          <w:rFonts w:ascii="宋体" w:hAnsi="宋体" w:cs="宋体"/>
        </w:rPr>
      </w:pPr>
      <w:r>
        <w:rPr>
          <w:rFonts w:hint="eastAsia" w:ascii="宋体" w:hAnsi="宋体" w:cs="宋体"/>
        </w:rPr>
        <w:t>3.2 中标通知书为签订政府采购合同的依据，是合同的有效组成部分。</w:t>
      </w:r>
    </w:p>
    <w:p>
      <w:pPr>
        <w:pStyle w:val="2"/>
        <w:tabs>
          <w:tab w:val="left" w:pos="1080"/>
        </w:tabs>
        <w:kinsoku w:val="0"/>
        <w:overflowPunct w:val="0"/>
        <w:spacing w:before="26" w:line="355" w:lineRule="auto"/>
        <w:ind w:right="234" w:firstLine="480"/>
        <w:rPr>
          <w:rFonts w:ascii="宋体" w:hAnsi="宋体" w:cs="宋体"/>
        </w:rPr>
      </w:pPr>
      <w:r>
        <w:rPr>
          <w:rFonts w:hint="eastAsia" w:ascii="宋体" w:hAnsi="宋体" w:cs="宋体"/>
        </w:rPr>
        <w:t>3.3 中标通知书对采购人和中标人均具有法律效力。中标通知书发出后，采购人改变中标结果，或者中标人无正当理由放弃中标的，应当承担相应的法律责任。</w:t>
      </w:r>
    </w:p>
    <w:p>
      <w:pPr>
        <w:pStyle w:val="2"/>
        <w:tabs>
          <w:tab w:val="left" w:pos="1080"/>
        </w:tabs>
        <w:kinsoku w:val="0"/>
        <w:overflowPunct w:val="0"/>
        <w:spacing w:before="26" w:line="355" w:lineRule="auto"/>
        <w:ind w:right="234" w:firstLine="480"/>
        <w:rPr>
          <w:rFonts w:ascii="宋体" w:hAnsi="宋体" w:cs="宋体"/>
        </w:rPr>
      </w:pPr>
      <w:r>
        <w:rPr>
          <w:rFonts w:hint="eastAsia" w:ascii="宋体" w:hAnsi="宋体" w:cs="宋体"/>
        </w:rPr>
        <w:t>3.4 中标人的投标文件本应作为无效投标处理或者有政府采购法律法规规章制度规定的中标无效情形的，招标代理机构在取得有权主体的认定以后，应当宣布发出的中标通知书无效，并收回发出的中标通知书（中标人也应当缴回），依法重新确定中标人或者重新开展采购活动。</w:t>
      </w:r>
    </w:p>
    <w:p>
      <w:pPr>
        <w:pStyle w:val="4"/>
        <w:rPr>
          <w:rFonts w:ascii="宋体" w:hAnsi="宋体" w:cs="宋体"/>
        </w:rPr>
      </w:pPr>
      <w:bookmarkStart w:id="58" w:name="_Toc15732"/>
      <w:bookmarkStart w:id="59" w:name="_Toc23542"/>
      <w:bookmarkStart w:id="60" w:name="_Toc18851"/>
      <w:r>
        <w:rPr>
          <w:rFonts w:hint="eastAsia" w:ascii="宋体" w:hAnsi="宋体" w:cs="宋体"/>
        </w:rPr>
        <w:t>（七）合同签订及履行</w:t>
      </w:r>
      <w:bookmarkEnd w:id="58"/>
      <w:bookmarkEnd w:id="59"/>
      <w:bookmarkEnd w:id="60"/>
    </w:p>
    <w:p>
      <w:pPr>
        <w:pStyle w:val="2"/>
        <w:kinsoku w:val="0"/>
        <w:overflowPunct w:val="0"/>
        <w:spacing w:before="151"/>
        <w:rPr>
          <w:rFonts w:ascii="宋体" w:hAnsi="宋体" w:cs="宋体"/>
          <w:b/>
          <w:bCs/>
        </w:rPr>
      </w:pPr>
      <w:r>
        <w:rPr>
          <w:rFonts w:hint="eastAsia" w:ascii="宋体" w:hAnsi="宋体" w:cs="宋体"/>
          <w:b/>
          <w:bCs/>
        </w:rPr>
        <w:t>1.合同授予原则</w:t>
      </w:r>
    </w:p>
    <w:p>
      <w:pPr>
        <w:pStyle w:val="2"/>
        <w:tabs>
          <w:tab w:val="left" w:pos="1080"/>
        </w:tabs>
        <w:kinsoku w:val="0"/>
        <w:overflowPunct w:val="0"/>
        <w:spacing w:before="26" w:line="355" w:lineRule="auto"/>
        <w:ind w:right="234" w:firstLine="480"/>
        <w:rPr>
          <w:rFonts w:ascii="宋体" w:hAnsi="宋体" w:cs="宋体"/>
        </w:rPr>
      </w:pPr>
      <w:r>
        <w:rPr>
          <w:rFonts w:hint="eastAsia" w:ascii="宋体" w:hAnsi="宋体" w:cs="宋体"/>
        </w:rPr>
        <w:t>1.1 采购人将把合同授予经评标委员会评议推荐，在法定公示时间后，收到《中标通知书》的投标单位。若因中标单位违约或因不可抗力等原因不能被授予合同，则合同将授予排序在该中标单位之后的下一个投标人，以此类推。</w:t>
      </w:r>
    </w:p>
    <w:p>
      <w:pPr>
        <w:pStyle w:val="2"/>
        <w:tabs>
          <w:tab w:val="left" w:pos="1080"/>
        </w:tabs>
        <w:kinsoku w:val="0"/>
        <w:overflowPunct w:val="0"/>
        <w:spacing w:before="26" w:line="355" w:lineRule="auto"/>
        <w:ind w:right="234" w:firstLine="480"/>
        <w:rPr>
          <w:rFonts w:ascii="宋体" w:hAnsi="宋体" w:cs="宋体"/>
        </w:rPr>
      </w:pPr>
      <w:r>
        <w:rPr>
          <w:rFonts w:hint="eastAsia" w:ascii="宋体" w:hAnsi="宋体" w:cs="宋体"/>
        </w:rPr>
        <w:t>1.2 采购人保留在签订合同时调整方案需求和变动所购服务内容的权力。</w:t>
      </w:r>
    </w:p>
    <w:p>
      <w:pPr>
        <w:pStyle w:val="2"/>
        <w:tabs>
          <w:tab w:val="left" w:pos="1080"/>
        </w:tabs>
        <w:kinsoku w:val="0"/>
        <w:overflowPunct w:val="0"/>
        <w:spacing w:before="26" w:line="355" w:lineRule="auto"/>
        <w:ind w:right="234" w:firstLine="480"/>
        <w:rPr>
          <w:rFonts w:ascii="宋体" w:hAnsi="宋体" w:cs="宋体"/>
        </w:rPr>
      </w:pPr>
      <w:r>
        <w:rPr>
          <w:rFonts w:hint="eastAsia" w:ascii="宋体" w:hAnsi="宋体" w:cs="宋体"/>
        </w:rPr>
        <w:t>1.3 采购人不得向中标人提出任何不合理的要求，作为签订合同的条件，不得与中标人私下订立背离合同实质性内容的任何协议，所签订的合同不得对招标文件和中标人投标文件作实质性修改。</w:t>
      </w:r>
    </w:p>
    <w:p>
      <w:pPr>
        <w:pStyle w:val="2"/>
        <w:tabs>
          <w:tab w:val="left" w:pos="1080"/>
        </w:tabs>
        <w:kinsoku w:val="0"/>
        <w:overflowPunct w:val="0"/>
        <w:spacing w:before="26" w:line="355" w:lineRule="auto"/>
        <w:ind w:right="234" w:firstLine="480"/>
        <w:rPr>
          <w:rFonts w:ascii="宋体" w:hAnsi="宋体" w:cs="宋体"/>
        </w:rPr>
      </w:pPr>
      <w:r>
        <w:rPr>
          <w:rFonts w:hint="eastAsia" w:ascii="宋体" w:hAnsi="宋体" w:cs="宋体"/>
        </w:rPr>
        <w:t>1.4 中标人应当按照合同约定履行义务，完成中标项目的设计任务，不得将中标项目的转让（转包）给他人。</w:t>
      </w:r>
    </w:p>
    <w:p>
      <w:pPr>
        <w:pStyle w:val="2"/>
        <w:kinsoku w:val="0"/>
        <w:overflowPunct w:val="0"/>
        <w:spacing w:before="34"/>
        <w:rPr>
          <w:rFonts w:ascii="宋体" w:hAnsi="宋体" w:cs="宋体"/>
        </w:rPr>
      </w:pPr>
      <w:r>
        <w:rPr>
          <w:rFonts w:hint="eastAsia" w:ascii="宋体" w:hAnsi="宋体" w:cs="宋体"/>
          <w:b/>
          <w:bCs/>
        </w:rPr>
        <w:t>2.合同的签署</w:t>
      </w:r>
    </w:p>
    <w:p>
      <w:pPr>
        <w:pStyle w:val="2"/>
        <w:tabs>
          <w:tab w:val="left" w:pos="1080"/>
        </w:tabs>
        <w:kinsoku w:val="0"/>
        <w:overflowPunct w:val="0"/>
        <w:spacing w:before="26" w:line="355" w:lineRule="auto"/>
        <w:ind w:right="234" w:firstLine="480"/>
        <w:rPr>
          <w:rFonts w:ascii="宋体" w:hAnsi="宋体" w:cs="宋体"/>
        </w:rPr>
      </w:pPr>
      <w:r>
        <w:rPr>
          <w:rFonts w:hint="eastAsia" w:ascii="宋体" w:hAnsi="宋体" w:cs="宋体"/>
        </w:rPr>
        <w:t>2.1 中标人依据《中标通知书》与采购人签订合同，签订时间为《中标通知书》发出之日起三十日内。</w:t>
      </w:r>
    </w:p>
    <w:p>
      <w:pPr>
        <w:pStyle w:val="2"/>
        <w:tabs>
          <w:tab w:val="left" w:pos="1080"/>
        </w:tabs>
        <w:kinsoku w:val="0"/>
        <w:overflowPunct w:val="0"/>
        <w:spacing w:before="26" w:line="355" w:lineRule="auto"/>
        <w:ind w:right="234" w:firstLine="480"/>
        <w:rPr>
          <w:rFonts w:ascii="宋体" w:hAnsi="宋体" w:cs="宋体"/>
        </w:rPr>
      </w:pPr>
      <w:r>
        <w:rPr>
          <w:rFonts w:hint="eastAsia" w:ascii="宋体" w:hAnsi="宋体" w:cs="宋体"/>
        </w:rPr>
        <w:t>2.2 中标单位按《中标通知书》中规定的时间和地点，在招标代理机构监督下，由法定代表人或授权代表与采购人签订合同。采购人与中标单位是合同权利与义务的直接全部责任承担人。所发出的《中标通知书》对采购人和中标单位具有同等法律效力。</w:t>
      </w:r>
    </w:p>
    <w:p>
      <w:pPr>
        <w:pStyle w:val="2"/>
        <w:tabs>
          <w:tab w:val="left" w:pos="1080"/>
        </w:tabs>
        <w:kinsoku w:val="0"/>
        <w:overflowPunct w:val="0"/>
        <w:spacing w:before="26" w:line="355" w:lineRule="auto"/>
        <w:ind w:right="234" w:firstLine="480"/>
        <w:rPr>
          <w:rFonts w:ascii="宋体" w:hAnsi="宋体" w:cs="宋体"/>
        </w:rPr>
      </w:pPr>
      <w:r>
        <w:rPr>
          <w:rFonts w:hint="eastAsia" w:ascii="宋体" w:hAnsi="宋体" w:cs="宋体"/>
        </w:rPr>
        <w:t>2.3《中标通知书》发出后，采购人拒绝签订《采购合同》或擅自改变中标内容，按照《中华人民共和国合同法》定金罚则及损害赔偿的原则处罚并办理。若由于中标单位的原因逾期未与采购人签订采购合同的，将视为放弃中标，取消其中标资格并将按照《中华人民共和国政府采购法》相关规定进行处理。</w:t>
      </w:r>
    </w:p>
    <w:p>
      <w:pPr>
        <w:pStyle w:val="2"/>
        <w:kinsoku w:val="0"/>
        <w:overflowPunct w:val="0"/>
        <w:spacing w:before="37" w:line="357" w:lineRule="auto"/>
        <w:ind w:right="2481"/>
        <w:rPr>
          <w:rFonts w:ascii="宋体" w:hAnsi="宋体" w:cs="宋体"/>
        </w:rPr>
      </w:pPr>
      <w:r>
        <w:rPr>
          <w:rFonts w:hint="eastAsia" w:ascii="宋体" w:hAnsi="宋体" w:cs="宋体"/>
          <w:b/>
          <w:bCs/>
        </w:rPr>
        <w:t>3.履行合同</w:t>
      </w:r>
    </w:p>
    <w:p>
      <w:pPr>
        <w:pStyle w:val="2"/>
        <w:kinsoku w:val="0"/>
        <w:overflowPunct w:val="0"/>
        <w:spacing w:before="34" w:line="357" w:lineRule="auto"/>
        <w:ind w:right="126" w:firstLine="480"/>
        <w:rPr>
          <w:rFonts w:ascii="宋体" w:hAnsi="宋体" w:cs="宋体"/>
        </w:rPr>
      </w:pPr>
      <w:r>
        <w:rPr>
          <w:rFonts w:hint="eastAsia" w:ascii="宋体" w:hAnsi="宋体" w:cs="宋体"/>
        </w:rPr>
        <w:t>3.1 中标人与采购人签订合同后，合同双方应严格执行合同条款，履行合同规定的义务，保证合同的顺利完成。</w:t>
      </w:r>
    </w:p>
    <w:p>
      <w:pPr>
        <w:pStyle w:val="2"/>
        <w:kinsoku w:val="0"/>
        <w:overflowPunct w:val="0"/>
        <w:spacing w:before="34" w:line="355" w:lineRule="auto"/>
        <w:ind w:right="126" w:firstLine="480"/>
        <w:rPr>
          <w:rFonts w:ascii="宋体" w:hAnsi="宋体" w:cs="宋体"/>
        </w:rPr>
      </w:pPr>
      <w:r>
        <w:rPr>
          <w:rFonts w:hint="eastAsia" w:ascii="宋体" w:hAnsi="宋体" w:cs="宋体"/>
        </w:rPr>
        <w:t>3.2 在合同履行过程中，如发生合同纠纷，合同双方应按照《合同法》的有关规定进行处理。</w:t>
      </w:r>
    </w:p>
    <w:p>
      <w:pPr>
        <w:pStyle w:val="4"/>
        <w:rPr>
          <w:rFonts w:ascii="宋体" w:hAnsi="宋体" w:cs="宋体"/>
        </w:rPr>
      </w:pPr>
      <w:bookmarkStart w:id="61" w:name="_Toc23631"/>
      <w:bookmarkStart w:id="62" w:name="_Toc8292"/>
      <w:bookmarkStart w:id="63" w:name="_Toc20178"/>
      <w:r>
        <w:rPr>
          <w:rFonts w:hint="eastAsia" w:ascii="宋体" w:hAnsi="宋体" w:cs="宋体"/>
        </w:rPr>
        <w:t>（八）重新招标和不再招标</w:t>
      </w:r>
      <w:bookmarkEnd w:id="61"/>
      <w:bookmarkEnd w:id="62"/>
      <w:bookmarkEnd w:id="63"/>
    </w:p>
    <w:p>
      <w:pPr>
        <w:pStyle w:val="2"/>
        <w:kinsoku w:val="0"/>
        <w:overflowPunct w:val="0"/>
        <w:spacing w:before="37" w:line="357" w:lineRule="auto"/>
        <w:ind w:right="2481"/>
        <w:rPr>
          <w:rFonts w:ascii="宋体" w:hAnsi="宋体" w:cs="宋体"/>
          <w:b/>
          <w:bCs/>
        </w:rPr>
      </w:pPr>
      <w:r>
        <w:rPr>
          <w:rFonts w:hint="eastAsia" w:ascii="宋体" w:hAnsi="宋体" w:cs="宋体"/>
          <w:b/>
          <w:bCs/>
        </w:rPr>
        <w:t>1．重新招标</w:t>
      </w:r>
    </w:p>
    <w:p>
      <w:pPr>
        <w:pStyle w:val="2"/>
        <w:kinsoku w:val="0"/>
        <w:overflowPunct w:val="0"/>
        <w:spacing w:before="34" w:line="357" w:lineRule="auto"/>
        <w:ind w:right="126" w:firstLine="480"/>
        <w:rPr>
          <w:rFonts w:ascii="宋体" w:hAnsi="宋体" w:cs="宋体"/>
        </w:rPr>
      </w:pPr>
      <w:r>
        <w:rPr>
          <w:rFonts w:hint="eastAsia" w:ascii="宋体" w:hAnsi="宋体" w:cs="宋体"/>
        </w:rPr>
        <w:t>有下列情形之一的，采购人将重新招标：</w:t>
      </w:r>
    </w:p>
    <w:p>
      <w:pPr>
        <w:pStyle w:val="2"/>
        <w:kinsoku w:val="0"/>
        <w:overflowPunct w:val="0"/>
        <w:spacing w:before="34" w:line="357" w:lineRule="auto"/>
        <w:ind w:right="126" w:firstLine="480"/>
        <w:rPr>
          <w:rFonts w:ascii="宋体" w:hAnsi="宋体" w:cs="宋体"/>
        </w:rPr>
      </w:pPr>
      <w:r>
        <w:rPr>
          <w:rFonts w:hint="eastAsia" w:ascii="宋体" w:hAnsi="宋体" w:cs="宋体"/>
        </w:rPr>
        <w:t>（1）投标截止时间止，投标人少于</w:t>
      </w:r>
      <w:r>
        <w:rPr>
          <w:rFonts w:hint="eastAsia" w:ascii="宋体" w:hAnsi="宋体" w:cs="宋体"/>
          <w:spacing w:val="4"/>
        </w:rPr>
        <w:t>《政府采购货物和服务招标投标管理办法》、《政府购买服务管理办法（暂行）》、《政府采购招标采购方式管理暂行办法》、《财政部关于政府采购招标采购方式管理暂行办法有关问题的补充通知》及相关法规</w:t>
      </w:r>
      <w:r>
        <w:rPr>
          <w:rFonts w:hint="eastAsia" w:ascii="宋体" w:hAnsi="宋体" w:cs="宋体"/>
        </w:rPr>
        <w:t>规定的家数。</w:t>
      </w:r>
    </w:p>
    <w:p>
      <w:pPr>
        <w:pStyle w:val="2"/>
        <w:kinsoku w:val="0"/>
        <w:overflowPunct w:val="0"/>
        <w:spacing w:before="34" w:line="357" w:lineRule="auto"/>
        <w:ind w:right="126" w:firstLine="480"/>
        <w:rPr>
          <w:rFonts w:ascii="宋体" w:hAnsi="宋体" w:cs="宋体"/>
        </w:rPr>
      </w:pPr>
      <w:r>
        <w:rPr>
          <w:rFonts w:hint="eastAsia" w:ascii="宋体" w:hAnsi="宋体" w:cs="宋体"/>
        </w:rPr>
        <w:t xml:space="preserve">（2）经评标委员会评审后否决所有投标的。 </w:t>
      </w:r>
    </w:p>
    <w:p>
      <w:pPr>
        <w:pStyle w:val="2"/>
        <w:kinsoku w:val="0"/>
        <w:overflowPunct w:val="0"/>
        <w:spacing w:line="357" w:lineRule="auto"/>
        <w:ind w:right="4044" w:firstLine="24"/>
        <w:rPr>
          <w:rFonts w:ascii="宋体" w:hAnsi="宋体" w:cs="宋体"/>
        </w:rPr>
      </w:pPr>
      <w:r>
        <w:rPr>
          <w:rFonts w:hint="eastAsia" w:ascii="宋体" w:hAnsi="宋体" w:cs="宋体"/>
          <w:b/>
          <w:bCs/>
        </w:rPr>
        <w:t>2．不再招标</w:t>
      </w:r>
    </w:p>
    <w:p>
      <w:pPr>
        <w:pStyle w:val="2"/>
        <w:kinsoku w:val="0"/>
        <w:overflowPunct w:val="0"/>
        <w:spacing w:before="34" w:line="357" w:lineRule="auto"/>
        <w:ind w:right="126" w:firstLine="480"/>
        <w:rPr>
          <w:rFonts w:ascii="宋体" w:hAnsi="宋体" w:cs="宋体"/>
          <w:color w:val="FF0000"/>
        </w:rPr>
      </w:pPr>
      <w:r>
        <w:rPr>
          <w:rFonts w:hint="eastAsia" w:ascii="宋体" w:hAnsi="宋体" w:cs="宋体"/>
        </w:rPr>
        <w:t>重新招标后投标人仍少于</w:t>
      </w:r>
      <w:r>
        <w:rPr>
          <w:rFonts w:hint="eastAsia" w:ascii="宋体" w:hAnsi="宋体" w:cs="宋体"/>
          <w:spacing w:val="4"/>
        </w:rPr>
        <w:t>《政府采购货物和服务招标投标管理办法》、《政府购买服务管理办法（暂行）》、《政府采购招标采购方式管理暂行办法》、《财政部关于政府采购招标采购方式管理暂行办法有关问题的补充通知》及相关法规</w:t>
      </w:r>
      <w:r>
        <w:rPr>
          <w:rFonts w:hint="eastAsia" w:ascii="宋体" w:hAnsi="宋体" w:cs="宋体"/>
        </w:rPr>
        <w:t>规定的家数，或者所有投标被否决的，属于必须审批或核准的工程 建设、货物、服务项目，经原审批或核准部门批准后不再进行招标。</w:t>
      </w:r>
    </w:p>
    <w:p>
      <w:pPr>
        <w:pStyle w:val="4"/>
        <w:rPr>
          <w:rFonts w:ascii="宋体" w:hAnsi="宋体" w:cs="宋体"/>
        </w:rPr>
      </w:pPr>
      <w:bookmarkStart w:id="64" w:name="_Toc28801"/>
      <w:bookmarkStart w:id="65" w:name="_Toc28332"/>
      <w:bookmarkStart w:id="66" w:name="_Toc6269"/>
      <w:r>
        <w:rPr>
          <w:rFonts w:hint="eastAsia" w:ascii="宋体" w:hAnsi="宋体" w:cs="宋体"/>
        </w:rPr>
        <w:t>（九）纪律和监督</w:t>
      </w:r>
      <w:bookmarkEnd w:id="64"/>
      <w:bookmarkEnd w:id="65"/>
      <w:bookmarkEnd w:id="66"/>
    </w:p>
    <w:p>
      <w:pPr>
        <w:pStyle w:val="2"/>
        <w:kinsoku w:val="0"/>
        <w:overflowPunct w:val="0"/>
        <w:spacing w:line="357" w:lineRule="auto"/>
        <w:ind w:right="4044" w:firstLine="24"/>
        <w:rPr>
          <w:rFonts w:ascii="宋体" w:hAnsi="宋体" w:cs="宋体"/>
          <w:b/>
          <w:bCs/>
        </w:rPr>
      </w:pPr>
      <w:r>
        <w:rPr>
          <w:rFonts w:hint="eastAsia" w:ascii="宋体" w:hAnsi="宋体" w:cs="宋体"/>
          <w:b/>
          <w:bCs/>
        </w:rPr>
        <w:t>1．对采购人的纪律要求</w:t>
      </w:r>
    </w:p>
    <w:p>
      <w:pPr>
        <w:pStyle w:val="2"/>
        <w:kinsoku w:val="0"/>
        <w:overflowPunct w:val="0"/>
        <w:spacing w:before="34" w:line="357" w:lineRule="auto"/>
        <w:ind w:right="126" w:firstLine="480"/>
        <w:rPr>
          <w:rFonts w:ascii="宋体" w:hAnsi="宋体" w:cs="宋体"/>
        </w:rPr>
      </w:pPr>
      <w:r>
        <w:rPr>
          <w:rFonts w:hint="eastAsia" w:ascii="宋体" w:hAnsi="宋体" w:cs="宋体"/>
        </w:rPr>
        <w:t>采购人不得泄漏招标投标活动中应当保密的情况和资料，不得与投标人串通损害国家利益、社会公共利益或者他人合法权益。下列行为视为采购人与投标人串通投标：</w:t>
      </w:r>
    </w:p>
    <w:p>
      <w:pPr>
        <w:pStyle w:val="2"/>
        <w:kinsoku w:val="0"/>
        <w:overflowPunct w:val="0"/>
        <w:spacing w:before="34" w:line="357" w:lineRule="auto"/>
        <w:ind w:right="126" w:firstLine="480"/>
        <w:rPr>
          <w:rFonts w:ascii="宋体" w:hAnsi="宋体" w:cs="宋体"/>
        </w:rPr>
      </w:pPr>
      <w:r>
        <w:rPr>
          <w:rFonts w:hint="eastAsia" w:ascii="宋体" w:hAnsi="宋体" w:cs="宋体"/>
        </w:rPr>
        <w:t>(1）采购人在开标前开启投标文件，并将投标情况告知其它投标人，或者协助投标人撤换投标文件，更改报价；</w:t>
      </w:r>
    </w:p>
    <w:p>
      <w:pPr>
        <w:pStyle w:val="2"/>
        <w:kinsoku w:val="0"/>
        <w:overflowPunct w:val="0"/>
        <w:spacing w:before="34" w:line="357" w:lineRule="auto"/>
        <w:ind w:right="126" w:firstLine="480"/>
        <w:rPr>
          <w:rFonts w:ascii="宋体" w:hAnsi="宋体" w:cs="宋体"/>
        </w:rPr>
      </w:pPr>
      <w:r>
        <w:rPr>
          <w:rFonts w:hint="eastAsia" w:ascii="宋体" w:hAnsi="宋体" w:cs="宋体"/>
        </w:rPr>
        <w:t>(2）采购人向投标人泄露标底；</w:t>
      </w:r>
    </w:p>
    <w:p>
      <w:pPr>
        <w:pStyle w:val="2"/>
        <w:kinsoku w:val="0"/>
        <w:overflowPunct w:val="0"/>
        <w:spacing w:before="34" w:line="357" w:lineRule="auto"/>
        <w:ind w:right="126" w:firstLine="480"/>
        <w:rPr>
          <w:rFonts w:ascii="宋体" w:hAnsi="宋体" w:cs="宋体"/>
        </w:rPr>
      </w:pPr>
      <w:r>
        <w:rPr>
          <w:rFonts w:hint="eastAsia" w:ascii="宋体" w:hAnsi="宋体" w:cs="宋体"/>
        </w:rPr>
        <w:t>(3）采购人与投标人商定，投标时压低或抬高标价，中标后再给投标人或采购人额外补偿；</w:t>
      </w:r>
    </w:p>
    <w:p>
      <w:pPr>
        <w:pStyle w:val="2"/>
        <w:kinsoku w:val="0"/>
        <w:overflowPunct w:val="0"/>
        <w:spacing w:before="34" w:line="357" w:lineRule="auto"/>
        <w:ind w:right="126" w:firstLine="480"/>
        <w:rPr>
          <w:rFonts w:ascii="宋体" w:hAnsi="宋体" w:cs="宋体"/>
        </w:rPr>
      </w:pPr>
      <w:r>
        <w:rPr>
          <w:rFonts w:hint="eastAsia" w:ascii="宋体" w:hAnsi="宋体" w:cs="宋体"/>
        </w:rPr>
        <w:t>(4）采购人预先内定中标人；</w:t>
      </w:r>
    </w:p>
    <w:p>
      <w:pPr>
        <w:pStyle w:val="2"/>
        <w:kinsoku w:val="0"/>
        <w:overflowPunct w:val="0"/>
        <w:spacing w:before="34" w:line="357" w:lineRule="auto"/>
        <w:ind w:right="126" w:firstLine="480"/>
        <w:rPr>
          <w:rFonts w:ascii="宋体" w:hAnsi="宋体" w:cs="宋体"/>
        </w:rPr>
      </w:pPr>
      <w:r>
        <w:rPr>
          <w:rFonts w:hint="eastAsia" w:ascii="宋体" w:hAnsi="宋体" w:cs="宋体"/>
        </w:rPr>
        <w:t>(5）其它串通投标行为。</w:t>
      </w:r>
    </w:p>
    <w:p>
      <w:pPr>
        <w:pStyle w:val="2"/>
        <w:kinsoku w:val="0"/>
        <w:overflowPunct w:val="0"/>
        <w:spacing w:before="34" w:line="357" w:lineRule="auto"/>
        <w:ind w:left="598" w:right="178" w:hanging="480"/>
        <w:rPr>
          <w:rFonts w:ascii="宋体" w:hAnsi="宋体" w:cs="宋体"/>
          <w:b/>
          <w:bCs/>
          <w:spacing w:val="25"/>
          <w:w w:val="99"/>
        </w:rPr>
      </w:pPr>
      <w:r>
        <w:rPr>
          <w:rFonts w:hint="eastAsia" w:ascii="宋体" w:hAnsi="宋体" w:cs="宋体"/>
          <w:b/>
          <w:bCs/>
        </w:rPr>
        <w:t>2.对投标人的纪律要求</w:t>
      </w:r>
      <w:r>
        <w:rPr>
          <w:rFonts w:hint="eastAsia" w:ascii="宋体" w:hAnsi="宋体" w:cs="宋体"/>
          <w:b/>
          <w:bCs/>
          <w:spacing w:val="25"/>
          <w:w w:val="99"/>
        </w:rPr>
        <w:t xml:space="preserve"> </w:t>
      </w:r>
    </w:p>
    <w:p>
      <w:pPr>
        <w:pStyle w:val="2"/>
        <w:kinsoku w:val="0"/>
        <w:overflowPunct w:val="0"/>
        <w:spacing w:before="34" w:line="357" w:lineRule="auto"/>
        <w:ind w:right="126" w:firstLine="480"/>
        <w:rPr>
          <w:rFonts w:ascii="宋体" w:hAnsi="宋体" w:cs="宋体"/>
        </w:rPr>
      </w:pPr>
      <w:r>
        <w:rPr>
          <w:rFonts w:hint="eastAsia" w:ascii="宋体" w:hAnsi="宋体" w:cs="宋体"/>
        </w:rPr>
        <w:t>投标人不得相互串通投标或者与采购人串通投标，不得向采购人或者评标委员会成员行贿谋取中标，不得以他人名义投标或者以其他方式弄虚作假骗取中标；投标人不得以任何方式干扰、影响评标工作；不得诋毁、排挤其他投标人；不得在招标过程中与招标采购单位进行协商谈判；不得拒绝有关部门的监督检查或者向监督检查部门提供虚假情况。</w:t>
      </w:r>
    </w:p>
    <w:p>
      <w:pPr>
        <w:pStyle w:val="2"/>
        <w:kinsoku w:val="0"/>
        <w:overflowPunct w:val="0"/>
        <w:spacing w:before="34" w:line="357" w:lineRule="auto"/>
        <w:ind w:right="126" w:firstLine="480"/>
        <w:rPr>
          <w:rFonts w:ascii="宋体" w:hAnsi="宋体" w:cs="宋体"/>
        </w:rPr>
      </w:pPr>
      <w:r>
        <w:rPr>
          <w:rFonts w:hint="eastAsia" w:ascii="宋体" w:hAnsi="宋体" w:cs="宋体"/>
        </w:rPr>
        <w:t>2.1 下列行为视为以他人名义投标：</w:t>
      </w:r>
    </w:p>
    <w:p>
      <w:pPr>
        <w:pStyle w:val="2"/>
        <w:kinsoku w:val="0"/>
        <w:overflowPunct w:val="0"/>
        <w:spacing w:before="34" w:line="357" w:lineRule="auto"/>
        <w:ind w:right="126" w:firstLine="480"/>
        <w:rPr>
          <w:rFonts w:ascii="宋体" w:hAnsi="宋体" w:cs="宋体"/>
        </w:rPr>
      </w:pPr>
      <w:r>
        <w:rPr>
          <w:rFonts w:hint="eastAsia" w:ascii="宋体" w:hAnsi="宋体" w:cs="宋体"/>
        </w:rPr>
        <w:t>（1）投标人挂靠其他单位；</w:t>
      </w:r>
    </w:p>
    <w:p>
      <w:pPr>
        <w:pStyle w:val="2"/>
        <w:kinsoku w:val="0"/>
        <w:overflowPunct w:val="0"/>
        <w:spacing w:before="34" w:line="357" w:lineRule="auto"/>
        <w:ind w:right="126" w:firstLine="480"/>
        <w:rPr>
          <w:rFonts w:ascii="宋体" w:hAnsi="宋体" w:cs="宋体"/>
        </w:rPr>
      </w:pPr>
      <w:r>
        <w:rPr>
          <w:rFonts w:hint="eastAsia" w:ascii="宋体" w:hAnsi="宋体" w:cs="宋体"/>
        </w:rPr>
        <w:t>（2）投标人从其它单位通过转让或租借的方式获取资格或资质证书；</w:t>
      </w:r>
    </w:p>
    <w:p>
      <w:pPr>
        <w:pStyle w:val="2"/>
        <w:kinsoku w:val="0"/>
        <w:overflowPunct w:val="0"/>
        <w:spacing w:before="34" w:line="357" w:lineRule="auto"/>
        <w:ind w:right="126" w:firstLine="480"/>
        <w:rPr>
          <w:rFonts w:ascii="宋体" w:hAnsi="宋体" w:cs="宋体"/>
        </w:rPr>
      </w:pPr>
      <w:r>
        <w:rPr>
          <w:rFonts w:hint="eastAsia" w:ascii="宋体" w:hAnsi="宋体" w:cs="宋体"/>
        </w:rPr>
        <w:t>（3）由其它单位及法定代表人在自己编制的投标文件上加盖印章或签字；</w:t>
      </w:r>
    </w:p>
    <w:p>
      <w:pPr>
        <w:pStyle w:val="2"/>
        <w:kinsoku w:val="0"/>
        <w:overflowPunct w:val="0"/>
        <w:spacing w:before="34" w:line="357" w:lineRule="auto"/>
        <w:ind w:right="126" w:firstLine="480"/>
        <w:rPr>
          <w:rFonts w:ascii="宋体" w:hAnsi="宋体" w:cs="宋体"/>
        </w:rPr>
      </w:pPr>
      <w:r>
        <w:rPr>
          <w:rFonts w:hint="eastAsia" w:ascii="宋体" w:hAnsi="宋体" w:cs="宋体"/>
        </w:rPr>
        <w:t>（4）法律法规规定的其它情形。</w:t>
      </w:r>
    </w:p>
    <w:p>
      <w:pPr>
        <w:pStyle w:val="2"/>
        <w:kinsoku w:val="0"/>
        <w:overflowPunct w:val="0"/>
        <w:spacing w:before="34" w:line="357" w:lineRule="auto"/>
        <w:ind w:right="126" w:firstLine="480"/>
        <w:rPr>
          <w:rFonts w:ascii="宋体" w:hAnsi="宋体" w:cs="宋体"/>
        </w:rPr>
      </w:pPr>
      <w:r>
        <w:rPr>
          <w:rFonts w:hint="eastAsia" w:ascii="宋体" w:hAnsi="宋体" w:cs="宋体"/>
        </w:rPr>
        <w:t>2.2 下列行为，视为允许他人以本单位名义承揽工程</w:t>
      </w:r>
    </w:p>
    <w:p>
      <w:pPr>
        <w:pStyle w:val="2"/>
        <w:kinsoku w:val="0"/>
        <w:overflowPunct w:val="0"/>
        <w:spacing w:before="34" w:line="357" w:lineRule="auto"/>
        <w:ind w:right="126" w:firstLine="480"/>
        <w:rPr>
          <w:rFonts w:ascii="宋体" w:hAnsi="宋体" w:cs="宋体"/>
        </w:rPr>
      </w:pPr>
      <w:r>
        <w:rPr>
          <w:rFonts w:hint="eastAsia" w:ascii="宋体" w:hAnsi="宋体" w:cs="宋体"/>
        </w:rPr>
        <w:t>a) 投标人的法定代表人的委托代理人不是投标人本单位人员；</w:t>
      </w:r>
    </w:p>
    <w:p>
      <w:pPr>
        <w:pStyle w:val="2"/>
        <w:kinsoku w:val="0"/>
        <w:overflowPunct w:val="0"/>
        <w:spacing w:before="34" w:line="357" w:lineRule="auto"/>
        <w:ind w:right="126" w:firstLine="480"/>
        <w:rPr>
          <w:rFonts w:ascii="宋体" w:hAnsi="宋体" w:cs="宋体"/>
        </w:rPr>
      </w:pPr>
      <w:r>
        <w:rPr>
          <w:rFonts w:hint="eastAsia" w:ascii="宋体" w:hAnsi="宋体" w:cs="宋体"/>
        </w:rPr>
        <w:t>b) 投标人拟在担任本项目的项目负责人或主要技术人员等不是本单位人员；</w:t>
      </w:r>
    </w:p>
    <w:p>
      <w:pPr>
        <w:pStyle w:val="2"/>
        <w:kinsoku w:val="0"/>
        <w:overflowPunct w:val="0"/>
        <w:spacing w:before="34" w:line="357" w:lineRule="auto"/>
        <w:ind w:right="126" w:firstLine="480"/>
        <w:rPr>
          <w:rFonts w:ascii="宋体" w:hAnsi="宋体" w:cs="宋体"/>
        </w:rPr>
      </w:pPr>
      <w:r>
        <w:rPr>
          <w:rFonts w:hint="eastAsia" w:ascii="宋体" w:hAnsi="宋体" w:cs="宋体"/>
        </w:rPr>
        <w:t>c) 通过出租、出借资质证书或者收取管理费等方式允许他人以本单位名义承接工程；</w:t>
      </w:r>
    </w:p>
    <w:p>
      <w:pPr>
        <w:pStyle w:val="2"/>
        <w:kinsoku w:val="0"/>
        <w:overflowPunct w:val="0"/>
        <w:spacing w:before="34" w:line="357" w:lineRule="auto"/>
        <w:ind w:right="126" w:firstLine="480"/>
        <w:rPr>
          <w:rFonts w:ascii="宋体" w:hAnsi="宋体" w:cs="宋体"/>
        </w:rPr>
      </w:pPr>
      <w:r>
        <w:rPr>
          <w:rFonts w:hint="eastAsia" w:ascii="宋体" w:hAnsi="宋体" w:cs="宋体"/>
        </w:rPr>
        <w:t>d) 投标保证金非投标单位银行基本账户转出，或虽由投标单位银行基本账户转出， 但先由非投标单位人员将投标保证金存入投标单位或有关个人账户，或以其他方式抵押的；</w:t>
      </w:r>
    </w:p>
    <w:p>
      <w:pPr>
        <w:pStyle w:val="2"/>
        <w:kinsoku w:val="0"/>
        <w:overflowPunct w:val="0"/>
        <w:spacing w:before="34" w:line="357" w:lineRule="auto"/>
        <w:ind w:right="126" w:firstLine="480"/>
        <w:rPr>
          <w:rFonts w:ascii="宋体" w:hAnsi="宋体" w:cs="宋体"/>
        </w:rPr>
      </w:pPr>
      <w:r>
        <w:rPr>
          <w:rFonts w:hint="eastAsia" w:ascii="宋体" w:hAnsi="宋体" w:cs="宋体"/>
        </w:rPr>
        <w:t>e) 项目资金未实行项目资金专户分账管理或独立核算制度的；财务管理人员（财务主管和出纳）非本单位人员，或项目资金的使用未经项目经理本人签字、审批的；</w:t>
      </w:r>
    </w:p>
    <w:p>
      <w:pPr>
        <w:pStyle w:val="2"/>
        <w:kinsoku w:val="0"/>
        <w:overflowPunct w:val="0"/>
        <w:spacing w:before="34" w:line="357" w:lineRule="auto"/>
        <w:ind w:right="126" w:firstLine="480"/>
        <w:rPr>
          <w:rFonts w:ascii="宋体" w:hAnsi="宋体" w:cs="宋体"/>
        </w:rPr>
      </w:pPr>
      <w:r>
        <w:rPr>
          <w:rFonts w:hint="eastAsia" w:ascii="宋体" w:hAnsi="宋体" w:cs="宋体"/>
        </w:rPr>
        <w:t>f) 中标后，实际由他人履行职责且他人非本单位人员的(项目负责人换为非本单位人员，或其他主要技术人员有 2 个及以上换为非本单位人员)；</w:t>
      </w:r>
    </w:p>
    <w:p>
      <w:pPr>
        <w:pStyle w:val="2"/>
        <w:kinsoku w:val="0"/>
        <w:overflowPunct w:val="0"/>
        <w:spacing w:before="34" w:line="357" w:lineRule="auto"/>
        <w:ind w:right="126" w:firstLine="480"/>
        <w:rPr>
          <w:rFonts w:ascii="宋体" w:hAnsi="宋体" w:cs="宋体"/>
        </w:rPr>
      </w:pPr>
      <w:r>
        <w:rPr>
          <w:rFonts w:hint="eastAsia" w:ascii="宋体" w:hAnsi="宋体" w:cs="宋体"/>
        </w:rPr>
        <w:t>g) 法律法规规定的其它情形。上述条件中，投标人本单位人员，必须同时满足以下条件：</w:t>
      </w:r>
    </w:p>
    <w:p>
      <w:pPr>
        <w:pStyle w:val="2"/>
        <w:kinsoku w:val="0"/>
        <w:overflowPunct w:val="0"/>
        <w:spacing w:before="34" w:line="357" w:lineRule="auto"/>
        <w:ind w:right="126" w:firstLine="480"/>
        <w:rPr>
          <w:rFonts w:ascii="宋体" w:hAnsi="宋体" w:cs="宋体"/>
        </w:rPr>
      </w:pPr>
      <w:r>
        <w:rPr>
          <w:rFonts w:hint="eastAsia" w:ascii="宋体" w:hAnsi="宋体" w:cs="宋体"/>
        </w:rPr>
        <w:t>（1）聘任合同必须由投标人单位与之签订，项目负责人的聘任合同投标前已执行合同一年以上；</w:t>
      </w:r>
    </w:p>
    <w:p>
      <w:pPr>
        <w:pStyle w:val="2"/>
        <w:kinsoku w:val="0"/>
        <w:overflowPunct w:val="0"/>
        <w:spacing w:before="34" w:line="357" w:lineRule="auto"/>
        <w:ind w:right="126" w:firstLine="480"/>
        <w:rPr>
          <w:rFonts w:ascii="宋体" w:hAnsi="宋体" w:cs="宋体"/>
        </w:rPr>
      </w:pPr>
      <w:r>
        <w:rPr>
          <w:rFonts w:hint="eastAsia" w:ascii="宋体" w:hAnsi="宋体" w:cs="宋体"/>
        </w:rPr>
        <w:t>（2）与投标人单位有合法的工资关系，且投标前已连续支付工资一年以上；</w:t>
      </w:r>
    </w:p>
    <w:p>
      <w:pPr>
        <w:pStyle w:val="2"/>
        <w:kinsoku w:val="0"/>
        <w:overflowPunct w:val="0"/>
        <w:spacing w:before="34" w:line="357" w:lineRule="auto"/>
        <w:ind w:right="126" w:firstLine="480"/>
        <w:rPr>
          <w:rFonts w:ascii="宋体" w:hAnsi="宋体" w:cs="宋体"/>
        </w:rPr>
      </w:pPr>
      <w:r>
        <w:rPr>
          <w:rFonts w:hint="eastAsia" w:ascii="宋体" w:hAnsi="宋体" w:cs="宋体"/>
        </w:rPr>
        <w:t>（3）投标人单位为其办理社会保险关系，政府人事或社保管理部门出具的有效证明其为本单位人员身份的文件。</w:t>
      </w:r>
    </w:p>
    <w:p>
      <w:pPr>
        <w:pStyle w:val="2"/>
        <w:kinsoku w:val="0"/>
        <w:overflowPunct w:val="0"/>
        <w:spacing w:before="34" w:line="357" w:lineRule="auto"/>
        <w:ind w:right="126" w:firstLine="480"/>
        <w:rPr>
          <w:rFonts w:ascii="宋体" w:hAnsi="宋体" w:cs="宋体"/>
        </w:rPr>
      </w:pPr>
      <w:r>
        <w:rPr>
          <w:rFonts w:hint="eastAsia" w:ascii="宋体" w:hAnsi="宋体" w:cs="宋体"/>
        </w:rPr>
        <w:t>2.3 下列行为均视为投标人串通投标：</w:t>
      </w:r>
    </w:p>
    <w:p>
      <w:pPr>
        <w:pStyle w:val="2"/>
        <w:kinsoku w:val="0"/>
        <w:overflowPunct w:val="0"/>
        <w:spacing w:before="34" w:line="357" w:lineRule="auto"/>
        <w:ind w:right="126" w:firstLine="480"/>
        <w:rPr>
          <w:rFonts w:ascii="宋体" w:hAnsi="宋体" w:cs="宋体"/>
        </w:rPr>
      </w:pPr>
      <w:r>
        <w:rPr>
          <w:rFonts w:hint="eastAsia" w:ascii="宋体" w:hAnsi="宋体" w:cs="宋体"/>
        </w:rPr>
        <w:t xml:space="preserve">2.3.1 投标人串通投标报价： </w:t>
      </w:r>
    </w:p>
    <w:p>
      <w:pPr>
        <w:pStyle w:val="2"/>
        <w:kinsoku w:val="0"/>
        <w:overflowPunct w:val="0"/>
        <w:spacing w:before="34" w:line="357" w:lineRule="auto"/>
        <w:ind w:right="126" w:firstLine="480"/>
        <w:rPr>
          <w:rFonts w:ascii="宋体" w:hAnsi="宋体" w:cs="宋体"/>
        </w:rPr>
      </w:pPr>
      <w:r>
        <w:rPr>
          <w:rFonts w:hint="eastAsia" w:ascii="宋体" w:hAnsi="宋体" w:cs="宋体"/>
        </w:rPr>
        <w:t>a）投标人之间相互约定抬高或压低投标报价；</w:t>
      </w:r>
    </w:p>
    <w:p>
      <w:pPr>
        <w:pStyle w:val="2"/>
        <w:kinsoku w:val="0"/>
        <w:overflowPunct w:val="0"/>
        <w:spacing w:before="34" w:line="357" w:lineRule="auto"/>
        <w:ind w:right="126" w:firstLine="480"/>
        <w:rPr>
          <w:rFonts w:ascii="宋体" w:hAnsi="宋体" w:cs="宋体"/>
        </w:rPr>
      </w:pPr>
      <w:r>
        <w:rPr>
          <w:rFonts w:hint="eastAsia" w:ascii="宋体" w:hAnsi="宋体" w:cs="宋体"/>
        </w:rPr>
        <w:t xml:space="preserve">b）投标人之间相互约定，在招标项目中分别以高、中、低价位报价； </w:t>
      </w:r>
    </w:p>
    <w:p>
      <w:pPr>
        <w:pStyle w:val="2"/>
        <w:kinsoku w:val="0"/>
        <w:overflowPunct w:val="0"/>
        <w:spacing w:before="34" w:line="357" w:lineRule="auto"/>
        <w:ind w:right="126" w:firstLine="480"/>
        <w:rPr>
          <w:rFonts w:ascii="宋体" w:hAnsi="宋体" w:cs="宋体"/>
        </w:rPr>
      </w:pPr>
      <w:r>
        <w:rPr>
          <w:rFonts w:hint="eastAsia" w:ascii="宋体" w:hAnsi="宋体" w:cs="宋体"/>
        </w:rPr>
        <w:t xml:space="preserve">c）投标人之间先进行内部竞价，内定中标人，然后再参加投标； </w:t>
      </w:r>
    </w:p>
    <w:p>
      <w:pPr>
        <w:pStyle w:val="2"/>
        <w:kinsoku w:val="0"/>
        <w:overflowPunct w:val="0"/>
        <w:spacing w:before="34" w:line="357" w:lineRule="auto"/>
        <w:ind w:right="126" w:firstLine="480"/>
        <w:rPr>
          <w:rFonts w:ascii="宋体" w:hAnsi="宋体" w:cs="宋体"/>
        </w:rPr>
      </w:pPr>
      <w:r>
        <w:rPr>
          <w:rFonts w:hint="eastAsia" w:ascii="宋体" w:hAnsi="宋体" w:cs="宋体"/>
        </w:rPr>
        <w:t xml:space="preserve">d）不同投标人的投标报价或报价组成异常一致的； </w:t>
      </w:r>
    </w:p>
    <w:p>
      <w:pPr>
        <w:pStyle w:val="2"/>
        <w:kinsoku w:val="0"/>
        <w:overflowPunct w:val="0"/>
        <w:spacing w:before="34" w:line="357" w:lineRule="auto"/>
        <w:ind w:right="126" w:firstLine="480"/>
        <w:rPr>
          <w:rFonts w:ascii="宋体" w:hAnsi="宋体" w:cs="宋体"/>
        </w:rPr>
      </w:pPr>
      <w:r>
        <w:rPr>
          <w:rFonts w:hint="eastAsia" w:ascii="宋体" w:hAnsi="宋体" w:cs="宋体"/>
        </w:rPr>
        <w:t>e）投标人之间其它串通投标报价的行为。</w:t>
      </w:r>
    </w:p>
    <w:p>
      <w:pPr>
        <w:pStyle w:val="2"/>
        <w:kinsoku w:val="0"/>
        <w:overflowPunct w:val="0"/>
        <w:spacing w:before="34" w:line="357" w:lineRule="auto"/>
        <w:ind w:right="126" w:firstLine="480"/>
        <w:rPr>
          <w:rFonts w:ascii="宋体" w:hAnsi="宋体" w:cs="宋体"/>
        </w:rPr>
      </w:pPr>
      <w:r>
        <w:rPr>
          <w:rFonts w:hint="eastAsia" w:ascii="宋体" w:hAnsi="宋体" w:cs="宋体"/>
        </w:rPr>
        <w:t>2.3.2 不同投标人投标文件的编制人或审核人为同一人或同一单位人员的；</w:t>
      </w:r>
    </w:p>
    <w:p>
      <w:pPr>
        <w:pStyle w:val="2"/>
        <w:kinsoku w:val="0"/>
        <w:overflowPunct w:val="0"/>
        <w:spacing w:before="34" w:line="357" w:lineRule="auto"/>
        <w:ind w:right="126" w:firstLine="480"/>
        <w:rPr>
          <w:rFonts w:ascii="宋体" w:hAnsi="宋体" w:cs="宋体"/>
        </w:rPr>
      </w:pPr>
      <w:r>
        <w:rPr>
          <w:rFonts w:hint="eastAsia" w:ascii="宋体" w:hAnsi="宋体" w:cs="宋体"/>
        </w:rPr>
        <w:t>2.3.3 不同投标人投标文件的授权签署人为同一人或同一单位人员的；</w:t>
      </w:r>
    </w:p>
    <w:p>
      <w:pPr>
        <w:pStyle w:val="2"/>
        <w:kinsoku w:val="0"/>
        <w:overflowPunct w:val="0"/>
        <w:spacing w:before="34" w:line="357" w:lineRule="auto"/>
        <w:ind w:right="126" w:firstLine="480"/>
        <w:rPr>
          <w:rFonts w:ascii="宋体" w:hAnsi="宋体" w:cs="宋体"/>
        </w:rPr>
      </w:pPr>
      <w:r>
        <w:rPr>
          <w:rFonts w:hint="eastAsia" w:ascii="宋体" w:hAnsi="宋体" w:cs="宋体"/>
        </w:rPr>
        <w:t>2.3.4 不同投标人委托同一人办理投标事宜的；</w:t>
      </w:r>
    </w:p>
    <w:p>
      <w:pPr>
        <w:pStyle w:val="2"/>
        <w:kinsoku w:val="0"/>
        <w:overflowPunct w:val="0"/>
        <w:spacing w:before="34" w:line="357" w:lineRule="auto"/>
        <w:ind w:right="126" w:firstLine="480"/>
        <w:rPr>
          <w:rFonts w:ascii="宋体" w:hAnsi="宋体" w:cs="宋体"/>
        </w:rPr>
      </w:pPr>
      <w:r>
        <w:rPr>
          <w:rFonts w:hint="eastAsia" w:ascii="宋体" w:hAnsi="宋体" w:cs="宋体"/>
        </w:rPr>
        <w:t>2.3.5 不同投标人的投标文件相互混装的；</w:t>
      </w:r>
    </w:p>
    <w:p>
      <w:pPr>
        <w:pStyle w:val="2"/>
        <w:kinsoku w:val="0"/>
        <w:overflowPunct w:val="0"/>
        <w:spacing w:before="34" w:line="357" w:lineRule="auto"/>
        <w:ind w:right="126" w:firstLine="480"/>
        <w:rPr>
          <w:rFonts w:ascii="宋体" w:hAnsi="宋体" w:cs="宋体"/>
        </w:rPr>
      </w:pPr>
      <w:r>
        <w:rPr>
          <w:rFonts w:hint="eastAsia" w:ascii="宋体" w:hAnsi="宋体" w:cs="宋体"/>
        </w:rPr>
        <w:t>2.3.6 不同投标人使用同一单位的资金缴纳投标保证金的；</w:t>
      </w:r>
    </w:p>
    <w:p>
      <w:pPr>
        <w:pStyle w:val="2"/>
        <w:kinsoku w:val="0"/>
        <w:overflowPunct w:val="0"/>
        <w:spacing w:before="34" w:line="357" w:lineRule="auto"/>
        <w:ind w:right="126" w:firstLine="480"/>
        <w:rPr>
          <w:rFonts w:ascii="宋体" w:hAnsi="宋体" w:cs="宋体"/>
        </w:rPr>
      </w:pPr>
      <w:r>
        <w:rPr>
          <w:rFonts w:hint="eastAsia" w:ascii="宋体" w:hAnsi="宋体" w:cs="宋体"/>
        </w:rPr>
        <w:t>2.3.7 不同投标人的投标文件载明的项目成员出现相同人员的；</w:t>
      </w:r>
    </w:p>
    <w:p>
      <w:pPr>
        <w:pStyle w:val="2"/>
        <w:kinsoku w:val="0"/>
        <w:overflowPunct w:val="0"/>
        <w:spacing w:before="34" w:line="357" w:lineRule="auto"/>
        <w:ind w:right="126" w:firstLine="480"/>
        <w:rPr>
          <w:rFonts w:ascii="宋体" w:hAnsi="宋体" w:cs="宋体"/>
        </w:rPr>
      </w:pPr>
      <w:r>
        <w:rPr>
          <w:rFonts w:hint="eastAsia" w:ascii="宋体" w:hAnsi="宋体" w:cs="宋体"/>
        </w:rPr>
        <w:t>2.3.8 不同投标人的投标文件内容存在非正常一致的；</w:t>
      </w:r>
    </w:p>
    <w:p>
      <w:pPr>
        <w:pStyle w:val="2"/>
        <w:kinsoku w:val="0"/>
        <w:overflowPunct w:val="0"/>
        <w:spacing w:before="34" w:line="357" w:lineRule="auto"/>
        <w:ind w:right="126" w:firstLine="480"/>
        <w:rPr>
          <w:rFonts w:ascii="宋体" w:hAnsi="宋体" w:cs="宋体"/>
        </w:rPr>
      </w:pPr>
      <w:r>
        <w:rPr>
          <w:rFonts w:hint="eastAsia" w:ascii="宋体" w:hAnsi="宋体" w:cs="宋体"/>
        </w:rPr>
        <w:t>2.3.9 不同投标人的服务方案中专门针对本项目的内容基本雷同的；</w:t>
      </w:r>
    </w:p>
    <w:p>
      <w:pPr>
        <w:pStyle w:val="2"/>
        <w:kinsoku w:val="0"/>
        <w:overflowPunct w:val="0"/>
        <w:spacing w:before="34" w:line="357" w:lineRule="auto"/>
        <w:ind w:right="126" w:firstLine="480"/>
        <w:rPr>
          <w:rFonts w:ascii="宋体" w:hAnsi="宋体" w:cs="宋体"/>
        </w:rPr>
      </w:pPr>
      <w:r>
        <w:rPr>
          <w:rFonts w:hint="eastAsia" w:ascii="宋体" w:hAnsi="宋体" w:cs="宋体"/>
        </w:rPr>
        <w:t>2.3.10 不同投标人的投标文件出现评标委员会认为不应当雷同的情况的；</w:t>
      </w:r>
    </w:p>
    <w:p>
      <w:pPr>
        <w:pStyle w:val="2"/>
        <w:kinsoku w:val="0"/>
        <w:overflowPunct w:val="0"/>
        <w:spacing w:before="34" w:line="357" w:lineRule="auto"/>
        <w:ind w:right="126" w:firstLine="480"/>
        <w:rPr>
          <w:rFonts w:ascii="宋体" w:hAnsi="宋体" w:cs="宋体"/>
        </w:rPr>
      </w:pPr>
      <w:r>
        <w:rPr>
          <w:rFonts w:hint="eastAsia" w:ascii="宋体" w:hAnsi="宋体" w:cs="宋体"/>
        </w:rPr>
        <w:t>2.3.11 法律法规规章规定的其他围标串标行为。</w:t>
      </w:r>
    </w:p>
    <w:p>
      <w:pPr>
        <w:pStyle w:val="2"/>
        <w:kinsoku w:val="0"/>
        <w:overflowPunct w:val="0"/>
        <w:spacing w:before="26" w:line="355" w:lineRule="auto"/>
        <w:ind w:right="50"/>
        <w:rPr>
          <w:rFonts w:ascii="宋体" w:hAnsi="宋体" w:cs="宋体"/>
        </w:rPr>
      </w:pPr>
      <w:r>
        <w:rPr>
          <w:rFonts w:hint="eastAsia" w:ascii="宋体" w:hAnsi="宋体" w:cs="宋体"/>
          <w:b/>
          <w:bCs/>
        </w:rPr>
        <w:t>3.对评标委员会成员的纪律要求</w:t>
      </w:r>
      <w:r>
        <w:rPr>
          <w:rFonts w:hint="eastAsia" w:ascii="宋体" w:hAnsi="宋体" w:cs="宋体"/>
        </w:rPr>
        <w:t xml:space="preserve"> </w:t>
      </w:r>
    </w:p>
    <w:p>
      <w:pPr>
        <w:pStyle w:val="2"/>
        <w:kinsoku w:val="0"/>
        <w:overflowPunct w:val="0"/>
        <w:spacing w:before="34" w:line="357" w:lineRule="auto"/>
        <w:ind w:right="126" w:firstLine="480"/>
        <w:rPr>
          <w:rFonts w:ascii="宋体" w:hAnsi="宋体" w:cs="宋体"/>
        </w:rPr>
      </w:pPr>
      <w:r>
        <w:rPr>
          <w:rFonts w:hint="eastAsia" w:ascii="宋体" w:hAnsi="宋体" w:cs="宋体"/>
        </w:rPr>
        <w:t>评标委员会成员不得收受他人的财物或者其他好处，不得向他人透漏对投标文件的评审和比较、中标候选人的推荐情况以及评标有关的其他情况。在评标活动中，评标委员会成员不得擅离职守，</w:t>
      </w:r>
      <w:bookmarkStart w:id="67" w:name="（十三）废标"/>
      <w:bookmarkEnd w:id="67"/>
      <w:bookmarkStart w:id="68" w:name="bookmark14"/>
      <w:bookmarkEnd w:id="68"/>
      <w:bookmarkStart w:id="69" w:name="bookmark13"/>
      <w:bookmarkEnd w:id="69"/>
      <w:bookmarkStart w:id="70" w:name="（十二）无效投标"/>
      <w:bookmarkEnd w:id="70"/>
      <w:r>
        <w:rPr>
          <w:rFonts w:hint="eastAsia" w:ascii="宋体" w:hAnsi="宋体" w:cs="宋体"/>
        </w:rPr>
        <w:t>影响评标程序正常进行，不得使用“评标办法”没有规定的 评审因素和标准进行评标。</w:t>
      </w:r>
    </w:p>
    <w:p>
      <w:pPr>
        <w:pStyle w:val="2"/>
        <w:kinsoku w:val="0"/>
        <w:overflowPunct w:val="0"/>
        <w:spacing w:before="38" w:line="357" w:lineRule="auto"/>
        <w:ind w:left="598" w:right="50" w:hanging="480"/>
        <w:rPr>
          <w:rFonts w:ascii="宋体" w:hAnsi="宋体" w:cs="宋体"/>
          <w:b/>
          <w:bCs/>
          <w:spacing w:val="26"/>
          <w:w w:val="99"/>
        </w:rPr>
      </w:pPr>
      <w:r>
        <w:rPr>
          <w:rFonts w:hint="eastAsia" w:ascii="宋体" w:hAnsi="宋体" w:cs="宋体"/>
          <w:b/>
          <w:bCs/>
        </w:rPr>
        <w:t>4.对与评标活动有关的工作人员的纪律要求</w:t>
      </w:r>
      <w:r>
        <w:rPr>
          <w:rFonts w:hint="eastAsia" w:ascii="宋体" w:hAnsi="宋体" w:cs="宋体"/>
          <w:b/>
          <w:bCs/>
          <w:spacing w:val="26"/>
          <w:w w:val="99"/>
        </w:rPr>
        <w:t xml:space="preserve"> </w:t>
      </w:r>
    </w:p>
    <w:p>
      <w:pPr>
        <w:pStyle w:val="2"/>
        <w:kinsoku w:val="0"/>
        <w:overflowPunct w:val="0"/>
        <w:spacing w:before="34" w:line="357" w:lineRule="auto"/>
        <w:ind w:right="126" w:firstLine="480"/>
        <w:rPr>
          <w:rFonts w:ascii="宋体" w:hAnsi="宋体" w:cs="宋体"/>
        </w:rPr>
      </w:pPr>
      <w:r>
        <w:rPr>
          <w:rFonts w:hint="eastAsia" w:ascii="宋体" w:hAnsi="宋体" w:cs="宋体"/>
        </w:rPr>
        <w:t>与评标活动有关的工作人员不得收受他人的财物或者其他好处，不得向他人透漏对标文件的评审和比较、中标候选人的推荐情况以及评标有关的其他情况。在评标活动中，与评标活动有关的工作人员不得擅离职守，影响评标程序正常进行。</w:t>
      </w:r>
    </w:p>
    <w:p>
      <w:pPr>
        <w:pStyle w:val="4"/>
        <w:rPr>
          <w:rFonts w:ascii="宋体" w:hAnsi="宋体" w:cs="宋体"/>
        </w:rPr>
      </w:pPr>
      <w:bookmarkStart w:id="71" w:name="_Toc14062"/>
      <w:bookmarkStart w:id="72" w:name="_Toc764"/>
      <w:bookmarkStart w:id="73" w:name="_Toc23224"/>
      <w:r>
        <w:rPr>
          <w:rFonts w:hint="eastAsia" w:ascii="宋体" w:hAnsi="宋体" w:cs="宋体"/>
        </w:rPr>
        <w:t>（十）无效投标</w:t>
      </w:r>
      <w:bookmarkEnd w:id="71"/>
      <w:bookmarkEnd w:id="72"/>
      <w:bookmarkEnd w:id="73"/>
    </w:p>
    <w:p>
      <w:pPr>
        <w:pStyle w:val="2"/>
        <w:kinsoku w:val="0"/>
        <w:overflowPunct w:val="0"/>
        <w:spacing w:before="34" w:line="357" w:lineRule="auto"/>
        <w:ind w:right="126" w:firstLine="480"/>
        <w:rPr>
          <w:rFonts w:ascii="宋体" w:hAnsi="宋体" w:cs="宋体"/>
        </w:rPr>
      </w:pPr>
      <w:r>
        <w:rPr>
          <w:rFonts w:hint="eastAsia" w:ascii="宋体" w:hAnsi="宋体" w:cs="宋体"/>
        </w:rPr>
        <w:t xml:space="preserve">遇到下列情况之一时, 投标人的投标将被视为无效投标: </w:t>
      </w:r>
    </w:p>
    <w:p>
      <w:pPr>
        <w:pStyle w:val="2"/>
        <w:kinsoku w:val="0"/>
        <w:overflowPunct w:val="0"/>
        <w:spacing w:before="34" w:line="357" w:lineRule="auto"/>
        <w:ind w:right="126" w:firstLine="480"/>
        <w:rPr>
          <w:rFonts w:ascii="宋体" w:hAnsi="宋体" w:cs="宋体"/>
        </w:rPr>
      </w:pPr>
      <w:r>
        <w:rPr>
          <w:rFonts w:hint="eastAsia" w:ascii="宋体" w:hAnsi="宋体" w:cs="宋体"/>
        </w:rPr>
        <w:t>1)未按照招标文件的规定提交投标保证金的；</w:t>
      </w:r>
    </w:p>
    <w:p>
      <w:pPr>
        <w:pStyle w:val="2"/>
        <w:kinsoku w:val="0"/>
        <w:overflowPunct w:val="0"/>
        <w:spacing w:before="34" w:line="357" w:lineRule="auto"/>
        <w:ind w:right="126" w:firstLine="480"/>
        <w:rPr>
          <w:rFonts w:ascii="宋体" w:hAnsi="宋体" w:cs="宋体"/>
        </w:rPr>
      </w:pPr>
      <w:r>
        <w:rPr>
          <w:rFonts w:hint="eastAsia" w:ascii="宋体" w:hAnsi="宋体" w:cs="宋体"/>
        </w:rPr>
        <w:t>2)投标文件未按招标文件要求签署、盖章的；</w:t>
      </w:r>
    </w:p>
    <w:p>
      <w:pPr>
        <w:pStyle w:val="2"/>
        <w:kinsoku w:val="0"/>
        <w:overflowPunct w:val="0"/>
        <w:spacing w:before="34" w:line="357" w:lineRule="auto"/>
        <w:ind w:right="126" w:firstLine="480"/>
        <w:rPr>
          <w:rFonts w:ascii="宋体" w:hAnsi="宋体" w:cs="宋体"/>
        </w:rPr>
      </w:pPr>
      <w:r>
        <w:rPr>
          <w:rFonts w:hint="eastAsia" w:ascii="宋体" w:hAnsi="宋体" w:cs="宋体"/>
        </w:rPr>
        <w:t>3)不具备招标文件中规定的资格要求的；</w:t>
      </w:r>
    </w:p>
    <w:p>
      <w:pPr>
        <w:pStyle w:val="2"/>
        <w:kinsoku w:val="0"/>
        <w:overflowPunct w:val="0"/>
        <w:spacing w:before="34" w:line="357" w:lineRule="auto"/>
        <w:ind w:right="126" w:firstLine="480"/>
        <w:rPr>
          <w:rFonts w:ascii="宋体" w:hAnsi="宋体" w:cs="宋体"/>
        </w:rPr>
      </w:pPr>
      <w:r>
        <w:rPr>
          <w:rFonts w:hint="eastAsia" w:ascii="宋体" w:hAnsi="宋体" w:cs="宋体"/>
        </w:rPr>
        <w:t>4) 报价超过招标文件中规定的预算金额或者最高限价的；</w:t>
      </w:r>
    </w:p>
    <w:p>
      <w:pPr>
        <w:pStyle w:val="2"/>
        <w:kinsoku w:val="0"/>
        <w:overflowPunct w:val="0"/>
        <w:spacing w:before="34" w:line="357" w:lineRule="auto"/>
        <w:ind w:right="126" w:firstLine="480"/>
        <w:rPr>
          <w:rFonts w:ascii="宋体" w:hAnsi="宋体" w:cs="宋体"/>
        </w:rPr>
      </w:pPr>
      <w:r>
        <w:rPr>
          <w:rFonts w:hint="eastAsia" w:ascii="宋体" w:hAnsi="宋体" w:cs="宋体"/>
        </w:rPr>
        <w:t>5) 投标文件含有采购人不能接受的附加条件的；</w:t>
      </w:r>
    </w:p>
    <w:p>
      <w:pPr>
        <w:pStyle w:val="2"/>
        <w:kinsoku w:val="0"/>
        <w:overflowPunct w:val="0"/>
        <w:spacing w:before="34" w:line="357" w:lineRule="auto"/>
        <w:ind w:right="126" w:firstLine="480"/>
        <w:rPr>
          <w:rFonts w:ascii="宋体" w:hAnsi="宋体" w:cs="宋体"/>
        </w:rPr>
      </w:pPr>
      <w:r>
        <w:rPr>
          <w:rFonts w:hint="eastAsia" w:ascii="宋体" w:hAnsi="宋体" w:cs="宋体"/>
        </w:rPr>
        <w:t>6)法律、法规和招标文件规定的其他无效情形；</w:t>
      </w:r>
    </w:p>
    <w:p>
      <w:pPr>
        <w:pStyle w:val="2"/>
        <w:kinsoku w:val="0"/>
        <w:overflowPunct w:val="0"/>
        <w:spacing w:before="34" w:line="357" w:lineRule="auto"/>
        <w:ind w:right="126" w:firstLine="480"/>
        <w:rPr>
          <w:rFonts w:ascii="宋体" w:hAnsi="宋体" w:cs="宋体"/>
        </w:rPr>
      </w:pPr>
      <w:r>
        <w:rPr>
          <w:rFonts w:hint="eastAsia" w:ascii="宋体" w:hAnsi="宋体" w:cs="宋体"/>
        </w:rPr>
        <w:t xml:space="preserve">7)有下列情形之一的，视为投标人串通投标，其投标无效： </w:t>
      </w:r>
    </w:p>
    <w:p>
      <w:pPr>
        <w:pStyle w:val="2"/>
        <w:kinsoku w:val="0"/>
        <w:overflowPunct w:val="0"/>
        <w:spacing w:before="34" w:line="357" w:lineRule="auto"/>
        <w:ind w:right="126" w:firstLine="480"/>
        <w:rPr>
          <w:rFonts w:ascii="宋体" w:hAnsi="宋体" w:cs="宋体"/>
        </w:rPr>
      </w:pPr>
      <w:r>
        <w:rPr>
          <w:rFonts w:hint="eastAsia" w:ascii="宋体" w:hAnsi="宋体" w:cs="宋体"/>
        </w:rPr>
        <w:t xml:space="preserve">A、不同投标人的投标文件由同一单位或者个人编制； </w:t>
      </w:r>
    </w:p>
    <w:p>
      <w:pPr>
        <w:pStyle w:val="2"/>
        <w:kinsoku w:val="0"/>
        <w:overflowPunct w:val="0"/>
        <w:spacing w:before="34" w:line="357" w:lineRule="auto"/>
        <w:ind w:right="126" w:firstLine="480"/>
        <w:rPr>
          <w:rFonts w:ascii="宋体" w:hAnsi="宋体" w:cs="宋体"/>
        </w:rPr>
      </w:pPr>
      <w:r>
        <w:rPr>
          <w:rFonts w:hint="eastAsia" w:ascii="宋体" w:hAnsi="宋体" w:cs="宋体"/>
        </w:rPr>
        <w:t xml:space="preserve">B、不同投标人委托同一单位或者个人办理投标事宜； </w:t>
      </w:r>
    </w:p>
    <w:p>
      <w:pPr>
        <w:pStyle w:val="2"/>
        <w:kinsoku w:val="0"/>
        <w:overflowPunct w:val="0"/>
        <w:spacing w:before="34" w:line="357" w:lineRule="auto"/>
        <w:ind w:right="126" w:firstLine="480"/>
        <w:rPr>
          <w:rFonts w:ascii="宋体" w:hAnsi="宋体" w:cs="宋体"/>
        </w:rPr>
      </w:pPr>
      <w:r>
        <w:rPr>
          <w:rFonts w:hint="eastAsia" w:ascii="宋体" w:hAnsi="宋体" w:cs="宋体"/>
        </w:rPr>
        <w:t xml:space="preserve">C、不同投标人的投标文件载明的项目管理成员或者联系人员为同一人； </w:t>
      </w:r>
    </w:p>
    <w:p>
      <w:pPr>
        <w:pStyle w:val="2"/>
        <w:kinsoku w:val="0"/>
        <w:overflowPunct w:val="0"/>
        <w:spacing w:before="34" w:line="357" w:lineRule="auto"/>
        <w:ind w:right="126" w:firstLine="480"/>
        <w:rPr>
          <w:rFonts w:ascii="宋体" w:hAnsi="宋体" w:cs="宋体"/>
        </w:rPr>
      </w:pPr>
      <w:r>
        <w:rPr>
          <w:rFonts w:hint="eastAsia" w:ascii="宋体" w:hAnsi="宋体" w:cs="宋体"/>
        </w:rPr>
        <w:t xml:space="preserve">D、不同投标人的投标文件异常一致或者投标报价呈规律性差异； </w:t>
      </w:r>
    </w:p>
    <w:p>
      <w:pPr>
        <w:pStyle w:val="2"/>
        <w:kinsoku w:val="0"/>
        <w:overflowPunct w:val="0"/>
        <w:spacing w:before="34" w:line="357" w:lineRule="auto"/>
        <w:ind w:right="126" w:firstLine="480"/>
        <w:rPr>
          <w:rFonts w:ascii="宋体" w:hAnsi="宋体" w:cs="宋体"/>
        </w:rPr>
      </w:pPr>
      <w:r>
        <w:rPr>
          <w:rFonts w:hint="eastAsia" w:ascii="宋体" w:hAnsi="宋体" w:cs="宋体"/>
        </w:rPr>
        <w:t xml:space="preserve">E、不同投标人的投标文件相互混装； </w:t>
      </w:r>
    </w:p>
    <w:p>
      <w:pPr>
        <w:pStyle w:val="2"/>
        <w:kinsoku w:val="0"/>
        <w:overflowPunct w:val="0"/>
        <w:spacing w:before="34" w:line="357" w:lineRule="auto"/>
        <w:ind w:right="126" w:firstLine="480"/>
        <w:rPr>
          <w:rFonts w:ascii="宋体" w:hAnsi="宋体" w:cs="宋体"/>
        </w:rPr>
      </w:pPr>
      <w:r>
        <w:rPr>
          <w:rFonts w:hint="eastAsia" w:ascii="宋体" w:hAnsi="宋体" w:cs="宋体"/>
        </w:rPr>
        <w:t>F、不同投标人的投标保证金从同一单位或者个人的账户转出。</w:t>
      </w:r>
    </w:p>
    <w:p>
      <w:pPr>
        <w:pStyle w:val="4"/>
        <w:rPr>
          <w:rFonts w:ascii="宋体" w:hAnsi="宋体" w:cs="宋体"/>
        </w:rPr>
      </w:pPr>
      <w:bookmarkStart w:id="74" w:name="_Toc15272"/>
      <w:bookmarkStart w:id="75" w:name="_Toc25703"/>
      <w:bookmarkStart w:id="76" w:name="_Toc836"/>
      <w:r>
        <w:rPr>
          <w:rFonts w:hint="eastAsia" w:ascii="宋体" w:hAnsi="宋体" w:cs="宋体"/>
        </w:rPr>
        <w:t>（十一）废标</w:t>
      </w:r>
      <w:bookmarkEnd w:id="74"/>
      <w:bookmarkEnd w:id="75"/>
      <w:bookmarkEnd w:id="76"/>
    </w:p>
    <w:p>
      <w:pPr>
        <w:pStyle w:val="2"/>
        <w:kinsoku w:val="0"/>
        <w:overflowPunct w:val="0"/>
        <w:spacing w:before="34" w:line="357" w:lineRule="auto"/>
        <w:ind w:right="126" w:firstLine="480"/>
        <w:rPr>
          <w:rFonts w:ascii="宋体" w:hAnsi="宋体" w:cs="宋体"/>
        </w:rPr>
      </w:pPr>
      <w:r>
        <w:rPr>
          <w:rFonts w:hint="eastAsia" w:ascii="宋体" w:hAnsi="宋体" w:cs="宋体"/>
        </w:rPr>
        <w:t>招标采购中，出现下列情形之一的，予以废标：</w:t>
      </w:r>
    </w:p>
    <w:p>
      <w:pPr>
        <w:pStyle w:val="2"/>
        <w:kinsoku w:val="0"/>
        <w:overflowPunct w:val="0"/>
        <w:spacing w:before="34" w:line="357" w:lineRule="auto"/>
        <w:ind w:right="126" w:firstLine="480"/>
        <w:rPr>
          <w:rFonts w:ascii="宋体" w:hAnsi="宋体" w:cs="宋体"/>
        </w:rPr>
      </w:pPr>
      <w:r>
        <w:rPr>
          <w:rFonts w:hint="eastAsia" w:ascii="宋体" w:hAnsi="宋体" w:cs="宋体"/>
        </w:rPr>
        <w:t>（1）符合专业条件的投标单位或者对招标文件作实质响应的投标单位不足</w:t>
      </w:r>
      <w:r>
        <w:rPr>
          <w:rFonts w:hint="eastAsia" w:ascii="宋体" w:hAnsi="宋体" w:cs="宋体"/>
          <w:spacing w:val="4"/>
        </w:rPr>
        <w:t>《政府采购货物和服务招标投标管理办法》、《政府购买服务管理办法（暂行）》、《政府采购招标采购方式管理暂行办法》、《财政部关于政府采购招标采购方式管理暂行办法有关问题的补充通知》及相关法规</w:t>
      </w:r>
      <w:r>
        <w:rPr>
          <w:rFonts w:hint="eastAsia" w:ascii="宋体" w:hAnsi="宋体" w:cs="宋体"/>
        </w:rPr>
        <w:t>规定的家数；</w:t>
      </w:r>
    </w:p>
    <w:p>
      <w:pPr>
        <w:pStyle w:val="2"/>
        <w:kinsoku w:val="0"/>
        <w:overflowPunct w:val="0"/>
        <w:spacing w:before="34" w:line="357" w:lineRule="auto"/>
        <w:ind w:right="126" w:firstLine="480"/>
        <w:rPr>
          <w:rFonts w:ascii="宋体" w:hAnsi="宋体" w:cs="宋体"/>
        </w:rPr>
      </w:pPr>
      <w:r>
        <w:rPr>
          <w:rFonts w:hint="eastAsia" w:ascii="宋体" w:hAnsi="宋体" w:cs="宋体"/>
        </w:rPr>
        <w:t>（2）出现影响采购公正的违法、违规行为的；</w:t>
      </w:r>
    </w:p>
    <w:p>
      <w:pPr>
        <w:pStyle w:val="2"/>
        <w:kinsoku w:val="0"/>
        <w:overflowPunct w:val="0"/>
        <w:spacing w:before="34" w:line="357" w:lineRule="auto"/>
        <w:ind w:right="126" w:firstLine="480"/>
        <w:rPr>
          <w:rFonts w:ascii="宋体" w:hAnsi="宋体" w:cs="宋体"/>
        </w:rPr>
      </w:pPr>
      <w:r>
        <w:rPr>
          <w:rFonts w:hint="eastAsia" w:ascii="宋体" w:hAnsi="宋体" w:cs="宋体"/>
        </w:rPr>
        <w:t>（3）投标人的报价均超过了采购预算，采购人不能支付的；</w:t>
      </w:r>
    </w:p>
    <w:p>
      <w:pPr>
        <w:pStyle w:val="2"/>
        <w:kinsoku w:val="0"/>
        <w:overflowPunct w:val="0"/>
        <w:spacing w:before="34" w:line="357" w:lineRule="auto"/>
        <w:ind w:right="126" w:firstLine="480"/>
        <w:rPr>
          <w:rFonts w:ascii="宋体" w:hAnsi="宋体" w:cs="宋体"/>
        </w:rPr>
      </w:pPr>
      <w:r>
        <w:rPr>
          <w:rFonts w:hint="eastAsia" w:ascii="宋体" w:hAnsi="宋体" w:cs="宋体"/>
        </w:rPr>
        <w:t>（4）因重大变故，采购任务取消的。废标后，招标代理机构应在发布公告相同的网站上公告，并公告废标的详细理由。</w:t>
      </w:r>
    </w:p>
    <w:p>
      <w:pPr>
        <w:pStyle w:val="4"/>
        <w:rPr>
          <w:rFonts w:ascii="宋体" w:hAnsi="宋体" w:cs="宋体"/>
        </w:rPr>
      </w:pPr>
      <w:bookmarkStart w:id="77" w:name="_Toc22061"/>
      <w:bookmarkStart w:id="78" w:name="_Toc23217"/>
      <w:bookmarkStart w:id="79" w:name="_Toc30761"/>
      <w:r>
        <w:rPr>
          <w:rFonts w:hint="eastAsia" w:ascii="宋体" w:hAnsi="宋体" w:cs="宋体"/>
        </w:rPr>
        <w:t>（十二）质疑和投诉</w:t>
      </w:r>
      <w:bookmarkEnd w:id="77"/>
      <w:bookmarkEnd w:id="78"/>
      <w:bookmarkEnd w:id="79"/>
    </w:p>
    <w:p>
      <w:pPr>
        <w:pStyle w:val="2"/>
        <w:kinsoku w:val="0"/>
        <w:overflowPunct w:val="0"/>
        <w:spacing w:before="34" w:line="357" w:lineRule="auto"/>
        <w:ind w:right="126" w:firstLine="480"/>
        <w:rPr>
          <w:rFonts w:ascii="宋体" w:hAnsi="宋体" w:cs="宋体"/>
        </w:rPr>
      </w:pPr>
      <w:r>
        <w:rPr>
          <w:rFonts w:hint="eastAsia" w:ascii="宋体" w:hAnsi="宋体" w:cs="宋体"/>
        </w:rPr>
        <w:t>1.投标人对政府采购活动事项有疑问的，可以向采购人提出询问，采购人应当及时作出答复，但答复的内容不得涉及商业秘密。</w:t>
      </w:r>
    </w:p>
    <w:p>
      <w:pPr>
        <w:pStyle w:val="2"/>
        <w:kinsoku w:val="0"/>
        <w:overflowPunct w:val="0"/>
        <w:spacing w:before="34" w:line="357" w:lineRule="auto"/>
        <w:ind w:right="126" w:firstLine="480"/>
        <w:rPr>
          <w:rFonts w:ascii="宋体" w:hAnsi="宋体" w:cs="宋体"/>
        </w:rPr>
      </w:pPr>
      <w:r>
        <w:rPr>
          <w:rFonts w:hint="eastAsia" w:ascii="宋体" w:hAnsi="宋体" w:cs="宋体"/>
        </w:rPr>
        <w:t>2.投标人认为招标文件、采购过程和中标、中标结果使自己的权益受到损害的，可以在知道或者应知其权益受到损害之日起七个工作日内，以规范的格式，详实的证明材料以书面形式向采购人提出质疑。</w:t>
      </w:r>
    </w:p>
    <w:p>
      <w:pPr>
        <w:pStyle w:val="2"/>
        <w:kinsoku w:val="0"/>
        <w:overflowPunct w:val="0"/>
        <w:spacing w:before="34" w:line="357" w:lineRule="auto"/>
        <w:ind w:right="126" w:firstLine="480"/>
        <w:rPr>
          <w:rFonts w:ascii="宋体" w:hAnsi="宋体" w:cs="宋体"/>
        </w:rPr>
      </w:pPr>
      <w:r>
        <w:rPr>
          <w:rFonts w:hint="eastAsia" w:ascii="宋体" w:hAnsi="宋体" w:cs="宋体"/>
        </w:rPr>
        <w:t>3.采购人应当在收到投标人的书面质疑后七个工作日内作出答复，并以书面形式通知质疑投标人和其他有关投标人，但答复的内容不得涉及商业秘密。</w:t>
      </w:r>
    </w:p>
    <w:p>
      <w:pPr>
        <w:pStyle w:val="2"/>
        <w:kinsoku w:val="0"/>
        <w:overflowPunct w:val="0"/>
        <w:spacing w:before="34" w:line="357" w:lineRule="auto"/>
        <w:ind w:right="126" w:firstLine="480"/>
        <w:rPr>
          <w:rFonts w:ascii="宋体" w:hAnsi="宋体" w:cs="宋体"/>
        </w:rPr>
      </w:pPr>
      <w:r>
        <w:rPr>
          <w:rFonts w:hint="eastAsia" w:ascii="宋体" w:hAnsi="宋体" w:cs="宋体"/>
        </w:rPr>
        <w:t>4.采购人委托采购代理机构采购的，投标人可以向采购代理机构提出询问或者质疑，采购代理机构应当依照《中华人民共和国政府采购法》第五十一条、第五十三条的 规定就采购人委托授权范围内的事项作出答复。</w:t>
      </w:r>
    </w:p>
    <w:p>
      <w:pPr>
        <w:pStyle w:val="2"/>
        <w:kinsoku w:val="0"/>
        <w:overflowPunct w:val="0"/>
        <w:spacing w:before="34" w:line="357" w:lineRule="auto"/>
        <w:ind w:right="126" w:firstLine="480"/>
        <w:rPr>
          <w:rFonts w:ascii="宋体" w:hAnsi="宋体" w:cs="宋体"/>
        </w:rPr>
      </w:pPr>
      <w:r>
        <w:rPr>
          <w:rFonts w:hint="eastAsia" w:ascii="宋体" w:hAnsi="宋体" w:cs="宋体"/>
        </w:rPr>
        <w:t>5.质疑投标人对采购人、采购代理机构的答复不满意或者采购人、采购代理机构未在规定的时间内作出答复的，可以在答复期满后十五个工作日内向同级政府采购监督管理部门投诉。</w:t>
      </w:r>
    </w:p>
    <w:p>
      <w:pPr>
        <w:pStyle w:val="2"/>
        <w:kinsoku w:val="0"/>
        <w:overflowPunct w:val="0"/>
        <w:spacing w:before="34" w:line="357" w:lineRule="auto"/>
        <w:ind w:right="126" w:firstLine="480"/>
        <w:rPr>
          <w:rFonts w:ascii="宋体" w:hAnsi="宋体" w:cs="宋体"/>
        </w:rPr>
      </w:pPr>
      <w:r>
        <w:rPr>
          <w:rFonts w:hint="eastAsia" w:ascii="宋体" w:hAnsi="宋体" w:cs="宋体"/>
        </w:rPr>
        <w:t>6.政府采购监督管理部门应当在收到投诉后三十个工作日内，对投诉事项作出处理决定，并以书面形式通知投诉人和与投诉事项有关的当事人。</w:t>
      </w:r>
    </w:p>
    <w:p>
      <w:pPr>
        <w:pStyle w:val="2"/>
        <w:kinsoku w:val="0"/>
        <w:overflowPunct w:val="0"/>
        <w:spacing w:before="34" w:line="357" w:lineRule="auto"/>
        <w:ind w:right="126" w:firstLine="480"/>
        <w:rPr>
          <w:rFonts w:ascii="宋体" w:hAnsi="宋体" w:cs="宋体"/>
        </w:rPr>
      </w:pPr>
      <w:r>
        <w:rPr>
          <w:rFonts w:hint="eastAsia" w:ascii="宋体" w:hAnsi="宋体" w:cs="宋体"/>
        </w:rPr>
        <w:t>7.政府采购监督管理部门在处理投诉事项期间，可以视具体情况书面通知采购人暂停采购活动，但暂停时间最长不得超过三十日。</w:t>
      </w:r>
    </w:p>
    <w:p>
      <w:pPr>
        <w:pStyle w:val="2"/>
        <w:kinsoku w:val="0"/>
        <w:overflowPunct w:val="0"/>
        <w:spacing w:before="34" w:line="357" w:lineRule="auto"/>
        <w:ind w:right="126" w:firstLine="480"/>
        <w:rPr>
          <w:rFonts w:ascii="宋体" w:hAnsi="宋体" w:cs="宋体"/>
        </w:rPr>
      </w:pPr>
      <w:r>
        <w:rPr>
          <w:rFonts w:hint="eastAsia" w:ascii="宋体" w:hAnsi="宋体" w:cs="宋体"/>
        </w:rPr>
        <w:t>8.投诉人对政府采购监督管理部门的投诉处理决定不服或者政府采购监督管理部门逾期未作处理的，可以依法申请行政复议或者向人民法院提起行政诉讼。</w:t>
      </w:r>
    </w:p>
    <w:p>
      <w:pPr>
        <w:pStyle w:val="2"/>
        <w:kinsoku w:val="0"/>
        <w:overflowPunct w:val="0"/>
        <w:spacing w:before="34" w:line="357" w:lineRule="auto"/>
        <w:ind w:right="126" w:firstLine="480"/>
        <w:rPr>
          <w:rFonts w:ascii="宋体" w:hAnsi="宋体" w:cs="宋体"/>
        </w:rPr>
      </w:pPr>
      <w:r>
        <w:rPr>
          <w:rFonts w:hint="eastAsia" w:ascii="宋体" w:hAnsi="宋体" w:cs="宋体"/>
        </w:rPr>
        <w:t>9.质疑、投诉书应当包括下列主要内容：</w:t>
      </w:r>
    </w:p>
    <w:p>
      <w:pPr>
        <w:pStyle w:val="2"/>
        <w:kinsoku w:val="0"/>
        <w:overflowPunct w:val="0"/>
        <w:spacing w:before="34" w:line="357" w:lineRule="auto"/>
        <w:ind w:right="126" w:firstLine="480"/>
        <w:rPr>
          <w:rFonts w:ascii="宋体" w:hAnsi="宋体" w:cs="宋体"/>
        </w:rPr>
      </w:pPr>
      <w:r>
        <w:rPr>
          <w:rFonts w:hint="eastAsia" w:ascii="宋体" w:hAnsi="宋体" w:cs="宋体"/>
        </w:rPr>
        <w:t>（1）投诉人和被投诉人的名称、地址、电话等；</w:t>
      </w:r>
    </w:p>
    <w:p>
      <w:pPr>
        <w:pStyle w:val="2"/>
        <w:kinsoku w:val="0"/>
        <w:overflowPunct w:val="0"/>
        <w:spacing w:before="34" w:line="357" w:lineRule="auto"/>
        <w:ind w:right="126" w:firstLine="480"/>
        <w:rPr>
          <w:rFonts w:ascii="宋体" w:hAnsi="宋体" w:cs="宋体"/>
        </w:rPr>
      </w:pPr>
      <w:r>
        <w:rPr>
          <w:rFonts w:hint="eastAsia" w:ascii="宋体" w:hAnsi="宋体" w:cs="宋体"/>
        </w:rPr>
        <w:t>（2）具体的投诉事项及事实依据；</w:t>
      </w:r>
    </w:p>
    <w:p>
      <w:pPr>
        <w:pStyle w:val="2"/>
        <w:kinsoku w:val="0"/>
        <w:overflowPunct w:val="0"/>
        <w:spacing w:before="34" w:line="357" w:lineRule="auto"/>
        <w:ind w:right="126" w:firstLine="480"/>
        <w:rPr>
          <w:rFonts w:ascii="宋体" w:hAnsi="宋体" w:cs="宋体"/>
        </w:rPr>
      </w:pPr>
      <w:r>
        <w:rPr>
          <w:rFonts w:hint="eastAsia" w:ascii="宋体" w:hAnsi="宋体" w:cs="宋体"/>
        </w:rPr>
        <w:t>（3）提供有关质疑事项真实可靠的书面证明材料；</w:t>
      </w:r>
    </w:p>
    <w:p>
      <w:pPr>
        <w:pStyle w:val="2"/>
        <w:kinsoku w:val="0"/>
        <w:overflowPunct w:val="0"/>
        <w:spacing w:before="34" w:line="357" w:lineRule="auto"/>
        <w:ind w:right="126" w:firstLine="480"/>
        <w:rPr>
          <w:rFonts w:ascii="宋体" w:hAnsi="宋体" w:cs="宋体"/>
        </w:rPr>
      </w:pPr>
      <w:r>
        <w:rPr>
          <w:rFonts w:hint="eastAsia" w:ascii="宋体" w:hAnsi="宋体" w:cs="宋体"/>
        </w:rPr>
        <w:t>（4）提起投诉的日期。 质疑、投诉书应当署名。质疑、投诉人为自然人的，应当由本人签字；质疑、投诉人为法人或者其他组织的，应当由法定代表人签字并加盖公章；质疑、投诉人为委托授 权人的应该出具针对本质疑、投诉事项的法人委托授权书。</w:t>
      </w:r>
    </w:p>
    <w:p>
      <w:pPr>
        <w:pStyle w:val="2"/>
        <w:kinsoku w:val="0"/>
        <w:overflowPunct w:val="0"/>
        <w:spacing w:before="34" w:line="357" w:lineRule="auto"/>
        <w:ind w:right="126" w:firstLine="480"/>
        <w:rPr>
          <w:rFonts w:ascii="宋体" w:hAnsi="宋体" w:cs="宋体"/>
        </w:rPr>
      </w:pPr>
      <w:r>
        <w:rPr>
          <w:rFonts w:hint="eastAsia" w:ascii="宋体" w:hAnsi="宋体" w:cs="宋体"/>
        </w:rPr>
        <w:t>10.投诉人有下列情形之一的，属于虚假、恶意投诉，财政部门应当驳回投诉，将其列入不良行为记录名单，并依法予以处罚：</w:t>
      </w:r>
    </w:p>
    <w:p>
      <w:pPr>
        <w:pStyle w:val="2"/>
        <w:kinsoku w:val="0"/>
        <w:overflowPunct w:val="0"/>
        <w:spacing w:before="34" w:line="357" w:lineRule="auto"/>
        <w:ind w:right="126" w:firstLine="480"/>
        <w:rPr>
          <w:rFonts w:ascii="宋体" w:hAnsi="宋体" w:cs="宋体"/>
        </w:rPr>
      </w:pPr>
      <w:r>
        <w:rPr>
          <w:rFonts w:hint="eastAsia" w:ascii="宋体" w:hAnsi="宋体" w:cs="宋体"/>
        </w:rPr>
        <w:t>（1）1 年内 3 次以上投诉均查无实据的；</w:t>
      </w:r>
    </w:p>
    <w:p>
      <w:pPr>
        <w:pStyle w:val="2"/>
        <w:kinsoku w:val="0"/>
        <w:overflowPunct w:val="0"/>
        <w:spacing w:before="34" w:line="357" w:lineRule="auto"/>
        <w:ind w:right="126" w:firstLine="480"/>
        <w:rPr>
          <w:rFonts w:ascii="宋体" w:hAnsi="宋体" w:cs="宋体"/>
        </w:rPr>
      </w:pPr>
      <w:r>
        <w:rPr>
          <w:rFonts w:hint="eastAsia" w:ascii="宋体" w:hAnsi="宋体" w:cs="宋体"/>
        </w:rPr>
        <w:t xml:space="preserve">（2）捏造事实或者提供虚假投诉材料的。 </w:t>
      </w:r>
    </w:p>
    <w:p>
      <w:pPr>
        <w:pStyle w:val="2"/>
        <w:kinsoku w:val="0"/>
        <w:overflowPunct w:val="0"/>
        <w:spacing w:before="34" w:line="357" w:lineRule="auto"/>
        <w:ind w:right="126" w:firstLine="480"/>
        <w:rPr>
          <w:rFonts w:ascii="宋体" w:hAnsi="宋体" w:cs="宋体"/>
        </w:rPr>
      </w:pPr>
      <w:r>
        <w:rPr>
          <w:rFonts w:hint="eastAsia" w:ascii="宋体" w:hAnsi="宋体" w:cs="宋体"/>
        </w:rPr>
        <w:t>11.澄清或质疑不予受理的情况有下列情形之一的，属于无效质疑，被质疑人不予受理，由此产生的影响由投标人自行承担：</w:t>
      </w:r>
    </w:p>
    <w:p>
      <w:pPr>
        <w:pStyle w:val="2"/>
        <w:kinsoku w:val="0"/>
        <w:overflowPunct w:val="0"/>
        <w:spacing w:before="34" w:line="357" w:lineRule="auto"/>
        <w:ind w:right="126" w:firstLine="480"/>
        <w:rPr>
          <w:rFonts w:ascii="宋体" w:hAnsi="宋体" w:cs="宋体"/>
        </w:rPr>
      </w:pPr>
      <w:r>
        <w:rPr>
          <w:rFonts w:hint="eastAsia" w:ascii="宋体" w:hAnsi="宋体" w:cs="宋体"/>
        </w:rPr>
        <w:t>（1）不是参与该政府采购项目活动投标人的；</w:t>
      </w:r>
    </w:p>
    <w:p>
      <w:pPr>
        <w:pStyle w:val="2"/>
        <w:kinsoku w:val="0"/>
        <w:overflowPunct w:val="0"/>
        <w:spacing w:before="34" w:line="357" w:lineRule="auto"/>
        <w:ind w:right="126" w:firstLine="480"/>
        <w:rPr>
          <w:rFonts w:ascii="宋体" w:hAnsi="宋体" w:cs="宋体"/>
        </w:rPr>
      </w:pPr>
      <w:r>
        <w:rPr>
          <w:rFonts w:hint="eastAsia" w:ascii="宋体" w:hAnsi="宋体" w:cs="宋体"/>
        </w:rPr>
        <w:t>（2）被质疑人为采购人或政府采购代理机构之外的；</w:t>
      </w:r>
    </w:p>
    <w:p>
      <w:pPr>
        <w:pStyle w:val="2"/>
        <w:kinsoku w:val="0"/>
        <w:overflowPunct w:val="0"/>
        <w:spacing w:before="34" w:line="357" w:lineRule="auto"/>
        <w:ind w:right="126" w:firstLine="480"/>
        <w:rPr>
          <w:rFonts w:ascii="宋体" w:hAnsi="宋体" w:cs="宋体"/>
        </w:rPr>
      </w:pPr>
      <w:r>
        <w:rPr>
          <w:rFonts w:hint="eastAsia" w:ascii="宋体" w:hAnsi="宋体" w:cs="宋体"/>
        </w:rPr>
        <w:t>（3）所有质疑事项超过质疑有效期的；</w:t>
      </w:r>
    </w:p>
    <w:p>
      <w:pPr>
        <w:pStyle w:val="2"/>
        <w:kinsoku w:val="0"/>
        <w:overflowPunct w:val="0"/>
        <w:spacing w:before="34" w:line="357" w:lineRule="auto"/>
        <w:ind w:right="126" w:firstLine="480"/>
        <w:rPr>
          <w:rFonts w:ascii="宋体" w:hAnsi="宋体" w:cs="宋体"/>
        </w:rPr>
      </w:pPr>
      <w:r>
        <w:rPr>
          <w:rFonts w:hint="eastAsia" w:ascii="宋体" w:hAnsi="宋体" w:cs="宋体"/>
        </w:rPr>
        <w:t>（4）以具有法律效力的文书送达之外方式提出的；</w:t>
      </w:r>
    </w:p>
    <w:p>
      <w:pPr>
        <w:pStyle w:val="2"/>
        <w:kinsoku w:val="0"/>
        <w:overflowPunct w:val="0"/>
        <w:spacing w:before="34" w:line="357" w:lineRule="auto"/>
        <w:ind w:right="126" w:firstLine="480"/>
        <w:rPr>
          <w:rFonts w:ascii="宋体" w:hAnsi="宋体" w:cs="宋体"/>
        </w:rPr>
      </w:pPr>
      <w:r>
        <w:rPr>
          <w:rFonts w:hint="eastAsia" w:ascii="宋体" w:hAnsi="宋体" w:cs="宋体"/>
        </w:rPr>
        <w:t>（5）未按上述规定递交澄清或质疑函的；</w:t>
      </w:r>
    </w:p>
    <w:p>
      <w:pPr>
        <w:pStyle w:val="2"/>
        <w:kinsoku w:val="0"/>
        <w:overflowPunct w:val="0"/>
        <w:spacing w:before="34" w:line="357" w:lineRule="auto"/>
        <w:ind w:right="126" w:firstLine="480"/>
        <w:rPr>
          <w:rFonts w:ascii="宋体" w:hAnsi="宋体" w:cs="宋体"/>
        </w:rPr>
      </w:pPr>
      <w:r>
        <w:rPr>
          <w:rFonts w:hint="eastAsia" w:ascii="宋体" w:hAnsi="宋体" w:cs="宋体"/>
        </w:rPr>
        <w:t>（6）其它不符合受理条件的情形。</w:t>
      </w:r>
    </w:p>
    <w:p>
      <w:pPr>
        <w:pStyle w:val="2"/>
        <w:kinsoku w:val="0"/>
        <w:overflowPunct w:val="0"/>
        <w:spacing w:before="34" w:line="357" w:lineRule="auto"/>
        <w:ind w:right="126" w:firstLine="480"/>
        <w:rPr>
          <w:rFonts w:ascii="宋体" w:hAnsi="宋体" w:cs="宋体"/>
        </w:rPr>
      </w:pPr>
      <w:r>
        <w:rPr>
          <w:rFonts w:hint="eastAsia" w:ascii="宋体" w:hAnsi="宋体" w:cs="宋体"/>
        </w:rPr>
        <w:t xml:space="preserve"> 12.腐败和欺诈行为</w:t>
      </w:r>
    </w:p>
    <w:p>
      <w:pPr>
        <w:pStyle w:val="2"/>
        <w:kinsoku w:val="0"/>
        <w:overflowPunct w:val="0"/>
        <w:spacing w:before="34" w:line="357" w:lineRule="auto"/>
        <w:ind w:right="126" w:firstLine="480"/>
        <w:rPr>
          <w:rFonts w:ascii="宋体" w:hAnsi="宋体" w:cs="宋体"/>
        </w:rPr>
      </w:pPr>
      <w:r>
        <w:rPr>
          <w:rFonts w:hint="eastAsia" w:ascii="宋体" w:hAnsi="宋体" w:cs="宋体"/>
        </w:rPr>
        <w:t>（1）定义 “腐败行为”系指提供、给予、接受或索取任何有价值的物品来影响招标代理机构和/或采购人在采购过程或合同实施过程中的行为。 “欺诈行为”系指为了影响采购过程或合同实施过程而谎报事实，损害招标代理机构和采购人的利益，包括投标人之间串通投标（递交《投标文件》之前和之后）， 人为地使投标丧失招标，剥夺采购人从自由公开竞争所能获得的权益。</w:t>
      </w:r>
    </w:p>
    <w:p>
      <w:pPr>
        <w:pStyle w:val="2"/>
        <w:kinsoku w:val="0"/>
        <w:overflowPunct w:val="0"/>
        <w:spacing w:before="34" w:line="357" w:lineRule="auto"/>
        <w:ind w:right="126" w:firstLine="480"/>
        <w:jc w:val="left"/>
        <w:rPr>
          <w:rFonts w:ascii="宋体" w:hAnsi="宋体" w:cs="宋体"/>
        </w:rPr>
      </w:pPr>
      <w:r>
        <w:rPr>
          <w:rFonts w:hint="eastAsia" w:ascii="宋体" w:hAnsi="宋体" w:cs="宋体"/>
        </w:rPr>
        <w:t>（2）如果招标代理机构和采购人认为投标人在本项目的竞争中有腐败或欺诈行为， 其投标将被拒绝。</w:t>
      </w:r>
    </w:p>
    <w:p>
      <w:pPr>
        <w:pStyle w:val="3"/>
        <w:jc w:val="center"/>
        <w:rPr>
          <w:rFonts w:ascii="微软雅黑" w:hAnsi="微软雅黑" w:eastAsia="微软雅黑" w:cs="微软雅黑"/>
          <w:bCs w:val="0"/>
          <w:color w:val="auto"/>
          <w:kern w:val="2"/>
          <w:sz w:val="40"/>
          <w:szCs w:val="22"/>
        </w:rPr>
      </w:pPr>
      <w:bookmarkStart w:id="80" w:name="_Toc1184"/>
      <w:r>
        <w:rPr>
          <w:rFonts w:hint="eastAsia" w:ascii="微软雅黑" w:hAnsi="微软雅黑" w:eastAsia="微软雅黑" w:cs="微软雅黑"/>
          <w:bCs w:val="0"/>
          <w:color w:val="auto"/>
          <w:kern w:val="2"/>
          <w:sz w:val="40"/>
          <w:szCs w:val="22"/>
        </w:rPr>
        <w:br w:type="page"/>
      </w:r>
      <w:bookmarkStart w:id="81" w:name="_Toc3405"/>
      <w:bookmarkStart w:id="82" w:name="_Toc2290"/>
      <w:r>
        <w:rPr>
          <w:rFonts w:hint="eastAsia" w:ascii="微软雅黑" w:hAnsi="微软雅黑" w:eastAsia="微软雅黑" w:cs="微软雅黑"/>
          <w:bCs w:val="0"/>
          <w:color w:val="auto"/>
          <w:kern w:val="2"/>
          <w:sz w:val="40"/>
          <w:szCs w:val="22"/>
        </w:rPr>
        <w:t>第三章  评标办法</w:t>
      </w:r>
      <w:bookmarkEnd w:id="80"/>
      <w:bookmarkEnd w:id="81"/>
      <w:bookmarkEnd w:id="82"/>
    </w:p>
    <w:p>
      <w:pPr>
        <w:rPr>
          <w:rFonts w:ascii="宋体" w:hAnsi="宋体" w:cs="宋体"/>
          <w:b/>
          <w:bCs/>
        </w:rPr>
      </w:pPr>
      <w:r>
        <w:rPr>
          <w:rFonts w:hint="eastAsia" w:ascii="宋体" w:hAnsi="宋体" w:cs="宋体"/>
          <w:b/>
          <w:bCs/>
        </w:rPr>
        <w:t>一、总则</w:t>
      </w:r>
    </w:p>
    <w:p>
      <w:pPr>
        <w:pStyle w:val="2"/>
        <w:kinsoku w:val="0"/>
        <w:overflowPunct w:val="0"/>
        <w:spacing w:before="34" w:line="357" w:lineRule="auto"/>
        <w:ind w:right="126" w:firstLine="480"/>
        <w:rPr>
          <w:rFonts w:ascii="宋体" w:hAnsi="宋体" w:cs="宋体"/>
        </w:rPr>
      </w:pPr>
      <w:r>
        <w:rPr>
          <w:rFonts w:hint="eastAsia" w:ascii="宋体" w:hAnsi="宋体" w:cs="宋体"/>
        </w:rPr>
        <w:t>1.根据《中华人民共和国政府采购法》、《中华人民共和国政府采购法实施条例》、《政府购买服务管理办法（暂行）》、《政府采购招标采购方式管理暂行办法》等法律规章，结合采购项目特点制定本评标办法。</w:t>
      </w:r>
    </w:p>
    <w:p>
      <w:pPr>
        <w:pStyle w:val="2"/>
        <w:kinsoku w:val="0"/>
        <w:overflowPunct w:val="0"/>
        <w:spacing w:before="34" w:line="357" w:lineRule="auto"/>
        <w:ind w:right="126" w:firstLine="480"/>
        <w:rPr>
          <w:rFonts w:ascii="宋体" w:hAnsi="宋体" w:cs="宋体"/>
        </w:rPr>
      </w:pPr>
      <w:r>
        <w:rPr>
          <w:rFonts w:hint="eastAsia" w:ascii="宋体" w:hAnsi="宋体" w:cs="宋体"/>
        </w:rPr>
        <w:t>2.评标工作由招标代理机构负责组织，具体评标事务由招标代理机构依法组建的评标委员会负责。评标委员会成员人数不少于 5 人，为单数，其中技术、经济等方面的专家不少于成员总数的三分之二。评标委员会由有关技术、经济等方面的专家组成。</w:t>
      </w:r>
    </w:p>
    <w:p>
      <w:pPr>
        <w:pStyle w:val="2"/>
        <w:kinsoku w:val="0"/>
        <w:overflowPunct w:val="0"/>
        <w:spacing w:before="34" w:line="357" w:lineRule="auto"/>
        <w:ind w:right="126" w:firstLine="480"/>
        <w:rPr>
          <w:rFonts w:ascii="宋体" w:hAnsi="宋体" w:cs="宋体"/>
        </w:rPr>
      </w:pPr>
      <w:r>
        <w:rPr>
          <w:rFonts w:hint="eastAsia" w:ascii="宋体" w:hAnsi="宋体" w:cs="宋体"/>
        </w:rPr>
        <w:t>3.评标工作应遵循公平、公正、科学及择优的原则，并以相同的评标程序和标准对待所有的投标人。</w:t>
      </w:r>
    </w:p>
    <w:p>
      <w:pPr>
        <w:pStyle w:val="2"/>
        <w:kinsoku w:val="0"/>
        <w:overflowPunct w:val="0"/>
        <w:spacing w:before="34" w:line="357" w:lineRule="auto"/>
        <w:ind w:right="126" w:firstLine="480"/>
        <w:rPr>
          <w:rFonts w:ascii="宋体" w:hAnsi="宋体" w:cs="宋体"/>
        </w:rPr>
      </w:pPr>
      <w:r>
        <w:rPr>
          <w:rFonts w:hint="eastAsia" w:ascii="宋体" w:hAnsi="宋体" w:cs="宋体"/>
        </w:rPr>
        <w:t>4.评标委员会按照招标文件规定的评标方法和标准进行评标，并独立履行下列职责：</w:t>
      </w:r>
    </w:p>
    <w:p>
      <w:pPr>
        <w:pStyle w:val="2"/>
        <w:kinsoku w:val="0"/>
        <w:overflowPunct w:val="0"/>
        <w:spacing w:before="34" w:line="357" w:lineRule="auto"/>
        <w:ind w:right="126" w:firstLine="480"/>
        <w:rPr>
          <w:rFonts w:ascii="宋体" w:hAnsi="宋体" w:cs="宋体"/>
        </w:rPr>
      </w:pPr>
      <w:r>
        <w:rPr>
          <w:rFonts w:hint="eastAsia" w:ascii="宋体" w:hAnsi="宋体" w:cs="宋体"/>
        </w:rPr>
        <w:t>（1）审查投标文件是否符合招标文件要求，并做出评价；</w:t>
      </w:r>
    </w:p>
    <w:p>
      <w:pPr>
        <w:pStyle w:val="2"/>
        <w:kinsoku w:val="0"/>
        <w:overflowPunct w:val="0"/>
        <w:spacing w:before="34" w:line="357" w:lineRule="auto"/>
        <w:ind w:left="598" w:right="126"/>
        <w:rPr>
          <w:rFonts w:ascii="宋体" w:hAnsi="宋体" w:cs="宋体"/>
        </w:rPr>
      </w:pPr>
      <w:r>
        <w:rPr>
          <w:rFonts w:hint="eastAsia" w:ascii="宋体" w:hAnsi="宋体" w:cs="宋体"/>
        </w:rPr>
        <w:t>★（2）要求投标投标人对投标文件有关事项做出解释或者澄清；</w:t>
      </w:r>
    </w:p>
    <w:p>
      <w:pPr>
        <w:pStyle w:val="2"/>
        <w:kinsoku w:val="0"/>
        <w:overflowPunct w:val="0"/>
        <w:spacing w:before="34" w:line="357" w:lineRule="auto"/>
        <w:ind w:right="126" w:firstLine="480"/>
        <w:rPr>
          <w:rFonts w:ascii="宋体" w:hAnsi="宋体" w:cs="宋体"/>
        </w:rPr>
      </w:pPr>
      <w:r>
        <w:rPr>
          <w:rFonts w:hint="eastAsia" w:ascii="宋体" w:hAnsi="宋体" w:cs="宋体"/>
        </w:rPr>
        <w:t>（3）推荐中标候选投标人名单，或者受采购人委托按照事先确定的办法直接确定中标单位；</w:t>
      </w:r>
    </w:p>
    <w:p>
      <w:pPr>
        <w:pStyle w:val="2"/>
        <w:kinsoku w:val="0"/>
        <w:overflowPunct w:val="0"/>
        <w:spacing w:before="34" w:line="357" w:lineRule="auto"/>
        <w:ind w:right="126" w:firstLine="480"/>
        <w:rPr>
          <w:rFonts w:ascii="宋体" w:hAnsi="宋体" w:cs="宋体"/>
        </w:rPr>
      </w:pPr>
      <w:r>
        <w:rPr>
          <w:rFonts w:hint="eastAsia" w:ascii="宋体" w:hAnsi="宋体" w:cs="宋体"/>
        </w:rPr>
        <w:t>（4）向招标采购单位或者有关部门报告非法干预评标工作的行为。</w:t>
      </w:r>
    </w:p>
    <w:p>
      <w:pPr>
        <w:pStyle w:val="2"/>
        <w:kinsoku w:val="0"/>
        <w:overflowPunct w:val="0"/>
        <w:spacing w:before="38" w:line="357" w:lineRule="auto"/>
        <w:ind w:left="598" w:right="50" w:hanging="480"/>
        <w:rPr>
          <w:rFonts w:ascii="宋体" w:hAnsi="宋体" w:cs="宋体"/>
          <w:b/>
          <w:bCs/>
        </w:rPr>
      </w:pPr>
      <w:r>
        <w:rPr>
          <w:rFonts w:hint="eastAsia" w:ascii="宋体" w:hAnsi="宋体" w:cs="宋体"/>
          <w:b/>
          <w:bCs/>
        </w:rPr>
        <w:t>二、评标、定标组织</w:t>
      </w:r>
    </w:p>
    <w:p>
      <w:pPr>
        <w:pStyle w:val="2"/>
        <w:kinsoku w:val="0"/>
        <w:overflowPunct w:val="0"/>
        <w:spacing w:before="34" w:line="357" w:lineRule="auto"/>
        <w:ind w:right="126" w:firstLine="480"/>
        <w:rPr>
          <w:rFonts w:ascii="宋体" w:hAnsi="宋体" w:cs="宋体"/>
        </w:rPr>
      </w:pPr>
      <w:r>
        <w:rPr>
          <w:rFonts w:hint="eastAsia" w:ascii="宋体" w:hAnsi="宋体" w:cs="宋体"/>
        </w:rPr>
        <w:t>1.由评标委员会组织进行评标。</w:t>
      </w:r>
    </w:p>
    <w:p>
      <w:pPr>
        <w:pStyle w:val="2"/>
        <w:kinsoku w:val="0"/>
        <w:overflowPunct w:val="0"/>
        <w:spacing w:before="34" w:line="357" w:lineRule="auto"/>
        <w:ind w:right="126" w:firstLine="480"/>
        <w:rPr>
          <w:rFonts w:ascii="宋体" w:hAnsi="宋体" w:cs="宋体"/>
        </w:rPr>
      </w:pPr>
      <w:r>
        <w:rPr>
          <w:rFonts w:hint="eastAsia" w:ascii="宋体" w:hAnsi="宋体" w:cs="宋体"/>
        </w:rPr>
        <w:t>2.评标委员会由业主代表与专家库随机抽取的专家共 5 人组成，评标委员会组长由评标委员会成员共同推举产生，评标委员会组长主持整个评标工作，与评标委员会的其他成员有同等的表决权。</w:t>
      </w:r>
    </w:p>
    <w:p>
      <w:pPr>
        <w:pStyle w:val="2"/>
        <w:kinsoku w:val="0"/>
        <w:overflowPunct w:val="0"/>
        <w:spacing w:before="38" w:line="357" w:lineRule="auto"/>
        <w:ind w:left="598" w:right="50" w:hanging="480"/>
        <w:rPr>
          <w:rFonts w:ascii="宋体" w:hAnsi="宋体" w:cs="宋体"/>
          <w:b/>
          <w:bCs/>
        </w:rPr>
      </w:pPr>
      <w:r>
        <w:rPr>
          <w:rFonts w:hint="eastAsia" w:ascii="宋体" w:hAnsi="宋体" w:cs="宋体"/>
          <w:b/>
          <w:bCs/>
        </w:rPr>
        <w:t>三、评标原则</w:t>
      </w:r>
    </w:p>
    <w:p>
      <w:pPr>
        <w:pStyle w:val="2"/>
        <w:kinsoku w:val="0"/>
        <w:overflowPunct w:val="0"/>
        <w:spacing w:before="34" w:line="357" w:lineRule="auto"/>
        <w:ind w:right="126" w:firstLine="480"/>
        <w:rPr>
          <w:rFonts w:ascii="宋体" w:hAnsi="宋体" w:cs="宋体"/>
        </w:rPr>
      </w:pPr>
      <w:r>
        <w:rPr>
          <w:rFonts w:hint="eastAsia" w:ascii="宋体" w:hAnsi="宋体" w:cs="宋体"/>
        </w:rPr>
        <w:t>1.评标委员会按照公平、公正、科学、择优的原则对待所有的投标人；</w:t>
      </w:r>
    </w:p>
    <w:p>
      <w:pPr>
        <w:pStyle w:val="2"/>
        <w:kinsoku w:val="0"/>
        <w:overflowPunct w:val="0"/>
        <w:spacing w:before="34" w:line="357" w:lineRule="auto"/>
        <w:ind w:right="126" w:firstLine="480"/>
        <w:rPr>
          <w:rFonts w:ascii="宋体" w:hAnsi="宋体" w:cs="宋体"/>
        </w:rPr>
      </w:pPr>
      <w:r>
        <w:rPr>
          <w:rFonts w:hint="eastAsia" w:ascii="宋体" w:hAnsi="宋体" w:cs="宋体"/>
        </w:rPr>
        <w:t>2.评标委员会成员应当客观、公正地履行职责，遵守职业道德，对所提出的评审意见承担个人责任；评标委员会成员实行主动回避制度；评标委员会成员及工作人员对整个评标活动保密。</w:t>
      </w:r>
    </w:p>
    <w:p>
      <w:pPr>
        <w:pStyle w:val="2"/>
        <w:kinsoku w:val="0"/>
        <w:overflowPunct w:val="0"/>
        <w:spacing w:before="34" w:line="357" w:lineRule="auto"/>
        <w:ind w:right="126" w:firstLine="480"/>
        <w:rPr>
          <w:rFonts w:ascii="宋体" w:hAnsi="宋体" w:cs="宋体"/>
        </w:rPr>
      </w:pPr>
      <w:r>
        <w:rPr>
          <w:rFonts w:hint="eastAsia" w:ascii="宋体" w:hAnsi="宋体" w:cs="宋体"/>
        </w:rPr>
        <w:t>3.评标委员会审查投标文件是否符合招标文件的所有条款、条件和规定。</w:t>
      </w:r>
    </w:p>
    <w:p>
      <w:pPr>
        <w:pStyle w:val="2"/>
        <w:kinsoku w:val="0"/>
        <w:overflowPunct w:val="0"/>
        <w:spacing w:before="34" w:line="357" w:lineRule="auto"/>
        <w:ind w:right="126" w:firstLine="480"/>
        <w:rPr>
          <w:rFonts w:ascii="宋体" w:hAnsi="宋体" w:cs="宋体"/>
        </w:rPr>
      </w:pPr>
      <w:r>
        <w:rPr>
          <w:rFonts w:hint="eastAsia" w:ascii="宋体" w:hAnsi="宋体" w:cs="宋体"/>
        </w:rPr>
        <w:t xml:space="preserve">4.评标只对实质上响应招标文件要求的有效投标文件进行评审，响应的依据是投标文件本身的内容，而不寻求其它证据。 </w:t>
      </w:r>
    </w:p>
    <w:p>
      <w:pPr>
        <w:pStyle w:val="2"/>
        <w:kinsoku w:val="0"/>
        <w:overflowPunct w:val="0"/>
        <w:spacing w:before="34" w:line="357" w:lineRule="auto"/>
        <w:ind w:right="126" w:firstLine="480"/>
        <w:rPr>
          <w:rFonts w:ascii="宋体" w:hAnsi="宋体" w:cs="宋体"/>
        </w:rPr>
      </w:pPr>
      <w:r>
        <w:rPr>
          <w:rFonts w:hint="eastAsia" w:ascii="宋体" w:hAnsi="宋体" w:cs="宋体"/>
        </w:rPr>
        <w:t xml:space="preserve">5.评标将依据招标文件确定的标准和方法，结合投标文件及其补充文件进行，不得忽视投标文件的实质性内容进行评标。 </w:t>
      </w:r>
    </w:p>
    <w:p>
      <w:pPr>
        <w:pStyle w:val="2"/>
        <w:kinsoku w:val="0"/>
        <w:overflowPunct w:val="0"/>
        <w:spacing w:before="34" w:line="357" w:lineRule="auto"/>
        <w:ind w:right="126" w:firstLine="480"/>
        <w:rPr>
          <w:rFonts w:ascii="宋体" w:hAnsi="宋体" w:cs="宋体"/>
        </w:rPr>
      </w:pPr>
      <w:r>
        <w:rPr>
          <w:rFonts w:hint="eastAsia" w:ascii="宋体" w:hAnsi="宋体" w:cs="宋体"/>
        </w:rPr>
        <w:t>6.评标活动依法进行，任何单位和个人不得非法干预、阻挠采购人采购代理机构的正常工作或者影响评标过程和结果。</w:t>
      </w:r>
    </w:p>
    <w:p>
      <w:pPr>
        <w:pStyle w:val="2"/>
        <w:kinsoku w:val="0"/>
        <w:overflowPunct w:val="0"/>
        <w:spacing w:before="38" w:line="357" w:lineRule="auto"/>
        <w:ind w:left="598" w:right="50" w:hanging="480"/>
        <w:rPr>
          <w:rFonts w:ascii="宋体" w:hAnsi="宋体" w:cs="宋体"/>
          <w:b/>
          <w:bCs/>
        </w:rPr>
      </w:pPr>
      <w:r>
        <w:rPr>
          <w:rFonts w:hint="eastAsia" w:ascii="宋体" w:hAnsi="宋体" w:cs="宋体"/>
          <w:b/>
          <w:bCs/>
        </w:rPr>
        <w:t>四、评标方法</w:t>
      </w:r>
    </w:p>
    <w:p>
      <w:pPr>
        <w:pStyle w:val="2"/>
        <w:kinsoku w:val="0"/>
        <w:overflowPunct w:val="0"/>
        <w:spacing w:before="34" w:line="357" w:lineRule="auto"/>
        <w:ind w:right="126" w:firstLine="480"/>
        <w:rPr>
          <w:rFonts w:ascii="宋体" w:hAnsi="宋体" w:cs="宋体"/>
        </w:rPr>
      </w:pPr>
      <w:r>
        <w:rPr>
          <w:rFonts w:hint="eastAsia" w:ascii="宋体" w:hAnsi="宋体" w:cs="宋体"/>
        </w:rPr>
        <w:t>1.本次采购项目定标采用“综合评分法”。“综合评分法”是指在最大限度地满足招标文件实质性要求前提下，以投标报价、技术响应程度、售后服务、商务等综合实力多个因素作为评审指标，全面比较各投标文件质量、价格、投标人的售后服务、资信情况等因素客观地进行评审，使评审的结果能准确地反映投标人的实际情况，并将各指标量化计分，按总得分排列顺序，确定中标人的方法。总得分最高的投标人作为拟中标单位。</w:t>
      </w:r>
    </w:p>
    <w:p>
      <w:pPr>
        <w:pStyle w:val="2"/>
        <w:kinsoku w:val="0"/>
        <w:overflowPunct w:val="0"/>
        <w:spacing w:before="34" w:line="357" w:lineRule="auto"/>
        <w:ind w:right="126" w:firstLine="480"/>
        <w:rPr>
          <w:rFonts w:ascii="宋体" w:hAnsi="宋体" w:cs="宋体"/>
        </w:rPr>
      </w:pPr>
      <w:r>
        <w:rPr>
          <w:rFonts w:hint="eastAsia" w:ascii="宋体" w:hAnsi="宋体" w:cs="宋体"/>
        </w:rPr>
        <w:t>2.采购人、招标代理机构不向投标人承诺最低价中标，不解释中标或落标原因，不退还投标文件。</w:t>
      </w:r>
    </w:p>
    <w:p>
      <w:pPr>
        <w:pStyle w:val="2"/>
        <w:kinsoku w:val="0"/>
        <w:overflowPunct w:val="0"/>
        <w:spacing w:before="34" w:line="357" w:lineRule="auto"/>
        <w:ind w:right="126" w:firstLine="480"/>
        <w:rPr>
          <w:rFonts w:ascii="宋体" w:hAnsi="宋体" w:cs="宋体"/>
        </w:rPr>
      </w:pPr>
      <w:r>
        <w:rPr>
          <w:rFonts w:hint="eastAsia" w:ascii="宋体" w:hAnsi="宋体" w:cs="宋体"/>
        </w:rPr>
        <w:t>3.投标人申报的关于资质、业绩等文件和材料必须真实准确，不得弄虚作假。</w:t>
      </w:r>
    </w:p>
    <w:p>
      <w:pPr>
        <w:pStyle w:val="2"/>
        <w:kinsoku w:val="0"/>
        <w:overflowPunct w:val="0"/>
        <w:spacing w:before="34" w:line="357" w:lineRule="auto"/>
        <w:ind w:right="126" w:firstLine="480"/>
        <w:rPr>
          <w:rFonts w:ascii="宋体" w:hAnsi="宋体" w:cs="宋体"/>
        </w:rPr>
      </w:pPr>
      <w:r>
        <w:rPr>
          <w:rFonts w:hint="eastAsia" w:ascii="宋体" w:hAnsi="宋体" w:cs="宋体"/>
        </w:rPr>
        <w:t>4.投标人不得以任何形式搜集评标机密，不得以任何形式干扰评标或授标工作。</w:t>
      </w:r>
    </w:p>
    <w:p>
      <w:pPr>
        <w:pStyle w:val="2"/>
        <w:kinsoku w:val="0"/>
        <w:overflowPunct w:val="0"/>
        <w:spacing w:before="34" w:line="357" w:lineRule="auto"/>
        <w:ind w:right="126" w:firstLine="480"/>
        <w:rPr>
          <w:rFonts w:ascii="宋体" w:hAnsi="宋体" w:cs="宋体"/>
        </w:rPr>
      </w:pPr>
      <w:r>
        <w:rPr>
          <w:rFonts w:hint="eastAsia" w:ascii="宋体" w:hAnsi="宋体" w:cs="宋体"/>
        </w:rPr>
        <w:t>5.投标人在投标文件的评审、澄清、比较以及授予合同过程中对评标人员施加影响的任何行为，都将导致被取消投标资格。</w:t>
      </w:r>
    </w:p>
    <w:p>
      <w:pPr>
        <w:pStyle w:val="2"/>
        <w:kinsoku w:val="0"/>
        <w:overflowPunct w:val="0"/>
        <w:spacing w:before="34" w:line="357" w:lineRule="auto"/>
        <w:ind w:right="126" w:firstLine="480"/>
        <w:rPr>
          <w:rFonts w:ascii="宋体" w:hAnsi="宋体" w:cs="宋体"/>
        </w:rPr>
      </w:pPr>
      <w:r>
        <w:rPr>
          <w:rFonts w:hint="eastAsia" w:ascii="宋体" w:hAnsi="宋体" w:cs="宋体"/>
        </w:rPr>
        <w:t>6.投标人应具备较强的技术力量及综合实力，在众多项目中业绩、信誉良好，并能确保本次招标采购的长远售后服务。</w:t>
      </w:r>
    </w:p>
    <w:p>
      <w:pPr>
        <w:pStyle w:val="2"/>
        <w:kinsoku w:val="0"/>
        <w:overflowPunct w:val="0"/>
        <w:spacing w:before="34" w:line="357" w:lineRule="auto"/>
        <w:ind w:right="126" w:firstLine="480"/>
        <w:rPr>
          <w:rFonts w:ascii="宋体" w:hAnsi="宋体" w:cs="宋体"/>
        </w:rPr>
      </w:pPr>
      <w:r>
        <w:rPr>
          <w:rFonts w:hint="eastAsia" w:ascii="宋体" w:hAnsi="宋体" w:cs="宋体"/>
        </w:rPr>
        <w:t>7.评标委员会成员对需要共同认定的事项存在争议的，应当按照少数服从多数的原则作出结论。持不同意见的评标委员会成员应当在评标报告上签署不同意见及理由，否则视为同意评标报告。</w:t>
      </w:r>
    </w:p>
    <w:p>
      <w:pPr>
        <w:pStyle w:val="2"/>
        <w:kinsoku w:val="0"/>
        <w:overflowPunct w:val="0"/>
        <w:spacing w:before="38" w:line="357" w:lineRule="auto"/>
        <w:ind w:left="598" w:right="50" w:hanging="480"/>
        <w:rPr>
          <w:rFonts w:ascii="宋体" w:hAnsi="宋体" w:cs="宋体"/>
          <w:b/>
          <w:bCs/>
        </w:rPr>
      </w:pPr>
      <w:r>
        <w:rPr>
          <w:rFonts w:hint="eastAsia" w:ascii="宋体" w:hAnsi="宋体" w:cs="宋体"/>
          <w:b/>
          <w:bCs/>
        </w:rPr>
        <w:t xml:space="preserve">五、评标过程的保密性 </w:t>
      </w:r>
    </w:p>
    <w:p>
      <w:pPr>
        <w:pStyle w:val="2"/>
        <w:kinsoku w:val="0"/>
        <w:overflowPunct w:val="0"/>
        <w:spacing w:before="34" w:line="357" w:lineRule="auto"/>
        <w:ind w:right="126" w:firstLine="480"/>
        <w:rPr>
          <w:rFonts w:ascii="宋体" w:hAnsi="宋体" w:cs="宋体"/>
        </w:rPr>
      </w:pPr>
      <w:r>
        <w:rPr>
          <w:rFonts w:hint="eastAsia" w:ascii="宋体" w:hAnsi="宋体" w:cs="宋体"/>
        </w:rPr>
        <w:t xml:space="preserve">1.开标后，至到向中标人授予合同时止，凡与审查、澄清、评价和比较投标的有关资料以及授标意见等，均不得向投标人及与评标无关的其他人透露。 </w:t>
      </w:r>
    </w:p>
    <w:p>
      <w:pPr>
        <w:pStyle w:val="2"/>
        <w:kinsoku w:val="0"/>
        <w:overflowPunct w:val="0"/>
        <w:spacing w:before="34" w:line="357" w:lineRule="auto"/>
        <w:ind w:right="126" w:firstLine="480"/>
        <w:rPr>
          <w:rFonts w:ascii="宋体" w:hAnsi="宋体" w:cs="宋体"/>
        </w:rPr>
      </w:pPr>
      <w:r>
        <w:rPr>
          <w:rFonts w:hint="eastAsia" w:ascii="宋体" w:hAnsi="宋体" w:cs="宋体"/>
        </w:rPr>
        <w:t xml:space="preserve">2.在评标过程中，如果投标人试图在投标文件审查、澄清、比较及授予合同方面向采购人施加任何影响，其投标将被拒绝。 </w:t>
      </w:r>
    </w:p>
    <w:p>
      <w:pPr>
        <w:pStyle w:val="2"/>
        <w:kinsoku w:val="0"/>
        <w:overflowPunct w:val="0"/>
        <w:spacing w:before="34" w:line="357" w:lineRule="auto"/>
        <w:ind w:right="126" w:firstLine="480"/>
        <w:rPr>
          <w:rFonts w:ascii="宋体" w:hAnsi="宋体" w:cs="宋体"/>
        </w:rPr>
      </w:pPr>
      <w:r>
        <w:rPr>
          <w:rFonts w:hint="eastAsia" w:ascii="宋体" w:hAnsi="宋体" w:cs="宋体"/>
        </w:rPr>
        <w:t>3.评标人员严格遵守国家的有关保密法律、法规的规定，严格自律，同时接受有关部门的监督、审查。</w:t>
      </w:r>
    </w:p>
    <w:p>
      <w:pPr>
        <w:pStyle w:val="2"/>
        <w:kinsoku w:val="0"/>
        <w:overflowPunct w:val="0"/>
        <w:spacing w:before="38" w:line="357" w:lineRule="auto"/>
        <w:ind w:left="598" w:right="50" w:hanging="480"/>
        <w:rPr>
          <w:rFonts w:ascii="宋体" w:hAnsi="宋体" w:cs="宋体"/>
          <w:b/>
          <w:bCs/>
        </w:rPr>
      </w:pPr>
      <w:r>
        <w:rPr>
          <w:rFonts w:hint="eastAsia" w:ascii="宋体" w:hAnsi="宋体" w:cs="宋体"/>
          <w:b/>
          <w:bCs/>
        </w:rPr>
        <w:t>六、评标过程中投标文件的澄清</w:t>
      </w:r>
    </w:p>
    <w:p>
      <w:pPr>
        <w:pStyle w:val="2"/>
        <w:kinsoku w:val="0"/>
        <w:overflowPunct w:val="0"/>
        <w:spacing w:before="34" w:line="357" w:lineRule="auto"/>
        <w:ind w:right="126" w:firstLine="480"/>
        <w:rPr>
          <w:rFonts w:ascii="宋体" w:hAnsi="宋体" w:cs="宋体"/>
        </w:rPr>
      </w:pPr>
      <w:r>
        <w:rPr>
          <w:rFonts w:hint="eastAsia" w:ascii="宋体" w:hAnsi="宋体" w:cs="宋体"/>
        </w:rPr>
        <w:t>1.为了公平、公正的对《投标文件》进行审查、评估和比较，评标委员会可以向投标投标人质疑，请投标人对有关情况作必要说明。投标人有责任按照评标委员会提出的质疑，指派专人进行答疑。重要问题投标人应以书面形式解答。但是澄清或者说明不得超过投标文件的范围或修改投标文件的实质性内容，解答文件作为《投标文件》的组成部分。《招标文件》、《投标文件》及其澄清文件等，均作为签订合同的依据。若投标人对评标委员会提出的质疑不予答复，其不利后果由投标人自行承担。</w:t>
      </w:r>
    </w:p>
    <w:p>
      <w:pPr>
        <w:pStyle w:val="2"/>
        <w:kinsoku w:val="0"/>
        <w:overflowPunct w:val="0"/>
        <w:spacing w:before="34" w:line="357" w:lineRule="auto"/>
        <w:ind w:right="126" w:firstLine="480"/>
        <w:rPr>
          <w:rFonts w:ascii="宋体" w:hAnsi="宋体" w:cs="宋体"/>
        </w:rPr>
      </w:pPr>
      <w:r>
        <w:rPr>
          <w:rFonts w:hint="eastAsia" w:ascii="宋体" w:hAnsi="宋体" w:cs="宋体"/>
        </w:rPr>
        <w:t>2.若评标委员会发现投标人的投标报价或主要单项货物报价明显低于同标段其它投标人投标报价或者在设有参考标底时明显低于参考标底价，使得其投标报价可能低于其个别成本的，应该要求该投标人作出书面说明并提供相关证明材料。如果投标人不能提供材料证明该项报价有效，评标委员会应当认定低于成本价竞标，否决其投标。如果投标人提供了证明材料，且评标委员会无法证明其无效的，评标委员会应当接受该项投标报价。</w:t>
      </w:r>
    </w:p>
    <w:p>
      <w:pPr>
        <w:pStyle w:val="2"/>
        <w:kinsoku w:val="0"/>
        <w:overflowPunct w:val="0"/>
        <w:spacing w:before="34" w:line="357" w:lineRule="auto"/>
        <w:ind w:right="126" w:firstLine="480"/>
        <w:rPr>
          <w:rFonts w:ascii="宋体" w:hAnsi="宋体" w:cs="宋体"/>
        </w:rPr>
      </w:pPr>
      <w:r>
        <w:rPr>
          <w:rFonts w:hint="eastAsia" w:ascii="宋体" w:hAnsi="宋体" w:cs="宋体"/>
        </w:rPr>
        <w:t>★3.评标委员会认为投标人的报价明显低于其他通过符合性审查投标人的报价，有可能影响产品质量或者不能诚信履约的，评标委员会有权要求其在评标现场合理的时间内提供书面说明，必要时提交相关证明材料；投标人如不能证明其报价合理性的，评标委员会应当将其作为无效投标处理。</w:t>
      </w:r>
    </w:p>
    <w:p>
      <w:pPr>
        <w:pStyle w:val="2"/>
        <w:kinsoku w:val="0"/>
        <w:overflowPunct w:val="0"/>
        <w:spacing w:before="38" w:line="357" w:lineRule="auto"/>
        <w:ind w:left="598" w:right="50" w:hanging="480"/>
        <w:rPr>
          <w:rFonts w:ascii="宋体" w:hAnsi="宋体" w:cs="宋体"/>
          <w:b/>
          <w:bCs/>
        </w:rPr>
      </w:pPr>
      <w:r>
        <w:rPr>
          <w:rFonts w:hint="eastAsia" w:ascii="宋体" w:hAnsi="宋体" w:cs="宋体"/>
          <w:b/>
          <w:bCs/>
        </w:rPr>
        <w:t xml:space="preserve">七、会议组成成员的职责 </w:t>
      </w:r>
    </w:p>
    <w:p>
      <w:pPr>
        <w:pStyle w:val="2"/>
        <w:kinsoku w:val="0"/>
        <w:overflowPunct w:val="0"/>
        <w:spacing w:before="34" w:line="357" w:lineRule="auto"/>
        <w:ind w:right="126" w:firstLine="480"/>
        <w:rPr>
          <w:rFonts w:ascii="宋体" w:hAnsi="宋体" w:cs="宋体"/>
        </w:rPr>
      </w:pPr>
      <w:r>
        <w:rPr>
          <w:rFonts w:hint="eastAsia" w:ascii="宋体" w:hAnsi="宋体" w:cs="宋体"/>
        </w:rPr>
        <w:t>1.采购人：在监督部门监督下，根据《中华人民共和国政府采购法》、《政府购买服务管理办法（暂行）》、《政府采购招标采购方式管理暂行办法》规定构成评标委员会成员之一。</w:t>
      </w:r>
    </w:p>
    <w:p>
      <w:pPr>
        <w:pStyle w:val="2"/>
        <w:kinsoku w:val="0"/>
        <w:overflowPunct w:val="0"/>
        <w:spacing w:before="34" w:line="357" w:lineRule="auto"/>
        <w:ind w:right="126" w:firstLine="480"/>
        <w:rPr>
          <w:rFonts w:ascii="宋体" w:hAnsi="宋体" w:cs="宋体"/>
        </w:rPr>
      </w:pPr>
      <w:r>
        <w:rPr>
          <w:rFonts w:hint="eastAsia" w:ascii="宋体" w:hAnsi="宋体" w:cs="宋体"/>
        </w:rPr>
        <w:t>2.招标代理机构：根据《中华人民共和国政府采购法》、《中华人民共和国政府采购法实施条例》、《政府购买服务管理办法（暂行）》等文件的规定，由代理机构工作人员组成，负责《招标文件》的制作，对外联系，开标、评标的会务工作,整理并向评标委员会成员分发招标资料和《投标文件》；做好开标和评标会议记录；对评标过程中的原始文件进行归档；随时印发需要的文件资料,对各种咨询函件及档案文件的统收统发；负责对评标委员会推荐的拟中标结果进行审核。</w:t>
      </w:r>
    </w:p>
    <w:p>
      <w:pPr>
        <w:pStyle w:val="2"/>
        <w:kinsoku w:val="0"/>
        <w:overflowPunct w:val="0"/>
        <w:spacing w:before="34" w:line="357" w:lineRule="auto"/>
        <w:ind w:right="126" w:firstLine="480"/>
        <w:rPr>
          <w:rFonts w:ascii="宋体" w:hAnsi="宋体" w:cs="宋体"/>
        </w:rPr>
      </w:pPr>
      <w:r>
        <w:rPr>
          <w:rFonts w:hint="eastAsia" w:ascii="宋体" w:hAnsi="宋体" w:cs="宋体"/>
        </w:rPr>
        <w:t>3.监督部门：根据国家有关法律、法规规定由规定部门对整个开标评标过程进行监督, 其他任何单位和个人不得参与或非法干预正常的评审工作和评审结果，保证评标的公正性,防止违法行为的产生。</w:t>
      </w:r>
    </w:p>
    <w:p>
      <w:pPr>
        <w:pStyle w:val="2"/>
        <w:kinsoku w:val="0"/>
        <w:overflowPunct w:val="0"/>
        <w:spacing w:before="34" w:line="357" w:lineRule="auto"/>
        <w:ind w:right="126" w:firstLine="480"/>
        <w:rPr>
          <w:rFonts w:ascii="宋体" w:hAnsi="宋体" w:cs="宋体"/>
        </w:rPr>
      </w:pPr>
      <w:r>
        <w:rPr>
          <w:rFonts w:hint="eastAsia" w:ascii="宋体" w:hAnsi="宋体" w:cs="宋体"/>
        </w:rPr>
        <w:t>4.审核小组</w:t>
      </w:r>
      <w:r>
        <w:rPr>
          <w:rFonts w:hint="eastAsia" w:ascii="宋体" w:hAnsi="宋体" w:cs="宋体"/>
          <w:spacing w:val="-27"/>
        </w:rPr>
        <w:t>：</w:t>
      </w:r>
      <w:r>
        <w:rPr>
          <w:rFonts w:hint="eastAsia" w:ascii="宋体" w:hAnsi="宋体" w:cs="宋体"/>
        </w:rPr>
        <w:t>由监督部门和代理机构项目负责人共同组</w:t>
      </w:r>
      <w:r>
        <w:rPr>
          <w:rFonts w:hint="eastAsia" w:ascii="宋体" w:hAnsi="宋体" w:cs="宋体"/>
          <w:spacing w:val="2"/>
        </w:rPr>
        <w:t>成</w:t>
      </w:r>
      <w:r>
        <w:rPr>
          <w:rFonts w:hint="eastAsia" w:ascii="宋体" w:hAnsi="宋体" w:cs="宋体"/>
          <w:spacing w:val="-27"/>
        </w:rPr>
        <w:t>，</w:t>
      </w:r>
      <w:r>
        <w:rPr>
          <w:rFonts w:hint="eastAsia" w:ascii="宋体" w:hAnsi="宋体" w:cs="宋体"/>
        </w:rPr>
        <w:t>负责对评标委员会填写的商务打分表和技术打分表最终统计结果进行审核，审核无误后由评标委员会签字确认。</w:t>
      </w:r>
    </w:p>
    <w:p>
      <w:pPr>
        <w:pStyle w:val="2"/>
        <w:kinsoku w:val="0"/>
        <w:overflowPunct w:val="0"/>
        <w:spacing w:before="38" w:line="357" w:lineRule="auto"/>
        <w:ind w:left="598" w:right="50" w:hanging="480"/>
        <w:rPr>
          <w:rFonts w:ascii="宋体" w:hAnsi="宋体" w:cs="宋体"/>
          <w:b/>
          <w:bCs/>
        </w:rPr>
      </w:pPr>
      <w:r>
        <w:rPr>
          <w:rFonts w:hint="eastAsia" w:ascii="宋体" w:hAnsi="宋体" w:cs="宋体"/>
          <w:b/>
          <w:bCs/>
        </w:rPr>
        <w:t>八、定标方法：</w:t>
      </w:r>
    </w:p>
    <w:p>
      <w:pPr>
        <w:pStyle w:val="2"/>
        <w:kinsoku w:val="0"/>
        <w:overflowPunct w:val="0"/>
        <w:spacing w:before="34" w:line="357" w:lineRule="auto"/>
        <w:ind w:right="126" w:firstLine="480"/>
        <w:rPr>
          <w:rFonts w:ascii="宋体" w:hAnsi="宋体" w:cs="宋体"/>
        </w:rPr>
      </w:pPr>
      <w:r>
        <w:rPr>
          <w:rFonts w:hint="eastAsia" w:ascii="宋体" w:hAnsi="宋体" w:cs="宋体"/>
        </w:rPr>
        <w:t>1.评标委员会以开标、评标情况为基本依据，对符合条件的《投标文件》及投标人进行综合评审打分，总分值设定为 100 分。</w:t>
      </w:r>
    </w:p>
    <w:p>
      <w:pPr>
        <w:pStyle w:val="2"/>
        <w:kinsoku w:val="0"/>
        <w:overflowPunct w:val="0"/>
        <w:spacing w:before="34" w:line="357" w:lineRule="auto"/>
        <w:ind w:right="126" w:firstLine="480"/>
        <w:rPr>
          <w:rFonts w:ascii="宋体" w:hAnsi="宋体" w:cs="宋体"/>
        </w:rPr>
      </w:pPr>
      <w:r>
        <w:rPr>
          <w:rFonts w:hint="eastAsia" w:ascii="宋体" w:hAnsi="宋体" w:cs="宋体"/>
        </w:rPr>
        <w:t>2.投标报价得分由评标委员会按照价格分计算公式计算分值。</w:t>
      </w:r>
    </w:p>
    <w:p>
      <w:pPr>
        <w:pStyle w:val="2"/>
        <w:kinsoku w:val="0"/>
        <w:overflowPunct w:val="0"/>
        <w:spacing w:before="34" w:line="357" w:lineRule="auto"/>
        <w:ind w:right="126" w:firstLine="480"/>
        <w:rPr>
          <w:rFonts w:ascii="宋体" w:hAnsi="宋体" w:cs="宋体"/>
        </w:rPr>
      </w:pPr>
      <w:r>
        <w:rPr>
          <w:rFonts w:hint="eastAsia" w:ascii="宋体" w:hAnsi="宋体" w:cs="宋体"/>
        </w:rPr>
        <w:t>3.商务部分由评标委员会共同评定唯一的得分。</w:t>
      </w:r>
    </w:p>
    <w:p>
      <w:pPr>
        <w:pStyle w:val="2"/>
        <w:kinsoku w:val="0"/>
        <w:overflowPunct w:val="0"/>
        <w:spacing w:before="34" w:line="357" w:lineRule="auto"/>
        <w:ind w:right="126" w:firstLine="480"/>
        <w:rPr>
          <w:rFonts w:ascii="宋体" w:hAnsi="宋体" w:cs="宋体"/>
        </w:rPr>
      </w:pPr>
      <w:r>
        <w:rPr>
          <w:rFonts w:hint="eastAsia" w:ascii="宋体" w:hAnsi="宋体" w:cs="宋体"/>
        </w:rPr>
        <w:t>4.技术部分由评标委员会专家分别打分后，取平均分作为技术分最后得分。</w:t>
      </w:r>
    </w:p>
    <w:p>
      <w:pPr>
        <w:pStyle w:val="2"/>
        <w:kinsoku w:val="0"/>
        <w:overflowPunct w:val="0"/>
        <w:spacing w:before="34" w:line="357" w:lineRule="auto"/>
        <w:ind w:right="126" w:firstLine="480"/>
        <w:rPr>
          <w:rFonts w:ascii="宋体" w:hAnsi="宋体" w:cs="宋体"/>
        </w:rPr>
      </w:pPr>
      <w:r>
        <w:rPr>
          <w:rFonts w:hint="eastAsia" w:ascii="宋体" w:hAnsi="宋体" w:cs="宋体"/>
        </w:rPr>
        <w:t>5.投标人综合评分最终总分值为商务部分、技术部分和投标报价三部分得分总和。</w:t>
      </w:r>
    </w:p>
    <w:p>
      <w:pPr>
        <w:pStyle w:val="2"/>
        <w:kinsoku w:val="0"/>
        <w:overflowPunct w:val="0"/>
        <w:spacing w:before="38" w:line="357" w:lineRule="auto"/>
        <w:ind w:left="598" w:right="50" w:hanging="480"/>
        <w:rPr>
          <w:rFonts w:ascii="宋体" w:hAnsi="宋体" w:cs="宋体"/>
          <w:b/>
          <w:bCs/>
        </w:rPr>
      </w:pPr>
      <w:r>
        <w:rPr>
          <w:rFonts w:hint="eastAsia" w:ascii="宋体" w:hAnsi="宋体" w:cs="宋体"/>
          <w:b/>
          <w:bCs/>
        </w:rPr>
        <w:t>九、评标程序及标准（综合评分法）</w:t>
      </w:r>
    </w:p>
    <w:p>
      <w:pPr>
        <w:pStyle w:val="20"/>
        <w:spacing w:line="500" w:lineRule="exact"/>
        <w:ind w:left="0" w:leftChars="0" w:firstLine="496" w:firstLineChars="200"/>
        <w:rPr>
          <w:sz w:val="24"/>
        </w:rPr>
      </w:pPr>
      <w:r>
        <w:rPr>
          <w:rFonts w:hint="eastAsia"/>
          <w:sz w:val="24"/>
        </w:rPr>
        <w:t>按照招标响应文件初审、澄清有关问题、分别招标、比较与评审、推荐中标候选人名单。在上一步评审中被认定为无效招标者，不进入下一步的评审。</w:t>
      </w:r>
    </w:p>
    <w:p/>
    <w:p>
      <w:pPr>
        <w:pStyle w:val="2"/>
        <w:kinsoku w:val="0"/>
        <w:overflowPunct w:val="0"/>
        <w:spacing w:before="38" w:line="357" w:lineRule="auto"/>
        <w:ind w:left="598" w:right="50" w:hanging="480"/>
        <w:rPr>
          <w:rFonts w:ascii="宋体" w:hAnsi="宋体" w:cs="宋体"/>
          <w:b/>
          <w:bCs/>
        </w:rPr>
      </w:pPr>
      <w:r>
        <w:rPr>
          <w:rFonts w:hint="eastAsia" w:ascii="宋体" w:hAnsi="宋体" w:cs="宋体"/>
          <w:b/>
          <w:bCs/>
        </w:rPr>
        <w:t>1.初步评审：</w:t>
      </w:r>
    </w:p>
    <w:p>
      <w:pPr>
        <w:tabs>
          <w:tab w:val="left" w:pos="0"/>
        </w:tabs>
        <w:adjustRightInd w:val="0"/>
        <w:spacing w:line="360" w:lineRule="auto"/>
        <w:ind w:firstLine="413" w:firstLineChars="196"/>
        <w:rPr>
          <w:rFonts w:ascii="宋体" w:hAnsi="宋体" w:cs="宋体"/>
          <w:color w:val="000000"/>
          <w:kern w:val="0"/>
          <w:sz w:val="24"/>
        </w:rPr>
      </w:pPr>
      <w:r>
        <w:rPr>
          <w:rFonts w:hint="eastAsia" w:ascii="宋体" w:hAnsi="宋体" w:cs="宋体"/>
          <w:b/>
          <w:bCs/>
        </w:rPr>
        <w:t>1.1 资格性审查：</w:t>
      </w:r>
      <w:r>
        <w:rPr>
          <w:rFonts w:hint="eastAsia" w:ascii="宋体" w:hAnsi="宋体" w:cs="宋体"/>
          <w:color w:val="000000"/>
          <w:sz w:val="24"/>
        </w:rPr>
        <w:t>采购人将依据招标响应文件，按照招标文件第二章“投标人须知前附表”第6条所述资格要求进行资格审查，有一项因素不符合审查标准的，投标人不能通过资格审查，其招标无效</w:t>
      </w:r>
      <w:r>
        <w:rPr>
          <w:rFonts w:hint="eastAsia" w:ascii="宋体" w:hAnsi="宋体" w:cs="宋体"/>
          <w:color w:val="000000"/>
          <w:kern w:val="0"/>
          <w:sz w:val="24"/>
        </w:rPr>
        <w:t>。</w:t>
      </w:r>
    </w:p>
    <w:p>
      <w:pPr>
        <w:pStyle w:val="2"/>
        <w:kinsoku w:val="0"/>
        <w:overflowPunct w:val="0"/>
        <w:spacing w:before="34" w:line="360" w:lineRule="auto"/>
        <w:ind w:right="126" w:firstLine="480"/>
        <w:rPr>
          <w:rFonts w:ascii="宋体" w:hAnsi="宋体" w:cs="宋体"/>
          <w:sz w:val="24"/>
          <w:szCs w:val="32"/>
        </w:rPr>
      </w:pPr>
      <w:r>
        <w:rPr>
          <w:rFonts w:hint="eastAsia" w:ascii="宋体" w:hAnsi="宋体" w:cs="宋体"/>
          <w:sz w:val="24"/>
          <w:szCs w:val="32"/>
        </w:rPr>
        <w:t>资格审查主要审查以下方面的内容（包括但不限于以下内容）：</w:t>
      </w:r>
    </w:p>
    <w:p>
      <w:pPr>
        <w:spacing w:line="360" w:lineRule="auto"/>
        <w:ind w:firstLine="482" w:firstLineChars="200"/>
        <w:rPr>
          <w:rFonts w:ascii="宋体" w:hAnsi="宋体" w:cs="宋体"/>
          <w:b/>
          <w:bCs/>
          <w:sz w:val="24"/>
        </w:rPr>
      </w:pPr>
      <w:r>
        <w:rPr>
          <w:rFonts w:hint="eastAsia" w:ascii="宋体" w:hAnsi="宋体" w:cs="宋体"/>
          <w:b/>
          <w:bCs/>
          <w:sz w:val="24"/>
        </w:rPr>
        <w:t>（1）法人授权委托书和被授权人有效身份证（法人直接参加的需出示法人身份证明及身份证原件）；</w:t>
      </w:r>
    </w:p>
    <w:p>
      <w:pPr>
        <w:spacing w:line="360" w:lineRule="auto"/>
        <w:ind w:firstLine="482" w:firstLineChars="200"/>
        <w:rPr>
          <w:rFonts w:ascii="宋体" w:hAnsi="宋体" w:cs="宋体"/>
          <w:b/>
          <w:bCs/>
          <w:sz w:val="24"/>
        </w:rPr>
      </w:pPr>
      <w:r>
        <w:rPr>
          <w:rFonts w:hint="eastAsia" w:ascii="宋体" w:hAnsi="宋体" w:cs="宋体"/>
          <w:b/>
          <w:bCs/>
          <w:sz w:val="24"/>
        </w:rPr>
        <w:t>（2）供应商为企业法人应提供合法有效的标识有统一社会信用代码的营业执照；事业法人应提供事业单位法人证书；其他组织应提供合法登记证明文件；</w:t>
      </w:r>
    </w:p>
    <w:p>
      <w:pPr>
        <w:spacing w:line="360" w:lineRule="auto"/>
        <w:ind w:firstLine="482" w:firstLineChars="200"/>
        <w:rPr>
          <w:rFonts w:ascii="宋体" w:hAnsi="宋体" w:cs="宋体"/>
          <w:b/>
          <w:bCs/>
          <w:sz w:val="24"/>
        </w:rPr>
      </w:pPr>
      <w:r>
        <w:rPr>
          <w:rFonts w:hint="eastAsia" w:ascii="宋体" w:hAnsi="宋体" w:cs="宋体"/>
          <w:b/>
          <w:bCs/>
          <w:sz w:val="24"/>
        </w:rPr>
        <w:t>（3）根据《政府采购促进中小企业发展管理办法》要求，本项目应当专门面向中小企业采购（提供中小微企业声明函）</w:t>
      </w:r>
    </w:p>
    <w:p>
      <w:pPr>
        <w:spacing w:line="360" w:lineRule="auto"/>
        <w:ind w:firstLine="482" w:firstLineChars="200"/>
        <w:rPr>
          <w:rFonts w:ascii="宋体" w:hAnsi="宋体" w:cs="宋体"/>
          <w:b/>
          <w:bCs/>
          <w:sz w:val="24"/>
        </w:rPr>
      </w:pPr>
      <w:r>
        <w:rPr>
          <w:rFonts w:hint="eastAsia" w:ascii="宋体" w:hAnsi="宋体" w:cs="宋体"/>
          <w:b/>
          <w:bCs/>
          <w:sz w:val="24"/>
        </w:rPr>
        <w:t>（4）社会保障资金缴纳证明：供应商提供近半年内已缴存的至少一个月的社会保障资金缴存单据或社保机构开具的社会保险参保缴费情况证明，依法不需要缴纳社会保障资金的供应商应提供相关文件证明；</w:t>
      </w:r>
    </w:p>
    <w:p>
      <w:pPr>
        <w:spacing w:line="360" w:lineRule="auto"/>
        <w:ind w:firstLine="482" w:firstLineChars="200"/>
        <w:rPr>
          <w:rFonts w:ascii="宋体" w:hAnsi="宋体" w:cs="宋体"/>
          <w:b/>
          <w:bCs/>
          <w:sz w:val="24"/>
        </w:rPr>
      </w:pPr>
      <w:r>
        <w:rPr>
          <w:rFonts w:hint="eastAsia" w:ascii="宋体" w:hAnsi="宋体" w:cs="宋体"/>
          <w:b/>
          <w:bCs/>
          <w:sz w:val="24"/>
        </w:rPr>
        <w:t>（5）财务状况报告：供应商提供近1年的财务审计报告（至少包括审计报告、资产负债表和利润表，成立时间至提交投标文件截止时间不足一年的可提供成立后任意时段的资产负债表），或其开标前三个月内基本存款账户开户银行出具的资信证明；</w:t>
      </w:r>
    </w:p>
    <w:p>
      <w:pPr>
        <w:spacing w:line="360" w:lineRule="auto"/>
        <w:ind w:firstLine="482" w:firstLineChars="200"/>
        <w:rPr>
          <w:rFonts w:ascii="宋体" w:hAnsi="宋体" w:cs="宋体"/>
          <w:b/>
          <w:bCs/>
          <w:sz w:val="24"/>
        </w:rPr>
      </w:pPr>
      <w:r>
        <w:rPr>
          <w:rFonts w:hint="eastAsia" w:ascii="宋体" w:hAnsi="宋体" w:cs="宋体"/>
          <w:b/>
          <w:bCs/>
          <w:sz w:val="24"/>
        </w:rPr>
        <w:t>（6）税收缴纳证明：供应商提供近半年内已缴纳的至少一个月的纳税证明或完税证明，纳税证明或完税证明上应有代收机构或税务机关的公章，依法免税的供应商应提供相关文件证明；</w:t>
      </w:r>
    </w:p>
    <w:p>
      <w:pPr>
        <w:spacing w:line="360" w:lineRule="auto"/>
        <w:ind w:firstLine="482" w:firstLineChars="200"/>
        <w:rPr>
          <w:rFonts w:ascii="宋体" w:hAnsi="宋体" w:cs="宋体"/>
          <w:b/>
          <w:bCs/>
          <w:sz w:val="24"/>
        </w:rPr>
      </w:pPr>
      <w:r>
        <w:rPr>
          <w:rFonts w:hint="eastAsia" w:ascii="宋体" w:hAnsi="宋体" w:cs="宋体"/>
          <w:b/>
          <w:bCs/>
          <w:sz w:val="24"/>
        </w:rPr>
        <w:t>（7）供应商应具备良好的商业信誉，提供参加政府采购活动前3年内在经营活动中没有重大违法记录的书面声明；</w:t>
      </w:r>
    </w:p>
    <w:p>
      <w:pPr>
        <w:spacing w:line="360" w:lineRule="auto"/>
        <w:ind w:firstLine="482" w:firstLineChars="200"/>
        <w:rPr>
          <w:rFonts w:ascii="仿宋" w:hAnsi="仿宋" w:eastAsia="仿宋" w:cs="宋体"/>
          <w:b/>
          <w:bCs/>
          <w:sz w:val="28"/>
          <w:szCs w:val="28"/>
          <w:u w:val="single"/>
        </w:rPr>
      </w:pPr>
      <w:r>
        <w:rPr>
          <w:rFonts w:hint="eastAsia" w:ascii="宋体" w:hAnsi="宋体" w:cs="宋体"/>
          <w:b/>
          <w:bCs/>
          <w:sz w:val="24"/>
        </w:rPr>
        <w:t>（8）供应商应在“信用中国”网站（</w:t>
      </w:r>
      <w:r>
        <w:rPr>
          <w:rFonts w:hint="eastAsia"/>
          <w:b/>
          <w:bCs/>
        </w:rPr>
        <w:t>www.creditchina.gov.cn）</w:t>
      </w:r>
      <w:r>
        <w:rPr>
          <w:rFonts w:hint="eastAsia" w:ascii="宋体" w:hAnsi="宋体" w:cs="宋体"/>
          <w:b/>
          <w:bCs/>
          <w:sz w:val="24"/>
        </w:rPr>
        <w:t>未被列入失信被执行人记录、</w:t>
      </w:r>
      <w:r>
        <w:rPr>
          <w:rFonts w:hint="eastAsia" w:ascii="宋体" w:hAnsi="宋体" w:cs="宋体"/>
          <w:b/>
          <w:bCs/>
          <w:color w:val="FF0000"/>
          <w:sz w:val="24"/>
        </w:rPr>
        <w:t>重大税收违法失信主体</w:t>
      </w:r>
      <w:r>
        <w:rPr>
          <w:rFonts w:hint="eastAsia" w:ascii="宋体" w:hAnsi="宋体" w:cs="宋体"/>
          <w:b/>
          <w:bCs/>
          <w:sz w:val="24"/>
        </w:rPr>
        <w:t>且在中国政府采购网</w:t>
      </w:r>
      <w:r>
        <w:rPr>
          <w:rFonts w:hint="eastAsia"/>
          <w:b/>
          <w:bCs/>
        </w:rPr>
        <w:t>（www.ccgp.gov.cn）</w:t>
      </w:r>
      <w:r>
        <w:rPr>
          <w:rFonts w:hint="eastAsia" w:ascii="宋体" w:hAnsi="宋体" w:cs="宋体"/>
          <w:b/>
          <w:bCs/>
          <w:sz w:val="24"/>
        </w:rPr>
        <w:t>没有相关主体政府采购严重违法失信行为记录（被禁止在一定期限内参加政府采购活动但期限届满的除外）（查询日期为从采购文件发售之日起至投标截止日前），以网页截图（需显示查询时间）加盖供应商公章为准；</w:t>
      </w:r>
    </w:p>
    <w:p>
      <w:pPr>
        <w:pStyle w:val="2"/>
        <w:kinsoku w:val="0"/>
        <w:overflowPunct w:val="0"/>
        <w:spacing w:before="34" w:line="357" w:lineRule="auto"/>
        <w:ind w:right="126" w:firstLine="480"/>
        <w:rPr>
          <w:rFonts w:ascii="宋体" w:hAnsi="宋体" w:cs="宋体"/>
        </w:rPr>
      </w:pPr>
      <w:r>
        <w:rPr>
          <w:rFonts w:hint="eastAsia" w:ascii="宋体" w:hAnsi="宋体" w:cs="宋体"/>
        </w:rPr>
        <w:t>★备注：招标文件涉及要求投标人在开标时所带的原件</w:t>
      </w:r>
      <w:r>
        <w:rPr>
          <w:rFonts w:hint="eastAsia" w:ascii="宋体" w:hAnsi="宋体" w:cs="宋体"/>
          <w:lang w:eastAsia="zh-Hans"/>
        </w:rPr>
        <w:t>或加盖公章的复印件</w:t>
      </w:r>
      <w:r>
        <w:rPr>
          <w:rFonts w:hint="eastAsia" w:ascii="宋体" w:hAnsi="宋体" w:cs="宋体"/>
        </w:rPr>
        <w:t>，请投标人在开标现场一次性提供。投标人提交的所有证明文件及材料必须清晰、准确、真实、有效；对于不提供或提供不真实或虚假资料者按无效标处理。</w:t>
      </w:r>
    </w:p>
    <w:p>
      <w:pPr>
        <w:pStyle w:val="2"/>
        <w:kinsoku w:val="0"/>
        <w:overflowPunct w:val="0"/>
        <w:spacing w:before="34" w:line="357" w:lineRule="auto"/>
        <w:ind w:right="126" w:firstLine="480"/>
        <w:rPr>
          <w:rFonts w:ascii="宋体" w:hAnsi="宋体" w:cs="宋体"/>
        </w:rPr>
      </w:pPr>
      <w:r>
        <w:rPr>
          <w:rFonts w:hint="eastAsia" w:ascii="宋体" w:hAnsi="宋体" w:cs="宋体"/>
          <w:b/>
          <w:bCs/>
        </w:rPr>
        <w:t>1.2 响应性审查：</w:t>
      </w:r>
      <w:r>
        <w:rPr>
          <w:rFonts w:hint="eastAsia" w:ascii="宋体" w:hAnsi="宋体" w:cs="宋体"/>
        </w:rPr>
        <w:t>依据《招标文件》的规定，从《投标文件》的有效性、完整性和对《招标文件》的响应程度进行审查，以确定是否对《招标文件》的实质性要求做出响应。响应性审查时有下列情形之一的，由评标委员会按无效《投标文件》处理：</w:t>
      </w:r>
    </w:p>
    <w:p>
      <w:pPr>
        <w:pStyle w:val="2"/>
        <w:kinsoku w:val="0"/>
        <w:overflowPunct w:val="0"/>
        <w:spacing w:before="34" w:line="357" w:lineRule="auto"/>
        <w:ind w:right="126" w:firstLine="480"/>
        <w:rPr>
          <w:rFonts w:ascii="宋体" w:hAnsi="宋体" w:cs="宋体"/>
        </w:rPr>
      </w:pPr>
      <w:r>
        <w:rPr>
          <w:rFonts w:hint="eastAsia" w:ascii="宋体" w:hAnsi="宋体" w:cs="宋体"/>
        </w:rPr>
        <w:t>（1）未按照招标文件的规定提交投标保证金的；</w:t>
      </w:r>
    </w:p>
    <w:p>
      <w:pPr>
        <w:pStyle w:val="2"/>
        <w:kinsoku w:val="0"/>
        <w:overflowPunct w:val="0"/>
        <w:spacing w:before="34" w:line="357" w:lineRule="auto"/>
        <w:ind w:right="126" w:firstLine="480"/>
        <w:rPr>
          <w:rFonts w:ascii="宋体" w:hAnsi="宋体" w:cs="宋体"/>
        </w:rPr>
      </w:pPr>
      <w:r>
        <w:rPr>
          <w:rFonts w:hint="eastAsia" w:ascii="宋体" w:hAnsi="宋体" w:cs="宋体"/>
        </w:rPr>
        <w:t>（2）投标文件未按招标文件要求签署、盖章的；</w:t>
      </w:r>
    </w:p>
    <w:p>
      <w:pPr>
        <w:pStyle w:val="2"/>
        <w:kinsoku w:val="0"/>
        <w:overflowPunct w:val="0"/>
        <w:spacing w:before="34" w:line="357" w:lineRule="auto"/>
        <w:ind w:right="126" w:firstLine="480"/>
        <w:rPr>
          <w:rFonts w:ascii="宋体" w:hAnsi="宋体" w:cs="宋体"/>
        </w:rPr>
      </w:pPr>
      <w:r>
        <w:rPr>
          <w:rFonts w:hint="eastAsia" w:ascii="宋体" w:hAnsi="宋体" w:cs="宋体"/>
        </w:rPr>
        <w:t>（3）不具备招标文件中规定的资格要求的；</w:t>
      </w:r>
    </w:p>
    <w:p>
      <w:pPr>
        <w:pStyle w:val="2"/>
        <w:kinsoku w:val="0"/>
        <w:overflowPunct w:val="0"/>
        <w:spacing w:before="34" w:line="357" w:lineRule="auto"/>
        <w:ind w:right="126" w:firstLine="480"/>
        <w:rPr>
          <w:rFonts w:ascii="宋体" w:hAnsi="宋体" w:cs="宋体"/>
        </w:rPr>
      </w:pPr>
      <w:r>
        <w:rPr>
          <w:rFonts w:hint="eastAsia" w:ascii="宋体" w:hAnsi="宋体" w:cs="宋体"/>
        </w:rPr>
        <w:t>（4）报价超过招标文件中规定的预算金额或者最高限价的；</w:t>
      </w:r>
    </w:p>
    <w:p>
      <w:pPr>
        <w:pStyle w:val="2"/>
        <w:kinsoku w:val="0"/>
        <w:overflowPunct w:val="0"/>
        <w:spacing w:before="34" w:line="357" w:lineRule="auto"/>
        <w:ind w:right="126" w:firstLine="480"/>
        <w:rPr>
          <w:rFonts w:ascii="宋体" w:hAnsi="宋体" w:cs="宋体"/>
        </w:rPr>
      </w:pPr>
      <w:r>
        <w:rPr>
          <w:rFonts w:hint="eastAsia" w:ascii="宋体" w:hAnsi="宋体" w:cs="宋体"/>
        </w:rPr>
        <w:t>（5）投标文件含有采购人不能接受的附加条件的；</w:t>
      </w:r>
    </w:p>
    <w:p>
      <w:pPr>
        <w:pStyle w:val="2"/>
        <w:kinsoku w:val="0"/>
        <w:overflowPunct w:val="0"/>
        <w:spacing w:before="34" w:line="357" w:lineRule="auto"/>
        <w:ind w:right="126" w:firstLine="480"/>
        <w:rPr>
          <w:rFonts w:ascii="宋体" w:hAnsi="宋体" w:cs="宋体"/>
        </w:rPr>
      </w:pPr>
      <w:r>
        <w:rPr>
          <w:rFonts w:hint="eastAsia" w:ascii="宋体" w:hAnsi="宋体" w:cs="宋体"/>
        </w:rPr>
        <w:t>（6）法律、法规和招标文件规定的其他无效情形；</w:t>
      </w:r>
    </w:p>
    <w:p>
      <w:pPr>
        <w:pStyle w:val="2"/>
        <w:kinsoku w:val="0"/>
        <w:overflowPunct w:val="0"/>
        <w:spacing w:before="34" w:line="357" w:lineRule="auto"/>
        <w:ind w:right="126" w:firstLine="480"/>
        <w:rPr>
          <w:rFonts w:ascii="宋体" w:hAnsi="宋体" w:cs="宋体"/>
        </w:rPr>
      </w:pPr>
      <w:r>
        <w:rPr>
          <w:rFonts w:hint="eastAsia" w:ascii="宋体" w:hAnsi="宋体" w:cs="宋体"/>
        </w:rPr>
        <w:t>1.3 实质上没有响应《招标文件》要求的《投标文件》将被拒绝。</w:t>
      </w:r>
    </w:p>
    <w:p>
      <w:pPr>
        <w:pStyle w:val="2"/>
        <w:kinsoku w:val="0"/>
        <w:overflowPunct w:val="0"/>
        <w:spacing w:before="34" w:line="357" w:lineRule="auto"/>
        <w:ind w:right="126" w:firstLine="480"/>
        <w:rPr>
          <w:rFonts w:ascii="宋体" w:hAnsi="宋体" w:cs="宋体"/>
        </w:rPr>
      </w:pPr>
      <w:r>
        <w:rPr>
          <w:rFonts w:hint="eastAsia" w:ascii="宋体" w:hAnsi="宋体" w:cs="宋体"/>
        </w:rPr>
        <w:t>1.4 投标人不得通过修正或撤销不符合要求的偏离或保留从而使其《投标文件》成为实质上响应的《投标文件》。</w:t>
      </w:r>
    </w:p>
    <w:p>
      <w:pPr>
        <w:pStyle w:val="2"/>
        <w:kinsoku w:val="0"/>
        <w:overflowPunct w:val="0"/>
        <w:spacing w:before="34" w:line="357" w:lineRule="auto"/>
        <w:ind w:right="126" w:firstLine="480"/>
        <w:rPr>
          <w:rFonts w:ascii="宋体" w:hAnsi="宋体" w:cs="宋体"/>
        </w:rPr>
      </w:pPr>
      <w:r>
        <w:rPr>
          <w:rFonts w:hint="eastAsia" w:ascii="宋体" w:hAnsi="宋体" w:cs="宋体"/>
        </w:rPr>
        <w:t>1.5 通过资格性及响应性审查且无实质性背离采购人要求的响应文件，即可进行下一步评审。未通过资格性审查、响应性审查的响应文件按无效投标处理。</w:t>
      </w:r>
    </w:p>
    <w:p>
      <w:pPr>
        <w:pStyle w:val="2"/>
        <w:kinsoku w:val="0"/>
        <w:overflowPunct w:val="0"/>
        <w:spacing w:before="34"/>
        <w:rPr>
          <w:rFonts w:ascii="宋体" w:hAnsi="宋体" w:cs="宋体"/>
          <w:b/>
          <w:bCs/>
        </w:rPr>
      </w:pPr>
      <w:r>
        <w:rPr>
          <w:rFonts w:hint="eastAsia" w:ascii="宋体" w:hAnsi="宋体" w:cs="宋体"/>
          <w:b/>
          <w:bCs/>
        </w:rPr>
        <w:t>2.招标及详细评审：</w:t>
      </w:r>
    </w:p>
    <w:p>
      <w:pPr>
        <w:pStyle w:val="2"/>
        <w:kinsoku w:val="0"/>
        <w:overflowPunct w:val="0"/>
        <w:spacing w:before="34" w:line="357" w:lineRule="auto"/>
        <w:ind w:right="126" w:firstLine="480"/>
        <w:rPr>
          <w:rFonts w:ascii="宋体" w:hAnsi="宋体" w:cs="宋体"/>
        </w:rPr>
      </w:pPr>
      <w:r>
        <w:rPr>
          <w:rFonts w:hint="eastAsia" w:ascii="宋体" w:hAnsi="宋体" w:cs="宋体"/>
        </w:rPr>
        <w:t>2.1 评标委员会审阅响应文件： 以确定是否对招标文件的要求做出实质性响应。未对招标文件做实质性响应的投标人，不得进入具体招标程序。</w:t>
      </w:r>
    </w:p>
    <w:p>
      <w:pPr>
        <w:pStyle w:val="2"/>
        <w:kinsoku w:val="0"/>
        <w:overflowPunct w:val="0"/>
        <w:spacing w:before="34" w:line="357" w:lineRule="auto"/>
        <w:ind w:right="126" w:firstLine="480"/>
        <w:rPr>
          <w:rFonts w:ascii="宋体" w:hAnsi="宋体" w:cs="宋体"/>
        </w:rPr>
      </w:pPr>
      <w:r>
        <w:rPr>
          <w:rFonts w:hint="eastAsia" w:ascii="宋体" w:hAnsi="宋体" w:cs="宋体"/>
        </w:rPr>
        <w:t>2.2 开始招标，评标委员会所有成员集中与单一投标人分别进行招标。评标委员会可根据投标人的报价，响应内容及招标的情况，给予每个正在参加招标的投标人相同的机会。</w:t>
      </w:r>
    </w:p>
    <w:p>
      <w:pPr>
        <w:pStyle w:val="2"/>
        <w:kinsoku w:val="0"/>
        <w:overflowPunct w:val="0"/>
        <w:spacing w:before="34" w:line="357" w:lineRule="auto"/>
        <w:ind w:right="126" w:firstLine="480"/>
        <w:rPr>
          <w:rFonts w:ascii="宋体" w:hAnsi="宋体" w:cs="宋体"/>
        </w:rPr>
      </w:pPr>
      <w:r>
        <w:rPr>
          <w:rFonts w:hint="eastAsia" w:ascii="宋体" w:hAnsi="宋体" w:cs="宋体"/>
        </w:rPr>
        <w:t>在招标过程中，评标委员会可以根据招标文件和招标情况实质性变动采购需求中的技术、服务要求以及合同草案条款，但不得变动招标文件中的其他内容。实质性变动的内容，须经采购人代表确认。</w:t>
      </w:r>
    </w:p>
    <w:p>
      <w:pPr>
        <w:pStyle w:val="2"/>
        <w:kinsoku w:val="0"/>
        <w:overflowPunct w:val="0"/>
        <w:spacing w:before="34" w:line="357" w:lineRule="auto"/>
        <w:ind w:right="126" w:firstLine="480"/>
        <w:rPr>
          <w:rFonts w:ascii="宋体" w:hAnsi="宋体" w:cs="宋体"/>
        </w:rPr>
      </w:pPr>
      <w:r>
        <w:rPr>
          <w:rFonts w:hint="eastAsia" w:ascii="宋体" w:hAnsi="宋体" w:cs="宋体"/>
        </w:rPr>
        <w:t>对招标文件作出的实质性变动是招标文件的有效组成部分，评标委员会应当及时以书面形式同时通知所有参加招标的投标人。</w:t>
      </w:r>
    </w:p>
    <w:p>
      <w:pPr>
        <w:pStyle w:val="2"/>
        <w:kinsoku w:val="0"/>
        <w:overflowPunct w:val="0"/>
        <w:spacing w:before="34" w:line="357" w:lineRule="auto"/>
        <w:ind w:right="126" w:firstLine="480"/>
        <w:rPr>
          <w:rFonts w:ascii="宋体" w:hAnsi="宋体" w:cs="宋体"/>
        </w:rPr>
      </w:pPr>
      <w:r>
        <w:rPr>
          <w:rFonts w:hint="eastAsia" w:ascii="宋体" w:hAnsi="宋体" w:cs="宋体"/>
        </w:rPr>
        <w:t>投标人应当按照招标文件的变动情况和评标委员会的要求重新提交响应文件，并由其全权代表签章。</w:t>
      </w:r>
    </w:p>
    <w:p>
      <w:pPr>
        <w:pStyle w:val="2"/>
        <w:kinsoku w:val="0"/>
        <w:overflowPunct w:val="0"/>
        <w:spacing w:before="34" w:line="357" w:lineRule="auto"/>
        <w:ind w:right="126" w:firstLine="480"/>
        <w:rPr>
          <w:rFonts w:ascii="宋体" w:hAnsi="宋体" w:cs="宋体"/>
        </w:rPr>
      </w:pPr>
      <w:r>
        <w:rPr>
          <w:rFonts w:hint="eastAsia" w:ascii="宋体" w:hAnsi="宋体" w:cs="宋体"/>
        </w:rPr>
        <w:t>2.3 招标结束后，参加招标的投标人应当对招标的承诺和最后报价以书面形式确认， 并由授权委托人签章。</w:t>
      </w:r>
    </w:p>
    <w:p>
      <w:pPr>
        <w:pStyle w:val="2"/>
        <w:kinsoku w:val="0"/>
        <w:overflowPunct w:val="0"/>
        <w:spacing w:before="34" w:line="357" w:lineRule="auto"/>
        <w:ind w:right="126" w:firstLine="480"/>
        <w:rPr>
          <w:rFonts w:ascii="宋体" w:hAnsi="宋体" w:cs="宋体"/>
        </w:rPr>
      </w:pPr>
      <w:r>
        <w:rPr>
          <w:rFonts w:hint="eastAsia" w:ascii="宋体" w:hAnsi="宋体" w:cs="宋体"/>
        </w:rPr>
        <w:t>2.4 由评标委员会采用综合评分法对提交最终报价的投标人的响应文件和最终报价进 行打分；</w:t>
      </w:r>
    </w:p>
    <w:p>
      <w:pPr>
        <w:pStyle w:val="2"/>
        <w:kinsoku w:val="0"/>
        <w:overflowPunct w:val="0"/>
        <w:spacing w:before="34" w:line="357" w:lineRule="auto"/>
        <w:ind w:right="126" w:firstLine="480"/>
        <w:rPr>
          <w:rFonts w:ascii="宋体" w:hAnsi="宋体" w:cs="宋体"/>
        </w:rPr>
      </w:pPr>
      <w:r>
        <w:rPr>
          <w:rFonts w:hint="eastAsia" w:ascii="宋体" w:hAnsi="宋体" w:cs="宋体"/>
        </w:rPr>
        <w:t>2.5 评标委员会可以对确定为实质上响应招标文件要求的投标文件进行校对、审核，对出现的算术错误，由评标委员会予以改正，并让投标人澄清确认。修正计算错误按如下原则进行：</w:t>
      </w:r>
    </w:p>
    <w:p>
      <w:pPr>
        <w:pStyle w:val="2"/>
        <w:kinsoku w:val="0"/>
        <w:overflowPunct w:val="0"/>
        <w:spacing w:before="34" w:line="357" w:lineRule="auto"/>
        <w:ind w:right="126" w:firstLine="480"/>
        <w:rPr>
          <w:rFonts w:ascii="宋体" w:hAnsi="宋体" w:cs="宋体"/>
        </w:rPr>
      </w:pPr>
      <w:r>
        <w:rPr>
          <w:rFonts w:hint="eastAsia" w:ascii="宋体" w:hAnsi="宋体" w:cs="宋体"/>
        </w:rPr>
        <w:t>2.6《投标文件》的大写金额和小写金额不一致的，以大写金额为准；总价金额与单项单价汇总金额不一致的，以单价金额计算结果为准；单价金额小数点有明显错位的，应以总价为准，并修改单价；对不同文字文本《投标文件》的解释发生异议的，以中文文本为准。</w:t>
      </w:r>
    </w:p>
    <w:p>
      <w:pPr>
        <w:pStyle w:val="2"/>
        <w:kinsoku w:val="0"/>
        <w:overflowPunct w:val="0"/>
        <w:spacing w:before="34" w:line="357" w:lineRule="auto"/>
        <w:ind w:right="126" w:firstLine="480"/>
        <w:rPr>
          <w:rFonts w:ascii="宋体" w:hAnsi="宋体" w:cs="宋体"/>
        </w:rPr>
      </w:pPr>
      <w:r>
        <w:rPr>
          <w:rFonts w:hint="eastAsia" w:ascii="宋体" w:hAnsi="宋体" w:cs="宋体"/>
        </w:rPr>
        <w:t>2.7 若投标人不接受对其错误的更正，其投标将被视为无效投标。</w:t>
      </w:r>
    </w:p>
    <w:p>
      <w:pPr>
        <w:spacing w:line="560" w:lineRule="exact"/>
        <w:jc w:val="center"/>
        <w:outlineLvl w:val="1"/>
        <w:rPr>
          <w:rFonts w:ascii="Cambria" w:hAnsi="Cambria" w:cs="Cambria"/>
          <w:b/>
          <w:bCs/>
          <w:kern w:val="0"/>
          <w:sz w:val="24"/>
        </w:rPr>
      </w:pPr>
      <w:r>
        <w:rPr>
          <w:rFonts w:hint="eastAsia" w:ascii="宋体" w:hAnsi="宋体" w:cs="宋体"/>
        </w:rPr>
        <w:br w:type="page"/>
      </w:r>
      <w:bookmarkStart w:id="83" w:name="_Toc13403"/>
      <w:bookmarkStart w:id="84" w:name="_Toc17858"/>
      <w:r>
        <w:rPr>
          <w:rFonts w:ascii="Cambria" w:hAnsi="Cambria" w:cs="Cambria"/>
          <w:b/>
          <w:bCs/>
          <w:kern w:val="0"/>
          <w:sz w:val="28"/>
          <w:szCs w:val="28"/>
        </w:rPr>
        <w:t>评标及定标原则</w:t>
      </w:r>
      <w:bookmarkEnd w:id="83"/>
      <w:bookmarkEnd w:id="84"/>
    </w:p>
    <w:p>
      <w:pPr>
        <w:spacing w:line="560" w:lineRule="exact"/>
        <w:rPr>
          <w:rFonts w:ascii="Cambria" w:hAnsi="Cambria" w:cs="Cambria"/>
          <w:b/>
          <w:bCs/>
          <w:kern w:val="0"/>
          <w:sz w:val="24"/>
        </w:rPr>
      </w:pPr>
      <w:r>
        <w:rPr>
          <w:rFonts w:ascii="Cambria" w:hAnsi="Cambria" w:cs="Cambria"/>
          <w:b/>
          <w:bCs/>
          <w:kern w:val="0"/>
          <w:sz w:val="24"/>
        </w:rPr>
        <w:t>1</w:t>
      </w:r>
      <w:r>
        <w:rPr>
          <w:rFonts w:hint="eastAsia" w:ascii="Cambria" w:hAnsi="Cambria" w:cs="Cambria"/>
          <w:b/>
          <w:bCs/>
          <w:kern w:val="0"/>
          <w:sz w:val="24"/>
        </w:rPr>
        <w:t>、</w:t>
      </w:r>
      <w:r>
        <w:rPr>
          <w:rFonts w:ascii="Cambria" w:hAnsi="Cambria" w:cs="Cambria"/>
          <w:b/>
          <w:bCs/>
          <w:kern w:val="0"/>
          <w:sz w:val="24"/>
        </w:rPr>
        <w:t>评标方法</w:t>
      </w:r>
    </w:p>
    <w:p>
      <w:pPr>
        <w:spacing w:line="360" w:lineRule="auto"/>
        <w:ind w:firstLine="420" w:firstLineChars="175"/>
        <w:rPr>
          <w:rFonts w:ascii="Cambria" w:hAnsi="Cambria" w:cs="Cambria"/>
          <w:kern w:val="0"/>
          <w:sz w:val="24"/>
        </w:rPr>
      </w:pPr>
      <w:r>
        <w:rPr>
          <w:rFonts w:ascii="Cambria" w:hAnsi="Cambria" w:cs="Cambria"/>
          <w:kern w:val="0"/>
          <w:sz w:val="24"/>
        </w:rPr>
        <w:t>采用综合评分法。</w:t>
      </w:r>
    </w:p>
    <w:p>
      <w:pPr>
        <w:spacing w:line="560" w:lineRule="exact"/>
        <w:rPr>
          <w:rFonts w:ascii="Cambria" w:hAnsi="Cambria" w:cs="Cambria"/>
          <w:b/>
          <w:bCs/>
          <w:kern w:val="0"/>
          <w:sz w:val="24"/>
        </w:rPr>
      </w:pPr>
      <w:r>
        <w:rPr>
          <w:rFonts w:ascii="Cambria" w:hAnsi="Cambria" w:cs="Cambria"/>
          <w:b/>
          <w:bCs/>
          <w:kern w:val="0"/>
          <w:sz w:val="24"/>
        </w:rPr>
        <w:t>2</w:t>
      </w:r>
      <w:r>
        <w:rPr>
          <w:rFonts w:hint="eastAsia" w:ascii="Cambria" w:hAnsi="Cambria" w:cs="Cambria"/>
          <w:b/>
          <w:bCs/>
          <w:kern w:val="0"/>
          <w:sz w:val="24"/>
        </w:rPr>
        <w:t>、</w:t>
      </w:r>
      <w:r>
        <w:rPr>
          <w:rFonts w:ascii="Cambria" w:hAnsi="Cambria" w:cs="Cambria"/>
          <w:b/>
          <w:bCs/>
          <w:kern w:val="0"/>
          <w:sz w:val="24"/>
        </w:rPr>
        <w:t>评分标准</w:t>
      </w:r>
    </w:p>
    <w:p>
      <w:pPr>
        <w:adjustRightInd w:val="0"/>
        <w:snapToGrid w:val="0"/>
        <w:spacing w:line="480" w:lineRule="exact"/>
        <w:rPr>
          <w:rFonts w:ascii="Cambria" w:hAnsi="Cambria" w:cs="Cambria"/>
          <w:kern w:val="0"/>
          <w:sz w:val="24"/>
        </w:rPr>
      </w:pPr>
      <w:r>
        <w:rPr>
          <w:rFonts w:ascii="Cambria" w:hAnsi="Cambria" w:cs="Cambria"/>
          <w:kern w:val="0"/>
          <w:sz w:val="24"/>
        </w:rPr>
        <w:t>2.1 综合评估法</w:t>
      </w:r>
      <w:r>
        <w:rPr>
          <w:rFonts w:hint="eastAsia" w:ascii="Cambria" w:hAnsi="Cambria" w:cs="Cambria"/>
          <w:kern w:val="0"/>
          <w:sz w:val="24"/>
        </w:rPr>
        <w:t xml:space="preserve">  </w:t>
      </w:r>
    </w:p>
    <w:p>
      <w:pPr>
        <w:adjustRightInd w:val="0"/>
        <w:snapToGrid w:val="0"/>
        <w:spacing w:line="480" w:lineRule="exact"/>
        <w:ind w:firstLine="480" w:firstLineChars="200"/>
        <w:rPr>
          <w:rFonts w:ascii="Cambria" w:hAnsi="Cambria" w:cs="Cambria"/>
          <w:kern w:val="0"/>
          <w:sz w:val="24"/>
        </w:rPr>
      </w:pPr>
      <w:r>
        <w:rPr>
          <w:rFonts w:ascii="Cambria" w:hAnsi="Cambria" w:cs="Cambria"/>
          <w:kern w:val="0"/>
          <w:sz w:val="24"/>
        </w:rPr>
        <w:t>对投标文件的投标总报价、设计方案、专题分析等进行综合评分并排序。评分完毕，报价得分和技术得分之和，作为</w:t>
      </w:r>
      <w:r>
        <w:rPr>
          <w:rFonts w:hint="eastAsia" w:ascii="Cambria" w:hAnsi="Cambria" w:cs="Cambria"/>
          <w:kern w:val="0"/>
          <w:sz w:val="24"/>
        </w:rPr>
        <w:t>投标人</w:t>
      </w:r>
      <w:r>
        <w:rPr>
          <w:rFonts w:ascii="Cambria" w:hAnsi="Cambria" w:cs="Cambria"/>
          <w:kern w:val="0"/>
          <w:sz w:val="24"/>
        </w:rPr>
        <w:t>的综合得分。评标委员会按照得分高低进行排序，取前</w:t>
      </w:r>
      <w:r>
        <w:rPr>
          <w:rFonts w:hint="eastAsia" w:ascii="Cambria" w:hAnsi="Cambria" w:cs="Cambria"/>
          <w:kern w:val="0"/>
          <w:sz w:val="24"/>
        </w:rPr>
        <w:t>三</w:t>
      </w:r>
      <w:r>
        <w:rPr>
          <w:rFonts w:ascii="Cambria" w:hAnsi="Cambria" w:cs="Cambria"/>
          <w:kern w:val="0"/>
          <w:sz w:val="24"/>
        </w:rPr>
        <w:t>名作为中标候选人。</w:t>
      </w:r>
    </w:p>
    <w:tbl>
      <w:tblPr>
        <w:tblStyle w:val="27"/>
        <w:tblpPr w:leftFromText="180" w:rightFromText="180" w:vertAnchor="text" w:horzAnchor="page" w:tblpX="1657" w:tblpY="97"/>
        <w:tblOverlap w:val="never"/>
        <w:tblW w:w="8699" w:type="dxa"/>
        <w:tblInd w:w="0" w:type="dxa"/>
        <w:tblLayout w:type="fixed"/>
        <w:tblCellMar>
          <w:top w:w="0" w:type="dxa"/>
          <w:left w:w="108" w:type="dxa"/>
          <w:bottom w:w="0" w:type="dxa"/>
          <w:right w:w="108" w:type="dxa"/>
        </w:tblCellMar>
      </w:tblPr>
      <w:tblGrid>
        <w:gridCol w:w="971"/>
        <w:gridCol w:w="1062"/>
        <w:gridCol w:w="785"/>
        <w:gridCol w:w="5881"/>
      </w:tblGrid>
      <w:tr>
        <w:tblPrEx>
          <w:tblCellMar>
            <w:top w:w="0" w:type="dxa"/>
            <w:left w:w="108" w:type="dxa"/>
            <w:bottom w:w="0" w:type="dxa"/>
            <w:right w:w="108" w:type="dxa"/>
          </w:tblCellMar>
        </w:tblPrEx>
        <w:trPr>
          <w:trHeight w:val="477" w:hRule="atLeast"/>
        </w:trPr>
        <w:tc>
          <w:tcPr>
            <w:tcW w:w="9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评分类别</w:t>
            </w:r>
          </w:p>
        </w:tc>
        <w:tc>
          <w:tcPr>
            <w:tcW w:w="10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评分项目</w:t>
            </w:r>
          </w:p>
        </w:tc>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分值</w:t>
            </w:r>
          </w:p>
        </w:tc>
        <w:tc>
          <w:tcPr>
            <w:tcW w:w="5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评分标准</w:t>
            </w:r>
          </w:p>
        </w:tc>
      </w:tr>
      <w:tr>
        <w:tblPrEx>
          <w:tblCellMar>
            <w:top w:w="0" w:type="dxa"/>
            <w:left w:w="108" w:type="dxa"/>
            <w:bottom w:w="0" w:type="dxa"/>
            <w:right w:w="108" w:type="dxa"/>
          </w:tblCellMar>
        </w:tblPrEx>
        <w:trPr>
          <w:trHeight w:val="1116" w:hRule="atLeast"/>
        </w:trPr>
        <w:tc>
          <w:tcPr>
            <w:tcW w:w="9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投标报价</w:t>
            </w:r>
          </w:p>
          <w:p>
            <w:pPr>
              <w:widowControl/>
              <w:jc w:val="center"/>
              <w:textAlignment w:val="center"/>
              <w:rPr>
                <w:rFonts w:ascii="宋体" w:hAnsi="宋体" w:cs="宋体"/>
                <w:sz w:val="18"/>
                <w:szCs w:val="18"/>
              </w:rPr>
            </w:pPr>
            <w:r>
              <w:rPr>
                <w:rFonts w:hint="eastAsia" w:ascii="宋体" w:hAnsi="宋体" w:cs="宋体"/>
                <w:kern w:val="0"/>
                <w:sz w:val="18"/>
                <w:szCs w:val="18"/>
                <w:lang w:bidi="ar"/>
              </w:rPr>
              <w:t>(</w:t>
            </w:r>
            <w:r>
              <w:rPr>
                <w:rFonts w:hint="eastAsia" w:ascii="宋体" w:hAnsi="宋体" w:cs="宋体"/>
                <w:kern w:val="0"/>
                <w:sz w:val="18"/>
                <w:szCs w:val="18"/>
                <w:lang w:val="en-US" w:eastAsia="zh-CN" w:bidi="ar"/>
              </w:rPr>
              <w:t>1</w:t>
            </w:r>
            <w:r>
              <w:rPr>
                <w:rFonts w:hint="eastAsia" w:ascii="宋体" w:hAnsi="宋体" w:cs="宋体"/>
                <w:kern w:val="0"/>
                <w:sz w:val="18"/>
                <w:szCs w:val="18"/>
                <w:lang w:bidi="ar"/>
              </w:rPr>
              <w:t>0分)</w:t>
            </w:r>
          </w:p>
        </w:tc>
        <w:tc>
          <w:tcPr>
            <w:tcW w:w="1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投标报价</w:t>
            </w: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cs="宋体"/>
                <w:kern w:val="0"/>
                <w:sz w:val="18"/>
                <w:szCs w:val="18"/>
                <w:lang w:val="en-US" w:eastAsia="zh-CN" w:bidi="ar"/>
              </w:rPr>
              <w:t>10</w:t>
            </w:r>
          </w:p>
        </w:tc>
        <w:tc>
          <w:tcPr>
            <w:tcW w:w="58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sz w:val="18"/>
                <w:szCs w:val="18"/>
              </w:rPr>
              <w:t>满足招标文件要求且最终报价最低的报价为评审基准价，其价格分为满分。其他满足磋商文件要求的供应商的价格分统一按照下列公式计算：</w:t>
            </w:r>
          </w:p>
          <w:p>
            <w:pPr>
              <w:widowControl/>
              <w:jc w:val="left"/>
              <w:textAlignment w:val="center"/>
              <w:rPr>
                <w:rFonts w:ascii="宋体" w:hAnsi="宋体" w:cs="宋体"/>
                <w:sz w:val="18"/>
                <w:szCs w:val="18"/>
              </w:rPr>
            </w:pPr>
            <w:r>
              <w:rPr>
                <w:rFonts w:hint="eastAsia" w:ascii="宋体" w:hAnsi="宋体" w:cs="宋体"/>
                <w:sz w:val="18"/>
                <w:szCs w:val="18"/>
              </w:rPr>
              <w:t>评审价格分数=（评审基准价/最终报价）×价格权重（</w:t>
            </w:r>
            <w:r>
              <w:rPr>
                <w:rFonts w:hint="eastAsia" w:ascii="宋体" w:hAnsi="宋体" w:cs="宋体"/>
                <w:sz w:val="18"/>
                <w:szCs w:val="18"/>
                <w:lang w:val="en-US" w:eastAsia="zh-CN"/>
              </w:rPr>
              <w:t>1</w:t>
            </w:r>
            <w:r>
              <w:rPr>
                <w:rFonts w:hint="eastAsia" w:ascii="宋体" w:hAnsi="宋体" w:cs="宋体"/>
                <w:sz w:val="18"/>
                <w:szCs w:val="18"/>
              </w:rPr>
              <w:t xml:space="preserve">0%）×100 </w:t>
            </w:r>
          </w:p>
        </w:tc>
      </w:tr>
      <w:tr>
        <w:tblPrEx>
          <w:tblCellMar>
            <w:top w:w="0" w:type="dxa"/>
            <w:left w:w="108" w:type="dxa"/>
            <w:bottom w:w="0" w:type="dxa"/>
            <w:right w:w="108" w:type="dxa"/>
          </w:tblCellMar>
        </w:tblPrEx>
        <w:trPr>
          <w:trHeight w:val="726" w:hRule="atLeast"/>
        </w:trPr>
        <w:tc>
          <w:tcPr>
            <w:tcW w:w="9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商务部分</w:t>
            </w:r>
          </w:p>
          <w:p>
            <w:pPr>
              <w:widowControl/>
              <w:jc w:val="center"/>
              <w:textAlignment w:val="center"/>
              <w:rPr>
                <w:rFonts w:ascii="宋体" w:hAnsi="宋体" w:cs="宋体"/>
                <w:sz w:val="18"/>
                <w:szCs w:val="18"/>
              </w:rPr>
            </w:pPr>
            <w:r>
              <w:rPr>
                <w:rFonts w:hint="eastAsia" w:ascii="宋体" w:hAnsi="宋体" w:cs="宋体"/>
                <w:kern w:val="0"/>
                <w:sz w:val="18"/>
                <w:szCs w:val="18"/>
                <w:lang w:bidi="ar"/>
              </w:rPr>
              <w:t>(</w:t>
            </w:r>
            <w:r>
              <w:rPr>
                <w:rFonts w:hint="eastAsia" w:ascii="宋体" w:hAnsi="宋体" w:cs="宋体"/>
                <w:kern w:val="0"/>
                <w:sz w:val="18"/>
                <w:szCs w:val="18"/>
                <w:lang w:val="en-US" w:eastAsia="zh-CN" w:bidi="ar"/>
              </w:rPr>
              <w:t>3</w:t>
            </w:r>
            <w:r>
              <w:rPr>
                <w:rFonts w:hint="eastAsia" w:ascii="宋体" w:hAnsi="宋体" w:cs="宋体"/>
                <w:kern w:val="0"/>
                <w:sz w:val="18"/>
                <w:szCs w:val="18"/>
                <w:lang w:bidi="ar"/>
              </w:rPr>
              <w:t>0分)</w:t>
            </w:r>
          </w:p>
        </w:tc>
        <w:tc>
          <w:tcPr>
            <w:tcW w:w="1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企业业绩</w:t>
            </w: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1</w:t>
            </w:r>
            <w:r>
              <w:rPr>
                <w:rFonts w:hint="eastAsia" w:ascii="宋体" w:hAnsi="宋体" w:cs="宋体"/>
                <w:kern w:val="0"/>
                <w:sz w:val="18"/>
                <w:szCs w:val="18"/>
                <w:lang w:bidi="ar"/>
              </w:rPr>
              <w:t>6</w:t>
            </w:r>
          </w:p>
        </w:tc>
        <w:tc>
          <w:tcPr>
            <w:tcW w:w="58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投标人提供类似相关业绩，每提供一个得</w:t>
            </w:r>
            <w:r>
              <w:rPr>
                <w:rFonts w:hint="eastAsia" w:ascii="宋体" w:hAnsi="宋体" w:cs="宋体"/>
                <w:kern w:val="0"/>
                <w:sz w:val="18"/>
                <w:szCs w:val="18"/>
                <w:lang w:val="en-US" w:eastAsia="zh-CN" w:bidi="ar"/>
              </w:rPr>
              <w:t>2</w:t>
            </w:r>
            <w:r>
              <w:rPr>
                <w:rFonts w:hint="eastAsia" w:ascii="宋体" w:hAnsi="宋体" w:cs="宋体"/>
                <w:kern w:val="0"/>
                <w:sz w:val="18"/>
                <w:szCs w:val="18"/>
                <w:lang w:bidi="ar"/>
              </w:rPr>
              <w:t>分，最高</w:t>
            </w:r>
            <w:r>
              <w:rPr>
                <w:rFonts w:hint="eastAsia" w:ascii="宋体" w:hAnsi="宋体" w:cs="宋体"/>
                <w:kern w:val="0"/>
                <w:sz w:val="18"/>
                <w:szCs w:val="18"/>
                <w:lang w:val="en-US" w:eastAsia="zh-CN" w:bidi="ar"/>
              </w:rPr>
              <w:t>16</w:t>
            </w:r>
            <w:r>
              <w:rPr>
                <w:rFonts w:hint="eastAsia" w:ascii="宋体" w:hAnsi="宋体" w:cs="宋体"/>
                <w:kern w:val="0"/>
                <w:sz w:val="18"/>
                <w:szCs w:val="18"/>
                <w:lang w:bidi="ar"/>
              </w:rPr>
              <w:t>分。（需提供合同复印件或扫描件，合同要求提供合同首页、合同金额所在页、签字盖章页并加盖公章）</w:t>
            </w:r>
          </w:p>
        </w:tc>
      </w:tr>
      <w:tr>
        <w:tblPrEx>
          <w:tblCellMar>
            <w:top w:w="0" w:type="dxa"/>
            <w:left w:w="108" w:type="dxa"/>
            <w:bottom w:w="0" w:type="dxa"/>
            <w:right w:w="108" w:type="dxa"/>
          </w:tblCellMar>
        </w:tblPrEx>
        <w:trPr>
          <w:trHeight w:val="1433" w:hRule="atLeast"/>
        </w:trPr>
        <w:tc>
          <w:tcPr>
            <w:tcW w:w="971" w:type="dxa"/>
            <w:vMerge w:val="continue"/>
            <w:tcBorders>
              <w:left w:val="single" w:color="000000" w:sz="4" w:space="0"/>
              <w:right w:val="single" w:color="000000" w:sz="4" w:space="0"/>
            </w:tcBorders>
            <w:vAlign w:val="center"/>
          </w:tcPr>
          <w:p>
            <w:pPr>
              <w:jc w:val="center"/>
              <w:rPr>
                <w:rFonts w:ascii="宋体" w:hAnsi="宋体" w:cs="宋体"/>
                <w:sz w:val="18"/>
                <w:szCs w:val="18"/>
              </w:rPr>
            </w:pPr>
          </w:p>
        </w:tc>
        <w:tc>
          <w:tcPr>
            <w:tcW w:w="1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项目团队</w:t>
            </w: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10</w:t>
            </w:r>
          </w:p>
        </w:tc>
        <w:tc>
          <w:tcPr>
            <w:tcW w:w="58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提供项目团队人员列表（附职称证书及近6个月本单位社会保障缴纳证明并加盖投标人公章）提供齐全得2分，有缺漏项的不得分。</w:t>
            </w:r>
          </w:p>
          <w:p>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项目团队人员中有文物博物、文物博物馆专业类副高级（副研）及以上职称证书，每提供一个得1分，最高得4分。</w:t>
            </w:r>
          </w:p>
          <w:p>
            <w:pPr>
              <w:widowControl/>
              <w:jc w:val="left"/>
              <w:textAlignment w:val="center"/>
              <w:rPr>
                <w:rFonts w:ascii="宋体" w:hAnsi="宋体" w:cs="宋体"/>
                <w:sz w:val="18"/>
                <w:szCs w:val="18"/>
              </w:rPr>
            </w:pPr>
            <w:r>
              <w:rPr>
                <w:rFonts w:hint="eastAsia" w:ascii="宋体" w:hAnsi="宋体" w:cs="宋体"/>
                <w:kern w:val="0"/>
                <w:sz w:val="18"/>
                <w:szCs w:val="18"/>
                <w:lang w:bidi="ar"/>
              </w:rPr>
              <w:t>项目团队人员中有信息系统项目管理类高级职称的证书，每提供一个得1分，最高得4分。</w:t>
            </w:r>
          </w:p>
        </w:tc>
      </w:tr>
      <w:tr>
        <w:trPr>
          <w:trHeight w:val="906" w:hRule="atLeast"/>
        </w:trPr>
        <w:tc>
          <w:tcPr>
            <w:tcW w:w="971"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sz w:val="18"/>
                <w:szCs w:val="18"/>
              </w:rPr>
            </w:pPr>
          </w:p>
        </w:tc>
        <w:tc>
          <w:tcPr>
            <w:tcW w:w="1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企业软件实力</w:t>
            </w: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4</w:t>
            </w:r>
          </w:p>
        </w:tc>
        <w:tc>
          <w:tcPr>
            <w:tcW w:w="58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供应商每提供一个（藏品综合管理,文保单位记录档案数据管理系统，馆藏文物信息管理系统，文化遗产信息服务平台）等相关信息类软件著作权证书得1分，最高得4分。</w:t>
            </w:r>
          </w:p>
        </w:tc>
      </w:tr>
      <w:tr>
        <w:tblPrEx>
          <w:tblCellMar>
            <w:top w:w="0" w:type="dxa"/>
            <w:left w:w="108" w:type="dxa"/>
            <w:bottom w:w="0" w:type="dxa"/>
            <w:right w:w="108" w:type="dxa"/>
          </w:tblCellMar>
        </w:tblPrEx>
        <w:trPr>
          <w:trHeight w:val="1883" w:hRule="atLeast"/>
        </w:trPr>
        <w:tc>
          <w:tcPr>
            <w:tcW w:w="9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技术部分</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r>
              <w:rPr>
                <w:rFonts w:hint="eastAsia" w:ascii="宋体" w:hAnsi="宋体" w:cs="宋体"/>
                <w:color w:val="000000"/>
                <w:kern w:val="0"/>
                <w:sz w:val="18"/>
                <w:szCs w:val="18"/>
                <w:lang w:val="en-US" w:eastAsia="zh-CN" w:bidi="ar"/>
              </w:rPr>
              <w:t>6</w:t>
            </w:r>
            <w:r>
              <w:rPr>
                <w:rFonts w:hint="eastAsia" w:ascii="宋体" w:hAnsi="宋体" w:cs="宋体"/>
                <w:color w:val="000000"/>
                <w:kern w:val="0"/>
                <w:sz w:val="18"/>
                <w:szCs w:val="18"/>
                <w:lang w:bidi="ar"/>
              </w:rPr>
              <w:t>0分)</w:t>
            </w:r>
          </w:p>
        </w:tc>
        <w:tc>
          <w:tcPr>
            <w:tcW w:w="1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项目理解</w:t>
            </w:r>
          </w:p>
        </w:tc>
        <w:tc>
          <w:tcPr>
            <w:tcW w:w="785" w:type="dxa"/>
            <w:tcBorders>
              <w:top w:val="single" w:color="000000" w:sz="4" w:space="0"/>
              <w:left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5881"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对项目理解情况的评审：</w:t>
            </w:r>
          </w:p>
          <w:p>
            <w:pPr>
              <w:widowControl/>
              <w:numPr>
                <w:ilvl w:val="0"/>
                <w:numId w:val="2"/>
              </w:numPr>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对项目背景、建设的必要性和意义、实际业务需求的符合程度，了解全面，评估合理的得4分，大部分了解或评估较为合理的得2分，少部分理解或评估一般的得1分，否则不得分。</w:t>
            </w:r>
          </w:p>
          <w:p>
            <w:pPr>
              <w:widowControl/>
              <w:numPr>
                <w:ilvl w:val="0"/>
                <w:numId w:val="2"/>
              </w:numPr>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对项目部署环境、访问入口游新疆有全面的理解，了解全面，评估合理的得4分，大部分了解或评估较为合理的得2分，少部分理解或评估一般的得1分，否则不得分。</w:t>
            </w:r>
          </w:p>
          <w:p>
            <w:pPr>
              <w:widowControl/>
              <w:numPr>
                <w:ilvl w:val="0"/>
                <w:numId w:val="2"/>
              </w:numPr>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对文物资源的初步数据汇聚需求的理解，包括：资源范围、资源内容、数据标准等，了解全面，评估合理的得4分，大部分了解或评估较为合理的得2分，少部分理解或评估一般的得1分，否则不得分。</w:t>
            </w:r>
          </w:p>
          <w:p>
            <w:pPr>
              <w:widowControl/>
              <w:numPr>
                <w:ilvl w:val="0"/>
                <w:numId w:val="2"/>
              </w:numPr>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对文物资源数据治理需求的理解，包括：工作量、招标人需求等。了解全面，评估合理的得4分，大部分了解或评估较为合理的得2分，少部分理解或评估一般的得1分，否则不得分。</w:t>
            </w:r>
          </w:p>
          <w:p>
            <w:pPr>
              <w:widowControl/>
              <w:numPr>
                <w:ilvl w:val="0"/>
                <w:numId w:val="2"/>
              </w:numPr>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对公众展示模块开发的理解分析，包括：框架、技术架构、功能模块等。了解全面，评估合理的得4分，大部分了解或评估较为合理的得2分，少部分理解或评估一般的得1分，否则不得分。</w:t>
            </w:r>
          </w:p>
        </w:tc>
      </w:tr>
      <w:tr>
        <w:tblPrEx>
          <w:tblCellMar>
            <w:top w:w="0" w:type="dxa"/>
            <w:left w:w="108" w:type="dxa"/>
            <w:bottom w:w="0" w:type="dxa"/>
            <w:right w:w="108" w:type="dxa"/>
          </w:tblCellMar>
        </w:tblPrEx>
        <w:trPr>
          <w:trHeight w:val="2927" w:hRule="atLeast"/>
        </w:trPr>
        <w:tc>
          <w:tcPr>
            <w:tcW w:w="9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总体设计方案</w:t>
            </w:r>
          </w:p>
        </w:tc>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8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1、总体设计方案须包括总体架构、逻辑架构、设计思路、设计方法、技术路线的详细程度，具备先进性，可行性。</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方案内容全面、符合性强、可执行性高，得3-4分；</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方案内容基本全面合理，得2分；</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方案内容不全，得1分；</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方案差，未提供，得0分。</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2、设计方案中须详细阐述公众展示赏文物模块中藏品数据的数据来源，安全真实，且数据整理的分类清晰易懂0-3分</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3、设计方案中须详细阐述公众展示遗产地图模块的功能模块、设计效果，是否简易便捷，方便操作0-3分</w:t>
            </w:r>
          </w:p>
        </w:tc>
      </w:tr>
      <w:tr>
        <w:tblPrEx>
          <w:tblCellMar>
            <w:top w:w="0" w:type="dxa"/>
            <w:left w:w="108" w:type="dxa"/>
            <w:bottom w:w="0" w:type="dxa"/>
            <w:right w:w="108" w:type="dxa"/>
          </w:tblCellMar>
        </w:tblPrEx>
        <w:trPr>
          <w:trHeight w:val="1847" w:hRule="atLeast"/>
        </w:trPr>
        <w:tc>
          <w:tcPr>
            <w:tcW w:w="9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实施方案</w:t>
            </w:r>
          </w:p>
        </w:tc>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58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实施方案根据项目的进度要求制定科学合理的进度计划，保障项目按时完成，含针对组织体系、人力资源、设备投入、成果提交、工程进度、服务质量等提出服务承诺，并对项目风险的识别与分析提出合理的对策与管理。</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方案内容全面、科学合理、切实考虑用户实际需求，能充分保障本项目顺利实施，得3-4分；</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方案内容基本全面、合理、基本能保障本项目实施，得2分；方案内容不全，得1分；</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方案差，未提供，得0分</w:t>
            </w:r>
          </w:p>
        </w:tc>
      </w:tr>
      <w:tr>
        <w:tblPrEx>
          <w:tblCellMar>
            <w:top w:w="0" w:type="dxa"/>
            <w:left w:w="108" w:type="dxa"/>
            <w:bottom w:w="0" w:type="dxa"/>
            <w:right w:w="108" w:type="dxa"/>
          </w:tblCellMar>
        </w:tblPrEx>
        <w:trPr>
          <w:trHeight w:val="913" w:hRule="atLeast"/>
        </w:trPr>
        <w:tc>
          <w:tcPr>
            <w:tcW w:w="9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技术指标响应</w:t>
            </w:r>
          </w:p>
        </w:tc>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58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投标产品根据管理业务的实际需求，在网络正常的情况下，必须满足功能的性能指标要求，存在非实质性负偏离，每一项扣1分，扣完为止。</w:t>
            </w:r>
          </w:p>
        </w:tc>
      </w:tr>
      <w:tr>
        <w:tblPrEx>
          <w:tblCellMar>
            <w:top w:w="0" w:type="dxa"/>
            <w:left w:w="108" w:type="dxa"/>
            <w:bottom w:w="0" w:type="dxa"/>
            <w:right w:w="108" w:type="dxa"/>
          </w:tblCellMar>
        </w:tblPrEx>
        <w:trPr>
          <w:trHeight w:val="1197" w:hRule="atLeast"/>
        </w:trPr>
        <w:tc>
          <w:tcPr>
            <w:tcW w:w="9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0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售后服务方案</w:t>
            </w:r>
          </w:p>
        </w:tc>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w:t>
            </w:r>
          </w:p>
        </w:tc>
        <w:tc>
          <w:tcPr>
            <w:tcW w:w="5881"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提供本项目的售后服务方案，包括响应时间、故障排除时间、售后服务内容、服务保障措施等。</w:t>
            </w:r>
          </w:p>
          <w:p>
            <w:pPr>
              <w:widowControl/>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方案内容详细完善、科学合理、能充分保障售后服务质量，得2分；</w:t>
            </w:r>
          </w:p>
          <w:p>
            <w:pPr>
              <w:widowControl/>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方案内容基本完善、合理，基本能保障售后服务质量，得1分；</w:t>
            </w:r>
          </w:p>
          <w:p>
            <w:pPr>
              <w:widowControl/>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未提供，得0分；</w:t>
            </w:r>
          </w:p>
        </w:tc>
      </w:tr>
      <w:tr>
        <w:tblPrEx>
          <w:tblCellMar>
            <w:top w:w="0" w:type="dxa"/>
            <w:left w:w="108" w:type="dxa"/>
            <w:bottom w:w="0" w:type="dxa"/>
            <w:right w:w="108" w:type="dxa"/>
          </w:tblCellMar>
        </w:tblPrEx>
        <w:trPr>
          <w:trHeight w:val="4580" w:hRule="atLeast"/>
        </w:trPr>
        <w:tc>
          <w:tcPr>
            <w:tcW w:w="9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系统演示</w:t>
            </w:r>
            <w:bookmarkStart w:id="120" w:name="_GoBack"/>
            <w:bookmarkEnd w:id="120"/>
          </w:p>
        </w:tc>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58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供应商需将系统演示及讲解环节录制成视频（建议MP4格式），系统演示及讲解视频时间不得超过为8分钟。根据系统演示及讲解情况进行综合评分，具体评分内容如下：对以下4个功能模块的演示。功能模块全面，业务流程合理，符合采购人需求的，每项得5分；模块演示</w:t>
            </w:r>
            <w:r>
              <w:rPr>
                <w:rFonts w:hint="eastAsia" w:ascii="宋体" w:hAnsi="宋体" w:cs="宋体"/>
                <w:color w:val="000000"/>
                <w:kern w:val="0"/>
                <w:sz w:val="18"/>
                <w:szCs w:val="18"/>
                <w:lang w:eastAsia="zh-Hans" w:bidi="ar"/>
              </w:rPr>
              <w:t>较为</w:t>
            </w:r>
            <w:r>
              <w:rPr>
                <w:rFonts w:hint="eastAsia" w:ascii="宋体" w:hAnsi="宋体" w:cs="宋体"/>
                <w:color w:val="000000"/>
                <w:kern w:val="0"/>
                <w:sz w:val="18"/>
                <w:szCs w:val="18"/>
                <w:lang w:bidi="ar"/>
              </w:rPr>
              <w:t>完全，业务流程较为合理的，每项得</w:t>
            </w:r>
            <w:r>
              <w:rPr>
                <w:rFonts w:ascii="宋体" w:hAnsi="宋体" w:cs="宋体"/>
                <w:color w:val="000000"/>
                <w:kern w:val="0"/>
                <w:sz w:val="18"/>
                <w:szCs w:val="18"/>
                <w:lang w:bidi="ar"/>
              </w:rPr>
              <w:t>3</w:t>
            </w:r>
            <w:r>
              <w:rPr>
                <w:rFonts w:hint="eastAsia" w:ascii="宋体" w:hAnsi="宋体" w:cs="宋体"/>
                <w:color w:val="000000"/>
                <w:kern w:val="0"/>
                <w:sz w:val="18"/>
                <w:szCs w:val="18"/>
                <w:lang w:bidi="ar"/>
              </w:rPr>
              <w:t>分</w:t>
            </w:r>
            <w:r>
              <w:rPr>
                <w:rFonts w:ascii="宋体" w:hAnsi="宋体" w:cs="宋体"/>
                <w:color w:val="000000"/>
                <w:kern w:val="0"/>
                <w:sz w:val="18"/>
                <w:szCs w:val="18"/>
                <w:lang w:bidi="ar"/>
              </w:rPr>
              <w:t>；</w:t>
            </w:r>
            <w:r>
              <w:rPr>
                <w:rFonts w:hint="eastAsia" w:ascii="宋体" w:hAnsi="宋体" w:cs="宋体"/>
                <w:color w:val="000000"/>
                <w:kern w:val="0"/>
                <w:sz w:val="18"/>
                <w:szCs w:val="18"/>
                <w:lang w:eastAsia="zh-Hans" w:bidi="ar"/>
              </w:rPr>
              <w:t>模块演示不完全</w:t>
            </w:r>
            <w:r>
              <w:rPr>
                <w:rFonts w:ascii="宋体" w:hAnsi="宋体" w:cs="宋体"/>
                <w:color w:val="000000"/>
                <w:kern w:val="0"/>
                <w:sz w:val="18"/>
                <w:szCs w:val="18"/>
                <w:lang w:eastAsia="zh-Hans" w:bidi="ar"/>
              </w:rPr>
              <w:t>，</w:t>
            </w:r>
            <w:r>
              <w:rPr>
                <w:rFonts w:hint="eastAsia" w:ascii="宋体" w:hAnsi="宋体" w:cs="宋体"/>
                <w:color w:val="000000"/>
                <w:kern w:val="0"/>
                <w:sz w:val="18"/>
                <w:szCs w:val="18"/>
                <w:lang w:eastAsia="zh-Hans" w:bidi="ar"/>
              </w:rPr>
              <w:t>流程较为合理的</w:t>
            </w:r>
            <w:r>
              <w:rPr>
                <w:rFonts w:ascii="宋体" w:hAnsi="宋体" w:cs="宋体"/>
                <w:color w:val="000000"/>
                <w:kern w:val="0"/>
                <w:sz w:val="18"/>
                <w:szCs w:val="18"/>
                <w:lang w:eastAsia="zh-Hans" w:bidi="ar"/>
              </w:rPr>
              <w:t>，</w:t>
            </w:r>
            <w:r>
              <w:rPr>
                <w:rFonts w:hint="eastAsia" w:ascii="宋体" w:hAnsi="宋体" w:cs="宋体"/>
                <w:color w:val="000000"/>
                <w:kern w:val="0"/>
                <w:sz w:val="18"/>
                <w:szCs w:val="18"/>
                <w:lang w:eastAsia="zh-Hans" w:bidi="ar"/>
              </w:rPr>
              <w:t>每项得</w:t>
            </w:r>
            <w:r>
              <w:rPr>
                <w:rFonts w:ascii="宋体" w:hAnsi="宋体" w:cs="宋体"/>
                <w:color w:val="000000"/>
                <w:kern w:val="0"/>
                <w:sz w:val="18"/>
                <w:szCs w:val="18"/>
                <w:lang w:eastAsia="zh-Hans" w:bidi="ar"/>
              </w:rPr>
              <w:t>1</w:t>
            </w:r>
            <w:r>
              <w:rPr>
                <w:rFonts w:hint="eastAsia" w:ascii="宋体" w:hAnsi="宋体" w:cs="宋体"/>
                <w:color w:val="000000"/>
                <w:kern w:val="0"/>
                <w:sz w:val="18"/>
                <w:szCs w:val="18"/>
                <w:lang w:eastAsia="zh-Hans" w:bidi="ar"/>
              </w:rPr>
              <w:t>分</w:t>
            </w:r>
            <w:r>
              <w:rPr>
                <w:rFonts w:ascii="宋体" w:hAnsi="宋体" w:cs="宋体"/>
                <w:color w:val="000000"/>
                <w:kern w:val="0"/>
                <w:sz w:val="18"/>
                <w:szCs w:val="18"/>
                <w:lang w:eastAsia="zh-Hans" w:bidi="ar"/>
              </w:rPr>
              <w:t>；</w:t>
            </w:r>
            <w:r>
              <w:rPr>
                <w:rFonts w:hint="eastAsia" w:ascii="宋体" w:hAnsi="宋体" w:cs="宋体"/>
                <w:color w:val="000000"/>
                <w:kern w:val="0"/>
                <w:sz w:val="18"/>
                <w:szCs w:val="18"/>
                <w:lang w:bidi="ar"/>
              </w:rPr>
              <w:t>不能提供演示的，不得分；满分20分：</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1、对“遗产地图”进行系统演示：结合GIS地图为公众提供文物的空间分布、详情介绍、导航等服务等内容。</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2、对“赏文物”进行演示，可通过搜索查询相关文物信息，查看文物的详情介绍、图片或3D效果，用户在观赏文物的时候，也可进行收藏、分享、点赞或者留言评论，同时系统可以推荐同类型的文物。</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3、对“云展览”进行演示，为公众提供文物线上展览，以图文、视频、全景VR等形式将相关文博场馆的云展览内容进行展示。</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4、对“我的”功能展示，用户个人的信息、收藏的内容、足迹、留言、反馈等内容。</w:t>
            </w:r>
          </w:p>
        </w:tc>
      </w:tr>
    </w:tbl>
    <w:p>
      <w:pPr>
        <w:pStyle w:val="34"/>
      </w:pPr>
    </w:p>
    <w:p>
      <w:pPr>
        <w:adjustRightInd w:val="0"/>
        <w:snapToGrid w:val="0"/>
        <w:spacing w:line="480" w:lineRule="exact"/>
        <w:rPr>
          <w:rFonts w:ascii="Cambria" w:hAnsi="Cambria" w:cs="Cambria"/>
          <w:kern w:val="0"/>
          <w:sz w:val="24"/>
        </w:rPr>
      </w:pPr>
      <w:r>
        <w:rPr>
          <w:rFonts w:ascii="Cambria" w:hAnsi="Cambria" w:cs="Cambria"/>
          <w:kern w:val="0"/>
          <w:sz w:val="24"/>
        </w:rPr>
        <w:t>2.2 评分计分方法：</w:t>
      </w:r>
    </w:p>
    <w:p>
      <w:pPr>
        <w:pStyle w:val="2"/>
        <w:kinsoku w:val="0"/>
        <w:overflowPunct w:val="0"/>
        <w:spacing w:before="34"/>
        <w:rPr>
          <w:rFonts w:ascii="宋体" w:hAnsi="宋体" w:cs="宋体"/>
          <w:b/>
          <w:bCs/>
        </w:rPr>
      </w:pPr>
    </w:p>
    <w:p>
      <w:pPr>
        <w:pStyle w:val="2"/>
        <w:kinsoku w:val="0"/>
        <w:overflowPunct w:val="0"/>
        <w:spacing w:before="34"/>
        <w:rPr>
          <w:rFonts w:ascii="宋体" w:hAnsi="宋体" w:cs="宋体"/>
          <w:b/>
          <w:bCs/>
        </w:rPr>
      </w:pPr>
      <w:r>
        <w:rPr>
          <w:rFonts w:hint="eastAsia" w:ascii="宋体" w:hAnsi="宋体" w:cs="宋体"/>
          <w:b/>
          <w:bCs/>
        </w:rPr>
        <w:t>投标报价计算备注：</w:t>
      </w:r>
    </w:p>
    <w:p>
      <w:pPr>
        <w:pStyle w:val="2"/>
        <w:kinsoku w:val="0"/>
        <w:overflowPunct w:val="0"/>
        <w:spacing w:before="34" w:line="357" w:lineRule="auto"/>
        <w:ind w:right="126"/>
        <w:rPr>
          <w:rFonts w:ascii="Cambria" w:hAnsi="Cambria" w:cs="Cambria"/>
          <w:kern w:val="0"/>
          <w:sz w:val="24"/>
        </w:rPr>
      </w:pPr>
      <w:r>
        <w:rPr>
          <w:rFonts w:hint="eastAsia" w:ascii="Cambria" w:hAnsi="Cambria" w:cs="Cambria"/>
          <w:b/>
          <w:bCs/>
          <w:kern w:val="0"/>
          <w:sz w:val="24"/>
        </w:rPr>
        <w:t>根据《新财购〔2022〕22号》文件规定，适用政府采购法的政府采购项目对中小微企业报价给予10%的扣除，用扣除后的价格参与评审。</w:t>
      </w:r>
    </w:p>
    <w:p>
      <w:pPr>
        <w:pStyle w:val="2"/>
        <w:kinsoku w:val="0"/>
        <w:overflowPunct w:val="0"/>
        <w:spacing w:before="34" w:line="357" w:lineRule="auto"/>
        <w:ind w:right="126"/>
        <w:rPr>
          <w:rFonts w:ascii="Cambria" w:hAnsi="Cambria" w:cs="Cambria"/>
          <w:kern w:val="0"/>
          <w:sz w:val="24"/>
        </w:rPr>
      </w:pPr>
      <w:r>
        <w:rPr>
          <w:rFonts w:hint="eastAsia" w:ascii="Cambria" w:hAnsi="Cambria" w:cs="Cambria"/>
          <w:kern w:val="0"/>
          <w:sz w:val="24"/>
        </w:rPr>
        <w:t>计分原则：</w:t>
      </w:r>
    </w:p>
    <w:p>
      <w:pPr>
        <w:pStyle w:val="2"/>
        <w:kinsoku w:val="0"/>
        <w:overflowPunct w:val="0"/>
        <w:spacing w:before="34" w:line="357" w:lineRule="auto"/>
        <w:ind w:right="126"/>
        <w:rPr>
          <w:rFonts w:ascii="Cambria" w:hAnsi="Cambria" w:cs="Cambria"/>
          <w:kern w:val="0"/>
          <w:sz w:val="24"/>
        </w:rPr>
      </w:pPr>
      <w:r>
        <w:rPr>
          <w:rFonts w:hint="eastAsia" w:ascii="Cambria" w:hAnsi="Cambria" w:cs="Cambria"/>
          <w:kern w:val="0"/>
          <w:sz w:val="24"/>
        </w:rPr>
        <w:t>1、投标报价得分由评标委员会按照价格分计算公式计算分值。</w:t>
      </w:r>
    </w:p>
    <w:p>
      <w:pPr>
        <w:pStyle w:val="2"/>
        <w:kinsoku w:val="0"/>
        <w:overflowPunct w:val="0"/>
        <w:spacing w:before="34" w:line="357" w:lineRule="auto"/>
        <w:ind w:right="126"/>
        <w:rPr>
          <w:rFonts w:ascii="Cambria" w:hAnsi="Cambria" w:cs="Cambria"/>
          <w:kern w:val="0"/>
          <w:sz w:val="24"/>
        </w:rPr>
      </w:pPr>
      <w:r>
        <w:rPr>
          <w:rFonts w:hint="eastAsia" w:ascii="Cambria" w:hAnsi="Cambria" w:cs="Cambria"/>
          <w:kern w:val="0"/>
          <w:sz w:val="24"/>
        </w:rPr>
        <w:t>2、商务部分由评标委员会共同评定唯一的得分。</w:t>
      </w:r>
    </w:p>
    <w:p>
      <w:pPr>
        <w:pStyle w:val="2"/>
        <w:kinsoku w:val="0"/>
        <w:overflowPunct w:val="0"/>
        <w:spacing w:before="34" w:line="357" w:lineRule="auto"/>
        <w:ind w:right="126"/>
        <w:rPr>
          <w:rFonts w:ascii="Cambria" w:hAnsi="Cambria" w:cs="Cambria"/>
          <w:kern w:val="0"/>
          <w:sz w:val="24"/>
        </w:rPr>
      </w:pPr>
      <w:r>
        <w:rPr>
          <w:rFonts w:hint="eastAsia" w:ascii="Cambria" w:hAnsi="Cambria" w:cs="Cambria"/>
          <w:kern w:val="0"/>
          <w:sz w:val="24"/>
        </w:rPr>
        <w:t>3、技术部分由评标委员会专家分别打分后，取平均分作为技术分最后得分。</w:t>
      </w:r>
    </w:p>
    <w:p>
      <w:pPr>
        <w:pStyle w:val="2"/>
        <w:kinsoku w:val="0"/>
        <w:overflowPunct w:val="0"/>
        <w:spacing w:before="34" w:line="357" w:lineRule="auto"/>
        <w:ind w:right="126"/>
        <w:rPr>
          <w:rFonts w:ascii="Cambria" w:hAnsi="Cambria" w:cs="Cambria"/>
          <w:kern w:val="0"/>
          <w:sz w:val="24"/>
        </w:rPr>
      </w:pPr>
      <w:r>
        <w:rPr>
          <w:rFonts w:hint="eastAsia" w:ascii="Cambria" w:hAnsi="Cambria" w:cs="Cambria"/>
          <w:kern w:val="0"/>
          <w:sz w:val="24"/>
        </w:rPr>
        <w:t>4、供应商综合评分最终总分值为投标报价、商务部分和技术部分三部分得分总和。评分计算保留 2 位小数，第三位小数四舍五入。</w:t>
      </w:r>
    </w:p>
    <w:p>
      <w:pPr>
        <w:pStyle w:val="2"/>
        <w:kinsoku w:val="0"/>
        <w:overflowPunct w:val="0"/>
        <w:spacing w:before="34" w:line="357" w:lineRule="auto"/>
        <w:ind w:right="126"/>
        <w:rPr>
          <w:rFonts w:ascii="Cambria" w:hAnsi="Cambria" w:cs="Cambria"/>
          <w:kern w:val="0"/>
          <w:sz w:val="24"/>
        </w:rPr>
      </w:pPr>
      <w:r>
        <w:rPr>
          <w:rFonts w:hint="eastAsia" w:ascii="Cambria" w:hAnsi="Cambria" w:cs="Cambria"/>
          <w:kern w:val="0"/>
          <w:sz w:val="24"/>
        </w:rPr>
        <w:t>5、得分相同的，按投标报价由低到高顺序排列。得分且投标报价相同的，按技术指标优劣顺序排列。</w:t>
      </w:r>
    </w:p>
    <w:p>
      <w:pPr>
        <w:pStyle w:val="2"/>
        <w:kinsoku w:val="0"/>
        <w:overflowPunct w:val="0"/>
        <w:spacing w:before="34" w:line="357" w:lineRule="auto"/>
        <w:ind w:right="126"/>
        <w:rPr>
          <w:rFonts w:ascii="Cambria" w:hAnsi="Cambria" w:cs="Cambria"/>
          <w:kern w:val="0"/>
          <w:sz w:val="24"/>
        </w:rPr>
      </w:pPr>
      <w:r>
        <w:rPr>
          <w:rFonts w:hint="eastAsia" w:ascii="Cambria" w:hAnsi="Cambria" w:cs="Cambria"/>
          <w:kern w:val="0"/>
          <w:sz w:val="24"/>
        </w:rPr>
        <w:t>6、评标委员会按评分排序确定中标人，同时提交评标报告，由评标委员会成员集体签名。第一中标候选人放弃中标后，由第二名作为中标候选人，依次类推。</w:t>
      </w:r>
    </w:p>
    <w:p>
      <w:pPr>
        <w:pStyle w:val="2"/>
        <w:kinsoku w:val="0"/>
        <w:overflowPunct w:val="0"/>
        <w:spacing w:before="34" w:line="357" w:lineRule="auto"/>
        <w:ind w:right="126"/>
        <w:rPr>
          <w:rFonts w:ascii="Cambria" w:hAnsi="Cambria" w:cs="Cambria"/>
          <w:kern w:val="0"/>
          <w:sz w:val="24"/>
        </w:rPr>
      </w:pPr>
      <w:r>
        <w:rPr>
          <w:rFonts w:hint="eastAsia" w:ascii="Cambria" w:hAnsi="Cambria" w:cs="Cambria"/>
          <w:kern w:val="0"/>
          <w:sz w:val="24"/>
        </w:rPr>
        <w:t>7、评标中如遇未考虑到的问题，由评标委员会成员集体研究处理决定。</w:t>
      </w:r>
    </w:p>
    <w:p>
      <w:pPr>
        <w:pStyle w:val="2"/>
        <w:kinsoku w:val="0"/>
        <w:overflowPunct w:val="0"/>
        <w:spacing w:before="34"/>
        <w:rPr>
          <w:rFonts w:ascii="Cambria" w:hAnsi="Cambria" w:cs="Cambria"/>
          <w:kern w:val="0"/>
          <w:sz w:val="24"/>
        </w:rPr>
      </w:pPr>
      <w:r>
        <w:rPr>
          <w:rFonts w:hint="eastAsia" w:ascii="Cambria" w:hAnsi="Cambria" w:cs="Cambria"/>
          <w:kern w:val="0"/>
          <w:sz w:val="24"/>
        </w:rPr>
        <w:t xml:space="preserve"> </w:t>
      </w:r>
      <w:r>
        <w:rPr>
          <w:rFonts w:hint="eastAsia" w:ascii="Cambria" w:hAnsi="Cambria" w:cs="Cambria"/>
          <w:b/>
          <w:bCs/>
          <w:kern w:val="0"/>
          <w:sz w:val="24"/>
        </w:rPr>
        <w:t>其他注意事项：</w:t>
      </w:r>
    </w:p>
    <w:p>
      <w:pPr>
        <w:pStyle w:val="2"/>
        <w:kinsoku w:val="0"/>
        <w:overflowPunct w:val="0"/>
        <w:spacing w:before="34" w:line="357" w:lineRule="auto"/>
        <w:ind w:right="126"/>
        <w:rPr>
          <w:rFonts w:ascii="Cambria" w:hAnsi="Cambria" w:cs="Cambria"/>
          <w:kern w:val="0"/>
          <w:sz w:val="24"/>
        </w:rPr>
      </w:pPr>
      <w:r>
        <w:rPr>
          <w:rFonts w:hint="eastAsia" w:ascii="Cambria" w:hAnsi="Cambria" w:cs="Cambria"/>
          <w:kern w:val="0"/>
          <w:sz w:val="24"/>
        </w:rPr>
        <w:t>（1）评审工作在评标委员会内独立进行。</w:t>
      </w:r>
    </w:p>
    <w:p>
      <w:pPr>
        <w:pStyle w:val="2"/>
        <w:kinsoku w:val="0"/>
        <w:overflowPunct w:val="0"/>
        <w:spacing w:before="34" w:line="357" w:lineRule="auto"/>
        <w:ind w:right="126"/>
        <w:rPr>
          <w:rFonts w:ascii="Cambria" w:hAnsi="Cambria" w:cs="Cambria"/>
          <w:kern w:val="0"/>
          <w:sz w:val="24"/>
        </w:rPr>
      </w:pPr>
      <w:r>
        <w:rPr>
          <w:rFonts w:hint="eastAsia" w:ascii="Cambria" w:hAnsi="Cambria" w:cs="Cambria"/>
          <w:kern w:val="0"/>
          <w:sz w:val="24"/>
        </w:rPr>
        <w:t>（2）为了有助于对投标进行审查、评估和比较，评标委员会有权向供应商质疑、查看有关资质原件、供应商解释投标内容。供应商有责任按照评标委员会通知的时间、地点指派专人进行答疑、澄清、提供有关资质原件。</w:t>
      </w:r>
    </w:p>
    <w:p>
      <w:pPr>
        <w:pStyle w:val="2"/>
        <w:kinsoku w:val="0"/>
        <w:overflowPunct w:val="0"/>
        <w:spacing w:before="34" w:line="357" w:lineRule="auto"/>
        <w:ind w:right="126"/>
        <w:rPr>
          <w:rFonts w:ascii="Cambria" w:hAnsi="Cambria" w:cs="Cambria"/>
          <w:kern w:val="0"/>
          <w:sz w:val="24"/>
        </w:rPr>
      </w:pPr>
      <w:r>
        <w:rPr>
          <w:rFonts w:hint="eastAsia" w:ascii="Cambria" w:hAnsi="Cambria" w:cs="Cambria"/>
          <w:kern w:val="0"/>
          <w:sz w:val="24"/>
        </w:rPr>
        <w:t>（3）在开标、评标期间，供应商不得向评标委员会成员询问情况，不得进行影响评标结果的活动。</w:t>
      </w:r>
    </w:p>
    <w:p>
      <w:pPr>
        <w:pStyle w:val="2"/>
        <w:kinsoku w:val="0"/>
        <w:overflowPunct w:val="0"/>
        <w:spacing w:before="34" w:line="357" w:lineRule="auto"/>
        <w:ind w:right="126"/>
        <w:rPr>
          <w:rFonts w:ascii="Cambria" w:hAnsi="Cambria" w:cs="Cambria"/>
          <w:kern w:val="0"/>
          <w:sz w:val="24"/>
        </w:rPr>
      </w:pPr>
      <w:r>
        <w:rPr>
          <w:rFonts w:hint="eastAsia" w:ascii="Cambria" w:hAnsi="Cambria" w:cs="Cambria"/>
          <w:kern w:val="0"/>
          <w:sz w:val="24"/>
        </w:rPr>
        <w:t>（4）采购人、招标机构及评标委员会不向落标方解释原因，不保证最低价中标，不退还响应性文件。</w:t>
      </w:r>
    </w:p>
    <w:p>
      <w:pPr>
        <w:pStyle w:val="2"/>
        <w:kinsoku w:val="0"/>
        <w:overflowPunct w:val="0"/>
        <w:spacing w:before="34" w:line="357" w:lineRule="auto"/>
        <w:ind w:right="126"/>
        <w:rPr>
          <w:rFonts w:ascii="Cambria" w:hAnsi="Cambria" w:cs="Cambria"/>
          <w:kern w:val="0"/>
          <w:sz w:val="24"/>
        </w:rPr>
      </w:pPr>
      <w:r>
        <w:rPr>
          <w:rFonts w:hint="eastAsia" w:ascii="Cambria" w:hAnsi="Cambria" w:cs="Cambria"/>
          <w:kern w:val="0"/>
          <w:sz w:val="24"/>
        </w:rPr>
        <w:t>（5）在招标过程中如供应商有不正当行为时，评标委员会有权中止其投标资格。</w:t>
      </w:r>
    </w:p>
    <w:p>
      <w:pPr>
        <w:spacing w:line="360" w:lineRule="auto"/>
        <w:jc w:val="center"/>
        <w:rPr>
          <w:rFonts w:ascii="Cambria" w:hAnsi="Cambria" w:cs="Cambria"/>
          <w:kern w:val="0"/>
          <w:sz w:val="24"/>
        </w:rPr>
      </w:pPr>
      <w:r>
        <w:rPr>
          <w:rFonts w:hint="eastAsia" w:ascii="Cambria" w:hAnsi="Cambria" w:cs="Cambria"/>
          <w:kern w:val="0"/>
          <w:sz w:val="24"/>
        </w:rPr>
        <w:t>本评标办法解释权归采购人。</w:t>
      </w:r>
    </w:p>
    <w:p>
      <w:pPr>
        <w:numPr>
          <w:ilvl w:val="0"/>
          <w:numId w:val="3"/>
        </w:numPr>
        <w:spacing w:line="360" w:lineRule="auto"/>
        <w:jc w:val="center"/>
        <w:outlineLvl w:val="0"/>
        <w:rPr>
          <w:rFonts w:ascii="微软雅黑" w:hAnsi="微软雅黑" w:eastAsia="微软雅黑" w:cs="微软雅黑"/>
          <w:b/>
          <w:sz w:val="40"/>
          <w:szCs w:val="22"/>
        </w:rPr>
      </w:pPr>
      <w:r>
        <w:rPr>
          <w:rFonts w:hint="eastAsia" w:ascii="宋体" w:hAnsi="宋体" w:cs="宋体"/>
        </w:rPr>
        <w:br w:type="page"/>
      </w:r>
      <w:bookmarkStart w:id="85" w:name="_Toc18153"/>
      <w:r>
        <w:rPr>
          <w:rFonts w:hint="eastAsia" w:ascii="微软雅黑" w:hAnsi="微软雅黑" w:eastAsia="微软雅黑" w:cs="微软雅黑"/>
          <w:b/>
          <w:sz w:val="40"/>
          <w:szCs w:val="22"/>
        </w:rPr>
        <w:t xml:space="preserve"> </w:t>
      </w:r>
      <w:bookmarkStart w:id="86" w:name="_Toc31414"/>
      <w:r>
        <w:rPr>
          <w:rFonts w:hint="eastAsia" w:ascii="微软雅黑" w:hAnsi="微软雅黑" w:eastAsia="微软雅黑" w:cs="微软雅黑"/>
          <w:b/>
          <w:sz w:val="40"/>
          <w:szCs w:val="22"/>
        </w:rPr>
        <w:t>招标项目内容及服务需求</w:t>
      </w:r>
      <w:bookmarkEnd w:id="18"/>
      <w:bookmarkEnd w:id="19"/>
      <w:bookmarkEnd w:id="20"/>
      <w:bookmarkEnd w:id="21"/>
      <w:bookmarkEnd w:id="22"/>
      <w:bookmarkEnd w:id="23"/>
      <w:bookmarkEnd w:id="85"/>
      <w:bookmarkEnd w:id="86"/>
    </w:p>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Pr>
        <w:numPr>
          <w:ilvl w:val="1"/>
          <w:numId w:val="4"/>
        </w:numPr>
        <w:snapToGrid w:val="0"/>
        <w:spacing w:line="360" w:lineRule="auto"/>
        <w:outlineLvl w:val="1"/>
        <w:rPr>
          <w:rFonts w:ascii="宋体" w:hAnsi="宋体" w:cs="宋体"/>
          <w:b/>
          <w:bCs/>
          <w:color w:val="000000"/>
          <w:sz w:val="24"/>
        </w:rPr>
      </w:pPr>
      <w:bookmarkStart w:id="87" w:name="_Toc4946"/>
      <w:bookmarkStart w:id="88" w:name="_Toc14342"/>
      <w:bookmarkStart w:id="89" w:name="_Toc28943"/>
      <w:r>
        <w:rPr>
          <w:rFonts w:hint="eastAsia" w:ascii="宋体" w:hAnsi="宋体" w:cs="宋体"/>
          <w:b/>
          <w:bCs/>
          <w:color w:val="000000"/>
          <w:sz w:val="24"/>
        </w:rPr>
        <w:t>项目背景</w:t>
      </w:r>
      <w:bookmarkEnd w:id="87"/>
    </w:p>
    <w:p>
      <w:pPr>
        <w:spacing w:line="360" w:lineRule="auto"/>
        <w:ind w:firstLine="480"/>
        <w:rPr>
          <w:rFonts w:ascii="宋体" w:hAnsi="宋体" w:cs="宋体"/>
          <w:sz w:val="24"/>
        </w:rPr>
      </w:pPr>
      <w:r>
        <w:rPr>
          <w:rFonts w:hint="eastAsia" w:ascii="宋体" w:hAnsi="宋体" w:cs="宋体"/>
          <w:sz w:val="24"/>
        </w:rPr>
        <w:t>自治区文博院为做好文物保护利用和文化遗产保护传承工作，准确把握文物工作面临的新形势、新任务和新要求，着力发挥好文物在“证史、资政、育人”方面的重要作用，按照国务院办公厅2021年10月28日《“十四五”文物保护和科技创新规划》（国办发〔2021〕43号）、《“十四五”时期对口支援新疆文物工作专项规划》，系统整合全疆不可移动文物资源数据、国有可移动文物普查数据、革命文物数据库等现行和在建文物数据，实施文物数字化保护和公众文物宣传相关工作要求；自治区文博院以业务指导单位自治区文化和旅游厅，以解决实际问题为导向，做好文物数字资源整理、公众展示等方面的能力建设，提升新疆文物保护工作的科技应用水平。</w:t>
      </w:r>
    </w:p>
    <w:p>
      <w:pPr>
        <w:spacing w:line="360" w:lineRule="auto"/>
        <w:ind w:firstLine="480"/>
        <w:rPr>
          <w:rFonts w:ascii="宋体" w:hAnsi="宋体" w:cs="宋体"/>
          <w:sz w:val="24"/>
        </w:rPr>
      </w:pPr>
      <w:r>
        <w:rPr>
          <w:rFonts w:hint="eastAsia" w:ascii="宋体" w:hAnsi="宋体" w:cs="宋体"/>
          <w:sz w:val="24"/>
        </w:rPr>
        <w:t>由于新疆文物信息化建设总体起步较晚，新疆文物保护利用不平衡不充分的矛盾依然存在，目前各单位文物数字资源管理水平和政务服务能力参差不齐，自治区文物资源未统一开展数字资源汇聚工作，文物数字资源治理能力尚需提升；同时文物资源公众展示传播传承不够，让文物活起来的方法途径亟需创新，中华文化传播能力亟待增强。</w:t>
      </w:r>
    </w:p>
    <w:p>
      <w:pPr>
        <w:spacing w:line="360" w:lineRule="auto"/>
        <w:ind w:firstLine="480"/>
        <w:rPr>
          <w:rFonts w:ascii="宋体" w:hAnsi="宋体" w:cs="宋体"/>
          <w:sz w:val="24"/>
        </w:rPr>
      </w:pPr>
      <w:r>
        <w:rPr>
          <w:rFonts w:hint="eastAsia" w:ascii="宋体" w:hAnsi="宋体" w:cs="宋体"/>
          <w:sz w:val="24"/>
        </w:rPr>
        <w:t>自治区文博院紧紧抓住文物保护利用改革主线，深入传承弘扬文物价值内涵，自治区文博院通过新疆文物综合信息管理数字资源建设项目（一期）进行统筹规划，将全疆文物数据进行初步统一汇聚和数据治理，强化数据的可用性，便于公众展示和解读，强化新疆文物资源的统筹管理、文物数据的共享利用，提升新疆文物管理和公共服务水平。</w:t>
      </w:r>
    </w:p>
    <w:p>
      <w:pPr>
        <w:numPr>
          <w:ilvl w:val="1"/>
          <w:numId w:val="4"/>
        </w:numPr>
        <w:snapToGrid w:val="0"/>
        <w:spacing w:line="360" w:lineRule="auto"/>
        <w:outlineLvl w:val="1"/>
        <w:rPr>
          <w:rFonts w:ascii="宋体" w:hAnsi="宋体" w:cs="宋体"/>
          <w:sz w:val="24"/>
        </w:rPr>
      </w:pPr>
      <w:bookmarkStart w:id="90" w:name="_Toc27584"/>
      <w:r>
        <w:rPr>
          <w:rFonts w:hint="eastAsia" w:ascii="宋体" w:hAnsi="宋体" w:cs="宋体"/>
          <w:sz w:val="24"/>
        </w:rPr>
        <w:t>建设目标</w:t>
      </w:r>
      <w:bookmarkEnd w:id="90"/>
    </w:p>
    <w:p>
      <w:pPr>
        <w:spacing w:line="360" w:lineRule="auto"/>
        <w:ind w:firstLine="480" w:firstLineChars="200"/>
        <w:rPr>
          <w:rFonts w:ascii="宋体" w:hAnsi="宋体" w:cs="宋体"/>
          <w:sz w:val="24"/>
        </w:rPr>
      </w:pPr>
      <w:r>
        <w:rPr>
          <w:rFonts w:hint="eastAsia" w:ascii="宋体" w:hAnsi="宋体" w:cs="宋体"/>
          <w:sz w:val="24"/>
        </w:rPr>
        <w:t>为了更好地贯彻落党中央、自治区党委的系列决策部署，加强新疆文物保护利用，开展文化润疆工程的迫切需要，文博院按照“总体规划、分期实施”的原则逐步推进新疆文物综合信息管理数字资源建设项目建设。</w:t>
      </w:r>
    </w:p>
    <w:p>
      <w:pPr>
        <w:spacing w:line="360" w:lineRule="auto"/>
        <w:ind w:firstLine="480"/>
        <w:rPr>
          <w:rFonts w:ascii="宋体" w:hAnsi="宋体" w:cs="宋体"/>
          <w:sz w:val="24"/>
        </w:rPr>
      </w:pPr>
      <w:r>
        <w:rPr>
          <w:rFonts w:hint="eastAsia" w:ascii="宋体" w:hAnsi="宋体" w:cs="宋体"/>
          <w:sz w:val="24"/>
        </w:rPr>
        <w:t>通过本期项目建设，进一步加强新疆文物保护利用，切实开展文化润疆工程，实现新疆文物资源数据初步汇聚与数据治理，为新疆文物综合信息管理提供基础数据资源支撑；对已汇聚的文物数字展示资源，借助现有新疆智慧旅游平台实现微信端公众展示，一定程度提高公众服务职能；充分发挥丝绸之路文化遗产密集优势，让文化旅游和文物数字资源进行融合共享，在一定程度上提升新疆文物数字资源管理水平和公众服务能力。</w:t>
      </w:r>
    </w:p>
    <w:p>
      <w:pPr>
        <w:numPr>
          <w:ilvl w:val="1"/>
          <w:numId w:val="4"/>
        </w:numPr>
        <w:snapToGrid w:val="0"/>
        <w:spacing w:line="360" w:lineRule="auto"/>
        <w:outlineLvl w:val="1"/>
        <w:rPr>
          <w:rFonts w:ascii="宋体" w:hAnsi="宋体" w:cs="宋体"/>
          <w:sz w:val="24"/>
        </w:rPr>
      </w:pPr>
      <w:bookmarkStart w:id="91" w:name="_Toc24997"/>
      <w:r>
        <w:rPr>
          <w:rFonts w:hint="eastAsia" w:ascii="宋体" w:hAnsi="宋体" w:cs="宋体"/>
          <w:b/>
          <w:bCs/>
          <w:color w:val="000000"/>
          <w:sz w:val="24"/>
        </w:rPr>
        <w:t>建设内容</w:t>
      </w:r>
      <w:bookmarkEnd w:id="91"/>
    </w:p>
    <w:p>
      <w:pPr>
        <w:spacing w:line="360" w:lineRule="auto"/>
        <w:ind w:firstLine="480" w:firstLineChars="200"/>
        <w:rPr>
          <w:rFonts w:ascii="宋体" w:hAnsi="宋体" w:cs="宋体"/>
          <w:sz w:val="24"/>
        </w:rPr>
      </w:pPr>
      <w:r>
        <w:rPr>
          <w:rFonts w:hint="eastAsia" w:ascii="宋体" w:hAnsi="宋体" w:cs="宋体"/>
          <w:sz w:val="24"/>
        </w:rPr>
        <w:t>本期项目建设内容主要包括：新疆文物资源数据初步汇聚、文物资源数据治理，对已汇聚治理的文物数字展示资源，开发公众展示模块，由新疆智慧旅游一期建设项目一部手机游新疆平台微信端提供访问入口进行展示。</w:t>
      </w:r>
    </w:p>
    <w:p>
      <w:pPr>
        <w:numPr>
          <w:ilvl w:val="255"/>
          <w:numId w:val="0"/>
        </w:numPr>
        <w:spacing w:line="360" w:lineRule="auto"/>
        <w:ind w:firstLine="482" w:firstLineChars="200"/>
        <w:rPr>
          <w:rFonts w:ascii="宋体" w:hAnsi="宋体" w:cs="宋体"/>
          <w:b/>
          <w:bCs/>
          <w:sz w:val="24"/>
        </w:rPr>
      </w:pPr>
      <w:r>
        <w:rPr>
          <w:rFonts w:hint="eastAsia" w:ascii="宋体" w:hAnsi="宋体" w:cs="宋体"/>
          <w:b/>
          <w:bCs/>
          <w:sz w:val="24"/>
        </w:rPr>
        <w:t>1）文物资源数据初步汇聚</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主要包括数据资料和现场调研、数据内容和表单建立、文物基础数据汇聚、文物专题数据汇聚、数据入库等工作。数据范围包括“三普”数据、“一普”数据、革命文物数据、丝路世界遗产数据、石窟寺数据以及文物数字化保护成果等文物资源数据。经汇聚初步形成不可移动文物、博物馆及可移动文物两类基础数据和相关文物专题数据。</w:t>
      </w:r>
    </w:p>
    <w:p>
      <w:pPr>
        <w:numPr>
          <w:ilvl w:val="255"/>
          <w:numId w:val="0"/>
        </w:numPr>
        <w:tabs>
          <w:tab w:val="left" w:pos="619"/>
        </w:tabs>
        <w:spacing w:line="360" w:lineRule="auto"/>
        <w:ind w:firstLine="482" w:firstLineChars="200"/>
        <w:rPr>
          <w:rFonts w:ascii="宋体" w:hAnsi="宋体" w:cs="宋体"/>
          <w:b/>
          <w:bCs/>
          <w:sz w:val="24"/>
        </w:rPr>
      </w:pPr>
      <w:r>
        <w:rPr>
          <w:rFonts w:hint="eastAsia" w:ascii="宋体" w:hAnsi="宋体" w:cs="宋体"/>
          <w:b/>
          <w:bCs/>
          <w:sz w:val="24"/>
        </w:rPr>
        <w:t>2）文物资源数据治理</w:t>
      </w:r>
    </w:p>
    <w:p>
      <w:pPr>
        <w:numPr>
          <w:ilvl w:val="255"/>
          <w:numId w:val="0"/>
        </w:numPr>
        <w:tabs>
          <w:tab w:val="left" w:pos="619"/>
        </w:tabs>
        <w:spacing w:line="360" w:lineRule="auto"/>
        <w:ind w:firstLine="480" w:firstLineChars="200"/>
        <w:rPr>
          <w:rFonts w:ascii="宋体" w:hAnsi="宋体" w:cs="宋体"/>
          <w:sz w:val="24"/>
        </w:rPr>
      </w:pPr>
      <w:r>
        <w:rPr>
          <w:rFonts w:hint="eastAsia" w:ascii="宋体" w:hAnsi="宋体" w:cs="宋体"/>
          <w:sz w:val="24"/>
        </w:rPr>
        <w:t>主要包括数据分析、数据清洗、数据整合、数据录入等工作，</w:t>
      </w:r>
      <w:r>
        <w:rPr>
          <w:rFonts w:hint="eastAsia" w:ascii="宋体" w:hAnsi="宋体" w:cs="宋体"/>
          <w:color w:val="FF0000"/>
          <w:sz w:val="24"/>
        </w:rPr>
        <w:t>初步建立新疆文物资源数据体系</w:t>
      </w:r>
      <w:r>
        <w:rPr>
          <w:rFonts w:hint="eastAsia" w:ascii="宋体" w:hAnsi="宋体" w:cs="宋体"/>
          <w:sz w:val="24"/>
        </w:rPr>
        <w:t>。数据分析通过分项整理和文物资源数据内容专业分析，形成统一规范数据，</w:t>
      </w:r>
      <w:r>
        <w:rPr>
          <w:rFonts w:hint="eastAsia" w:ascii="宋体" w:hAnsi="宋体" w:cs="宋体"/>
          <w:color w:val="FF0000"/>
          <w:sz w:val="24"/>
        </w:rPr>
        <w:t>结合文博业务主要应用领域</w:t>
      </w:r>
      <w:r>
        <w:rPr>
          <w:rFonts w:hint="eastAsia" w:ascii="宋体" w:hAnsi="宋体" w:cs="宋体"/>
          <w:sz w:val="24"/>
        </w:rPr>
        <w:t>建立不同文物数据之间的内在关联，重点建立三普登记点、文保单位、石窟寺、革命文物、世界文化遗产等之间的对应关系；数据清洗主要包含质量控制、去重控制、数据比对校验等工作；数据整合主要进行数据过滤、处理、</w:t>
      </w:r>
      <w:r>
        <w:rPr>
          <w:rFonts w:hint="eastAsia" w:ascii="宋体" w:hAnsi="宋体" w:cs="宋体"/>
          <w:color w:val="FF0000"/>
          <w:sz w:val="24"/>
        </w:rPr>
        <w:t>拆分、合并</w:t>
      </w:r>
      <w:r>
        <w:rPr>
          <w:rFonts w:hint="eastAsia" w:ascii="宋体" w:hAnsi="宋体" w:cs="宋体"/>
          <w:sz w:val="24"/>
        </w:rPr>
        <w:t>，并进行人工分级；数据录入主要将已采集处理、整合的数据通过人工录入至平台。</w:t>
      </w:r>
    </w:p>
    <w:p>
      <w:pPr>
        <w:numPr>
          <w:ilvl w:val="0"/>
          <w:numId w:val="1"/>
        </w:numPr>
        <w:tabs>
          <w:tab w:val="left" w:pos="619"/>
        </w:tabs>
        <w:spacing w:line="360" w:lineRule="auto"/>
        <w:ind w:firstLine="480"/>
        <w:rPr>
          <w:rFonts w:ascii="宋体" w:hAnsi="宋体" w:cs="宋体"/>
          <w:b/>
          <w:bCs/>
          <w:sz w:val="24"/>
          <w:lang w:eastAsia="zh-Hans"/>
        </w:rPr>
      </w:pPr>
      <w:r>
        <w:rPr>
          <w:rFonts w:hint="eastAsia" w:ascii="宋体" w:hAnsi="宋体" w:cs="宋体"/>
          <w:b/>
          <w:bCs/>
          <w:sz w:val="24"/>
          <w:lang w:eastAsia="zh-Hans"/>
        </w:rPr>
        <w:t>文物资源数据管理</w:t>
      </w:r>
    </w:p>
    <w:p>
      <w:pPr>
        <w:pStyle w:val="2"/>
        <w:ind w:firstLine="480" w:firstLineChars="200"/>
        <w:rPr>
          <w:rFonts w:ascii="宋体" w:hAnsi="宋体" w:cs="宋体"/>
          <w:color w:val="FF0000"/>
          <w:sz w:val="24"/>
          <w:lang w:eastAsia="zh-Hans"/>
        </w:rPr>
      </w:pPr>
      <w:r>
        <w:rPr>
          <w:rFonts w:hint="eastAsia" w:ascii="宋体" w:hAnsi="宋体" w:cs="宋体"/>
          <w:color w:val="FF0000"/>
          <w:sz w:val="24"/>
        </w:rPr>
        <w:t>实现不可</w:t>
      </w:r>
      <w:r>
        <w:rPr>
          <w:rFonts w:hint="eastAsia" w:ascii="宋体" w:hAnsi="宋体" w:cs="宋体"/>
          <w:color w:val="FF0000"/>
          <w:sz w:val="24"/>
          <w:lang w:eastAsia="zh-Hans"/>
        </w:rPr>
        <w:t>移动文物和可移动文物数据资源分类管理</w:t>
      </w:r>
      <w:r>
        <w:rPr>
          <w:rFonts w:ascii="宋体" w:hAnsi="宋体" w:cs="宋体"/>
          <w:color w:val="FF0000"/>
          <w:sz w:val="24"/>
          <w:lang w:eastAsia="zh-Hans"/>
        </w:rPr>
        <w:t>，</w:t>
      </w:r>
      <w:r>
        <w:rPr>
          <w:rFonts w:hint="eastAsia" w:ascii="宋体" w:hAnsi="宋体" w:cs="宋体"/>
          <w:color w:val="FF0000"/>
          <w:sz w:val="24"/>
        </w:rPr>
        <w:t>提供</w:t>
      </w:r>
      <w:r>
        <w:rPr>
          <w:rFonts w:hint="eastAsia" w:ascii="宋体" w:hAnsi="宋体" w:cs="宋体"/>
          <w:color w:val="FF0000"/>
          <w:sz w:val="24"/>
          <w:lang w:eastAsia="zh-Hans"/>
        </w:rPr>
        <w:t>数据批量录入</w:t>
      </w:r>
      <w:r>
        <w:rPr>
          <w:rFonts w:ascii="宋体" w:hAnsi="宋体" w:cs="宋体"/>
          <w:color w:val="FF0000"/>
          <w:sz w:val="24"/>
          <w:lang w:eastAsia="zh-Hans"/>
        </w:rPr>
        <w:t>、</w:t>
      </w:r>
      <w:r>
        <w:rPr>
          <w:rFonts w:hint="eastAsia" w:ascii="宋体" w:hAnsi="宋体" w:cs="宋体"/>
          <w:color w:val="FF0000"/>
          <w:sz w:val="24"/>
          <w:lang w:eastAsia="zh-Hans"/>
        </w:rPr>
        <w:t>编辑</w:t>
      </w:r>
      <w:r>
        <w:rPr>
          <w:rFonts w:ascii="宋体" w:hAnsi="宋体" w:cs="宋体"/>
          <w:color w:val="FF0000"/>
          <w:sz w:val="24"/>
          <w:lang w:eastAsia="zh-Hans"/>
        </w:rPr>
        <w:t>、</w:t>
      </w:r>
      <w:r>
        <w:rPr>
          <w:rFonts w:hint="eastAsia" w:ascii="宋体" w:hAnsi="宋体" w:cs="宋体"/>
          <w:color w:val="FF0000"/>
          <w:sz w:val="24"/>
          <w:lang w:eastAsia="zh-Hans"/>
        </w:rPr>
        <w:t>查看和导出功能</w:t>
      </w:r>
      <w:r>
        <w:rPr>
          <w:rFonts w:hint="eastAsia" w:ascii="宋体" w:hAnsi="宋体" w:cs="宋体"/>
          <w:color w:val="FF0000"/>
          <w:sz w:val="24"/>
        </w:rPr>
        <w:t>，</w:t>
      </w:r>
      <w:r>
        <w:rPr>
          <w:rFonts w:hint="eastAsia" w:ascii="宋体" w:hAnsi="宋体" w:cs="宋体"/>
          <w:color w:val="FF0000"/>
          <w:sz w:val="24"/>
          <w:lang w:eastAsia="zh-Hans"/>
        </w:rPr>
        <w:t>提供根据特定字段数据导出功能</w:t>
      </w:r>
      <w:r>
        <w:rPr>
          <w:rFonts w:ascii="宋体" w:hAnsi="宋体" w:cs="宋体"/>
          <w:color w:val="FF0000"/>
          <w:sz w:val="24"/>
          <w:lang w:eastAsia="zh-Hans"/>
        </w:rPr>
        <w:t>。</w:t>
      </w:r>
    </w:p>
    <w:p>
      <w:pPr>
        <w:pStyle w:val="2"/>
      </w:pPr>
    </w:p>
    <w:p>
      <w:pPr>
        <w:numPr>
          <w:ilvl w:val="255"/>
          <w:numId w:val="0"/>
        </w:numPr>
        <w:tabs>
          <w:tab w:val="left" w:pos="619"/>
        </w:tabs>
        <w:spacing w:line="360" w:lineRule="auto"/>
        <w:ind w:firstLine="482" w:firstLineChars="200"/>
        <w:rPr>
          <w:rFonts w:ascii="宋体" w:hAnsi="宋体" w:cs="宋体"/>
          <w:b/>
          <w:bCs/>
          <w:sz w:val="24"/>
        </w:rPr>
      </w:pPr>
      <w:r>
        <w:rPr>
          <w:rFonts w:ascii="宋体" w:hAnsi="宋体" w:cs="宋体"/>
          <w:b/>
          <w:bCs/>
          <w:sz w:val="24"/>
        </w:rPr>
        <w:t>4</w:t>
      </w:r>
      <w:r>
        <w:rPr>
          <w:rFonts w:hint="eastAsia" w:ascii="宋体" w:hAnsi="宋体" w:cs="宋体"/>
          <w:b/>
          <w:bCs/>
          <w:sz w:val="24"/>
        </w:rPr>
        <w:t>）公共展示模块开发</w:t>
      </w:r>
    </w:p>
    <w:p>
      <w:pPr>
        <w:numPr>
          <w:ilvl w:val="255"/>
          <w:numId w:val="0"/>
        </w:numPr>
        <w:tabs>
          <w:tab w:val="left" w:pos="619"/>
        </w:tabs>
        <w:spacing w:line="360" w:lineRule="auto"/>
        <w:ind w:firstLine="480" w:firstLineChars="200"/>
        <w:rPr>
          <w:rFonts w:ascii="宋体" w:hAnsi="宋体" w:cs="宋体"/>
          <w:sz w:val="24"/>
        </w:rPr>
      </w:pPr>
      <w:r>
        <w:rPr>
          <w:rFonts w:hint="eastAsia" w:ascii="宋体" w:hAnsi="宋体" w:cs="宋体"/>
          <w:sz w:val="24"/>
        </w:rPr>
        <w:t>对于前述已汇聚治理的文物数字展示资源数据，开发公共展示模块，主要包括遗产地图、赏文物、云展览、我的、后台管理、数字门户、展示内容制作等7项功能：</w:t>
      </w:r>
    </w:p>
    <w:p>
      <w:pPr>
        <w:numPr>
          <w:ilvl w:val="0"/>
          <w:numId w:val="5"/>
        </w:numPr>
        <w:spacing w:line="360" w:lineRule="auto"/>
        <w:rPr>
          <w:rFonts w:ascii="宋体" w:hAnsi="宋体" w:cs="宋体"/>
          <w:b/>
          <w:bCs/>
          <w:sz w:val="24"/>
        </w:rPr>
      </w:pPr>
      <w:r>
        <w:rPr>
          <w:rFonts w:hint="eastAsia" w:ascii="宋体" w:hAnsi="宋体" w:cs="宋体"/>
          <w:b/>
          <w:bCs/>
          <w:sz w:val="24"/>
        </w:rPr>
        <w:t>遗产地图</w:t>
      </w:r>
    </w:p>
    <w:p>
      <w:pPr>
        <w:spacing w:line="360" w:lineRule="auto"/>
        <w:ind w:firstLine="420"/>
        <w:rPr>
          <w:rFonts w:ascii="宋体" w:hAnsi="宋体" w:cs="宋体"/>
          <w:sz w:val="24"/>
        </w:rPr>
      </w:pPr>
      <w:r>
        <w:rPr>
          <w:rFonts w:hint="eastAsia" w:ascii="宋体" w:hAnsi="宋体" w:cs="宋体"/>
          <w:sz w:val="24"/>
        </w:rPr>
        <w:t>结合地图，呈现相关文博单位的位置分布。提供上述文化场所的基本信息、展览信息、活动信息、参观信息等查看，主要内容包括点位展示、详情展示、搜索、点赞和收藏等功能。</w:t>
      </w:r>
    </w:p>
    <w:p>
      <w:pPr>
        <w:numPr>
          <w:ilvl w:val="0"/>
          <w:numId w:val="5"/>
        </w:numPr>
        <w:spacing w:line="360" w:lineRule="auto"/>
        <w:rPr>
          <w:rFonts w:ascii="宋体" w:hAnsi="宋体" w:cs="宋体"/>
          <w:b/>
          <w:bCs/>
          <w:sz w:val="24"/>
        </w:rPr>
      </w:pPr>
      <w:r>
        <w:rPr>
          <w:rFonts w:hint="eastAsia" w:ascii="宋体" w:hAnsi="宋体" w:cs="宋体"/>
          <w:b/>
          <w:bCs/>
          <w:sz w:val="24"/>
        </w:rPr>
        <w:t>赏文物</w:t>
      </w:r>
    </w:p>
    <w:p>
      <w:pPr>
        <w:spacing w:line="360" w:lineRule="auto"/>
        <w:ind w:firstLine="420"/>
        <w:rPr>
          <w:rFonts w:ascii="宋体" w:hAnsi="宋体" w:cs="宋体"/>
          <w:sz w:val="24"/>
        </w:rPr>
      </w:pPr>
      <w:r>
        <w:rPr>
          <w:rFonts w:hint="eastAsia" w:ascii="宋体" w:hAnsi="宋体" w:cs="宋体"/>
          <w:sz w:val="24"/>
        </w:rPr>
        <w:t>按照文物类别、等级等对馆藏文物进行分类展示，可通过搜索查询相关文物信息，查看文物的详情，主要内容包括文物库、分类展示、搜索、收藏等功能。</w:t>
      </w:r>
    </w:p>
    <w:p>
      <w:pPr>
        <w:numPr>
          <w:ilvl w:val="0"/>
          <w:numId w:val="5"/>
        </w:numPr>
        <w:spacing w:line="360" w:lineRule="auto"/>
        <w:rPr>
          <w:rFonts w:ascii="宋体" w:hAnsi="宋体" w:cs="宋体"/>
          <w:b/>
          <w:bCs/>
          <w:sz w:val="24"/>
        </w:rPr>
      </w:pPr>
      <w:r>
        <w:rPr>
          <w:rFonts w:hint="eastAsia" w:ascii="宋体" w:hAnsi="宋体" w:cs="宋体"/>
          <w:b/>
          <w:bCs/>
          <w:sz w:val="24"/>
        </w:rPr>
        <w:t>云展览</w:t>
      </w:r>
    </w:p>
    <w:p>
      <w:pPr>
        <w:spacing w:line="360" w:lineRule="auto"/>
        <w:ind w:firstLine="420"/>
        <w:rPr>
          <w:rFonts w:ascii="宋体" w:hAnsi="宋体" w:cs="宋体"/>
          <w:sz w:val="24"/>
        </w:rPr>
      </w:pPr>
      <w:r>
        <w:rPr>
          <w:rFonts w:hint="eastAsia" w:ascii="宋体" w:hAnsi="宋体" w:cs="宋体"/>
          <w:sz w:val="24"/>
        </w:rPr>
        <w:t>云展览功能，为公众提供文物线上展览，实现线上线下展览的有机结合，提升展览服务水平，包括列表展示、筛选、详情等功能。</w:t>
      </w:r>
    </w:p>
    <w:p>
      <w:pPr>
        <w:numPr>
          <w:ilvl w:val="0"/>
          <w:numId w:val="5"/>
        </w:numPr>
        <w:spacing w:line="360" w:lineRule="auto"/>
        <w:rPr>
          <w:rFonts w:ascii="宋体" w:hAnsi="宋体" w:cs="宋体"/>
          <w:b/>
          <w:bCs/>
          <w:sz w:val="24"/>
        </w:rPr>
      </w:pPr>
      <w:r>
        <w:rPr>
          <w:rFonts w:hint="eastAsia" w:ascii="宋体" w:hAnsi="宋体" w:cs="宋体"/>
          <w:b/>
          <w:bCs/>
          <w:sz w:val="24"/>
        </w:rPr>
        <w:t>我的</w:t>
      </w:r>
    </w:p>
    <w:p>
      <w:pPr>
        <w:spacing w:line="360" w:lineRule="auto"/>
        <w:ind w:firstLine="420"/>
        <w:rPr>
          <w:rFonts w:ascii="宋体" w:hAnsi="宋体" w:cs="宋体"/>
          <w:sz w:val="24"/>
        </w:rPr>
      </w:pPr>
      <w:r>
        <w:rPr>
          <w:rFonts w:hint="eastAsia" w:ascii="宋体" w:hAnsi="宋体" w:cs="宋体"/>
          <w:sz w:val="24"/>
        </w:rPr>
        <w:t>“我的”功能，此功能是用户的个人中心，包括用户个人信息、我的足迹、我的收藏等功能。</w:t>
      </w:r>
    </w:p>
    <w:p>
      <w:pPr>
        <w:numPr>
          <w:ilvl w:val="0"/>
          <w:numId w:val="5"/>
        </w:numPr>
        <w:spacing w:line="360" w:lineRule="auto"/>
        <w:rPr>
          <w:rFonts w:ascii="宋体" w:hAnsi="宋体" w:cs="宋体"/>
          <w:b/>
          <w:bCs/>
          <w:sz w:val="24"/>
        </w:rPr>
      </w:pPr>
      <w:r>
        <w:rPr>
          <w:rFonts w:hint="eastAsia" w:ascii="宋体" w:hAnsi="宋体" w:cs="宋体"/>
          <w:b/>
          <w:bCs/>
          <w:sz w:val="24"/>
        </w:rPr>
        <w:t>后台管理</w:t>
      </w:r>
    </w:p>
    <w:p>
      <w:pPr>
        <w:spacing w:line="360" w:lineRule="auto"/>
        <w:ind w:firstLine="420"/>
        <w:rPr>
          <w:rFonts w:ascii="宋体" w:hAnsi="宋体" w:cs="宋体"/>
          <w:sz w:val="24"/>
        </w:rPr>
      </w:pPr>
      <w:r>
        <w:rPr>
          <w:rFonts w:hint="eastAsia" w:ascii="宋体" w:hAnsi="宋体" w:cs="宋体"/>
          <w:sz w:val="24"/>
        </w:rPr>
        <w:t>后台管理功能，对公众展示模块的前端展示模块内容进行维护，包括遗产地图模块维护、赏文物模块维护、云展览模块维护、地图引擎、发布管理、系统管理等功能。</w:t>
      </w:r>
    </w:p>
    <w:p>
      <w:pPr>
        <w:numPr>
          <w:ilvl w:val="255"/>
          <w:numId w:val="0"/>
        </w:numPr>
        <w:spacing w:line="360" w:lineRule="auto"/>
        <w:ind w:left="420" w:firstLine="0"/>
        <w:rPr>
          <w:rFonts w:ascii="宋体" w:hAnsi="宋体" w:cs="宋体"/>
          <w:b/>
          <w:bCs/>
          <w:sz w:val="24"/>
        </w:rPr>
      </w:pPr>
      <w:r>
        <w:rPr>
          <w:rFonts w:ascii="宋体" w:hAnsi="宋体" w:cs="宋体"/>
          <w:b/>
          <w:bCs/>
          <w:sz w:val="24"/>
        </w:rPr>
        <w:t>5</w:t>
      </w:r>
      <w:r>
        <w:rPr>
          <w:rFonts w:hint="eastAsia" w:ascii="宋体" w:hAnsi="宋体" w:cs="宋体"/>
          <w:b/>
          <w:bCs/>
          <w:sz w:val="24"/>
        </w:rPr>
        <w:t>）数字门户</w:t>
      </w:r>
    </w:p>
    <w:p>
      <w:pPr>
        <w:spacing w:line="360" w:lineRule="auto"/>
        <w:ind w:firstLine="420"/>
        <w:rPr>
          <w:rFonts w:ascii="宋体" w:hAnsi="宋体" w:cs="宋体"/>
          <w:sz w:val="24"/>
        </w:rPr>
      </w:pPr>
      <w:r>
        <w:rPr>
          <w:rFonts w:hint="eastAsia" w:ascii="宋体" w:hAnsi="宋体" w:cs="宋体"/>
          <w:sz w:val="24"/>
        </w:rPr>
        <w:t>数字门户功能，结合公众展示模块汇聚的数据及平台运行产生的相关服务数据，为管理者提供直观的数字展示门户，包括智慧文物专题和公众展示服务专题功能。</w:t>
      </w:r>
    </w:p>
    <w:p>
      <w:pPr>
        <w:numPr>
          <w:ilvl w:val="255"/>
          <w:numId w:val="0"/>
        </w:numPr>
        <w:spacing w:line="360" w:lineRule="auto"/>
        <w:ind w:left="420" w:firstLine="0"/>
        <w:rPr>
          <w:rFonts w:ascii="宋体" w:hAnsi="宋体" w:cs="宋体"/>
          <w:b/>
          <w:bCs/>
          <w:sz w:val="24"/>
        </w:rPr>
      </w:pPr>
      <w:r>
        <w:rPr>
          <w:rFonts w:ascii="宋体" w:hAnsi="宋体" w:cs="宋体"/>
          <w:b/>
          <w:bCs/>
          <w:sz w:val="24"/>
        </w:rPr>
        <w:t>6</w:t>
      </w:r>
      <w:r>
        <w:rPr>
          <w:rFonts w:hint="eastAsia" w:ascii="宋体" w:hAnsi="宋体" w:cs="宋体"/>
          <w:b/>
          <w:bCs/>
          <w:sz w:val="24"/>
        </w:rPr>
        <w:t>）展示内容制作</w:t>
      </w:r>
    </w:p>
    <w:p>
      <w:pPr>
        <w:spacing w:line="360" w:lineRule="auto"/>
        <w:ind w:firstLine="420"/>
        <w:rPr>
          <w:color w:val="FF0000"/>
        </w:rPr>
      </w:pPr>
      <w:r>
        <w:rPr>
          <w:rFonts w:hint="eastAsia" w:ascii="宋体" w:hAnsi="宋体" w:cs="宋体"/>
          <w:color w:val="FF0000"/>
          <w:sz w:val="24"/>
        </w:rPr>
        <w:t>展示内容制作功能，对已汇聚的新疆文物展示资源，形成可对外发布展示的内容，包括展示文字、图像/影像、音频、云展览内容等主要功能。</w:t>
      </w:r>
    </w:p>
    <w:p>
      <w:pPr>
        <w:pStyle w:val="2"/>
        <w:ind w:firstLine="482" w:firstLineChars="200"/>
        <w:rPr>
          <w:rFonts w:ascii="宋体" w:hAnsi="宋体" w:cs="宋体"/>
          <w:b/>
          <w:bCs/>
          <w:sz w:val="24"/>
        </w:rPr>
      </w:pPr>
      <w:r>
        <w:rPr>
          <w:rFonts w:ascii="宋体" w:hAnsi="宋体" w:cs="宋体"/>
          <w:b/>
          <w:bCs/>
          <w:sz w:val="24"/>
        </w:rPr>
        <w:t>7</w:t>
      </w:r>
      <w:r>
        <w:rPr>
          <w:rFonts w:hint="eastAsia" w:ascii="宋体" w:hAnsi="宋体" w:cs="宋体"/>
          <w:b/>
          <w:bCs/>
          <w:sz w:val="24"/>
        </w:rPr>
        <w:t>）采购清单</w:t>
      </w:r>
    </w:p>
    <w:p/>
    <w:tbl>
      <w:tblPr>
        <w:tblStyle w:val="27"/>
        <w:tblW w:w="4997" w:type="pct"/>
        <w:tblInd w:w="0" w:type="dxa"/>
        <w:tblLayout w:type="autofit"/>
        <w:tblCellMar>
          <w:top w:w="0" w:type="dxa"/>
          <w:left w:w="108" w:type="dxa"/>
          <w:bottom w:w="0" w:type="dxa"/>
          <w:right w:w="108" w:type="dxa"/>
        </w:tblCellMar>
      </w:tblPr>
      <w:tblGrid>
        <w:gridCol w:w="930"/>
        <w:gridCol w:w="2150"/>
        <w:gridCol w:w="5861"/>
      </w:tblGrid>
      <w:tr>
        <w:tblPrEx>
          <w:tblCellMar>
            <w:top w:w="0" w:type="dxa"/>
            <w:left w:w="108" w:type="dxa"/>
            <w:bottom w:w="0" w:type="dxa"/>
            <w:right w:w="108" w:type="dxa"/>
          </w:tblCellMar>
        </w:tblPrEx>
        <w:trPr>
          <w:trHeight w:val="420" w:hRule="atLeast"/>
        </w:trPr>
        <w:tc>
          <w:tcPr>
            <w:tcW w:w="5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序号</w:t>
            </w:r>
          </w:p>
        </w:tc>
        <w:tc>
          <w:tcPr>
            <w:tcW w:w="120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工作分类</w:t>
            </w:r>
          </w:p>
        </w:tc>
        <w:tc>
          <w:tcPr>
            <w:tcW w:w="327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建设内容</w:t>
            </w:r>
          </w:p>
        </w:tc>
      </w:tr>
      <w:tr>
        <w:tblPrEx>
          <w:tblCellMar>
            <w:top w:w="0" w:type="dxa"/>
            <w:left w:w="108" w:type="dxa"/>
            <w:bottom w:w="0" w:type="dxa"/>
            <w:right w:w="108" w:type="dxa"/>
          </w:tblCellMar>
        </w:tblPrEx>
        <w:trPr>
          <w:trHeight w:val="280" w:hRule="atLeast"/>
        </w:trPr>
        <w:tc>
          <w:tcPr>
            <w:tcW w:w="52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20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文物资源数据汇聚</w:t>
            </w:r>
          </w:p>
        </w:tc>
        <w:tc>
          <w:tcPr>
            <w:tcW w:w="327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数据调研</w:t>
            </w:r>
          </w:p>
        </w:tc>
      </w:tr>
      <w:tr>
        <w:tblPrEx>
          <w:tblCellMar>
            <w:top w:w="0" w:type="dxa"/>
            <w:left w:w="108" w:type="dxa"/>
            <w:bottom w:w="0" w:type="dxa"/>
            <w:right w:w="108" w:type="dxa"/>
          </w:tblCellMar>
        </w:tblPrEx>
        <w:trPr>
          <w:trHeight w:val="280" w:hRule="atLeast"/>
        </w:trPr>
        <w:tc>
          <w:tcPr>
            <w:tcW w:w="52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1202"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327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建立数据内容和表单</w:t>
            </w:r>
          </w:p>
        </w:tc>
      </w:tr>
      <w:tr>
        <w:tblPrEx>
          <w:tblCellMar>
            <w:top w:w="0" w:type="dxa"/>
            <w:left w:w="108" w:type="dxa"/>
            <w:bottom w:w="0" w:type="dxa"/>
            <w:right w:w="108" w:type="dxa"/>
          </w:tblCellMar>
        </w:tblPrEx>
        <w:trPr>
          <w:trHeight w:val="280" w:hRule="atLeast"/>
        </w:trPr>
        <w:tc>
          <w:tcPr>
            <w:tcW w:w="52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1202"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327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基础数据汇聚</w:t>
            </w:r>
          </w:p>
        </w:tc>
      </w:tr>
      <w:tr>
        <w:tblPrEx>
          <w:tblCellMar>
            <w:top w:w="0" w:type="dxa"/>
            <w:left w:w="108" w:type="dxa"/>
            <w:bottom w:w="0" w:type="dxa"/>
            <w:right w:w="108" w:type="dxa"/>
          </w:tblCellMar>
        </w:tblPrEx>
        <w:trPr>
          <w:trHeight w:val="280" w:hRule="atLeast"/>
        </w:trPr>
        <w:tc>
          <w:tcPr>
            <w:tcW w:w="52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1202"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327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专题数据汇聚</w:t>
            </w:r>
          </w:p>
        </w:tc>
      </w:tr>
      <w:tr>
        <w:tblPrEx>
          <w:tblCellMar>
            <w:top w:w="0" w:type="dxa"/>
            <w:left w:w="108" w:type="dxa"/>
            <w:bottom w:w="0" w:type="dxa"/>
            <w:right w:w="108" w:type="dxa"/>
          </w:tblCellMar>
        </w:tblPrEx>
        <w:trPr>
          <w:trHeight w:val="280" w:hRule="atLeast"/>
        </w:trPr>
        <w:tc>
          <w:tcPr>
            <w:tcW w:w="52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20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文物资源数据治理</w:t>
            </w:r>
          </w:p>
        </w:tc>
        <w:tc>
          <w:tcPr>
            <w:tcW w:w="327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数据分析</w:t>
            </w:r>
          </w:p>
        </w:tc>
      </w:tr>
      <w:tr>
        <w:tblPrEx>
          <w:tblCellMar>
            <w:top w:w="0" w:type="dxa"/>
            <w:left w:w="108" w:type="dxa"/>
            <w:bottom w:w="0" w:type="dxa"/>
            <w:right w:w="108" w:type="dxa"/>
          </w:tblCellMar>
        </w:tblPrEx>
        <w:trPr>
          <w:trHeight w:val="280" w:hRule="atLeast"/>
        </w:trPr>
        <w:tc>
          <w:tcPr>
            <w:tcW w:w="52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1202"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327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数据清洗</w:t>
            </w:r>
          </w:p>
        </w:tc>
      </w:tr>
      <w:tr>
        <w:tblPrEx>
          <w:tblCellMar>
            <w:top w:w="0" w:type="dxa"/>
            <w:left w:w="108" w:type="dxa"/>
            <w:bottom w:w="0" w:type="dxa"/>
            <w:right w:w="108" w:type="dxa"/>
          </w:tblCellMar>
        </w:tblPrEx>
        <w:trPr>
          <w:trHeight w:val="280" w:hRule="atLeast"/>
        </w:trPr>
        <w:tc>
          <w:tcPr>
            <w:tcW w:w="52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1202"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327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数据整合</w:t>
            </w:r>
          </w:p>
        </w:tc>
      </w:tr>
      <w:tr>
        <w:tblPrEx>
          <w:tblCellMar>
            <w:top w:w="0" w:type="dxa"/>
            <w:left w:w="108" w:type="dxa"/>
            <w:bottom w:w="0" w:type="dxa"/>
            <w:right w:w="108" w:type="dxa"/>
          </w:tblCellMar>
        </w:tblPrEx>
        <w:trPr>
          <w:trHeight w:val="280" w:hRule="atLeast"/>
        </w:trPr>
        <w:tc>
          <w:tcPr>
            <w:tcW w:w="52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1202"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327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数据录入</w:t>
            </w:r>
          </w:p>
        </w:tc>
      </w:tr>
      <w:tr>
        <w:tblPrEx>
          <w:tblCellMar>
            <w:top w:w="0" w:type="dxa"/>
            <w:left w:w="108" w:type="dxa"/>
            <w:bottom w:w="0" w:type="dxa"/>
            <w:right w:w="108" w:type="dxa"/>
          </w:tblCellMar>
        </w:tblPrEx>
        <w:trPr>
          <w:trHeight w:val="280" w:hRule="atLeast"/>
        </w:trPr>
        <w:tc>
          <w:tcPr>
            <w:tcW w:w="520" w:type="pct"/>
            <w:vMerge w:val="restart"/>
            <w:tcBorders>
              <w:top w:val="single" w:color="000000" w:sz="4" w:space="0"/>
              <w:left w:val="single" w:color="000000" w:sz="4" w:space="0"/>
              <w:right w:val="single" w:color="000000" w:sz="4" w:space="0"/>
            </w:tcBorders>
            <w:noWrap/>
            <w:vAlign w:val="center"/>
          </w:tcPr>
          <w:p>
            <w:pPr>
              <w:jc w:val="center"/>
              <w:rPr>
                <w:rFonts w:ascii="宋体" w:hAnsi="宋体" w:cs="宋体"/>
                <w:color w:val="000000"/>
                <w:szCs w:val="21"/>
              </w:rPr>
            </w:pPr>
            <w:r>
              <w:rPr>
                <w:rFonts w:ascii="宋体" w:hAnsi="宋体" w:cs="宋体"/>
                <w:color w:val="000000"/>
                <w:szCs w:val="21"/>
              </w:rPr>
              <w:t>3</w:t>
            </w:r>
          </w:p>
        </w:tc>
        <w:tc>
          <w:tcPr>
            <w:tcW w:w="1202" w:type="pct"/>
            <w:vMerge w:val="restart"/>
            <w:tcBorders>
              <w:top w:val="single" w:color="000000" w:sz="4" w:space="0"/>
              <w:left w:val="single" w:color="000000" w:sz="4" w:space="0"/>
              <w:right w:val="single" w:color="000000" w:sz="4" w:space="0"/>
            </w:tcBorders>
            <w:vAlign w:val="center"/>
          </w:tcPr>
          <w:p>
            <w:pPr>
              <w:jc w:val="left"/>
              <w:rPr>
                <w:rFonts w:ascii="宋体" w:hAnsi="宋体" w:cs="宋体"/>
                <w:color w:val="000000"/>
                <w:szCs w:val="21"/>
                <w:lang w:eastAsia="zh-Hans"/>
              </w:rPr>
            </w:pPr>
            <w:r>
              <w:rPr>
                <w:rFonts w:hint="eastAsia" w:ascii="宋体" w:hAnsi="宋体" w:cs="宋体"/>
                <w:color w:val="000000"/>
                <w:szCs w:val="21"/>
                <w:lang w:eastAsia="zh-Hans"/>
              </w:rPr>
              <w:t>文物资源数据管理</w:t>
            </w:r>
          </w:p>
        </w:tc>
        <w:tc>
          <w:tcPr>
            <w:tcW w:w="327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 w:val="21"/>
                <w:szCs w:val="21"/>
                <w:lang w:eastAsia="zh-CN" w:bidi="ar"/>
              </w:rPr>
              <w:t>实现数据批量录入</w:t>
            </w:r>
            <w:r>
              <w:rPr>
                <w:rFonts w:ascii="宋体" w:hAnsi="宋体" w:cs="宋体"/>
                <w:color w:val="000000"/>
                <w:kern w:val="0"/>
                <w:sz w:val="21"/>
                <w:szCs w:val="21"/>
                <w:lang w:eastAsia="zh-CN" w:bidi="ar"/>
              </w:rPr>
              <w:t>、</w:t>
            </w:r>
            <w:r>
              <w:rPr>
                <w:rFonts w:hint="eastAsia" w:ascii="宋体" w:hAnsi="宋体" w:cs="宋体"/>
                <w:color w:val="000000"/>
                <w:kern w:val="0"/>
                <w:sz w:val="21"/>
                <w:szCs w:val="21"/>
                <w:lang w:eastAsia="zh-CN" w:bidi="ar"/>
              </w:rPr>
              <w:t>编辑</w:t>
            </w:r>
            <w:r>
              <w:rPr>
                <w:rFonts w:ascii="宋体" w:hAnsi="宋体" w:cs="宋体"/>
                <w:color w:val="000000"/>
                <w:kern w:val="0"/>
                <w:sz w:val="21"/>
                <w:szCs w:val="21"/>
                <w:lang w:eastAsia="zh-CN" w:bidi="ar"/>
              </w:rPr>
              <w:t>、</w:t>
            </w:r>
            <w:r>
              <w:rPr>
                <w:rFonts w:hint="eastAsia" w:ascii="宋体" w:hAnsi="宋体" w:cs="宋体"/>
                <w:color w:val="000000"/>
                <w:kern w:val="0"/>
                <w:sz w:val="21"/>
                <w:szCs w:val="21"/>
                <w:lang w:eastAsia="zh-CN" w:bidi="ar"/>
              </w:rPr>
              <w:t>查看和导出功能</w:t>
            </w:r>
          </w:p>
        </w:tc>
      </w:tr>
      <w:tr>
        <w:tblPrEx>
          <w:tblCellMar>
            <w:top w:w="0" w:type="dxa"/>
            <w:left w:w="108" w:type="dxa"/>
            <w:bottom w:w="0" w:type="dxa"/>
            <w:right w:w="108" w:type="dxa"/>
          </w:tblCellMar>
        </w:tblPrEx>
        <w:trPr>
          <w:trHeight w:val="280" w:hRule="atLeast"/>
        </w:trPr>
        <w:tc>
          <w:tcPr>
            <w:tcW w:w="520" w:type="pct"/>
            <w:vMerge w:val="continue"/>
            <w:tcBorders>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1202" w:type="pct"/>
            <w:vMerge w:val="continue"/>
            <w:tcBorders>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3277"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left"/>
              <w:textAlignment w:val="center"/>
              <w:rPr>
                <w:rFonts w:ascii="宋体" w:hAnsi="宋体" w:cs="宋体"/>
                <w:color w:val="000000"/>
                <w:kern w:val="0"/>
                <w:szCs w:val="21"/>
                <w:lang w:bidi="ar"/>
              </w:rPr>
            </w:pPr>
            <w:r>
              <w:rPr>
                <w:rFonts w:hint="eastAsia" w:ascii="宋体" w:hAnsi="宋体" w:cs="宋体"/>
                <w:color w:val="000000"/>
                <w:kern w:val="0"/>
                <w:sz w:val="21"/>
                <w:szCs w:val="21"/>
                <w:lang w:eastAsia="zh-CN" w:bidi="ar"/>
              </w:rPr>
              <w:t>实现根据特定字段数据导出功能</w:t>
            </w:r>
            <w:r>
              <w:rPr>
                <w:rFonts w:ascii="宋体" w:hAnsi="宋体" w:cs="宋体"/>
                <w:color w:val="000000"/>
                <w:kern w:val="0"/>
                <w:sz w:val="21"/>
                <w:szCs w:val="21"/>
                <w:lang w:eastAsia="zh-CN" w:bidi="ar"/>
              </w:rPr>
              <w:t>。</w:t>
            </w:r>
          </w:p>
        </w:tc>
      </w:tr>
      <w:tr>
        <w:tblPrEx>
          <w:tblCellMar>
            <w:top w:w="0" w:type="dxa"/>
            <w:left w:w="108" w:type="dxa"/>
            <w:bottom w:w="0" w:type="dxa"/>
            <w:right w:w="108" w:type="dxa"/>
          </w:tblCellMar>
        </w:tblPrEx>
        <w:trPr>
          <w:trHeight w:val="280" w:hRule="atLeast"/>
        </w:trPr>
        <w:tc>
          <w:tcPr>
            <w:tcW w:w="520"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4</w:t>
            </w:r>
          </w:p>
        </w:tc>
        <w:tc>
          <w:tcPr>
            <w:tcW w:w="1202" w:type="pct"/>
            <w:vMerge w:val="restart"/>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公众展示模块开发</w:t>
            </w:r>
          </w:p>
        </w:tc>
        <w:tc>
          <w:tcPr>
            <w:tcW w:w="327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遗产地图</w:t>
            </w:r>
          </w:p>
        </w:tc>
      </w:tr>
      <w:tr>
        <w:tblPrEx>
          <w:tblCellMar>
            <w:top w:w="0" w:type="dxa"/>
            <w:left w:w="108" w:type="dxa"/>
            <w:bottom w:w="0" w:type="dxa"/>
            <w:right w:w="108" w:type="dxa"/>
          </w:tblCellMar>
        </w:tblPrEx>
        <w:trPr>
          <w:trHeight w:val="280" w:hRule="atLeast"/>
        </w:trPr>
        <w:tc>
          <w:tcPr>
            <w:tcW w:w="520" w:type="pct"/>
            <w:vMerge w:val="continue"/>
            <w:tcBorders>
              <w:left w:val="single" w:color="000000" w:sz="4" w:space="0"/>
              <w:right w:val="single" w:color="000000" w:sz="4" w:space="0"/>
            </w:tcBorders>
            <w:noWrap/>
            <w:vAlign w:val="center"/>
          </w:tcPr>
          <w:p>
            <w:pPr>
              <w:jc w:val="center"/>
              <w:rPr>
                <w:rFonts w:ascii="宋体" w:hAnsi="宋体" w:cs="宋体"/>
                <w:color w:val="000000"/>
                <w:szCs w:val="21"/>
              </w:rPr>
            </w:pPr>
          </w:p>
        </w:tc>
        <w:tc>
          <w:tcPr>
            <w:tcW w:w="1202" w:type="pct"/>
            <w:vMerge w:val="continue"/>
            <w:tcBorders>
              <w:left w:val="single" w:color="000000" w:sz="4" w:space="0"/>
              <w:right w:val="single" w:color="000000" w:sz="4" w:space="0"/>
            </w:tcBorders>
            <w:vAlign w:val="center"/>
          </w:tcPr>
          <w:p>
            <w:pPr>
              <w:jc w:val="center"/>
              <w:rPr>
                <w:rFonts w:ascii="宋体" w:hAnsi="宋体" w:cs="宋体"/>
                <w:color w:val="000000"/>
                <w:szCs w:val="21"/>
              </w:rPr>
            </w:pPr>
          </w:p>
        </w:tc>
        <w:tc>
          <w:tcPr>
            <w:tcW w:w="327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赏文物</w:t>
            </w:r>
          </w:p>
        </w:tc>
      </w:tr>
      <w:tr>
        <w:tblPrEx>
          <w:tblCellMar>
            <w:top w:w="0" w:type="dxa"/>
            <w:left w:w="108" w:type="dxa"/>
            <w:bottom w:w="0" w:type="dxa"/>
            <w:right w:w="108" w:type="dxa"/>
          </w:tblCellMar>
        </w:tblPrEx>
        <w:trPr>
          <w:trHeight w:val="280" w:hRule="atLeast"/>
        </w:trPr>
        <w:tc>
          <w:tcPr>
            <w:tcW w:w="520" w:type="pct"/>
            <w:vMerge w:val="continue"/>
            <w:tcBorders>
              <w:left w:val="single" w:color="000000" w:sz="4" w:space="0"/>
              <w:right w:val="single" w:color="000000" w:sz="4" w:space="0"/>
            </w:tcBorders>
            <w:noWrap/>
            <w:vAlign w:val="center"/>
          </w:tcPr>
          <w:p>
            <w:pPr>
              <w:jc w:val="center"/>
              <w:rPr>
                <w:rFonts w:ascii="宋体" w:hAnsi="宋体" w:cs="宋体"/>
                <w:color w:val="000000"/>
                <w:szCs w:val="21"/>
              </w:rPr>
            </w:pPr>
          </w:p>
        </w:tc>
        <w:tc>
          <w:tcPr>
            <w:tcW w:w="1202" w:type="pct"/>
            <w:vMerge w:val="continue"/>
            <w:tcBorders>
              <w:left w:val="single" w:color="000000" w:sz="4" w:space="0"/>
              <w:right w:val="single" w:color="000000" w:sz="4" w:space="0"/>
            </w:tcBorders>
            <w:vAlign w:val="center"/>
          </w:tcPr>
          <w:p>
            <w:pPr>
              <w:jc w:val="center"/>
              <w:rPr>
                <w:rFonts w:ascii="宋体" w:hAnsi="宋体" w:cs="宋体"/>
                <w:color w:val="000000"/>
                <w:szCs w:val="21"/>
              </w:rPr>
            </w:pPr>
          </w:p>
        </w:tc>
        <w:tc>
          <w:tcPr>
            <w:tcW w:w="327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云展览</w:t>
            </w:r>
          </w:p>
        </w:tc>
      </w:tr>
      <w:tr>
        <w:tblPrEx>
          <w:tblCellMar>
            <w:top w:w="0" w:type="dxa"/>
            <w:left w:w="108" w:type="dxa"/>
            <w:bottom w:w="0" w:type="dxa"/>
            <w:right w:w="108" w:type="dxa"/>
          </w:tblCellMar>
        </w:tblPrEx>
        <w:trPr>
          <w:trHeight w:val="280" w:hRule="atLeast"/>
        </w:trPr>
        <w:tc>
          <w:tcPr>
            <w:tcW w:w="520" w:type="pct"/>
            <w:vMerge w:val="continue"/>
            <w:tcBorders>
              <w:left w:val="single" w:color="000000" w:sz="4" w:space="0"/>
              <w:right w:val="single" w:color="000000" w:sz="4" w:space="0"/>
            </w:tcBorders>
            <w:noWrap/>
            <w:vAlign w:val="center"/>
          </w:tcPr>
          <w:p>
            <w:pPr>
              <w:jc w:val="center"/>
              <w:rPr>
                <w:rFonts w:ascii="宋体" w:hAnsi="宋体" w:cs="宋体"/>
                <w:color w:val="000000"/>
                <w:szCs w:val="21"/>
              </w:rPr>
            </w:pPr>
          </w:p>
        </w:tc>
        <w:tc>
          <w:tcPr>
            <w:tcW w:w="1202" w:type="pct"/>
            <w:vMerge w:val="continue"/>
            <w:tcBorders>
              <w:left w:val="single" w:color="000000" w:sz="4" w:space="0"/>
              <w:right w:val="single" w:color="000000" w:sz="4" w:space="0"/>
            </w:tcBorders>
            <w:vAlign w:val="center"/>
          </w:tcPr>
          <w:p>
            <w:pPr>
              <w:jc w:val="center"/>
              <w:rPr>
                <w:rFonts w:ascii="宋体" w:hAnsi="宋体" w:cs="宋体"/>
                <w:color w:val="000000"/>
                <w:szCs w:val="21"/>
              </w:rPr>
            </w:pPr>
          </w:p>
        </w:tc>
        <w:tc>
          <w:tcPr>
            <w:tcW w:w="327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我的</w:t>
            </w:r>
          </w:p>
        </w:tc>
      </w:tr>
      <w:tr>
        <w:tblPrEx>
          <w:tblCellMar>
            <w:top w:w="0" w:type="dxa"/>
            <w:left w:w="108" w:type="dxa"/>
            <w:bottom w:w="0" w:type="dxa"/>
            <w:right w:w="108" w:type="dxa"/>
          </w:tblCellMar>
        </w:tblPrEx>
        <w:trPr>
          <w:trHeight w:val="280" w:hRule="atLeast"/>
        </w:trPr>
        <w:tc>
          <w:tcPr>
            <w:tcW w:w="520" w:type="pct"/>
            <w:vMerge w:val="continue"/>
            <w:tcBorders>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1202" w:type="pct"/>
            <w:vMerge w:val="continue"/>
            <w:tcBorders>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327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后台管理</w:t>
            </w:r>
          </w:p>
        </w:tc>
      </w:tr>
      <w:tr>
        <w:tblPrEx>
          <w:tblCellMar>
            <w:top w:w="0" w:type="dxa"/>
            <w:left w:w="108" w:type="dxa"/>
            <w:bottom w:w="0" w:type="dxa"/>
            <w:right w:w="108" w:type="dxa"/>
          </w:tblCellMar>
        </w:tblPrEx>
        <w:trPr>
          <w:trHeight w:val="280" w:hRule="atLeast"/>
        </w:trPr>
        <w:tc>
          <w:tcPr>
            <w:tcW w:w="520"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r>
              <w:rPr>
                <w:rFonts w:ascii="宋体" w:hAnsi="宋体" w:cs="宋体"/>
                <w:color w:val="000000"/>
                <w:szCs w:val="21"/>
              </w:rPr>
              <w:t>5</w:t>
            </w:r>
          </w:p>
        </w:tc>
        <w:tc>
          <w:tcPr>
            <w:tcW w:w="4479"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数字门户</w:t>
            </w:r>
          </w:p>
        </w:tc>
      </w:tr>
      <w:tr>
        <w:tblPrEx>
          <w:tblCellMar>
            <w:top w:w="0" w:type="dxa"/>
            <w:left w:w="108" w:type="dxa"/>
            <w:bottom w:w="0" w:type="dxa"/>
            <w:right w:w="108" w:type="dxa"/>
          </w:tblCellMar>
        </w:tblPrEx>
        <w:trPr>
          <w:trHeight w:val="280" w:hRule="atLeast"/>
        </w:trPr>
        <w:tc>
          <w:tcPr>
            <w:tcW w:w="520"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r>
              <w:rPr>
                <w:rFonts w:ascii="宋体" w:hAnsi="宋体" w:cs="宋体"/>
                <w:color w:val="000000"/>
                <w:szCs w:val="21"/>
              </w:rPr>
              <w:t>6</w:t>
            </w:r>
          </w:p>
        </w:tc>
        <w:tc>
          <w:tcPr>
            <w:tcW w:w="4479"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展示内容制作</w:t>
            </w:r>
          </w:p>
        </w:tc>
      </w:tr>
    </w:tbl>
    <w:p/>
    <w:p>
      <w:pPr>
        <w:pStyle w:val="2"/>
      </w:pPr>
    </w:p>
    <w:p>
      <w:pPr>
        <w:numPr>
          <w:ilvl w:val="1"/>
          <w:numId w:val="4"/>
        </w:numPr>
        <w:snapToGrid w:val="0"/>
        <w:spacing w:line="360" w:lineRule="auto"/>
        <w:outlineLvl w:val="1"/>
        <w:rPr>
          <w:rFonts w:ascii="宋体" w:hAnsi="宋体" w:cs="宋体"/>
          <w:b/>
          <w:bCs/>
          <w:color w:val="000000"/>
          <w:sz w:val="24"/>
        </w:rPr>
      </w:pPr>
      <w:bookmarkStart w:id="92" w:name="_Toc4252"/>
      <w:r>
        <w:rPr>
          <w:rFonts w:hint="eastAsia" w:ascii="宋体" w:hAnsi="宋体" w:cs="宋体"/>
          <w:b/>
          <w:bCs/>
          <w:color w:val="000000"/>
          <w:sz w:val="24"/>
        </w:rPr>
        <w:t>项目建设需求</w:t>
      </w:r>
      <w:bookmarkEnd w:id="92"/>
    </w:p>
    <w:p>
      <w:pPr>
        <w:numPr>
          <w:ilvl w:val="0"/>
          <w:numId w:val="6"/>
        </w:numPr>
        <w:tabs>
          <w:tab w:val="left" w:pos="0"/>
          <w:tab w:val="clear" w:pos="420"/>
        </w:tabs>
        <w:spacing w:line="360" w:lineRule="auto"/>
        <w:rPr>
          <w:rFonts w:ascii="宋体" w:hAnsi="宋体" w:cs="宋体"/>
          <w:b/>
          <w:bCs/>
          <w:color w:val="000000"/>
          <w:sz w:val="24"/>
        </w:rPr>
      </w:pPr>
      <w:bookmarkStart w:id="93" w:name="_Toc7896"/>
      <w:bookmarkStart w:id="94" w:name="_Toc17204"/>
      <w:r>
        <w:rPr>
          <w:rFonts w:hint="eastAsia" w:ascii="宋体" w:hAnsi="宋体" w:cs="宋体"/>
          <w:b/>
          <w:bCs/>
          <w:color w:val="000000"/>
          <w:sz w:val="24"/>
        </w:rPr>
        <w:t>质量标准</w:t>
      </w:r>
    </w:p>
    <w:p>
      <w:pPr>
        <w:widowControl/>
        <w:spacing w:line="360" w:lineRule="auto"/>
        <w:ind w:firstLine="420"/>
        <w:rPr>
          <w:rFonts w:ascii="宋体" w:hAnsi="宋体" w:cs="宋体"/>
          <w:b/>
          <w:bCs/>
          <w:color w:val="000000"/>
          <w:sz w:val="24"/>
        </w:rPr>
      </w:pPr>
      <w:r>
        <w:rPr>
          <w:rFonts w:hint="eastAsia" w:ascii="宋体" w:hAnsi="宋体" w:cs="宋体"/>
          <w:sz w:val="24"/>
        </w:rPr>
        <w:t>符合国家及行业相关标准。</w:t>
      </w:r>
    </w:p>
    <w:p>
      <w:pPr>
        <w:numPr>
          <w:ilvl w:val="0"/>
          <w:numId w:val="6"/>
        </w:numPr>
        <w:tabs>
          <w:tab w:val="left" w:pos="0"/>
          <w:tab w:val="clear" w:pos="420"/>
        </w:tabs>
        <w:spacing w:line="360" w:lineRule="auto"/>
        <w:rPr>
          <w:rFonts w:ascii="宋体" w:hAnsi="宋体" w:cs="宋体"/>
          <w:b/>
          <w:bCs/>
          <w:color w:val="000000"/>
          <w:sz w:val="24"/>
        </w:rPr>
      </w:pPr>
      <w:r>
        <w:rPr>
          <w:rFonts w:hint="eastAsia" w:ascii="宋体" w:hAnsi="宋体" w:cs="宋体"/>
          <w:b/>
          <w:bCs/>
          <w:color w:val="000000"/>
          <w:sz w:val="24"/>
        </w:rPr>
        <w:t>数据库建设</w:t>
      </w:r>
      <w:bookmarkEnd w:id="93"/>
      <w:bookmarkEnd w:id="94"/>
    </w:p>
    <w:p>
      <w:pPr>
        <w:widowControl/>
        <w:spacing w:line="360" w:lineRule="auto"/>
        <w:ind w:firstLine="420"/>
      </w:pPr>
      <w:r>
        <w:rPr>
          <w:rFonts w:hint="eastAsia" w:ascii="宋体" w:hAnsi="宋体" w:cs="宋体"/>
          <w:sz w:val="24"/>
        </w:rPr>
        <w:t>项目数据库需按照“三普”、“一普”等相关数据库标准进行建设。</w:t>
      </w:r>
    </w:p>
    <w:p>
      <w:pPr>
        <w:numPr>
          <w:ilvl w:val="0"/>
          <w:numId w:val="7"/>
        </w:numPr>
        <w:tabs>
          <w:tab w:val="left" w:pos="0"/>
          <w:tab w:val="clear" w:pos="420"/>
        </w:tabs>
        <w:spacing w:line="360" w:lineRule="auto"/>
        <w:rPr>
          <w:rFonts w:ascii="宋体" w:hAnsi="宋体" w:cs="宋体"/>
          <w:b/>
          <w:bCs/>
          <w:color w:val="000000"/>
          <w:sz w:val="24"/>
        </w:rPr>
      </w:pPr>
      <w:bookmarkStart w:id="95" w:name="_Toc27184"/>
      <w:r>
        <w:rPr>
          <w:rFonts w:hint="eastAsia" w:ascii="宋体" w:hAnsi="宋体" w:cs="宋体"/>
          <w:b/>
          <w:bCs/>
          <w:color w:val="000000"/>
          <w:sz w:val="24"/>
        </w:rPr>
        <w:t>应用支撑建设</w:t>
      </w:r>
      <w:bookmarkEnd w:id="95"/>
      <w:r>
        <w:rPr>
          <w:rFonts w:hint="eastAsia" w:ascii="宋体" w:hAnsi="宋体" w:cs="宋体"/>
          <w:b/>
          <w:bCs/>
          <w:color w:val="000000"/>
          <w:sz w:val="24"/>
        </w:rPr>
        <w:t>需求</w:t>
      </w:r>
    </w:p>
    <w:p>
      <w:pPr>
        <w:spacing w:line="360" w:lineRule="auto"/>
        <w:ind w:firstLine="480"/>
      </w:pPr>
      <w:r>
        <w:rPr>
          <w:rFonts w:hint="eastAsia" w:ascii="宋体" w:hAnsi="宋体" w:cs="宋体"/>
          <w:sz w:val="24"/>
        </w:rPr>
        <w:t>本期项目应用支撑主要为国产或信创适配中间件，并满足信创环境及国产化适配需求，主要有高速缓存、消息同步、数据同步、负载均衡。</w:t>
      </w:r>
    </w:p>
    <w:p>
      <w:pPr>
        <w:numPr>
          <w:ilvl w:val="1"/>
          <w:numId w:val="4"/>
        </w:numPr>
        <w:spacing w:line="360" w:lineRule="auto"/>
        <w:outlineLvl w:val="1"/>
        <w:rPr>
          <w:rFonts w:ascii="宋体" w:hAnsi="宋体" w:cs="宋体"/>
          <w:b/>
          <w:bCs/>
          <w:color w:val="000000"/>
          <w:sz w:val="24"/>
        </w:rPr>
      </w:pPr>
      <w:bookmarkStart w:id="96" w:name="_Toc16108"/>
      <w:bookmarkStart w:id="97" w:name="_Toc26420"/>
      <w:r>
        <w:rPr>
          <w:rFonts w:hint="eastAsia" w:ascii="宋体" w:hAnsi="宋体" w:cs="宋体"/>
          <w:b/>
          <w:bCs/>
          <w:color w:val="000000"/>
          <w:sz w:val="24"/>
        </w:rPr>
        <w:t>信息共享建设</w:t>
      </w:r>
      <w:bookmarkEnd w:id="96"/>
      <w:r>
        <w:rPr>
          <w:rFonts w:hint="eastAsia" w:ascii="宋体" w:hAnsi="宋体" w:cs="宋体"/>
          <w:b/>
          <w:bCs/>
          <w:color w:val="000000"/>
          <w:sz w:val="24"/>
        </w:rPr>
        <w:t>需求</w:t>
      </w:r>
      <w:bookmarkEnd w:id="97"/>
    </w:p>
    <w:p>
      <w:pPr>
        <w:numPr>
          <w:ilvl w:val="2"/>
          <w:numId w:val="4"/>
        </w:numPr>
        <w:tabs>
          <w:tab w:val="left" w:pos="0"/>
        </w:tabs>
        <w:spacing w:line="360" w:lineRule="auto"/>
        <w:outlineLvl w:val="2"/>
        <w:rPr>
          <w:rFonts w:ascii="宋体" w:hAnsi="宋体" w:cs="宋体"/>
          <w:b/>
          <w:bCs/>
          <w:color w:val="000000"/>
          <w:sz w:val="24"/>
        </w:rPr>
      </w:pPr>
      <w:bookmarkStart w:id="98" w:name="_Toc8008"/>
      <w:bookmarkStart w:id="99" w:name="_Toc14502"/>
      <w:r>
        <w:rPr>
          <w:rFonts w:hint="eastAsia" w:ascii="宋体" w:hAnsi="宋体" w:cs="宋体"/>
          <w:b/>
          <w:bCs/>
          <w:color w:val="000000"/>
          <w:sz w:val="24"/>
        </w:rPr>
        <w:t>信息资源共享</w:t>
      </w:r>
      <w:bookmarkEnd w:id="98"/>
      <w:r>
        <w:rPr>
          <w:rFonts w:hint="eastAsia" w:ascii="宋体" w:hAnsi="宋体" w:cs="宋体"/>
          <w:b/>
          <w:bCs/>
          <w:color w:val="000000"/>
          <w:sz w:val="24"/>
        </w:rPr>
        <w:t>需求</w:t>
      </w:r>
      <w:bookmarkEnd w:id="99"/>
    </w:p>
    <w:p>
      <w:pPr>
        <w:spacing w:line="360" w:lineRule="auto"/>
        <w:ind w:firstLine="420"/>
        <w:rPr>
          <w:rFonts w:ascii="宋体" w:hAnsi="宋体" w:cs="宋体"/>
          <w:sz w:val="24"/>
        </w:rPr>
      </w:pPr>
      <w:r>
        <w:rPr>
          <w:rFonts w:hint="eastAsia" w:ascii="宋体" w:hAnsi="宋体" w:cs="宋体"/>
          <w:sz w:val="24"/>
        </w:rPr>
        <w:t>项目依托自治区文化和旅游厅智慧旅游一部手机游新疆</w:t>
      </w:r>
      <w:r>
        <w:rPr>
          <w:rFonts w:ascii="宋体" w:hAnsi="宋体" w:cs="宋体"/>
          <w:sz w:val="24"/>
        </w:rPr>
        <w:t>（</w:t>
      </w:r>
      <w:r>
        <w:rPr>
          <w:rFonts w:hint="eastAsia" w:ascii="宋体" w:hAnsi="宋体" w:cs="宋体"/>
          <w:sz w:val="24"/>
        </w:rPr>
        <w:t>微信端服务号</w:t>
      </w:r>
      <w:r>
        <w:rPr>
          <w:rFonts w:ascii="宋体" w:hAnsi="宋体" w:cs="宋体"/>
          <w:sz w:val="24"/>
        </w:rPr>
        <w:t>）</w:t>
      </w:r>
      <w:r>
        <w:rPr>
          <w:rFonts w:hint="eastAsia" w:ascii="宋体" w:hAnsi="宋体" w:cs="宋体"/>
          <w:sz w:val="24"/>
        </w:rPr>
        <w:t>、相关文物管理单位、公众用户实现数据交互与共享。</w:t>
      </w:r>
    </w:p>
    <w:p>
      <w:pPr>
        <w:numPr>
          <w:ilvl w:val="2"/>
          <w:numId w:val="4"/>
        </w:numPr>
        <w:tabs>
          <w:tab w:val="left" w:pos="0"/>
        </w:tabs>
        <w:spacing w:line="360" w:lineRule="auto"/>
        <w:outlineLvl w:val="2"/>
        <w:rPr>
          <w:rFonts w:ascii="宋体" w:hAnsi="宋体" w:cs="宋体"/>
          <w:b/>
          <w:bCs/>
          <w:color w:val="000000"/>
          <w:sz w:val="24"/>
        </w:rPr>
      </w:pPr>
      <w:bookmarkStart w:id="100" w:name="_Toc1423"/>
      <w:bookmarkStart w:id="101" w:name="_Toc14970"/>
      <w:r>
        <w:rPr>
          <w:rFonts w:hint="eastAsia" w:ascii="宋体" w:hAnsi="宋体" w:cs="宋体"/>
          <w:b/>
          <w:bCs/>
          <w:color w:val="000000"/>
          <w:sz w:val="24"/>
        </w:rPr>
        <w:t>信息资源共享方式</w:t>
      </w:r>
      <w:bookmarkEnd w:id="100"/>
      <w:bookmarkEnd w:id="101"/>
    </w:p>
    <w:p>
      <w:pPr>
        <w:spacing w:line="360" w:lineRule="auto"/>
        <w:ind w:firstLine="420"/>
        <w:rPr>
          <w:rFonts w:ascii="宋体" w:hAnsi="宋体" w:cs="宋体"/>
          <w:sz w:val="24"/>
        </w:rPr>
      </w:pPr>
      <w:r>
        <w:rPr>
          <w:rFonts w:hint="eastAsia" w:ascii="宋体" w:hAnsi="宋体" w:cs="宋体"/>
          <w:sz w:val="24"/>
        </w:rPr>
        <w:t>项目通过互联网接入分发管理账号的方式，实现文博院与内部单位和外部单位之间的信息共享。</w:t>
      </w:r>
    </w:p>
    <w:p>
      <w:pPr>
        <w:spacing w:line="360" w:lineRule="auto"/>
        <w:ind w:firstLine="420"/>
        <w:rPr>
          <w:rFonts w:ascii="宋体" w:hAnsi="宋体" w:cs="宋体"/>
          <w:sz w:val="24"/>
        </w:rPr>
      </w:pPr>
      <w:r>
        <w:rPr>
          <w:rFonts w:hint="eastAsia" w:ascii="宋体" w:hAnsi="宋体" w:cs="宋体"/>
          <w:sz w:val="24"/>
        </w:rPr>
        <w:t>文博院内部：与自治区文博院内部业务处室通过互联网接入，分发管理账号的方式实现数据的汇集、共享和交互。</w:t>
      </w:r>
    </w:p>
    <w:p>
      <w:pPr>
        <w:spacing w:line="360" w:lineRule="auto"/>
        <w:ind w:firstLine="420"/>
        <w:rPr>
          <w:rFonts w:ascii="宋体" w:hAnsi="宋体" w:cs="宋体"/>
          <w:sz w:val="24"/>
        </w:rPr>
      </w:pPr>
      <w:r>
        <w:rPr>
          <w:rFonts w:hint="eastAsia" w:ascii="宋体" w:hAnsi="宋体" w:cs="宋体"/>
          <w:sz w:val="24"/>
        </w:rPr>
        <w:t>文博院外部：通过互联网与政务服务共享交换平台互联网区进行数据交换和共享，保障数据安全；同时与自治区文化和旅游厅智慧旅游平台、相关文物管理单位包含（自治区博物馆、哈密博物馆、克孜尔石窟研究所、自治区考古所、自治区文物保护中心、伊犁州博物馆、和田博物馆、昌吉州博物馆、吐鲁番博物文物调查及数据库管理软件馆、阿克苏博物馆、喀什博物馆）等通过互联网接入、分发管理账号，平台填报的方式实现数据的汇集、共享和交互。</w:t>
      </w:r>
    </w:p>
    <w:p>
      <w:pPr>
        <w:numPr>
          <w:ilvl w:val="2"/>
          <w:numId w:val="4"/>
        </w:numPr>
        <w:tabs>
          <w:tab w:val="left" w:pos="0"/>
        </w:tabs>
        <w:spacing w:line="360" w:lineRule="auto"/>
        <w:outlineLvl w:val="2"/>
        <w:rPr>
          <w:rFonts w:ascii="宋体" w:hAnsi="宋体" w:cs="宋体"/>
          <w:b/>
          <w:bCs/>
          <w:color w:val="000000"/>
          <w:sz w:val="24"/>
        </w:rPr>
      </w:pPr>
      <w:bookmarkStart w:id="102" w:name="_Toc23555"/>
      <w:bookmarkStart w:id="103" w:name="_Toc22601"/>
      <w:r>
        <w:rPr>
          <w:rFonts w:hint="eastAsia" w:ascii="宋体" w:hAnsi="宋体" w:cs="宋体"/>
          <w:b/>
          <w:bCs/>
          <w:color w:val="000000"/>
          <w:sz w:val="24"/>
        </w:rPr>
        <w:t>信息资源共享目录</w:t>
      </w:r>
      <w:bookmarkEnd w:id="102"/>
      <w:r>
        <w:rPr>
          <w:rFonts w:hint="eastAsia" w:ascii="宋体" w:hAnsi="宋体" w:cs="宋体"/>
          <w:b/>
          <w:bCs/>
          <w:color w:val="000000"/>
          <w:sz w:val="24"/>
        </w:rPr>
        <w:t>及内容</w:t>
      </w:r>
      <w:bookmarkEnd w:id="103"/>
    </w:p>
    <w:p>
      <w:pPr>
        <w:spacing w:line="360" w:lineRule="auto"/>
        <w:ind w:firstLine="420"/>
        <w:rPr>
          <w:rFonts w:ascii="宋体" w:hAnsi="宋体" w:cs="宋体"/>
          <w:sz w:val="24"/>
        </w:rPr>
      </w:pPr>
      <w:r>
        <w:rPr>
          <w:rFonts w:hint="eastAsia" w:ascii="宋体" w:hAnsi="宋体" w:cs="宋体"/>
          <w:sz w:val="24"/>
        </w:rPr>
        <w:t>共享数据类型为结构和非结构化数据，按资源属性分别建立文物基础数据共享目录、文物专题数据共享目录、公众展示数字资源共享目录等三种类型提供信息共享。</w:t>
      </w:r>
      <w:r>
        <w:rPr>
          <w:rFonts w:hint="eastAsia" w:ascii="宋体" w:hAnsi="宋体" w:cs="宋体"/>
          <w:sz w:val="24"/>
          <w:lang w:val="en-US" w:eastAsia="zh-CN"/>
        </w:rPr>
        <w:t>并按照</w:t>
      </w:r>
      <w:r>
        <w:rPr>
          <w:rFonts w:hint="eastAsia" w:ascii="宋体" w:hAnsi="宋体" w:cs="宋体"/>
          <w:sz w:val="24"/>
        </w:rPr>
        <w:t>文物主管部门</w:t>
      </w:r>
      <w:r>
        <w:rPr>
          <w:rFonts w:hint="eastAsia" w:ascii="宋体" w:hAnsi="宋体" w:cs="宋体"/>
          <w:sz w:val="24"/>
          <w:lang w:val="en-US" w:eastAsia="zh-CN"/>
        </w:rPr>
        <w:t>具体</w:t>
      </w:r>
      <w:r>
        <w:rPr>
          <w:rFonts w:hint="eastAsia" w:ascii="宋体" w:hAnsi="宋体" w:cs="宋体"/>
          <w:sz w:val="24"/>
        </w:rPr>
        <w:t>要求，</w:t>
      </w:r>
      <w:r>
        <w:rPr>
          <w:rFonts w:hint="eastAsia" w:ascii="宋体" w:hAnsi="宋体" w:cs="宋体"/>
          <w:sz w:val="24"/>
          <w:lang w:val="en-US" w:eastAsia="zh-CN"/>
        </w:rPr>
        <w:t>对</w:t>
      </w:r>
      <w:r>
        <w:rPr>
          <w:rFonts w:hint="eastAsia" w:ascii="宋体" w:hAnsi="宋体" w:cs="宋体"/>
          <w:sz w:val="24"/>
        </w:rPr>
        <w:t>以上</w:t>
      </w:r>
      <w:r>
        <w:rPr>
          <w:rFonts w:hint="eastAsia" w:ascii="宋体" w:hAnsi="宋体" w:cs="宋体"/>
          <w:sz w:val="24"/>
          <w:lang w:val="en-US" w:eastAsia="zh-CN"/>
        </w:rPr>
        <w:t>共享</w:t>
      </w:r>
      <w:r>
        <w:rPr>
          <w:rFonts w:hint="eastAsia" w:ascii="宋体" w:hAnsi="宋体" w:cs="宋体"/>
          <w:sz w:val="24"/>
        </w:rPr>
        <w:t>数据进行分级分层管理</w:t>
      </w:r>
      <w:r>
        <w:rPr>
          <w:rFonts w:hint="eastAsia" w:ascii="宋体" w:hAnsi="宋体" w:cs="宋体"/>
          <w:sz w:val="24"/>
          <w:lang w:eastAsia="zh-CN"/>
        </w:rPr>
        <w:t>。</w:t>
      </w:r>
    </w:p>
    <w:p>
      <w:pPr>
        <w:pStyle w:val="8"/>
        <w:rPr>
          <w:b/>
        </w:rPr>
      </w:pPr>
      <w:r>
        <w:rPr>
          <w:rFonts w:hint="eastAsia"/>
          <w:b/>
        </w:rPr>
        <w:t>信息资源共享目录表</w:t>
      </w:r>
    </w:p>
    <w:tbl>
      <w:tblPr>
        <w:tblStyle w:val="27"/>
        <w:tblW w:w="4996"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751"/>
        <w:gridCol w:w="1798"/>
        <w:gridCol w:w="1926"/>
        <w:gridCol w:w="2232"/>
        <w:gridCol w:w="223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420" w:type="pct"/>
            <w:vAlign w:val="center"/>
          </w:tcPr>
          <w:p>
            <w:pPr>
              <w:widowControl/>
              <w:jc w:val="center"/>
              <w:textAlignment w:val="center"/>
              <w:rPr>
                <w:rFonts w:ascii="宋体" w:hAnsi="宋体" w:cs="宋体"/>
                <w:b/>
                <w:szCs w:val="21"/>
              </w:rPr>
            </w:pPr>
            <w:r>
              <w:rPr>
                <w:rFonts w:hint="eastAsia" w:ascii="宋体" w:hAnsi="宋体" w:cs="宋体"/>
                <w:b/>
                <w:kern w:val="0"/>
                <w:szCs w:val="21"/>
                <w:lang w:bidi="ar"/>
              </w:rPr>
              <w:t>序号</w:t>
            </w:r>
          </w:p>
        </w:tc>
        <w:tc>
          <w:tcPr>
            <w:tcW w:w="1005" w:type="pct"/>
            <w:vAlign w:val="center"/>
          </w:tcPr>
          <w:p>
            <w:pPr>
              <w:widowControl/>
              <w:jc w:val="center"/>
              <w:textAlignment w:val="center"/>
              <w:rPr>
                <w:rFonts w:ascii="宋体" w:hAnsi="宋体" w:cs="宋体"/>
                <w:b/>
                <w:szCs w:val="21"/>
              </w:rPr>
            </w:pPr>
            <w:r>
              <w:rPr>
                <w:rFonts w:hint="eastAsia" w:ascii="宋体" w:hAnsi="宋体" w:cs="宋体"/>
                <w:b/>
                <w:kern w:val="0"/>
                <w:szCs w:val="21"/>
                <w:lang w:bidi="ar"/>
              </w:rPr>
              <w:t>共享对象</w:t>
            </w:r>
          </w:p>
        </w:tc>
        <w:tc>
          <w:tcPr>
            <w:tcW w:w="1077" w:type="pct"/>
            <w:vAlign w:val="center"/>
          </w:tcPr>
          <w:p>
            <w:pPr>
              <w:widowControl/>
              <w:jc w:val="center"/>
              <w:textAlignment w:val="center"/>
              <w:rPr>
                <w:rFonts w:ascii="宋体" w:hAnsi="宋体" w:cs="宋体"/>
                <w:b/>
                <w:szCs w:val="21"/>
              </w:rPr>
            </w:pPr>
            <w:r>
              <w:rPr>
                <w:rFonts w:hint="eastAsia" w:ascii="宋体" w:hAnsi="宋体" w:cs="宋体"/>
                <w:b/>
                <w:kern w:val="0"/>
                <w:szCs w:val="21"/>
                <w:lang w:bidi="ar"/>
              </w:rPr>
              <w:t>共享数据类型</w:t>
            </w:r>
          </w:p>
        </w:tc>
        <w:tc>
          <w:tcPr>
            <w:tcW w:w="1248" w:type="pct"/>
            <w:vAlign w:val="center"/>
          </w:tcPr>
          <w:p>
            <w:pPr>
              <w:widowControl/>
              <w:jc w:val="center"/>
              <w:textAlignment w:val="center"/>
              <w:rPr>
                <w:rFonts w:ascii="宋体" w:hAnsi="宋体" w:cs="宋体"/>
                <w:b/>
                <w:kern w:val="0"/>
                <w:szCs w:val="21"/>
                <w:lang w:bidi="ar"/>
              </w:rPr>
            </w:pPr>
            <w:r>
              <w:rPr>
                <w:rFonts w:hint="eastAsia" w:ascii="宋体" w:hAnsi="宋体" w:cs="宋体"/>
                <w:b/>
                <w:kern w:val="0"/>
                <w:szCs w:val="21"/>
                <w:lang w:bidi="ar"/>
              </w:rPr>
              <w:t>共享数据内容</w:t>
            </w:r>
          </w:p>
        </w:tc>
        <w:tc>
          <w:tcPr>
            <w:tcW w:w="1248" w:type="pct"/>
            <w:vAlign w:val="center"/>
          </w:tcPr>
          <w:p>
            <w:pPr>
              <w:widowControl/>
              <w:jc w:val="center"/>
              <w:textAlignment w:val="center"/>
              <w:rPr>
                <w:rFonts w:ascii="宋体" w:hAnsi="宋体" w:cs="宋体"/>
                <w:b/>
                <w:szCs w:val="21"/>
              </w:rPr>
            </w:pPr>
            <w:r>
              <w:rPr>
                <w:rFonts w:hint="eastAsia" w:ascii="宋体" w:hAnsi="宋体" w:cs="宋体"/>
                <w:b/>
                <w:kern w:val="0"/>
                <w:szCs w:val="21"/>
                <w:lang w:bidi="ar"/>
              </w:rPr>
              <w:t>共享方式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420" w:type="pct"/>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005" w:type="pct"/>
            <w:vAlign w:val="center"/>
          </w:tcPr>
          <w:p>
            <w:pPr>
              <w:widowControl/>
              <w:jc w:val="left"/>
              <w:textAlignment w:val="center"/>
              <w:rPr>
                <w:rFonts w:ascii="宋体" w:hAnsi="宋体" w:cs="宋体"/>
                <w:szCs w:val="21"/>
              </w:rPr>
            </w:pPr>
            <w:r>
              <w:rPr>
                <w:rFonts w:hint="eastAsia" w:ascii="宋体" w:hAnsi="宋体" w:cs="宋体"/>
                <w:kern w:val="0"/>
                <w:szCs w:val="21"/>
                <w:lang w:bidi="ar"/>
              </w:rPr>
              <w:t>自治区博物馆</w:t>
            </w:r>
          </w:p>
        </w:tc>
        <w:tc>
          <w:tcPr>
            <w:tcW w:w="1077" w:type="pct"/>
            <w:vAlign w:val="center"/>
          </w:tcPr>
          <w:p>
            <w:pPr>
              <w:widowControl/>
              <w:jc w:val="left"/>
              <w:textAlignment w:val="center"/>
              <w:rPr>
                <w:rFonts w:ascii="宋体" w:hAnsi="宋体" w:cs="宋体"/>
                <w:szCs w:val="21"/>
              </w:rPr>
            </w:pPr>
            <w:r>
              <w:rPr>
                <w:rFonts w:hint="eastAsia" w:ascii="宋体" w:hAnsi="宋体" w:cs="宋体"/>
                <w:kern w:val="0"/>
                <w:szCs w:val="21"/>
                <w:lang w:bidi="ar"/>
              </w:rPr>
              <w:t>结构和非结构化数据</w:t>
            </w:r>
          </w:p>
        </w:tc>
        <w:tc>
          <w:tcPr>
            <w:tcW w:w="1248" w:type="pct"/>
            <w:vMerge w:val="restart"/>
            <w:vAlign w:val="center"/>
          </w:tcPr>
          <w:p>
            <w:pPr>
              <w:pStyle w:val="6"/>
              <w:numPr>
                <w:ilvl w:val="3"/>
                <w:numId w:val="0"/>
              </w:numPr>
              <w:spacing w:line="240" w:lineRule="auto"/>
              <w:jc w:val="left"/>
              <w:rPr>
                <w:rFonts w:ascii="宋体" w:hAnsi="宋体" w:cs="宋体"/>
                <w:b w:val="0"/>
                <w:sz w:val="21"/>
                <w:szCs w:val="21"/>
              </w:rPr>
            </w:pPr>
            <w:bookmarkStart w:id="104" w:name="_Toc31782"/>
            <w:r>
              <w:rPr>
                <w:rFonts w:hint="eastAsia" w:ascii="宋体" w:hAnsi="宋体" w:cs="宋体"/>
                <w:sz w:val="21"/>
                <w:szCs w:val="21"/>
              </w:rPr>
              <w:t>文物基础数据汇聚：</w:t>
            </w:r>
            <w:r>
              <w:rPr>
                <w:rFonts w:hint="eastAsia" w:ascii="宋体" w:hAnsi="宋体" w:cs="宋体"/>
                <w:b w:val="0"/>
                <w:sz w:val="21"/>
                <w:szCs w:val="21"/>
              </w:rPr>
              <w:t>第三次全国文物普查不可移动文物、对新疆可移动文物的一普数据进行汇聚，</w:t>
            </w:r>
            <w:bookmarkEnd w:id="104"/>
          </w:p>
          <w:p>
            <w:pPr>
              <w:widowControl/>
              <w:jc w:val="left"/>
              <w:textAlignment w:val="center"/>
              <w:rPr>
                <w:rFonts w:ascii="宋体" w:hAnsi="宋体" w:cs="宋体"/>
                <w:szCs w:val="21"/>
              </w:rPr>
            </w:pPr>
            <w:r>
              <w:rPr>
                <w:rFonts w:hint="eastAsia" w:ascii="宋体" w:hAnsi="宋体" w:cs="宋体"/>
                <w:b/>
                <w:bCs/>
                <w:szCs w:val="21"/>
              </w:rPr>
              <w:t>文物专题数据汇聚：</w:t>
            </w:r>
            <w:r>
              <w:rPr>
                <w:rFonts w:hint="eastAsia" w:ascii="宋体" w:hAnsi="宋体" w:cs="宋体"/>
                <w:szCs w:val="21"/>
              </w:rPr>
              <w:t>革命文物专题数据汇聚、丝路世界遗产专题数据汇聚、石窟寺专题数据汇聚</w:t>
            </w:r>
          </w:p>
        </w:tc>
        <w:tc>
          <w:tcPr>
            <w:tcW w:w="1248" w:type="pct"/>
            <w:vAlign w:val="center"/>
          </w:tcPr>
          <w:p>
            <w:pPr>
              <w:widowControl/>
              <w:jc w:val="left"/>
              <w:textAlignment w:val="center"/>
              <w:rPr>
                <w:rFonts w:ascii="宋体" w:hAnsi="宋体" w:cs="宋体"/>
                <w:szCs w:val="21"/>
              </w:rPr>
            </w:pPr>
            <w:r>
              <w:rPr>
                <w:rFonts w:hint="eastAsia" w:ascii="宋体" w:hAnsi="宋体" w:cs="宋体"/>
                <w:szCs w:val="21"/>
              </w:rPr>
              <w:t>互联网接入、分发管理账号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420" w:type="pct"/>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1005" w:type="pct"/>
            <w:vAlign w:val="center"/>
          </w:tcPr>
          <w:p>
            <w:pPr>
              <w:widowControl/>
              <w:jc w:val="left"/>
              <w:textAlignment w:val="center"/>
              <w:rPr>
                <w:rFonts w:ascii="宋体" w:hAnsi="宋体" w:cs="宋体"/>
                <w:szCs w:val="21"/>
              </w:rPr>
            </w:pPr>
            <w:r>
              <w:rPr>
                <w:rFonts w:hint="eastAsia" w:ascii="宋体" w:hAnsi="宋体" w:cs="宋体"/>
                <w:kern w:val="0"/>
                <w:szCs w:val="21"/>
                <w:lang w:bidi="ar"/>
              </w:rPr>
              <w:t>哈密博物馆</w:t>
            </w:r>
          </w:p>
        </w:tc>
        <w:tc>
          <w:tcPr>
            <w:tcW w:w="1077" w:type="pct"/>
            <w:vAlign w:val="center"/>
          </w:tcPr>
          <w:p>
            <w:pPr>
              <w:widowControl/>
              <w:jc w:val="left"/>
              <w:textAlignment w:val="center"/>
            </w:pPr>
            <w:r>
              <w:rPr>
                <w:rFonts w:hint="eastAsia" w:ascii="宋体" w:hAnsi="宋体" w:cs="宋体"/>
                <w:kern w:val="0"/>
                <w:szCs w:val="21"/>
                <w:lang w:bidi="ar"/>
              </w:rPr>
              <w:t>结构和非结构化数据</w:t>
            </w:r>
          </w:p>
        </w:tc>
        <w:tc>
          <w:tcPr>
            <w:tcW w:w="1248" w:type="pct"/>
            <w:vMerge w:val="continue"/>
            <w:vAlign w:val="center"/>
          </w:tcPr>
          <w:p>
            <w:pPr>
              <w:widowControl/>
              <w:jc w:val="left"/>
              <w:textAlignment w:val="center"/>
              <w:rPr>
                <w:rFonts w:ascii="宋体" w:hAnsi="宋体" w:cs="宋体"/>
                <w:szCs w:val="21"/>
              </w:rPr>
            </w:pPr>
          </w:p>
        </w:tc>
        <w:tc>
          <w:tcPr>
            <w:tcW w:w="1248" w:type="pct"/>
            <w:vAlign w:val="center"/>
          </w:tcPr>
          <w:p>
            <w:pPr>
              <w:widowControl/>
              <w:jc w:val="left"/>
              <w:textAlignment w:val="center"/>
              <w:rPr>
                <w:sz w:val="24"/>
                <w:szCs w:val="21"/>
              </w:rPr>
            </w:pPr>
            <w:r>
              <w:rPr>
                <w:rFonts w:hint="eastAsia" w:ascii="宋体" w:hAnsi="宋体" w:cs="宋体"/>
                <w:szCs w:val="21"/>
              </w:rPr>
              <w:t>互联网接入、分发管理账号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420" w:type="pct"/>
            <w:vAlign w:val="center"/>
          </w:tcPr>
          <w:p>
            <w:pPr>
              <w:widowControl/>
              <w:jc w:val="center"/>
              <w:textAlignment w:val="center"/>
              <w:rPr>
                <w:rFonts w:ascii="宋体" w:hAnsi="宋体" w:cs="宋体"/>
                <w:szCs w:val="21"/>
              </w:rPr>
            </w:pPr>
            <w:r>
              <w:rPr>
                <w:rFonts w:hint="eastAsia" w:ascii="宋体" w:hAnsi="宋体" w:cs="宋体"/>
                <w:kern w:val="0"/>
                <w:szCs w:val="21"/>
                <w:lang w:bidi="ar"/>
              </w:rPr>
              <w:t>3</w:t>
            </w:r>
          </w:p>
        </w:tc>
        <w:tc>
          <w:tcPr>
            <w:tcW w:w="1005" w:type="pct"/>
            <w:vAlign w:val="center"/>
          </w:tcPr>
          <w:p>
            <w:pPr>
              <w:widowControl/>
              <w:jc w:val="left"/>
              <w:textAlignment w:val="center"/>
              <w:rPr>
                <w:rFonts w:ascii="宋体" w:hAnsi="宋体" w:cs="宋体"/>
                <w:szCs w:val="21"/>
              </w:rPr>
            </w:pPr>
            <w:r>
              <w:rPr>
                <w:rFonts w:hint="eastAsia" w:ascii="宋体" w:hAnsi="宋体" w:cs="宋体"/>
                <w:kern w:val="0"/>
                <w:szCs w:val="21"/>
                <w:lang w:bidi="ar"/>
              </w:rPr>
              <w:t>克孜尔石窟研究所</w:t>
            </w:r>
          </w:p>
        </w:tc>
        <w:tc>
          <w:tcPr>
            <w:tcW w:w="1077" w:type="pct"/>
          </w:tcPr>
          <w:p>
            <w:pPr>
              <w:widowControl/>
              <w:jc w:val="left"/>
              <w:textAlignment w:val="top"/>
              <w:rPr>
                <w:rFonts w:ascii="宋体" w:hAnsi="宋体" w:cs="宋体"/>
                <w:szCs w:val="21"/>
              </w:rPr>
            </w:pPr>
            <w:r>
              <w:rPr>
                <w:rFonts w:hint="eastAsia" w:ascii="宋体" w:hAnsi="宋体" w:cs="宋体"/>
                <w:kern w:val="0"/>
                <w:szCs w:val="21"/>
                <w:lang w:bidi="ar"/>
              </w:rPr>
              <w:t>结构和非结构化数据</w:t>
            </w:r>
          </w:p>
        </w:tc>
        <w:tc>
          <w:tcPr>
            <w:tcW w:w="1248" w:type="pct"/>
            <w:vMerge w:val="continue"/>
          </w:tcPr>
          <w:p>
            <w:pPr>
              <w:jc w:val="left"/>
              <w:rPr>
                <w:rFonts w:ascii="宋体" w:hAnsi="宋体" w:cs="宋体"/>
                <w:szCs w:val="21"/>
              </w:rPr>
            </w:pPr>
          </w:p>
        </w:tc>
        <w:tc>
          <w:tcPr>
            <w:tcW w:w="1248" w:type="pct"/>
          </w:tcPr>
          <w:p>
            <w:pPr>
              <w:jc w:val="left"/>
              <w:rPr>
                <w:rFonts w:ascii="宋体" w:hAnsi="宋体" w:cs="宋体"/>
                <w:szCs w:val="21"/>
              </w:rPr>
            </w:pPr>
            <w:r>
              <w:rPr>
                <w:rFonts w:hint="eastAsia" w:ascii="宋体" w:hAnsi="宋体" w:cs="宋体"/>
                <w:szCs w:val="21"/>
              </w:rPr>
              <w:t>互联网接入、分发管理账号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420" w:type="pct"/>
            <w:vAlign w:val="center"/>
          </w:tcPr>
          <w:p>
            <w:pPr>
              <w:widowControl/>
              <w:jc w:val="center"/>
              <w:textAlignment w:val="center"/>
              <w:rPr>
                <w:rFonts w:ascii="宋体" w:hAnsi="宋体" w:cs="宋体"/>
                <w:szCs w:val="21"/>
              </w:rPr>
            </w:pPr>
            <w:r>
              <w:rPr>
                <w:rFonts w:hint="eastAsia" w:ascii="宋体" w:hAnsi="宋体" w:cs="宋体"/>
                <w:kern w:val="0"/>
                <w:szCs w:val="21"/>
                <w:lang w:bidi="ar"/>
              </w:rPr>
              <w:t>4</w:t>
            </w:r>
          </w:p>
        </w:tc>
        <w:tc>
          <w:tcPr>
            <w:tcW w:w="1005" w:type="pct"/>
            <w:vAlign w:val="center"/>
          </w:tcPr>
          <w:p>
            <w:pPr>
              <w:widowControl/>
              <w:jc w:val="left"/>
              <w:textAlignment w:val="center"/>
              <w:rPr>
                <w:rFonts w:ascii="宋体" w:hAnsi="宋体" w:cs="宋体"/>
                <w:szCs w:val="21"/>
              </w:rPr>
            </w:pPr>
            <w:r>
              <w:rPr>
                <w:rFonts w:hint="eastAsia" w:ascii="宋体" w:hAnsi="宋体" w:cs="宋体"/>
                <w:kern w:val="0"/>
                <w:szCs w:val="21"/>
                <w:lang w:bidi="ar"/>
              </w:rPr>
              <w:t>自治区考古所</w:t>
            </w:r>
          </w:p>
        </w:tc>
        <w:tc>
          <w:tcPr>
            <w:tcW w:w="1077" w:type="pct"/>
          </w:tcPr>
          <w:p>
            <w:pPr>
              <w:widowControl/>
              <w:jc w:val="left"/>
              <w:textAlignment w:val="top"/>
              <w:rPr>
                <w:rFonts w:ascii="宋体" w:hAnsi="宋体" w:cs="宋体"/>
                <w:szCs w:val="21"/>
              </w:rPr>
            </w:pPr>
            <w:r>
              <w:rPr>
                <w:rFonts w:hint="eastAsia" w:ascii="宋体" w:hAnsi="宋体" w:cs="宋体"/>
                <w:kern w:val="0"/>
                <w:szCs w:val="21"/>
                <w:lang w:bidi="ar"/>
              </w:rPr>
              <w:t>结构和非结构化数据</w:t>
            </w:r>
          </w:p>
        </w:tc>
        <w:tc>
          <w:tcPr>
            <w:tcW w:w="1248" w:type="pct"/>
            <w:vMerge w:val="continue"/>
          </w:tcPr>
          <w:p>
            <w:pPr>
              <w:widowControl/>
              <w:jc w:val="left"/>
              <w:textAlignment w:val="top"/>
              <w:rPr>
                <w:rFonts w:ascii="宋体" w:hAnsi="宋体" w:cs="宋体"/>
                <w:szCs w:val="21"/>
              </w:rPr>
            </w:pPr>
          </w:p>
        </w:tc>
        <w:tc>
          <w:tcPr>
            <w:tcW w:w="1248" w:type="pct"/>
          </w:tcPr>
          <w:p>
            <w:pPr>
              <w:widowControl/>
              <w:jc w:val="left"/>
              <w:textAlignment w:val="top"/>
              <w:rPr>
                <w:rFonts w:ascii="宋体" w:hAnsi="宋体" w:cs="宋体"/>
                <w:szCs w:val="21"/>
              </w:rPr>
            </w:pPr>
            <w:r>
              <w:rPr>
                <w:rFonts w:hint="eastAsia" w:ascii="宋体" w:hAnsi="宋体" w:cs="宋体"/>
                <w:szCs w:val="21"/>
              </w:rPr>
              <w:t>互联网接入、分发管理账号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420" w:type="pct"/>
            <w:vAlign w:val="center"/>
          </w:tcPr>
          <w:p>
            <w:pPr>
              <w:widowControl/>
              <w:jc w:val="center"/>
              <w:textAlignment w:val="center"/>
              <w:rPr>
                <w:rFonts w:ascii="宋体" w:hAnsi="宋体" w:cs="宋体"/>
                <w:szCs w:val="21"/>
              </w:rPr>
            </w:pPr>
            <w:r>
              <w:rPr>
                <w:rFonts w:hint="eastAsia" w:ascii="宋体" w:hAnsi="宋体" w:cs="宋体"/>
                <w:kern w:val="0"/>
                <w:szCs w:val="21"/>
                <w:lang w:bidi="ar"/>
              </w:rPr>
              <w:t>5</w:t>
            </w:r>
          </w:p>
        </w:tc>
        <w:tc>
          <w:tcPr>
            <w:tcW w:w="1005" w:type="pct"/>
            <w:vAlign w:val="center"/>
          </w:tcPr>
          <w:p>
            <w:pPr>
              <w:widowControl/>
              <w:jc w:val="left"/>
              <w:textAlignment w:val="center"/>
              <w:rPr>
                <w:rFonts w:ascii="宋体" w:hAnsi="宋体" w:cs="宋体"/>
                <w:szCs w:val="21"/>
              </w:rPr>
            </w:pPr>
            <w:r>
              <w:rPr>
                <w:rFonts w:hint="eastAsia" w:ascii="宋体" w:hAnsi="宋体" w:cs="宋体"/>
                <w:kern w:val="0"/>
                <w:szCs w:val="21"/>
                <w:lang w:bidi="ar"/>
              </w:rPr>
              <w:t>自治区文物保护中心</w:t>
            </w:r>
          </w:p>
        </w:tc>
        <w:tc>
          <w:tcPr>
            <w:tcW w:w="1077" w:type="pct"/>
          </w:tcPr>
          <w:p>
            <w:pPr>
              <w:widowControl/>
              <w:jc w:val="left"/>
              <w:textAlignment w:val="top"/>
              <w:rPr>
                <w:rFonts w:ascii="宋体" w:hAnsi="宋体" w:cs="宋体"/>
                <w:szCs w:val="21"/>
              </w:rPr>
            </w:pPr>
            <w:r>
              <w:rPr>
                <w:rFonts w:hint="eastAsia" w:ascii="宋体" w:hAnsi="宋体" w:cs="宋体"/>
                <w:kern w:val="0"/>
                <w:szCs w:val="21"/>
                <w:lang w:bidi="ar"/>
              </w:rPr>
              <w:t>结构和非结构化数据</w:t>
            </w:r>
          </w:p>
        </w:tc>
        <w:tc>
          <w:tcPr>
            <w:tcW w:w="1248" w:type="pct"/>
            <w:vMerge w:val="continue"/>
          </w:tcPr>
          <w:p>
            <w:pPr>
              <w:widowControl/>
              <w:jc w:val="left"/>
              <w:textAlignment w:val="top"/>
              <w:rPr>
                <w:rFonts w:ascii="宋体" w:hAnsi="宋体" w:cs="宋体"/>
                <w:szCs w:val="21"/>
              </w:rPr>
            </w:pPr>
          </w:p>
        </w:tc>
        <w:tc>
          <w:tcPr>
            <w:tcW w:w="1248" w:type="pct"/>
          </w:tcPr>
          <w:p>
            <w:pPr>
              <w:widowControl/>
              <w:jc w:val="left"/>
              <w:textAlignment w:val="top"/>
              <w:rPr>
                <w:rFonts w:ascii="宋体" w:hAnsi="宋体" w:cs="宋体"/>
                <w:szCs w:val="21"/>
              </w:rPr>
            </w:pPr>
            <w:r>
              <w:rPr>
                <w:rFonts w:hint="eastAsia" w:ascii="宋体" w:hAnsi="宋体" w:cs="宋体"/>
                <w:szCs w:val="21"/>
              </w:rPr>
              <w:t>互联网接入、分发管理账号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420" w:type="pct"/>
            <w:vAlign w:val="center"/>
          </w:tcPr>
          <w:p>
            <w:pPr>
              <w:widowControl/>
              <w:jc w:val="center"/>
              <w:textAlignment w:val="center"/>
              <w:rPr>
                <w:rFonts w:ascii="宋体" w:hAnsi="宋体" w:cs="宋体"/>
                <w:szCs w:val="21"/>
              </w:rPr>
            </w:pPr>
            <w:r>
              <w:rPr>
                <w:rFonts w:hint="eastAsia" w:ascii="宋体" w:hAnsi="宋体" w:cs="宋体"/>
                <w:kern w:val="0"/>
                <w:szCs w:val="21"/>
                <w:lang w:bidi="ar"/>
              </w:rPr>
              <w:t>6</w:t>
            </w:r>
          </w:p>
        </w:tc>
        <w:tc>
          <w:tcPr>
            <w:tcW w:w="1005" w:type="pct"/>
            <w:vAlign w:val="center"/>
          </w:tcPr>
          <w:p>
            <w:pPr>
              <w:widowControl/>
              <w:jc w:val="left"/>
              <w:textAlignment w:val="center"/>
              <w:rPr>
                <w:rFonts w:ascii="宋体" w:hAnsi="宋体" w:cs="宋体"/>
                <w:szCs w:val="21"/>
              </w:rPr>
            </w:pPr>
            <w:r>
              <w:rPr>
                <w:rFonts w:hint="eastAsia" w:ascii="宋体" w:hAnsi="宋体" w:cs="宋体"/>
                <w:kern w:val="0"/>
                <w:szCs w:val="21"/>
                <w:lang w:bidi="ar"/>
              </w:rPr>
              <w:t>伊犁州博物馆</w:t>
            </w:r>
          </w:p>
        </w:tc>
        <w:tc>
          <w:tcPr>
            <w:tcW w:w="1077" w:type="pct"/>
          </w:tcPr>
          <w:p>
            <w:pPr>
              <w:widowControl/>
              <w:jc w:val="left"/>
              <w:textAlignment w:val="top"/>
              <w:rPr>
                <w:rFonts w:ascii="宋体" w:hAnsi="宋体" w:cs="宋体"/>
                <w:szCs w:val="21"/>
              </w:rPr>
            </w:pPr>
            <w:r>
              <w:rPr>
                <w:rFonts w:hint="eastAsia" w:ascii="宋体" w:hAnsi="宋体" w:cs="宋体"/>
                <w:kern w:val="0"/>
                <w:szCs w:val="21"/>
                <w:lang w:bidi="ar"/>
              </w:rPr>
              <w:t>结构和非结构化数据</w:t>
            </w:r>
          </w:p>
        </w:tc>
        <w:tc>
          <w:tcPr>
            <w:tcW w:w="1248" w:type="pct"/>
            <w:vMerge w:val="continue"/>
          </w:tcPr>
          <w:p>
            <w:pPr>
              <w:widowControl/>
              <w:jc w:val="left"/>
              <w:textAlignment w:val="top"/>
              <w:rPr>
                <w:rFonts w:ascii="宋体" w:hAnsi="宋体" w:cs="宋体"/>
                <w:szCs w:val="21"/>
              </w:rPr>
            </w:pPr>
          </w:p>
        </w:tc>
        <w:tc>
          <w:tcPr>
            <w:tcW w:w="1248" w:type="pct"/>
          </w:tcPr>
          <w:p>
            <w:pPr>
              <w:widowControl/>
              <w:jc w:val="left"/>
              <w:textAlignment w:val="top"/>
              <w:rPr>
                <w:rFonts w:ascii="宋体" w:hAnsi="宋体" w:cs="宋体"/>
                <w:szCs w:val="21"/>
              </w:rPr>
            </w:pPr>
            <w:r>
              <w:rPr>
                <w:rFonts w:hint="eastAsia" w:ascii="宋体" w:hAnsi="宋体" w:cs="宋体"/>
                <w:szCs w:val="21"/>
              </w:rPr>
              <w:t>互联网接入、分发管理账号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420" w:type="pct"/>
            <w:vAlign w:val="center"/>
          </w:tcPr>
          <w:p>
            <w:pPr>
              <w:widowControl/>
              <w:jc w:val="center"/>
              <w:textAlignment w:val="center"/>
              <w:rPr>
                <w:rFonts w:ascii="宋体" w:hAnsi="宋体" w:cs="宋体"/>
                <w:szCs w:val="21"/>
              </w:rPr>
            </w:pPr>
            <w:r>
              <w:rPr>
                <w:rFonts w:hint="eastAsia" w:ascii="宋体" w:hAnsi="宋体" w:cs="宋体"/>
                <w:kern w:val="0"/>
                <w:szCs w:val="21"/>
                <w:lang w:bidi="ar"/>
              </w:rPr>
              <w:t>7</w:t>
            </w:r>
          </w:p>
        </w:tc>
        <w:tc>
          <w:tcPr>
            <w:tcW w:w="1005" w:type="pct"/>
            <w:vAlign w:val="center"/>
          </w:tcPr>
          <w:p>
            <w:pPr>
              <w:widowControl/>
              <w:jc w:val="left"/>
              <w:textAlignment w:val="center"/>
              <w:rPr>
                <w:rFonts w:ascii="宋体" w:hAnsi="宋体" w:cs="宋体"/>
                <w:szCs w:val="21"/>
              </w:rPr>
            </w:pPr>
            <w:r>
              <w:rPr>
                <w:rFonts w:hint="eastAsia" w:ascii="宋体" w:hAnsi="宋体" w:cs="宋体"/>
                <w:kern w:val="0"/>
                <w:szCs w:val="21"/>
                <w:lang w:bidi="ar"/>
              </w:rPr>
              <w:t>和田博物馆</w:t>
            </w:r>
          </w:p>
        </w:tc>
        <w:tc>
          <w:tcPr>
            <w:tcW w:w="1077" w:type="pct"/>
          </w:tcPr>
          <w:p>
            <w:pPr>
              <w:widowControl/>
              <w:jc w:val="left"/>
              <w:textAlignment w:val="top"/>
              <w:rPr>
                <w:rFonts w:ascii="宋体" w:hAnsi="宋体" w:cs="宋体"/>
                <w:szCs w:val="21"/>
              </w:rPr>
            </w:pPr>
            <w:r>
              <w:rPr>
                <w:rFonts w:hint="eastAsia" w:ascii="宋体" w:hAnsi="宋体" w:cs="宋体"/>
                <w:kern w:val="0"/>
                <w:szCs w:val="21"/>
                <w:lang w:bidi="ar"/>
              </w:rPr>
              <w:t>结构和非结构化数据</w:t>
            </w:r>
          </w:p>
        </w:tc>
        <w:tc>
          <w:tcPr>
            <w:tcW w:w="1248" w:type="pct"/>
            <w:vMerge w:val="continue"/>
          </w:tcPr>
          <w:p>
            <w:pPr>
              <w:widowControl/>
              <w:jc w:val="left"/>
              <w:textAlignment w:val="top"/>
              <w:rPr>
                <w:rFonts w:ascii="宋体" w:hAnsi="宋体" w:cs="宋体"/>
                <w:szCs w:val="21"/>
              </w:rPr>
            </w:pPr>
          </w:p>
        </w:tc>
        <w:tc>
          <w:tcPr>
            <w:tcW w:w="1248" w:type="pct"/>
          </w:tcPr>
          <w:p>
            <w:pPr>
              <w:widowControl/>
              <w:jc w:val="left"/>
              <w:textAlignment w:val="top"/>
              <w:rPr>
                <w:rFonts w:ascii="宋体" w:hAnsi="宋体" w:cs="宋体"/>
                <w:szCs w:val="21"/>
              </w:rPr>
            </w:pPr>
            <w:r>
              <w:rPr>
                <w:rFonts w:hint="eastAsia" w:ascii="宋体" w:hAnsi="宋体" w:cs="宋体"/>
                <w:szCs w:val="21"/>
              </w:rPr>
              <w:t>互联网接入、分发管理账号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420" w:type="pct"/>
            <w:vAlign w:val="center"/>
          </w:tcPr>
          <w:p>
            <w:pPr>
              <w:widowControl/>
              <w:jc w:val="center"/>
              <w:textAlignment w:val="center"/>
              <w:rPr>
                <w:rFonts w:ascii="宋体" w:hAnsi="宋体" w:cs="宋体"/>
                <w:szCs w:val="21"/>
              </w:rPr>
            </w:pPr>
            <w:r>
              <w:rPr>
                <w:rFonts w:hint="eastAsia" w:ascii="宋体" w:hAnsi="宋体" w:cs="宋体"/>
                <w:kern w:val="0"/>
                <w:szCs w:val="21"/>
                <w:lang w:bidi="ar"/>
              </w:rPr>
              <w:t>8</w:t>
            </w:r>
          </w:p>
        </w:tc>
        <w:tc>
          <w:tcPr>
            <w:tcW w:w="1005" w:type="pct"/>
            <w:vAlign w:val="center"/>
          </w:tcPr>
          <w:p>
            <w:pPr>
              <w:widowControl/>
              <w:jc w:val="left"/>
              <w:textAlignment w:val="center"/>
              <w:rPr>
                <w:rFonts w:ascii="宋体" w:hAnsi="宋体" w:cs="宋体"/>
                <w:szCs w:val="21"/>
              </w:rPr>
            </w:pPr>
            <w:r>
              <w:rPr>
                <w:rFonts w:hint="eastAsia" w:ascii="宋体" w:hAnsi="宋体" w:cs="宋体"/>
                <w:kern w:val="0"/>
                <w:szCs w:val="21"/>
                <w:lang w:bidi="ar"/>
              </w:rPr>
              <w:t>昌吉州博物馆</w:t>
            </w:r>
          </w:p>
        </w:tc>
        <w:tc>
          <w:tcPr>
            <w:tcW w:w="1077" w:type="pct"/>
          </w:tcPr>
          <w:p>
            <w:pPr>
              <w:widowControl/>
              <w:jc w:val="left"/>
              <w:textAlignment w:val="top"/>
              <w:rPr>
                <w:rFonts w:ascii="宋体" w:hAnsi="宋体" w:cs="宋体"/>
                <w:szCs w:val="21"/>
              </w:rPr>
            </w:pPr>
            <w:r>
              <w:rPr>
                <w:rFonts w:hint="eastAsia" w:ascii="宋体" w:hAnsi="宋体" w:cs="宋体"/>
                <w:kern w:val="0"/>
                <w:szCs w:val="21"/>
                <w:lang w:bidi="ar"/>
              </w:rPr>
              <w:t>结构和非结构化数据</w:t>
            </w:r>
          </w:p>
        </w:tc>
        <w:tc>
          <w:tcPr>
            <w:tcW w:w="1248" w:type="pct"/>
            <w:vMerge w:val="continue"/>
          </w:tcPr>
          <w:p>
            <w:pPr>
              <w:widowControl/>
              <w:jc w:val="left"/>
              <w:textAlignment w:val="top"/>
              <w:rPr>
                <w:rFonts w:ascii="宋体" w:hAnsi="宋体" w:cs="宋体"/>
                <w:szCs w:val="21"/>
              </w:rPr>
            </w:pPr>
          </w:p>
        </w:tc>
        <w:tc>
          <w:tcPr>
            <w:tcW w:w="1248" w:type="pct"/>
          </w:tcPr>
          <w:p>
            <w:pPr>
              <w:widowControl/>
              <w:jc w:val="left"/>
              <w:textAlignment w:val="top"/>
              <w:rPr>
                <w:rFonts w:ascii="宋体" w:hAnsi="宋体" w:cs="宋体"/>
                <w:szCs w:val="21"/>
              </w:rPr>
            </w:pPr>
            <w:r>
              <w:rPr>
                <w:rFonts w:hint="eastAsia" w:ascii="宋体" w:hAnsi="宋体" w:cs="宋体"/>
                <w:szCs w:val="21"/>
              </w:rPr>
              <w:t>互联网接入、分发管理账号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420" w:type="pct"/>
            <w:vAlign w:val="center"/>
          </w:tcPr>
          <w:p>
            <w:pPr>
              <w:widowControl/>
              <w:jc w:val="center"/>
              <w:textAlignment w:val="center"/>
              <w:rPr>
                <w:rFonts w:ascii="宋体" w:hAnsi="宋体" w:cs="宋体"/>
                <w:szCs w:val="21"/>
              </w:rPr>
            </w:pPr>
            <w:r>
              <w:rPr>
                <w:rFonts w:hint="eastAsia" w:ascii="宋体" w:hAnsi="宋体" w:cs="宋体"/>
                <w:kern w:val="0"/>
                <w:szCs w:val="21"/>
                <w:lang w:bidi="ar"/>
              </w:rPr>
              <w:t>9</w:t>
            </w:r>
          </w:p>
        </w:tc>
        <w:tc>
          <w:tcPr>
            <w:tcW w:w="1005" w:type="pct"/>
            <w:vAlign w:val="center"/>
          </w:tcPr>
          <w:p>
            <w:pPr>
              <w:widowControl/>
              <w:jc w:val="left"/>
              <w:textAlignment w:val="center"/>
              <w:rPr>
                <w:rFonts w:ascii="宋体" w:hAnsi="宋体" w:cs="宋体"/>
                <w:szCs w:val="21"/>
              </w:rPr>
            </w:pPr>
            <w:r>
              <w:rPr>
                <w:rFonts w:hint="eastAsia" w:ascii="宋体" w:hAnsi="宋体" w:cs="宋体"/>
                <w:kern w:val="0"/>
                <w:szCs w:val="21"/>
                <w:lang w:bidi="ar"/>
              </w:rPr>
              <w:t>吐鲁番博物文物调查及数据库管理软件馆</w:t>
            </w:r>
          </w:p>
        </w:tc>
        <w:tc>
          <w:tcPr>
            <w:tcW w:w="1077" w:type="pct"/>
          </w:tcPr>
          <w:p>
            <w:pPr>
              <w:widowControl/>
              <w:jc w:val="left"/>
              <w:textAlignment w:val="top"/>
              <w:rPr>
                <w:rFonts w:ascii="宋体" w:hAnsi="宋体" w:cs="宋体"/>
                <w:szCs w:val="21"/>
              </w:rPr>
            </w:pPr>
            <w:r>
              <w:rPr>
                <w:rFonts w:hint="eastAsia" w:ascii="宋体" w:hAnsi="宋体" w:cs="宋体"/>
                <w:kern w:val="0"/>
                <w:szCs w:val="21"/>
                <w:lang w:bidi="ar"/>
              </w:rPr>
              <w:t>结构和非结构化数据</w:t>
            </w:r>
          </w:p>
        </w:tc>
        <w:tc>
          <w:tcPr>
            <w:tcW w:w="1248" w:type="pct"/>
            <w:vMerge w:val="continue"/>
          </w:tcPr>
          <w:p>
            <w:pPr>
              <w:widowControl/>
              <w:jc w:val="left"/>
              <w:textAlignment w:val="top"/>
              <w:rPr>
                <w:rFonts w:ascii="宋体" w:hAnsi="宋体" w:cs="宋体"/>
                <w:szCs w:val="21"/>
              </w:rPr>
            </w:pPr>
          </w:p>
        </w:tc>
        <w:tc>
          <w:tcPr>
            <w:tcW w:w="1248" w:type="pct"/>
          </w:tcPr>
          <w:p>
            <w:pPr>
              <w:widowControl/>
              <w:jc w:val="left"/>
              <w:textAlignment w:val="top"/>
              <w:rPr>
                <w:rFonts w:ascii="宋体" w:hAnsi="宋体" w:cs="宋体"/>
                <w:szCs w:val="21"/>
              </w:rPr>
            </w:pPr>
            <w:r>
              <w:rPr>
                <w:rFonts w:hint="eastAsia" w:ascii="宋体" w:hAnsi="宋体" w:cs="宋体"/>
                <w:szCs w:val="21"/>
              </w:rPr>
              <w:t>互联网接入、分发管理账号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420" w:type="pct"/>
            <w:vAlign w:val="center"/>
          </w:tcPr>
          <w:p>
            <w:pPr>
              <w:widowControl/>
              <w:jc w:val="center"/>
              <w:textAlignment w:val="center"/>
              <w:rPr>
                <w:rFonts w:ascii="宋体" w:hAnsi="宋体" w:cs="宋体"/>
                <w:szCs w:val="21"/>
              </w:rPr>
            </w:pPr>
            <w:r>
              <w:rPr>
                <w:rFonts w:hint="eastAsia" w:ascii="宋体" w:hAnsi="宋体" w:cs="宋体"/>
                <w:kern w:val="0"/>
                <w:szCs w:val="21"/>
                <w:lang w:bidi="ar"/>
              </w:rPr>
              <w:t>10</w:t>
            </w:r>
          </w:p>
        </w:tc>
        <w:tc>
          <w:tcPr>
            <w:tcW w:w="1005" w:type="pct"/>
            <w:vAlign w:val="center"/>
          </w:tcPr>
          <w:p>
            <w:pPr>
              <w:widowControl/>
              <w:jc w:val="left"/>
              <w:textAlignment w:val="center"/>
              <w:rPr>
                <w:rFonts w:ascii="宋体" w:hAnsi="宋体" w:cs="宋体"/>
                <w:szCs w:val="21"/>
              </w:rPr>
            </w:pPr>
            <w:r>
              <w:rPr>
                <w:rFonts w:hint="eastAsia" w:ascii="宋体" w:hAnsi="宋体" w:cs="宋体"/>
                <w:kern w:val="0"/>
                <w:szCs w:val="21"/>
                <w:lang w:bidi="ar"/>
              </w:rPr>
              <w:t>阿克苏博物馆</w:t>
            </w:r>
          </w:p>
        </w:tc>
        <w:tc>
          <w:tcPr>
            <w:tcW w:w="1077" w:type="pct"/>
          </w:tcPr>
          <w:p>
            <w:pPr>
              <w:widowControl/>
              <w:jc w:val="left"/>
              <w:textAlignment w:val="top"/>
              <w:rPr>
                <w:rFonts w:ascii="宋体" w:hAnsi="宋体" w:cs="宋体"/>
                <w:szCs w:val="21"/>
              </w:rPr>
            </w:pPr>
            <w:r>
              <w:rPr>
                <w:rFonts w:hint="eastAsia" w:ascii="宋体" w:hAnsi="宋体" w:cs="宋体"/>
                <w:kern w:val="0"/>
                <w:szCs w:val="21"/>
                <w:lang w:bidi="ar"/>
              </w:rPr>
              <w:t>结构和非结构化数据</w:t>
            </w:r>
          </w:p>
        </w:tc>
        <w:tc>
          <w:tcPr>
            <w:tcW w:w="1248" w:type="pct"/>
            <w:vMerge w:val="continue"/>
          </w:tcPr>
          <w:p>
            <w:pPr>
              <w:widowControl/>
              <w:jc w:val="left"/>
              <w:textAlignment w:val="top"/>
              <w:rPr>
                <w:rFonts w:ascii="宋体" w:hAnsi="宋体" w:cs="宋体"/>
                <w:szCs w:val="21"/>
              </w:rPr>
            </w:pPr>
          </w:p>
        </w:tc>
        <w:tc>
          <w:tcPr>
            <w:tcW w:w="1248" w:type="pct"/>
          </w:tcPr>
          <w:p>
            <w:pPr>
              <w:widowControl/>
              <w:jc w:val="left"/>
              <w:textAlignment w:val="top"/>
              <w:rPr>
                <w:rFonts w:ascii="宋体" w:hAnsi="宋体" w:cs="宋体"/>
                <w:szCs w:val="21"/>
              </w:rPr>
            </w:pPr>
            <w:r>
              <w:rPr>
                <w:rFonts w:hint="eastAsia" w:ascii="宋体" w:hAnsi="宋体" w:cs="宋体"/>
                <w:szCs w:val="21"/>
              </w:rPr>
              <w:t>互联网接入、分发管理账号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420" w:type="pct"/>
            <w:vAlign w:val="center"/>
          </w:tcPr>
          <w:p>
            <w:pPr>
              <w:widowControl/>
              <w:jc w:val="center"/>
              <w:textAlignment w:val="center"/>
              <w:rPr>
                <w:rFonts w:ascii="宋体" w:hAnsi="宋体" w:cs="宋体"/>
                <w:szCs w:val="21"/>
              </w:rPr>
            </w:pPr>
            <w:r>
              <w:rPr>
                <w:rFonts w:hint="eastAsia" w:ascii="宋体" w:hAnsi="宋体" w:cs="宋体"/>
                <w:kern w:val="0"/>
                <w:szCs w:val="21"/>
                <w:lang w:bidi="ar"/>
              </w:rPr>
              <w:t>11</w:t>
            </w:r>
          </w:p>
        </w:tc>
        <w:tc>
          <w:tcPr>
            <w:tcW w:w="1005" w:type="pct"/>
            <w:vAlign w:val="center"/>
          </w:tcPr>
          <w:p>
            <w:pPr>
              <w:widowControl/>
              <w:jc w:val="left"/>
              <w:textAlignment w:val="center"/>
              <w:rPr>
                <w:rFonts w:ascii="宋体" w:hAnsi="宋体" w:cs="宋体"/>
                <w:szCs w:val="21"/>
              </w:rPr>
            </w:pPr>
            <w:r>
              <w:rPr>
                <w:rFonts w:hint="eastAsia" w:ascii="宋体" w:hAnsi="宋体" w:cs="宋体"/>
                <w:kern w:val="0"/>
                <w:szCs w:val="21"/>
                <w:lang w:bidi="ar"/>
              </w:rPr>
              <w:t>喀什博物馆</w:t>
            </w:r>
          </w:p>
        </w:tc>
        <w:tc>
          <w:tcPr>
            <w:tcW w:w="1077" w:type="pct"/>
          </w:tcPr>
          <w:p>
            <w:pPr>
              <w:widowControl/>
              <w:jc w:val="left"/>
              <w:textAlignment w:val="top"/>
              <w:rPr>
                <w:rFonts w:ascii="宋体" w:hAnsi="宋体" w:cs="宋体"/>
                <w:szCs w:val="21"/>
              </w:rPr>
            </w:pPr>
            <w:r>
              <w:rPr>
                <w:rFonts w:hint="eastAsia" w:ascii="宋体" w:hAnsi="宋体" w:cs="宋体"/>
                <w:kern w:val="0"/>
                <w:szCs w:val="21"/>
                <w:lang w:bidi="ar"/>
              </w:rPr>
              <w:t>结构和非结构化数据</w:t>
            </w:r>
          </w:p>
        </w:tc>
        <w:tc>
          <w:tcPr>
            <w:tcW w:w="1248" w:type="pct"/>
            <w:vMerge w:val="continue"/>
          </w:tcPr>
          <w:p>
            <w:pPr>
              <w:widowControl/>
              <w:jc w:val="left"/>
              <w:textAlignment w:val="top"/>
              <w:rPr>
                <w:rFonts w:ascii="宋体" w:hAnsi="宋体" w:cs="宋体"/>
                <w:szCs w:val="21"/>
              </w:rPr>
            </w:pPr>
          </w:p>
        </w:tc>
        <w:tc>
          <w:tcPr>
            <w:tcW w:w="1248" w:type="pct"/>
          </w:tcPr>
          <w:p>
            <w:pPr>
              <w:widowControl/>
              <w:jc w:val="left"/>
              <w:textAlignment w:val="top"/>
              <w:rPr>
                <w:rFonts w:ascii="宋体" w:hAnsi="宋体" w:cs="宋体"/>
                <w:szCs w:val="21"/>
              </w:rPr>
            </w:pPr>
            <w:r>
              <w:rPr>
                <w:rFonts w:hint="eastAsia" w:ascii="宋体" w:hAnsi="宋体" w:cs="宋体"/>
                <w:szCs w:val="21"/>
              </w:rPr>
              <w:t>互联网接入、分发管理账号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420" w:type="pct"/>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12</w:t>
            </w:r>
          </w:p>
        </w:tc>
        <w:tc>
          <w:tcPr>
            <w:tcW w:w="1005" w:type="pct"/>
            <w:vAlign w:val="center"/>
          </w:tcPr>
          <w:p>
            <w:pPr>
              <w:widowControl/>
              <w:jc w:val="left"/>
              <w:textAlignment w:val="center"/>
              <w:rPr>
                <w:rFonts w:ascii="宋体" w:hAnsi="宋体" w:cs="宋体"/>
                <w:kern w:val="0"/>
                <w:szCs w:val="21"/>
                <w:lang w:bidi="ar"/>
              </w:rPr>
            </w:pPr>
            <w:r>
              <w:rPr>
                <w:rFonts w:hint="eastAsia" w:ascii="宋体" w:hAnsi="宋体" w:cs="宋体"/>
                <w:kern w:val="0"/>
                <w:szCs w:val="21"/>
                <w:lang w:bidi="ar"/>
              </w:rPr>
              <w:t>公众用户</w:t>
            </w:r>
          </w:p>
        </w:tc>
        <w:tc>
          <w:tcPr>
            <w:tcW w:w="1077" w:type="pct"/>
          </w:tcPr>
          <w:p>
            <w:pPr>
              <w:widowControl/>
              <w:jc w:val="left"/>
              <w:textAlignment w:val="top"/>
              <w:rPr>
                <w:rFonts w:ascii="宋体" w:hAnsi="宋体" w:cs="宋体"/>
                <w:kern w:val="0"/>
                <w:szCs w:val="21"/>
                <w:lang w:bidi="ar"/>
              </w:rPr>
            </w:pPr>
            <w:r>
              <w:rPr>
                <w:rFonts w:hint="eastAsia" w:ascii="宋体" w:hAnsi="宋体" w:cs="宋体"/>
                <w:kern w:val="0"/>
                <w:szCs w:val="21"/>
                <w:lang w:bidi="ar"/>
              </w:rPr>
              <w:t>结构和非结构化数据</w:t>
            </w:r>
          </w:p>
        </w:tc>
        <w:tc>
          <w:tcPr>
            <w:tcW w:w="1248" w:type="pct"/>
          </w:tcPr>
          <w:p>
            <w:pPr>
              <w:widowControl/>
              <w:jc w:val="left"/>
              <w:textAlignment w:val="top"/>
              <w:rPr>
                <w:rFonts w:ascii="宋体" w:hAnsi="宋体" w:cs="宋体"/>
                <w:szCs w:val="21"/>
              </w:rPr>
            </w:pPr>
            <w:r>
              <w:rPr>
                <w:rFonts w:hint="eastAsia" w:ascii="宋体" w:hAnsi="宋体" w:cs="宋体"/>
                <w:szCs w:val="21"/>
              </w:rPr>
              <w:t>公众展示数据</w:t>
            </w:r>
          </w:p>
        </w:tc>
        <w:tc>
          <w:tcPr>
            <w:tcW w:w="1248" w:type="pct"/>
          </w:tcPr>
          <w:p>
            <w:pPr>
              <w:widowControl/>
              <w:jc w:val="left"/>
              <w:textAlignment w:val="top"/>
              <w:rPr>
                <w:rFonts w:ascii="宋体" w:hAnsi="宋体" w:cs="宋体"/>
                <w:szCs w:val="21"/>
              </w:rPr>
            </w:pPr>
            <w:r>
              <w:rPr>
                <w:rFonts w:hint="eastAsia" w:ascii="宋体" w:hAnsi="宋体" w:cs="宋体"/>
                <w:szCs w:val="21"/>
              </w:rPr>
              <w:t>微信服务号接入</w:t>
            </w:r>
          </w:p>
        </w:tc>
      </w:tr>
    </w:tbl>
    <w:p>
      <w:pPr>
        <w:pStyle w:val="2"/>
        <w:rPr>
          <w:rFonts w:ascii="宋体" w:hAnsi="宋体" w:cs="宋体"/>
          <w:sz w:val="24"/>
        </w:rPr>
      </w:pPr>
    </w:p>
    <w:p>
      <w:pPr>
        <w:pStyle w:val="2"/>
      </w:pPr>
      <w:r>
        <w:rPr>
          <w:rFonts w:hint="eastAsia" w:ascii="宋体" w:hAnsi="宋体" w:cs="宋体"/>
          <w:sz w:val="24"/>
          <w:lang w:eastAsia="zh-Hans"/>
        </w:rPr>
        <w:t>注：以上数据能根据单位分层分级管理。</w:t>
      </w:r>
    </w:p>
    <w:p>
      <w:pPr>
        <w:numPr>
          <w:ilvl w:val="1"/>
          <w:numId w:val="4"/>
        </w:numPr>
        <w:snapToGrid w:val="0"/>
        <w:spacing w:line="360" w:lineRule="auto"/>
        <w:outlineLvl w:val="1"/>
        <w:rPr>
          <w:rFonts w:ascii="宋体" w:hAnsi="宋体" w:cs="宋体"/>
          <w:b/>
          <w:bCs/>
          <w:color w:val="000000"/>
          <w:sz w:val="24"/>
        </w:rPr>
      </w:pPr>
      <w:bookmarkStart w:id="105" w:name="_Toc8994"/>
      <w:r>
        <w:rPr>
          <w:rFonts w:hint="eastAsia" w:ascii="宋体" w:hAnsi="宋体" w:cs="宋体"/>
          <w:b/>
          <w:bCs/>
          <w:color w:val="000000"/>
          <w:sz w:val="24"/>
        </w:rPr>
        <w:t>第三方测评需求</w:t>
      </w:r>
      <w:bookmarkEnd w:id="105"/>
    </w:p>
    <w:p>
      <w:pPr>
        <w:spacing w:line="360" w:lineRule="auto"/>
        <w:ind w:firstLine="480" w:firstLineChars="200"/>
        <w:rPr>
          <w:rFonts w:ascii="宋体" w:hAnsi="宋体" w:cs="宋体"/>
          <w:sz w:val="24"/>
        </w:rPr>
      </w:pPr>
      <w:r>
        <w:rPr>
          <w:rFonts w:hint="eastAsia" w:ascii="宋体" w:hAnsi="宋体" w:cs="宋体"/>
          <w:sz w:val="24"/>
        </w:rPr>
        <w:t>根据本期项目实际需要，结合国家对信息系统安全等级保护要求，新疆文物综合信息管理数字资源建设项目（一期）在实施测试期部署在中标单位，由中标单位提供数据安全保障措施。</w:t>
      </w:r>
    </w:p>
    <w:p>
      <w:pPr>
        <w:spacing w:line="360" w:lineRule="auto"/>
        <w:ind w:firstLine="480" w:firstLineChars="200"/>
        <w:rPr>
          <w:rFonts w:ascii="宋体" w:hAnsi="宋体" w:cs="宋体"/>
          <w:sz w:val="24"/>
        </w:rPr>
      </w:pPr>
      <w:r>
        <w:rPr>
          <w:rFonts w:hint="eastAsia" w:ascii="宋体" w:hAnsi="宋体" w:cs="宋体"/>
          <w:sz w:val="24"/>
        </w:rPr>
        <w:t>本项目公众展示模块纳入自治区文旅厅智慧旅游一部手机游新疆平台中，由自治区文旅厅统一完成第三方等保和密码测评。</w:t>
      </w:r>
    </w:p>
    <w:p>
      <w:pPr>
        <w:pStyle w:val="61"/>
        <w:ind w:firstLine="480"/>
        <w:rPr>
          <w:rFonts w:cs="宋体"/>
          <w:snapToGrid/>
          <w:spacing w:val="0"/>
          <w:kern w:val="2"/>
        </w:rPr>
      </w:pPr>
      <w:r>
        <w:rPr>
          <w:rFonts w:hint="eastAsia" w:cs="宋体"/>
          <w:snapToGrid/>
          <w:spacing w:val="0"/>
          <w:kern w:val="2"/>
        </w:rPr>
        <w:t>项目根据《信息安全技术网络安全等级保护测评要求》（GB∕T 28448-2019），选择有资质的测评机构组织开展对本期项目云平台相关资源、模功能块安全测评。</w:t>
      </w:r>
    </w:p>
    <w:p>
      <w:pPr>
        <w:pStyle w:val="2"/>
      </w:pPr>
    </w:p>
    <w:p>
      <w:pPr>
        <w:numPr>
          <w:ilvl w:val="1"/>
          <w:numId w:val="4"/>
        </w:numPr>
        <w:snapToGrid w:val="0"/>
        <w:spacing w:line="360" w:lineRule="auto"/>
        <w:outlineLvl w:val="1"/>
        <w:rPr>
          <w:rFonts w:ascii="宋体" w:hAnsi="宋体" w:cs="宋体"/>
          <w:b/>
          <w:bCs/>
          <w:color w:val="000000"/>
          <w:sz w:val="24"/>
        </w:rPr>
      </w:pPr>
      <w:bookmarkStart w:id="106" w:name="_Toc615"/>
      <w:r>
        <w:rPr>
          <w:rFonts w:hint="eastAsia" w:ascii="宋体" w:hAnsi="宋体" w:cs="宋体"/>
          <w:b/>
          <w:bCs/>
          <w:color w:val="000000"/>
          <w:sz w:val="24"/>
        </w:rPr>
        <w:t>系统性能需求</w:t>
      </w:r>
      <w:bookmarkEnd w:id="106"/>
    </w:p>
    <w:p>
      <w:pPr>
        <w:numPr>
          <w:ilvl w:val="2"/>
          <w:numId w:val="4"/>
        </w:numPr>
        <w:tabs>
          <w:tab w:val="left" w:pos="0"/>
        </w:tabs>
        <w:spacing w:line="360" w:lineRule="auto"/>
        <w:outlineLvl w:val="2"/>
        <w:rPr>
          <w:rFonts w:ascii="宋体" w:hAnsi="宋体" w:cs="宋体"/>
          <w:b/>
          <w:bCs/>
          <w:color w:val="000000"/>
          <w:sz w:val="24"/>
        </w:rPr>
      </w:pPr>
      <w:bookmarkStart w:id="107" w:name="_Toc1053"/>
      <w:r>
        <w:rPr>
          <w:rFonts w:hint="eastAsia" w:ascii="宋体" w:hAnsi="宋体" w:cs="宋体"/>
          <w:b/>
          <w:bCs/>
          <w:color w:val="000000"/>
          <w:sz w:val="24"/>
        </w:rPr>
        <w:t>国产化需求</w:t>
      </w:r>
      <w:bookmarkEnd w:id="107"/>
    </w:p>
    <w:p>
      <w:pPr>
        <w:spacing w:line="360" w:lineRule="auto"/>
        <w:ind w:firstLine="420"/>
        <w:jc w:val="left"/>
        <w:rPr>
          <w:rFonts w:ascii="宋体" w:hAnsi="宋体" w:cs="宋体"/>
          <w:sz w:val="24"/>
        </w:rPr>
      </w:pPr>
      <w:r>
        <w:rPr>
          <w:rFonts w:hint="eastAsia" w:ascii="宋体" w:hAnsi="宋体" w:cs="宋体"/>
          <w:sz w:val="24"/>
        </w:rPr>
        <w:t>项目适配国产信息化环境，满足信创适配要求，使用国产化设备，支持国产化信息技术，包括操作系统、浏览器、应用插件、中间件、办公软件和版式套件等，实现对当前通用信息化环境和国产信息化环境的同步兼容，支撑、优化跨平台部署，满足工作人员的使用要求。</w:t>
      </w:r>
    </w:p>
    <w:p>
      <w:pPr>
        <w:numPr>
          <w:ilvl w:val="2"/>
          <w:numId w:val="4"/>
        </w:numPr>
        <w:tabs>
          <w:tab w:val="left" w:pos="0"/>
        </w:tabs>
        <w:spacing w:line="360" w:lineRule="auto"/>
        <w:outlineLvl w:val="2"/>
        <w:rPr>
          <w:rFonts w:ascii="宋体" w:hAnsi="宋体" w:cs="宋体"/>
          <w:b/>
          <w:bCs/>
          <w:color w:val="000000"/>
          <w:sz w:val="24"/>
        </w:rPr>
      </w:pPr>
      <w:bookmarkStart w:id="108" w:name="_Toc3037"/>
      <w:r>
        <w:rPr>
          <w:rFonts w:hint="eastAsia" w:ascii="宋体" w:hAnsi="宋体" w:cs="宋体"/>
          <w:b/>
          <w:bCs/>
          <w:color w:val="000000"/>
          <w:sz w:val="24"/>
        </w:rPr>
        <w:t>主要性能需求</w:t>
      </w:r>
      <w:bookmarkEnd w:id="108"/>
    </w:p>
    <w:p>
      <w:pPr>
        <w:spacing w:line="360" w:lineRule="auto"/>
        <w:ind w:firstLine="480"/>
        <w:jc w:val="left"/>
        <w:rPr>
          <w:rFonts w:ascii="宋体" w:hAnsi="宋体" w:cs="宋体"/>
          <w:sz w:val="24"/>
        </w:rPr>
      </w:pPr>
      <w:r>
        <w:rPr>
          <w:rFonts w:hint="eastAsia" w:ascii="宋体" w:hAnsi="宋体" w:cs="宋体"/>
          <w:sz w:val="24"/>
        </w:rPr>
        <w:t>根据管理业务的实际需求，在网络正常的情况下，其功能的性能指标要求如下：</w:t>
      </w:r>
    </w:p>
    <w:p>
      <w:pPr>
        <w:numPr>
          <w:ilvl w:val="0"/>
          <w:numId w:val="8"/>
        </w:numPr>
        <w:spacing w:line="360" w:lineRule="auto"/>
        <w:jc w:val="left"/>
        <w:rPr>
          <w:rFonts w:ascii="宋体" w:hAnsi="宋体" w:cs="宋体"/>
          <w:sz w:val="24"/>
        </w:rPr>
      </w:pPr>
      <w:r>
        <w:rPr>
          <w:rFonts w:hint="eastAsia" w:ascii="宋体" w:hAnsi="宋体" w:cs="宋体"/>
          <w:sz w:val="24"/>
        </w:rPr>
        <w:t>并发量：</w:t>
      </w:r>
      <w:r>
        <w:rPr>
          <w:rFonts w:hint="eastAsia" w:ascii="宋体" w:hAnsi="宋体" w:cs="宋体"/>
          <w:sz w:val="24"/>
          <w:lang w:bidi="th-TH"/>
        </w:rPr>
        <w:t>支持同时在线用户人数大于150；</w:t>
      </w:r>
    </w:p>
    <w:p>
      <w:pPr>
        <w:numPr>
          <w:ilvl w:val="0"/>
          <w:numId w:val="8"/>
        </w:numPr>
        <w:spacing w:line="360" w:lineRule="auto"/>
        <w:jc w:val="left"/>
        <w:rPr>
          <w:rFonts w:ascii="宋体" w:hAnsi="宋体" w:cs="宋体"/>
          <w:sz w:val="24"/>
        </w:rPr>
      </w:pPr>
      <w:r>
        <w:rPr>
          <w:rFonts w:hint="eastAsia" w:ascii="宋体" w:hAnsi="宋体" w:cs="宋体"/>
          <w:sz w:val="24"/>
        </w:rPr>
        <w:t>响应时效：最大并发操作平均响应时间不超过0.5秒；大量综合查询的平均响应时间不超过5秒；</w:t>
      </w:r>
    </w:p>
    <w:p>
      <w:pPr>
        <w:numPr>
          <w:ilvl w:val="0"/>
          <w:numId w:val="8"/>
        </w:numPr>
        <w:spacing w:line="360" w:lineRule="auto"/>
        <w:jc w:val="left"/>
        <w:rPr>
          <w:rFonts w:ascii="宋体" w:hAnsi="宋体" w:cs="宋体"/>
          <w:sz w:val="24"/>
        </w:rPr>
      </w:pPr>
      <w:r>
        <w:rPr>
          <w:rFonts w:hint="eastAsia" w:ascii="宋体" w:hAnsi="宋体" w:cs="宋体"/>
          <w:sz w:val="24"/>
        </w:rPr>
        <w:t>HTTP请求数：每秒钟向WEB服务器提交的HTTP最大请求数不小于30次；</w:t>
      </w:r>
    </w:p>
    <w:p>
      <w:pPr>
        <w:numPr>
          <w:ilvl w:val="0"/>
          <w:numId w:val="8"/>
        </w:numPr>
        <w:spacing w:line="360" w:lineRule="auto"/>
        <w:jc w:val="left"/>
        <w:rPr>
          <w:rFonts w:ascii="宋体" w:hAnsi="宋体" w:cs="宋体"/>
          <w:sz w:val="24"/>
        </w:rPr>
      </w:pPr>
      <w:r>
        <w:rPr>
          <w:rFonts w:hint="eastAsia" w:ascii="宋体" w:hAnsi="宋体" w:cs="宋体"/>
          <w:sz w:val="24"/>
        </w:rPr>
        <w:t>系统性能：</w:t>
      </w:r>
    </w:p>
    <w:p>
      <w:pPr>
        <w:numPr>
          <w:ilvl w:val="0"/>
          <w:numId w:val="9"/>
        </w:numPr>
        <w:spacing w:line="360" w:lineRule="auto"/>
        <w:ind w:left="630"/>
        <w:jc w:val="left"/>
        <w:rPr>
          <w:rFonts w:ascii="宋体" w:hAnsi="宋体" w:cs="宋体"/>
          <w:sz w:val="24"/>
        </w:rPr>
      </w:pPr>
      <w:r>
        <w:rPr>
          <w:rFonts w:hint="eastAsia" w:ascii="宋体" w:hAnsi="宋体" w:cs="宋体"/>
          <w:sz w:val="24"/>
        </w:rPr>
        <w:t>通常情况下，系统CPU平均利用率不超过60％；内存平均使用率不超过75％；</w:t>
      </w:r>
    </w:p>
    <w:p>
      <w:pPr>
        <w:numPr>
          <w:ilvl w:val="0"/>
          <w:numId w:val="9"/>
        </w:numPr>
        <w:spacing w:line="360" w:lineRule="auto"/>
        <w:ind w:left="630"/>
        <w:jc w:val="left"/>
        <w:rPr>
          <w:rFonts w:ascii="宋体" w:hAnsi="宋体" w:cs="宋体"/>
          <w:sz w:val="24"/>
        </w:rPr>
      </w:pPr>
      <w:r>
        <w:rPr>
          <w:rFonts w:hint="eastAsia" w:ascii="宋体" w:hAnsi="宋体" w:cs="宋体"/>
          <w:sz w:val="24"/>
        </w:rPr>
        <w:t>在最大用户并发压力情况下，服务器CPU平均使用率不高于90%，系统内存使用率不超过85％；</w:t>
      </w:r>
    </w:p>
    <w:p>
      <w:pPr>
        <w:numPr>
          <w:ilvl w:val="0"/>
          <w:numId w:val="8"/>
        </w:numPr>
        <w:spacing w:line="360" w:lineRule="auto"/>
        <w:jc w:val="left"/>
        <w:rPr>
          <w:rFonts w:ascii="宋体" w:hAnsi="宋体" w:cs="宋体"/>
          <w:sz w:val="24"/>
        </w:rPr>
      </w:pPr>
      <w:r>
        <w:rPr>
          <w:rFonts w:hint="eastAsia" w:ascii="宋体" w:hAnsi="宋体" w:cs="宋体"/>
          <w:sz w:val="24"/>
        </w:rPr>
        <w:t>稳定性指标：平台长时间稳定运行，平均无故障时间不低于3000小时；</w:t>
      </w:r>
    </w:p>
    <w:p>
      <w:pPr>
        <w:numPr>
          <w:ilvl w:val="0"/>
          <w:numId w:val="8"/>
        </w:numPr>
        <w:spacing w:line="360" w:lineRule="auto"/>
        <w:jc w:val="left"/>
        <w:rPr>
          <w:sz w:val="24"/>
        </w:rPr>
      </w:pPr>
      <w:r>
        <w:rPr>
          <w:rFonts w:hint="eastAsia" w:ascii="宋体" w:hAnsi="宋体" w:cs="宋体"/>
          <w:sz w:val="24"/>
        </w:rPr>
        <w:t>可靠性指标：系统应支持一天24小时，一周7天，一年365天不间断运行。系统在连续一年的运行中应用软件故障导致停机的次数不得超过5次，单次系统修复时间不得超过2小时。提供可靠的良好的数据安全可靠性策略，采用多种安全可靠技术手段，保证应用系统及数据的安全可靠。</w:t>
      </w:r>
    </w:p>
    <w:p>
      <w:pPr>
        <w:numPr>
          <w:ilvl w:val="2"/>
          <w:numId w:val="4"/>
        </w:numPr>
        <w:tabs>
          <w:tab w:val="left" w:pos="0"/>
        </w:tabs>
        <w:spacing w:line="360" w:lineRule="auto"/>
        <w:outlineLvl w:val="2"/>
        <w:rPr>
          <w:rFonts w:ascii="宋体" w:hAnsi="宋体" w:cs="宋体"/>
          <w:b/>
          <w:bCs/>
          <w:color w:val="000000"/>
          <w:sz w:val="24"/>
        </w:rPr>
      </w:pPr>
      <w:bookmarkStart w:id="109" w:name="_Toc19363"/>
      <w:r>
        <w:rPr>
          <w:rFonts w:hint="eastAsia" w:ascii="宋体" w:hAnsi="宋体" w:cs="宋体"/>
          <w:b/>
          <w:bCs/>
          <w:color w:val="000000"/>
          <w:sz w:val="24"/>
        </w:rPr>
        <w:t>访问接口需求</w:t>
      </w:r>
      <w:bookmarkEnd w:id="109"/>
    </w:p>
    <w:p>
      <w:pPr>
        <w:pStyle w:val="2"/>
        <w:spacing w:line="360" w:lineRule="auto"/>
        <w:ind w:firstLine="420"/>
        <w:jc w:val="left"/>
        <w:rPr>
          <w:rFonts w:ascii="宋体" w:hAnsi="宋体" w:cs="宋体"/>
          <w:sz w:val="24"/>
        </w:rPr>
      </w:pPr>
      <w:r>
        <w:rPr>
          <w:rFonts w:hint="eastAsia" w:ascii="宋体" w:hAnsi="宋体" w:cs="宋体"/>
          <w:sz w:val="24"/>
        </w:rPr>
        <w:t>本期项目以新疆文化和旅游厅游新疆微信端为文物公众展示模块访问入口，形成游新疆（微信端服务号）文物新疆板块。</w:t>
      </w:r>
    </w:p>
    <w:p>
      <w:pPr>
        <w:numPr>
          <w:ilvl w:val="1"/>
          <w:numId w:val="4"/>
        </w:numPr>
        <w:spacing w:line="360" w:lineRule="auto"/>
        <w:outlineLvl w:val="1"/>
        <w:rPr>
          <w:rFonts w:ascii="宋体" w:hAnsi="宋体" w:cs="宋体"/>
          <w:b/>
          <w:bCs/>
          <w:color w:val="000000"/>
          <w:sz w:val="24"/>
        </w:rPr>
      </w:pPr>
      <w:bookmarkStart w:id="110" w:name="_Toc27304"/>
      <w:bookmarkStart w:id="111" w:name="_Toc20018"/>
      <w:r>
        <w:rPr>
          <w:rFonts w:hint="eastAsia" w:ascii="宋体" w:hAnsi="宋体" w:cs="宋体"/>
          <w:b/>
          <w:bCs/>
          <w:color w:val="000000"/>
          <w:sz w:val="24"/>
        </w:rPr>
        <w:t>网络系统建设</w:t>
      </w:r>
      <w:bookmarkEnd w:id="110"/>
      <w:r>
        <w:rPr>
          <w:rFonts w:hint="eastAsia" w:ascii="宋体" w:hAnsi="宋体" w:cs="宋体"/>
          <w:b/>
          <w:bCs/>
          <w:color w:val="000000"/>
          <w:sz w:val="24"/>
        </w:rPr>
        <w:t>需求</w:t>
      </w:r>
      <w:bookmarkEnd w:id="111"/>
    </w:p>
    <w:p>
      <w:pPr>
        <w:spacing w:line="360" w:lineRule="auto"/>
        <w:ind w:firstLine="420"/>
        <w:jc w:val="left"/>
        <w:rPr>
          <w:rFonts w:ascii="宋体" w:hAnsi="宋体" w:cs="宋体"/>
          <w:sz w:val="24"/>
        </w:rPr>
      </w:pPr>
      <w:r>
        <w:rPr>
          <w:rFonts w:hint="eastAsia" w:ascii="宋体" w:hAnsi="宋体" w:cs="宋体"/>
          <w:sz w:val="24"/>
        </w:rPr>
        <w:t>本项目涉及的文物数据属于非敏感数据，通过后台管理、人工审核完成对文物数据的上传和发布，并向公众展示。本次采用的传输为互联网链路。</w:t>
      </w:r>
    </w:p>
    <w:p>
      <w:pPr>
        <w:pStyle w:val="3"/>
        <w:jc w:val="center"/>
        <w:rPr>
          <w:rFonts w:ascii="微软雅黑" w:hAnsi="微软雅黑" w:eastAsia="微软雅黑" w:cs="微软雅黑"/>
          <w:bCs w:val="0"/>
          <w:color w:val="auto"/>
          <w:kern w:val="2"/>
          <w:sz w:val="40"/>
          <w:szCs w:val="22"/>
        </w:rPr>
      </w:pPr>
      <w:r>
        <w:rPr>
          <w:rFonts w:hint="eastAsia" w:ascii="宋体" w:hAnsi="宋体" w:eastAsia="宋体" w:cs="宋体"/>
          <w:sz w:val="24"/>
          <w:szCs w:val="24"/>
        </w:rPr>
        <w:br w:type="page"/>
      </w:r>
      <w:bookmarkStart w:id="112" w:name="_Toc27666"/>
      <w:r>
        <w:rPr>
          <w:rFonts w:hint="eastAsia" w:ascii="微软雅黑" w:hAnsi="微软雅黑" w:eastAsia="微软雅黑" w:cs="微软雅黑"/>
          <w:bCs w:val="0"/>
          <w:color w:val="auto"/>
          <w:kern w:val="2"/>
          <w:sz w:val="40"/>
          <w:szCs w:val="22"/>
        </w:rPr>
        <w:t>第五章</w:t>
      </w:r>
      <w:r>
        <w:rPr>
          <w:rFonts w:hint="eastAsia" w:ascii="微软雅黑" w:hAnsi="微软雅黑" w:eastAsia="微软雅黑" w:cs="微软雅黑"/>
          <w:bCs w:val="0"/>
          <w:color w:val="auto"/>
          <w:kern w:val="2"/>
          <w:sz w:val="40"/>
          <w:szCs w:val="22"/>
        </w:rPr>
        <w:tab/>
      </w:r>
      <w:r>
        <w:rPr>
          <w:rFonts w:hint="eastAsia" w:ascii="微软雅黑" w:hAnsi="微软雅黑" w:eastAsia="微软雅黑" w:cs="微软雅黑"/>
          <w:bCs w:val="0"/>
          <w:color w:val="auto"/>
          <w:kern w:val="2"/>
          <w:sz w:val="40"/>
          <w:szCs w:val="22"/>
        </w:rPr>
        <w:t xml:space="preserve"> 合同条款及合同格式</w:t>
      </w:r>
      <w:bookmarkEnd w:id="88"/>
      <w:bookmarkEnd w:id="89"/>
      <w:bookmarkEnd w:id="112"/>
    </w:p>
    <w:p>
      <w:pPr>
        <w:jc w:val="center"/>
        <w:rPr>
          <w:rFonts w:ascii="宋体" w:hAnsi="宋体" w:cs="宋体"/>
        </w:rPr>
      </w:pPr>
      <w:r>
        <w:rPr>
          <w:rFonts w:hint="eastAsia" w:ascii="宋体" w:hAnsi="宋体" w:cs="宋体"/>
        </w:rPr>
        <w:t>此合同格式为参考模板，以实际签订合同为准</w:t>
      </w:r>
    </w:p>
    <w:p>
      <w:pPr>
        <w:pStyle w:val="51"/>
        <w:rPr>
          <w:rFonts w:ascii="宋体" w:hAnsi="宋体" w:cs="宋体"/>
        </w:rPr>
      </w:pPr>
    </w:p>
    <w:p>
      <w:pPr>
        <w:pStyle w:val="51"/>
        <w:rPr>
          <w:rFonts w:ascii="宋体" w:hAnsi="宋体" w:cs="宋体"/>
        </w:rPr>
      </w:pPr>
    </w:p>
    <w:p>
      <w:pPr>
        <w:pStyle w:val="2"/>
        <w:spacing w:line="360" w:lineRule="auto"/>
        <w:ind w:firstLine="452" w:firstLineChars="200"/>
        <w:rPr>
          <w:rFonts w:ascii="宋体" w:hAnsi="宋体" w:cs="宋体"/>
          <w:sz w:val="24"/>
        </w:rPr>
      </w:pPr>
      <w:r>
        <w:rPr>
          <w:rFonts w:hint="eastAsia" w:ascii="宋体" w:hAnsi="宋体" w:cs="宋体"/>
          <w:spacing w:val="-7"/>
          <w:sz w:val="24"/>
        </w:rPr>
        <w:t>本合同条款将作为中标合同的基础，具体合同内容在签订合同时由甲乙双方协商</w:t>
      </w:r>
      <w:r>
        <w:rPr>
          <w:rFonts w:hint="eastAsia" w:ascii="宋体" w:hAnsi="宋体" w:cs="宋体"/>
          <w:sz w:val="24"/>
        </w:rPr>
        <w:t xml:space="preserve">确定。 </w:t>
      </w:r>
    </w:p>
    <w:p>
      <w:pPr>
        <w:pStyle w:val="2"/>
        <w:spacing w:line="360" w:lineRule="auto"/>
        <w:rPr>
          <w:rFonts w:ascii="宋体" w:hAnsi="宋体" w:cs="宋体"/>
          <w:sz w:val="24"/>
        </w:rPr>
      </w:pPr>
      <w:r>
        <w:rPr>
          <w:rFonts w:hint="eastAsia" w:ascii="宋体" w:hAnsi="宋体" w:cs="宋体"/>
          <w:sz w:val="24"/>
        </w:rPr>
        <w:t xml:space="preserve"> </w:t>
      </w:r>
    </w:p>
    <w:p>
      <w:pPr>
        <w:pStyle w:val="2"/>
        <w:spacing w:line="480" w:lineRule="auto"/>
        <w:ind w:hanging="120"/>
        <w:rPr>
          <w:rFonts w:ascii="宋体" w:hAnsi="宋体" w:cs="宋体"/>
          <w:sz w:val="24"/>
        </w:rPr>
      </w:pPr>
      <w:r>
        <w:rPr>
          <w:rFonts w:hint="eastAsia" w:ascii="宋体" w:hAnsi="宋体" w:cs="宋体"/>
          <w:sz w:val="24"/>
        </w:rPr>
        <w:t>甲方：</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pacing w:val="-12"/>
          <w:sz w:val="24"/>
        </w:rPr>
        <w:t>简称“      ”</w:t>
      </w:r>
      <w:r>
        <w:rPr>
          <w:rFonts w:hint="eastAsia" w:ascii="宋体" w:hAnsi="宋体" w:cs="宋体"/>
          <w:sz w:val="24"/>
        </w:rPr>
        <w:t xml:space="preserve">） </w:t>
      </w:r>
    </w:p>
    <w:p>
      <w:pPr>
        <w:pStyle w:val="2"/>
        <w:spacing w:line="480" w:lineRule="auto"/>
        <w:ind w:hanging="120"/>
        <w:rPr>
          <w:rFonts w:ascii="宋体" w:hAnsi="宋体" w:cs="宋体"/>
          <w:sz w:val="24"/>
        </w:rPr>
      </w:pPr>
      <w:r>
        <w:rPr>
          <w:rFonts w:hint="eastAsia" w:ascii="宋体" w:hAnsi="宋体" w:cs="宋体"/>
          <w:spacing w:val="-1"/>
          <w:sz w:val="24"/>
        </w:rPr>
        <w:t>乙方：</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pacing w:val="-12"/>
          <w:sz w:val="24"/>
        </w:rPr>
        <w:t>简称“      ”</w:t>
      </w:r>
      <w:r>
        <w:rPr>
          <w:rFonts w:hint="eastAsia" w:ascii="宋体" w:hAnsi="宋体" w:cs="宋体"/>
          <w:sz w:val="24"/>
        </w:rPr>
        <w:t xml:space="preserve">） </w:t>
      </w:r>
    </w:p>
    <w:p>
      <w:pPr>
        <w:pStyle w:val="2"/>
        <w:spacing w:line="360" w:lineRule="auto"/>
        <w:rPr>
          <w:rFonts w:ascii="宋体" w:hAnsi="宋体" w:cs="宋体"/>
          <w:sz w:val="24"/>
        </w:rPr>
      </w:pPr>
      <w:r>
        <w:rPr>
          <w:rFonts w:hint="eastAsia" w:ascii="宋体" w:hAnsi="宋体" w:cs="宋体"/>
          <w:sz w:val="24"/>
        </w:rPr>
        <w:t xml:space="preserve"> </w:t>
      </w:r>
    </w:p>
    <w:p>
      <w:pPr>
        <w:pStyle w:val="2"/>
        <w:spacing w:line="360" w:lineRule="auto"/>
        <w:ind w:firstLine="440" w:firstLineChars="200"/>
        <w:rPr>
          <w:rFonts w:ascii="宋体" w:hAnsi="宋体" w:cs="宋体"/>
          <w:sz w:val="24"/>
        </w:rPr>
      </w:pPr>
      <w:r>
        <w:rPr>
          <w:rFonts w:hint="eastAsia" w:ascii="宋体" w:hAnsi="宋体" w:cs="宋体"/>
          <w:spacing w:val="-10"/>
          <w:sz w:val="24"/>
        </w:rPr>
        <w:t>根据《中华人民共和国合同法》及相关法律法规的规定，经甲、乙双方协商</w:t>
      </w:r>
      <w:r>
        <w:rPr>
          <w:rFonts w:hint="eastAsia" w:ascii="宋体" w:hAnsi="宋体" w:cs="宋体"/>
          <w:spacing w:val="-5"/>
          <w:sz w:val="24"/>
        </w:rPr>
        <w:t xml:space="preserve">一致，就甲方委托乙方承担 </w:t>
      </w:r>
      <w:r>
        <w:rPr>
          <w:rFonts w:hint="eastAsia" w:ascii="宋体" w:hAnsi="宋体" w:cs="宋体"/>
          <w:sz w:val="24"/>
          <w:u w:val="single"/>
        </w:rPr>
        <w:t xml:space="preserve">                        </w:t>
      </w:r>
      <w:r>
        <w:rPr>
          <w:rFonts w:hint="eastAsia" w:ascii="宋体" w:hAnsi="宋体" w:cs="宋体"/>
          <w:spacing w:val="-8"/>
          <w:sz w:val="24"/>
        </w:rPr>
        <w:t>事宜达成如下协议，共同遵守。</w:t>
      </w:r>
    </w:p>
    <w:p>
      <w:pPr>
        <w:spacing w:line="360" w:lineRule="auto"/>
        <w:rPr>
          <w:rFonts w:ascii="宋体" w:hAnsi="宋体" w:cs="宋体"/>
          <w:sz w:val="24"/>
        </w:rPr>
      </w:pPr>
      <w:r>
        <w:rPr>
          <w:rFonts w:hint="eastAsia" w:ascii="宋体" w:hAnsi="宋体" w:cs="宋体"/>
          <w:sz w:val="24"/>
        </w:rPr>
        <w:t>第一条 委托内容及要求</w:t>
      </w:r>
      <w:r>
        <w:rPr>
          <w:rFonts w:hint="eastAsia" w:ascii="宋体" w:hAnsi="宋体" w:cs="宋体"/>
          <w:w w:val="99"/>
          <w:sz w:val="24"/>
        </w:rPr>
        <w:t xml:space="preserve"> </w:t>
      </w:r>
    </w:p>
    <w:p>
      <w:pPr>
        <w:pStyle w:val="2"/>
        <w:spacing w:line="480" w:lineRule="auto"/>
        <w:ind w:firstLine="456" w:firstLineChars="200"/>
        <w:rPr>
          <w:rFonts w:ascii="宋体" w:hAnsi="宋体" w:cs="宋体"/>
          <w:sz w:val="24"/>
        </w:rPr>
      </w:pPr>
      <w:r>
        <w:rPr>
          <w:rFonts w:hint="eastAsia" w:ascii="宋体" w:hAnsi="宋体" w:cs="宋体"/>
          <w:spacing w:val="-6"/>
          <w:sz w:val="24"/>
        </w:rPr>
        <w:t xml:space="preserve">甲方委托乙方全面承担 </w:t>
      </w:r>
      <w:r>
        <w:rPr>
          <w:rFonts w:hint="eastAsia" w:ascii="宋体" w:hAnsi="宋体" w:cs="宋体"/>
          <w:sz w:val="24"/>
          <w:u w:val="single"/>
        </w:rPr>
        <w:t xml:space="preserve">                                    </w:t>
      </w:r>
      <w:r>
        <w:rPr>
          <w:rFonts w:hint="eastAsia" w:ascii="宋体" w:hAnsi="宋体" w:cs="宋体"/>
          <w:sz w:val="24"/>
        </w:rPr>
        <w:t xml:space="preserve">，具体包括： </w:t>
      </w:r>
    </w:p>
    <w:p>
      <w:pPr>
        <w:spacing w:line="360" w:lineRule="auto"/>
        <w:rPr>
          <w:rFonts w:ascii="宋体" w:hAnsi="宋体" w:cs="宋体"/>
          <w:sz w:val="24"/>
        </w:rPr>
      </w:pPr>
      <w:r>
        <w:rPr>
          <w:rFonts w:hint="eastAsia" w:ascii="宋体" w:hAnsi="宋体" w:cs="宋体"/>
          <w:sz w:val="24"/>
        </w:rPr>
        <w:t xml:space="preserve">第二条 时间进度 </w:t>
      </w:r>
    </w:p>
    <w:p>
      <w:pPr>
        <w:pStyle w:val="2"/>
        <w:spacing w:line="480" w:lineRule="auto"/>
        <w:ind w:firstLine="480" w:firstLineChars="200"/>
        <w:rPr>
          <w:rFonts w:ascii="宋体" w:hAnsi="宋体" w:cs="宋体"/>
          <w:sz w:val="24"/>
        </w:rPr>
      </w:pPr>
      <w:r>
        <w:rPr>
          <w:rFonts w:hint="eastAsia" w:ascii="宋体" w:hAnsi="宋体" w:cs="宋体"/>
          <w:sz w:val="24"/>
        </w:rPr>
        <w:t>本项目服务期限为：</w:t>
      </w:r>
      <w:r>
        <w:rPr>
          <w:rFonts w:hint="eastAsia" w:ascii="宋体" w:hAnsi="宋体" w:cs="宋体"/>
          <w:sz w:val="24"/>
          <w:u w:val="single"/>
        </w:rPr>
        <w:t>2022</w:t>
      </w:r>
      <w:r>
        <w:rPr>
          <w:rFonts w:hint="eastAsia" w:ascii="宋体" w:hAnsi="宋体" w:cs="宋体"/>
          <w:spacing w:val="-30"/>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pacing w:val="-15"/>
          <w:sz w:val="24"/>
        </w:rPr>
        <w:t xml:space="preserve">日起至 </w:t>
      </w:r>
      <w:r>
        <w:rPr>
          <w:rFonts w:hint="eastAsia" w:ascii="宋体" w:hAnsi="宋体" w:cs="宋体"/>
          <w:sz w:val="24"/>
          <w:u w:val="single"/>
        </w:rPr>
        <w:t>2022</w:t>
      </w:r>
      <w:r>
        <w:rPr>
          <w:rFonts w:hint="eastAsia" w:ascii="宋体" w:hAnsi="宋体" w:cs="宋体"/>
          <w:spacing w:val="-30"/>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日止。</w:t>
      </w:r>
    </w:p>
    <w:p>
      <w:pPr>
        <w:spacing w:line="360" w:lineRule="auto"/>
        <w:rPr>
          <w:rFonts w:ascii="宋体" w:hAnsi="宋体" w:cs="宋体"/>
          <w:sz w:val="24"/>
        </w:rPr>
      </w:pPr>
      <w:r>
        <w:rPr>
          <w:rFonts w:hint="eastAsia" w:ascii="宋体" w:hAnsi="宋体" w:cs="宋体"/>
          <w:sz w:val="24"/>
        </w:rPr>
        <w:t>第三条 合同价款</w:t>
      </w:r>
    </w:p>
    <w:p>
      <w:pPr>
        <w:pStyle w:val="2"/>
        <w:spacing w:line="480" w:lineRule="auto"/>
        <w:ind w:firstLine="480" w:firstLineChars="200"/>
        <w:rPr>
          <w:rFonts w:ascii="宋体" w:hAnsi="宋体" w:cs="宋体"/>
          <w:sz w:val="24"/>
        </w:rPr>
      </w:pPr>
      <w:r>
        <w:rPr>
          <w:rFonts w:hint="eastAsia" w:ascii="宋体" w:hAnsi="宋体" w:cs="宋体"/>
          <w:sz w:val="24"/>
        </w:rPr>
        <w:t>经甲乙双方协商确定合同总价为人民币（大写）</w:t>
      </w:r>
      <w:r>
        <w:rPr>
          <w:rFonts w:hint="eastAsia" w:ascii="宋体" w:hAnsi="宋体" w:cs="宋体"/>
          <w:sz w:val="24"/>
          <w:u w:val="single"/>
        </w:rPr>
        <w:t xml:space="preserve">        </w:t>
      </w:r>
      <w:r>
        <w:rPr>
          <w:rFonts w:hint="eastAsia" w:ascii="宋体" w:hAnsi="宋体" w:cs="宋体"/>
          <w:sz w:val="24"/>
        </w:rPr>
        <w:t>，计人民币（小写）￥</w:t>
      </w:r>
      <w:r>
        <w:rPr>
          <w:rFonts w:hint="eastAsia" w:ascii="宋体" w:hAnsi="宋体" w:cs="宋体"/>
          <w:sz w:val="24"/>
          <w:u w:val="single"/>
        </w:rPr>
        <w:t xml:space="preserve">  </w:t>
      </w:r>
      <w:r>
        <w:rPr>
          <w:rFonts w:hint="eastAsia" w:ascii="宋体" w:hAnsi="宋体" w:cs="宋体"/>
          <w:sz w:val="24"/>
        </w:rPr>
        <w:t xml:space="preserve">元，最终支付费用以实际结算金额为准。 </w:t>
      </w:r>
    </w:p>
    <w:p>
      <w:pPr>
        <w:spacing w:line="360" w:lineRule="auto"/>
        <w:rPr>
          <w:rFonts w:ascii="宋体" w:hAnsi="宋体" w:cs="宋体"/>
          <w:sz w:val="24"/>
        </w:rPr>
      </w:pPr>
      <w:r>
        <w:rPr>
          <w:rFonts w:hint="eastAsia" w:ascii="宋体" w:hAnsi="宋体" w:cs="宋体"/>
          <w:sz w:val="24"/>
        </w:rPr>
        <w:t xml:space="preserve">第四条 付款方式 </w:t>
      </w:r>
    </w:p>
    <w:p>
      <w:pPr>
        <w:pStyle w:val="2"/>
        <w:spacing w:line="480" w:lineRule="auto"/>
        <w:ind w:firstLine="480" w:firstLineChars="200"/>
        <w:rPr>
          <w:rFonts w:ascii="宋体" w:hAnsi="宋体" w:cs="宋体"/>
          <w:sz w:val="24"/>
        </w:rPr>
      </w:pPr>
      <w:r>
        <w:rPr>
          <w:rFonts w:hint="eastAsia" w:ascii="宋体" w:hAnsi="宋体" w:cs="宋体"/>
          <w:sz w:val="24"/>
        </w:rPr>
        <w:t xml:space="preserve">（一）合同项下所有款额应通过甲乙双方指定的银行用人民币支付。 </w:t>
      </w:r>
    </w:p>
    <w:p>
      <w:pPr>
        <w:pStyle w:val="2"/>
        <w:spacing w:line="480" w:lineRule="auto"/>
        <w:ind w:firstLine="480" w:firstLineChars="200"/>
        <w:rPr>
          <w:rFonts w:ascii="宋体" w:hAnsi="宋体" w:cs="宋体"/>
          <w:sz w:val="24"/>
        </w:rPr>
      </w:pPr>
      <w:r>
        <w:rPr>
          <w:rFonts w:hint="eastAsia" w:ascii="宋体" w:hAnsi="宋体" w:cs="宋体"/>
          <w:sz w:val="24"/>
        </w:rPr>
        <w:t xml:space="preserve">（二）甲方付款后，乙方应向甲方交付与本合同价款等额且符合合同性质的中华人民共和国法定国税通用机打发票。 </w:t>
      </w:r>
    </w:p>
    <w:p>
      <w:pPr>
        <w:pStyle w:val="2"/>
        <w:spacing w:line="480" w:lineRule="auto"/>
        <w:ind w:firstLine="480" w:firstLineChars="200"/>
        <w:rPr>
          <w:rFonts w:ascii="宋体" w:hAnsi="宋体" w:cs="宋体"/>
          <w:sz w:val="24"/>
        </w:rPr>
      </w:pPr>
      <w:r>
        <w:rPr>
          <w:rFonts w:hint="eastAsia" w:ascii="宋体" w:hAnsi="宋体" w:cs="宋体"/>
          <w:sz w:val="24"/>
        </w:rPr>
        <w:t xml:space="preserve">（三）合同第三条中确定的合同总价由甲方向乙方按如下方式及比例支付： </w:t>
      </w:r>
    </w:p>
    <w:tbl>
      <w:tblPr>
        <w:tblStyle w:val="2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76"/>
        <w:gridCol w:w="1505"/>
        <w:gridCol w:w="1681"/>
        <w:gridCol w:w="29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jc w:val="center"/>
        </w:trPr>
        <w:tc>
          <w:tcPr>
            <w:tcW w:w="2276" w:type="dxa"/>
          </w:tcPr>
          <w:p>
            <w:pPr>
              <w:pStyle w:val="50"/>
              <w:spacing w:before="21"/>
              <w:ind w:left="695" w:right="557"/>
              <w:jc w:val="both"/>
              <w:rPr>
                <w:rFonts w:ascii="宋体" w:hAnsi="宋体" w:cs="宋体"/>
                <w:b/>
              </w:rPr>
            </w:pPr>
            <w:r>
              <w:rPr>
                <w:rFonts w:hint="eastAsia" w:ascii="宋体" w:hAnsi="宋体" w:cs="宋体"/>
                <w:b/>
              </w:rPr>
              <w:t>付款节点</w:t>
            </w:r>
            <w:r>
              <w:rPr>
                <w:rFonts w:hint="eastAsia" w:ascii="宋体" w:hAnsi="宋体" w:cs="宋体"/>
                <w:b/>
                <w:w w:val="99"/>
              </w:rPr>
              <w:t xml:space="preserve"> </w:t>
            </w:r>
          </w:p>
        </w:tc>
        <w:tc>
          <w:tcPr>
            <w:tcW w:w="1505" w:type="dxa"/>
          </w:tcPr>
          <w:p>
            <w:pPr>
              <w:pStyle w:val="50"/>
              <w:spacing w:before="21"/>
              <w:ind w:left="308" w:right="172"/>
              <w:jc w:val="both"/>
              <w:rPr>
                <w:rFonts w:ascii="宋体" w:hAnsi="宋体" w:cs="宋体"/>
                <w:b/>
              </w:rPr>
            </w:pPr>
            <w:r>
              <w:rPr>
                <w:rFonts w:hint="eastAsia" w:ascii="宋体" w:hAnsi="宋体" w:cs="宋体"/>
                <w:b/>
              </w:rPr>
              <w:t>付款比例</w:t>
            </w:r>
            <w:r>
              <w:rPr>
                <w:rFonts w:hint="eastAsia" w:ascii="宋体" w:hAnsi="宋体" w:cs="宋体"/>
                <w:b/>
                <w:w w:val="99"/>
              </w:rPr>
              <w:t xml:space="preserve"> </w:t>
            </w:r>
          </w:p>
        </w:tc>
        <w:tc>
          <w:tcPr>
            <w:tcW w:w="1681" w:type="dxa"/>
          </w:tcPr>
          <w:p>
            <w:pPr>
              <w:pStyle w:val="50"/>
              <w:spacing w:before="21"/>
              <w:ind w:left="154" w:right="3"/>
              <w:jc w:val="both"/>
              <w:rPr>
                <w:rFonts w:ascii="宋体" w:hAnsi="宋体" w:cs="宋体"/>
                <w:b/>
              </w:rPr>
            </w:pPr>
            <w:r>
              <w:rPr>
                <w:rFonts w:hint="eastAsia" w:ascii="宋体" w:hAnsi="宋体" w:cs="宋体"/>
                <w:b/>
                <w:spacing w:val="-26"/>
              </w:rPr>
              <w:t>付款金额</w:t>
            </w:r>
            <w:r>
              <w:rPr>
                <w:rFonts w:hint="eastAsia" w:ascii="宋体" w:hAnsi="宋体" w:cs="宋体"/>
                <w:b/>
              </w:rPr>
              <w:t>（元</w:t>
            </w:r>
            <w:r>
              <w:rPr>
                <w:rFonts w:hint="eastAsia" w:ascii="宋体" w:hAnsi="宋体" w:cs="宋体"/>
                <w:b/>
                <w:spacing w:val="-119"/>
              </w:rPr>
              <w:t>）</w:t>
            </w:r>
            <w:r>
              <w:rPr>
                <w:rFonts w:hint="eastAsia" w:ascii="宋体" w:hAnsi="宋体" w:cs="宋体"/>
                <w:b/>
                <w:w w:val="99"/>
              </w:rPr>
              <w:t xml:space="preserve"> </w:t>
            </w:r>
          </w:p>
        </w:tc>
        <w:tc>
          <w:tcPr>
            <w:tcW w:w="2963" w:type="dxa"/>
          </w:tcPr>
          <w:p>
            <w:pPr>
              <w:pStyle w:val="50"/>
              <w:spacing w:before="21"/>
              <w:ind w:left="1035" w:right="904"/>
              <w:jc w:val="both"/>
              <w:rPr>
                <w:rFonts w:ascii="宋体" w:hAnsi="宋体" w:cs="宋体"/>
                <w:b/>
              </w:rPr>
            </w:pPr>
            <w:r>
              <w:rPr>
                <w:rFonts w:hint="eastAsia" w:ascii="宋体" w:hAnsi="宋体" w:cs="宋体"/>
                <w:b/>
              </w:rPr>
              <w:t>付款条件</w:t>
            </w:r>
            <w:r>
              <w:rPr>
                <w:rFonts w:hint="eastAsia" w:ascii="宋体" w:hAnsi="宋体" w:cs="宋体"/>
                <w:b/>
                <w:w w:val="99"/>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2276" w:type="dxa"/>
          </w:tcPr>
          <w:p>
            <w:pPr>
              <w:pStyle w:val="50"/>
              <w:spacing w:line="291" w:lineRule="exact"/>
              <w:ind w:left="138"/>
              <w:jc w:val="center"/>
              <w:rPr>
                <w:rFonts w:ascii="宋体" w:hAnsi="宋体" w:cs="宋体"/>
              </w:rPr>
            </w:pPr>
            <w:r>
              <w:rPr>
                <w:rFonts w:hint="eastAsia" w:ascii="宋体" w:hAnsi="宋体" w:cs="宋体"/>
              </w:rPr>
              <w:t xml:space="preserve"> </w:t>
            </w:r>
          </w:p>
        </w:tc>
        <w:tc>
          <w:tcPr>
            <w:tcW w:w="1505" w:type="dxa"/>
          </w:tcPr>
          <w:p>
            <w:pPr>
              <w:pStyle w:val="50"/>
              <w:spacing w:line="291" w:lineRule="exact"/>
              <w:ind w:left="136"/>
              <w:jc w:val="center"/>
              <w:rPr>
                <w:rFonts w:ascii="宋体" w:hAnsi="宋体" w:cs="宋体"/>
              </w:rPr>
            </w:pPr>
            <w:r>
              <w:rPr>
                <w:rFonts w:hint="eastAsia" w:ascii="宋体" w:hAnsi="宋体" w:cs="宋体"/>
              </w:rPr>
              <w:t xml:space="preserve"> </w:t>
            </w:r>
          </w:p>
        </w:tc>
        <w:tc>
          <w:tcPr>
            <w:tcW w:w="1681" w:type="dxa"/>
          </w:tcPr>
          <w:p>
            <w:pPr>
              <w:pStyle w:val="50"/>
              <w:spacing w:line="291" w:lineRule="exact"/>
              <w:ind w:left="138"/>
              <w:jc w:val="center"/>
              <w:rPr>
                <w:rFonts w:ascii="宋体" w:hAnsi="宋体" w:cs="宋体"/>
              </w:rPr>
            </w:pPr>
            <w:r>
              <w:rPr>
                <w:rFonts w:hint="eastAsia" w:ascii="宋体" w:hAnsi="宋体" w:cs="宋体"/>
              </w:rPr>
              <w:t xml:space="preserve"> </w:t>
            </w:r>
          </w:p>
        </w:tc>
        <w:tc>
          <w:tcPr>
            <w:tcW w:w="2963" w:type="dxa"/>
          </w:tcPr>
          <w:p>
            <w:pPr>
              <w:pStyle w:val="50"/>
              <w:spacing w:line="291" w:lineRule="exact"/>
              <w:ind w:left="130"/>
              <w:jc w:val="center"/>
              <w:rPr>
                <w:rFonts w:ascii="宋体" w:hAnsi="宋体" w:cs="宋体"/>
              </w:rPr>
            </w:pPr>
            <w:r>
              <w:rPr>
                <w:rFonts w:hint="eastAsia" w:ascii="宋体" w:hAnsi="宋体" w:cs="宋体"/>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2276" w:type="dxa"/>
          </w:tcPr>
          <w:p>
            <w:pPr>
              <w:pStyle w:val="50"/>
              <w:spacing w:line="291" w:lineRule="exact"/>
              <w:ind w:left="138"/>
              <w:jc w:val="center"/>
              <w:rPr>
                <w:rFonts w:ascii="宋体" w:hAnsi="宋体" w:cs="宋体"/>
              </w:rPr>
            </w:pPr>
            <w:r>
              <w:rPr>
                <w:rFonts w:hint="eastAsia" w:ascii="宋体" w:hAnsi="宋体" w:cs="宋体"/>
              </w:rPr>
              <w:t xml:space="preserve"> </w:t>
            </w:r>
          </w:p>
        </w:tc>
        <w:tc>
          <w:tcPr>
            <w:tcW w:w="1505" w:type="dxa"/>
          </w:tcPr>
          <w:p>
            <w:pPr>
              <w:pStyle w:val="50"/>
              <w:spacing w:line="291" w:lineRule="exact"/>
              <w:ind w:left="136"/>
              <w:jc w:val="center"/>
              <w:rPr>
                <w:rFonts w:ascii="宋体" w:hAnsi="宋体" w:cs="宋体"/>
              </w:rPr>
            </w:pPr>
            <w:r>
              <w:rPr>
                <w:rFonts w:hint="eastAsia" w:ascii="宋体" w:hAnsi="宋体" w:cs="宋体"/>
              </w:rPr>
              <w:t xml:space="preserve"> </w:t>
            </w:r>
          </w:p>
        </w:tc>
        <w:tc>
          <w:tcPr>
            <w:tcW w:w="1681" w:type="dxa"/>
          </w:tcPr>
          <w:p>
            <w:pPr>
              <w:pStyle w:val="50"/>
              <w:spacing w:line="291" w:lineRule="exact"/>
              <w:ind w:left="138"/>
              <w:jc w:val="center"/>
              <w:rPr>
                <w:rFonts w:ascii="宋体" w:hAnsi="宋体" w:cs="宋体"/>
              </w:rPr>
            </w:pPr>
            <w:r>
              <w:rPr>
                <w:rFonts w:hint="eastAsia" w:ascii="宋体" w:hAnsi="宋体" w:cs="宋体"/>
              </w:rPr>
              <w:t xml:space="preserve"> </w:t>
            </w:r>
          </w:p>
        </w:tc>
        <w:tc>
          <w:tcPr>
            <w:tcW w:w="2963" w:type="dxa"/>
          </w:tcPr>
          <w:p>
            <w:pPr>
              <w:pStyle w:val="50"/>
              <w:spacing w:line="291" w:lineRule="exact"/>
              <w:ind w:left="130"/>
              <w:jc w:val="center"/>
              <w:rPr>
                <w:rFonts w:ascii="宋体" w:hAnsi="宋体" w:cs="宋体"/>
              </w:rPr>
            </w:pPr>
            <w:r>
              <w:rPr>
                <w:rFonts w:hint="eastAsia" w:ascii="宋体" w:hAnsi="宋体" w:cs="宋体"/>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2276" w:type="dxa"/>
          </w:tcPr>
          <w:p>
            <w:pPr>
              <w:pStyle w:val="50"/>
              <w:spacing w:line="291" w:lineRule="exact"/>
              <w:ind w:left="692" w:right="557"/>
              <w:jc w:val="center"/>
              <w:rPr>
                <w:rFonts w:ascii="宋体" w:hAnsi="宋体" w:cs="宋体"/>
                <w:b/>
              </w:rPr>
            </w:pPr>
            <w:r>
              <w:rPr>
                <w:rFonts w:hint="eastAsia" w:ascii="宋体" w:hAnsi="宋体" w:cs="宋体"/>
                <w:b/>
              </w:rPr>
              <w:t>合计</w:t>
            </w:r>
            <w:r>
              <w:rPr>
                <w:rFonts w:hint="eastAsia" w:ascii="宋体" w:hAnsi="宋体" w:cs="宋体"/>
                <w:b/>
                <w:w w:val="99"/>
              </w:rPr>
              <w:t xml:space="preserve"> </w:t>
            </w:r>
          </w:p>
        </w:tc>
        <w:tc>
          <w:tcPr>
            <w:tcW w:w="1505" w:type="dxa"/>
          </w:tcPr>
          <w:p>
            <w:pPr>
              <w:pStyle w:val="50"/>
              <w:spacing w:line="291" w:lineRule="exact"/>
              <w:ind w:left="136"/>
              <w:jc w:val="center"/>
              <w:rPr>
                <w:rFonts w:ascii="宋体" w:hAnsi="宋体" w:cs="宋体"/>
                <w:b/>
              </w:rPr>
            </w:pPr>
            <w:r>
              <w:rPr>
                <w:rFonts w:hint="eastAsia" w:ascii="宋体" w:hAnsi="宋体" w:cs="宋体"/>
                <w:b/>
                <w:w w:val="99"/>
              </w:rPr>
              <w:t xml:space="preserve"> </w:t>
            </w:r>
          </w:p>
        </w:tc>
        <w:tc>
          <w:tcPr>
            <w:tcW w:w="1681" w:type="dxa"/>
          </w:tcPr>
          <w:p>
            <w:pPr>
              <w:pStyle w:val="50"/>
              <w:spacing w:line="291" w:lineRule="exact"/>
              <w:ind w:left="138"/>
              <w:jc w:val="center"/>
              <w:rPr>
                <w:rFonts w:ascii="宋体" w:hAnsi="宋体" w:cs="宋体"/>
                <w:b/>
              </w:rPr>
            </w:pPr>
            <w:r>
              <w:rPr>
                <w:rFonts w:hint="eastAsia" w:ascii="宋体" w:hAnsi="宋体" w:cs="宋体"/>
                <w:b/>
                <w:w w:val="99"/>
              </w:rPr>
              <w:t xml:space="preserve"> </w:t>
            </w:r>
          </w:p>
        </w:tc>
        <w:tc>
          <w:tcPr>
            <w:tcW w:w="2963" w:type="dxa"/>
          </w:tcPr>
          <w:p>
            <w:pPr>
              <w:pStyle w:val="50"/>
              <w:spacing w:line="291" w:lineRule="exact"/>
              <w:ind w:left="130"/>
              <w:jc w:val="center"/>
              <w:rPr>
                <w:rFonts w:ascii="宋体" w:hAnsi="宋体" w:cs="宋体"/>
                <w:b/>
              </w:rPr>
            </w:pPr>
            <w:r>
              <w:rPr>
                <w:rFonts w:hint="eastAsia" w:ascii="宋体" w:hAnsi="宋体" w:cs="宋体"/>
                <w:b/>
                <w:w w:val="99"/>
              </w:rPr>
              <w:t xml:space="preserve"> </w:t>
            </w:r>
          </w:p>
        </w:tc>
      </w:tr>
    </w:tbl>
    <w:p>
      <w:pPr>
        <w:pStyle w:val="2"/>
        <w:spacing w:line="360" w:lineRule="auto"/>
        <w:ind w:firstLine="480" w:firstLineChars="200"/>
        <w:rPr>
          <w:rFonts w:ascii="宋体" w:hAnsi="宋体" w:cs="宋体"/>
          <w:sz w:val="24"/>
        </w:rPr>
      </w:pPr>
      <w:r>
        <w:rPr>
          <w:rFonts w:hint="eastAsia" w:ascii="宋体" w:hAnsi="宋体" w:cs="宋体"/>
          <w:sz w:val="24"/>
        </w:rPr>
        <w:t>（四）在合同签订后，若甲方要求增加的服务，协商一致后，以书面形式约定，并由甲方追加相应的服务费，计入合同总价。</w:t>
      </w:r>
    </w:p>
    <w:p>
      <w:pPr>
        <w:pStyle w:val="2"/>
        <w:spacing w:line="360" w:lineRule="auto"/>
        <w:ind w:firstLine="480" w:firstLineChars="200"/>
        <w:rPr>
          <w:rFonts w:ascii="宋体" w:hAnsi="宋体" w:cs="宋体"/>
          <w:sz w:val="24"/>
        </w:rPr>
      </w:pPr>
      <w:r>
        <w:rPr>
          <w:rFonts w:hint="eastAsia" w:ascii="宋体" w:hAnsi="宋体" w:cs="宋体"/>
          <w:sz w:val="24"/>
        </w:rPr>
        <w:t xml:space="preserve">（五）若甲方中途变更委托要求，甲乙双方在平等协商的基础上，调整因变更引起的费用项目金额。 </w:t>
      </w:r>
    </w:p>
    <w:p>
      <w:pPr>
        <w:pStyle w:val="2"/>
        <w:spacing w:line="360" w:lineRule="auto"/>
        <w:ind w:firstLine="480" w:firstLineChars="200"/>
        <w:rPr>
          <w:rFonts w:ascii="宋体" w:hAnsi="宋体" w:cs="宋体"/>
          <w:sz w:val="24"/>
        </w:rPr>
      </w:pPr>
      <w:r>
        <w:rPr>
          <w:rFonts w:hint="eastAsia" w:ascii="宋体" w:hAnsi="宋体" w:cs="宋体"/>
          <w:sz w:val="24"/>
        </w:rPr>
        <w:t xml:space="preserve">（六）乙方指定的银行帐户信息： </w:t>
      </w:r>
    </w:p>
    <w:p>
      <w:pPr>
        <w:pStyle w:val="2"/>
        <w:spacing w:line="360" w:lineRule="auto"/>
        <w:ind w:firstLine="480" w:firstLineChars="200"/>
        <w:rPr>
          <w:rFonts w:ascii="宋体" w:hAnsi="宋体" w:cs="宋体"/>
          <w:sz w:val="24"/>
        </w:rPr>
      </w:pPr>
      <w:r>
        <w:rPr>
          <w:rFonts w:hint="eastAsia" w:ascii="宋体" w:hAnsi="宋体" w:cs="宋体"/>
          <w:sz w:val="24"/>
        </w:rPr>
        <w:t xml:space="preserve">账户名称： </w:t>
      </w:r>
    </w:p>
    <w:p>
      <w:pPr>
        <w:pStyle w:val="2"/>
        <w:spacing w:line="360" w:lineRule="auto"/>
        <w:ind w:firstLine="480" w:firstLineChars="200"/>
        <w:rPr>
          <w:rFonts w:ascii="宋体" w:hAnsi="宋体" w:cs="宋体"/>
          <w:sz w:val="24"/>
        </w:rPr>
      </w:pPr>
      <w:r>
        <w:rPr>
          <w:rFonts w:hint="eastAsia" w:ascii="宋体" w:hAnsi="宋体" w:cs="宋体"/>
          <w:sz w:val="24"/>
        </w:rPr>
        <w:t>开户银行：</w:t>
      </w:r>
    </w:p>
    <w:p>
      <w:pPr>
        <w:pStyle w:val="2"/>
        <w:spacing w:line="360" w:lineRule="auto"/>
        <w:ind w:firstLine="480" w:firstLineChars="200"/>
        <w:rPr>
          <w:rFonts w:ascii="宋体" w:hAnsi="宋体" w:cs="宋体"/>
          <w:sz w:val="24"/>
        </w:rPr>
      </w:pPr>
      <w:r>
        <w:rPr>
          <w:rFonts w:hint="eastAsia" w:ascii="宋体" w:hAnsi="宋体" w:cs="宋体"/>
          <w:sz w:val="24"/>
        </w:rPr>
        <w:t xml:space="preserve">账号： </w:t>
      </w:r>
    </w:p>
    <w:p>
      <w:pPr>
        <w:pStyle w:val="2"/>
        <w:spacing w:line="360" w:lineRule="auto"/>
        <w:ind w:firstLine="480" w:firstLineChars="200"/>
        <w:rPr>
          <w:rFonts w:ascii="宋体" w:hAnsi="宋体" w:cs="宋体"/>
          <w:sz w:val="24"/>
        </w:rPr>
      </w:pPr>
      <w:r>
        <w:rPr>
          <w:rFonts w:hint="eastAsia" w:ascii="宋体" w:hAnsi="宋体" w:cs="宋体"/>
          <w:sz w:val="24"/>
        </w:rPr>
        <w:t xml:space="preserve">第五条 双方权利义务 </w:t>
      </w:r>
    </w:p>
    <w:p>
      <w:pPr>
        <w:pStyle w:val="2"/>
        <w:spacing w:line="360" w:lineRule="auto"/>
        <w:ind w:firstLine="480" w:firstLineChars="200"/>
        <w:rPr>
          <w:rFonts w:ascii="宋体" w:hAnsi="宋体" w:cs="宋体"/>
          <w:sz w:val="24"/>
        </w:rPr>
      </w:pPr>
      <w:r>
        <w:rPr>
          <w:rFonts w:hint="eastAsia" w:ascii="宋体" w:hAnsi="宋体" w:cs="宋体"/>
          <w:sz w:val="24"/>
        </w:rPr>
        <w:t xml:space="preserve">（一）甲方权利和义务 </w:t>
      </w:r>
    </w:p>
    <w:p>
      <w:pPr>
        <w:pStyle w:val="46"/>
        <w:tabs>
          <w:tab w:val="left" w:pos="1182"/>
        </w:tabs>
        <w:spacing w:line="360" w:lineRule="auto"/>
        <w:ind w:firstLine="480"/>
        <w:jc w:val="left"/>
        <w:rPr>
          <w:rFonts w:ascii="宋体" w:hAnsi="宋体" w:cs="宋体"/>
          <w:sz w:val="24"/>
        </w:rPr>
      </w:pPr>
      <w:r>
        <w:rPr>
          <w:rFonts w:hint="eastAsia" w:ascii="宋体" w:hAnsi="宋体" w:cs="宋体"/>
          <w:sz w:val="24"/>
        </w:rPr>
        <w:t xml:space="preserve">1.甲方有权要求乙方按照本合同约定提供各项服务。 </w:t>
      </w:r>
    </w:p>
    <w:p>
      <w:pPr>
        <w:pStyle w:val="46"/>
        <w:tabs>
          <w:tab w:val="left" w:pos="1182"/>
        </w:tabs>
        <w:spacing w:line="360" w:lineRule="auto"/>
        <w:ind w:firstLine="480"/>
        <w:jc w:val="left"/>
        <w:rPr>
          <w:rFonts w:ascii="宋体" w:hAnsi="宋体" w:cs="宋体"/>
          <w:sz w:val="24"/>
        </w:rPr>
      </w:pPr>
      <w:r>
        <w:rPr>
          <w:rFonts w:hint="eastAsia" w:ascii="宋体" w:hAnsi="宋体" w:cs="宋体"/>
          <w:sz w:val="24"/>
        </w:rPr>
        <w:t xml:space="preserve">2.甲方有权对乙方提供各项服务的情况进行监督和检查。 </w:t>
      </w:r>
    </w:p>
    <w:p>
      <w:pPr>
        <w:pStyle w:val="46"/>
        <w:tabs>
          <w:tab w:val="left" w:pos="1182"/>
        </w:tabs>
        <w:spacing w:line="360" w:lineRule="auto"/>
        <w:ind w:firstLine="480"/>
        <w:jc w:val="left"/>
        <w:rPr>
          <w:rFonts w:ascii="宋体" w:hAnsi="宋体" w:cs="宋体"/>
          <w:sz w:val="24"/>
        </w:rPr>
      </w:pPr>
      <w:r>
        <w:rPr>
          <w:rFonts w:hint="eastAsia" w:ascii="宋体" w:hAnsi="宋体" w:cs="宋体"/>
          <w:sz w:val="24"/>
        </w:rPr>
        <w:t xml:space="preserve">3.甲方应当按照本合同约定向乙方支付费用。 </w:t>
      </w:r>
    </w:p>
    <w:p>
      <w:pPr>
        <w:pStyle w:val="2"/>
        <w:spacing w:line="360" w:lineRule="auto"/>
        <w:ind w:firstLine="480" w:firstLineChars="200"/>
        <w:rPr>
          <w:rFonts w:ascii="宋体" w:hAnsi="宋体" w:cs="宋体"/>
          <w:sz w:val="24"/>
        </w:rPr>
      </w:pPr>
      <w:r>
        <w:rPr>
          <w:rFonts w:hint="eastAsia" w:ascii="宋体" w:hAnsi="宋体" w:cs="宋体"/>
          <w:sz w:val="24"/>
        </w:rPr>
        <w:t xml:space="preserve">4.其他：                              </w:t>
      </w:r>
    </w:p>
    <w:p>
      <w:pPr>
        <w:pStyle w:val="2"/>
        <w:spacing w:line="360" w:lineRule="auto"/>
        <w:ind w:firstLine="480" w:firstLineChars="200"/>
        <w:rPr>
          <w:rFonts w:ascii="宋体" w:hAnsi="宋体" w:cs="宋体"/>
          <w:sz w:val="24"/>
        </w:rPr>
      </w:pPr>
      <w:r>
        <w:rPr>
          <w:rFonts w:hint="eastAsia" w:ascii="宋体" w:hAnsi="宋体" w:cs="宋体"/>
          <w:sz w:val="24"/>
        </w:rPr>
        <w:t xml:space="preserve">（二）乙方权利和义务 </w:t>
      </w:r>
    </w:p>
    <w:p>
      <w:pPr>
        <w:pStyle w:val="46"/>
        <w:tabs>
          <w:tab w:val="left" w:pos="1122"/>
        </w:tabs>
        <w:spacing w:line="360" w:lineRule="auto"/>
        <w:ind w:firstLine="468"/>
        <w:rPr>
          <w:rFonts w:ascii="宋体" w:hAnsi="宋体" w:cs="宋体"/>
          <w:sz w:val="24"/>
        </w:rPr>
      </w:pPr>
      <w:r>
        <w:rPr>
          <w:rFonts w:hint="eastAsia" w:ascii="宋体" w:hAnsi="宋体" w:cs="宋体"/>
          <w:spacing w:val="-3"/>
          <w:sz w:val="24"/>
        </w:rPr>
        <w:t>1.乙方应按照本合同约定向甲方提供本合同项下服务，确保服务质量符合本</w:t>
      </w:r>
      <w:r>
        <w:rPr>
          <w:rFonts w:hint="eastAsia" w:ascii="宋体" w:hAnsi="宋体" w:cs="宋体"/>
          <w:spacing w:val="-4"/>
          <w:sz w:val="24"/>
        </w:rPr>
        <w:t>合同约定或甲方要求；如因乙方提供服务质量不合格给甲方造成损失的，乙</w:t>
      </w:r>
      <w:r>
        <w:rPr>
          <w:rFonts w:hint="eastAsia" w:ascii="宋体" w:hAnsi="宋体" w:cs="宋体"/>
          <w:spacing w:val="-6"/>
          <w:sz w:val="24"/>
        </w:rPr>
        <w:t>方应予不超过合同总额</w:t>
      </w:r>
      <w:r>
        <w:rPr>
          <w:rFonts w:hint="eastAsia" w:ascii="宋体" w:hAnsi="宋体" w:cs="宋体"/>
          <w:spacing w:val="-6"/>
          <w:sz w:val="24"/>
          <w:u w:val="single"/>
        </w:rPr>
        <w:t xml:space="preserve">  </w:t>
      </w:r>
      <w:r>
        <w:rPr>
          <w:rFonts w:hint="eastAsia" w:ascii="宋体" w:hAnsi="宋体" w:cs="宋体"/>
          <w:spacing w:val="-6"/>
          <w:sz w:val="24"/>
        </w:rPr>
        <w:t xml:space="preserve"> </w:t>
      </w:r>
      <w:r>
        <w:rPr>
          <w:rFonts w:hint="eastAsia" w:ascii="宋体" w:hAnsi="宋体" w:cs="宋体"/>
          <w:sz w:val="24"/>
        </w:rPr>
        <w:t xml:space="preserve">%的赔偿。 </w:t>
      </w:r>
    </w:p>
    <w:p>
      <w:pPr>
        <w:pStyle w:val="46"/>
        <w:tabs>
          <w:tab w:val="left" w:pos="1122"/>
        </w:tabs>
        <w:spacing w:line="360" w:lineRule="auto"/>
        <w:ind w:firstLine="476"/>
        <w:jc w:val="left"/>
        <w:rPr>
          <w:rFonts w:ascii="宋体" w:hAnsi="宋体" w:cs="宋体"/>
          <w:sz w:val="24"/>
        </w:rPr>
      </w:pPr>
      <w:r>
        <w:rPr>
          <w:rFonts w:hint="eastAsia" w:ascii="宋体" w:hAnsi="宋体" w:cs="宋体"/>
          <w:spacing w:val="-1"/>
          <w:sz w:val="24"/>
        </w:rPr>
        <w:t xml:space="preserve">2.乙方的项目经费使用应当符合甲方资金使用的相关规定和有关审计要求， </w:t>
      </w:r>
      <w:r>
        <w:rPr>
          <w:rFonts w:hint="eastAsia" w:ascii="宋体" w:hAnsi="宋体" w:cs="宋体"/>
          <w:spacing w:val="-12"/>
          <w:sz w:val="24"/>
        </w:rPr>
        <w:t>专项用于</w:t>
      </w:r>
      <w:r>
        <w:rPr>
          <w:rFonts w:hint="eastAsia" w:ascii="宋体" w:hAnsi="宋体" w:cs="宋体"/>
          <w:sz w:val="24"/>
          <w:u w:val="single"/>
        </w:rPr>
        <w:t xml:space="preserve">                                 </w:t>
      </w:r>
      <w:r>
        <w:rPr>
          <w:rFonts w:hint="eastAsia" w:ascii="宋体" w:hAnsi="宋体" w:cs="宋体"/>
          <w:sz w:val="24"/>
        </w:rPr>
        <w:t>等相关工</w:t>
      </w:r>
      <w:r>
        <w:rPr>
          <w:rFonts w:hint="eastAsia" w:ascii="宋体" w:hAnsi="宋体" w:cs="宋体"/>
          <w:spacing w:val="-6"/>
          <w:sz w:val="24"/>
        </w:rPr>
        <w:t xml:space="preserve">作，不得用于与本工作无关的活动支出，专款专用，并配合财政、审计等部门的监督检查。 </w:t>
      </w:r>
    </w:p>
    <w:p>
      <w:pPr>
        <w:pStyle w:val="46"/>
        <w:tabs>
          <w:tab w:val="left" w:pos="1122"/>
        </w:tabs>
        <w:spacing w:line="360" w:lineRule="auto"/>
        <w:ind w:firstLine="468"/>
        <w:jc w:val="left"/>
        <w:rPr>
          <w:rFonts w:ascii="宋体" w:hAnsi="宋体" w:cs="宋体"/>
          <w:sz w:val="24"/>
        </w:rPr>
      </w:pPr>
      <w:r>
        <w:rPr>
          <w:rFonts w:hint="eastAsia" w:ascii="宋体" w:hAnsi="宋体" w:cs="宋体"/>
          <w:spacing w:val="-3"/>
          <w:sz w:val="24"/>
        </w:rPr>
        <w:t>3.乙方保证其向甲方提供的服务不存在任何侵犯第三方著作权、商标权、专</w:t>
      </w:r>
      <w:r>
        <w:rPr>
          <w:rFonts w:hint="eastAsia" w:ascii="宋体" w:hAnsi="宋体" w:cs="宋体"/>
          <w:sz w:val="24"/>
        </w:rPr>
        <w:t xml:space="preserve">利权等合法权益的情形。 </w:t>
      </w:r>
    </w:p>
    <w:p>
      <w:pPr>
        <w:pStyle w:val="46"/>
        <w:tabs>
          <w:tab w:val="left" w:pos="1122"/>
        </w:tabs>
        <w:spacing w:line="360" w:lineRule="auto"/>
        <w:ind w:firstLine="468"/>
        <w:jc w:val="left"/>
        <w:rPr>
          <w:rFonts w:ascii="宋体" w:hAnsi="宋体" w:cs="宋体"/>
          <w:sz w:val="24"/>
        </w:rPr>
      </w:pPr>
      <w:r>
        <w:rPr>
          <w:rFonts w:hint="eastAsia" w:ascii="宋体" w:hAnsi="宋体" w:cs="宋体"/>
          <w:spacing w:val="-3"/>
          <w:sz w:val="24"/>
        </w:rPr>
        <w:t>4.乙方应接受甲方对其提供服务情况进行的监督和检查，并应及时按照甲方</w:t>
      </w:r>
      <w:r>
        <w:rPr>
          <w:rFonts w:hint="eastAsia" w:ascii="宋体" w:hAnsi="宋体" w:cs="宋体"/>
          <w:sz w:val="24"/>
        </w:rPr>
        <w:t xml:space="preserve">要求对所提供的服务进行改进或调整，使服务质量符合甲方要求。 </w:t>
      </w:r>
    </w:p>
    <w:p>
      <w:pPr>
        <w:pStyle w:val="46"/>
        <w:tabs>
          <w:tab w:val="left" w:pos="1122"/>
        </w:tabs>
        <w:spacing w:line="360" w:lineRule="auto"/>
        <w:ind w:firstLine="464"/>
        <w:rPr>
          <w:rFonts w:ascii="宋体" w:hAnsi="宋体" w:cs="宋体"/>
          <w:sz w:val="24"/>
        </w:rPr>
      </w:pPr>
      <w:r>
        <w:rPr>
          <w:rFonts w:hint="eastAsia" w:ascii="宋体" w:hAnsi="宋体" w:cs="宋体"/>
          <w:spacing w:val="-4"/>
          <w:sz w:val="24"/>
        </w:rPr>
        <w:t>5.本项目知识产权归甲方所有。乙方承诺在工作过程中按照国家保密法律法规以及甲方的要求，做好有关保密工作。乙方对工作过程中甲方提供的有关</w:t>
      </w:r>
      <w:r>
        <w:rPr>
          <w:rFonts w:hint="eastAsia" w:ascii="宋体" w:hAnsi="宋体" w:cs="宋体"/>
          <w:spacing w:val="-8"/>
          <w:sz w:val="24"/>
        </w:rPr>
        <w:t>信息、文件、资料等有保密义务，非经甲方书面同意，不得公开或向第三方</w:t>
      </w:r>
      <w:r>
        <w:rPr>
          <w:rFonts w:hint="eastAsia" w:ascii="宋体" w:hAnsi="宋体" w:cs="宋体"/>
          <w:sz w:val="24"/>
        </w:rPr>
        <w:t xml:space="preserve">提供。 </w:t>
      </w:r>
    </w:p>
    <w:p>
      <w:pPr>
        <w:pStyle w:val="2"/>
        <w:spacing w:line="360" w:lineRule="auto"/>
        <w:ind w:firstLine="480" w:firstLineChars="200"/>
        <w:rPr>
          <w:rFonts w:ascii="宋体" w:hAnsi="宋体" w:cs="宋体"/>
          <w:sz w:val="24"/>
        </w:rPr>
      </w:pPr>
      <w:r>
        <w:rPr>
          <w:rFonts w:hint="eastAsia" w:ascii="宋体" w:hAnsi="宋体" w:cs="宋体"/>
          <w:sz w:val="24"/>
        </w:rPr>
        <w:t>乙方应保证为甲方提供服务的员工具备提供本合同项下服务所需的相应</w:t>
      </w:r>
      <w:r>
        <w:rPr>
          <w:rFonts w:hint="eastAsia" w:ascii="宋体" w:hAnsi="宋体" w:cs="宋体"/>
          <w:spacing w:val="-5"/>
          <w:sz w:val="24"/>
        </w:rPr>
        <w:t>资质和许可，并保证乙方人员在为甲方提供服务的过程中，严格遵守甲方的</w:t>
      </w:r>
      <w:r>
        <w:rPr>
          <w:rFonts w:hint="eastAsia" w:ascii="宋体" w:hAnsi="宋体" w:cs="宋体"/>
          <w:spacing w:val="-6"/>
          <w:sz w:val="24"/>
        </w:rPr>
        <w:t>各项规定、服从甲方安排。如因乙方人员原因，给甲方或第三方造成人员人</w:t>
      </w:r>
      <w:r>
        <w:rPr>
          <w:rFonts w:hint="eastAsia" w:ascii="宋体" w:hAnsi="宋体" w:cs="宋体"/>
          <w:sz w:val="24"/>
        </w:rPr>
        <w:t xml:space="preserve">身伤害或财产损失的，乙方应承担赔偿责任。 </w:t>
      </w:r>
    </w:p>
    <w:p>
      <w:pPr>
        <w:spacing w:line="360" w:lineRule="auto"/>
        <w:ind w:firstLine="480" w:firstLineChars="200"/>
        <w:jc w:val="left"/>
        <w:rPr>
          <w:rFonts w:ascii="宋体" w:hAnsi="宋体" w:cs="宋体"/>
          <w:sz w:val="24"/>
        </w:rPr>
      </w:pPr>
      <w:r>
        <w:rPr>
          <w:rFonts w:hint="eastAsia" w:ascii="宋体" w:hAnsi="宋体" w:cs="宋体"/>
          <w:sz w:val="24"/>
        </w:rPr>
        <w:t xml:space="preserve">6.其他：                                    </w:t>
      </w:r>
    </w:p>
    <w:p>
      <w:pPr>
        <w:spacing w:line="360" w:lineRule="auto"/>
        <w:jc w:val="left"/>
        <w:rPr>
          <w:rFonts w:ascii="宋体" w:hAnsi="宋体" w:cs="宋体"/>
          <w:b/>
          <w:sz w:val="24"/>
        </w:rPr>
      </w:pPr>
      <w:r>
        <w:rPr>
          <w:rFonts w:hint="eastAsia" w:ascii="宋体" w:hAnsi="宋体" w:cs="宋体"/>
          <w:b/>
          <w:sz w:val="24"/>
        </w:rPr>
        <w:t>第六条 合同的变更、补充和解除</w:t>
      </w:r>
      <w:r>
        <w:rPr>
          <w:rFonts w:hint="eastAsia" w:ascii="宋体" w:hAnsi="宋体" w:cs="宋体"/>
          <w:b/>
          <w:w w:val="99"/>
          <w:sz w:val="24"/>
        </w:rPr>
        <w:t xml:space="preserve"> </w:t>
      </w:r>
    </w:p>
    <w:p>
      <w:pPr>
        <w:pStyle w:val="2"/>
        <w:spacing w:line="360" w:lineRule="auto"/>
        <w:ind w:firstLine="480" w:firstLineChars="200"/>
        <w:rPr>
          <w:rFonts w:ascii="宋体" w:hAnsi="宋体" w:cs="宋体"/>
          <w:sz w:val="24"/>
        </w:rPr>
      </w:pPr>
      <w:r>
        <w:rPr>
          <w:rFonts w:hint="eastAsia" w:ascii="宋体" w:hAnsi="宋体" w:cs="宋体"/>
          <w:sz w:val="24"/>
        </w:rPr>
        <w:t xml:space="preserve">（一）本合同的变更或补充必须由双方协商一致，并以书面形式确定。 </w:t>
      </w:r>
    </w:p>
    <w:p>
      <w:pPr>
        <w:pStyle w:val="2"/>
        <w:spacing w:line="360" w:lineRule="auto"/>
        <w:ind w:firstLine="480" w:firstLineChars="200"/>
        <w:rPr>
          <w:rFonts w:ascii="宋体" w:hAnsi="宋体" w:cs="宋体"/>
          <w:sz w:val="24"/>
        </w:rPr>
      </w:pPr>
      <w:r>
        <w:rPr>
          <w:rFonts w:hint="eastAsia" w:ascii="宋体" w:hAnsi="宋体" w:cs="宋体"/>
          <w:sz w:val="24"/>
        </w:rPr>
        <w:t>（二</w:t>
      </w:r>
      <w:r>
        <w:rPr>
          <w:rFonts w:hint="eastAsia" w:ascii="宋体" w:hAnsi="宋体" w:cs="宋体"/>
          <w:spacing w:val="-32"/>
          <w:sz w:val="24"/>
        </w:rPr>
        <w:t>）</w:t>
      </w:r>
      <w:r>
        <w:rPr>
          <w:rFonts w:hint="eastAsia" w:ascii="宋体" w:hAnsi="宋体" w:cs="宋体"/>
          <w:spacing w:val="-10"/>
          <w:sz w:val="24"/>
        </w:rPr>
        <w:t xml:space="preserve">双方确定，出现下列情形，致使本合同的履行成为不必要或不可能的， </w:t>
      </w:r>
      <w:r>
        <w:rPr>
          <w:rFonts w:hint="eastAsia" w:ascii="宋体" w:hAnsi="宋体" w:cs="宋体"/>
          <w:sz w:val="24"/>
        </w:rPr>
        <w:t xml:space="preserve">可以解除本合同： </w:t>
      </w:r>
    </w:p>
    <w:p>
      <w:pPr>
        <w:pStyle w:val="46"/>
        <w:tabs>
          <w:tab w:val="left" w:pos="1182"/>
        </w:tabs>
        <w:spacing w:line="360" w:lineRule="auto"/>
        <w:ind w:firstLine="480"/>
        <w:jc w:val="left"/>
        <w:rPr>
          <w:rFonts w:ascii="宋体" w:hAnsi="宋体" w:cs="宋体"/>
          <w:sz w:val="24"/>
        </w:rPr>
      </w:pPr>
      <w:r>
        <w:rPr>
          <w:rFonts w:hint="eastAsia" w:ascii="宋体" w:hAnsi="宋体" w:cs="宋体"/>
          <w:sz w:val="24"/>
        </w:rPr>
        <w:t xml:space="preserve">1.发生不可抗力。 </w:t>
      </w:r>
    </w:p>
    <w:p>
      <w:pPr>
        <w:pStyle w:val="46"/>
        <w:tabs>
          <w:tab w:val="left" w:pos="1182"/>
        </w:tabs>
        <w:spacing w:line="360" w:lineRule="auto"/>
        <w:ind w:firstLine="480"/>
        <w:jc w:val="left"/>
        <w:rPr>
          <w:rFonts w:ascii="宋体" w:hAnsi="宋体" w:cs="宋体"/>
          <w:sz w:val="24"/>
        </w:rPr>
      </w:pPr>
      <w:r>
        <w:rPr>
          <w:rFonts w:hint="eastAsia" w:ascii="宋体" w:hAnsi="宋体" w:cs="宋体"/>
          <w:sz w:val="24"/>
        </w:rPr>
        <w:t xml:space="preserve">2.与本项目直接相关的国家政策发生重大变更，双方同意解除合同。 </w:t>
      </w:r>
    </w:p>
    <w:p>
      <w:pPr>
        <w:pStyle w:val="46"/>
        <w:tabs>
          <w:tab w:val="left" w:pos="1182"/>
        </w:tabs>
        <w:spacing w:line="360" w:lineRule="auto"/>
        <w:ind w:firstLine="480"/>
        <w:jc w:val="left"/>
        <w:rPr>
          <w:rFonts w:ascii="宋体" w:hAnsi="宋体" w:cs="宋体"/>
          <w:sz w:val="24"/>
        </w:rPr>
      </w:pPr>
      <w:r>
        <w:rPr>
          <w:rFonts w:hint="eastAsia" w:ascii="宋体" w:hAnsi="宋体" w:cs="宋体"/>
          <w:sz w:val="24"/>
        </w:rPr>
        <w:t>3.一方严重违约。</w:t>
      </w:r>
    </w:p>
    <w:p>
      <w:pPr>
        <w:pStyle w:val="46"/>
        <w:tabs>
          <w:tab w:val="left" w:pos="1182"/>
        </w:tabs>
        <w:spacing w:line="360" w:lineRule="auto"/>
        <w:ind w:firstLine="0" w:firstLineChars="0"/>
        <w:jc w:val="left"/>
        <w:rPr>
          <w:rFonts w:ascii="宋体" w:hAnsi="宋体" w:cs="宋体"/>
          <w:b/>
          <w:sz w:val="24"/>
        </w:rPr>
      </w:pPr>
      <w:r>
        <w:rPr>
          <w:rFonts w:hint="eastAsia" w:ascii="宋体" w:hAnsi="宋体" w:cs="宋体"/>
          <w:b/>
          <w:sz w:val="24"/>
        </w:rPr>
        <w:t>第七条 违约责任</w:t>
      </w:r>
      <w:r>
        <w:rPr>
          <w:rFonts w:hint="eastAsia" w:ascii="宋体" w:hAnsi="宋体" w:cs="宋体"/>
          <w:b/>
          <w:w w:val="99"/>
          <w:sz w:val="24"/>
        </w:rPr>
        <w:t xml:space="preserve"> </w:t>
      </w:r>
    </w:p>
    <w:p>
      <w:pPr>
        <w:pStyle w:val="2"/>
        <w:spacing w:line="360" w:lineRule="auto"/>
        <w:ind w:firstLine="480" w:firstLineChars="200"/>
        <w:rPr>
          <w:rFonts w:ascii="宋体" w:hAnsi="宋体" w:cs="宋体"/>
          <w:sz w:val="24"/>
        </w:rPr>
      </w:pPr>
      <w:r>
        <w:rPr>
          <w:rFonts w:hint="eastAsia" w:ascii="宋体" w:hAnsi="宋体" w:cs="宋体"/>
          <w:sz w:val="24"/>
        </w:rPr>
        <w:t xml:space="preserve">（一）甲方未按约定的期限向乙方支付服务费，应在最后付款日的次日起每日按照服务费总额的千分之一向乙方支付违约金，乙方并有权顺延相应工作期限。 </w:t>
      </w:r>
    </w:p>
    <w:p>
      <w:pPr>
        <w:pStyle w:val="2"/>
        <w:spacing w:line="360" w:lineRule="auto"/>
        <w:ind w:firstLine="480" w:firstLineChars="200"/>
        <w:rPr>
          <w:rFonts w:ascii="宋体" w:hAnsi="宋体" w:cs="宋体"/>
          <w:sz w:val="24"/>
        </w:rPr>
      </w:pPr>
      <w:r>
        <w:rPr>
          <w:rFonts w:hint="eastAsia" w:ascii="宋体" w:hAnsi="宋体" w:cs="宋体"/>
          <w:sz w:val="24"/>
        </w:rPr>
        <w:t>（二</w:t>
      </w:r>
      <w:r>
        <w:rPr>
          <w:rFonts w:hint="eastAsia" w:ascii="宋体" w:hAnsi="宋体" w:cs="宋体"/>
          <w:spacing w:val="-32"/>
          <w:sz w:val="24"/>
        </w:rPr>
        <w:t>）</w:t>
      </w:r>
      <w:r>
        <w:rPr>
          <w:rFonts w:hint="eastAsia" w:ascii="宋体" w:hAnsi="宋体" w:cs="宋体"/>
          <w:spacing w:val="-6"/>
          <w:sz w:val="24"/>
        </w:rPr>
        <w:t>乙方未按合同约定完成委托工作，每逾期一日，按照服务费总额的千</w:t>
      </w:r>
      <w:r>
        <w:rPr>
          <w:rFonts w:hint="eastAsia" w:ascii="宋体" w:hAnsi="宋体" w:cs="宋体"/>
          <w:spacing w:val="-9"/>
          <w:sz w:val="24"/>
        </w:rPr>
        <w:t>分之一向甲方支付违约金，但因甲方未按期提供资料或资金等甲方或第三方原因</w:t>
      </w:r>
      <w:r>
        <w:rPr>
          <w:rFonts w:hint="eastAsia" w:ascii="宋体" w:hAnsi="宋体" w:cs="宋体"/>
          <w:sz w:val="24"/>
        </w:rPr>
        <w:t xml:space="preserve">而导致延误的，不视为乙方违约，可以顺延相应期限。 </w:t>
      </w:r>
    </w:p>
    <w:p>
      <w:pPr>
        <w:spacing w:line="360" w:lineRule="auto"/>
        <w:rPr>
          <w:rFonts w:ascii="宋体" w:hAnsi="宋体" w:cs="宋体"/>
          <w:sz w:val="24"/>
          <w:lang w:val="zh-CN"/>
        </w:rPr>
      </w:pPr>
      <w:r>
        <w:rPr>
          <w:rFonts w:hint="eastAsia" w:ascii="宋体" w:hAnsi="宋体" w:cs="宋体"/>
          <w:sz w:val="24"/>
          <w:lang w:val="zh-CN"/>
        </w:rPr>
        <w:t xml:space="preserve">第八条 争议解决和法律适用 </w:t>
      </w:r>
    </w:p>
    <w:p>
      <w:pPr>
        <w:pStyle w:val="2"/>
        <w:spacing w:line="360" w:lineRule="auto"/>
        <w:ind w:firstLine="480" w:firstLineChars="200"/>
        <w:rPr>
          <w:rFonts w:ascii="宋体" w:hAnsi="宋体" w:cs="宋体"/>
          <w:sz w:val="24"/>
        </w:rPr>
      </w:pPr>
      <w:r>
        <w:rPr>
          <w:rFonts w:hint="eastAsia" w:ascii="宋体" w:hAnsi="宋体" w:cs="宋体"/>
          <w:sz w:val="24"/>
        </w:rPr>
        <w:t xml:space="preserve">（一）在任何争议解决期间，乙方应该继续提供不在争议项目范围内、并完全不受争议所影响的服务。甲方亦应该按照合同继续支付不在争议项目范围内、并完全不受争议所影响的部分服务费用。 </w:t>
      </w:r>
    </w:p>
    <w:p>
      <w:pPr>
        <w:pStyle w:val="2"/>
        <w:spacing w:line="360" w:lineRule="auto"/>
        <w:ind w:firstLine="480" w:firstLineChars="200"/>
        <w:rPr>
          <w:rFonts w:ascii="宋体" w:hAnsi="宋体" w:cs="宋体"/>
          <w:sz w:val="24"/>
        </w:rPr>
      </w:pPr>
      <w:r>
        <w:rPr>
          <w:rFonts w:hint="eastAsia" w:ascii="宋体" w:hAnsi="宋体" w:cs="宋体"/>
          <w:sz w:val="24"/>
        </w:rPr>
        <w:t>（二</w:t>
      </w:r>
      <w:r>
        <w:rPr>
          <w:rFonts w:hint="eastAsia" w:ascii="宋体" w:hAnsi="宋体" w:cs="宋体"/>
          <w:spacing w:val="-48"/>
          <w:sz w:val="24"/>
        </w:rPr>
        <w:t>）</w:t>
      </w:r>
      <w:r>
        <w:rPr>
          <w:rFonts w:hint="eastAsia" w:ascii="宋体" w:hAnsi="宋体" w:cs="宋体"/>
          <w:spacing w:val="-4"/>
          <w:sz w:val="24"/>
        </w:rPr>
        <w:t>所有与合同有关的争议将通过各方友好协商解决。如果不能通过友好</w:t>
      </w:r>
      <w:r>
        <w:rPr>
          <w:rFonts w:hint="eastAsia" w:ascii="宋体" w:hAnsi="宋体" w:cs="宋体"/>
          <w:spacing w:val="-10"/>
          <w:sz w:val="24"/>
        </w:rPr>
        <w:t>协商解决争议，则该争议应提交北京仲裁委员会进行仲裁。仲裁应依据该委员会</w:t>
      </w:r>
      <w:r>
        <w:rPr>
          <w:rFonts w:hint="eastAsia" w:ascii="宋体" w:hAnsi="宋体" w:cs="宋体"/>
          <w:sz w:val="24"/>
        </w:rPr>
        <w:t xml:space="preserve">的仲裁规则和程序进行。 </w:t>
      </w:r>
    </w:p>
    <w:p>
      <w:pPr>
        <w:pStyle w:val="2"/>
        <w:spacing w:line="360" w:lineRule="auto"/>
        <w:ind w:firstLine="480" w:firstLineChars="200"/>
        <w:rPr>
          <w:rFonts w:ascii="宋体" w:hAnsi="宋体" w:cs="宋体"/>
          <w:sz w:val="24"/>
        </w:rPr>
      </w:pPr>
      <w:r>
        <w:rPr>
          <w:rFonts w:hint="eastAsia" w:ascii="宋体" w:hAnsi="宋体" w:cs="宋体"/>
          <w:sz w:val="24"/>
        </w:rPr>
        <w:t xml:space="preserve">（三）仲裁为终局，对双方均有约束力，仲裁费用由败诉方承担。 </w:t>
      </w:r>
    </w:p>
    <w:p>
      <w:pPr>
        <w:pStyle w:val="2"/>
        <w:spacing w:line="360" w:lineRule="auto"/>
        <w:ind w:firstLine="480" w:firstLineChars="200"/>
        <w:rPr>
          <w:rFonts w:ascii="宋体" w:hAnsi="宋体" w:cs="宋体"/>
          <w:sz w:val="24"/>
        </w:rPr>
      </w:pPr>
      <w:r>
        <w:rPr>
          <w:rFonts w:hint="eastAsia" w:ascii="宋体" w:hAnsi="宋体" w:cs="宋体"/>
          <w:sz w:val="24"/>
        </w:rPr>
        <w:t xml:space="preserve">（四）仲裁进行过程中，双方将继续执行仲裁部分以外的合同其他部分。 </w:t>
      </w:r>
    </w:p>
    <w:p>
      <w:pPr>
        <w:spacing w:line="360" w:lineRule="auto"/>
        <w:ind w:firstLine="480" w:firstLineChars="200"/>
        <w:jc w:val="left"/>
        <w:rPr>
          <w:rFonts w:ascii="宋体" w:hAnsi="宋体" w:cs="宋体"/>
          <w:sz w:val="24"/>
        </w:rPr>
      </w:pPr>
      <w:r>
        <w:rPr>
          <w:rFonts w:hint="eastAsia" w:ascii="宋体" w:hAnsi="宋体" w:cs="宋体"/>
          <w:sz w:val="24"/>
        </w:rPr>
        <w:t>（五）本合同适用中华人民共和国相关法律。</w:t>
      </w:r>
    </w:p>
    <w:p>
      <w:pPr>
        <w:pStyle w:val="2"/>
        <w:spacing w:line="360" w:lineRule="auto"/>
        <w:ind w:firstLine="480" w:firstLineChars="200"/>
        <w:rPr>
          <w:rFonts w:ascii="宋体" w:hAnsi="宋体" w:cs="宋体"/>
          <w:sz w:val="24"/>
        </w:rPr>
      </w:pPr>
      <w:r>
        <w:rPr>
          <w:rFonts w:hint="eastAsia" w:ascii="宋体" w:hAnsi="宋体" w:cs="宋体"/>
          <w:sz w:val="24"/>
        </w:rPr>
        <w:t xml:space="preserve">第九条 合同的生效、终止及其他 </w:t>
      </w:r>
    </w:p>
    <w:p>
      <w:pPr>
        <w:pStyle w:val="2"/>
        <w:spacing w:line="360" w:lineRule="auto"/>
        <w:ind w:firstLine="480" w:firstLineChars="200"/>
        <w:rPr>
          <w:rFonts w:ascii="宋体" w:hAnsi="宋体" w:cs="宋体"/>
          <w:sz w:val="24"/>
        </w:rPr>
      </w:pPr>
      <w:r>
        <w:rPr>
          <w:rFonts w:hint="eastAsia" w:ascii="宋体" w:hAnsi="宋体" w:cs="宋体"/>
          <w:sz w:val="24"/>
        </w:rPr>
        <w:t xml:space="preserve">（一）本合同由双方代表签字盖章后生效。 </w:t>
      </w:r>
    </w:p>
    <w:p>
      <w:pPr>
        <w:pStyle w:val="2"/>
        <w:spacing w:line="360" w:lineRule="auto"/>
        <w:ind w:firstLine="480" w:firstLineChars="200"/>
        <w:rPr>
          <w:rFonts w:ascii="宋体" w:hAnsi="宋体" w:cs="宋体"/>
          <w:sz w:val="24"/>
        </w:rPr>
      </w:pPr>
      <w:r>
        <w:rPr>
          <w:rFonts w:hint="eastAsia" w:ascii="宋体" w:hAnsi="宋体" w:cs="宋体"/>
          <w:sz w:val="24"/>
        </w:rPr>
        <w:t>（二）</w:t>
      </w:r>
      <w:r>
        <w:rPr>
          <w:rFonts w:hint="eastAsia" w:ascii="宋体" w:hAnsi="宋体" w:cs="宋体"/>
          <w:spacing w:val="-4"/>
          <w:sz w:val="24"/>
        </w:rPr>
        <w:t>合同双方同意所有附件是合同不可分割的一部分，与合同正文具有同</w:t>
      </w:r>
      <w:r>
        <w:rPr>
          <w:rFonts w:hint="eastAsia" w:ascii="宋体" w:hAnsi="宋体" w:cs="宋体"/>
          <w:sz w:val="24"/>
        </w:rPr>
        <w:t xml:space="preserve">等效力。若附件与合同正文有任何不一致，以合同正文为准。 </w:t>
      </w:r>
    </w:p>
    <w:p>
      <w:pPr>
        <w:pStyle w:val="2"/>
        <w:spacing w:line="360" w:lineRule="auto"/>
        <w:ind w:firstLine="480" w:firstLineChars="200"/>
        <w:rPr>
          <w:rFonts w:ascii="宋体" w:hAnsi="宋体" w:cs="宋体"/>
          <w:sz w:val="24"/>
        </w:rPr>
      </w:pPr>
      <w:r>
        <w:rPr>
          <w:rFonts w:hint="eastAsia" w:ascii="宋体" w:hAnsi="宋体" w:cs="宋体"/>
          <w:sz w:val="24"/>
        </w:rPr>
        <w:t xml:space="preserve">（三）本合同及其附件为中文文本，一式四份，甲乙双方各执两份。 </w:t>
      </w:r>
    </w:p>
    <w:p>
      <w:pPr>
        <w:pStyle w:val="2"/>
        <w:tabs>
          <w:tab w:val="left" w:pos="7980"/>
        </w:tabs>
        <w:spacing w:line="360" w:lineRule="auto"/>
        <w:ind w:firstLine="480" w:firstLineChars="200"/>
        <w:rPr>
          <w:rFonts w:ascii="宋体" w:hAnsi="宋体" w:cs="宋体"/>
          <w:sz w:val="24"/>
        </w:rPr>
      </w:pPr>
      <w:r>
        <w:rPr>
          <w:rFonts w:hint="eastAsia" w:ascii="宋体" w:hAnsi="宋体" w:cs="宋体"/>
          <w:sz w:val="24"/>
        </w:rPr>
        <w:t>（四）</w:t>
      </w:r>
      <w:r>
        <w:rPr>
          <w:rFonts w:hint="eastAsia" w:ascii="宋体" w:hAnsi="宋体" w:cs="宋体"/>
          <w:spacing w:val="-4"/>
          <w:sz w:val="24"/>
        </w:rPr>
        <w:t>对合同内容做出的任何修改和补充应为书面形式，由双方授权代表签</w:t>
      </w:r>
      <w:r>
        <w:rPr>
          <w:rFonts w:hint="eastAsia" w:ascii="宋体" w:hAnsi="宋体" w:cs="宋体"/>
          <w:sz w:val="24"/>
        </w:rPr>
        <w:t xml:space="preserve">字后成为合同不可分割的部分。 </w:t>
      </w:r>
    </w:p>
    <w:p>
      <w:pPr>
        <w:pStyle w:val="2"/>
        <w:spacing w:line="360" w:lineRule="auto"/>
        <w:ind w:firstLine="480" w:firstLineChars="200"/>
        <w:rPr>
          <w:rFonts w:ascii="宋体" w:hAnsi="宋体" w:cs="宋体"/>
          <w:sz w:val="24"/>
        </w:rPr>
      </w:pPr>
      <w:r>
        <w:rPr>
          <w:rFonts w:hint="eastAsia" w:ascii="宋体" w:hAnsi="宋体" w:cs="宋体"/>
          <w:sz w:val="24"/>
        </w:rPr>
        <w:t>（五）</w:t>
      </w:r>
      <w:r>
        <w:rPr>
          <w:rFonts w:hint="eastAsia" w:ascii="宋体" w:hAnsi="宋体" w:cs="宋体"/>
          <w:spacing w:val="-1"/>
          <w:sz w:val="24"/>
        </w:rPr>
        <w:t>任何与合同相关但未在合同中明确规定的事项将由双方友好协商并以</w:t>
      </w:r>
      <w:r>
        <w:rPr>
          <w:rFonts w:hint="eastAsia" w:ascii="宋体" w:hAnsi="宋体" w:cs="宋体"/>
          <w:sz w:val="24"/>
        </w:rPr>
        <w:t xml:space="preserve">补充协议予以解决。 </w:t>
      </w:r>
    </w:p>
    <w:p>
      <w:pPr>
        <w:pStyle w:val="2"/>
        <w:spacing w:before="2"/>
        <w:ind w:left="940"/>
        <w:rPr>
          <w:rFonts w:ascii="宋体" w:hAnsi="宋体" w:cs="宋体"/>
          <w:sz w:val="24"/>
        </w:rPr>
      </w:pPr>
      <w:r>
        <w:rPr>
          <w:rFonts w:hint="eastAsia" w:ascii="宋体" w:hAnsi="宋体" w:cs="宋体"/>
          <w:sz w:val="24"/>
        </w:rPr>
        <w:t xml:space="preserve"> </w:t>
      </w:r>
    </w:p>
    <w:p>
      <w:pPr>
        <w:pStyle w:val="2"/>
        <w:spacing w:before="161"/>
        <w:ind w:left="460"/>
        <w:rPr>
          <w:rFonts w:ascii="宋体" w:hAnsi="宋体" w:cs="宋体"/>
          <w:sz w:val="24"/>
        </w:rPr>
      </w:pPr>
      <w:r>
        <w:rPr>
          <w:rFonts w:hint="eastAsia" w:ascii="宋体" w:hAnsi="宋体" w:cs="宋体"/>
          <w:sz w:val="24"/>
        </w:rPr>
        <w:t xml:space="preserve">[以下无正文，供双方签字盖章] </w:t>
      </w:r>
    </w:p>
    <w:p>
      <w:pPr>
        <w:pStyle w:val="2"/>
        <w:spacing w:before="160"/>
        <w:ind w:left="460"/>
        <w:rPr>
          <w:rFonts w:ascii="宋体" w:hAnsi="宋体" w:cs="宋体"/>
          <w:sz w:val="24"/>
        </w:rPr>
      </w:pPr>
      <w:r>
        <w:rPr>
          <w:rFonts w:hint="eastAsia" w:ascii="宋体" w:hAnsi="宋体" w:cs="宋体"/>
          <w:sz w:val="24"/>
        </w:rPr>
        <w:t xml:space="preserve"> </w:t>
      </w:r>
    </w:p>
    <w:p>
      <w:pPr>
        <w:pStyle w:val="2"/>
        <w:spacing w:before="161"/>
        <w:ind w:left="460"/>
        <w:rPr>
          <w:rFonts w:ascii="宋体" w:hAnsi="宋体" w:cs="宋体"/>
          <w:sz w:val="24"/>
        </w:rPr>
      </w:pPr>
      <w:r>
        <w:rPr>
          <w:rFonts w:hint="eastAsia" w:ascii="宋体" w:hAnsi="宋体" w:cs="宋体"/>
          <w:sz w:val="24"/>
        </w:rPr>
        <w:t>甲方（公章</w:t>
      </w:r>
      <w:r>
        <w:rPr>
          <w:rFonts w:hint="eastAsia" w:ascii="宋体" w:hAnsi="宋体" w:cs="宋体"/>
          <w:spacing w:val="-120"/>
          <w:sz w:val="24"/>
        </w:rPr>
        <w:t>）</w:t>
      </w:r>
      <w:r>
        <w:rPr>
          <w:rFonts w:hint="eastAsia" w:ascii="宋体" w:hAnsi="宋体" w:cs="宋体"/>
          <w:sz w:val="24"/>
        </w:rPr>
        <w:t>）：</w:t>
      </w:r>
      <w:r>
        <w:rPr>
          <w:rFonts w:hint="eastAsia" w:ascii="宋体" w:hAnsi="宋体" w:cs="宋体"/>
          <w:spacing w:val="-1"/>
          <w:sz w:val="24"/>
        </w:rPr>
        <w:t xml:space="preserve">                             乙方</w:t>
      </w:r>
      <w:r>
        <w:rPr>
          <w:rFonts w:hint="eastAsia" w:ascii="宋体" w:hAnsi="宋体" w:cs="宋体"/>
          <w:sz w:val="24"/>
        </w:rPr>
        <w:t>（公章</w:t>
      </w:r>
      <w:r>
        <w:rPr>
          <w:rFonts w:hint="eastAsia" w:ascii="宋体" w:hAnsi="宋体" w:cs="宋体"/>
          <w:spacing w:val="-120"/>
          <w:sz w:val="24"/>
        </w:rPr>
        <w:t>）</w:t>
      </w:r>
      <w:r>
        <w:rPr>
          <w:rFonts w:hint="eastAsia" w:ascii="宋体" w:hAnsi="宋体" w:cs="宋体"/>
          <w:sz w:val="24"/>
        </w:rPr>
        <w:t xml:space="preserve">） </w:t>
      </w:r>
    </w:p>
    <w:p>
      <w:pPr>
        <w:pStyle w:val="2"/>
        <w:spacing w:before="160"/>
        <w:ind w:left="460"/>
        <w:rPr>
          <w:rFonts w:ascii="宋体" w:hAnsi="宋体" w:cs="宋体"/>
          <w:sz w:val="24"/>
        </w:rPr>
      </w:pPr>
      <w:r>
        <w:rPr>
          <w:rFonts w:hint="eastAsia" w:ascii="宋体" w:hAnsi="宋体" w:cs="宋体"/>
          <w:sz w:val="24"/>
        </w:rPr>
        <w:t xml:space="preserve"> </w:t>
      </w:r>
    </w:p>
    <w:p>
      <w:pPr>
        <w:pStyle w:val="2"/>
        <w:spacing w:before="160"/>
        <w:ind w:left="460"/>
        <w:rPr>
          <w:rFonts w:ascii="宋体" w:hAnsi="宋体" w:cs="宋体"/>
          <w:sz w:val="24"/>
        </w:rPr>
      </w:pPr>
      <w:r>
        <w:rPr>
          <w:rFonts w:hint="eastAsia" w:ascii="宋体" w:hAnsi="宋体" w:cs="宋体"/>
          <w:sz w:val="24"/>
        </w:rPr>
        <w:t xml:space="preserve">法 定 代 表 人 ：                       法 定 代 表 人 ： </w:t>
      </w:r>
    </w:p>
    <w:p>
      <w:pPr>
        <w:pStyle w:val="2"/>
        <w:spacing w:before="161"/>
        <w:ind w:left="460"/>
        <w:rPr>
          <w:rFonts w:ascii="宋体" w:hAnsi="宋体" w:cs="宋体"/>
          <w:sz w:val="24"/>
        </w:rPr>
      </w:pPr>
      <w:r>
        <w:rPr>
          <w:rFonts w:hint="eastAsia" w:ascii="宋体" w:hAnsi="宋体" w:cs="宋体"/>
          <w:sz w:val="24"/>
        </w:rPr>
        <w:t xml:space="preserve"> </w:t>
      </w:r>
    </w:p>
    <w:p>
      <w:pPr>
        <w:pStyle w:val="2"/>
        <w:spacing w:before="161"/>
        <w:ind w:left="460"/>
        <w:rPr>
          <w:rFonts w:ascii="宋体" w:hAnsi="宋体" w:cs="宋体"/>
          <w:sz w:val="24"/>
        </w:rPr>
      </w:pPr>
      <w:r>
        <w:rPr>
          <w:rFonts w:hint="eastAsia" w:ascii="宋体" w:hAnsi="宋体" w:cs="宋体"/>
          <w:sz w:val="24"/>
        </w:rPr>
        <w:t xml:space="preserve">(或授权代表人)签字：                   (或授权代表)签字： </w:t>
      </w:r>
    </w:p>
    <w:p>
      <w:pPr>
        <w:pStyle w:val="2"/>
        <w:spacing w:before="161"/>
        <w:ind w:left="460"/>
        <w:rPr>
          <w:rFonts w:ascii="宋体" w:hAnsi="宋体" w:cs="宋体"/>
          <w:sz w:val="24"/>
        </w:rPr>
      </w:pPr>
      <w:r>
        <w:rPr>
          <w:rFonts w:hint="eastAsia" w:ascii="宋体" w:hAnsi="宋体" w:cs="宋体"/>
          <w:sz w:val="24"/>
        </w:rPr>
        <w:t xml:space="preserve"> </w:t>
      </w:r>
    </w:p>
    <w:p>
      <w:pPr>
        <w:pStyle w:val="2"/>
        <w:tabs>
          <w:tab w:val="left" w:pos="3820"/>
        </w:tabs>
        <w:spacing w:before="160"/>
        <w:ind w:left="460"/>
        <w:jc w:val="center"/>
        <w:rPr>
          <w:rFonts w:ascii="宋体" w:hAnsi="宋体" w:cs="宋体"/>
          <w:sz w:val="24"/>
        </w:rPr>
      </w:pPr>
      <w:r>
        <w:rPr>
          <w:rFonts w:hint="eastAsia" w:ascii="宋体" w:hAnsi="宋体" w:cs="宋体"/>
          <w:sz w:val="24"/>
        </w:rPr>
        <w:t>日 期 ：2022 年</w:t>
      </w:r>
      <w:r>
        <w:rPr>
          <w:rFonts w:hint="eastAsia" w:ascii="宋体" w:hAnsi="宋体" w:cs="宋体"/>
          <w:spacing w:val="59"/>
          <w:sz w:val="24"/>
        </w:rPr>
        <w:t xml:space="preserve"> </w:t>
      </w:r>
      <w:r>
        <w:rPr>
          <w:rFonts w:hint="eastAsia" w:ascii="宋体" w:hAnsi="宋体" w:cs="宋体"/>
          <w:sz w:val="24"/>
        </w:rPr>
        <w:t>月    日</w:t>
      </w:r>
      <w:r>
        <w:rPr>
          <w:rFonts w:hint="eastAsia" w:ascii="宋体" w:hAnsi="宋体" w:cs="宋体"/>
          <w:sz w:val="24"/>
        </w:rPr>
        <w:tab/>
      </w:r>
      <w:r>
        <w:rPr>
          <w:rFonts w:hint="eastAsia" w:ascii="宋体" w:hAnsi="宋体" w:cs="宋体"/>
          <w:sz w:val="24"/>
        </w:rPr>
        <w:t xml:space="preserve">            日 期 ：2022 年 月</w:t>
      </w:r>
      <w:r>
        <w:rPr>
          <w:rFonts w:hint="eastAsia" w:ascii="宋体" w:hAnsi="宋体" w:cs="宋体"/>
          <w:spacing w:val="60"/>
          <w:sz w:val="24"/>
        </w:rPr>
        <w:t xml:space="preserve"> </w:t>
      </w:r>
      <w:r>
        <w:rPr>
          <w:rFonts w:hint="eastAsia" w:ascii="宋体" w:hAnsi="宋体" w:cs="宋体"/>
          <w:sz w:val="24"/>
        </w:rPr>
        <w:t>日</w:t>
      </w:r>
    </w:p>
    <w:p>
      <w:pPr>
        <w:pStyle w:val="2"/>
        <w:tabs>
          <w:tab w:val="left" w:pos="3820"/>
        </w:tabs>
        <w:spacing w:before="160"/>
        <w:ind w:left="460"/>
        <w:jc w:val="center"/>
        <w:outlineLvl w:val="0"/>
        <w:rPr>
          <w:rFonts w:ascii="宋体" w:hAnsi="宋体" w:cs="宋体"/>
        </w:rPr>
      </w:pPr>
      <w:r>
        <w:rPr>
          <w:rFonts w:hint="eastAsia" w:ascii="宋体" w:hAnsi="宋体" w:cs="宋体"/>
          <w:sz w:val="24"/>
        </w:rPr>
        <w:br w:type="page"/>
      </w:r>
      <w:bookmarkStart w:id="113" w:name="_Toc8251"/>
      <w:bookmarkStart w:id="114" w:name="_Toc11420"/>
      <w:bookmarkStart w:id="115" w:name="_Toc8733"/>
      <w:r>
        <w:rPr>
          <w:rFonts w:hint="eastAsia" w:ascii="微软雅黑" w:hAnsi="微软雅黑" w:eastAsia="微软雅黑" w:cs="微软雅黑"/>
          <w:b/>
          <w:sz w:val="40"/>
          <w:szCs w:val="22"/>
        </w:rPr>
        <w:t>第六章  投标文件格式</w:t>
      </w:r>
      <w:bookmarkEnd w:id="113"/>
      <w:bookmarkEnd w:id="114"/>
    </w:p>
    <w:p>
      <w:pPr>
        <w:rPr>
          <w:rFonts w:ascii="宋体" w:hAnsi="宋体" w:cs="宋体"/>
        </w:rPr>
      </w:pPr>
    </w:p>
    <w:p>
      <w:pPr>
        <w:widowControl/>
        <w:spacing w:line="460" w:lineRule="exact"/>
        <w:jc w:val="right"/>
        <w:rPr>
          <w:rFonts w:ascii="宋体" w:hAnsi="宋体" w:cs="宋体"/>
          <w:sz w:val="36"/>
          <w:szCs w:val="36"/>
        </w:rPr>
      </w:pPr>
      <w:r>
        <w:rPr>
          <w:rFonts w:hint="eastAsia" w:ascii="宋体" w:hAnsi="宋体" w:cs="宋体"/>
          <w:sz w:val="36"/>
          <w:szCs w:val="36"/>
        </w:rPr>
        <w:t xml:space="preserve"> 正/副本 </w:t>
      </w:r>
    </w:p>
    <w:p>
      <w:pPr>
        <w:widowControl/>
        <w:spacing w:line="460" w:lineRule="exact"/>
        <w:jc w:val="center"/>
        <w:rPr>
          <w:rFonts w:ascii="宋体" w:hAnsi="宋体" w:cs="宋体"/>
          <w:sz w:val="36"/>
          <w:szCs w:val="36"/>
        </w:rPr>
      </w:pPr>
    </w:p>
    <w:p>
      <w:pPr>
        <w:widowControl/>
        <w:spacing w:line="460" w:lineRule="exact"/>
        <w:jc w:val="center"/>
        <w:rPr>
          <w:rFonts w:ascii="宋体" w:hAnsi="宋体" w:cs="宋体"/>
          <w:sz w:val="36"/>
          <w:szCs w:val="36"/>
        </w:rPr>
      </w:pPr>
    </w:p>
    <w:p>
      <w:pPr>
        <w:widowControl/>
        <w:spacing w:line="460" w:lineRule="exact"/>
        <w:jc w:val="center"/>
        <w:rPr>
          <w:rFonts w:ascii="宋体" w:hAnsi="宋体" w:cs="宋体"/>
          <w:sz w:val="36"/>
          <w:szCs w:val="36"/>
        </w:rPr>
      </w:pPr>
    </w:p>
    <w:p>
      <w:pPr>
        <w:widowControl/>
        <w:spacing w:line="460" w:lineRule="exact"/>
        <w:jc w:val="center"/>
        <w:rPr>
          <w:rFonts w:ascii="宋体" w:hAnsi="宋体" w:cs="宋体"/>
          <w:sz w:val="36"/>
          <w:szCs w:val="36"/>
        </w:rPr>
      </w:pPr>
    </w:p>
    <w:p>
      <w:pPr>
        <w:widowControl/>
        <w:spacing w:line="460" w:lineRule="exact"/>
        <w:jc w:val="center"/>
        <w:rPr>
          <w:rFonts w:ascii="宋体" w:hAnsi="宋体" w:cs="宋体"/>
          <w:sz w:val="36"/>
          <w:szCs w:val="36"/>
        </w:rPr>
      </w:pPr>
    </w:p>
    <w:p>
      <w:pPr>
        <w:widowControl/>
        <w:spacing w:line="460" w:lineRule="exact"/>
        <w:jc w:val="center"/>
        <w:rPr>
          <w:rFonts w:ascii="宋体" w:hAnsi="宋体" w:cs="宋体"/>
          <w:sz w:val="36"/>
          <w:szCs w:val="36"/>
        </w:rPr>
      </w:pPr>
    </w:p>
    <w:p>
      <w:pPr>
        <w:widowControl/>
        <w:spacing w:line="480" w:lineRule="auto"/>
        <w:jc w:val="center"/>
        <w:rPr>
          <w:rFonts w:ascii="宋体" w:hAnsi="宋体" w:cs="宋体"/>
          <w:b/>
          <w:sz w:val="84"/>
          <w:szCs w:val="84"/>
        </w:rPr>
      </w:pPr>
      <w:r>
        <w:rPr>
          <w:rFonts w:hint="eastAsia" w:ascii="宋体" w:hAnsi="宋体" w:cs="宋体"/>
          <w:b/>
          <w:bCs/>
          <w:spacing w:val="2"/>
          <w:sz w:val="96"/>
          <w:szCs w:val="96"/>
        </w:rPr>
        <w:t>投标文件</w:t>
      </w:r>
    </w:p>
    <w:p>
      <w:pPr>
        <w:widowControl/>
        <w:spacing w:line="460" w:lineRule="exact"/>
        <w:jc w:val="center"/>
        <w:rPr>
          <w:rFonts w:ascii="宋体" w:hAnsi="宋体" w:cs="宋体"/>
          <w:sz w:val="36"/>
          <w:szCs w:val="36"/>
        </w:rPr>
      </w:pPr>
    </w:p>
    <w:p>
      <w:pPr>
        <w:pStyle w:val="52"/>
        <w:spacing w:line="460" w:lineRule="exact"/>
      </w:pPr>
    </w:p>
    <w:p>
      <w:pPr>
        <w:widowControl/>
        <w:spacing w:line="460" w:lineRule="exact"/>
        <w:ind w:firstLine="1792" w:firstLineChars="850"/>
        <w:rPr>
          <w:rFonts w:ascii="宋体" w:hAnsi="宋体" w:cs="宋体"/>
          <w:b/>
          <w:szCs w:val="30"/>
        </w:rPr>
      </w:pPr>
    </w:p>
    <w:p>
      <w:pPr>
        <w:widowControl/>
        <w:spacing w:line="460" w:lineRule="exact"/>
        <w:rPr>
          <w:rFonts w:ascii="宋体" w:hAnsi="宋体" w:cs="宋体"/>
          <w:b/>
          <w:szCs w:val="30"/>
        </w:rPr>
      </w:pPr>
      <w:r>
        <w:rPr>
          <w:rFonts w:hint="eastAsia" w:ascii="宋体" w:hAnsi="宋体" w:cs="宋体"/>
          <w:b/>
          <w:sz w:val="30"/>
          <w:szCs w:val="30"/>
          <w:lang w:bidi="ar"/>
        </w:rPr>
        <w:t xml:space="preserve">    项目名称：</w:t>
      </w:r>
    </w:p>
    <w:p>
      <w:pPr>
        <w:widowControl/>
        <w:spacing w:line="460" w:lineRule="exact"/>
        <w:ind w:firstLine="600"/>
        <w:rPr>
          <w:rFonts w:ascii="宋体" w:hAnsi="宋体" w:cs="宋体"/>
          <w:b/>
          <w:sz w:val="30"/>
          <w:szCs w:val="30"/>
          <w:lang w:bidi="ar"/>
        </w:rPr>
      </w:pPr>
      <w:r>
        <w:rPr>
          <w:rFonts w:hint="eastAsia" w:ascii="宋体" w:hAnsi="宋体" w:cs="宋体"/>
          <w:b/>
          <w:sz w:val="30"/>
          <w:szCs w:val="30"/>
          <w:lang w:bidi="ar"/>
        </w:rPr>
        <w:t>项目编号：</w:t>
      </w:r>
    </w:p>
    <w:p>
      <w:pPr>
        <w:widowControl/>
        <w:spacing w:line="460" w:lineRule="exact"/>
        <w:ind w:firstLine="600"/>
        <w:rPr>
          <w:rFonts w:ascii="宋体" w:hAnsi="宋体" w:cs="宋体"/>
          <w:b/>
          <w:sz w:val="30"/>
          <w:szCs w:val="30"/>
          <w:lang w:bidi="ar"/>
        </w:rPr>
      </w:pPr>
    </w:p>
    <w:p>
      <w:pPr>
        <w:widowControl/>
        <w:spacing w:line="460" w:lineRule="exact"/>
        <w:jc w:val="center"/>
        <w:rPr>
          <w:rFonts w:ascii="宋体" w:hAnsi="宋体" w:cs="宋体"/>
          <w:sz w:val="36"/>
          <w:szCs w:val="36"/>
        </w:rPr>
      </w:pPr>
    </w:p>
    <w:p>
      <w:pPr>
        <w:pStyle w:val="52"/>
        <w:spacing w:line="460" w:lineRule="exact"/>
      </w:pPr>
    </w:p>
    <w:p>
      <w:pPr>
        <w:widowControl/>
        <w:spacing w:line="460" w:lineRule="exact"/>
        <w:ind w:firstLine="562" w:firstLineChars="200"/>
        <w:rPr>
          <w:rFonts w:ascii="宋体" w:hAnsi="宋体" w:cs="宋体"/>
          <w:b/>
          <w:sz w:val="28"/>
          <w:szCs w:val="28"/>
          <w:lang w:bidi="ar"/>
        </w:rPr>
      </w:pPr>
      <w:r>
        <w:rPr>
          <w:rFonts w:hint="eastAsia" w:ascii="宋体" w:hAnsi="宋体" w:cs="宋体"/>
          <w:b/>
          <w:sz w:val="28"/>
          <w:szCs w:val="28"/>
          <w:lang w:bidi="ar"/>
        </w:rPr>
        <w:t>供应商（加盖公章）：</w:t>
      </w:r>
    </w:p>
    <w:p>
      <w:pPr>
        <w:widowControl/>
        <w:spacing w:line="460" w:lineRule="exact"/>
        <w:ind w:firstLine="562" w:firstLineChars="200"/>
        <w:rPr>
          <w:rFonts w:ascii="宋体" w:hAnsi="宋体" w:cs="宋体"/>
          <w:b/>
          <w:sz w:val="28"/>
          <w:szCs w:val="28"/>
        </w:rPr>
      </w:pPr>
      <w:r>
        <w:rPr>
          <w:rFonts w:hint="eastAsia" w:ascii="宋体" w:hAnsi="宋体" w:cs="宋体"/>
          <w:b/>
          <w:sz w:val="28"/>
          <w:szCs w:val="28"/>
          <w:lang w:bidi="ar"/>
        </w:rPr>
        <w:t>法定代表人（或授权委托人）：</w:t>
      </w:r>
      <w:r>
        <w:rPr>
          <w:rFonts w:hint="eastAsia" w:ascii="宋体" w:hAnsi="宋体" w:cs="宋体"/>
          <w:spacing w:val="-1"/>
          <w:sz w:val="30"/>
          <w:szCs w:val="30"/>
          <w:u w:val="single"/>
        </w:rPr>
        <w:tab/>
      </w:r>
      <w:r>
        <w:rPr>
          <w:rFonts w:hint="eastAsia" w:ascii="宋体" w:hAnsi="宋体" w:cs="宋体"/>
          <w:sz w:val="30"/>
          <w:szCs w:val="30"/>
          <w:u w:val="single"/>
        </w:rPr>
        <w:t>（签字）</w:t>
      </w:r>
      <w:r>
        <w:rPr>
          <w:rFonts w:hint="eastAsia" w:ascii="宋体" w:hAnsi="宋体" w:cs="宋体"/>
          <w:b/>
          <w:sz w:val="28"/>
          <w:szCs w:val="28"/>
          <w:lang w:bidi="ar"/>
        </w:rPr>
        <w:t xml:space="preserve">                 </w:t>
      </w:r>
    </w:p>
    <w:p>
      <w:pPr>
        <w:widowControl/>
        <w:spacing w:line="460" w:lineRule="exact"/>
        <w:ind w:firstLine="422" w:firstLineChars="150"/>
        <w:rPr>
          <w:rFonts w:ascii="宋体" w:hAnsi="宋体" w:cs="宋体"/>
          <w:b/>
          <w:sz w:val="28"/>
          <w:szCs w:val="28"/>
        </w:rPr>
      </w:pPr>
      <w:r>
        <w:rPr>
          <w:rFonts w:hint="eastAsia" w:ascii="宋体" w:hAnsi="宋体" w:cs="宋体"/>
          <w:b/>
          <w:sz w:val="28"/>
          <w:szCs w:val="28"/>
          <w:lang w:bidi="ar"/>
        </w:rPr>
        <w:t xml:space="preserve"> 电    话：</w:t>
      </w:r>
    </w:p>
    <w:p>
      <w:pPr>
        <w:widowControl/>
        <w:spacing w:line="460" w:lineRule="exact"/>
        <w:ind w:firstLine="422" w:firstLineChars="150"/>
        <w:rPr>
          <w:rFonts w:ascii="宋体" w:hAnsi="宋体" w:cs="宋体"/>
          <w:b/>
          <w:sz w:val="28"/>
          <w:szCs w:val="28"/>
        </w:rPr>
      </w:pPr>
      <w:r>
        <w:rPr>
          <w:rFonts w:hint="eastAsia" w:ascii="宋体" w:hAnsi="宋体" w:cs="宋体"/>
          <w:b/>
          <w:sz w:val="28"/>
          <w:szCs w:val="28"/>
          <w:lang w:bidi="ar"/>
        </w:rPr>
        <w:t xml:space="preserve"> 日    期：</w:t>
      </w:r>
    </w:p>
    <w:p>
      <w:pPr>
        <w:pStyle w:val="2"/>
        <w:kinsoku w:val="0"/>
        <w:overflowPunct w:val="0"/>
        <w:spacing w:before="4"/>
        <w:jc w:val="center"/>
        <w:rPr>
          <w:rFonts w:ascii="宋体" w:hAnsi="宋体" w:cs="宋体"/>
          <w:b/>
          <w:sz w:val="36"/>
          <w:szCs w:val="36"/>
        </w:rPr>
      </w:pPr>
    </w:p>
    <w:p/>
    <w:p>
      <w:pPr>
        <w:rPr>
          <w:rFonts w:ascii="宋体" w:hAnsi="宋体" w:cs="宋体"/>
        </w:rPr>
      </w:pPr>
    </w:p>
    <w:p>
      <w:pPr>
        <w:pStyle w:val="2"/>
        <w:kinsoku w:val="0"/>
        <w:overflowPunct w:val="0"/>
        <w:spacing w:before="130" w:line="355" w:lineRule="auto"/>
        <w:ind w:right="7" w:firstLine="480"/>
        <w:jc w:val="center"/>
        <w:rPr>
          <w:rFonts w:ascii="宋体" w:hAnsi="宋体" w:cs="宋体"/>
          <w:b/>
          <w:spacing w:val="4"/>
        </w:rPr>
      </w:pPr>
      <w:r>
        <w:rPr>
          <w:rFonts w:hint="eastAsia" w:ascii="宋体" w:hAnsi="宋体" w:cs="宋体"/>
        </w:rPr>
        <w:br w:type="page"/>
      </w:r>
      <w:r>
        <w:rPr>
          <w:rFonts w:hint="eastAsia" w:ascii="宋体" w:hAnsi="宋体" w:cs="宋体"/>
          <w:b/>
          <w:spacing w:val="4"/>
        </w:rPr>
        <w:t>目录</w:t>
      </w:r>
    </w:p>
    <w:p>
      <w:pPr>
        <w:pStyle w:val="2"/>
        <w:ind w:firstLine="422" w:firstLineChars="200"/>
        <w:rPr>
          <w:rFonts w:ascii="宋体" w:hAnsi="宋体" w:cs="宋体"/>
          <w:b/>
        </w:rPr>
      </w:pPr>
      <w:r>
        <w:rPr>
          <w:rFonts w:hint="eastAsia" w:ascii="宋体" w:hAnsi="宋体" w:cs="宋体"/>
          <w:b/>
        </w:rPr>
        <w:t>一、商务部分</w:t>
      </w:r>
    </w:p>
    <w:p>
      <w:pPr>
        <w:pStyle w:val="2"/>
        <w:ind w:firstLine="420" w:firstLineChars="200"/>
        <w:rPr>
          <w:rFonts w:ascii="宋体" w:hAnsi="宋体" w:cs="宋体"/>
        </w:rPr>
      </w:pPr>
      <w:r>
        <w:rPr>
          <w:rFonts w:hint="eastAsia" w:ascii="宋体" w:hAnsi="宋体" w:cs="宋体"/>
        </w:rPr>
        <w:t>(1)投标函；</w:t>
      </w:r>
    </w:p>
    <w:p>
      <w:pPr>
        <w:pStyle w:val="2"/>
        <w:ind w:firstLine="420" w:firstLineChars="200"/>
        <w:rPr>
          <w:rFonts w:ascii="宋体" w:hAnsi="宋体" w:cs="宋体"/>
        </w:rPr>
      </w:pPr>
      <w:r>
        <w:rPr>
          <w:rFonts w:hint="eastAsia" w:ascii="宋体" w:hAnsi="宋体" w:cs="宋体"/>
        </w:rPr>
        <w:t xml:space="preserve">(2)法定代表人身份证明（附法定代表人身份证复印件）； </w:t>
      </w:r>
    </w:p>
    <w:p>
      <w:pPr>
        <w:pStyle w:val="2"/>
        <w:ind w:firstLine="420" w:firstLineChars="200"/>
        <w:rPr>
          <w:rFonts w:ascii="宋体" w:hAnsi="宋体" w:cs="宋体"/>
        </w:rPr>
      </w:pPr>
      <w:r>
        <w:rPr>
          <w:rFonts w:hint="eastAsia" w:ascii="宋体" w:hAnsi="宋体" w:cs="宋体"/>
        </w:rPr>
        <w:t xml:space="preserve">(3)委托授权书（附被授权人身份证复印件）； </w:t>
      </w:r>
    </w:p>
    <w:p>
      <w:pPr>
        <w:pStyle w:val="2"/>
        <w:ind w:firstLine="420" w:firstLineChars="200"/>
        <w:rPr>
          <w:rFonts w:ascii="宋体" w:hAnsi="宋体" w:cs="宋体"/>
        </w:rPr>
      </w:pPr>
      <w:r>
        <w:rPr>
          <w:rFonts w:hint="eastAsia" w:ascii="宋体" w:hAnsi="宋体" w:cs="宋体"/>
        </w:rPr>
        <w:t xml:space="preserve">(4)投标保证金缴纳凭证（复印件加盖公章）； </w:t>
      </w:r>
    </w:p>
    <w:p>
      <w:pPr>
        <w:pStyle w:val="2"/>
        <w:ind w:firstLine="420" w:firstLineChars="200"/>
        <w:rPr>
          <w:rFonts w:ascii="宋体" w:hAnsi="宋体" w:cs="宋体"/>
        </w:rPr>
      </w:pPr>
      <w:r>
        <w:rPr>
          <w:rFonts w:hint="eastAsia" w:ascii="宋体" w:hAnsi="宋体" w:cs="宋体"/>
        </w:rPr>
        <w:t>(5 报价一览表；</w:t>
      </w:r>
    </w:p>
    <w:p>
      <w:pPr>
        <w:pStyle w:val="2"/>
        <w:ind w:firstLine="420" w:firstLineChars="200"/>
        <w:rPr>
          <w:rFonts w:ascii="宋体" w:hAnsi="宋体" w:cs="宋体"/>
        </w:rPr>
      </w:pPr>
      <w:r>
        <w:rPr>
          <w:rFonts w:hint="eastAsia" w:ascii="宋体" w:hAnsi="宋体" w:cs="宋体"/>
        </w:rPr>
        <w:t xml:space="preserve">(6)投标报价汇总表； </w:t>
      </w:r>
    </w:p>
    <w:p>
      <w:pPr>
        <w:pStyle w:val="2"/>
        <w:ind w:firstLine="420" w:firstLineChars="200"/>
        <w:rPr>
          <w:rFonts w:ascii="宋体" w:hAnsi="宋体" w:cs="宋体"/>
        </w:rPr>
      </w:pPr>
      <w:r>
        <w:rPr>
          <w:rFonts w:hint="eastAsia" w:ascii="宋体" w:hAnsi="宋体" w:cs="宋体"/>
        </w:rPr>
        <w:t>(7)供应商基本情况；</w:t>
      </w:r>
    </w:p>
    <w:p>
      <w:pPr>
        <w:pStyle w:val="2"/>
        <w:ind w:firstLine="420" w:firstLineChars="200"/>
        <w:rPr>
          <w:rFonts w:ascii="宋体" w:hAnsi="宋体" w:cs="宋体"/>
        </w:rPr>
      </w:pPr>
      <w:r>
        <w:rPr>
          <w:rFonts w:hint="eastAsia" w:ascii="宋体" w:hAnsi="宋体" w:cs="宋体"/>
        </w:rPr>
        <w:t>1）供应商基本情况表；</w:t>
      </w:r>
    </w:p>
    <w:p>
      <w:pPr>
        <w:pStyle w:val="2"/>
        <w:ind w:firstLine="420" w:firstLineChars="200"/>
        <w:rPr>
          <w:rFonts w:ascii="宋体" w:hAnsi="宋体" w:cs="宋体"/>
        </w:rPr>
      </w:pPr>
      <w:r>
        <w:rPr>
          <w:rFonts w:hint="eastAsia" w:ascii="宋体" w:hAnsi="宋体" w:cs="宋体"/>
        </w:rPr>
        <w:t>2）营业执照副本、税务登记证、组织机构代码证、（三证合一的提供统一社会信用代码的营业执照）、公司资质证书（复印件加盖公章）；</w:t>
      </w:r>
    </w:p>
    <w:p>
      <w:pPr>
        <w:pStyle w:val="2"/>
        <w:ind w:firstLine="420" w:firstLineChars="200"/>
        <w:rPr>
          <w:rFonts w:ascii="宋体" w:hAnsi="宋体" w:cs="宋体"/>
        </w:rPr>
      </w:pPr>
      <w:r>
        <w:rPr>
          <w:rFonts w:hint="eastAsia" w:ascii="宋体" w:hAnsi="宋体" w:cs="宋体"/>
        </w:rPr>
        <w:t>3）近一年财务状况报告相关材料（复印件加盖公章）；</w:t>
      </w:r>
    </w:p>
    <w:p>
      <w:pPr>
        <w:pStyle w:val="2"/>
        <w:ind w:firstLine="420" w:firstLineChars="200"/>
        <w:rPr>
          <w:rFonts w:ascii="宋体" w:hAnsi="宋体" w:cs="宋体"/>
        </w:rPr>
      </w:pPr>
      <w:r>
        <w:rPr>
          <w:rFonts w:hint="eastAsia" w:ascii="宋体" w:hAnsi="宋体" w:cs="宋体"/>
        </w:rPr>
        <w:t>4）税收缴纳证明（复印件加盖公章）；</w:t>
      </w:r>
    </w:p>
    <w:p>
      <w:pPr>
        <w:pStyle w:val="2"/>
        <w:ind w:firstLine="420" w:firstLineChars="200"/>
        <w:rPr>
          <w:rFonts w:ascii="宋体" w:hAnsi="宋体" w:cs="宋体"/>
        </w:rPr>
      </w:pPr>
      <w:r>
        <w:rPr>
          <w:rFonts w:hint="eastAsia" w:ascii="宋体" w:hAnsi="宋体" w:cs="宋体"/>
        </w:rPr>
        <w:t>5）单位社会保障缴费证明（复印件加盖公章）；</w:t>
      </w:r>
    </w:p>
    <w:p>
      <w:pPr>
        <w:pStyle w:val="2"/>
        <w:ind w:firstLine="420" w:firstLineChars="200"/>
        <w:rPr>
          <w:rFonts w:ascii="宋体" w:hAnsi="宋体" w:cs="宋体"/>
        </w:rPr>
      </w:pPr>
      <w:r>
        <w:rPr>
          <w:rFonts w:hint="eastAsia" w:ascii="宋体" w:hAnsi="宋体" w:cs="宋体"/>
        </w:rPr>
        <w:t>6）</w:t>
      </w:r>
      <w:r>
        <w:rPr>
          <w:rFonts w:hint="eastAsia" w:ascii="宋体" w:hAnsi="宋体" w:cs="宋体"/>
          <w:lang w:eastAsia="zh-CN"/>
        </w:rPr>
        <w:t>企业软件实力</w:t>
      </w:r>
      <w:r>
        <w:rPr>
          <w:rFonts w:hint="eastAsia" w:ascii="宋体" w:hAnsi="宋体" w:cs="宋体"/>
        </w:rPr>
        <w:t>（复印件加盖公章）；</w:t>
      </w:r>
    </w:p>
    <w:p>
      <w:pPr>
        <w:pStyle w:val="2"/>
        <w:ind w:firstLine="420" w:firstLineChars="200"/>
        <w:rPr>
          <w:rFonts w:ascii="宋体" w:hAnsi="宋体" w:cs="宋体"/>
        </w:rPr>
      </w:pPr>
      <w:r>
        <w:rPr>
          <w:rFonts w:hint="eastAsia" w:ascii="宋体" w:hAnsi="宋体" w:cs="宋体"/>
        </w:rPr>
        <w:t>7）其他证明材料（复印件加盖公章）；</w:t>
      </w:r>
    </w:p>
    <w:p>
      <w:pPr>
        <w:pStyle w:val="2"/>
        <w:ind w:firstLine="420" w:firstLineChars="200"/>
        <w:rPr>
          <w:rFonts w:ascii="宋体" w:hAnsi="宋体" w:cs="宋体"/>
        </w:rPr>
      </w:pPr>
      <w:r>
        <w:rPr>
          <w:rFonts w:hint="eastAsia" w:ascii="宋体" w:hAnsi="宋体" w:cs="宋体"/>
        </w:rPr>
        <w:t xml:space="preserve">(8)一般商务条款偏离表； </w:t>
      </w:r>
    </w:p>
    <w:p>
      <w:pPr>
        <w:pStyle w:val="2"/>
        <w:ind w:firstLine="420" w:firstLineChars="200"/>
        <w:rPr>
          <w:rFonts w:ascii="宋体" w:hAnsi="宋体" w:cs="宋体"/>
        </w:rPr>
      </w:pPr>
      <w:r>
        <w:rPr>
          <w:rFonts w:hint="eastAsia" w:ascii="宋体" w:hAnsi="宋体" w:cs="宋体"/>
        </w:rPr>
        <w:t xml:space="preserve">(9)同类项目业绩介绍； </w:t>
      </w:r>
    </w:p>
    <w:p>
      <w:pPr>
        <w:pStyle w:val="2"/>
        <w:ind w:firstLine="420" w:firstLineChars="200"/>
        <w:rPr>
          <w:rFonts w:ascii="宋体" w:hAnsi="宋体" w:cs="宋体"/>
        </w:rPr>
      </w:pPr>
      <w:r>
        <w:rPr>
          <w:rFonts w:hint="eastAsia" w:ascii="宋体" w:hAnsi="宋体" w:cs="宋体"/>
        </w:rPr>
        <w:t>(10)中小企业声明函（符合本声明函填写）；</w:t>
      </w:r>
    </w:p>
    <w:p>
      <w:pPr>
        <w:pStyle w:val="2"/>
        <w:ind w:firstLine="420" w:firstLineChars="200"/>
        <w:rPr>
          <w:rFonts w:ascii="宋体" w:hAnsi="宋体" w:cs="宋体"/>
          <w:color w:val="FF0000"/>
        </w:rPr>
      </w:pPr>
      <w:r>
        <w:rPr>
          <w:rFonts w:hint="eastAsia" w:ascii="宋体" w:hAnsi="宋体" w:cs="宋体"/>
        </w:rPr>
        <w:t>(11)残疾人福利性单位声明函（符合本声明函填写）；</w:t>
      </w:r>
    </w:p>
    <w:p>
      <w:pPr>
        <w:pStyle w:val="2"/>
        <w:ind w:left="118" w:leftChars="56" w:firstLine="210" w:firstLineChars="100"/>
        <w:rPr>
          <w:rFonts w:ascii="宋体" w:hAnsi="宋体" w:cs="宋体"/>
        </w:rPr>
      </w:pPr>
      <w:r>
        <w:rPr>
          <w:rFonts w:hint="eastAsia" w:ascii="宋体" w:hAnsi="宋体" w:cs="宋体"/>
        </w:rPr>
        <w:t xml:space="preserve"> (12)缴纳招标代理服务费承诺书；</w:t>
      </w:r>
    </w:p>
    <w:p>
      <w:pPr>
        <w:pStyle w:val="2"/>
        <w:ind w:firstLine="420" w:firstLineChars="200"/>
        <w:rPr>
          <w:rFonts w:ascii="宋体" w:hAnsi="宋体" w:cs="宋体"/>
        </w:rPr>
      </w:pPr>
      <w:r>
        <w:rPr>
          <w:rFonts w:hint="eastAsia" w:ascii="宋体" w:hAnsi="宋体" w:cs="宋体"/>
        </w:rPr>
        <w:t>(13)退还保证金说明函；</w:t>
      </w:r>
    </w:p>
    <w:p>
      <w:pPr>
        <w:pStyle w:val="2"/>
        <w:ind w:firstLine="420" w:firstLineChars="200"/>
        <w:rPr>
          <w:rFonts w:ascii="宋体" w:hAnsi="宋体" w:cs="宋体"/>
        </w:rPr>
      </w:pPr>
      <w:r>
        <w:rPr>
          <w:rFonts w:hint="eastAsia" w:ascii="宋体" w:hAnsi="宋体" w:cs="宋体"/>
        </w:rPr>
        <w:t>(14)其他商务资格证明资料（格式自定）。</w:t>
      </w:r>
    </w:p>
    <w:p>
      <w:pPr>
        <w:pStyle w:val="2"/>
        <w:ind w:firstLine="422" w:firstLineChars="200"/>
        <w:rPr>
          <w:rFonts w:ascii="宋体" w:hAnsi="宋体" w:cs="宋体"/>
          <w:b/>
        </w:rPr>
      </w:pPr>
      <w:r>
        <w:rPr>
          <w:rFonts w:hint="eastAsia" w:ascii="宋体" w:hAnsi="宋体" w:cs="宋体"/>
          <w:b/>
        </w:rPr>
        <w:t>二、技术部分</w:t>
      </w:r>
    </w:p>
    <w:p>
      <w:pPr>
        <w:pStyle w:val="2"/>
        <w:ind w:firstLine="420" w:firstLineChars="200"/>
        <w:rPr>
          <w:rFonts w:ascii="宋体" w:hAnsi="宋体" w:cs="宋体"/>
        </w:rPr>
      </w:pPr>
      <w:r>
        <w:rPr>
          <w:rFonts w:hint="eastAsia" w:ascii="宋体" w:hAnsi="宋体" w:cs="宋体"/>
        </w:rPr>
        <w:t>(15)项目实施方案；</w:t>
      </w:r>
    </w:p>
    <w:p>
      <w:pPr>
        <w:pStyle w:val="2"/>
        <w:ind w:firstLine="420" w:firstLineChars="200"/>
        <w:rPr>
          <w:rFonts w:ascii="宋体" w:hAnsi="宋体" w:cs="宋体"/>
        </w:rPr>
      </w:pPr>
      <w:r>
        <w:rPr>
          <w:rFonts w:hint="eastAsia" w:ascii="宋体" w:hAnsi="宋体" w:cs="宋体"/>
        </w:rPr>
        <w:t>(16)供应商认为需要提交的技术资料；</w:t>
      </w:r>
    </w:p>
    <w:p>
      <w:pPr>
        <w:pStyle w:val="2"/>
        <w:ind w:firstLine="420" w:firstLineChars="200"/>
        <w:rPr>
          <w:rFonts w:ascii="宋体" w:hAnsi="宋体" w:cs="宋体"/>
        </w:rPr>
      </w:pPr>
      <w:r>
        <w:rPr>
          <w:rFonts w:hint="eastAsia" w:ascii="宋体" w:hAnsi="宋体" w:cs="宋体"/>
        </w:rPr>
        <w:t>注：1.请投标供应商按照以下文件的要求格式、内容，顺序制作投标文件，并请编制目录及页码，否则可能将影响对投标文件的评价。</w:t>
      </w:r>
    </w:p>
    <w:p>
      <w:pPr>
        <w:pStyle w:val="2"/>
        <w:kinsoku w:val="0"/>
        <w:overflowPunct w:val="0"/>
        <w:spacing w:before="130" w:line="360" w:lineRule="exact"/>
        <w:ind w:left="119" w:right="6" w:firstLine="480"/>
        <w:rPr>
          <w:rFonts w:ascii="宋体" w:hAnsi="宋体" w:cs="宋体"/>
          <w:spacing w:val="4"/>
        </w:rPr>
      </w:pPr>
    </w:p>
    <w:p>
      <w:pPr>
        <w:pStyle w:val="53"/>
        <w:kinsoku w:val="0"/>
        <w:overflowPunct w:val="0"/>
        <w:spacing w:line="940" w:lineRule="exact"/>
        <w:ind w:left="0"/>
        <w:jc w:val="both"/>
        <w:outlineLvl w:val="9"/>
        <w:rPr>
          <w:rFonts w:hAnsi="宋体"/>
        </w:rPr>
      </w:pPr>
    </w:p>
    <w:p>
      <w:pPr>
        <w:pStyle w:val="53"/>
        <w:kinsoku w:val="0"/>
        <w:overflowPunct w:val="0"/>
        <w:spacing w:line="940" w:lineRule="exact"/>
        <w:jc w:val="center"/>
        <w:outlineLvl w:val="9"/>
        <w:rPr>
          <w:rFonts w:hAnsi="宋体"/>
        </w:rPr>
      </w:pPr>
    </w:p>
    <w:p>
      <w:pPr>
        <w:pStyle w:val="2"/>
        <w:kinsoku w:val="0"/>
        <w:overflowPunct w:val="0"/>
        <w:spacing w:before="130" w:line="355" w:lineRule="auto"/>
        <w:ind w:right="7" w:firstLine="480"/>
        <w:jc w:val="center"/>
        <w:outlineLvl w:val="1"/>
        <w:rPr>
          <w:rFonts w:ascii="宋体" w:hAnsi="宋体" w:cs="宋体"/>
          <w:b/>
          <w:bCs/>
          <w:sz w:val="36"/>
          <w:szCs w:val="36"/>
        </w:rPr>
      </w:pPr>
      <w:r>
        <w:rPr>
          <w:rFonts w:hint="eastAsia" w:ascii="宋体" w:hAnsi="宋体" w:cs="宋体"/>
          <w:b/>
          <w:bCs/>
          <w:sz w:val="36"/>
          <w:szCs w:val="36"/>
        </w:rPr>
        <w:t>一、投标函</w:t>
      </w:r>
    </w:p>
    <w:p>
      <w:pPr>
        <w:spacing w:line="480" w:lineRule="exact"/>
        <w:ind w:firstLine="480" w:firstLineChars="200"/>
        <w:rPr>
          <w:rFonts w:ascii="宋体" w:hAnsi="宋体" w:cs="宋体"/>
          <w:kern w:val="0"/>
          <w:sz w:val="24"/>
          <w:u w:val="single"/>
        </w:rPr>
      </w:pPr>
      <w:r>
        <w:rPr>
          <w:rFonts w:hint="eastAsia" w:ascii="宋体" w:hAnsi="宋体" w:cs="宋体"/>
          <w:kern w:val="0"/>
          <w:sz w:val="24"/>
        </w:rPr>
        <w:t>致：</w:t>
      </w:r>
      <w:r>
        <w:rPr>
          <w:rFonts w:hint="eastAsia" w:ascii="宋体" w:hAnsi="宋体" w:cs="宋体"/>
          <w:kern w:val="0"/>
          <w:sz w:val="24"/>
          <w:u w:val="single"/>
        </w:rPr>
        <w:t xml:space="preserve">                     </w:t>
      </w:r>
    </w:p>
    <w:p>
      <w:pPr>
        <w:spacing w:line="480" w:lineRule="exact"/>
        <w:ind w:firstLine="480" w:firstLineChars="200"/>
        <w:rPr>
          <w:rFonts w:ascii="宋体" w:hAnsi="宋体" w:cs="宋体"/>
          <w:kern w:val="0"/>
          <w:sz w:val="24"/>
        </w:rPr>
      </w:pPr>
      <w:r>
        <w:rPr>
          <w:rFonts w:hint="eastAsia" w:ascii="宋体" w:hAnsi="宋体" w:cs="宋体"/>
          <w:kern w:val="0"/>
          <w:sz w:val="24"/>
        </w:rPr>
        <w:t>为响应你方组织的</w:t>
      </w:r>
      <w:r>
        <w:rPr>
          <w:rFonts w:hint="eastAsia" w:ascii="宋体" w:hAnsi="宋体" w:cs="宋体"/>
          <w:kern w:val="0"/>
          <w:sz w:val="24"/>
          <w:u w:val="single"/>
        </w:rPr>
        <w:t xml:space="preserve">                   </w:t>
      </w:r>
      <w:r>
        <w:rPr>
          <w:rFonts w:hint="eastAsia" w:ascii="宋体" w:hAnsi="宋体" w:cs="宋体"/>
          <w:kern w:val="0"/>
          <w:sz w:val="24"/>
        </w:rPr>
        <w:t>项目的招标[项目编号为：</w:t>
      </w:r>
      <w:r>
        <w:rPr>
          <w:rFonts w:hint="eastAsia" w:ascii="宋体" w:hAnsi="宋体" w:cs="宋体"/>
          <w:kern w:val="0"/>
          <w:sz w:val="24"/>
          <w:u w:val="single"/>
        </w:rPr>
        <w:t xml:space="preserve">                      </w:t>
      </w:r>
      <w:r>
        <w:rPr>
          <w:rFonts w:hint="eastAsia" w:ascii="宋体" w:hAnsi="宋体" w:cs="宋体"/>
          <w:kern w:val="0"/>
          <w:sz w:val="24"/>
        </w:rPr>
        <w:t>]，我方愿参与投标。</w:t>
      </w:r>
    </w:p>
    <w:p>
      <w:pPr>
        <w:spacing w:line="480" w:lineRule="exact"/>
        <w:ind w:firstLine="480" w:firstLineChars="200"/>
        <w:rPr>
          <w:rFonts w:ascii="宋体" w:hAnsi="宋体" w:cs="宋体"/>
          <w:kern w:val="0"/>
          <w:sz w:val="24"/>
        </w:rPr>
      </w:pPr>
      <w:r>
        <w:rPr>
          <w:rFonts w:hint="eastAsia" w:ascii="宋体" w:hAnsi="宋体" w:cs="宋体"/>
          <w:kern w:val="0"/>
          <w:sz w:val="24"/>
        </w:rPr>
        <w:t>我方确认收到贵方提供的</w:t>
      </w:r>
      <w:r>
        <w:rPr>
          <w:rFonts w:hint="eastAsia" w:ascii="宋体" w:hAnsi="宋体" w:cs="宋体"/>
          <w:kern w:val="0"/>
          <w:sz w:val="24"/>
          <w:u w:val="single"/>
        </w:rPr>
        <w:t xml:space="preserve">                                     </w:t>
      </w:r>
      <w:r>
        <w:rPr>
          <w:rFonts w:hint="eastAsia" w:ascii="宋体" w:hAnsi="宋体" w:cs="宋体"/>
          <w:kern w:val="0"/>
          <w:sz w:val="24"/>
        </w:rPr>
        <w:t>招标文件的全部内容。</w:t>
      </w:r>
    </w:p>
    <w:p>
      <w:pPr>
        <w:spacing w:line="480" w:lineRule="exact"/>
        <w:ind w:firstLine="480" w:firstLineChars="200"/>
        <w:rPr>
          <w:rFonts w:ascii="宋体" w:hAnsi="宋体" w:cs="宋体"/>
          <w:kern w:val="0"/>
          <w:sz w:val="24"/>
        </w:rPr>
      </w:pPr>
      <w:r>
        <w:rPr>
          <w:rFonts w:hint="eastAsia" w:ascii="宋体" w:hAnsi="宋体" w:cs="宋体"/>
          <w:kern w:val="0"/>
          <w:sz w:val="24"/>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pPr>
        <w:spacing w:line="480" w:lineRule="exact"/>
        <w:ind w:firstLine="480" w:firstLineChars="200"/>
        <w:rPr>
          <w:rFonts w:ascii="宋体" w:hAnsi="宋体" w:cs="宋体"/>
          <w:kern w:val="0"/>
          <w:sz w:val="24"/>
        </w:rPr>
      </w:pPr>
      <w:r>
        <w:rPr>
          <w:rFonts w:hint="eastAsia" w:ascii="宋体" w:hAnsi="宋体" w:cs="宋体"/>
          <w:kern w:val="0"/>
          <w:sz w:val="24"/>
          <w:u w:val="single"/>
        </w:rPr>
        <w:t xml:space="preserve">      (供应商名称)      </w:t>
      </w:r>
      <w:r>
        <w:rPr>
          <w:rFonts w:hint="eastAsia" w:ascii="宋体" w:hAnsi="宋体" w:cs="宋体"/>
          <w:kern w:val="0"/>
          <w:sz w:val="24"/>
        </w:rPr>
        <w:t>作为投标供应商正式授权</w:t>
      </w:r>
      <w:r>
        <w:rPr>
          <w:rFonts w:hint="eastAsia" w:ascii="宋体" w:hAnsi="宋体" w:cs="宋体"/>
          <w:kern w:val="0"/>
          <w:sz w:val="24"/>
          <w:u w:val="single"/>
        </w:rPr>
        <w:t xml:space="preserve">  (授权代表全名, 职务)  </w:t>
      </w:r>
      <w:r>
        <w:rPr>
          <w:rFonts w:hint="eastAsia" w:ascii="宋体" w:hAnsi="宋体" w:cs="宋体"/>
          <w:kern w:val="0"/>
          <w:sz w:val="24"/>
        </w:rPr>
        <w:t>代表我方全权处理有关本报价的一切事宜。</w:t>
      </w:r>
    </w:p>
    <w:p>
      <w:pPr>
        <w:spacing w:line="480" w:lineRule="exact"/>
        <w:ind w:firstLine="480" w:firstLineChars="200"/>
        <w:rPr>
          <w:rFonts w:ascii="宋体" w:hAnsi="宋体" w:cs="宋体"/>
          <w:kern w:val="0"/>
          <w:sz w:val="24"/>
        </w:rPr>
      </w:pPr>
      <w:r>
        <w:rPr>
          <w:rFonts w:hint="eastAsia" w:ascii="宋体" w:hAnsi="宋体" w:cs="宋体"/>
          <w:kern w:val="0"/>
          <w:sz w:val="24"/>
        </w:rPr>
        <w:t>在此提交的投标文件，正本壹份，副本肆份。</w:t>
      </w:r>
    </w:p>
    <w:p>
      <w:pPr>
        <w:spacing w:line="480" w:lineRule="exact"/>
        <w:ind w:firstLine="480" w:firstLineChars="200"/>
        <w:rPr>
          <w:rFonts w:ascii="宋体" w:hAnsi="宋体" w:cs="宋体"/>
          <w:kern w:val="0"/>
          <w:sz w:val="24"/>
        </w:rPr>
      </w:pPr>
      <w:r>
        <w:rPr>
          <w:rFonts w:hint="eastAsia" w:ascii="宋体" w:hAnsi="宋体" w:cs="宋体"/>
          <w:kern w:val="0"/>
          <w:sz w:val="24"/>
        </w:rPr>
        <w:t>我方已完全明白招标文件的所有条款要求，并申明如下：</w:t>
      </w:r>
    </w:p>
    <w:p>
      <w:pPr>
        <w:spacing w:line="480" w:lineRule="exact"/>
        <w:ind w:firstLine="480" w:firstLineChars="200"/>
        <w:rPr>
          <w:rFonts w:ascii="宋体" w:hAnsi="宋体" w:cs="宋体"/>
          <w:kern w:val="0"/>
          <w:sz w:val="24"/>
        </w:rPr>
      </w:pPr>
      <w:r>
        <w:rPr>
          <w:rFonts w:hint="eastAsia" w:ascii="宋体" w:hAnsi="宋体" w:cs="宋体"/>
          <w:kern w:val="0"/>
          <w:sz w:val="24"/>
        </w:rPr>
        <w:t>（一）按招标文件提供的全部货物与相关服务 的投标总价详见《报价一览表》。</w:t>
      </w:r>
    </w:p>
    <w:p>
      <w:pPr>
        <w:spacing w:line="480" w:lineRule="exact"/>
        <w:ind w:firstLine="480" w:firstLineChars="200"/>
        <w:rPr>
          <w:rFonts w:ascii="宋体" w:hAnsi="宋体" w:cs="宋体"/>
          <w:kern w:val="0"/>
          <w:sz w:val="24"/>
        </w:rPr>
      </w:pPr>
      <w:r>
        <w:rPr>
          <w:rFonts w:hint="eastAsia" w:ascii="宋体" w:hAnsi="宋体" w:cs="宋体"/>
          <w:kern w:val="0"/>
          <w:sz w:val="24"/>
        </w:rPr>
        <w:t>（二）本投标文件的有效期为投标截止时间起</w:t>
      </w:r>
      <w:r>
        <w:rPr>
          <w:rFonts w:hint="eastAsia" w:ascii="宋体" w:hAnsi="宋体" w:cs="宋体"/>
          <w:kern w:val="0"/>
          <w:sz w:val="24"/>
          <w:u w:val="single"/>
        </w:rPr>
        <w:t>90天</w:t>
      </w:r>
      <w:r>
        <w:rPr>
          <w:rFonts w:hint="eastAsia" w:ascii="宋体" w:hAnsi="宋体" w:cs="宋体"/>
          <w:kern w:val="0"/>
          <w:sz w:val="24"/>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0" w:firstLineChars="200"/>
        <w:rPr>
          <w:rFonts w:ascii="宋体" w:hAnsi="宋体" w:cs="宋体"/>
          <w:kern w:val="0"/>
          <w:sz w:val="24"/>
        </w:rPr>
      </w:pPr>
      <w:r>
        <w:rPr>
          <w:rFonts w:hint="eastAsia" w:ascii="宋体" w:hAnsi="宋体" w:cs="宋体"/>
          <w:kern w:val="0"/>
          <w:sz w:val="24"/>
        </w:rPr>
        <w:t>（三）我方明白并同意，在规定的开标日之后，投标有效期之内撤回投标或中标后不按规定与采购人签订合同或不提交履约保证金, 则贵方将不予退还投标保证金。</w:t>
      </w:r>
    </w:p>
    <w:p>
      <w:pPr>
        <w:spacing w:line="480" w:lineRule="exact"/>
        <w:ind w:firstLine="480" w:firstLineChars="200"/>
        <w:rPr>
          <w:rFonts w:ascii="宋体" w:hAnsi="宋体" w:cs="宋体"/>
          <w:kern w:val="0"/>
          <w:sz w:val="24"/>
        </w:rPr>
      </w:pPr>
      <w:r>
        <w:rPr>
          <w:rFonts w:hint="eastAsia" w:ascii="宋体" w:hAnsi="宋体" w:cs="宋体"/>
          <w:kern w:val="0"/>
          <w:sz w:val="24"/>
        </w:rPr>
        <w:t>（四）我方同意按照贵方可能提出的要求而提供与投标有关的任何其它数据、信息或资料。</w:t>
      </w:r>
    </w:p>
    <w:p>
      <w:pPr>
        <w:spacing w:line="480" w:lineRule="exact"/>
        <w:ind w:firstLine="480" w:firstLineChars="200"/>
        <w:rPr>
          <w:rFonts w:ascii="宋体" w:hAnsi="宋体" w:cs="宋体"/>
          <w:kern w:val="0"/>
          <w:sz w:val="24"/>
        </w:rPr>
      </w:pPr>
      <w:r>
        <w:rPr>
          <w:rFonts w:hint="eastAsia" w:ascii="宋体" w:hAnsi="宋体" w:cs="宋体"/>
          <w:kern w:val="0"/>
          <w:sz w:val="24"/>
        </w:rPr>
        <w:t>（五）我方理解贵方不一定接受最低投标价或任何贵方可能收到的投标。</w:t>
      </w:r>
    </w:p>
    <w:p>
      <w:pPr>
        <w:spacing w:line="480" w:lineRule="exact"/>
        <w:ind w:firstLine="480" w:firstLineChars="200"/>
        <w:rPr>
          <w:rFonts w:ascii="宋体" w:hAnsi="宋体" w:cs="宋体"/>
          <w:kern w:val="0"/>
          <w:sz w:val="24"/>
        </w:rPr>
      </w:pPr>
      <w:r>
        <w:rPr>
          <w:rFonts w:hint="eastAsia" w:ascii="宋体" w:hAnsi="宋体" w:cs="宋体"/>
          <w:kern w:val="0"/>
          <w:sz w:val="24"/>
        </w:rPr>
        <w:t>（六）我方如果中标，将保证履行招标文件及其澄清、修改文件（如果有）中的全部责任和义务，按质、按量、按期完成《招标内容》及《合同书》中的全部任务。</w:t>
      </w:r>
    </w:p>
    <w:p>
      <w:pPr>
        <w:spacing w:line="480" w:lineRule="exact"/>
        <w:ind w:firstLine="480" w:firstLineChars="200"/>
        <w:rPr>
          <w:rFonts w:ascii="宋体" w:hAnsi="宋体" w:cs="宋体"/>
          <w:kern w:val="0"/>
          <w:sz w:val="24"/>
        </w:rPr>
      </w:pPr>
      <w:r>
        <w:rPr>
          <w:rFonts w:hint="eastAsia" w:ascii="宋体" w:hAnsi="宋体" w:cs="宋体"/>
          <w:kern w:val="0"/>
          <w:sz w:val="24"/>
        </w:rPr>
        <w:t>（七）如我方被授予合同，我方承诺支付就本次招标应支付或将支付的中标服务费（详见按招标文件要求格式填写的《中标服务费支付承诺书》）。</w:t>
      </w:r>
    </w:p>
    <w:p>
      <w:pPr>
        <w:spacing w:line="480" w:lineRule="exact"/>
        <w:ind w:firstLine="480" w:firstLineChars="200"/>
        <w:rPr>
          <w:rFonts w:ascii="宋体" w:hAnsi="宋体" w:cs="宋体"/>
          <w:kern w:val="0"/>
          <w:sz w:val="24"/>
        </w:rPr>
      </w:pPr>
      <w:r>
        <w:rPr>
          <w:rFonts w:hint="eastAsia" w:ascii="宋体" w:hAnsi="宋体" w:cs="宋体"/>
          <w:kern w:val="0"/>
          <w:sz w:val="24"/>
        </w:rPr>
        <w:t>（八）我方作为</w:t>
      </w:r>
      <w:r>
        <w:rPr>
          <w:rFonts w:hint="eastAsia" w:ascii="宋体" w:hAnsi="宋体" w:cs="宋体"/>
          <w:kern w:val="0"/>
          <w:sz w:val="24"/>
          <w:u w:val="single"/>
        </w:rPr>
        <w:t xml:space="preserve">   （制造商/代理商）   </w:t>
      </w:r>
      <w:r>
        <w:rPr>
          <w:rFonts w:hint="eastAsia" w:ascii="宋体" w:hAnsi="宋体" w:cs="宋体"/>
          <w:kern w:val="0"/>
          <w:sz w:val="24"/>
        </w:rPr>
        <w:t>是在法律、财务和运作上独立于采购人、招标代理机构的投标供应商，在此保证所提交的所有文件和全部说明是真实的和正确的。</w:t>
      </w:r>
    </w:p>
    <w:p>
      <w:pPr>
        <w:spacing w:line="480" w:lineRule="exact"/>
        <w:ind w:firstLine="480" w:firstLineChars="200"/>
        <w:rPr>
          <w:rFonts w:ascii="宋体" w:hAnsi="宋体" w:cs="宋体"/>
          <w:kern w:val="0"/>
          <w:sz w:val="24"/>
        </w:rPr>
      </w:pPr>
      <w:r>
        <w:rPr>
          <w:rFonts w:hint="eastAsia" w:ascii="宋体" w:hAnsi="宋体" w:cs="宋体"/>
          <w:kern w:val="0"/>
          <w:sz w:val="24"/>
        </w:rPr>
        <w:t>（九）我方投标报价已包含应向知识产权所有权人支付的所有相关税费，并保证采购人在中国使用我方提供的货物时，如有第三方提出侵犯其知识产权主张的，责任由我方承担。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0" w:firstLineChars="200"/>
        <w:rPr>
          <w:rFonts w:ascii="宋体" w:hAnsi="宋体" w:cs="宋体"/>
          <w:kern w:val="0"/>
          <w:sz w:val="24"/>
        </w:rPr>
      </w:pPr>
      <w:r>
        <w:rPr>
          <w:rFonts w:hint="eastAsia" w:ascii="宋体" w:hAnsi="宋体" w:cs="宋体"/>
          <w:kern w:val="0"/>
          <w:sz w:val="24"/>
        </w:rPr>
        <w:t>（十）我方与其他投标供应商不存在单位负责人为同一人或者存在直接控股、管理关系。</w:t>
      </w:r>
    </w:p>
    <w:p>
      <w:pPr>
        <w:spacing w:line="480" w:lineRule="exact"/>
        <w:ind w:firstLine="480" w:firstLineChars="200"/>
        <w:rPr>
          <w:rFonts w:ascii="宋体" w:hAnsi="宋体" w:cs="宋体"/>
          <w:kern w:val="0"/>
          <w:sz w:val="24"/>
        </w:rPr>
      </w:pPr>
      <w:r>
        <w:rPr>
          <w:rFonts w:hint="eastAsia" w:ascii="宋体" w:hAnsi="宋体" w:cs="宋体"/>
          <w:kern w:val="0"/>
          <w:sz w:val="24"/>
        </w:rPr>
        <w:t>（十一）我方承诺未为本项目提供整体设计、规范编制或者项目管理、监理、检测等服务。</w:t>
      </w:r>
    </w:p>
    <w:p>
      <w:pPr>
        <w:spacing w:line="480" w:lineRule="exact"/>
        <w:ind w:firstLine="480" w:firstLineChars="200"/>
        <w:rPr>
          <w:rFonts w:ascii="宋体" w:hAnsi="宋体" w:cs="宋体"/>
          <w:kern w:val="0"/>
          <w:sz w:val="24"/>
        </w:rPr>
      </w:pPr>
      <w:r>
        <w:rPr>
          <w:rFonts w:hint="eastAsia" w:ascii="宋体" w:hAnsi="宋体" w:cs="宋体"/>
          <w:kern w:val="0"/>
          <w:sz w:val="24"/>
        </w:rPr>
        <w:t>（十二）我方具备《政府采购法》第二十二条规定的条件，承诺如下：</w:t>
      </w:r>
    </w:p>
    <w:p>
      <w:pPr>
        <w:spacing w:line="480" w:lineRule="exact"/>
        <w:ind w:firstLine="480" w:firstLineChars="200"/>
        <w:rPr>
          <w:rFonts w:ascii="宋体" w:hAnsi="宋体" w:cs="宋体"/>
          <w:kern w:val="0"/>
          <w:sz w:val="24"/>
        </w:rPr>
      </w:pPr>
      <w:r>
        <w:rPr>
          <w:rFonts w:hint="eastAsia" w:ascii="宋体" w:hAnsi="宋体" w:cs="宋体"/>
          <w:kern w:val="0"/>
          <w:sz w:val="24"/>
        </w:rPr>
        <w:t>（1）我方已依法缴纳了各项税费及社会保险费用，如有需要，可随时向采购人提供近三个月内的相关缴费证明，以便核查。</w:t>
      </w:r>
    </w:p>
    <w:p>
      <w:pPr>
        <w:spacing w:line="480" w:lineRule="exact"/>
        <w:ind w:firstLine="480" w:firstLineChars="200"/>
        <w:rPr>
          <w:rFonts w:ascii="宋体" w:hAnsi="宋体" w:cs="宋体"/>
          <w:kern w:val="0"/>
          <w:sz w:val="24"/>
        </w:rPr>
      </w:pPr>
      <w:r>
        <w:rPr>
          <w:rFonts w:hint="eastAsia" w:ascii="宋体" w:hAnsi="宋体" w:cs="宋体"/>
          <w:kern w:val="0"/>
          <w:sz w:val="24"/>
        </w:rPr>
        <w:t>（2）我方已依法建立健全的财务会计制度，如有需要，可随时向采购人提供相关的证明材料，以便核查。</w:t>
      </w:r>
    </w:p>
    <w:p>
      <w:pPr>
        <w:spacing w:line="480" w:lineRule="exact"/>
        <w:ind w:firstLine="480" w:firstLineChars="200"/>
        <w:rPr>
          <w:rFonts w:ascii="宋体" w:hAnsi="宋体" w:cs="宋体"/>
          <w:kern w:val="0"/>
          <w:sz w:val="24"/>
        </w:rPr>
      </w:pPr>
      <w:r>
        <w:rPr>
          <w:rFonts w:hint="eastAsia" w:ascii="宋体" w:hAnsi="宋体" w:cs="宋体"/>
          <w:kern w:val="0"/>
          <w:sz w:val="24"/>
        </w:rPr>
        <w:t>（3）我方参加本项目政府采购活动前3年内在经营活动中没有重大违法记录。</w:t>
      </w:r>
    </w:p>
    <w:p>
      <w:pPr>
        <w:spacing w:line="480" w:lineRule="exact"/>
        <w:ind w:firstLine="480" w:firstLineChars="200"/>
        <w:rPr>
          <w:rFonts w:ascii="宋体" w:hAnsi="宋体" w:cs="宋体"/>
          <w:kern w:val="0"/>
          <w:sz w:val="24"/>
        </w:rPr>
      </w:pPr>
      <w:r>
        <w:rPr>
          <w:rFonts w:hint="eastAsia" w:ascii="宋体" w:hAnsi="宋体" w:cs="宋体"/>
          <w:kern w:val="0"/>
          <w:sz w:val="24"/>
        </w:rPr>
        <w:t>（4）我方具备履行合同所必需的设备和专业技术能力。</w:t>
      </w:r>
    </w:p>
    <w:p>
      <w:pPr>
        <w:spacing w:line="480" w:lineRule="exact"/>
        <w:ind w:firstLine="480" w:firstLineChars="200"/>
        <w:rPr>
          <w:rFonts w:ascii="宋体" w:hAnsi="宋体" w:cs="宋体"/>
          <w:kern w:val="0"/>
          <w:sz w:val="24"/>
        </w:rPr>
      </w:pPr>
      <w:r>
        <w:rPr>
          <w:rFonts w:hint="eastAsia" w:ascii="宋体" w:hAnsi="宋体" w:cs="宋体"/>
          <w:kern w:val="0"/>
          <w:sz w:val="24"/>
        </w:rPr>
        <w:t>（5）我方符合法律、行政法规规定的其他条件。</w:t>
      </w:r>
    </w:p>
    <w:p>
      <w:pPr>
        <w:spacing w:line="480" w:lineRule="exact"/>
        <w:ind w:firstLine="480" w:firstLineChars="200"/>
        <w:rPr>
          <w:rFonts w:ascii="宋体" w:hAnsi="宋体" w:cs="宋体"/>
          <w:kern w:val="0"/>
          <w:sz w:val="24"/>
        </w:rPr>
      </w:pPr>
      <w:r>
        <w:rPr>
          <w:rFonts w:hint="eastAsia" w:ascii="宋体" w:hAnsi="宋体" w:cs="宋体"/>
          <w:kern w:val="0"/>
          <w:sz w:val="24"/>
        </w:rPr>
        <w:t>以上内容如有虚假或与事实不符的，评审委员会可将我方做无效投标处理，我方愿意承担相应的法律责任。</w:t>
      </w:r>
    </w:p>
    <w:p>
      <w:pPr>
        <w:spacing w:line="480" w:lineRule="exact"/>
        <w:ind w:firstLine="480" w:firstLineChars="200"/>
        <w:rPr>
          <w:rFonts w:ascii="宋体" w:hAnsi="宋体" w:cs="宋体"/>
          <w:kern w:val="0"/>
          <w:sz w:val="24"/>
        </w:rPr>
      </w:pPr>
      <w:r>
        <w:rPr>
          <w:rFonts w:hint="eastAsia" w:ascii="宋体" w:hAnsi="宋体" w:cs="宋体"/>
          <w:kern w:val="0"/>
          <w:sz w:val="24"/>
        </w:rPr>
        <w:t>（十三）我方对在本函及投标文件中所作的所有承诺承担法律责任。</w:t>
      </w:r>
    </w:p>
    <w:p>
      <w:pPr>
        <w:spacing w:line="480" w:lineRule="exact"/>
        <w:ind w:firstLine="480" w:firstLineChars="200"/>
        <w:rPr>
          <w:rFonts w:ascii="宋体" w:hAnsi="宋体" w:cs="宋体"/>
          <w:kern w:val="0"/>
          <w:sz w:val="24"/>
        </w:rPr>
      </w:pPr>
      <w:r>
        <w:rPr>
          <w:rFonts w:hint="eastAsia" w:ascii="宋体" w:hAnsi="宋体" w:cs="宋体"/>
          <w:kern w:val="0"/>
          <w:sz w:val="24"/>
        </w:rPr>
        <w:t>（十四）所有与本招标有关的函件请发往下列地址：</w:t>
      </w:r>
    </w:p>
    <w:p>
      <w:pPr>
        <w:spacing w:line="360" w:lineRule="auto"/>
        <w:rPr>
          <w:rFonts w:ascii="宋体" w:hAnsi="宋体" w:cs="宋体"/>
          <w:kern w:val="0"/>
          <w:sz w:val="24"/>
        </w:rPr>
      </w:pPr>
      <w:r>
        <w:rPr>
          <w:rFonts w:hint="eastAsia" w:ascii="宋体" w:hAnsi="宋体" w:cs="宋体"/>
          <w:kern w:val="0"/>
          <w:sz w:val="24"/>
        </w:rPr>
        <w:t>地    址：</w:t>
      </w:r>
      <w:r>
        <w:rPr>
          <w:rFonts w:hint="eastAsia" w:ascii="宋体" w:hAnsi="宋体" w:cs="宋体"/>
          <w:kern w:val="0"/>
          <w:sz w:val="24"/>
          <w:u w:val="single"/>
        </w:rPr>
        <w:t xml:space="preserve">                             </w:t>
      </w:r>
      <w:r>
        <w:rPr>
          <w:rFonts w:hint="eastAsia" w:ascii="宋体" w:hAnsi="宋体" w:cs="宋体"/>
          <w:kern w:val="0"/>
          <w:sz w:val="24"/>
        </w:rPr>
        <w:t>.邮政编码：</w:t>
      </w:r>
      <w:r>
        <w:rPr>
          <w:rFonts w:hint="eastAsia" w:ascii="宋体" w:hAnsi="宋体" w:cs="宋体"/>
          <w:kern w:val="0"/>
          <w:sz w:val="24"/>
          <w:u w:val="single"/>
        </w:rPr>
        <w:t xml:space="preserve">                  </w:t>
      </w:r>
      <w:r>
        <w:rPr>
          <w:rFonts w:hint="eastAsia" w:ascii="宋体" w:hAnsi="宋体" w:cs="宋体"/>
          <w:kern w:val="0"/>
          <w:sz w:val="24"/>
        </w:rPr>
        <w:t>.</w:t>
      </w:r>
    </w:p>
    <w:p>
      <w:pPr>
        <w:spacing w:line="360" w:lineRule="auto"/>
        <w:rPr>
          <w:rFonts w:ascii="宋体" w:hAnsi="宋体" w:cs="宋体"/>
          <w:kern w:val="0"/>
          <w:sz w:val="24"/>
        </w:rPr>
      </w:pPr>
      <w:r>
        <w:rPr>
          <w:rFonts w:hint="eastAsia" w:ascii="宋体" w:hAnsi="宋体" w:cs="宋体"/>
          <w:kern w:val="0"/>
          <w:sz w:val="24"/>
        </w:rPr>
        <w:t>电    话：</w:t>
      </w:r>
      <w:r>
        <w:rPr>
          <w:rFonts w:hint="eastAsia" w:ascii="宋体" w:hAnsi="宋体" w:cs="宋体"/>
          <w:kern w:val="0"/>
          <w:sz w:val="24"/>
          <w:u w:val="single"/>
        </w:rPr>
        <w:t xml:space="preserve">                             </w:t>
      </w:r>
      <w:r>
        <w:rPr>
          <w:rFonts w:hint="eastAsia" w:ascii="宋体" w:hAnsi="宋体" w:cs="宋体"/>
          <w:kern w:val="0"/>
          <w:sz w:val="24"/>
        </w:rPr>
        <w:t>.</w:t>
      </w:r>
    </w:p>
    <w:p>
      <w:pPr>
        <w:spacing w:line="360" w:lineRule="auto"/>
        <w:rPr>
          <w:rFonts w:ascii="宋体" w:hAnsi="宋体" w:cs="宋体"/>
          <w:kern w:val="0"/>
          <w:sz w:val="24"/>
        </w:rPr>
      </w:pPr>
      <w:r>
        <w:rPr>
          <w:rFonts w:hint="eastAsia" w:ascii="宋体" w:hAnsi="宋体" w:cs="宋体"/>
          <w:kern w:val="0"/>
          <w:sz w:val="24"/>
        </w:rPr>
        <w:t>传    真：</w:t>
      </w:r>
      <w:r>
        <w:rPr>
          <w:rFonts w:hint="eastAsia" w:ascii="宋体" w:hAnsi="宋体" w:cs="宋体"/>
          <w:kern w:val="0"/>
          <w:sz w:val="24"/>
          <w:u w:val="single"/>
        </w:rPr>
        <w:t xml:space="preserve">                             </w:t>
      </w:r>
      <w:r>
        <w:rPr>
          <w:rFonts w:hint="eastAsia" w:ascii="宋体" w:hAnsi="宋体" w:cs="宋体"/>
          <w:kern w:val="0"/>
          <w:sz w:val="24"/>
        </w:rPr>
        <w:t>.</w:t>
      </w:r>
    </w:p>
    <w:p>
      <w:pPr>
        <w:spacing w:line="360" w:lineRule="auto"/>
        <w:rPr>
          <w:rFonts w:ascii="宋体" w:hAnsi="宋体" w:cs="宋体"/>
          <w:kern w:val="0"/>
          <w:sz w:val="24"/>
        </w:rPr>
      </w:pPr>
      <w:r>
        <w:rPr>
          <w:rFonts w:hint="eastAsia" w:ascii="宋体" w:hAnsi="宋体" w:cs="宋体"/>
          <w:kern w:val="0"/>
          <w:sz w:val="24"/>
        </w:rPr>
        <w:t>代表姓名：</w:t>
      </w:r>
      <w:r>
        <w:rPr>
          <w:rFonts w:hint="eastAsia" w:ascii="宋体" w:hAnsi="宋体" w:cs="宋体"/>
          <w:kern w:val="0"/>
          <w:sz w:val="24"/>
          <w:u w:val="single"/>
        </w:rPr>
        <w:t xml:space="preserve">                             </w:t>
      </w:r>
      <w:r>
        <w:rPr>
          <w:rFonts w:hint="eastAsia" w:ascii="宋体" w:hAnsi="宋体" w:cs="宋体"/>
          <w:kern w:val="0"/>
          <w:sz w:val="24"/>
        </w:rPr>
        <w:t>.职    务：</w:t>
      </w:r>
      <w:r>
        <w:rPr>
          <w:rFonts w:hint="eastAsia" w:ascii="宋体" w:hAnsi="宋体" w:cs="宋体"/>
          <w:kern w:val="0"/>
          <w:sz w:val="24"/>
          <w:u w:val="single"/>
        </w:rPr>
        <w:t xml:space="preserve">                 </w:t>
      </w:r>
      <w:r>
        <w:rPr>
          <w:rFonts w:hint="eastAsia" w:ascii="宋体" w:hAnsi="宋体" w:cs="宋体"/>
          <w:kern w:val="0"/>
          <w:sz w:val="24"/>
        </w:rPr>
        <w:t>.</w:t>
      </w:r>
    </w:p>
    <w:p>
      <w:pPr>
        <w:rPr>
          <w:rFonts w:ascii="宋体" w:hAnsi="宋体" w:cs="宋体"/>
          <w:color w:val="000000"/>
          <w:szCs w:val="21"/>
          <w:u w:val="single"/>
        </w:rPr>
      </w:pPr>
    </w:p>
    <w:p>
      <w:pPr>
        <w:spacing w:line="420" w:lineRule="exact"/>
        <w:ind w:firstLine="480" w:firstLineChars="200"/>
        <w:rPr>
          <w:rFonts w:ascii="宋体" w:hAnsi="宋体" w:cs="宋体"/>
          <w:kern w:val="0"/>
          <w:sz w:val="24"/>
        </w:rPr>
      </w:pPr>
    </w:p>
    <w:p>
      <w:pPr>
        <w:spacing w:line="420" w:lineRule="exact"/>
        <w:ind w:right="480"/>
        <w:jc w:val="right"/>
        <w:rPr>
          <w:rFonts w:ascii="宋体" w:hAnsi="宋体" w:cs="宋体"/>
          <w:kern w:val="0"/>
          <w:sz w:val="24"/>
        </w:rPr>
      </w:pPr>
      <w:r>
        <w:rPr>
          <w:rFonts w:hint="eastAsia" w:ascii="宋体" w:hAnsi="宋体" w:cs="宋体"/>
          <w:kern w:val="0"/>
          <w:sz w:val="24"/>
        </w:rPr>
        <w:t>供应商：</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rPr>
        <w:t xml:space="preserve">（公章） </w:t>
      </w:r>
    </w:p>
    <w:p>
      <w:pPr>
        <w:wordWrap w:val="0"/>
        <w:spacing w:line="420" w:lineRule="exact"/>
        <w:ind w:firstLine="480" w:firstLineChars="200"/>
        <w:jc w:val="right"/>
        <w:rPr>
          <w:rFonts w:ascii="宋体" w:hAnsi="宋体" w:cs="宋体"/>
          <w:kern w:val="0"/>
          <w:sz w:val="24"/>
        </w:rPr>
      </w:pPr>
      <w:r>
        <w:rPr>
          <w:rFonts w:hint="eastAsia" w:ascii="宋体" w:hAnsi="宋体" w:cs="宋体"/>
          <w:kern w:val="0"/>
          <w:sz w:val="24"/>
        </w:rPr>
        <w:t>法定代表人或委托人：</w:t>
      </w:r>
      <w:r>
        <w:rPr>
          <w:rFonts w:hint="eastAsia" w:ascii="宋体" w:hAnsi="宋体" w:cs="宋体"/>
          <w:kern w:val="0"/>
          <w:sz w:val="24"/>
        </w:rPr>
        <w:tab/>
      </w:r>
      <w:r>
        <w:rPr>
          <w:rFonts w:hint="eastAsia" w:ascii="宋体" w:hAnsi="宋体" w:cs="宋体"/>
          <w:kern w:val="0"/>
          <w:sz w:val="24"/>
          <w:u w:val="single"/>
        </w:rPr>
        <w:t xml:space="preserve">        </w:t>
      </w:r>
      <w:r>
        <w:rPr>
          <w:rFonts w:hint="eastAsia" w:ascii="宋体" w:hAnsi="宋体" w:cs="宋体"/>
          <w:kern w:val="0"/>
          <w:sz w:val="24"/>
        </w:rPr>
        <w:t xml:space="preserve">（签字）    </w:t>
      </w:r>
    </w:p>
    <w:p>
      <w:pPr>
        <w:spacing w:line="420" w:lineRule="exact"/>
        <w:ind w:right="480" w:firstLine="5280" w:firstLineChars="2200"/>
        <w:rPr>
          <w:rFonts w:ascii="宋体" w:hAnsi="宋体" w:cs="宋体"/>
          <w:kern w:val="0"/>
          <w:sz w:val="24"/>
        </w:rPr>
      </w:pPr>
      <w:r>
        <w:rPr>
          <w:rFonts w:hint="eastAsia" w:ascii="宋体" w:hAnsi="宋体" w:cs="宋体"/>
          <w:kern w:val="0"/>
          <w:sz w:val="24"/>
          <w:u w:val="single"/>
        </w:rPr>
        <w:t xml:space="preserve">     </w:t>
      </w:r>
      <w:r>
        <w:rPr>
          <w:rFonts w:hint="eastAsia" w:ascii="宋体" w:hAnsi="宋体" w:cs="宋体"/>
          <w:kern w:val="0"/>
          <w:sz w:val="24"/>
          <w:u w:val="single"/>
        </w:rPr>
        <w:tab/>
      </w:r>
      <w:r>
        <w:rPr>
          <w:rFonts w:hint="eastAsia" w:ascii="宋体" w:hAnsi="宋体" w:cs="宋体"/>
          <w:kern w:val="0"/>
          <w:sz w:val="24"/>
        </w:rPr>
        <w:t>年</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pStyle w:val="2"/>
        <w:kinsoku w:val="0"/>
        <w:overflowPunct w:val="0"/>
        <w:spacing w:before="34" w:line="357" w:lineRule="auto"/>
        <w:ind w:right="126" w:firstLine="480"/>
        <w:jc w:val="center"/>
        <w:outlineLvl w:val="1"/>
        <w:rPr>
          <w:rFonts w:ascii="宋体" w:hAnsi="宋体" w:cs="宋体"/>
          <w:sz w:val="36"/>
          <w:szCs w:val="36"/>
        </w:rPr>
      </w:pPr>
      <w:r>
        <w:rPr>
          <w:rFonts w:hint="eastAsia" w:ascii="宋体" w:hAnsi="宋体" w:cs="宋体"/>
        </w:rPr>
        <w:br w:type="page"/>
      </w:r>
      <w:r>
        <w:rPr>
          <w:rFonts w:hint="eastAsia" w:ascii="宋体" w:hAnsi="宋体" w:cs="宋体"/>
          <w:b/>
          <w:bCs/>
          <w:sz w:val="36"/>
          <w:szCs w:val="36"/>
        </w:rPr>
        <w:t>二、法定代表人身份证明</w:t>
      </w:r>
    </w:p>
    <w:p>
      <w:pPr>
        <w:spacing w:line="420" w:lineRule="exact"/>
        <w:ind w:firstLine="480" w:firstLineChars="200"/>
        <w:rPr>
          <w:rFonts w:ascii="宋体" w:hAnsi="宋体" w:cs="宋体"/>
          <w:kern w:val="0"/>
          <w:sz w:val="24"/>
          <w:u w:val="single"/>
        </w:rPr>
      </w:pPr>
      <w:r>
        <w:rPr>
          <w:rFonts w:hint="eastAsia" w:ascii="宋体" w:hAnsi="宋体" w:cs="宋体"/>
          <w:kern w:val="0"/>
          <w:sz w:val="24"/>
        </w:rPr>
        <w:t>投标单位名称：</w:t>
      </w:r>
      <w:r>
        <w:rPr>
          <w:rFonts w:hint="eastAsia" w:ascii="宋体" w:hAnsi="宋体" w:cs="宋体"/>
          <w:kern w:val="0"/>
          <w:sz w:val="24"/>
          <w:u w:val="single"/>
        </w:rPr>
        <w:t xml:space="preserve">                       </w:t>
      </w:r>
    </w:p>
    <w:p>
      <w:pPr>
        <w:spacing w:line="420" w:lineRule="exact"/>
        <w:ind w:firstLine="480" w:firstLineChars="200"/>
        <w:rPr>
          <w:rFonts w:ascii="宋体" w:hAnsi="宋体" w:cs="宋体"/>
          <w:kern w:val="0"/>
          <w:sz w:val="24"/>
          <w:u w:val="single"/>
        </w:rPr>
      </w:pPr>
      <w:r>
        <w:rPr>
          <w:rFonts w:hint="eastAsia" w:ascii="宋体" w:hAnsi="宋体" w:cs="宋体"/>
          <w:kern w:val="0"/>
          <w:sz w:val="24"/>
        </w:rPr>
        <w:t>单位性质：</w:t>
      </w:r>
      <w:r>
        <w:rPr>
          <w:rFonts w:hint="eastAsia" w:ascii="宋体" w:hAnsi="宋体" w:cs="宋体"/>
          <w:kern w:val="0"/>
          <w:sz w:val="24"/>
          <w:u w:val="single"/>
        </w:rPr>
        <w:t xml:space="preserve">                           </w:t>
      </w:r>
    </w:p>
    <w:p>
      <w:pPr>
        <w:spacing w:line="420" w:lineRule="exact"/>
        <w:ind w:firstLine="480" w:firstLineChars="200"/>
        <w:rPr>
          <w:rFonts w:ascii="宋体" w:hAnsi="宋体" w:cs="宋体"/>
          <w:kern w:val="0"/>
          <w:sz w:val="24"/>
          <w:u w:val="single"/>
        </w:rPr>
      </w:pPr>
      <w:r>
        <w:rPr>
          <w:rFonts w:hint="eastAsia" w:ascii="宋体" w:hAnsi="宋体" w:cs="宋体"/>
          <w:kern w:val="0"/>
          <w:sz w:val="24"/>
        </w:rPr>
        <w:t>地址：</w:t>
      </w:r>
      <w:r>
        <w:rPr>
          <w:rFonts w:hint="eastAsia" w:ascii="宋体" w:hAnsi="宋体" w:cs="宋体"/>
          <w:kern w:val="0"/>
          <w:sz w:val="24"/>
          <w:u w:val="single"/>
        </w:rPr>
        <w:t xml:space="preserve">                               </w:t>
      </w:r>
    </w:p>
    <w:p>
      <w:pPr>
        <w:spacing w:line="420" w:lineRule="exact"/>
        <w:ind w:firstLine="480" w:firstLineChars="200"/>
        <w:rPr>
          <w:rFonts w:ascii="宋体" w:hAnsi="宋体" w:cs="宋体"/>
          <w:kern w:val="0"/>
          <w:sz w:val="24"/>
        </w:rPr>
      </w:pPr>
      <w:r>
        <w:rPr>
          <w:rFonts w:hint="eastAsia" w:ascii="宋体" w:hAnsi="宋体" w:cs="宋体"/>
          <w:kern w:val="0"/>
          <w:sz w:val="24"/>
        </w:rPr>
        <w:t>成立时间：</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spacing w:line="420" w:lineRule="exact"/>
        <w:ind w:firstLine="480" w:firstLineChars="200"/>
        <w:rPr>
          <w:rFonts w:ascii="宋体" w:hAnsi="宋体" w:cs="宋体"/>
          <w:kern w:val="0"/>
          <w:sz w:val="24"/>
          <w:u w:val="single"/>
        </w:rPr>
      </w:pPr>
      <w:r>
        <w:rPr>
          <w:rFonts w:hint="eastAsia" w:ascii="宋体" w:hAnsi="宋体" w:cs="宋体"/>
          <w:kern w:val="0"/>
          <w:sz w:val="24"/>
        </w:rPr>
        <w:t>经营期限：</w:t>
      </w:r>
      <w:r>
        <w:rPr>
          <w:rFonts w:hint="eastAsia" w:ascii="宋体" w:hAnsi="宋体" w:cs="宋体"/>
          <w:kern w:val="0"/>
          <w:sz w:val="24"/>
          <w:u w:val="single"/>
        </w:rPr>
        <w:t xml:space="preserve">             </w:t>
      </w:r>
    </w:p>
    <w:p>
      <w:pPr>
        <w:spacing w:line="420" w:lineRule="exact"/>
        <w:ind w:firstLine="480" w:firstLineChars="200"/>
        <w:rPr>
          <w:rFonts w:ascii="宋体" w:hAnsi="宋体" w:cs="宋体"/>
          <w:kern w:val="0"/>
          <w:sz w:val="24"/>
          <w:u w:val="single"/>
        </w:rPr>
      </w:pPr>
      <w:r>
        <w:rPr>
          <w:rFonts w:hint="eastAsia" w:ascii="宋体" w:hAnsi="宋体" w:cs="宋体"/>
          <w:kern w:val="0"/>
          <w:sz w:val="24"/>
        </w:rPr>
        <w:t>姓名：</w:t>
      </w:r>
      <w:r>
        <w:rPr>
          <w:rFonts w:hint="eastAsia" w:ascii="宋体" w:hAnsi="宋体" w:cs="宋体"/>
          <w:kern w:val="0"/>
          <w:sz w:val="24"/>
          <w:u w:val="single"/>
        </w:rPr>
        <w:t xml:space="preserve">            </w:t>
      </w:r>
      <w:r>
        <w:rPr>
          <w:rFonts w:hint="eastAsia" w:ascii="宋体" w:hAnsi="宋体" w:cs="宋体"/>
          <w:kern w:val="0"/>
          <w:sz w:val="24"/>
        </w:rPr>
        <w:t xml:space="preserve"> 性别：</w:t>
      </w:r>
      <w:r>
        <w:rPr>
          <w:rFonts w:hint="eastAsia" w:ascii="宋体" w:hAnsi="宋体" w:cs="宋体"/>
          <w:kern w:val="0"/>
          <w:sz w:val="24"/>
          <w:u w:val="single"/>
        </w:rPr>
        <w:t xml:space="preserve">     </w:t>
      </w:r>
      <w:r>
        <w:rPr>
          <w:rFonts w:hint="eastAsia" w:ascii="宋体" w:hAnsi="宋体" w:cs="宋体"/>
          <w:kern w:val="0"/>
          <w:sz w:val="24"/>
        </w:rPr>
        <w:t xml:space="preserve"> 年龄：</w:t>
      </w:r>
      <w:r>
        <w:rPr>
          <w:rFonts w:hint="eastAsia" w:ascii="宋体" w:hAnsi="宋体" w:cs="宋体"/>
          <w:kern w:val="0"/>
          <w:sz w:val="24"/>
          <w:u w:val="single"/>
        </w:rPr>
        <w:t xml:space="preserve">          </w:t>
      </w:r>
      <w:r>
        <w:rPr>
          <w:rFonts w:hint="eastAsia" w:ascii="宋体" w:hAnsi="宋体" w:cs="宋体"/>
          <w:kern w:val="0"/>
          <w:sz w:val="24"/>
        </w:rPr>
        <w:t xml:space="preserve"> 职务：</w:t>
      </w:r>
      <w:r>
        <w:rPr>
          <w:rFonts w:hint="eastAsia" w:ascii="宋体" w:hAnsi="宋体" w:cs="宋体"/>
          <w:kern w:val="0"/>
          <w:sz w:val="24"/>
          <w:u w:val="single"/>
        </w:rPr>
        <w:t xml:space="preserve">           </w:t>
      </w:r>
    </w:p>
    <w:p>
      <w:pPr>
        <w:spacing w:line="420" w:lineRule="exact"/>
        <w:ind w:firstLine="480" w:firstLineChars="200"/>
        <w:rPr>
          <w:rFonts w:ascii="宋体" w:hAnsi="宋体" w:cs="宋体"/>
          <w:kern w:val="0"/>
          <w:sz w:val="24"/>
          <w:u w:val="single"/>
        </w:rPr>
      </w:pPr>
      <w:r>
        <w:rPr>
          <w:rFonts w:hint="eastAsia" w:ascii="宋体" w:hAnsi="宋体" w:cs="宋体"/>
          <w:kern w:val="0"/>
          <w:sz w:val="24"/>
        </w:rPr>
        <w:t>身份证号码：</w:t>
      </w:r>
      <w:r>
        <w:rPr>
          <w:rFonts w:hint="eastAsia" w:ascii="宋体" w:hAnsi="宋体" w:cs="宋体"/>
          <w:kern w:val="0"/>
          <w:sz w:val="24"/>
          <w:u w:val="single"/>
        </w:rPr>
        <w:t xml:space="preserve">                                  </w:t>
      </w:r>
    </w:p>
    <w:p>
      <w:pPr>
        <w:spacing w:line="420" w:lineRule="exact"/>
        <w:ind w:firstLine="480" w:firstLineChars="200"/>
        <w:rPr>
          <w:rFonts w:ascii="宋体" w:hAnsi="宋体" w:cs="宋体"/>
          <w:kern w:val="0"/>
          <w:sz w:val="24"/>
        </w:rPr>
      </w:pPr>
      <w:r>
        <w:rPr>
          <w:rFonts w:hint="eastAsia" w:ascii="宋体" w:hAnsi="宋体" w:cs="宋体"/>
          <w:kern w:val="0"/>
          <w:sz w:val="24"/>
        </w:rPr>
        <w:t>系</w:t>
      </w:r>
      <w:r>
        <w:rPr>
          <w:rFonts w:hint="eastAsia" w:ascii="宋体" w:hAnsi="宋体" w:cs="宋体"/>
          <w:kern w:val="0"/>
          <w:sz w:val="24"/>
          <w:u w:val="single"/>
        </w:rPr>
        <w:t xml:space="preserve">                            </w:t>
      </w:r>
      <w:r>
        <w:rPr>
          <w:rFonts w:hint="eastAsia" w:ascii="宋体" w:hAnsi="宋体" w:cs="宋体"/>
          <w:kern w:val="0"/>
          <w:sz w:val="24"/>
        </w:rPr>
        <w:t>（投标单位名称）的法定代表人。</w:t>
      </w:r>
    </w:p>
    <w:p>
      <w:pPr>
        <w:spacing w:line="420" w:lineRule="exact"/>
        <w:ind w:firstLine="960" w:firstLineChars="400"/>
        <w:rPr>
          <w:rFonts w:ascii="宋体" w:hAnsi="宋体" w:cs="宋体"/>
          <w:kern w:val="0"/>
          <w:sz w:val="24"/>
        </w:rPr>
      </w:pPr>
      <w:r>
        <w:rPr>
          <w:rFonts w:hint="eastAsia" w:ascii="宋体" w:hAnsi="宋体" w:cs="宋体"/>
          <w:kern w:val="0"/>
          <w:sz w:val="24"/>
        </w:rPr>
        <w:t>特此证明。</w:t>
      </w:r>
    </w:p>
    <w:p>
      <w:pPr>
        <w:pStyle w:val="2"/>
        <w:kinsoku w:val="0"/>
        <w:overflowPunct w:val="0"/>
        <w:rPr>
          <w:rFonts w:ascii="宋体" w:hAnsi="宋体" w:cs="宋体"/>
          <w:sz w:val="20"/>
          <w:szCs w:val="20"/>
        </w:rPr>
      </w:pPr>
    </w:p>
    <w:p>
      <w:pPr>
        <w:pStyle w:val="2"/>
        <w:kinsoku w:val="0"/>
        <w:overflowPunct w:val="0"/>
        <w:spacing w:before="7"/>
        <w:rPr>
          <w:rFonts w:ascii="宋体" w:hAnsi="宋体" w:cs="宋体"/>
          <w:sz w:val="25"/>
          <w:szCs w:val="25"/>
        </w:rPr>
      </w:pPr>
    </w:p>
    <w:p>
      <w:pPr>
        <w:pStyle w:val="2"/>
        <w:kinsoku w:val="0"/>
        <w:overflowPunct w:val="0"/>
        <w:spacing w:line="200" w:lineRule="atLeast"/>
        <w:ind w:left="608"/>
        <w:rPr>
          <w:rFonts w:ascii="宋体" w:hAnsi="宋体" w:cs="宋体"/>
          <w:sz w:val="20"/>
          <w:szCs w:val="20"/>
        </w:rPr>
      </w:pPr>
      <w:r>
        <w:rPr>
          <w:rFonts w:hint="eastAsia" w:ascii="宋体" w:hAnsi="宋体" w:cs="宋体"/>
          <w:sz w:val="20"/>
          <w:szCs w:val="20"/>
        </w:rPr>
        <mc:AlternateContent>
          <mc:Choice Requires="wpg">
            <w:drawing>
              <wp:inline distT="0" distB="0" distL="114300" distR="114300">
                <wp:extent cx="5136515" cy="1458595"/>
                <wp:effectExtent l="0" t="0" r="8255" b="9525"/>
                <wp:docPr id="120" name="组合 120"/>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a:effectLst/>
                      </wpg:grpSpPr>
                      <wps:wsp>
                        <wps:cNvPr id="108" name="任意多边形 108"/>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vert="horz" wrap="square" anchor="t" anchorCtr="0" upright="1"/>
                      </wps:wsp>
                      <wps:wsp>
                        <wps:cNvPr id="109" name="任意多边形 109"/>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vert="horz" wrap="square" anchor="t" anchorCtr="0" upright="1"/>
                      </wps:wsp>
                      <wps:wsp>
                        <wps:cNvPr id="110" name="任意多边形 110"/>
                        <wps:cNvSpPr/>
                        <wps:spPr>
                          <a:xfrm>
                            <a:off x="24" y="2267"/>
                            <a:ext cx="8041" cy="20"/>
                          </a:xfrm>
                          <a:custGeom>
                            <a:avLst/>
                            <a:gdLst/>
                            <a:ahLst/>
                            <a:cxnLst/>
                            <a:rect l="0" t="0" r="0" b="0"/>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vert="horz" wrap="square" anchor="t" anchorCtr="0" upright="1"/>
                      </wps:wsp>
                      <wps:wsp>
                        <wps:cNvPr id="111" name="任意多边形 111"/>
                        <wps:cNvSpPr/>
                        <wps:spPr>
                          <a:xfrm>
                            <a:off x="4" y="2286"/>
                            <a:ext cx="8079" cy="20"/>
                          </a:xfrm>
                          <a:custGeom>
                            <a:avLst/>
                            <a:gdLst/>
                            <a:ahLst/>
                            <a:cxnLst/>
                            <a:rect l="0" t="0" r="0" b="0"/>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vert="horz" wrap="square" anchor="t" anchorCtr="0" upright="1"/>
                      </wps:wsp>
                      <wps:wsp>
                        <wps:cNvPr id="112" name="任意多边形 112"/>
                        <wps:cNvSpPr/>
                        <wps:spPr>
                          <a:xfrm>
                            <a:off x="9" y="4"/>
                            <a:ext cx="20" cy="2287"/>
                          </a:xfrm>
                          <a:custGeom>
                            <a:avLst/>
                            <a:gdLst/>
                            <a:ahLst/>
                            <a:cxnLst/>
                            <a:rect l="0" t="0" r="0" b="0"/>
                            <a:pathLst>
                              <a:path w="20" h="2287">
                                <a:moveTo>
                                  <a:pt x="0" y="0"/>
                                </a:moveTo>
                                <a:lnTo>
                                  <a:pt x="0" y="2286"/>
                                </a:lnTo>
                              </a:path>
                            </a:pathLst>
                          </a:custGeom>
                          <a:noFill/>
                          <a:ln w="6096" cap="flat" cmpd="sng">
                            <a:solidFill>
                              <a:srgbClr val="000000"/>
                            </a:solidFill>
                            <a:prstDash val="solid"/>
                            <a:headEnd type="none" w="med" len="med"/>
                            <a:tailEnd type="none" w="med" len="med"/>
                          </a:ln>
                          <a:effectLst/>
                        </wps:spPr>
                        <wps:bodyPr vert="horz" wrap="square" anchor="t" anchorCtr="0" upright="1"/>
                      </wps:wsp>
                      <wps:wsp>
                        <wps:cNvPr id="113" name="任意多边形 113"/>
                        <wps:cNvSpPr/>
                        <wps:spPr>
                          <a:xfrm>
                            <a:off x="28" y="24"/>
                            <a:ext cx="20" cy="2249"/>
                          </a:xfrm>
                          <a:custGeom>
                            <a:avLst/>
                            <a:gdLst/>
                            <a:ahLst/>
                            <a:cxnLst/>
                            <a:rect l="0" t="0" r="0" b="0"/>
                            <a:pathLst>
                              <a:path w="20" h="2249">
                                <a:moveTo>
                                  <a:pt x="0" y="0"/>
                                </a:moveTo>
                                <a:lnTo>
                                  <a:pt x="0" y="2248"/>
                                </a:lnTo>
                              </a:path>
                            </a:pathLst>
                          </a:custGeom>
                          <a:noFill/>
                          <a:ln w="6096" cap="flat" cmpd="sng">
                            <a:solidFill>
                              <a:srgbClr val="000000"/>
                            </a:solidFill>
                            <a:prstDash val="solid"/>
                            <a:headEnd type="none" w="med" len="med"/>
                            <a:tailEnd type="none" w="med" len="med"/>
                          </a:ln>
                          <a:effectLst/>
                        </wps:spPr>
                        <wps:bodyPr vert="horz" wrap="square" anchor="t" anchorCtr="0" upright="1"/>
                      </wps:wsp>
                      <wps:wsp>
                        <wps:cNvPr id="114" name="任意多边形 114"/>
                        <wps:cNvSpPr/>
                        <wps:spPr>
                          <a:xfrm>
                            <a:off x="4034"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vert="horz" wrap="square" anchor="t" anchorCtr="0" upright="1"/>
                      </wps:wsp>
                      <wps:wsp>
                        <wps:cNvPr id="115" name="任意多边形 115"/>
                        <wps:cNvSpPr/>
                        <wps:spPr>
                          <a:xfrm>
                            <a:off x="4053"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vert="horz" wrap="square" anchor="t" anchorCtr="0" upright="1"/>
                      </wps:wsp>
                      <wps:wsp>
                        <wps:cNvPr id="116" name="任意多边形 116"/>
                        <wps:cNvSpPr/>
                        <wps:spPr>
                          <a:xfrm>
                            <a:off x="8059" y="33"/>
                            <a:ext cx="20" cy="2239"/>
                          </a:xfrm>
                          <a:custGeom>
                            <a:avLst/>
                            <a:gdLst/>
                            <a:ahLst/>
                            <a:cxnLst/>
                            <a:rect l="0" t="0" r="0" b="0"/>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vert="horz" wrap="square" anchor="t" anchorCtr="0" upright="1"/>
                      </wps:wsp>
                      <wps:wsp>
                        <wps:cNvPr id="117" name="任意多边形 117"/>
                        <wps:cNvSpPr/>
                        <wps:spPr>
                          <a:xfrm>
                            <a:off x="8078" y="14"/>
                            <a:ext cx="20" cy="2278"/>
                          </a:xfrm>
                          <a:custGeom>
                            <a:avLst/>
                            <a:gdLst/>
                            <a:ahLst/>
                            <a:cxnLst/>
                            <a:rect l="0" t="0" r="0" b="0"/>
                            <a:pathLst>
                              <a:path w="20" h="2278">
                                <a:moveTo>
                                  <a:pt x="0" y="0"/>
                                </a:moveTo>
                                <a:lnTo>
                                  <a:pt x="0" y="2277"/>
                                </a:lnTo>
                              </a:path>
                            </a:pathLst>
                          </a:custGeom>
                          <a:noFill/>
                          <a:ln w="6096" cap="flat" cmpd="sng">
                            <a:solidFill>
                              <a:srgbClr val="000000"/>
                            </a:solidFill>
                            <a:prstDash val="solid"/>
                            <a:headEnd type="none" w="med" len="med"/>
                            <a:tailEnd type="none" w="med" len="med"/>
                          </a:ln>
                          <a:effectLst/>
                        </wps:spPr>
                        <wps:bodyPr vert="horz" wrap="square" anchor="t" anchorCtr="0" upright="1"/>
                      </wps:wsp>
                      <wps:wsp>
                        <wps:cNvPr id="118" name="文本框 118"/>
                        <wps:cNvSpPr txBox="1"/>
                        <wps:spPr>
                          <a:xfrm>
                            <a:off x="19" y="19"/>
                            <a:ext cx="4025" cy="2258"/>
                          </a:xfrm>
                          <a:prstGeom prst="rect">
                            <a:avLst/>
                          </a:prstGeom>
                          <a:noFill/>
                          <a:ln>
                            <a:noFill/>
                          </a:ln>
                          <a:effectLst/>
                        </wps:spPr>
                        <wps:txbx>
                          <w:txbxContent>
                            <w:p>
                              <w:pPr>
                                <w:pStyle w:val="2"/>
                                <w:kinsoku w:val="0"/>
                                <w:overflowPunct w:val="0"/>
                              </w:pPr>
                            </w:p>
                            <w:p>
                              <w:pPr>
                                <w:pStyle w:val="2"/>
                                <w:kinsoku w:val="0"/>
                                <w:overflowPunct w:val="0"/>
                              </w:pPr>
                            </w:p>
                            <w:p>
                              <w:pPr>
                                <w:pStyle w:val="2"/>
                                <w:kinsoku w:val="0"/>
                                <w:overflowPunct w:val="0"/>
                                <w:spacing w:before="13"/>
                                <w:rPr>
                                  <w:sz w:val="28"/>
                                  <w:szCs w:val="28"/>
                                </w:rPr>
                              </w:pPr>
                            </w:p>
                            <w:p>
                              <w:pPr>
                                <w:pStyle w:val="2"/>
                                <w:kinsoku w:val="0"/>
                                <w:overflowPunct w:val="0"/>
                                <w:ind w:left="107"/>
                              </w:pPr>
                              <w:r>
                                <w:rPr>
                                  <w:rFonts w:hint="eastAsia"/>
                                </w:rPr>
                                <w:t>法定代表人身份证复印件（正面）</w:t>
                              </w:r>
                            </w:p>
                          </w:txbxContent>
                        </wps:txbx>
                        <wps:bodyPr wrap="square" lIns="0" tIns="0" rIns="0" bIns="0" upright="1"/>
                      </wps:wsp>
                      <wps:wsp>
                        <wps:cNvPr id="119" name="文本框 119"/>
                        <wps:cNvSpPr txBox="1"/>
                        <wps:spPr>
                          <a:xfrm>
                            <a:off x="4044" y="19"/>
                            <a:ext cx="4025" cy="2258"/>
                          </a:xfrm>
                          <a:prstGeom prst="rect">
                            <a:avLst/>
                          </a:prstGeom>
                          <a:noFill/>
                          <a:ln>
                            <a:noFill/>
                          </a:ln>
                          <a:effectLst/>
                        </wps:spPr>
                        <wps:txbx>
                          <w:txbxContent>
                            <w:p>
                              <w:pPr>
                                <w:pStyle w:val="2"/>
                                <w:kinsoku w:val="0"/>
                                <w:overflowPunct w:val="0"/>
                              </w:pPr>
                            </w:p>
                            <w:p>
                              <w:pPr>
                                <w:pStyle w:val="2"/>
                                <w:kinsoku w:val="0"/>
                                <w:overflowPunct w:val="0"/>
                              </w:pPr>
                            </w:p>
                            <w:p>
                              <w:pPr>
                                <w:pStyle w:val="2"/>
                                <w:kinsoku w:val="0"/>
                                <w:overflowPunct w:val="0"/>
                                <w:spacing w:before="13"/>
                                <w:rPr>
                                  <w:sz w:val="28"/>
                                  <w:szCs w:val="28"/>
                                </w:rPr>
                              </w:pPr>
                            </w:p>
                            <w:p>
                              <w:pPr>
                                <w:pStyle w:val="2"/>
                                <w:kinsoku w:val="0"/>
                                <w:overflowPunct w:val="0"/>
                                <w:ind w:left="107"/>
                              </w:pPr>
                              <w:r>
                                <w:rPr>
                                  <w:rFonts w:hint="eastAsia"/>
                                </w:rPr>
                                <w:t>法定代表人身份证复印件（反面）</w:t>
                              </w:r>
                            </w:p>
                          </w:txbxContent>
                        </wps:txbx>
                        <wps:bodyPr wrap="square"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">
                <o:lock v:ext="edit" rotation="t" aspectratio="f"/>
                <v:shape id="_x0000_s1026" o:spid="_x0000_s1026" o:spt="100" style="position:absolute;left:4;top:9;height:20;width:8079;" filled="f" stroked="t" coordsize="8079,20" o:gfxdata="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8omSb4A&#10;AADcAAAADwAAAAAAAAABACAAAAAiAAAAZHJzL2Rvd25yZXYueG1sUEsBAhQAFAAAAAgAh07iQDMv&#10;BZ47AAAAOQAAABAAAAAAAAAAAQAgAAAADQEAAGRycy9zaGFwZXhtbC54bWxQSwUGAAAAAAYABgBb&#10;AQAAtwM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RzdCdrsAAADc&#10;AAAADwAAAGRycy9kb3ducmV2LnhtbEVPzWrCQBC+C77DMkJvuhuhpaZucqgUxNJDow8wZMckJDsb&#10;drca+/TdguBtPr7f2ZaTHcSFfOgca8hWCgRx7UzHjYbT8WP5CiJEZIODY9JwowBlMZ9tMTfuyt90&#10;qWIjUgiHHDW0MY65lKFuyWJYuZE4cWfnLcYEfSONx2sKt4NcK/UiLXacGloc6b2luq9+rIad98cv&#10;OZ6r38PnzmWN6p83U6/10yJTbyAiTfEhvrv3Js1XG/h/Jl0g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zdCdrsAAADc&#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U9R9Nr4AAADc&#10;AAAADwAAAGRycy9kb3ducmV2LnhtbEWPQWvDMAyF74X9B6PCbq2dwcqa1u2hZTA2eljaHyBiNQmJ&#10;5WB7bbZfPx0Gu0m8p/c+bfeTH9SNYuoCWyiWBhRxHVzHjYXL+XXxAiplZIdDYLLwTQn2u4fZFksX&#10;7vxJtyo3SkI4lWihzXkstU51Sx7TMozEol1D9JhljY12Ee8S7gf9ZMxKe+xYGloc6dBS3Vdf3sIx&#10;xvNJj9fq5/3jGIrG9M/rqbf2cV6YDahMU/43/12/OcEvBF+ekQn07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9R9Nr4A&#10;AADcAAAADwAAAAAAAAABACAAAAAiAAAAZHJzL2Rvd25yZXYueG1sUEsBAhQAFAAAAAgAh07iQDMv&#10;BZ47AAAAOQAAABAAAAAAAAAAAQAgAAAADQEAAGRycy9zaGFwZXhtbC54bWxQSwUGAAAAAAYABgBb&#10;AQAAtwM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bykZCbsAAADc&#10;AAAADwAAAGRycy9kb3ducmV2LnhtbEVPTWsCMRC9F/wPYYTearILimyNHqStpZ7UHnocNrObxc1k&#10;SaJu/31TELzN433OajO6XlwpxM6zhmKmQBDX3nTcavg+vb8sQcSEbLD3TBp+KcJmPXlaYWX8jQ90&#10;PaZW5BCOFWqwKQ2VlLG25DDO/ECcucYHhynD0EoT8JbDXS9LpRbSYce5weJAW0v1+XhxGvZNU56D&#10;Kr/mH7s3xHHetT92q/XztFCvIBKN6SG+uz9Nnl8U8P9Mvk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ykZCbsAAADc&#10;AAAADwAAAAAAAAABACAAAAAiAAAAZHJzL2Rvd25yZXYueG1sUEsBAhQAFAAAAAgAh07iQDMvBZ47&#10;AAAAOQAAABAAAAAAAAAAAQAgAAAACgEAAGRycy9zaGFwZXhtbC54bWxQSwUGAAAAAAYABgBbAQAA&#10;tAM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GPtzx7sAAADc&#10;AAAADwAAAGRycy9kb3ducmV2LnhtbEVPTWsCMRC9F/wPYYReiiYrtKyr0YNYEDx1q/dhM24WN5M1&#10;SdX665tCobd5vM9Zru+uF1cKsfOsoZgqEMSNNx23Gg6f75MSREzIBnvPpOGbIqxXo6clVsbf+IOu&#10;dWpFDuFYoQab0lBJGRtLDuPUD8SZO/ngMGUYWmkC3nK46+VMqTfpsOPcYHGgjaXmXH85DY/Ty+51&#10;a3FbN+VR7cv55oKh1vp5XKgFiET39C/+c+9Mnl/M4PeZfIFc/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tzx7sAAADc&#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45lnMr4AAADc&#10;AAAADwAAAGRycy9kb3ducmV2LnhtbEVPS2vCQBC+C/6HZYRepG5SS6mpaygtQg4Fnwd7G7JjEpud&#10;Ddk1if++KxR6m4/vOct0MLXoqHWVZQXxLAJBnFtdcaHgeFg/voJwHlljbZkU3MhBuhqPlpho2/OO&#10;ur0vRAhhl6CC0vsmkdLlJRl0M9sQB+5sW4M+wLaQusU+hJtaPkXRizRYcWgosaGPkvKf/dUo6LNP&#10;WR39Jp8Wu6/D8+L03ly+t0o9TOLoDYSnwf+L/9yZDvPjOdyfCRf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5lnMr4A&#10;AADc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bJBF3LgAAADc&#10;AAAADwAAAGRycy9kb3ducmV2LnhtbEVPS4vCMBC+L/gfwgje1rS+kGoUKQieFnzdh2Zsis2kTeJj&#10;//1mYWFv8/E9Z71921Y8yYfGsYJ8nIEgrpxuuFZwOe8/lyBCRNbYOiYF3xRguxl8rLHQ7sVHep5i&#10;LVIIhwIVmBi7QspQGbIYxq4jTtzNeYsxQV9L7fGVwm0rJ1m2kBYbTg0GOyoNVffTwyrwVSh1P+3N&#10;tey/rrzDzi2mc6VGwzxbgYj0jv/iP/dBp/n5DH6fSRfIzQ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JBF3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A9zgR7kAAADc&#10;AAAADwAAAGRycy9kb3ducmV2LnhtbEVPyWrDMBC9F/IPYgK91bIbHIJjJRRDoKdA3eY+WBPL1BrZ&#10;krL9fVUo9DaPt069v9tRXMmHwbGCIstBEHdOD9wr+Po8vGxAhIiscXRMCh4UYL9bPNVYaXfjD7q2&#10;sRcphEOFCkyMUyVl6AxZDJmbiBN3dt5iTND3Unu8pXA7ytc8X0uLA6cGgxM1hrrv9mIV+C40el7N&#10;5tTMxxO/4eTWq1Kp52WRb0FEusd/8Z/7Xaf5RQm/z6QL5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c4Ee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w5+MLgAAADc&#10;AAAADwAAAGRycy9kb3ducmV2LnhtbEVPTYvCMBC9C/sfwgh707SKRapRpCDsaUF3vQ/N2BSbSZtk&#10;1f33RhC8zeN9znp7t524kg+tYwX5NANBXDvdcqPg92c/WYIIEVlj55gU/FOA7eZjtMZSuxsf6HqM&#10;jUghHEpUYGLsSylDbchimLqeOHFn5y3GBH0jtcdbCrednGVZIS22nBoM9lQZqi/HP6vA16HSw3ww&#10;p2r4PvEOe1fMF0p9jvNsBSLSPb7FL/eXTvPzAp7PpAvk5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w5+M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6YiwK70AAADc&#10;AAAADwAAAGRycy9kb3ducmV2LnhtbEVPTWvCQBC9F/oflin0ppvYYtPUVaho9SLStNDrmB2zwexs&#10;yK5R/70rCL3N433OZHa2jeip87VjBekwAUFcOl1zpeD3ZznIQPiArLFxTAou5GE2fXyYYK7dib+p&#10;L0IlYgj7HBWYENpcSl8asuiHriWO3N51FkOEXSV1h6cYbhs5SpKxtFhzbDDY0txQeSiOVsHB9+Zz&#10;9/q12r7w+yYrdov2b79Q6vkpTT5ABDqHf/HdvdZxfvoGt2fiBXJ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iLArvQAA&#10;ANw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3C/Mub8AAADc&#10;AAAADwAAAGRycy9kb3ducmV2LnhtbEWPT2vDMAzF74N9B6PBbqudHkqb1S1jrDAYlKXZYUctVhPT&#10;WM5ir3++/XQo9Cbxnt77abk+h14daUw+soViYkARN9F5bi181ZunOaiUkR32kcnChRKsV/d3Syxd&#10;PHFFx11ulYRwKtFCl/NQap2ajgKmSRyIRdvHMWCWdWy1G/Ek4aHXU2NmOqBnaehwoNeOmsPuL1h4&#10;+ebqzf9ufz6rfeXremH4Y3aw9vGhMM+gMp3zzXy9fneCXwit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vzL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pStyle w:val="2"/>
                          <w:kinsoku w:val="0"/>
                          <w:overflowPunct w:val="0"/>
                        </w:pPr>
                      </w:p>
                      <w:p>
                        <w:pPr>
                          <w:pStyle w:val="2"/>
                          <w:kinsoku w:val="0"/>
                          <w:overflowPunct w:val="0"/>
                        </w:pPr>
                      </w:p>
                      <w:p>
                        <w:pPr>
                          <w:pStyle w:val="2"/>
                          <w:kinsoku w:val="0"/>
                          <w:overflowPunct w:val="0"/>
                          <w:spacing w:before="13"/>
                          <w:rPr>
                            <w:sz w:val="28"/>
                            <w:szCs w:val="28"/>
                          </w:rPr>
                        </w:pPr>
                      </w:p>
                      <w:p>
                        <w:pPr>
                          <w:pStyle w:val="2"/>
                          <w:kinsoku w:val="0"/>
                          <w:overflowPunct w:val="0"/>
                          <w:ind w:left="107"/>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s2NpIrwAAADc&#10;AAAADwAAAGRycy9kb3ducmV2LnhtbEVPTWvCQBC9C/6HZYTedDc9SE3diEgLhUIxpocep9lJspid&#10;TbNbtf/eLQje5vE+Z725uF6caAzWs4ZsoUAQ195YbjV8Vq/zJxAhIhvsPZOGPwqwKaaTNebGn7mk&#10;0yG2IoVwyFFDF+OQSxnqjhyGhR+IE9f40WFMcGylGfGcwl0vH5VaSoeWU0OHA+06qo+HX6dh+8Xl&#10;i/35+N6XTWmraqX4fXnU+mGWqWcQkS7xLr6530yan63g/5l0gSy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jaS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2"/>
                          <w:kinsoku w:val="0"/>
                          <w:overflowPunct w:val="0"/>
                        </w:pPr>
                      </w:p>
                      <w:p>
                        <w:pPr>
                          <w:pStyle w:val="2"/>
                          <w:kinsoku w:val="0"/>
                          <w:overflowPunct w:val="0"/>
                        </w:pPr>
                      </w:p>
                      <w:p>
                        <w:pPr>
                          <w:pStyle w:val="2"/>
                          <w:kinsoku w:val="0"/>
                          <w:overflowPunct w:val="0"/>
                          <w:spacing w:before="13"/>
                          <w:rPr>
                            <w:sz w:val="28"/>
                            <w:szCs w:val="28"/>
                          </w:rPr>
                        </w:pPr>
                      </w:p>
                      <w:p>
                        <w:pPr>
                          <w:pStyle w:val="2"/>
                          <w:kinsoku w:val="0"/>
                          <w:overflowPunct w:val="0"/>
                          <w:ind w:left="107"/>
                        </w:pPr>
                        <w:r>
                          <w:rPr>
                            <w:rFonts w:hint="eastAsia"/>
                          </w:rPr>
                          <w:t>法定代表人身份证复印件（反面）</w:t>
                        </w:r>
                      </w:p>
                    </w:txbxContent>
                  </v:textbox>
                </v:shape>
                <w10:wrap type="none"/>
                <w10:anchorlock/>
              </v:group>
            </w:pict>
          </mc:Fallback>
        </mc:AlternateContent>
      </w:r>
    </w:p>
    <w:p>
      <w:pPr>
        <w:pStyle w:val="2"/>
        <w:kinsoku w:val="0"/>
        <w:overflowPunct w:val="0"/>
        <w:rPr>
          <w:rFonts w:ascii="宋体" w:hAnsi="宋体" w:cs="宋体"/>
          <w:sz w:val="20"/>
          <w:szCs w:val="20"/>
        </w:rPr>
      </w:pPr>
    </w:p>
    <w:p>
      <w:pPr>
        <w:wordWrap w:val="0"/>
        <w:spacing w:line="420" w:lineRule="exact"/>
        <w:ind w:firstLine="480" w:firstLineChars="200"/>
        <w:jc w:val="right"/>
        <w:rPr>
          <w:rFonts w:ascii="宋体" w:hAnsi="宋体" w:cs="宋体"/>
          <w:kern w:val="0"/>
          <w:sz w:val="24"/>
        </w:rPr>
      </w:pPr>
    </w:p>
    <w:p>
      <w:pPr>
        <w:spacing w:line="420" w:lineRule="exact"/>
        <w:ind w:firstLine="480" w:firstLineChars="200"/>
        <w:jc w:val="right"/>
        <w:rPr>
          <w:rFonts w:ascii="宋体" w:hAnsi="宋体" w:cs="宋体"/>
          <w:kern w:val="0"/>
          <w:sz w:val="24"/>
        </w:rPr>
      </w:pPr>
    </w:p>
    <w:p>
      <w:pPr>
        <w:spacing w:line="420" w:lineRule="exact"/>
        <w:ind w:firstLine="480" w:firstLineChars="200"/>
        <w:jc w:val="right"/>
        <w:rPr>
          <w:rFonts w:ascii="宋体" w:hAnsi="宋体" w:cs="宋体"/>
          <w:kern w:val="0"/>
          <w:sz w:val="24"/>
        </w:rPr>
      </w:pPr>
      <w:r>
        <w:rPr>
          <w:rFonts w:hint="eastAsia" w:ascii="宋体" w:hAnsi="宋体" w:cs="宋体"/>
          <w:kern w:val="0"/>
          <w:sz w:val="24"/>
        </w:rPr>
        <w:t>供应商：</w:t>
      </w:r>
      <w:r>
        <w:rPr>
          <w:rFonts w:hint="eastAsia" w:ascii="宋体" w:hAnsi="宋体" w:cs="宋体"/>
          <w:kern w:val="0"/>
          <w:sz w:val="24"/>
          <w:u w:val="single"/>
        </w:rPr>
        <w:t xml:space="preserve">                </w:t>
      </w:r>
      <w:r>
        <w:rPr>
          <w:rFonts w:hint="eastAsia" w:ascii="宋体" w:hAnsi="宋体" w:cs="宋体"/>
          <w:kern w:val="0"/>
          <w:sz w:val="24"/>
        </w:rPr>
        <w:t>（公章）</w:t>
      </w:r>
    </w:p>
    <w:p>
      <w:pPr>
        <w:wordWrap w:val="0"/>
        <w:spacing w:line="420" w:lineRule="exact"/>
        <w:ind w:right="480" w:firstLine="480" w:firstLineChars="200"/>
        <w:jc w:val="center"/>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 xml:space="preserve">日 </w:t>
      </w:r>
    </w:p>
    <w:p>
      <w:pPr>
        <w:pStyle w:val="2"/>
        <w:kinsoku w:val="0"/>
        <w:overflowPunct w:val="0"/>
        <w:spacing w:before="34" w:line="357" w:lineRule="auto"/>
        <w:ind w:right="126" w:firstLine="480"/>
        <w:jc w:val="center"/>
        <w:outlineLvl w:val="1"/>
        <w:rPr>
          <w:rFonts w:ascii="宋体" w:hAnsi="宋体" w:cs="宋体"/>
          <w:b/>
          <w:bCs/>
        </w:rPr>
      </w:pPr>
      <w:r>
        <w:rPr>
          <w:rFonts w:hint="eastAsia" w:ascii="宋体" w:hAnsi="宋体" w:cs="宋体"/>
        </w:rPr>
        <w:br w:type="page"/>
      </w:r>
      <w:r>
        <w:rPr>
          <w:rFonts w:hint="eastAsia" w:ascii="宋体" w:hAnsi="宋体" w:cs="宋体"/>
          <w:b/>
          <w:bCs/>
          <w:sz w:val="36"/>
          <w:szCs w:val="36"/>
        </w:rPr>
        <w:t>三、授权委托书</w:t>
      </w:r>
    </w:p>
    <w:p>
      <w:pPr>
        <w:pStyle w:val="2"/>
        <w:kinsoku w:val="0"/>
        <w:overflowPunct w:val="0"/>
        <w:spacing w:before="2"/>
        <w:rPr>
          <w:rFonts w:ascii="宋体" w:hAnsi="宋体" w:cs="宋体"/>
          <w:b/>
          <w:bCs/>
          <w:szCs w:val="21"/>
        </w:rPr>
      </w:pPr>
    </w:p>
    <w:p>
      <w:pPr>
        <w:spacing w:line="420" w:lineRule="exact"/>
        <w:rPr>
          <w:rFonts w:ascii="宋体" w:hAnsi="宋体" w:cs="宋体"/>
          <w:kern w:val="0"/>
          <w:sz w:val="24"/>
        </w:rPr>
      </w:pPr>
      <w:r>
        <w:rPr>
          <w:rFonts w:hint="eastAsia" w:ascii="宋体" w:hAnsi="宋体" w:cs="宋体"/>
          <w:kern w:val="0"/>
          <w:sz w:val="24"/>
        </w:rPr>
        <w:t xml:space="preserve">致：采购人名称 </w:t>
      </w:r>
    </w:p>
    <w:p>
      <w:pPr>
        <w:spacing w:line="420" w:lineRule="exact"/>
        <w:ind w:firstLine="480" w:firstLineChars="200"/>
        <w:rPr>
          <w:rFonts w:ascii="宋体" w:hAnsi="宋体" w:cs="宋体"/>
          <w:kern w:val="0"/>
          <w:sz w:val="24"/>
        </w:rPr>
      </w:pPr>
      <w:r>
        <w:rPr>
          <w:rFonts w:hint="eastAsia" w:ascii="宋体" w:hAnsi="宋体" w:cs="宋体"/>
          <w:kern w:val="0"/>
          <w:sz w:val="24"/>
        </w:rPr>
        <w:t>本授权书声明：注册于</w:t>
      </w:r>
      <w:r>
        <w:rPr>
          <w:rFonts w:hint="eastAsia" w:ascii="宋体" w:hAnsi="宋体" w:cs="宋体"/>
          <w:kern w:val="0"/>
          <w:sz w:val="24"/>
          <w:u w:val="single"/>
        </w:rPr>
        <w:t>（投标人地址）</w:t>
      </w:r>
      <w:r>
        <w:rPr>
          <w:rFonts w:hint="eastAsia" w:ascii="宋体" w:hAnsi="宋体" w:cs="宋体"/>
          <w:kern w:val="0"/>
          <w:sz w:val="24"/>
        </w:rPr>
        <w:t>的</w:t>
      </w:r>
      <w:r>
        <w:rPr>
          <w:rFonts w:hint="eastAsia" w:ascii="宋体" w:hAnsi="宋体" w:cs="宋体"/>
          <w:kern w:val="0"/>
          <w:sz w:val="24"/>
          <w:u w:val="single"/>
        </w:rPr>
        <w:t>（投标人名称）</w:t>
      </w:r>
      <w:r>
        <w:rPr>
          <w:rFonts w:hint="eastAsia" w:ascii="宋体" w:hAnsi="宋体" w:cs="宋体"/>
          <w:kern w:val="0"/>
          <w:sz w:val="24"/>
        </w:rPr>
        <w:t>法定代表人（负责人）</w:t>
      </w:r>
      <w:r>
        <w:rPr>
          <w:rFonts w:hint="eastAsia" w:ascii="宋体" w:hAnsi="宋体" w:cs="宋体"/>
          <w:kern w:val="0"/>
          <w:sz w:val="24"/>
          <w:u w:val="single"/>
        </w:rPr>
        <w:t>姓名、职务或职称）</w:t>
      </w:r>
      <w:r>
        <w:rPr>
          <w:rFonts w:hint="eastAsia" w:ascii="宋体" w:hAnsi="宋体" w:cs="宋体"/>
          <w:kern w:val="0"/>
          <w:sz w:val="24"/>
        </w:rPr>
        <w:t>代表本公司授权</w:t>
      </w:r>
      <w:r>
        <w:rPr>
          <w:rFonts w:hint="eastAsia" w:ascii="宋体" w:hAnsi="宋体" w:cs="宋体"/>
          <w:kern w:val="0"/>
          <w:sz w:val="24"/>
          <w:u w:val="single"/>
        </w:rPr>
        <w:t>（姓名）</w:t>
      </w:r>
      <w:r>
        <w:rPr>
          <w:rFonts w:hint="eastAsia" w:ascii="宋体" w:hAnsi="宋体" w:cs="宋体"/>
          <w:kern w:val="0"/>
          <w:sz w:val="24"/>
        </w:rPr>
        <w:t>为本单位的合法代理人，参与贵方组织的</w:t>
      </w:r>
      <w:r>
        <w:rPr>
          <w:rFonts w:hint="eastAsia" w:ascii="宋体" w:hAnsi="宋体" w:cs="宋体"/>
          <w:kern w:val="0"/>
          <w:sz w:val="24"/>
          <w:u w:val="single"/>
        </w:rPr>
        <w:t>（项目名称及项目编号）</w:t>
      </w:r>
      <w:r>
        <w:rPr>
          <w:rFonts w:hint="eastAsia" w:ascii="宋体" w:hAnsi="宋体" w:cs="宋体"/>
          <w:kern w:val="0"/>
          <w:sz w:val="24"/>
        </w:rPr>
        <w:t xml:space="preserve"> 的投标、谈判、签约等具体工作，并签署全部有关文件、协议及合同。</w:t>
      </w:r>
    </w:p>
    <w:p>
      <w:pPr>
        <w:spacing w:line="420" w:lineRule="exact"/>
        <w:ind w:firstLine="480" w:firstLineChars="200"/>
        <w:rPr>
          <w:rFonts w:ascii="宋体" w:hAnsi="宋体" w:cs="宋体"/>
          <w:kern w:val="0"/>
          <w:sz w:val="24"/>
        </w:rPr>
      </w:pPr>
      <w:r>
        <w:rPr>
          <w:rFonts w:hint="eastAsia" w:ascii="宋体" w:hAnsi="宋体" w:cs="宋体"/>
          <w:kern w:val="0"/>
          <w:sz w:val="24"/>
        </w:rPr>
        <w:t>我单位对被授权人的上述经济活动负全部责任。在撤销授权的书面通知前，本授权书一直有效。被授权人在授权书有效期内签署的所有文件不因授权的撤消而失效。</w:t>
      </w:r>
    </w:p>
    <w:p>
      <w:pPr>
        <w:pStyle w:val="2"/>
        <w:kinsoku w:val="0"/>
        <w:overflowPunct w:val="0"/>
        <w:spacing w:before="12"/>
        <w:rPr>
          <w:rFonts w:ascii="宋体" w:hAnsi="宋体" w:cs="宋体"/>
          <w:sz w:val="4"/>
          <w:szCs w:val="4"/>
        </w:rPr>
      </w:pPr>
    </w:p>
    <w:p>
      <w:pPr>
        <w:pStyle w:val="2"/>
        <w:kinsoku w:val="0"/>
        <w:overflowPunct w:val="0"/>
        <w:spacing w:line="200" w:lineRule="atLeast"/>
        <w:ind w:left="628"/>
        <w:rPr>
          <w:rFonts w:ascii="宋体" w:hAnsi="宋体" w:cs="宋体"/>
          <w:sz w:val="20"/>
          <w:szCs w:val="20"/>
        </w:rPr>
      </w:pPr>
      <w:r>
        <w:rPr>
          <w:rFonts w:hint="eastAsia" w:ascii="宋体" w:hAnsi="宋体" w:cs="宋体"/>
          <w:sz w:val="20"/>
          <w:szCs w:val="20"/>
        </w:rPr>
        <mc:AlternateContent>
          <mc:Choice Requires="wpg">
            <w:drawing>
              <wp:inline distT="0" distB="0" distL="114300" distR="114300">
                <wp:extent cx="5136515" cy="1458595"/>
                <wp:effectExtent l="0" t="0" r="8255" b="9525"/>
                <wp:docPr id="107" name="组合 107"/>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a:effectLst/>
                      </wpg:grpSpPr>
                      <wps:wsp>
                        <wps:cNvPr id="95" name="任意多边形 95"/>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vert="horz" wrap="square" anchor="t" anchorCtr="0" upright="1"/>
                      </wps:wsp>
                      <wps:wsp>
                        <wps:cNvPr id="96" name="任意多边形 96"/>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vert="horz" wrap="square" anchor="t" anchorCtr="0" upright="1"/>
                      </wps:wsp>
                      <wps:wsp>
                        <wps:cNvPr id="97" name="任意多边形 97"/>
                        <wps:cNvSpPr/>
                        <wps:spPr>
                          <a:xfrm>
                            <a:off x="24" y="2267"/>
                            <a:ext cx="8041" cy="20"/>
                          </a:xfrm>
                          <a:custGeom>
                            <a:avLst/>
                            <a:gdLst/>
                            <a:ahLst/>
                            <a:cxnLst/>
                            <a:rect l="0" t="0" r="0" b="0"/>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vert="horz" wrap="square" anchor="t" anchorCtr="0" upright="1"/>
                      </wps:wsp>
                      <wps:wsp>
                        <wps:cNvPr id="98" name="任意多边形 98"/>
                        <wps:cNvSpPr/>
                        <wps:spPr>
                          <a:xfrm>
                            <a:off x="4" y="2286"/>
                            <a:ext cx="8079" cy="20"/>
                          </a:xfrm>
                          <a:custGeom>
                            <a:avLst/>
                            <a:gdLst/>
                            <a:ahLst/>
                            <a:cxnLst/>
                            <a:rect l="0" t="0" r="0" b="0"/>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vert="horz" wrap="square" anchor="t" anchorCtr="0" upright="1"/>
                      </wps:wsp>
                      <wps:wsp>
                        <wps:cNvPr id="99" name="任意多边形 99"/>
                        <wps:cNvSpPr/>
                        <wps:spPr>
                          <a:xfrm>
                            <a:off x="9" y="4"/>
                            <a:ext cx="20" cy="2287"/>
                          </a:xfrm>
                          <a:custGeom>
                            <a:avLst/>
                            <a:gdLst/>
                            <a:ahLst/>
                            <a:cxnLst/>
                            <a:rect l="0" t="0" r="0" b="0"/>
                            <a:pathLst>
                              <a:path w="20" h="2287">
                                <a:moveTo>
                                  <a:pt x="0" y="0"/>
                                </a:moveTo>
                                <a:lnTo>
                                  <a:pt x="0" y="2286"/>
                                </a:lnTo>
                              </a:path>
                            </a:pathLst>
                          </a:custGeom>
                          <a:noFill/>
                          <a:ln w="6096" cap="flat" cmpd="sng">
                            <a:solidFill>
                              <a:srgbClr val="000000"/>
                            </a:solidFill>
                            <a:prstDash val="solid"/>
                            <a:headEnd type="none" w="med" len="med"/>
                            <a:tailEnd type="none" w="med" len="med"/>
                          </a:ln>
                          <a:effectLst/>
                        </wps:spPr>
                        <wps:bodyPr vert="horz" wrap="square" anchor="t" anchorCtr="0" upright="1"/>
                      </wps:wsp>
                      <wps:wsp>
                        <wps:cNvPr id="100" name="任意多边形 100"/>
                        <wps:cNvSpPr/>
                        <wps:spPr>
                          <a:xfrm>
                            <a:off x="28" y="24"/>
                            <a:ext cx="20" cy="2249"/>
                          </a:xfrm>
                          <a:custGeom>
                            <a:avLst/>
                            <a:gdLst/>
                            <a:ahLst/>
                            <a:cxnLst/>
                            <a:rect l="0" t="0" r="0" b="0"/>
                            <a:pathLst>
                              <a:path w="20" h="2249">
                                <a:moveTo>
                                  <a:pt x="0" y="0"/>
                                </a:moveTo>
                                <a:lnTo>
                                  <a:pt x="0" y="2248"/>
                                </a:lnTo>
                              </a:path>
                            </a:pathLst>
                          </a:custGeom>
                          <a:noFill/>
                          <a:ln w="6096" cap="flat" cmpd="sng">
                            <a:solidFill>
                              <a:srgbClr val="000000"/>
                            </a:solidFill>
                            <a:prstDash val="solid"/>
                            <a:headEnd type="none" w="med" len="med"/>
                            <a:tailEnd type="none" w="med" len="med"/>
                          </a:ln>
                          <a:effectLst/>
                        </wps:spPr>
                        <wps:bodyPr vert="horz" wrap="square" anchor="t" anchorCtr="0" upright="1"/>
                      </wps:wsp>
                      <wps:wsp>
                        <wps:cNvPr id="101" name="任意多边形 101"/>
                        <wps:cNvSpPr/>
                        <wps:spPr>
                          <a:xfrm>
                            <a:off x="4034"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vert="horz" wrap="square" anchor="t" anchorCtr="0" upright="1"/>
                      </wps:wsp>
                      <wps:wsp>
                        <wps:cNvPr id="102" name="任意多边形 102"/>
                        <wps:cNvSpPr/>
                        <wps:spPr>
                          <a:xfrm>
                            <a:off x="4053"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vert="horz" wrap="square" anchor="t" anchorCtr="0" upright="1"/>
                      </wps:wsp>
                      <wps:wsp>
                        <wps:cNvPr id="103" name="任意多边形 103"/>
                        <wps:cNvSpPr/>
                        <wps:spPr>
                          <a:xfrm>
                            <a:off x="8059" y="33"/>
                            <a:ext cx="20" cy="2239"/>
                          </a:xfrm>
                          <a:custGeom>
                            <a:avLst/>
                            <a:gdLst/>
                            <a:ahLst/>
                            <a:cxnLst/>
                            <a:rect l="0" t="0" r="0" b="0"/>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vert="horz" wrap="square" anchor="t" anchorCtr="0" upright="1"/>
                      </wps:wsp>
                      <wps:wsp>
                        <wps:cNvPr id="104" name="任意多边形 104"/>
                        <wps:cNvSpPr/>
                        <wps:spPr>
                          <a:xfrm>
                            <a:off x="8078" y="14"/>
                            <a:ext cx="20" cy="2278"/>
                          </a:xfrm>
                          <a:custGeom>
                            <a:avLst/>
                            <a:gdLst/>
                            <a:ahLst/>
                            <a:cxnLst/>
                            <a:rect l="0" t="0" r="0" b="0"/>
                            <a:pathLst>
                              <a:path w="20" h="2278">
                                <a:moveTo>
                                  <a:pt x="0" y="0"/>
                                </a:moveTo>
                                <a:lnTo>
                                  <a:pt x="0" y="2277"/>
                                </a:lnTo>
                              </a:path>
                            </a:pathLst>
                          </a:custGeom>
                          <a:noFill/>
                          <a:ln w="6096" cap="flat" cmpd="sng">
                            <a:solidFill>
                              <a:srgbClr val="000000"/>
                            </a:solidFill>
                            <a:prstDash val="solid"/>
                            <a:headEnd type="none" w="med" len="med"/>
                            <a:tailEnd type="none" w="med" len="med"/>
                          </a:ln>
                          <a:effectLst/>
                        </wps:spPr>
                        <wps:bodyPr vert="horz" wrap="square" anchor="t" anchorCtr="0" upright="1"/>
                      </wps:wsp>
                      <wps:wsp>
                        <wps:cNvPr id="105" name="文本框 105"/>
                        <wps:cNvSpPr txBox="1"/>
                        <wps:spPr>
                          <a:xfrm>
                            <a:off x="19" y="19"/>
                            <a:ext cx="4025" cy="2258"/>
                          </a:xfrm>
                          <a:prstGeom prst="rect">
                            <a:avLst/>
                          </a:prstGeom>
                          <a:noFill/>
                          <a:ln>
                            <a:noFill/>
                          </a:ln>
                          <a:effectLst/>
                        </wps:spPr>
                        <wps:txbx>
                          <w:txbxContent>
                            <w:p>
                              <w:pPr>
                                <w:pStyle w:val="2"/>
                                <w:kinsoku w:val="0"/>
                                <w:overflowPunct w:val="0"/>
                              </w:pPr>
                            </w:p>
                            <w:p>
                              <w:pPr>
                                <w:pStyle w:val="2"/>
                                <w:kinsoku w:val="0"/>
                                <w:overflowPunct w:val="0"/>
                              </w:pPr>
                            </w:p>
                            <w:p>
                              <w:pPr>
                                <w:pStyle w:val="2"/>
                                <w:kinsoku w:val="0"/>
                                <w:overflowPunct w:val="0"/>
                                <w:spacing w:before="12"/>
                                <w:rPr>
                                  <w:sz w:val="28"/>
                                  <w:szCs w:val="28"/>
                                </w:rPr>
                              </w:pPr>
                            </w:p>
                            <w:p>
                              <w:pPr>
                                <w:pStyle w:val="2"/>
                                <w:kinsoku w:val="0"/>
                                <w:overflowPunct w:val="0"/>
                                <w:ind w:left="107"/>
                              </w:pPr>
                              <w:r>
                                <w:rPr>
                                  <w:rFonts w:hint="eastAsia"/>
                                </w:rPr>
                                <w:t>授权人身份证复印件（正面）</w:t>
                              </w:r>
                            </w:p>
                          </w:txbxContent>
                        </wps:txbx>
                        <wps:bodyPr wrap="square" lIns="0" tIns="0" rIns="0" bIns="0" upright="1"/>
                      </wps:wsp>
                      <wps:wsp>
                        <wps:cNvPr id="106" name="文本框 106"/>
                        <wps:cNvSpPr txBox="1"/>
                        <wps:spPr>
                          <a:xfrm>
                            <a:off x="4044" y="19"/>
                            <a:ext cx="4025" cy="2258"/>
                          </a:xfrm>
                          <a:prstGeom prst="rect">
                            <a:avLst/>
                          </a:prstGeom>
                          <a:noFill/>
                          <a:ln>
                            <a:noFill/>
                          </a:ln>
                          <a:effectLst/>
                        </wps:spPr>
                        <wps:txbx>
                          <w:txbxContent>
                            <w:p>
                              <w:pPr>
                                <w:pStyle w:val="2"/>
                                <w:kinsoku w:val="0"/>
                                <w:overflowPunct w:val="0"/>
                              </w:pPr>
                            </w:p>
                            <w:p>
                              <w:pPr>
                                <w:pStyle w:val="2"/>
                                <w:kinsoku w:val="0"/>
                                <w:overflowPunct w:val="0"/>
                              </w:pPr>
                            </w:p>
                            <w:p>
                              <w:pPr>
                                <w:pStyle w:val="2"/>
                                <w:kinsoku w:val="0"/>
                                <w:overflowPunct w:val="0"/>
                                <w:spacing w:before="12"/>
                                <w:rPr>
                                  <w:sz w:val="28"/>
                                  <w:szCs w:val="28"/>
                                </w:rPr>
                              </w:pPr>
                            </w:p>
                            <w:p>
                              <w:pPr>
                                <w:pStyle w:val="2"/>
                                <w:kinsoku w:val="0"/>
                                <w:overflowPunct w:val="0"/>
                                <w:ind w:left="107"/>
                              </w:pPr>
                              <w:r>
                                <w:rPr>
                                  <w:rFonts w:hint="eastAsia"/>
                                </w:rPr>
                                <w:t>授权人身份证复印件（反面）</w:t>
                              </w:r>
                            </w:p>
                          </w:txbxContent>
                        </wps:txbx>
                        <wps:bodyPr wrap="square"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">
                <o:lock v:ext="edit" rotation="t" aspectratio="f"/>
                <v:shape id="_x0000_s1026" o:spid="_x0000_s1026" o:spt="100" style="position:absolute;left:4;top:9;height:20;width:8079;" filled="f" stroked="t" coordsize="8079,20" o:gfxdata="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AYIE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Hu1pY7wAAADb&#10;AAAADwAAAGRycy9kb3ducmV2LnhtbEWPQYvCMBSE7wv+h/CEva1JFxStRg/Kgih7sPoDHs2zLW1e&#10;ShK17q83Cwt7HGbmG2a1GWwn7uRD41hDNlEgiEtnGq40XM5fH3MQISIb7ByThicF2KxHbyvMjXvw&#10;ie5FrESCcMhRQx1jn0sZyposhonriZN3dd5iTNJX0nh8JLjt5KdSM2mx4bRQY0/bmsq2uFkNO+/P&#10;37K/Fj+H485llWqni6HV+n2cqSWISEP8D/+190bDYga/X9IP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7taWO8AAAA&#10;2w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caHM+L0AAADb&#10;AAAADwAAAGRycy9kb3ducmV2LnhtbEWPQWsCMRSE7wX/Q3iCt5qsYKur0YMiSEsPXf0Bj81zd9nN&#10;y5JEXf31TaHQ4zAz3zDr7WA7cSMfGscasqkCQVw603Cl4Xw6vC5AhIhssHNMGh4UYLsZvawxN+7O&#10;33QrYiUShEOOGuoY+1zKUNZkMUxdT5y8i/MWY5K+ksbjPcFtJ2dKvUmLDaeFGnva1VS2xdVq2Ht/&#10;+pL9pXh+fO5dVql2vhxarSfjTK1ARBrif/ivfTQalu/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ocz4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ZgAtmrkAAADb&#10;AAAADwAAAGRycy9kb3ducmV2LnhtbEVPPW/CMBDdK/EfrENiKzaRqErAMCAoqJ0KDIyn+BJHxOfI&#10;diH8+3qo1PHpfa82g+vEnUJsPWuYTRUI4sqblhsNl/P+9R1ETMgGO8+k4UkRNuvRywpL4x/8TfdT&#10;akQO4ViiBptSX0oZK0sO49T3xJmrfXCYMgyNNAEfOdx1slDqTTpsOTdY7GlrqbqdfpyGr7oubkEV&#10;n/OPww5xmLfN1W61noxnagki0ZD+xX/uo9GwyGP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ALZq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f8Jck70AAADb&#10;AAAADwAAAGRycy9kb3ducmV2LnhtbEWPT2sCMRTE7wW/Q3iCl1ITBcvu1uhBFISeurX3x+a5Wbp5&#10;2Sapf/rpG0HwOMzMb5jl+uJ6caIQO88aZlMFgrjxpuNWw+Fz91KAiAnZYO+ZNFwpwno1elpiZfyZ&#10;P+hUp1ZkCMcKNdiUhkrK2FhyGKd+IM7e0QeHKcvQShPwnOGul3OlXqXDjvOCxYE2lprv+tdp+Ds+&#10;7xdbi9u6Kb7Ue1FufjDUWk/GM/UGItElPcL39t5oKEu4fck/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lyTvQAA&#10;ANsAAAAPAAAAAAAAAAEAIAAAACIAAABkcnMvZG93bnJldi54bWxQSwECFAAUAAAACACHTuJAMy8F&#10;njsAAAA5AAAAEAAAAAAAAAABACAAAAAMAQAAZHJzL3NoYXBleG1sLnhtbFBLBQYAAAAABgAGAFsB&#10;AAC2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lpJvmMAAAADc&#10;AAAADwAAAGRycy9kb3ducmV2LnhtbEWPT2sCQQzF74V+hyEFL0VnLFLa1VFKS8GDYP1z0FvYibtr&#10;dzLLzujqtzcHwVvCe3nvl8ns4mt1pjZWgS0MBwYUcR5cxYWF7ea3/wEqJmSHdWCycKUIs+nz0wQz&#10;Fzpe0XmdCiUhHDO0UKbUZFrHvCSPcRAaYtEOofWYZG0L7VrsJNzX+s2Yd+2xYmkosaHvkvL/9clb&#10;6OY/utqmZf5arBab0efuqznu/6ztvQzNGFSiS3qY79dzJ/hG8OUZmUBP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km+Y&#10;wAAAANwAAAAPAAAAAAAAAAEAIAAAACIAAABkcnMvZG93bnJldi54bWxQSwECFAAUAAAACACHTuJA&#10;My8FnjsAAAA5AAAAEAAAAAAAAAABACAAAAAPAQAAZHJzL3NoYXBleG1sLnhtbFBLBQYAAAAABgAG&#10;AFsBAAC5Aw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T5wmbkAAADc&#10;AAAADwAAAGRycy9kb3ducmV2LnhtbEVPyWrDMBC9B/oPYgK5JZIbGoob2QRDoadAs9wHa2qZWiNb&#10;UpP076tAoLd5vHW29c0N4kIh9p41FCsFgrj1pudOw+n4vnwFEROywcEzafilCHX1NNtiafyVP+ly&#10;SJ3IIRxL1GBTGkspY2vJYVz5kThzXz44TBmGTpqA1xzuBvms1EY67Dk3WBypsdR+H36chtDGxkzr&#10;yZ6baX/mHY5+s37RejEv1BuIRLf0L364P0yerwq4P5MvkN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k+cJm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Cezu7rgAAADc&#10;AAAADwAAAGRycy9kb3ducmV2LnhtbEVPS4vCMBC+C/sfwizsTRMVRapRpCDsaUF3vQ/N2BSbSZvE&#10;x/57Iwje5uN7zmpzd624UoiNZw3jkQJBXHnTcK3h73c3XICICdlg65k0/FOEzfpjsMLC+Bvv6XpI&#10;tcghHAvUYFPqCiljZclhHPmOOHMnHxymDEMtTcBbDnetnCg1lw4bzg0WOyotVefDxWkIVSxNP+3t&#10;sex/jrzFzs+nM62/PsdqCSLRPb3FL/e3yfPVBJ7P5Avk+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ezu7r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ZqBLdbkAAADc&#10;AAAADwAAAGRycy9kb3ducmV2LnhtbEVP32vCMBB+F/Y/hBN808SVyehMixQGexJ08/1obk1Zc2mT&#10;TN1/bwRhb/fx/bxtfXWDOFOIvWcN65UCQdx603On4evzffkKIiZkg4Nn0vBHEerqabbF0vgLH+h8&#10;TJ3IIRxL1GBTGkspY2vJYVz5kThz3z44TBmGTpqAlxzuBvms1EY67Dk3WBypsdT+HH+dhtDGxkzF&#10;ZE/NtD/xDke/KV60XszX6g1Eomv6Fz/cHybPVwXcn8kXyOo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gS3W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nIO4gbwAAADc&#10;AAAADwAAAGRycy9kb3ducmV2LnhtbEVPTWsCMRC9F/ofwhR600QrRbdGoWLVSyldBa/jZtwsbibL&#10;Jl313xtB6G0e73Om84urRUdtqDxrGPQVCOLCm4pLDbvtV28MIkRkg7Vn0nClAPPZ89MUM+PP/Etd&#10;HkuRQjhkqMHG2GRShsKSw9D3DXHijr51GBNsS2laPKdwV8uhUu/SYcWpwWJDC0vFKf9zGk6hs5+H&#10;0Wr988aT73F+WDb741Lr15eB+gAR6RL/xQ/3xqT5agT3Z9IFcnY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DuIG8AAAA&#10;3AAAAA8AAAAAAAAAAQAgAAAAIgAAAGRycy9kb3ducmV2LnhtbFBLAQIUABQAAAAIAIdO4kAzLwWe&#10;OwAAADkAAAAQAAAAAAAAAAEAIAAAAAsBAABkcnMvc2hhcGV4bWwueG1sUEsFBgAAAAAGAAYAWwEA&#10;ALUDA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t/f1+rwAAADc&#10;AAAADwAAAGRycy9kb3ducmV2LnhtbEVPS2sCMRC+C/6HMAVvmlhQ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39f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2"/>
                          <w:kinsoku w:val="0"/>
                          <w:overflowPunct w:val="0"/>
                        </w:pPr>
                      </w:p>
                      <w:p>
                        <w:pPr>
                          <w:pStyle w:val="2"/>
                          <w:kinsoku w:val="0"/>
                          <w:overflowPunct w:val="0"/>
                        </w:pPr>
                      </w:p>
                      <w:p>
                        <w:pPr>
                          <w:pStyle w:val="2"/>
                          <w:kinsoku w:val="0"/>
                          <w:overflowPunct w:val="0"/>
                          <w:spacing w:before="12"/>
                          <w:rPr>
                            <w:sz w:val="28"/>
                            <w:szCs w:val="28"/>
                          </w:rPr>
                        </w:pPr>
                      </w:p>
                      <w:p>
                        <w:pPr>
                          <w:pStyle w:val="2"/>
                          <w:kinsoku w:val="0"/>
                          <w:overflowPunct w:val="0"/>
                          <w:ind w:left="107"/>
                        </w:pPr>
                        <w:r>
                          <w:rPr>
                            <w:rFonts w:hint="eastAsia"/>
                          </w:rPr>
                          <w:t>授权人身份证复印件（正面）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RyVrjbwAAADc&#10;AAAADwAAAGRycy9kb3ducmV2LnhtbEVPTWvCQBC9C/0Pywi96a49BI1upEgLhUIxxoPHaXaSLGZn&#10;0+xW7b/vFgre5vE+Z7O9uV5caAzWs4bFXIEgrr2x3Go4Vq+zJYgQkQ32nknDDwXYFg+TDebGX7mk&#10;yyG2IoVwyFFDF+OQSxnqjhyGuR+IE9f40WFMcGylGfGawl0vn5TKpEPLqaHDgXYd1efDt9PwfOLy&#10;xX59fO7LprRVtVL8np21fpwu1BpEpFu8i//dbybNVxn8PZMu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la4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2"/>
                          <w:kinsoku w:val="0"/>
                          <w:overflowPunct w:val="0"/>
                        </w:pPr>
                      </w:p>
                      <w:p>
                        <w:pPr>
                          <w:pStyle w:val="2"/>
                          <w:kinsoku w:val="0"/>
                          <w:overflowPunct w:val="0"/>
                        </w:pPr>
                      </w:p>
                      <w:p>
                        <w:pPr>
                          <w:pStyle w:val="2"/>
                          <w:kinsoku w:val="0"/>
                          <w:overflowPunct w:val="0"/>
                          <w:spacing w:before="12"/>
                          <w:rPr>
                            <w:sz w:val="28"/>
                            <w:szCs w:val="28"/>
                          </w:rPr>
                        </w:pPr>
                      </w:p>
                      <w:p>
                        <w:pPr>
                          <w:pStyle w:val="2"/>
                          <w:kinsoku w:val="0"/>
                          <w:overflowPunct w:val="0"/>
                          <w:ind w:left="107"/>
                        </w:pPr>
                        <w:r>
                          <w:rPr>
                            <w:rFonts w:hint="eastAsia"/>
                          </w:rPr>
                          <w:t>授权人身份证复印件（反面）</w:t>
                        </w:r>
                      </w:p>
                    </w:txbxContent>
                  </v:textbox>
                </v:shape>
                <w10:wrap type="none"/>
                <w10:anchorlock/>
              </v:group>
            </w:pict>
          </mc:Fallback>
        </mc:AlternateContent>
      </w:r>
    </w:p>
    <w:p>
      <w:pPr>
        <w:pStyle w:val="2"/>
        <w:kinsoku w:val="0"/>
        <w:overflowPunct w:val="0"/>
        <w:rPr>
          <w:rFonts w:ascii="宋体" w:hAnsi="宋体" w:cs="宋体"/>
          <w:sz w:val="20"/>
          <w:szCs w:val="20"/>
        </w:rPr>
      </w:pPr>
    </w:p>
    <w:p>
      <w:pPr>
        <w:pStyle w:val="2"/>
        <w:kinsoku w:val="0"/>
        <w:overflowPunct w:val="0"/>
        <w:spacing w:before="1"/>
        <w:rPr>
          <w:rFonts w:ascii="宋体" w:hAnsi="宋体" w:cs="宋体"/>
          <w:sz w:val="19"/>
          <w:szCs w:val="19"/>
        </w:rPr>
      </w:pPr>
    </w:p>
    <w:p>
      <w:pPr>
        <w:pStyle w:val="2"/>
        <w:kinsoku w:val="0"/>
        <w:overflowPunct w:val="0"/>
        <w:spacing w:line="200" w:lineRule="atLeast"/>
        <w:ind w:left="628"/>
        <w:rPr>
          <w:rFonts w:ascii="宋体" w:hAnsi="宋体" w:cs="宋体"/>
          <w:sz w:val="20"/>
          <w:szCs w:val="20"/>
        </w:rPr>
      </w:pPr>
      <w:r>
        <w:rPr>
          <w:rFonts w:hint="eastAsia" w:ascii="宋体" w:hAnsi="宋体" w:cs="宋体"/>
          <w:sz w:val="20"/>
          <w:szCs w:val="20"/>
        </w:rPr>
        <mc:AlternateContent>
          <mc:Choice Requires="wpg">
            <w:drawing>
              <wp:inline distT="0" distB="0" distL="114300" distR="114300">
                <wp:extent cx="5136515" cy="1384935"/>
                <wp:effectExtent l="0" t="0" r="7620" b="6985"/>
                <wp:docPr id="94" name="组合 94"/>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a:effectLst/>
                      </wpg:grpSpPr>
                      <wps:wsp>
                        <wps:cNvPr id="82" name="任意多边形 82"/>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vert="horz" wrap="square" anchor="t" anchorCtr="0" upright="1"/>
                      </wps:wsp>
                      <wps:wsp>
                        <wps:cNvPr id="83" name="任意多边形 83"/>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vert="horz" wrap="square" anchor="t" anchorCtr="0" upright="1"/>
                      </wps:wsp>
                      <wps:wsp>
                        <wps:cNvPr id="84" name="任意多边形 84"/>
                        <wps:cNvSpPr/>
                        <wps:spPr>
                          <a:xfrm>
                            <a:off x="24" y="2151"/>
                            <a:ext cx="8041" cy="20"/>
                          </a:xfrm>
                          <a:custGeom>
                            <a:avLst/>
                            <a:gdLst/>
                            <a:ahLst/>
                            <a:cxnLst/>
                            <a:rect l="0" t="0" r="0" b="0"/>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vert="horz" wrap="square" anchor="t" anchorCtr="0" upright="1"/>
                      </wps:wsp>
                      <wps:wsp>
                        <wps:cNvPr id="85" name="任意多边形 85"/>
                        <wps:cNvSpPr/>
                        <wps:spPr>
                          <a:xfrm>
                            <a:off x="4" y="2170"/>
                            <a:ext cx="8079" cy="20"/>
                          </a:xfrm>
                          <a:custGeom>
                            <a:avLst/>
                            <a:gdLst/>
                            <a:ahLst/>
                            <a:cxnLst/>
                            <a:rect l="0" t="0" r="0" b="0"/>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vert="horz" wrap="square" anchor="t" anchorCtr="0" upright="1"/>
                      </wps:wsp>
                      <wps:wsp>
                        <wps:cNvPr id="86" name="任意多边形 86"/>
                        <wps:cNvSpPr/>
                        <wps:spPr>
                          <a:xfrm>
                            <a:off x="9" y="4"/>
                            <a:ext cx="20" cy="2171"/>
                          </a:xfrm>
                          <a:custGeom>
                            <a:avLst/>
                            <a:gdLst/>
                            <a:ahLst/>
                            <a:cxnLst/>
                            <a:rect l="0" t="0" r="0" b="0"/>
                            <a:pathLst>
                              <a:path w="20" h="2171">
                                <a:moveTo>
                                  <a:pt x="0" y="0"/>
                                </a:moveTo>
                                <a:lnTo>
                                  <a:pt x="0" y="2170"/>
                                </a:lnTo>
                              </a:path>
                            </a:pathLst>
                          </a:custGeom>
                          <a:noFill/>
                          <a:ln w="6096" cap="flat" cmpd="sng">
                            <a:solidFill>
                              <a:srgbClr val="000000"/>
                            </a:solidFill>
                            <a:prstDash val="solid"/>
                            <a:headEnd type="none" w="med" len="med"/>
                            <a:tailEnd type="none" w="med" len="med"/>
                          </a:ln>
                          <a:effectLst/>
                        </wps:spPr>
                        <wps:bodyPr vert="horz" wrap="square" anchor="t" anchorCtr="0" upright="1"/>
                      </wps:wsp>
                      <wps:wsp>
                        <wps:cNvPr id="87" name="任意多边形 87"/>
                        <wps:cNvSpPr/>
                        <wps:spPr>
                          <a:xfrm>
                            <a:off x="28" y="24"/>
                            <a:ext cx="20" cy="2133"/>
                          </a:xfrm>
                          <a:custGeom>
                            <a:avLst/>
                            <a:gdLst/>
                            <a:ahLst/>
                            <a:cxnLst/>
                            <a:rect l="0" t="0" r="0" b="0"/>
                            <a:pathLst>
                              <a:path w="20" h="2133">
                                <a:moveTo>
                                  <a:pt x="0" y="0"/>
                                </a:moveTo>
                                <a:lnTo>
                                  <a:pt x="0" y="2132"/>
                                </a:lnTo>
                              </a:path>
                            </a:pathLst>
                          </a:custGeom>
                          <a:noFill/>
                          <a:ln w="6096" cap="flat" cmpd="sng">
                            <a:solidFill>
                              <a:srgbClr val="000000"/>
                            </a:solidFill>
                            <a:prstDash val="solid"/>
                            <a:headEnd type="none" w="med" len="med"/>
                            <a:tailEnd type="none" w="med" len="med"/>
                          </a:ln>
                          <a:effectLst/>
                        </wps:spPr>
                        <wps:bodyPr vert="horz" wrap="square" anchor="t" anchorCtr="0" upright="1"/>
                      </wps:wsp>
                      <wps:wsp>
                        <wps:cNvPr id="88" name="任意多边形 88"/>
                        <wps:cNvSpPr/>
                        <wps:spPr>
                          <a:xfrm>
                            <a:off x="4034" y="24"/>
                            <a:ext cx="20" cy="2123"/>
                          </a:xfrm>
                          <a:custGeom>
                            <a:avLst/>
                            <a:gdLst/>
                            <a:ahLst/>
                            <a:cxnLst/>
                            <a:rect l="0" t="0" r="0" b="0"/>
                            <a:pathLst>
                              <a:path w="20" h="2123">
                                <a:moveTo>
                                  <a:pt x="0" y="0"/>
                                </a:moveTo>
                                <a:lnTo>
                                  <a:pt x="0" y="2122"/>
                                </a:lnTo>
                              </a:path>
                            </a:pathLst>
                          </a:custGeom>
                          <a:noFill/>
                          <a:ln w="6096" cap="flat" cmpd="sng">
                            <a:solidFill>
                              <a:srgbClr val="000000"/>
                            </a:solidFill>
                            <a:prstDash val="solid"/>
                            <a:headEnd type="none" w="med" len="med"/>
                            <a:tailEnd type="none" w="med" len="med"/>
                          </a:ln>
                          <a:effectLst/>
                        </wps:spPr>
                        <wps:bodyPr vert="horz" wrap="square" anchor="t" anchorCtr="0" upright="1"/>
                      </wps:wsp>
                      <wps:wsp>
                        <wps:cNvPr id="89" name="任意多边形 89"/>
                        <wps:cNvSpPr/>
                        <wps:spPr>
                          <a:xfrm>
                            <a:off x="4053" y="24"/>
                            <a:ext cx="20" cy="2123"/>
                          </a:xfrm>
                          <a:custGeom>
                            <a:avLst/>
                            <a:gdLst/>
                            <a:ahLst/>
                            <a:cxnLst/>
                            <a:rect l="0" t="0" r="0" b="0"/>
                            <a:pathLst>
                              <a:path w="20" h="2123">
                                <a:moveTo>
                                  <a:pt x="0" y="0"/>
                                </a:moveTo>
                                <a:lnTo>
                                  <a:pt x="0" y="2122"/>
                                </a:lnTo>
                              </a:path>
                            </a:pathLst>
                          </a:custGeom>
                          <a:noFill/>
                          <a:ln w="6096" cap="flat" cmpd="sng">
                            <a:solidFill>
                              <a:srgbClr val="000000"/>
                            </a:solidFill>
                            <a:prstDash val="solid"/>
                            <a:headEnd type="none" w="med" len="med"/>
                            <a:tailEnd type="none" w="med" len="med"/>
                          </a:ln>
                          <a:effectLst/>
                        </wps:spPr>
                        <wps:bodyPr vert="horz" wrap="square" anchor="t" anchorCtr="0" upright="1"/>
                      </wps:wsp>
                      <wps:wsp>
                        <wps:cNvPr id="90" name="任意多边形 90"/>
                        <wps:cNvSpPr/>
                        <wps:spPr>
                          <a:xfrm>
                            <a:off x="8059" y="33"/>
                            <a:ext cx="20" cy="2123"/>
                          </a:xfrm>
                          <a:custGeom>
                            <a:avLst/>
                            <a:gdLst/>
                            <a:ahLst/>
                            <a:cxnLst/>
                            <a:rect l="0" t="0" r="0" b="0"/>
                            <a:pathLst>
                              <a:path w="20" h="2123">
                                <a:moveTo>
                                  <a:pt x="0" y="0"/>
                                </a:moveTo>
                                <a:lnTo>
                                  <a:pt x="0" y="2122"/>
                                </a:lnTo>
                              </a:path>
                            </a:pathLst>
                          </a:custGeom>
                          <a:noFill/>
                          <a:ln w="6096" cap="flat" cmpd="sng">
                            <a:solidFill>
                              <a:srgbClr val="000000"/>
                            </a:solidFill>
                            <a:prstDash val="solid"/>
                            <a:headEnd type="none" w="med" len="med"/>
                            <a:tailEnd type="none" w="med" len="med"/>
                          </a:ln>
                          <a:effectLst/>
                        </wps:spPr>
                        <wps:bodyPr vert="horz" wrap="square" anchor="t" anchorCtr="0" upright="1"/>
                      </wps:wsp>
                      <wps:wsp>
                        <wps:cNvPr id="91" name="任意多边形 91"/>
                        <wps:cNvSpPr/>
                        <wps:spPr>
                          <a:xfrm>
                            <a:off x="8078" y="14"/>
                            <a:ext cx="20" cy="2162"/>
                          </a:xfrm>
                          <a:custGeom>
                            <a:avLst/>
                            <a:gdLst/>
                            <a:ahLst/>
                            <a:cxnLst/>
                            <a:rect l="0" t="0" r="0" b="0"/>
                            <a:pathLst>
                              <a:path w="20" h="2162">
                                <a:moveTo>
                                  <a:pt x="0" y="0"/>
                                </a:moveTo>
                                <a:lnTo>
                                  <a:pt x="0" y="2161"/>
                                </a:lnTo>
                              </a:path>
                            </a:pathLst>
                          </a:custGeom>
                          <a:noFill/>
                          <a:ln w="6096" cap="flat" cmpd="sng">
                            <a:solidFill>
                              <a:srgbClr val="000000"/>
                            </a:solidFill>
                            <a:prstDash val="solid"/>
                            <a:headEnd type="none" w="med" len="med"/>
                            <a:tailEnd type="none" w="med" len="med"/>
                          </a:ln>
                          <a:effectLst/>
                        </wps:spPr>
                        <wps:bodyPr vert="horz" wrap="square" anchor="t" anchorCtr="0" upright="1"/>
                      </wps:wsp>
                      <wps:wsp>
                        <wps:cNvPr id="92" name="文本框 92"/>
                        <wps:cNvSpPr txBox="1"/>
                        <wps:spPr>
                          <a:xfrm>
                            <a:off x="19" y="19"/>
                            <a:ext cx="4025" cy="2142"/>
                          </a:xfrm>
                          <a:prstGeom prst="rect">
                            <a:avLst/>
                          </a:prstGeom>
                          <a:noFill/>
                          <a:ln>
                            <a:noFill/>
                          </a:ln>
                          <a:effectLst/>
                        </wps:spPr>
                        <wps:txbx>
                          <w:txbxContent>
                            <w:p>
                              <w:pPr>
                                <w:pStyle w:val="2"/>
                                <w:kinsoku w:val="0"/>
                                <w:overflowPunct w:val="0"/>
                              </w:pPr>
                            </w:p>
                            <w:p>
                              <w:pPr>
                                <w:pStyle w:val="2"/>
                                <w:kinsoku w:val="0"/>
                                <w:overflowPunct w:val="0"/>
                              </w:pPr>
                            </w:p>
                            <w:p>
                              <w:pPr>
                                <w:pStyle w:val="2"/>
                                <w:kinsoku w:val="0"/>
                                <w:overflowPunct w:val="0"/>
                                <w:spacing w:before="7"/>
                              </w:pPr>
                            </w:p>
                            <w:p>
                              <w:pPr>
                                <w:pStyle w:val="2"/>
                                <w:kinsoku w:val="0"/>
                                <w:overflowPunct w:val="0"/>
                                <w:ind w:left="107"/>
                              </w:pPr>
                              <w:r>
                                <w:rPr>
                                  <w:rFonts w:hint="eastAsia"/>
                                </w:rPr>
                                <w:t>被授权代表身份证复印件（正面）</w:t>
                              </w:r>
                            </w:p>
                          </w:txbxContent>
                        </wps:txbx>
                        <wps:bodyPr wrap="square" lIns="0" tIns="0" rIns="0" bIns="0" upright="1"/>
                      </wps:wsp>
                      <wps:wsp>
                        <wps:cNvPr id="93" name="文本框 93"/>
                        <wps:cNvSpPr txBox="1"/>
                        <wps:spPr>
                          <a:xfrm>
                            <a:off x="4044" y="19"/>
                            <a:ext cx="4025" cy="2142"/>
                          </a:xfrm>
                          <a:prstGeom prst="rect">
                            <a:avLst/>
                          </a:prstGeom>
                          <a:noFill/>
                          <a:ln>
                            <a:noFill/>
                          </a:ln>
                          <a:effectLst/>
                        </wps:spPr>
                        <wps:txbx>
                          <w:txbxContent>
                            <w:p>
                              <w:pPr>
                                <w:pStyle w:val="2"/>
                                <w:kinsoku w:val="0"/>
                                <w:overflowPunct w:val="0"/>
                              </w:pPr>
                            </w:p>
                            <w:p>
                              <w:pPr>
                                <w:pStyle w:val="2"/>
                                <w:kinsoku w:val="0"/>
                                <w:overflowPunct w:val="0"/>
                              </w:pPr>
                            </w:p>
                            <w:p>
                              <w:pPr>
                                <w:pStyle w:val="2"/>
                                <w:kinsoku w:val="0"/>
                                <w:overflowPunct w:val="0"/>
                                <w:spacing w:before="7"/>
                              </w:pPr>
                            </w:p>
                            <w:p>
                              <w:pPr>
                                <w:pStyle w:val="2"/>
                                <w:kinsoku w:val="0"/>
                                <w:overflowPunct w:val="0"/>
                                <w:ind w:left="107"/>
                              </w:pPr>
                              <w:r>
                                <w:rPr>
                                  <w:rFonts w:hint="eastAsia"/>
                                </w:rPr>
                                <w:t>被授权代表身份证复印件（反面）</w:t>
                              </w:r>
                            </w:p>
                          </w:txbxContent>
                        </wps:txbx>
                        <wps:bodyPr wrap="square"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">
                <o:lock v:ext="edit" rotation="t" aspectratio="f"/>
                <v:shape id="_x0000_s1026" o:spid="_x0000_s1026" o:spt="100" style="position:absolute;left:4;top:9;height:20;width:8079;" filled="f" stroked="t" coordsize="8079,20" o:gfxdata="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xjK2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i0NcJr0AAADb&#10;AAAADwAAAGRycy9kb3ducmV2LnhtbEWPwWrDMBBE74X8g9hAb43kl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Q1wm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24;top:2151;height:20;width:8041;" filled="f" stroked="t" coordsize="8041,20" o:gfxdata="UEsDBAoAAAAAAIdO4kAAAAAAAAAAAAAAAAAEAAAAZHJzL1BLAwQUAAAACACHTuJABKrEUr0AAADb&#10;AAAADwAAAGRycy9kb3ducmV2LnhtbEWPwWrDMBBE74X8g9hAb43k0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qsRS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170;height:20;width:8079;" filled="f" stroked="t" coordsize="8079,20" o:gfxdata="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3YFNm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171;width:20;" filled="f" stroked="t" coordsize="20,2171" o:gfxdata="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OvqhtwAAANsAAAAP&#10;AAAAAAAAAAEAIAAAACIAAABkcnMvZG93bnJldi54bWxQSwECFAAUAAAACACHTuJAMy8FnjsAAAA5&#10;AAAAEAAAAAAAAAABACAAAAAGAQAAZHJzL3NoYXBleG1sLnhtbFBLBQYAAAAABgAGAFsBAACwAwAA&#10;AAA=&#10;" path="m0,0l0,2170e">
                  <v:fill on="f" focussize="0,0"/>
                  <v:stroke weight="0.48pt" color="#000000" joinstyle="round"/>
                  <v:imagedata o:title=""/>
                  <o:lock v:ext="edit" aspectratio="f"/>
                </v:shape>
                <v:shape id="_x0000_s1026" o:spid="_x0000_s1026" o:spt="100" style="position:absolute;left:28;top:24;height:2133;width:20;" filled="f" stroked="t" coordsize="20,2133" o:gfxdata="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Goq+vQAA&#10;ANsAAAAPAAAAAAAAAAEAIAAAACIAAABkcnMvZG93bnJldi54bWxQSwECFAAUAAAACACHTuJAMy8F&#10;njsAAAA5AAAAEAAAAAAAAAABACAAAAAMAQAAZHJzL3NoYXBleG1sLnhtbFBLBQYAAAAABgAGAFsB&#10;AAC2AwAAAAA=&#10;" path="m0,0l0,2132e">
                  <v:fill on="f" focussize="0,0"/>
                  <v:stroke weight="0.48pt" color="#000000" joinstyle="round"/>
                  <v:imagedata o:title=""/>
                  <o:lock v:ext="edit" aspectratio="f"/>
                </v:shape>
                <v:shape id="_x0000_s1026" o:spid="_x0000_s1026" o:spt="100" style="position:absolute;left:4034;top:24;height:2123;width:20;" filled="f" stroked="t" coordsize="20,2123" o:gfxdata="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MoNV+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4053;top:24;height:2123;width:20;" filled="f" stroked="t" coordsize="20,2123" o:gfxdata="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kkM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59;top:33;height:2123;width:20;" filled="f" stroked="t" coordsize="20,2123" o:gfxdata="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iHr4S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8078;top:14;height:2162;width:20;" filled="f" stroked="t" coordsize="20,2162" o:gfxdata="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H+9kA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_x0000_s1026" o:spid="_x0000_s1026" o:spt="202" type="#_x0000_t202" style="position:absolute;left:19;top:19;height:2142;width:4025;" filled="f" stroked="f" coordsize="21600,21600" o:gfxdata="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R8kO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2"/>
                          <w:kinsoku w:val="0"/>
                          <w:overflowPunct w:val="0"/>
                        </w:pPr>
                      </w:p>
                      <w:p>
                        <w:pPr>
                          <w:pStyle w:val="2"/>
                          <w:kinsoku w:val="0"/>
                          <w:overflowPunct w:val="0"/>
                        </w:pPr>
                      </w:p>
                      <w:p>
                        <w:pPr>
                          <w:pStyle w:val="2"/>
                          <w:kinsoku w:val="0"/>
                          <w:overflowPunct w:val="0"/>
                          <w:spacing w:before="7"/>
                        </w:pPr>
                      </w:p>
                      <w:p>
                        <w:pPr>
                          <w:pStyle w:val="2"/>
                          <w:kinsoku w:val="0"/>
                          <w:overflowPunct w:val="0"/>
                          <w:ind w:left="107"/>
                        </w:pPr>
                        <w:r>
                          <w:rPr>
                            <w:rFonts w:hint="eastAsia"/>
                          </w:rPr>
                          <w:t>被授权代表身份证复印件（正面）</w:t>
                        </w:r>
                      </w:p>
                    </w:txbxContent>
                  </v:textbox>
                </v:shape>
                <v:shape id="_x0000_s1026" o:spid="_x0000_s1026" o:spt="202" type="#_x0000_t202" style="position:absolute;left:4044;top:19;height:2142;width:4025;" filled="f" stroked="f" coordsize="21600,21600" o:gfxdata="UEsDBAoAAAAAAIdO4kAAAAAAAAAAAAAAAAAEAAAAZHJzL1BLAwQUAAAACACHTuJAlwtslb0AAADb&#10;AAAADwAAAGRycy9kb3ducmV2LnhtbEWPQWsCMRSE74L/ITyhN01sQe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C2yV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2"/>
                          <w:kinsoku w:val="0"/>
                          <w:overflowPunct w:val="0"/>
                        </w:pPr>
                      </w:p>
                      <w:p>
                        <w:pPr>
                          <w:pStyle w:val="2"/>
                          <w:kinsoku w:val="0"/>
                          <w:overflowPunct w:val="0"/>
                        </w:pPr>
                      </w:p>
                      <w:p>
                        <w:pPr>
                          <w:pStyle w:val="2"/>
                          <w:kinsoku w:val="0"/>
                          <w:overflowPunct w:val="0"/>
                          <w:spacing w:before="7"/>
                        </w:pPr>
                      </w:p>
                      <w:p>
                        <w:pPr>
                          <w:pStyle w:val="2"/>
                          <w:kinsoku w:val="0"/>
                          <w:overflowPunct w:val="0"/>
                          <w:ind w:left="107"/>
                        </w:pPr>
                        <w:r>
                          <w:rPr>
                            <w:rFonts w:hint="eastAsia"/>
                          </w:rPr>
                          <w:t>被授权代表身份证复印件（反面）</w:t>
                        </w:r>
                      </w:p>
                    </w:txbxContent>
                  </v:textbox>
                </v:shape>
                <w10:wrap type="none"/>
                <w10:anchorlock/>
              </v:group>
            </w:pict>
          </mc:Fallback>
        </mc:AlternateContent>
      </w:r>
    </w:p>
    <w:p>
      <w:pPr>
        <w:pStyle w:val="2"/>
        <w:kinsoku w:val="0"/>
        <w:overflowPunct w:val="0"/>
        <w:rPr>
          <w:rFonts w:ascii="宋体" w:hAnsi="宋体" w:cs="宋体"/>
          <w:sz w:val="20"/>
          <w:szCs w:val="20"/>
        </w:rPr>
      </w:pPr>
    </w:p>
    <w:p>
      <w:pPr>
        <w:pStyle w:val="2"/>
        <w:kinsoku w:val="0"/>
        <w:overflowPunct w:val="0"/>
        <w:spacing w:before="7"/>
        <w:rPr>
          <w:rFonts w:ascii="宋体" w:hAnsi="宋体" w:cs="宋体"/>
          <w:sz w:val="20"/>
          <w:szCs w:val="20"/>
        </w:rPr>
      </w:pPr>
    </w:p>
    <w:p>
      <w:pPr>
        <w:pStyle w:val="2"/>
        <w:tabs>
          <w:tab w:val="left" w:pos="5295"/>
        </w:tabs>
        <w:kinsoku w:val="0"/>
        <w:overflowPunct w:val="0"/>
        <w:spacing w:before="26"/>
        <w:ind w:left="618"/>
        <w:rPr>
          <w:rFonts w:ascii="宋体" w:hAnsi="宋体" w:cs="宋体"/>
        </w:rPr>
      </w:pPr>
      <w:r>
        <w:rPr>
          <w:rFonts w:hint="eastAsia" w:ascii="宋体" w:hAnsi="宋体" w:cs="宋体"/>
        </w:rPr>
        <w:t>被授权代表（签字）：</w:t>
      </w:r>
      <w:r>
        <w:rPr>
          <w:rFonts w:hint="eastAsia" w:ascii="宋体" w:hAnsi="宋体" w:cs="宋体"/>
        </w:rPr>
        <w:tab/>
      </w:r>
      <w:r>
        <w:rPr>
          <w:rFonts w:hint="eastAsia" w:ascii="宋体" w:hAnsi="宋体" w:cs="宋体"/>
        </w:rPr>
        <w:t>供应商法定代表人（签字或签章）：</w:t>
      </w:r>
    </w:p>
    <w:p>
      <w:pPr>
        <w:pStyle w:val="2"/>
        <w:tabs>
          <w:tab w:val="left" w:pos="1098"/>
          <w:tab w:val="left" w:pos="5298"/>
          <w:tab w:val="left" w:pos="5778"/>
        </w:tabs>
        <w:kinsoku w:val="0"/>
        <w:overflowPunct w:val="0"/>
        <w:spacing w:before="86"/>
        <w:ind w:left="618"/>
        <w:rPr>
          <w:rFonts w:ascii="宋体" w:hAnsi="宋体" w:cs="宋体"/>
        </w:rPr>
      </w:pPr>
      <w:r>
        <w:rPr>
          <w:rFonts w:hint="eastAsia" w:ascii="宋体" w:hAnsi="宋体" w:cs="宋体"/>
        </w:rPr>
        <w:t>职</w:t>
      </w:r>
      <w:r>
        <w:rPr>
          <w:rFonts w:hint="eastAsia" w:ascii="宋体" w:hAnsi="宋体" w:cs="宋体"/>
        </w:rPr>
        <w:tab/>
      </w:r>
      <w:r>
        <w:rPr>
          <w:rFonts w:hint="eastAsia" w:ascii="宋体" w:hAnsi="宋体" w:cs="宋体"/>
        </w:rPr>
        <w:t>务：</w:t>
      </w:r>
      <w:r>
        <w:rPr>
          <w:rFonts w:hint="eastAsia" w:ascii="宋体" w:hAnsi="宋体" w:cs="宋体"/>
        </w:rPr>
        <w:tab/>
      </w:r>
      <w:r>
        <w:rPr>
          <w:rFonts w:hint="eastAsia" w:ascii="宋体" w:hAnsi="宋体" w:cs="宋体"/>
        </w:rPr>
        <w:t>职</w:t>
      </w:r>
      <w:r>
        <w:rPr>
          <w:rFonts w:hint="eastAsia" w:ascii="宋体" w:hAnsi="宋体" w:cs="宋体"/>
        </w:rPr>
        <w:tab/>
      </w:r>
      <w:r>
        <w:rPr>
          <w:rFonts w:hint="eastAsia" w:ascii="宋体" w:hAnsi="宋体" w:cs="宋体"/>
        </w:rPr>
        <w:t>务：</w:t>
      </w:r>
    </w:p>
    <w:p>
      <w:pPr>
        <w:pStyle w:val="2"/>
        <w:tabs>
          <w:tab w:val="left" w:pos="1098"/>
          <w:tab w:val="left" w:pos="5298"/>
          <w:tab w:val="left" w:pos="5778"/>
        </w:tabs>
        <w:kinsoku w:val="0"/>
        <w:overflowPunct w:val="0"/>
        <w:spacing w:before="84"/>
        <w:ind w:left="618"/>
        <w:rPr>
          <w:rFonts w:ascii="宋体" w:hAnsi="宋体" w:cs="宋体"/>
        </w:rPr>
      </w:pPr>
      <w:r>
        <w:rPr>
          <w:rFonts w:hint="eastAsia" w:ascii="宋体" w:hAnsi="宋体" w:cs="宋体"/>
        </w:rPr>
        <w:t>电</w:t>
      </w:r>
      <w:r>
        <w:rPr>
          <w:rFonts w:hint="eastAsia" w:ascii="宋体" w:hAnsi="宋体" w:cs="宋体"/>
        </w:rPr>
        <w:tab/>
      </w:r>
      <w:r>
        <w:rPr>
          <w:rFonts w:hint="eastAsia" w:ascii="宋体" w:hAnsi="宋体" w:cs="宋体"/>
        </w:rPr>
        <w:t>话：</w:t>
      </w:r>
      <w:r>
        <w:rPr>
          <w:rFonts w:hint="eastAsia" w:ascii="宋体" w:hAnsi="宋体" w:cs="宋体"/>
        </w:rPr>
        <w:tab/>
      </w:r>
      <w:r>
        <w:rPr>
          <w:rFonts w:hint="eastAsia" w:ascii="宋体" w:hAnsi="宋体" w:cs="宋体"/>
        </w:rPr>
        <w:t>电</w:t>
      </w:r>
      <w:r>
        <w:rPr>
          <w:rFonts w:hint="eastAsia" w:ascii="宋体" w:hAnsi="宋体" w:cs="宋体"/>
        </w:rPr>
        <w:tab/>
      </w:r>
      <w:r>
        <w:rPr>
          <w:rFonts w:hint="eastAsia" w:ascii="宋体" w:hAnsi="宋体" w:cs="宋体"/>
        </w:rPr>
        <w:t>话：</w:t>
      </w:r>
    </w:p>
    <w:p>
      <w:pPr>
        <w:pStyle w:val="2"/>
        <w:tabs>
          <w:tab w:val="left" w:pos="5631"/>
          <w:tab w:val="left" w:pos="6591"/>
          <w:tab w:val="left" w:pos="7191"/>
          <w:tab w:val="left" w:pos="7791"/>
          <w:tab w:val="left" w:pos="8247"/>
        </w:tabs>
        <w:kinsoku w:val="0"/>
        <w:overflowPunct w:val="0"/>
        <w:spacing w:before="166" w:line="383" w:lineRule="auto"/>
        <w:ind w:left="4912" w:right="238" w:hanging="384"/>
        <w:rPr>
          <w:rFonts w:ascii="宋体" w:hAnsi="宋体" w:cs="宋体"/>
        </w:rPr>
      </w:pPr>
      <w:r>
        <w:rPr>
          <w:rFonts w:hint="eastAsia" w:ascii="宋体" w:hAnsi="宋体" w:cs="宋体"/>
        </w:rPr>
        <w:t>供应商：</w:t>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rPr>
        <w:t xml:space="preserve">（盖章） </w:t>
      </w:r>
    </w:p>
    <w:p>
      <w:pPr>
        <w:pStyle w:val="2"/>
        <w:tabs>
          <w:tab w:val="left" w:pos="5631"/>
          <w:tab w:val="left" w:pos="6591"/>
          <w:tab w:val="left" w:pos="7191"/>
          <w:tab w:val="left" w:pos="7791"/>
          <w:tab w:val="left" w:pos="8247"/>
        </w:tabs>
        <w:kinsoku w:val="0"/>
        <w:overflowPunct w:val="0"/>
        <w:spacing w:before="166" w:line="383" w:lineRule="auto"/>
        <w:ind w:left="4912" w:right="238" w:hanging="384"/>
        <w:rPr>
          <w:rFonts w:ascii="宋体" w:hAnsi="宋体" w:cs="宋体"/>
          <w:sz w:val="22"/>
          <w:szCs w:val="22"/>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 xml:space="preserve">日                </w:t>
      </w:r>
    </w:p>
    <w:p>
      <w:pPr>
        <w:pStyle w:val="2"/>
        <w:tabs>
          <w:tab w:val="left" w:pos="5418"/>
        </w:tabs>
        <w:kinsoku w:val="0"/>
        <w:overflowPunct w:val="0"/>
        <w:spacing w:before="26"/>
        <w:ind w:left="618"/>
        <w:rPr>
          <w:rFonts w:ascii="宋体" w:hAnsi="宋体" w:cs="宋体"/>
          <w:b/>
        </w:rPr>
      </w:pPr>
      <w:r>
        <w:rPr>
          <w:rFonts w:hint="eastAsia" w:ascii="宋体" w:hAnsi="宋体" w:cs="宋体"/>
          <w:b/>
        </w:rPr>
        <w:t>★备注 ：后 附〖 法定代表人资格证明及委托代理人（被授权人）身份证复印件（现场核查）〗，递交投标文件时需递交一份。</w:t>
      </w:r>
    </w:p>
    <w:p>
      <w:pPr>
        <w:pStyle w:val="2"/>
        <w:kinsoku w:val="0"/>
        <w:overflowPunct w:val="0"/>
        <w:spacing w:before="34" w:line="357" w:lineRule="auto"/>
        <w:ind w:right="126" w:firstLine="480"/>
        <w:jc w:val="center"/>
        <w:outlineLvl w:val="1"/>
        <w:rPr>
          <w:rFonts w:ascii="宋体" w:hAnsi="宋体" w:cs="宋体"/>
          <w:b/>
          <w:bCs/>
        </w:rPr>
      </w:pPr>
      <w:r>
        <w:rPr>
          <w:rFonts w:hint="eastAsia" w:ascii="宋体" w:hAnsi="宋体" w:cs="宋体"/>
        </w:rPr>
        <w:br w:type="page"/>
      </w:r>
      <w:r>
        <w:rPr>
          <w:rFonts w:hint="eastAsia" w:ascii="宋体" w:hAnsi="宋体" w:cs="宋体"/>
          <w:b/>
          <w:bCs/>
          <w:sz w:val="36"/>
          <w:szCs w:val="36"/>
        </w:rPr>
        <w:t>四、投标保证金缴纳凭证</w:t>
      </w:r>
    </w:p>
    <w:p>
      <w:pPr>
        <w:pStyle w:val="2"/>
        <w:kinsoku w:val="0"/>
        <w:overflowPunct w:val="0"/>
        <w:spacing w:before="4"/>
        <w:rPr>
          <w:rFonts w:ascii="宋体" w:hAnsi="宋体" w:cs="宋体"/>
          <w:b/>
          <w:bCs/>
          <w:sz w:val="23"/>
          <w:szCs w:val="23"/>
        </w:rPr>
      </w:pPr>
    </w:p>
    <w:p>
      <w:pPr>
        <w:spacing w:line="420" w:lineRule="exact"/>
        <w:rPr>
          <w:rFonts w:ascii="宋体" w:hAnsi="宋体" w:cs="宋体"/>
          <w:kern w:val="0"/>
          <w:sz w:val="24"/>
        </w:rPr>
      </w:pPr>
      <w:r>
        <w:rPr>
          <w:rFonts w:hint="eastAsia" w:ascii="宋体" w:hAnsi="宋体" w:cs="宋体"/>
          <w:kern w:val="0"/>
          <w:sz w:val="24"/>
        </w:rPr>
        <w:t>致：（采购人）</w:t>
      </w:r>
    </w:p>
    <w:p>
      <w:pPr>
        <w:spacing w:line="420" w:lineRule="exact"/>
        <w:ind w:firstLine="480" w:firstLineChars="200"/>
        <w:rPr>
          <w:rFonts w:ascii="宋体" w:hAnsi="宋体" w:cs="宋体"/>
          <w:kern w:val="0"/>
          <w:sz w:val="24"/>
        </w:rPr>
      </w:pPr>
      <w:r>
        <w:rPr>
          <w:rFonts w:hint="eastAsia" w:ascii="宋体" w:hAnsi="宋体" w:cs="宋体"/>
          <w:kern w:val="0"/>
          <w:sz w:val="24"/>
        </w:rPr>
        <w:t>我方于</w:t>
      </w:r>
      <w:r>
        <w:rPr>
          <w:rFonts w:hint="eastAsia" w:ascii="宋体" w:hAnsi="宋体" w:cs="宋体"/>
          <w:kern w:val="0"/>
          <w:sz w:val="24"/>
        </w:rPr>
        <w:tab/>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ab/>
      </w:r>
      <w:r>
        <w:rPr>
          <w:rFonts w:hint="eastAsia" w:ascii="宋体" w:hAnsi="宋体" w:cs="宋体"/>
          <w:kern w:val="0"/>
          <w:sz w:val="24"/>
        </w:rPr>
        <w:t>月</w:t>
      </w:r>
      <w:r>
        <w:rPr>
          <w:rFonts w:hint="eastAsia" w:ascii="宋体" w:hAnsi="宋体" w:cs="宋体"/>
          <w:kern w:val="0"/>
          <w:sz w:val="24"/>
          <w:u w:val="single"/>
        </w:rPr>
        <w:tab/>
      </w:r>
      <w:r>
        <w:rPr>
          <w:rFonts w:hint="eastAsia" w:ascii="宋体" w:hAnsi="宋体" w:cs="宋体"/>
          <w:kern w:val="0"/>
          <w:sz w:val="24"/>
        </w:rPr>
        <w:t xml:space="preserve"> 日参加</w:t>
      </w:r>
      <w:r>
        <w:rPr>
          <w:rFonts w:hint="eastAsia" w:ascii="宋体" w:hAnsi="宋体" w:cs="宋体"/>
          <w:kern w:val="0"/>
          <w:sz w:val="24"/>
          <w:u w:val="single"/>
        </w:rPr>
        <w:tab/>
      </w:r>
      <w:r>
        <w:rPr>
          <w:rFonts w:hint="eastAsia" w:ascii="宋体" w:hAnsi="宋体" w:cs="宋体"/>
          <w:kern w:val="0"/>
          <w:sz w:val="24"/>
          <w:u w:val="single"/>
        </w:rPr>
        <w:t xml:space="preserve">（项目名称）   </w:t>
      </w:r>
      <w:r>
        <w:rPr>
          <w:rFonts w:hint="eastAsia" w:ascii="宋体" w:hAnsi="宋体" w:cs="宋体"/>
          <w:kern w:val="0"/>
          <w:sz w:val="24"/>
        </w:rPr>
        <w:t>的投标，现保证：我方在规定的投标有效期内撤销或修改投标文件的，或者在收到中标通知书后无正当理由拒签合同或拒交规定履约担保的，投标保证金不予退还。</w:t>
      </w:r>
    </w:p>
    <w:p>
      <w:pPr>
        <w:pStyle w:val="2"/>
        <w:kinsoku w:val="0"/>
        <w:overflowPunct w:val="0"/>
        <w:rPr>
          <w:rFonts w:ascii="宋体" w:hAnsi="宋体" w:cs="宋体"/>
        </w:rPr>
      </w:pPr>
    </w:p>
    <w:p>
      <w:pPr>
        <w:pStyle w:val="2"/>
        <w:kinsoku w:val="0"/>
        <w:overflowPunct w:val="0"/>
        <w:rPr>
          <w:rFonts w:ascii="宋体" w:hAnsi="宋体" w:cs="宋体"/>
        </w:rPr>
      </w:pPr>
    </w:p>
    <w:p>
      <w:pPr>
        <w:pStyle w:val="2"/>
        <w:kinsoku w:val="0"/>
        <w:overflowPunct w:val="0"/>
        <w:spacing w:before="4"/>
        <w:rPr>
          <w:rFonts w:ascii="宋体" w:hAnsi="宋体" w:cs="宋体"/>
          <w:sz w:val="34"/>
          <w:szCs w:val="34"/>
        </w:rPr>
      </w:pPr>
    </w:p>
    <w:p>
      <w:pPr>
        <w:spacing w:line="420" w:lineRule="exact"/>
        <w:ind w:right="480"/>
        <w:jc w:val="right"/>
        <w:rPr>
          <w:rFonts w:ascii="宋体" w:hAnsi="宋体" w:cs="宋体"/>
          <w:kern w:val="0"/>
          <w:sz w:val="24"/>
        </w:rPr>
      </w:pPr>
      <w:r>
        <w:rPr>
          <w:rFonts w:hint="eastAsia" w:ascii="宋体" w:hAnsi="宋体" w:cs="宋体"/>
          <w:kern w:val="0"/>
          <w:sz w:val="24"/>
        </w:rPr>
        <w:t>供应商：</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rPr>
        <w:t xml:space="preserve">（公章） </w:t>
      </w:r>
    </w:p>
    <w:p>
      <w:pPr>
        <w:wordWrap w:val="0"/>
        <w:spacing w:line="420" w:lineRule="exact"/>
        <w:ind w:firstLine="480" w:firstLineChars="200"/>
        <w:jc w:val="right"/>
        <w:rPr>
          <w:rFonts w:ascii="宋体" w:hAnsi="宋体" w:cs="宋体"/>
          <w:kern w:val="0"/>
          <w:sz w:val="24"/>
        </w:rPr>
      </w:pPr>
      <w:r>
        <w:rPr>
          <w:rFonts w:hint="eastAsia" w:ascii="宋体" w:hAnsi="宋体" w:cs="宋体"/>
          <w:kern w:val="0"/>
          <w:sz w:val="24"/>
        </w:rPr>
        <w:t>法定代表人或委托人：</w:t>
      </w:r>
      <w:r>
        <w:rPr>
          <w:rFonts w:hint="eastAsia" w:ascii="宋体" w:hAnsi="宋体" w:cs="宋体"/>
          <w:kern w:val="0"/>
          <w:sz w:val="24"/>
        </w:rPr>
        <w:tab/>
      </w:r>
      <w:r>
        <w:rPr>
          <w:rFonts w:hint="eastAsia" w:ascii="宋体" w:hAnsi="宋体" w:cs="宋体"/>
          <w:kern w:val="0"/>
          <w:sz w:val="24"/>
          <w:u w:val="single"/>
        </w:rPr>
        <w:t xml:space="preserve">        </w:t>
      </w:r>
      <w:r>
        <w:rPr>
          <w:rFonts w:hint="eastAsia" w:ascii="宋体" w:hAnsi="宋体" w:cs="宋体"/>
          <w:kern w:val="0"/>
          <w:sz w:val="24"/>
        </w:rPr>
        <w:t xml:space="preserve">（签字）    </w:t>
      </w:r>
    </w:p>
    <w:p>
      <w:pPr>
        <w:spacing w:line="420" w:lineRule="exact"/>
        <w:ind w:right="480" w:firstLine="5280" w:firstLineChars="2200"/>
        <w:rPr>
          <w:rFonts w:ascii="宋体" w:hAnsi="宋体" w:cs="宋体"/>
          <w:kern w:val="0"/>
          <w:sz w:val="24"/>
        </w:rPr>
      </w:pPr>
      <w:r>
        <w:rPr>
          <w:rFonts w:hint="eastAsia" w:ascii="宋体" w:hAnsi="宋体" w:cs="宋体"/>
          <w:kern w:val="0"/>
          <w:sz w:val="24"/>
          <w:u w:val="single"/>
        </w:rPr>
        <w:t xml:space="preserve">     </w:t>
      </w:r>
      <w:r>
        <w:rPr>
          <w:rFonts w:hint="eastAsia" w:ascii="宋体" w:hAnsi="宋体" w:cs="宋体"/>
          <w:kern w:val="0"/>
          <w:sz w:val="24"/>
          <w:u w:val="single"/>
        </w:rPr>
        <w:tab/>
      </w:r>
      <w:r>
        <w:rPr>
          <w:rFonts w:hint="eastAsia" w:ascii="宋体" w:hAnsi="宋体" w:cs="宋体"/>
          <w:kern w:val="0"/>
          <w:sz w:val="24"/>
        </w:rPr>
        <w:t>年</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pStyle w:val="2"/>
        <w:tabs>
          <w:tab w:val="left" w:pos="5551"/>
          <w:tab w:val="left" w:pos="6511"/>
          <w:tab w:val="left" w:pos="7111"/>
          <w:tab w:val="left" w:pos="7711"/>
        </w:tabs>
        <w:kinsoku w:val="0"/>
        <w:overflowPunct w:val="0"/>
        <w:spacing w:before="46"/>
        <w:ind w:left="2583" w:firstLine="2248"/>
        <w:rPr>
          <w:rFonts w:ascii="宋体" w:hAnsi="宋体" w:cs="宋体"/>
        </w:rPr>
      </w:pPr>
    </w:p>
    <w:p>
      <w:pPr>
        <w:pStyle w:val="2"/>
        <w:kinsoku w:val="0"/>
        <w:overflowPunct w:val="0"/>
        <w:rPr>
          <w:rFonts w:ascii="宋体" w:hAnsi="宋体" w:cs="宋体"/>
        </w:rPr>
      </w:pPr>
    </w:p>
    <w:p>
      <w:pPr>
        <w:pStyle w:val="2"/>
        <w:kinsoku w:val="0"/>
        <w:overflowPunct w:val="0"/>
        <w:spacing w:before="5"/>
        <w:rPr>
          <w:rFonts w:ascii="宋体" w:hAnsi="宋体" w:cs="宋体"/>
          <w:sz w:val="25"/>
          <w:szCs w:val="25"/>
        </w:rPr>
      </w:pPr>
    </w:p>
    <w:p>
      <w:pPr>
        <w:pStyle w:val="2"/>
        <w:kinsoku w:val="0"/>
        <w:overflowPunct w:val="0"/>
        <w:jc w:val="center"/>
        <w:rPr>
          <w:rFonts w:ascii="宋体" w:hAnsi="宋体" w:cs="宋体"/>
        </w:rPr>
      </w:pPr>
      <w:r>
        <w:rPr>
          <w:rFonts w:hint="eastAsia" w:ascii="宋体" w:hAnsi="宋体" w:cs="宋体"/>
        </w:rPr>
        <w:t>缴费证明（复印件应附在投标文件中）</w:t>
      </w:r>
    </w:p>
    <w:p>
      <w:pPr>
        <w:pStyle w:val="2"/>
        <w:kinsoku w:val="0"/>
        <w:overflowPunct w:val="0"/>
        <w:rPr>
          <w:rFonts w:ascii="宋体" w:hAnsi="宋体" w:cs="宋体"/>
          <w:sz w:val="20"/>
          <w:szCs w:val="20"/>
        </w:rPr>
      </w:pPr>
    </w:p>
    <w:p>
      <w:pPr>
        <w:pStyle w:val="2"/>
        <w:kinsoku w:val="0"/>
        <w:overflowPunct w:val="0"/>
        <w:spacing w:line="200" w:lineRule="atLeast"/>
        <w:rPr>
          <w:rFonts w:ascii="宋体" w:hAnsi="宋体" w:cs="宋体"/>
          <w:sz w:val="20"/>
          <w:szCs w:val="20"/>
        </w:rPr>
      </w:pPr>
      <w:r>
        <w:rPr>
          <w:rFonts w:hint="eastAsia" w:ascii="宋体" w:hAnsi="宋体" w:cs="宋体"/>
          <w:sz w:val="20"/>
          <w:szCs w:val="20"/>
        </w:rPr>
        <mc:AlternateContent>
          <mc:Choice Requires="wpg">
            <w:drawing>
              <wp:inline distT="0" distB="0" distL="114300" distR="114300">
                <wp:extent cx="5695950" cy="3213100"/>
                <wp:effectExtent l="0" t="0" r="0" b="6350"/>
                <wp:docPr id="80" name="组合 80"/>
                <wp:cNvGraphicFramePr/>
                <a:graphic xmlns:a="http://schemas.openxmlformats.org/drawingml/2006/main">
                  <a:graphicData uri="http://schemas.microsoft.com/office/word/2010/wordprocessingGroup">
                    <wpg:wgp>
                      <wpg:cNvGrpSpPr>
                        <a:grpSpLocks noRot="1"/>
                      </wpg:cNvGrpSpPr>
                      <wpg:grpSpPr>
                        <a:xfrm>
                          <a:off x="0" y="0"/>
                          <a:ext cx="5695950" cy="3213100"/>
                          <a:chOff x="0" y="0"/>
                          <a:chExt cx="7425" cy="5060"/>
                        </a:xfrm>
                        <a:effectLst/>
                      </wpg:grpSpPr>
                      <wpg:grpSp>
                        <wpg:cNvPr id="81" name="组合 80"/>
                        <wpg:cNvGrpSpPr/>
                        <wpg:grpSpPr>
                          <a:xfrm>
                            <a:off x="0" y="0"/>
                            <a:ext cx="7425" cy="5060"/>
                            <a:chOff x="0" y="0"/>
                            <a:chExt cx="7425" cy="5060"/>
                          </a:xfrm>
                          <a:effectLst/>
                        </wpg:grpSpPr>
                        <wps:wsp>
                          <wps:cNvPr id="1" name="任意多边形 1"/>
                          <wps:cNvSpPr/>
                          <wps:spPr>
                            <a:xfrm>
                              <a:off x="0" y="0"/>
                              <a:ext cx="7425" cy="5060"/>
                            </a:xfrm>
                            <a:custGeom>
                              <a:avLst/>
                              <a:gdLst/>
                              <a:ahLst/>
                              <a:cxnLst/>
                              <a:rect l="0" t="0" r="0" b="0"/>
                              <a:pathLst>
                                <a:path w="7425" h="5060">
                                  <a:moveTo>
                                    <a:pt x="483" y="19"/>
                                  </a:moveTo>
                                  <a:lnTo>
                                    <a:pt x="412" y="19"/>
                                  </a:lnTo>
                                  <a:lnTo>
                                    <a:pt x="426" y="0"/>
                                  </a:lnTo>
                                  <a:lnTo>
                                    <a:pt x="497" y="0"/>
                                  </a:lnTo>
                                  <a:lnTo>
                                    <a:pt x="483" y="19"/>
                                  </a:lnTo>
                                  <a:close/>
                                </a:path>
                              </a:pathLst>
                            </a:custGeom>
                            <a:solidFill>
                              <a:srgbClr val="000000"/>
                            </a:solidFill>
                            <a:ln>
                              <a:noFill/>
                            </a:ln>
                            <a:effectLst/>
                          </wps:spPr>
                          <wps:bodyPr vert="horz" wrap="square" anchor="t" anchorCtr="0" upright="1"/>
                        </wps:wsp>
                        <wps:wsp>
                          <wps:cNvPr id="2" name="任意多边形 2"/>
                          <wps:cNvSpPr/>
                          <wps:spPr>
                            <a:xfrm>
                              <a:off x="0" y="0"/>
                              <a:ext cx="7425" cy="5060"/>
                            </a:xfrm>
                            <a:custGeom>
                              <a:avLst/>
                              <a:gdLst/>
                              <a:ahLst/>
                              <a:cxnLst/>
                              <a:rect l="0" t="0" r="0" b="0"/>
                              <a:pathLst>
                                <a:path w="7425" h="5060">
                                  <a:moveTo>
                                    <a:pt x="7011" y="19"/>
                                  </a:moveTo>
                                  <a:lnTo>
                                    <a:pt x="6940" y="19"/>
                                  </a:lnTo>
                                  <a:lnTo>
                                    <a:pt x="6926" y="0"/>
                                  </a:lnTo>
                                  <a:lnTo>
                                    <a:pt x="6998" y="0"/>
                                  </a:lnTo>
                                  <a:lnTo>
                                    <a:pt x="7011" y="19"/>
                                  </a:lnTo>
                                  <a:close/>
                                </a:path>
                              </a:pathLst>
                            </a:custGeom>
                            <a:solidFill>
                              <a:srgbClr val="000000"/>
                            </a:solidFill>
                            <a:ln>
                              <a:noFill/>
                            </a:ln>
                            <a:effectLst/>
                          </wps:spPr>
                          <wps:bodyPr vert="horz" wrap="square" anchor="t" anchorCtr="0" upright="1"/>
                        </wps:wsp>
                        <wps:wsp>
                          <wps:cNvPr id="3" name="任意多边形 3"/>
                          <wps:cNvSpPr/>
                          <wps:spPr>
                            <a:xfrm>
                              <a:off x="0" y="0"/>
                              <a:ext cx="7425" cy="5060"/>
                            </a:xfrm>
                            <a:custGeom>
                              <a:avLst/>
                              <a:gdLst/>
                              <a:ahLst/>
                              <a:cxnLst/>
                              <a:rect l="0" t="0" r="0" b="0"/>
                              <a:pathLst>
                                <a:path w="7425" h="5060">
                                  <a:moveTo>
                                    <a:pt x="390" y="39"/>
                                  </a:moveTo>
                                  <a:lnTo>
                                    <a:pt x="346" y="39"/>
                                  </a:lnTo>
                                  <a:lnTo>
                                    <a:pt x="359" y="19"/>
                                  </a:lnTo>
                                  <a:lnTo>
                                    <a:pt x="403" y="19"/>
                                  </a:lnTo>
                                  <a:lnTo>
                                    <a:pt x="390" y="39"/>
                                  </a:lnTo>
                                  <a:close/>
                                </a:path>
                              </a:pathLst>
                            </a:custGeom>
                            <a:solidFill>
                              <a:srgbClr val="000000"/>
                            </a:solidFill>
                            <a:ln>
                              <a:noFill/>
                            </a:ln>
                            <a:effectLst/>
                          </wps:spPr>
                          <wps:bodyPr vert="horz" wrap="square" anchor="t" anchorCtr="0" upright="1"/>
                        </wps:wsp>
                        <wps:wsp>
                          <wps:cNvPr id="4" name="任意多边形 4"/>
                          <wps:cNvSpPr/>
                          <wps:spPr>
                            <a:xfrm>
                              <a:off x="0" y="0"/>
                              <a:ext cx="7425" cy="5060"/>
                            </a:xfrm>
                            <a:custGeom>
                              <a:avLst/>
                              <a:gdLst/>
                              <a:ahLst/>
                              <a:cxnLst/>
                              <a:rect l="0" t="0" r="0" b="0"/>
                              <a:pathLst>
                                <a:path w="7425" h="5060">
                                  <a:moveTo>
                                    <a:pt x="7077" y="39"/>
                                  </a:moveTo>
                                  <a:lnTo>
                                    <a:pt x="7033" y="39"/>
                                  </a:lnTo>
                                  <a:lnTo>
                                    <a:pt x="7020" y="19"/>
                                  </a:lnTo>
                                  <a:lnTo>
                                    <a:pt x="7064" y="19"/>
                                  </a:lnTo>
                                  <a:lnTo>
                                    <a:pt x="7077" y="39"/>
                                  </a:lnTo>
                                  <a:close/>
                                </a:path>
                              </a:pathLst>
                            </a:custGeom>
                            <a:solidFill>
                              <a:srgbClr val="000000"/>
                            </a:solidFill>
                            <a:ln>
                              <a:noFill/>
                            </a:ln>
                            <a:effectLst/>
                          </wps:spPr>
                          <wps:bodyPr vert="horz" wrap="square" anchor="t" anchorCtr="0" upright="1"/>
                        </wps:wsp>
                        <wps:wsp>
                          <wps:cNvPr id="5" name="任意多边形 5"/>
                          <wps:cNvSpPr/>
                          <wps:spPr>
                            <a:xfrm>
                              <a:off x="0" y="0"/>
                              <a:ext cx="7425" cy="5060"/>
                            </a:xfrm>
                            <a:custGeom>
                              <a:avLst/>
                              <a:gdLst/>
                              <a:ahLst/>
                              <a:cxnLst/>
                              <a:rect l="0" t="0" r="0" b="0"/>
                              <a:pathLst>
                                <a:path w="7425" h="5060">
                                  <a:moveTo>
                                    <a:pt x="340" y="59"/>
                                  </a:moveTo>
                                  <a:lnTo>
                                    <a:pt x="309" y="59"/>
                                  </a:lnTo>
                                  <a:lnTo>
                                    <a:pt x="321" y="39"/>
                                  </a:lnTo>
                                  <a:lnTo>
                                    <a:pt x="352" y="39"/>
                                  </a:lnTo>
                                  <a:lnTo>
                                    <a:pt x="340" y="59"/>
                                  </a:lnTo>
                                  <a:close/>
                                </a:path>
                              </a:pathLst>
                            </a:custGeom>
                            <a:solidFill>
                              <a:srgbClr val="000000"/>
                            </a:solidFill>
                            <a:ln>
                              <a:noFill/>
                            </a:ln>
                            <a:effectLst/>
                          </wps:spPr>
                          <wps:bodyPr vert="horz" wrap="square" anchor="t" anchorCtr="0" upright="1"/>
                        </wps:wsp>
                        <wps:wsp>
                          <wps:cNvPr id="6" name="任意多边形 6"/>
                          <wps:cNvSpPr/>
                          <wps:spPr>
                            <a:xfrm>
                              <a:off x="0" y="0"/>
                              <a:ext cx="7425" cy="5060"/>
                            </a:xfrm>
                            <a:custGeom>
                              <a:avLst/>
                              <a:gdLst/>
                              <a:ahLst/>
                              <a:cxnLst/>
                              <a:rect l="0" t="0" r="0" b="0"/>
                              <a:pathLst>
                                <a:path w="7425" h="5060">
                                  <a:moveTo>
                                    <a:pt x="7115" y="59"/>
                                  </a:moveTo>
                                  <a:lnTo>
                                    <a:pt x="7084" y="59"/>
                                  </a:lnTo>
                                  <a:lnTo>
                                    <a:pt x="7071" y="39"/>
                                  </a:lnTo>
                                  <a:lnTo>
                                    <a:pt x="7102" y="39"/>
                                  </a:lnTo>
                                  <a:lnTo>
                                    <a:pt x="7115" y="59"/>
                                  </a:lnTo>
                                  <a:close/>
                                </a:path>
                              </a:pathLst>
                            </a:custGeom>
                            <a:solidFill>
                              <a:srgbClr val="000000"/>
                            </a:solidFill>
                            <a:ln>
                              <a:noFill/>
                            </a:ln>
                            <a:effectLst/>
                          </wps:spPr>
                          <wps:bodyPr vert="horz" wrap="square" anchor="t" anchorCtr="0" upright="1"/>
                        </wps:wsp>
                        <wps:wsp>
                          <wps:cNvPr id="7" name="任意多边形 7"/>
                          <wps:cNvSpPr/>
                          <wps:spPr>
                            <a:xfrm>
                              <a:off x="0" y="0"/>
                              <a:ext cx="7425" cy="5060"/>
                            </a:xfrm>
                            <a:custGeom>
                              <a:avLst/>
                              <a:gdLst/>
                              <a:ahLst/>
                              <a:cxnLst/>
                              <a:rect l="0" t="0" r="0" b="0"/>
                              <a:pathLst>
                                <a:path w="7425" h="5060">
                                  <a:moveTo>
                                    <a:pt x="304" y="79"/>
                                  </a:moveTo>
                                  <a:lnTo>
                                    <a:pt x="273" y="79"/>
                                  </a:lnTo>
                                  <a:lnTo>
                                    <a:pt x="285" y="59"/>
                                  </a:lnTo>
                                  <a:lnTo>
                                    <a:pt x="316" y="59"/>
                                  </a:lnTo>
                                  <a:lnTo>
                                    <a:pt x="304" y="79"/>
                                  </a:lnTo>
                                  <a:close/>
                                </a:path>
                              </a:pathLst>
                            </a:custGeom>
                            <a:solidFill>
                              <a:srgbClr val="000000"/>
                            </a:solidFill>
                            <a:ln>
                              <a:noFill/>
                            </a:ln>
                            <a:effectLst/>
                          </wps:spPr>
                          <wps:bodyPr vert="horz" wrap="square" anchor="t" anchorCtr="0" upright="1"/>
                        </wps:wsp>
                        <wps:wsp>
                          <wps:cNvPr id="8" name="任意多边形 8"/>
                          <wps:cNvSpPr/>
                          <wps:spPr>
                            <a:xfrm>
                              <a:off x="0" y="0"/>
                              <a:ext cx="7425" cy="5060"/>
                            </a:xfrm>
                            <a:custGeom>
                              <a:avLst/>
                              <a:gdLst/>
                              <a:ahLst/>
                              <a:cxnLst/>
                              <a:rect l="0" t="0" r="0" b="0"/>
                              <a:pathLst>
                                <a:path w="7425" h="5060">
                                  <a:moveTo>
                                    <a:pt x="7151" y="79"/>
                                  </a:moveTo>
                                  <a:lnTo>
                                    <a:pt x="7120" y="79"/>
                                  </a:lnTo>
                                  <a:lnTo>
                                    <a:pt x="7108" y="59"/>
                                  </a:lnTo>
                                  <a:lnTo>
                                    <a:pt x="7139" y="59"/>
                                  </a:lnTo>
                                  <a:lnTo>
                                    <a:pt x="7151" y="79"/>
                                  </a:lnTo>
                                  <a:close/>
                                </a:path>
                              </a:pathLst>
                            </a:custGeom>
                            <a:solidFill>
                              <a:srgbClr val="000000"/>
                            </a:solidFill>
                            <a:ln>
                              <a:noFill/>
                            </a:ln>
                            <a:effectLst/>
                          </wps:spPr>
                          <wps:bodyPr vert="horz" wrap="square" anchor="t" anchorCtr="0" upright="1"/>
                        </wps:wsp>
                        <wps:wsp>
                          <wps:cNvPr id="9" name="任意多边形 9"/>
                          <wps:cNvSpPr/>
                          <wps:spPr>
                            <a:xfrm>
                              <a:off x="0" y="0"/>
                              <a:ext cx="7425" cy="5060"/>
                            </a:xfrm>
                            <a:custGeom>
                              <a:avLst/>
                              <a:gdLst/>
                              <a:ahLst/>
                              <a:cxnLst/>
                              <a:rect l="0" t="0" r="0" b="0"/>
                              <a:pathLst>
                                <a:path w="7425" h="5060">
                                  <a:moveTo>
                                    <a:pt x="269" y="99"/>
                                  </a:moveTo>
                                  <a:lnTo>
                                    <a:pt x="239" y="99"/>
                                  </a:lnTo>
                                  <a:lnTo>
                                    <a:pt x="250" y="79"/>
                                  </a:lnTo>
                                  <a:lnTo>
                                    <a:pt x="281" y="79"/>
                                  </a:lnTo>
                                  <a:lnTo>
                                    <a:pt x="269" y="99"/>
                                  </a:lnTo>
                                  <a:close/>
                                </a:path>
                              </a:pathLst>
                            </a:custGeom>
                            <a:solidFill>
                              <a:srgbClr val="000000"/>
                            </a:solidFill>
                            <a:ln>
                              <a:noFill/>
                            </a:ln>
                            <a:effectLst/>
                          </wps:spPr>
                          <wps:bodyPr vert="horz" wrap="square" anchor="t" anchorCtr="0" upright="1"/>
                        </wps:wsp>
                        <wps:wsp>
                          <wps:cNvPr id="10" name="任意多边形 10"/>
                          <wps:cNvSpPr/>
                          <wps:spPr>
                            <a:xfrm>
                              <a:off x="0" y="0"/>
                              <a:ext cx="7425" cy="5060"/>
                            </a:xfrm>
                            <a:custGeom>
                              <a:avLst/>
                              <a:gdLst/>
                              <a:ahLst/>
                              <a:cxnLst/>
                              <a:rect l="0" t="0" r="0" b="0"/>
                              <a:pathLst>
                                <a:path w="7425" h="5060">
                                  <a:moveTo>
                                    <a:pt x="7185" y="99"/>
                                  </a:moveTo>
                                  <a:lnTo>
                                    <a:pt x="7154" y="99"/>
                                  </a:lnTo>
                                  <a:lnTo>
                                    <a:pt x="7143" y="79"/>
                                  </a:lnTo>
                                  <a:lnTo>
                                    <a:pt x="7174" y="79"/>
                                  </a:lnTo>
                                  <a:lnTo>
                                    <a:pt x="7185" y="99"/>
                                  </a:lnTo>
                                  <a:close/>
                                </a:path>
                              </a:pathLst>
                            </a:custGeom>
                            <a:solidFill>
                              <a:srgbClr val="000000"/>
                            </a:solidFill>
                            <a:ln>
                              <a:noFill/>
                            </a:ln>
                            <a:effectLst/>
                          </wps:spPr>
                          <wps:bodyPr vert="horz" wrap="square" anchor="t" anchorCtr="0" upright="1"/>
                        </wps:wsp>
                        <wps:wsp>
                          <wps:cNvPr id="11" name="任意多边形 11"/>
                          <wps:cNvSpPr/>
                          <wps:spPr>
                            <a:xfrm>
                              <a:off x="0" y="0"/>
                              <a:ext cx="7425" cy="5060"/>
                            </a:xfrm>
                            <a:custGeom>
                              <a:avLst/>
                              <a:gdLst/>
                              <a:ahLst/>
                              <a:cxnLst/>
                              <a:rect l="0" t="0" r="0" b="0"/>
                              <a:pathLst>
                                <a:path w="7425" h="5060">
                                  <a:moveTo>
                                    <a:pt x="237" y="119"/>
                                  </a:moveTo>
                                  <a:lnTo>
                                    <a:pt x="217" y="119"/>
                                  </a:lnTo>
                                  <a:lnTo>
                                    <a:pt x="228" y="99"/>
                                  </a:lnTo>
                                  <a:lnTo>
                                    <a:pt x="247" y="99"/>
                                  </a:lnTo>
                                  <a:lnTo>
                                    <a:pt x="237" y="119"/>
                                  </a:lnTo>
                                  <a:close/>
                                </a:path>
                              </a:pathLst>
                            </a:custGeom>
                            <a:solidFill>
                              <a:srgbClr val="000000"/>
                            </a:solidFill>
                            <a:ln>
                              <a:noFill/>
                            </a:ln>
                            <a:effectLst/>
                          </wps:spPr>
                          <wps:bodyPr vert="horz" wrap="square" anchor="t" anchorCtr="0" upright="1"/>
                        </wps:wsp>
                        <wps:wsp>
                          <wps:cNvPr id="12" name="任意多边形 12"/>
                          <wps:cNvSpPr/>
                          <wps:spPr>
                            <a:xfrm>
                              <a:off x="0" y="0"/>
                              <a:ext cx="7425" cy="5060"/>
                            </a:xfrm>
                            <a:custGeom>
                              <a:avLst/>
                              <a:gdLst/>
                              <a:ahLst/>
                              <a:cxnLst/>
                              <a:rect l="0" t="0" r="0" b="0"/>
                              <a:pathLst>
                                <a:path w="7425" h="5060">
                                  <a:moveTo>
                                    <a:pt x="7207" y="119"/>
                                  </a:moveTo>
                                  <a:lnTo>
                                    <a:pt x="7187" y="119"/>
                                  </a:lnTo>
                                  <a:lnTo>
                                    <a:pt x="7176" y="99"/>
                                  </a:lnTo>
                                  <a:lnTo>
                                    <a:pt x="7196" y="99"/>
                                  </a:lnTo>
                                  <a:lnTo>
                                    <a:pt x="7207" y="119"/>
                                  </a:lnTo>
                                  <a:close/>
                                </a:path>
                              </a:pathLst>
                            </a:custGeom>
                            <a:solidFill>
                              <a:srgbClr val="000000"/>
                            </a:solidFill>
                            <a:ln>
                              <a:noFill/>
                            </a:ln>
                            <a:effectLst/>
                          </wps:spPr>
                          <wps:bodyPr vert="horz" wrap="square" anchor="t" anchorCtr="0" upright="1"/>
                        </wps:wsp>
                        <wps:wsp>
                          <wps:cNvPr id="13" name="任意多边形 13"/>
                          <wps:cNvSpPr/>
                          <wps:spPr>
                            <a:xfrm>
                              <a:off x="0" y="0"/>
                              <a:ext cx="7425" cy="5060"/>
                            </a:xfrm>
                            <a:custGeom>
                              <a:avLst/>
                              <a:gdLst/>
                              <a:ahLst/>
                              <a:cxnLst/>
                              <a:rect l="0" t="0" r="0" b="0"/>
                              <a:pathLst>
                                <a:path w="7425" h="5060">
                                  <a:moveTo>
                                    <a:pt x="216" y="139"/>
                                  </a:moveTo>
                                  <a:lnTo>
                                    <a:pt x="186" y="139"/>
                                  </a:lnTo>
                                  <a:lnTo>
                                    <a:pt x="196" y="119"/>
                                  </a:lnTo>
                                  <a:lnTo>
                                    <a:pt x="226" y="119"/>
                                  </a:lnTo>
                                  <a:lnTo>
                                    <a:pt x="216" y="139"/>
                                  </a:lnTo>
                                  <a:close/>
                                </a:path>
                              </a:pathLst>
                            </a:custGeom>
                            <a:solidFill>
                              <a:srgbClr val="000000"/>
                            </a:solidFill>
                            <a:ln>
                              <a:noFill/>
                            </a:ln>
                            <a:effectLst/>
                          </wps:spPr>
                          <wps:bodyPr vert="horz" wrap="square" anchor="t" anchorCtr="0" upright="1"/>
                        </wps:wsp>
                        <wps:wsp>
                          <wps:cNvPr id="14" name="任意多边形 14"/>
                          <wps:cNvSpPr/>
                          <wps:spPr>
                            <a:xfrm>
                              <a:off x="0" y="0"/>
                              <a:ext cx="7425" cy="5060"/>
                            </a:xfrm>
                            <a:custGeom>
                              <a:avLst/>
                              <a:gdLst/>
                              <a:ahLst/>
                              <a:cxnLst/>
                              <a:rect l="0" t="0" r="0" b="0"/>
                              <a:pathLst>
                                <a:path w="7425" h="5060">
                                  <a:moveTo>
                                    <a:pt x="7238" y="139"/>
                                  </a:moveTo>
                                  <a:lnTo>
                                    <a:pt x="7208" y="139"/>
                                  </a:lnTo>
                                  <a:lnTo>
                                    <a:pt x="7197" y="119"/>
                                  </a:lnTo>
                                  <a:lnTo>
                                    <a:pt x="7228" y="119"/>
                                  </a:lnTo>
                                  <a:lnTo>
                                    <a:pt x="7238" y="139"/>
                                  </a:lnTo>
                                  <a:close/>
                                </a:path>
                              </a:pathLst>
                            </a:custGeom>
                            <a:solidFill>
                              <a:srgbClr val="000000"/>
                            </a:solidFill>
                            <a:ln>
                              <a:noFill/>
                            </a:ln>
                            <a:effectLst/>
                          </wps:spPr>
                          <wps:bodyPr vert="horz" wrap="square" anchor="t" anchorCtr="0" upright="1"/>
                        </wps:wsp>
                        <wps:wsp>
                          <wps:cNvPr id="15" name="任意多边形 15"/>
                          <wps:cNvSpPr/>
                          <wps:spPr>
                            <a:xfrm>
                              <a:off x="0" y="0"/>
                              <a:ext cx="7425" cy="5060"/>
                            </a:xfrm>
                            <a:custGeom>
                              <a:avLst/>
                              <a:gdLst/>
                              <a:ahLst/>
                              <a:cxnLst/>
                              <a:rect l="0" t="0" r="0" b="0"/>
                              <a:pathLst>
                                <a:path w="7425" h="5060">
                                  <a:moveTo>
                                    <a:pt x="186" y="159"/>
                                  </a:moveTo>
                                  <a:lnTo>
                                    <a:pt x="166" y="159"/>
                                  </a:lnTo>
                                  <a:lnTo>
                                    <a:pt x="176" y="139"/>
                                  </a:lnTo>
                                  <a:lnTo>
                                    <a:pt x="196" y="139"/>
                                  </a:lnTo>
                                  <a:lnTo>
                                    <a:pt x="186" y="159"/>
                                  </a:lnTo>
                                  <a:close/>
                                </a:path>
                              </a:pathLst>
                            </a:custGeom>
                            <a:solidFill>
                              <a:srgbClr val="000000"/>
                            </a:solidFill>
                            <a:ln>
                              <a:noFill/>
                            </a:ln>
                            <a:effectLst/>
                          </wps:spPr>
                          <wps:bodyPr vert="horz" wrap="square" anchor="t" anchorCtr="0" upright="1"/>
                        </wps:wsp>
                        <wps:wsp>
                          <wps:cNvPr id="16" name="任意多边形 16"/>
                          <wps:cNvSpPr/>
                          <wps:spPr>
                            <a:xfrm>
                              <a:off x="0" y="0"/>
                              <a:ext cx="7425" cy="5060"/>
                            </a:xfrm>
                            <a:custGeom>
                              <a:avLst/>
                              <a:gdLst/>
                              <a:ahLst/>
                              <a:cxnLst/>
                              <a:rect l="0" t="0" r="0" b="0"/>
                              <a:pathLst>
                                <a:path w="7425" h="5060">
                                  <a:moveTo>
                                    <a:pt x="7258" y="159"/>
                                  </a:moveTo>
                                  <a:lnTo>
                                    <a:pt x="7238" y="159"/>
                                  </a:lnTo>
                                  <a:lnTo>
                                    <a:pt x="7228" y="139"/>
                                  </a:lnTo>
                                  <a:lnTo>
                                    <a:pt x="7248" y="139"/>
                                  </a:lnTo>
                                  <a:lnTo>
                                    <a:pt x="7258" y="159"/>
                                  </a:lnTo>
                                  <a:close/>
                                </a:path>
                              </a:pathLst>
                            </a:custGeom>
                            <a:solidFill>
                              <a:srgbClr val="000000"/>
                            </a:solidFill>
                            <a:ln>
                              <a:noFill/>
                            </a:ln>
                            <a:effectLst/>
                          </wps:spPr>
                          <wps:bodyPr vert="horz" wrap="square" anchor="t" anchorCtr="0" upright="1"/>
                        </wps:wsp>
                        <wps:wsp>
                          <wps:cNvPr id="17" name="任意多边形 17"/>
                          <wps:cNvSpPr/>
                          <wps:spPr>
                            <a:xfrm>
                              <a:off x="0" y="0"/>
                              <a:ext cx="7425" cy="5060"/>
                            </a:xfrm>
                            <a:custGeom>
                              <a:avLst/>
                              <a:gdLst/>
                              <a:ahLst/>
                              <a:cxnLst/>
                              <a:rect l="0" t="0" r="0" b="0"/>
                              <a:pathLst>
                                <a:path w="7425" h="5060">
                                  <a:moveTo>
                                    <a:pt x="167" y="179"/>
                                  </a:moveTo>
                                  <a:lnTo>
                                    <a:pt x="147" y="179"/>
                                  </a:lnTo>
                                  <a:lnTo>
                                    <a:pt x="156" y="159"/>
                                  </a:lnTo>
                                  <a:lnTo>
                                    <a:pt x="176" y="159"/>
                                  </a:lnTo>
                                  <a:lnTo>
                                    <a:pt x="167" y="179"/>
                                  </a:lnTo>
                                  <a:close/>
                                </a:path>
                              </a:pathLst>
                            </a:custGeom>
                            <a:solidFill>
                              <a:srgbClr val="000000"/>
                            </a:solidFill>
                            <a:ln>
                              <a:noFill/>
                            </a:ln>
                            <a:effectLst/>
                          </wps:spPr>
                          <wps:bodyPr vert="horz" wrap="square" anchor="t" anchorCtr="0" upright="1"/>
                        </wps:wsp>
                        <wps:wsp>
                          <wps:cNvPr id="18" name="任意多边形 18"/>
                          <wps:cNvSpPr/>
                          <wps:spPr>
                            <a:xfrm>
                              <a:off x="0" y="0"/>
                              <a:ext cx="7425" cy="5060"/>
                            </a:xfrm>
                            <a:custGeom>
                              <a:avLst/>
                              <a:gdLst/>
                              <a:ahLst/>
                              <a:cxnLst/>
                              <a:rect l="0" t="0" r="0" b="0"/>
                              <a:pathLst>
                                <a:path w="7425" h="5060">
                                  <a:moveTo>
                                    <a:pt x="7277" y="179"/>
                                  </a:moveTo>
                                  <a:lnTo>
                                    <a:pt x="7256" y="179"/>
                                  </a:lnTo>
                                  <a:lnTo>
                                    <a:pt x="7247" y="159"/>
                                  </a:lnTo>
                                  <a:lnTo>
                                    <a:pt x="7267" y="159"/>
                                  </a:lnTo>
                                  <a:lnTo>
                                    <a:pt x="7277" y="179"/>
                                  </a:lnTo>
                                  <a:close/>
                                </a:path>
                              </a:pathLst>
                            </a:custGeom>
                            <a:solidFill>
                              <a:srgbClr val="000000"/>
                            </a:solidFill>
                            <a:ln>
                              <a:noFill/>
                            </a:ln>
                            <a:effectLst/>
                          </wps:spPr>
                          <wps:bodyPr vert="horz" wrap="square" anchor="t" anchorCtr="0" upright="1"/>
                        </wps:wsp>
                        <wps:wsp>
                          <wps:cNvPr id="19" name="任意多边形 19"/>
                          <wps:cNvSpPr/>
                          <wps:spPr>
                            <a:xfrm>
                              <a:off x="0" y="0"/>
                              <a:ext cx="7425" cy="5060"/>
                            </a:xfrm>
                            <a:custGeom>
                              <a:avLst/>
                              <a:gdLst/>
                              <a:ahLst/>
                              <a:cxnLst/>
                              <a:rect l="0" t="0" r="0" b="0"/>
                              <a:pathLst>
                                <a:path w="7425" h="5060">
                                  <a:moveTo>
                                    <a:pt x="149" y="199"/>
                                  </a:moveTo>
                                  <a:lnTo>
                                    <a:pt x="129" y="199"/>
                                  </a:lnTo>
                                  <a:lnTo>
                                    <a:pt x="138" y="179"/>
                                  </a:lnTo>
                                  <a:lnTo>
                                    <a:pt x="158" y="179"/>
                                  </a:lnTo>
                                  <a:lnTo>
                                    <a:pt x="149" y="199"/>
                                  </a:lnTo>
                                  <a:close/>
                                </a:path>
                              </a:pathLst>
                            </a:custGeom>
                            <a:solidFill>
                              <a:srgbClr val="000000"/>
                            </a:solidFill>
                            <a:ln>
                              <a:noFill/>
                            </a:ln>
                            <a:effectLst/>
                          </wps:spPr>
                          <wps:bodyPr vert="horz" wrap="square" anchor="t" anchorCtr="0" upright="1"/>
                        </wps:wsp>
                        <wps:wsp>
                          <wps:cNvPr id="20" name="任意多边形 20"/>
                          <wps:cNvSpPr/>
                          <wps:spPr>
                            <a:xfrm>
                              <a:off x="0" y="0"/>
                              <a:ext cx="7425" cy="5060"/>
                            </a:xfrm>
                            <a:custGeom>
                              <a:avLst/>
                              <a:gdLst/>
                              <a:ahLst/>
                              <a:cxnLst/>
                              <a:rect l="0" t="0" r="0" b="0"/>
                              <a:pathLst>
                                <a:path w="7425" h="5060">
                                  <a:moveTo>
                                    <a:pt x="7294" y="199"/>
                                  </a:moveTo>
                                  <a:lnTo>
                                    <a:pt x="7274" y="199"/>
                                  </a:lnTo>
                                  <a:lnTo>
                                    <a:pt x="7265" y="179"/>
                                  </a:lnTo>
                                  <a:lnTo>
                                    <a:pt x="7286" y="179"/>
                                  </a:lnTo>
                                  <a:lnTo>
                                    <a:pt x="7294" y="199"/>
                                  </a:lnTo>
                                  <a:close/>
                                </a:path>
                              </a:pathLst>
                            </a:custGeom>
                            <a:solidFill>
                              <a:srgbClr val="000000"/>
                            </a:solidFill>
                            <a:ln>
                              <a:noFill/>
                            </a:ln>
                            <a:effectLst/>
                          </wps:spPr>
                          <wps:bodyPr vert="horz" wrap="square" anchor="t" anchorCtr="0" upright="1"/>
                        </wps:wsp>
                        <wps:wsp>
                          <wps:cNvPr id="21" name="任意多边形 21"/>
                          <wps:cNvSpPr/>
                          <wps:spPr>
                            <a:xfrm>
                              <a:off x="0" y="0"/>
                              <a:ext cx="7425" cy="5060"/>
                            </a:xfrm>
                            <a:custGeom>
                              <a:avLst/>
                              <a:gdLst/>
                              <a:ahLst/>
                              <a:cxnLst/>
                              <a:rect l="0" t="0" r="0" b="0"/>
                              <a:pathLst>
                                <a:path w="7425" h="5060">
                                  <a:moveTo>
                                    <a:pt x="132" y="219"/>
                                  </a:moveTo>
                                  <a:lnTo>
                                    <a:pt x="112" y="219"/>
                                  </a:lnTo>
                                  <a:lnTo>
                                    <a:pt x="121" y="199"/>
                                  </a:lnTo>
                                  <a:lnTo>
                                    <a:pt x="141" y="199"/>
                                  </a:lnTo>
                                  <a:lnTo>
                                    <a:pt x="132" y="219"/>
                                  </a:lnTo>
                                  <a:close/>
                                </a:path>
                              </a:pathLst>
                            </a:custGeom>
                            <a:solidFill>
                              <a:srgbClr val="000000"/>
                            </a:solidFill>
                            <a:ln>
                              <a:noFill/>
                            </a:ln>
                            <a:effectLst/>
                          </wps:spPr>
                          <wps:bodyPr vert="horz" wrap="square" anchor="t" anchorCtr="0" upright="1"/>
                        </wps:wsp>
                        <wps:wsp>
                          <wps:cNvPr id="22" name="任意多边形 22"/>
                          <wps:cNvSpPr/>
                          <wps:spPr>
                            <a:xfrm>
                              <a:off x="0" y="0"/>
                              <a:ext cx="7425" cy="5060"/>
                            </a:xfrm>
                            <a:custGeom>
                              <a:avLst/>
                              <a:gdLst/>
                              <a:ahLst/>
                              <a:cxnLst/>
                              <a:rect l="0" t="0" r="0" b="0"/>
                              <a:pathLst>
                                <a:path w="7425" h="5060">
                                  <a:moveTo>
                                    <a:pt x="7311" y="219"/>
                                  </a:moveTo>
                                  <a:lnTo>
                                    <a:pt x="7291" y="219"/>
                                  </a:lnTo>
                                  <a:lnTo>
                                    <a:pt x="7283" y="199"/>
                                  </a:lnTo>
                                  <a:lnTo>
                                    <a:pt x="7303" y="199"/>
                                  </a:lnTo>
                                  <a:lnTo>
                                    <a:pt x="7311" y="219"/>
                                  </a:lnTo>
                                  <a:close/>
                                </a:path>
                              </a:pathLst>
                            </a:custGeom>
                            <a:solidFill>
                              <a:srgbClr val="000000"/>
                            </a:solidFill>
                            <a:ln>
                              <a:noFill/>
                            </a:ln>
                            <a:effectLst/>
                          </wps:spPr>
                          <wps:bodyPr vert="horz" wrap="square" anchor="t" anchorCtr="0" upright="1"/>
                        </wps:wsp>
                        <wps:wsp>
                          <wps:cNvPr id="23" name="任意多边形 23"/>
                          <wps:cNvSpPr/>
                          <wps:spPr>
                            <a:xfrm>
                              <a:off x="0" y="0"/>
                              <a:ext cx="7425" cy="5060"/>
                            </a:xfrm>
                            <a:custGeom>
                              <a:avLst/>
                              <a:gdLst/>
                              <a:ahLst/>
                              <a:cxnLst/>
                              <a:rect l="0" t="0" r="0" b="0"/>
                              <a:pathLst>
                                <a:path w="7425" h="5060">
                                  <a:moveTo>
                                    <a:pt x="101" y="259"/>
                                  </a:moveTo>
                                  <a:lnTo>
                                    <a:pt x="89" y="259"/>
                                  </a:lnTo>
                                  <a:lnTo>
                                    <a:pt x="96" y="239"/>
                                  </a:lnTo>
                                  <a:lnTo>
                                    <a:pt x="104" y="219"/>
                                  </a:lnTo>
                                  <a:lnTo>
                                    <a:pt x="124" y="219"/>
                                  </a:lnTo>
                                  <a:lnTo>
                                    <a:pt x="116" y="239"/>
                                  </a:lnTo>
                                  <a:lnTo>
                                    <a:pt x="109" y="239"/>
                                  </a:lnTo>
                                  <a:lnTo>
                                    <a:pt x="101" y="259"/>
                                  </a:lnTo>
                                  <a:close/>
                                </a:path>
                              </a:pathLst>
                            </a:custGeom>
                            <a:solidFill>
                              <a:srgbClr val="000000"/>
                            </a:solidFill>
                            <a:ln>
                              <a:noFill/>
                            </a:ln>
                            <a:effectLst/>
                          </wps:spPr>
                          <wps:bodyPr vert="horz" wrap="square" anchor="t" anchorCtr="0" upright="1"/>
                        </wps:wsp>
                        <wps:wsp>
                          <wps:cNvPr id="24" name="任意多边形 24"/>
                          <wps:cNvSpPr/>
                          <wps:spPr>
                            <a:xfrm>
                              <a:off x="0" y="0"/>
                              <a:ext cx="7425" cy="5060"/>
                            </a:xfrm>
                            <a:custGeom>
                              <a:avLst/>
                              <a:gdLst/>
                              <a:ahLst/>
                              <a:cxnLst/>
                              <a:rect l="0" t="0" r="0" b="0"/>
                              <a:pathLst>
                                <a:path w="7425" h="5060">
                                  <a:moveTo>
                                    <a:pt x="7335" y="259"/>
                                  </a:moveTo>
                                  <a:lnTo>
                                    <a:pt x="7322" y="259"/>
                                  </a:lnTo>
                                  <a:lnTo>
                                    <a:pt x="7315" y="239"/>
                                  </a:lnTo>
                                  <a:lnTo>
                                    <a:pt x="7307" y="239"/>
                                  </a:lnTo>
                                  <a:lnTo>
                                    <a:pt x="7299" y="219"/>
                                  </a:lnTo>
                                  <a:lnTo>
                                    <a:pt x="7319" y="219"/>
                                  </a:lnTo>
                                  <a:lnTo>
                                    <a:pt x="7327" y="239"/>
                                  </a:lnTo>
                                  <a:lnTo>
                                    <a:pt x="7335" y="259"/>
                                  </a:lnTo>
                                  <a:close/>
                                </a:path>
                              </a:pathLst>
                            </a:custGeom>
                            <a:solidFill>
                              <a:srgbClr val="000000"/>
                            </a:solidFill>
                            <a:ln>
                              <a:noFill/>
                            </a:ln>
                            <a:effectLst/>
                          </wps:spPr>
                          <wps:bodyPr vert="horz" wrap="square" anchor="t" anchorCtr="0" upright="1"/>
                        </wps:wsp>
                        <wps:wsp>
                          <wps:cNvPr id="25" name="任意多边形 25"/>
                          <wps:cNvSpPr/>
                          <wps:spPr>
                            <a:xfrm>
                              <a:off x="0" y="0"/>
                              <a:ext cx="7425" cy="5060"/>
                            </a:xfrm>
                            <a:custGeom>
                              <a:avLst/>
                              <a:gdLst/>
                              <a:ahLst/>
                              <a:cxnLst/>
                              <a:rect l="0" t="0" r="0" b="0"/>
                              <a:pathLst>
                                <a:path w="7425" h="5060">
                                  <a:moveTo>
                                    <a:pt x="94" y="279"/>
                                  </a:moveTo>
                                  <a:lnTo>
                                    <a:pt x="75" y="279"/>
                                  </a:lnTo>
                                  <a:lnTo>
                                    <a:pt x="82" y="259"/>
                                  </a:lnTo>
                                  <a:lnTo>
                                    <a:pt x="102" y="259"/>
                                  </a:lnTo>
                                  <a:lnTo>
                                    <a:pt x="94" y="279"/>
                                  </a:lnTo>
                                  <a:close/>
                                </a:path>
                              </a:pathLst>
                            </a:custGeom>
                            <a:solidFill>
                              <a:srgbClr val="000000"/>
                            </a:solidFill>
                            <a:ln>
                              <a:noFill/>
                            </a:ln>
                            <a:effectLst/>
                          </wps:spPr>
                          <wps:bodyPr vert="horz" wrap="square" anchor="t" anchorCtr="0" upright="1"/>
                        </wps:wsp>
                        <wps:wsp>
                          <wps:cNvPr id="26" name="任意多边形 26"/>
                          <wps:cNvSpPr/>
                          <wps:spPr>
                            <a:xfrm>
                              <a:off x="0" y="0"/>
                              <a:ext cx="7425" cy="5060"/>
                            </a:xfrm>
                            <a:custGeom>
                              <a:avLst/>
                              <a:gdLst/>
                              <a:ahLst/>
                              <a:cxnLst/>
                              <a:rect l="0" t="0" r="0" b="0"/>
                              <a:pathLst>
                                <a:path w="7425" h="5060">
                                  <a:moveTo>
                                    <a:pt x="7349" y="279"/>
                                  </a:moveTo>
                                  <a:lnTo>
                                    <a:pt x="7329" y="279"/>
                                  </a:lnTo>
                                  <a:lnTo>
                                    <a:pt x="7322" y="259"/>
                                  </a:lnTo>
                                  <a:lnTo>
                                    <a:pt x="7342" y="259"/>
                                  </a:lnTo>
                                  <a:lnTo>
                                    <a:pt x="7349" y="279"/>
                                  </a:lnTo>
                                  <a:close/>
                                </a:path>
                              </a:pathLst>
                            </a:custGeom>
                            <a:solidFill>
                              <a:srgbClr val="000000"/>
                            </a:solidFill>
                            <a:ln>
                              <a:noFill/>
                            </a:ln>
                            <a:effectLst/>
                          </wps:spPr>
                          <wps:bodyPr vert="horz" wrap="square" anchor="t" anchorCtr="0" upright="1"/>
                        </wps:wsp>
                        <wps:wsp>
                          <wps:cNvPr id="27" name="任意多边形 27"/>
                          <wps:cNvSpPr/>
                          <wps:spPr>
                            <a:xfrm>
                              <a:off x="0" y="0"/>
                              <a:ext cx="7425" cy="5060"/>
                            </a:xfrm>
                            <a:custGeom>
                              <a:avLst/>
                              <a:gdLst/>
                              <a:ahLst/>
                              <a:cxnLst/>
                              <a:rect l="0" t="0" r="0" b="0"/>
                              <a:pathLst>
                                <a:path w="7425" h="5060">
                                  <a:moveTo>
                                    <a:pt x="69" y="319"/>
                                  </a:moveTo>
                                  <a:lnTo>
                                    <a:pt x="55" y="319"/>
                                  </a:lnTo>
                                  <a:lnTo>
                                    <a:pt x="62" y="299"/>
                                  </a:lnTo>
                                  <a:lnTo>
                                    <a:pt x="68" y="279"/>
                                  </a:lnTo>
                                  <a:lnTo>
                                    <a:pt x="88" y="279"/>
                                  </a:lnTo>
                                  <a:lnTo>
                                    <a:pt x="81" y="299"/>
                                  </a:lnTo>
                                  <a:lnTo>
                                    <a:pt x="75" y="299"/>
                                  </a:lnTo>
                                  <a:lnTo>
                                    <a:pt x="69" y="319"/>
                                  </a:lnTo>
                                  <a:close/>
                                </a:path>
                              </a:pathLst>
                            </a:custGeom>
                            <a:solidFill>
                              <a:srgbClr val="000000"/>
                            </a:solidFill>
                            <a:ln>
                              <a:noFill/>
                            </a:ln>
                            <a:effectLst/>
                          </wps:spPr>
                          <wps:bodyPr vert="horz" wrap="square" anchor="t" anchorCtr="0" upright="1"/>
                        </wps:wsp>
                        <wps:wsp>
                          <wps:cNvPr id="28" name="任意多边形 28"/>
                          <wps:cNvSpPr/>
                          <wps:spPr>
                            <a:xfrm>
                              <a:off x="0" y="0"/>
                              <a:ext cx="7425" cy="5060"/>
                            </a:xfrm>
                            <a:custGeom>
                              <a:avLst/>
                              <a:gdLst/>
                              <a:ahLst/>
                              <a:cxnLst/>
                              <a:rect l="0" t="0" r="0" b="0"/>
                              <a:pathLst>
                                <a:path w="7425" h="5060">
                                  <a:moveTo>
                                    <a:pt x="7368" y="319"/>
                                  </a:moveTo>
                                  <a:lnTo>
                                    <a:pt x="7355" y="319"/>
                                  </a:lnTo>
                                  <a:lnTo>
                                    <a:pt x="7349" y="299"/>
                                  </a:lnTo>
                                  <a:lnTo>
                                    <a:pt x="7342" y="299"/>
                                  </a:lnTo>
                                  <a:lnTo>
                                    <a:pt x="7336" y="279"/>
                                  </a:lnTo>
                                  <a:lnTo>
                                    <a:pt x="7356" y="279"/>
                                  </a:lnTo>
                                  <a:lnTo>
                                    <a:pt x="7362" y="299"/>
                                  </a:lnTo>
                                  <a:lnTo>
                                    <a:pt x="7368" y="319"/>
                                  </a:lnTo>
                                  <a:close/>
                                </a:path>
                              </a:pathLst>
                            </a:custGeom>
                            <a:solidFill>
                              <a:srgbClr val="000000"/>
                            </a:solidFill>
                            <a:ln>
                              <a:noFill/>
                            </a:ln>
                            <a:effectLst/>
                          </wps:spPr>
                          <wps:bodyPr vert="horz" wrap="square" anchor="t" anchorCtr="0" upright="1"/>
                        </wps:wsp>
                        <wps:wsp>
                          <wps:cNvPr id="29" name="任意多边形 29"/>
                          <wps:cNvSpPr/>
                          <wps:spPr>
                            <a:xfrm>
                              <a:off x="0" y="0"/>
                              <a:ext cx="7425" cy="5060"/>
                            </a:xfrm>
                            <a:custGeom>
                              <a:avLst/>
                              <a:gdLst/>
                              <a:ahLst/>
                              <a:cxnLst/>
                              <a:rect l="0" t="0" r="0" b="0"/>
                              <a:pathLst>
                                <a:path w="7425" h="5060">
                                  <a:moveTo>
                                    <a:pt x="63" y="339"/>
                                  </a:moveTo>
                                  <a:lnTo>
                                    <a:pt x="44" y="339"/>
                                  </a:lnTo>
                                  <a:lnTo>
                                    <a:pt x="50" y="319"/>
                                  </a:lnTo>
                                  <a:lnTo>
                                    <a:pt x="69" y="319"/>
                                  </a:lnTo>
                                  <a:lnTo>
                                    <a:pt x="63" y="339"/>
                                  </a:lnTo>
                                  <a:close/>
                                </a:path>
                              </a:pathLst>
                            </a:custGeom>
                            <a:solidFill>
                              <a:srgbClr val="000000"/>
                            </a:solidFill>
                            <a:ln>
                              <a:noFill/>
                            </a:ln>
                            <a:effectLst/>
                          </wps:spPr>
                          <wps:bodyPr vert="horz" wrap="square" anchor="t" anchorCtr="0" upright="1"/>
                        </wps:wsp>
                        <wps:wsp>
                          <wps:cNvPr id="30" name="任意多边形 30"/>
                          <wps:cNvSpPr/>
                          <wps:spPr>
                            <a:xfrm>
                              <a:off x="0" y="0"/>
                              <a:ext cx="7425" cy="5060"/>
                            </a:xfrm>
                            <a:custGeom>
                              <a:avLst/>
                              <a:gdLst/>
                              <a:ahLst/>
                              <a:cxnLst/>
                              <a:rect l="0" t="0" r="0" b="0"/>
                              <a:pathLst>
                                <a:path w="7425" h="5060">
                                  <a:moveTo>
                                    <a:pt x="7380" y="339"/>
                                  </a:moveTo>
                                  <a:lnTo>
                                    <a:pt x="7360" y="339"/>
                                  </a:lnTo>
                                  <a:lnTo>
                                    <a:pt x="7355" y="319"/>
                                  </a:lnTo>
                                  <a:lnTo>
                                    <a:pt x="7374" y="319"/>
                                  </a:lnTo>
                                  <a:lnTo>
                                    <a:pt x="7380" y="339"/>
                                  </a:lnTo>
                                  <a:close/>
                                </a:path>
                              </a:pathLst>
                            </a:custGeom>
                            <a:solidFill>
                              <a:srgbClr val="000000"/>
                            </a:solidFill>
                            <a:ln>
                              <a:noFill/>
                            </a:ln>
                            <a:effectLst/>
                          </wps:spPr>
                          <wps:bodyPr vert="horz" wrap="square" anchor="t" anchorCtr="0" upright="1"/>
                        </wps:wsp>
                        <wps:wsp>
                          <wps:cNvPr id="31" name="任意多边形 31"/>
                          <wps:cNvSpPr/>
                          <wps:spPr>
                            <a:xfrm>
                              <a:off x="0" y="0"/>
                              <a:ext cx="7425" cy="5060"/>
                            </a:xfrm>
                            <a:custGeom>
                              <a:avLst/>
                              <a:gdLst/>
                              <a:ahLst/>
                              <a:cxnLst/>
                              <a:rect l="0" t="0" r="0" b="0"/>
                              <a:pathLst>
                                <a:path w="7425" h="5060">
                                  <a:moveTo>
                                    <a:pt x="43" y="379"/>
                                  </a:moveTo>
                                  <a:lnTo>
                                    <a:pt x="29" y="379"/>
                                  </a:lnTo>
                                  <a:lnTo>
                                    <a:pt x="34" y="359"/>
                                  </a:lnTo>
                                  <a:lnTo>
                                    <a:pt x="39" y="339"/>
                                  </a:lnTo>
                                  <a:lnTo>
                                    <a:pt x="58" y="339"/>
                                  </a:lnTo>
                                  <a:lnTo>
                                    <a:pt x="53" y="359"/>
                                  </a:lnTo>
                                  <a:lnTo>
                                    <a:pt x="48" y="359"/>
                                  </a:lnTo>
                                  <a:lnTo>
                                    <a:pt x="43" y="379"/>
                                  </a:lnTo>
                                  <a:close/>
                                </a:path>
                              </a:pathLst>
                            </a:custGeom>
                            <a:solidFill>
                              <a:srgbClr val="000000"/>
                            </a:solidFill>
                            <a:ln>
                              <a:noFill/>
                            </a:ln>
                            <a:effectLst/>
                          </wps:spPr>
                          <wps:bodyPr vert="horz" wrap="square" anchor="t" anchorCtr="0" upright="1"/>
                        </wps:wsp>
                        <wps:wsp>
                          <wps:cNvPr id="32" name="任意多边形 32"/>
                          <wps:cNvSpPr/>
                          <wps:spPr>
                            <a:xfrm>
                              <a:off x="0" y="0"/>
                              <a:ext cx="7425" cy="5060"/>
                            </a:xfrm>
                            <a:custGeom>
                              <a:avLst/>
                              <a:gdLst/>
                              <a:ahLst/>
                              <a:cxnLst/>
                              <a:rect l="0" t="0" r="0" b="0"/>
                              <a:pathLst>
                                <a:path w="7425" h="5060">
                                  <a:moveTo>
                                    <a:pt x="7394" y="379"/>
                                  </a:moveTo>
                                  <a:lnTo>
                                    <a:pt x="7380" y="379"/>
                                  </a:lnTo>
                                  <a:lnTo>
                                    <a:pt x="7376" y="359"/>
                                  </a:lnTo>
                                  <a:lnTo>
                                    <a:pt x="7371" y="359"/>
                                  </a:lnTo>
                                  <a:lnTo>
                                    <a:pt x="7366" y="339"/>
                                  </a:lnTo>
                                  <a:lnTo>
                                    <a:pt x="7385" y="339"/>
                                  </a:lnTo>
                                  <a:lnTo>
                                    <a:pt x="7390" y="359"/>
                                  </a:lnTo>
                                  <a:lnTo>
                                    <a:pt x="7394" y="379"/>
                                  </a:lnTo>
                                  <a:close/>
                                </a:path>
                              </a:pathLst>
                            </a:custGeom>
                            <a:solidFill>
                              <a:srgbClr val="000000"/>
                            </a:solidFill>
                            <a:ln>
                              <a:noFill/>
                            </a:ln>
                            <a:effectLst/>
                          </wps:spPr>
                          <wps:bodyPr vert="horz" wrap="square" anchor="t" anchorCtr="0" upright="1"/>
                        </wps:wsp>
                        <wps:wsp>
                          <wps:cNvPr id="33" name="任意多边形 33"/>
                          <wps:cNvSpPr/>
                          <wps:spPr>
                            <a:xfrm>
                              <a:off x="0" y="0"/>
                              <a:ext cx="7425" cy="5060"/>
                            </a:xfrm>
                            <a:custGeom>
                              <a:avLst/>
                              <a:gdLst/>
                              <a:ahLst/>
                              <a:cxnLst/>
                              <a:rect l="0" t="0" r="0" b="0"/>
                              <a:pathLst>
                                <a:path w="7425" h="5060">
                                  <a:moveTo>
                                    <a:pt x="32" y="419"/>
                                  </a:moveTo>
                                  <a:lnTo>
                                    <a:pt x="17" y="419"/>
                                  </a:lnTo>
                                  <a:lnTo>
                                    <a:pt x="21" y="399"/>
                                  </a:lnTo>
                                  <a:lnTo>
                                    <a:pt x="25" y="379"/>
                                  </a:lnTo>
                                  <a:lnTo>
                                    <a:pt x="43" y="379"/>
                                  </a:lnTo>
                                  <a:lnTo>
                                    <a:pt x="39" y="399"/>
                                  </a:lnTo>
                                  <a:lnTo>
                                    <a:pt x="35" y="399"/>
                                  </a:lnTo>
                                  <a:lnTo>
                                    <a:pt x="32" y="419"/>
                                  </a:lnTo>
                                  <a:close/>
                                </a:path>
                              </a:pathLst>
                            </a:custGeom>
                            <a:solidFill>
                              <a:srgbClr val="000000"/>
                            </a:solidFill>
                            <a:ln>
                              <a:noFill/>
                            </a:ln>
                            <a:effectLst/>
                          </wps:spPr>
                          <wps:bodyPr vert="horz" wrap="square" anchor="t" anchorCtr="0" upright="1"/>
                        </wps:wsp>
                        <wps:wsp>
                          <wps:cNvPr id="34" name="任意多边形 34"/>
                          <wps:cNvSpPr/>
                          <wps:spPr>
                            <a:xfrm>
                              <a:off x="0" y="0"/>
                              <a:ext cx="7425" cy="5060"/>
                            </a:xfrm>
                            <a:custGeom>
                              <a:avLst/>
                              <a:gdLst/>
                              <a:ahLst/>
                              <a:cxnLst/>
                              <a:rect l="0" t="0" r="0" b="0"/>
                              <a:pathLst>
                                <a:path w="7425" h="5060">
                                  <a:moveTo>
                                    <a:pt x="7406" y="419"/>
                                  </a:moveTo>
                                  <a:lnTo>
                                    <a:pt x="7392" y="419"/>
                                  </a:lnTo>
                                  <a:lnTo>
                                    <a:pt x="7388" y="399"/>
                                  </a:lnTo>
                                  <a:lnTo>
                                    <a:pt x="7384" y="399"/>
                                  </a:lnTo>
                                  <a:lnTo>
                                    <a:pt x="7380" y="379"/>
                                  </a:lnTo>
                                  <a:lnTo>
                                    <a:pt x="7399" y="379"/>
                                  </a:lnTo>
                                  <a:lnTo>
                                    <a:pt x="7403" y="399"/>
                                  </a:lnTo>
                                  <a:lnTo>
                                    <a:pt x="7406" y="419"/>
                                  </a:lnTo>
                                  <a:close/>
                                </a:path>
                              </a:pathLst>
                            </a:custGeom>
                            <a:solidFill>
                              <a:srgbClr val="000000"/>
                            </a:solidFill>
                            <a:ln>
                              <a:noFill/>
                            </a:ln>
                            <a:effectLst/>
                          </wps:spPr>
                          <wps:bodyPr vert="horz" wrap="square" anchor="t" anchorCtr="0" upright="1"/>
                        </wps:wsp>
                        <wps:wsp>
                          <wps:cNvPr id="35" name="任意多边形 35"/>
                          <wps:cNvSpPr/>
                          <wps:spPr>
                            <a:xfrm>
                              <a:off x="0" y="0"/>
                              <a:ext cx="7425" cy="5060"/>
                            </a:xfrm>
                            <a:custGeom>
                              <a:avLst/>
                              <a:gdLst/>
                              <a:ahLst/>
                              <a:cxnLst/>
                              <a:rect l="0" t="0" r="0" b="0"/>
                              <a:pathLst>
                                <a:path w="7425" h="5060">
                                  <a:moveTo>
                                    <a:pt x="21" y="479"/>
                                  </a:moveTo>
                                  <a:lnTo>
                                    <a:pt x="6" y="479"/>
                                  </a:lnTo>
                                  <a:lnTo>
                                    <a:pt x="8" y="459"/>
                                  </a:lnTo>
                                  <a:lnTo>
                                    <a:pt x="11" y="439"/>
                                  </a:lnTo>
                                  <a:lnTo>
                                    <a:pt x="14" y="419"/>
                                  </a:lnTo>
                                  <a:lnTo>
                                    <a:pt x="32" y="419"/>
                                  </a:lnTo>
                                  <a:lnTo>
                                    <a:pt x="28" y="439"/>
                                  </a:lnTo>
                                  <a:lnTo>
                                    <a:pt x="26" y="439"/>
                                  </a:lnTo>
                                  <a:lnTo>
                                    <a:pt x="23" y="459"/>
                                  </a:lnTo>
                                  <a:lnTo>
                                    <a:pt x="23" y="459"/>
                                  </a:lnTo>
                                  <a:lnTo>
                                    <a:pt x="21" y="479"/>
                                  </a:lnTo>
                                  <a:close/>
                                </a:path>
                              </a:pathLst>
                            </a:custGeom>
                            <a:solidFill>
                              <a:srgbClr val="000000"/>
                            </a:solidFill>
                            <a:ln>
                              <a:noFill/>
                            </a:ln>
                            <a:effectLst/>
                          </wps:spPr>
                          <wps:bodyPr vert="horz" wrap="square" anchor="t" anchorCtr="0" upright="1"/>
                        </wps:wsp>
                        <wps:wsp>
                          <wps:cNvPr id="36" name="任意多边形 36"/>
                          <wps:cNvSpPr/>
                          <wps:spPr>
                            <a:xfrm>
                              <a:off x="0" y="0"/>
                              <a:ext cx="7425" cy="5060"/>
                            </a:xfrm>
                            <a:custGeom>
                              <a:avLst/>
                              <a:gdLst/>
                              <a:ahLst/>
                              <a:cxnLst/>
                              <a:rect l="0" t="0" r="0" b="0"/>
                              <a:pathLst>
                                <a:path w="7425" h="5060">
                                  <a:moveTo>
                                    <a:pt x="7418" y="479"/>
                                  </a:moveTo>
                                  <a:lnTo>
                                    <a:pt x="7403" y="479"/>
                                  </a:lnTo>
                                  <a:lnTo>
                                    <a:pt x="7401" y="459"/>
                                  </a:lnTo>
                                  <a:lnTo>
                                    <a:pt x="7401" y="459"/>
                                  </a:lnTo>
                                  <a:lnTo>
                                    <a:pt x="7398" y="439"/>
                                  </a:lnTo>
                                  <a:lnTo>
                                    <a:pt x="7395" y="439"/>
                                  </a:lnTo>
                                  <a:lnTo>
                                    <a:pt x="7392" y="419"/>
                                  </a:lnTo>
                                  <a:lnTo>
                                    <a:pt x="7410" y="419"/>
                                  </a:lnTo>
                                  <a:lnTo>
                                    <a:pt x="7413" y="439"/>
                                  </a:lnTo>
                                  <a:lnTo>
                                    <a:pt x="7415" y="459"/>
                                  </a:lnTo>
                                  <a:lnTo>
                                    <a:pt x="7418" y="479"/>
                                  </a:lnTo>
                                  <a:close/>
                                </a:path>
                              </a:pathLst>
                            </a:custGeom>
                            <a:solidFill>
                              <a:srgbClr val="000000"/>
                            </a:solidFill>
                            <a:ln>
                              <a:noFill/>
                            </a:ln>
                            <a:effectLst/>
                          </wps:spPr>
                          <wps:bodyPr vert="horz" wrap="square" anchor="t" anchorCtr="0" upright="1"/>
                        </wps:wsp>
                        <wps:wsp>
                          <wps:cNvPr id="37" name="任意多边形 37"/>
                          <wps:cNvSpPr/>
                          <wps:spPr>
                            <a:xfrm>
                              <a:off x="0" y="0"/>
                              <a:ext cx="7425" cy="5060"/>
                            </a:xfrm>
                            <a:custGeom>
                              <a:avLst/>
                              <a:gdLst/>
                              <a:ahLst/>
                              <a:cxnLst/>
                              <a:rect l="0" t="0" r="0" b="0"/>
                              <a:pathLst>
                                <a:path w="7425" h="5060">
                                  <a:moveTo>
                                    <a:pt x="16" y="519"/>
                                  </a:moveTo>
                                  <a:lnTo>
                                    <a:pt x="1" y="519"/>
                                  </a:lnTo>
                                  <a:lnTo>
                                    <a:pt x="2" y="499"/>
                                  </a:lnTo>
                                  <a:lnTo>
                                    <a:pt x="4" y="479"/>
                                  </a:lnTo>
                                  <a:lnTo>
                                    <a:pt x="19" y="479"/>
                                  </a:lnTo>
                                  <a:lnTo>
                                    <a:pt x="17" y="499"/>
                                  </a:lnTo>
                                  <a:lnTo>
                                    <a:pt x="17" y="499"/>
                                  </a:lnTo>
                                  <a:lnTo>
                                    <a:pt x="16" y="519"/>
                                  </a:lnTo>
                                  <a:close/>
                                </a:path>
                              </a:pathLst>
                            </a:custGeom>
                            <a:solidFill>
                              <a:srgbClr val="000000"/>
                            </a:solidFill>
                            <a:ln>
                              <a:noFill/>
                            </a:ln>
                            <a:effectLst/>
                          </wps:spPr>
                          <wps:bodyPr vert="horz" wrap="square" anchor="t" anchorCtr="0" upright="1"/>
                        </wps:wsp>
                        <wps:wsp>
                          <wps:cNvPr id="38" name="任意多边形 38"/>
                          <wps:cNvSpPr/>
                          <wps:spPr>
                            <a:xfrm>
                              <a:off x="0" y="0"/>
                              <a:ext cx="7425" cy="5060"/>
                            </a:xfrm>
                            <a:custGeom>
                              <a:avLst/>
                              <a:gdLst/>
                              <a:ahLst/>
                              <a:cxnLst/>
                              <a:rect l="0" t="0" r="0" b="0"/>
                              <a:pathLst>
                                <a:path w="7425" h="5060">
                                  <a:moveTo>
                                    <a:pt x="7423" y="519"/>
                                  </a:moveTo>
                                  <a:lnTo>
                                    <a:pt x="7408" y="519"/>
                                  </a:lnTo>
                                  <a:lnTo>
                                    <a:pt x="7406" y="499"/>
                                  </a:lnTo>
                                  <a:lnTo>
                                    <a:pt x="7406" y="499"/>
                                  </a:lnTo>
                                  <a:lnTo>
                                    <a:pt x="7405" y="479"/>
                                  </a:lnTo>
                                  <a:lnTo>
                                    <a:pt x="7420" y="479"/>
                                  </a:lnTo>
                                  <a:lnTo>
                                    <a:pt x="7421" y="499"/>
                                  </a:lnTo>
                                  <a:lnTo>
                                    <a:pt x="7423" y="519"/>
                                  </a:lnTo>
                                  <a:close/>
                                </a:path>
                              </a:pathLst>
                            </a:custGeom>
                            <a:solidFill>
                              <a:srgbClr val="000000"/>
                            </a:solidFill>
                            <a:ln>
                              <a:noFill/>
                            </a:ln>
                            <a:effectLst/>
                          </wps:spPr>
                          <wps:bodyPr vert="horz" wrap="square" anchor="t" anchorCtr="0" upright="1"/>
                        </wps:wsp>
                        <wps:wsp>
                          <wps:cNvPr id="39" name="任意多边形 39"/>
                          <wps:cNvSpPr/>
                          <wps:spPr>
                            <a:xfrm>
                              <a:off x="0" y="0"/>
                              <a:ext cx="7425" cy="5060"/>
                            </a:xfrm>
                            <a:custGeom>
                              <a:avLst/>
                              <a:gdLst/>
                              <a:ahLst/>
                              <a:cxnLst/>
                              <a:rect l="0" t="0" r="0" b="0"/>
                              <a:pathLst>
                                <a:path w="7425" h="5060">
                                  <a:moveTo>
                                    <a:pt x="19" y="4559"/>
                                  </a:moveTo>
                                  <a:lnTo>
                                    <a:pt x="2" y="4559"/>
                                  </a:lnTo>
                                  <a:lnTo>
                                    <a:pt x="1" y="4539"/>
                                  </a:lnTo>
                                  <a:lnTo>
                                    <a:pt x="0" y="4519"/>
                                  </a:lnTo>
                                  <a:lnTo>
                                    <a:pt x="0" y="4499"/>
                                  </a:lnTo>
                                  <a:lnTo>
                                    <a:pt x="0" y="539"/>
                                  </a:lnTo>
                                  <a:lnTo>
                                    <a:pt x="0" y="519"/>
                                  </a:lnTo>
                                  <a:lnTo>
                                    <a:pt x="15" y="519"/>
                                  </a:lnTo>
                                  <a:lnTo>
                                    <a:pt x="15" y="539"/>
                                  </a:lnTo>
                                  <a:lnTo>
                                    <a:pt x="15" y="4499"/>
                                  </a:lnTo>
                                  <a:lnTo>
                                    <a:pt x="15" y="4519"/>
                                  </a:lnTo>
                                  <a:lnTo>
                                    <a:pt x="16" y="4539"/>
                                  </a:lnTo>
                                  <a:lnTo>
                                    <a:pt x="17" y="4539"/>
                                  </a:lnTo>
                                  <a:lnTo>
                                    <a:pt x="19" y="4559"/>
                                  </a:lnTo>
                                  <a:close/>
                                </a:path>
                              </a:pathLst>
                            </a:custGeom>
                            <a:solidFill>
                              <a:srgbClr val="000000"/>
                            </a:solidFill>
                            <a:ln>
                              <a:noFill/>
                            </a:ln>
                            <a:effectLst/>
                          </wps:spPr>
                          <wps:bodyPr vert="horz" wrap="square" anchor="t" anchorCtr="0" upright="1"/>
                        </wps:wsp>
                        <wps:wsp>
                          <wps:cNvPr id="40" name="任意多边形 40"/>
                          <wps:cNvSpPr/>
                          <wps:spPr>
                            <a:xfrm>
                              <a:off x="0" y="0"/>
                              <a:ext cx="7425" cy="5060"/>
                            </a:xfrm>
                            <a:custGeom>
                              <a:avLst/>
                              <a:gdLst/>
                              <a:ahLst/>
                              <a:cxnLst/>
                              <a:rect l="0" t="0" r="0" b="0"/>
                              <a:pathLst>
                                <a:path w="7425" h="5060">
                                  <a:moveTo>
                                    <a:pt x="7421" y="4559"/>
                                  </a:moveTo>
                                  <a:lnTo>
                                    <a:pt x="7405" y="4559"/>
                                  </a:lnTo>
                                  <a:lnTo>
                                    <a:pt x="7406" y="4539"/>
                                  </a:lnTo>
                                  <a:lnTo>
                                    <a:pt x="7408" y="4539"/>
                                  </a:lnTo>
                                  <a:lnTo>
                                    <a:pt x="7408" y="4519"/>
                                  </a:lnTo>
                                  <a:lnTo>
                                    <a:pt x="7408" y="4519"/>
                                  </a:lnTo>
                                  <a:lnTo>
                                    <a:pt x="7409" y="4499"/>
                                  </a:lnTo>
                                  <a:lnTo>
                                    <a:pt x="7409" y="539"/>
                                  </a:lnTo>
                                  <a:lnTo>
                                    <a:pt x="7408" y="519"/>
                                  </a:lnTo>
                                  <a:lnTo>
                                    <a:pt x="7423" y="519"/>
                                  </a:lnTo>
                                  <a:lnTo>
                                    <a:pt x="7424" y="539"/>
                                  </a:lnTo>
                                  <a:lnTo>
                                    <a:pt x="7424" y="4499"/>
                                  </a:lnTo>
                                  <a:lnTo>
                                    <a:pt x="7423" y="4519"/>
                                  </a:lnTo>
                                  <a:lnTo>
                                    <a:pt x="7423" y="4539"/>
                                  </a:lnTo>
                                  <a:lnTo>
                                    <a:pt x="7421" y="4559"/>
                                  </a:lnTo>
                                  <a:close/>
                                </a:path>
                              </a:pathLst>
                            </a:custGeom>
                            <a:solidFill>
                              <a:srgbClr val="000000"/>
                            </a:solidFill>
                            <a:ln>
                              <a:noFill/>
                            </a:ln>
                            <a:effectLst/>
                          </wps:spPr>
                          <wps:bodyPr vert="horz" wrap="square" anchor="t" anchorCtr="0" upright="1"/>
                        </wps:wsp>
                        <wps:wsp>
                          <wps:cNvPr id="41" name="任意多边形 41"/>
                          <wps:cNvSpPr/>
                          <wps:spPr>
                            <a:xfrm>
                              <a:off x="0" y="0"/>
                              <a:ext cx="7425" cy="5060"/>
                            </a:xfrm>
                            <a:custGeom>
                              <a:avLst/>
                              <a:gdLst/>
                              <a:ahLst/>
                              <a:cxnLst/>
                              <a:rect l="0" t="0" r="0" b="0"/>
                              <a:pathLst>
                                <a:path w="7425" h="5060">
                                  <a:moveTo>
                                    <a:pt x="23" y="4599"/>
                                  </a:moveTo>
                                  <a:lnTo>
                                    <a:pt x="8" y="4599"/>
                                  </a:lnTo>
                                  <a:lnTo>
                                    <a:pt x="6" y="4579"/>
                                  </a:lnTo>
                                  <a:lnTo>
                                    <a:pt x="4" y="4559"/>
                                  </a:lnTo>
                                  <a:lnTo>
                                    <a:pt x="19" y="4559"/>
                                  </a:lnTo>
                                  <a:lnTo>
                                    <a:pt x="21" y="4579"/>
                                  </a:lnTo>
                                  <a:lnTo>
                                    <a:pt x="21" y="4579"/>
                                  </a:lnTo>
                                  <a:lnTo>
                                    <a:pt x="23" y="4599"/>
                                  </a:lnTo>
                                  <a:close/>
                                </a:path>
                              </a:pathLst>
                            </a:custGeom>
                            <a:solidFill>
                              <a:srgbClr val="000000"/>
                            </a:solidFill>
                            <a:ln>
                              <a:noFill/>
                            </a:ln>
                            <a:effectLst/>
                          </wps:spPr>
                          <wps:bodyPr vert="horz" wrap="square" anchor="t" anchorCtr="0" upright="1"/>
                        </wps:wsp>
                        <wps:wsp>
                          <wps:cNvPr id="42" name="任意多边形 42"/>
                          <wps:cNvSpPr/>
                          <wps:spPr>
                            <a:xfrm>
                              <a:off x="0" y="0"/>
                              <a:ext cx="7425" cy="5060"/>
                            </a:xfrm>
                            <a:custGeom>
                              <a:avLst/>
                              <a:gdLst/>
                              <a:ahLst/>
                              <a:cxnLst/>
                              <a:rect l="0" t="0" r="0" b="0"/>
                              <a:pathLst>
                                <a:path w="7425" h="5060">
                                  <a:moveTo>
                                    <a:pt x="7415" y="4599"/>
                                  </a:moveTo>
                                  <a:lnTo>
                                    <a:pt x="7401" y="4599"/>
                                  </a:lnTo>
                                  <a:lnTo>
                                    <a:pt x="7403" y="4579"/>
                                  </a:lnTo>
                                  <a:lnTo>
                                    <a:pt x="7403" y="4579"/>
                                  </a:lnTo>
                                  <a:lnTo>
                                    <a:pt x="7405" y="4559"/>
                                  </a:lnTo>
                                  <a:lnTo>
                                    <a:pt x="7420" y="4559"/>
                                  </a:lnTo>
                                  <a:lnTo>
                                    <a:pt x="7418" y="4579"/>
                                  </a:lnTo>
                                  <a:lnTo>
                                    <a:pt x="7415" y="4599"/>
                                  </a:lnTo>
                                  <a:close/>
                                </a:path>
                              </a:pathLst>
                            </a:custGeom>
                            <a:solidFill>
                              <a:srgbClr val="000000"/>
                            </a:solidFill>
                            <a:ln>
                              <a:noFill/>
                            </a:ln>
                            <a:effectLst/>
                          </wps:spPr>
                          <wps:bodyPr vert="horz" wrap="square" anchor="t" anchorCtr="0" upright="1"/>
                        </wps:wsp>
                        <wps:wsp>
                          <wps:cNvPr id="43" name="任意多边形 43"/>
                          <wps:cNvSpPr/>
                          <wps:spPr>
                            <a:xfrm>
                              <a:off x="0" y="0"/>
                              <a:ext cx="7425" cy="5060"/>
                            </a:xfrm>
                            <a:custGeom>
                              <a:avLst/>
                              <a:gdLst/>
                              <a:ahLst/>
                              <a:cxnLst/>
                              <a:rect l="0" t="0" r="0" b="0"/>
                              <a:pathLst>
                                <a:path w="7425" h="5060">
                                  <a:moveTo>
                                    <a:pt x="32" y="4639"/>
                                  </a:moveTo>
                                  <a:lnTo>
                                    <a:pt x="17" y="4639"/>
                                  </a:lnTo>
                                  <a:lnTo>
                                    <a:pt x="14" y="4619"/>
                                  </a:lnTo>
                                  <a:lnTo>
                                    <a:pt x="11" y="4599"/>
                                  </a:lnTo>
                                  <a:lnTo>
                                    <a:pt x="26" y="4599"/>
                                  </a:lnTo>
                                  <a:lnTo>
                                    <a:pt x="29" y="4619"/>
                                  </a:lnTo>
                                  <a:lnTo>
                                    <a:pt x="28" y="4619"/>
                                  </a:lnTo>
                                  <a:lnTo>
                                    <a:pt x="32" y="4639"/>
                                  </a:lnTo>
                                  <a:close/>
                                </a:path>
                              </a:pathLst>
                            </a:custGeom>
                            <a:solidFill>
                              <a:srgbClr val="000000"/>
                            </a:solidFill>
                            <a:ln>
                              <a:noFill/>
                            </a:ln>
                            <a:effectLst/>
                          </wps:spPr>
                          <wps:bodyPr vert="horz" wrap="square" anchor="t" anchorCtr="0" upright="1"/>
                        </wps:wsp>
                        <wps:wsp>
                          <wps:cNvPr id="44" name="任意多边形 44"/>
                          <wps:cNvSpPr/>
                          <wps:spPr>
                            <a:xfrm>
                              <a:off x="0" y="0"/>
                              <a:ext cx="7425" cy="5060"/>
                            </a:xfrm>
                            <a:custGeom>
                              <a:avLst/>
                              <a:gdLst/>
                              <a:ahLst/>
                              <a:cxnLst/>
                              <a:rect l="0" t="0" r="0" b="0"/>
                              <a:pathLst>
                                <a:path w="7425" h="5060">
                                  <a:moveTo>
                                    <a:pt x="7406" y="4639"/>
                                  </a:moveTo>
                                  <a:lnTo>
                                    <a:pt x="7392" y="4639"/>
                                  </a:lnTo>
                                  <a:lnTo>
                                    <a:pt x="7395" y="4619"/>
                                  </a:lnTo>
                                  <a:lnTo>
                                    <a:pt x="7395" y="4619"/>
                                  </a:lnTo>
                                  <a:lnTo>
                                    <a:pt x="7398" y="4599"/>
                                  </a:lnTo>
                                  <a:lnTo>
                                    <a:pt x="7413" y="4599"/>
                                  </a:lnTo>
                                  <a:lnTo>
                                    <a:pt x="7410" y="4619"/>
                                  </a:lnTo>
                                  <a:lnTo>
                                    <a:pt x="7406" y="4639"/>
                                  </a:lnTo>
                                  <a:close/>
                                </a:path>
                              </a:pathLst>
                            </a:custGeom>
                            <a:solidFill>
                              <a:srgbClr val="000000"/>
                            </a:solidFill>
                            <a:ln>
                              <a:noFill/>
                            </a:ln>
                            <a:effectLst/>
                          </wps:spPr>
                          <wps:bodyPr vert="horz" wrap="square" anchor="t" anchorCtr="0" upright="1"/>
                        </wps:wsp>
                        <wps:wsp>
                          <wps:cNvPr id="45" name="任意多边形 45"/>
                          <wps:cNvSpPr/>
                          <wps:spPr>
                            <a:xfrm>
                              <a:off x="0" y="0"/>
                              <a:ext cx="7425" cy="5060"/>
                            </a:xfrm>
                            <a:custGeom>
                              <a:avLst/>
                              <a:gdLst/>
                              <a:ahLst/>
                              <a:cxnLst/>
                              <a:rect l="0" t="0" r="0" b="0"/>
                              <a:pathLst>
                                <a:path w="7425" h="5060">
                                  <a:moveTo>
                                    <a:pt x="43" y="4679"/>
                                  </a:moveTo>
                                  <a:lnTo>
                                    <a:pt x="29" y="4679"/>
                                  </a:lnTo>
                                  <a:lnTo>
                                    <a:pt x="25" y="4659"/>
                                  </a:lnTo>
                                  <a:lnTo>
                                    <a:pt x="21" y="4639"/>
                                  </a:lnTo>
                                  <a:lnTo>
                                    <a:pt x="35" y="4639"/>
                                  </a:lnTo>
                                  <a:lnTo>
                                    <a:pt x="39" y="4659"/>
                                  </a:lnTo>
                                  <a:lnTo>
                                    <a:pt x="39" y="4659"/>
                                  </a:lnTo>
                                  <a:lnTo>
                                    <a:pt x="43" y="4679"/>
                                  </a:lnTo>
                                  <a:close/>
                                </a:path>
                              </a:pathLst>
                            </a:custGeom>
                            <a:solidFill>
                              <a:srgbClr val="000000"/>
                            </a:solidFill>
                            <a:ln>
                              <a:noFill/>
                            </a:ln>
                            <a:effectLst/>
                          </wps:spPr>
                          <wps:bodyPr vert="horz" wrap="square" anchor="t" anchorCtr="0" upright="1"/>
                        </wps:wsp>
                        <wps:wsp>
                          <wps:cNvPr id="46" name="任意多边形 46"/>
                          <wps:cNvSpPr/>
                          <wps:spPr>
                            <a:xfrm>
                              <a:off x="0" y="0"/>
                              <a:ext cx="7425" cy="5060"/>
                            </a:xfrm>
                            <a:custGeom>
                              <a:avLst/>
                              <a:gdLst/>
                              <a:ahLst/>
                              <a:cxnLst/>
                              <a:rect l="0" t="0" r="0" b="0"/>
                              <a:pathLst>
                                <a:path w="7425" h="5060">
                                  <a:moveTo>
                                    <a:pt x="7394" y="4679"/>
                                  </a:moveTo>
                                  <a:lnTo>
                                    <a:pt x="7380" y="4679"/>
                                  </a:lnTo>
                                  <a:lnTo>
                                    <a:pt x="7384" y="4659"/>
                                  </a:lnTo>
                                  <a:lnTo>
                                    <a:pt x="7384" y="4659"/>
                                  </a:lnTo>
                                  <a:lnTo>
                                    <a:pt x="7388" y="4639"/>
                                  </a:lnTo>
                                  <a:lnTo>
                                    <a:pt x="7403" y="4639"/>
                                  </a:lnTo>
                                  <a:lnTo>
                                    <a:pt x="7399" y="4659"/>
                                  </a:lnTo>
                                  <a:lnTo>
                                    <a:pt x="7394" y="4679"/>
                                  </a:lnTo>
                                  <a:close/>
                                </a:path>
                              </a:pathLst>
                            </a:custGeom>
                            <a:solidFill>
                              <a:srgbClr val="000000"/>
                            </a:solidFill>
                            <a:ln>
                              <a:noFill/>
                            </a:ln>
                            <a:effectLst/>
                          </wps:spPr>
                          <wps:bodyPr vert="horz" wrap="square" anchor="t" anchorCtr="0" upright="1"/>
                        </wps:wsp>
                        <wps:wsp>
                          <wps:cNvPr id="47" name="任意多边形 47"/>
                          <wps:cNvSpPr/>
                          <wps:spPr>
                            <a:xfrm>
                              <a:off x="0" y="0"/>
                              <a:ext cx="7425" cy="5060"/>
                            </a:xfrm>
                            <a:custGeom>
                              <a:avLst/>
                              <a:gdLst/>
                              <a:ahLst/>
                              <a:cxnLst/>
                              <a:rect l="0" t="0" r="0" b="0"/>
                              <a:pathLst>
                                <a:path w="7425" h="5060">
                                  <a:moveTo>
                                    <a:pt x="48" y="4679"/>
                                  </a:moveTo>
                                  <a:lnTo>
                                    <a:pt x="43" y="4679"/>
                                  </a:lnTo>
                                  <a:lnTo>
                                    <a:pt x="43" y="4659"/>
                                  </a:lnTo>
                                  <a:lnTo>
                                    <a:pt x="48" y="4679"/>
                                  </a:lnTo>
                                  <a:close/>
                                </a:path>
                              </a:pathLst>
                            </a:custGeom>
                            <a:solidFill>
                              <a:srgbClr val="000000"/>
                            </a:solidFill>
                            <a:ln>
                              <a:noFill/>
                            </a:ln>
                            <a:effectLst/>
                          </wps:spPr>
                          <wps:bodyPr vert="horz" wrap="square" anchor="t" anchorCtr="0" upright="1"/>
                        </wps:wsp>
                        <wps:wsp>
                          <wps:cNvPr id="48" name="任意多边形 48"/>
                          <wps:cNvSpPr/>
                          <wps:spPr>
                            <a:xfrm>
                              <a:off x="0" y="0"/>
                              <a:ext cx="7425" cy="5060"/>
                            </a:xfrm>
                            <a:custGeom>
                              <a:avLst/>
                              <a:gdLst/>
                              <a:ahLst/>
                              <a:cxnLst/>
                              <a:rect l="0" t="0" r="0" b="0"/>
                              <a:pathLst>
                                <a:path w="7425" h="5060">
                                  <a:moveTo>
                                    <a:pt x="7380" y="4679"/>
                                  </a:moveTo>
                                  <a:lnTo>
                                    <a:pt x="7376" y="4679"/>
                                  </a:lnTo>
                                  <a:lnTo>
                                    <a:pt x="7380" y="4659"/>
                                  </a:lnTo>
                                  <a:lnTo>
                                    <a:pt x="7380" y="4679"/>
                                  </a:lnTo>
                                  <a:close/>
                                </a:path>
                              </a:pathLst>
                            </a:custGeom>
                            <a:solidFill>
                              <a:srgbClr val="000000"/>
                            </a:solidFill>
                            <a:ln>
                              <a:noFill/>
                            </a:ln>
                            <a:effectLst/>
                          </wps:spPr>
                          <wps:bodyPr vert="horz" wrap="square" anchor="t" anchorCtr="0" upright="1"/>
                        </wps:wsp>
                        <wps:wsp>
                          <wps:cNvPr id="49" name="任意多边形 49"/>
                          <wps:cNvSpPr/>
                          <wps:spPr>
                            <a:xfrm>
                              <a:off x="0" y="0"/>
                              <a:ext cx="7425" cy="5060"/>
                            </a:xfrm>
                            <a:custGeom>
                              <a:avLst/>
                              <a:gdLst/>
                              <a:ahLst/>
                              <a:cxnLst/>
                              <a:rect l="0" t="0" r="0" b="0"/>
                              <a:pathLst>
                                <a:path w="7425" h="5060">
                                  <a:moveTo>
                                    <a:pt x="63" y="4719"/>
                                  </a:moveTo>
                                  <a:lnTo>
                                    <a:pt x="44" y="4719"/>
                                  </a:lnTo>
                                  <a:lnTo>
                                    <a:pt x="39" y="4699"/>
                                  </a:lnTo>
                                  <a:lnTo>
                                    <a:pt x="34" y="4679"/>
                                  </a:lnTo>
                                  <a:lnTo>
                                    <a:pt x="48" y="4679"/>
                                  </a:lnTo>
                                  <a:lnTo>
                                    <a:pt x="53" y="4699"/>
                                  </a:lnTo>
                                  <a:lnTo>
                                    <a:pt x="58" y="4699"/>
                                  </a:lnTo>
                                  <a:lnTo>
                                    <a:pt x="63" y="4719"/>
                                  </a:lnTo>
                                  <a:close/>
                                </a:path>
                              </a:pathLst>
                            </a:custGeom>
                            <a:solidFill>
                              <a:srgbClr val="000000"/>
                            </a:solidFill>
                            <a:ln>
                              <a:noFill/>
                            </a:ln>
                            <a:effectLst/>
                          </wps:spPr>
                          <wps:bodyPr vert="horz" wrap="square" anchor="t" anchorCtr="0" upright="1"/>
                        </wps:wsp>
                        <wps:wsp>
                          <wps:cNvPr id="50" name="任意多边形 50"/>
                          <wps:cNvSpPr/>
                          <wps:spPr>
                            <a:xfrm>
                              <a:off x="0" y="0"/>
                              <a:ext cx="7425" cy="5060"/>
                            </a:xfrm>
                            <a:custGeom>
                              <a:avLst/>
                              <a:gdLst/>
                              <a:ahLst/>
                              <a:cxnLst/>
                              <a:rect l="0" t="0" r="0" b="0"/>
                              <a:pathLst>
                                <a:path w="7425" h="5060">
                                  <a:moveTo>
                                    <a:pt x="7380" y="4719"/>
                                  </a:moveTo>
                                  <a:lnTo>
                                    <a:pt x="7360" y="4719"/>
                                  </a:lnTo>
                                  <a:lnTo>
                                    <a:pt x="7366" y="4699"/>
                                  </a:lnTo>
                                  <a:lnTo>
                                    <a:pt x="7371" y="4699"/>
                                  </a:lnTo>
                                  <a:lnTo>
                                    <a:pt x="7376" y="4679"/>
                                  </a:lnTo>
                                  <a:lnTo>
                                    <a:pt x="7390" y="4679"/>
                                  </a:lnTo>
                                  <a:lnTo>
                                    <a:pt x="7385" y="4699"/>
                                  </a:lnTo>
                                  <a:lnTo>
                                    <a:pt x="7380" y="4719"/>
                                  </a:lnTo>
                                  <a:close/>
                                </a:path>
                              </a:pathLst>
                            </a:custGeom>
                            <a:solidFill>
                              <a:srgbClr val="000000"/>
                            </a:solidFill>
                            <a:ln>
                              <a:noFill/>
                            </a:ln>
                            <a:effectLst/>
                          </wps:spPr>
                          <wps:bodyPr vert="horz" wrap="square" anchor="t" anchorCtr="0" upright="1"/>
                        </wps:wsp>
                        <wps:wsp>
                          <wps:cNvPr id="51" name="任意多边形 51"/>
                          <wps:cNvSpPr/>
                          <wps:spPr>
                            <a:xfrm>
                              <a:off x="0" y="0"/>
                              <a:ext cx="7425" cy="5060"/>
                            </a:xfrm>
                            <a:custGeom>
                              <a:avLst/>
                              <a:gdLst/>
                              <a:ahLst/>
                              <a:cxnLst/>
                              <a:rect l="0" t="0" r="0" b="0"/>
                              <a:pathLst>
                                <a:path w="7425" h="5060">
                                  <a:moveTo>
                                    <a:pt x="81" y="4759"/>
                                  </a:moveTo>
                                  <a:lnTo>
                                    <a:pt x="62" y="4759"/>
                                  </a:lnTo>
                                  <a:lnTo>
                                    <a:pt x="55" y="4739"/>
                                  </a:lnTo>
                                  <a:lnTo>
                                    <a:pt x="50" y="4719"/>
                                  </a:lnTo>
                                  <a:lnTo>
                                    <a:pt x="63" y="4719"/>
                                  </a:lnTo>
                                  <a:lnTo>
                                    <a:pt x="69" y="4739"/>
                                  </a:lnTo>
                                  <a:lnTo>
                                    <a:pt x="75" y="4739"/>
                                  </a:lnTo>
                                  <a:lnTo>
                                    <a:pt x="81" y="4759"/>
                                  </a:lnTo>
                                  <a:close/>
                                </a:path>
                              </a:pathLst>
                            </a:custGeom>
                            <a:solidFill>
                              <a:srgbClr val="000000"/>
                            </a:solidFill>
                            <a:ln>
                              <a:noFill/>
                            </a:ln>
                            <a:effectLst/>
                          </wps:spPr>
                          <wps:bodyPr vert="horz" wrap="square" anchor="t" anchorCtr="0" upright="1"/>
                        </wps:wsp>
                        <wps:wsp>
                          <wps:cNvPr id="52" name="任意多边形 52"/>
                          <wps:cNvSpPr/>
                          <wps:spPr>
                            <a:xfrm>
                              <a:off x="0" y="0"/>
                              <a:ext cx="7425" cy="5060"/>
                            </a:xfrm>
                            <a:custGeom>
                              <a:avLst/>
                              <a:gdLst/>
                              <a:ahLst/>
                              <a:cxnLst/>
                              <a:rect l="0" t="0" r="0" b="0"/>
                              <a:pathLst>
                                <a:path w="7425" h="5060">
                                  <a:moveTo>
                                    <a:pt x="7362" y="4759"/>
                                  </a:moveTo>
                                  <a:lnTo>
                                    <a:pt x="7342" y="4759"/>
                                  </a:lnTo>
                                  <a:lnTo>
                                    <a:pt x="7349" y="4739"/>
                                  </a:lnTo>
                                  <a:lnTo>
                                    <a:pt x="7355" y="4739"/>
                                  </a:lnTo>
                                  <a:lnTo>
                                    <a:pt x="7360" y="4719"/>
                                  </a:lnTo>
                                  <a:lnTo>
                                    <a:pt x="7374" y="4719"/>
                                  </a:lnTo>
                                  <a:lnTo>
                                    <a:pt x="7368" y="4739"/>
                                  </a:lnTo>
                                  <a:lnTo>
                                    <a:pt x="7362" y="4759"/>
                                  </a:lnTo>
                                  <a:close/>
                                </a:path>
                              </a:pathLst>
                            </a:custGeom>
                            <a:solidFill>
                              <a:srgbClr val="000000"/>
                            </a:solidFill>
                            <a:ln>
                              <a:noFill/>
                            </a:ln>
                            <a:effectLst/>
                          </wps:spPr>
                          <wps:bodyPr vert="horz" wrap="square" anchor="t" anchorCtr="0" upright="1"/>
                        </wps:wsp>
                        <wps:wsp>
                          <wps:cNvPr id="53" name="任意多边形 53"/>
                          <wps:cNvSpPr/>
                          <wps:spPr>
                            <a:xfrm>
                              <a:off x="0" y="0"/>
                              <a:ext cx="7425" cy="5060"/>
                            </a:xfrm>
                            <a:custGeom>
                              <a:avLst/>
                              <a:gdLst/>
                              <a:ahLst/>
                              <a:cxnLst/>
                              <a:rect l="0" t="0" r="0" b="0"/>
                              <a:pathLst>
                                <a:path w="7425" h="5060">
                                  <a:moveTo>
                                    <a:pt x="94" y="4779"/>
                                  </a:moveTo>
                                  <a:lnTo>
                                    <a:pt x="75" y="4779"/>
                                  </a:lnTo>
                                  <a:lnTo>
                                    <a:pt x="68" y="4759"/>
                                  </a:lnTo>
                                  <a:lnTo>
                                    <a:pt x="88" y="4759"/>
                                  </a:lnTo>
                                  <a:lnTo>
                                    <a:pt x="94" y="4779"/>
                                  </a:lnTo>
                                  <a:close/>
                                </a:path>
                              </a:pathLst>
                            </a:custGeom>
                            <a:solidFill>
                              <a:srgbClr val="000000"/>
                            </a:solidFill>
                            <a:ln>
                              <a:noFill/>
                            </a:ln>
                            <a:effectLst/>
                          </wps:spPr>
                          <wps:bodyPr vert="horz" wrap="square" anchor="t" anchorCtr="0" upright="1"/>
                        </wps:wsp>
                        <wps:wsp>
                          <wps:cNvPr id="54" name="任意多边形 54"/>
                          <wps:cNvSpPr/>
                          <wps:spPr>
                            <a:xfrm>
                              <a:off x="0" y="0"/>
                              <a:ext cx="7425" cy="5060"/>
                            </a:xfrm>
                            <a:custGeom>
                              <a:avLst/>
                              <a:gdLst/>
                              <a:ahLst/>
                              <a:cxnLst/>
                              <a:rect l="0" t="0" r="0" b="0"/>
                              <a:pathLst>
                                <a:path w="7425" h="5060">
                                  <a:moveTo>
                                    <a:pt x="7349" y="4779"/>
                                  </a:moveTo>
                                  <a:lnTo>
                                    <a:pt x="7329" y="4779"/>
                                  </a:lnTo>
                                  <a:lnTo>
                                    <a:pt x="7336" y="4759"/>
                                  </a:lnTo>
                                  <a:lnTo>
                                    <a:pt x="7356" y="4759"/>
                                  </a:lnTo>
                                  <a:lnTo>
                                    <a:pt x="7349" y="4779"/>
                                  </a:lnTo>
                                  <a:close/>
                                </a:path>
                              </a:pathLst>
                            </a:custGeom>
                            <a:solidFill>
                              <a:srgbClr val="000000"/>
                            </a:solidFill>
                            <a:ln>
                              <a:noFill/>
                            </a:ln>
                            <a:effectLst/>
                          </wps:spPr>
                          <wps:bodyPr vert="horz" wrap="square" anchor="t" anchorCtr="0" upright="1"/>
                        </wps:wsp>
                        <wps:wsp>
                          <wps:cNvPr id="55" name="任意多边形 55"/>
                          <wps:cNvSpPr/>
                          <wps:spPr>
                            <a:xfrm>
                              <a:off x="0" y="0"/>
                              <a:ext cx="7425" cy="5060"/>
                            </a:xfrm>
                            <a:custGeom>
                              <a:avLst/>
                              <a:gdLst/>
                              <a:ahLst/>
                              <a:cxnLst/>
                              <a:rect l="0" t="0" r="0" b="0"/>
                              <a:pathLst>
                                <a:path w="7425" h="5060">
                                  <a:moveTo>
                                    <a:pt x="116" y="4819"/>
                                  </a:moveTo>
                                  <a:lnTo>
                                    <a:pt x="96" y="4819"/>
                                  </a:lnTo>
                                  <a:lnTo>
                                    <a:pt x="89" y="4799"/>
                                  </a:lnTo>
                                  <a:lnTo>
                                    <a:pt x="82" y="4779"/>
                                  </a:lnTo>
                                  <a:lnTo>
                                    <a:pt x="94" y="4779"/>
                                  </a:lnTo>
                                  <a:lnTo>
                                    <a:pt x="102" y="4799"/>
                                  </a:lnTo>
                                  <a:lnTo>
                                    <a:pt x="109" y="4799"/>
                                  </a:lnTo>
                                  <a:lnTo>
                                    <a:pt x="116" y="4819"/>
                                  </a:lnTo>
                                  <a:close/>
                                </a:path>
                              </a:pathLst>
                            </a:custGeom>
                            <a:solidFill>
                              <a:srgbClr val="000000"/>
                            </a:solidFill>
                            <a:ln>
                              <a:noFill/>
                            </a:ln>
                            <a:effectLst/>
                          </wps:spPr>
                          <wps:bodyPr vert="horz" wrap="square" anchor="t" anchorCtr="0" upright="1"/>
                        </wps:wsp>
                        <wps:wsp>
                          <wps:cNvPr id="56" name="任意多边形 56"/>
                          <wps:cNvSpPr/>
                          <wps:spPr>
                            <a:xfrm>
                              <a:off x="0" y="0"/>
                              <a:ext cx="7425" cy="5060"/>
                            </a:xfrm>
                            <a:custGeom>
                              <a:avLst/>
                              <a:gdLst/>
                              <a:ahLst/>
                              <a:cxnLst/>
                              <a:rect l="0" t="0" r="0" b="0"/>
                              <a:pathLst>
                                <a:path w="7425" h="5060">
                                  <a:moveTo>
                                    <a:pt x="7327" y="4819"/>
                                  </a:moveTo>
                                  <a:lnTo>
                                    <a:pt x="7307" y="4819"/>
                                  </a:lnTo>
                                  <a:lnTo>
                                    <a:pt x="7315" y="4799"/>
                                  </a:lnTo>
                                  <a:lnTo>
                                    <a:pt x="7322" y="4799"/>
                                  </a:lnTo>
                                  <a:lnTo>
                                    <a:pt x="7329" y="4779"/>
                                  </a:lnTo>
                                  <a:lnTo>
                                    <a:pt x="7342" y="4779"/>
                                  </a:lnTo>
                                  <a:lnTo>
                                    <a:pt x="7335" y="4799"/>
                                  </a:lnTo>
                                  <a:lnTo>
                                    <a:pt x="7327" y="4819"/>
                                  </a:lnTo>
                                  <a:close/>
                                </a:path>
                              </a:pathLst>
                            </a:custGeom>
                            <a:solidFill>
                              <a:srgbClr val="000000"/>
                            </a:solidFill>
                            <a:ln>
                              <a:noFill/>
                            </a:ln>
                            <a:effectLst/>
                          </wps:spPr>
                          <wps:bodyPr vert="horz" wrap="square" anchor="t" anchorCtr="0" upright="1"/>
                        </wps:wsp>
                        <wps:wsp>
                          <wps:cNvPr id="57" name="任意多边形 57"/>
                          <wps:cNvSpPr/>
                          <wps:spPr>
                            <a:xfrm>
                              <a:off x="0" y="0"/>
                              <a:ext cx="7425" cy="5060"/>
                            </a:xfrm>
                            <a:custGeom>
                              <a:avLst/>
                              <a:gdLst/>
                              <a:ahLst/>
                              <a:cxnLst/>
                              <a:rect l="0" t="0" r="0" b="0"/>
                              <a:pathLst>
                                <a:path w="7425" h="5060">
                                  <a:moveTo>
                                    <a:pt x="132" y="4839"/>
                                  </a:moveTo>
                                  <a:lnTo>
                                    <a:pt x="112" y="4839"/>
                                  </a:lnTo>
                                  <a:lnTo>
                                    <a:pt x="104" y="4819"/>
                                  </a:lnTo>
                                  <a:lnTo>
                                    <a:pt x="124" y="4819"/>
                                  </a:lnTo>
                                  <a:lnTo>
                                    <a:pt x="132" y="4839"/>
                                  </a:lnTo>
                                  <a:close/>
                                </a:path>
                              </a:pathLst>
                            </a:custGeom>
                            <a:solidFill>
                              <a:srgbClr val="000000"/>
                            </a:solidFill>
                            <a:ln>
                              <a:noFill/>
                            </a:ln>
                            <a:effectLst/>
                          </wps:spPr>
                          <wps:bodyPr vert="horz" wrap="square" anchor="t" anchorCtr="0" upright="1"/>
                        </wps:wsp>
                        <wps:wsp>
                          <wps:cNvPr id="58" name="任意多边形 58"/>
                          <wps:cNvSpPr/>
                          <wps:spPr>
                            <a:xfrm>
                              <a:off x="0" y="0"/>
                              <a:ext cx="7425" cy="5060"/>
                            </a:xfrm>
                            <a:custGeom>
                              <a:avLst/>
                              <a:gdLst/>
                              <a:ahLst/>
                              <a:cxnLst/>
                              <a:rect l="0" t="0" r="0" b="0"/>
                              <a:pathLst>
                                <a:path w="7425" h="5060">
                                  <a:moveTo>
                                    <a:pt x="7311" y="4839"/>
                                  </a:moveTo>
                                  <a:lnTo>
                                    <a:pt x="7291" y="4839"/>
                                  </a:lnTo>
                                  <a:lnTo>
                                    <a:pt x="7299" y="4819"/>
                                  </a:lnTo>
                                  <a:lnTo>
                                    <a:pt x="7319" y="4819"/>
                                  </a:lnTo>
                                  <a:lnTo>
                                    <a:pt x="7311" y="4839"/>
                                  </a:lnTo>
                                  <a:close/>
                                </a:path>
                              </a:pathLst>
                            </a:custGeom>
                            <a:solidFill>
                              <a:srgbClr val="000000"/>
                            </a:solidFill>
                            <a:ln>
                              <a:noFill/>
                            </a:ln>
                            <a:effectLst/>
                          </wps:spPr>
                          <wps:bodyPr vert="horz" wrap="square" anchor="t" anchorCtr="0" upright="1"/>
                        </wps:wsp>
                        <wps:wsp>
                          <wps:cNvPr id="59" name="任意多边形 59"/>
                          <wps:cNvSpPr/>
                          <wps:spPr>
                            <a:xfrm>
                              <a:off x="0" y="0"/>
                              <a:ext cx="7425" cy="5060"/>
                            </a:xfrm>
                            <a:custGeom>
                              <a:avLst/>
                              <a:gdLst/>
                              <a:ahLst/>
                              <a:cxnLst/>
                              <a:rect l="0" t="0" r="0" b="0"/>
                              <a:pathLst>
                                <a:path w="7425" h="5060">
                                  <a:moveTo>
                                    <a:pt x="149" y="4859"/>
                                  </a:moveTo>
                                  <a:lnTo>
                                    <a:pt x="129" y="4859"/>
                                  </a:lnTo>
                                  <a:lnTo>
                                    <a:pt x="121" y="4839"/>
                                  </a:lnTo>
                                  <a:lnTo>
                                    <a:pt x="141" y="4839"/>
                                  </a:lnTo>
                                  <a:lnTo>
                                    <a:pt x="149" y="4859"/>
                                  </a:lnTo>
                                  <a:close/>
                                </a:path>
                              </a:pathLst>
                            </a:custGeom>
                            <a:solidFill>
                              <a:srgbClr val="000000"/>
                            </a:solidFill>
                            <a:ln>
                              <a:noFill/>
                            </a:ln>
                            <a:effectLst/>
                          </wps:spPr>
                          <wps:bodyPr vert="horz" wrap="square" anchor="t" anchorCtr="0" upright="1"/>
                        </wps:wsp>
                        <wps:wsp>
                          <wps:cNvPr id="60" name="任意多边形 60"/>
                          <wps:cNvSpPr/>
                          <wps:spPr>
                            <a:xfrm>
                              <a:off x="0" y="0"/>
                              <a:ext cx="7425" cy="5060"/>
                            </a:xfrm>
                            <a:custGeom>
                              <a:avLst/>
                              <a:gdLst/>
                              <a:ahLst/>
                              <a:cxnLst/>
                              <a:rect l="0" t="0" r="0" b="0"/>
                              <a:pathLst>
                                <a:path w="7425" h="5060">
                                  <a:moveTo>
                                    <a:pt x="7294" y="4859"/>
                                  </a:moveTo>
                                  <a:lnTo>
                                    <a:pt x="7274" y="4859"/>
                                  </a:lnTo>
                                  <a:lnTo>
                                    <a:pt x="7283" y="4839"/>
                                  </a:lnTo>
                                  <a:lnTo>
                                    <a:pt x="7303" y="4839"/>
                                  </a:lnTo>
                                  <a:lnTo>
                                    <a:pt x="7294" y="4859"/>
                                  </a:lnTo>
                                  <a:close/>
                                </a:path>
                              </a:pathLst>
                            </a:custGeom>
                            <a:solidFill>
                              <a:srgbClr val="000000"/>
                            </a:solidFill>
                            <a:ln>
                              <a:noFill/>
                            </a:ln>
                            <a:effectLst/>
                          </wps:spPr>
                          <wps:bodyPr vert="horz" wrap="square" anchor="t" anchorCtr="0" upright="1"/>
                        </wps:wsp>
                        <wps:wsp>
                          <wps:cNvPr id="61" name="任意多边形 61"/>
                          <wps:cNvSpPr/>
                          <wps:spPr>
                            <a:xfrm>
                              <a:off x="0" y="0"/>
                              <a:ext cx="7425" cy="5060"/>
                            </a:xfrm>
                            <a:custGeom>
                              <a:avLst/>
                              <a:gdLst/>
                              <a:ahLst/>
                              <a:cxnLst/>
                              <a:rect l="0" t="0" r="0" b="0"/>
                              <a:pathLst>
                                <a:path w="7425" h="5060">
                                  <a:moveTo>
                                    <a:pt x="167" y="4879"/>
                                  </a:moveTo>
                                  <a:lnTo>
                                    <a:pt x="147" y="4879"/>
                                  </a:lnTo>
                                  <a:lnTo>
                                    <a:pt x="138" y="4859"/>
                                  </a:lnTo>
                                  <a:lnTo>
                                    <a:pt x="158" y="4859"/>
                                  </a:lnTo>
                                  <a:lnTo>
                                    <a:pt x="167" y="4879"/>
                                  </a:lnTo>
                                  <a:close/>
                                </a:path>
                              </a:pathLst>
                            </a:custGeom>
                            <a:solidFill>
                              <a:srgbClr val="000000"/>
                            </a:solidFill>
                            <a:ln>
                              <a:noFill/>
                            </a:ln>
                            <a:effectLst/>
                          </wps:spPr>
                          <wps:bodyPr vert="horz" wrap="square" anchor="t" anchorCtr="0" upright="1"/>
                        </wps:wsp>
                        <wps:wsp>
                          <wps:cNvPr id="62" name="任意多边形 62"/>
                          <wps:cNvSpPr/>
                          <wps:spPr>
                            <a:xfrm>
                              <a:off x="0" y="0"/>
                              <a:ext cx="7425" cy="5060"/>
                            </a:xfrm>
                            <a:custGeom>
                              <a:avLst/>
                              <a:gdLst/>
                              <a:ahLst/>
                              <a:cxnLst/>
                              <a:rect l="0" t="0" r="0" b="0"/>
                              <a:pathLst>
                                <a:path w="7425" h="5060">
                                  <a:moveTo>
                                    <a:pt x="7277" y="4879"/>
                                  </a:moveTo>
                                  <a:lnTo>
                                    <a:pt x="7256" y="4879"/>
                                  </a:lnTo>
                                  <a:lnTo>
                                    <a:pt x="7265" y="4859"/>
                                  </a:lnTo>
                                  <a:lnTo>
                                    <a:pt x="7286" y="4859"/>
                                  </a:lnTo>
                                  <a:lnTo>
                                    <a:pt x="7277" y="4879"/>
                                  </a:lnTo>
                                  <a:close/>
                                </a:path>
                              </a:pathLst>
                            </a:custGeom>
                            <a:solidFill>
                              <a:srgbClr val="000000"/>
                            </a:solidFill>
                            <a:ln>
                              <a:noFill/>
                            </a:ln>
                            <a:effectLst/>
                          </wps:spPr>
                          <wps:bodyPr vert="horz" wrap="square" anchor="t" anchorCtr="0" upright="1"/>
                        </wps:wsp>
                        <wps:wsp>
                          <wps:cNvPr id="63" name="任意多边形 63"/>
                          <wps:cNvSpPr/>
                          <wps:spPr>
                            <a:xfrm>
                              <a:off x="0" y="0"/>
                              <a:ext cx="7425" cy="5060"/>
                            </a:xfrm>
                            <a:custGeom>
                              <a:avLst/>
                              <a:gdLst/>
                              <a:ahLst/>
                              <a:cxnLst/>
                              <a:rect l="0" t="0" r="0" b="0"/>
                              <a:pathLst>
                                <a:path w="7425" h="5060">
                                  <a:moveTo>
                                    <a:pt x="186" y="4899"/>
                                  </a:moveTo>
                                  <a:lnTo>
                                    <a:pt x="166" y="4899"/>
                                  </a:lnTo>
                                  <a:lnTo>
                                    <a:pt x="156" y="4879"/>
                                  </a:lnTo>
                                  <a:lnTo>
                                    <a:pt x="176" y="4879"/>
                                  </a:lnTo>
                                  <a:lnTo>
                                    <a:pt x="186" y="4899"/>
                                  </a:lnTo>
                                  <a:close/>
                                </a:path>
                              </a:pathLst>
                            </a:custGeom>
                            <a:solidFill>
                              <a:srgbClr val="000000"/>
                            </a:solidFill>
                            <a:ln>
                              <a:noFill/>
                            </a:ln>
                            <a:effectLst/>
                          </wps:spPr>
                          <wps:bodyPr vert="horz" wrap="square" anchor="t" anchorCtr="0" upright="1"/>
                        </wps:wsp>
                        <wps:wsp>
                          <wps:cNvPr id="64" name="任意多边形 64"/>
                          <wps:cNvSpPr/>
                          <wps:spPr>
                            <a:xfrm>
                              <a:off x="0" y="0"/>
                              <a:ext cx="7425" cy="5060"/>
                            </a:xfrm>
                            <a:custGeom>
                              <a:avLst/>
                              <a:gdLst/>
                              <a:ahLst/>
                              <a:cxnLst/>
                              <a:rect l="0" t="0" r="0" b="0"/>
                              <a:pathLst>
                                <a:path w="7425" h="5060">
                                  <a:moveTo>
                                    <a:pt x="7258" y="4899"/>
                                  </a:moveTo>
                                  <a:lnTo>
                                    <a:pt x="7238" y="4899"/>
                                  </a:lnTo>
                                  <a:lnTo>
                                    <a:pt x="7247" y="4879"/>
                                  </a:lnTo>
                                  <a:lnTo>
                                    <a:pt x="7267" y="4879"/>
                                  </a:lnTo>
                                  <a:lnTo>
                                    <a:pt x="7258" y="4899"/>
                                  </a:lnTo>
                                  <a:close/>
                                </a:path>
                              </a:pathLst>
                            </a:custGeom>
                            <a:solidFill>
                              <a:srgbClr val="000000"/>
                            </a:solidFill>
                            <a:ln>
                              <a:noFill/>
                            </a:ln>
                            <a:effectLst/>
                          </wps:spPr>
                          <wps:bodyPr vert="horz" wrap="square" anchor="t" anchorCtr="0" upright="1"/>
                        </wps:wsp>
                        <wps:wsp>
                          <wps:cNvPr id="65" name="任意多边形 65"/>
                          <wps:cNvSpPr/>
                          <wps:spPr>
                            <a:xfrm>
                              <a:off x="0" y="0"/>
                              <a:ext cx="7425" cy="5060"/>
                            </a:xfrm>
                            <a:custGeom>
                              <a:avLst/>
                              <a:gdLst/>
                              <a:ahLst/>
                              <a:cxnLst/>
                              <a:rect l="0" t="0" r="0" b="0"/>
                              <a:pathLst>
                                <a:path w="7425" h="5060">
                                  <a:moveTo>
                                    <a:pt x="206" y="4919"/>
                                  </a:moveTo>
                                  <a:lnTo>
                                    <a:pt x="186" y="4919"/>
                                  </a:lnTo>
                                  <a:lnTo>
                                    <a:pt x="176" y="4899"/>
                                  </a:lnTo>
                                  <a:lnTo>
                                    <a:pt x="196" y="4899"/>
                                  </a:lnTo>
                                  <a:lnTo>
                                    <a:pt x="206" y="4919"/>
                                  </a:lnTo>
                                  <a:close/>
                                </a:path>
                              </a:pathLst>
                            </a:custGeom>
                            <a:solidFill>
                              <a:srgbClr val="000000"/>
                            </a:solidFill>
                            <a:ln>
                              <a:noFill/>
                            </a:ln>
                            <a:effectLst/>
                          </wps:spPr>
                          <wps:bodyPr vert="horz" wrap="square" anchor="t" anchorCtr="0" upright="1"/>
                        </wps:wsp>
                        <wps:wsp>
                          <wps:cNvPr id="66" name="任意多边形 66"/>
                          <wps:cNvSpPr/>
                          <wps:spPr>
                            <a:xfrm>
                              <a:off x="0" y="0"/>
                              <a:ext cx="7425" cy="5060"/>
                            </a:xfrm>
                            <a:custGeom>
                              <a:avLst/>
                              <a:gdLst/>
                              <a:ahLst/>
                              <a:cxnLst/>
                              <a:rect l="0" t="0" r="0" b="0"/>
                              <a:pathLst>
                                <a:path w="7425" h="5060">
                                  <a:moveTo>
                                    <a:pt x="7238" y="4919"/>
                                  </a:moveTo>
                                  <a:lnTo>
                                    <a:pt x="7218" y="4919"/>
                                  </a:lnTo>
                                  <a:lnTo>
                                    <a:pt x="7228" y="4899"/>
                                  </a:lnTo>
                                  <a:lnTo>
                                    <a:pt x="7248" y="4899"/>
                                  </a:lnTo>
                                  <a:lnTo>
                                    <a:pt x="7238" y="4919"/>
                                  </a:lnTo>
                                  <a:close/>
                                </a:path>
                              </a:pathLst>
                            </a:custGeom>
                            <a:solidFill>
                              <a:srgbClr val="000000"/>
                            </a:solidFill>
                            <a:ln>
                              <a:noFill/>
                            </a:ln>
                            <a:effectLst/>
                          </wps:spPr>
                          <wps:bodyPr vert="horz" wrap="square" anchor="t" anchorCtr="0" upright="1"/>
                        </wps:wsp>
                        <wps:wsp>
                          <wps:cNvPr id="67" name="任意多边形 67"/>
                          <wps:cNvSpPr/>
                          <wps:spPr>
                            <a:xfrm>
                              <a:off x="0" y="0"/>
                              <a:ext cx="7425" cy="5060"/>
                            </a:xfrm>
                            <a:custGeom>
                              <a:avLst/>
                              <a:gdLst/>
                              <a:ahLst/>
                              <a:cxnLst/>
                              <a:rect l="0" t="0" r="0" b="0"/>
                              <a:pathLst>
                                <a:path w="7425" h="5060">
                                  <a:moveTo>
                                    <a:pt x="237" y="4939"/>
                                  </a:moveTo>
                                  <a:lnTo>
                                    <a:pt x="206" y="4939"/>
                                  </a:lnTo>
                                  <a:lnTo>
                                    <a:pt x="196" y="4919"/>
                                  </a:lnTo>
                                  <a:lnTo>
                                    <a:pt x="226" y="4919"/>
                                  </a:lnTo>
                                  <a:lnTo>
                                    <a:pt x="237" y="4939"/>
                                  </a:lnTo>
                                  <a:close/>
                                </a:path>
                              </a:pathLst>
                            </a:custGeom>
                            <a:solidFill>
                              <a:srgbClr val="000000"/>
                            </a:solidFill>
                            <a:ln>
                              <a:noFill/>
                            </a:ln>
                            <a:effectLst/>
                          </wps:spPr>
                          <wps:bodyPr vert="horz" wrap="square" anchor="t" anchorCtr="0" upright="1"/>
                        </wps:wsp>
                        <wps:wsp>
                          <wps:cNvPr id="68" name="任意多边形 68"/>
                          <wps:cNvSpPr/>
                          <wps:spPr>
                            <a:xfrm>
                              <a:off x="0" y="0"/>
                              <a:ext cx="7425" cy="5060"/>
                            </a:xfrm>
                            <a:custGeom>
                              <a:avLst/>
                              <a:gdLst/>
                              <a:ahLst/>
                              <a:cxnLst/>
                              <a:rect l="0" t="0" r="0" b="0"/>
                              <a:pathLst>
                                <a:path w="7425" h="5060">
                                  <a:moveTo>
                                    <a:pt x="7217" y="4939"/>
                                  </a:moveTo>
                                  <a:lnTo>
                                    <a:pt x="7187" y="4939"/>
                                  </a:lnTo>
                                  <a:lnTo>
                                    <a:pt x="7198" y="4919"/>
                                  </a:lnTo>
                                  <a:lnTo>
                                    <a:pt x="7228" y="4919"/>
                                  </a:lnTo>
                                  <a:lnTo>
                                    <a:pt x="7217" y="4939"/>
                                  </a:lnTo>
                                  <a:close/>
                                </a:path>
                              </a:pathLst>
                            </a:custGeom>
                            <a:solidFill>
                              <a:srgbClr val="000000"/>
                            </a:solidFill>
                            <a:ln>
                              <a:noFill/>
                            </a:ln>
                            <a:effectLst/>
                          </wps:spPr>
                          <wps:bodyPr vert="horz" wrap="square" anchor="t" anchorCtr="0" upright="1"/>
                        </wps:wsp>
                        <wps:wsp>
                          <wps:cNvPr id="69" name="任意多边形 69"/>
                          <wps:cNvSpPr/>
                          <wps:spPr>
                            <a:xfrm>
                              <a:off x="0" y="0"/>
                              <a:ext cx="7425" cy="5060"/>
                            </a:xfrm>
                            <a:custGeom>
                              <a:avLst/>
                              <a:gdLst/>
                              <a:ahLst/>
                              <a:cxnLst/>
                              <a:rect l="0" t="0" r="0" b="0"/>
                              <a:pathLst>
                                <a:path w="7425" h="5060">
                                  <a:moveTo>
                                    <a:pt x="258" y="4959"/>
                                  </a:moveTo>
                                  <a:lnTo>
                                    <a:pt x="239" y="4959"/>
                                  </a:lnTo>
                                  <a:lnTo>
                                    <a:pt x="228" y="4939"/>
                                  </a:lnTo>
                                  <a:lnTo>
                                    <a:pt x="247" y="4939"/>
                                  </a:lnTo>
                                  <a:lnTo>
                                    <a:pt x="258" y="4959"/>
                                  </a:lnTo>
                                  <a:close/>
                                </a:path>
                              </a:pathLst>
                            </a:custGeom>
                            <a:solidFill>
                              <a:srgbClr val="000000"/>
                            </a:solidFill>
                            <a:ln>
                              <a:noFill/>
                            </a:ln>
                            <a:effectLst/>
                          </wps:spPr>
                          <wps:bodyPr vert="horz" wrap="square" anchor="t" anchorCtr="0" upright="1"/>
                        </wps:wsp>
                        <wps:wsp>
                          <wps:cNvPr id="70" name="任意多边形 70"/>
                          <wps:cNvSpPr/>
                          <wps:spPr>
                            <a:xfrm>
                              <a:off x="0" y="0"/>
                              <a:ext cx="7425" cy="5060"/>
                            </a:xfrm>
                            <a:custGeom>
                              <a:avLst/>
                              <a:gdLst/>
                              <a:ahLst/>
                              <a:cxnLst/>
                              <a:rect l="0" t="0" r="0" b="0"/>
                              <a:pathLst>
                                <a:path w="7425" h="5060">
                                  <a:moveTo>
                                    <a:pt x="7185" y="4959"/>
                                  </a:moveTo>
                                  <a:lnTo>
                                    <a:pt x="7165" y="4959"/>
                                  </a:lnTo>
                                  <a:lnTo>
                                    <a:pt x="7176" y="4939"/>
                                  </a:lnTo>
                                  <a:lnTo>
                                    <a:pt x="7196" y="4939"/>
                                  </a:lnTo>
                                  <a:lnTo>
                                    <a:pt x="7185" y="4959"/>
                                  </a:lnTo>
                                  <a:close/>
                                </a:path>
                              </a:pathLst>
                            </a:custGeom>
                            <a:solidFill>
                              <a:srgbClr val="000000"/>
                            </a:solidFill>
                            <a:ln>
                              <a:noFill/>
                            </a:ln>
                            <a:effectLst/>
                          </wps:spPr>
                          <wps:bodyPr vert="horz" wrap="square" anchor="t" anchorCtr="0" upright="1"/>
                        </wps:wsp>
                        <wps:wsp>
                          <wps:cNvPr id="71" name="任意多边形 71"/>
                          <wps:cNvSpPr/>
                          <wps:spPr>
                            <a:xfrm>
                              <a:off x="0" y="0"/>
                              <a:ext cx="7425" cy="5060"/>
                            </a:xfrm>
                            <a:custGeom>
                              <a:avLst/>
                              <a:gdLst/>
                              <a:ahLst/>
                              <a:cxnLst/>
                              <a:rect l="0" t="0" r="0" b="0"/>
                              <a:pathLst>
                                <a:path w="7425" h="5060">
                                  <a:moveTo>
                                    <a:pt x="292" y="4979"/>
                                  </a:moveTo>
                                  <a:lnTo>
                                    <a:pt x="261" y="4979"/>
                                  </a:lnTo>
                                  <a:lnTo>
                                    <a:pt x="250" y="4959"/>
                                  </a:lnTo>
                                  <a:lnTo>
                                    <a:pt x="281" y="4959"/>
                                  </a:lnTo>
                                  <a:lnTo>
                                    <a:pt x="292" y="4979"/>
                                  </a:lnTo>
                                  <a:close/>
                                </a:path>
                              </a:pathLst>
                            </a:custGeom>
                            <a:solidFill>
                              <a:srgbClr val="000000"/>
                            </a:solidFill>
                            <a:ln>
                              <a:noFill/>
                            </a:ln>
                            <a:effectLst/>
                          </wps:spPr>
                          <wps:bodyPr vert="horz" wrap="square" anchor="t" anchorCtr="0" upright="1"/>
                        </wps:wsp>
                        <wps:wsp>
                          <wps:cNvPr id="72" name="任意多边形 72"/>
                          <wps:cNvSpPr/>
                          <wps:spPr>
                            <a:xfrm>
                              <a:off x="0" y="0"/>
                              <a:ext cx="7425" cy="5060"/>
                            </a:xfrm>
                            <a:custGeom>
                              <a:avLst/>
                              <a:gdLst/>
                              <a:ahLst/>
                              <a:cxnLst/>
                              <a:rect l="0" t="0" r="0" b="0"/>
                              <a:pathLst>
                                <a:path w="7425" h="5060">
                                  <a:moveTo>
                                    <a:pt x="7162" y="4979"/>
                                  </a:moveTo>
                                  <a:lnTo>
                                    <a:pt x="7131" y="4979"/>
                                  </a:lnTo>
                                  <a:lnTo>
                                    <a:pt x="7143" y="4959"/>
                                  </a:lnTo>
                                  <a:lnTo>
                                    <a:pt x="7174" y="4959"/>
                                  </a:lnTo>
                                  <a:lnTo>
                                    <a:pt x="7162" y="4979"/>
                                  </a:lnTo>
                                  <a:close/>
                                </a:path>
                              </a:pathLst>
                            </a:custGeom>
                            <a:solidFill>
                              <a:srgbClr val="000000"/>
                            </a:solidFill>
                            <a:ln>
                              <a:noFill/>
                            </a:ln>
                            <a:effectLst/>
                          </wps:spPr>
                          <wps:bodyPr vert="horz" wrap="square" anchor="t" anchorCtr="0" upright="1"/>
                        </wps:wsp>
                        <wps:wsp>
                          <wps:cNvPr id="73" name="任意多边形 73"/>
                          <wps:cNvSpPr/>
                          <wps:spPr>
                            <a:xfrm>
                              <a:off x="0" y="0"/>
                              <a:ext cx="7425" cy="5060"/>
                            </a:xfrm>
                            <a:custGeom>
                              <a:avLst/>
                              <a:gdLst/>
                              <a:ahLst/>
                              <a:cxnLst/>
                              <a:rect l="0" t="0" r="0" b="0"/>
                              <a:pathLst>
                                <a:path w="7425" h="5060">
                                  <a:moveTo>
                                    <a:pt x="328" y="4999"/>
                                  </a:moveTo>
                                  <a:lnTo>
                                    <a:pt x="297" y="4999"/>
                                  </a:lnTo>
                                  <a:lnTo>
                                    <a:pt x="285" y="4979"/>
                                  </a:lnTo>
                                  <a:lnTo>
                                    <a:pt x="316" y="4979"/>
                                  </a:lnTo>
                                  <a:lnTo>
                                    <a:pt x="328" y="4999"/>
                                  </a:lnTo>
                                  <a:close/>
                                </a:path>
                              </a:pathLst>
                            </a:custGeom>
                            <a:solidFill>
                              <a:srgbClr val="000000"/>
                            </a:solidFill>
                            <a:ln>
                              <a:noFill/>
                            </a:ln>
                            <a:effectLst/>
                          </wps:spPr>
                          <wps:bodyPr vert="horz" wrap="square" anchor="t" anchorCtr="0" upright="1"/>
                        </wps:wsp>
                        <wps:wsp>
                          <wps:cNvPr id="74" name="任意多边形 74"/>
                          <wps:cNvSpPr/>
                          <wps:spPr>
                            <a:xfrm>
                              <a:off x="0" y="0"/>
                              <a:ext cx="7425" cy="5060"/>
                            </a:xfrm>
                            <a:custGeom>
                              <a:avLst/>
                              <a:gdLst/>
                              <a:ahLst/>
                              <a:cxnLst/>
                              <a:rect l="0" t="0" r="0" b="0"/>
                              <a:pathLst>
                                <a:path w="7425" h="5060">
                                  <a:moveTo>
                                    <a:pt x="7127" y="4999"/>
                                  </a:moveTo>
                                  <a:lnTo>
                                    <a:pt x="7096" y="4999"/>
                                  </a:lnTo>
                                  <a:lnTo>
                                    <a:pt x="7108" y="4979"/>
                                  </a:lnTo>
                                  <a:lnTo>
                                    <a:pt x="7139" y="4979"/>
                                  </a:lnTo>
                                  <a:lnTo>
                                    <a:pt x="7127" y="4999"/>
                                  </a:lnTo>
                                  <a:close/>
                                </a:path>
                              </a:pathLst>
                            </a:custGeom>
                            <a:solidFill>
                              <a:srgbClr val="000000"/>
                            </a:solidFill>
                            <a:ln>
                              <a:noFill/>
                            </a:ln>
                            <a:effectLst/>
                          </wps:spPr>
                          <wps:bodyPr vert="horz" wrap="square" anchor="t" anchorCtr="0" upright="1"/>
                        </wps:wsp>
                        <wps:wsp>
                          <wps:cNvPr id="75" name="任意多边形 75"/>
                          <wps:cNvSpPr/>
                          <wps:spPr>
                            <a:xfrm>
                              <a:off x="0" y="0"/>
                              <a:ext cx="7425" cy="5060"/>
                            </a:xfrm>
                            <a:custGeom>
                              <a:avLst/>
                              <a:gdLst/>
                              <a:ahLst/>
                              <a:cxnLst/>
                              <a:rect l="0" t="0" r="0" b="0"/>
                              <a:pathLst>
                                <a:path w="7425" h="5060">
                                  <a:moveTo>
                                    <a:pt x="378" y="5019"/>
                                  </a:moveTo>
                                  <a:lnTo>
                                    <a:pt x="334" y="5019"/>
                                  </a:lnTo>
                                  <a:lnTo>
                                    <a:pt x="321" y="4999"/>
                                  </a:lnTo>
                                  <a:lnTo>
                                    <a:pt x="365" y="4999"/>
                                  </a:lnTo>
                                  <a:lnTo>
                                    <a:pt x="378" y="5019"/>
                                  </a:lnTo>
                                  <a:close/>
                                </a:path>
                              </a:pathLst>
                            </a:custGeom>
                            <a:solidFill>
                              <a:srgbClr val="000000"/>
                            </a:solidFill>
                            <a:ln>
                              <a:noFill/>
                            </a:ln>
                            <a:effectLst/>
                          </wps:spPr>
                          <wps:bodyPr vert="horz" wrap="square" anchor="t" anchorCtr="0" upright="1"/>
                        </wps:wsp>
                        <wps:wsp>
                          <wps:cNvPr id="76" name="任意多边形 76"/>
                          <wps:cNvSpPr/>
                          <wps:spPr>
                            <a:xfrm>
                              <a:off x="0" y="0"/>
                              <a:ext cx="7425" cy="5060"/>
                            </a:xfrm>
                            <a:custGeom>
                              <a:avLst/>
                              <a:gdLst/>
                              <a:ahLst/>
                              <a:cxnLst/>
                              <a:rect l="0" t="0" r="0" b="0"/>
                              <a:pathLst>
                                <a:path w="7425" h="5060">
                                  <a:moveTo>
                                    <a:pt x="7090" y="5019"/>
                                  </a:moveTo>
                                  <a:lnTo>
                                    <a:pt x="7046" y="5019"/>
                                  </a:lnTo>
                                  <a:lnTo>
                                    <a:pt x="7059" y="4999"/>
                                  </a:lnTo>
                                  <a:lnTo>
                                    <a:pt x="7102" y="4999"/>
                                  </a:lnTo>
                                  <a:lnTo>
                                    <a:pt x="7090" y="5019"/>
                                  </a:lnTo>
                                  <a:close/>
                                </a:path>
                              </a:pathLst>
                            </a:custGeom>
                            <a:solidFill>
                              <a:srgbClr val="000000"/>
                            </a:solidFill>
                            <a:ln>
                              <a:noFill/>
                            </a:ln>
                            <a:effectLst/>
                          </wps:spPr>
                          <wps:bodyPr vert="horz" wrap="square" anchor="t" anchorCtr="0" upright="1"/>
                        </wps:wsp>
                        <wps:wsp>
                          <wps:cNvPr id="77" name="任意多边形 77"/>
                          <wps:cNvSpPr/>
                          <wps:spPr>
                            <a:xfrm>
                              <a:off x="0" y="0"/>
                              <a:ext cx="7425" cy="5060"/>
                            </a:xfrm>
                            <a:custGeom>
                              <a:avLst/>
                              <a:gdLst/>
                              <a:ahLst/>
                              <a:cxnLst/>
                              <a:rect l="0" t="0" r="0" b="0"/>
                              <a:pathLst>
                                <a:path w="7425" h="5060">
                                  <a:moveTo>
                                    <a:pt x="443" y="5039"/>
                                  </a:moveTo>
                                  <a:lnTo>
                                    <a:pt x="385" y="5039"/>
                                  </a:lnTo>
                                  <a:lnTo>
                                    <a:pt x="372" y="5019"/>
                                  </a:lnTo>
                                  <a:lnTo>
                                    <a:pt x="429" y="5019"/>
                                  </a:lnTo>
                                  <a:lnTo>
                                    <a:pt x="443" y="5039"/>
                                  </a:lnTo>
                                  <a:close/>
                                </a:path>
                              </a:pathLst>
                            </a:custGeom>
                            <a:solidFill>
                              <a:srgbClr val="000000"/>
                            </a:solidFill>
                            <a:ln>
                              <a:noFill/>
                            </a:ln>
                            <a:effectLst/>
                          </wps:spPr>
                          <wps:bodyPr vert="horz" wrap="square" anchor="t" anchorCtr="0" upright="1"/>
                        </wps:wsp>
                        <wps:wsp>
                          <wps:cNvPr id="78" name="任意多边形 78"/>
                          <wps:cNvSpPr/>
                          <wps:spPr>
                            <a:xfrm>
                              <a:off x="0" y="0"/>
                              <a:ext cx="7425" cy="5060"/>
                            </a:xfrm>
                            <a:custGeom>
                              <a:avLst/>
                              <a:gdLst/>
                              <a:ahLst/>
                              <a:cxnLst/>
                              <a:rect l="0" t="0" r="0" b="0"/>
                              <a:pathLst>
                                <a:path w="7425" h="5060">
                                  <a:moveTo>
                                    <a:pt x="7038" y="5039"/>
                                  </a:moveTo>
                                  <a:lnTo>
                                    <a:pt x="6981" y="5039"/>
                                  </a:lnTo>
                                  <a:lnTo>
                                    <a:pt x="6994" y="5019"/>
                                  </a:lnTo>
                                  <a:lnTo>
                                    <a:pt x="7051" y="5019"/>
                                  </a:lnTo>
                                  <a:lnTo>
                                    <a:pt x="7038" y="5039"/>
                                  </a:lnTo>
                                  <a:close/>
                                </a:path>
                              </a:pathLst>
                            </a:custGeom>
                            <a:solidFill>
                              <a:srgbClr val="000000"/>
                            </a:solidFill>
                            <a:ln>
                              <a:noFill/>
                            </a:ln>
                            <a:effectLst/>
                          </wps:spPr>
                          <wps:bodyPr vert="horz" wrap="square" anchor="t" anchorCtr="0" upright="1"/>
                        </wps:wsp>
                        <wps:wsp>
                          <wps:cNvPr id="79" name="任意多边形 79"/>
                          <wps:cNvSpPr/>
                          <wps:spPr>
                            <a:xfrm>
                              <a:off x="0" y="0"/>
                              <a:ext cx="7425" cy="5060"/>
                            </a:xfrm>
                            <a:custGeom>
                              <a:avLst/>
                              <a:gdLst/>
                              <a:ahLst/>
                              <a:cxnLst/>
                              <a:rect l="0" t="0" r="0" b="0"/>
                              <a:pathLst>
                                <a:path w="7425" h="5060">
                                  <a:moveTo>
                                    <a:pt x="6956" y="5059"/>
                                  </a:moveTo>
                                  <a:lnTo>
                                    <a:pt x="467" y="5059"/>
                                  </a:lnTo>
                                  <a:lnTo>
                                    <a:pt x="453" y="5039"/>
                                  </a:lnTo>
                                  <a:lnTo>
                                    <a:pt x="6970" y="5039"/>
                                  </a:lnTo>
                                  <a:lnTo>
                                    <a:pt x="6956" y="5059"/>
                                  </a:lnTo>
                                  <a:close/>
                                </a:path>
                              </a:pathLst>
                            </a:custGeom>
                            <a:solidFill>
                              <a:srgbClr val="000000"/>
                            </a:solidFill>
                            <a:ln>
                              <a:noFill/>
                            </a:ln>
                            <a:effectLst/>
                          </wps:spPr>
                          <wps:bodyPr vert="horz" wrap="square" anchor="t" anchorCtr="0" upright="1"/>
                        </wps:wsp>
                      </wpg:grpSp>
                    </wpg:wgp>
                  </a:graphicData>
                </a:graphic>
              </wp:inline>
            </w:drawing>
          </mc:Choice>
          <mc:Fallback>
            <w:pict>
              <v:group id="_x0000_s1026" o:spid="_x0000_s1026" o:spt="203" style="height:253pt;width:448.5pt;" coordsize="7425,5060" o:gfxdata="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">
                <o:lock v:ext="edit" rotation="t" aspectratio="f"/>
                <v:group id="组合 80" o:spid="_x0000_s1026" o:spt="203" style="position:absolute;left:0;top:0;height:5060;width:7425;" coordsize="7425,5060"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shape id="_x0000_s1026" o:spid="_x0000_s1026" o:spt="100" style="position:absolute;left:0;top:0;height:5060;width:7425;" fillcolor="#000000" filled="t" stroked="f" coordsize="7425,5060" o:gfxdata="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83tze5AAAA2gAA&#10;AA8AAAAAAAAAAQAgAAAAIgAAAGRycy9kb3ducmV2LnhtbFBLAQIUABQAAAAIAIdO4kAzLwWeOwAA&#10;ADkAAAAQAAAAAAAAAAEAIAAAAAgBAABkcnMvc2hhcGV4bWwueG1sUEsFBgAAAAAGAAYAWwEAALID&#10;AAAAAA==&#10;" path="m483,19l412,19,426,0,497,0,4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UpQL0AAADa&#10;AAAADwAAAGRycy9kb3ducmV2LnhtbEWPwWrDMBBE74H+g9hCLqGRY2goTpQQCgYfHEqd9r5YG9vU&#10;WglLsd1+fVQo9DjMzBtmf5xNL0YafGdZwWadgCCure64UfBxyZ9eQPiArLG3TAq+ycPx8LDYY6bt&#10;xO80VqEREcI+QwVtCC6T0tctGfRr64ijd7WDwRDl0Eg94BThppdpkmylwY7jQouOXluqv6qbUfBZ&#10;leWPy1euOL+lPvjytH2mk1LLx02yAxFoDv/hv3ahFaTweyXeAHm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5SlAvQAA&#10;ANoAAAAPAAAAAAAAAAEAIAAAACIAAABkcnMvZG93bnJldi54bWxQSwECFAAUAAAACACHTuJAMy8F&#10;njsAAAA5AAAAEAAAAAAAAAABACAAAAAMAQAAZHJzL3NoYXBleG1sLnhtbFBLBQYAAAAABgAGAFsB&#10;AAC2AwAAAAA=&#10;" path="m7011,19l6940,19,6926,0,6998,0,701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KmM27sAAADa&#10;AAAADwAAAGRycy9kb3ducmV2LnhtbEWPT4vCMBTE7wt+h/AEL4umKitSjSKC4KEiW/X+aJ5tsXkJ&#10;Tfz76Y2wsMdhZn7DzJcP04gbtb62rGA4SEAQF1bXXCo4Hjb9KQgfkDU2lknBkzwsF52vOaba3vmX&#10;bnkoRYSwT1FBFYJLpfRFRQb9wDri6J1tazBE2ZZSt3iPcNPIUZJMpMGa40KFjtYVFZf8ahSc8ix7&#10;uc232+72Ix98tpr80EqpXneYzEAEeoT/8F97qxWM4XMl3gC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mM27sAAADa&#10;AAAADwAAAAAAAAABACAAAAAiAAAAZHJzL2Rvd25yZXYueG1sUEsBAhQAFAAAAAgAh07iQDMvBZ47&#10;AAAAOQAAABAAAAAAAAAAAQAgAAAACgEAAGRycy9zaGFwZXhtbC54bWxQSwUGAAAAAAYABgBbAQAA&#10;tAMAAAAA&#10;" path="m390,39l346,39,359,19,403,19,39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T0AUr7sAAADa&#10;AAAADwAAAGRycy9kb3ducmV2LnhtbEWPT4vCMBTE7wt+h/AEL4umiitSjSKC4KEiW/X+aJ5tsXkJ&#10;Tfz76Y2wsMdhZn7DzJcP04gbtb62rGA4SEAQF1bXXCo4Hjb9KQgfkDU2lknBkzwsF52vOaba3vmX&#10;bnkoRYSwT1FBFYJLpfRFRQb9wDri6J1tazBE2ZZSt3iPcNPIUZJMpMGa40KFjtYVFZf8ahSc8ix7&#10;uc232+72Ix98tpr80EqpXneYzEAEeoT/8F97qxWM4XMl3gC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0AUr7sAAADa&#10;AAAADwAAAAAAAAABACAAAAAiAAAAZHJzL2Rvd25yZXYueG1sUEsBAhQAFAAAAAgAh07iQDMvBZ47&#10;AAAAOQAAABAAAAAAAAAAAQAgAAAACgEAAGRycy9zaGFwZXhtbC54bWxQSwUGAAAAAAYABgBbAQAA&#10;tAMAAAAA&#10;" path="m7077,39l7033,39,7020,19,7064,19,7077,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AyxNLoAAADa&#10;AAAADwAAAGRycy9kb3ducmV2LnhtbEWPzarCMBSE94LvEI7gRjRVUKQaRQTBRUVu73V/aI5tsTkJ&#10;Tfx9eiMIdznMzDfMcv0wjbhR62vLCsajBARxYXXNpYK/391wDsIHZI2NZVLwJA/rVbezxFTbO//Q&#10;LQ+liBD2KSqoQnCplL6oyKAfWUccvbNtDYYo21LqFu8Rbho5SZKZNFhzXKjQ0bai4pJfjYJTnmUv&#10;txu4/eE48cFnm9mUNkr1e+NkASLQI/yHv+29VjCFz5V4A+Tq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DLE0ugAAANoA&#10;AAAPAAAAAAAAAAEAIAAAACIAAABkcnMvZG93bnJldi54bWxQSwECFAAUAAAACACHTuJAMy8FnjsA&#10;AAA5AAAAEAAAAAAAAAABACAAAAAJAQAAZHJzL3NoYXBleG1sLnhtbFBLBQYAAAAABgAGAFsBAACz&#10;AwAAAAA=&#10;" path="m340,59l309,59,321,39,352,39,340,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0N4vQ70AAADa&#10;AAAADwAAAGRycy9kb3ducmV2LnhtbEWPwWrDMBBE74X+g9hCL6WRbYgpTpRgCgEfHEKd9r5YG9vU&#10;WglLjdN+fRQI9DjMzBtmvb2YUZxp8oNlBekiAUHcWj1wp+DzuHt9A+EDssbRMin4JQ/bzePDGgtt&#10;Z/6gcxM6ESHsC1TQh+AKKX3bk0G/sI44eic7GQxRTp3UE84RbkaZJUkuDQ4cF3p09N5T+938GAVf&#10;TV3/ud2Lq/aHzAdfl/mSSqWen9JkBSLQJfyH7+1KK8jhdiXeALm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3i9DvQAA&#10;ANoAAAAPAAAAAAAAAAEAIAAAACIAAABkcnMvZG93bnJldi54bWxQSwECFAAUAAAACACHTuJAMy8F&#10;njsAAAA5AAAAEAAAAAAAAAABACAAAAAMAQAAZHJzL3NoYXBleG1sLnhtbFBLBQYAAAAABgAGAFsB&#10;AAC2AwAAAAA=&#10;" path="m7115,59l7084,59,7071,39,7102,39,711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5KK2LsAAADa&#10;AAAADwAAAGRycy9kb3ducmV2LnhtbEWPT4vCMBTE7wt+h/CEvSyaKuhKNYoIgoeK2NX7o3m2xeYl&#10;NFn/fXojCB6HmfkNM1vcTCMu1PrasoJBPwFBXFhdc6ng8LfuTUD4gKyxsUwK7uRhMe98zTDV9sp7&#10;uuShFBHCPkUFVQguldIXFRn0feuIo3eyrcEQZVtK3eI1wk0jh0kylgZrjgsVOlpVVJzzf6PgmGfZ&#10;w61/3Ga7G/rgs+V4REulvruDZAoi0C18wu/2Riv4hdeVe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5KK2LsAAADa&#10;AAAADwAAAAAAAAABACAAAAAiAAAAZHJzL2Rvd25yZXYueG1sUEsBAhQAFAAAAAgAh07iQDMvBZ47&#10;AAAAOQAAABAAAAAAAAAAAQAgAAAACgEAAGRycy9zaGFwZXhtbC54bWxQSwUGAAAAAAYABgBbAQAA&#10;tAMAAAAA&#10;" path="m304,79l273,79,285,59,316,59,30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g0eqroAAADa&#10;AAAADwAAAGRycy9kb3ducmV2LnhtbEVPz2vCMBS+D/Y/hDfwMmxqwSLVVEQQPHSMdfP+aN7asuYl&#10;NNHW/fXLQdjx4/u9289mEDcafW9ZwSpJQRA3VvfcKvj6PC03IHxA1jhYJgV38rAvn592WGg78Qfd&#10;6tCKGMK+QAVdCK6Q0jcdGfSJdcSR+7ajwRDh2Eo94hTDzSCzNM2lwZ5jQ4eOjh01P/XVKLjUVfXr&#10;Tq/u/Pae+eCrQ76mg1KLl1W6BRFoDv/ih/usFcSt8Uq8AbL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DR6qugAAANoA&#10;AAAPAAAAAAAAAAEAIAAAACIAAABkcnMvZG93bnJldi54bWxQSwECFAAUAAAACACHTuJAMy8FnjsA&#10;AAA5AAAAEAAAAAAAAAABACAAAAAJAQAAZHJzL3NoYXBleG1sLnhtbFBLBQYAAAAABgAGAFsBAACz&#10;AwAAAAA=&#10;" path="m7151,79l7120,79,7108,59,7139,59,715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UG7MbsAAADa&#10;AAAADwAAAGRycy9kb3ducmV2LnhtbEWPT4vCMBTE7wt+h/CEvSyaKihrNYoIgoeK2NX7o3m2xeYl&#10;NFn/fXojCB6HmfkNM1vcTCMu1PrasoJBPwFBXFhdc6ng8Lfu/YLwAVljY5kU3MnDYt75mmGq7ZX3&#10;dMlDKSKEfYoKqhBcKqUvKjLo+9YRR+9kW4MhyraUusVrhJtGDpNkLA3WHBcqdLSqqDjn/0bBMc+y&#10;h1v/uM12N/TBZ8vxiJZKfXcHyRREoFv4hN/tjVYwgdeVe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G7MbsAAADa&#10;AAAADwAAAAAAAAABACAAAAAiAAAAZHJzL2Rvd25yZXYueG1sUEsBAhQAFAAAAAgAh07iQDMvBZ47&#10;AAAAOQAAABAAAAAAAAAAAQAgAAAACgEAAGRycy9zaGFwZXhtbC54bWxQSwUGAAAAAAYABgBbAQAA&#10;tAMAAAAA&#10;" path="m269,99l239,99,250,79,281,79,26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WPYeb4AAADb&#10;AAAADwAAAGRycy9kb3ducmV2LnhtbEWPT2vCQBDF70K/wzKFXkQ3ChWJriKCkEOKmNb7kJ0modnZ&#10;Jbv+aT+9cyh4m+G9ee836+3d9epKQ+w8G5hNM1DEtbcdNwa+Pg+TJaiYkC32nsnAL0XYbl5Ga8yt&#10;v/GJrlVqlIRwzNFAm1LItY51Sw7j1Adi0b794DDJOjTaDniTcNfreZYttMOOpaHFQPuW6p/q4gyc&#10;q7L8C4dxKD6O85hiuVu8086Yt9dZtgKV6J6e5v/rwgq+0Ms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WPYeb4A&#10;AADbAAAADwAAAAAAAAABACAAAAAiAAAAZHJzL2Rvd25yZXYueG1sUEsBAhQAFAAAAAgAh07iQDMv&#10;BZ47AAAAOQAAABAAAAAAAAAAAQAgAAAADQEAAGRycy9zaGFwZXhtbC54bWxQSwUGAAAAAAYABgBb&#10;AQAAtwMAAAAA&#10;" path="m7185,99l7154,99,7143,79,7174,79,718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i994rsAAADb&#10;AAAADwAAAGRycy9kb3ducmV2LnhtbEVPTWvDMAy9F/YfjAa9lNVJYGWkcUsZBHJIGUu3u4jVJCyW&#10;Teym3X59PRjspsf7VLG/mVHMNPnBsoJ0nYAgbq0euFPwcSqfXkD4gKxxtEwKvsnDfvewKDDX9srv&#10;NDehEzGEfY4K+hBcLqVvezLo19YRR+5sJ4MhwqmTesJrDDejzJJkIw0OHBt6dPTaU/vVXIyCz6au&#10;f1y5ctXxLfPB14fNMx2UWj6myRZEoFv4F/+5Kx3np/D7SzxA7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i994rsAAADb&#10;AAAADwAAAAAAAAABACAAAAAiAAAAZHJzL2Rvd25yZXYueG1sUEsBAhQAFAAAAAgAh07iQDMvBZ47&#10;AAAAOQAAABAAAAAAAAAAAQAgAAAACgEAAGRycy9zaGFwZXhtbC54bWxQSwUGAAAAAAYABgBbAQAA&#10;tAMAAAAA&#10;" path="m237,119l217,119,228,99,247,99,23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v3jlbsAAADb&#10;AAAADwAAAGRycy9kb3ducmV2LnhtbEVPTWvDMAy9F/YfjAa9lNVpYGWkdUsZBHJIGUu3u4jVJCyW&#10;Tewm2X59PRjspsf71P44m16MNPjOsoLNOgFBXFvdcaPg45I/vYDwAVljb5kUfJOH4+FhscdM24nf&#10;aaxCI2II+wwVtCG4TEpft2TQr60jjtzVDgZDhEMj9YBTDDe9TJNkKw12HBtadPTaUv1V3YyCz6os&#10;f1y+csX5LfXBl6ftM52UWj5ukh2IQHP4F/+5Cx3np/D7SzxAH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3jlbsAAADb&#10;AAAADwAAAAAAAAABACAAAAAiAAAAZHJzL2Rvd25yZXYueG1sUEsBAhQAFAAAAAgAh07iQDMvBZ47&#10;AAAAOQAAABAAAAAAAAAAAQAgAAAACgEAAGRycy9zaGFwZXhtbC54bWxQSwUGAAAAAAYABgBbAQAA&#10;tAMAAAAA&#10;" path="m7207,119l7187,119,7176,99,7196,99,720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bFGDrkAAADb&#10;AAAADwAAAGRycy9kb3ducmV2LnhtbEVPS4vCMBC+L/gfwgheFk1VVq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xRg65AAAA2wAA&#10;AA8AAAAAAAAAAQAgAAAAIgAAAGRycy9kb3ducmV2LnhtbFBLAQIUABQAAAAIAIdO4kAzLwWeOwAA&#10;ADkAAAAQAAAAAAAAAAEAIAAAAAgBAABkcnMvc2hhcGV4bWwueG1sUEsFBgAAAAAGAAYAWwEAALID&#10;AAAAAA==&#10;" path="m216,139l186,139,196,119,226,119,216,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ljeerkAAADb&#10;AAAADwAAAGRycy9kb3ducmV2LnhtbEVPS4vCMBC+L/gfwgheFk0VV6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Y3nq5AAAA2wAA&#10;AA8AAAAAAAAAAQAgAAAAIgAAAGRycy9kb3ducmV2LnhtbFBLAQIUABQAAAAIAIdO4kAzLwWeOwAA&#10;ADkAAAAQAAAAAAAAAAEAIAAAAAgBAABkcnMvc2hhcGV4bWwueG1sUEsFBgAAAAAGAAYAWwEAALID&#10;AAAAAA==&#10;" path="m7238,139l7208,139,7197,119,7228,119,7238,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RR74bsAAADb&#10;AAAADwAAAGRycy9kb3ducmV2LnhtbEVPTWvCQBC9F/wPywheSt0oJEjqKiIIHiKlab0P2WkSmp1d&#10;squJ/vquIPQ2j/c56+1oOnGl3reWFSzmCQjiyuqWawXfX4e3FQgfkDV2lknBjTxsN5OXNebaDvxJ&#10;1zLUIoawz1FBE4LLpfRVQwb93DriyP3Y3mCIsK+l7nGI4aaTyyTJpMGWY0ODjvYNVb/lxSg4l0Vx&#10;d4dXdzx9LH3wxS5LaafUbLpI3kEEGsO/+Ok+6jg/hcc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RR74bsAAADb&#10;AAAADwAAAAAAAAABACAAAAAiAAAAZHJzL2Rvd25yZXYueG1sUEsBAhQAFAAAAAgAh07iQDMvBZ47&#10;AAAAOQAAABAAAAAAAAAAAQAgAAAACgEAAGRycy9zaGFwZXhtbC54bWxQSwUGAAAAAAYABgBbAQAA&#10;tAMAAAAA&#10;" path="m186,159l166,159,176,139,196,139,186,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cbllrkAAADb&#10;AAAADwAAAGRycy9kb3ducmV2LnhtbEVPS4vCMBC+C/6HMIIX0VRhi1SjiCB46LJY9T40Y1tsJqGJ&#10;z1+/WVjwNh/fc5brp2nFnTrfWFYwnSQgiEurG64UnI678RyED8gaW8uk4EUe1qt+b4mZtg8+0L0I&#10;lYgh7DNUUIfgMil9WZNBP7GOOHIX2xkMEXaV1B0+Yrhp5SxJUmmw4dhQo6NtTeW1uBkF5yLP3243&#10;cvvvn5kPPt+kX7RRajiYJgsQgZ7hI/5373Wcn8LfL/EAuf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HG5Za5AAAA2wAA&#10;AA8AAAAAAAAAAQAgAAAAIgAAAGRycy9kb3ducmV2LnhtbFBLAQIUABQAAAAIAIdO4kAzLwWeOwAA&#10;ADkAAAAQAAAAAAAAAAEAIAAAAAgBAABkcnMvc2hhcGV4bWwueG1sUEsFBgAAAAAGAAYAWwEAALID&#10;AAAAAA==&#10;" path="m7258,159l7238,159,7228,139,7248,139,7258,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opADbkAAADb&#10;AAAADwAAAGRycy9kb3ducmV2LnhtbEVPS4vCMBC+L/gfwgh7WTRV0JVqFBEEDxWxq/ehGdtiMwlN&#10;1tevN4LgbT6+58wWN9OIC7W+tqxg0E9AEBdW11wqOPytexMQPiBrbCyTgjt5WMw7XzNMtb3yni55&#10;KEUMYZ+igioEl0rpi4oM+r51xJE72dZgiLAtpW7xGsNNI4dJMpYGa44NFTpaVVSc83+j4Jhn2cOt&#10;f9xmuxv64LPleERLpb67g2QKItAtfMRv90bH+b/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6KQA25AAAA2wAA&#10;AA8AAAAAAAAAAQAgAAAAIgAAAGRycy9kb3ducmV2LnhtbFBLAQIUABQAAAAIAIdO4kAzLwWeOwAA&#10;ADkAAAAQAAAAAAAAAAEAIAAAAAgBAABkcnMvc2hhcGV4bWwueG1sUEsFBgAAAAAGAAYAWwEAALID&#10;AAAAAA==&#10;" path="m167,179l147,179,156,159,176,159,16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xXUf74AAADb&#10;AAAADwAAAGRycy9kb3ducmV2LnhtbEWPT2vCQBDF70K/wzKFXkQ3ChWJriKCkEOKmNb7kJ0modnZ&#10;Jbv+aT+9cyh4m+G9ee836+3d9epKQ+w8G5hNM1DEtbcdNwa+Pg+TJaiYkC32nsnAL0XYbl5Ga8yt&#10;v/GJrlVqlIRwzNFAm1LItY51Sw7j1Adi0b794DDJOjTaDniTcNfreZYttMOOpaHFQPuW6p/q4gyc&#10;q7L8C4dxKD6O85hiuVu8086Yt9dZtgKV6J6e5v/rwgq+wMo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xXUf74A&#10;AADbAAAADwAAAAAAAAABACAAAAAiAAAAZHJzL2Rvd25yZXYueG1sUEsBAhQAFAAAAAgAh07iQDMv&#10;BZ47AAAAOQAAABAAAAAAAAAAAQAgAAAADQEAAGRycy9zaGFwZXhtbC54bWxQSwUGAAAAAAYABgBb&#10;AQAAtwMAAAAA&#10;" path="m7277,179l7256,179,7247,159,7267,159,727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Flx5LkAAADb&#10;AAAADwAAAGRycy9kb3ducmV2LnhtbEVPS4vCMBC+L/gfwgh7WTRVUNZqFBEEDxWxq/ehGdtiMwlN&#10;1tevN4LgbT6+58wWN9OIC7W+tqxg0E9AEBdW11wqOPyte78gfEDW2FgmBXfysJh3vmaYanvlPV3y&#10;UIoYwj5FBVUILpXSFxUZ9H3riCN3sq3BEGFbSt3iNYabRg6TZCwN1hwbKnS0qqg45/9GwTHPsodb&#10;/7jNdjf0wWfL8YiWSn13B8kURKBb+Ijf7o2O8yf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BZceS5AAAA2wAA&#10;AA8AAAAAAAAAAQAgAAAAIgAAAGRycy9kb3ducmV2LnhtbFBLAQIUABQAAAAIAIdO4kAzLwWeOwAA&#10;ADkAAAAQAAAAAAAAAAEAIAAAAAgBAABkcnMvc2hhcGV4bWwueG1sUEsFBgAAAAAGAAYAWwEAALID&#10;AAAAAA==&#10;" path="m149,199l129,199,138,179,158,179,149,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w8SxLgAAADb&#10;AAAADwAAAGRycy9kb3ducmV2LnhtbEVPy4rCMBTdC/5DuIIbGVMLinSMIoLgoiJW3V+aO22Z5iY0&#10;8fn1ZiG4PJz3YvUwrbhR5xvLCibjBARxaXXDlYLzafszB+EDssbWMil4kofVst9bYKbtnY90K0Il&#10;Ygj7DBXUIbhMSl/WZNCPrSOO3J/tDIYIu0rqDu8x3LQyTZKZNNhwbKjR0aam8r+4GgWXIs9fbjty&#10;u/0h9cHn69mU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w8SxLgAAADbAAAA&#10;DwAAAAAAAAABACAAAAAiAAAAZHJzL2Rvd25yZXYueG1sUEsBAhQAFAAAAAgAh07iQDMvBZ47AAAA&#10;OQAAABAAAAAAAAAAAQAgAAAABwEAAGRycy9zaGFwZXhtbC54bWxQSwUGAAAAAAYABgBbAQAAsQMA&#10;AAAA&#10;" path="m7294,199l7274,199,7265,179,7286,179,7294,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EO3X7wAAADb&#10;AAAADwAAAGRycy9kb3ducmV2LnhtbEWPT4vCMBTE78J+h/AWvIimLShLNYosCB4qYl3vj+bZlm1e&#10;QhP/7H56Iwgeh5n5DbNY3U0nrtT71rKCdJKAIK6sbrlW8HPcjL9A+ICssbNMCv7Iw2r5MVhgru2N&#10;D3QtQy0ihH2OCpoQXC6lrxoy6CfWEUfvbHuDIcq+lrrHW4SbTmZJMpMGW44LDTr6bqj6LS9Gwaks&#10;in+3Gbntbp/54Iv1bEprpYafaTIHEege3uFXe6sVZCk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Dt1+8AAAA&#10;2wAAAA8AAAAAAAAAAQAgAAAAIgAAAGRycy9kb3ducmV2LnhtbFBLAQIUABQAAAAIAIdO4kAzLwWe&#10;OwAAADkAAAAQAAAAAAAAAAEAIAAAAAsBAABkcnMvc2hhcGV4bWwueG1sUEsFBgAAAAAGAAYAWwEA&#10;ALUDAAAAAA==&#10;" path="m132,219l112,219,121,199,141,199,132,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JEpKL0AAADb&#10;AAAADwAAAGRycy9kb3ducmV2LnhtbEWPwWrDMBBE74H+g9hCLqGRY2goTpQQCgYfHEqd9r5YG9vU&#10;WglLsd1+fVQo9DjMzBtmf5xNL0YafGdZwWadgCCure64UfBxyZ9eQPiArLG3TAq+ycPx8LDYY6bt&#10;xO80VqEREcI+QwVtCC6T0tctGfRr64ijd7WDwRDl0Eg94BThppdpkmylwY7jQouOXluqv6qbUfBZ&#10;leWPy1euOL+lPvjytH2mk1LLx02yAxFoDv/hv3ahFaQp/H6JP0Ae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kSkovQAA&#10;ANsAAAAPAAAAAAAAAAEAIAAAACIAAABkcnMvZG93bnJldi54bWxQSwECFAAUAAAACACHTuJAMy8F&#10;njsAAAA5AAAAEAAAAAAAAAABACAAAAAMAQAAZHJzL3NoYXBleG1sLnhtbFBLBQYAAAAABgAGAFsB&#10;AAC2AwAAAAA=&#10;" path="m7311,219l7291,219,7283,199,7303,199,7311,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92Ms7wAAADb&#10;AAAADwAAAGRycy9kb3ducmV2LnhtbEWPT4vCMBTE7wt+h/AEL4umVla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jLO8AAAA&#10;2wAAAA8AAAAAAAAAAQAgAAAAIgAAAGRycy9kb3ducmV2LnhtbFBLAQIUABQAAAAIAIdO4kAzLwWe&#10;OwAAADkAAAAQAAAAAAAAAAEAIAAAAAsBAABkcnMvc2hhcGV4bWwueG1sUEsFBgAAAAAGAAYAWwEA&#10;ALUDAAAAAA==&#10;" path="m101,259l89,259,96,239,104,219,124,219,116,239,109,239,101,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DQUx7wAAADb&#10;AAAADwAAAGRycy9kb3ducmV2LnhtbEWPT4vCMBTE7wt+h/AEL4umFle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0FMe8AAAA&#10;2wAAAA8AAAAAAAAAAQAgAAAAIgAAAGRycy9kb3ducmV2LnhtbFBLAQIUABQAAAAIAIdO4kAzLwWe&#10;OwAAADkAAAAQAAAAAAAAAAEAIAAAAAsBAABkcnMvc2hhcGV4bWwueG1sUEsFBgAAAAAGAAYAWwEA&#10;ALUDAAAAAA==&#10;" path="m7335,259l7322,259,7315,239,7307,239,7299,219,7319,219,7327,239,7335,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3ixXLwAAADb&#10;AAAADwAAAGRycy9kb3ducmV2LnhtbEWPQYvCMBSE78L+h/AW9iKaWlCWahRZEHqoiNW9P5pnW2xe&#10;QpNV119vBMHjMDPfMIvVzXTiQr1vLSuYjBMQxJXVLdcKjofN6BuED8gaO8uk4J88rJYfgwVm2l55&#10;T5cy1CJC2GeooAnBZVL6qiGDfmwdcfROtjcYouxrqXu8RrjpZJokM2mw5bjQoKOfhqpz+WcU/JZF&#10;cXebocu3u9QHX6xnU1or9fU5SeYgAt3CO/xq51pBOo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94sVy8AAAA&#10;2wAAAA8AAAAAAAAAAQAgAAAAIgAAAGRycy9kb3ducmV2LnhtbFBLAQIUABQAAAAIAIdO4kAzLwWe&#10;OwAAADkAAAAQAAAAAAAAAAEAIAAAAAsBAABkcnMvc2hhcGV4bWwueG1sUEsFBgAAAAAGAAYAWwEA&#10;ALUDAAAAAA==&#10;" path="m94,279l75,279,82,259,102,259,94,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6ovK7wAAADb&#10;AAAADwAAAGRycy9kb3ducmV2LnhtbEWPT4vCMBTE7wt+h/CEvSyaWrBI1ygiCB66iFXvj+ZtW2xe&#10;QpP136ffCILHYWZ+w8yXN9OJC/W+taxgMk5AEFdWt1wrOB42oxkIH5A1dpZJwZ08LBeDjznm2l55&#10;T5cy1CJC2OeooAnB5VL6qiGDfmwdcfR+bW8wRNnXUvd4jXDTyTRJMmmw5bjQoKN1Q9W5/DMKTmVR&#10;PNzmy21/dqkPvlhlU1op9TmcJN8gAt3CO/xqb7WCNIP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Lyu8AAAA&#10;2wAAAA8AAAAAAAAAAQAgAAAAIgAAAGRycy9kb3ducmV2LnhtbFBLAQIUABQAAAAIAIdO4kAzLwWe&#10;OwAAADkAAAAQAAAAAAAAAAEAIAAAAAsBAABkcnMvc2hhcGV4bWwueG1sUEsFBgAAAAAGAAYAWwEA&#10;ALUDAAAAAA==&#10;" path="m7349,279l7329,279,7322,259,7342,259,7349,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OaKsL4AAADb&#10;AAAADwAAAGRycy9kb3ducmV2LnhtbEWPQWvCQBSE7wX/w/IKvRTdGDCV1FVECHhIKU31/si+JqHZ&#10;t0t2G6O/visUehxm5htms5tML0YafGdZwXKRgCCure64UXD6LOZrED4ga+wtk4IredhtZw8bzLW9&#10;8AeNVWhEhLDPUUEbgsul9HVLBv3COuLofdnBYIhyaKQe8BLhppdpkmTSYMdxoUVHh5bq7+rHKDhX&#10;ZXlzxbM7vr2nPvhyn61or9TT4zJ5BRFoCv/hv/ZRK0hf4P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aKsL4A&#10;AADbAAAADwAAAAAAAAABACAAAAAiAAAAZHJzL2Rvd25yZXYueG1sUEsBAhQAFAAAAAgAh07iQDMv&#10;BZ47AAAAOQAAABAAAAAAAAAAAQAgAAAADQEAAGRycy9zaGFwZXhtbC54bWxQSwUGAAAAAAYABgBb&#10;AQAAtwMAAAAA&#10;" path="m69,319l55,319,62,299,68,279,88,279,81,299,75,299,69,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0XkewrgAAADb&#10;AAAADwAAAGRycy9kb3ducmV2LnhtbEVPy4rCMBTdC/5DuIIbGVMLinSMIoLgoiJW3V+aO22Z5iY0&#10;8fn1ZiG4PJz3YvUwrbhR5xvLCibjBARxaXXDlYLzafszB+EDssbWMil4kofVst9bYKbtnY90K0Il&#10;Ygj7DBXUIbhMSl/WZNCPrSOO3J/tDIYIu0rqDu8x3LQyTZKZNNhwbKjR0aam8r+4GgWXIs9fbjty&#10;u/0h9cHn69mU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XkewrgAAADbAAAA&#10;DwAAAAAAAAABACAAAAAiAAAAZHJzL2Rvd25yZXYueG1sUEsBAhQAFAAAAAgAh07iQDMvBZ47AAAA&#10;OQAAABAAAAAAAAAAAQAgAAAABwEAAGRycy9zaGFwZXhtbC54bWxQSwUGAAAAAAYABgBbAQAAsQMA&#10;AAAA&#10;" path="m7368,319l7355,319,7349,299,7342,299,7336,279,7356,279,7362,299,736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jW7Wb4AAADb&#10;AAAADwAAAGRycy9kb3ducmV2LnhtbEWPQWvCQBSE7wX/w/IKvRTdGDDU1FVECHhIKU31/si+JqHZ&#10;t0t2G6O/visUehxm5htms5tML0YafGdZwXKRgCCure64UXD6LOYvIHxA1thbJgVX8rDbzh42mGt7&#10;4Q8aq9CICGGfo4I2BJdL6euWDPqFdcTR+7KDwRDl0Eg94CXCTS/TJMmkwY7jQouODi3V39WPUXCu&#10;yvLmimd3fHtPffDlPlvRXqmnx2XyCiLQFP7Df+2jVpCu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W7Wb4A&#10;AADbAAAADwAAAAAAAAABACAAAAAiAAAAZHJzL2Rvd25yZXYueG1sUEsBAhQAFAAAAAgAh07iQDMv&#10;BZ47AAAAOQAAABAAAAAAAAAAAQAgAAAADQEAAGRycy9zaGFwZXhtbC54bWxQSwUGAAAAAAYABgBb&#10;AQAAtwMAAAAA&#10;" path="m63,339l44,339,50,319,69,319,63,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taEGbkAAADb&#10;AAAADwAAAGRycy9kb3ducmV2LnhtbEVPy4rCMBTdC/MP4Q64kTFVUY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rWhBm5AAAA2wAA&#10;AA8AAAAAAAAAAQAgAAAAIgAAAGRycy9kb3ducmV2LnhtbFBLAQIUABQAAAAIAIdO4kAzLwWeOwAA&#10;ADkAAAAQAAAAAAAAAAEAIAAAAAgBAABkcnMvc2hhcGV4bWwueG1sUEsFBgAAAAAGAAYAWwEAALID&#10;AAAAAA==&#10;" path="m7380,339l7360,339,7355,319,7374,319,7380,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Zohgr0AAADb&#10;AAAADwAAAGRycy9kb3ducmV2LnhtbEWPT4vCMBTE78J+h/AWvIimVZS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iGCvQAA&#10;ANsAAAAPAAAAAAAAAAEAIAAAACIAAABkcnMvZG93bnJldi54bWxQSwECFAAUAAAACACHTuJAMy8F&#10;njsAAAA5AAAAEAAAAAAAAAABACAAAAAMAQAAZHJzL3NoYXBleG1sLnhtbFBLBQYAAAAABgAGAFsB&#10;AAC2AwAAAAA=&#10;" path="m43,379l29,379,34,359,39,339,58,339,53,359,48,359,43,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Ui/9bwAAADb&#10;AAAADwAAAGRycy9kb3ducmV2LnhtbEWPT4vCMBTE7wt+h/AEL4umVla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Iv/W8AAAA&#10;2wAAAA8AAAAAAAAAAQAgAAAAIgAAAGRycy9kb3ducmV2LnhtbFBLAQIUABQAAAAIAIdO4kAzLwWe&#10;OwAAADkAAAAQAAAAAAAAAAEAIAAAAAsBAABkcnMvc2hhcGV4bWwueG1sUEsFBgAAAAAGAAYAWwEA&#10;ALUDAAAAAA==&#10;" path="m7394,379l7380,379,7376,359,7371,359,7366,339,7385,339,7390,359,7394,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gQabr4AAADb&#10;AAAADwAAAGRycy9kb3ducmV2LnhtbEWPQWvCQBSE7wX/w/KEXorZJFK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gQabr4A&#10;AADbAAAADwAAAAAAAAABACAAAAAiAAAAZHJzL2Rvd25yZXYueG1sUEsBAhQAFAAAAAgAh07iQDMv&#10;BZ47AAAAOQAAABAAAAAAAAAAAQAgAAAADQEAAGRycy9zaGFwZXhtbC54bWxQSwUGAAAAAAYABgBb&#10;AQAAtwMAAAAA&#10;" path="m32,419l17,419,21,399,25,379,43,379,39,399,35,399,32,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e2CGr4AAADb&#10;AAAADwAAAGRycy9kb3ducmV2LnhtbEWPQWvCQBSE7wX/w/IKvZS6MVaR1FVEEDykFGO9P7KvSWj2&#10;7ZLdJtFf7xYKPQ4z8w2z3o6mFT11vrGsYDZNQBCXVjdcKfg8H15WIHxA1thaJgVX8rDdTB7WmGk7&#10;8In6IlQiQthnqKAOwWVS+rImg35qHXH0vmxnMETZVVJ3OES4aWWaJEtpsOG4UKOjfU3ld/FjFFyK&#10;PL+5w7M7vn+kPvh8t1zQTqmnx1nyBiLQGP7Df+2jVjB/hd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e2CGr4A&#10;AADbAAAADwAAAAAAAAABACAAAAAiAAAAZHJzL2Rvd25yZXYueG1sUEsBAhQAFAAAAAgAh07iQDMv&#10;BZ47AAAAOQAAABAAAAAAAAAAAQAgAAAADQEAAGRycy9zaGFwZXhtbC54bWxQSwUGAAAAAAYABgBb&#10;AQAAtwMAAAAA&#10;" path="m7406,419l7392,419,7388,399,7384,399,7380,379,7399,379,7403,399,7406,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qEngbwAAADb&#10;AAAADwAAAGRycy9kb3ducmV2LnhtbEWPT4vCMBTE78J+h/AWvIimK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J4G8AAAA&#10;2wAAAA8AAAAAAAAAAQAgAAAAIgAAAGRycy9kb3ducmV2LnhtbFBLAQIUABQAAAAIAIdO4kAzLwWe&#10;OwAAADkAAAAQAAAAAAAAAAEAIAAAAAsBAABkcnMvc2hhcGV4bWwueG1sUEsFBgAAAAAGAAYAWwEA&#10;ALUDAAAAAA==&#10;" path="m21,479l6,479,8,459,11,439,14,419,32,419,28,439,26,439,23,459,23,459,21,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nO59rwAAADb&#10;AAAADwAAAGRycy9kb3ducmV2LnhtbEWPT4vCMBTE7wt+h/AEL4umK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zufa8AAAA&#10;2wAAAA8AAAAAAAAAAQAgAAAAIgAAAGRycy9kb3ducmV2LnhtbFBLAQIUABQAAAAIAIdO4kAzLwWe&#10;OwAAADkAAAAQAAAAAAAAAAEAIAAAAAsBAABkcnMvc2hhcGV4bWwueG1sUEsFBgAAAAAGAAYAWwEA&#10;ALUDAAAAAA==&#10;" path="m7418,479l7403,479,7401,459,7401,459,7398,439,7395,439,7392,419,7410,419,7413,439,7415,459,7418,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T8cbbwAAADb&#10;AAAADwAAAGRycy9kb3ducmV2LnhtbEWPT4vCMBTE78J+h/AWvIimK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HG28AAAA&#10;2wAAAA8AAAAAAAAAAQAgAAAAIgAAAGRycy9kb3ducmV2LnhtbFBLAQIUABQAAAAIAIdO4kAzLwWe&#10;OwAAADkAAAAQAAAAAAAAAAEAIAAAAAsBAABkcnMvc2hhcGV4bWwueG1sUEsFBgAAAAAGAAYAWwEA&#10;ALUDAAAAAA==&#10;" path="m16,519l1,519,2,499,4,479,19,479,17,499,17,499,16,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KCIH7kAAADb&#10;AAAADwAAAGRycy9kb3ducmV2LnhtbEVPy4rCMBTdC/MP4Q64kTFVUY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SgiB+5AAAA2wAA&#10;AA8AAAAAAAAAAQAgAAAAIgAAAGRycy9kb3ducmV2LnhtbFBLAQIUABQAAAAIAIdO4kAzLwWeOwAA&#10;ADkAAAAQAAAAAAAAAAEAIAAAAAgBAABkcnMvc2hhcGV4bWwueG1sUEsFBgAAAAAGAAYAWwEAALID&#10;AAAAAA==&#10;" path="m7423,519l7408,519,7406,499,7406,499,7405,479,7420,479,7421,499,7423,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wthLwAAADb&#10;AAAADwAAAGRycy9kb3ducmV2LnhtbEWPT4vCMBTE78J+h/AWvIimK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sLYS8AAAA&#10;2wAAAA8AAAAAAAAAAQAgAAAAIgAAAGRycy9kb3ducmV2LnhtbFBLAQIUABQAAAAIAIdO4kAzLwWe&#10;OwAAADkAAAAQAAAAAAAAAAEAIAAAAAsBAABkcnMvc2hhcGV4bWwueG1sUEsFBgAAAAAGAAYAWwEA&#10;ALUDAAAAAA==&#10;" path="m19,4559l2,4559,1,4539,0,4519,0,4499,0,539,0,519,15,519,15,539,15,4499,15,4519,16,4539,17,4539,19,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tD3ZLkAAADb&#10;AAAADwAAAGRycy9kb3ducmV2LnhtbEVPy4rCMBTdC/MP4Q64kTFVVI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LQ92S5AAAA2wAA&#10;AA8AAAAAAAAAAQAgAAAAIgAAAGRycy9kb3ducmV2LnhtbFBLAQIUABQAAAAIAIdO4kAzLwWeOwAA&#10;ADkAAAAQAAAAAAAAAAEAIAAAAAgBAABkcnMvc2hhcGV4bWwueG1sUEsFBgAAAAAGAAYAWwEAALID&#10;AAAAAA==&#10;" path="m7421,4559l7405,4559,7406,4539,7408,4539,7408,4519,7408,4519,7409,4499,7409,539,7408,519,7423,519,7424,539,7424,4499,7423,4519,7423,4539,7421,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ZxS/70AAADb&#10;AAAADwAAAGRycy9kb3ducmV2LnhtbEWPT4vCMBTE78J+h/AWvIimFZW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nFL/vQAA&#10;ANsAAAAPAAAAAAAAAAEAIAAAACIAAABkcnMvZG93bnJldi54bWxQSwECFAAUAAAACACHTuJAMy8F&#10;njsAAAA5AAAAEAAAAAAAAAABACAAAAAMAQAAZHJzL3NoYXBleG1sLnhtbFBLBQYAAAAABgAGAFsB&#10;AAC2AwAAAAA=&#10;" path="m23,4599l8,4599,6,4579,4,4559,19,4559,21,4579,21,4579,23,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U7MiLwAAADb&#10;AAAADwAAAGRycy9kb3ducmV2LnhtbEWPT4vCMBTE7wt+h/AEL4umFle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OzIi8AAAA&#10;2wAAAA8AAAAAAAAAAQAgAAAAIgAAAGRycy9kb3ducmV2LnhtbFBLAQIUABQAAAAIAIdO4kAzLwWe&#10;OwAAADkAAAAQAAAAAAAAAAEAIAAAAAsBAABkcnMvc2hhcGV4bWwueG1sUEsFBgAAAAAGAAYAWwEA&#10;ALUDAAAAAA==&#10;" path="m7415,4599l7401,4599,7403,4579,7403,4579,7405,4559,7420,4559,7418,4579,7415,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gJpE74AAADb&#10;AAAADwAAAGRycy9kb3ducmV2LnhtbEWPQWvCQBSE7wX/w/IKvZS6MVaR1FVEEDykFGO9P7KvSWj2&#10;7ZLdJtFf7xYKPQ4z8w2z3o6mFT11vrGsYDZNQBCXVjdcKfg8H15WIHxA1thaJgVX8rDdTB7WmGk7&#10;8In6IlQiQthnqKAOwWVS+rImg35qHXH0vmxnMETZVVJ3OES4aWWaJEtpsOG4UKOjfU3ld/FjFFyK&#10;PL+5w7M7vn+kPvh8t1zQTqmnx1nyBiLQGP7Df+2jVvA6h9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JpE74A&#10;AADbAAAADwAAAAAAAAABACAAAAAiAAAAZHJzL2Rvd25yZXYueG1sUEsBAhQAFAAAAAgAh07iQDMv&#10;BZ47AAAAOQAAABAAAAAAAAAAAQAgAAAADQEAAGRycy9zaGFwZXhtbC54bWxQSwUGAAAAAAYABgBb&#10;AQAAtwMAAAAA&#10;" path="m32,4639l17,4639,14,4619,11,4599,26,4599,29,4619,28,4619,32,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evxZ74AAADb&#10;AAAADwAAAGRycy9kb3ducmV2LnhtbEWPQWvCQBSE7wX/w/KEXorZJFi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evxZ74A&#10;AADbAAAADwAAAAAAAAABACAAAAAiAAAAZHJzL2Rvd25yZXYueG1sUEsBAhQAFAAAAAgAh07iQDMv&#10;BZ47AAAAOQAAABAAAAAAAAAAAQAgAAAADQEAAGRycy9zaGFwZXhtbC54bWxQSwUGAAAAAAYABgBb&#10;AQAAtwMAAAAA&#10;" path="m7406,4639l7392,4639,7395,4619,7395,4619,7398,4599,7413,4599,7410,4619,7406,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qdU/LwAAADb&#10;AAAADwAAAGRycy9kb3ducmV2LnhtbEWPT4vCMBTE78J+h/AWvIimi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nVPy8AAAA&#10;2wAAAA8AAAAAAAAAAQAgAAAAIgAAAGRycy9kb3ducmV2LnhtbFBLAQIUABQAAAAIAIdO4kAzLwWe&#10;OwAAADkAAAAQAAAAAAAAAAEAIAAAAAsBAABkcnMvc2hhcGV4bWwueG1sUEsFBgAAAAAGAAYAWwEA&#10;ALUDAAAAAA==&#10;" path="m43,4679l29,4679,25,4659,21,4639,35,4639,39,4659,39,4659,43,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nXKi7wAAADb&#10;AAAADwAAAGRycy9kb3ducmV2LnhtbEWPT4vCMBTE7wt+h/AEL4umi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1you8AAAA&#10;2wAAAA8AAAAAAAAAAQAgAAAAIgAAAGRycy9kb3ducmV2LnhtbFBLAQIUABQAAAAIAIdO4kAzLwWe&#10;OwAAADkAAAAQAAAAAAAAAAEAIAAAAAsBAABkcnMvc2hhcGV4bWwueG1sUEsFBgAAAAAGAAYAWwEA&#10;ALUDAAAAAA==&#10;" path="m7394,4679l7380,4679,7384,4659,7384,4659,7388,4639,7403,4639,7399,4659,7394,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TlvELwAAADb&#10;AAAADwAAAGRycy9kb3ducmV2LnhtbEWPT4vCMBTE78J+h/AWvIimi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5bxC8AAAA&#10;2wAAAA8AAAAAAAAAAQAgAAAAIgAAAGRycy9kb3ducmV2LnhtbFBLAQIUABQAAAAIAIdO4kAzLwWe&#10;OwAAADkAAAAQAAAAAAAAAAEAIAAAAAsBAABkcnMvc2hhcGV4bWwueG1sUEsFBgAAAAAGAAYAWwEA&#10;ALUDAAAAAA==&#10;" path="m48,4679l43,4679,43,4659,48,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Kb7YrkAAADb&#10;AAAADwAAAGRycy9kb3ducmV2LnhtbEVPy4rCMBTdC/MP4Q64kTFVVI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ym+2K5AAAA2wAA&#10;AA8AAAAAAAAAAQAgAAAAIgAAAGRycy9kb3ducmV2LnhtbFBLAQIUABQAAAAIAIdO4kAzLwWeOwAA&#10;ADkAAAAQAAAAAAAAAAEAIAAAAAgBAABkcnMvc2hhcGV4bWwueG1sUEsFBgAAAAAGAAYAWwEAALID&#10;AAAAAA==&#10;" path="m7380,4679l7376,4679,7380,4659,7380,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Y+pe+bwAAADb&#10;AAAADwAAAGRycy9kb3ducmV2LnhtbEWPT4vCMBTE78J+h/AWvIimi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qXvm8AAAA&#10;2wAAAA8AAAAAAAAAAQAgAAAAIgAAAGRycy9kb3ducmV2LnhtbFBLAQIUABQAAAAIAIdO4kAzLwWe&#10;OwAAADkAAAAQAAAAAAAAAAEAIAAAAAsBAABkcnMvc2hhcGV4bWwueG1sUEsFBgAAAAAGAAYAWwEA&#10;ALUDAAAAAA==&#10;" path="m63,4719l44,4719,39,4699,34,4679,48,4679,53,4699,58,4699,63,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wlhubkAAADb&#10;AAAADwAAAGRycy9kb3ducmV2LnhtbEVPy4rCMBTdC/5DuIIbmaYKinRMRQTBRQexOvtLc6ctNjeh&#10;ic+vnywEl4fzXq0fphM36n1rWcE0SUEQV1a3XCs4n3ZfSxA+IGvsLJOCJ3lY58PBCjNt73ykWxlq&#10;EUPYZ6igCcFlUvqqIYM+sY44cn+2Nxgi7Gupe7zHcNPJWZoupMGWY0ODjrYNVZfyahT8lkXxcruJ&#10;2/8cZj74YrOY00ap8WiafoMI9Agf8du91wrmcX3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JYbm5AAAA2wAA&#10;AA8AAAAAAAAAAQAgAAAAIgAAAGRycy9kb3ducmV2LnhtbFBLAQIUABQAAAAIAIdO4kAzLwWeOwAA&#10;ADkAAAAQAAAAAAAAAAEAIAAAAAgBAABkcnMvc2hhcGV4bWwueG1sUEsFBgAAAAAGAAYAWwEAALID&#10;AAAAAA==&#10;" path="m7380,4719l7360,4719,7366,4699,7371,4699,7376,4679,7390,4679,7385,4699,7380,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GEXEIr0AAADb&#10;AAAADwAAAGRycy9kb3ducmV2LnhtbEWPzWrDMBCE74W8g9hALiWRbUgIjpUQAgYfXErd5r5YW9vU&#10;WglL+evTV4VCj8PMfMMUh7sZxZUmP1hWkK4SEMSt1QN3Cj7ey+UWhA/IGkfLpOBBHg772VOBubY3&#10;fqNrEzoRIexzVNCH4HIpfduTQb+yjjh6n3YyGKKcOqknvEW4GWWWJBtpcOC40KOjU0/tV3MxCs5N&#10;XX+78tlVL6+ZD74+btZ0VGoxT5MdiED38B/+a1dawTqF3y/xB8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RcQivQAA&#10;ANsAAAAPAAAAAAAAAAEAIAAAACIAAABkcnMvZG93bnJldi54bWxQSwECFAAUAAAACACHTuJAMy8F&#10;njsAAAA5AAAAEAAAAAAAAAABACAAAAAMAQAAZHJzL3NoYXBleG1sLnhtbFBLBQYAAAAABgAGAFsB&#10;AAC2AwAAAAA=&#10;" path="m81,4759l62,4759,55,4739,50,4719,63,4719,69,4739,75,4739,81,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6JdaVbwAAADb&#10;AAAADwAAAGRycy9kb3ducmV2LnhtbEWPQYvCMBSE78L+h/AW9iKaWlCWahRZEHqoiNW9P5pnW2xe&#10;QpNV119vBMHjMDPfMIvVzXTiQr1vLSuYjBMQxJXVLdcKjofN6BuED8gaO8uk4J88rJYfgwVm2l55&#10;T5cy1CJC2GeooAnBZVL6qiGDfmwdcfROtjcYouxrqXu8RrjpZJokM2mw5bjQoKOfhqpz+WcU/JZF&#10;cXebocu3u9QHX6xnU1or9fU5SeYgAt3CO/xq51rBNI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XWlW8AAAA&#10;2wAAAA8AAAAAAAAAAQAgAAAAIgAAAGRycy9kb3ducmV2LnhtbFBLAQIUABQAAAAIAIdO4kAzLwWe&#10;OwAAADkAAAAQAAAAAAAAAAEAIAAAAAsBAABkcnMvc2hhcGV4bWwueG1sUEsFBgAAAAAGAAYAWwEA&#10;ALUDAAAAAA==&#10;" path="m7362,4759l7342,4759,7349,4739,7355,4739,7360,4719,7374,4719,7368,4739,7362,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9v/zrwAAADb&#10;AAAADwAAAGRycy9kb3ducmV2LnhtbEWPT4vCMBTE78J+h/AWvIimK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b/868AAAA&#10;2wAAAA8AAAAAAAAAAQAgAAAAIgAAAGRycy9kb3ducmV2LnhtbFBLAQIUABQAAAAIAIdO4kAzLwWe&#10;OwAAADkAAAAQAAAAAAAAAAEAIAAAAAsBAABkcnMvc2hhcGV4bWwueG1sUEsFBgAAAAAGAAYAWwEA&#10;ALUDAAAAAA==&#10;" path="m94,4779l75,4779,68,4759,88,4759,94,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DJnurwAAADb&#10;AAAADwAAAGRycy9kb3ducmV2LnhtbEWPT4vCMBTE78J+h/AWvIimi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yZ7q8AAAA&#10;2wAAAA8AAAAAAAAAAQAgAAAAIgAAAGRycy9kb3ducmV2LnhtbFBLAQIUABQAAAAIAIdO4kAzLwWe&#10;OwAAADkAAAAQAAAAAAAAAAEAIAAAAAsBAABkcnMvc2hhcGV4bWwueG1sUEsFBgAAAAAGAAYAWwEA&#10;ALUDAAAAAA==&#10;" path="m7349,4779l7329,4779,7336,4759,7356,4759,7349,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37CIbwAAADb&#10;AAAADwAAAGRycy9kb3ducmV2LnhtbEWPT4vCMBTE78J+h/AWvIimCpWlGkUWBA8Vsbt7fzTPtti8&#10;hCZb/3x6Iwgeh5n5DbNcX00reup8Y1nBdJKAIC6tbrhS8PuzHX+B8AFZY2uZFNzIw3r1MVhipu2F&#10;j9QXoRIRwj5DBXUILpPSlzUZ9BPriKN3sp3BEGVXSd3hJcJNK2dJMpcGG44LNTr6rqk8F/9GwV+R&#10;53e3Hbnd/jDzweebeUobpYaf02QBItA1vMOv9k4rSFN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wiG8AAAA&#10;2wAAAA8AAAAAAAAAAQAgAAAAIgAAAGRycy9kb3ducmV2LnhtbFBLAQIUABQAAAAIAIdO4kAzLwWe&#10;OwAAADkAAAAQAAAAAAAAAAEAIAAAAAsBAABkcnMvc2hhcGV4bWwueG1sUEsFBgAAAAAGAAYAWwEA&#10;ALUDAAAAAA==&#10;" path="m116,4819l96,4819,89,4799,82,4779,94,4779,102,4799,109,4799,116,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6xcVr4AAADb&#10;AAAADwAAAGRycy9kb3ducmV2LnhtbEWPwWrDMBBE74H+g9hCLiGRHYgpjpUQCgYfXErd9r5YW9vU&#10;WglLdZJ+fRUI9DjMzBumOF7MKGaa/GBZQbpJQBC3Vg/cKfh4L9dPIHxA1jhaJgVX8nA8PCwKzLU9&#10;8xvNTehEhLDPUUEfgsul9G1PBv3GOuLofdnJYIhy6qSe8BzhZpTbJMmkwYHjQo+Onntqv5sfo+Cz&#10;qetfV65c9fK69cHXp2xHJ6WWj2myBxHoEv7D93alFewy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xcVr4A&#10;AADbAAAADwAAAAAAAAABACAAAAAiAAAAZHJzL2Rvd25yZXYueG1sUEsBAhQAFAAAAAgAh07iQDMv&#10;BZ47AAAAOQAAABAAAAAAAAAAAQAgAAAADQEAAGRycy9zaGFwZXhtbC54bWxQSwUGAAAAAAYABgBb&#10;AQAAtwMAAAAA&#10;" path="m7327,4819l7307,4819,7315,4799,7322,4799,7329,4779,7342,4779,7335,4799,7327,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D5zb4AAADb&#10;AAAADwAAAGRycy9kb3ducmV2LnhtbEWPQWvCQBSE70L/w/IKvYhuDGhLdBUpBHJIEWN7f2Rfk9Ds&#10;2yW7TWx/fbcgeBxm5htmd7iaXow0+M6ygtUyAUFcW91xo+D9ki9eQPiArLG3TAp+yMNh/zDbYabt&#10;xGcaq9CICGGfoYI2BJdJ6euWDPqldcTR+7SDwRDl0Eg94BThppdpkmykwY7jQouOXluqv6pvo+Cj&#10;Kstfl89d8XZKffDlcbOmo1JPj6tkCyLQNdzDt3ahFayf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5zb4A&#10;AADbAAAADwAAAAAAAAABACAAAAAiAAAAZHJzL2Rvd25yZXYueG1sUEsBAhQAFAAAAAgAh07iQDMv&#10;BZ47AAAAOQAAABAAAAAAAAAAAQAgAAAADQEAAGRycy9zaGFwZXhtbC54bWxQSwUGAAAAAAYABgBb&#10;AQAAtwMAAAAA&#10;" path="m132,4839l112,4839,104,4819,124,4819,132,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X9tv7kAAADb&#10;AAAADwAAAGRycy9kb3ducmV2LnhtbEVPy4rCMBTdC/5DuIIbmaYKinRMRQTBRQexOvtLc6ctNjeh&#10;ic+vnywEl4fzXq0fphM36n1rWcE0SUEQV1a3XCs4n3ZfSxA+IGvsLJOCJ3lY58PBCjNt73ykWxlq&#10;EUPYZ6igCcFlUvqqIYM+sY44cn+2Nxgi7Gupe7zHcNPJWZoupMGWY0ODjrYNVZfyahT8lkXxcruJ&#10;2/8cZj74YrOY00ap8WiafoMI9Agf8du91wrmcWz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bb+5AAAA2wAA&#10;AA8AAAAAAAAAAQAgAAAAIgAAAGRycy9kb3ducmV2LnhtbFBLAQIUABQAAAAIAIdO4kAzLwWeOwAA&#10;ADkAAAAQAAAAAAAAAAEAIAAAAAgBAABkcnMvc2hhcGV4bWwueG1sUEsFBgAAAAAGAAYAWwEAALID&#10;AAAAAA==&#10;" path="m7311,4839l7291,4839,7299,4819,7319,4819,7311,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5jPIJL4AAADb&#10;AAAADwAAAGRycy9kb3ducmV2LnhtbEWPQWvCQBSE70L/w/IKvYhuDChtdBUpBHJIEWN7f2Rfk9Ds&#10;2yW7TWx/fbcgeBxm5htmd7iaXow0+M6ygtUyAUFcW91xo+D9ki+eQfiArLG3TAp+yMNh/zDbYabt&#10;xGcaq9CICGGfoYI2BJdJ6euWDPqldcTR+7SDwRDl0Eg94BThppdpkmykwY7jQouOXluqv6pvo+Cj&#10;Kstfl89d8XZKffDlcbOmo1JPj6tkCyLQNdzDt3ahFaxf4P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jPIJL4A&#10;AADbAAAADwAAAAAAAAABACAAAAAiAAAAZHJzL2Rvd25yZXYueG1sUEsBAhQAFAAAAAgAh07iQDMv&#10;BZ47AAAAOQAAABAAAAAAAAAAAQAgAAAADQEAAGRycy9zaGFwZXhtbC54bWxQSwUGAAAAAAYABgBb&#10;AQAAtwMAAAAA&#10;" path="m149,4859l129,4859,121,4839,141,4839,149,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WWrBLgAAADb&#10;AAAADwAAAGRycy9kb3ducmV2LnhtbEVPy4rCMBTdC/5DuIIbGVMFi3SMIoLgoiJW3V+aO22Z5iY0&#10;8fn1ZiG4PJz3YvUwrbhR5xvLCibjBARxaXXDlYLzafszB+EDssbWMil4kofVst9bYKbtnY90K0Il&#10;Ygj7DBXUIbhMSl/WZNCPrSOO3J/tDIYIu0rqDu8x3LRymiSpNNhwbKjR0aam8r+4GgWXIs9fbjty&#10;u/1h6oPP1+mM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WWrBLgAAADbAAAA&#10;DwAAAAAAAAABACAAAAAiAAAAZHJzL2Rvd25yZXYueG1sUEsBAhQAFAAAAAgAh07iQDMvBZ47AAAA&#10;OQAAABAAAAAAAAAAAQAgAAAABwEAAGRycy9zaGFwZXhtbC54bWxQSwUGAAAAAAYABgBbAQAAsQMA&#10;AAAA&#10;" path="m7294,4859l7274,4859,7283,4839,7303,4839,7294,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ikOn70AAADb&#10;AAAADwAAAGRycy9kb3ducmV2LnhtbEWPwWrDMBBE74X8g9hALyWRbagJrpUQAgEfXEqd5L5YW9vE&#10;WglLjdN+fVUo9DjMzBum3N3NKG40+cGygnSdgCBurR64U3A+HVcbED4gaxwtk4Iv8rDbLh5KLLSd&#10;+Z1uTehEhLAvUEEfgiuk9G1PBv3aOuLofdjJYIhy6qSecI5wM8osSXJpcOC40KOjQ0/ttfk0Ci5N&#10;XX+745OrXt8yH3y9z59pr9TjMk1eQAS6h//wX7vSCvIU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KQ6fvQAA&#10;ANsAAAAPAAAAAAAAAAEAIAAAACIAAABkcnMvZG93bnJldi54bWxQSwECFAAUAAAACACHTuJAMy8F&#10;njsAAAA5AAAAEAAAAAAAAAABACAAAAAMAQAAZHJzL3NoYXBleG1sLnhtbFBLBQYAAAAABgAGAFsB&#10;AAC2AwAAAAA=&#10;" path="m167,4879l147,4879,138,4859,158,4859,16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vuQ6LwAAADb&#10;AAAADwAAAGRycy9kb3ducmV2LnhtbEWPT4vCMBTE7wt+h/CEvSyaWrBI1ygiCB66iFXvj+ZtW2xe&#10;QpP136ffCILHYWZ+w8yXN9OJC/W+taxgMk5AEFdWt1wrOB42oxkIH5A1dpZJwZ08LBeDjznm2l55&#10;T5cy1CJC2OeooAnB5VL6qiGDfmwdcfR+bW8wRNnXUvd4jXDTyTRJMmmw5bjQoKN1Q9W5/DMKTmVR&#10;PNzmy21/dqkPvlhlU1op9TmcJN8gAt3CO/xqb7WCLIX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7kOi8AAAA&#10;2wAAAA8AAAAAAAAAAQAgAAAAIgAAAGRycy9kb3ducmV2LnhtbFBLAQIUABQAAAAIAIdO4kAzLwWe&#10;OwAAADkAAAAQAAAAAAAAAAEAIAAAAAsBAABkcnMvc2hhcGV4bWwueG1sUEsFBgAAAAAGAAYAWwEA&#10;ALUDAAAAAA==&#10;" path="m7277,4879l7256,4879,7265,4859,7286,4859,727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bc1c7wAAADb&#10;AAAADwAAAGRycy9kb3ducmV2LnhtbEWPT4vCMBTE7wt+h/AEL4umK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3NXO8AAAA&#10;2wAAAA8AAAAAAAAAAQAgAAAAIgAAAGRycy9kb3ducmV2LnhtbFBLAQIUABQAAAAIAIdO4kAzLwWe&#10;OwAAADkAAAAQAAAAAAAAAAEAIAAAAAsBAABkcnMvc2hhcGV4bWwueG1sUEsFBgAAAAAGAAYAWwEA&#10;ALUDAAAAAA==&#10;" path="m186,4899l166,4899,156,4879,176,4879,186,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l6tB7wAAADb&#10;AAAADwAAAGRycy9kb3ducmV2LnhtbEWPT4vCMBTE7wt+h/AEL4umi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erQe8AAAA&#10;2wAAAA8AAAAAAAAAAQAgAAAAIgAAAGRycy9kb3ducmV2LnhtbFBLAQIUABQAAAAIAIdO4kAzLwWe&#10;OwAAADkAAAAQAAAAAAAAAAEAIAAAAAsBAABkcnMvc2hhcGV4bWwueG1sUEsFBgAAAAAGAAYAWwEA&#10;ALUDAAAAAA==&#10;" path="m7258,4899l7238,4899,7247,4879,7267,4879,7258,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RIInL4AAADb&#10;AAAADwAAAGRycy9kb3ducmV2LnhtbEWPwWrDMBBE74H+g9hCLiGRHYgpjpUQCgYfXErd9r5YW9vU&#10;WglLdZJ+fRUI9DjMzBumOF7MKGaa/GBZQbpJQBC3Vg/cKfh4L9dPIHxA1jhaJgVX8nA8PCwKzLU9&#10;8xvNTehEhLDPUUEfgsul9G1PBv3GOuLofdnJYIhy6qSe8BzhZpTbJMmkwYHjQo+Onntqv5sfo+Cz&#10;qetfV65c9fK69cHXp2xHJ6WWj2myBxHoEv7D93alFWQ7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IInL4A&#10;AADbAAAADwAAAAAAAAABACAAAAAiAAAAZHJzL2Rvd25yZXYueG1sUEsBAhQAFAAAAAgAh07iQDMv&#10;BZ47AAAAOQAAABAAAAAAAAAAAQAgAAAADQEAAGRycy9zaGFwZXhtbC54bWxQSwUGAAAAAAYABgBb&#10;AQAAtwMAAAAA&#10;" path="m206,4919l186,4919,176,4899,196,4899,206,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cCW670AAADb&#10;AAAADwAAAGRycy9kb3ducmV2LnhtbEWPwWrDMBBE74X+g9hCL6WRbYgpTpRgCgEfHEKd9r5YG9vU&#10;WglLjdN+fRQI9DjMzBtmvb2YUZxp8oNlBekiAUHcWj1wp+DzuHt9A+EDssbRMin4JQ/bzePDGgtt&#10;Z/6gcxM6ESHsC1TQh+AKKX3bk0G/sI44eic7GQxRTp3UE84RbkaZJUkuDQ4cF3p09N5T+938GAVf&#10;TV3/ud2Lq/aHzAdfl/mSSqWen9JkBSLQJfyH7+1KK8hzuH2JP0B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wJbrvQAA&#10;ANsAAAAPAAAAAAAAAAEAIAAAACIAAABkcnMvZG93bnJldi54bWxQSwECFAAUAAAACACHTuJAMy8F&#10;njsAAAA5AAAAEAAAAAAAAAABACAAAAAMAQAAZHJzL3NoYXBleG1sLnhtbFBLBQYAAAAABgAGAFsB&#10;AAC2AwAAAAA=&#10;" path="m7238,4919l7218,4919,7228,4899,7248,4899,7238,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owzcL4AAADb&#10;AAAADwAAAGRycy9kb3ducmV2LnhtbEWPzWrDMBCE74W8g9hCLyWWbagT3CghBAw5uJQ6yX2xtrap&#10;tRKWmr+nrwqFHoeZ+YZZba5mFGea/GBZQZakIIhbqwfuFBwP1XwJwgdkjaNlUnAjD5v17GGFpbYX&#10;/qBzEzoRIexLVNCH4EopfduTQZ9YRxy9TzsZDFFOndQTXiLcjDJP00IaHDgu9Oho11P71XwbBaem&#10;ru+uenb7t/fcB19vixfaKvX0mKWvIAJdw3/4r73XCoo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wzcL4A&#10;AADbAAAADwAAAAAAAAABACAAAAAiAAAAZHJzL2Rvd25yZXYueG1sUEsBAhQAFAAAAAgAh07iQDMv&#10;BZ47AAAAOQAAABAAAAAAAAAAAQAgAAAADQEAAGRycy9zaGFwZXhtbC54bWxQSwUGAAAAAAYABgBb&#10;AQAAtwMAAAAA&#10;" path="m237,4939l206,4939,196,4919,226,4919,23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xOnArgAAADb&#10;AAAADwAAAGRycy9kb3ducmV2LnhtbEVPy4rCMBTdC/5DuIIbGVMFi3SMIoLgoiJW3V+aO22Z5iY0&#10;8fn1ZiG4PJz3YvUwrbhR5xvLCibjBARxaXXDlYLzafszB+EDssbWMil4kofVst9bYKbtnY90K0Il&#10;Ygj7DBXUIbhMSl/WZNCPrSOO3J/tDIYIu0rqDu8x3LRymiSpNNhwbKjR0aam8r+4GgWXIs9fbjty&#10;u/1h6oPP1+mM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xOnArgAAADbAAAA&#10;DwAAAAAAAAABACAAAAAiAAAAZHJzL2Rvd25yZXYueG1sUEsBAhQAFAAAAAgAh07iQDMvBZ47AAAA&#10;OQAAABAAAAAAAAAAAQAgAAAABwEAAGRycy9zaGFwZXhtbC54bWxQSwUGAAAAAAYABgBbAQAAsQMA&#10;AAAA&#10;" path="m7217,4939l7187,4939,7198,4919,7228,4919,721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KF8Cmb4AAADb&#10;AAAADwAAAGRycy9kb3ducmV2LnhtbEWPzWrDMBCE74W8g9hCLyWWbahJ3CghBAw5uJQ6yX2xtrap&#10;tRKWmr+nrwqFHoeZ+YZZba5mFGea/GBZQZakIIhbqwfuFBwP1XwBwgdkjaNlUnAjD5v17GGFpbYX&#10;/qBzEzoRIexLVNCH4EopfduTQZ9YRxy9TzsZDFFOndQTXiLcjDJP00IaHDgu9Oho11P71XwbBaem&#10;ru+uenb7t/fcB19vixfaKvX0mKWvIAJdw3/4r73XCool/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8Cmb4A&#10;AADbAAAADwAAAAAAAAABACAAAAAiAAAAZHJzL2Rvd25yZXYueG1sUEsBAhQAFAAAAAgAh07iQDMv&#10;BZ47AAAAOQAAABAAAAAAAAAAAQAgAAAADQEAAGRycy9zaGFwZXhtbC54bWxQSwUGAAAAAAYABgBb&#10;AQAAtwMAAAAA&#10;" path="m258,4959l239,4959,228,4939,247,4939,258,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Lw92bsAAADb&#10;AAAADwAAAGRycy9kb3ducmV2LnhtbEVPz2vCMBS+C/4P4Qm7yJoqzI2uqcig0EPHsG73R/PWljUv&#10;ocm08683h4HHj+93vp/NKM40+cGygk2SgiBurR64U/B5Kh9fQPiArHG0TAr+yMO+WC5yzLS98JHO&#10;TehEDGGfoYI+BJdJ6dueDPrEOuLIfdvJYIhw6qSe8BLDzSi3abqTBgeODT06euup/Wl+jYKvpq6v&#10;rly76v1j64OvD7snOij1sNqkryACzeEu/ndXWsFzXB+/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w92bsAAADb&#10;AAAADwAAAAAAAAABACAAAAAiAAAAZHJzL2Rvd25yZXYueG1sUEsBAhQAFAAAAAgAh07iQDMvBZ47&#10;AAAAOQAAABAAAAAAAAAAAQAgAAAACgEAAGRycy9zaGFwZXhtbC54bWxQSwUGAAAAAAYABgBbAQAA&#10;tAMAAAAA&#10;" path="m7185,4959l7165,4959,7176,4939,7196,4939,7185,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CYQr4AAADb&#10;AAAADwAAAGRycy9kb3ducmV2LnhtbEWPQWvCQBSE70L/w/IKvYjZRGiU1FWkEPAQKcb2/si+JqHZ&#10;t0t2q2l/vVsoeBxm5htms5vMIC40+t6ygixJQRA3VvfcKng/l4s1CB+QNQ6WScEPedhtH2YbLLS9&#10;8okudWhFhLAvUEEXgiuk9E1HBn1iHXH0Pu1oMEQ5tlKPeI1wM8hlmubSYM9xoUNHrx01X/W3UfBR&#10;V9WvK+fucHxb+uCrff5Me6WeHrP0BUSgKdzD/+2DVrDK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YQr4A&#10;AADbAAAADwAAAAAAAAABACAAAAAiAAAAZHJzL2Rvd25yZXYueG1sUEsBAhQAFAAAAAgAh07iQDMv&#10;BZ47AAAAOQAAABAAAAAAAAAAAQAgAAAADQEAAGRycy9zaGFwZXhtbC54bWxQSwUGAAAAAAYABgBb&#10;AQAAtwMAAAAA&#10;" path="m292,4979l261,4979,250,4959,281,4959,29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yIGNb4AAADb&#10;AAAADwAAAGRycy9kb3ducmV2LnhtbEWPQWvCQBSE7wX/w/IKvRTdGDCV1FVECHhIKU31/si+JqHZ&#10;t0t2G6O/visUehxm5htms5tML0YafGdZwXKRgCCure64UXD6LOZrED4ga+wtk4IredhtZw8bzLW9&#10;8AeNVWhEhLDPUUEbgsul9HVLBv3COuLofdnBYIhyaKQe8BLhppdpkmTSYMdxoUVHh5bq7+rHKDhX&#10;ZXlzxbM7vr2nPvhyn61or9TT4zJ5BRFoCv/hv/ZRK3hJ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IGNb4A&#10;AADbAAAADwAAAAAAAAABACAAAAAiAAAAZHJzL2Rvd25yZXYueG1sUEsBAhQAFAAAAAgAh07iQDMv&#10;BZ47AAAAOQAAABAAAAAAAAAAAQAgAAAADQEAAGRycy9zaGFwZXhtbC54bWxQSwUGAAAAAAYABgBb&#10;AQAAtwMAAAAA&#10;" path="m7162,4979l7131,4979,7143,4959,7174,4959,716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G6jrrwAAADb&#10;AAAADwAAAGRycy9kb3ducmV2LnhtbEWPT4vCMBTE78J+h/AWvIimK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uo668AAAA&#10;2wAAAA8AAAAAAAAAAQAgAAAAIgAAAGRycy9kb3ducmV2LnhtbFBLAQIUABQAAAAIAIdO4kAzLwWe&#10;OwAAADkAAAAQAAAAAAAAAAEAIAAAAAsBAABkcnMvc2hhcGV4bWwueG1sUEsFBgAAAAAGAAYAWwEA&#10;ALUDAAAAAA==&#10;" path="m328,4999l297,4999,285,4979,316,4979,328,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4c72rwAAADb&#10;AAAADwAAAGRycy9kb3ducmV2LnhtbEWPT4vCMBTE78J+h/AWvIimi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HO9q8AAAA&#10;2wAAAA8AAAAAAAAAAQAgAAAAIgAAAGRycy9kb3ducmV2LnhtbFBLAQIUABQAAAAIAIdO4kAzLwWe&#10;OwAAADkAAAAQAAAAAAAAAAEAIAAAAAsBAABkcnMvc2hhcGV4bWwueG1sUEsFBgAAAAAGAAYAWwEA&#10;ALUDAAAAAA==&#10;" path="m7127,4999l7096,4999,7108,4979,7139,4979,7127,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MueQb4AAADb&#10;AAAADwAAAGRycy9kb3ducmV2LnhtbEWPQWvCQBSE70L/w/IKvYhuDGhLdBUpBHJIEWN7f2Rfk9Ds&#10;2yW7TWx/fbcgeBxm5htmd7iaXow0+M6ygtUyAUFcW91xo+D9ki9eQPiArLG3TAp+yMNh/zDbYabt&#10;xGcaq9CICGGfoYI2BJdJ6euWDPqldcTR+7SDwRDl0Eg94BThppdpkmykwY7jQouOXluqv6pvo+Cj&#10;Kstfl89d8XZKffDlcbOmo1JPj6tkCyLQNdzDt3ahFTyv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ueQb4A&#10;AADbAAAADwAAAAAAAAABACAAAAAiAAAAZHJzL2Rvd25yZXYueG1sUEsBAhQAFAAAAAgAh07iQDMv&#10;BZ47AAAAOQAAABAAAAAAAAAAAQAgAAAADQEAAGRycy9zaGFwZXhtbC54bWxQSwUGAAAAAAYABgBb&#10;AQAAtwMAAAAA&#10;" path="m378,5019l334,5019,321,4999,365,4999,378,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BkANr4AAADb&#10;AAAADwAAAGRycy9kb3ducmV2LnhtbEWPzWrDMBCE74W8g9hCLyWWbagT3CghBAw5uJQ6yX2xtrap&#10;tRKWmr+nrwqFHoeZ+YZZba5mFGea/GBZQZakIIhbqwfuFBwP1XwJwgdkjaNlUnAjD5v17GGFpbYX&#10;/qBzEzoRIexLVNCH4EopfduTQZ9YRxy9TzsZDFFOndQTXiLcjDJP00IaHDgu9Oho11P71XwbBaem&#10;ru+uenb7t/fcB19vixfaKvX0mKWvIAJdw3/4r73XChY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kANr4A&#10;AADbAAAADwAAAAAAAAABACAAAAAiAAAAZHJzL2Rvd25yZXYueG1sUEsBAhQAFAAAAAgAh07iQDMv&#10;BZ47AAAAOQAAABAAAAAAAAAAAQAgAAAADQEAAGRycy9zaGFwZXhtbC54bWxQSwUGAAAAAAYABgBb&#10;AQAAtwMAAAAA&#10;" path="m7090,5019l7046,5019,7059,4999,7102,4999,7090,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1WlrbwAAADb&#10;AAAADwAAAGRycy9kb3ducmV2LnhtbEWPT4vCMBTE78J+h/AWvIimClrpGkUWBA8Vse7eH83btmzz&#10;Epr499MbQfA4zMxvmMXqalpxps43lhWMRwkI4tLqhisFP8fNcA7CB2SNrWVScCMPq+VHb4GZthc+&#10;0LkIlYgQ9hkqqENwmZS+rMmgH1lHHL0/2xkMUXaV1B1eIty0cpIkM2mw4bhQo6Pvmsr/4mQU/BZ5&#10;fnebgdvu9hMffL6eTWmtVP9znHyBCHQN7/CrvdUK0h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Vpa28AAAA&#10;2wAAAA8AAAAAAAAAAQAgAAAAIgAAAGRycy9kb3ducmV2LnhtbFBLAQIUABQAAAAIAIdO4kAzLwWe&#10;OwAAADkAAAAQAAAAAAAAAAEAIAAAAAsBAABkcnMvc2hhcGV4bWwueG1sUEsFBgAAAAAGAAYAWwEA&#10;ALUDAAAAAA==&#10;" path="m443,5039l385,5039,372,5019,429,5019,443,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sox37sAAADb&#10;AAAADwAAAGRycy9kb3ducmV2LnhtbEVPz2vCMBS+C/4P4Qm7yJoqzI2uqcig0EPHsG73R/PWljUv&#10;ocm08683h4HHj+93vp/NKM40+cGygk2SgiBurR64U/B5Kh9fQPiArHG0TAr+yMO+WC5yzLS98JHO&#10;TehEDGGfoYI+BJdJ6dueDPrEOuLIfdvJYIhw6qSe8BLDzSi3abqTBgeODT06euup/Wl+jYKvpq6v&#10;rly76v1j64OvD7snOij1sNqkryACzeEu/ndXWsFzHBu/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ox37sAAADb&#10;AAAADwAAAAAAAAABACAAAAAiAAAAZHJzL2Rvd25yZXYueG1sUEsBAhQAFAAAAAgAh07iQDMvBZ47&#10;AAAAOQAAABAAAAAAAAAAAQAgAAAACgEAAGRycy9zaGFwZXhtbC54bWxQSwUGAAAAAAYABgBbAQAA&#10;tAMAAAAA&#10;" path="m7038,5039l6981,5039,6994,5019,7051,5019,7038,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YaURLwAAADb&#10;AAAADwAAAGRycy9kb3ducmV2LnhtbEWPT4vCMBTE78J+h/AWvIimCuraNYoIgocuYl3vj+bZlm1e&#10;QhP/fvqNIHgcZuY3zHx5M424UOtrywqGgwQEcWF1zaWC38Om/wXCB2SNjWVScCcPy8VHZ46ptlfe&#10;0yUPpYgQ9ikqqEJwqZS+qMigH1hHHL2TbQ2GKNtS6havEW4aOUqSiTRYc1yo0NG6ouIvPxsFxzzL&#10;Hm7Tc9uf3cgHn60mY1op1f0cJt8gAt3CO/xqb7WC6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GlES8AAAA&#10;2wAAAA8AAAAAAAAAAQAgAAAAIgAAAGRycy9kb3ducmV2LnhtbFBLAQIUABQAAAAIAIdO4kAzLwWe&#10;OwAAADkAAAAQAAAAAAAAAAEAIAAAAAsBAABkcnMvc2hhcGV4bWwueG1sUEsFBgAAAAAGAAYAWwEA&#10;ALUDAAAAAA==&#10;" path="m6956,5059l467,5059,453,5039,6970,5039,6956,5059xe">
                    <v:fill on="t" focussize="0,0"/>
                    <v:stroke on="f"/>
                    <v:imagedata o:title=""/>
                    <o:lock v:ext="edit" aspectratio="f"/>
                  </v:shape>
                </v:group>
                <w10:wrap type="none"/>
                <w10:anchorlock/>
              </v:group>
            </w:pict>
          </mc:Fallback>
        </mc:AlternateContent>
      </w:r>
    </w:p>
    <w:p>
      <w:pPr>
        <w:pStyle w:val="2"/>
        <w:kinsoku w:val="0"/>
        <w:overflowPunct w:val="0"/>
        <w:spacing w:before="174"/>
        <w:rPr>
          <w:rFonts w:ascii="宋体" w:hAnsi="宋体" w:cs="宋体"/>
          <w:b/>
          <w:bCs/>
          <w:spacing w:val="1"/>
          <w:szCs w:val="21"/>
        </w:rPr>
      </w:pPr>
    </w:p>
    <w:p>
      <w:pPr>
        <w:pStyle w:val="2"/>
        <w:kinsoku w:val="0"/>
        <w:overflowPunct w:val="0"/>
        <w:spacing w:before="174"/>
        <w:rPr>
          <w:rFonts w:ascii="宋体" w:hAnsi="宋体" w:cs="宋体"/>
          <w:szCs w:val="21"/>
        </w:rPr>
      </w:pPr>
      <w:r>
        <w:rPr>
          <w:rFonts w:hint="eastAsia" w:ascii="宋体" w:hAnsi="宋体" w:cs="宋体"/>
          <w:b/>
          <w:bCs/>
          <w:spacing w:val="1"/>
          <w:szCs w:val="21"/>
        </w:rPr>
        <w:t>★备注：投标保证金缴费证明复印件加盖公章</w:t>
      </w:r>
    </w:p>
    <w:p>
      <w:pPr>
        <w:pStyle w:val="2"/>
        <w:kinsoku w:val="0"/>
        <w:overflowPunct w:val="0"/>
        <w:spacing w:before="34" w:line="357" w:lineRule="auto"/>
        <w:ind w:right="126" w:firstLine="480"/>
        <w:jc w:val="center"/>
        <w:outlineLvl w:val="1"/>
        <w:rPr>
          <w:rFonts w:ascii="宋体" w:hAnsi="宋体" w:cs="宋体"/>
          <w:b/>
          <w:bCs/>
        </w:rPr>
      </w:pPr>
      <w:r>
        <w:rPr>
          <w:rFonts w:hint="eastAsia" w:ascii="宋体" w:hAnsi="宋体" w:cs="宋体"/>
        </w:rPr>
        <w:br w:type="page"/>
      </w:r>
      <w:r>
        <w:rPr>
          <w:rFonts w:hint="eastAsia" w:ascii="宋体" w:hAnsi="宋体" w:cs="宋体"/>
          <w:b/>
          <w:bCs/>
          <w:sz w:val="36"/>
          <w:szCs w:val="36"/>
        </w:rPr>
        <w:t>五、报价一览表</w:t>
      </w:r>
    </w:p>
    <w:p>
      <w:pPr>
        <w:pStyle w:val="2"/>
        <w:kinsoku w:val="0"/>
        <w:overflowPunct w:val="0"/>
        <w:spacing w:before="6"/>
        <w:rPr>
          <w:rFonts w:ascii="宋体" w:hAnsi="宋体" w:cs="宋体"/>
          <w:b/>
          <w:bCs/>
          <w:sz w:val="26"/>
          <w:szCs w:val="26"/>
        </w:rPr>
      </w:pPr>
    </w:p>
    <w:p>
      <w:pPr>
        <w:rPr>
          <w:rFonts w:ascii="宋体" w:hAnsi="宋体" w:cs="宋体"/>
          <w:kern w:val="0"/>
          <w:sz w:val="24"/>
          <w:u w:val="single"/>
        </w:rPr>
      </w:pPr>
      <w:r>
        <w:rPr>
          <w:rFonts w:hint="eastAsia" w:ascii="宋体" w:hAnsi="宋体" w:cs="宋体"/>
          <w:kern w:val="0"/>
          <w:sz w:val="24"/>
        </w:rPr>
        <w:t>项目名称：</w:t>
      </w:r>
      <w:r>
        <w:rPr>
          <w:rFonts w:hint="eastAsia" w:ascii="宋体" w:hAnsi="宋体" w:cs="宋体"/>
          <w:kern w:val="0"/>
          <w:sz w:val="24"/>
          <w:u w:val="single"/>
        </w:rPr>
        <w:t>　                              　　</w:t>
      </w:r>
    </w:p>
    <w:p>
      <w:pPr>
        <w:rPr>
          <w:rFonts w:ascii="宋体" w:hAnsi="宋体" w:cs="宋体"/>
          <w:kern w:val="0"/>
          <w:sz w:val="24"/>
          <w:u w:val="single"/>
        </w:rPr>
      </w:pPr>
      <w:r>
        <w:rPr>
          <w:rFonts w:hint="eastAsia" w:ascii="宋体" w:hAnsi="宋体" w:cs="宋体"/>
          <w:kern w:val="0"/>
          <w:sz w:val="24"/>
        </w:rPr>
        <w:t>项目编号：</w:t>
      </w:r>
      <w:r>
        <w:rPr>
          <w:rFonts w:hint="eastAsia" w:ascii="宋体" w:hAnsi="宋体" w:cs="宋体"/>
          <w:kern w:val="0"/>
          <w:sz w:val="24"/>
          <w:u w:val="single"/>
        </w:rPr>
        <w:t>　                              　　</w:t>
      </w:r>
    </w:p>
    <w:p>
      <w:pPr>
        <w:pStyle w:val="2"/>
      </w:pPr>
    </w:p>
    <w:tbl>
      <w:tblPr>
        <w:tblStyle w:val="27"/>
        <w:tblW w:w="9420" w:type="dxa"/>
        <w:jc w:val="center"/>
        <w:tblLayout w:type="fixed"/>
        <w:tblCellMar>
          <w:top w:w="0" w:type="dxa"/>
          <w:left w:w="108" w:type="dxa"/>
          <w:bottom w:w="0" w:type="dxa"/>
          <w:right w:w="108" w:type="dxa"/>
        </w:tblCellMar>
      </w:tblPr>
      <w:tblGrid>
        <w:gridCol w:w="1728"/>
        <w:gridCol w:w="7692"/>
      </w:tblGrid>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vAlign w:val="center"/>
          </w:tcPr>
          <w:p>
            <w:pPr>
              <w:jc w:val="left"/>
              <w:rPr>
                <w:rFonts w:ascii="宋体" w:hAnsi="宋体" w:cs="宋体"/>
                <w:b/>
                <w:bCs/>
                <w:kern w:val="0"/>
                <w:sz w:val="24"/>
              </w:rPr>
            </w:pPr>
            <w:r>
              <w:rPr>
                <w:rFonts w:hint="eastAsia" w:ascii="宋体" w:hAnsi="宋体" w:cs="宋体"/>
                <w:b/>
                <w:bCs/>
                <w:kern w:val="0"/>
                <w:sz w:val="24"/>
              </w:rPr>
              <w:t>供应商名称</w:t>
            </w:r>
          </w:p>
        </w:tc>
        <w:tc>
          <w:tcPr>
            <w:tcW w:w="769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kern w:val="0"/>
                <w:sz w:val="24"/>
              </w:rPr>
            </w:pP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vAlign w:val="center"/>
          </w:tcPr>
          <w:p>
            <w:pPr>
              <w:jc w:val="left"/>
              <w:rPr>
                <w:rFonts w:ascii="宋体" w:hAnsi="宋体" w:cs="宋体"/>
                <w:b/>
                <w:bCs/>
                <w:kern w:val="0"/>
                <w:sz w:val="24"/>
              </w:rPr>
            </w:pPr>
            <w:r>
              <w:rPr>
                <w:b/>
                <w:bCs/>
                <w:sz w:val="24"/>
              </w:rPr>
              <w:t>服务</w:t>
            </w:r>
            <w:r>
              <w:rPr>
                <w:rFonts w:hint="eastAsia"/>
                <w:b/>
                <w:bCs/>
                <w:sz w:val="24"/>
              </w:rPr>
              <w:t>期</w:t>
            </w:r>
          </w:p>
        </w:tc>
        <w:tc>
          <w:tcPr>
            <w:tcW w:w="769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kern w:val="0"/>
                <w:sz w:val="24"/>
              </w:rPr>
            </w:pP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vAlign w:val="center"/>
          </w:tcPr>
          <w:p>
            <w:pPr>
              <w:jc w:val="left"/>
              <w:rPr>
                <w:rFonts w:ascii="宋体" w:hAnsi="宋体" w:cs="宋体"/>
                <w:kern w:val="0"/>
                <w:sz w:val="24"/>
              </w:rPr>
            </w:pPr>
            <w:r>
              <w:rPr>
                <w:rFonts w:hint="eastAsia" w:ascii="宋体" w:hAnsi="宋体" w:cs="宋体"/>
                <w:b/>
                <w:bCs/>
                <w:kern w:val="0"/>
                <w:sz w:val="24"/>
              </w:rPr>
              <w:t>总报价</w:t>
            </w:r>
          </w:p>
        </w:tc>
        <w:tc>
          <w:tcPr>
            <w:tcW w:w="769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kern w:val="0"/>
                <w:sz w:val="24"/>
              </w:rPr>
            </w:pPr>
            <w:r>
              <w:rPr>
                <w:rFonts w:hint="eastAsia" w:ascii="宋体" w:hAnsi="宋体" w:cs="宋体"/>
                <w:kern w:val="0"/>
                <w:sz w:val="24"/>
              </w:rPr>
              <w:t>（大写）人民币                      元整（￥           ）</w:t>
            </w: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2" w:space="0"/>
            </w:tcBorders>
            <w:vAlign w:val="center"/>
          </w:tcPr>
          <w:p>
            <w:pPr>
              <w:jc w:val="left"/>
              <w:rPr>
                <w:rFonts w:ascii="宋体" w:hAnsi="宋体" w:cs="宋体"/>
                <w:b/>
                <w:bCs/>
                <w:kern w:val="0"/>
                <w:sz w:val="24"/>
              </w:rPr>
            </w:pPr>
            <w:r>
              <w:rPr>
                <w:rFonts w:hint="eastAsia" w:ascii="宋体" w:hAnsi="宋体" w:cs="宋体"/>
                <w:b/>
                <w:bCs/>
                <w:kern w:val="0"/>
                <w:sz w:val="24"/>
              </w:rPr>
              <w:t>备注</w:t>
            </w:r>
          </w:p>
        </w:tc>
        <w:tc>
          <w:tcPr>
            <w:tcW w:w="7692" w:type="dxa"/>
            <w:tcBorders>
              <w:top w:val="single" w:color="000000" w:sz="4" w:space="0"/>
              <w:left w:val="single" w:color="000000" w:sz="4" w:space="0"/>
              <w:bottom w:val="single" w:color="000000" w:sz="2" w:space="0"/>
              <w:right w:val="single" w:color="000000" w:sz="4" w:space="0"/>
            </w:tcBorders>
            <w:vAlign w:val="center"/>
          </w:tcPr>
          <w:p>
            <w:pPr>
              <w:rPr>
                <w:rFonts w:ascii="宋体" w:hAnsi="宋体" w:cs="宋体"/>
                <w:kern w:val="0"/>
                <w:sz w:val="24"/>
              </w:rPr>
            </w:pPr>
          </w:p>
        </w:tc>
      </w:tr>
    </w:tbl>
    <w:p>
      <w:pPr>
        <w:spacing w:line="480" w:lineRule="exact"/>
        <w:ind w:firstLine="420"/>
        <w:rPr>
          <w:rFonts w:ascii="宋体" w:hAnsi="宋体" w:cs="宋体"/>
          <w:kern w:val="0"/>
          <w:sz w:val="24"/>
        </w:rPr>
      </w:pPr>
      <w:r>
        <w:rPr>
          <w:rFonts w:hint="eastAsia" w:ascii="宋体" w:hAnsi="宋体" w:cs="宋体"/>
          <w:kern w:val="0"/>
          <w:sz w:val="24"/>
        </w:rPr>
        <w:t>注：1.此表总报价是所有需采购人支付的金额总数，包括《招标内容》要求的全部内容。</w:t>
      </w:r>
    </w:p>
    <w:p>
      <w:pPr>
        <w:spacing w:line="480" w:lineRule="exact"/>
        <w:ind w:firstLine="420"/>
        <w:rPr>
          <w:rFonts w:ascii="宋体" w:hAnsi="宋体" w:cs="宋体"/>
          <w:kern w:val="0"/>
          <w:sz w:val="24"/>
        </w:rPr>
      </w:pPr>
      <w:r>
        <w:rPr>
          <w:rFonts w:hint="eastAsia" w:ascii="宋体" w:hAnsi="宋体" w:cs="宋体"/>
          <w:kern w:val="0"/>
          <w:sz w:val="24"/>
        </w:rPr>
        <w:t>2.总报价中必须包含合同实施过程中应预见和不可预见费用等完成本项目所需的一切费用。所有价格均应予人民币报价，金额单位为元。</w:t>
      </w:r>
    </w:p>
    <w:p>
      <w:pPr>
        <w:spacing w:line="480" w:lineRule="exact"/>
        <w:ind w:firstLine="420"/>
        <w:rPr>
          <w:rFonts w:ascii="宋体" w:hAnsi="宋体" w:cs="宋体"/>
          <w:kern w:val="0"/>
          <w:sz w:val="24"/>
        </w:rPr>
      </w:pPr>
      <w:r>
        <w:rPr>
          <w:rFonts w:hint="eastAsia" w:ascii="宋体" w:hAnsi="宋体" w:cs="宋体"/>
          <w:kern w:val="0"/>
          <w:sz w:val="24"/>
        </w:rPr>
        <w:t>3.此表应按“供应商须知”的规定密封标记并单独提交，同时在装订成册的响应文件中仍应提供本表。</w:t>
      </w:r>
    </w:p>
    <w:p>
      <w:pPr>
        <w:pStyle w:val="2"/>
        <w:tabs>
          <w:tab w:val="left" w:pos="8227"/>
        </w:tabs>
        <w:kinsoku w:val="0"/>
        <w:overflowPunct w:val="0"/>
        <w:spacing w:line="381" w:lineRule="auto"/>
        <w:ind w:left="4027" w:right="118"/>
        <w:rPr>
          <w:rFonts w:ascii="宋体" w:hAnsi="宋体" w:cs="宋体"/>
        </w:rPr>
      </w:pPr>
    </w:p>
    <w:p>
      <w:pPr>
        <w:spacing w:line="420" w:lineRule="exact"/>
        <w:ind w:right="480"/>
        <w:jc w:val="right"/>
        <w:rPr>
          <w:rFonts w:ascii="宋体" w:hAnsi="宋体" w:cs="宋体"/>
          <w:kern w:val="0"/>
          <w:sz w:val="24"/>
        </w:rPr>
      </w:pPr>
      <w:r>
        <w:rPr>
          <w:rFonts w:hint="eastAsia" w:ascii="宋体" w:hAnsi="宋体" w:cs="宋体"/>
          <w:kern w:val="0"/>
          <w:sz w:val="24"/>
        </w:rPr>
        <w:t>供应商：</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rPr>
        <w:t xml:space="preserve">（公章） </w:t>
      </w:r>
    </w:p>
    <w:p>
      <w:pPr>
        <w:wordWrap w:val="0"/>
        <w:spacing w:line="420" w:lineRule="exact"/>
        <w:ind w:firstLine="480" w:firstLineChars="200"/>
        <w:jc w:val="right"/>
        <w:rPr>
          <w:rFonts w:ascii="宋体" w:hAnsi="宋体" w:cs="宋体"/>
          <w:kern w:val="0"/>
          <w:sz w:val="24"/>
        </w:rPr>
      </w:pPr>
      <w:r>
        <w:rPr>
          <w:rFonts w:hint="eastAsia" w:ascii="宋体" w:hAnsi="宋体" w:cs="宋体"/>
          <w:kern w:val="0"/>
          <w:sz w:val="24"/>
        </w:rPr>
        <w:t>法定代表人或委托人：</w:t>
      </w:r>
      <w:r>
        <w:rPr>
          <w:rFonts w:hint="eastAsia" w:ascii="宋体" w:hAnsi="宋体" w:cs="宋体"/>
          <w:kern w:val="0"/>
          <w:sz w:val="24"/>
        </w:rPr>
        <w:tab/>
      </w:r>
      <w:r>
        <w:rPr>
          <w:rFonts w:hint="eastAsia" w:ascii="宋体" w:hAnsi="宋体" w:cs="宋体"/>
          <w:kern w:val="0"/>
          <w:sz w:val="24"/>
          <w:u w:val="single"/>
        </w:rPr>
        <w:t xml:space="preserve">        </w:t>
      </w:r>
      <w:r>
        <w:rPr>
          <w:rFonts w:hint="eastAsia" w:ascii="宋体" w:hAnsi="宋体" w:cs="宋体"/>
          <w:kern w:val="0"/>
          <w:sz w:val="24"/>
        </w:rPr>
        <w:t xml:space="preserve">（签字）    </w:t>
      </w:r>
    </w:p>
    <w:p>
      <w:pPr>
        <w:spacing w:line="420" w:lineRule="exact"/>
        <w:ind w:right="480" w:firstLine="5280" w:firstLineChars="2200"/>
        <w:rPr>
          <w:rFonts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u w:val="single"/>
        </w:rPr>
        <w:tab/>
      </w:r>
      <w:r>
        <w:rPr>
          <w:rFonts w:hint="eastAsia" w:ascii="宋体" w:hAnsi="宋体" w:cs="宋体"/>
          <w:kern w:val="0"/>
          <w:sz w:val="24"/>
        </w:rPr>
        <w:t>年</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pStyle w:val="2"/>
        <w:kinsoku w:val="0"/>
        <w:overflowPunct w:val="0"/>
        <w:spacing w:before="34" w:line="357" w:lineRule="auto"/>
        <w:ind w:right="126" w:firstLine="480"/>
        <w:jc w:val="center"/>
        <w:outlineLvl w:val="1"/>
        <w:rPr>
          <w:rFonts w:ascii="宋体" w:hAnsi="宋体" w:cs="宋体"/>
          <w:b/>
          <w:bCs/>
          <w:sz w:val="36"/>
          <w:szCs w:val="36"/>
        </w:rPr>
      </w:pPr>
      <w:r>
        <w:rPr>
          <w:rFonts w:hint="eastAsia" w:ascii="宋体" w:hAnsi="宋体" w:cs="宋体"/>
        </w:rPr>
        <w:br w:type="page"/>
      </w:r>
      <w:r>
        <w:rPr>
          <w:rFonts w:hint="eastAsia" w:ascii="宋体" w:hAnsi="宋体" w:cs="宋体"/>
          <w:b/>
          <w:bCs/>
          <w:sz w:val="36"/>
          <w:szCs w:val="36"/>
        </w:rPr>
        <w:t>六、投标报价汇总表</w:t>
      </w:r>
    </w:p>
    <w:p>
      <w:pPr>
        <w:rPr>
          <w:rFonts w:ascii="宋体" w:hAnsi="宋体" w:cs="宋体"/>
          <w:kern w:val="0"/>
          <w:sz w:val="24"/>
          <w:u w:val="single"/>
        </w:rPr>
      </w:pPr>
      <w:r>
        <w:rPr>
          <w:rFonts w:hint="eastAsia" w:ascii="宋体" w:hAnsi="宋体" w:cs="宋体"/>
          <w:kern w:val="0"/>
          <w:sz w:val="24"/>
        </w:rPr>
        <w:t>项目名称：</w:t>
      </w:r>
      <w:r>
        <w:rPr>
          <w:rFonts w:hint="eastAsia" w:ascii="宋体" w:hAnsi="宋体" w:cs="宋体"/>
          <w:kern w:val="0"/>
          <w:sz w:val="24"/>
          <w:u w:val="single"/>
        </w:rPr>
        <w:t>　            　　</w:t>
      </w:r>
    </w:p>
    <w:p>
      <w:pPr>
        <w:rPr>
          <w:rFonts w:ascii="宋体" w:hAnsi="宋体" w:cs="宋体"/>
          <w:kern w:val="0"/>
          <w:sz w:val="24"/>
          <w:u w:val="single"/>
        </w:rPr>
      </w:pPr>
      <w:r>
        <w:rPr>
          <w:rFonts w:hint="eastAsia" w:ascii="宋体" w:hAnsi="宋体" w:cs="宋体"/>
          <w:kern w:val="0"/>
          <w:sz w:val="24"/>
        </w:rPr>
        <w:t>项目编号：</w:t>
      </w:r>
      <w:r>
        <w:rPr>
          <w:rFonts w:hint="eastAsia" w:ascii="宋体" w:hAnsi="宋体" w:cs="宋体"/>
          <w:kern w:val="0"/>
          <w:sz w:val="24"/>
          <w:u w:val="single"/>
        </w:rPr>
        <w:t>　            　　</w:t>
      </w:r>
    </w:p>
    <w:tbl>
      <w:tblPr>
        <w:tblStyle w:val="2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327"/>
        <w:gridCol w:w="1871"/>
        <w:gridCol w:w="1052"/>
        <w:gridCol w:w="1106"/>
        <w:gridCol w:w="929"/>
        <w:gridCol w:w="1158"/>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vAlign w:val="center"/>
          </w:tcPr>
          <w:p>
            <w:pPr>
              <w:rPr>
                <w:rFonts w:ascii="宋体" w:hAnsi="宋体" w:cs="宋体"/>
                <w:kern w:val="0"/>
                <w:sz w:val="24"/>
              </w:rPr>
            </w:pPr>
            <w:r>
              <w:rPr>
                <w:rFonts w:hint="eastAsia" w:ascii="宋体" w:hAnsi="宋体" w:cs="宋体"/>
                <w:kern w:val="0"/>
                <w:sz w:val="24"/>
              </w:rPr>
              <w:t>一、货物详列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vAlign w:val="center"/>
          </w:tcPr>
          <w:p>
            <w:pPr>
              <w:rPr>
                <w:rFonts w:ascii="宋体" w:hAnsi="宋体" w:cs="宋体"/>
                <w:kern w:val="0"/>
                <w:sz w:val="24"/>
              </w:rPr>
            </w:pPr>
            <w:r>
              <w:rPr>
                <w:rFonts w:hint="eastAsia" w:ascii="宋体" w:hAnsi="宋体" w:cs="宋体"/>
                <w:kern w:val="0"/>
                <w:sz w:val="24"/>
              </w:rPr>
              <w:t>序号</w:t>
            </w:r>
          </w:p>
        </w:tc>
        <w:tc>
          <w:tcPr>
            <w:tcW w:w="1327" w:type="dxa"/>
            <w:vAlign w:val="center"/>
          </w:tcPr>
          <w:p>
            <w:pPr>
              <w:rPr>
                <w:rFonts w:ascii="宋体" w:hAnsi="宋体" w:cs="宋体"/>
                <w:kern w:val="0"/>
                <w:sz w:val="24"/>
              </w:rPr>
            </w:pPr>
            <w:r>
              <w:rPr>
                <w:rFonts w:hint="eastAsia" w:ascii="宋体" w:hAnsi="宋体" w:cs="宋体"/>
                <w:kern w:val="0"/>
                <w:sz w:val="24"/>
              </w:rPr>
              <w:t>分项名称</w:t>
            </w:r>
          </w:p>
        </w:tc>
        <w:tc>
          <w:tcPr>
            <w:tcW w:w="1871" w:type="dxa"/>
            <w:vAlign w:val="center"/>
          </w:tcPr>
          <w:p>
            <w:pPr>
              <w:rPr>
                <w:rFonts w:ascii="宋体" w:hAnsi="宋体" w:cs="宋体"/>
                <w:kern w:val="0"/>
                <w:sz w:val="24"/>
              </w:rPr>
            </w:pPr>
            <w:r>
              <w:rPr>
                <w:rFonts w:hint="eastAsia" w:ascii="宋体" w:hAnsi="宋体" w:cs="宋体"/>
                <w:kern w:val="0"/>
                <w:sz w:val="24"/>
              </w:rPr>
              <w:t>主要技术参数</w:t>
            </w:r>
          </w:p>
        </w:tc>
        <w:tc>
          <w:tcPr>
            <w:tcW w:w="1052" w:type="dxa"/>
            <w:vAlign w:val="center"/>
          </w:tcPr>
          <w:p>
            <w:pPr>
              <w:rPr>
                <w:rFonts w:ascii="宋体" w:hAnsi="宋体" w:cs="宋体"/>
                <w:kern w:val="0"/>
                <w:sz w:val="24"/>
              </w:rPr>
            </w:pPr>
            <w:r>
              <w:rPr>
                <w:rFonts w:hint="eastAsia" w:ascii="宋体" w:hAnsi="宋体" w:cs="宋体"/>
                <w:kern w:val="0"/>
                <w:sz w:val="24"/>
              </w:rPr>
              <w:t>制造商</w:t>
            </w:r>
          </w:p>
        </w:tc>
        <w:tc>
          <w:tcPr>
            <w:tcW w:w="1106" w:type="dxa"/>
            <w:vAlign w:val="center"/>
          </w:tcPr>
          <w:p>
            <w:pPr>
              <w:rPr>
                <w:rFonts w:ascii="宋体" w:hAnsi="宋体" w:cs="宋体"/>
                <w:kern w:val="0"/>
                <w:sz w:val="24"/>
              </w:rPr>
            </w:pPr>
            <w:r>
              <w:rPr>
                <w:rFonts w:hint="eastAsia" w:ascii="宋体" w:hAnsi="宋体" w:cs="宋体"/>
                <w:kern w:val="0"/>
                <w:sz w:val="24"/>
              </w:rPr>
              <w:t>数量</w:t>
            </w:r>
          </w:p>
        </w:tc>
        <w:tc>
          <w:tcPr>
            <w:tcW w:w="929" w:type="dxa"/>
            <w:vAlign w:val="center"/>
          </w:tcPr>
          <w:p>
            <w:pPr>
              <w:rPr>
                <w:rFonts w:ascii="宋体" w:hAnsi="宋体" w:cs="宋体"/>
                <w:kern w:val="0"/>
                <w:sz w:val="24"/>
              </w:rPr>
            </w:pPr>
            <w:r>
              <w:rPr>
                <w:rFonts w:hint="eastAsia" w:ascii="宋体" w:hAnsi="宋体" w:cs="宋体"/>
                <w:kern w:val="0"/>
                <w:sz w:val="24"/>
              </w:rPr>
              <w:t>单价</w:t>
            </w:r>
          </w:p>
        </w:tc>
        <w:tc>
          <w:tcPr>
            <w:tcW w:w="1158" w:type="dxa"/>
            <w:tcBorders>
              <w:right w:val="single" w:color="auto" w:sz="4" w:space="0"/>
            </w:tcBorders>
            <w:vAlign w:val="center"/>
          </w:tcPr>
          <w:p>
            <w:pPr>
              <w:rPr>
                <w:rFonts w:ascii="宋体" w:hAnsi="宋体" w:cs="宋体"/>
                <w:kern w:val="0"/>
                <w:sz w:val="24"/>
              </w:rPr>
            </w:pPr>
            <w:r>
              <w:rPr>
                <w:rFonts w:hint="eastAsia" w:ascii="宋体" w:hAnsi="宋体" w:cs="宋体"/>
                <w:kern w:val="0"/>
                <w:sz w:val="24"/>
              </w:rPr>
              <w:t>合计（元）</w:t>
            </w:r>
          </w:p>
        </w:tc>
        <w:tc>
          <w:tcPr>
            <w:tcW w:w="1544" w:type="dxa"/>
            <w:tcBorders>
              <w:left w:val="single" w:color="auto" w:sz="4" w:space="0"/>
              <w:right w:val="single" w:color="auto" w:sz="4" w:space="0"/>
            </w:tcBorders>
            <w:vAlign w:val="center"/>
          </w:tcPr>
          <w:p>
            <w:pP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ascii="宋体" w:hAnsi="宋体" w:cs="宋体"/>
                <w:kern w:val="0"/>
                <w:sz w:val="24"/>
              </w:rPr>
            </w:pPr>
          </w:p>
        </w:tc>
        <w:tc>
          <w:tcPr>
            <w:tcW w:w="1327" w:type="dxa"/>
            <w:vAlign w:val="center"/>
          </w:tcPr>
          <w:p>
            <w:pPr>
              <w:rPr>
                <w:rFonts w:ascii="宋体" w:hAnsi="宋体" w:cs="宋体"/>
                <w:kern w:val="0"/>
                <w:sz w:val="24"/>
              </w:rPr>
            </w:pPr>
          </w:p>
        </w:tc>
        <w:tc>
          <w:tcPr>
            <w:tcW w:w="1871" w:type="dxa"/>
            <w:vAlign w:val="center"/>
          </w:tcPr>
          <w:p>
            <w:pPr>
              <w:rPr>
                <w:rFonts w:ascii="宋体" w:hAnsi="宋体" w:cs="宋体"/>
                <w:kern w:val="0"/>
                <w:sz w:val="24"/>
              </w:rPr>
            </w:pPr>
          </w:p>
        </w:tc>
        <w:tc>
          <w:tcPr>
            <w:tcW w:w="1052" w:type="dxa"/>
            <w:vAlign w:val="center"/>
          </w:tcPr>
          <w:p>
            <w:pPr>
              <w:rPr>
                <w:rFonts w:ascii="宋体" w:hAnsi="宋体" w:cs="宋体"/>
                <w:kern w:val="0"/>
                <w:sz w:val="24"/>
              </w:rPr>
            </w:pPr>
          </w:p>
        </w:tc>
        <w:tc>
          <w:tcPr>
            <w:tcW w:w="1106" w:type="dxa"/>
            <w:vAlign w:val="center"/>
          </w:tcPr>
          <w:p>
            <w:pPr>
              <w:rPr>
                <w:rFonts w:ascii="宋体" w:hAnsi="宋体" w:cs="宋体"/>
                <w:kern w:val="0"/>
                <w:sz w:val="24"/>
              </w:rPr>
            </w:pPr>
          </w:p>
        </w:tc>
        <w:tc>
          <w:tcPr>
            <w:tcW w:w="929" w:type="dxa"/>
            <w:vAlign w:val="center"/>
          </w:tcPr>
          <w:p>
            <w:pPr>
              <w:rPr>
                <w:rFonts w:ascii="宋体" w:hAnsi="宋体" w:cs="宋体"/>
                <w:kern w:val="0"/>
                <w:sz w:val="24"/>
              </w:rPr>
            </w:pPr>
          </w:p>
        </w:tc>
        <w:tc>
          <w:tcPr>
            <w:tcW w:w="1158" w:type="dxa"/>
            <w:tcBorders>
              <w:right w:val="single" w:color="auto" w:sz="4" w:space="0"/>
            </w:tcBorders>
            <w:vAlign w:val="center"/>
          </w:tcPr>
          <w:p>
            <w:pPr>
              <w:rPr>
                <w:rFonts w:ascii="宋体" w:hAnsi="宋体" w:cs="宋体"/>
                <w:kern w:val="0"/>
                <w:sz w:val="24"/>
              </w:rPr>
            </w:pPr>
          </w:p>
        </w:tc>
        <w:tc>
          <w:tcPr>
            <w:tcW w:w="1544" w:type="dxa"/>
            <w:tcBorders>
              <w:left w:val="single" w:color="auto" w:sz="4" w:space="0"/>
              <w:right w:val="single" w:color="auto" w:sz="4" w:space="0"/>
            </w:tcBorders>
            <w:vAlign w:val="center"/>
          </w:tcPr>
          <w:p>
            <w:pP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ascii="宋体" w:hAnsi="宋体" w:cs="宋体"/>
                <w:kern w:val="0"/>
                <w:sz w:val="24"/>
              </w:rPr>
            </w:pPr>
          </w:p>
        </w:tc>
        <w:tc>
          <w:tcPr>
            <w:tcW w:w="1327" w:type="dxa"/>
            <w:vAlign w:val="center"/>
          </w:tcPr>
          <w:p>
            <w:pPr>
              <w:rPr>
                <w:rFonts w:ascii="宋体" w:hAnsi="宋体" w:cs="宋体"/>
                <w:kern w:val="0"/>
                <w:sz w:val="24"/>
              </w:rPr>
            </w:pPr>
          </w:p>
        </w:tc>
        <w:tc>
          <w:tcPr>
            <w:tcW w:w="1871" w:type="dxa"/>
            <w:vAlign w:val="center"/>
          </w:tcPr>
          <w:p>
            <w:pPr>
              <w:rPr>
                <w:rFonts w:ascii="宋体" w:hAnsi="宋体" w:cs="宋体"/>
                <w:kern w:val="0"/>
                <w:sz w:val="24"/>
              </w:rPr>
            </w:pPr>
          </w:p>
        </w:tc>
        <w:tc>
          <w:tcPr>
            <w:tcW w:w="1052" w:type="dxa"/>
            <w:vAlign w:val="center"/>
          </w:tcPr>
          <w:p>
            <w:pPr>
              <w:rPr>
                <w:rFonts w:ascii="宋体" w:hAnsi="宋体" w:cs="宋体"/>
                <w:kern w:val="0"/>
                <w:sz w:val="24"/>
              </w:rPr>
            </w:pPr>
          </w:p>
        </w:tc>
        <w:tc>
          <w:tcPr>
            <w:tcW w:w="1106" w:type="dxa"/>
            <w:vAlign w:val="center"/>
          </w:tcPr>
          <w:p>
            <w:pPr>
              <w:rPr>
                <w:rFonts w:ascii="宋体" w:hAnsi="宋体" w:cs="宋体"/>
                <w:kern w:val="0"/>
                <w:sz w:val="24"/>
              </w:rPr>
            </w:pPr>
          </w:p>
        </w:tc>
        <w:tc>
          <w:tcPr>
            <w:tcW w:w="929" w:type="dxa"/>
            <w:vAlign w:val="center"/>
          </w:tcPr>
          <w:p>
            <w:pPr>
              <w:rPr>
                <w:rFonts w:ascii="宋体" w:hAnsi="宋体" w:cs="宋体"/>
                <w:kern w:val="0"/>
                <w:sz w:val="24"/>
              </w:rPr>
            </w:pPr>
          </w:p>
        </w:tc>
        <w:tc>
          <w:tcPr>
            <w:tcW w:w="1158" w:type="dxa"/>
            <w:tcBorders>
              <w:right w:val="single" w:color="auto" w:sz="4" w:space="0"/>
            </w:tcBorders>
            <w:vAlign w:val="center"/>
          </w:tcPr>
          <w:p>
            <w:pPr>
              <w:rPr>
                <w:rFonts w:ascii="宋体" w:hAnsi="宋体" w:cs="宋体"/>
                <w:kern w:val="0"/>
                <w:sz w:val="24"/>
              </w:rPr>
            </w:pPr>
          </w:p>
        </w:tc>
        <w:tc>
          <w:tcPr>
            <w:tcW w:w="1544" w:type="dxa"/>
            <w:tcBorders>
              <w:left w:val="single" w:color="auto" w:sz="4" w:space="0"/>
              <w:right w:val="single" w:color="auto" w:sz="4" w:space="0"/>
            </w:tcBorders>
            <w:vAlign w:val="center"/>
          </w:tcPr>
          <w:p>
            <w:pP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ascii="宋体" w:hAnsi="宋体" w:cs="宋体"/>
                <w:kern w:val="0"/>
                <w:sz w:val="24"/>
              </w:rPr>
            </w:pPr>
          </w:p>
        </w:tc>
        <w:tc>
          <w:tcPr>
            <w:tcW w:w="1327" w:type="dxa"/>
            <w:vAlign w:val="center"/>
          </w:tcPr>
          <w:p>
            <w:pPr>
              <w:rPr>
                <w:rFonts w:ascii="宋体" w:hAnsi="宋体" w:cs="宋体"/>
                <w:kern w:val="0"/>
                <w:sz w:val="24"/>
              </w:rPr>
            </w:pPr>
          </w:p>
        </w:tc>
        <w:tc>
          <w:tcPr>
            <w:tcW w:w="1871" w:type="dxa"/>
            <w:vAlign w:val="center"/>
          </w:tcPr>
          <w:p>
            <w:pPr>
              <w:rPr>
                <w:rFonts w:ascii="宋体" w:hAnsi="宋体" w:cs="宋体"/>
                <w:kern w:val="0"/>
                <w:sz w:val="24"/>
              </w:rPr>
            </w:pPr>
          </w:p>
        </w:tc>
        <w:tc>
          <w:tcPr>
            <w:tcW w:w="1052" w:type="dxa"/>
            <w:vAlign w:val="center"/>
          </w:tcPr>
          <w:p>
            <w:pPr>
              <w:rPr>
                <w:rFonts w:ascii="宋体" w:hAnsi="宋体" w:cs="宋体"/>
                <w:kern w:val="0"/>
                <w:sz w:val="24"/>
              </w:rPr>
            </w:pPr>
          </w:p>
        </w:tc>
        <w:tc>
          <w:tcPr>
            <w:tcW w:w="1106" w:type="dxa"/>
            <w:vAlign w:val="center"/>
          </w:tcPr>
          <w:p>
            <w:pPr>
              <w:rPr>
                <w:rFonts w:ascii="宋体" w:hAnsi="宋体" w:cs="宋体"/>
                <w:kern w:val="0"/>
                <w:sz w:val="24"/>
              </w:rPr>
            </w:pPr>
          </w:p>
        </w:tc>
        <w:tc>
          <w:tcPr>
            <w:tcW w:w="929" w:type="dxa"/>
            <w:vAlign w:val="center"/>
          </w:tcPr>
          <w:p>
            <w:pPr>
              <w:rPr>
                <w:rFonts w:ascii="宋体" w:hAnsi="宋体" w:cs="宋体"/>
                <w:kern w:val="0"/>
                <w:sz w:val="24"/>
              </w:rPr>
            </w:pPr>
          </w:p>
        </w:tc>
        <w:tc>
          <w:tcPr>
            <w:tcW w:w="1158" w:type="dxa"/>
            <w:tcBorders>
              <w:right w:val="single" w:color="auto" w:sz="4" w:space="0"/>
            </w:tcBorders>
            <w:vAlign w:val="center"/>
          </w:tcPr>
          <w:p>
            <w:pPr>
              <w:rPr>
                <w:rFonts w:ascii="宋体" w:hAnsi="宋体" w:cs="宋体"/>
                <w:kern w:val="0"/>
                <w:sz w:val="24"/>
              </w:rPr>
            </w:pPr>
          </w:p>
        </w:tc>
        <w:tc>
          <w:tcPr>
            <w:tcW w:w="1544" w:type="dxa"/>
            <w:tcBorders>
              <w:left w:val="single" w:color="auto" w:sz="4" w:space="0"/>
              <w:right w:val="single" w:color="auto" w:sz="4" w:space="0"/>
            </w:tcBorders>
            <w:vAlign w:val="center"/>
          </w:tcPr>
          <w:p>
            <w:pP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bottom w:val="single" w:color="auto" w:sz="4" w:space="0"/>
            </w:tcBorders>
            <w:vAlign w:val="center"/>
          </w:tcPr>
          <w:p>
            <w:pPr>
              <w:rPr>
                <w:rFonts w:ascii="宋体" w:hAnsi="宋体" w:cs="宋体"/>
                <w:kern w:val="0"/>
                <w:sz w:val="24"/>
              </w:rPr>
            </w:pPr>
            <w:r>
              <w:rPr>
                <w:rFonts w:hint="eastAsia" w:ascii="宋体" w:hAnsi="宋体" w:cs="宋体"/>
                <w:kern w:val="0"/>
                <w:sz w:val="24"/>
              </w:rPr>
              <w:t>合　　计</w:t>
            </w:r>
          </w:p>
        </w:tc>
        <w:tc>
          <w:tcPr>
            <w:tcW w:w="3087" w:type="dxa"/>
            <w:gridSpan w:val="3"/>
            <w:tcBorders>
              <w:bottom w:val="single" w:color="auto" w:sz="4" w:space="0"/>
            </w:tcBorders>
            <w:vAlign w:val="center"/>
          </w:tcPr>
          <w:p>
            <w:pPr>
              <w:rPr>
                <w:rFonts w:ascii="宋体" w:hAnsi="宋体" w:cs="宋体"/>
                <w:kern w:val="0"/>
                <w:sz w:val="24"/>
              </w:rPr>
            </w:pPr>
            <w:r>
              <w:rPr>
                <w:rFonts w:hint="eastAsia" w:ascii="宋体" w:hAnsi="宋体" w:cs="宋体"/>
                <w:kern w:val="0"/>
                <w:sz w:val="24"/>
              </w:rPr>
              <w:t>数量合计：</w:t>
            </w:r>
          </w:p>
        </w:tc>
        <w:tc>
          <w:tcPr>
            <w:tcW w:w="2702" w:type="dxa"/>
            <w:gridSpan w:val="2"/>
            <w:tcBorders>
              <w:bottom w:val="single" w:color="auto" w:sz="4" w:space="0"/>
              <w:right w:val="single" w:color="auto" w:sz="4" w:space="0"/>
            </w:tcBorders>
            <w:vAlign w:val="center"/>
          </w:tcPr>
          <w:p>
            <w:pPr>
              <w:rPr>
                <w:rFonts w:ascii="宋体" w:hAnsi="宋体" w:cs="宋体"/>
                <w:kern w:val="0"/>
                <w:sz w:val="24"/>
              </w:rPr>
            </w:pPr>
            <w:r>
              <w:rPr>
                <w:rFonts w:hint="eastAsia" w:ascii="宋体" w:hAnsi="宋体" w:cs="宋体"/>
                <w:kern w:val="0"/>
                <w:sz w:val="24"/>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vAlign w:val="center"/>
          </w:tcPr>
          <w:p>
            <w:pPr>
              <w:rPr>
                <w:rFonts w:ascii="宋体" w:hAnsi="宋体" w:cs="宋体"/>
                <w:kern w:val="0"/>
                <w:sz w:val="24"/>
              </w:rPr>
            </w:pPr>
            <w:r>
              <w:rPr>
                <w:rFonts w:hint="eastAsia" w:ascii="宋体" w:hAnsi="宋体" w:cs="宋体"/>
                <w:kern w:val="0"/>
                <w:sz w:val="24"/>
              </w:rPr>
              <w:t>二、伴随服务详列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vAlign w:val="center"/>
          </w:tcPr>
          <w:p>
            <w:pPr>
              <w:rPr>
                <w:rFonts w:ascii="宋体" w:hAnsi="宋体" w:cs="宋体"/>
                <w:kern w:val="0"/>
                <w:sz w:val="24"/>
              </w:rPr>
            </w:pPr>
            <w:r>
              <w:rPr>
                <w:rFonts w:hint="eastAsia" w:ascii="宋体" w:hAnsi="宋体" w:cs="宋体"/>
                <w:kern w:val="0"/>
                <w:sz w:val="24"/>
              </w:rPr>
              <w:t>序号</w:t>
            </w:r>
          </w:p>
        </w:tc>
        <w:tc>
          <w:tcPr>
            <w:tcW w:w="1327" w:type="dxa"/>
            <w:vAlign w:val="center"/>
          </w:tcPr>
          <w:p>
            <w:pPr>
              <w:rPr>
                <w:rFonts w:ascii="宋体" w:hAnsi="宋体" w:cs="宋体"/>
                <w:kern w:val="0"/>
                <w:sz w:val="24"/>
              </w:rPr>
            </w:pPr>
            <w:r>
              <w:rPr>
                <w:rFonts w:hint="eastAsia" w:ascii="宋体" w:hAnsi="宋体" w:cs="宋体"/>
                <w:kern w:val="0"/>
                <w:sz w:val="24"/>
              </w:rPr>
              <w:t>分项名称</w:t>
            </w:r>
          </w:p>
        </w:tc>
        <w:tc>
          <w:tcPr>
            <w:tcW w:w="1871" w:type="dxa"/>
            <w:vAlign w:val="center"/>
          </w:tcPr>
          <w:p>
            <w:pPr>
              <w:rPr>
                <w:rFonts w:ascii="宋体" w:hAnsi="宋体" w:cs="宋体"/>
                <w:kern w:val="0"/>
                <w:sz w:val="24"/>
              </w:rPr>
            </w:pPr>
            <w:r>
              <w:rPr>
                <w:rFonts w:hint="eastAsia" w:ascii="宋体" w:hAnsi="宋体" w:cs="宋体"/>
                <w:kern w:val="0"/>
                <w:sz w:val="24"/>
              </w:rPr>
              <w:t>具体服务内容</w:t>
            </w:r>
          </w:p>
        </w:tc>
        <w:tc>
          <w:tcPr>
            <w:tcW w:w="1052" w:type="dxa"/>
            <w:vAlign w:val="center"/>
          </w:tcPr>
          <w:p>
            <w:pPr>
              <w:rPr>
                <w:rFonts w:ascii="宋体" w:hAnsi="宋体" w:cs="宋体"/>
                <w:kern w:val="0"/>
                <w:sz w:val="24"/>
              </w:rPr>
            </w:pPr>
            <w:r>
              <w:rPr>
                <w:rFonts w:hint="eastAsia" w:ascii="宋体" w:hAnsi="宋体" w:cs="宋体"/>
                <w:kern w:val="0"/>
                <w:sz w:val="24"/>
              </w:rPr>
              <w:t>单位</w:t>
            </w:r>
          </w:p>
        </w:tc>
        <w:tc>
          <w:tcPr>
            <w:tcW w:w="1106" w:type="dxa"/>
            <w:vAlign w:val="center"/>
          </w:tcPr>
          <w:p>
            <w:pPr>
              <w:rPr>
                <w:rFonts w:ascii="宋体" w:hAnsi="宋体" w:cs="宋体"/>
                <w:kern w:val="0"/>
                <w:sz w:val="24"/>
              </w:rPr>
            </w:pPr>
            <w:r>
              <w:rPr>
                <w:rFonts w:hint="eastAsia" w:ascii="宋体" w:hAnsi="宋体" w:cs="宋体"/>
                <w:kern w:val="0"/>
                <w:sz w:val="24"/>
              </w:rPr>
              <w:t>数量</w:t>
            </w:r>
          </w:p>
        </w:tc>
        <w:tc>
          <w:tcPr>
            <w:tcW w:w="929" w:type="dxa"/>
            <w:vAlign w:val="center"/>
          </w:tcPr>
          <w:p>
            <w:pPr>
              <w:rPr>
                <w:rFonts w:ascii="宋体" w:hAnsi="宋体" w:cs="宋体"/>
                <w:kern w:val="0"/>
                <w:sz w:val="24"/>
              </w:rPr>
            </w:pPr>
            <w:r>
              <w:rPr>
                <w:rFonts w:hint="eastAsia" w:ascii="宋体" w:hAnsi="宋体" w:cs="宋体"/>
                <w:kern w:val="0"/>
                <w:sz w:val="24"/>
              </w:rPr>
              <w:t>单价</w:t>
            </w:r>
          </w:p>
        </w:tc>
        <w:tc>
          <w:tcPr>
            <w:tcW w:w="1158" w:type="dxa"/>
            <w:vAlign w:val="center"/>
          </w:tcPr>
          <w:p>
            <w:pPr>
              <w:rPr>
                <w:rFonts w:ascii="宋体" w:hAnsi="宋体" w:cs="宋体"/>
                <w:kern w:val="0"/>
                <w:sz w:val="24"/>
              </w:rPr>
            </w:pPr>
            <w:r>
              <w:rPr>
                <w:rFonts w:hint="eastAsia" w:ascii="宋体" w:hAnsi="宋体" w:cs="宋体"/>
                <w:kern w:val="0"/>
                <w:sz w:val="24"/>
              </w:rPr>
              <w:t>合计（元）</w:t>
            </w:r>
          </w:p>
        </w:tc>
        <w:tc>
          <w:tcPr>
            <w:tcW w:w="1544" w:type="dxa"/>
            <w:tcBorders>
              <w:right w:val="single" w:color="auto" w:sz="4" w:space="0"/>
            </w:tcBorders>
            <w:vAlign w:val="center"/>
          </w:tcPr>
          <w:p>
            <w:pPr>
              <w:rPr>
                <w:rFonts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ascii="宋体" w:hAnsi="宋体" w:cs="宋体"/>
                <w:kern w:val="0"/>
                <w:sz w:val="24"/>
              </w:rPr>
            </w:pPr>
          </w:p>
        </w:tc>
        <w:tc>
          <w:tcPr>
            <w:tcW w:w="1327" w:type="dxa"/>
            <w:vAlign w:val="center"/>
          </w:tcPr>
          <w:p>
            <w:pPr>
              <w:rPr>
                <w:rFonts w:ascii="宋体" w:hAnsi="宋体" w:cs="宋体"/>
                <w:kern w:val="0"/>
                <w:sz w:val="24"/>
              </w:rPr>
            </w:pPr>
          </w:p>
        </w:tc>
        <w:tc>
          <w:tcPr>
            <w:tcW w:w="1871" w:type="dxa"/>
            <w:vAlign w:val="center"/>
          </w:tcPr>
          <w:p>
            <w:pPr>
              <w:rPr>
                <w:rFonts w:ascii="宋体" w:hAnsi="宋体" w:cs="宋体"/>
                <w:kern w:val="0"/>
                <w:sz w:val="24"/>
              </w:rPr>
            </w:pPr>
          </w:p>
        </w:tc>
        <w:tc>
          <w:tcPr>
            <w:tcW w:w="1052" w:type="dxa"/>
            <w:vAlign w:val="center"/>
          </w:tcPr>
          <w:p>
            <w:pPr>
              <w:rPr>
                <w:rFonts w:ascii="宋体" w:hAnsi="宋体" w:cs="宋体"/>
                <w:kern w:val="0"/>
                <w:sz w:val="24"/>
              </w:rPr>
            </w:pPr>
          </w:p>
        </w:tc>
        <w:tc>
          <w:tcPr>
            <w:tcW w:w="1106" w:type="dxa"/>
            <w:vAlign w:val="center"/>
          </w:tcPr>
          <w:p>
            <w:pPr>
              <w:rPr>
                <w:rFonts w:ascii="宋体" w:hAnsi="宋体" w:cs="宋体"/>
                <w:kern w:val="0"/>
                <w:sz w:val="24"/>
              </w:rPr>
            </w:pPr>
          </w:p>
        </w:tc>
        <w:tc>
          <w:tcPr>
            <w:tcW w:w="929" w:type="dxa"/>
            <w:vAlign w:val="center"/>
          </w:tcPr>
          <w:p>
            <w:pPr>
              <w:rPr>
                <w:rFonts w:ascii="宋体" w:hAnsi="宋体" w:cs="宋体"/>
                <w:kern w:val="0"/>
                <w:sz w:val="24"/>
              </w:rPr>
            </w:pPr>
          </w:p>
        </w:tc>
        <w:tc>
          <w:tcPr>
            <w:tcW w:w="1158" w:type="dxa"/>
            <w:vAlign w:val="center"/>
          </w:tcPr>
          <w:p>
            <w:pPr>
              <w:rPr>
                <w:rFonts w:ascii="宋体" w:hAnsi="宋体" w:cs="宋体"/>
                <w:kern w:val="0"/>
                <w:sz w:val="24"/>
              </w:rPr>
            </w:pPr>
          </w:p>
        </w:tc>
        <w:tc>
          <w:tcPr>
            <w:tcW w:w="1544" w:type="dxa"/>
            <w:tcBorders>
              <w:right w:val="single" w:color="auto" w:sz="4" w:space="0"/>
            </w:tcBorders>
            <w:vAlign w:val="center"/>
          </w:tcPr>
          <w:p>
            <w:pP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ascii="宋体" w:hAnsi="宋体" w:cs="宋体"/>
                <w:kern w:val="0"/>
                <w:sz w:val="24"/>
              </w:rPr>
            </w:pPr>
          </w:p>
        </w:tc>
        <w:tc>
          <w:tcPr>
            <w:tcW w:w="1327" w:type="dxa"/>
            <w:vAlign w:val="center"/>
          </w:tcPr>
          <w:p>
            <w:pPr>
              <w:rPr>
                <w:rFonts w:ascii="宋体" w:hAnsi="宋体" w:cs="宋体"/>
                <w:kern w:val="0"/>
                <w:sz w:val="24"/>
              </w:rPr>
            </w:pPr>
          </w:p>
        </w:tc>
        <w:tc>
          <w:tcPr>
            <w:tcW w:w="1871" w:type="dxa"/>
            <w:vAlign w:val="center"/>
          </w:tcPr>
          <w:p>
            <w:pPr>
              <w:rPr>
                <w:rFonts w:ascii="宋体" w:hAnsi="宋体" w:cs="宋体"/>
                <w:kern w:val="0"/>
                <w:sz w:val="24"/>
              </w:rPr>
            </w:pPr>
          </w:p>
        </w:tc>
        <w:tc>
          <w:tcPr>
            <w:tcW w:w="1052" w:type="dxa"/>
            <w:vAlign w:val="center"/>
          </w:tcPr>
          <w:p>
            <w:pPr>
              <w:rPr>
                <w:rFonts w:ascii="宋体" w:hAnsi="宋体" w:cs="宋体"/>
                <w:kern w:val="0"/>
                <w:sz w:val="24"/>
              </w:rPr>
            </w:pPr>
          </w:p>
        </w:tc>
        <w:tc>
          <w:tcPr>
            <w:tcW w:w="1106" w:type="dxa"/>
            <w:vAlign w:val="center"/>
          </w:tcPr>
          <w:p>
            <w:pPr>
              <w:rPr>
                <w:rFonts w:ascii="宋体" w:hAnsi="宋体" w:cs="宋体"/>
                <w:kern w:val="0"/>
                <w:sz w:val="24"/>
              </w:rPr>
            </w:pPr>
          </w:p>
        </w:tc>
        <w:tc>
          <w:tcPr>
            <w:tcW w:w="929" w:type="dxa"/>
            <w:vAlign w:val="center"/>
          </w:tcPr>
          <w:p>
            <w:pPr>
              <w:rPr>
                <w:rFonts w:ascii="宋体" w:hAnsi="宋体" w:cs="宋体"/>
                <w:kern w:val="0"/>
                <w:sz w:val="24"/>
              </w:rPr>
            </w:pPr>
          </w:p>
        </w:tc>
        <w:tc>
          <w:tcPr>
            <w:tcW w:w="1158" w:type="dxa"/>
            <w:vAlign w:val="center"/>
          </w:tcPr>
          <w:p>
            <w:pPr>
              <w:rPr>
                <w:rFonts w:ascii="宋体" w:hAnsi="宋体" w:cs="宋体"/>
                <w:kern w:val="0"/>
                <w:sz w:val="24"/>
              </w:rPr>
            </w:pPr>
          </w:p>
        </w:tc>
        <w:tc>
          <w:tcPr>
            <w:tcW w:w="1544" w:type="dxa"/>
            <w:tcBorders>
              <w:right w:val="single" w:color="auto" w:sz="4" w:space="0"/>
            </w:tcBorders>
            <w:vAlign w:val="center"/>
          </w:tcPr>
          <w:p>
            <w:pP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ascii="宋体" w:hAnsi="宋体" w:cs="宋体"/>
                <w:kern w:val="0"/>
                <w:sz w:val="24"/>
              </w:rPr>
            </w:pPr>
          </w:p>
        </w:tc>
        <w:tc>
          <w:tcPr>
            <w:tcW w:w="1327" w:type="dxa"/>
            <w:vAlign w:val="center"/>
          </w:tcPr>
          <w:p>
            <w:pPr>
              <w:rPr>
                <w:rFonts w:ascii="宋体" w:hAnsi="宋体" w:cs="宋体"/>
                <w:kern w:val="0"/>
                <w:sz w:val="24"/>
              </w:rPr>
            </w:pPr>
          </w:p>
        </w:tc>
        <w:tc>
          <w:tcPr>
            <w:tcW w:w="1871" w:type="dxa"/>
            <w:vAlign w:val="center"/>
          </w:tcPr>
          <w:p>
            <w:pPr>
              <w:rPr>
                <w:rFonts w:ascii="宋体" w:hAnsi="宋体" w:cs="宋体"/>
                <w:kern w:val="0"/>
                <w:sz w:val="24"/>
              </w:rPr>
            </w:pPr>
          </w:p>
        </w:tc>
        <w:tc>
          <w:tcPr>
            <w:tcW w:w="1052" w:type="dxa"/>
            <w:vAlign w:val="center"/>
          </w:tcPr>
          <w:p>
            <w:pPr>
              <w:rPr>
                <w:rFonts w:ascii="宋体" w:hAnsi="宋体" w:cs="宋体"/>
                <w:kern w:val="0"/>
                <w:sz w:val="24"/>
              </w:rPr>
            </w:pPr>
          </w:p>
        </w:tc>
        <w:tc>
          <w:tcPr>
            <w:tcW w:w="1106" w:type="dxa"/>
            <w:vAlign w:val="center"/>
          </w:tcPr>
          <w:p>
            <w:pPr>
              <w:rPr>
                <w:rFonts w:ascii="宋体" w:hAnsi="宋体" w:cs="宋体"/>
                <w:kern w:val="0"/>
                <w:sz w:val="24"/>
              </w:rPr>
            </w:pPr>
          </w:p>
        </w:tc>
        <w:tc>
          <w:tcPr>
            <w:tcW w:w="929" w:type="dxa"/>
            <w:vAlign w:val="center"/>
          </w:tcPr>
          <w:p>
            <w:pPr>
              <w:rPr>
                <w:rFonts w:ascii="宋体" w:hAnsi="宋体" w:cs="宋体"/>
                <w:kern w:val="0"/>
                <w:sz w:val="24"/>
              </w:rPr>
            </w:pPr>
          </w:p>
        </w:tc>
        <w:tc>
          <w:tcPr>
            <w:tcW w:w="1158" w:type="dxa"/>
            <w:vAlign w:val="center"/>
          </w:tcPr>
          <w:p>
            <w:pPr>
              <w:rPr>
                <w:rFonts w:ascii="宋体" w:hAnsi="宋体" w:cs="宋体"/>
                <w:kern w:val="0"/>
                <w:sz w:val="24"/>
              </w:rPr>
            </w:pPr>
          </w:p>
        </w:tc>
        <w:tc>
          <w:tcPr>
            <w:tcW w:w="1544" w:type="dxa"/>
            <w:tcBorders>
              <w:right w:val="single" w:color="auto" w:sz="4" w:space="0"/>
            </w:tcBorders>
            <w:vAlign w:val="center"/>
          </w:tcPr>
          <w:p>
            <w:pP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tcBorders>
            <w:vAlign w:val="center"/>
          </w:tcPr>
          <w:p>
            <w:pPr>
              <w:rPr>
                <w:rFonts w:ascii="宋体" w:hAnsi="宋体" w:cs="宋体"/>
                <w:kern w:val="0"/>
                <w:sz w:val="24"/>
              </w:rPr>
            </w:pPr>
            <w:r>
              <w:rPr>
                <w:rFonts w:hint="eastAsia" w:ascii="宋体" w:hAnsi="宋体" w:cs="宋体"/>
                <w:kern w:val="0"/>
                <w:sz w:val="24"/>
              </w:rPr>
              <w:t>合　　计</w:t>
            </w:r>
          </w:p>
        </w:tc>
        <w:tc>
          <w:tcPr>
            <w:tcW w:w="3087" w:type="dxa"/>
            <w:gridSpan w:val="3"/>
            <w:vAlign w:val="center"/>
          </w:tcPr>
          <w:p>
            <w:pPr>
              <w:rPr>
                <w:rFonts w:ascii="宋体" w:hAnsi="宋体" w:cs="宋体"/>
                <w:kern w:val="0"/>
                <w:sz w:val="24"/>
              </w:rPr>
            </w:pPr>
            <w:r>
              <w:rPr>
                <w:rFonts w:hint="eastAsia" w:ascii="宋体" w:hAnsi="宋体" w:cs="宋体"/>
                <w:kern w:val="0"/>
                <w:sz w:val="24"/>
              </w:rPr>
              <w:t>数量合计：</w:t>
            </w:r>
          </w:p>
        </w:tc>
        <w:tc>
          <w:tcPr>
            <w:tcW w:w="2702" w:type="dxa"/>
            <w:gridSpan w:val="2"/>
            <w:tcBorders>
              <w:right w:val="single" w:color="auto" w:sz="4" w:space="0"/>
            </w:tcBorders>
            <w:vAlign w:val="center"/>
          </w:tcPr>
          <w:p>
            <w:pPr>
              <w:rPr>
                <w:rFonts w:ascii="宋体" w:hAnsi="宋体" w:cs="宋体"/>
                <w:kern w:val="0"/>
                <w:sz w:val="24"/>
              </w:rPr>
            </w:pPr>
            <w:r>
              <w:rPr>
                <w:rFonts w:hint="eastAsia" w:ascii="宋体" w:hAnsi="宋体" w:cs="宋体"/>
                <w:kern w:val="0"/>
                <w:sz w:val="24"/>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vAlign w:val="center"/>
          </w:tcPr>
          <w:p>
            <w:pPr>
              <w:rPr>
                <w:rFonts w:ascii="宋体" w:hAnsi="宋体" w:cs="宋体"/>
                <w:kern w:val="0"/>
                <w:sz w:val="24"/>
              </w:rPr>
            </w:pPr>
            <w:r>
              <w:rPr>
                <w:rFonts w:hint="eastAsia" w:ascii="宋体" w:hAnsi="宋体" w:cs="宋体"/>
                <w:kern w:val="0"/>
                <w:sz w:val="24"/>
              </w:rPr>
              <w:t>三、其他费用详列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vAlign w:val="center"/>
          </w:tcPr>
          <w:p>
            <w:pPr>
              <w:rPr>
                <w:rFonts w:ascii="宋体" w:hAnsi="宋体" w:cs="宋体"/>
                <w:kern w:val="0"/>
                <w:sz w:val="24"/>
              </w:rPr>
            </w:pPr>
            <w:r>
              <w:rPr>
                <w:rFonts w:hint="eastAsia" w:ascii="宋体" w:hAnsi="宋体" w:cs="宋体"/>
                <w:kern w:val="0"/>
                <w:sz w:val="24"/>
              </w:rPr>
              <w:t>序号</w:t>
            </w:r>
          </w:p>
        </w:tc>
        <w:tc>
          <w:tcPr>
            <w:tcW w:w="1327" w:type="dxa"/>
            <w:vAlign w:val="center"/>
          </w:tcPr>
          <w:p>
            <w:pPr>
              <w:rPr>
                <w:rFonts w:ascii="宋体" w:hAnsi="宋体" w:cs="宋体"/>
                <w:kern w:val="0"/>
                <w:sz w:val="24"/>
              </w:rPr>
            </w:pPr>
            <w:r>
              <w:rPr>
                <w:rFonts w:hint="eastAsia" w:ascii="宋体" w:hAnsi="宋体" w:cs="宋体"/>
                <w:kern w:val="0"/>
                <w:sz w:val="24"/>
              </w:rPr>
              <w:t>分项名称</w:t>
            </w:r>
          </w:p>
        </w:tc>
        <w:tc>
          <w:tcPr>
            <w:tcW w:w="1871" w:type="dxa"/>
            <w:vAlign w:val="center"/>
          </w:tcPr>
          <w:p>
            <w:pPr>
              <w:rPr>
                <w:rFonts w:ascii="宋体" w:hAnsi="宋体" w:cs="宋体"/>
                <w:kern w:val="0"/>
                <w:sz w:val="24"/>
              </w:rPr>
            </w:pPr>
            <w:r>
              <w:rPr>
                <w:rFonts w:hint="eastAsia" w:ascii="宋体" w:hAnsi="宋体" w:cs="宋体"/>
                <w:kern w:val="0"/>
                <w:sz w:val="24"/>
              </w:rPr>
              <w:t>具体内容</w:t>
            </w:r>
          </w:p>
        </w:tc>
        <w:tc>
          <w:tcPr>
            <w:tcW w:w="1052" w:type="dxa"/>
            <w:vAlign w:val="center"/>
          </w:tcPr>
          <w:p>
            <w:pPr>
              <w:rPr>
                <w:rFonts w:ascii="宋体" w:hAnsi="宋体" w:cs="宋体"/>
                <w:kern w:val="0"/>
                <w:sz w:val="24"/>
              </w:rPr>
            </w:pPr>
            <w:r>
              <w:rPr>
                <w:rFonts w:hint="eastAsia" w:ascii="宋体" w:hAnsi="宋体" w:cs="宋体"/>
                <w:kern w:val="0"/>
                <w:sz w:val="24"/>
              </w:rPr>
              <w:t>单位</w:t>
            </w:r>
          </w:p>
        </w:tc>
        <w:tc>
          <w:tcPr>
            <w:tcW w:w="1106" w:type="dxa"/>
            <w:vAlign w:val="center"/>
          </w:tcPr>
          <w:p>
            <w:pPr>
              <w:rPr>
                <w:rFonts w:ascii="宋体" w:hAnsi="宋体" w:cs="宋体"/>
                <w:kern w:val="0"/>
                <w:sz w:val="24"/>
              </w:rPr>
            </w:pPr>
            <w:r>
              <w:rPr>
                <w:rFonts w:hint="eastAsia" w:ascii="宋体" w:hAnsi="宋体" w:cs="宋体"/>
                <w:kern w:val="0"/>
                <w:sz w:val="24"/>
              </w:rPr>
              <w:t>数量</w:t>
            </w:r>
          </w:p>
        </w:tc>
        <w:tc>
          <w:tcPr>
            <w:tcW w:w="929" w:type="dxa"/>
            <w:vAlign w:val="center"/>
          </w:tcPr>
          <w:p>
            <w:pPr>
              <w:rPr>
                <w:rFonts w:ascii="宋体" w:hAnsi="宋体" w:cs="宋体"/>
                <w:kern w:val="0"/>
                <w:sz w:val="24"/>
              </w:rPr>
            </w:pPr>
            <w:r>
              <w:rPr>
                <w:rFonts w:hint="eastAsia" w:ascii="宋体" w:hAnsi="宋体" w:cs="宋体"/>
                <w:kern w:val="0"/>
                <w:sz w:val="24"/>
              </w:rPr>
              <w:t>单价</w:t>
            </w:r>
          </w:p>
        </w:tc>
        <w:tc>
          <w:tcPr>
            <w:tcW w:w="1158" w:type="dxa"/>
            <w:vAlign w:val="center"/>
          </w:tcPr>
          <w:p>
            <w:pPr>
              <w:rPr>
                <w:rFonts w:ascii="宋体" w:hAnsi="宋体" w:cs="宋体"/>
                <w:kern w:val="0"/>
                <w:sz w:val="24"/>
              </w:rPr>
            </w:pPr>
            <w:r>
              <w:rPr>
                <w:rFonts w:hint="eastAsia" w:ascii="宋体" w:hAnsi="宋体" w:cs="宋体"/>
                <w:kern w:val="0"/>
                <w:sz w:val="24"/>
              </w:rPr>
              <w:t>合计（元）</w:t>
            </w:r>
          </w:p>
        </w:tc>
        <w:tc>
          <w:tcPr>
            <w:tcW w:w="1544" w:type="dxa"/>
            <w:tcBorders>
              <w:right w:val="single" w:color="auto" w:sz="4" w:space="0"/>
            </w:tcBorders>
            <w:vAlign w:val="center"/>
          </w:tcPr>
          <w:p>
            <w:pPr>
              <w:rPr>
                <w:rFonts w:ascii="宋体" w:hAnsi="宋体" w:cs="宋体"/>
                <w:kern w:val="0"/>
                <w:sz w:val="24"/>
              </w:rPr>
            </w:pPr>
            <w:r>
              <w:rPr>
                <w:rFonts w:hint="eastAsia" w:ascii="宋体" w:hAnsi="宋体" w:cs="宋体"/>
                <w:kern w:val="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ascii="宋体" w:hAnsi="宋体" w:cs="宋体"/>
                <w:kern w:val="0"/>
                <w:sz w:val="24"/>
              </w:rPr>
            </w:pPr>
          </w:p>
        </w:tc>
        <w:tc>
          <w:tcPr>
            <w:tcW w:w="1327" w:type="dxa"/>
            <w:vAlign w:val="center"/>
          </w:tcPr>
          <w:p>
            <w:pPr>
              <w:rPr>
                <w:rFonts w:ascii="宋体" w:hAnsi="宋体" w:cs="宋体"/>
                <w:kern w:val="0"/>
                <w:sz w:val="24"/>
              </w:rPr>
            </w:pPr>
          </w:p>
        </w:tc>
        <w:tc>
          <w:tcPr>
            <w:tcW w:w="1871" w:type="dxa"/>
            <w:vAlign w:val="center"/>
          </w:tcPr>
          <w:p>
            <w:pPr>
              <w:rPr>
                <w:rFonts w:ascii="宋体" w:hAnsi="宋体" w:cs="宋体"/>
                <w:kern w:val="0"/>
                <w:sz w:val="24"/>
              </w:rPr>
            </w:pPr>
          </w:p>
        </w:tc>
        <w:tc>
          <w:tcPr>
            <w:tcW w:w="1052" w:type="dxa"/>
            <w:vAlign w:val="center"/>
          </w:tcPr>
          <w:p>
            <w:pPr>
              <w:rPr>
                <w:rFonts w:ascii="宋体" w:hAnsi="宋体" w:cs="宋体"/>
                <w:kern w:val="0"/>
                <w:sz w:val="24"/>
              </w:rPr>
            </w:pPr>
          </w:p>
        </w:tc>
        <w:tc>
          <w:tcPr>
            <w:tcW w:w="1106" w:type="dxa"/>
            <w:vAlign w:val="center"/>
          </w:tcPr>
          <w:p>
            <w:pPr>
              <w:rPr>
                <w:rFonts w:ascii="宋体" w:hAnsi="宋体" w:cs="宋体"/>
                <w:kern w:val="0"/>
                <w:sz w:val="24"/>
              </w:rPr>
            </w:pPr>
          </w:p>
        </w:tc>
        <w:tc>
          <w:tcPr>
            <w:tcW w:w="929" w:type="dxa"/>
            <w:vAlign w:val="center"/>
          </w:tcPr>
          <w:p>
            <w:pPr>
              <w:rPr>
                <w:rFonts w:ascii="宋体" w:hAnsi="宋体" w:cs="宋体"/>
                <w:kern w:val="0"/>
                <w:sz w:val="24"/>
              </w:rPr>
            </w:pPr>
          </w:p>
        </w:tc>
        <w:tc>
          <w:tcPr>
            <w:tcW w:w="1158" w:type="dxa"/>
            <w:vAlign w:val="center"/>
          </w:tcPr>
          <w:p>
            <w:pPr>
              <w:rPr>
                <w:rFonts w:ascii="宋体" w:hAnsi="宋体" w:cs="宋体"/>
                <w:kern w:val="0"/>
                <w:sz w:val="24"/>
              </w:rPr>
            </w:pPr>
          </w:p>
        </w:tc>
        <w:tc>
          <w:tcPr>
            <w:tcW w:w="1544" w:type="dxa"/>
            <w:tcBorders>
              <w:right w:val="single" w:color="auto" w:sz="4" w:space="0"/>
            </w:tcBorders>
            <w:vAlign w:val="center"/>
          </w:tcPr>
          <w:p>
            <w:pP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ascii="宋体" w:hAnsi="宋体" w:cs="宋体"/>
                <w:kern w:val="0"/>
                <w:sz w:val="24"/>
              </w:rPr>
            </w:pPr>
          </w:p>
        </w:tc>
        <w:tc>
          <w:tcPr>
            <w:tcW w:w="1327" w:type="dxa"/>
            <w:vAlign w:val="center"/>
          </w:tcPr>
          <w:p>
            <w:pPr>
              <w:rPr>
                <w:rFonts w:ascii="宋体" w:hAnsi="宋体" w:cs="宋体"/>
                <w:kern w:val="0"/>
                <w:sz w:val="24"/>
              </w:rPr>
            </w:pPr>
          </w:p>
        </w:tc>
        <w:tc>
          <w:tcPr>
            <w:tcW w:w="1871" w:type="dxa"/>
            <w:vAlign w:val="center"/>
          </w:tcPr>
          <w:p>
            <w:pPr>
              <w:rPr>
                <w:rFonts w:ascii="宋体" w:hAnsi="宋体" w:cs="宋体"/>
                <w:kern w:val="0"/>
                <w:sz w:val="24"/>
              </w:rPr>
            </w:pPr>
          </w:p>
        </w:tc>
        <w:tc>
          <w:tcPr>
            <w:tcW w:w="1052" w:type="dxa"/>
            <w:vAlign w:val="center"/>
          </w:tcPr>
          <w:p>
            <w:pPr>
              <w:rPr>
                <w:rFonts w:ascii="宋体" w:hAnsi="宋体" w:cs="宋体"/>
                <w:kern w:val="0"/>
                <w:sz w:val="24"/>
              </w:rPr>
            </w:pPr>
          </w:p>
        </w:tc>
        <w:tc>
          <w:tcPr>
            <w:tcW w:w="1106" w:type="dxa"/>
            <w:vAlign w:val="center"/>
          </w:tcPr>
          <w:p>
            <w:pPr>
              <w:rPr>
                <w:rFonts w:ascii="宋体" w:hAnsi="宋体" w:cs="宋体"/>
                <w:kern w:val="0"/>
                <w:sz w:val="24"/>
              </w:rPr>
            </w:pPr>
          </w:p>
        </w:tc>
        <w:tc>
          <w:tcPr>
            <w:tcW w:w="929" w:type="dxa"/>
            <w:vAlign w:val="center"/>
          </w:tcPr>
          <w:p>
            <w:pPr>
              <w:rPr>
                <w:rFonts w:ascii="宋体" w:hAnsi="宋体" w:cs="宋体"/>
                <w:kern w:val="0"/>
                <w:sz w:val="24"/>
              </w:rPr>
            </w:pPr>
          </w:p>
        </w:tc>
        <w:tc>
          <w:tcPr>
            <w:tcW w:w="1158" w:type="dxa"/>
            <w:vAlign w:val="center"/>
          </w:tcPr>
          <w:p>
            <w:pPr>
              <w:rPr>
                <w:rFonts w:ascii="宋体" w:hAnsi="宋体" w:cs="宋体"/>
                <w:kern w:val="0"/>
                <w:sz w:val="24"/>
              </w:rPr>
            </w:pPr>
          </w:p>
        </w:tc>
        <w:tc>
          <w:tcPr>
            <w:tcW w:w="1544" w:type="dxa"/>
            <w:tcBorders>
              <w:right w:val="single" w:color="auto" w:sz="4" w:space="0"/>
            </w:tcBorders>
            <w:vAlign w:val="center"/>
          </w:tcPr>
          <w:p>
            <w:pP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ascii="宋体" w:hAnsi="宋体" w:cs="宋体"/>
                <w:kern w:val="0"/>
                <w:sz w:val="24"/>
              </w:rPr>
            </w:pPr>
          </w:p>
        </w:tc>
        <w:tc>
          <w:tcPr>
            <w:tcW w:w="1327" w:type="dxa"/>
            <w:vAlign w:val="center"/>
          </w:tcPr>
          <w:p>
            <w:pPr>
              <w:rPr>
                <w:rFonts w:ascii="宋体" w:hAnsi="宋体" w:cs="宋体"/>
                <w:kern w:val="0"/>
                <w:sz w:val="24"/>
              </w:rPr>
            </w:pPr>
          </w:p>
        </w:tc>
        <w:tc>
          <w:tcPr>
            <w:tcW w:w="1871" w:type="dxa"/>
            <w:vAlign w:val="center"/>
          </w:tcPr>
          <w:p>
            <w:pPr>
              <w:rPr>
                <w:rFonts w:ascii="宋体" w:hAnsi="宋体" w:cs="宋体"/>
                <w:kern w:val="0"/>
                <w:sz w:val="24"/>
              </w:rPr>
            </w:pPr>
          </w:p>
        </w:tc>
        <w:tc>
          <w:tcPr>
            <w:tcW w:w="1052" w:type="dxa"/>
            <w:vAlign w:val="center"/>
          </w:tcPr>
          <w:p>
            <w:pPr>
              <w:rPr>
                <w:rFonts w:ascii="宋体" w:hAnsi="宋体" w:cs="宋体"/>
                <w:kern w:val="0"/>
                <w:sz w:val="24"/>
              </w:rPr>
            </w:pPr>
          </w:p>
        </w:tc>
        <w:tc>
          <w:tcPr>
            <w:tcW w:w="1106" w:type="dxa"/>
            <w:vAlign w:val="center"/>
          </w:tcPr>
          <w:p>
            <w:pPr>
              <w:rPr>
                <w:rFonts w:ascii="宋体" w:hAnsi="宋体" w:cs="宋体"/>
                <w:kern w:val="0"/>
                <w:sz w:val="24"/>
              </w:rPr>
            </w:pPr>
          </w:p>
        </w:tc>
        <w:tc>
          <w:tcPr>
            <w:tcW w:w="929" w:type="dxa"/>
            <w:vAlign w:val="center"/>
          </w:tcPr>
          <w:p>
            <w:pPr>
              <w:rPr>
                <w:rFonts w:ascii="宋体" w:hAnsi="宋体" w:cs="宋体"/>
                <w:kern w:val="0"/>
                <w:sz w:val="24"/>
              </w:rPr>
            </w:pPr>
          </w:p>
        </w:tc>
        <w:tc>
          <w:tcPr>
            <w:tcW w:w="1158" w:type="dxa"/>
            <w:vAlign w:val="center"/>
          </w:tcPr>
          <w:p>
            <w:pPr>
              <w:rPr>
                <w:rFonts w:ascii="宋体" w:hAnsi="宋体" w:cs="宋体"/>
                <w:kern w:val="0"/>
                <w:sz w:val="24"/>
              </w:rPr>
            </w:pPr>
          </w:p>
        </w:tc>
        <w:tc>
          <w:tcPr>
            <w:tcW w:w="1544" w:type="dxa"/>
            <w:tcBorders>
              <w:right w:val="single" w:color="auto" w:sz="4" w:space="0"/>
            </w:tcBorders>
            <w:vAlign w:val="center"/>
          </w:tcPr>
          <w:p>
            <w:pP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tcBorders>
            <w:vAlign w:val="center"/>
          </w:tcPr>
          <w:p>
            <w:pPr>
              <w:rPr>
                <w:rFonts w:ascii="宋体" w:hAnsi="宋体" w:cs="宋体"/>
                <w:kern w:val="0"/>
                <w:sz w:val="24"/>
              </w:rPr>
            </w:pPr>
            <w:r>
              <w:rPr>
                <w:rFonts w:hint="eastAsia" w:ascii="宋体" w:hAnsi="宋体" w:cs="宋体"/>
                <w:kern w:val="0"/>
                <w:sz w:val="24"/>
              </w:rPr>
              <w:t>合　　计</w:t>
            </w:r>
          </w:p>
        </w:tc>
        <w:tc>
          <w:tcPr>
            <w:tcW w:w="3087" w:type="dxa"/>
            <w:gridSpan w:val="3"/>
            <w:vAlign w:val="center"/>
          </w:tcPr>
          <w:p>
            <w:pPr>
              <w:rPr>
                <w:rFonts w:ascii="宋体" w:hAnsi="宋体" w:cs="宋体"/>
                <w:kern w:val="0"/>
                <w:sz w:val="24"/>
              </w:rPr>
            </w:pPr>
            <w:r>
              <w:rPr>
                <w:rFonts w:hint="eastAsia" w:ascii="宋体" w:hAnsi="宋体" w:cs="宋体"/>
                <w:kern w:val="0"/>
                <w:sz w:val="24"/>
              </w:rPr>
              <w:t>数量合计：</w:t>
            </w:r>
          </w:p>
        </w:tc>
        <w:tc>
          <w:tcPr>
            <w:tcW w:w="2702" w:type="dxa"/>
            <w:gridSpan w:val="2"/>
            <w:tcBorders>
              <w:right w:val="single" w:color="auto" w:sz="4" w:space="0"/>
            </w:tcBorders>
            <w:vAlign w:val="center"/>
          </w:tcPr>
          <w:p>
            <w:pPr>
              <w:rPr>
                <w:rFonts w:ascii="宋体" w:hAnsi="宋体" w:cs="宋体"/>
                <w:kern w:val="0"/>
                <w:sz w:val="24"/>
              </w:rPr>
            </w:pPr>
            <w:r>
              <w:rPr>
                <w:rFonts w:hint="eastAsia" w:ascii="宋体" w:hAnsi="宋体" w:cs="宋体"/>
                <w:kern w:val="0"/>
                <w:sz w:val="24"/>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620" w:type="dxa"/>
            <w:gridSpan w:val="8"/>
            <w:tcBorders>
              <w:left w:val="single" w:color="auto" w:sz="4" w:space="0"/>
              <w:bottom w:val="single" w:color="auto" w:sz="4" w:space="0"/>
              <w:right w:val="single" w:color="auto" w:sz="4" w:space="0"/>
            </w:tcBorders>
            <w:vAlign w:val="center"/>
          </w:tcPr>
          <w:p>
            <w:pPr>
              <w:rPr>
                <w:rFonts w:ascii="宋体" w:hAnsi="宋体" w:cs="宋体"/>
                <w:kern w:val="0"/>
                <w:sz w:val="24"/>
              </w:rPr>
            </w:pPr>
            <w:r>
              <w:rPr>
                <w:rFonts w:hint="eastAsia" w:ascii="宋体" w:hAnsi="宋体" w:cs="宋体"/>
                <w:kern w:val="0"/>
                <w:sz w:val="24"/>
              </w:rPr>
              <w:t>四、总报价：人民币    元。（以上各合计项与报价一览表中的对应项均一致相符，如不一致以报价一览表为准）</w:t>
            </w:r>
          </w:p>
        </w:tc>
      </w:tr>
    </w:tbl>
    <w:p>
      <w:pPr>
        <w:spacing w:line="480" w:lineRule="exact"/>
        <w:ind w:firstLine="480" w:firstLineChars="200"/>
        <w:rPr>
          <w:rFonts w:ascii="宋体" w:hAnsi="宋体" w:cs="宋体"/>
          <w:kern w:val="0"/>
          <w:sz w:val="24"/>
        </w:rPr>
      </w:pPr>
      <w:r>
        <w:rPr>
          <w:rFonts w:hint="eastAsia" w:ascii="宋体" w:hAnsi="宋体" w:cs="宋体"/>
          <w:kern w:val="0"/>
          <w:sz w:val="24"/>
        </w:rPr>
        <w:t>注：1）以上内容必须与《投标报价单》一致。2)</w:t>
      </w:r>
      <w:r>
        <w:rPr>
          <w:rFonts w:hint="eastAsia" w:ascii="宋体" w:hAnsi="宋体" w:cs="宋体"/>
          <w:kern w:val="0"/>
          <w:sz w:val="24"/>
        </w:rPr>
        <w:tab/>
      </w:r>
      <w:r>
        <w:rPr>
          <w:rFonts w:hint="eastAsia" w:ascii="宋体" w:hAnsi="宋体" w:cs="宋体"/>
          <w:kern w:val="0"/>
          <w:sz w:val="24"/>
        </w:rPr>
        <w:t>对于报价免费的项目必须标明“免费”；3)</w:t>
      </w:r>
      <w:r>
        <w:rPr>
          <w:rFonts w:hint="eastAsia" w:ascii="宋体" w:hAnsi="宋体" w:cs="宋体"/>
          <w:kern w:val="0"/>
          <w:sz w:val="24"/>
        </w:rPr>
        <w:tab/>
      </w:r>
      <w:r>
        <w:rPr>
          <w:rFonts w:hint="eastAsia" w:ascii="宋体" w:hAnsi="宋体" w:cs="宋体"/>
          <w:kern w:val="0"/>
          <w:sz w:val="24"/>
        </w:rPr>
        <w:t>所有根据合同或其它原因应由报价供应商支付的税款和其它应交纳的费用都要包括在报价供应商提交的报价价格中；4)</w:t>
      </w:r>
      <w:r>
        <w:rPr>
          <w:rFonts w:hint="eastAsia" w:ascii="宋体" w:hAnsi="宋体" w:cs="宋体"/>
          <w:kern w:val="0"/>
          <w:sz w:val="24"/>
        </w:rPr>
        <w:tab/>
      </w:r>
      <w:r>
        <w:rPr>
          <w:rFonts w:hint="eastAsia" w:ascii="宋体" w:hAnsi="宋体" w:cs="宋体"/>
          <w:kern w:val="0"/>
          <w:sz w:val="24"/>
        </w:rPr>
        <w:t>应包含货物运至最终目的地的运输、保险和伴随货物服务的其他所有费用。</w:t>
      </w:r>
    </w:p>
    <w:p>
      <w:pPr>
        <w:pStyle w:val="2"/>
        <w:tabs>
          <w:tab w:val="left" w:pos="8227"/>
        </w:tabs>
        <w:kinsoku w:val="0"/>
        <w:overflowPunct w:val="0"/>
        <w:spacing w:line="381" w:lineRule="auto"/>
        <w:ind w:right="118"/>
        <w:rPr>
          <w:rFonts w:ascii="宋体" w:hAnsi="宋体" w:cs="宋体"/>
        </w:rPr>
      </w:pPr>
      <w:r>
        <w:rPr>
          <w:rFonts w:hint="eastAsia" w:ascii="宋体" w:hAnsi="宋体" w:cs="宋体"/>
        </w:rPr>
        <w:t>供应商：</w:t>
      </w:r>
      <w:r>
        <w:rPr>
          <w:rFonts w:hint="eastAsia" w:ascii="宋体" w:hAnsi="宋体" w:cs="宋体"/>
          <w:w w:val="95"/>
        </w:rPr>
        <w:t>（盖章）</w:t>
      </w:r>
      <w:r>
        <w:rPr>
          <w:rFonts w:hint="eastAsia" w:ascii="宋体" w:hAnsi="宋体" w:cs="宋体"/>
        </w:rPr>
        <w:t xml:space="preserve"> </w:t>
      </w:r>
    </w:p>
    <w:p>
      <w:pPr>
        <w:pStyle w:val="2"/>
        <w:tabs>
          <w:tab w:val="left" w:pos="8227"/>
        </w:tabs>
        <w:kinsoku w:val="0"/>
        <w:overflowPunct w:val="0"/>
        <w:spacing w:line="381" w:lineRule="auto"/>
        <w:ind w:right="118"/>
        <w:rPr>
          <w:rFonts w:ascii="宋体" w:hAnsi="宋体" w:cs="宋体"/>
          <w:w w:val="95"/>
        </w:rPr>
      </w:pPr>
      <w:r>
        <w:rPr>
          <w:rFonts w:hint="eastAsia" w:ascii="宋体" w:hAnsi="宋体" w:cs="宋体"/>
        </w:rPr>
        <w:t>法定代表人或被授权人：</w:t>
      </w:r>
      <w:r>
        <w:rPr>
          <w:rFonts w:hint="eastAsia" w:ascii="宋体" w:hAnsi="宋体" w:cs="宋体"/>
          <w:w w:val="95"/>
        </w:rPr>
        <w:t>（签字）</w:t>
      </w:r>
    </w:p>
    <w:p>
      <w:pPr>
        <w:pStyle w:val="2"/>
        <w:tabs>
          <w:tab w:val="left" w:pos="5551"/>
          <w:tab w:val="left" w:pos="6511"/>
          <w:tab w:val="left" w:pos="7111"/>
          <w:tab w:val="left" w:pos="7711"/>
        </w:tabs>
        <w:kinsoku w:val="0"/>
        <w:overflowPunct w:val="0"/>
        <w:spacing w:before="46"/>
        <w:rPr>
          <w:rFonts w:ascii="宋体" w:hAnsi="宋体" w:cs="宋体"/>
        </w:rPr>
      </w:pPr>
      <w:r>
        <w:rPr>
          <w:rFonts w:hint="eastAsia" w:ascii="宋体" w:hAnsi="宋体" w:cs="宋体"/>
        </w:rPr>
        <w:t>日期： 年 月 日</w:t>
      </w:r>
    </w:p>
    <w:p>
      <w:pPr>
        <w:jc w:val="center"/>
        <w:rPr>
          <w:rFonts w:ascii="宋体" w:hAnsi="宋体" w:cs="宋体"/>
          <w:b/>
          <w:kern w:val="0"/>
          <w:sz w:val="24"/>
        </w:rPr>
      </w:pPr>
      <w:r>
        <w:rPr>
          <w:rFonts w:hint="eastAsia" w:ascii="宋体" w:hAnsi="宋体" w:cs="宋体"/>
        </w:rPr>
        <w:br w:type="page"/>
      </w:r>
      <w:r>
        <w:rPr>
          <w:rFonts w:hint="eastAsia" w:ascii="宋体" w:hAnsi="宋体" w:cs="宋体"/>
          <w:b/>
          <w:kern w:val="0"/>
          <w:sz w:val="24"/>
        </w:rPr>
        <w:t>政策适用性说明</w:t>
      </w:r>
    </w:p>
    <w:p>
      <w:pPr>
        <w:ind w:firstLine="482" w:firstLineChars="200"/>
        <w:rPr>
          <w:rFonts w:ascii="宋体" w:hAnsi="宋体" w:cs="宋体"/>
          <w:b/>
          <w:bCs/>
          <w:kern w:val="0"/>
          <w:sz w:val="24"/>
        </w:rPr>
      </w:pPr>
      <w:r>
        <w:rPr>
          <w:rFonts w:hint="eastAsia" w:ascii="宋体" w:hAnsi="宋体" w:cs="宋体"/>
          <w:b/>
          <w:bCs/>
          <w:kern w:val="0"/>
          <w:sz w:val="24"/>
        </w:rPr>
        <w:t>按照政府采购有关政策的要求，在本次的技术方案中，采用符合政策的小型或微型企业产品、节能产品、环保标志产品，主要产品与核心技术介绍说明如下：</w:t>
      </w:r>
    </w:p>
    <w:tbl>
      <w:tblPr>
        <w:tblStyle w:val="27"/>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379"/>
        <w:gridCol w:w="982"/>
        <w:gridCol w:w="942"/>
        <w:gridCol w:w="876"/>
        <w:gridCol w:w="982"/>
        <w:gridCol w:w="1010"/>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r>
              <w:rPr>
                <w:rFonts w:hint="eastAsia" w:ascii="宋体" w:hAnsi="宋体" w:cs="宋体"/>
                <w:b/>
                <w:bCs/>
                <w:kern w:val="0"/>
                <w:sz w:val="24"/>
              </w:rPr>
              <w:t>序号</w:t>
            </w: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r>
              <w:rPr>
                <w:rFonts w:hint="eastAsia" w:ascii="宋体" w:hAnsi="宋体" w:cs="宋体"/>
                <w:b/>
                <w:bCs/>
                <w:kern w:val="0"/>
                <w:sz w:val="24"/>
              </w:rPr>
              <w:t>主要产品/技术名称</w:t>
            </w:r>
          </w:p>
          <w:p>
            <w:pPr>
              <w:jc w:val="center"/>
              <w:rPr>
                <w:rFonts w:ascii="宋体" w:hAnsi="宋体" w:cs="宋体"/>
                <w:b/>
                <w:bCs/>
                <w:kern w:val="0"/>
                <w:sz w:val="24"/>
              </w:rPr>
            </w:pPr>
            <w:r>
              <w:rPr>
                <w:rFonts w:hint="eastAsia" w:ascii="宋体" w:hAnsi="宋体" w:cs="宋体"/>
                <w:b/>
                <w:bCs/>
                <w:kern w:val="0"/>
                <w:sz w:val="24"/>
              </w:rPr>
              <w:t>（规格型号、注册商标）</w:t>
            </w: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r>
              <w:rPr>
                <w:rFonts w:hint="eastAsia" w:ascii="宋体" w:hAnsi="宋体" w:cs="宋体"/>
                <w:b/>
                <w:bCs/>
                <w:kern w:val="0"/>
                <w:sz w:val="24"/>
              </w:rPr>
              <w:t>制造商</w:t>
            </w:r>
          </w:p>
          <w:p>
            <w:pPr>
              <w:jc w:val="center"/>
              <w:rPr>
                <w:rFonts w:ascii="宋体" w:hAnsi="宋体" w:cs="宋体"/>
                <w:b/>
                <w:bCs/>
                <w:kern w:val="0"/>
                <w:sz w:val="24"/>
              </w:rPr>
            </w:pPr>
            <w:r>
              <w:rPr>
                <w:rFonts w:hint="eastAsia" w:ascii="宋体" w:hAnsi="宋体" w:cs="宋体"/>
                <w:b/>
                <w:bCs/>
                <w:kern w:val="0"/>
                <w:sz w:val="24"/>
              </w:rPr>
              <w:t>(开发商)</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r>
              <w:rPr>
                <w:rFonts w:hint="eastAsia" w:ascii="宋体" w:hAnsi="宋体" w:cs="宋体"/>
                <w:b/>
                <w:bCs/>
                <w:kern w:val="0"/>
                <w:sz w:val="24"/>
              </w:rPr>
              <w:t>企业类型</w:t>
            </w: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r>
              <w:rPr>
                <w:rFonts w:hint="eastAsia" w:ascii="宋体" w:hAnsi="宋体" w:cs="宋体"/>
                <w:b/>
                <w:bCs/>
                <w:kern w:val="0"/>
                <w:sz w:val="24"/>
              </w:rPr>
              <w:t>节能</w:t>
            </w:r>
          </w:p>
          <w:p>
            <w:pPr>
              <w:jc w:val="center"/>
              <w:rPr>
                <w:rFonts w:ascii="宋体" w:hAnsi="宋体" w:cs="宋体"/>
                <w:b/>
                <w:bCs/>
                <w:kern w:val="0"/>
                <w:sz w:val="24"/>
              </w:rPr>
            </w:pPr>
            <w:r>
              <w:rPr>
                <w:rFonts w:hint="eastAsia" w:ascii="宋体" w:hAnsi="宋体" w:cs="宋体"/>
                <w:b/>
                <w:bCs/>
                <w:kern w:val="0"/>
                <w:sz w:val="24"/>
              </w:rPr>
              <w:t>产品</w:t>
            </w: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r>
              <w:rPr>
                <w:rFonts w:hint="eastAsia" w:ascii="宋体" w:hAnsi="宋体" w:cs="宋体"/>
                <w:b/>
                <w:bCs/>
                <w:kern w:val="0"/>
                <w:sz w:val="24"/>
              </w:rPr>
              <w:t>环保标志产品</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r>
              <w:rPr>
                <w:rFonts w:hint="eastAsia" w:ascii="宋体" w:hAnsi="宋体" w:cs="宋体"/>
                <w:b/>
                <w:bCs/>
                <w:kern w:val="0"/>
                <w:sz w:val="24"/>
              </w:rPr>
              <w:t>认证证书编号</w:t>
            </w: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r>
              <w:rPr>
                <w:rFonts w:hint="eastAsia" w:ascii="宋体" w:hAnsi="宋体" w:cs="宋体"/>
                <w:b/>
                <w:bCs/>
                <w:kern w:val="0"/>
                <w:sz w:val="24"/>
              </w:rPr>
              <w:t>该产品报价（合计）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7171"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r>
              <w:rPr>
                <w:rFonts w:hint="eastAsia" w:ascii="宋体" w:hAnsi="宋体" w:cs="宋体"/>
                <w:b/>
                <w:bCs/>
                <w:kern w:val="0"/>
                <w:sz w:val="24"/>
              </w:rPr>
              <w:t>总合计（节能产品）</w:t>
            </w: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c>
          <w:tcPr>
            <w:tcW w:w="7171"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r>
              <w:rPr>
                <w:rFonts w:hint="eastAsia" w:ascii="宋体" w:hAnsi="宋体" w:cs="宋体"/>
                <w:b/>
                <w:bCs/>
                <w:kern w:val="0"/>
                <w:sz w:val="24"/>
              </w:rPr>
              <w:t>总合计（环保产品）</w:t>
            </w: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rPr>
            </w:pPr>
          </w:p>
        </w:tc>
      </w:tr>
    </w:tbl>
    <w:p>
      <w:pPr>
        <w:rPr>
          <w:rFonts w:ascii="宋体" w:hAnsi="宋体" w:cs="宋体"/>
          <w:b/>
          <w:bCs/>
          <w:kern w:val="0"/>
          <w:sz w:val="24"/>
        </w:rPr>
      </w:pPr>
    </w:p>
    <w:p>
      <w:pPr>
        <w:spacing w:line="480" w:lineRule="exact"/>
        <w:ind w:firstLine="482" w:firstLineChars="200"/>
        <w:rPr>
          <w:rFonts w:ascii="宋体" w:hAnsi="宋体" w:cs="宋体"/>
          <w:b/>
          <w:bCs/>
          <w:kern w:val="0"/>
          <w:sz w:val="24"/>
        </w:rPr>
      </w:pPr>
      <w:r>
        <w:rPr>
          <w:rFonts w:hint="eastAsia" w:ascii="宋体" w:hAnsi="宋体" w:cs="宋体"/>
          <w:b/>
          <w:bCs/>
          <w:kern w:val="0"/>
          <w:sz w:val="24"/>
        </w:rPr>
        <w:t>注：1、企业为小型或微型企业时才需要填“企业类型”栏，填写内容为“小型”或“微型”；</w:t>
      </w:r>
    </w:p>
    <w:p>
      <w:pPr>
        <w:spacing w:line="480" w:lineRule="exact"/>
        <w:ind w:firstLine="482" w:firstLineChars="200"/>
        <w:rPr>
          <w:rFonts w:ascii="宋体" w:hAnsi="宋体" w:cs="宋体"/>
          <w:b/>
          <w:bCs/>
          <w:kern w:val="0"/>
          <w:sz w:val="24"/>
        </w:rPr>
      </w:pPr>
      <w:r>
        <w:rPr>
          <w:rFonts w:hint="eastAsia" w:ascii="宋体" w:hAnsi="宋体" w:cs="宋体"/>
          <w:b/>
          <w:bCs/>
          <w:kern w:val="0"/>
          <w:sz w:val="24"/>
        </w:rPr>
        <w:t>2、“节能产品、环保标志产品”是属于国家行业主管部门颁布的清单目录中的产品，须填写认证证书编号，并在“节能产品”、“环保标志产品”栏中填写属于“第　  期清单”的产品（产品被列入多期清单的，以最新一期为准），同时提供有效期内的下述文件（均为复印件，加盖报价供应商公章）：</w:t>
      </w:r>
    </w:p>
    <w:p>
      <w:pPr>
        <w:spacing w:line="480" w:lineRule="exact"/>
        <w:ind w:firstLine="482" w:firstLineChars="200"/>
        <w:rPr>
          <w:rFonts w:ascii="宋体" w:hAnsi="宋体" w:cs="宋体"/>
          <w:b/>
          <w:bCs/>
          <w:kern w:val="0"/>
          <w:sz w:val="24"/>
        </w:rPr>
      </w:pPr>
      <w:r>
        <w:rPr>
          <w:rFonts w:hint="eastAsia" w:ascii="宋体" w:hAnsi="宋体" w:cs="宋体"/>
          <w:b/>
          <w:bCs/>
          <w:kern w:val="0"/>
          <w:sz w:val="24"/>
        </w:rPr>
        <w:t>（1）属于“节能产品政府采购清单”中品目的产品，提供“节能产品政府采购清单（第___期）”中报价产品所在清单页并加盖报价供应商公章，节能清单在中国政府采购网（http：//www.ccgp.gov .cn/）、国家发展改革委网站（</w:t>
      </w:r>
      <w:r>
        <w:fldChar w:fldCharType="begin"/>
      </w:r>
      <w:r>
        <w:instrText xml:space="preserve"> HYPERLINK "http://hzs.nd/" </w:instrText>
      </w:r>
      <w:r>
        <w:fldChar w:fldCharType="separate"/>
      </w:r>
      <w:r>
        <w:rPr>
          <w:rFonts w:hint="eastAsia" w:ascii="宋体" w:hAnsi="宋体" w:cs="宋体"/>
          <w:b/>
          <w:bCs/>
          <w:kern w:val="0"/>
          <w:sz w:val="24"/>
        </w:rPr>
        <w:t>http://hzs.nd</w:t>
      </w:r>
      <w:r>
        <w:rPr>
          <w:rFonts w:hint="eastAsia" w:ascii="宋体" w:hAnsi="宋体" w:cs="宋体"/>
          <w:b/>
          <w:bCs/>
          <w:kern w:val="0"/>
          <w:sz w:val="24"/>
        </w:rPr>
        <w:fldChar w:fldCharType="end"/>
      </w:r>
      <w:r>
        <w:rPr>
          <w:rFonts w:hint="eastAsia" w:ascii="宋体" w:hAnsi="宋体" w:cs="宋体"/>
          <w:b/>
          <w:bCs/>
          <w:kern w:val="0"/>
          <w:sz w:val="24"/>
        </w:rPr>
        <w:t xml:space="preserve"> rc.gv.cn/）和中国质量认证中心网站（http://www.cqc.com.cn/）上发布；</w:t>
      </w:r>
    </w:p>
    <w:p>
      <w:pPr>
        <w:spacing w:line="480" w:lineRule="exact"/>
        <w:ind w:firstLine="482" w:firstLineChars="200"/>
        <w:rPr>
          <w:rFonts w:ascii="宋体" w:hAnsi="宋体" w:cs="宋体"/>
          <w:b/>
          <w:bCs/>
          <w:kern w:val="0"/>
          <w:sz w:val="24"/>
        </w:rPr>
      </w:pPr>
      <w:r>
        <w:rPr>
          <w:rFonts w:hint="eastAsia" w:ascii="宋体" w:hAnsi="宋体" w:cs="宋体"/>
          <w:b/>
          <w:bCs/>
          <w:kern w:val="0"/>
          <w:sz w:val="24"/>
        </w:rPr>
        <w:t>（2）属于“环境标志产品政府采购清单”中品目的产品，提供最新“环境标志产品政府采购清单（第___期）”中报价产品所在清单页并加盖报价供应商公章，清单在中国政府采购网（http://www.ccgp.gov.cn/）、国家环境保护总局网（http://www.sepa.gov.cn/）、中国绿色采购网（http://www.cgpn. cn/）上发布；</w:t>
      </w:r>
    </w:p>
    <w:p>
      <w:pPr>
        <w:spacing w:line="480" w:lineRule="exact"/>
        <w:ind w:firstLine="482" w:firstLineChars="200"/>
        <w:rPr>
          <w:rFonts w:ascii="宋体" w:hAnsi="宋体" w:cs="宋体"/>
          <w:b/>
          <w:bCs/>
          <w:kern w:val="0"/>
          <w:sz w:val="24"/>
        </w:rPr>
      </w:pPr>
      <w:r>
        <w:rPr>
          <w:rFonts w:hint="eastAsia" w:ascii="宋体" w:hAnsi="宋体" w:cs="宋体"/>
          <w:b/>
          <w:bCs/>
          <w:kern w:val="0"/>
          <w:sz w:val="24"/>
        </w:rPr>
        <w:t>3、如不填写或填写不全，后果自行承担。</w:t>
      </w:r>
    </w:p>
    <w:p>
      <w:pPr>
        <w:pStyle w:val="2"/>
        <w:tabs>
          <w:tab w:val="left" w:pos="8227"/>
        </w:tabs>
        <w:kinsoku w:val="0"/>
        <w:overflowPunct w:val="0"/>
        <w:spacing w:line="381" w:lineRule="auto"/>
        <w:ind w:left="4027" w:right="118"/>
        <w:rPr>
          <w:rFonts w:ascii="宋体" w:hAnsi="宋体" w:cs="宋体"/>
          <w:b/>
          <w:bCs/>
        </w:rPr>
      </w:pPr>
    </w:p>
    <w:p>
      <w:pPr>
        <w:pStyle w:val="2"/>
        <w:tabs>
          <w:tab w:val="left" w:pos="8227"/>
        </w:tabs>
        <w:kinsoku w:val="0"/>
        <w:overflowPunct w:val="0"/>
        <w:spacing w:line="381" w:lineRule="auto"/>
        <w:ind w:right="118"/>
        <w:jc w:val="left"/>
        <w:rPr>
          <w:rFonts w:ascii="宋体" w:hAnsi="宋体" w:cs="宋体"/>
          <w:b/>
          <w:bCs/>
        </w:rPr>
      </w:pPr>
      <w:r>
        <w:rPr>
          <w:rFonts w:hint="eastAsia" w:ascii="宋体" w:hAnsi="宋体" w:cs="宋体"/>
          <w:b/>
          <w:bCs/>
        </w:rPr>
        <w:t>供应商：</w:t>
      </w:r>
      <w:r>
        <w:rPr>
          <w:rFonts w:hint="eastAsia" w:ascii="宋体" w:hAnsi="宋体" w:cs="宋体"/>
          <w:b/>
          <w:bCs/>
          <w:w w:val="95"/>
        </w:rPr>
        <w:t>（盖章）</w:t>
      </w:r>
    </w:p>
    <w:p>
      <w:pPr>
        <w:pStyle w:val="2"/>
        <w:tabs>
          <w:tab w:val="left" w:pos="8227"/>
        </w:tabs>
        <w:kinsoku w:val="0"/>
        <w:overflowPunct w:val="0"/>
        <w:spacing w:line="381" w:lineRule="auto"/>
        <w:ind w:right="118"/>
        <w:jc w:val="left"/>
        <w:rPr>
          <w:rFonts w:ascii="宋体" w:hAnsi="宋体" w:cs="宋体"/>
          <w:b/>
          <w:bCs/>
          <w:w w:val="95"/>
        </w:rPr>
      </w:pPr>
      <w:r>
        <w:rPr>
          <w:rFonts w:hint="eastAsia" w:ascii="宋体" w:hAnsi="宋体" w:cs="宋体"/>
          <w:b/>
          <w:bCs/>
        </w:rPr>
        <w:t>法定代表人或被授权人：</w:t>
      </w:r>
      <w:r>
        <w:rPr>
          <w:rFonts w:hint="eastAsia" w:ascii="宋体" w:hAnsi="宋体" w:cs="宋体"/>
          <w:b/>
          <w:bCs/>
          <w:w w:val="95"/>
        </w:rPr>
        <w:t>（签字）</w:t>
      </w:r>
    </w:p>
    <w:p>
      <w:pPr>
        <w:pStyle w:val="2"/>
        <w:tabs>
          <w:tab w:val="left" w:pos="5551"/>
          <w:tab w:val="left" w:pos="6511"/>
          <w:tab w:val="left" w:pos="7111"/>
          <w:tab w:val="left" w:pos="7711"/>
        </w:tabs>
        <w:kinsoku w:val="0"/>
        <w:overflowPunct w:val="0"/>
        <w:spacing w:before="46"/>
        <w:jc w:val="left"/>
        <w:rPr>
          <w:rFonts w:ascii="宋体" w:hAnsi="宋体" w:cs="宋体"/>
          <w:b/>
          <w:bCs/>
        </w:rPr>
      </w:pPr>
      <w:r>
        <w:rPr>
          <w:rFonts w:hint="eastAsia" w:ascii="宋体" w:hAnsi="宋体" w:cs="宋体"/>
          <w:b/>
          <w:bCs/>
        </w:rPr>
        <w:t>日期：年月日</w:t>
      </w:r>
    </w:p>
    <w:p>
      <w:pPr>
        <w:pStyle w:val="2"/>
        <w:tabs>
          <w:tab w:val="left" w:pos="5551"/>
          <w:tab w:val="left" w:pos="6511"/>
          <w:tab w:val="left" w:pos="7111"/>
          <w:tab w:val="left" w:pos="7711"/>
        </w:tabs>
        <w:kinsoku w:val="0"/>
        <w:overflowPunct w:val="0"/>
        <w:spacing w:before="46"/>
        <w:rPr>
          <w:rFonts w:ascii="宋体" w:hAnsi="宋体" w:cs="宋体"/>
        </w:rPr>
      </w:pPr>
      <w:r>
        <w:rPr>
          <w:rFonts w:hint="eastAsia" w:ascii="宋体" w:hAnsi="宋体" w:cs="宋体"/>
        </w:rPr>
        <w:br w:type="page"/>
      </w:r>
    </w:p>
    <w:p>
      <w:pPr>
        <w:pStyle w:val="2"/>
        <w:kinsoku w:val="0"/>
        <w:overflowPunct w:val="0"/>
        <w:spacing w:before="34" w:line="357" w:lineRule="auto"/>
        <w:ind w:right="126" w:firstLine="480"/>
        <w:jc w:val="center"/>
        <w:outlineLvl w:val="1"/>
        <w:rPr>
          <w:rFonts w:ascii="宋体" w:hAnsi="宋体" w:cs="宋体"/>
          <w:b/>
          <w:bCs/>
        </w:rPr>
      </w:pPr>
      <w:r>
        <w:rPr>
          <w:rFonts w:hint="eastAsia" w:ascii="宋体" w:hAnsi="宋体" w:cs="宋体"/>
          <w:b/>
          <w:bCs/>
          <w:sz w:val="36"/>
          <w:szCs w:val="36"/>
        </w:rPr>
        <w:t>七、供应商基本情况</w:t>
      </w:r>
    </w:p>
    <w:p>
      <w:pPr>
        <w:pStyle w:val="2"/>
        <w:kinsoku w:val="0"/>
        <w:overflowPunct w:val="0"/>
        <w:ind w:left="3104" w:right="2998"/>
        <w:jc w:val="center"/>
        <w:rPr>
          <w:rFonts w:ascii="宋体" w:hAnsi="宋体" w:cs="宋体"/>
        </w:rPr>
      </w:pPr>
      <w:r>
        <w:rPr>
          <w:rFonts w:hint="eastAsia" w:ascii="宋体" w:hAnsi="宋体" w:cs="宋体"/>
          <w:b/>
          <w:bCs/>
        </w:rPr>
        <w:t>（一）供应商基本情况表</w:t>
      </w:r>
    </w:p>
    <w:p>
      <w:pPr>
        <w:pStyle w:val="2"/>
        <w:kinsoku w:val="0"/>
        <w:overflowPunct w:val="0"/>
        <w:spacing w:before="5"/>
        <w:rPr>
          <w:rFonts w:ascii="宋体" w:hAnsi="宋体" w:cs="宋体"/>
          <w:b/>
          <w:bCs/>
          <w:sz w:val="6"/>
          <w:szCs w:val="6"/>
        </w:rPr>
      </w:pPr>
    </w:p>
    <w:tbl>
      <w:tblPr>
        <w:tblStyle w:val="27"/>
        <w:tblW w:w="0" w:type="auto"/>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50"/>
              <w:kinsoku w:val="0"/>
              <w:overflowPunct w:val="0"/>
              <w:spacing w:before="145"/>
              <w:ind w:left="137"/>
              <w:rPr>
                <w:rFonts w:ascii="宋体" w:hAnsi="宋体" w:cs="宋体"/>
              </w:rPr>
            </w:pPr>
            <w:r>
              <w:rPr>
                <w:rFonts w:hint="eastAsia" w:ascii="宋体" w:hAnsi="宋体" w:cs="宋体"/>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50"/>
              <w:kinsoku w:val="0"/>
              <w:overflowPunct w:val="0"/>
              <w:spacing w:before="145"/>
              <w:ind w:left="137"/>
              <w:rPr>
                <w:rFonts w:ascii="宋体" w:hAnsi="宋体" w:cs="宋体"/>
              </w:rPr>
            </w:pPr>
            <w:r>
              <w:rPr>
                <w:rFonts w:hint="eastAsia" w:ascii="宋体" w:hAnsi="宋体" w:cs="宋体"/>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50"/>
              <w:kinsoku w:val="0"/>
              <w:overflowPunct w:val="0"/>
              <w:spacing w:before="145"/>
              <w:ind w:left="137"/>
              <w:rPr>
                <w:rFonts w:ascii="宋体" w:hAnsi="宋体" w:cs="宋体"/>
              </w:rPr>
            </w:pPr>
            <w:r>
              <w:rPr>
                <w:rFonts w:hint="eastAsia" w:ascii="宋体" w:hAnsi="宋体" w:cs="宋体"/>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50"/>
              <w:kinsoku w:val="0"/>
              <w:overflowPunct w:val="0"/>
              <w:spacing w:before="145"/>
              <w:ind w:left="137"/>
              <w:rPr>
                <w:rFonts w:ascii="宋体" w:hAnsi="宋体" w:cs="宋体"/>
              </w:rPr>
            </w:pPr>
            <w:r>
              <w:rPr>
                <w:rFonts w:hint="eastAsia" w:ascii="宋体" w:hAnsi="宋体" w:cs="宋体"/>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2294" w:type="dxa"/>
            <w:gridSpan w:val="4"/>
            <w:tcBorders>
              <w:top w:val="single" w:color="000000" w:sz="4" w:space="0"/>
              <w:left w:val="single" w:color="000000" w:sz="4" w:space="0"/>
              <w:bottom w:val="single" w:color="000000" w:sz="4" w:space="0"/>
              <w:right w:val="single" w:color="000000" w:sz="4" w:space="0"/>
            </w:tcBorders>
          </w:tcPr>
          <w:p>
            <w:pPr>
              <w:pStyle w:val="50"/>
              <w:kinsoku w:val="0"/>
              <w:overflowPunct w:val="0"/>
              <w:spacing w:before="145"/>
              <w:ind w:left="181"/>
              <w:rPr>
                <w:rFonts w:ascii="宋体" w:hAnsi="宋体" w:cs="宋体"/>
              </w:rPr>
            </w:pPr>
            <w:r>
              <w:rPr>
                <w:rFonts w:hint="eastAsia" w:ascii="宋体" w:hAnsi="宋体" w:cs="宋体"/>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50"/>
              <w:kinsoku w:val="0"/>
              <w:overflowPunct w:val="0"/>
              <w:spacing w:before="146"/>
              <w:ind w:left="137"/>
              <w:rPr>
                <w:rFonts w:ascii="宋体" w:hAnsi="宋体" w:cs="宋体"/>
              </w:rPr>
            </w:pPr>
            <w:r>
              <w:rPr>
                <w:rFonts w:hint="eastAsia" w:ascii="宋体" w:hAnsi="宋体" w:cs="宋体"/>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50"/>
              <w:kinsoku w:val="0"/>
              <w:overflowPunct w:val="0"/>
              <w:spacing w:before="141" w:line="312" w:lineRule="exact"/>
              <w:ind w:left="257" w:right="133" w:hanging="120"/>
              <w:rPr>
                <w:rFonts w:ascii="宋体" w:hAnsi="宋体" w:cs="宋体"/>
              </w:rPr>
            </w:pPr>
            <w:r>
              <w:rPr>
                <w:rFonts w:hint="eastAsia" w:ascii="宋体" w:hAnsi="宋体" w:cs="宋体"/>
              </w:rPr>
              <w:t>投标期间 联系人</w:t>
            </w:r>
          </w:p>
        </w:tc>
        <w:tc>
          <w:tcPr>
            <w:tcW w:w="1445" w:type="dxa"/>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1342" w:type="dxa"/>
            <w:gridSpan w:val="2"/>
            <w:tcBorders>
              <w:top w:val="single" w:color="000000" w:sz="4" w:space="0"/>
              <w:left w:val="single" w:color="000000" w:sz="4" w:space="0"/>
              <w:bottom w:val="single" w:color="000000" w:sz="4" w:space="0"/>
              <w:right w:val="single" w:color="000000" w:sz="4" w:space="0"/>
            </w:tcBorders>
          </w:tcPr>
          <w:p>
            <w:pPr>
              <w:pStyle w:val="50"/>
              <w:kinsoku w:val="0"/>
              <w:overflowPunct w:val="0"/>
              <w:spacing w:before="4"/>
              <w:rPr>
                <w:rFonts w:ascii="宋体" w:hAnsi="宋体" w:cs="宋体"/>
                <w:b/>
                <w:bCs/>
                <w:sz w:val="20"/>
                <w:szCs w:val="20"/>
              </w:rPr>
            </w:pPr>
          </w:p>
          <w:p>
            <w:pPr>
              <w:pStyle w:val="50"/>
              <w:kinsoku w:val="0"/>
              <w:overflowPunct w:val="0"/>
              <w:ind w:left="366"/>
              <w:rPr>
                <w:rFonts w:ascii="宋体" w:hAnsi="宋体" w:cs="宋体"/>
              </w:rPr>
            </w:pPr>
            <w:r>
              <w:rPr>
                <w:rFonts w:hint="eastAsia" w:ascii="宋体" w:hAnsi="宋体" w:cs="宋体"/>
              </w:rPr>
              <w:t>电 话</w:t>
            </w:r>
          </w:p>
        </w:tc>
        <w:tc>
          <w:tcPr>
            <w:tcW w:w="1343" w:type="dxa"/>
            <w:gridSpan w:val="2"/>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1377" w:type="dxa"/>
            <w:gridSpan w:val="3"/>
            <w:tcBorders>
              <w:top w:val="single" w:color="000000" w:sz="4" w:space="0"/>
              <w:left w:val="single" w:color="000000" w:sz="4" w:space="0"/>
              <w:bottom w:val="single" w:color="000000" w:sz="4" w:space="0"/>
              <w:right w:val="single" w:color="000000" w:sz="4" w:space="0"/>
            </w:tcBorders>
          </w:tcPr>
          <w:p>
            <w:pPr>
              <w:pStyle w:val="50"/>
              <w:kinsoku w:val="0"/>
              <w:overflowPunct w:val="0"/>
              <w:spacing w:before="4"/>
              <w:rPr>
                <w:rFonts w:ascii="宋体" w:hAnsi="宋体" w:cs="宋体"/>
                <w:b/>
                <w:bCs/>
                <w:sz w:val="20"/>
                <w:szCs w:val="20"/>
              </w:rPr>
            </w:pPr>
          </w:p>
          <w:p>
            <w:pPr>
              <w:pStyle w:val="50"/>
              <w:kinsoku w:val="0"/>
              <w:overflowPunct w:val="0"/>
              <w:ind w:left="383"/>
              <w:rPr>
                <w:rFonts w:ascii="宋体" w:hAnsi="宋体" w:cs="宋体"/>
              </w:rPr>
            </w:pPr>
            <w:r>
              <w:rPr>
                <w:rFonts w:hint="eastAsia" w:ascii="宋体" w:hAnsi="宋体" w:cs="宋体"/>
              </w:rPr>
              <w:t>传 真</w:t>
            </w:r>
          </w:p>
        </w:tc>
        <w:tc>
          <w:tcPr>
            <w:tcW w:w="1965" w:type="dxa"/>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pPr>
              <w:pStyle w:val="50"/>
              <w:kinsoku w:val="0"/>
              <w:overflowPunct w:val="0"/>
              <w:rPr>
                <w:rFonts w:ascii="宋体" w:hAnsi="宋体" w:cs="宋体"/>
                <w:b/>
                <w:bCs/>
              </w:rPr>
            </w:pPr>
          </w:p>
          <w:p>
            <w:pPr>
              <w:pStyle w:val="50"/>
              <w:kinsoku w:val="0"/>
              <w:overflowPunct w:val="0"/>
              <w:rPr>
                <w:rFonts w:ascii="宋体" w:hAnsi="宋体" w:cs="宋体"/>
                <w:b/>
                <w:bCs/>
              </w:rPr>
            </w:pPr>
          </w:p>
          <w:p>
            <w:pPr>
              <w:pStyle w:val="50"/>
              <w:kinsoku w:val="0"/>
              <w:overflowPunct w:val="0"/>
              <w:rPr>
                <w:rFonts w:ascii="宋体" w:hAnsi="宋体" w:cs="宋体"/>
                <w:b/>
                <w:bCs/>
              </w:rPr>
            </w:pPr>
          </w:p>
          <w:p>
            <w:pPr>
              <w:pStyle w:val="50"/>
              <w:kinsoku w:val="0"/>
              <w:overflowPunct w:val="0"/>
              <w:spacing w:line="475" w:lineRule="auto"/>
              <w:ind w:left="497" w:right="493"/>
              <w:jc w:val="both"/>
              <w:rPr>
                <w:rFonts w:ascii="宋体" w:hAnsi="宋体" w:cs="宋体"/>
              </w:rPr>
            </w:pPr>
            <w:r>
              <w:rPr>
                <w:rFonts w:hint="eastAsia" w:ascii="宋体" w:hAnsi="宋体" w:cs="宋体"/>
              </w:rPr>
              <w:t>职 工 概 况</w:t>
            </w:r>
          </w:p>
        </w:tc>
        <w:tc>
          <w:tcPr>
            <w:tcW w:w="1445" w:type="dxa"/>
            <w:tcBorders>
              <w:top w:val="single" w:color="000000" w:sz="4" w:space="0"/>
              <w:left w:val="single" w:color="000000" w:sz="4" w:space="0"/>
              <w:bottom w:val="single" w:color="000000" w:sz="4" w:space="0"/>
              <w:right w:val="single" w:color="000000" w:sz="4" w:space="0"/>
            </w:tcBorders>
          </w:tcPr>
          <w:p>
            <w:pPr>
              <w:pStyle w:val="50"/>
              <w:kinsoku w:val="0"/>
              <w:overflowPunct w:val="0"/>
              <w:spacing w:before="144"/>
              <w:ind w:left="236"/>
              <w:rPr>
                <w:rFonts w:ascii="宋体" w:hAnsi="宋体" w:cs="宋体"/>
              </w:rPr>
            </w:pPr>
            <w:r>
              <w:rPr>
                <w:rFonts w:hint="eastAsia" w:ascii="宋体" w:hAnsi="宋体" w:cs="宋体"/>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2168" w:type="dxa"/>
            <w:gridSpan w:val="4"/>
            <w:tcBorders>
              <w:top w:val="single" w:color="000000" w:sz="4" w:space="0"/>
              <w:left w:val="single" w:color="000000" w:sz="4" w:space="0"/>
              <w:bottom w:val="single" w:color="000000" w:sz="4" w:space="0"/>
              <w:right w:val="single" w:color="000000" w:sz="4" w:space="0"/>
            </w:tcBorders>
          </w:tcPr>
          <w:p>
            <w:pPr>
              <w:pStyle w:val="50"/>
              <w:kinsoku w:val="0"/>
              <w:overflowPunct w:val="0"/>
              <w:spacing w:before="144"/>
              <w:ind w:left="118"/>
              <w:rPr>
                <w:rFonts w:ascii="宋体" w:hAnsi="宋体" w:cs="宋体"/>
              </w:rPr>
            </w:pPr>
            <w:r>
              <w:rPr>
                <w:rFonts w:hint="eastAsia" w:ascii="宋体" w:hAnsi="宋体" w:cs="宋体"/>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7472" w:type="dxa"/>
            <w:gridSpan w:val="9"/>
            <w:tcBorders>
              <w:top w:val="single" w:color="000000" w:sz="4" w:space="0"/>
              <w:left w:val="single" w:color="000000" w:sz="4" w:space="0"/>
              <w:bottom w:val="single" w:color="000000" w:sz="4" w:space="0"/>
              <w:right w:val="single" w:color="000000" w:sz="4" w:space="0"/>
            </w:tcBorders>
          </w:tcPr>
          <w:p>
            <w:pPr>
              <w:pStyle w:val="50"/>
              <w:kinsoku w:val="0"/>
              <w:overflowPunct w:val="0"/>
              <w:spacing w:before="145"/>
              <w:jc w:val="center"/>
              <w:rPr>
                <w:rFonts w:ascii="宋体" w:hAnsi="宋体" w:cs="宋体"/>
              </w:rPr>
            </w:pPr>
            <w:r>
              <w:rPr>
                <w:rFonts w:hint="eastAsia" w:ascii="宋体" w:hAnsi="宋体" w:cs="宋体"/>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50"/>
              <w:kinsoku w:val="0"/>
              <w:overflowPunct w:val="0"/>
              <w:spacing w:before="145"/>
              <w:jc w:val="center"/>
              <w:rPr>
                <w:rFonts w:ascii="宋体" w:hAnsi="宋体" w:cs="宋体"/>
              </w:rPr>
            </w:pPr>
          </w:p>
        </w:tc>
        <w:tc>
          <w:tcPr>
            <w:tcW w:w="1445" w:type="dxa"/>
            <w:tcBorders>
              <w:top w:val="single" w:color="000000" w:sz="4" w:space="0"/>
              <w:left w:val="single" w:color="000000" w:sz="4" w:space="0"/>
              <w:bottom w:val="single" w:color="000000" w:sz="4" w:space="0"/>
              <w:right w:val="single" w:color="000000" w:sz="4" w:space="0"/>
            </w:tcBorders>
          </w:tcPr>
          <w:p>
            <w:pPr>
              <w:pStyle w:val="50"/>
              <w:kinsoku w:val="0"/>
              <w:overflowPunct w:val="0"/>
              <w:spacing w:before="145"/>
              <w:ind w:left="416"/>
              <w:rPr>
                <w:rFonts w:ascii="宋体" w:hAnsi="宋体" w:cs="宋体"/>
              </w:rPr>
            </w:pPr>
            <w:r>
              <w:rPr>
                <w:rFonts w:hint="eastAsia" w:ascii="宋体" w:hAnsi="宋体" w:cs="宋体"/>
              </w:rPr>
              <w:t>姓 名</w:t>
            </w:r>
          </w:p>
        </w:tc>
        <w:tc>
          <w:tcPr>
            <w:tcW w:w="1997" w:type="dxa"/>
            <w:gridSpan w:val="3"/>
            <w:tcBorders>
              <w:top w:val="single" w:color="000000" w:sz="4" w:space="0"/>
              <w:left w:val="single" w:color="000000" w:sz="4" w:space="0"/>
              <w:bottom w:val="single" w:color="000000" w:sz="4" w:space="0"/>
              <w:right w:val="single" w:color="000000" w:sz="4" w:space="0"/>
            </w:tcBorders>
          </w:tcPr>
          <w:p>
            <w:pPr>
              <w:pStyle w:val="50"/>
              <w:kinsoku w:val="0"/>
              <w:overflowPunct w:val="0"/>
              <w:spacing w:before="145"/>
              <w:ind w:left="452"/>
              <w:rPr>
                <w:rFonts w:ascii="宋体" w:hAnsi="宋体" w:cs="宋体"/>
              </w:rPr>
            </w:pPr>
            <w:r>
              <w:rPr>
                <w:rFonts w:hint="eastAsia" w:ascii="宋体" w:hAnsi="宋体" w:cs="宋体"/>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pPr>
              <w:pStyle w:val="50"/>
              <w:kinsoku w:val="0"/>
              <w:overflowPunct w:val="0"/>
              <w:spacing w:before="145"/>
              <w:ind w:left="450"/>
              <w:rPr>
                <w:rFonts w:ascii="宋体" w:hAnsi="宋体" w:cs="宋体"/>
              </w:rPr>
            </w:pPr>
            <w:r>
              <w:rPr>
                <w:rFonts w:hint="eastAsia" w:ascii="宋体" w:hAnsi="宋体" w:cs="宋体"/>
              </w:rPr>
              <w:t>年 龄</w:t>
            </w:r>
          </w:p>
        </w:tc>
        <w:tc>
          <w:tcPr>
            <w:tcW w:w="2517" w:type="dxa"/>
            <w:gridSpan w:val="2"/>
            <w:tcBorders>
              <w:top w:val="single" w:color="000000" w:sz="4" w:space="0"/>
              <w:left w:val="single" w:color="000000" w:sz="4" w:space="0"/>
              <w:bottom w:val="single" w:color="000000" w:sz="4" w:space="0"/>
              <w:right w:val="single" w:color="000000" w:sz="4" w:space="0"/>
            </w:tcBorders>
          </w:tcPr>
          <w:p>
            <w:pPr>
              <w:pStyle w:val="50"/>
              <w:tabs>
                <w:tab w:val="left" w:pos="479"/>
              </w:tabs>
              <w:kinsoku w:val="0"/>
              <w:overflowPunct w:val="0"/>
              <w:spacing w:before="145"/>
              <w:ind w:right="1"/>
              <w:jc w:val="center"/>
              <w:rPr>
                <w:rFonts w:ascii="宋体" w:hAnsi="宋体" w:cs="宋体"/>
              </w:rPr>
            </w:pPr>
            <w:r>
              <w:rPr>
                <w:rFonts w:hint="eastAsia" w:ascii="宋体" w:hAnsi="宋体" w:cs="宋体"/>
              </w:rPr>
              <w:t>专</w:t>
            </w:r>
            <w:r>
              <w:rPr>
                <w:rFonts w:hint="eastAsia" w:ascii="宋体" w:hAnsi="宋体" w:cs="宋体"/>
              </w:rPr>
              <w:tab/>
            </w:r>
            <w:r>
              <w:rPr>
                <w:rFonts w:hint="eastAsia" w:ascii="宋体" w:hAnsi="宋体" w:cs="宋体"/>
              </w:rPr>
              <w:t>业</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50"/>
              <w:tabs>
                <w:tab w:val="left" w:pos="479"/>
              </w:tabs>
              <w:kinsoku w:val="0"/>
              <w:overflowPunct w:val="0"/>
              <w:spacing w:before="145"/>
              <w:ind w:right="1"/>
              <w:jc w:val="center"/>
              <w:rPr>
                <w:rFonts w:ascii="宋体" w:hAnsi="宋体" w:cs="宋体"/>
              </w:rPr>
            </w:pPr>
          </w:p>
        </w:tc>
        <w:tc>
          <w:tcPr>
            <w:tcW w:w="1445" w:type="dxa"/>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1445" w:type="dxa"/>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1445" w:type="dxa"/>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r>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50"/>
              <w:kinsoku w:val="0"/>
              <w:overflowPunct w:val="0"/>
              <w:rPr>
                <w:rFonts w:ascii="宋体" w:hAnsi="宋体" w:cs="宋体"/>
                <w:b/>
                <w:bCs/>
              </w:rPr>
            </w:pPr>
          </w:p>
          <w:p>
            <w:pPr>
              <w:pStyle w:val="50"/>
              <w:kinsoku w:val="0"/>
              <w:overflowPunct w:val="0"/>
              <w:spacing w:before="1"/>
              <w:rPr>
                <w:rFonts w:ascii="宋体" w:hAnsi="宋体" w:cs="宋体"/>
                <w:b/>
                <w:bCs/>
                <w:sz w:val="23"/>
                <w:szCs w:val="23"/>
              </w:rPr>
            </w:pPr>
          </w:p>
          <w:p>
            <w:pPr>
              <w:pStyle w:val="50"/>
              <w:kinsoku w:val="0"/>
              <w:overflowPunct w:val="0"/>
              <w:spacing w:line="237" w:lineRule="auto"/>
              <w:ind w:left="497" w:right="493"/>
              <w:jc w:val="both"/>
              <w:rPr>
                <w:rFonts w:ascii="宋体" w:hAnsi="宋体" w:cs="宋体"/>
              </w:rPr>
            </w:pPr>
            <w:r>
              <w:rPr>
                <w:rFonts w:hint="eastAsia" w:ascii="宋体" w:hAnsi="宋体" w:cs="宋体"/>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bl>
    <w:p>
      <w:pPr>
        <w:pStyle w:val="2"/>
        <w:kinsoku w:val="0"/>
        <w:overflowPunct w:val="0"/>
        <w:spacing w:before="26" w:line="320" w:lineRule="auto"/>
        <w:ind w:left="1772" w:hanging="1640"/>
        <w:rPr>
          <w:rFonts w:ascii="宋体" w:hAnsi="宋体" w:cs="宋体"/>
          <w:b/>
          <w:bCs/>
          <w:w w:val="95"/>
        </w:rPr>
      </w:pPr>
    </w:p>
    <w:p>
      <w:pPr>
        <w:pStyle w:val="2"/>
        <w:kinsoku w:val="0"/>
        <w:overflowPunct w:val="0"/>
        <w:spacing w:before="26" w:line="320" w:lineRule="auto"/>
        <w:jc w:val="center"/>
        <w:rPr>
          <w:rFonts w:ascii="宋体" w:hAnsi="宋体" w:cs="宋体"/>
        </w:rPr>
      </w:pPr>
      <w:r>
        <w:rPr>
          <w:rFonts w:hint="eastAsia" w:ascii="宋体" w:hAnsi="宋体" w:cs="宋体"/>
          <w:b/>
          <w:bCs/>
          <w:w w:val="95"/>
        </w:rPr>
        <w:br w:type="page"/>
      </w:r>
      <w:r>
        <w:rPr>
          <w:rFonts w:hint="eastAsia" w:ascii="宋体" w:hAnsi="宋体" w:cs="宋体"/>
          <w:b/>
          <w:bCs/>
          <w:w w:val="95"/>
        </w:rPr>
        <w:t>（二</w:t>
      </w:r>
      <w:r>
        <w:rPr>
          <w:rFonts w:hint="eastAsia" w:ascii="宋体" w:hAnsi="宋体" w:cs="宋体"/>
          <w:b/>
          <w:bCs/>
          <w:spacing w:val="-15"/>
          <w:w w:val="95"/>
        </w:rPr>
        <w:t>）</w:t>
      </w:r>
      <w:r>
        <w:rPr>
          <w:rFonts w:hint="eastAsia" w:ascii="宋体" w:hAnsi="宋体" w:cs="宋体"/>
          <w:b/>
          <w:bCs/>
          <w:w w:val="95"/>
        </w:rPr>
        <w:t>营</w:t>
      </w:r>
      <w:r>
        <w:rPr>
          <w:rFonts w:hint="eastAsia" w:ascii="宋体" w:hAnsi="宋体" w:cs="宋体"/>
          <w:b/>
          <w:bCs/>
          <w:spacing w:val="1"/>
          <w:w w:val="95"/>
        </w:rPr>
        <w:t>业</w:t>
      </w:r>
      <w:r>
        <w:rPr>
          <w:rFonts w:hint="eastAsia" w:ascii="宋体" w:hAnsi="宋体" w:cs="宋体"/>
          <w:b/>
          <w:bCs/>
          <w:w w:val="95"/>
        </w:rPr>
        <w:t>执</w:t>
      </w:r>
      <w:r>
        <w:rPr>
          <w:rFonts w:hint="eastAsia" w:ascii="宋体" w:hAnsi="宋体" w:cs="宋体"/>
          <w:b/>
          <w:bCs/>
          <w:spacing w:val="1"/>
          <w:w w:val="95"/>
        </w:rPr>
        <w:t>照</w:t>
      </w:r>
      <w:r>
        <w:rPr>
          <w:rFonts w:hint="eastAsia" w:ascii="宋体" w:hAnsi="宋体" w:cs="宋体"/>
          <w:b/>
          <w:bCs/>
          <w:w w:val="95"/>
        </w:rPr>
        <w:t>副本</w:t>
      </w:r>
      <w:r>
        <w:rPr>
          <w:rFonts w:hint="eastAsia" w:ascii="宋体" w:hAnsi="宋体" w:cs="宋体"/>
          <w:b/>
          <w:bCs/>
          <w:spacing w:val="-15"/>
          <w:w w:val="95"/>
        </w:rPr>
        <w:t>、</w:t>
      </w:r>
      <w:r>
        <w:rPr>
          <w:rFonts w:hint="eastAsia" w:ascii="宋体" w:hAnsi="宋体" w:cs="宋体"/>
          <w:b/>
          <w:bCs/>
          <w:w w:val="95"/>
        </w:rPr>
        <w:t>税</w:t>
      </w:r>
      <w:r>
        <w:rPr>
          <w:rFonts w:hint="eastAsia" w:ascii="宋体" w:hAnsi="宋体" w:cs="宋体"/>
          <w:b/>
          <w:bCs/>
          <w:spacing w:val="1"/>
          <w:w w:val="95"/>
        </w:rPr>
        <w:t>务</w:t>
      </w:r>
      <w:r>
        <w:rPr>
          <w:rFonts w:hint="eastAsia" w:ascii="宋体" w:hAnsi="宋体" w:cs="宋体"/>
          <w:b/>
          <w:bCs/>
          <w:w w:val="95"/>
        </w:rPr>
        <w:t>登</w:t>
      </w:r>
      <w:r>
        <w:rPr>
          <w:rFonts w:hint="eastAsia" w:ascii="宋体" w:hAnsi="宋体" w:cs="宋体"/>
          <w:b/>
          <w:bCs/>
          <w:spacing w:val="1"/>
          <w:w w:val="95"/>
        </w:rPr>
        <w:t>记</w:t>
      </w:r>
      <w:r>
        <w:rPr>
          <w:rFonts w:hint="eastAsia" w:ascii="宋体" w:hAnsi="宋体" w:cs="宋体"/>
          <w:b/>
          <w:bCs/>
          <w:w w:val="95"/>
        </w:rPr>
        <w:t>证</w:t>
      </w:r>
      <w:r>
        <w:rPr>
          <w:rFonts w:hint="eastAsia" w:ascii="宋体" w:hAnsi="宋体" w:cs="宋体"/>
          <w:b/>
          <w:bCs/>
          <w:spacing w:val="-17"/>
          <w:w w:val="95"/>
        </w:rPr>
        <w:t>、</w:t>
      </w:r>
      <w:r>
        <w:rPr>
          <w:rFonts w:hint="eastAsia" w:ascii="宋体" w:hAnsi="宋体" w:cs="宋体"/>
          <w:b/>
          <w:bCs/>
          <w:w w:val="95"/>
        </w:rPr>
        <w:t>组</w:t>
      </w:r>
      <w:r>
        <w:rPr>
          <w:rFonts w:hint="eastAsia" w:ascii="宋体" w:hAnsi="宋体" w:cs="宋体"/>
          <w:b/>
          <w:bCs/>
          <w:spacing w:val="1"/>
          <w:w w:val="95"/>
        </w:rPr>
        <w:t>织</w:t>
      </w:r>
      <w:r>
        <w:rPr>
          <w:rFonts w:hint="eastAsia" w:ascii="宋体" w:hAnsi="宋体" w:cs="宋体"/>
          <w:b/>
          <w:bCs/>
          <w:w w:val="95"/>
        </w:rPr>
        <w:t>机</w:t>
      </w:r>
      <w:r>
        <w:rPr>
          <w:rFonts w:hint="eastAsia" w:ascii="宋体" w:hAnsi="宋体" w:cs="宋体"/>
          <w:b/>
          <w:bCs/>
          <w:spacing w:val="1"/>
          <w:w w:val="95"/>
        </w:rPr>
        <w:t>构</w:t>
      </w:r>
      <w:r>
        <w:rPr>
          <w:rFonts w:hint="eastAsia" w:ascii="宋体" w:hAnsi="宋体" w:cs="宋体"/>
          <w:b/>
          <w:bCs/>
          <w:w w:val="95"/>
        </w:rPr>
        <w:t>代码</w:t>
      </w:r>
      <w:r>
        <w:rPr>
          <w:rFonts w:hint="eastAsia" w:ascii="宋体" w:hAnsi="宋体" w:cs="宋体"/>
          <w:b/>
          <w:bCs/>
          <w:spacing w:val="1"/>
          <w:w w:val="95"/>
        </w:rPr>
        <w:t>证</w:t>
      </w:r>
      <w:r>
        <w:rPr>
          <w:rFonts w:hint="eastAsia" w:ascii="宋体" w:hAnsi="宋体" w:cs="宋体"/>
          <w:b/>
          <w:bCs/>
          <w:spacing w:val="-33"/>
          <w:w w:val="95"/>
        </w:rPr>
        <w:t>、</w:t>
      </w:r>
      <w:r>
        <w:rPr>
          <w:rFonts w:hint="eastAsia" w:ascii="宋体" w:hAnsi="宋体" w:cs="宋体"/>
          <w:b/>
          <w:bCs/>
          <w:w w:val="95"/>
        </w:rPr>
        <w:t>（三</w:t>
      </w:r>
      <w:r>
        <w:rPr>
          <w:rFonts w:hint="eastAsia" w:ascii="宋体" w:hAnsi="宋体" w:cs="宋体"/>
          <w:b/>
          <w:bCs/>
          <w:spacing w:val="1"/>
          <w:w w:val="95"/>
        </w:rPr>
        <w:t>证</w:t>
      </w:r>
      <w:r>
        <w:rPr>
          <w:rFonts w:hint="eastAsia" w:ascii="宋体" w:hAnsi="宋体" w:cs="宋体"/>
          <w:b/>
          <w:bCs/>
          <w:w w:val="95"/>
        </w:rPr>
        <w:t>合</w:t>
      </w:r>
      <w:r>
        <w:rPr>
          <w:rFonts w:hint="eastAsia" w:ascii="宋体" w:hAnsi="宋体" w:cs="宋体"/>
          <w:b/>
          <w:bCs/>
          <w:spacing w:val="1"/>
          <w:w w:val="95"/>
        </w:rPr>
        <w:t>一</w:t>
      </w:r>
      <w:r>
        <w:rPr>
          <w:rFonts w:hint="eastAsia" w:ascii="宋体" w:hAnsi="宋体" w:cs="宋体"/>
          <w:b/>
          <w:bCs/>
          <w:w w:val="95"/>
        </w:rPr>
        <w:t>的提</w:t>
      </w:r>
      <w:r>
        <w:rPr>
          <w:rFonts w:hint="eastAsia" w:ascii="宋体" w:hAnsi="宋体" w:cs="宋体"/>
          <w:b/>
          <w:bCs/>
          <w:spacing w:val="1"/>
          <w:w w:val="95"/>
        </w:rPr>
        <w:t>供</w:t>
      </w:r>
      <w:r>
        <w:rPr>
          <w:rFonts w:hint="eastAsia" w:ascii="宋体" w:hAnsi="宋体" w:cs="宋体"/>
          <w:b/>
          <w:bCs/>
          <w:w w:val="95"/>
        </w:rPr>
        <w:t>统</w:t>
      </w:r>
      <w:r>
        <w:rPr>
          <w:rFonts w:hint="eastAsia" w:ascii="宋体" w:hAnsi="宋体" w:cs="宋体"/>
          <w:b/>
          <w:bCs/>
          <w:spacing w:val="1"/>
          <w:w w:val="95"/>
        </w:rPr>
        <w:t>一</w:t>
      </w:r>
      <w:r>
        <w:rPr>
          <w:rFonts w:hint="eastAsia" w:ascii="宋体" w:hAnsi="宋体" w:cs="宋体"/>
          <w:b/>
          <w:bCs/>
          <w:w w:val="95"/>
        </w:rPr>
        <w:t>社会</w:t>
      </w:r>
      <w:r>
        <w:rPr>
          <w:rFonts w:hint="eastAsia" w:ascii="宋体" w:hAnsi="宋体" w:cs="宋体"/>
          <w:b/>
          <w:bCs/>
          <w:spacing w:val="1"/>
          <w:w w:val="95"/>
        </w:rPr>
        <w:t>信</w:t>
      </w:r>
      <w:r>
        <w:rPr>
          <w:rFonts w:hint="eastAsia" w:ascii="宋体" w:hAnsi="宋体" w:cs="宋体"/>
          <w:b/>
          <w:bCs/>
          <w:w w:val="95"/>
        </w:rPr>
        <w:t>用</w:t>
      </w:r>
      <w:r>
        <w:rPr>
          <w:rFonts w:hint="eastAsia" w:ascii="宋体" w:hAnsi="宋体" w:cs="宋体"/>
          <w:b/>
          <w:bCs/>
        </w:rPr>
        <w:t>代码的营业执照）</w:t>
      </w:r>
    </w:p>
    <w:p>
      <w:pPr>
        <w:spacing w:line="360" w:lineRule="auto"/>
        <w:rPr>
          <w:rFonts w:ascii="宋体" w:hAnsi="宋体" w:cs="宋体"/>
          <w:color w:val="000000"/>
          <w:kern w:val="0"/>
          <w:sz w:val="24"/>
        </w:rPr>
      </w:pPr>
      <w:r>
        <w:rPr>
          <w:rFonts w:hint="eastAsia" w:ascii="宋体" w:hAnsi="宋体" w:cs="宋体"/>
          <w:color w:val="000000"/>
          <w:kern w:val="0"/>
          <w:sz w:val="24"/>
        </w:rPr>
        <w:t>说明：</w:t>
      </w:r>
    </w:p>
    <w:p>
      <w:pPr>
        <w:spacing w:line="360" w:lineRule="auto"/>
        <w:rPr>
          <w:rFonts w:ascii="宋体" w:hAnsi="宋体" w:cs="宋体"/>
          <w:color w:val="000000"/>
          <w:kern w:val="0"/>
          <w:sz w:val="24"/>
        </w:rPr>
      </w:pPr>
      <w:r>
        <w:rPr>
          <w:rFonts w:hint="eastAsia" w:ascii="宋体" w:hAnsi="宋体" w:cs="宋体"/>
          <w:color w:val="000000"/>
          <w:kern w:val="0"/>
          <w:sz w:val="24"/>
        </w:rPr>
        <w:t>（1）企业单位投标提供有效的营业执照（3证合1或多证合1）；</w:t>
      </w:r>
    </w:p>
    <w:p>
      <w:pPr>
        <w:spacing w:line="360" w:lineRule="auto"/>
        <w:rPr>
          <w:rFonts w:ascii="宋体" w:hAnsi="宋体" w:cs="宋体"/>
          <w:color w:val="000000"/>
          <w:kern w:val="0"/>
          <w:sz w:val="24"/>
        </w:rPr>
      </w:pPr>
      <w:r>
        <w:rPr>
          <w:rFonts w:hint="eastAsia" w:ascii="宋体" w:hAnsi="宋体" w:cs="宋体"/>
          <w:color w:val="000000"/>
          <w:kern w:val="0"/>
          <w:sz w:val="24"/>
        </w:rPr>
        <w:t>（2）事业单位投标提供有效的法人证书（带有社会统一信用代码）；</w:t>
      </w:r>
    </w:p>
    <w:p>
      <w:pPr>
        <w:spacing w:line="360" w:lineRule="auto"/>
        <w:rPr>
          <w:rFonts w:ascii="宋体" w:hAnsi="宋体" w:cs="宋体"/>
          <w:color w:val="000000"/>
          <w:kern w:val="0"/>
          <w:sz w:val="24"/>
        </w:rPr>
      </w:pPr>
      <w:r>
        <w:rPr>
          <w:rFonts w:hint="eastAsia" w:ascii="宋体" w:hAnsi="宋体" w:cs="宋体"/>
          <w:color w:val="000000"/>
          <w:kern w:val="0"/>
          <w:sz w:val="24"/>
        </w:rPr>
        <w:t>（3）其他组织投标提供有效的登记证书（带有社会统一信用代码）；</w:t>
      </w:r>
    </w:p>
    <w:p>
      <w:pPr>
        <w:spacing w:line="360" w:lineRule="auto"/>
        <w:rPr>
          <w:rFonts w:hint="eastAsia" w:ascii="宋体" w:hAnsi="宋体" w:cs="宋体"/>
          <w:color w:val="000000"/>
          <w:kern w:val="0"/>
          <w:sz w:val="24"/>
        </w:rPr>
      </w:pPr>
      <w:r>
        <w:rPr>
          <w:rFonts w:hint="eastAsia" w:ascii="宋体" w:hAnsi="宋体" w:cs="宋体"/>
          <w:color w:val="000000"/>
          <w:kern w:val="0"/>
          <w:sz w:val="24"/>
        </w:rPr>
        <w:t>（4）自然人投标提供有效的身份证复印件；</w:t>
      </w:r>
    </w:p>
    <w:p>
      <w:pPr>
        <w:pStyle w:val="2"/>
        <w:rPr>
          <w:rFonts w:hint="default" w:eastAsia="宋体"/>
          <w:lang w:val="en-US" w:eastAsia="zh-CN"/>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5</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原件或复印件可直接装订，复印件加盖投标单位公章。</w:t>
      </w:r>
    </w:p>
    <w:p>
      <w:pPr>
        <w:pStyle w:val="2"/>
        <w:kinsoku w:val="0"/>
        <w:overflowPunct w:val="0"/>
        <w:spacing w:before="26"/>
        <w:ind w:left="1051" w:right="118"/>
        <w:jc w:val="center"/>
        <w:rPr>
          <w:rFonts w:ascii="宋体" w:hAnsi="宋体" w:cs="宋体"/>
          <w:b/>
          <w:bCs/>
        </w:rPr>
      </w:pPr>
      <w:r>
        <w:rPr>
          <w:rFonts w:hint="eastAsia" w:ascii="宋体" w:hAnsi="宋体" w:cs="宋体"/>
        </w:rPr>
        <w:br w:type="page"/>
      </w:r>
      <w:r>
        <w:rPr>
          <w:rFonts w:hint="eastAsia" w:ascii="宋体" w:hAnsi="宋体" w:cs="宋体"/>
          <w:b/>
          <w:bCs/>
        </w:rPr>
        <w:t>（三）近一年财务状况报告相关材料（复印件加盖单位公章）</w:t>
      </w:r>
    </w:p>
    <w:p>
      <w:pPr>
        <w:pStyle w:val="12"/>
        <w:adjustRightInd w:val="0"/>
        <w:snapToGrid w:val="0"/>
        <w:spacing w:line="360" w:lineRule="auto"/>
        <w:jc w:val="left"/>
        <w:rPr>
          <w:rFonts w:hAnsi="宋体" w:cs="宋体"/>
          <w:b/>
          <w:sz w:val="24"/>
          <w:szCs w:val="24"/>
        </w:rPr>
      </w:pPr>
    </w:p>
    <w:p>
      <w:pPr>
        <w:spacing w:line="360" w:lineRule="auto"/>
        <w:ind w:firstLine="480"/>
        <w:rPr>
          <w:rFonts w:ascii="宋体" w:hAnsi="宋体" w:cs="宋体"/>
          <w:color w:val="000000"/>
          <w:kern w:val="0"/>
          <w:sz w:val="24"/>
        </w:rPr>
      </w:pPr>
      <w:r>
        <w:rPr>
          <w:rFonts w:hint="eastAsia" w:ascii="宋体" w:hAnsi="宋体" w:cs="宋体"/>
          <w:color w:val="000000"/>
          <w:kern w:val="0"/>
          <w:sz w:val="24"/>
        </w:rPr>
        <w:t xml:space="preserve"> 说明：</w:t>
      </w:r>
    </w:p>
    <w:p>
      <w:pPr>
        <w:spacing w:line="360" w:lineRule="auto"/>
        <w:ind w:firstLine="480"/>
        <w:rPr>
          <w:rFonts w:ascii="宋体" w:hAnsi="宋体" w:cs="宋体"/>
          <w:color w:val="000000"/>
          <w:kern w:val="0"/>
          <w:sz w:val="24"/>
        </w:rPr>
      </w:pPr>
      <w:r>
        <w:rPr>
          <w:rFonts w:hint="eastAsia" w:ascii="宋体" w:hAnsi="宋体" w:cs="宋体"/>
          <w:color w:val="000000"/>
          <w:kern w:val="0"/>
          <w:sz w:val="24"/>
        </w:rPr>
        <w:t>（1）2020年或2021年审计报告（或基本开户银行出具的资信证明文件），包括 “四表一注”即《资产负债表》《利润表》《现金流量表》《所有者权益变动表》及其附注复印件；</w:t>
      </w:r>
    </w:p>
    <w:p>
      <w:pPr>
        <w:spacing w:line="360" w:lineRule="auto"/>
        <w:ind w:firstLine="480" w:firstLineChars="200"/>
        <w:rPr>
          <w:rFonts w:ascii="宋体" w:hAnsi="宋体" w:cs="宋体"/>
        </w:rPr>
      </w:pPr>
      <w:r>
        <w:rPr>
          <w:rFonts w:hint="eastAsia" w:ascii="宋体" w:hAnsi="宋体" w:cs="宋体"/>
          <w:color w:val="000000"/>
          <w:kern w:val="0"/>
          <w:sz w:val="24"/>
        </w:rPr>
        <w:t>（2）投标人成立不到1年的，提供季度或月份有关财务报表原件（不需审计）；</w:t>
      </w:r>
    </w:p>
    <w:p>
      <w:pPr>
        <w:spacing w:line="360" w:lineRule="auto"/>
        <w:ind w:firstLine="480"/>
        <w:rPr>
          <w:rFonts w:ascii="宋体" w:hAnsi="宋体" w:cs="宋体"/>
          <w:color w:val="000000"/>
          <w:kern w:val="0"/>
          <w:sz w:val="24"/>
        </w:rPr>
      </w:pPr>
      <w:r>
        <w:rPr>
          <w:rFonts w:hint="eastAsia" w:ascii="宋体" w:hAnsi="宋体" w:cs="宋体"/>
          <w:color w:val="000000"/>
          <w:kern w:val="0"/>
          <w:sz w:val="24"/>
        </w:rPr>
        <w:t>（3）公益类事业单位、自然人无需提供；</w:t>
      </w:r>
    </w:p>
    <w:p>
      <w:pPr>
        <w:spacing w:line="360" w:lineRule="auto"/>
        <w:ind w:firstLine="480"/>
        <w:rPr>
          <w:rFonts w:ascii="宋体" w:hAnsi="宋体" w:cs="宋体"/>
          <w:color w:val="000000"/>
          <w:kern w:val="0"/>
          <w:sz w:val="24"/>
        </w:rPr>
      </w:pPr>
      <w:r>
        <w:rPr>
          <w:rFonts w:hint="eastAsia" w:ascii="宋体" w:hAnsi="宋体" w:cs="宋体"/>
          <w:color w:val="000000"/>
          <w:kern w:val="0"/>
          <w:sz w:val="24"/>
        </w:rPr>
        <w:t xml:space="preserve">（4）原件或复印件可直接装订，复印件加盖投标人单位章。 </w:t>
      </w:r>
    </w:p>
    <w:p/>
    <w:p>
      <w:pPr>
        <w:pStyle w:val="12"/>
        <w:adjustRightInd w:val="0"/>
        <w:snapToGrid w:val="0"/>
        <w:spacing w:line="360" w:lineRule="auto"/>
        <w:jc w:val="center"/>
        <w:rPr>
          <w:rFonts w:hAnsi="宋体" w:cs="宋体"/>
          <w:b/>
          <w:sz w:val="36"/>
          <w:szCs w:val="36"/>
        </w:rPr>
      </w:pPr>
      <w:r>
        <w:rPr>
          <w:rFonts w:hint="eastAsia" w:hAnsi="宋体" w:cs="宋体"/>
        </w:rPr>
        <w:br w:type="page"/>
      </w:r>
      <w:r>
        <w:rPr>
          <w:rFonts w:hint="eastAsia" w:hAnsi="宋体" w:cs="宋体"/>
          <w:b/>
          <w:bCs/>
          <w:kern w:val="0"/>
          <w:sz w:val="24"/>
          <w:szCs w:val="24"/>
        </w:rPr>
        <w:t>（四）税收缴纳证明</w:t>
      </w:r>
    </w:p>
    <w:p>
      <w:pPr>
        <w:pStyle w:val="12"/>
        <w:adjustRightInd w:val="0"/>
        <w:snapToGrid w:val="0"/>
        <w:spacing w:line="360" w:lineRule="auto"/>
        <w:jc w:val="left"/>
        <w:rPr>
          <w:rFonts w:hAnsi="宋体" w:cs="宋体"/>
          <w:sz w:val="24"/>
          <w:szCs w:val="24"/>
        </w:rPr>
      </w:pPr>
    </w:p>
    <w:p>
      <w:pPr>
        <w:spacing w:line="360" w:lineRule="auto"/>
        <w:ind w:firstLine="480"/>
        <w:rPr>
          <w:rFonts w:ascii="宋体" w:hAnsi="宋体" w:cs="宋体"/>
          <w:color w:val="000000"/>
          <w:kern w:val="0"/>
          <w:sz w:val="24"/>
        </w:rPr>
      </w:pPr>
      <w:r>
        <w:rPr>
          <w:rFonts w:hint="eastAsia" w:ascii="宋体" w:hAnsi="宋体" w:cs="宋体"/>
          <w:color w:val="000000"/>
          <w:kern w:val="0"/>
          <w:sz w:val="24"/>
        </w:rPr>
        <w:t>说明：</w:t>
      </w:r>
    </w:p>
    <w:p>
      <w:pPr>
        <w:spacing w:line="360" w:lineRule="auto"/>
        <w:ind w:firstLine="480"/>
        <w:rPr>
          <w:rFonts w:ascii="宋体" w:hAnsi="宋体" w:cs="宋体"/>
          <w:color w:val="000000"/>
          <w:kern w:val="0"/>
          <w:sz w:val="24"/>
        </w:rPr>
      </w:pPr>
      <w:r>
        <w:rPr>
          <w:rFonts w:hint="eastAsia" w:ascii="宋体" w:hAnsi="宋体" w:cs="宋体"/>
          <w:color w:val="000000"/>
          <w:kern w:val="0"/>
          <w:sz w:val="24"/>
        </w:rPr>
        <w:t xml:space="preserve">（1）税收缴纳证明：提供供应商近半年内纳税证明； </w:t>
      </w:r>
    </w:p>
    <w:p>
      <w:pPr>
        <w:spacing w:line="360" w:lineRule="auto"/>
        <w:ind w:firstLine="480"/>
        <w:rPr>
          <w:rFonts w:ascii="宋体" w:hAnsi="宋体" w:cs="宋体"/>
          <w:color w:val="000000"/>
          <w:kern w:val="0"/>
          <w:sz w:val="24"/>
        </w:rPr>
      </w:pPr>
      <w:r>
        <w:rPr>
          <w:rFonts w:hint="eastAsia" w:ascii="宋体" w:hAnsi="宋体" w:cs="宋体"/>
          <w:color w:val="000000"/>
          <w:kern w:val="0"/>
          <w:sz w:val="24"/>
        </w:rPr>
        <w:t>（2）依法免税的应提供相关文件证明；</w:t>
      </w:r>
    </w:p>
    <w:p>
      <w:pPr>
        <w:spacing w:line="360" w:lineRule="auto"/>
        <w:ind w:firstLine="480"/>
        <w:rPr>
          <w:rFonts w:ascii="宋体" w:hAnsi="宋体" w:cs="宋体"/>
          <w:color w:val="000000"/>
          <w:kern w:val="0"/>
          <w:sz w:val="24"/>
        </w:rPr>
      </w:pPr>
      <w:r>
        <w:rPr>
          <w:rFonts w:hint="eastAsia" w:ascii="宋体" w:hAnsi="宋体" w:cs="宋体"/>
          <w:color w:val="000000"/>
          <w:kern w:val="0"/>
          <w:sz w:val="24"/>
        </w:rPr>
        <w:t>（3）公益类事业单位无需提供；</w:t>
      </w:r>
    </w:p>
    <w:p>
      <w:pPr>
        <w:spacing w:line="360" w:lineRule="auto"/>
        <w:ind w:firstLine="480"/>
        <w:rPr>
          <w:rFonts w:ascii="宋体" w:hAnsi="宋体" w:cs="宋体"/>
          <w:color w:val="000000"/>
          <w:kern w:val="0"/>
          <w:sz w:val="24"/>
        </w:rPr>
      </w:pPr>
      <w:r>
        <w:rPr>
          <w:rFonts w:hint="eastAsia" w:ascii="宋体" w:hAnsi="宋体" w:cs="宋体"/>
          <w:color w:val="000000"/>
          <w:kern w:val="0"/>
          <w:sz w:val="24"/>
        </w:rPr>
        <w:t>（4）新成立未发生缴纳税收事项的投标人，应提供纳税书面承诺；</w:t>
      </w:r>
    </w:p>
    <w:p>
      <w:pPr>
        <w:spacing w:line="360" w:lineRule="auto"/>
        <w:ind w:firstLine="480"/>
        <w:rPr>
          <w:rFonts w:ascii="宋体" w:hAnsi="宋体" w:cs="宋体"/>
          <w:color w:val="000000"/>
          <w:kern w:val="0"/>
          <w:sz w:val="24"/>
        </w:rPr>
      </w:pPr>
      <w:r>
        <w:rPr>
          <w:rFonts w:hint="eastAsia" w:ascii="宋体" w:hAnsi="宋体" w:cs="宋体"/>
          <w:color w:val="000000"/>
          <w:kern w:val="0"/>
          <w:sz w:val="24"/>
        </w:rPr>
        <w:t>（5）原件或复印件可直接装订，复印件加盖投标人单位章。</w:t>
      </w:r>
    </w:p>
    <w:p>
      <w:pPr>
        <w:rPr>
          <w:rFonts w:ascii="宋体" w:hAnsi="宋体" w:cs="宋体"/>
          <w:b/>
          <w:bCs/>
        </w:rPr>
      </w:pPr>
      <w:r>
        <w:rPr>
          <w:rFonts w:hint="eastAsia" w:ascii="宋体" w:hAnsi="宋体" w:cs="宋体"/>
          <w:b/>
          <w:bCs/>
        </w:rPr>
        <w:br w:type="page"/>
      </w:r>
    </w:p>
    <w:p>
      <w:pPr>
        <w:pStyle w:val="2"/>
        <w:kinsoku w:val="0"/>
        <w:overflowPunct w:val="0"/>
        <w:spacing w:before="26"/>
        <w:ind w:right="118"/>
        <w:jc w:val="center"/>
        <w:rPr>
          <w:rFonts w:ascii="宋体" w:hAnsi="宋体" w:cs="宋体"/>
          <w:b/>
          <w:bCs/>
          <w:kern w:val="0"/>
          <w:sz w:val="24"/>
        </w:rPr>
      </w:pPr>
      <w:r>
        <w:rPr>
          <w:rFonts w:hint="eastAsia" w:ascii="宋体" w:hAnsi="宋体" w:cs="宋体"/>
          <w:b/>
          <w:bCs/>
          <w:kern w:val="0"/>
          <w:sz w:val="24"/>
        </w:rPr>
        <w:t>（五）单位社会保障缴费证明（复印件加盖公章）</w:t>
      </w:r>
    </w:p>
    <w:p>
      <w:pPr>
        <w:pStyle w:val="12"/>
        <w:adjustRightInd w:val="0"/>
        <w:snapToGrid w:val="0"/>
        <w:spacing w:line="360" w:lineRule="auto"/>
        <w:jc w:val="left"/>
        <w:rPr>
          <w:rFonts w:hAnsi="宋体" w:cs="宋体"/>
          <w:color w:val="000000"/>
          <w:kern w:val="0"/>
          <w:sz w:val="24"/>
          <w:szCs w:val="24"/>
        </w:rPr>
      </w:pPr>
      <w:r>
        <w:rPr>
          <w:rFonts w:hint="eastAsia" w:hAnsi="宋体" w:cs="宋体"/>
          <w:color w:val="000000"/>
          <w:kern w:val="0"/>
          <w:sz w:val="24"/>
          <w:szCs w:val="24"/>
        </w:rPr>
        <w:t>说明：</w:t>
      </w:r>
    </w:p>
    <w:p>
      <w:pPr>
        <w:spacing w:line="360" w:lineRule="auto"/>
        <w:ind w:firstLine="482"/>
        <w:rPr>
          <w:rFonts w:ascii="宋体" w:hAnsi="宋体" w:cs="宋体"/>
          <w:color w:val="000000"/>
          <w:kern w:val="0"/>
          <w:sz w:val="24"/>
        </w:rPr>
      </w:pPr>
      <w:r>
        <w:rPr>
          <w:rFonts w:hint="eastAsia" w:ascii="宋体" w:hAnsi="宋体" w:cs="宋体"/>
          <w:color w:val="000000"/>
          <w:kern w:val="0"/>
          <w:sz w:val="24"/>
        </w:rPr>
        <w:t>（1）社会保障资金缴纳证明：近半年内社保缴纳证明；</w:t>
      </w:r>
    </w:p>
    <w:p>
      <w:pPr>
        <w:spacing w:line="360" w:lineRule="auto"/>
        <w:ind w:firstLine="482"/>
        <w:rPr>
          <w:rFonts w:ascii="宋体" w:hAnsi="宋体" w:cs="宋体"/>
          <w:color w:val="000000"/>
          <w:kern w:val="0"/>
          <w:sz w:val="24"/>
        </w:rPr>
      </w:pPr>
      <w:r>
        <w:rPr>
          <w:rFonts w:hint="eastAsia" w:ascii="宋体" w:hAnsi="宋体" w:cs="宋体"/>
          <w:color w:val="000000"/>
          <w:kern w:val="0"/>
          <w:sz w:val="24"/>
        </w:rPr>
        <w:t>（2）依法不需要缴纳社会保障资金的供应商应提供相关文件证明；</w:t>
      </w:r>
    </w:p>
    <w:p>
      <w:pPr>
        <w:pStyle w:val="12"/>
        <w:adjustRightInd w:val="0"/>
        <w:snapToGrid w:val="0"/>
        <w:spacing w:line="360" w:lineRule="auto"/>
        <w:ind w:firstLine="482"/>
        <w:rPr>
          <w:rFonts w:hAnsi="宋体" w:cs="宋体"/>
          <w:color w:val="000000"/>
          <w:kern w:val="0"/>
          <w:sz w:val="24"/>
          <w:szCs w:val="24"/>
        </w:rPr>
      </w:pPr>
      <w:r>
        <w:rPr>
          <w:rFonts w:hint="eastAsia" w:hAnsi="宋体" w:cs="宋体"/>
          <w:color w:val="000000"/>
          <w:kern w:val="0"/>
          <w:sz w:val="24"/>
          <w:szCs w:val="24"/>
        </w:rPr>
        <w:t>（3）公益类事业单位无需提供；</w:t>
      </w:r>
    </w:p>
    <w:p>
      <w:pPr>
        <w:pStyle w:val="12"/>
        <w:adjustRightInd w:val="0"/>
        <w:snapToGrid w:val="0"/>
        <w:spacing w:line="360" w:lineRule="auto"/>
        <w:ind w:firstLine="482"/>
        <w:rPr>
          <w:rFonts w:hAnsi="宋体" w:cs="宋体"/>
          <w:color w:val="000000"/>
          <w:kern w:val="0"/>
          <w:sz w:val="24"/>
          <w:szCs w:val="24"/>
        </w:rPr>
      </w:pPr>
      <w:r>
        <w:rPr>
          <w:rFonts w:hint="eastAsia" w:hAnsi="宋体" w:cs="宋体"/>
          <w:color w:val="000000"/>
          <w:kern w:val="0"/>
          <w:sz w:val="24"/>
          <w:szCs w:val="24"/>
        </w:rPr>
        <w:t>（4）新成立未发生缴纳社保资金事项的投标人，应提供缴纳社保资金的书面承诺；</w:t>
      </w:r>
    </w:p>
    <w:p>
      <w:pPr>
        <w:pStyle w:val="12"/>
        <w:adjustRightInd w:val="0"/>
        <w:snapToGrid w:val="0"/>
        <w:spacing w:line="360" w:lineRule="auto"/>
        <w:ind w:firstLine="482"/>
        <w:rPr>
          <w:rFonts w:hAnsi="宋体" w:cs="宋体"/>
          <w:color w:val="000000"/>
          <w:kern w:val="0"/>
          <w:sz w:val="24"/>
          <w:szCs w:val="24"/>
        </w:rPr>
      </w:pPr>
      <w:r>
        <w:rPr>
          <w:rFonts w:hint="eastAsia" w:hAnsi="宋体" w:cs="宋体"/>
          <w:color w:val="000000"/>
          <w:kern w:val="0"/>
          <w:sz w:val="24"/>
          <w:szCs w:val="24"/>
        </w:rPr>
        <w:t>（5）原件或复印件可直接装订，复印件加盖投标人单位章。</w:t>
      </w:r>
    </w:p>
    <w:p>
      <w:pPr>
        <w:rPr>
          <w:rFonts w:ascii="宋体" w:hAnsi="宋体" w:cs="宋体"/>
          <w:b/>
          <w:bCs/>
        </w:rPr>
      </w:pPr>
      <w:r>
        <w:rPr>
          <w:rFonts w:hint="eastAsia" w:ascii="宋体" w:hAnsi="宋体" w:cs="宋体"/>
          <w:b/>
          <w:bCs/>
        </w:rPr>
        <w:br w:type="page"/>
      </w:r>
    </w:p>
    <w:p>
      <w:pPr>
        <w:pStyle w:val="12"/>
        <w:adjustRightInd w:val="0"/>
        <w:snapToGrid w:val="0"/>
        <w:spacing w:line="360" w:lineRule="auto"/>
        <w:ind w:firstLine="482"/>
        <w:jc w:val="center"/>
        <w:rPr>
          <w:rFonts w:hint="eastAsia" w:hAnsi="宋体" w:eastAsia="宋体" w:cs="宋体"/>
          <w:b/>
          <w:bCs/>
          <w:kern w:val="0"/>
          <w:sz w:val="24"/>
          <w:szCs w:val="24"/>
          <w:lang w:eastAsia="zh-CN"/>
        </w:rPr>
      </w:pPr>
      <w:r>
        <w:rPr>
          <w:rFonts w:hint="eastAsia" w:hAnsi="宋体" w:cs="宋体"/>
          <w:b/>
          <w:bCs/>
          <w:kern w:val="0"/>
          <w:sz w:val="24"/>
          <w:szCs w:val="24"/>
        </w:rPr>
        <w:t>（六）</w:t>
      </w:r>
      <w:r>
        <w:rPr>
          <w:rFonts w:hint="eastAsia" w:hAnsi="宋体" w:cs="宋体"/>
          <w:b/>
          <w:bCs/>
          <w:sz w:val="24"/>
          <w:lang w:eastAsia="zh-CN"/>
        </w:rPr>
        <w:t>企业软件实力</w:t>
      </w:r>
    </w:p>
    <w:p>
      <w:pPr>
        <w:rPr>
          <w:rFonts w:ascii="宋体" w:hAnsi="宋体" w:cs="宋体"/>
          <w:b/>
          <w:bCs/>
          <w:kern w:val="0"/>
          <w:sz w:val="24"/>
        </w:rPr>
      </w:pPr>
      <w:r>
        <w:rPr>
          <w:rFonts w:hint="eastAsia" w:ascii="宋体" w:hAnsi="宋体" w:cs="宋体"/>
          <w:b/>
          <w:bCs/>
          <w:kern w:val="0"/>
          <w:sz w:val="24"/>
        </w:rPr>
        <w:br w:type="page"/>
      </w:r>
    </w:p>
    <w:p>
      <w:pPr>
        <w:pStyle w:val="12"/>
        <w:adjustRightInd w:val="0"/>
        <w:snapToGrid w:val="0"/>
        <w:spacing w:line="360" w:lineRule="auto"/>
        <w:ind w:firstLine="482"/>
        <w:jc w:val="center"/>
        <w:rPr>
          <w:rFonts w:hAnsi="宋体" w:cs="宋体"/>
          <w:b/>
          <w:bCs/>
          <w:kern w:val="0"/>
          <w:sz w:val="24"/>
          <w:szCs w:val="24"/>
        </w:rPr>
      </w:pPr>
    </w:p>
    <w:p>
      <w:pPr>
        <w:pStyle w:val="12"/>
        <w:adjustRightInd w:val="0"/>
        <w:snapToGrid w:val="0"/>
        <w:spacing w:line="360" w:lineRule="auto"/>
        <w:ind w:firstLine="482"/>
        <w:jc w:val="center"/>
        <w:rPr>
          <w:rFonts w:hAnsi="宋体" w:cs="宋体"/>
          <w:color w:val="000000"/>
          <w:kern w:val="0"/>
          <w:sz w:val="24"/>
          <w:szCs w:val="24"/>
        </w:rPr>
      </w:pPr>
      <w:r>
        <w:rPr>
          <w:rFonts w:hint="eastAsia" w:hAnsi="宋体" w:cs="宋体"/>
          <w:b/>
          <w:bCs/>
          <w:kern w:val="0"/>
          <w:sz w:val="24"/>
          <w:szCs w:val="24"/>
        </w:rPr>
        <w:t>（七）其他证明材料</w:t>
      </w:r>
    </w:p>
    <w:p>
      <w:pPr>
        <w:pStyle w:val="51"/>
        <w:ind w:firstLine="480"/>
        <w:rPr>
          <w:rFonts w:ascii="宋体" w:hAnsi="宋体" w:cs="宋体"/>
          <w:color w:val="000000"/>
          <w:kern w:val="0"/>
          <w:sz w:val="24"/>
        </w:rPr>
      </w:pPr>
      <w:r>
        <w:rPr>
          <w:rFonts w:hint="eastAsia" w:ascii="宋体" w:hAnsi="宋体" w:cs="宋体"/>
          <w:sz w:val="24"/>
        </w:rPr>
        <w:t>（1）</w:t>
      </w:r>
      <w:r>
        <w:rPr>
          <w:rFonts w:hint="eastAsia" w:ascii="宋体" w:hAnsi="宋体" w:cs="宋体"/>
          <w:color w:val="000000"/>
          <w:kern w:val="0"/>
          <w:sz w:val="24"/>
        </w:rPr>
        <w:t>参加政府采购活动前三年内，在经营活动中没有重大违法记录，近三年经营活动中没有重大违法记录声明函；</w:t>
      </w:r>
    </w:p>
    <w:p>
      <w:pPr>
        <w:pStyle w:val="51"/>
        <w:ind w:firstLine="480"/>
        <w:rPr>
          <w:rFonts w:ascii="宋体" w:hAnsi="宋体" w:cs="宋体"/>
          <w:color w:val="000000"/>
          <w:kern w:val="0"/>
          <w:sz w:val="24"/>
        </w:rPr>
      </w:pPr>
      <w:r>
        <w:rPr>
          <w:rFonts w:hint="eastAsia" w:ascii="宋体" w:hAnsi="宋体" w:cs="宋体"/>
          <w:sz w:val="24"/>
        </w:rPr>
        <w:t>（2）</w:t>
      </w:r>
      <w:r>
        <w:rPr>
          <w:rFonts w:hint="eastAsia" w:ascii="宋体" w:hAnsi="宋体" w:cs="宋体"/>
          <w:color w:val="000000"/>
          <w:kern w:val="0"/>
          <w:sz w:val="24"/>
        </w:rPr>
        <w:t>法律、行政法规规定的其他条件。应商不得为“信用中国”网站（www.creditchina.gov.cn）中列入失信被执行人和重大税收违法失信主体记录的供应商，不得为中国政府采购网（www.ccgp.gov.cn）政府采购严重违法失信行为记录名单中被财政部门禁止参加政府采购活动的供应商。（网站查询的截图，加盖供应商公章）</w:t>
      </w:r>
    </w:p>
    <w:p>
      <w:pPr>
        <w:pStyle w:val="51"/>
        <w:ind w:firstLine="560"/>
        <w:rPr>
          <w:rFonts w:ascii="宋体" w:hAnsi="宋体" w:cs="宋体"/>
          <w:color w:val="000000"/>
          <w:kern w:val="0"/>
          <w:sz w:val="28"/>
          <w:szCs w:val="28"/>
        </w:rPr>
        <w:sectPr>
          <w:footerReference r:id="rId3" w:type="default"/>
          <w:pgSz w:w="11906" w:h="16838"/>
          <w:pgMar w:top="1440" w:right="1588" w:bottom="1440" w:left="1588" w:header="851" w:footer="992" w:gutter="0"/>
          <w:cols w:space="720" w:num="1"/>
          <w:docGrid w:linePitch="312" w:charSpace="0"/>
        </w:sectPr>
      </w:pPr>
    </w:p>
    <w:p>
      <w:pPr>
        <w:jc w:val="center"/>
        <w:outlineLvl w:val="1"/>
        <w:rPr>
          <w:rFonts w:ascii="宋体" w:hAnsi="宋体" w:cs="宋体"/>
          <w:b/>
          <w:szCs w:val="21"/>
        </w:rPr>
      </w:pPr>
      <w:r>
        <w:rPr>
          <w:rFonts w:hint="eastAsia" w:ascii="宋体" w:hAnsi="宋体" w:cs="宋体"/>
          <w:b/>
          <w:bCs/>
          <w:sz w:val="36"/>
          <w:szCs w:val="36"/>
        </w:rPr>
        <w:t>八、一般商务条款偏离表</w:t>
      </w:r>
    </w:p>
    <w:p>
      <w:pPr>
        <w:rPr>
          <w:rFonts w:ascii="宋体" w:hAnsi="宋体" w:cs="宋体"/>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114"/>
        <w:gridCol w:w="1289"/>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宋体" w:hAnsi="宋体" w:cs="宋体"/>
                <w:spacing w:val="-1"/>
                <w:kern w:val="0"/>
                <w:sz w:val="24"/>
              </w:rPr>
            </w:pPr>
            <w:r>
              <w:rPr>
                <w:rFonts w:hint="eastAsia" w:ascii="宋体" w:hAnsi="宋体" w:cs="宋体"/>
                <w:spacing w:val="-1"/>
                <w:kern w:val="0"/>
                <w:sz w:val="24"/>
              </w:rPr>
              <w:t>序号</w:t>
            </w:r>
          </w:p>
        </w:tc>
        <w:tc>
          <w:tcPr>
            <w:tcW w:w="2154" w:type="dxa"/>
            <w:vAlign w:val="center"/>
          </w:tcPr>
          <w:p>
            <w:pPr>
              <w:rPr>
                <w:rFonts w:ascii="宋体" w:hAnsi="宋体" w:cs="宋体"/>
                <w:spacing w:val="-1"/>
                <w:kern w:val="0"/>
                <w:sz w:val="24"/>
              </w:rPr>
            </w:pPr>
            <w:r>
              <w:rPr>
                <w:rFonts w:hint="eastAsia" w:ascii="宋体" w:hAnsi="宋体" w:cs="宋体"/>
                <w:spacing w:val="-1"/>
                <w:kern w:val="0"/>
                <w:sz w:val="24"/>
              </w:rPr>
              <w:t>一般商务条款序号</w:t>
            </w:r>
          </w:p>
        </w:tc>
        <w:tc>
          <w:tcPr>
            <w:tcW w:w="2114" w:type="dxa"/>
            <w:vAlign w:val="center"/>
          </w:tcPr>
          <w:p>
            <w:pPr>
              <w:jc w:val="center"/>
              <w:rPr>
                <w:rFonts w:ascii="宋体" w:hAnsi="宋体" w:cs="宋体"/>
                <w:spacing w:val="-1"/>
                <w:kern w:val="0"/>
                <w:sz w:val="24"/>
              </w:rPr>
            </w:pPr>
            <w:r>
              <w:rPr>
                <w:rFonts w:hint="eastAsia" w:ascii="宋体" w:hAnsi="宋体" w:cs="宋体"/>
                <w:spacing w:val="-1"/>
                <w:kern w:val="0"/>
                <w:sz w:val="24"/>
              </w:rPr>
              <w:t>条款内容</w:t>
            </w:r>
          </w:p>
        </w:tc>
        <w:tc>
          <w:tcPr>
            <w:tcW w:w="1289" w:type="dxa"/>
            <w:vAlign w:val="center"/>
          </w:tcPr>
          <w:p>
            <w:pPr>
              <w:jc w:val="center"/>
              <w:rPr>
                <w:rFonts w:ascii="宋体" w:hAnsi="宋体" w:cs="宋体"/>
                <w:spacing w:val="-1"/>
                <w:kern w:val="0"/>
                <w:sz w:val="24"/>
              </w:rPr>
            </w:pPr>
            <w:r>
              <w:rPr>
                <w:rFonts w:hint="eastAsia" w:ascii="宋体" w:hAnsi="宋体" w:cs="宋体"/>
                <w:spacing w:val="-1"/>
                <w:kern w:val="0"/>
                <w:sz w:val="24"/>
              </w:rPr>
              <w:t>是否响应</w:t>
            </w:r>
          </w:p>
        </w:tc>
        <w:tc>
          <w:tcPr>
            <w:tcW w:w="2658" w:type="dxa"/>
            <w:vAlign w:val="center"/>
          </w:tcPr>
          <w:p>
            <w:pPr>
              <w:jc w:val="center"/>
              <w:rPr>
                <w:rFonts w:ascii="宋体" w:hAnsi="宋体" w:cs="宋体"/>
                <w:spacing w:val="-1"/>
                <w:kern w:val="0"/>
                <w:sz w:val="24"/>
              </w:rPr>
            </w:pPr>
            <w:r>
              <w:rPr>
                <w:rFonts w:hint="eastAsia" w:ascii="宋体" w:hAnsi="宋体" w:cs="宋体"/>
                <w:spacing w:val="-1"/>
                <w:kern w:val="0"/>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rPr>
            </w:pPr>
            <w:r>
              <w:rPr>
                <w:rFonts w:hint="eastAsia" w:ascii="宋体" w:hAnsi="宋体" w:cs="宋体"/>
                <w:spacing w:val="-1"/>
                <w:kern w:val="0"/>
                <w:sz w:val="24"/>
              </w:rPr>
              <w:t>1</w:t>
            </w:r>
          </w:p>
        </w:tc>
        <w:tc>
          <w:tcPr>
            <w:tcW w:w="2154" w:type="dxa"/>
            <w:vAlign w:val="center"/>
          </w:tcPr>
          <w:p>
            <w:pPr>
              <w:rPr>
                <w:rFonts w:ascii="宋体" w:hAnsi="宋体" w:cs="宋体"/>
                <w:spacing w:val="-1"/>
                <w:kern w:val="0"/>
                <w:sz w:val="24"/>
              </w:rPr>
            </w:pPr>
          </w:p>
        </w:tc>
        <w:tc>
          <w:tcPr>
            <w:tcW w:w="2114" w:type="dxa"/>
            <w:vAlign w:val="center"/>
          </w:tcPr>
          <w:p>
            <w:pPr>
              <w:rPr>
                <w:rFonts w:ascii="宋体" w:hAnsi="宋体" w:cs="宋体"/>
                <w:spacing w:val="-1"/>
                <w:kern w:val="0"/>
                <w:sz w:val="24"/>
              </w:rPr>
            </w:pPr>
          </w:p>
        </w:tc>
        <w:tc>
          <w:tcPr>
            <w:tcW w:w="1289" w:type="dxa"/>
            <w:vAlign w:val="center"/>
          </w:tcPr>
          <w:p>
            <w:pPr>
              <w:rPr>
                <w:rFonts w:ascii="宋体" w:hAnsi="宋体" w:cs="宋体"/>
                <w:spacing w:val="-1"/>
                <w:kern w:val="0"/>
                <w:sz w:val="24"/>
              </w:rPr>
            </w:pPr>
          </w:p>
        </w:tc>
        <w:tc>
          <w:tcPr>
            <w:tcW w:w="2658" w:type="dxa"/>
            <w:vAlign w:val="center"/>
          </w:tcPr>
          <w:p>
            <w:pPr>
              <w:rPr>
                <w:rFonts w:ascii="宋体" w:hAnsi="宋体" w:cs="宋体"/>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rPr>
            </w:pPr>
            <w:r>
              <w:rPr>
                <w:rFonts w:hint="eastAsia" w:ascii="宋体" w:hAnsi="宋体" w:cs="宋体"/>
                <w:spacing w:val="-1"/>
                <w:kern w:val="0"/>
                <w:sz w:val="24"/>
              </w:rPr>
              <w:t>2</w:t>
            </w:r>
          </w:p>
        </w:tc>
        <w:tc>
          <w:tcPr>
            <w:tcW w:w="2154" w:type="dxa"/>
            <w:vAlign w:val="center"/>
          </w:tcPr>
          <w:p>
            <w:pPr>
              <w:rPr>
                <w:rFonts w:ascii="宋体" w:hAnsi="宋体" w:cs="宋体"/>
                <w:spacing w:val="-1"/>
                <w:kern w:val="0"/>
                <w:sz w:val="24"/>
              </w:rPr>
            </w:pPr>
          </w:p>
        </w:tc>
        <w:tc>
          <w:tcPr>
            <w:tcW w:w="2114" w:type="dxa"/>
            <w:vAlign w:val="center"/>
          </w:tcPr>
          <w:p>
            <w:pPr>
              <w:rPr>
                <w:rFonts w:ascii="宋体" w:hAnsi="宋体" w:cs="宋体"/>
                <w:spacing w:val="-1"/>
                <w:kern w:val="0"/>
                <w:sz w:val="24"/>
              </w:rPr>
            </w:pPr>
          </w:p>
        </w:tc>
        <w:tc>
          <w:tcPr>
            <w:tcW w:w="1289" w:type="dxa"/>
            <w:vAlign w:val="center"/>
          </w:tcPr>
          <w:p>
            <w:pPr>
              <w:rPr>
                <w:rFonts w:ascii="宋体" w:hAnsi="宋体" w:cs="宋体"/>
                <w:spacing w:val="-1"/>
                <w:kern w:val="0"/>
                <w:sz w:val="24"/>
              </w:rPr>
            </w:pPr>
          </w:p>
        </w:tc>
        <w:tc>
          <w:tcPr>
            <w:tcW w:w="2658" w:type="dxa"/>
            <w:vAlign w:val="center"/>
          </w:tcPr>
          <w:p>
            <w:pPr>
              <w:rPr>
                <w:rFonts w:ascii="宋体" w:hAnsi="宋体" w:cs="宋体"/>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rPr>
            </w:pPr>
            <w:r>
              <w:rPr>
                <w:rFonts w:hint="eastAsia" w:ascii="宋体" w:hAnsi="宋体" w:cs="宋体"/>
                <w:spacing w:val="-1"/>
                <w:kern w:val="0"/>
                <w:sz w:val="24"/>
              </w:rPr>
              <w:t>3</w:t>
            </w:r>
          </w:p>
        </w:tc>
        <w:tc>
          <w:tcPr>
            <w:tcW w:w="2154" w:type="dxa"/>
            <w:vAlign w:val="center"/>
          </w:tcPr>
          <w:p>
            <w:pPr>
              <w:rPr>
                <w:rFonts w:ascii="宋体" w:hAnsi="宋体" w:cs="宋体"/>
                <w:spacing w:val="-1"/>
                <w:kern w:val="0"/>
                <w:sz w:val="24"/>
              </w:rPr>
            </w:pPr>
          </w:p>
        </w:tc>
        <w:tc>
          <w:tcPr>
            <w:tcW w:w="2114" w:type="dxa"/>
            <w:vAlign w:val="center"/>
          </w:tcPr>
          <w:p>
            <w:pPr>
              <w:rPr>
                <w:rFonts w:ascii="宋体" w:hAnsi="宋体" w:cs="宋体"/>
                <w:spacing w:val="-1"/>
                <w:kern w:val="0"/>
                <w:sz w:val="24"/>
              </w:rPr>
            </w:pPr>
          </w:p>
        </w:tc>
        <w:tc>
          <w:tcPr>
            <w:tcW w:w="1289" w:type="dxa"/>
            <w:vAlign w:val="center"/>
          </w:tcPr>
          <w:p>
            <w:pPr>
              <w:rPr>
                <w:rFonts w:ascii="宋体" w:hAnsi="宋体" w:cs="宋体"/>
                <w:spacing w:val="-1"/>
                <w:kern w:val="0"/>
                <w:sz w:val="24"/>
              </w:rPr>
            </w:pPr>
          </w:p>
        </w:tc>
        <w:tc>
          <w:tcPr>
            <w:tcW w:w="2658" w:type="dxa"/>
            <w:vAlign w:val="center"/>
          </w:tcPr>
          <w:p>
            <w:pPr>
              <w:rPr>
                <w:rFonts w:ascii="宋体" w:hAnsi="宋体" w:cs="宋体"/>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rPr>
            </w:pPr>
            <w:r>
              <w:rPr>
                <w:rFonts w:hint="eastAsia" w:ascii="宋体" w:hAnsi="宋体" w:cs="宋体"/>
                <w:spacing w:val="-1"/>
                <w:kern w:val="0"/>
                <w:sz w:val="24"/>
              </w:rPr>
              <w:t>4</w:t>
            </w:r>
          </w:p>
        </w:tc>
        <w:tc>
          <w:tcPr>
            <w:tcW w:w="2154" w:type="dxa"/>
            <w:vAlign w:val="center"/>
          </w:tcPr>
          <w:p>
            <w:pPr>
              <w:rPr>
                <w:rFonts w:ascii="宋体" w:hAnsi="宋体" w:cs="宋体"/>
                <w:spacing w:val="-1"/>
                <w:kern w:val="0"/>
                <w:sz w:val="24"/>
              </w:rPr>
            </w:pPr>
          </w:p>
        </w:tc>
        <w:tc>
          <w:tcPr>
            <w:tcW w:w="2114" w:type="dxa"/>
            <w:vAlign w:val="center"/>
          </w:tcPr>
          <w:p>
            <w:pPr>
              <w:rPr>
                <w:rFonts w:ascii="宋体" w:hAnsi="宋体" w:cs="宋体"/>
                <w:spacing w:val="-1"/>
                <w:kern w:val="0"/>
                <w:sz w:val="24"/>
              </w:rPr>
            </w:pPr>
          </w:p>
        </w:tc>
        <w:tc>
          <w:tcPr>
            <w:tcW w:w="1289" w:type="dxa"/>
            <w:vAlign w:val="center"/>
          </w:tcPr>
          <w:p>
            <w:pPr>
              <w:rPr>
                <w:rFonts w:ascii="宋体" w:hAnsi="宋体" w:cs="宋体"/>
                <w:spacing w:val="-1"/>
                <w:kern w:val="0"/>
                <w:sz w:val="24"/>
              </w:rPr>
            </w:pPr>
          </w:p>
        </w:tc>
        <w:tc>
          <w:tcPr>
            <w:tcW w:w="2658" w:type="dxa"/>
            <w:vAlign w:val="center"/>
          </w:tcPr>
          <w:p>
            <w:pPr>
              <w:rPr>
                <w:rFonts w:ascii="宋体" w:hAnsi="宋体" w:cs="宋体"/>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rPr>
            </w:pPr>
            <w:r>
              <w:rPr>
                <w:rFonts w:hint="eastAsia" w:ascii="宋体" w:hAnsi="宋体" w:cs="宋体"/>
                <w:spacing w:val="-1"/>
                <w:kern w:val="0"/>
                <w:sz w:val="24"/>
              </w:rPr>
              <w:t>5</w:t>
            </w:r>
          </w:p>
        </w:tc>
        <w:tc>
          <w:tcPr>
            <w:tcW w:w="2154" w:type="dxa"/>
            <w:vAlign w:val="center"/>
          </w:tcPr>
          <w:p>
            <w:pPr>
              <w:rPr>
                <w:rFonts w:ascii="宋体" w:hAnsi="宋体" w:cs="宋体"/>
                <w:spacing w:val="-1"/>
                <w:kern w:val="0"/>
                <w:sz w:val="24"/>
              </w:rPr>
            </w:pPr>
          </w:p>
        </w:tc>
        <w:tc>
          <w:tcPr>
            <w:tcW w:w="2114" w:type="dxa"/>
            <w:vAlign w:val="center"/>
          </w:tcPr>
          <w:p>
            <w:pPr>
              <w:rPr>
                <w:rFonts w:ascii="宋体" w:hAnsi="宋体" w:cs="宋体"/>
                <w:spacing w:val="-1"/>
                <w:kern w:val="0"/>
                <w:sz w:val="24"/>
              </w:rPr>
            </w:pPr>
          </w:p>
        </w:tc>
        <w:tc>
          <w:tcPr>
            <w:tcW w:w="1289" w:type="dxa"/>
            <w:vAlign w:val="center"/>
          </w:tcPr>
          <w:p>
            <w:pPr>
              <w:rPr>
                <w:rFonts w:ascii="宋体" w:hAnsi="宋体" w:cs="宋体"/>
                <w:spacing w:val="-1"/>
                <w:kern w:val="0"/>
                <w:sz w:val="24"/>
              </w:rPr>
            </w:pPr>
          </w:p>
        </w:tc>
        <w:tc>
          <w:tcPr>
            <w:tcW w:w="2658" w:type="dxa"/>
            <w:vAlign w:val="center"/>
          </w:tcPr>
          <w:p>
            <w:pPr>
              <w:rPr>
                <w:rFonts w:ascii="宋体" w:hAnsi="宋体" w:cs="宋体"/>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rPr>
            </w:pPr>
            <w:r>
              <w:rPr>
                <w:rFonts w:hint="eastAsia" w:ascii="宋体" w:hAnsi="宋体" w:cs="宋体"/>
                <w:spacing w:val="-1"/>
                <w:kern w:val="0"/>
                <w:sz w:val="24"/>
              </w:rPr>
              <w:t>6</w:t>
            </w:r>
          </w:p>
        </w:tc>
        <w:tc>
          <w:tcPr>
            <w:tcW w:w="2154" w:type="dxa"/>
            <w:vAlign w:val="center"/>
          </w:tcPr>
          <w:p>
            <w:pPr>
              <w:rPr>
                <w:rFonts w:ascii="宋体" w:hAnsi="宋体" w:cs="宋体"/>
                <w:spacing w:val="-1"/>
                <w:kern w:val="0"/>
                <w:sz w:val="24"/>
              </w:rPr>
            </w:pPr>
          </w:p>
        </w:tc>
        <w:tc>
          <w:tcPr>
            <w:tcW w:w="2114" w:type="dxa"/>
            <w:vAlign w:val="center"/>
          </w:tcPr>
          <w:p>
            <w:pPr>
              <w:rPr>
                <w:rFonts w:ascii="宋体" w:hAnsi="宋体" w:cs="宋体"/>
                <w:spacing w:val="-1"/>
                <w:kern w:val="0"/>
                <w:sz w:val="24"/>
              </w:rPr>
            </w:pPr>
          </w:p>
        </w:tc>
        <w:tc>
          <w:tcPr>
            <w:tcW w:w="1289" w:type="dxa"/>
            <w:vAlign w:val="center"/>
          </w:tcPr>
          <w:p>
            <w:pPr>
              <w:rPr>
                <w:rFonts w:ascii="宋体" w:hAnsi="宋体" w:cs="宋体"/>
                <w:spacing w:val="-1"/>
                <w:kern w:val="0"/>
                <w:sz w:val="24"/>
              </w:rPr>
            </w:pPr>
          </w:p>
        </w:tc>
        <w:tc>
          <w:tcPr>
            <w:tcW w:w="2658" w:type="dxa"/>
            <w:vAlign w:val="center"/>
          </w:tcPr>
          <w:p>
            <w:pPr>
              <w:rPr>
                <w:rFonts w:ascii="宋体" w:hAnsi="宋体" w:cs="宋体"/>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rPr>
            </w:pPr>
            <w:r>
              <w:rPr>
                <w:rFonts w:hint="eastAsia" w:ascii="宋体" w:hAnsi="宋体" w:cs="宋体"/>
                <w:spacing w:val="-1"/>
                <w:kern w:val="0"/>
                <w:sz w:val="24"/>
              </w:rPr>
              <w:t>7</w:t>
            </w:r>
          </w:p>
        </w:tc>
        <w:tc>
          <w:tcPr>
            <w:tcW w:w="2154" w:type="dxa"/>
            <w:vAlign w:val="center"/>
          </w:tcPr>
          <w:p>
            <w:pPr>
              <w:rPr>
                <w:rFonts w:ascii="宋体" w:hAnsi="宋体" w:cs="宋体"/>
                <w:spacing w:val="-1"/>
                <w:kern w:val="0"/>
                <w:sz w:val="24"/>
              </w:rPr>
            </w:pPr>
          </w:p>
        </w:tc>
        <w:tc>
          <w:tcPr>
            <w:tcW w:w="2114" w:type="dxa"/>
            <w:vAlign w:val="center"/>
          </w:tcPr>
          <w:p>
            <w:pPr>
              <w:rPr>
                <w:rFonts w:ascii="宋体" w:hAnsi="宋体" w:cs="宋体"/>
                <w:spacing w:val="-1"/>
                <w:kern w:val="0"/>
                <w:sz w:val="24"/>
              </w:rPr>
            </w:pPr>
          </w:p>
        </w:tc>
        <w:tc>
          <w:tcPr>
            <w:tcW w:w="1289" w:type="dxa"/>
            <w:vAlign w:val="center"/>
          </w:tcPr>
          <w:p>
            <w:pPr>
              <w:rPr>
                <w:rFonts w:ascii="宋体" w:hAnsi="宋体" w:cs="宋体"/>
                <w:spacing w:val="-1"/>
                <w:kern w:val="0"/>
                <w:sz w:val="24"/>
              </w:rPr>
            </w:pPr>
          </w:p>
        </w:tc>
        <w:tc>
          <w:tcPr>
            <w:tcW w:w="2658" w:type="dxa"/>
            <w:vAlign w:val="center"/>
          </w:tcPr>
          <w:p>
            <w:pPr>
              <w:rPr>
                <w:rFonts w:ascii="宋体" w:hAnsi="宋体" w:cs="宋体"/>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rPr>
            </w:pPr>
            <w:r>
              <w:rPr>
                <w:rFonts w:hint="eastAsia" w:ascii="宋体" w:hAnsi="宋体" w:cs="宋体"/>
                <w:spacing w:val="-1"/>
                <w:kern w:val="0"/>
                <w:sz w:val="24"/>
              </w:rPr>
              <w:t>8</w:t>
            </w:r>
          </w:p>
        </w:tc>
        <w:tc>
          <w:tcPr>
            <w:tcW w:w="2154" w:type="dxa"/>
            <w:vAlign w:val="center"/>
          </w:tcPr>
          <w:p>
            <w:pPr>
              <w:rPr>
                <w:rFonts w:ascii="宋体" w:hAnsi="宋体" w:cs="宋体"/>
                <w:spacing w:val="-1"/>
                <w:kern w:val="0"/>
                <w:sz w:val="24"/>
              </w:rPr>
            </w:pPr>
          </w:p>
        </w:tc>
        <w:tc>
          <w:tcPr>
            <w:tcW w:w="2114" w:type="dxa"/>
            <w:vAlign w:val="center"/>
          </w:tcPr>
          <w:p>
            <w:pPr>
              <w:rPr>
                <w:rFonts w:ascii="宋体" w:hAnsi="宋体" w:cs="宋体"/>
                <w:spacing w:val="-1"/>
                <w:kern w:val="0"/>
                <w:sz w:val="24"/>
              </w:rPr>
            </w:pPr>
          </w:p>
        </w:tc>
        <w:tc>
          <w:tcPr>
            <w:tcW w:w="1289" w:type="dxa"/>
            <w:vAlign w:val="center"/>
          </w:tcPr>
          <w:p>
            <w:pPr>
              <w:rPr>
                <w:rFonts w:ascii="宋体" w:hAnsi="宋体" w:cs="宋体"/>
                <w:spacing w:val="-1"/>
                <w:kern w:val="0"/>
                <w:sz w:val="24"/>
              </w:rPr>
            </w:pPr>
          </w:p>
        </w:tc>
        <w:tc>
          <w:tcPr>
            <w:tcW w:w="2658" w:type="dxa"/>
            <w:vAlign w:val="center"/>
          </w:tcPr>
          <w:p>
            <w:pPr>
              <w:rPr>
                <w:rFonts w:ascii="宋体" w:hAnsi="宋体" w:cs="宋体"/>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rPr>
            </w:pPr>
            <w:r>
              <w:rPr>
                <w:rFonts w:hint="eastAsia" w:ascii="宋体" w:hAnsi="宋体" w:cs="宋体"/>
                <w:spacing w:val="-1"/>
                <w:kern w:val="0"/>
                <w:sz w:val="24"/>
              </w:rPr>
              <w:t>9</w:t>
            </w:r>
          </w:p>
        </w:tc>
        <w:tc>
          <w:tcPr>
            <w:tcW w:w="2154" w:type="dxa"/>
            <w:vAlign w:val="center"/>
          </w:tcPr>
          <w:p>
            <w:pPr>
              <w:rPr>
                <w:rFonts w:ascii="宋体" w:hAnsi="宋体" w:cs="宋体"/>
                <w:spacing w:val="-1"/>
                <w:kern w:val="0"/>
                <w:sz w:val="24"/>
              </w:rPr>
            </w:pPr>
          </w:p>
        </w:tc>
        <w:tc>
          <w:tcPr>
            <w:tcW w:w="2114" w:type="dxa"/>
            <w:vAlign w:val="center"/>
          </w:tcPr>
          <w:p>
            <w:pPr>
              <w:rPr>
                <w:rFonts w:ascii="宋体" w:hAnsi="宋体" w:cs="宋体"/>
                <w:spacing w:val="-1"/>
                <w:kern w:val="0"/>
                <w:sz w:val="24"/>
              </w:rPr>
            </w:pPr>
          </w:p>
        </w:tc>
        <w:tc>
          <w:tcPr>
            <w:tcW w:w="1289" w:type="dxa"/>
            <w:vAlign w:val="center"/>
          </w:tcPr>
          <w:p>
            <w:pPr>
              <w:rPr>
                <w:rFonts w:ascii="宋体" w:hAnsi="宋体" w:cs="宋体"/>
                <w:spacing w:val="-1"/>
                <w:kern w:val="0"/>
                <w:sz w:val="24"/>
              </w:rPr>
            </w:pPr>
          </w:p>
        </w:tc>
        <w:tc>
          <w:tcPr>
            <w:tcW w:w="2658" w:type="dxa"/>
            <w:vAlign w:val="center"/>
          </w:tcPr>
          <w:p>
            <w:pPr>
              <w:rPr>
                <w:rFonts w:ascii="宋体" w:hAnsi="宋体" w:cs="宋体"/>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rPr>
            </w:pPr>
            <w:r>
              <w:rPr>
                <w:rFonts w:hint="eastAsia" w:ascii="宋体" w:hAnsi="宋体" w:cs="宋体"/>
                <w:spacing w:val="-1"/>
                <w:kern w:val="0"/>
                <w:sz w:val="24"/>
              </w:rPr>
              <w:t>10</w:t>
            </w:r>
          </w:p>
        </w:tc>
        <w:tc>
          <w:tcPr>
            <w:tcW w:w="2154" w:type="dxa"/>
            <w:vAlign w:val="center"/>
          </w:tcPr>
          <w:p>
            <w:pPr>
              <w:rPr>
                <w:rFonts w:ascii="宋体" w:hAnsi="宋体" w:cs="宋体"/>
                <w:spacing w:val="-1"/>
                <w:kern w:val="0"/>
                <w:sz w:val="24"/>
              </w:rPr>
            </w:pPr>
          </w:p>
        </w:tc>
        <w:tc>
          <w:tcPr>
            <w:tcW w:w="2114" w:type="dxa"/>
            <w:vAlign w:val="center"/>
          </w:tcPr>
          <w:p>
            <w:pPr>
              <w:rPr>
                <w:rFonts w:ascii="宋体" w:hAnsi="宋体" w:cs="宋体"/>
                <w:spacing w:val="-1"/>
                <w:kern w:val="0"/>
                <w:sz w:val="24"/>
              </w:rPr>
            </w:pPr>
          </w:p>
        </w:tc>
        <w:tc>
          <w:tcPr>
            <w:tcW w:w="1289" w:type="dxa"/>
            <w:vAlign w:val="center"/>
          </w:tcPr>
          <w:p>
            <w:pPr>
              <w:rPr>
                <w:rFonts w:ascii="宋体" w:hAnsi="宋体" w:cs="宋体"/>
                <w:spacing w:val="-1"/>
                <w:kern w:val="0"/>
                <w:sz w:val="24"/>
              </w:rPr>
            </w:pPr>
          </w:p>
        </w:tc>
        <w:tc>
          <w:tcPr>
            <w:tcW w:w="2658" w:type="dxa"/>
            <w:vAlign w:val="center"/>
          </w:tcPr>
          <w:p>
            <w:pPr>
              <w:rPr>
                <w:rFonts w:ascii="宋体" w:hAnsi="宋体" w:cs="宋体"/>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rPr>
            </w:pPr>
            <w:r>
              <w:rPr>
                <w:rFonts w:hint="eastAsia" w:ascii="宋体" w:hAnsi="宋体" w:cs="宋体"/>
                <w:spacing w:val="-1"/>
                <w:kern w:val="0"/>
                <w:sz w:val="24"/>
              </w:rPr>
              <w:t>11</w:t>
            </w:r>
          </w:p>
        </w:tc>
        <w:tc>
          <w:tcPr>
            <w:tcW w:w="2154" w:type="dxa"/>
            <w:vAlign w:val="center"/>
          </w:tcPr>
          <w:p>
            <w:pPr>
              <w:rPr>
                <w:rFonts w:ascii="宋体" w:hAnsi="宋体" w:cs="宋体"/>
                <w:spacing w:val="-1"/>
                <w:kern w:val="0"/>
                <w:sz w:val="24"/>
              </w:rPr>
            </w:pPr>
          </w:p>
        </w:tc>
        <w:tc>
          <w:tcPr>
            <w:tcW w:w="2114" w:type="dxa"/>
            <w:vAlign w:val="center"/>
          </w:tcPr>
          <w:p>
            <w:pPr>
              <w:rPr>
                <w:rFonts w:ascii="宋体" w:hAnsi="宋体" w:cs="宋体"/>
                <w:spacing w:val="-1"/>
                <w:kern w:val="0"/>
                <w:sz w:val="24"/>
              </w:rPr>
            </w:pPr>
          </w:p>
        </w:tc>
        <w:tc>
          <w:tcPr>
            <w:tcW w:w="1289" w:type="dxa"/>
            <w:vAlign w:val="center"/>
          </w:tcPr>
          <w:p>
            <w:pPr>
              <w:rPr>
                <w:rFonts w:ascii="宋体" w:hAnsi="宋体" w:cs="宋体"/>
                <w:spacing w:val="-1"/>
                <w:kern w:val="0"/>
                <w:sz w:val="24"/>
              </w:rPr>
            </w:pPr>
          </w:p>
        </w:tc>
        <w:tc>
          <w:tcPr>
            <w:tcW w:w="2658" w:type="dxa"/>
            <w:vAlign w:val="center"/>
          </w:tcPr>
          <w:p>
            <w:pPr>
              <w:rPr>
                <w:rFonts w:ascii="宋体" w:hAnsi="宋体" w:cs="宋体"/>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rPr>
            </w:pPr>
            <w:r>
              <w:rPr>
                <w:rFonts w:hint="eastAsia" w:ascii="宋体" w:hAnsi="宋体" w:cs="宋体"/>
                <w:spacing w:val="-1"/>
                <w:kern w:val="0"/>
                <w:sz w:val="24"/>
              </w:rPr>
              <w:t>12</w:t>
            </w:r>
          </w:p>
        </w:tc>
        <w:tc>
          <w:tcPr>
            <w:tcW w:w="2154" w:type="dxa"/>
            <w:vAlign w:val="center"/>
          </w:tcPr>
          <w:p>
            <w:pPr>
              <w:rPr>
                <w:rFonts w:ascii="宋体" w:hAnsi="宋体" w:cs="宋体"/>
                <w:spacing w:val="-1"/>
                <w:kern w:val="0"/>
                <w:sz w:val="24"/>
              </w:rPr>
            </w:pPr>
          </w:p>
        </w:tc>
        <w:tc>
          <w:tcPr>
            <w:tcW w:w="2114" w:type="dxa"/>
            <w:vAlign w:val="center"/>
          </w:tcPr>
          <w:p>
            <w:pPr>
              <w:rPr>
                <w:rFonts w:ascii="宋体" w:hAnsi="宋体" w:cs="宋体"/>
                <w:spacing w:val="-1"/>
                <w:kern w:val="0"/>
                <w:sz w:val="24"/>
              </w:rPr>
            </w:pPr>
          </w:p>
        </w:tc>
        <w:tc>
          <w:tcPr>
            <w:tcW w:w="1289" w:type="dxa"/>
            <w:vAlign w:val="center"/>
          </w:tcPr>
          <w:p>
            <w:pPr>
              <w:rPr>
                <w:rFonts w:ascii="宋体" w:hAnsi="宋体" w:cs="宋体"/>
                <w:spacing w:val="-1"/>
                <w:kern w:val="0"/>
                <w:sz w:val="24"/>
              </w:rPr>
            </w:pPr>
          </w:p>
        </w:tc>
        <w:tc>
          <w:tcPr>
            <w:tcW w:w="2658" w:type="dxa"/>
            <w:vAlign w:val="center"/>
          </w:tcPr>
          <w:p>
            <w:pPr>
              <w:rPr>
                <w:rFonts w:ascii="宋体" w:hAnsi="宋体" w:cs="宋体"/>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rPr>
            </w:pPr>
            <w:r>
              <w:rPr>
                <w:rFonts w:hint="eastAsia" w:ascii="宋体" w:hAnsi="宋体" w:cs="宋体"/>
                <w:spacing w:val="-1"/>
                <w:kern w:val="0"/>
                <w:sz w:val="24"/>
              </w:rPr>
              <w:t>13</w:t>
            </w:r>
          </w:p>
        </w:tc>
        <w:tc>
          <w:tcPr>
            <w:tcW w:w="2154" w:type="dxa"/>
            <w:vAlign w:val="center"/>
          </w:tcPr>
          <w:p>
            <w:pPr>
              <w:rPr>
                <w:rFonts w:ascii="宋体" w:hAnsi="宋体" w:cs="宋体"/>
                <w:spacing w:val="-1"/>
                <w:kern w:val="0"/>
                <w:sz w:val="24"/>
              </w:rPr>
            </w:pPr>
          </w:p>
        </w:tc>
        <w:tc>
          <w:tcPr>
            <w:tcW w:w="2114" w:type="dxa"/>
            <w:vAlign w:val="center"/>
          </w:tcPr>
          <w:p>
            <w:pPr>
              <w:rPr>
                <w:rFonts w:ascii="宋体" w:hAnsi="宋体" w:cs="宋体"/>
                <w:spacing w:val="-1"/>
                <w:kern w:val="0"/>
                <w:sz w:val="24"/>
              </w:rPr>
            </w:pPr>
          </w:p>
        </w:tc>
        <w:tc>
          <w:tcPr>
            <w:tcW w:w="1289" w:type="dxa"/>
            <w:vAlign w:val="center"/>
          </w:tcPr>
          <w:p>
            <w:pPr>
              <w:rPr>
                <w:rFonts w:ascii="宋体" w:hAnsi="宋体" w:cs="宋体"/>
                <w:spacing w:val="-1"/>
                <w:kern w:val="0"/>
                <w:sz w:val="24"/>
              </w:rPr>
            </w:pPr>
          </w:p>
        </w:tc>
        <w:tc>
          <w:tcPr>
            <w:tcW w:w="2658" w:type="dxa"/>
            <w:vAlign w:val="center"/>
          </w:tcPr>
          <w:p>
            <w:pPr>
              <w:rPr>
                <w:rFonts w:ascii="宋体" w:hAnsi="宋体" w:cs="宋体"/>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rPr>
            </w:pPr>
            <w:r>
              <w:rPr>
                <w:rFonts w:hint="eastAsia" w:ascii="宋体" w:hAnsi="宋体" w:cs="宋体"/>
                <w:spacing w:val="-1"/>
                <w:kern w:val="0"/>
                <w:sz w:val="24"/>
              </w:rPr>
              <w:t>14</w:t>
            </w:r>
          </w:p>
        </w:tc>
        <w:tc>
          <w:tcPr>
            <w:tcW w:w="2154" w:type="dxa"/>
            <w:vAlign w:val="center"/>
          </w:tcPr>
          <w:p>
            <w:pPr>
              <w:rPr>
                <w:rFonts w:ascii="宋体" w:hAnsi="宋体" w:cs="宋体"/>
                <w:spacing w:val="-1"/>
                <w:kern w:val="0"/>
                <w:sz w:val="24"/>
              </w:rPr>
            </w:pPr>
          </w:p>
        </w:tc>
        <w:tc>
          <w:tcPr>
            <w:tcW w:w="2114" w:type="dxa"/>
            <w:vAlign w:val="center"/>
          </w:tcPr>
          <w:p>
            <w:pPr>
              <w:rPr>
                <w:rFonts w:ascii="宋体" w:hAnsi="宋体" w:cs="宋体"/>
                <w:spacing w:val="-1"/>
                <w:kern w:val="0"/>
                <w:sz w:val="24"/>
              </w:rPr>
            </w:pPr>
          </w:p>
        </w:tc>
        <w:tc>
          <w:tcPr>
            <w:tcW w:w="1289" w:type="dxa"/>
            <w:vAlign w:val="center"/>
          </w:tcPr>
          <w:p>
            <w:pPr>
              <w:rPr>
                <w:rFonts w:ascii="宋体" w:hAnsi="宋体" w:cs="宋体"/>
                <w:spacing w:val="-1"/>
                <w:kern w:val="0"/>
                <w:sz w:val="24"/>
              </w:rPr>
            </w:pPr>
          </w:p>
        </w:tc>
        <w:tc>
          <w:tcPr>
            <w:tcW w:w="2658" w:type="dxa"/>
            <w:vAlign w:val="center"/>
          </w:tcPr>
          <w:p>
            <w:pPr>
              <w:rPr>
                <w:rFonts w:ascii="宋体" w:hAnsi="宋体" w:cs="宋体"/>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rPr>
            </w:pPr>
            <w:r>
              <w:rPr>
                <w:rFonts w:hint="eastAsia" w:ascii="宋体" w:hAnsi="宋体" w:cs="宋体"/>
                <w:spacing w:val="-1"/>
                <w:kern w:val="0"/>
                <w:sz w:val="24"/>
              </w:rPr>
              <w:t>15</w:t>
            </w:r>
          </w:p>
        </w:tc>
        <w:tc>
          <w:tcPr>
            <w:tcW w:w="2154" w:type="dxa"/>
            <w:vAlign w:val="center"/>
          </w:tcPr>
          <w:p>
            <w:pPr>
              <w:rPr>
                <w:rFonts w:ascii="宋体" w:hAnsi="宋体" w:cs="宋体"/>
                <w:spacing w:val="-1"/>
                <w:kern w:val="0"/>
                <w:sz w:val="24"/>
              </w:rPr>
            </w:pPr>
          </w:p>
        </w:tc>
        <w:tc>
          <w:tcPr>
            <w:tcW w:w="2114" w:type="dxa"/>
            <w:vAlign w:val="center"/>
          </w:tcPr>
          <w:p>
            <w:pPr>
              <w:rPr>
                <w:rFonts w:ascii="宋体" w:hAnsi="宋体" w:cs="宋体"/>
                <w:spacing w:val="-1"/>
                <w:kern w:val="0"/>
                <w:sz w:val="24"/>
              </w:rPr>
            </w:pPr>
          </w:p>
        </w:tc>
        <w:tc>
          <w:tcPr>
            <w:tcW w:w="1289" w:type="dxa"/>
            <w:vAlign w:val="center"/>
          </w:tcPr>
          <w:p>
            <w:pPr>
              <w:rPr>
                <w:rFonts w:ascii="宋体" w:hAnsi="宋体" w:cs="宋体"/>
                <w:spacing w:val="-1"/>
                <w:kern w:val="0"/>
                <w:sz w:val="24"/>
              </w:rPr>
            </w:pPr>
          </w:p>
        </w:tc>
        <w:tc>
          <w:tcPr>
            <w:tcW w:w="2658" w:type="dxa"/>
            <w:vAlign w:val="center"/>
          </w:tcPr>
          <w:p>
            <w:pPr>
              <w:rPr>
                <w:rFonts w:ascii="宋体" w:hAnsi="宋体" w:cs="宋体"/>
                <w:spacing w:val="-1"/>
                <w:kern w:val="0"/>
                <w:sz w:val="24"/>
              </w:rPr>
            </w:pPr>
          </w:p>
        </w:tc>
      </w:tr>
    </w:tbl>
    <w:p>
      <w:pPr>
        <w:rPr>
          <w:rFonts w:ascii="宋体" w:hAnsi="宋体" w:cs="宋体"/>
          <w:spacing w:val="-1"/>
          <w:kern w:val="0"/>
          <w:sz w:val="24"/>
        </w:rPr>
      </w:pPr>
      <w:r>
        <w:rPr>
          <w:rFonts w:hint="eastAsia" w:ascii="宋体" w:hAnsi="宋体" w:cs="宋体"/>
          <w:spacing w:val="-1"/>
          <w:kern w:val="0"/>
          <w:sz w:val="24"/>
        </w:rPr>
        <w:t>注：请在“偏离说明”栏内扼要说明偏离情况，如无偏离则不需列明。</w:t>
      </w:r>
    </w:p>
    <w:p>
      <w:pPr>
        <w:rPr>
          <w:rFonts w:ascii="宋体" w:hAnsi="宋体" w:cs="宋体"/>
          <w:szCs w:val="21"/>
        </w:rPr>
      </w:pPr>
    </w:p>
    <w:p>
      <w:pPr>
        <w:pStyle w:val="2"/>
        <w:kinsoku w:val="0"/>
        <w:overflowPunct w:val="0"/>
        <w:spacing w:before="34" w:line="357" w:lineRule="auto"/>
        <w:ind w:right="126" w:firstLine="480"/>
        <w:jc w:val="center"/>
        <w:rPr>
          <w:rFonts w:ascii="宋体" w:hAnsi="宋体" w:cs="宋体"/>
          <w:sz w:val="18"/>
          <w:szCs w:val="18"/>
        </w:rPr>
      </w:pPr>
    </w:p>
    <w:p>
      <w:pPr>
        <w:pStyle w:val="2"/>
        <w:tabs>
          <w:tab w:val="left" w:pos="6736"/>
        </w:tabs>
        <w:kinsoku w:val="0"/>
        <w:overflowPunct w:val="0"/>
        <w:spacing w:before="26" w:line="337" w:lineRule="auto"/>
        <w:ind w:right="33" w:firstLine="4680" w:firstLineChars="2250"/>
        <w:rPr>
          <w:rFonts w:ascii="宋体" w:hAnsi="宋体" w:cs="宋体"/>
          <w:spacing w:val="23"/>
        </w:rPr>
      </w:pPr>
      <w:r>
        <w:rPr>
          <w:rFonts w:hint="eastAsia" w:ascii="宋体" w:hAnsi="宋体" w:cs="宋体"/>
          <w:spacing w:val="-1"/>
        </w:rPr>
        <w:t>供应商：</w:t>
      </w:r>
      <w:r>
        <w:rPr>
          <w:rFonts w:hint="eastAsia" w:ascii="宋体" w:hAnsi="宋体" w:cs="宋体"/>
          <w:spacing w:val="-1"/>
          <w:u w:val="single"/>
        </w:rPr>
        <w:t xml:space="preserve">               </w:t>
      </w:r>
      <w:r>
        <w:rPr>
          <w:rFonts w:hint="eastAsia" w:ascii="宋体" w:hAnsi="宋体" w:cs="宋体"/>
          <w:u w:val="single"/>
        </w:rPr>
        <w:t>（公章）</w:t>
      </w:r>
      <w:r>
        <w:rPr>
          <w:rFonts w:hint="eastAsia" w:ascii="宋体" w:hAnsi="宋体" w:cs="宋体"/>
          <w:spacing w:val="23"/>
        </w:rPr>
        <w:t xml:space="preserve"> </w:t>
      </w:r>
    </w:p>
    <w:p>
      <w:pPr>
        <w:pStyle w:val="2"/>
        <w:tabs>
          <w:tab w:val="left" w:pos="6736"/>
        </w:tabs>
        <w:kinsoku w:val="0"/>
        <w:overflowPunct w:val="0"/>
        <w:spacing w:before="26" w:line="337" w:lineRule="auto"/>
        <w:ind w:right="33" w:firstLine="3432" w:firstLineChars="1650"/>
        <w:rPr>
          <w:rFonts w:ascii="宋体" w:hAnsi="宋体" w:cs="宋体"/>
        </w:rPr>
      </w:pPr>
      <w:r>
        <w:rPr>
          <w:rFonts w:hint="eastAsia" w:ascii="宋体" w:hAnsi="宋体" w:cs="宋体"/>
          <w:spacing w:val="-1"/>
        </w:rPr>
        <w:t>法定代表人或委托人：</w:t>
      </w:r>
      <w:r>
        <w:rPr>
          <w:rFonts w:hint="eastAsia" w:ascii="宋体" w:hAnsi="宋体" w:cs="宋体"/>
          <w:spacing w:val="-1"/>
          <w:u w:val="single"/>
        </w:rPr>
        <w:t xml:space="preserve">               </w:t>
      </w:r>
      <w:r>
        <w:rPr>
          <w:rFonts w:hint="eastAsia" w:ascii="宋体" w:hAnsi="宋体" w:cs="宋体"/>
          <w:u w:val="single"/>
        </w:rPr>
        <w:t>（签字）</w:t>
      </w:r>
    </w:p>
    <w:p>
      <w:pPr>
        <w:pStyle w:val="2"/>
        <w:kinsoku w:val="0"/>
        <w:overflowPunct w:val="0"/>
        <w:spacing w:before="11"/>
        <w:rPr>
          <w:rFonts w:ascii="宋体" w:hAnsi="宋体" w:cs="宋体"/>
          <w:sz w:val="9"/>
          <w:szCs w:val="9"/>
        </w:rPr>
      </w:pPr>
    </w:p>
    <w:p>
      <w:pPr>
        <w:pStyle w:val="2"/>
        <w:tabs>
          <w:tab w:val="left" w:pos="5418"/>
          <w:tab w:val="left" w:pos="6258"/>
          <w:tab w:val="left" w:pos="7098"/>
        </w:tabs>
        <w:kinsoku w:val="0"/>
        <w:overflowPunct w:val="0"/>
        <w:spacing w:before="26"/>
        <w:ind w:firstLine="5670" w:firstLineChars="2700"/>
        <w:rPr>
          <w:rFonts w:ascii="宋体" w:hAnsi="宋体" w:cs="宋体"/>
        </w:rPr>
      </w:pP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 xml:space="preserve"> </w:t>
      </w:r>
      <w:r>
        <w:rPr>
          <w:rFonts w:hint="eastAsia" w:ascii="宋体" w:hAnsi="宋体" w:cs="宋体"/>
          <w:spacing w:val="-1"/>
        </w:rPr>
        <w:t>年</w:t>
      </w:r>
      <w:r>
        <w:rPr>
          <w:rFonts w:hint="eastAsia" w:ascii="宋体" w:hAnsi="宋体" w:cs="宋体"/>
          <w:spacing w:val="-1"/>
          <w:u w:val="single"/>
        </w:rPr>
        <w:tab/>
      </w:r>
      <w:r>
        <w:rPr>
          <w:rFonts w:hint="eastAsia" w:ascii="宋体" w:hAnsi="宋体" w:cs="宋体"/>
          <w:spacing w:val="-1"/>
          <w:u w:val="single"/>
        </w:rPr>
        <w:t xml:space="preserve">  </w:t>
      </w:r>
      <w:r>
        <w:rPr>
          <w:rFonts w:hint="eastAsia" w:ascii="宋体" w:hAnsi="宋体" w:cs="宋体"/>
          <w:spacing w:val="-1"/>
        </w:rPr>
        <w:t>月</w:t>
      </w:r>
      <w:r>
        <w:rPr>
          <w:rFonts w:hint="eastAsia" w:ascii="宋体" w:hAnsi="宋体" w:cs="宋体"/>
          <w:spacing w:val="-1"/>
          <w:u w:val="single"/>
        </w:rPr>
        <w:tab/>
      </w:r>
      <w:r>
        <w:rPr>
          <w:rFonts w:hint="eastAsia" w:ascii="宋体" w:hAnsi="宋体" w:cs="宋体"/>
        </w:rPr>
        <w:t>日</w:t>
      </w:r>
    </w:p>
    <w:p>
      <w:pPr>
        <w:pStyle w:val="2"/>
        <w:numPr>
          <w:ilvl w:val="0"/>
          <w:numId w:val="0"/>
        </w:numPr>
        <w:kinsoku w:val="0"/>
        <w:overflowPunct w:val="0"/>
        <w:spacing w:before="34" w:line="357" w:lineRule="auto"/>
        <w:ind w:right="126" w:rightChars="0"/>
        <w:jc w:val="center"/>
        <w:outlineLvl w:val="1"/>
        <w:rPr>
          <w:rFonts w:ascii="宋体" w:hAnsi="宋体" w:cs="宋体"/>
          <w:b/>
          <w:bCs/>
          <w:sz w:val="36"/>
          <w:szCs w:val="36"/>
        </w:rPr>
      </w:pPr>
      <w:r>
        <w:rPr>
          <w:rFonts w:hint="eastAsia" w:ascii="宋体" w:hAnsi="宋体" w:cs="宋体"/>
        </w:rPr>
        <w:br w:type="page"/>
      </w:r>
      <w:r>
        <w:rPr>
          <w:rFonts w:hint="eastAsia" w:ascii="宋体" w:hAnsi="宋体" w:cs="宋体"/>
          <w:b/>
          <w:bCs/>
          <w:sz w:val="36"/>
          <w:szCs w:val="36"/>
          <w:lang w:val="en-US" w:eastAsia="zh-CN"/>
        </w:rPr>
        <w:t>九、</w:t>
      </w:r>
      <w:r>
        <w:rPr>
          <w:rFonts w:hint="eastAsia" w:ascii="宋体" w:hAnsi="宋体" w:cs="宋体"/>
          <w:b/>
          <w:bCs/>
          <w:sz w:val="36"/>
          <w:szCs w:val="36"/>
        </w:rPr>
        <w:t>同类项目业绩介绍</w:t>
      </w:r>
    </w:p>
    <w:p>
      <w:pPr>
        <w:rPr>
          <w:rFonts w:ascii="宋体" w:hAnsi="宋体" w:cs="宋体"/>
          <w:spacing w:val="-1"/>
          <w:kern w:val="0"/>
          <w:sz w:val="24"/>
        </w:rPr>
      </w:pPr>
      <w:r>
        <w:rPr>
          <w:rFonts w:hint="eastAsia" w:ascii="宋体" w:hAnsi="宋体" w:cs="宋体"/>
          <w:spacing w:val="-1"/>
          <w:kern w:val="0"/>
          <w:sz w:val="24"/>
        </w:rPr>
        <w:t>供应商提供独立承担的与本项目类似的业绩：</w:t>
      </w:r>
    </w:p>
    <w:p>
      <w:pPr>
        <w:pStyle w:val="2"/>
        <w:kinsoku w:val="0"/>
        <w:overflowPunct w:val="0"/>
        <w:rPr>
          <w:rFonts w:ascii="宋体" w:hAnsi="宋体" w:cs="宋体"/>
          <w:b/>
          <w:bCs/>
          <w:sz w:val="20"/>
          <w:szCs w:val="20"/>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3103"/>
        <w:gridCol w:w="123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ascii="宋体" w:hAnsi="宋体" w:cs="宋体"/>
                <w:spacing w:val="-1"/>
                <w:kern w:val="0"/>
                <w:sz w:val="24"/>
              </w:rPr>
            </w:pPr>
            <w:r>
              <w:rPr>
                <w:rFonts w:hint="eastAsia" w:ascii="宋体" w:hAnsi="宋体" w:cs="宋体"/>
                <w:spacing w:val="-1"/>
                <w:kern w:val="0"/>
                <w:sz w:val="24"/>
              </w:rPr>
              <w:t>序号</w:t>
            </w:r>
          </w:p>
        </w:tc>
        <w:tc>
          <w:tcPr>
            <w:tcW w:w="2373" w:type="dxa"/>
            <w:vAlign w:val="center"/>
          </w:tcPr>
          <w:p>
            <w:pPr>
              <w:jc w:val="center"/>
              <w:rPr>
                <w:rFonts w:ascii="宋体" w:hAnsi="宋体" w:cs="宋体"/>
                <w:spacing w:val="-1"/>
                <w:kern w:val="0"/>
                <w:sz w:val="24"/>
              </w:rPr>
            </w:pPr>
            <w:r>
              <w:rPr>
                <w:rFonts w:hint="eastAsia" w:ascii="宋体" w:hAnsi="宋体" w:cs="宋体"/>
                <w:spacing w:val="-1"/>
                <w:kern w:val="0"/>
                <w:sz w:val="24"/>
              </w:rPr>
              <w:t>客户名称</w:t>
            </w:r>
          </w:p>
        </w:tc>
        <w:tc>
          <w:tcPr>
            <w:tcW w:w="3103" w:type="dxa"/>
            <w:vAlign w:val="center"/>
          </w:tcPr>
          <w:p>
            <w:pPr>
              <w:jc w:val="center"/>
              <w:rPr>
                <w:rFonts w:ascii="宋体" w:hAnsi="宋体" w:cs="宋体"/>
                <w:spacing w:val="-1"/>
                <w:kern w:val="0"/>
                <w:sz w:val="24"/>
              </w:rPr>
            </w:pPr>
            <w:r>
              <w:rPr>
                <w:rFonts w:hint="eastAsia" w:ascii="宋体" w:hAnsi="宋体" w:cs="宋体"/>
                <w:spacing w:val="-1"/>
                <w:kern w:val="0"/>
                <w:sz w:val="24"/>
              </w:rPr>
              <w:t>项目名称及合同金额（万元）</w:t>
            </w:r>
          </w:p>
        </w:tc>
        <w:tc>
          <w:tcPr>
            <w:tcW w:w="1230" w:type="dxa"/>
            <w:vAlign w:val="center"/>
          </w:tcPr>
          <w:p>
            <w:pPr>
              <w:jc w:val="center"/>
              <w:rPr>
                <w:rFonts w:ascii="宋体" w:hAnsi="宋体" w:cs="宋体"/>
                <w:spacing w:val="-1"/>
                <w:kern w:val="0"/>
                <w:sz w:val="24"/>
              </w:rPr>
            </w:pPr>
            <w:r>
              <w:rPr>
                <w:rFonts w:hint="eastAsia" w:ascii="宋体" w:hAnsi="宋体" w:cs="宋体"/>
                <w:spacing w:val="-1"/>
                <w:kern w:val="0"/>
                <w:sz w:val="24"/>
              </w:rPr>
              <w:t>实施时间</w:t>
            </w:r>
          </w:p>
        </w:tc>
        <w:tc>
          <w:tcPr>
            <w:tcW w:w="1725" w:type="dxa"/>
            <w:vAlign w:val="center"/>
          </w:tcPr>
          <w:p>
            <w:pPr>
              <w:jc w:val="center"/>
              <w:rPr>
                <w:rFonts w:ascii="宋体" w:hAnsi="宋体" w:cs="宋体"/>
                <w:spacing w:val="-1"/>
                <w:kern w:val="0"/>
                <w:sz w:val="24"/>
              </w:rPr>
            </w:pPr>
            <w:r>
              <w:rPr>
                <w:rFonts w:hint="eastAsia" w:ascii="宋体" w:hAnsi="宋体" w:cs="宋体"/>
                <w:spacing w:val="-1"/>
                <w:kern w:val="0"/>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ascii="宋体" w:hAnsi="宋体" w:cs="宋体"/>
                <w:spacing w:val="-1"/>
                <w:kern w:val="0"/>
                <w:sz w:val="24"/>
              </w:rPr>
            </w:pPr>
            <w:r>
              <w:rPr>
                <w:rFonts w:hint="eastAsia" w:ascii="宋体" w:hAnsi="宋体" w:cs="宋体"/>
                <w:spacing w:val="-1"/>
                <w:kern w:val="0"/>
                <w:sz w:val="24"/>
              </w:rPr>
              <w:t>1</w:t>
            </w:r>
          </w:p>
        </w:tc>
        <w:tc>
          <w:tcPr>
            <w:tcW w:w="2373" w:type="dxa"/>
            <w:vAlign w:val="center"/>
          </w:tcPr>
          <w:p>
            <w:pPr>
              <w:jc w:val="center"/>
              <w:rPr>
                <w:rFonts w:ascii="宋体" w:hAnsi="宋体" w:cs="宋体"/>
                <w:spacing w:val="-1"/>
                <w:kern w:val="0"/>
                <w:sz w:val="24"/>
              </w:rPr>
            </w:pPr>
          </w:p>
        </w:tc>
        <w:tc>
          <w:tcPr>
            <w:tcW w:w="3103" w:type="dxa"/>
            <w:vAlign w:val="center"/>
          </w:tcPr>
          <w:p>
            <w:pPr>
              <w:jc w:val="center"/>
              <w:rPr>
                <w:rFonts w:ascii="宋体" w:hAnsi="宋体" w:cs="宋体"/>
                <w:spacing w:val="-1"/>
                <w:kern w:val="0"/>
                <w:sz w:val="24"/>
              </w:rPr>
            </w:pPr>
          </w:p>
        </w:tc>
        <w:tc>
          <w:tcPr>
            <w:tcW w:w="1230" w:type="dxa"/>
            <w:vAlign w:val="center"/>
          </w:tcPr>
          <w:p>
            <w:pPr>
              <w:jc w:val="center"/>
              <w:rPr>
                <w:rFonts w:ascii="宋体" w:hAnsi="宋体" w:cs="宋体"/>
                <w:spacing w:val="-1"/>
                <w:kern w:val="0"/>
                <w:sz w:val="24"/>
              </w:rPr>
            </w:pPr>
          </w:p>
        </w:tc>
        <w:tc>
          <w:tcPr>
            <w:tcW w:w="1725" w:type="dxa"/>
            <w:vAlign w:val="center"/>
          </w:tcPr>
          <w:p>
            <w:pPr>
              <w:jc w:val="center"/>
              <w:rPr>
                <w:rFonts w:ascii="宋体" w:hAnsi="宋体" w:cs="宋体"/>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ascii="宋体" w:hAnsi="宋体" w:cs="宋体"/>
                <w:spacing w:val="-1"/>
                <w:kern w:val="0"/>
                <w:sz w:val="24"/>
              </w:rPr>
            </w:pPr>
            <w:r>
              <w:rPr>
                <w:rFonts w:hint="eastAsia" w:ascii="宋体" w:hAnsi="宋体" w:cs="宋体"/>
                <w:spacing w:val="-1"/>
                <w:kern w:val="0"/>
                <w:sz w:val="24"/>
              </w:rPr>
              <w:t>2</w:t>
            </w:r>
          </w:p>
        </w:tc>
        <w:tc>
          <w:tcPr>
            <w:tcW w:w="2373" w:type="dxa"/>
            <w:vAlign w:val="center"/>
          </w:tcPr>
          <w:p>
            <w:pPr>
              <w:jc w:val="center"/>
              <w:rPr>
                <w:rFonts w:ascii="宋体" w:hAnsi="宋体" w:cs="宋体"/>
                <w:spacing w:val="-1"/>
                <w:kern w:val="0"/>
                <w:sz w:val="24"/>
              </w:rPr>
            </w:pPr>
          </w:p>
        </w:tc>
        <w:tc>
          <w:tcPr>
            <w:tcW w:w="3103" w:type="dxa"/>
            <w:vAlign w:val="center"/>
          </w:tcPr>
          <w:p>
            <w:pPr>
              <w:jc w:val="center"/>
              <w:rPr>
                <w:rFonts w:ascii="宋体" w:hAnsi="宋体" w:cs="宋体"/>
                <w:spacing w:val="-1"/>
                <w:kern w:val="0"/>
                <w:sz w:val="24"/>
              </w:rPr>
            </w:pPr>
          </w:p>
        </w:tc>
        <w:tc>
          <w:tcPr>
            <w:tcW w:w="1230" w:type="dxa"/>
            <w:vAlign w:val="center"/>
          </w:tcPr>
          <w:p>
            <w:pPr>
              <w:jc w:val="center"/>
              <w:rPr>
                <w:rFonts w:ascii="宋体" w:hAnsi="宋体" w:cs="宋体"/>
                <w:spacing w:val="-1"/>
                <w:kern w:val="0"/>
                <w:sz w:val="24"/>
              </w:rPr>
            </w:pPr>
          </w:p>
        </w:tc>
        <w:tc>
          <w:tcPr>
            <w:tcW w:w="1725" w:type="dxa"/>
            <w:vAlign w:val="center"/>
          </w:tcPr>
          <w:p>
            <w:pPr>
              <w:jc w:val="center"/>
              <w:rPr>
                <w:rFonts w:ascii="宋体" w:hAnsi="宋体" w:cs="宋体"/>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ascii="宋体" w:hAnsi="宋体" w:cs="宋体"/>
                <w:spacing w:val="-1"/>
                <w:kern w:val="0"/>
                <w:sz w:val="24"/>
              </w:rPr>
            </w:pPr>
            <w:r>
              <w:rPr>
                <w:rFonts w:hint="eastAsia" w:ascii="宋体" w:hAnsi="宋体" w:cs="宋体"/>
                <w:spacing w:val="-1"/>
                <w:kern w:val="0"/>
                <w:sz w:val="24"/>
              </w:rPr>
              <w:t>3</w:t>
            </w:r>
          </w:p>
        </w:tc>
        <w:tc>
          <w:tcPr>
            <w:tcW w:w="2373" w:type="dxa"/>
            <w:vAlign w:val="center"/>
          </w:tcPr>
          <w:p>
            <w:pPr>
              <w:jc w:val="center"/>
              <w:rPr>
                <w:rFonts w:ascii="宋体" w:hAnsi="宋体" w:cs="宋体"/>
                <w:spacing w:val="-1"/>
                <w:kern w:val="0"/>
                <w:sz w:val="24"/>
              </w:rPr>
            </w:pPr>
          </w:p>
        </w:tc>
        <w:tc>
          <w:tcPr>
            <w:tcW w:w="3103" w:type="dxa"/>
            <w:vAlign w:val="center"/>
          </w:tcPr>
          <w:p>
            <w:pPr>
              <w:jc w:val="center"/>
              <w:rPr>
                <w:rFonts w:ascii="宋体" w:hAnsi="宋体" w:cs="宋体"/>
                <w:spacing w:val="-1"/>
                <w:kern w:val="0"/>
                <w:sz w:val="24"/>
              </w:rPr>
            </w:pPr>
          </w:p>
        </w:tc>
        <w:tc>
          <w:tcPr>
            <w:tcW w:w="1230" w:type="dxa"/>
            <w:vAlign w:val="center"/>
          </w:tcPr>
          <w:p>
            <w:pPr>
              <w:jc w:val="center"/>
              <w:rPr>
                <w:rFonts w:ascii="宋体" w:hAnsi="宋体" w:cs="宋体"/>
                <w:spacing w:val="-1"/>
                <w:kern w:val="0"/>
                <w:sz w:val="24"/>
              </w:rPr>
            </w:pPr>
          </w:p>
        </w:tc>
        <w:tc>
          <w:tcPr>
            <w:tcW w:w="1725" w:type="dxa"/>
            <w:vAlign w:val="center"/>
          </w:tcPr>
          <w:p>
            <w:pPr>
              <w:jc w:val="center"/>
              <w:rPr>
                <w:rFonts w:ascii="宋体" w:hAnsi="宋体" w:cs="宋体"/>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ascii="宋体" w:hAnsi="宋体" w:cs="宋体"/>
                <w:spacing w:val="-1"/>
                <w:kern w:val="0"/>
                <w:sz w:val="24"/>
              </w:rPr>
            </w:pPr>
            <w:r>
              <w:rPr>
                <w:rFonts w:hint="eastAsia" w:ascii="宋体" w:hAnsi="宋体" w:cs="宋体"/>
                <w:spacing w:val="-1"/>
                <w:kern w:val="0"/>
                <w:sz w:val="24"/>
              </w:rPr>
              <w:t>…</w:t>
            </w:r>
          </w:p>
        </w:tc>
        <w:tc>
          <w:tcPr>
            <w:tcW w:w="2373" w:type="dxa"/>
            <w:vAlign w:val="center"/>
          </w:tcPr>
          <w:p>
            <w:pPr>
              <w:jc w:val="center"/>
              <w:rPr>
                <w:rFonts w:ascii="宋体" w:hAnsi="宋体" w:cs="宋体"/>
                <w:spacing w:val="-1"/>
                <w:kern w:val="0"/>
                <w:sz w:val="24"/>
              </w:rPr>
            </w:pPr>
          </w:p>
        </w:tc>
        <w:tc>
          <w:tcPr>
            <w:tcW w:w="3103" w:type="dxa"/>
            <w:vAlign w:val="center"/>
          </w:tcPr>
          <w:p>
            <w:pPr>
              <w:jc w:val="center"/>
              <w:rPr>
                <w:rFonts w:ascii="宋体" w:hAnsi="宋体" w:cs="宋体"/>
                <w:spacing w:val="-1"/>
                <w:kern w:val="0"/>
                <w:sz w:val="24"/>
              </w:rPr>
            </w:pPr>
          </w:p>
        </w:tc>
        <w:tc>
          <w:tcPr>
            <w:tcW w:w="1230" w:type="dxa"/>
            <w:vAlign w:val="center"/>
          </w:tcPr>
          <w:p>
            <w:pPr>
              <w:jc w:val="center"/>
              <w:rPr>
                <w:rFonts w:ascii="宋体" w:hAnsi="宋体" w:cs="宋体"/>
                <w:spacing w:val="-1"/>
                <w:kern w:val="0"/>
                <w:sz w:val="24"/>
              </w:rPr>
            </w:pPr>
          </w:p>
        </w:tc>
        <w:tc>
          <w:tcPr>
            <w:tcW w:w="1725" w:type="dxa"/>
            <w:vAlign w:val="center"/>
          </w:tcPr>
          <w:p>
            <w:pPr>
              <w:jc w:val="center"/>
              <w:rPr>
                <w:rFonts w:ascii="宋体" w:hAnsi="宋体" w:cs="宋体"/>
                <w:spacing w:val="-1"/>
                <w:kern w:val="0"/>
                <w:sz w:val="24"/>
              </w:rPr>
            </w:pPr>
          </w:p>
        </w:tc>
      </w:tr>
    </w:tbl>
    <w:p>
      <w:pPr>
        <w:rPr>
          <w:rFonts w:ascii="宋体" w:hAnsi="宋体" w:cs="宋体"/>
          <w:spacing w:val="-1"/>
          <w:kern w:val="0"/>
          <w:sz w:val="24"/>
        </w:rPr>
      </w:pPr>
      <w:r>
        <w:rPr>
          <w:rFonts w:hint="eastAsia" w:ascii="宋体" w:hAnsi="宋体" w:cs="宋体"/>
          <w:spacing w:val="-1"/>
          <w:kern w:val="0"/>
          <w:sz w:val="24"/>
        </w:rPr>
        <w:t>注：根据评审表的要求提交相应资料。</w:t>
      </w:r>
    </w:p>
    <w:p>
      <w:pPr>
        <w:rPr>
          <w:rFonts w:ascii="宋体" w:hAnsi="宋体" w:cs="宋体"/>
          <w:spacing w:val="-1"/>
          <w:kern w:val="0"/>
          <w:sz w:val="24"/>
        </w:rPr>
      </w:pPr>
      <w:r>
        <w:rPr>
          <w:rFonts w:hint="eastAsia" w:ascii="宋体" w:hAnsi="宋体" w:cs="宋体"/>
          <w:spacing w:val="-1"/>
          <w:kern w:val="0"/>
          <w:sz w:val="24"/>
        </w:rPr>
        <w:t>业绩证明（需提供合同复印件或扫描件，合同要求提供合同首页、合同金额所在页、签字盖章页并加盖公章）。</w:t>
      </w:r>
    </w:p>
    <w:p>
      <w:pPr>
        <w:pStyle w:val="2"/>
        <w:kinsoku w:val="0"/>
        <w:overflowPunct w:val="0"/>
        <w:rPr>
          <w:rFonts w:ascii="宋体" w:hAnsi="宋体" w:cs="宋体"/>
        </w:rPr>
      </w:pPr>
    </w:p>
    <w:p>
      <w:pPr>
        <w:pStyle w:val="2"/>
        <w:kinsoku w:val="0"/>
        <w:overflowPunct w:val="0"/>
        <w:spacing w:before="10"/>
        <w:rPr>
          <w:rFonts w:ascii="宋体" w:hAnsi="宋体" w:cs="宋体"/>
          <w:sz w:val="29"/>
          <w:szCs w:val="29"/>
        </w:rPr>
      </w:pPr>
    </w:p>
    <w:p>
      <w:pPr>
        <w:pStyle w:val="2"/>
        <w:tabs>
          <w:tab w:val="left" w:pos="7078"/>
        </w:tabs>
        <w:kinsoku w:val="0"/>
        <w:overflowPunct w:val="0"/>
        <w:spacing w:line="337" w:lineRule="auto"/>
        <w:ind w:left="3598" w:right="1266"/>
        <w:rPr>
          <w:rFonts w:ascii="宋体" w:hAnsi="宋体" w:cs="宋体"/>
          <w:spacing w:val="23"/>
        </w:rPr>
      </w:pPr>
      <w:r>
        <w:rPr>
          <w:rFonts w:hint="eastAsia" w:ascii="宋体" w:hAnsi="宋体" w:cs="宋体"/>
          <w:spacing w:val="-1"/>
        </w:rPr>
        <w:t>供应商：</w:t>
      </w:r>
      <w:r>
        <w:rPr>
          <w:rFonts w:hint="eastAsia" w:ascii="宋体" w:hAnsi="宋体" w:cs="宋体"/>
          <w:spacing w:val="-1"/>
          <w:u w:val="single"/>
        </w:rPr>
        <w:tab/>
      </w:r>
      <w:r>
        <w:rPr>
          <w:rFonts w:hint="eastAsia" w:ascii="宋体" w:hAnsi="宋体" w:cs="宋体"/>
          <w:u w:val="single"/>
        </w:rPr>
        <w:t>（公章）</w:t>
      </w:r>
      <w:r>
        <w:rPr>
          <w:rFonts w:hint="eastAsia" w:ascii="宋体" w:hAnsi="宋体" w:cs="宋体"/>
          <w:spacing w:val="23"/>
        </w:rPr>
        <w:t xml:space="preserve"> </w:t>
      </w:r>
    </w:p>
    <w:p>
      <w:pPr>
        <w:pStyle w:val="2"/>
        <w:tabs>
          <w:tab w:val="left" w:pos="7078"/>
        </w:tabs>
        <w:kinsoku w:val="0"/>
        <w:overflowPunct w:val="0"/>
        <w:spacing w:line="337" w:lineRule="auto"/>
        <w:ind w:left="3598" w:right="1266"/>
        <w:rPr>
          <w:rFonts w:ascii="宋体" w:hAnsi="宋体" w:cs="宋体"/>
        </w:rPr>
      </w:pPr>
      <w:r>
        <w:rPr>
          <w:rFonts w:hint="eastAsia" w:ascii="宋体" w:hAnsi="宋体" w:cs="宋体"/>
          <w:spacing w:val="-1"/>
        </w:rPr>
        <w:t>法定代表人或委托人：</w:t>
      </w:r>
      <w:r>
        <w:rPr>
          <w:rFonts w:hint="eastAsia" w:ascii="宋体" w:hAnsi="宋体" w:cs="宋体"/>
          <w:spacing w:val="-1"/>
          <w:u w:val="single"/>
        </w:rPr>
        <w:tab/>
      </w:r>
      <w:r>
        <w:rPr>
          <w:rFonts w:hint="eastAsia" w:ascii="宋体" w:hAnsi="宋体" w:cs="宋体"/>
          <w:u w:val="single"/>
        </w:rPr>
        <w:t>（签字）</w:t>
      </w:r>
    </w:p>
    <w:p>
      <w:pPr>
        <w:pStyle w:val="2"/>
        <w:kinsoku w:val="0"/>
        <w:overflowPunct w:val="0"/>
        <w:spacing w:before="11"/>
        <w:rPr>
          <w:rFonts w:ascii="宋体" w:hAnsi="宋体" w:cs="宋体"/>
          <w:sz w:val="9"/>
          <w:szCs w:val="9"/>
        </w:rPr>
      </w:pPr>
    </w:p>
    <w:p>
      <w:pPr>
        <w:pStyle w:val="2"/>
        <w:tabs>
          <w:tab w:val="left" w:pos="5158"/>
          <w:tab w:val="left" w:pos="5998"/>
          <w:tab w:val="left" w:pos="6838"/>
        </w:tabs>
        <w:kinsoku w:val="0"/>
        <w:overflowPunct w:val="0"/>
        <w:spacing w:before="26"/>
        <w:ind w:left="4437" w:right="118"/>
        <w:rPr>
          <w:rFonts w:ascii="宋体" w:hAnsi="宋体" w:cs="宋体"/>
        </w:rPr>
      </w:pPr>
      <w:r>
        <w:rPr>
          <w:rFonts w:hint="eastAsia" w:ascii="宋体" w:hAnsi="宋体" w:cs="宋体"/>
          <w:u w:val="single"/>
        </w:rPr>
        <w:t xml:space="preserve"> </w:t>
      </w:r>
      <w:r>
        <w:rPr>
          <w:rFonts w:hint="eastAsia" w:ascii="宋体" w:hAnsi="宋体" w:cs="宋体"/>
          <w:u w:val="single"/>
        </w:rPr>
        <w:tab/>
      </w:r>
      <w:r>
        <w:rPr>
          <w:rFonts w:hint="eastAsia" w:ascii="宋体" w:hAnsi="宋体" w:cs="宋体"/>
          <w:spacing w:val="-1"/>
        </w:rPr>
        <w:t>年</w:t>
      </w:r>
      <w:r>
        <w:rPr>
          <w:rFonts w:hint="eastAsia" w:ascii="宋体" w:hAnsi="宋体" w:cs="宋体"/>
          <w:spacing w:val="-1"/>
          <w:u w:val="single"/>
        </w:rPr>
        <w:tab/>
      </w:r>
      <w:r>
        <w:rPr>
          <w:rFonts w:hint="eastAsia" w:ascii="宋体" w:hAnsi="宋体" w:cs="宋体"/>
          <w:spacing w:val="-1"/>
        </w:rPr>
        <w:t>月</w:t>
      </w:r>
      <w:r>
        <w:rPr>
          <w:rFonts w:hint="eastAsia" w:ascii="宋体" w:hAnsi="宋体" w:cs="宋体"/>
          <w:spacing w:val="-1"/>
          <w:u w:val="single"/>
        </w:rPr>
        <w:tab/>
      </w:r>
      <w:r>
        <w:rPr>
          <w:rFonts w:hint="eastAsia" w:ascii="宋体" w:hAnsi="宋体" w:cs="宋体"/>
        </w:rPr>
        <w:t>日</w:t>
      </w:r>
    </w:p>
    <w:p>
      <w:pPr>
        <w:pStyle w:val="2"/>
        <w:kinsoku w:val="0"/>
        <w:overflowPunct w:val="0"/>
        <w:spacing w:before="34" w:line="357" w:lineRule="auto"/>
        <w:ind w:right="126" w:firstLine="480"/>
        <w:jc w:val="center"/>
        <w:outlineLvl w:val="1"/>
        <w:rPr>
          <w:rFonts w:ascii="宋体" w:hAnsi="宋体" w:cs="宋体"/>
          <w:b/>
          <w:bCs/>
        </w:rPr>
      </w:pPr>
      <w:r>
        <w:rPr>
          <w:rFonts w:hint="eastAsia" w:ascii="宋体" w:hAnsi="宋体" w:cs="宋体"/>
        </w:rPr>
        <w:br w:type="page"/>
      </w:r>
      <w:r>
        <w:rPr>
          <w:rFonts w:hint="eastAsia" w:ascii="宋体" w:hAnsi="宋体" w:cs="宋体"/>
          <w:b/>
          <w:bCs/>
          <w:sz w:val="36"/>
          <w:szCs w:val="36"/>
        </w:rPr>
        <w:t>十、中小企业声明函（符合本声明函填写）</w:t>
      </w:r>
    </w:p>
    <w:p>
      <w:pPr>
        <w:pStyle w:val="2"/>
        <w:kinsoku w:val="0"/>
        <w:overflowPunct w:val="0"/>
        <w:rPr>
          <w:rFonts w:ascii="宋体" w:hAnsi="宋体" w:cs="宋体"/>
          <w:b/>
          <w:bCs/>
          <w:sz w:val="32"/>
          <w:szCs w:val="32"/>
        </w:rPr>
      </w:pPr>
    </w:p>
    <w:p>
      <w:pPr>
        <w:pStyle w:val="2"/>
        <w:tabs>
          <w:tab w:val="left" w:pos="3943"/>
        </w:tabs>
        <w:kinsoku w:val="0"/>
        <w:overflowPunct w:val="0"/>
        <w:spacing w:line="475" w:lineRule="auto"/>
        <w:ind w:right="232" w:firstLine="480"/>
        <w:rPr>
          <w:rFonts w:ascii="宋体" w:hAnsi="宋体" w:cs="宋体"/>
        </w:rPr>
      </w:pPr>
      <w:r>
        <w:rPr>
          <w:rFonts w:hint="eastAsia" w:ascii="宋体" w:hAnsi="宋体" w:cs="宋体"/>
          <w:spacing w:val="1"/>
        </w:rPr>
        <w:t>本公司郑重声明，根据</w:t>
      </w:r>
      <w:r>
        <w:rPr>
          <w:rFonts w:hint="eastAsia" w:ascii="宋体" w:hAnsi="宋体" w:cs="宋体"/>
          <w:sz w:val="24"/>
        </w:rPr>
        <w:t>《政府采购促进中小企业发展管理办法》（财库﹝2020﹞46 号）</w:t>
      </w:r>
      <w:r>
        <w:rPr>
          <w:rFonts w:hint="eastAsia" w:ascii="宋体" w:hAnsi="宋体" w:cs="宋体"/>
          <w:spacing w:val="-2"/>
        </w:rPr>
        <w:t>的规定，本公司为</w:t>
      </w:r>
      <w:r>
        <w:rPr>
          <w:rFonts w:hint="eastAsia" w:ascii="宋体" w:hAnsi="宋体" w:cs="宋体"/>
          <w:spacing w:val="-2"/>
          <w:u w:val="single"/>
        </w:rPr>
        <w:tab/>
      </w:r>
      <w:r>
        <w:rPr>
          <w:rFonts w:hint="eastAsia" w:ascii="宋体" w:hAnsi="宋体" w:cs="宋体"/>
          <w:spacing w:val="-2"/>
        </w:rPr>
        <w:t>（请填写：中型、小型、微型）企业。即，本公司</w:t>
      </w:r>
      <w:r>
        <w:rPr>
          <w:rFonts w:hint="eastAsia" w:ascii="宋体" w:hAnsi="宋体" w:cs="宋体"/>
          <w:spacing w:val="35"/>
        </w:rPr>
        <w:t xml:space="preserve"> </w:t>
      </w:r>
      <w:r>
        <w:rPr>
          <w:rFonts w:hint="eastAsia" w:ascii="宋体" w:hAnsi="宋体" w:cs="宋体"/>
        </w:rPr>
        <w:t>同时满足以下条件：</w:t>
      </w:r>
    </w:p>
    <w:p>
      <w:pPr>
        <w:pStyle w:val="2"/>
        <w:tabs>
          <w:tab w:val="left" w:pos="1558"/>
        </w:tabs>
        <w:kinsoku w:val="0"/>
        <w:overflowPunct w:val="0"/>
        <w:spacing w:before="71" w:line="475" w:lineRule="auto"/>
        <w:ind w:right="234" w:firstLine="480"/>
        <w:rPr>
          <w:rFonts w:ascii="宋体" w:hAnsi="宋体" w:cs="宋体"/>
        </w:rPr>
      </w:pPr>
      <w:r>
        <w:rPr>
          <w:rFonts w:hint="eastAsia" w:ascii="宋体" w:hAnsi="宋体" w:cs="宋体"/>
          <w:spacing w:val="-2"/>
        </w:rPr>
        <w:t>1.根据《工业和信息化部、国家统计局、国家发展和改革委员会、财政部关于印发</w:t>
      </w:r>
      <w:r>
        <w:rPr>
          <w:rFonts w:hint="eastAsia" w:ascii="宋体" w:hAnsi="宋体" w:cs="宋体"/>
          <w:spacing w:val="53"/>
        </w:rPr>
        <w:t xml:space="preserve"> </w:t>
      </w:r>
      <w:r>
        <w:rPr>
          <w:rFonts w:hint="eastAsia" w:ascii="宋体" w:hAnsi="宋体" w:cs="宋体"/>
        </w:rPr>
        <w:t>中小企业划型标准规定的通知》（工信部联企业[2011]300</w:t>
      </w:r>
      <w:r>
        <w:rPr>
          <w:rFonts w:hint="eastAsia" w:ascii="宋体" w:hAnsi="宋体" w:cs="宋体"/>
          <w:spacing w:val="-60"/>
        </w:rPr>
        <w:t xml:space="preserve"> </w:t>
      </w:r>
      <w:r>
        <w:rPr>
          <w:rFonts w:hint="eastAsia" w:ascii="宋体" w:hAnsi="宋体" w:cs="宋体"/>
        </w:rPr>
        <w:t>号）规定的划分标准，本公</w:t>
      </w:r>
      <w:r>
        <w:rPr>
          <w:rFonts w:hint="eastAsia" w:ascii="宋体" w:hAnsi="宋体" w:cs="宋体"/>
          <w:spacing w:val="30"/>
        </w:rPr>
        <w:t xml:space="preserve"> </w:t>
      </w:r>
      <w:r>
        <w:rPr>
          <w:rFonts w:hint="eastAsia" w:ascii="宋体" w:hAnsi="宋体" w:cs="宋体"/>
          <w:spacing w:val="-1"/>
        </w:rPr>
        <w:t>司为</w:t>
      </w:r>
      <w:r>
        <w:rPr>
          <w:rFonts w:hint="eastAsia" w:ascii="宋体" w:hAnsi="宋体" w:cs="宋体"/>
          <w:spacing w:val="-1"/>
          <w:u w:val="single"/>
        </w:rPr>
        <w:tab/>
      </w:r>
      <w:r>
        <w:rPr>
          <w:rFonts w:hint="eastAsia" w:ascii="宋体" w:hAnsi="宋体" w:cs="宋体"/>
        </w:rPr>
        <w:t>（请填写：中型、小型、微型）企业。</w:t>
      </w:r>
    </w:p>
    <w:p>
      <w:pPr>
        <w:pStyle w:val="2"/>
        <w:tabs>
          <w:tab w:val="left" w:pos="3919"/>
          <w:tab w:val="left" w:pos="6264"/>
          <w:tab w:val="left" w:pos="7399"/>
        </w:tabs>
        <w:kinsoku w:val="0"/>
        <w:overflowPunct w:val="0"/>
        <w:spacing w:before="71" w:line="475" w:lineRule="auto"/>
        <w:ind w:right="114" w:firstLine="480"/>
        <w:rPr>
          <w:rFonts w:ascii="宋体" w:hAnsi="宋体" w:cs="宋体"/>
        </w:rPr>
      </w:pPr>
      <w:r>
        <w:rPr>
          <w:rFonts w:hint="eastAsia" w:ascii="宋体" w:hAnsi="宋体" w:cs="宋体"/>
          <w:spacing w:val="2"/>
        </w:rPr>
        <w:t>2.本公司参加</w:t>
      </w:r>
      <w:r>
        <w:rPr>
          <w:rFonts w:hint="eastAsia" w:ascii="宋体" w:hAnsi="宋体" w:cs="宋体"/>
          <w:spacing w:val="2"/>
          <w:u w:val="single"/>
        </w:rPr>
        <w:tab/>
      </w:r>
      <w:r>
        <w:rPr>
          <w:rFonts w:hint="eastAsia" w:ascii="宋体" w:hAnsi="宋体" w:cs="宋体"/>
          <w:spacing w:val="3"/>
        </w:rPr>
        <w:t>单位的</w:t>
      </w:r>
      <w:r>
        <w:rPr>
          <w:rFonts w:hint="eastAsia" w:ascii="宋体" w:hAnsi="宋体" w:cs="宋体"/>
          <w:spacing w:val="3"/>
          <w:u w:val="single"/>
        </w:rPr>
        <w:tab/>
      </w:r>
      <w:r>
        <w:rPr>
          <w:rFonts w:hint="eastAsia" w:ascii="宋体" w:hAnsi="宋体" w:cs="宋体"/>
          <w:spacing w:val="3"/>
        </w:rPr>
        <w:t>项目采购活动提供本企业制</w:t>
      </w:r>
      <w:r>
        <w:rPr>
          <w:rFonts w:hint="eastAsia" w:ascii="宋体" w:hAnsi="宋体" w:cs="宋体"/>
          <w:spacing w:val="25"/>
        </w:rPr>
        <w:t xml:space="preserve"> </w:t>
      </w:r>
      <w:r>
        <w:rPr>
          <w:rFonts w:hint="eastAsia" w:ascii="宋体" w:hAnsi="宋体" w:cs="宋体"/>
          <w:spacing w:val="-2"/>
        </w:rPr>
        <w:t>造的货物，由本企业承担工程、提供服务，或者提供其他</w:t>
      </w:r>
      <w:r>
        <w:rPr>
          <w:rFonts w:hint="eastAsia" w:ascii="宋体" w:hAnsi="宋体" w:cs="宋体"/>
          <w:spacing w:val="-2"/>
          <w:u w:val="single"/>
        </w:rPr>
        <w:tab/>
      </w:r>
      <w:r>
        <w:rPr>
          <w:rFonts w:hint="eastAsia" w:ascii="宋体" w:hAnsi="宋体" w:cs="宋体"/>
          <w:spacing w:val="-2"/>
          <w:u w:val="single"/>
        </w:rPr>
        <w:tab/>
      </w:r>
      <w:r>
        <w:rPr>
          <w:rFonts w:hint="eastAsia" w:ascii="宋体" w:hAnsi="宋体" w:cs="宋体"/>
          <w:spacing w:val="-2"/>
        </w:rPr>
        <w:t>（请填写：中型、</w:t>
      </w:r>
      <w:r>
        <w:rPr>
          <w:rFonts w:hint="eastAsia" w:ascii="宋体" w:hAnsi="宋体" w:cs="宋体"/>
          <w:spacing w:val="51"/>
        </w:rPr>
        <w:t xml:space="preserve"> </w:t>
      </w:r>
      <w:r>
        <w:rPr>
          <w:rFonts w:hint="eastAsia" w:ascii="宋体" w:hAnsi="宋体" w:cs="宋体"/>
        </w:rPr>
        <w:t>小型、微型）企业制造的货物。本条所称货物不包括使用大型企业注册商标的货物。</w:t>
      </w:r>
    </w:p>
    <w:p>
      <w:pPr>
        <w:pStyle w:val="2"/>
        <w:kinsoku w:val="0"/>
        <w:overflowPunct w:val="0"/>
        <w:spacing w:before="71"/>
        <w:ind w:left="598"/>
        <w:rPr>
          <w:rFonts w:ascii="宋体" w:hAnsi="宋体" w:cs="宋体"/>
        </w:rPr>
      </w:pPr>
      <w:r>
        <w:rPr>
          <w:rFonts w:hint="eastAsia" w:ascii="宋体" w:hAnsi="宋体" w:cs="宋体"/>
        </w:rPr>
        <w:t>本公司对上述声明的真实性负责。如有虚假，将依法承担相应责任。</w:t>
      </w:r>
    </w:p>
    <w:p>
      <w:pPr>
        <w:pStyle w:val="2"/>
        <w:kinsoku w:val="0"/>
        <w:overflowPunct w:val="0"/>
        <w:rPr>
          <w:rFonts w:ascii="宋体" w:hAnsi="宋体" w:cs="宋体"/>
        </w:rPr>
      </w:pPr>
    </w:p>
    <w:p>
      <w:pPr>
        <w:pStyle w:val="2"/>
        <w:kinsoku w:val="0"/>
        <w:overflowPunct w:val="0"/>
        <w:rPr>
          <w:rFonts w:ascii="宋体" w:hAnsi="宋体" w:cs="宋体"/>
        </w:rPr>
      </w:pPr>
    </w:p>
    <w:p>
      <w:pPr>
        <w:pStyle w:val="2"/>
        <w:kinsoku w:val="0"/>
        <w:overflowPunct w:val="0"/>
        <w:spacing w:before="9"/>
        <w:rPr>
          <w:rFonts w:ascii="宋体" w:hAnsi="宋体" w:cs="宋体"/>
          <w:sz w:val="19"/>
          <w:szCs w:val="19"/>
        </w:rPr>
      </w:pPr>
    </w:p>
    <w:p>
      <w:pPr>
        <w:pStyle w:val="2"/>
        <w:tabs>
          <w:tab w:val="left" w:pos="8107"/>
          <w:tab w:val="left" w:pos="8227"/>
        </w:tabs>
        <w:kinsoku w:val="0"/>
        <w:overflowPunct w:val="0"/>
        <w:spacing w:line="381" w:lineRule="auto"/>
        <w:ind w:left="4027" w:right="118"/>
        <w:rPr>
          <w:rFonts w:ascii="宋体" w:hAnsi="宋体" w:cs="宋体"/>
        </w:rPr>
      </w:pPr>
      <w:r>
        <w:rPr>
          <w:rFonts w:hint="eastAsia" w:ascii="宋体" w:hAnsi="宋体" w:cs="宋体"/>
        </w:rPr>
        <w:t>投标单位：</w:t>
      </w:r>
      <w:r>
        <w:rPr>
          <w:rFonts w:hint="eastAsia" w:ascii="宋体" w:hAnsi="宋体" w:cs="宋体"/>
          <w:u w:val="single"/>
        </w:rPr>
        <w:tab/>
      </w:r>
      <w:r>
        <w:rPr>
          <w:rFonts w:hint="eastAsia" w:ascii="宋体" w:hAnsi="宋体" w:cs="宋体"/>
        </w:rPr>
        <w:t xml:space="preserve">（盖章） </w:t>
      </w:r>
    </w:p>
    <w:p>
      <w:pPr>
        <w:pStyle w:val="2"/>
        <w:tabs>
          <w:tab w:val="left" w:pos="8107"/>
          <w:tab w:val="left" w:pos="8227"/>
        </w:tabs>
        <w:kinsoku w:val="0"/>
        <w:overflowPunct w:val="0"/>
        <w:spacing w:line="381" w:lineRule="auto"/>
        <w:ind w:left="4027" w:right="118"/>
        <w:rPr>
          <w:rFonts w:ascii="宋体" w:hAnsi="宋体" w:cs="宋体"/>
          <w:w w:val="95"/>
        </w:rPr>
      </w:pPr>
      <w:r>
        <w:rPr>
          <w:rFonts w:hint="eastAsia" w:ascii="宋体" w:hAnsi="宋体" w:cs="宋体"/>
        </w:rPr>
        <w:t>法定代表人或被授权人：</w:t>
      </w:r>
      <w:r>
        <w:rPr>
          <w:rFonts w:hint="eastAsia" w:ascii="宋体" w:hAnsi="宋体" w:cs="宋体"/>
          <w:u w:val="single"/>
        </w:rPr>
        <w:tab/>
      </w:r>
      <w:r>
        <w:rPr>
          <w:rFonts w:hint="eastAsia" w:ascii="宋体" w:hAnsi="宋体" w:cs="宋体"/>
          <w:u w:val="single"/>
        </w:rPr>
        <w:tab/>
      </w:r>
      <w:r>
        <w:rPr>
          <w:rFonts w:hint="eastAsia" w:ascii="宋体" w:hAnsi="宋体" w:cs="宋体"/>
          <w:w w:val="95"/>
        </w:rPr>
        <w:t>（签字）</w:t>
      </w:r>
    </w:p>
    <w:p>
      <w:pPr>
        <w:pStyle w:val="2"/>
        <w:tabs>
          <w:tab w:val="left" w:pos="6187"/>
          <w:tab w:val="left" w:pos="7147"/>
          <w:tab w:val="left" w:pos="7747"/>
          <w:tab w:val="left" w:pos="8347"/>
        </w:tabs>
        <w:kinsoku w:val="0"/>
        <w:overflowPunct w:val="0"/>
        <w:spacing w:before="46"/>
        <w:ind w:left="5468"/>
        <w:rPr>
          <w:rFonts w:ascii="宋体" w:hAnsi="宋体" w:cs="宋体"/>
        </w:rPr>
      </w:pPr>
      <w:r>
        <w:rPr>
          <w:rFonts w:hint="eastAsia" w:ascii="宋体" w:hAnsi="宋体" w:cs="宋体"/>
        </w:rPr>
        <w:t>日</w:t>
      </w:r>
      <w:r>
        <w:rPr>
          <w:rFonts w:hint="eastAsia" w:ascii="宋体" w:hAnsi="宋体" w:cs="宋体"/>
        </w:rPr>
        <w:tab/>
      </w:r>
      <w:r>
        <w:rPr>
          <w:rFonts w:hint="eastAsia" w:ascii="宋体" w:hAnsi="宋体" w:cs="宋体"/>
        </w:rPr>
        <w:t>期：</w:t>
      </w:r>
      <w:r>
        <w:rPr>
          <w:rFonts w:hint="eastAsia" w:ascii="宋体" w:hAnsi="宋体" w:cs="宋体"/>
          <w:u w:val="single"/>
        </w:rPr>
        <w:tab/>
      </w:r>
      <w:r>
        <w:rPr>
          <w:rFonts w:hint="eastAsia" w:ascii="宋体" w:hAnsi="宋体" w:cs="宋体"/>
        </w:rPr>
        <w:t>年</w:t>
      </w:r>
      <w:r>
        <w:rPr>
          <w:rFonts w:hint="eastAsia" w:ascii="宋体" w:hAnsi="宋体" w:cs="宋体"/>
          <w:u w:val="single"/>
        </w:rPr>
        <w:tab/>
      </w:r>
      <w:r>
        <w:rPr>
          <w:rFonts w:hint="eastAsia" w:ascii="宋体" w:hAnsi="宋体" w:cs="宋体"/>
        </w:rPr>
        <w:t>月</w:t>
      </w:r>
      <w:r>
        <w:rPr>
          <w:rFonts w:hint="eastAsia" w:ascii="宋体" w:hAnsi="宋体" w:cs="宋体"/>
          <w:u w:val="single"/>
        </w:rPr>
        <w:tab/>
      </w:r>
      <w:r>
        <w:rPr>
          <w:rFonts w:hint="eastAsia" w:ascii="宋体" w:hAnsi="宋体" w:cs="宋体"/>
        </w:rPr>
        <w:t>日</w:t>
      </w:r>
    </w:p>
    <w:p>
      <w:pPr>
        <w:pStyle w:val="2"/>
        <w:kinsoku w:val="0"/>
        <w:overflowPunct w:val="0"/>
        <w:spacing w:before="11"/>
        <w:rPr>
          <w:rFonts w:ascii="宋体" w:hAnsi="宋体" w:cs="宋体"/>
          <w:sz w:val="9"/>
          <w:szCs w:val="9"/>
        </w:rPr>
      </w:pPr>
    </w:p>
    <w:p>
      <w:pPr>
        <w:pStyle w:val="2"/>
        <w:kinsoku w:val="0"/>
        <w:overflowPunct w:val="0"/>
        <w:rPr>
          <w:rFonts w:ascii="宋体" w:hAnsi="宋体" w:cs="宋体"/>
          <w:szCs w:val="21"/>
        </w:rPr>
      </w:pPr>
      <w:r>
        <w:rPr>
          <w:rFonts w:hint="eastAsia" w:ascii="宋体" w:hAnsi="宋体" w:cs="宋体"/>
          <w:szCs w:val="21"/>
        </w:rPr>
        <w:t>说明：</w:t>
      </w:r>
    </w:p>
    <w:p>
      <w:pPr>
        <w:pStyle w:val="2"/>
        <w:kinsoku w:val="0"/>
        <w:overflowPunct w:val="0"/>
        <w:spacing w:before="133" w:line="356" w:lineRule="auto"/>
        <w:ind w:right="248" w:firstLine="420"/>
        <w:rPr>
          <w:rFonts w:ascii="宋体" w:hAnsi="宋体" w:cs="宋体"/>
          <w:w w:val="95"/>
          <w:szCs w:val="21"/>
        </w:rPr>
      </w:pPr>
      <w:r>
        <w:rPr>
          <w:rFonts w:hint="eastAsia" w:ascii="宋体" w:hAnsi="宋体" w:cs="宋体"/>
          <w:spacing w:val="8"/>
          <w:w w:val="95"/>
          <w:szCs w:val="21"/>
        </w:rPr>
        <w:t>1、填写前请认真阅读《工业和信息化部、国家统计局、国家发展和改革委员会、财政部关</w:t>
      </w:r>
      <w:r>
        <w:rPr>
          <w:rFonts w:hint="eastAsia" w:ascii="宋体" w:hAnsi="宋体" w:cs="宋体"/>
          <w:w w:val="95"/>
          <w:szCs w:val="21"/>
        </w:rPr>
        <w:t>于印发中小企业划型标准规定的通知》（工信部联企业[2011]300 号）和《财政部工业和信息化部关于印发《政府采购促进中小企业发展管理办法》（财库﹝2020﹞46 号）相关规定。</w:t>
      </w:r>
    </w:p>
    <w:p>
      <w:pPr>
        <w:pStyle w:val="2"/>
        <w:kinsoku w:val="0"/>
        <w:overflowPunct w:val="0"/>
        <w:spacing w:before="133" w:line="356" w:lineRule="auto"/>
        <w:ind w:right="248" w:firstLine="420"/>
        <w:rPr>
          <w:rFonts w:ascii="宋体" w:hAnsi="宋体" w:cs="宋体"/>
          <w:w w:val="95"/>
          <w:szCs w:val="21"/>
        </w:rPr>
      </w:pPr>
      <w:r>
        <w:rPr>
          <w:rFonts w:hint="eastAsia" w:ascii="宋体" w:hAnsi="宋体" w:cs="宋体"/>
          <w:w w:val="95"/>
          <w:szCs w:val="21"/>
        </w:rPr>
        <w:t>2、中小企业部分提供其他中小企业制造货物的应另附说明，并与投标函保持一致。</w:t>
      </w:r>
    </w:p>
    <w:p>
      <w:pPr>
        <w:pStyle w:val="2"/>
        <w:kinsoku w:val="0"/>
        <w:overflowPunct w:val="0"/>
        <w:spacing w:before="133" w:line="356" w:lineRule="auto"/>
        <w:ind w:right="248" w:firstLine="420"/>
        <w:rPr>
          <w:rFonts w:ascii="宋体" w:hAnsi="宋体" w:cs="宋体"/>
          <w:w w:val="95"/>
          <w:szCs w:val="21"/>
        </w:rPr>
      </w:pPr>
      <w:r>
        <w:rPr>
          <w:rFonts w:hint="eastAsia" w:ascii="宋体" w:hAnsi="宋体" w:cs="宋体"/>
          <w:w w:val="95"/>
          <w:szCs w:val="21"/>
        </w:rPr>
        <w:t>3、未按上述要求提供、填写的，评审时不予以考虑。</w:t>
      </w:r>
    </w:p>
    <w:p>
      <w:pPr>
        <w:pStyle w:val="2"/>
        <w:kinsoku w:val="0"/>
        <w:overflowPunct w:val="0"/>
        <w:spacing w:before="133" w:line="356" w:lineRule="auto"/>
        <w:ind w:right="248" w:firstLine="420"/>
        <w:outlineLvl w:val="1"/>
        <w:rPr>
          <w:rFonts w:ascii="宋体" w:hAnsi="宋体" w:cs="宋体"/>
          <w:b/>
          <w:bCs/>
        </w:rPr>
      </w:pPr>
      <w:r>
        <w:rPr>
          <w:rFonts w:hint="eastAsia" w:ascii="宋体" w:hAnsi="宋体" w:cs="宋体"/>
          <w:w w:val="95"/>
          <w:szCs w:val="21"/>
        </w:rPr>
        <w:br w:type="page"/>
      </w:r>
      <w:r>
        <w:rPr>
          <w:rFonts w:hint="eastAsia" w:ascii="宋体" w:hAnsi="宋体" w:cs="宋体"/>
          <w:b/>
          <w:bCs/>
          <w:sz w:val="36"/>
          <w:szCs w:val="36"/>
        </w:rPr>
        <w:t>十一、残疾人福利性单位声明函（符合本声明函填写）</w:t>
      </w:r>
    </w:p>
    <w:p>
      <w:pPr>
        <w:pStyle w:val="2"/>
        <w:kinsoku w:val="0"/>
        <w:overflowPunct w:val="0"/>
        <w:rPr>
          <w:rFonts w:ascii="宋体" w:hAnsi="宋体" w:cs="宋体"/>
          <w:b/>
          <w:bCs/>
          <w:sz w:val="32"/>
          <w:szCs w:val="32"/>
        </w:rPr>
      </w:pPr>
    </w:p>
    <w:p>
      <w:pPr>
        <w:pStyle w:val="2"/>
        <w:tabs>
          <w:tab w:val="left" w:pos="3211"/>
          <w:tab w:val="left" w:pos="4651"/>
        </w:tabs>
        <w:kinsoku w:val="0"/>
        <w:overflowPunct w:val="0"/>
        <w:spacing w:before="264" w:line="356" w:lineRule="auto"/>
        <w:ind w:right="118" w:firstLine="480"/>
        <w:rPr>
          <w:rFonts w:ascii="宋体" w:hAnsi="宋体" w:cs="宋体"/>
        </w:rPr>
      </w:pPr>
      <w:r>
        <w:rPr>
          <w:rFonts w:hint="eastAsia" w:ascii="宋体" w:hAnsi="宋体" w:cs="宋体"/>
        </w:rPr>
        <w:t>本单位郑重声明</w:t>
      </w:r>
      <w:r>
        <w:rPr>
          <w:rFonts w:hint="eastAsia" w:ascii="宋体" w:hAnsi="宋体" w:cs="宋体"/>
          <w:spacing w:val="-27"/>
        </w:rPr>
        <w:t>，</w:t>
      </w:r>
      <w:r>
        <w:rPr>
          <w:rFonts w:hint="eastAsia" w:ascii="宋体" w:hAnsi="宋体" w:cs="宋体"/>
        </w:rPr>
        <w:t>根</w:t>
      </w:r>
      <w:r>
        <w:rPr>
          <w:rFonts w:hint="eastAsia" w:ascii="宋体" w:hAnsi="宋体" w:cs="宋体"/>
          <w:spacing w:val="-24"/>
        </w:rPr>
        <w:t>据</w:t>
      </w:r>
      <w:r>
        <w:rPr>
          <w:rFonts w:hint="eastAsia" w:ascii="宋体" w:hAnsi="宋体" w:cs="宋体"/>
        </w:rPr>
        <w:t>《财政部 民政部 中国残疾人联合会关于促进残疾人就业政府采购政策的通知》（财库〔2017〕141</w:t>
      </w:r>
      <w:r>
        <w:rPr>
          <w:rFonts w:hint="eastAsia" w:ascii="宋体" w:hAnsi="宋体" w:cs="宋体"/>
          <w:spacing w:val="-58"/>
        </w:rPr>
        <w:t xml:space="preserve"> </w:t>
      </w:r>
      <w:r>
        <w:rPr>
          <w:rFonts w:hint="eastAsia" w:ascii="宋体" w:hAnsi="宋体" w:cs="宋体"/>
        </w:rPr>
        <w:t>号）的规定，本单位为符合条件的残疾人福利性单位</w:t>
      </w:r>
      <w:r>
        <w:rPr>
          <w:rFonts w:hint="eastAsia" w:ascii="宋体" w:hAnsi="宋体" w:cs="宋体"/>
          <w:spacing w:val="-27"/>
        </w:rPr>
        <w:t>，</w:t>
      </w:r>
      <w:r>
        <w:rPr>
          <w:rFonts w:hint="eastAsia" w:ascii="宋体" w:hAnsi="宋体" w:cs="宋体"/>
        </w:rPr>
        <w:t>且本单位参加</w:t>
      </w:r>
      <w:r>
        <w:rPr>
          <w:rFonts w:hint="eastAsia" w:ascii="宋体" w:hAnsi="宋体" w:cs="宋体"/>
          <w:u w:val="single"/>
        </w:rPr>
        <w:tab/>
      </w:r>
      <w:r>
        <w:rPr>
          <w:rFonts w:hint="eastAsia" w:ascii="宋体" w:hAnsi="宋体" w:cs="宋体"/>
        </w:rPr>
        <w:t>单位的</w:t>
      </w:r>
      <w:r>
        <w:rPr>
          <w:rFonts w:hint="eastAsia" w:ascii="宋体" w:hAnsi="宋体" w:cs="宋体"/>
          <w:u w:val="single"/>
        </w:rPr>
        <w:tab/>
      </w:r>
      <w:r>
        <w:rPr>
          <w:rFonts w:hint="eastAsia" w:ascii="宋体" w:hAnsi="宋体" w:cs="宋体"/>
        </w:rPr>
        <w:t>项目采购活动提供本单位制造的货</w:t>
      </w:r>
      <w:r>
        <w:rPr>
          <w:rFonts w:hint="eastAsia" w:ascii="宋体" w:hAnsi="宋体" w:cs="宋体"/>
          <w:spacing w:val="-22"/>
        </w:rPr>
        <w:t>物</w:t>
      </w:r>
      <w:r>
        <w:rPr>
          <w:rFonts w:hint="eastAsia" w:ascii="宋体" w:hAnsi="宋体" w:cs="宋体"/>
          <w:spacing w:val="-3"/>
        </w:rPr>
        <w:t>（</w:t>
      </w:r>
      <w:r>
        <w:rPr>
          <w:rFonts w:hint="eastAsia" w:ascii="宋体" w:hAnsi="宋体" w:cs="宋体"/>
        </w:rPr>
        <w:t>由本</w:t>
      </w:r>
      <w:r>
        <w:rPr>
          <w:rFonts w:hint="eastAsia" w:ascii="宋体" w:hAnsi="宋体" w:cs="宋体"/>
          <w:spacing w:val="1"/>
        </w:rPr>
        <w:t>单位承担工程/提供服务），或者提供其他残疾人福利性单位制造的货物（不包括使用</w:t>
      </w:r>
      <w:r>
        <w:rPr>
          <w:rFonts w:hint="eastAsia" w:ascii="宋体" w:hAnsi="宋体" w:cs="宋体"/>
        </w:rPr>
        <w:t>非残疾人福利性单位注册商标的货物）。 本单位对上述声明的真实性负责，如有虚假，将依法承担相应责任。</w:t>
      </w:r>
    </w:p>
    <w:p>
      <w:pPr>
        <w:pStyle w:val="2"/>
        <w:kinsoku w:val="0"/>
        <w:overflowPunct w:val="0"/>
        <w:rPr>
          <w:rFonts w:ascii="宋体" w:hAnsi="宋体" w:cs="宋体"/>
        </w:rPr>
      </w:pPr>
    </w:p>
    <w:p>
      <w:pPr>
        <w:pStyle w:val="2"/>
        <w:kinsoku w:val="0"/>
        <w:overflowPunct w:val="0"/>
        <w:rPr>
          <w:rFonts w:ascii="宋体" w:hAnsi="宋体" w:cs="宋体"/>
        </w:rPr>
      </w:pPr>
    </w:p>
    <w:p>
      <w:pPr>
        <w:pStyle w:val="2"/>
        <w:kinsoku w:val="0"/>
        <w:overflowPunct w:val="0"/>
        <w:spacing w:before="3"/>
        <w:rPr>
          <w:rFonts w:ascii="宋体" w:hAnsi="宋体" w:cs="宋体"/>
          <w:sz w:val="26"/>
          <w:szCs w:val="26"/>
        </w:rPr>
      </w:pPr>
    </w:p>
    <w:p>
      <w:pPr>
        <w:pStyle w:val="2"/>
        <w:tabs>
          <w:tab w:val="left" w:pos="8107"/>
          <w:tab w:val="left" w:pos="8227"/>
        </w:tabs>
        <w:kinsoku w:val="0"/>
        <w:overflowPunct w:val="0"/>
        <w:spacing w:line="381" w:lineRule="auto"/>
        <w:ind w:left="4027" w:right="118"/>
        <w:rPr>
          <w:rFonts w:ascii="宋体" w:hAnsi="宋体" w:cs="宋体"/>
        </w:rPr>
      </w:pPr>
      <w:r>
        <w:rPr>
          <w:rFonts w:hint="eastAsia" w:ascii="宋体" w:hAnsi="宋体" w:cs="宋体"/>
        </w:rPr>
        <w:t>投标单位：</w:t>
      </w:r>
      <w:r>
        <w:rPr>
          <w:rFonts w:hint="eastAsia" w:ascii="宋体" w:hAnsi="宋体" w:cs="宋体"/>
          <w:u w:val="single"/>
        </w:rPr>
        <w:tab/>
      </w:r>
      <w:r>
        <w:rPr>
          <w:rFonts w:hint="eastAsia" w:ascii="宋体" w:hAnsi="宋体" w:cs="宋体"/>
        </w:rPr>
        <w:t xml:space="preserve">（盖章） </w:t>
      </w:r>
    </w:p>
    <w:p>
      <w:pPr>
        <w:pStyle w:val="2"/>
        <w:tabs>
          <w:tab w:val="left" w:pos="8107"/>
          <w:tab w:val="left" w:pos="8227"/>
        </w:tabs>
        <w:kinsoku w:val="0"/>
        <w:overflowPunct w:val="0"/>
        <w:spacing w:line="381" w:lineRule="auto"/>
        <w:ind w:left="4027" w:right="118"/>
        <w:rPr>
          <w:rFonts w:ascii="宋体" w:hAnsi="宋体" w:cs="宋体"/>
          <w:w w:val="95"/>
        </w:rPr>
      </w:pPr>
      <w:r>
        <w:rPr>
          <w:rFonts w:hint="eastAsia" w:ascii="宋体" w:hAnsi="宋体" w:cs="宋体"/>
        </w:rPr>
        <w:t>法定代表人或被授权人：</w:t>
      </w:r>
      <w:r>
        <w:rPr>
          <w:rFonts w:hint="eastAsia" w:ascii="宋体" w:hAnsi="宋体" w:cs="宋体"/>
          <w:u w:val="single"/>
        </w:rPr>
        <w:tab/>
      </w:r>
      <w:r>
        <w:rPr>
          <w:rFonts w:hint="eastAsia" w:ascii="宋体" w:hAnsi="宋体" w:cs="宋体"/>
          <w:u w:val="single"/>
        </w:rPr>
        <w:tab/>
      </w:r>
      <w:r>
        <w:rPr>
          <w:rFonts w:hint="eastAsia" w:ascii="宋体" w:hAnsi="宋体" w:cs="宋体"/>
          <w:w w:val="95"/>
        </w:rPr>
        <w:t>（签字）</w:t>
      </w:r>
    </w:p>
    <w:p>
      <w:pPr>
        <w:pStyle w:val="2"/>
        <w:tabs>
          <w:tab w:val="left" w:pos="6187"/>
          <w:tab w:val="left" w:pos="7147"/>
          <w:tab w:val="left" w:pos="7747"/>
          <w:tab w:val="left" w:pos="8347"/>
        </w:tabs>
        <w:kinsoku w:val="0"/>
        <w:overflowPunct w:val="0"/>
        <w:spacing w:before="46"/>
        <w:ind w:left="5468"/>
        <w:rPr>
          <w:rFonts w:ascii="宋体" w:hAnsi="宋体" w:cs="宋体"/>
        </w:rPr>
      </w:pPr>
      <w:r>
        <w:rPr>
          <w:rFonts w:hint="eastAsia" w:ascii="宋体" w:hAnsi="宋体" w:cs="宋体"/>
        </w:rPr>
        <w:t>日</w:t>
      </w:r>
      <w:r>
        <w:rPr>
          <w:rFonts w:hint="eastAsia" w:ascii="宋体" w:hAnsi="宋体" w:cs="宋体"/>
        </w:rPr>
        <w:tab/>
      </w:r>
      <w:r>
        <w:rPr>
          <w:rFonts w:hint="eastAsia" w:ascii="宋体" w:hAnsi="宋体" w:cs="宋体"/>
        </w:rPr>
        <w:t>期：</w:t>
      </w:r>
      <w:r>
        <w:rPr>
          <w:rFonts w:hint="eastAsia" w:ascii="宋体" w:hAnsi="宋体" w:cs="宋体"/>
          <w:u w:val="single"/>
        </w:rPr>
        <w:tab/>
      </w:r>
      <w:r>
        <w:rPr>
          <w:rFonts w:hint="eastAsia" w:ascii="宋体" w:hAnsi="宋体" w:cs="宋体"/>
        </w:rPr>
        <w:t>年</w:t>
      </w:r>
      <w:r>
        <w:rPr>
          <w:rFonts w:hint="eastAsia" w:ascii="宋体" w:hAnsi="宋体" w:cs="宋体"/>
          <w:u w:val="single"/>
        </w:rPr>
        <w:tab/>
      </w:r>
      <w:r>
        <w:rPr>
          <w:rFonts w:hint="eastAsia" w:ascii="宋体" w:hAnsi="宋体" w:cs="宋体"/>
        </w:rPr>
        <w:t>月</w:t>
      </w:r>
      <w:r>
        <w:rPr>
          <w:rFonts w:hint="eastAsia" w:ascii="宋体" w:hAnsi="宋体" w:cs="宋体"/>
          <w:u w:val="single"/>
        </w:rPr>
        <w:tab/>
      </w:r>
      <w:r>
        <w:rPr>
          <w:rFonts w:hint="eastAsia" w:ascii="宋体" w:hAnsi="宋体" w:cs="宋体"/>
        </w:rPr>
        <w:t>日</w:t>
      </w:r>
    </w:p>
    <w:p>
      <w:pPr>
        <w:pStyle w:val="2"/>
        <w:kinsoku w:val="0"/>
        <w:overflowPunct w:val="0"/>
        <w:rPr>
          <w:rFonts w:ascii="宋体" w:hAnsi="宋体" w:cs="宋体"/>
        </w:rPr>
      </w:pPr>
    </w:p>
    <w:p>
      <w:pPr>
        <w:pStyle w:val="2"/>
        <w:kinsoku w:val="0"/>
        <w:overflowPunct w:val="0"/>
        <w:spacing w:before="3"/>
        <w:rPr>
          <w:rFonts w:ascii="宋体" w:hAnsi="宋体" w:cs="宋体"/>
          <w:sz w:val="26"/>
          <w:szCs w:val="26"/>
        </w:rPr>
      </w:pPr>
    </w:p>
    <w:p>
      <w:pPr>
        <w:pStyle w:val="2"/>
        <w:kinsoku w:val="0"/>
        <w:overflowPunct w:val="0"/>
        <w:spacing w:line="313" w:lineRule="exact"/>
        <w:rPr>
          <w:rFonts w:ascii="宋体" w:hAnsi="宋体" w:cs="宋体"/>
        </w:rPr>
      </w:pPr>
      <w:r>
        <w:rPr>
          <w:rFonts w:hint="eastAsia" w:ascii="宋体" w:hAnsi="宋体" w:cs="宋体"/>
        </w:rPr>
        <w:t>说明：</w:t>
      </w:r>
    </w:p>
    <w:p>
      <w:pPr>
        <w:pStyle w:val="2"/>
        <w:kinsoku w:val="0"/>
        <w:overflowPunct w:val="0"/>
        <w:spacing w:before="1" w:line="237" w:lineRule="auto"/>
        <w:ind w:right="118" w:firstLine="420" w:firstLineChars="200"/>
        <w:rPr>
          <w:rFonts w:ascii="宋体" w:hAnsi="宋体" w:cs="宋体"/>
        </w:rPr>
      </w:pPr>
      <w:r>
        <w:rPr>
          <w:rFonts w:hint="eastAsia" w:ascii="宋体" w:hAnsi="宋体" w:cs="宋体"/>
        </w:rPr>
        <w:t>1.填写前请认真阅</w:t>
      </w:r>
      <w:r>
        <w:rPr>
          <w:rFonts w:hint="eastAsia" w:ascii="宋体" w:hAnsi="宋体" w:cs="宋体"/>
          <w:spacing w:val="-51"/>
        </w:rPr>
        <w:t>读</w:t>
      </w:r>
      <w:r>
        <w:rPr>
          <w:rFonts w:hint="eastAsia" w:ascii="宋体" w:hAnsi="宋体" w:cs="宋体"/>
        </w:rPr>
        <w:t>《财政部 民政部 中国残疾人联合会关于促进残疾人就业政府采购 政策的通知》（财库〔2017〕141</w:t>
      </w:r>
      <w:r>
        <w:rPr>
          <w:rFonts w:hint="eastAsia" w:ascii="宋体" w:hAnsi="宋体" w:cs="宋体"/>
          <w:spacing w:val="-60"/>
        </w:rPr>
        <w:t xml:space="preserve"> </w:t>
      </w:r>
      <w:r>
        <w:rPr>
          <w:rFonts w:hint="eastAsia" w:ascii="宋体" w:hAnsi="宋体" w:cs="宋体"/>
        </w:rPr>
        <w:t>号）相关规定。</w:t>
      </w:r>
    </w:p>
    <w:p>
      <w:pPr>
        <w:pStyle w:val="2"/>
        <w:kinsoku w:val="0"/>
        <w:overflowPunct w:val="0"/>
        <w:spacing w:before="1" w:line="237" w:lineRule="auto"/>
        <w:ind w:right="118" w:firstLine="420" w:firstLineChars="200"/>
        <w:rPr>
          <w:rFonts w:ascii="宋体" w:hAnsi="宋体" w:cs="宋体"/>
        </w:rPr>
      </w:pPr>
      <w:r>
        <w:rPr>
          <w:rFonts w:hint="eastAsia" w:ascii="宋体" w:hAnsi="宋体" w:cs="宋体"/>
        </w:rPr>
        <w:t>2.残疾人福利性单位应在本声明函后提供相关证明材料。</w:t>
      </w:r>
    </w:p>
    <w:p>
      <w:pPr>
        <w:pStyle w:val="2"/>
        <w:kinsoku w:val="0"/>
        <w:overflowPunct w:val="0"/>
        <w:spacing w:line="310" w:lineRule="exact"/>
        <w:ind w:firstLine="420" w:firstLineChars="200"/>
        <w:rPr>
          <w:rFonts w:ascii="宋体" w:hAnsi="宋体" w:cs="宋体"/>
        </w:rPr>
      </w:pPr>
      <w:r>
        <w:rPr>
          <w:rFonts w:hint="eastAsia" w:ascii="宋体" w:hAnsi="宋体" w:cs="宋体"/>
        </w:rPr>
        <w:t>3.未按上述要求提供、填写的，评审时不予以考虑。</w:t>
      </w:r>
    </w:p>
    <w:p>
      <w:pPr>
        <w:pStyle w:val="2"/>
        <w:kinsoku w:val="0"/>
        <w:overflowPunct w:val="0"/>
        <w:spacing w:before="34" w:line="357" w:lineRule="auto"/>
        <w:ind w:right="126" w:firstLine="480"/>
        <w:jc w:val="center"/>
        <w:outlineLvl w:val="1"/>
        <w:rPr>
          <w:rFonts w:ascii="宋体" w:hAnsi="宋体" w:cs="宋体"/>
          <w:b/>
          <w:bCs/>
        </w:rPr>
      </w:pPr>
      <w:r>
        <w:rPr>
          <w:rFonts w:hint="eastAsia" w:ascii="宋体" w:hAnsi="宋体" w:cs="宋体"/>
        </w:rPr>
        <w:br w:type="page"/>
      </w:r>
      <w:r>
        <w:rPr>
          <w:rFonts w:hint="eastAsia" w:ascii="宋体" w:hAnsi="宋体" w:cs="宋体"/>
          <w:b/>
          <w:bCs/>
          <w:sz w:val="36"/>
          <w:szCs w:val="36"/>
        </w:rPr>
        <w:t>十二、缴纳招标代理服务费承诺书</w:t>
      </w:r>
    </w:p>
    <w:p>
      <w:pPr>
        <w:pStyle w:val="2"/>
        <w:kinsoku w:val="0"/>
        <w:overflowPunct w:val="0"/>
        <w:spacing w:before="6"/>
        <w:rPr>
          <w:rFonts w:ascii="宋体" w:hAnsi="宋体" w:cs="宋体"/>
          <w:b/>
          <w:bCs/>
          <w:sz w:val="26"/>
          <w:szCs w:val="26"/>
        </w:rPr>
      </w:pPr>
    </w:p>
    <w:p>
      <w:pPr>
        <w:pStyle w:val="54"/>
        <w:kinsoku w:val="0"/>
        <w:overflowPunct w:val="0"/>
        <w:ind w:left="127"/>
        <w:outlineLvl w:val="9"/>
        <w:rPr>
          <w:rFonts w:hAnsi="宋体"/>
          <w:spacing w:val="1"/>
        </w:rPr>
      </w:pPr>
      <w:bookmarkStart w:id="116" w:name="_Toc7956"/>
      <w:bookmarkStart w:id="117" w:name="_Toc28078"/>
      <w:r>
        <w:rPr>
          <w:rFonts w:hint="eastAsia" w:hAnsi="宋体"/>
          <w:spacing w:val="1"/>
        </w:rPr>
        <w:t>致：新疆天之源项目管理集团有限公司</w:t>
      </w:r>
      <w:bookmarkEnd w:id="116"/>
      <w:bookmarkEnd w:id="117"/>
    </w:p>
    <w:p>
      <w:pPr>
        <w:pStyle w:val="2"/>
        <w:kinsoku w:val="0"/>
        <w:overflowPunct w:val="0"/>
        <w:spacing w:before="10"/>
        <w:rPr>
          <w:rFonts w:ascii="宋体" w:hAnsi="宋体" w:cs="宋体"/>
          <w:b/>
          <w:bCs/>
          <w:sz w:val="14"/>
          <w:szCs w:val="14"/>
        </w:rPr>
      </w:pPr>
    </w:p>
    <w:p>
      <w:pPr>
        <w:pStyle w:val="2"/>
        <w:kinsoku w:val="0"/>
        <w:overflowPunct w:val="0"/>
        <w:spacing w:before="34" w:line="358" w:lineRule="auto"/>
        <w:ind w:left="119" w:right="125" w:firstLine="420" w:firstLineChars="200"/>
        <w:rPr>
          <w:rFonts w:ascii="宋体" w:hAnsi="宋体" w:cs="宋体"/>
        </w:rPr>
      </w:pPr>
      <w:r>
        <w:rPr>
          <w:rFonts w:hint="eastAsia" w:ascii="宋体" w:hAnsi="宋体" w:cs="宋体"/>
        </w:rPr>
        <w:t>如果我方在贵公司组织的项目名称：</w:t>
      </w:r>
      <w:r>
        <w:rPr>
          <w:rFonts w:hint="eastAsia" w:ascii="宋体" w:hAnsi="宋体" w:cs="宋体"/>
          <w:u w:val="single"/>
        </w:rPr>
        <w:tab/>
      </w:r>
      <w:r>
        <w:rPr>
          <w:rFonts w:hint="eastAsia" w:ascii="宋体" w:hAnsi="宋体" w:cs="宋体"/>
          <w:u w:val="single"/>
        </w:rPr>
        <w:t xml:space="preserve">       （项目编号：   </w:t>
      </w:r>
      <w:r>
        <w:rPr>
          <w:rFonts w:hint="eastAsia" w:ascii="宋体" w:hAnsi="宋体" w:cs="宋体"/>
          <w:u w:val="single"/>
        </w:rPr>
        <w:tab/>
      </w:r>
      <w:r>
        <w:rPr>
          <w:rFonts w:hint="eastAsia" w:ascii="宋体" w:hAnsi="宋体" w:cs="宋体"/>
          <w:u w:val="single"/>
        </w:rPr>
        <w:t>）</w:t>
      </w:r>
      <w:r>
        <w:rPr>
          <w:rFonts w:hint="eastAsia" w:ascii="宋体" w:hAnsi="宋体" w:cs="宋体"/>
        </w:rPr>
        <w:t>采购项目中被确定为中标供应商候选人，我方保证在收到《中标通知书》前，按照招标文件的规定向贵公司</w:t>
      </w:r>
      <w:r>
        <w:rPr>
          <w:rFonts w:hint="eastAsia" w:ascii="宋体" w:hAnsi="宋体" w:cs="宋体"/>
          <w:spacing w:val="4"/>
        </w:rPr>
        <w:t>缴纳</w:t>
      </w:r>
      <w:r>
        <w:rPr>
          <w:rFonts w:hint="eastAsia" w:ascii="宋体" w:hAnsi="宋体" w:cs="宋体"/>
        </w:rPr>
        <w:t>招标代理服务费。</w:t>
      </w:r>
    </w:p>
    <w:p>
      <w:pPr>
        <w:pStyle w:val="2"/>
        <w:kinsoku w:val="0"/>
        <w:overflowPunct w:val="0"/>
        <w:spacing w:before="34" w:line="358" w:lineRule="auto"/>
        <w:ind w:left="119" w:right="125" w:firstLine="420" w:firstLineChars="200"/>
        <w:rPr>
          <w:rFonts w:ascii="宋体" w:hAnsi="宋体" w:cs="宋体"/>
        </w:rPr>
      </w:pPr>
      <w:r>
        <w:rPr>
          <w:rFonts w:hint="eastAsia" w:ascii="宋体" w:hAnsi="宋体" w:cs="宋体"/>
        </w:rPr>
        <w:t>我方如违约，愿凭贵公司开出的违约通知，按上述承诺金额的200％在采购人与我方签订的采购合同款项中扣付，并在此同意和要求采购人（应新疆天之源项目管理集团有限公司的要求）办理支付手续。</w:t>
      </w:r>
    </w:p>
    <w:p>
      <w:pPr>
        <w:pStyle w:val="2"/>
        <w:kinsoku w:val="0"/>
        <w:overflowPunct w:val="0"/>
        <w:spacing w:before="34" w:line="358" w:lineRule="auto"/>
        <w:ind w:left="119" w:right="125" w:firstLine="420" w:firstLineChars="200"/>
        <w:rPr>
          <w:rFonts w:ascii="宋体" w:hAnsi="宋体" w:cs="宋体"/>
          <w:spacing w:val="-1"/>
          <w:w w:val="95"/>
        </w:rPr>
      </w:pPr>
      <w:r>
        <w:rPr>
          <w:rFonts w:hint="eastAsia" w:ascii="宋体" w:hAnsi="宋体" w:cs="宋体"/>
        </w:rPr>
        <w:t>特此承诺！</w:t>
      </w:r>
    </w:p>
    <w:p>
      <w:pPr>
        <w:pStyle w:val="2"/>
        <w:tabs>
          <w:tab w:val="left" w:pos="8107"/>
          <w:tab w:val="left" w:pos="8227"/>
        </w:tabs>
        <w:kinsoku w:val="0"/>
        <w:overflowPunct w:val="0"/>
        <w:spacing w:line="381" w:lineRule="auto"/>
        <w:ind w:left="4027" w:right="118"/>
        <w:rPr>
          <w:rFonts w:ascii="宋体" w:hAnsi="宋体" w:cs="宋体"/>
        </w:rPr>
      </w:pPr>
      <w:r>
        <w:rPr>
          <w:rFonts w:hint="eastAsia" w:ascii="宋体" w:hAnsi="宋体" w:cs="宋体"/>
        </w:rPr>
        <w:t>供应商：</w:t>
      </w:r>
      <w:r>
        <w:rPr>
          <w:rFonts w:hint="eastAsia" w:ascii="宋体" w:hAnsi="宋体" w:cs="宋体"/>
          <w:u w:val="single"/>
        </w:rPr>
        <w:tab/>
      </w:r>
      <w:r>
        <w:rPr>
          <w:rFonts w:hint="eastAsia" w:ascii="宋体" w:hAnsi="宋体" w:cs="宋体"/>
        </w:rPr>
        <w:t xml:space="preserve">（盖章） </w:t>
      </w:r>
    </w:p>
    <w:p>
      <w:pPr>
        <w:pStyle w:val="2"/>
        <w:tabs>
          <w:tab w:val="left" w:pos="8107"/>
          <w:tab w:val="left" w:pos="8227"/>
        </w:tabs>
        <w:kinsoku w:val="0"/>
        <w:overflowPunct w:val="0"/>
        <w:spacing w:line="381" w:lineRule="auto"/>
        <w:ind w:left="4027" w:right="118"/>
        <w:rPr>
          <w:rFonts w:ascii="宋体" w:hAnsi="宋体" w:cs="宋体"/>
          <w:w w:val="95"/>
        </w:rPr>
      </w:pPr>
      <w:r>
        <w:rPr>
          <w:rFonts w:hint="eastAsia" w:ascii="宋体" w:hAnsi="宋体" w:cs="宋体"/>
        </w:rPr>
        <w:t>法定代表人：</w:t>
      </w:r>
      <w:r>
        <w:rPr>
          <w:rFonts w:hint="eastAsia" w:ascii="宋体" w:hAnsi="宋体" w:cs="宋体"/>
          <w:u w:val="single"/>
        </w:rPr>
        <w:tab/>
      </w:r>
      <w:r>
        <w:rPr>
          <w:rFonts w:hint="eastAsia" w:ascii="宋体" w:hAnsi="宋体" w:cs="宋体"/>
        </w:rPr>
        <w:tab/>
      </w:r>
      <w:r>
        <w:rPr>
          <w:rFonts w:hint="eastAsia" w:ascii="宋体" w:hAnsi="宋体" w:cs="宋体"/>
        </w:rPr>
        <w:t>（签字或签章）</w:t>
      </w:r>
    </w:p>
    <w:p>
      <w:pPr>
        <w:pStyle w:val="2"/>
        <w:kinsoku w:val="0"/>
        <w:overflowPunct w:val="0"/>
        <w:spacing w:before="34" w:line="358" w:lineRule="auto"/>
        <w:ind w:left="119" w:right="125" w:firstLine="4620" w:firstLineChars="2200"/>
        <w:jc w:val="left"/>
        <w:rPr>
          <w:rFonts w:ascii="宋体" w:hAnsi="宋体" w:cs="宋体"/>
        </w:rPr>
      </w:pPr>
      <w:r>
        <w:rPr>
          <w:rFonts w:hint="eastAsia" w:ascii="宋体" w:hAnsi="宋体" w:cs="宋体"/>
        </w:rPr>
        <w:t>日</w:t>
      </w:r>
      <w:r>
        <w:rPr>
          <w:rFonts w:hint="eastAsia" w:ascii="宋体" w:hAnsi="宋体" w:cs="宋体"/>
        </w:rPr>
        <w:tab/>
      </w:r>
      <w:r>
        <w:rPr>
          <w:rFonts w:hint="eastAsia" w:ascii="宋体" w:hAnsi="宋体" w:cs="宋体"/>
        </w:rPr>
        <w:t xml:space="preserve">  期：</w:t>
      </w:r>
      <w:r>
        <w:rPr>
          <w:rFonts w:hint="eastAsia" w:ascii="宋体" w:hAnsi="宋体" w:cs="宋体"/>
          <w:u w:val="single"/>
        </w:rPr>
        <w:tab/>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ab/>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ab/>
      </w:r>
      <w:r>
        <w:rPr>
          <w:rFonts w:hint="eastAsia" w:ascii="宋体" w:hAnsi="宋体" w:cs="宋体"/>
          <w:u w:val="single"/>
        </w:rPr>
        <w:t xml:space="preserve">   </w:t>
      </w:r>
      <w:r>
        <w:rPr>
          <w:rFonts w:hint="eastAsia" w:ascii="宋体" w:hAnsi="宋体" w:cs="宋体"/>
        </w:rPr>
        <w:t xml:space="preserve">日   </w:t>
      </w:r>
    </w:p>
    <w:p>
      <w:pPr>
        <w:pStyle w:val="2"/>
        <w:kinsoku w:val="0"/>
        <w:overflowPunct w:val="0"/>
        <w:spacing w:before="34" w:line="357" w:lineRule="auto"/>
        <w:ind w:right="126" w:firstLine="480"/>
        <w:jc w:val="center"/>
        <w:outlineLvl w:val="1"/>
        <w:rPr>
          <w:rFonts w:ascii="宋体" w:hAnsi="宋体" w:cs="宋体"/>
        </w:rPr>
      </w:pPr>
      <w:r>
        <w:rPr>
          <w:rFonts w:hint="eastAsia" w:ascii="宋体" w:hAnsi="宋体" w:cs="宋体"/>
        </w:rPr>
        <w:br w:type="page"/>
      </w:r>
      <w:r>
        <w:rPr>
          <w:rFonts w:hint="eastAsia" w:ascii="宋体" w:hAnsi="宋体" w:cs="宋体"/>
          <w:b/>
          <w:bCs/>
          <w:sz w:val="36"/>
          <w:szCs w:val="36"/>
        </w:rPr>
        <w:t>十三、退还保证金说明函</w:t>
      </w:r>
    </w:p>
    <w:p>
      <w:pPr>
        <w:pStyle w:val="2"/>
        <w:kinsoku w:val="0"/>
        <w:overflowPunct w:val="0"/>
        <w:spacing w:before="6"/>
        <w:rPr>
          <w:rFonts w:ascii="宋体" w:hAnsi="宋体" w:cs="宋体"/>
          <w:b/>
          <w:bCs/>
          <w:sz w:val="26"/>
          <w:szCs w:val="26"/>
        </w:rPr>
      </w:pPr>
    </w:p>
    <w:p>
      <w:pPr>
        <w:pStyle w:val="54"/>
        <w:kinsoku w:val="0"/>
        <w:overflowPunct w:val="0"/>
        <w:ind w:left="127"/>
        <w:outlineLvl w:val="9"/>
        <w:rPr>
          <w:rFonts w:hAnsi="宋体"/>
          <w:spacing w:val="1"/>
        </w:rPr>
      </w:pPr>
      <w:bookmarkStart w:id="118" w:name="_Toc17022"/>
      <w:bookmarkStart w:id="119" w:name="_Toc10810"/>
      <w:r>
        <w:rPr>
          <w:rFonts w:hint="eastAsia" w:hAnsi="宋体"/>
          <w:spacing w:val="1"/>
        </w:rPr>
        <w:t>致：新疆天之源项目管理集团有限公司</w:t>
      </w:r>
      <w:bookmarkEnd w:id="118"/>
      <w:bookmarkEnd w:id="119"/>
    </w:p>
    <w:p>
      <w:pPr>
        <w:spacing w:line="360" w:lineRule="auto"/>
        <w:ind w:firstLine="420"/>
        <w:rPr>
          <w:rFonts w:ascii="宋体" w:hAnsi="宋体" w:cs="宋体"/>
          <w:kern w:val="0"/>
          <w:sz w:val="24"/>
        </w:rPr>
      </w:pPr>
    </w:p>
    <w:p>
      <w:pPr>
        <w:spacing w:line="360" w:lineRule="auto"/>
        <w:ind w:firstLine="420"/>
        <w:rPr>
          <w:rFonts w:ascii="宋体" w:hAnsi="宋体" w:cs="宋体"/>
          <w:kern w:val="0"/>
          <w:sz w:val="24"/>
        </w:rPr>
      </w:pPr>
      <w:r>
        <w:rPr>
          <w:rFonts w:hint="eastAsia" w:ascii="宋体" w:hAnsi="宋体" w:cs="宋体"/>
          <w:kern w:val="0"/>
          <w:sz w:val="24"/>
        </w:rPr>
        <w:t>我单位已按</w:t>
      </w:r>
      <w:r>
        <w:rPr>
          <w:rFonts w:hint="eastAsia" w:ascii="宋体" w:hAnsi="宋体" w:cs="宋体"/>
          <w:kern w:val="0"/>
          <w:sz w:val="24"/>
          <w:u w:val="single"/>
        </w:rPr>
        <w:t xml:space="preserve">                                </w:t>
      </w:r>
      <w:r>
        <w:rPr>
          <w:rFonts w:hint="eastAsia" w:ascii="宋体" w:hAnsi="宋体" w:cs="宋体"/>
          <w:kern w:val="0"/>
          <w:sz w:val="24"/>
        </w:rPr>
        <w:t>项目（项目编号：</w:t>
      </w:r>
      <w:r>
        <w:rPr>
          <w:rFonts w:hint="eastAsia" w:ascii="宋体" w:hAnsi="宋体" w:cs="宋体"/>
          <w:kern w:val="0"/>
          <w:sz w:val="24"/>
          <w:u w:val="single"/>
        </w:rPr>
        <w:t xml:space="preserve">         </w:t>
      </w:r>
      <w:r>
        <w:rPr>
          <w:rFonts w:hint="eastAsia" w:ascii="宋体" w:hAnsi="宋体" w:cs="宋体"/>
          <w:kern w:val="0"/>
          <w:sz w:val="24"/>
        </w:rPr>
        <w:t>）的招标文件要求，提交的报价保证金</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kern w:val="0"/>
          <w:sz w:val="24"/>
          <w:u w:val="single"/>
        </w:rPr>
        <w:t>大写金额</w:t>
      </w:r>
      <w:r>
        <w:rPr>
          <w:rFonts w:hint="eastAsia" w:ascii="宋体" w:hAnsi="宋体" w:cs="宋体"/>
          <w:kern w:val="0"/>
          <w:sz w:val="24"/>
        </w:rPr>
        <w:t>）元，请贵公司退还时划到以下帐户：</w:t>
      </w:r>
    </w:p>
    <w:p>
      <w:pPr>
        <w:tabs>
          <w:tab w:val="left" w:pos="676"/>
          <w:tab w:val="left" w:pos="2330"/>
          <w:tab w:val="left" w:pos="9230"/>
        </w:tabs>
        <w:autoSpaceDE w:val="0"/>
        <w:autoSpaceDN w:val="0"/>
        <w:adjustRightInd w:val="0"/>
        <w:spacing w:before="120" w:line="360" w:lineRule="auto"/>
        <w:rPr>
          <w:rFonts w:ascii="宋体" w:hAnsi="宋体" w:cs="宋体"/>
          <w:kern w:val="0"/>
          <w:sz w:val="24"/>
        </w:rPr>
      </w:pPr>
    </w:p>
    <w:p>
      <w:pPr>
        <w:pStyle w:val="12"/>
        <w:spacing w:line="480" w:lineRule="auto"/>
        <w:ind w:firstLine="480" w:firstLineChars="200"/>
        <w:rPr>
          <w:rFonts w:hAnsi="宋体" w:cs="宋体"/>
          <w:kern w:val="0"/>
          <w:sz w:val="24"/>
        </w:rPr>
      </w:pPr>
      <w:r>
        <w:rPr>
          <w:rFonts w:hint="eastAsia" w:hAnsi="宋体" w:cs="宋体"/>
          <w:kern w:val="0"/>
          <w:sz w:val="24"/>
        </w:rPr>
        <w:t>收 款 单 位：</w:t>
      </w:r>
    </w:p>
    <w:p>
      <w:pPr>
        <w:pStyle w:val="12"/>
        <w:spacing w:line="480" w:lineRule="auto"/>
        <w:ind w:firstLine="480" w:firstLineChars="200"/>
        <w:rPr>
          <w:rFonts w:hAnsi="宋体" w:cs="宋体"/>
          <w:kern w:val="0"/>
          <w:sz w:val="24"/>
        </w:rPr>
      </w:pPr>
      <w:r>
        <w:rPr>
          <w:rFonts w:hint="eastAsia" w:hAnsi="宋体" w:cs="宋体"/>
          <w:kern w:val="0"/>
          <w:sz w:val="24"/>
        </w:rPr>
        <w:t>收款单位地址：</w:t>
      </w:r>
    </w:p>
    <w:p>
      <w:pPr>
        <w:pStyle w:val="12"/>
        <w:spacing w:line="480" w:lineRule="auto"/>
        <w:ind w:firstLine="480" w:firstLineChars="200"/>
        <w:rPr>
          <w:rFonts w:hAnsi="宋体" w:cs="宋体"/>
          <w:kern w:val="0"/>
          <w:sz w:val="24"/>
        </w:rPr>
      </w:pPr>
      <w:r>
        <w:rPr>
          <w:rFonts w:hint="eastAsia" w:hAnsi="宋体" w:cs="宋体"/>
          <w:kern w:val="0"/>
          <w:sz w:val="24"/>
        </w:rPr>
        <w:t>开 户 银 行：</w:t>
      </w:r>
    </w:p>
    <w:p>
      <w:pPr>
        <w:pStyle w:val="12"/>
        <w:spacing w:line="480" w:lineRule="auto"/>
        <w:ind w:firstLine="480" w:firstLineChars="200"/>
        <w:rPr>
          <w:rFonts w:hAnsi="宋体" w:cs="宋体"/>
          <w:kern w:val="0"/>
          <w:sz w:val="24"/>
        </w:rPr>
      </w:pPr>
      <w:r>
        <w:rPr>
          <w:rFonts w:hint="eastAsia" w:hAnsi="宋体" w:cs="宋体"/>
          <w:kern w:val="0"/>
          <w:sz w:val="24"/>
        </w:rPr>
        <w:t>帐       号：</w:t>
      </w:r>
    </w:p>
    <w:p>
      <w:pPr>
        <w:pStyle w:val="12"/>
        <w:spacing w:line="480" w:lineRule="auto"/>
        <w:ind w:firstLine="480" w:firstLineChars="200"/>
        <w:rPr>
          <w:rFonts w:hAnsi="宋体" w:cs="宋体"/>
          <w:kern w:val="0"/>
          <w:sz w:val="24"/>
        </w:rPr>
      </w:pPr>
      <w:r>
        <w:rPr>
          <w:rFonts w:hint="eastAsia" w:hAnsi="宋体" w:cs="宋体"/>
          <w:kern w:val="0"/>
          <w:sz w:val="24"/>
        </w:rPr>
        <w:t>联   系  人：</w:t>
      </w:r>
    </w:p>
    <w:p>
      <w:pPr>
        <w:pStyle w:val="12"/>
        <w:spacing w:line="480" w:lineRule="auto"/>
        <w:ind w:firstLine="480" w:firstLineChars="200"/>
        <w:rPr>
          <w:rFonts w:hAnsi="宋体" w:cs="宋体"/>
          <w:kern w:val="0"/>
          <w:sz w:val="24"/>
        </w:rPr>
      </w:pPr>
      <w:r>
        <w:rPr>
          <w:rFonts w:hint="eastAsia" w:hAnsi="宋体" w:cs="宋体"/>
          <w:kern w:val="0"/>
          <w:sz w:val="24"/>
        </w:rPr>
        <w:t>联 系 电 话：</w:t>
      </w:r>
    </w:p>
    <w:p>
      <w:pPr>
        <w:pStyle w:val="12"/>
        <w:spacing w:line="360" w:lineRule="auto"/>
        <w:rPr>
          <w:rFonts w:hAnsi="宋体" w:cs="宋体"/>
          <w:kern w:val="0"/>
          <w:sz w:val="24"/>
        </w:rPr>
      </w:pPr>
    </w:p>
    <w:p>
      <w:pPr>
        <w:pStyle w:val="12"/>
        <w:spacing w:line="360" w:lineRule="auto"/>
        <w:rPr>
          <w:rFonts w:hAnsi="宋体" w:cs="宋体"/>
          <w:kern w:val="0"/>
          <w:sz w:val="24"/>
        </w:rPr>
      </w:pPr>
      <w:r>
        <w:rPr>
          <w:rFonts w:hint="eastAsia" w:hAnsi="宋体" w:cs="宋体"/>
          <w:kern w:val="0"/>
          <w:sz w:val="24"/>
        </w:rPr>
        <w:t>（联系人和电话请填写财务人员，以便我公司财务人员核实退还保证金账户正确性）</w:t>
      </w:r>
    </w:p>
    <w:p>
      <w:pPr>
        <w:pStyle w:val="2"/>
        <w:tabs>
          <w:tab w:val="left" w:pos="8107"/>
          <w:tab w:val="left" w:pos="8227"/>
        </w:tabs>
        <w:kinsoku w:val="0"/>
        <w:overflowPunct w:val="0"/>
        <w:spacing w:line="381" w:lineRule="auto"/>
        <w:ind w:left="4027" w:right="118"/>
        <w:rPr>
          <w:rFonts w:ascii="宋体" w:hAnsi="宋体" w:cs="宋体"/>
        </w:rPr>
      </w:pPr>
    </w:p>
    <w:p>
      <w:pPr>
        <w:pStyle w:val="2"/>
        <w:tabs>
          <w:tab w:val="left" w:pos="8107"/>
          <w:tab w:val="left" w:pos="8227"/>
        </w:tabs>
        <w:kinsoku w:val="0"/>
        <w:overflowPunct w:val="0"/>
        <w:spacing w:line="381" w:lineRule="auto"/>
        <w:ind w:left="4027" w:right="118"/>
        <w:rPr>
          <w:rFonts w:ascii="宋体" w:hAnsi="宋体" w:cs="宋体"/>
        </w:rPr>
      </w:pPr>
      <w:r>
        <w:rPr>
          <w:rFonts w:hint="eastAsia" w:ascii="宋体" w:hAnsi="宋体" w:cs="宋体"/>
        </w:rPr>
        <w:t>投标单位：</w:t>
      </w:r>
      <w:r>
        <w:rPr>
          <w:rFonts w:hint="eastAsia" w:ascii="宋体" w:hAnsi="宋体" w:cs="宋体"/>
          <w:u w:val="single"/>
        </w:rPr>
        <w:tab/>
      </w:r>
      <w:r>
        <w:rPr>
          <w:rFonts w:hint="eastAsia" w:ascii="宋体" w:hAnsi="宋体" w:cs="宋体"/>
        </w:rPr>
        <w:t xml:space="preserve">（盖章） </w:t>
      </w:r>
    </w:p>
    <w:p>
      <w:pPr>
        <w:pStyle w:val="2"/>
        <w:tabs>
          <w:tab w:val="left" w:pos="8107"/>
          <w:tab w:val="left" w:pos="8227"/>
        </w:tabs>
        <w:kinsoku w:val="0"/>
        <w:overflowPunct w:val="0"/>
        <w:spacing w:line="381" w:lineRule="auto"/>
        <w:ind w:left="4027" w:right="118"/>
        <w:rPr>
          <w:rFonts w:ascii="宋体" w:hAnsi="宋体" w:cs="宋体"/>
          <w:w w:val="95"/>
        </w:rPr>
      </w:pPr>
      <w:r>
        <w:rPr>
          <w:rFonts w:hint="eastAsia" w:ascii="宋体" w:hAnsi="宋体" w:cs="宋体"/>
        </w:rPr>
        <w:t>法定代表人或被授权人：</w:t>
      </w:r>
      <w:r>
        <w:rPr>
          <w:rFonts w:hint="eastAsia" w:ascii="宋体" w:hAnsi="宋体" w:cs="宋体"/>
          <w:u w:val="single"/>
        </w:rPr>
        <w:tab/>
      </w:r>
      <w:r>
        <w:rPr>
          <w:rFonts w:hint="eastAsia" w:ascii="宋体" w:hAnsi="宋体" w:cs="宋体"/>
          <w:u w:val="single"/>
        </w:rPr>
        <w:tab/>
      </w:r>
      <w:r>
        <w:rPr>
          <w:rFonts w:hint="eastAsia" w:ascii="宋体" w:hAnsi="宋体" w:cs="宋体"/>
        </w:rPr>
        <w:t>（签字）</w:t>
      </w:r>
    </w:p>
    <w:p>
      <w:pPr>
        <w:pStyle w:val="2"/>
        <w:kinsoku w:val="0"/>
        <w:overflowPunct w:val="0"/>
        <w:spacing w:before="34" w:line="358" w:lineRule="auto"/>
        <w:ind w:left="119" w:right="125" w:firstLine="4620" w:firstLineChars="2200"/>
        <w:jc w:val="left"/>
        <w:rPr>
          <w:rFonts w:ascii="宋体" w:hAnsi="宋体" w:cs="宋体"/>
          <w:b/>
          <w:bCs/>
          <w:sz w:val="36"/>
          <w:szCs w:val="36"/>
        </w:rPr>
      </w:pPr>
      <w:r>
        <w:rPr>
          <w:rFonts w:hint="eastAsia" w:ascii="宋体" w:hAnsi="宋体" w:cs="宋体"/>
        </w:rPr>
        <w:t>日</w:t>
      </w:r>
      <w:r>
        <w:rPr>
          <w:rFonts w:hint="eastAsia" w:ascii="宋体" w:hAnsi="宋体" w:cs="宋体"/>
        </w:rPr>
        <w:tab/>
      </w:r>
      <w:r>
        <w:rPr>
          <w:rFonts w:hint="eastAsia" w:ascii="宋体" w:hAnsi="宋体" w:cs="宋体"/>
        </w:rPr>
        <w:t xml:space="preserve">  期：</w:t>
      </w:r>
      <w:r>
        <w:rPr>
          <w:rFonts w:hint="eastAsia" w:ascii="宋体" w:hAnsi="宋体" w:cs="宋体"/>
          <w:u w:val="single"/>
        </w:rPr>
        <w:tab/>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ab/>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ab/>
      </w:r>
      <w:r>
        <w:rPr>
          <w:rFonts w:hint="eastAsia" w:ascii="宋体" w:hAnsi="宋体" w:cs="宋体"/>
          <w:u w:val="single"/>
        </w:rPr>
        <w:t xml:space="preserve">  </w:t>
      </w:r>
      <w:r>
        <w:rPr>
          <w:rFonts w:hint="eastAsia" w:ascii="宋体" w:hAnsi="宋体" w:cs="宋体"/>
        </w:rPr>
        <w:t xml:space="preserve">日     </w:t>
      </w:r>
      <w:r>
        <w:rPr>
          <w:rFonts w:hint="eastAsia" w:ascii="宋体" w:hAnsi="宋体" w:cs="宋体"/>
          <w:spacing w:val="-1"/>
          <w:w w:val="95"/>
        </w:rPr>
        <w:br w:type="page"/>
      </w:r>
    </w:p>
    <w:p>
      <w:pPr>
        <w:pStyle w:val="2"/>
        <w:kinsoku w:val="0"/>
        <w:overflowPunct w:val="0"/>
        <w:spacing w:before="34" w:line="357" w:lineRule="auto"/>
        <w:ind w:right="126" w:firstLine="480"/>
        <w:jc w:val="center"/>
        <w:outlineLvl w:val="1"/>
        <w:rPr>
          <w:rFonts w:ascii="宋体" w:hAnsi="宋体" w:cs="宋体"/>
          <w:b/>
          <w:bCs/>
          <w:sz w:val="36"/>
          <w:szCs w:val="36"/>
        </w:rPr>
      </w:pPr>
      <w:r>
        <w:rPr>
          <w:rFonts w:hint="eastAsia" w:ascii="宋体" w:hAnsi="宋体" w:cs="宋体"/>
          <w:b/>
          <w:bCs/>
          <w:sz w:val="36"/>
          <w:szCs w:val="36"/>
        </w:rPr>
        <w:t>十四、其他商务资格证明资料</w:t>
      </w:r>
    </w:p>
    <w:p>
      <w:pPr>
        <w:pStyle w:val="2"/>
        <w:kinsoku w:val="0"/>
        <w:overflowPunct w:val="0"/>
        <w:spacing w:line="940" w:lineRule="exact"/>
        <w:jc w:val="center"/>
        <w:rPr>
          <w:rFonts w:ascii="宋体" w:hAnsi="宋体" w:cs="宋体"/>
        </w:rPr>
      </w:pPr>
      <w:r>
        <w:rPr>
          <w:rFonts w:hint="eastAsia" w:ascii="宋体" w:hAnsi="宋体" w:cs="宋体"/>
        </w:rPr>
        <w:br w:type="page"/>
      </w:r>
    </w:p>
    <w:p>
      <w:pPr>
        <w:pStyle w:val="2"/>
        <w:kinsoku w:val="0"/>
        <w:overflowPunct w:val="0"/>
        <w:spacing w:before="34" w:line="357" w:lineRule="auto"/>
        <w:ind w:right="126" w:firstLine="480"/>
        <w:jc w:val="center"/>
        <w:outlineLvl w:val="1"/>
        <w:rPr>
          <w:rFonts w:ascii="宋体" w:hAnsi="宋体" w:cs="宋体"/>
          <w:b/>
          <w:bCs/>
        </w:rPr>
      </w:pPr>
      <w:r>
        <w:rPr>
          <w:rFonts w:hint="eastAsia" w:ascii="宋体" w:hAnsi="宋体" w:cs="宋体"/>
          <w:b/>
          <w:bCs/>
          <w:sz w:val="36"/>
          <w:szCs w:val="36"/>
        </w:rPr>
        <w:t>十五、项目实施方案</w:t>
      </w:r>
    </w:p>
    <w:p>
      <w:pPr>
        <w:rPr>
          <w:rFonts w:ascii="宋体" w:hAnsi="宋体" w:cs="宋体"/>
          <w:b/>
          <w:kern w:val="0"/>
          <w:sz w:val="24"/>
        </w:rPr>
      </w:pPr>
      <w:r>
        <w:rPr>
          <w:rFonts w:hint="eastAsia" w:ascii="宋体" w:hAnsi="宋体" w:cs="宋体"/>
          <w:b/>
          <w:kern w:val="0"/>
          <w:sz w:val="24"/>
        </w:rPr>
        <w:t>1</w:t>
      </w:r>
      <w:r>
        <w:rPr>
          <w:rFonts w:hint="eastAsia" w:ascii="宋体" w:hAnsi="宋体" w:cs="宋体"/>
          <w:b/>
          <w:kern w:val="0"/>
          <w:sz w:val="24"/>
        </w:rPr>
        <w:tab/>
      </w:r>
      <w:r>
        <w:rPr>
          <w:rFonts w:hint="eastAsia" w:ascii="宋体" w:hAnsi="宋体" w:cs="宋体"/>
          <w:b/>
          <w:kern w:val="0"/>
          <w:sz w:val="24"/>
        </w:rPr>
        <w:t>技术方案</w:t>
      </w:r>
    </w:p>
    <w:p>
      <w:pPr>
        <w:pStyle w:val="51"/>
      </w:pPr>
    </w:p>
    <w:p>
      <w:pPr>
        <w:ind w:firstLine="482"/>
      </w:pPr>
      <w:r>
        <w:rPr>
          <w:rFonts w:hint="eastAsia" w:ascii="宋体" w:hAnsi="宋体" w:cs="宋体"/>
          <w:b/>
          <w:kern w:val="0"/>
          <w:sz w:val="24"/>
        </w:rPr>
        <w:t>1.1  对本项目的理解与认识：</w:t>
      </w:r>
      <w:r>
        <w:rPr>
          <w:rFonts w:hint="eastAsia" w:ascii="宋体" w:hAnsi="宋体" w:cs="宋体"/>
          <w:kern w:val="0"/>
          <w:sz w:val="24"/>
        </w:rPr>
        <w:t>主要根据《招标文件内容》的要求和详细评审表编制；</w:t>
      </w:r>
    </w:p>
    <w:p>
      <w:pPr>
        <w:rPr>
          <w:rFonts w:ascii="宋体" w:hAnsi="宋体" w:cs="宋体"/>
          <w:b/>
          <w:kern w:val="0"/>
          <w:sz w:val="24"/>
        </w:rPr>
      </w:pPr>
      <w:r>
        <w:rPr>
          <w:rFonts w:hint="eastAsia" w:ascii="宋体" w:hAnsi="宋体" w:cs="宋体"/>
          <w:b/>
          <w:kern w:val="0"/>
          <w:sz w:val="24"/>
        </w:rPr>
        <w:t>1.2  技术指标响应表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87"/>
        <w:gridCol w:w="3438"/>
        <w:gridCol w:w="2197"/>
        <w:gridCol w:w="72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ascii="宋体" w:hAnsi="宋体" w:cs="宋体"/>
                <w:kern w:val="0"/>
                <w:sz w:val="24"/>
              </w:rPr>
            </w:pPr>
            <w:r>
              <w:rPr>
                <w:rFonts w:hint="eastAsia" w:ascii="宋体" w:hAnsi="宋体" w:cs="宋体"/>
                <w:kern w:val="0"/>
                <w:sz w:val="24"/>
              </w:rPr>
              <w:t>序号</w:t>
            </w:r>
          </w:p>
        </w:tc>
        <w:tc>
          <w:tcPr>
            <w:tcW w:w="887" w:type="dxa"/>
            <w:vAlign w:val="center"/>
          </w:tcPr>
          <w:p>
            <w:pPr>
              <w:rPr>
                <w:rFonts w:ascii="宋体" w:hAnsi="宋体" w:cs="宋体"/>
                <w:kern w:val="0"/>
                <w:sz w:val="24"/>
              </w:rPr>
            </w:pPr>
            <w:r>
              <w:rPr>
                <w:rFonts w:hint="eastAsia" w:ascii="宋体" w:hAnsi="宋体" w:cs="宋体"/>
                <w:kern w:val="0"/>
                <w:sz w:val="24"/>
              </w:rPr>
              <w:t>规格/要求</w:t>
            </w:r>
          </w:p>
        </w:tc>
        <w:tc>
          <w:tcPr>
            <w:tcW w:w="3438" w:type="dxa"/>
            <w:vAlign w:val="center"/>
          </w:tcPr>
          <w:p>
            <w:pPr>
              <w:rPr>
                <w:rFonts w:ascii="宋体" w:hAnsi="宋体" w:cs="宋体"/>
                <w:kern w:val="0"/>
                <w:sz w:val="24"/>
              </w:rPr>
            </w:pPr>
            <w:r>
              <w:rPr>
                <w:rFonts w:hint="eastAsia" w:ascii="宋体" w:hAnsi="宋体" w:cs="宋体"/>
                <w:kern w:val="0"/>
                <w:sz w:val="24"/>
              </w:rPr>
              <w:t>投标/响应实际参数</w:t>
            </w:r>
          </w:p>
          <w:p>
            <w:pPr>
              <w:rPr>
                <w:rFonts w:ascii="宋体" w:hAnsi="宋体" w:cs="宋体"/>
                <w:kern w:val="0"/>
                <w:sz w:val="24"/>
              </w:rPr>
            </w:pPr>
            <w:r>
              <w:rPr>
                <w:rFonts w:hint="eastAsia" w:ascii="宋体" w:hAnsi="宋体" w:cs="宋体"/>
                <w:kern w:val="0"/>
                <w:sz w:val="24"/>
              </w:rPr>
              <w:t>(投标供应商应按响应货物/服务实际数据填写)</w:t>
            </w:r>
          </w:p>
        </w:tc>
        <w:tc>
          <w:tcPr>
            <w:tcW w:w="2197" w:type="dxa"/>
            <w:vAlign w:val="center"/>
          </w:tcPr>
          <w:p>
            <w:pPr>
              <w:rPr>
                <w:rFonts w:ascii="宋体" w:hAnsi="宋体" w:cs="宋体"/>
                <w:kern w:val="0"/>
                <w:sz w:val="24"/>
              </w:rPr>
            </w:pPr>
            <w:r>
              <w:rPr>
                <w:rFonts w:hint="eastAsia" w:ascii="宋体" w:hAnsi="宋体" w:cs="宋体"/>
                <w:kern w:val="0"/>
                <w:sz w:val="24"/>
              </w:rPr>
              <w:t>是否偏离（无偏离/正偏离/负偏离）</w:t>
            </w:r>
          </w:p>
        </w:tc>
        <w:tc>
          <w:tcPr>
            <w:tcW w:w="727" w:type="dxa"/>
            <w:vAlign w:val="center"/>
          </w:tcPr>
          <w:p>
            <w:pPr>
              <w:rPr>
                <w:rFonts w:ascii="宋体" w:hAnsi="宋体" w:cs="宋体"/>
                <w:kern w:val="0"/>
                <w:sz w:val="24"/>
              </w:rPr>
            </w:pPr>
            <w:r>
              <w:rPr>
                <w:rFonts w:hint="eastAsia" w:ascii="宋体" w:hAnsi="宋体" w:cs="宋体"/>
                <w:kern w:val="0"/>
                <w:sz w:val="24"/>
              </w:rPr>
              <w:t>偏离简述</w:t>
            </w:r>
          </w:p>
        </w:tc>
        <w:tc>
          <w:tcPr>
            <w:tcW w:w="1260" w:type="dxa"/>
            <w:vAlign w:val="center"/>
          </w:tcPr>
          <w:p>
            <w:pPr>
              <w:rPr>
                <w:rFonts w:ascii="宋体" w:hAnsi="宋体" w:cs="宋体"/>
                <w:kern w:val="0"/>
                <w:sz w:val="24"/>
              </w:rPr>
            </w:pPr>
            <w:r>
              <w:rPr>
                <w:rFonts w:hint="eastAsia" w:ascii="宋体" w:hAnsi="宋体" w:cs="宋体"/>
                <w:kern w:val="0"/>
                <w:sz w:val="24"/>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ascii="宋体" w:hAnsi="宋体" w:cs="宋体"/>
                <w:kern w:val="0"/>
                <w:sz w:val="24"/>
              </w:rPr>
            </w:pPr>
            <w:r>
              <w:rPr>
                <w:rFonts w:hint="eastAsia" w:ascii="宋体" w:hAnsi="宋体" w:cs="宋体"/>
                <w:kern w:val="0"/>
                <w:sz w:val="24"/>
              </w:rPr>
              <w:t>1</w:t>
            </w:r>
          </w:p>
        </w:tc>
        <w:tc>
          <w:tcPr>
            <w:tcW w:w="887" w:type="dxa"/>
            <w:vAlign w:val="center"/>
          </w:tcPr>
          <w:p>
            <w:pPr>
              <w:rPr>
                <w:rFonts w:ascii="宋体" w:hAnsi="宋体" w:cs="宋体"/>
                <w:kern w:val="0"/>
                <w:sz w:val="24"/>
              </w:rPr>
            </w:pPr>
          </w:p>
        </w:tc>
        <w:tc>
          <w:tcPr>
            <w:tcW w:w="3438" w:type="dxa"/>
            <w:vAlign w:val="center"/>
          </w:tcPr>
          <w:p>
            <w:pPr>
              <w:rPr>
                <w:rFonts w:ascii="宋体" w:hAnsi="宋体" w:cs="宋体"/>
                <w:kern w:val="0"/>
                <w:sz w:val="24"/>
              </w:rPr>
            </w:pPr>
          </w:p>
        </w:tc>
        <w:tc>
          <w:tcPr>
            <w:tcW w:w="2197" w:type="dxa"/>
            <w:vAlign w:val="center"/>
          </w:tcPr>
          <w:p>
            <w:pPr>
              <w:rPr>
                <w:rFonts w:ascii="宋体" w:hAnsi="宋体" w:cs="宋体"/>
                <w:kern w:val="0"/>
                <w:sz w:val="24"/>
              </w:rPr>
            </w:pPr>
          </w:p>
        </w:tc>
        <w:tc>
          <w:tcPr>
            <w:tcW w:w="727" w:type="dxa"/>
            <w:vAlign w:val="center"/>
          </w:tcPr>
          <w:p>
            <w:pPr>
              <w:rPr>
                <w:rFonts w:ascii="宋体" w:hAnsi="宋体" w:cs="宋体"/>
                <w:kern w:val="0"/>
                <w:sz w:val="24"/>
              </w:rPr>
            </w:pPr>
          </w:p>
        </w:tc>
        <w:tc>
          <w:tcPr>
            <w:tcW w:w="1260" w:type="dxa"/>
          </w:tcPr>
          <w:p>
            <w:pPr>
              <w:rPr>
                <w:rFonts w:ascii="宋体" w:hAnsi="宋体" w:cs="宋体"/>
                <w:kern w:val="0"/>
                <w:sz w:val="24"/>
              </w:rPr>
            </w:pPr>
            <w:r>
              <w:rPr>
                <w:rFonts w:hint="eastAsia" w:ascii="宋体" w:hAnsi="宋体" w:cs="宋体"/>
                <w:kern w:val="0"/>
                <w:sz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ascii="宋体" w:hAnsi="宋体" w:cs="宋体"/>
                <w:kern w:val="0"/>
                <w:sz w:val="24"/>
              </w:rPr>
            </w:pPr>
            <w:r>
              <w:rPr>
                <w:rFonts w:hint="eastAsia" w:ascii="宋体" w:hAnsi="宋体" w:cs="宋体"/>
                <w:kern w:val="0"/>
                <w:sz w:val="24"/>
              </w:rPr>
              <w:t>2</w:t>
            </w:r>
          </w:p>
        </w:tc>
        <w:tc>
          <w:tcPr>
            <w:tcW w:w="887" w:type="dxa"/>
            <w:vAlign w:val="center"/>
          </w:tcPr>
          <w:p>
            <w:pPr>
              <w:rPr>
                <w:rFonts w:ascii="宋体" w:hAnsi="宋体" w:cs="宋体"/>
                <w:kern w:val="0"/>
                <w:sz w:val="24"/>
              </w:rPr>
            </w:pPr>
          </w:p>
        </w:tc>
        <w:tc>
          <w:tcPr>
            <w:tcW w:w="3438" w:type="dxa"/>
            <w:vAlign w:val="center"/>
          </w:tcPr>
          <w:p>
            <w:pPr>
              <w:rPr>
                <w:rFonts w:ascii="宋体" w:hAnsi="宋体" w:cs="宋体"/>
                <w:kern w:val="0"/>
                <w:sz w:val="24"/>
              </w:rPr>
            </w:pPr>
          </w:p>
        </w:tc>
        <w:tc>
          <w:tcPr>
            <w:tcW w:w="2197" w:type="dxa"/>
            <w:vAlign w:val="center"/>
          </w:tcPr>
          <w:p>
            <w:pPr>
              <w:rPr>
                <w:rFonts w:ascii="宋体" w:hAnsi="宋体" w:cs="宋体"/>
                <w:kern w:val="0"/>
                <w:sz w:val="24"/>
              </w:rPr>
            </w:pPr>
          </w:p>
        </w:tc>
        <w:tc>
          <w:tcPr>
            <w:tcW w:w="727" w:type="dxa"/>
            <w:vAlign w:val="center"/>
          </w:tcPr>
          <w:p>
            <w:pPr>
              <w:rPr>
                <w:rFonts w:ascii="宋体" w:hAnsi="宋体" w:cs="宋体"/>
                <w:kern w:val="0"/>
                <w:sz w:val="24"/>
              </w:rPr>
            </w:pPr>
          </w:p>
        </w:tc>
        <w:tc>
          <w:tcPr>
            <w:tcW w:w="1260" w:type="dxa"/>
          </w:tcPr>
          <w:p>
            <w:pPr>
              <w:rPr>
                <w:rFonts w:ascii="宋体" w:hAnsi="宋体" w:cs="宋体"/>
                <w:kern w:val="0"/>
                <w:sz w:val="24"/>
              </w:rPr>
            </w:pPr>
            <w:r>
              <w:rPr>
                <w:rFonts w:hint="eastAsia" w:ascii="宋体" w:hAnsi="宋体" w:cs="宋体"/>
                <w:kern w:val="0"/>
                <w:sz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ascii="宋体" w:hAnsi="宋体" w:cs="宋体"/>
                <w:kern w:val="0"/>
                <w:sz w:val="24"/>
              </w:rPr>
            </w:pPr>
            <w:r>
              <w:rPr>
                <w:rFonts w:hint="eastAsia" w:ascii="宋体" w:hAnsi="宋体" w:cs="宋体"/>
                <w:kern w:val="0"/>
                <w:sz w:val="24"/>
              </w:rPr>
              <w:t>3</w:t>
            </w:r>
          </w:p>
        </w:tc>
        <w:tc>
          <w:tcPr>
            <w:tcW w:w="887" w:type="dxa"/>
            <w:vAlign w:val="center"/>
          </w:tcPr>
          <w:p>
            <w:pPr>
              <w:rPr>
                <w:rFonts w:ascii="宋体" w:hAnsi="宋体" w:cs="宋体"/>
                <w:kern w:val="0"/>
                <w:sz w:val="24"/>
              </w:rPr>
            </w:pPr>
          </w:p>
        </w:tc>
        <w:tc>
          <w:tcPr>
            <w:tcW w:w="3438" w:type="dxa"/>
            <w:vAlign w:val="center"/>
          </w:tcPr>
          <w:p>
            <w:pPr>
              <w:rPr>
                <w:rFonts w:ascii="宋体" w:hAnsi="宋体" w:cs="宋体"/>
                <w:kern w:val="0"/>
                <w:sz w:val="24"/>
              </w:rPr>
            </w:pPr>
          </w:p>
        </w:tc>
        <w:tc>
          <w:tcPr>
            <w:tcW w:w="2197" w:type="dxa"/>
            <w:vAlign w:val="center"/>
          </w:tcPr>
          <w:p>
            <w:pPr>
              <w:rPr>
                <w:rFonts w:ascii="宋体" w:hAnsi="宋体" w:cs="宋体"/>
                <w:kern w:val="0"/>
                <w:sz w:val="24"/>
              </w:rPr>
            </w:pPr>
          </w:p>
        </w:tc>
        <w:tc>
          <w:tcPr>
            <w:tcW w:w="727" w:type="dxa"/>
            <w:vAlign w:val="center"/>
          </w:tcPr>
          <w:p>
            <w:pPr>
              <w:rPr>
                <w:rFonts w:ascii="宋体" w:hAnsi="宋体" w:cs="宋体"/>
                <w:kern w:val="0"/>
                <w:sz w:val="24"/>
              </w:rPr>
            </w:pPr>
          </w:p>
        </w:tc>
        <w:tc>
          <w:tcPr>
            <w:tcW w:w="1260" w:type="dxa"/>
          </w:tcPr>
          <w:p>
            <w:pPr>
              <w:rPr>
                <w:rFonts w:ascii="宋体" w:hAnsi="宋体" w:cs="宋体"/>
                <w:kern w:val="0"/>
                <w:sz w:val="24"/>
              </w:rPr>
            </w:pPr>
            <w:r>
              <w:rPr>
                <w:rFonts w:hint="eastAsia" w:ascii="宋体" w:hAnsi="宋体" w:cs="宋体"/>
                <w:kern w:val="0"/>
                <w:sz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ascii="宋体" w:hAnsi="宋体" w:cs="宋体"/>
                <w:kern w:val="0"/>
                <w:sz w:val="24"/>
              </w:rPr>
            </w:pPr>
            <w:r>
              <w:rPr>
                <w:rFonts w:hint="eastAsia" w:ascii="宋体" w:hAnsi="宋体" w:cs="宋体"/>
                <w:kern w:val="0"/>
                <w:sz w:val="24"/>
              </w:rPr>
              <w:t>4</w:t>
            </w:r>
          </w:p>
        </w:tc>
        <w:tc>
          <w:tcPr>
            <w:tcW w:w="887" w:type="dxa"/>
            <w:vAlign w:val="center"/>
          </w:tcPr>
          <w:p>
            <w:pPr>
              <w:rPr>
                <w:rFonts w:ascii="宋体" w:hAnsi="宋体" w:cs="宋体"/>
                <w:kern w:val="0"/>
                <w:sz w:val="24"/>
              </w:rPr>
            </w:pPr>
          </w:p>
        </w:tc>
        <w:tc>
          <w:tcPr>
            <w:tcW w:w="3438" w:type="dxa"/>
            <w:vAlign w:val="center"/>
          </w:tcPr>
          <w:p>
            <w:pPr>
              <w:rPr>
                <w:rFonts w:ascii="宋体" w:hAnsi="宋体" w:cs="宋体"/>
                <w:kern w:val="0"/>
                <w:sz w:val="24"/>
              </w:rPr>
            </w:pPr>
          </w:p>
        </w:tc>
        <w:tc>
          <w:tcPr>
            <w:tcW w:w="2197" w:type="dxa"/>
            <w:vAlign w:val="center"/>
          </w:tcPr>
          <w:p>
            <w:pPr>
              <w:rPr>
                <w:rFonts w:ascii="宋体" w:hAnsi="宋体" w:cs="宋体"/>
                <w:kern w:val="0"/>
                <w:sz w:val="24"/>
              </w:rPr>
            </w:pPr>
          </w:p>
        </w:tc>
        <w:tc>
          <w:tcPr>
            <w:tcW w:w="727" w:type="dxa"/>
            <w:vAlign w:val="center"/>
          </w:tcPr>
          <w:p>
            <w:pPr>
              <w:rPr>
                <w:rFonts w:ascii="宋体" w:hAnsi="宋体" w:cs="宋体"/>
                <w:kern w:val="0"/>
                <w:sz w:val="24"/>
              </w:rPr>
            </w:pPr>
          </w:p>
        </w:tc>
        <w:tc>
          <w:tcPr>
            <w:tcW w:w="1260" w:type="dxa"/>
          </w:tcPr>
          <w:p>
            <w:pPr>
              <w:rPr>
                <w:rFonts w:ascii="宋体" w:hAnsi="宋体" w:cs="宋体"/>
                <w:kern w:val="0"/>
                <w:sz w:val="24"/>
              </w:rPr>
            </w:pPr>
            <w:r>
              <w:rPr>
                <w:rFonts w:hint="eastAsia" w:ascii="宋体" w:hAnsi="宋体" w:cs="宋体"/>
                <w:kern w:val="0"/>
                <w:sz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ascii="宋体" w:hAnsi="宋体" w:cs="宋体"/>
                <w:kern w:val="0"/>
                <w:sz w:val="24"/>
              </w:rPr>
            </w:pPr>
            <w:r>
              <w:rPr>
                <w:rFonts w:hint="eastAsia" w:ascii="宋体" w:hAnsi="宋体" w:cs="宋体"/>
                <w:kern w:val="0"/>
                <w:sz w:val="24"/>
              </w:rPr>
              <w:t>5</w:t>
            </w:r>
          </w:p>
        </w:tc>
        <w:tc>
          <w:tcPr>
            <w:tcW w:w="887" w:type="dxa"/>
            <w:vAlign w:val="center"/>
          </w:tcPr>
          <w:p>
            <w:pPr>
              <w:rPr>
                <w:rFonts w:ascii="宋体" w:hAnsi="宋体" w:cs="宋体"/>
                <w:kern w:val="0"/>
                <w:sz w:val="24"/>
              </w:rPr>
            </w:pPr>
          </w:p>
        </w:tc>
        <w:tc>
          <w:tcPr>
            <w:tcW w:w="3438" w:type="dxa"/>
            <w:vAlign w:val="center"/>
          </w:tcPr>
          <w:p>
            <w:pPr>
              <w:rPr>
                <w:rFonts w:ascii="宋体" w:hAnsi="宋体" w:cs="宋体"/>
                <w:kern w:val="0"/>
                <w:sz w:val="24"/>
              </w:rPr>
            </w:pPr>
          </w:p>
        </w:tc>
        <w:tc>
          <w:tcPr>
            <w:tcW w:w="2197" w:type="dxa"/>
            <w:vAlign w:val="center"/>
          </w:tcPr>
          <w:p>
            <w:pPr>
              <w:rPr>
                <w:rFonts w:ascii="宋体" w:hAnsi="宋体" w:cs="宋体"/>
                <w:kern w:val="0"/>
                <w:sz w:val="24"/>
              </w:rPr>
            </w:pPr>
          </w:p>
        </w:tc>
        <w:tc>
          <w:tcPr>
            <w:tcW w:w="727" w:type="dxa"/>
            <w:vAlign w:val="center"/>
          </w:tcPr>
          <w:p>
            <w:pPr>
              <w:rPr>
                <w:rFonts w:ascii="宋体" w:hAnsi="宋体" w:cs="宋体"/>
                <w:kern w:val="0"/>
                <w:sz w:val="24"/>
              </w:rPr>
            </w:pPr>
          </w:p>
        </w:tc>
        <w:tc>
          <w:tcPr>
            <w:tcW w:w="1260" w:type="dxa"/>
          </w:tcPr>
          <w:p>
            <w:pPr>
              <w:rPr>
                <w:rFonts w:ascii="宋体" w:hAnsi="宋体" w:cs="宋体"/>
                <w:kern w:val="0"/>
                <w:sz w:val="24"/>
              </w:rPr>
            </w:pPr>
            <w:r>
              <w:rPr>
                <w:rFonts w:hint="eastAsia" w:ascii="宋体" w:hAnsi="宋体" w:cs="宋体"/>
                <w:kern w:val="0"/>
                <w:sz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ascii="宋体" w:hAnsi="宋体" w:cs="宋体"/>
                <w:kern w:val="0"/>
                <w:sz w:val="24"/>
              </w:rPr>
            </w:pPr>
            <w:r>
              <w:rPr>
                <w:rFonts w:hint="eastAsia" w:ascii="宋体" w:hAnsi="宋体" w:cs="宋体"/>
                <w:kern w:val="0"/>
                <w:sz w:val="24"/>
              </w:rPr>
              <w:t>6</w:t>
            </w:r>
          </w:p>
        </w:tc>
        <w:tc>
          <w:tcPr>
            <w:tcW w:w="887" w:type="dxa"/>
            <w:vAlign w:val="center"/>
          </w:tcPr>
          <w:p>
            <w:pPr>
              <w:rPr>
                <w:rFonts w:ascii="宋体" w:hAnsi="宋体" w:cs="宋体"/>
                <w:kern w:val="0"/>
                <w:sz w:val="24"/>
              </w:rPr>
            </w:pPr>
          </w:p>
        </w:tc>
        <w:tc>
          <w:tcPr>
            <w:tcW w:w="3438" w:type="dxa"/>
            <w:vAlign w:val="center"/>
          </w:tcPr>
          <w:p>
            <w:pPr>
              <w:rPr>
                <w:rFonts w:ascii="宋体" w:hAnsi="宋体" w:cs="宋体"/>
                <w:kern w:val="0"/>
                <w:sz w:val="24"/>
              </w:rPr>
            </w:pPr>
          </w:p>
        </w:tc>
        <w:tc>
          <w:tcPr>
            <w:tcW w:w="2197" w:type="dxa"/>
            <w:vAlign w:val="center"/>
          </w:tcPr>
          <w:p>
            <w:pPr>
              <w:rPr>
                <w:rFonts w:ascii="宋体" w:hAnsi="宋体" w:cs="宋体"/>
                <w:kern w:val="0"/>
                <w:sz w:val="24"/>
              </w:rPr>
            </w:pPr>
          </w:p>
        </w:tc>
        <w:tc>
          <w:tcPr>
            <w:tcW w:w="727" w:type="dxa"/>
            <w:vAlign w:val="center"/>
          </w:tcPr>
          <w:p>
            <w:pPr>
              <w:rPr>
                <w:rFonts w:ascii="宋体" w:hAnsi="宋体" w:cs="宋体"/>
                <w:kern w:val="0"/>
                <w:sz w:val="24"/>
              </w:rPr>
            </w:pPr>
          </w:p>
        </w:tc>
        <w:tc>
          <w:tcPr>
            <w:tcW w:w="1260" w:type="dxa"/>
          </w:tcPr>
          <w:p>
            <w:pPr>
              <w:rPr>
                <w:rFonts w:ascii="宋体" w:hAnsi="宋体" w:cs="宋体"/>
                <w:kern w:val="0"/>
                <w:sz w:val="24"/>
              </w:rPr>
            </w:pPr>
            <w:r>
              <w:rPr>
                <w:rFonts w:hint="eastAsia" w:ascii="宋体" w:hAnsi="宋体" w:cs="宋体"/>
                <w:kern w:val="0"/>
                <w:sz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ascii="宋体" w:hAnsi="宋体" w:cs="宋体"/>
                <w:kern w:val="0"/>
                <w:sz w:val="24"/>
              </w:rPr>
            </w:pPr>
            <w:r>
              <w:rPr>
                <w:rFonts w:hint="eastAsia" w:ascii="宋体" w:hAnsi="宋体" w:cs="宋体"/>
                <w:kern w:val="0"/>
                <w:sz w:val="24"/>
              </w:rPr>
              <w:t>7</w:t>
            </w:r>
          </w:p>
        </w:tc>
        <w:tc>
          <w:tcPr>
            <w:tcW w:w="887" w:type="dxa"/>
            <w:vAlign w:val="center"/>
          </w:tcPr>
          <w:p>
            <w:pPr>
              <w:rPr>
                <w:rFonts w:ascii="宋体" w:hAnsi="宋体" w:cs="宋体"/>
                <w:kern w:val="0"/>
                <w:sz w:val="24"/>
              </w:rPr>
            </w:pPr>
          </w:p>
        </w:tc>
        <w:tc>
          <w:tcPr>
            <w:tcW w:w="3438" w:type="dxa"/>
            <w:vAlign w:val="center"/>
          </w:tcPr>
          <w:p>
            <w:pPr>
              <w:rPr>
                <w:rFonts w:ascii="宋体" w:hAnsi="宋体" w:cs="宋体"/>
                <w:kern w:val="0"/>
                <w:sz w:val="24"/>
              </w:rPr>
            </w:pPr>
          </w:p>
        </w:tc>
        <w:tc>
          <w:tcPr>
            <w:tcW w:w="2197" w:type="dxa"/>
            <w:vAlign w:val="center"/>
          </w:tcPr>
          <w:p>
            <w:pPr>
              <w:rPr>
                <w:rFonts w:ascii="宋体" w:hAnsi="宋体" w:cs="宋体"/>
                <w:kern w:val="0"/>
                <w:sz w:val="24"/>
              </w:rPr>
            </w:pPr>
          </w:p>
        </w:tc>
        <w:tc>
          <w:tcPr>
            <w:tcW w:w="727" w:type="dxa"/>
            <w:vAlign w:val="center"/>
          </w:tcPr>
          <w:p>
            <w:pPr>
              <w:rPr>
                <w:rFonts w:ascii="宋体" w:hAnsi="宋体" w:cs="宋体"/>
                <w:kern w:val="0"/>
                <w:sz w:val="24"/>
              </w:rPr>
            </w:pPr>
          </w:p>
        </w:tc>
        <w:tc>
          <w:tcPr>
            <w:tcW w:w="1260" w:type="dxa"/>
          </w:tcPr>
          <w:p>
            <w:pPr>
              <w:rPr>
                <w:rFonts w:ascii="宋体" w:hAnsi="宋体" w:cs="宋体"/>
                <w:kern w:val="0"/>
                <w:sz w:val="24"/>
              </w:rPr>
            </w:pPr>
            <w:r>
              <w:rPr>
                <w:rFonts w:hint="eastAsia" w:ascii="宋体" w:hAnsi="宋体" w:cs="宋体"/>
                <w:kern w:val="0"/>
                <w:sz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ascii="宋体" w:hAnsi="宋体" w:cs="宋体"/>
                <w:kern w:val="0"/>
                <w:sz w:val="24"/>
              </w:rPr>
            </w:pPr>
            <w:r>
              <w:rPr>
                <w:rFonts w:hint="eastAsia" w:ascii="宋体" w:hAnsi="宋体" w:cs="宋体"/>
                <w:kern w:val="0"/>
                <w:sz w:val="24"/>
              </w:rPr>
              <w:t>8</w:t>
            </w:r>
          </w:p>
        </w:tc>
        <w:tc>
          <w:tcPr>
            <w:tcW w:w="887" w:type="dxa"/>
            <w:vAlign w:val="center"/>
          </w:tcPr>
          <w:p>
            <w:pPr>
              <w:rPr>
                <w:rFonts w:ascii="宋体" w:hAnsi="宋体" w:cs="宋体"/>
                <w:kern w:val="0"/>
                <w:sz w:val="24"/>
              </w:rPr>
            </w:pPr>
          </w:p>
        </w:tc>
        <w:tc>
          <w:tcPr>
            <w:tcW w:w="3438" w:type="dxa"/>
            <w:vAlign w:val="center"/>
          </w:tcPr>
          <w:p>
            <w:pPr>
              <w:rPr>
                <w:rFonts w:ascii="宋体" w:hAnsi="宋体" w:cs="宋体"/>
                <w:kern w:val="0"/>
                <w:sz w:val="24"/>
              </w:rPr>
            </w:pPr>
          </w:p>
        </w:tc>
        <w:tc>
          <w:tcPr>
            <w:tcW w:w="2197" w:type="dxa"/>
            <w:vAlign w:val="center"/>
          </w:tcPr>
          <w:p>
            <w:pPr>
              <w:rPr>
                <w:rFonts w:ascii="宋体" w:hAnsi="宋体" w:cs="宋体"/>
                <w:kern w:val="0"/>
                <w:sz w:val="24"/>
              </w:rPr>
            </w:pPr>
          </w:p>
        </w:tc>
        <w:tc>
          <w:tcPr>
            <w:tcW w:w="727" w:type="dxa"/>
            <w:vAlign w:val="center"/>
          </w:tcPr>
          <w:p>
            <w:pPr>
              <w:rPr>
                <w:rFonts w:ascii="宋体" w:hAnsi="宋体" w:cs="宋体"/>
                <w:kern w:val="0"/>
                <w:sz w:val="24"/>
              </w:rPr>
            </w:pPr>
          </w:p>
        </w:tc>
        <w:tc>
          <w:tcPr>
            <w:tcW w:w="1260" w:type="dxa"/>
          </w:tcPr>
          <w:p>
            <w:pPr>
              <w:rPr>
                <w:rFonts w:ascii="宋体" w:hAnsi="宋体" w:cs="宋体"/>
                <w:kern w:val="0"/>
                <w:sz w:val="24"/>
              </w:rPr>
            </w:pPr>
            <w:r>
              <w:rPr>
                <w:rFonts w:hint="eastAsia" w:ascii="宋体" w:hAnsi="宋体" w:cs="宋体"/>
                <w:kern w:val="0"/>
                <w:sz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ascii="宋体" w:hAnsi="宋体" w:cs="宋体"/>
                <w:kern w:val="0"/>
                <w:sz w:val="24"/>
              </w:rPr>
            </w:pPr>
            <w:r>
              <w:rPr>
                <w:rFonts w:hint="eastAsia" w:ascii="宋体" w:hAnsi="宋体" w:cs="宋体"/>
                <w:kern w:val="0"/>
                <w:sz w:val="24"/>
              </w:rPr>
              <w:t>…</w:t>
            </w:r>
          </w:p>
        </w:tc>
        <w:tc>
          <w:tcPr>
            <w:tcW w:w="887" w:type="dxa"/>
            <w:vAlign w:val="center"/>
          </w:tcPr>
          <w:p>
            <w:pPr>
              <w:rPr>
                <w:rFonts w:ascii="宋体" w:hAnsi="宋体" w:cs="宋体"/>
                <w:kern w:val="0"/>
                <w:sz w:val="24"/>
              </w:rPr>
            </w:pPr>
          </w:p>
        </w:tc>
        <w:tc>
          <w:tcPr>
            <w:tcW w:w="3438" w:type="dxa"/>
            <w:vAlign w:val="center"/>
          </w:tcPr>
          <w:p>
            <w:pPr>
              <w:rPr>
                <w:rFonts w:ascii="宋体" w:hAnsi="宋体" w:cs="宋体"/>
                <w:kern w:val="0"/>
                <w:sz w:val="24"/>
              </w:rPr>
            </w:pPr>
          </w:p>
        </w:tc>
        <w:tc>
          <w:tcPr>
            <w:tcW w:w="2197" w:type="dxa"/>
            <w:vAlign w:val="center"/>
          </w:tcPr>
          <w:p>
            <w:pPr>
              <w:rPr>
                <w:rFonts w:ascii="宋体" w:hAnsi="宋体" w:cs="宋体"/>
                <w:kern w:val="0"/>
                <w:sz w:val="24"/>
              </w:rPr>
            </w:pPr>
          </w:p>
        </w:tc>
        <w:tc>
          <w:tcPr>
            <w:tcW w:w="727" w:type="dxa"/>
            <w:vAlign w:val="center"/>
          </w:tcPr>
          <w:p>
            <w:pPr>
              <w:rPr>
                <w:rFonts w:ascii="宋体" w:hAnsi="宋体" w:cs="宋体"/>
                <w:kern w:val="0"/>
                <w:sz w:val="24"/>
              </w:rPr>
            </w:pPr>
          </w:p>
        </w:tc>
        <w:tc>
          <w:tcPr>
            <w:tcW w:w="1260" w:type="dxa"/>
          </w:tcPr>
          <w:p>
            <w:pPr>
              <w:rPr>
                <w:rFonts w:ascii="宋体" w:hAnsi="宋体" w:cs="宋体"/>
                <w:kern w:val="0"/>
                <w:sz w:val="24"/>
              </w:rPr>
            </w:pPr>
          </w:p>
        </w:tc>
      </w:tr>
    </w:tbl>
    <w:p>
      <w:pPr>
        <w:rPr>
          <w:rFonts w:ascii="宋体" w:hAnsi="宋体" w:cs="宋体"/>
          <w:kern w:val="0"/>
          <w:sz w:val="24"/>
        </w:rPr>
      </w:pPr>
      <w:r>
        <w:rPr>
          <w:rFonts w:hint="eastAsia" w:ascii="宋体" w:hAnsi="宋体" w:cs="宋体"/>
          <w:kern w:val="0"/>
          <w:sz w:val="24"/>
        </w:rPr>
        <w:t>注：1.投标供应商必须对应《招标文件内容》的内容逐条响应。清单必须与《报价明细表》一致；</w:t>
      </w:r>
    </w:p>
    <w:p>
      <w:pPr>
        <w:rPr>
          <w:rFonts w:ascii="宋体" w:hAnsi="宋体" w:cs="宋体"/>
          <w:kern w:val="0"/>
          <w:sz w:val="24"/>
        </w:rPr>
      </w:pPr>
      <w:r>
        <w:rPr>
          <w:rFonts w:hint="eastAsia" w:ascii="宋体" w:hAnsi="宋体" w:cs="宋体"/>
          <w:kern w:val="0"/>
          <w:sz w:val="24"/>
        </w:rPr>
        <w:t>2.投标供应商响应招标需求应具体、明确，含糊不清、不确切或伪造、变造证明材料的，按照不完全响应或者完全不响应处理。构成提供虚假材料的，移送监管部门查处；</w:t>
      </w:r>
    </w:p>
    <w:p>
      <w:pPr>
        <w:rPr>
          <w:rFonts w:ascii="宋体" w:hAnsi="宋体" w:cs="宋体"/>
          <w:kern w:val="0"/>
          <w:sz w:val="24"/>
        </w:rPr>
      </w:pPr>
      <w:r>
        <w:rPr>
          <w:rFonts w:hint="eastAsia" w:ascii="宋体" w:hAnsi="宋体" w:cs="宋体"/>
          <w:kern w:val="0"/>
          <w:sz w:val="24"/>
        </w:rPr>
        <w:t>3.说明：在偏离项必须注明正偏离、负偏离或无偏离。</w:t>
      </w:r>
    </w:p>
    <w:p>
      <w:pPr>
        <w:rPr>
          <w:rFonts w:ascii="宋体" w:hAnsi="宋体" w:cs="宋体"/>
          <w:szCs w:val="21"/>
          <w:lang w:val="en-GB"/>
        </w:rPr>
      </w:pPr>
    </w:p>
    <w:p>
      <w:r>
        <w:rPr>
          <w:rFonts w:hint="eastAsia" w:ascii="宋体" w:hAnsi="宋体" w:cs="宋体"/>
          <w:b/>
          <w:kern w:val="0"/>
          <w:sz w:val="24"/>
        </w:rPr>
        <w:t xml:space="preserve">1.3  </w:t>
      </w:r>
      <w:r>
        <w:rPr>
          <w:rFonts w:hint="eastAsia" w:ascii="宋体" w:hAnsi="宋体" w:cs="宋体"/>
          <w:b/>
          <w:kern w:val="0"/>
          <w:sz w:val="24"/>
          <w:lang w:val="en-US" w:eastAsia="zh-CN"/>
        </w:rPr>
        <w:t>总体</w:t>
      </w:r>
      <w:r>
        <w:rPr>
          <w:rFonts w:hint="eastAsia" w:ascii="宋体" w:hAnsi="宋体" w:cs="宋体"/>
          <w:b/>
          <w:kern w:val="0"/>
          <w:sz w:val="24"/>
        </w:rPr>
        <w:t>设计方案：</w:t>
      </w:r>
      <w:r>
        <w:rPr>
          <w:rFonts w:hint="eastAsia" w:ascii="宋体" w:hAnsi="宋体" w:cs="宋体"/>
          <w:kern w:val="0"/>
          <w:sz w:val="24"/>
        </w:rPr>
        <w:t>主要根据《招标文件内容》的要求和详细评审表编制（格式自定）</w:t>
      </w:r>
    </w:p>
    <w:p>
      <w:pPr>
        <w:pStyle w:val="50"/>
        <w:spacing w:before="4" w:line="360" w:lineRule="exact"/>
        <w:ind w:left="4" w:right="129"/>
        <w:rPr>
          <w:rFonts w:ascii="宋体" w:hAnsi="宋体" w:cs="宋体"/>
        </w:rPr>
      </w:pPr>
      <w:r>
        <w:rPr>
          <w:rFonts w:hint="eastAsia" w:ascii="宋体" w:hAnsi="宋体" w:cs="宋体"/>
          <w:b/>
        </w:rPr>
        <w:t xml:space="preserve">1.4  </w:t>
      </w:r>
      <w:r>
        <w:rPr>
          <w:rFonts w:hint="eastAsia" w:ascii="宋体" w:hAnsi="宋体" w:cs="宋体"/>
          <w:b/>
          <w:kern w:val="0"/>
          <w:sz w:val="24"/>
        </w:rPr>
        <w:t>实施方案</w:t>
      </w:r>
      <w:r>
        <w:rPr>
          <w:rFonts w:hint="eastAsia" w:ascii="宋体" w:hAnsi="宋体" w:cs="宋体"/>
          <w:b/>
        </w:rPr>
        <w:t>：</w:t>
      </w:r>
      <w:r>
        <w:rPr>
          <w:rFonts w:hint="eastAsia" w:ascii="宋体" w:hAnsi="宋体" w:cs="宋体"/>
        </w:rPr>
        <w:t>主要根据《招标文件内容》的要求和详细评审表编制（格式自定）</w:t>
      </w:r>
    </w:p>
    <w:p>
      <w:pPr>
        <w:pStyle w:val="50"/>
        <w:spacing w:before="4" w:line="360" w:lineRule="exact"/>
        <w:ind w:left="4" w:right="129"/>
        <w:rPr>
          <w:rFonts w:ascii="宋体" w:hAnsi="宋体" w:cs="宋体"/>
          <w:b/>
          <w:bCs/>
        </w:rPr>
      </w:pPr>
      <w:r>
        <w:rPr>
          <w:rFonts w:hint="eastAsia" w:ascii="宋体" w:hAnsi="宋体" w:cs="宋体"/>
          <w:b/>
          <w:bCs/>
        </w:rPr>
        <w:t>1.5  售后服务方案：</w:t>
      </w:r>
      <w:r>
        <w:rPr>
          <w:rFonts w:hint="eastAsia" w:ascii="宋体" w:hAnsi="宋体" w:cs="宋体"/>
        </w:rPr>
        <w:t>主要根据《招标文件内容》的要求和详细评审表编制（格式自定）</w:t>
      </w:r>
    </w:p>
    <w:p>
      <w:pPr>
        <w:pStyle w:val="50"/>
        <w:spacing w:before="4" w:line="360" w:lineRule="exact"/>
        <w:ind w:left="4" w:right="129"/>
        <w:rPr>
          <w:rFonts w:ascii="宋体" w:hAnsi="宋体" w:cs="宋体"/>
          <w:b/>
        </w:rPr>
      </w:pPr>
      <w:r>
        <w:rPr>
          <w:rFonts w:hint="eastAsia" w:ascii="宋体" w:hAnsi="宋体" w:cs="宋体"/>
          <w:b/>
        </w:rPr>
        <w:t>1.6  投标供应商认为必要说明的其他内容（根据采购需求和详细评审表编制）</w:t>
      </w:r>
    </w:p>
    <w:p>
      <w:pPr>
        <w:rPr>
          <w:rFonts w:ascii="宋体" w:hAnsi="宋体" w:cs="宋体"/>
          <w:b/>
          <w:szCs w:val="21"/>
        </w:rPr>
      </w:pPr>
      <w:r>
        <w:rPr>
          <w:rFonts w:hint="eastAsia" w:ascii="宋体" w:hAnsi="宋体" w:cs="宋体"/>
          <w:b/>
          <w:kern w:val="0"/>
          <w:sz w:val="24"/>
        </w:rPr>
        <w:br w:type="page"/>
      </w:r>
      <w:r>
        <w:rPr>
          <w:rFonts w:hint="eastAsia" w:ascii="宋体" w:hAnsi="宋体" w:cs="宋体"/>
          <w:b/>
          <w:kern w:val="0"/>
          <w:sz w:val="24"/>
        </w:rPr>
        <w:t>2</w:t>
      </w:r>
      <w:r>
        <w:rPr>
          <w:rFonts w:hint="eastAsia" w:ascii="宋体" w:hAnsi="宋体" w:cs="宋体"/>
          <w:b/>
          <w:kern w:val="0"/>
          <w:sz w:val="24"/>
        </w:rPr>
        <w:tab/>
      </w:r>
      <w:r>
        <w:rPr>
          <w:rFonts w:hint="eastAsia" w:ascii="宋体" w:hAnsi="宋体" w:cs="宋体"/>
          <w:b/>
          <w:kern w:val="0"/>
          <w:sz w:val="24"/>
        </w:rPr>
        <w:t>项目团队人员列表</w:t>
      </w:r>
    </w:p>
    <w:tbl>
      <w:tblPr>
        <w:tblStyle w:val="27"/>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040"/>
        <w:gridCol w:w="944"/>
        <w:gridCol w:w="2636"/>
        <w:gridCol w:w="697"/>
        <w:gridCol w:w="69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职责分工</w:t>
            </w:r>
          </w:p>
        </w:tc>
        <w:tc>
          <w:tcPr>
            <w:tcW w:w="1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姓名</w:t>
            </w:r>
          </w:p>
        </w:tc>
        <w:tc>
          <w:tcPr>
            <w:tcW w:w="944" w:type="dxa"/>
            <w:tcBorders>
              <w:top w:val="single" w:color="auto" w:sz="4" w:space="0"/>
              <w:left w:val="single" w:color="auto" w:sz="4" w:space="0"/>
              <w:bottom w:val="single" w:color="auto" w:sz="4" w:space="0"/>
            </w:tcBorders>
            <w:vAlign w:val="center"/>
          </w:tcPr>
          <w:p>
            <w:pPr>
              <w:jc w:val="center"/>
              <w:rPr>
                <w:rFonts w:ascii="宋体" w:hAnsi="宋体" w:cs="宋体"/>
                <w:kern w:val="0"/>
                <w:sz w:val="24"/>
              </w:rPr>
            </w:pPr>
            <w:r>
              <w:rPr>
                <w:rFonts w:hint="eastAsia" w:ascii="宋体" w:hAnsi="宋体" w:cs="宋体"/>
                <w:kern w:val="0"/>
                <w:sz w:val="24"/>
              </w:rPr>
              <w:t>现职务</w:t>
            </w:r>
          </w:p>
        </w:tc>
        <w:tc>
          <w:tcPr>
            <w:tcW w:w="2636" w:type="dxa"/>
            <w:tcBorders>
              <w:top w:val="single" w:color="auto" w:sz="4" w:space="0"/>
              <w:bottom w:val="single" w:color="auto" w:sz="4" w:space="0"/>
            </w:tcBorders>
            <w:vAlign w:val="center"/>
          </w:tcPr>
          <w:p>
            <w:pPr>
              <w:jc w:val="center"/>
              <w:rPr>
                <w:rFonts w:ascii="宋体" w:hAnsi="宋体" w:cs="宋体"/>
                <w:kern w:val="0"/>
                <w:sz w:val="24"/>
              </w:rPr>
            </w:pPr>
            <w:r>
              <w:rPr>
                <w:rFonts w:hint="eastAsia" w:ascii="宋体" w:hAnsi="宋体" w:cs="宋体"/>
                <w:kern w:val="0"/>
                <w:sz w:val="24"/>
              </w:rPr>
              <w:t>曾参与的</w:t>
            </w:r>
          </w:p>
          <w:p>
            <w:pPr>
              <w:jc w:val="center"/>
              <w:rPr>
                <w:rFonts w:ascii="宋体" w:hAnsi="宋体" w:cs="宋体"/>
                <w:kern w:val="0"/>
                <w:sz w:val="24"/>
              </w:rPr>
            </w:pPr>
            <w:r>
              <w:rPr>
                <w:rFonts w:hint="eastAsia" w:ascii="宋体" w:hAnsi="宋体" w:cs="宋体"/>
                <w:kern w:val="0"/>
                <w:sz w:val="24"/>
              </w:rPr>
              <w:t>同类项目经历</w:t>
            </w:r>
          </w:p>
        </w:tc>
        <w:tc>
          <w:tcPr>
            <w:tcW w:w="697" w:type="dxa"/>
            <w:tcBorders>
              <w:top w:val="single" w:color="auto" w:sz="4" w:space="0"/>
              <w:bottom w:val="single" w:color="auto" w:sz="4" w:space="0"/>
            </w:tcBorders>
            <w:vAlign w:val="center"/>
          </w:tcPr>
          <w:p>
            <w:pPr>
              <w:jc w:val="center"/>
              <w:rPr>
                <w:rFonts w:ascii="宋体" w:hAnsi="宋体" w:cs="宋体"/>
                <w:kern w:val="0"/>
                <w:sz w:val="24"/>
              </w:rPr>
            </w:pPr>
            <w:r>
              <w:rPr>
                <w:rFonts w:hint="eastAsia" w:ascii="宋体" w:hAnsi="宋体" w:cs="宋体"/>
                <w:kern w:val="0"/>
                <w:sz w:val="24"/>
              </w:rPr>
              <w:t>职称</w:t>
            </w:r>
          </w:p>
        </w:tc>
        <w:tc>
          <w:tcPr>
            <w:tcW w:w="697" w:type="dxa"/>
            <w:tcBorders>
              <w:top w:val="single" w:color="auto" w:sz="4" w:space="0"/>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专业工龄</w:t>
            </w:r>
          </w:p>
        </w:tc>
        <w:tc>
          <w:tcPr>
            <w:tcW w:w="1567" w:type="dxa"/>
            <w:tcBorders>
              <w:top w:val="single" w:color="auto" w:sz="4" w:space="0"/>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422" w:type="dxa"/>
            <w:tcBorders>
              <w:top w:val="single" w:color="auto" w:sz="4" w:space="0"/>
              <w:left w:val="single" w:color="auto" w:sz="4" w:space="0"/>
              <w:bottom w:val="nil"/>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项目经理</w:t>
            </w:r>
          </w:p>
        </w:tc>
        <w:tc>
          <w:tcPr>
            <w:tcW w:w="1040" w:type="dxa"/>
            <w:tcBorders>
              <w:top w:val="single" w:color="auto" w:sz="4" w:space="0"/>
              <w:left w:val="single" w:color="auto" w:sz="4" w:space="0"/>
              <w:bottom w:val="nil"/>
              <w:right w:val="single" w:color="auto" w:sz="4" w:space="0"/>
            </w:tcBorders>
            <w:vAlign w:val="center"/>
          </w:tcPr>
          <w:p>
            <w:pPr>
              <w:jc w:val="center"/>
              <w:rPr>
                <w:rFonts w:ascii="宋体" w:hAnsi="宋体" w:cs="宋体"/>
                <w:kern w:val="0"/>
                <w:sz w:val="24"/>
              </w:rPr>
            </w:pPr>
          </w:p>
        </w:tc>
        <w:tc>
          <w:tcPr>
            <w:tcW w:w="944" w:type="dxa"/>
            <w:tcBorders>
              <w:top w:val="single" w:color="auto" w:sz="4" w:space="0"/>
              <w:left w:val="single" w:color="auto" w:sz="4" w:space="0"/>
              <w:bottom w:val="nil"/>
            </w:tcBorders>
            <w:vAlign w:val="center"/>
          </w:tcPr>
          <w:p>
            <w:pPr>
              <w:jc w:val="center"/>
              <w:rPr>
                <w:rFonts w:ascii="宋体" w:hAnsi="宋体" w:cs="宋体"/>
                <w:kern w:val="0"/>
                <w:sz w:val="24"/>
              </w:rPr>
            </w:pPr>
          </w:p>
        </w:tc>
        <w:tc>
          <w:tcPr>
            <w:tcW w:w="2636" w:type="dxa"/>
            <w:tcBorders>
              <w:top w:val="single" w:color="auto" w:sz="4" w:space="0"/>
              <w:bottom w:val="nil"/>
            </w:tcBorders>
            <w:vAlign w:val="center"/>
          </w:tcPr>
          <w:p>
            <w:pPr>
              <w:jc w:val="center"/>
              <w:rPr>
                <w:rFonts w:ascii="宋体" w:hAnsi="宋体" w:cs="宋体"/>
                <w:kern w:val="0"/>
                <w:sz w:val="24"/>
              </w:rPr>
            </w:pPr>
          </w:p>
        </w:tc>
        <w:tc>
          <w:tcPr>
            <w:tcW w:w="697" w:type="dxa"/>
            <w:tcBorders>
              <w:top w:val="single" w:color="auto" w:sz="4" w:space="0"/>
              <w:bottom w:val="nil"/>
            </w:tcBorders>
            <w:vAlign w:val="center"/>
          </w:tcPr>
          <w:p>
            <w:pPr>
              <w:jc w:val="center"/>
              <w:rPr>
                <w:rFonts w:ascii="宋体" w:hAnsi="宋体" w:cs="宋体"/>
                <w:kern w:val="0"/>
                <w:sz w:val="24"/>
              </w:rPr>
            </w:pPr>
          </w:p>
        </w:tc>
        <w:tc>
          <w:tcPr>
            <w:tcW w:w="697" w:type="dxa"/>
            <w:tcBorders>
              <w:top w:val="single" w:color="auto" w:sz="4" w:space="0"/>
              <w:bottom w:val="nil"/>
              <w:right w:val="single" w:color="auto" w:sz="4" w:space="0"/>
            </w:tcBorders>
            <w:vAlign w:val="center"/>
          </w:tcPr>
          <w:p>
            <w:pPr>
              <w:jc w:val="center"/>
              <w:rPr>
                <w:rFonts w:ascii="宋体" w:hAnsi="宋体" w:cs="宋体"/>
                <w:kern w:val="0"/>
                <w:sz w:val="24"/>
              </w:rPr>
            </w:pPr>
          </w:p>
        </w:tc>
        <w:tc>
          <w:tcPr>
            <w:tcW w:w="1567" w:type="dxa"/>
            <w:tcBorders>
              <w:top w:val="single" w:color="auto" w:sz="4" w:space="0"/>
              <w:bottom w:val="nil"/>
              <w:right w:val="single" w:color="auto" w:sz="4" w:space="0"/>
            </w:tcBorders>
            <w:vAlign w:val="center"/>
          </w:tcPr>
          <w:p>
            <w:pPr>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422" w:type="dxa"/>
            <w:tcBorders>
              <w:top w:val="single" w:color="auto" w:sz="4" w:space="0"/>
              <w:left w:val="single" w:color="auto" w:sz="4" w:space="0"/>
              <w:bottom w:val="nil"/>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技术人员</w:t>
            </w:r>
          </w:p>
        </w:tc>
        <w:tc>
          <w:tcPr>
            <w:tcW w:w="1040" w:type="dxa"/>
            <w:tcBorders>
              <w:top w:val="single" w:color="auto" w:sz="4" w:space="0"/>
              <w:left w:val="single" w:color="auto" w:sz="4" w:space="0"/>
              <w:bottom w:val="nil"/>
              <w:right w:val="single" w:color="auto" w:sz="4" w:space="0"/>
            </w:tcBorders>
            <w:vAlign w:val="center"/>
          </w:tcPr>
          <w:p>
            <w:pPr>
              <w:jc w:val="center"/>
              <w:rPr>
                <w:rFonts w:ascii="宋体" w:hAnsi="宋体" w:cs="宋体"/>
                <w:kern w:val="0"/>
                <w:sz w:val="24"/>
              </w:rPr>
            </w:pPr>
          </w:p>
        </w:tc>
        <w:tc>
          <w:tcPr>
            <w:tcW w:w="944" w:type="dxa"/>
            <w:tcBorders>
              <w:top w:val="single" w:color="auto" w:sz="4" w:space="0"/>
              <w:left w:val="single" w:color="auto" w:sz="4" w:space="0"/>
              <w:bottom w:val="nil"/>
            </w:tcBorders>
            <w:vAlign w:val="center"/>
          </w:tcPr>
          <w:p>
            <w:pPr>
              <w:jc w:val="center"/>
              <w:rPr>
                <w:rFonts w:ascii="宋体" w:hAnsi="宋体" w:cs="宋体"/>
                <w:kern w:val="0"/>
                <w:sz w:val="24"/>
              </w:rPr>
            </w:pPr>
          </w:p>
        </w:tc>
        <w:tc>
          <w:tcPr>
            <w:tcW w:w="2636" w:type="dxa"/>
            <w:tcBorders>
              <w:top w:val="single" w:color="auto" w:sz="4" w:space="0"/>
              <w:bottom w:val="nil"/>
            </w:tcBorders>
            <w:vAlign w:val="center"/>
          </w:tcPr>
          <w:p>
            <w:pPr>
              <w:jc w:val="center"/>
              <w:rPr>
                <w:rFonts w:ascii="宋体" w:hAnsi="宋体" w:cs="宋体"/>
                <w:kern w:val="0"/>
                <w:sz w:val="24"/>
              </w:rPr>
            </w:pPr>
          </w:p>
        </w:tc>
        <w:tc>
          <w:tcPr>
            <w:tcW w:w="697" w:type="dxa"/>
            <w:tcBorders>
              <w:top w:val="single" w:color="auto" w:sz="4" w:space="0"/>
              <w:bottom w:val="nil"/>
            </w:tcBorders>
            <w:vAlign w:val="center"/>
          </w:tcPr>
          <w:p>
            <w:pPr>
              <w:jc w:val="center"/>
              <w:rPr>
                <w:rFonts w:ascii="宋体" w:hAnsi="宋体" w:cs="宋体"/>
                <w:kern w:val="0"/>
                <w:sz w:val="24"/>
              </w:rPr>
            </w:pPr>
          </w:p>
        </w:tc>
        <w:tc>
          <w:tcPr>
            <w:tcW w:w="697" w:type="dxa"/>
            <w:tcBorders>
              <w:top w:val="single" w:color="auto" w:sz="4" w:space="0"/>
              <w:bottom w:val="nil"/>
              <w:right w:val="single" w:color="auto" w:sz="4" w:space="0"/>
            </w:tcBorders>
            <w:vAlign w:val="center"/>
          </w:tcPr>
          <w:p>
            <w:pPr>
              <w:jc w:val="center"/>
              <w:rPr>
                <w:rFonts w:ascii="宋体" w:hAnsi="宋体" w:cs="宋体"/>
                <w:kern w:val="0"/>
                <w:sz w:val="24"/>
              </w:rPr>
            </w:pPr>
          </w:p>
        </w:tc>
        <w:tc>
          <w:tcPr>
            <w:tcW w:w="1567" w:type="dxa"/>
            <w:tcBorders>
              <w:top w:val="single" w:color="auto" w:sz="4" w:space="0"/>
              <w:bottom w:val="nil"/>
              <w:right w:val="single" w:color="auto" w:sz="4" w:space="0"/>
            </w:tcBorders>
            <w:vAlign w:val="center"/>
          </w:tcPr>
          <w:p>
            <w:pPr>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422" w:type="dxa"/>
            <w:tcBorders>
              <w:top w:val="single" w:color="auto" w:sz="4" w:space="0"/>
              <w:left w:val="single" w:color="auto" w:sz="4" w:space="0"/>
              <w:bottom w:val="nil"/>
              <w:right w:val="single" w:color="auto" w:sz="4" w:space="0"/>
            </w:tcBorders>
            <w:vAlign w:val="center"/>
          </w:tcPr>
          <w:p>
            <w:pPr>
              <w:jc w:val="center"/>
              <w:rPr>
                <w:rFonts w:ascii="宋体" w:hAnsi="宋体" w:cs="宋体"/>
                <w:kern w:val="0"/>
                <w:sz w:val="24"/>
              </w:rPr>
            </w:pPr>
          </w:p>
        </w:tc>
        <w:tc>
          <w:tcPr>
            <w:tcW w:w="1040" w:type="dxa"/>
            <w:tcBorders>
              <w:top w:val="single" w:color="auto" w:sz="4" w:space="0"/>
              <w:left w:val="single" w:color="auto" w:sz="4" w:space="0"/>
              <w:bottom w:val="nil"/>
              <w:right w:val="single" w:color="auto" w:sz="4" w:space="0"/>
            </w:tcBorders>
            <w:vAlign w:val="center"/>
          </w:tcPr>
          <w:p>
            <w:pPr>
              <w:jc w:val="center"/>
              <w:rPr>
                <w:rFonts w:ascii="宋体" w:hAnsi="宋体" w:cs="宋体"/>
                <w:kern w:val="0"/>
                <w:sz w:val="24"/>
              </w:rPr>
            </w:pPr>
          </w:p>
        </w:tc>
        <w:tc>
          <w:tcPr>
            <w:tcW w:w="944" w:type="dxa"/>
            <w:tcBorders>
              <w:top w:val="single" w:color="auto" w:sz="4" w:space="0"/>
              <w:left w:val="single" w:color="auto" w:sz="4" w:space="0"/>
              <w:bottom w:val="nil"/>
            </w:tcBorders>
            <w:vAlign w:val="center"/>
          </w:tcPr>
          <w:p>
            <w:pPr>
              <w:jc w:val="center"/>
              <w:rPr>
                <w:rFonts w:ascii="宋体" w:hAnsi="宋体" w:cs="宋体"/>
                <w:kern w:val="0"/>
                <w:sz w:val="24"/>
              </w:rPr>
            </w:pPr>
          </w:p>
        </w:tc>
        <w:tc>
          <w:tcPr>
            <w:tcW w:w="2636" w:type="dxa"/>
            <w:tcBorders>
              <w:top w:val="single" w:color="auto" w:sz="4" w:space="0"/>
              <w:bottom w:val="nil"/>
            </w:tcBorders>
            <w:vAlign w:val="center"/>
          </w:tcPr>
          <w:p>
            <w:pPr>
              <w:jc w:val="center"/>
              <w:rPr>
                <w:rFonts w:ascii="宋体" w:hAnsi="宋体" w:cs="宋体"/>
                <w:kern w:val="0"/>
                <w:sz w:val="24"/>
              </w:rPr>
            </w:pPr>
          </w:p>
        </w:tc>
        <w:tc>
          <w:tcPr>
            <w:tcW w:w="697" w:type="dxa"/>
            <w:tcBorders>
              <w:top w:val="single" w:color="auto" w:sz="4" w:space="0"/>
              <w:bottom w:val="nil"/>
            </w:tcBorders>
            <w:vAlign w:val="center"/>
          </w:tcPr>
          <w:p>
            <w:pPr>
              <w:jc w:val="center"/>
              <w:rPr>
                <w:rFonts w:ascii="宋体" w:hAnsi="宋体" w:cs="宋体"/>
                <w:kern w:val="0"/>
                <w:sz w:val="24"/>
              </w:rPr>
            </w:pPr>
          </w:p>
        </w:tc>
        <w:tc>
          <w:tcPr>
            <w:tcW w:w="697" w:type="dxa"/>
            <w:tcBorders>
              <w:top w:val="single" w:color="auto" w:sz="4" w:space="0"/>
              <w:bottom w:val="nil"/>
              <w:right w:val="single" w:color="auto" w:sz="4" w:space="0"/>
            </w:tcBorders>
            <w:vAlign w:val="center"/>
          </w:tcPr>
          <w:p>
            <w:pPr>
              <w:jc w:val="center"/>
              <w:rPr>
                <w:rFonts w:ascii="宋体" w:hAnsi="宋体" w:cs="宋体"/>
                <w:kern w:val="0"/>
                <w:sz w:val="24"/>
              </w:rPr>
            </w:pPr>
          </w:p>
        </w:tc>
        <w:tc>
          <w:tcPr>
            <w:tcW w:w="1567" w:type="dxa"/>
            <w:tcBorders>
              <w:top w:val="single" w:color="auto" w:sz="4" w:space="0"/>
              <w:bottom w:val="nil"/>
              <w:right w:val="single" w:color="auto" w:sz="4" w:space="0"/>
            </w:tcBorders>
            <w:vAlign w:val="center"/>
          </w:tcPr>
          <w:p>
            <w:pPr>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422" w:type="dxa"/>
            <w:tcBorders>
              <w:top w:val="single" w:color="auto" w:sz="4" w:space="0"/>
              <w:left w:val="single" w:color="auto" w:sz="4" w:space="0"/>
              <w:bottom w:val="nil"/>
              <w:right w:val="single" w:color="auto" w:sz="4" w:space="0"/>
            </w:tcBorders>
            <w:vAlign w:val="center"/>
          </w:tcPr>
          <w:p>
            <w:pPr>
              <w:jc w:val="center"/>
              <w:rPr>
                <w:rFonts w:ascii="宋体" w:hAnsi="宋体" w:cs="宋体"/>
                <w:sz w:val="24"/>
              </w:rPr>
            </w:pPr>
          </w:p>
        </w:tc>
        <w:tc>
          <w:tcPr>
            <w:tcW w:w="1040" w:type="dxa"/>
            <w:tcBorders>
              <w:top w:val="single" w:color="auto" w:sz="4" w:space="0"/>
              <w:left w:val="single" w:color="auto" w:sz="4" w:space="0"/>
              <w:bottom w:val="nil"/>
              <w:right w:val="single" w:color="auto" w:sz="4" w:space="0"/>
            </w:tcBorders>
            <w:vAlign w:val="center"/>
          </w:tcPr>
          <w:p>
            <w:pPr>
              <w:jc w:val="center"/>
              <w:rPr>
                <w:rFonts w:ascii="宋体" w:hAnsi="宋体" w:cs="宋体"/>
                <w:kern w:val="0"/>
                <w:sz w:val="24"/>
              </w:rPr>
            </w:pPr>
          </w:p>
        </w:tc>
        <w:tc>
          <w:tcPr>
            <w:tcW w:w="944" w:type="dxa"/>
            <w:tcBorders>
              <w:top w:val="single" w:color="auto" w:sz="4" w:space="0"/>
              <w:left w:val="single" w:color="auto" w:sz="4" w:space="0"/>
              <w:bottom w:val="nil"/>
            </w:tcBorders>
            <w:vAlign w:val="center"/>
          </w:tcPr>
          <w:p>
            <w:pPr>
              <w:jc w:val="center"/>
              <w:rPr>
                <w:rFonts w:ascii="宋体" w:hAnsi="宋体" w:cs="宋体"/>
                <w:kern w:val="0"/>
                <w:sz w:val="24"/>
              </w:rPr>
            </w:pPr>
          </w:p>
        </w:tc>
        <w:tc>
          <w:tcPr>
            <w:tcW w:w="2636" w:type="dxa"/>
            <w:tcBorders>
              <w:top w:val="single" w:color="auto" w:sz="4" w:space="0"/>
              <w:bottom w:val="nil"/>
            </w:tcBorders>
            <w:vAlign w:val="center"/>
          </w:tcPr>
          <w:p>
            <w:pPr>
              <w:jc w:val="center"/>
              <w:rPr>
                <w:rFonts w:ascii="宋体" w:hAnsi="宋体" w:cs="宋体"/>
                <w:kern w:val="0"/>
                <w:sz w:val="24"/>
              </w:rPr>
            </w:pPr>
          </w:p>
        </w:tc>
        <w:tc>
          <w:tcPr>
            <w:tcW w:w="697" w:type="dxa"/>
            <w:tcBorders>
              <w:top w:val="single" w:color="auto" w:sz="4" w:space="0"/>
              <w:bottom w:val="nil"/>
            </w:tcBorders>
            <w:vAlign w:val="center"/>
          </w:tcPr>
          <w:p>
            <w:pPr>
              <w:jc w:val="center"/>
              <w:rPr>
                <w:rFonts w:ascii="宋体" w:hAnsi="宋体" w:cs="宋体"/>
                <w:kern w:val="0"/>
                <w:sz w:val="24"/>
              </w:rPr>
            </w:pPr>
          </w:p>
        </w:tc>
        <w:tc>
          <w:tcPr>
            <w:tcW w:w="697" w:type="dxa"/>
            <w:tcBorders>
              <w:top w:val="single" w:color="auto" w:sz="4" w:space="0"/>
              <w:bottom w:val="nil"/>
              <w:right w:val="single" w:color="auto" w:sz="4" w:space="0"/>
            </w:tcBorders>
            <w:vAlign w:val="center"/>
          </w:tcPr>
          <w:p>
            <w:pPr>
              <w:jc w:val="center"/>
              <w:rPr>
                <w:rFonts w:ascii="宋体" w:hAnsi="宋体" w:cs="宋体"/>
                <w:kern w:val="0"/>
                <w:sz w:val="24"/>
              </w:rPr>
            </w:pPr>
          </w:p>
        </w:tc>
        <w:tc>
          <w:tcPr>
            <w:tcW w:w="1567" w:type="dxa"/>
            <w:tcBorders>
              <w:top w:val="single" w:color="auto" w:sz="4" w:space="0"/>
              <w:bottom w:val="nil"/>
              <w:right w:val="single" w:color="auto" w:sz="4" w:space="0"/>
            </w:tcBorders>
            <w:vAlign w:val="center"/>
          </w:tcPr>
          <w:p>
            <w:pPr>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1422" w:type="dxa"/>
            <w:tcBorders>
              <w:top w:val="single" w:color="auto" w:sz="4" w:space="0"/>
              <w:left w:val="single" w:color="auto" w:sz="4" w:space="0"/>
              <w:right w:val="single" w:color="auto" w:sz="4" w:space="0"/>
            </w:tcBorders>
            <w:vAlign w:val="center"/>
          </w:tcPr>
          <w:p>
            <w:pPr>
              <w:jc w:val="center"/>
              <w:rPr>
                <w:rFonts w:ascii="宋体" w:hAnsi="宋体" w:cs="宋体"/>
                <w:kern w:val="0"/>
                <w:sz w:val="24"/>
              </w:rPr>
            </w:pPr>
          </w:p>
        </w:tc>
        <w:tc>
          <w:tcPr>
            <w:tcW w:w="1040" w:type="dxa"/>
            <w:tcBorders>
              <w:top w:val="single" w:color="auto" w:sz="4" w:space="0"/>
              <w:left w:val="single" w:color="auto" w:sz="4" w:space="0"/>
              <w:bottom w:val="nil"/>
              <w:right w:val="single" w:color="auto" w:sz="4" w:space="0"/>
            </w:tcBorders>
            <w:vAlign w:val="center"/>
          </w:tcPr>
          <w:p>
            <w:pPr>
              <w:jc w:val="center"/>
              <w:rPr>
                <w:rFonts w:ascii="宋体" w:hAnsi="宋体" w:cs="宋体"/>
                <w:kern w:val="0"/>
                <w:sz w:val="24"/>
              </w:rPr>
            </w:pPr>
          </w:p>
        </w:tc>
        <w:tc>
          <w:tcPr>
            <w:tcW w:w="944" w:type="dxa"/>
            <w:tcBorders>
              <w:top w:val="single" w:color="auto" w:sz="4" w:space="0"/>
              <w:left w:val="single" w:color="auto" w:sz="4" w:space="0"/>
              <w:bottom w:val="nil"/>
            </w:tcBorders>
            <w:vAlign w:val="center"/>
          </w:tcPr>
          <w:p>
            <w:pPr>
              <w:jc w:val="center"/>
              <w:rPr>
                <w:rFonts w:ascii="宋体" w:hAnsi="宋体" w:cs="宋体"/>
                <w:kern w:val="0"/>
                <w:sz w:val="24"/>
              </w:rPr>
            </w:pPr>
          </w:p>
        </w:tc>
        <w:tc>
          <w:tcPr>
            <w:tcW w:w="2636" w:type="dxa"/>
            <w:tcBorders>
              <w:top w:val="single" w:color="auto" w:sz="4" w:space="0"/>
              <w:bottom w:val="nil"/>
            </w:tcBorders>
            <w:vAlign w:val="center"/>
          </w:tcPr>
          <w:p>
            <w:pPr>
              <w:jc w:val="center"/>
              <w:rPr>
                <w:rFonts w:ascii="宋体" w:hAnsi="宋体" w:cs="宋体"/>
                <w:kern w:val="0"/>
                <w:sz w:val="24"/>
              </w:rPr>
            </w:pPr>
          </w:p>
        </w:tc>
        <w:tc>
          <w:tcPr>
            <w:tcW w:w="697" w:type="dxa"/>
            <w:tcBorders>
              <w:top w:val="single" w:color="auto" w:sz="4" w:space="0"/>
              <w:bottom w:val="nil"/>
            </w:tcBorders>
            <w:vAlign w:val="center"/>
          </w:tcPr>
          <w:p>
            <w:pPr>
              <w:jc w:val="center"/>
              <w:rPr>
                <w:rFonts w:ascii="宋体" w:hAnsi="宋体" w:cs="宋体"/>
                <w:kern w:val="0"/>
                <w:sz w:val="24"/>
              </w:rPr>
            </w:pPr>
          </w:p>
        </w:tc>
        <w:tc>
          <w:tcPr>
            <w:tcW w:w="697" w:type="dxa"/>
            <w:tcBorders>
              <w:top w:val="single" w:color="auto" w:sz="4" w:space="0"/>
              <w:bottom w:val="nil"/>
              <w:right w:val="single" w:color="auto" w:sz="4" w:space="0"/>
            </w:tcBorders>
            <w:vAlign w:val="center"/>
          </w:tcPr>
          <w:p>
            <w:pPr>
              <w:jc w:val="center"/>
              <w:rPr>
                <w:rFonts w:ascii="宋体" w:hAnsi="宋体" w:cs="宋体"/>
                <w:kern w:val="0"/>
                <w:sz w:val="24"/>
              </w:rPr>
            </w:pPr>
          </w:p>
        </w:tc>
        <w:tc>
          <w:tcPr>
            <w:tcW w:w="1567" w:type="dxa"/>
            <w:tcBorders>
              <w:top w:val="single" w:color="auto" w:sz="4" w:space="0"/>
              <w:bottom w:val="nil"/>
              <w:right w:val="single" w:color="auto" w:sz="4" w:space="0"/>
            </w:tcBorders>
            <w:vAlign w:val="center"/>
          </w:tcPr>
          <w:p>
            <w:pPr>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jc w:val="center"/>
        </w:trPr>
        <w:tc>
          <w:tcPr>
            <w:tcW w:w="1422" w:type="dxa"/>
            <w:tcBorders>
              <w:left w:val="single" w:color="auto" w:sz="4" w:space="0"/>
              <w:right w:val="single" w:color="auto" w:sz="4" w:space="0"/>
            </w:tcBorders>
            <w:vAlign w:val="center"/>
          </w:tcPr>
          <w:p>
            <w:pPr>
              <w:jc w:val="center"/>
              <w:rPr>
                <w:rFonts w:ascii="宋体" w:hAnsi="宋体" w:cs="宋体"/>
                <w:kern w:val="0"/>
                <w:sz w:val="24"/>
              </w:rPr>
            </w:pPr>
          </w:p>
        </w:tc>
        <w:tc>
          <w:tcPr>
            <w:tcW w:w="1040" w:type="dxa"/>
            <w:tcBorders>
              <w:left w:val="single" w:color="auto" w:sz="4" w:space="0"/>
              <w:right w:val="single" w:color="auto" w:sz="4" w:space="0"/>
            </w:tcBorders>
            <w:vAlign w:val="center"/>
          </w:tcPr>
          <w:p>
            <w:pPr>
              <w:jc w:val="center"/>
              <w:rPr>
                <w:rFonts w:ascii="宋体" w:hAnsi="宋体" w:cs="宋体"/>
                <w:kern w:val="0"/>
                <w:sz w:val="24"/>
              </w:rPr>
            </w:pPr>
          </w:p>
        </w:tc>
        <w:tc>
          <w:tcPr>
            <w:tcW w:w="944" w:type="dxa"/>
            <w:tcBorders>
              <w:left w:val="single" w:color="auto" w:sz="4" w:space="0"/>
            </w:tcBorders>
            <w:vAlign w:val="center"/>
          </w:tcPr>
          <w:p>
            <w:pPr>
              <w:jc w:val="center"/>
              <w:rPr>
                <w:rFonts w:ascii="宋体" w:hAnsi="宋体" w:cs="宋体"/>
                <w:kern w:val="0"/>
                <w:sz w:val="24"/>
              </w:rPr>
            </w:pPr>
          </w:p>
        </w:tc>
        <w:tc>
          <w:tcPr>
            <w:tcW w:w="2636" w:type="dxa"/>
            <w:vAlign w:val="center"/>
          </w:tcPr>
          <w:p>
            <w:pPr>
              <w:jc w:val="center"/>
              <w:rPr>
                <w:rFonts w:ascii="宋体" w:hAnsi="宋体" w:cs="宋体"/>
                <w:kern w:val="0"/>
                <w:sz w:val="24"/>
              </w:rPr>
            </w:pPr>
          </w:p>
        </w:tc>
        <w:tc>
          <w:tcPr>
            <w:tcW w:w="697" w:type="dxa"/>
            <w:vAlign w:val="center"/>
          </w:tcPr>
          <w:p>
            <w:pPr>
              <w:jc w:val="center"/>
              <w:rPr>
                <w:rFonts w:ascii="宋体" w:hAnsi="宋体" w:cs="宋体"/>
                <w:kern w:val="0"/>
                <w:sz w:val="24"/>
              </w:rPr>
            </w:pPr>
          </w:p>
        </w:tc>
        <w:tc>
          <w:tcPr>
            <w:tcW w:w="697" w:type="dxa"/>
            <w:tcBorders>
              <w:right w:val="single" w:color="auto" w:sz="4" w:space="0"/>
            </w:tcBorders>
            <w:vAlign w:val="center"/>
          </w:tcPr>
          <w:p>
            <w:pPr>
              <w:jc w:val="center"/>
              <w:rPr>
                <w:rFonts w:ascii="宋体" w:hAnsi="宋体" w:cs="宋体"/>
                <w:kern w:val="0"/>
                <w:sz w:val="24"/>
              </w:rPr>
            </w:pPr>
          </w:p>
        </w:tc>
        <w:tc>
          <w:tcPr>
            <w:tcW w:w="1567" w:type="dxa"/>
            <w:tcBorders>
              <w:right w:val="single" w:color="auto" w:sz="4" w:space="0"/>
            </w:tcBorders>
            <w:vAlign w:val="center"/>
          </w:tcPr>
          <w:p>
            <w:pPr>
              <w:jc w:val="center"/>
              <w:rPr>
                <w:rFonts w:ascii="宋体" w:hAnsi="宋体" w:cs="宋体"/>
                <w:kern w:val="0"/>
                <w:sz w:val="24"/>
              </w:rPr>
            </w:pPr>
          </w:p>
        </w:tc>
      </w:tr>
    </w:tbl>
    <w:p>
      <w:pPr>
        <w:rPr>
          <w:rFonts w:ascii="宋体" w:hAnsi="宋体" w:cs="宋体"/>
          <w:kern w:val="0"/>
          <w:sz w:val="24"/>
        </w:rPr>
      </w:pPr>
      <w:r>
        <w:rPr>
          <w:rFonts w:hint="eastAsia" w:ascii="宋体" w:hAnsi="宋体" w:cs="宋体"/>
          <w:kern w:val="0"/>
          <w:sz w:val="24"/>
        </w:rPr>
        <w:t>注：根据评审表的要求提交相应资料（如身份证、职称证、资格证书、业绩证明等资料）。</w:t>
      </w:r>
    </w:p>
    <w:p>
      <w:pPr>
        <w:rPr>
          <w:rFonts w:ascii="宋体" w:hAnsi="宋体" w:cs="宋体"/>
          <w:szCs w:val="21"/>
          <w:lang w:val="en-GB"/>
        </w:rPr>
      </w:pPr>
    </w:p>
    <w:p>
      <w:pPr>
        <w:rPr>
          <w:rFonts w:ascii="宋体" w:hAnsi="宋体" w:cs="宋体"/>
          <w:b/>
          <w:kern w:val="0"/>
          <w:sz w:val="24"/>
        </w:rPr>
      </w:pPr>
      <w:r>
        <w:rPr>
          <w:rFonts w:hint="eastAsia" w:ascii="宋体" w:hAnsi="宋体" w:cs="宋体"/>
          <w:b/>
          <w:kern w:val="0"/>
          <w:sz w:val="24"/>
        </w:rPr>
        <w:t>3</w:t>
      </w:r>
      <w:r>
        <w:rPr>
          <w:rFonts w:hint="eastAsia" w:ascii="宋体" w:hAnsi="宋体" w:cs="宋体"/>
          <w:b/>
          <w:kern w:val="0"/>
          <w:sz w:val="24"/>
        </w:rPr>
        <w:tab/>
      </w:r>
      <w:r>
        <w:rPr>
          <w:rFonts w:hint="eastAsia" w:ascii="宋体" w:hAnsi="宋体" w:cs="宋体"/>
          <w:b/>
          <w:kern w:val="0"/>
          <w:sz w:val="24"/>
        </w:rPr>
        <w:t>履约进度计划表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ascii="宋体" w:hAnsi="宋体" w:cs="宋体"/>
                <w:kern w:val="0"/>
                <w:sz w:val="24"/>
              </w:rPr>
            </w:pPr>
            <w:r>
              <w:rPr>
                <w:rFonts w:hint="eastAsia" w:ascii="宋体" w:hAnsi="宋体" w:cs="宋体"/>
                <w:kern w:val="0"/>
                <w:sz w:val="24"/>
              </w:rPr>
              <w:t>序号</w:t>
            </w:r>
          </w:p>
        </w:tc>
        <w:tc>
          <w:tcPr>
            <w:tcW w:w="2618" w:type="dxa"/>
            <w:vAlign w:val="center"/>
          </w:tcPr>
          <w:p>
            <w:pPr>
              <w:rPr>
                <w:rFonts w:ascii="宋体" w:hAnsi="宋体" w:cs="宋体"/>
                <w:kern w:val="0"/>
                <w:sz w:val="24"/>
              </w:rPr>
            </w:pPr>
            <w:r>
              <w:rPr>
                <w:rFonts w:hint="eastAsia" w:ascii="宋体" w:hAnsi="宋体" w:cs="宋体"/>
                <w:kern w:val="0"/>
                <w:sz w:val="24"/>
              </w:rPr>
              <w:t>拟定时间安排</w:t>
            </w:r>
          </w:p>
        </w:tc>
        <w:tc>
          <w:tcPr>
            <w:tcW w:w="3119" w:type="dxa"/>
            <w:vAlign w:val="center"/>
          </w:tcPr>
          <w:p>
            <w:pPr>
              <w:rPr>
                <w:rFonts w:ascii="宋体" w:hAnsi="宋体" w:cs="宋体"/>
                <w:kern w:val="0"/>
                <w:sz w:val="24"/>
              </w:rPr>
            </w:pPr>
            <w:r>
              <w:rPr>
                <w:rFonts w:hint="eastAsia" w:ascii="宋体" w:hAnsi="宋体" w:cs="宋体"/>
                <w:kern w:val="0"/>
                <w:sz w:val="24"/>
              </w:rPr>
              <w:t>计划完成的工作内容</w:t>
            </w:r>
          </w:p>
        </w:tc>
        <w:tc>
          <w:tcPr>
            <w:tcW w:w="2510" w:type="dxa"/>
            <w:vAlign w:val="center"/>
          </w:tcPr>
          <w:p>
            <w:pPr>
              <w:rPr>
                <w:rFonts w:ascii="宋体" w:hAnsi="宋体" w:cs="宋体"/>
                <w:kern w:val="0"/>
                <w:sz w:val="24"/>
              </w:rPr>
            </w:pPr>
            <w:r>
              <w:rPr>
                <w:rFonts w:hint="eastAsia" w:ascii="宋体" w:hAnsi="宋体" w:cs="宋体"/>
                <w:kern w:val="0"/>
                <w:sz w:val="24"/>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ascii="宋体" w:hAnsi="宋体" w:cs="宋体"/>
                <w:kern w:val="0"/>
                <w:sz w:val="24"/>
              </w:rPr>
            </w:pPr>
          </w:p>
        </w:tc>
        <w:tc>
          <w:tcPr>
            <w:tcW w:w="2618" w:type="dxa"/>
            <w:vAlign w:val="center"/>
          </w:tcPr>
          <w:p>
            <w:pPr>
              <w:rPr>
                <w:rFonts w:ascii="宋体" w:hAnsi="宋体" w:cs="宋体"/>
                <w:kern w:val="0"/>
                <w:sz w:val="24"/>
              </w:rPr>
            </w:pPr>
            <w:r>
              <w:rPr>
                <w:rFonts w:hint="eastAsia" w:ascii="宋体" w:hAnsi="宋体" w:cs="宋体"/>
                <w:kern w:val="0"/>
                <w:sz w:val="24"/>
              </w:rPr>
              <w:t>拟定  年  月   日</w:t>
            </w:r>
          </w:p>
        </w:tc>
        <w:tc>
          <w:tcPr>
            <w:tcW w:w="3119" w:type="dxa"/>
            <w:vAlign w:val="center"/>
          </w:tcPr>
          <w:p>
            <w:pPr>
              <w:rPr>
                <w:rFonts w:ascii="宋体" w:hAnsi="宋体" w:cs="宋体"/>
                <w:kern w:val="0"/>
                <w:sz w:val="24"/>
              </w:rPr>
            </w:pPr>
            <w:r>
              <w:rPr>
                <w:rFonts w:hint="eastAsia" w:ascii="宋体" w:hAnsi="宋体" w:cs="宋体"/>
                <w:kern w:val="0"/>
                <w:sz w:val="24"/>
              </w:rPr>
              <w:t>签定合同并生效</w:t>
            </w:r>
          </w:p>
        </w:tc>
        <w:tc>
          <w:tcPr>
            <w:tcW w:w="2510" w:type="dxa"/>
            <w:vAlign w:val="center"/>
          </w:tcPr>
          <w:p>
            <w:pP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ascii="宋体" w:hAnsi="宋体" w:cs="宋体"/>
                <w:kern w:val="0"/>
                <w:sz w:val="24"/>
              </w:rPr>
            </w:pPr>
          </w:p>
        </w:tc>
        <w:tc>
          <w:tcPr>
            <w:tcW w:w="2618" w:type="dxa"/>
            <w:vAlign w:val="center"/>
          </w:tcPr>
          <w:p>
            <w:pPr>
              <w:rPr>
                <w:rFonts w:ascii="宋体" w:hAnsi="宋体" w:cs="宋体"/>
                <w:kern w:val="0"/>
                <w:sz w:val="24"/>
              </w:rPr>
            </w:pPr>
            <w:r>
              <w:rPr>
                <w:rFonts w:hint="eastAsia" w:ascii="宋体" w:hAnsi="宋体" w:cs="宋体"/>
                <w:kern w:val="0"/>
                <w:sz w:val="24"/>
              </w:rPr>
              <w:t>月   日—   月   日</w:t>
            </w:r>
          </w:p>
        </w:tc>
        <w:tc>
          <w:tcPr>
            <w:tcW w:w="3119" w:type="dxa"/>
            <w:vAlign w:val="center"/>
          </w:tcPr>
          <w:p>
            <w:pPr>
              <w:rPr>
                <w:rFonts w:ascii="宋体" w:hAnsi="宋体" w:cs="宋体"/>
                <w:kern w:val="0"/>
                <w:sz w:val="24"/>
              </w:rPr>
            </w:pPr>
          </w:p>
        </w:tc>
        <w:tc>
          <w:tcPr>
            <w:tcW w:w="2510" w:type="dxa"/>
            <w:vAlign w:val="center"/>
          </w:tcPr>
          <w:p>
            <w:pP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ascii="宋体" w:hAnsi="宋体" w:cs="宋体"/>
                <w:kern w:val="0"/>
                <w:sz w:val="24"/>
              </w:rPr>
            </w:pPr>
          </w:p>
        </w:tc>
        <w:tc>
          <w:tcPr>
            <w:tcW w:w="2618" w:type="dxa"/>
            <w:vAlign w:val="center"/>
          </w:tcPr>
          <w:p>
            <w:pPr>
              <w:rPr>
                <w:rFonts w:ascii="宋体" w:hAnsi="宋体" w:cs="宋体"/>
                <w:kern w:val="0"/>
                <w:sz w:val="24"/>
              </w:rPr>
            </w:pPr>
            <w:r>
              <w:rPr>
                <w:rFonts w:hint="eastAsia" w:ascii="宋体" w:hAnsi="宋体" w:cs="宋体"/>
                <w:kern w:val="0"/>
                <w:sz w:val="24"/>
              </w:rPr>
              <w:t>月   日—   月   日</w:t>
            </w:r>
          </w:p>
        </w:tc>
        <w:tc>
          <w:tcPr>
            <w:tcW w:w="3119" w:type="dxa"/>
            <w:vAlign w:val="center"/>
          </w:tcPr>
          <w:p>
            <w:pPr>
              <w:rPr>
                <w:rFonts w:ascii="宋体" w:hAnsi="宋体" w:cs="宋体"/>
                <w:kern w:val="0"/>
                <w:sz w:val="24"/>
              </w:rPr>
            </w:pPr>
          </w:p>
        </w:tc>
        <w:tc>
          <w:tcPr>
            <w:tcW w:w="2510" w:type="dxa"/>
            <w:vAlign w:val="center"/>
          </w:tcPr>
          <w:p>
            <w:pP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ascii="宋体" w:hAnsi="宋体" w:cs="宋体"/>
                <w:kern w:val="0"/>
                <w:sz w:val="24"/>
              </w:rPr>
            </w:pPr>
          </w:p>
        </w:tc>
        <w:tc>
          <w:tcPr>
            <w:tcW w:w="2618" w:type="dxa"/>
            <w:vAlign w:val="center"/>
          </w:tcPr>
          <w:p>
            <w:pPr>
              <w:rPr>
                <w:rFonts w:ascii="宋体" w:hAnsi="宋体" w:cs="宋体"/>
                <w:kern w:val="0"/>
                <w:sz w:val="24"/>
              </w:rPr>
            </w:pPr>
            <w:r>
              <w:rPr>
                <w:rFonts w:hint="eastAsia" w:ascii="宋体" w:hAnsi="宋体" w:cs="宋体"/>
                <w:kern w:val="0"/>
                <w:sz w:val="24"/>
              </w:rPr>
              <w:t>月   日—   月   日</w:t>
            </w:r>
          </w:p>
        </w:tc>
        <w:tc>
          <w:tcPr>
            <w:tcW w:w="3119" w:type="dxa"/>
            <w:vAlign w:val="center"/>
          </w:tcPr>
          <w:p>
            <w:pPr>
              <w:rPr>
                <w:rFonts w:ascii="宋体" w:hAnsi="宋体" w:cs="宋体"/>
                <w:kern w:val="0"/>
                <w:sz w:val="24"/>
              </w:rPr>
            </w:pPr>
          </w:p>
        </w:tc>
        <w:tc>
          <w:tcPr>
            <w:tcW w:w="2510" w:type="dxa"/>
            <w:vAlign w:val="center"/>
          </w:tcPr>
          <w:p>
            <w:pPr>
              <w:rPr>
                <w:rFonts w:ascii="宋体" w:hAnsi="宋体" w:cs="宋体"/>
                <w:kern w:val="0"/>
                <w:sz w:val="24"/>
              </w:rPr>
            </w:pPr>
          </w:p>
        </w:tc>
      </w:tr>
    </w:tbl>
    <w:p>
      <w:pPr>
        <w:rPr>
          <w:rFonts w:ascii="宋体" w:hAnsi="宋体" w:cs="宋体"/>
          <w:kern w:val="0"/>
          <w:sz w:val="24"/>
        </w:rPr>
      </w:pPr>
      <w:r>
        <w:rPr>
          <w:rFonts w:hint="eastAsia" w:ascii="宋体" w:hAnsi="宋体" w:cs="宋体"/>
          <w:kern w:val="0"/>
          <w:sz w:val="24"/>
        </w:rPr>
        <w:t>注：各投标供应商根据项目内容要求及时间范围要求，制定各子项目详细、科学合理、可执行的项目实施计划排期表</w:t>
      </w:r>
    </w:p>
    <w:p>
      <w:pPr>
        <w:rPr>
          <w:rFonts w:ascii="宋体" w:hAnsi="宋体" w:cs="宋体"/>
          <w:kern w:val="0"/>
          <w:sz w:val="24"/>
        </w:rPr>
      </w:pPr>
    </w:p>
    <w:p>
      <w:pPr>
        <w:rPr>
          <w:rFonts w:ascii="宋体" w:hAnsi="宋体" w:cs="宋体"/>
          <w:b/>
          <w:kern w:val="0"/>
          <w:sz w:val="24"/>
        </w:rPr>
      </w:pPr>
      <w:r>
        <w:rPr>
          <w:rFonts w:hint="eastAsia" w:ascii="宋体" w:hAnsi="宋体" w:cs="宋体"/>
          <w:b/>
          <w:kern w:val="0"/>
          <w:sz w:val="24"/>
        </w:rPr>
        <w:t>6</w:t>
      </w:r>
      <w:r>
        <w:rPr>
          <w:rFonts w:hint="eastAsia" w:ascii="宋体" w:hAnsi="宋体" w:cs="宋体"/>
          <w:b/>
          <w:kern w:val="0"/>
          <w:sz w:val="24"/>
        </w:rPr>
        <w:tab/>
      </w:r>
      <w:r>
        <w:rPr>
          <w:rFonts w:hint="eastAsia" w:ascii="宋体" w:hAnsi="宋体" w:cs="宋体"/>
          <w:b/>
          <w:kern w:val="0"/>
          <w:sz w:val="24"/>
        </w:rPr>
        <w:t>需要采购人提供的附加条件</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8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r>
              <w:rPr>
                <w:rFonts w:hint="eastAsia" w:ascii="宋体" w:hAnsi="宋体" w:cs="宋体"/>
                <w:kern w:val="0"/>
                <w:sz w:val="24"/>
              </w:rPr>
              <w:t>序号</w:t>
            </w:r>
          </w:p>
        </w:tc>
        <w:tc>
          <w:tcPr>
            <w:tcW w:w="828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r>
              <w:rPr>
                <w:rFonts w:hint="eastAsia" w:ascii="宋体" w:hAnsi="宋体" w:cs="宋体"/>
                <w:kern w:val="0"/>
                <w:sz w:val="24"/>
              </w:rPr>
              <w:t>投标人需要采购人提供的附加条件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p>
        </w:tc>
        <w:tc>
          <w:tcPr>
            <w:tcW w:w="828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p>
        </w:tc>
        <w:tc>
          <w:tcPr>
            <w:tcW w:w="828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p>
        </w:tc>
        <w:tc>
          <w:tcPr>
            <w:tcW w:w="828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p>
        </w:tc>
        <w:tc>
          <w:tcPr>
            <w:tcW w:w="828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p>
        </w:tc>
      </w:tr>
    </w:tbl>
    <w:p>
      <w:pPr>
        <w:rPr>
          <w:rFonts w:ascii="宋体" w:hAnsi="宋体" w:cs="宋体"/>
          <w:kern w:val="0"/>
          <w:sz w:val="24"/>
        </w:rPr>
      </w:pPr>
      <w:r>
        <w:rPr>
          <w:rFonts w:hint="eastAsia" w:ascii="宋体" w:hAnsi="宋体" w:cs="宋体"/>
          <w:kern w:val="0"/>
          <w:sz w:val="24"/>
        </w:rPr>
        <w:t>注：投标人完成本项目需要采购人配合或提供的条件必须在上表列出，否则将视为投标人同意按现有条件完成本项目。如上表所列附加条件含有采购人不能接受的，将被视为投标无效。</w:t>
      </w:r>
    </w:p>
    <w:p>
      <w:pPr>
        <w:rPr>
          <w:rFonts w:ascii="宋体" w:hAnsi="宋体" w:cs="宋体"/>
          <w:szCs w:val="21"/>
          <w:lang w:val="en-GB"/>
        </w:rPr>
      </w:pPr>
    </w:p>
    <w:p>
      <w:pPr>
        <w:rPr>
          <w:rFonts w:ascii="宋体" w:hAnsi="宋体" w:cs="宋体"/>
          <w:b/>
          <w:kern w:val="0"/>
          <w:sz w:val="24"/>
        </w:rPr>
      </w:pPr>
    </w:p>
    <w:p>
      <w:pPr>
        <w:rPr>
          <w:rFonts w:ascii="宋体" w:hAnsi="宋体" w:cs="宋体"/>
          <w:b/>
          <w:kern w:val="0"/>
          <w:sz w:val="24"/>
        </w:rPr>
      </w:pPr>
      <w:r>
        <w:rPr>
          <w:rFonts w:hint="eastAsia" w:ascii="宋体" w:hAnsi="宋体" w:cs="宋体"/>
          <w:b/>
          <w:kern w:val="0"/>
          <w:sz w:val="24"/>
        </w:rPr>
        <w:t>5</w:t>
      </w:r>
      <w:r>
        <w:rPr>
          <w:rFonts w:hint="eastAsia" w:ascii="宋体" w:hAnsi="宋体" w:cs="宋体"/>
          <w:b/>
          <w:kern w:val="0"/>
          <w:sz w:val="24"/>
        </w:rPr>
        <w:tab/>
      </w:r>
      <w:r>
        <w:rPr>
          <w:rFonts w:hint="eastAsia" w:ascii="宋体" w:hAnsi="宋体" w:cs="宋体"/>
          <w:b/>
          <w:kern w:val="0"/>
          <w:sz w:val="24"/>
        </w:rPr>
        <w:t>其它重要事项说明及承诺</w:t>
      </w:r>
    </w:p>
    <w:p>
      <w:pPr>
        <w:rPr>
          <w:rFonts w:ascii="宋体" w:hAnsi="宋体" w:cs="宋体"/>
          <w:kern w:val="0"/>
          <w:sz w:val="24"/>
        </w:rPr>
      </w:pPr>
      <w:r>
        <w:rPr>
          <w:rFonts w:hint="eastAsia" w:ascii="宋体" w:hAnsi="宋体" w:cs="宋体"/>
          <w:kern w:val="0"/>
          <w:sz w:val="24"/>
        </w:rPr>
        <w:t>（如有，请扼要叙述）</w:t>
      </w:r>
    </w:p>
    <w:p>
      <w:pPr>
        <w:pStyle w:val="2"/>
        <w:kinsoku w:val="0"/>
        <w:overflowPunct w:val="0"/>
        <w:spacing w:before="34" w:line="357" w:lineRule="auto"/>
        <w:ind w:right="126" w:firstLine="105" w:firstLineChars="50"/>
        <w:jc w:val="center"/>
        <w:outlineLvl w:val="1"/>
        <w:rPr>
          <w:rFonts w:ascii="宋体" w:hAnsi="宋体" w:cs="宋体"/>
        </w:rPr>
      </w:pPr>
      <w:r>
        <w:rPr>
          <w:rFonts w:hint="eastAsia" w:ascii="宋体" w:hAnsi="宋体" w:cs="宋体"/>
        </w:rPr>
        <w:br w:type="page"/>
      </w:r>
      <w:r>
        <w:rPr>
          <w:rFonts w:hint="eastAsia" w:ascii="宋体" w:hAnsi="宋体" w:cs="宋体"/>
          <w:b/>
          <w:bCs/>
          <w:sz w:val="36"/>
          <w:szCs w:val="36"/>
        </w:rPr>
        <w:t>十六、供应商认为需要提交的技术资料</w:t>
      </w:r>
    </w:p>
    <w:p>
      <w:pPr>
        <w:rPr>
          <w:rFonts w:ascii="宋体" w:hAnsi="宋体" w:cs="宋体"/>
        </w:rPr>
      </w:pPr>
    </w:p>
    <w:p>
      <w:pPr>
        <w:pStyle w:val="2"/>
        <w:tabs>
          <w:tab w:val="left" w:pos="3820"/>
        </w:tabs>
        <w:spacing w:before="160"/>
        <w:ind w:left="460"/>
        <w:rPr>
          <w:rFonts w:ascii="宋体" w:hAnsi="宋体" w:cs="宋体"/>
          <w:kern w:val="0"/>
          <w:sz w:val="24"/>
        </w:rPr>
      </w:pPr>
    </w:p>
    <w:bookmarkEnd w:id="115"/>
    <w:p>
      <w:pPr>
        <w:tabs>
          <w:tab w:val="left" w:pos="4032"/>
        </w:tabs>
        <w:spacing w:line="440" w:lineRule="exact"/>
        <w:ind w:firstLine="470" w:firstLineChars="196"/>
        <w:rPr>
          <w:rFonts w:ascii="ˎ̥" w:hAnsi="ˎ̥" w:cs="宋体"/>
          <w:kern w:val="0"/>
          <w:sz w:val="24"/>
        </w:rPr>
      </w:pPr>
    </w:p>
    <w:sectPr>
      <w:headerReference r:id="rId4" w:type="default"/>
      <w:footerReference r:id="rId5" w:type="default"/>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经典美黑简">
    <w:altName w:val="黑体"/>
    <w:panose1 w:val="00000000000000000000"/>
    <w:charset w:val="86"/>
    <w:family w:val="modern"/>
    <w:pitch w:val="default"/>
    <w:sig w:usb0="00000000" w:usb1="00000000" w:usb2="0000001E"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tabs>
                              <w:tab w:val="center" w:pos="4140"/>
                              <w:tab w:val="right" w:pos="8300"/>
                              <w:tab w:val="clear" w:pos="4153"/>
                              <w:tab w:val="clear" w:pos="8306"/>
                            </w:tabs>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HXFK8gBAACfAwAADgAAAGRycy9lMm9Eb2MueG1srVPNjtMwEL6vxDtY&#10;vtNkK4G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GNmH5hjMnLD35+eeP86/H88N3&#10;loIkUe+xoso7T7VxeA8Dlc9xpGBiPrTBpi9xYpQngU8XgdUQmUyXVsvVqqSUpNzsEH7xdN0HjB8U&#10;WJaMmgd6wSysOH7COJbOJambg1ttTH5F4/4KEOYYUXkNptuJyThxsuKwGyZ6O2hOxK6nVai5o83n&#10;zHx0pHTamtkIs7GbjNQR/btDpDHydAl1hCJWyaF3y/ymHUuL8aefq57+q8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R1xSvIAQAAnwMAAA4AAAAAAAAAAQAgAAAAHgEAAGRycy9lMm9Eb2Mu&#10;eG1sUEsFBgAAAAAGAAYAWQEAAFgFAAAAAA==&#10;">
              <v:fill on="f" focussize="0,0"/>
              <v:stroke on="f"/>
              <v:imagedata o:title=""/>
              <o:lock v:ext="edit" aspectratio="f"/>
              <v:textbox inset="0mm,0mm,0mm,0mm" style="mso-fit-shape-to-text:t;">
                <w:txbxContent>
                  <w:p>
                    <w:pPr>
                      <w:pStyle w:val="16"/>
                      <w:tabs>
                        <w:tab w:val="center" w:pos="4140"/>
                        <w:tab w:val="right" w:pos="8300"/>
                        <w:tab w:val="clear" w:pos="4153"/>
                        <w:tab w:val="clear" w:pos="8306"/>
                      </w:tabs>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auto" w:sz="4" w:space="1"/>
      </w:pBdr>
      <w:jc w:val="center"/>
      <w:rPr>
        <w:rFonts w:ascii="Cambria" w:hAnsi="Cambr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80</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uOi8EBAACP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wE+qaEsctjvzy4/vl5+/Lr2+k&#10;zgINARrMuw+Ymca3fsTkxQ/ozLxHFW3+IiOCcZT3fJVXjomI/Ghdr9cVhgTGlgvis4fnIUJ6J70l&#10;2WhpxPkVWfnpA6QpdUnJ1Zy/08aUGRr3lwMxs4fl3qces5XG/TgT2vvujHwGHH1LHW46Jea9Q2Xz&#10;lixGXIz9bOQaEN4cExYu/WTUCWouhnMqjOadyovw+F6yHv6j7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bguOi8EBAACPAwAADgAAAAAAAAABACAAAAAeAQAAZHJzL2Uyb0RvYy54bWxQSwUG&#10;AAAAAAYABgBZAQAAU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80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Cambria" w:hAnsi="Cambria"/>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4F61E"/>
    <w:multiLevelType w:val="singleLevel"/>
    <w:tmpl w:val="8E34F61E"/>
    <w:lvl w:ilvl="0" w:tentative="0">
      <w:start w:val="1"/>
      <w:numFmt w:val="decimal"/>
      <w:suff w:val="nothing"/>
      <w:lvlText w:val="%1、"/>
      <w:lvlJc w:val="left"/>
    </w:lvl>
  </w:abstractNum>
  <w:abstractNum w:abstractNumId="1">
    <w:nsid w:val="B615332D"/>
    <w:multiLevelType w:val="singleLevel"/>
    <w:tmpl w:val="B615332D"/>
    <w:lvl w:ilvl="0" w:tentative="0">
      <w:start w:val="1"/>
      <w:numFmt w:val="bullet"/>
      <w:lvlText w:val=""/>
      <w:lvlJc w:val="left"/>
      <w:pPr>
        <w:tabs>
          <w:tab w:val="left" w:pos="420"/>
        </w:tabs>
        <w:ind w:left="840" w:hanging="420"/>
      </w:pPr>
      <w:rPr>
        <w:rFonts w:hint="default" w:ascii="Wingdings" w:hAnsi="Wingdings"/>
      </w:rPr>
    </w:lvl>
  </w:abstractNum>
  <w:abstractNum w:abstractNumId="2">
    <w:nsid w:val="C3BA8D3A"/>
    <w:multiLevelType w:val="singleLevel"/>
    <w:tmpl w:val="C3BA8D3A"/>
    <w:lvl w:ilvl="0" w:tentative="0">
      <w:start w:val="1"/>
      <w:numFmt w:val="decimal"/>
      <w:suff w:val="nothing"/>
      <w:lvlText w:val="%1）"/>
      <w:lvlJc w:val="left"/>
    </w:lvl>
  </w:abstractNum>
  <w:abstractNum w:abstractNumId="3">
    <w:nsid w:val="CF382B10"/>
    <w:multiLevelType w:val="multilevel"/>
    <w:tmpl w:val="CF382B10"/>
    <w:lvl w:ilvl="0" w:tentative="0">
      <w:start w:val="1"/>
      <w:numFmt w:val="decimal"/>
      <w:suff w:val="nothing"/>
      <w:lvlText w:val="%1、"/>
      <w:lvlJc w:val="left"/>
      <w:pPr>
        <w:tabs>
          <w:tab w:val="left" w:pos="0"/>
        </w:tabs>
      </w:pPr>
      <w:rPr>
        <w:rFonts w:hint="eastAsia" w:ascii="宋体" w:hAnsi="宋体" w:eastAsia="宋体" w:cs="宋体"/>
        <w:b/>
        <w:bCs/>
      </w:rPr>
    </w:lvl>
    <w:lvl w:ilvl="1" w:tentative="0">
      <w:start w:val="1"/>
      <w:numFmt w:val="decimal"/>
      <w:suff w:val="nothing"/>
      <w:lvlText w:val="%2、"/>
      <w:lvlJc w:val="left"/>
      <w:pPr>
        <w:tabs>
          <w:tab w:val="left" w:pos="1702"/>
        </w:tabs>
      </w:pPr>
      <w:rPr>
        <w:rFonts w:hint="eastAsia" w:ascii="宋体" w:hAnsi="宋体" w:eastAsia="宋体" w:cs="宋体"/>
        <w:b/>
        <w:bCs/>
        <w:sz w:val="24"/>
        <w:szCs w:val="24"/>
      </w:rPr>
    </w:lvl>
    <w:lvl w:ilvl="2" w:tentative="0">
      <w:start w:val="1"/>
      <w:numFmt w:val="decimal"/>
      <w:suff w:val="nothing"/>
      <w:lvlText w:val="%2.%3、"/>
      <w:lvlJc w:val="left"/>
      <w:rPr>
        <w:rFonts w:hint="default" w:ascii="宋体" w:hAnsi="宋体" w:eastAsia="宋体" w:cs="宋体"/>
        <w:b/>
        <w:bCs/>
        <w:sz w:val="24"/>
        <w:szCs w:val="24"/>
      </w:rPr>
    </w:lvl>
    <w:lvl w:ilvl="3" w:tentative="0">
      <w:start w:val="1"/>
      <w:numFmt w:val="decimal"/>
      <w:suff w:val="nothing"/>
      <w:lvlText w:val="%2.%3.%4、"/>
      <w:lvlJc w:val="left"/>
      <w:rPr>
        <w:rFonts w:hint="eastAsia" w:ascii="宋体" w:hAnsi="宋体" w:eastAsia="宋体" w:cs="宋体"/>
        <w:b/>
        <w:bCs/>
      </w:rPr>
    </w:lvl>
    <w:lvl w:ilvl="4" w:tentative="0">
      <w:start w:val="1"/>
      <w:numFmt w:val="decimal"/>
      <w:suff w:val="nothing"/>
      <w:lvlText w:val="%2.%3.%4.%5、"/>
      <w:lvlJc w:val="left"/>
      <w:rPr>
        <w:rFonts w:hint="eastAsia" w:ascii="宋体" w:hAnsi="宋体" w:eastAsia="宋体" w:cs="宋体"/>
        <w:b/>
        <w:bCs/>
      </w:rPr>
    </w:lvl>
    <w:lvl w:ilvl="5" w:tentative="0">
      <w:start w:val="1"/>
      <w:numFmt w:val="decimalFullWidth"/>
      <w:suff w:val="nothing"/>
      <w:lvlText w:val="%2.%3.%4.%5.%6、"/>
      <w:lvlJc w:val="left"/>
      <w:rPr>
        <w:rFonts w:hint="eastAsia" w:ascii="宋体" w:hAnsi="宋体" w:eastAsia="宋体" w:cs="宋体"/>
        <w:b w:val="0"/>
        <w:bCs/>
      </w:rPr>
    </w:lvl>
    <w:lvl w:ilvl="6" w:tentative="0">
      <w:start w:val="1"/>
      <w:numFmt w:val="lowerLetter"/>
      <w:suff w:val="nothing"/>
      <w:lvlText w:val="%2.%3.%4.%5.%6.%7、"/>
      <w:lvlJc w:val="left"/>
      <w:rPr>
        <w:rFonts w:hint="eastAsia" w:ascii="宋体" w:hAnsi="宋体" w:eastAsia="宋体" w:cs="宋体"/>
        <w:b/>
        <w:bCs/>
      </w:rPr>
    </w:lvl>
    <w:lvl w:ilvl="7" w:tentative="0">
      <w:start w:val="1"/>
      <w:numFmt w:val="lowerRoman"/>
      <w:suff w:val="nothing"/>
      <w:lvlText w:val="%2.%3.%4.%5.%6.%7.%8、"/>
      <w:lvlJc w:val="left"/>
      <w:rPr>
        <w:rFonts w:hint="eastAsia" w:ascii="宋体" w:hAnsi="宋体" w:eastAsia="宋体" w:cs="宋体"/>
        <w:b/>
        <w:bCs/>
      </w:rPr>
    </w:lvl>
    <w:lvl w:ilvl="8" w:tentative="0">
      <w:start w:val="1"/>
      <w:numFmt w:val="lowerRoman"/>
      <w:suff w:val="nothing"/>
      <w:lvlText w:val="%2.%3.%4.%5.%6.%7.%8.%9、"/>
      <w:lvlJc w:val="left"/>
      <w:rPr>
        <w:rFonts w:hint="eastAsia" w:ascii="宋体" w:hAnsi="宋体" w:eastAsia="宋体" w:cs="宋体"/>
        <w:b/>
        <w:bCs/>
      </w:rPr>
    </w:lvl>
  </w:abstractNum>
  <w:abstractNum w:abstractNumId="4">
    <w:nsid w:val="D55817F2"/>
    <w:multiLevelType w:val="singleLevel"/>
    <w:tmpl w:val="D55817F2"/>
    <w:lvl w:ilvl="0" w:tentative="0">
      <w:start w:val="1"/>
      <w:numFmt w:val="bullet"/>
      <w:lvlText w:val=""/>
      <w:lvlJc w:val="left"/>
      <w:pPr>
        <w:tabs>
          <w:tab w:val="left" w:pos="420"/>
        </w:tabs>
        <w:ind w:left="840" w:hanging="420"/>
      </w:pPr>
      <w:rPr>
        <w:rFonts w:hint="default" w:ascii="Wingdings" w:hAnsi="Wingdings"/>
      </w:rPr>
    </w:lvl>
  </w:abstractNum>
  <w:abstractNum w:abstractNumId="5">
    <w:nsid w:val="D6E18BD4"/>
    <w:multiLevelType w:val="singleLevel"/>
    <w:tmpl w:val="D6E18BD4"/>
    <w:lvl w:ilvl="0" w:tentative="0">
      <w:start w:val="1"/>
      <w:numFmt w:val="decimal"/>
      <w:suff w:val="nothing"/>
      <w:lvlText w:val="（%1）"/>
      <w:lvlJc w:val="left"/>
      <w:pPr>
        <w:ind w:left="210"/>
      </w:pPr>
    </w:lvl>
  </w:abstractNum>
  <w:abstractNum w:abstractNumId="6">
    <w:nsid w:val="DA316606"/>
    <w:multiLevelType w:val="singleLevel"/>
    <w:tmpl w:val="DA316606"/>
    <w:lvl w:ilvl="0" w:tentative="0">
      <w:start w:val="4"/>
      <w:numFmt w:val="chineseCounting"/>
      <w:suff w:val="space"/>
      <w:lvlText w:val="第%1章"/>
      <w:lvlJc w:val="left"/>
      <w:rPr>
        <w:rFonts w:hint="eastAsia"/>
      </w:rPr>
    </w:lvl>
  </w:abstractNum>
  <w:abstractNum w:abstractNumId="7">
    <w:nsid w:val="DA94CFC0"/>
    <w:multiLevelType w:val="singleLevel"/>
    <w:tmpl w:val="DA94CFC0"/>
    <w:lvl w:ilvl="0" w:tentative="0">
      <w:start w:val="1"/>
      <w:numFmt w:val="bullet"/>
      <w:lvlText w:val=""/>
      <w:lvlJc w:val="left"/>
      <w:pPr>
        <w:tabs>
          <w:tab w:val="left" w:pos="420"/>
        </w:tabs>
        <w:ind w:left="840" w:hanging="420"/>
      </w:pPr>
      <w:rPr>
        <w:rFonts w:hint="default" w:ascii="Wingdings" w:hAnsi="Wingdings"/>
      </w:rPr>
    </w:lvl>
  </w:abstractNum>
  <w:abstractNum w:abstractNumId="8">
    <w:nsid w:val="4A8FC918"/>
    <w:multiLevelType w:val="singleLevel"/>
    <w:tmpl w:val="4A8FC918"/>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6"/>
  </w:num>
  <w:num w:numId="4">
    <w:abstractNumId w:val="3"/>
  </w:num>
  <w:num w:numId="5">
    <w:abstractNumId w:val="4"/>
  </w:num>
  <w:num w:numId="6">
    <w:abstractNumId w:val="1"/>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xMGNkYTJhN2NkODc0MzYwZWZhYmI0Y2E4ZDVlOGEifQ=="/>
  </w:docVars>
  <w:rsids>
    <w:rsidRoot w:val="00172A27"/>
    <w:rsid w:val="000006CD"/>
    <w:rsid w:val="000008FC"/>
    <w:rsid w:val="00001064"/>
    <w:rsid w:val="00001548"/>
    <w:rsid w:val="00001FCA"/>
    <w:rsid w:val="00003D75"/>
    <w:rsid w:val="00007030"/>
    <w:rsid w:val="00007E85"/>
    <w:rsid w:val="0001048E"/>
    <w:rsid w:val="00010A6C"/>
    <w:rsid w:val="00012875"/>
    <w:rsid w:val="0001299F"/>
    <w:rsid w:val="00013478"/>
    <w:rsid w:val="000141B7"/>
    <w:rsid w:val="000146DC"/>
    <w:rsid w:val="00014ACD"/>
    <w:rsid w:val="00015773"/>
    <w:rsid w:val="00017137"/>
    <w:rsid w:val="000208A9"/>
    <w:rsid w:val="00020B16"/>
    <w:rsid w:val="0002169F"/>
    <w:rsid w:val="00023BF9"/>
    <w:rsid w:val="00024143"/>
    <w:rsid w:val="000258DF"/>
    <w:rsid w:val="00025B1A"/>
    <w:rsid w:val="00026753"/>
    <w:rsid w:val="00027727"/>
    <w:rsid w:val="0002789A"/>
    <w:rsid w:val="00032B4D"/>
    <w:rsid w:val="00034928"/>
    <w:rsid w:val="00040880"/>
    <w:rsid w:val="00040D60"/>
    <w:rsid w:val="00043D89"/>
    <w:rsid w:val="000450B1"/>
    <w:rsid w:val="00045D5F"/>
    <w:rsid w:val="00046546"/>
    <w:rsid w:val="00046641"/>
    <w:rsid w:val="00046B5E"/>
    <w:rsid w:val="0004730E"/>
    <w:rsid w:val="000526C2"/>
    <w:rsid w:val="0005388E"/>
    <w:rsid w:val="000538D3"/>
    <w:rsid w:val="000545C7"/>
    <w:rsid w:val="00055676"/>
    <w:rsid w:val="00062456"/>
    <w:rsid w:val="00062BBA"/>
    <w:rsid w:val="000654B0"/>
    <w:rsid w:val="00066245"/>
    <w:rsid w:val="00066355"/>
    <w:rsid w:val="00066FDA"/>
    <w:rsid w:val="00072C4D"/>
    <w:rsid w:val="00073553"/>
    <w:rsid w:val="000745BA"/>
    <w:rsid w:val="000745BD"/>
    <w:rsid w:val="0008218E"/>
    <w:rsid w:val="00082226"/>
    <w:rsid w:val="00082A6E"/>
    <w:rsid w:val="00083AB1"/>
    <w:rsid w:val="0008476E"/>
    <w:rsid w:val="00086DE9"/>
    <w:rsid w:val="00087F63"/>
    <w:rsid w:val="000922AD"/>
    <w:rsid w:val="00092D3E"/>
    <w:rsid w:val="00093ECA"/>
    <w:rsid w:val="00094552"/>
    <w:rsid w:val="00095194"/>
    <w:rsid w:val="000964C7"/>
    <w:rsid w:val="000974F3"/>
    <w:rsid w:val="00097B74"/>
    <w:rsid w:val="000A0A0C"/>
    <w:rsid w:val="000A13DB"/>
    <w:rsid w:val="000A3055"/>
    <w:rsid w:val="000A4D4C"/>
    <w:rsid w:val="000A5E9C"/>
    <w:rsid w:val="000A6E73"/>
    <w:rsid w:val="000A7E9E"/>
    <w:rsid w:val="000B0A82"/>
    <w:rsid w:val="000B28E7"/>
    <w:rsid w:val="000B34F1"/>
    <w:rsid w:val="000B4CA0"/>
    <w:rsid w:val="000B62BA"/>
    <w:rsid w:val="000B62BF"/>
    <w:rsid w:val="000C39AD"/>
    <w:rsid w:val="000C5724"/>
    <w:rsid w:val="000C61E6"/>
    <w:rsid w:val="000C6333"/>
    <w:rsid w:val="000D1961"/>
    <w:rsid w:val="000D3208"/>
    <w:rsid w:val="000D4147"/>
    <w:rsid w:val="000D41BA"/>
    <w:rsid w:val="000D7412"/>
    <w:rsid w:val="000E1D9B"/>
    <w:rsid w:val="000E26A3"/>
    <w:rsid w:val="000E27D0"/>
    <w:rsid w:val="000E40E5"/>
    <w:rsid w:val="000E58F2"/>
    <w:rsid w:val="000E5C7F"/>
    <w:rsid w:val="000E5E29"/>
    <w:rsid w:val="000E6AED"/>
    <w:rsid w:val="000E7D92"/>
    <w:rsid w:val="000F016E"/>
    <w:rsid w:val="000F0BC0"/>
    <w:rsid w:val="000F1DD7"/>
    <w:rsid w:val="000F3C91"/>
    <w:rsid w:val="000F6F44"/>
    <w:rsid w:val="00103149"/>
    <w:rsid w:val="00103C81"/>
    <w:rsid w:val="001055F8"/>
    <w:rsid w:val="00105B36"/>
    <w:rsid w:val="001062F4"/>
    <w:rsid w:val="00107026"/>
    <w:rsid w:val="00110E2C"/>
    <w:rsid w:val="0011402F"/>
    <w:rsid w:val="00114BBF"/>
    <w:rsid w:val="00115139"/>
    <w:rsid w:val="001151D7"/>
    <w:rsid w:val="001154EC"/>
    <w:rsid w:val="00120EF0"/>
    <w:rsid w:val="0012641B"/>
    <w:rsid w:val="00127471"/>
    <w:rsid w:val="00127B54"/>
    <w:rsid w:val="001304E1"/>
    <w:rsid w:val="001351E8"/>
    <w:rsid w:val="00135220"/>
    <w:rsid w:val="00135265"/>
    <w:rsid w:val="0013536E"/>
    <w:rsid w:val="001353A1"/>
    <w:rsid w:val="00135B09"/>
    <w:rsid w:val="00137DFA"/>
    <w:rsid w:val="00141690"/>
    <w:rsid w:val="00141AA7"/>
    <w:rsid w:val="00142161"/>
    <w:rsid w:val="00142209"/>
    <w:rsid w:val="001432CA"/>
    <w:rsid w:val="0014397E"/>
    <w:rsid w:val="001440BF"/>
    <w:rsid w:val="00150ECC"/>
    <w:rsid w:val="00152B09"/>
    <w:rsid w:val="00152CD5"/>
    <w:rsid w:val="00152E0B"/>
    <w:rsid w:val="00153294"/>
    <w:rsid w:val="0015342E"/>
    <w:rsid w:val="0015446C"/>
    <w:rsid w:val="0015473F"/>
    <w:rsid w:val="00157463"/>
    <w:rsid w:val="00161A56"/>
    <w:rsid w:val="0016422A"/>
    <w:rsid w:val="00166B10"/>
    <w:rsid w:val="00166FEF"/>
    <w:rsid w:val="0017080A"/>
    <w:rsid w:val="00172673"/>
    <w:rsid w:val="00172915"/>
    <w:rsid w:val="00172A27"/>
    <w:rsid w:val="00172E7F"/>
    <w:rsid w:val="00173100"/>
    <w:rsid w:val="001746DE"/>
    <w:rsid w:val="001763A8"/>
    <w:rsid w:val="00181A3F"/>
    <w:rsid w:val="00181C99"/>
    <w:rsid w:val="001824C6"/>
    <w:rsid w:val="00182F8C"/>
    <w:rsid w:val="00183832"/>
    <w:rsid w:val="00184A36"/>
    <w:rsid w:val="00184B4F"/>
    <w:rsid w:val="00184E9B"/>
    <w:rsid w:val="00185074"/>
    <w:rsid w:val="00185834"/>
    <w:rsid w:val="001861B3"/>
    <w:rsid w:val="0018651E"/>
    <w:rsid w:val="00187213"/>
    <w:rsid w:val="00191387"/>
    <w:rsid w:val="001914CD"/>
    <w:rsid w:val="001920A7"/>
    <w:rsid w:val="0019213A"/>
    <w:rsid w:val="00192319"/>
    <w:rsid w:val="00192644"/>
    <w:rsid w:val="00193DDE"/>
    <w:rsid w:val="001A0873"/>
    <w:rsid w:val="001A1878"/>
    <w:rsid w:val="001A196C"/>
    <w:rsid w:val="001A498B"/>
    <w:rsid w:val="001A54B5"/>
    <w:rsid w:val="001A57F1"/>
    <w:rsid w:val="001A5ACB"/>
    <w:rsid w:val="001A769E"/>
    <w:rsid w:val="001B08D6"/>
    <w:rsid w:val="001B0FE8"/>
    <w:rsid w:val="001B1FE1"/>
    <w:rsid w:val="001B261D"/>
    <w:rsid w:val="001B3DB3"/>
    <w:rsid w:val="001B449E"/>
    <w:rsid w:val="001B4CE8"/>
    <w:rsid w:val="001B6331"/>
    <w:rsid w:val="001B6C60"/>
    <w:rsid w:val="001C27AF"/>
    <w:rsid w:val="001C4129"/>
    <w:rsid w:val="001C5E09"/>
    <w:rsid w:val="001C6AE9"/>
    <w:rsid w:val="001C6BB1"/>
    <w:rsid w:val="001C78AA"/>
    <w:rsid w:val="001D2B5C"/>
    <w:rsid w:val="001D552D"/>
    <w:rsid w:val="001D6106"/>
    <w:rsid w:val="001E188D"/>
    <w:rsid w:val="001E2603"/>
    <w:rsid w:val="001E336F"/>
    <w:rsid w:val="001E438F"/>
    <w:rsid w:val="001E50C3"/>
    <w:rsid w:val="001E778F"/>
    <w:rsid w:val="001E79FD"/>
    <w:rsid w:val="001F0655"/>
    <w:rsid w:val="001F258C"/>
    <w:rsid w:val="001F3771"/>
    <w:rsid w:val="001F568F"/>
    <w:rsid w:val="001F5C54"/>
    <w:rsid w:val="00200343"/>
    <w:rsid w:val="00204E81"/>
    <w:rsid w:val="00206177"/>
    <w:rsid w:val="0020662C"/>
    <w:rsid w:val="002107B4"/>
    <w:rsid w:val="002114FD"/>
    <w:rsid w:val="002118E9"/>
    <w:rsid w:val="00212468"/>
    <w:rsid w:val="00214E3E"/>
    <w:rsid w:val="00214FED"/>
    <w:rsid w:val="00215174"/>
    <w:rsid w:val="0021576B"/>
    <w:rsid w:val="0021647C"/>
    <w:rsid w:val="00216AFC"/>
    <w:rsid w:val="00222F67"/>
    <w:rsid w:val="0022626C"/>
    <w:rsid w:val="00227B12"/>
    <w:rsid w:val="00230096"/>
    <w:rsid w:val="002314C6"/>
    <w:rsid w:val="002315F0"/>
    <w:rsid w:val="002326B7"/>
    <w:rsid w:val="00233085"/>
    <w:rsid w:val="00233211"/>
    <w:rsid w:val="00233BC1"/>
    <w:rsid w:val="00235316"/>
    <w:rsid w:val="00237828"/>
    <w:rsid w:val="00237A94"/>
    <w:rsid w:val="002441DD"/>
    <w:rsid w:val="002443D6"/>
    <w:rsid w:val="00244994"/>
    <w:rsid w:val="002506C6"/>
    <w:rsid w:val="00250F2F"/>
    <w:rsid w:val="002526C1"/>
    <w:rsid w:val="00253474"/>
    <w:rsid w:val="00253506"/>
    <w:rsid w:val="00253CEE"/>
    <w:rsid w:val="00254D00"/>
    <w:rsid w:val="00254D15"/>
    <w:rsid w:val="002551A3"/>
    <w:rsid w:val="00260B44"/>
    <w:rsid w:val="0026299B"/>
    <w:rsid w:val="002640A6"/>
    <w:rsid w:val="00265D0D"/>
    <w:rsid w:val="00271292"/>
    <w:rsid w:val="002748EB"/>
    <w:rsid w:val="00274BC6"/>
    <w:rsid w:val="002763D7"/>
    <w:rsid w:val="002764F3"/>
    <w:rsid w:val="00277C01"/>
    <w:rsid w:val="0028027A"/>
    <w:rsid w:val="00280755"/>
    <w:rsid w:val="00280FDC"/>
    <w:rsid w:val="00281004"/>
    <w:rsid w:val="002817CB"/>
    <w:rsid w:val="0028346B"/>
    <w:rsid w:val="00283590"/>
    <w:rsid w:val="00283BC0"/>
    <w:rsid w:val="00283E7B"/>
    <w:rsid w:val="00284C43"/>
    <w:rsid w:val="0028524D"/>
    <w:rsid w:val="00286B0C"/>
    <w:rsid w:val="002907FC"/>
    <w:rsid w:val="00290AFE"/>
    <w:rsid w:val="0029106F"/>
    <w:rsid w:val="00291800"/>
    <w:rsid w:val="00291E06"/>
    <w:rsid w:val="002926B8"/>
    <w:rsid w:val="00292E01"/>
    <w:rsid w:val="0029386C"/>
    <w:rsid w:val="0029615C"/>
    <w:rsid w:val="002969A3"/>
    <w:rsid w:val="00297EA1"/>
    <w:rsid w:val="002A0EE1"/>
    <w:rsid w:val="002A2E44"/>
    <w:rsid w:val="002A341A"/>
    <w:rsid w:val="002A362D"/>
    <w:rsid w:val="002A5E25"/>
    <w:rsid w:val="002A6199"/>
    <w:rsid w:val="002A65B6"/>
    <w:rsid w:val="002B3327"/>
    <w:rsid w:val="002B5C4B"/>
    <w:rsid w:val="002B5EE2"/>
    <w:rsid w:val="002B66D5"/>
    <w:rsid w:val="002B7070"/>
    <w:rsid w:val="002B78AF"/>
    <w:rsid w:val="002B7B72"/>
    <w:rsid w:val="002C04D9"/>
    <w:rsid w:val="002C0CAA"/>
    <w:rsid w:val="002C3143"/>
    <w:rsid w:val="002C3653"/>
    <w:rsid w:val="002C6233"/>
    <w:rsid w:val="002C7900"/>
    <w:rsid w:val="002C7D86"/>
    <w:rsid w:val="002D0086"/>
    <w:rsid w:val="002D039C"/>
    <w:rsid w:val="002D0CDA"/>
    <w:rsid w:val="002D11A3"/>
    <w:rsid w:val="002D19B0"/>
    <w:rsid w:val="002D2618"/>
    <w:rsid w:val="002D4382"/>
    <w:rsid w:val="002D4630"/>
    <w:rsid w:val="002D484F"/>
    <w:rsid w:val="002D739C"/>
    <w:rsid w:val="002E0124"/>
    <w:rsid w:val="002E0850"/>
    <w:rsid w:val="002E3E19"/>
    <w:rsid w:val="002E3EFE"/>
    <w:rsid w:val="002E7026"/>
    <w:rsid w:val="002F053E"/>
    <w:rsid w:val="002F1429"/>
    <w:rsid w:val="002F2672"/>
    <w:rsid w:val="002F2A43"/>
    <w:rsid w:val="002F464E"/>
    <w:rsid w:val="002F71D1"/>
    <w:rsid w:val="002F75BA"/>
    <w:rsid w:val="002F7D79"/>
    <w:rsid w:val="003010B1"/>
    <w:rsid w:val="00301753"/>
    <w:rsid w:val="00310BA8"/>
    <w:rsid w:val="00310D4A"/>
    <w:rsid w:val="003120AC"/>
    <w:rsid w:val="003121EC"/>
    <w:rsid w:val="003127E7"/>
    <w:rsid w:val="003146A1"/>
    <w:rsid w:val="00314A7E"/>
    <w:rsid w:val="003158B8"/>
    <w:rsid w:val="00317CAE"/>
    <w:rsid w:val="003206BB"/>
    <w:rsid w:val="00320FA1"/>
    <w:rsid w:val="00321847"/>
    <w:rsid w:val="003220A6"/>
    <w:rsid w:val="003229F4"/>
    <w:rsid w:val="00323C8A"/>
    <w:rsid w:val="003244D8"/>
    <w:rsid w:val="003247F3"/>
    <w:rsid w:val="00327730"/>
    <w:rsid w:val="003279E2"/>
    <w:rsid w:val="00327ADE"/>
    <w:rsid w:val="00330E3D"/>
    <w:rsid w:val="00331319"/>
    <w:rsid w:val="003327CC"/>
    <w:rsid w:val="00333A4C"/>
    <w:rsid w:val="00333ADA"/>
    <w:rsid w:val="003341C9"/>
    <w:rsid w:val="0033498D"/>
    <w:rsid w:val="00334F15"/>
    <w:rsid w:val="00335C4F"/>
    <w:rsid w:val="00335F5C"/>
    <w:rsid w:val="00336CE8"/>
    <w:rsid w:val="003375C0"/>
    <w:rsid w:val="003375FA"/>
    <w:rsid w:val="00340998"/>
    <w:rsid w:val="00343277"/>
    <w:rsid w:val="00344678"/>
    <w:rsid w:val="00344FC2"/>
    <w:rsid w:val="003459E3"/>
    <w:rsid w:val="00350525"/>
    <w:rsid w:val="00352862"/>
    <w:rsid w:val="00353C6E"/>
    <w:rsid w:val="0035401B"/>
    <w:rsid w:val="0035726E"/>
    <w:rsid w:val="003608CC"/>
    <w:rsid w:val="00361AB2"/>
    <w:rsid w:val="00362266"/>
    <w:rsid w:val="0036277F"/>
    <w:rsid w:val="0036400C"/>
    <w:rsid w:val="003646B5"/>
    <w:rsid w:val="003646E1"/>
    <w:rsid w:val="00364C26"/>
    <w:rsid w:val="00365663"/>
    <w:rsid w:val="00365D10"/>
    <w:rsid w:val="00367B99"/>
    <w:rsid w:val="00372AC0"/>
    <w:rsid w:val="00375395"/>
    <w:rsid w:val="003755D7"/>
    <w:rsid w:val="00375975"/>
    <w:rsid w:val="00377E27"/>
    <w:rsid w:val="00380EE2"/>
    <w:rsid w:val="00382375"/>
    <w:rsid w:val="0038276A"/>
    <w:rsid w:val="00384EB7"/>
    <w:rsid w:val="003851BC"/>
    <w:rsid w:val="00387818"/>
    <w:rsid w:val="00387F93"/>
    <w:rsid w:val="00390B01"/>
    <w:rsid w:val="003932F1"/>
    <w:rsid w:val="0039425E"/>
    <w:rsid w:val="00396168"/>
    <w:rsid w:val="00396C31"/>
    <w:rsid w:val="003A0A8E"/>
    <w:rsid w:val="003A0EDD"/>
    <w:rsid w:val="003A4EBD"/>
    <w:rsid w:val="003A5664"/>
    <w:rsid w:val="003A6CE1"/>
    <w:rsid w:val="003A6EA4"/>
    <w:rsid w:val="003A7F2D"/>
    <w:rsid w:val="003B07FB"/>
    <w:rsid w:val="003B1C8F"/>
    <w:rsid w:val="003B39CB"/>
    <w:rsid w:val="003B4D85"/>
    <w:rsid w:val="003B5217"/>
    <w:rsid w:val="003B5E8B"/>
    <w:rsid w:val="003B678A"/>
    <w:rsid w:val="003B67B2"/>
    <w:rsid w:val="003B7385"/>
    <w:rsid w:val="003C00DC"/>
    <w:rsid w:val="003C02D9"/>
    <w:rsid w:val="003C40D8"/>
    <w:rsid w:val="003D0D92"/>
    <w:rsid w:val="003D2C48"/>
    <w:rsid w:val="003D4A07"/>
    <w:rsid w:val="003D7038"/>
    <w:rsid w:val="003E0BC6"/>
    <w:rsid w:val="003E189F"/>
    <w:rsid w:val="003E48BB"/>
    <w:rsid w:val="003E4EFE"/>
    <w:rsid w:val="003E5933"/>
    <w:rsid w:val="003E5934"/>
    <w:rsid w:val="003E71DB"/>
    <w:rsid w:val="003E7C61"/>
    <w:rsid w:val="003F02FE"/>
    <w:rsid w:val="003F1095"/>
    <w:rsid w:val="003F2D2B"/>
    <w:rsid w:val="003F3E1D"/>
    <w:rsid w:val="003F467C"/>
    <w:rsid w:val="003F70B6"/>
    <w:rsid w:val="003F79ED"/>
    <w:rsid w:val="00400432"/>
    <w:rsid w:val="004015CC"/>
    <w:rsid w:val="00402050"/>
    <w:rsid w:val="00405854"/>
    <w:rsid w:val="0040626A"/>
    <w:rsid w:val="0040672C"/>
    <w:rsid w:val="0040786D"/>
    <w:rsid w:val="00407DA6"/>
    <w:rsid w:val="00411816"/>
    <w:rsid w:val="0041273E"/>
    <w:rsid w:val="00414654"/>
    <w:rsid w:val="00414EC8"/>
    <w:rsid w:val="00417CC5"/>
    <w:rsid w:val="00420F8F"/>
    <w:rsid w:val="004259F0"/>
    <w:rsid w:val="00426C8B"/>
    <w:rsid w:val="004332EF"/>
    <w:rsid w:val="004336D3"/>
    <w:rsid w:val="00434636"/>
    <w:rsid w:val="004365B6"/>
    <w:rsid w:val="00436BE6"/>
    <w:rsid w:val="00436E38"/>
    <w:rsid w:val="00437EB3"/>
    <w:rsid w:val="00440234"/>
    <w:rsid w:val="004452D4"/>
    <w:rsid w:val="004475ED"/>
    <w:rsid w:val="00452A79"/>
    <w:rsid w:val="00452C86"/>
    <w:rsid w:val="0045558A"/>
    <w:rsid w:val="004555EF"/>
    <w:rsid w:val="00456888"/>
    <w:rsid w:val="00457D9E"/>
    <w:rsid w:val="0046104E"/>
    <w:rsid w:val="00461421"/>
    <w:rsid w:val="00461B9C"/>
    <w:rsid w:val="00467329"/>
    <w:rsid w:val="00467376"/>
    <w:rsid w:val="00470BB9"/>
    <w:rsid w:val="004716DA"/>
    <w:rsid w:val="004747C4"/>
    <w:rsid w:val="00474FB2"/>
    <w:rsid w:val="0047593A"/>
    <w:rsid w:val="00476199"/>
    <w:rsid w:val="0047742C"/>
    <w:rsid w:val="004775CF"/>
    <w:rsid w:val="00480812"/>
    <w:rsid w:val="00481630"/>
    <w:rsid w:val="004844A3"/>
    <w:rsid w:val="004849F3"/>
    <w:rsid w:val="00485FEE"/>
    <w:rsid w:val="004863DC"/>
    <w:rsid w:val="004863EA"/>
    <w:rsid w:val="00487239"/>
    <w:rsid w:val="00490E27"/>
    <w:rsid w:val="00493525"/>
    <w:rsid w:val="00494349"/>
    <w:rsid w:val="00495C4E"/>
    <w:rsid w:val="00495DBF"/>
    <w:rsid w:val="00496020"/>
    <w:rsid w:val="004963AD"/>
    <w:rsid w:val="00496C11"/>
    <w:rsid w:val="004A0964"/>
    <w:rsid w:val="004A1225"/>
    <w:rsid w:val="004A56E7"/>
    <w:rsid w:val="004A5A70"/>
    <w:rsid w:val="004A6655"/>
    <w:rsid w:val="004A6E11"/>
    <w:rsid w:val="004B0C64"/>
    <w:rsid w:val="004B0EDD"/>
    <w:rsid w:val="004B3CAB"/>
    <w:rsid w:val="004B421F"/>
    <w:rsid w:val="004B5A7C"/>
    <w:rsid w:val="004C363C"/>
    <w:rsid w:val="004C51B8"/>
    <w:rsid w:val="004C56AC"/>
    <w:rsid w:val="004C77FA"/>
    <w:rsid w:val="004C7976"/>
    <w:rsid w:val="004C7C04"/>
    <w:rsid w:val="004C7C4B"/>
    <w:rsid w:val="004D0805"/>
    <w:rsid w:val="004D551C"/>
    <w:rsid w:val="004D57A3"/>
    <w:rsid w:val="004D6EF7"/>
    <w:rsid w:val="004D7089"/>
    <w:rsid w:val="004D7D96"/>
    <w:rsid w:val="004D7EA8"/>
    <w:rsid w:val="004E1476"/>
    <w:rsid w:val="004E191A"/>
    <w:rsid w:val="004E7292"/>
    <w:rsid w:val="004F08A5"/>
    <w:rsid w:val="004F0E44"/>
    <w:rsid w:val="004F1302"/>
    <w:rsid w:val="004F2E44"/>
    <w:rsid w:val="004F3D2B"/>
    <w:rsid w:val="005002DC"/>
    <w:rsid w:val="005008A9"/>
    <w:rsid w:val="00500C50"/>
    <w:rsid w:val="00501CDC"/>
    <w:rsid w:val="00503C5A"/>
    <w:rsid w:val="00504BD0"/>
    <w:rsid w:val="00505363"/>
    <w:rsid w:val="005053B3"/>
    <w:rsid w:val="00506732"/>
    <w:rsid w:val="005067B9"/>
    <w:rsid w:val="005138BB"/>
    <w:rsid w:val="005146BC"/>
    <w:rsid w:val="00516DF9"/>
    <w:rsid w:val="00520C8F"/>
    <w:rsid w:val="00522271"/>
    <w:rsid w:val="00525466"/>
    <w:rsid w:val="00526D68"/>
    <w:rsid w:val="0052715A"/>
    <w:rsid w:val="005275E2"/>
    <w:rsid w:val="00527DC2"/>
    <w:rsid w:val="00527EAE"/>
    <w:rsid w:val="005329DA"/>
    <w:rsid w:val="00533C0C"/>
    <w:rsid w:val="0053446F"/>
    <w:rsid w:val="00534A84"/>
    <w:rsid w:val="00534F81"/>
    <w:rsid w:val="00536ACB"/>
    <w:rsid w:val="0054002D"/>
    <w:rsid w:val="0054173A"/>
    <w:rsid w:val="0054285A"/>
    <w:rsid w:val="00543AB1"/>
    <w:rsid w:val="00543AE5"/>
    <w:rsid w:val="005442CD"/>
    <w:rsid w:val="0054478E"/>
    <w:rsid w:val="00546544"/>
    <w:rsid w:val="0054707E"/>
    <w:rsid w:val="005519E3"/>
    <w:rsid w:val="00551B2C"/>
    <w:rsid w:val="00552288"/>
    <w:rsid w:val="005535B7"/>
    <w:rsid w:val="00553D62"/>
    <w:rsid w:val="005553BC"/>
    <w:rsid w:val="00555768"/>
    <w:rsid w:val="00556429"/>
    <w:rsid w:val="00562171"/>
    <w:rsid w:val="00562727"/>
    <w:rsid w:val="00562CB6"/>
    <w:rsid w:val="00564DD7"/>
    <w:rsid w:val="00566ADD"/>
    <w:rsid w:val="00571AA7"/>
    <w:rsid w:val="00572468"/>
    <w:rsid w:val="0057295E"/>
    <w:rsid w:val="00573389"/>
    <w:rsid w:val="0057351D"/>
    <w:rsid w:val="005738AD"/>
    <w:rsid w:val="00574420"/>
    <w:rsid w:val="00575E46"/>
    <w:rsid w:val="0057630D"/>
    <w:rsid w:val="005804BD"/>
    <w:rsid w:val="0058087C"/>
    <w:rsid w:val="00580A5B"/>
    <w:rsid w:val="00581B0F"/>
    <w:rsid w:val="00581DEC"/>
    <w:rsid w:val="00582647"/>
    <w:rsid w:val="00582E22"/>
    <w:rsid w:val="005840A7"/>
    <w:rsid w:val="00586D97"/>
    <w:rsid w:val="00586F8E"/>
    <w:rsid w:val="0058715E"/>
    <w:rsid w:val="00587FCB"/>
    <w:rsid w:val="005901AE"/>
    <w:rsid w:val="00590747"/>
    <w:rsid w:val="00591303"/>
    <w:rsid w:val="00592E7B"/>
    <w:rsid w:val="005956BB"/>
    <w:rsid w:val="00595870"/>
    <w:rsid w:val="005979A3"/>
    <w:rsid w:val="005A0B12"/>
    <w:rsid w:val="005A0F48"/>
    <w:rsid w:val="005A2602"/>
    <w:rsid w:val="005A2DFF"/>
    <w:rsid w:val="005A300B"/>
    <w:rsid w:val="005A3153"/>
    <w:rsid w:val="005A6C61"/>
    <w:rsid w:val="005A7459"/>
    <w:rsid w:val="005A7636"/>
    <w:rsid w:val="005A787F"/>
    <w:rsid w:val="005A7A06"/>
    <w:rsid w:val="005B124F"/>
    <w:rsid w:val="005B1CB6"/>
    <w:rsid w:val="005B2550"/>
    <w:rsid w:val="005B3960"/>
    <w:rsid w:val="005B5A49"/>
    <w:rsid w:val="005B5DDA"/>
    <w:rsid w:val="005B7865"/>
    <w:rsid w:val="005B7F88"/>
    <w:rsid w:val="005C07C6"/>
    <w:rsid w:val="005C45F9"/>
    <w:rsid w:val="005C47F2"/>
    <w:rsid w:val="005C66BF"/>
    <w:rsid w:val="005C73D6"/>
    <w:rsid w:val="005C79DB"/>
    <w:rsid w:val="005D1DCB"/>
    <w:rsid w:val="005D26BD"/>
    <w:rsid w:val="005D2FEE"/>
    <w:rsid w:val="005E070D"/>
    <w:rsid w:val="005E4898"/>
    <w:rsid w:val="005E68D8"/>
    <w:rsid w:val="005E72B5"/>
    <w:rsid w:val="005F28D6"/>
    <w:rsid w:val="005F309D"/>
    <w:rsid w:val="005F34B4"/>
    <w:rsid w:val="005F3573"/>
    <w:rsid w:val="005F4A60"/>
    <w:rsid w:val="005F54A7"/>
    <w:rsid w:val="005F5984"/>
    <w:rsid w:val="005F6E2D"/>
    <w:rsid w:val="006007BC"/>
    <w:rsid w:val="00603F44"/>
    <w:rsid w:val="0060464D"/>
    <w:rsid w:val="00604CFF"/>
    <w:rsid w:val="00604FE3"/>
    <w:rsid w:val="00612979"/>
    <w:rsid w:val="00613919"/>
    <w:rsid w:val="00614793"/>
    <w:rsid w:val="00615645"/>
    <w:rsid w:val="0061566E"/>
    <w:rsid w:val="006169AA"/>
    <w:rsid w:val="006178CA"/>
    <w:rsid w:val="00620E40"/>
    <w:rsid w:val="006215C4"/>
    <w:rsid w:val="00622072"/>
    <w:rsid w:val="006232D4"/>
    <w:rsid w:val="006235AD"/>
    <w:rsid w:val="00624353"/>
    <w:rsid w:val="006256CD"/>
    <w:rsid w:val="006256D8"/>
    <w:rsid w:val="00625BDF"/>
    <w:rsid w:val="00627C2A"/>
    <w:rsid w:val="00630280"/>
    <w:rsid w:val="00630CB4"/>
    <w:rsid w:val="00631751"/>
    <w:rsid w:val="00633E08"/>
    <w:rsid w:val="0064164B"/>
    <w:rsid w:val="00641A42"/>
    <w:rsid w:val="00642FEF"/>
    <w:rsid w:val="00651A1D"/>
    <w:rsid w:val="00653AD5"/>
    <w:rsid w:val="00653B8E"/>
    <w:rsid w:val="00660F2B"/>
    <w:rsid w:val="006636EC"/>
    <w:rsid w:val="006658C8"/>
    <w:rsid w:val="0066607D"/>
    <w:rsid w:val="00666DBA"/>
    <w:rsid w:val="006676FD"/>
    <w:rsid w:val="006702F0"/>
    <w:rsid w:val="0067251E"/>
    <w:rsid w:val="00672D59"/>
    <w:rsid w:val="00675A19"/>
    <w:rsid w:val="00675B5A"/>
    <w:rsid w:val="00675CE6"/>
    <w:rsid w:val="00675FD0"/>
    <w:rsid w:val="00677147"/>
    <w:rsid w:val="00680C0F"/>
    <w:rsid w:val="00682570"/>
    <w:rsid w:val="00683C5D"/>
    <w:rsid w:val="00685EE3"/>
    <w:rsid w:val="00687DC9"/>
    <w:rsid w:val="00692011"/>
    <w:rsid w:val="00694C05"/>
    <w:rsid w:val="00695273"/>
    <w:rsid w:val="006978D4"/>
    <w:rsid w:val="00697C78"/>
    <w:rsid w:val="00697D7D"/>
    <w:rsid w:val="006A1EDB"/>
    <w:rsid w:val="006A263D"/>
    <w:rsid w:val="006A3F1C"/>
    <w:rsid w:val="006A4D97"/>
    <w:rsid w:val="006A4DE7"/>
    <w:rsid w:val="006A589D"/>
    <w:rsid w:val="006B0809"/>
    <w:rsid w:val="006B2B12"/>
    <w:rsid w:val="006B2EA2"/>
    <w:rsid w:val="006B323A"/>
    <w:rsid w:val="006B3895"/>
    <w:rsid w:val="006B5BC6"/>
    <w:rsid w:val="006B71FA"/>
    <w:rsid w:val="006C0956"/>
    <w:rsid w:val="006C253B"/>
    <w:rsid w:val="006C28C8"/>
    <w:rsid w:val="006C3FD3"/>
    <w:rsid w:val="006C5D10"/>
    <w:rsid w:val="006D3CF1"/>
    <w:rsid w:val="006D4A40"/>
    <w:rsid w:val="006D6DA2"/>
    <w:rsid w:val="006D7DA3"/>
    <w:rsid w:val="006E01E7"/>
    <w:rsid w:val="006E0BFA"/>
    <w:rsid w:val="006E1FB2"/>
    <w:rsid w:val="006E40BB"/>
    <w:rsid w:val="006E5E04"/>
    <w:rsid w:val="006E63A4"/>
    <w:rsid w:val="006F1736"/>
    <w:rsid w:val="006F2B4A"/>
    <w:rsid w:val="006F5CEE"/>
    <w:rsid w:val="006F72B2"/>
    <w:rsid w:val="007014A6"/>
    <w:rsid w:val="00701914"/>
    <w:rsid w:val="00701C7F"/>
    <w:rsid w:val="00702975"/>
    <w:rsid w:val="007041A2"/>
    <w:rsid w:val="00706AAF"/>
    <w:rsid w:val="007118EC"/>
    <w:rsid w:val="00713016"/>
    <w:rsid w:val="00713040"/>
    <w:rsid w:val="007135C2"/>
    <w:rsid w:val="007163DA"/>
    <w:rsid w:val="00716739"/>
    <w:rsid w:val="00716C30"/>
    <w:rsid w:val="00716F60"/>
    <w:rsid w:val="00720704"/>
    <w:rsid w:val="00721F0F"/>
    <w:rsid w:val="00725827"/>
    <w:rsid w:val="0072765C"/>
    <w:rsid w:val="00727F43"/>
    <w:rsid w:val="00732A06"/>
    <w:rsid w:val="00732FA5"/>
    <w:rsid w:val="00733BF5"/>
    <w:rsid w:val="0073422A"/>
    <w:rsid w:val="00734710"/>
    <w:rsid w:val="0073527A"/>
    <w:rsid w:val="00736EF9"/>
    <w:rsid w:val="007410D2"/>
    <w:rsid w:val="00741705"/>
    <w:rsid w:val="00741E2C"/>
    <w:rsid w:val="00742C67"/>
    <w:rsid w:val="007445FF"/>
    <w:rsid w:val="00746DB8"/>
    <w:rsid w:val="00747B3B"/>
    <w:rsid w:val="00747C45"/>
    <w:rsid w:val="00753082"/>
    <w:rsid w:val="00753C57"/>
    <w:rsid w:val="007554E7"/>
    <w:rsid w:val="0075667C"/>
    <w:rsid w:val="00756CB9"/>
    <w:rsid w:val="0075702E"/>
    <w:rsid w:val="00760071"/>
    <w:rsid w:val="00761F97"/>
    <w:rsid w:val="00764E1C"/>
    <w:rsid w:val="00764E5C"/>
    <w:rsid w:val="00765789"/>
    <w:rsid w:val="00765F55"/>
    <w:rsid w:val="00767EDE"/>
    <w:rsid w:val="007702D0"/>
    <w:rsid w:val="00771A20"/>
    <w:rsid w:val="007736EC"/>
    <w:rsid w:val="0077404C"/>
    <w:rsid w:val="00775F63"/>
    <w:rsid w:val="00776022"/>
    <w:rsid w:val="007768A4"/>
    <w:rsid w:val="00776C09"/>
    <w:rsid w:val="0077743A"/>
    <w:rsid w:val="00781ADA"/>
    <w:rsid w:val="00782E31"/>
    <w:rsid w:val="00787994"/>
    <w:rsid w:val="00787B64"/>
    <w:rsid w:val="00790571"/>
    <w:rsid w:val="00790C98"/>
    <w:rsid w:val="00790E67"/>
    <w:rsid w:val="00791D72"/>
    <w:rsid w:val="007920C1"/>
    <w:rsid w:val="0079372C"/>
    <w:rsid w:val="0079560B"/>
    <w:rsid w:val="00795AA6"/>
    <w:rsid w:val="00796790"/>
    <w:rsid w:val="00796DDF"/>
    <w:rsid w:val="007A0BED"/>
    <w:rsid w:val="007A1073"/>
    <w:rsid w:val="007A25BF"/>
    <w:rsid w:val="007A302E"/>
    <w:rsid w:val="007A4160"/>
    <w:rsid w:val="007A613B"/>
    <w:rsid w:val="007A61A4"/>
    <w:rsid w:val="007B0180"/>
    <w:rsid w:val="007B27EA"/>
    <w:rsid w:val="007B4D41"/>
    <w:rsid w:val="007B5339"/>
    <w:rsid w:val="007B6528"/>
    <w:rsid w:val="007C046F"/>
    <w:rsid w:val="007C15A8"/>
    <w:rsid w:val="007C2F51"/>
    <w:rsid w:val="007C30DD"/>
    <w:rsid w:val="007C4A5E"/>
    <w:rsid w:val="007C4B31"/>
    <w:rsid w:val="007C515F"/>
    <w:rsid w:val="007C559A"/>
    <w:rsid w:val="007C7327"/>
    <w:rsid w:val="007C782E"/>
    <w:rsid w:val="007C7C13"/>
    <w:rsid w:val="007D34E0"/>
    <w:rsid w:val="007D42BD"/>
    <w:rsid w:val="007D5176"/>
    <w:rsid w:val="007D725D"/>
    <w:rsid w:val="007D7B42"/>
    <w:rsid w:val="007E1053"/>
    <w:rsid w:val="007E1386"/>
    <w:rsid w:val="007E27A1"/>
    <w:rsid w:val="007E3D76"/>
    <w:rsid w:val="007E44C6"/>
    <w:rsid w:val="007E4835"/>
    <w:rsid w:val="007E60FD"/>
    <w:rsid w:val="007E6BBE"/>
    <w:rsid w:val="007F0A36"/>
    <w:rsid w:val="007F2259"/>
    <w:rsid w:val="007F361E"/>
    <w:rsid w:val="007F407B"/>
    <w:rsid w:val="007F4AF4"/>
    <w:rsid w:val="007F507C"/>
    <w:rsid w:val="007F6B1C"/>
    <w:rsid w:val="008019BB"/>
    <w:rsid w:val="00801EAC"/>
    <w:rsid w:val="008034C7"/>
    <w:rsid w:val="00805EF1"/>
    <w:rsid w:val="00807561"/>
    <w:rsid w:val="00807FB2"/>
    <w:rsid w:val="0081105E"/>
    <w:rsid w:val="00811ED3"/>
    <w:rsid w:val="008125C6"/>
    <w:rsid w:val="0081322A"/>
    <w:rsid w:val="0081365A"/>
    <w:rsid w:val="00814F8C"/>
    <w:rsid w:val="008151EC"/>
    <w:rsid w:val="00815B03"/>
    <w:rsid w:val="00816BFC"/>
    <w:rsid w:val="0081725C"/>
    <w:rsid w:val="00820D86"/>
    <w:rsid w:val="008214DC"/>
    <w:rsid w:val="00822999"/>
    <w:rsid w:val="00822C5E"/>
    <w:rsid w:val="008245B6"/>
    <w:rsid w:val="00824E36"/>
    <w:rsid w:val="00827EAE"/>
    <w:rsid w:val="00830D35"/>
    <w:rsid w:val="008311A1"/>
    <w:rsid w:val="0083190B"/>
    <w:rsid w:val="0083227B"/>
    <w:rsid w:val="0083250D"/>
    <w:rsid w:val="0083403D"/>
    <w:rsid w:val="00834ACD"/>
    <w:rsid w:val="00834E9F"/>
    <w:rsid w:val="00834FAF"/>
    <w:rsid w:val="00840806"/>
    <w:rsid w:val="00840D20"/>
    <w:rsid w:val="00847AD9"/>
    <w:rsid w:val="0085032F"/>
    <w:rsid w:val="00852E60"/>
    <w:rsid w:val="00862187"/>
    <w:rsid w:val="0086434E"/>
    <w:rsid w:val="00864E92"/>
    <w:rsid w:val="00865A51"/>
    <w:rsid w:val="00867984"/>
    <w:rsid w:val="00872CBE"/>
    <w:rsid w:val="00874715"/>
    <w:rsid w:val="00875A0D"/>
    <w:rsid w:val="008819CB"/>
    <w:rsid w:val="00882260"/>
    <w:rsid w:val="00882EEE"/>
    <w:rsid w:val="00883C21"/>
    <w:rsid w:val="00885299"/>
    <w:rsid w:val="00887389"/>
    <w:rsid w:val="00890CCC"/>
    <w:rsid w:val="00890E7F"/>
    <w:rsid w:val="00891283"/>
    <w:rsid w:val="0089153B"/>
    <w:rsid w:val="0089388E"/>
    <w:rsid w:val="00893A56"/>
    <w:rsid w:val="00893D16"/>
    <w:rsid w:val="00895614"/>
    <w:rsid w:val="008A16E0"/>
    <w:rsid w:val="008A5BF7"/>
    <w:rsid w:val="008A6ED3"/>
    <w:rsid w:val="008A74B7"/>
    <w:rsid w:val="008B07B3"/>
    <w:rsid w:val="008B0998"/>
    <w:rsid w:val="008B1AB9"/>
    <w:rsid w:val="008B1D92"/>
    <w:rsid w:val="008B26D5"/>
    <w:rsid w:val="008B2977"/>
    <w:rsid w:val="008B397C"/>
    <w:rsid w:val="008B3A52"/>
    <w:rsid w:val="008C00BD"/>
    <w:rsid w:val="008C282E"/>
    <w:rsid w:val="008C2D15"/>
    <w:rsid w:val="008C37A4"/>
    <w:rsid w:val="008C42A6"/>
    <w:rsid w:val="008C4A6F"/>
    <w:rsid w:val="008D093C"/>
    <w:rsid w:val="008D0DF8"/>
    <w:rsid w:val="008D2B29"/>
    <w:rsid w:val="008D4AC6"/>
    <w:rsid w:val="008D6EA3"/>
    <w:rsid w:val="008D78C7"/>
    <w:rsid w:val="008E1E97"/>
    <w:rsid w:val="008E3017"/>
    <w:rsid w:val="008E3B74"/>
    <w:rsid w:val="008E4FB0"/>
    <w:rsid w:val="008E52EF"/>
    <w:rsid w:val="008E6814"/>
    <w:rsid w:val="008E76B6"/>
    <w:rsid w:val="008F07A1"/>
    <w:rsid w:val="008F2187"/>
    <w:rsid w:val="0090179A"/>
    <w:rsid w:val="0090230A"/>
    <w:rsid w:val="00902E46"/>
    <w:rsid w:val="009049EB"/>
    <w:rsid w:val="00906666"/>
    <w:rsid w:val="009066B4"/>
    <w:rsid w:val="00906C5E"/>
    <w:rsid w:val="00906D5F"/>
    <w:rsid w:val="00907694"/>
    <w:rsid w:val="00907B2B"/>
    <w:rsid w:val="00910967"/>
    <w:rsid w:val="009131EF"/>
    <w:rsid w:val="009159C8"/>
    <w:rsid w:val="0092039F"/>
    <w:rsid w:val="00920D25"/>
    <w:rsid w:val="009214EF"/>
    <w:rsid w:val="0092307B"/>
    <w:rsid w:val="00924591"/>
    <w:rsid w:val="0092525F"/>
    <w:rsid w:val="009268F4"/>
    <w:rsid w:val="00927111"/>
    <w:rsid w:val="009276CE"/>
    <w:rsid w:val="00930A71"/>
    <w:rsid w:val="00930B19"/>
    <w:rsid w:val="0093132F"/>
    <w:rsid w:val="009327BD"/>
    <w:rsid w:val="0093324F"/>
    <w:rsid w:val="009335FB"/>
    <w:rsid w:val="00934CC3"/>
    <w:rsid w:val="00935030"/>
    <w:rsid w:val="009366B8"/>
    <w:rsid w:val="009370D8"/>
    <w:rsid w:val="0093795E"/>
    <w:rsid w:val="00937D4D"/>
    <w:rsid w:val="00941A86"/>
    <w:rsid w:val="00941B22"/>
    <w:rsid w:val="009453CD"/>
    <w:rsid w:val="00946040"/>
    <w:rsid w:val="00950CA3"/>
    <w:rsid w:val="009515F2"/>
    <w:rsid w:val="00952630"/>
    <w:rsid w:val="009533CC"/>
    <w:rsid w:val="009542D6"/>
    <w:rsid w:val="00955EFF"/>
    <w:rsid w:val="009567AC"/>
    <w:rsid w:val="00956B3C"/>
    <w:rsid w:val="00956C65"/>
    <w:rsid w:val="00957390"/>
    <w:rsid w:val="00963964"/>
    <w:rsid w:val="009640FC"/>
    <w:rsid w:val="00965ABD"/>
    <w:rsid w:val="00966F71"/>
    <w:rsid w:val="00967A22"/>
    <w:rsid w:val="00970E18"/>
    <w:rsid w:val="009716E5"/>
    <w:rsid w:val="00972531"/>
    <w:rsid w:val="00972D89"/>
    <w:rsid w:val="009761AC"/>
    <w:rsid w:val="0097665A"/>
    <w:rsid w:val="00976907"/>
    <w:rsid w:val="00977307"/>
    <w:rsid w:val="0098067C"/>
    <w:rsid w:val="0098294F"/>
    <w:rsid w:val="009848E6"/>
    <w:rsid w:val="0098541B"/>
    <w:rsid w:val="00985E3B"/>
    <w:rsid w:val="00985FE7"/>
    <w:rsid w:val="0099146F"/>
    <w:rsid w:val="009932CF"/>
    <w:rsid w:val="0099331E"/>
    <w:rsid w:val="00995360"/>
    <w:rsid w:val="009968F0"/>
    <w:rsid w:val="00997B99"/>
    <w:rsid w:val="00997D20"/>
    <w:rsid w:val="009A0A4D"/>
    <w:rsid w:val="009A2242"/>
    <w:rsid w:val="009A2472"/>
    <w:rsid w:val="009A28C5"/>
    <w:rsid w:val="009A2C80"/>
    <w:rsid w:val="009A5A4D"/>
    <w:rsid w:val="009A6950"/>
    <w:rsid w:val="009B1085"/>
    <w:rsid w:val="009B1483"/>
    <w:rsid w:val="009B1FDB"/>
    <w:rsid w:val="009B2082"/>
    <w:rsid w:val="009B3C94"/>
    <w:rsid w:val="009B3D04"/>
    <w:rsid w:val="009C0E05"/>
    <w:rsid w:val="009C283A"/>
    <w:rsid w:val="009C2ABF"/>
    <w:rsid w:val="009C365C"/>
    <w:rsid w:val="009C5D23"/>
    <w:rsid w:val="009C6B61"/>
    <w:rsid w:val="009C6DDC"/>
    <w:rsid w:val="009C6E11"/>
    <w:rsid w:val="009D2FB9"/>
    <w:rsid w:val="009D346E"/>
    <w:rsid w:val="009D4D3F"/>
    <w:rsid w:val="009D7AF6"/>
    <w:rsid w:val="009E08EA"/>
    <w:rsid w:val="009E3121"/>
    <w:rsid w:val="009E41F1"/>
    <w:rsid w:val="009E4318"/>
    <w:rsid w:val="009E48AD"/>
    <w:rsid w:val="009E6430"/>
    <w:rsid w:val="009E6774"/>
    <w:rsid w:val="009E6CB8"/>
    <w:rsid w:val="009E7E7E"/>
    <w:rsid w:val="009F03EA"/>
    <w:rsid w:val="009F0FB5"/>
    <w:rsid w:val="009F4560"/>
    <w:rsid w:val="009F7995"/>
    <w:rsid w:val="009F7C05"/>
    <w:rsid w:val="00A0278B"/>
    <w:rsid w:val="00A03C07"/>
    <w:rsid w:val="00A06D80"/>
    <w:rsid w:val="00A07F60"/>
    <w:rsid w:val="00A10A50"/>
    <w:rsid w:val="00A12281"/>
    <w:rsid w:val="00A12CA2"/>
    <w:rsid w:val="00A1307C"/>
    <w:rsid w:val="00A13C9D"/>
    <w:rsid w:val="00A14522"/>
    <w:rsid w:val="00A16650"/>
    <w:rsid w:val="00A2046B"/>
    <w:rsid w:val="00A20942"/>
    <w:rsid w:val="00A21328"/>
    <w:rsid w:val="00A21A73"/>
    <w:rsid w:val="00A22EF5"/>
    <w:rsid w:val="00A238D5"/>
    <w:rsid w:val="00A254DF"/>
    <w:rsid w:val="00A25670"/>
    <w:rsid w:val="00A30323"/>
    <w:rsid w:val="00A30B36"/>
    <w:rsid w:val="00A31093"/>
    <w:rsid w:val="00A313F0"/>
    <w:rsid w:val="00A339EF"/>
    <w:rsid w:val="00A33B1A"/>
    <w:rsid w:val="00A33F2D"/>
    <w:rsid w:val="00A3483E"/>
    <w:rsid w:val="00A402E8"/>
    <w:rsid w:val="00A404A0"/>
    <w:rsid w:val="00A40595"/>
    <w:rsid w:val="00A4113D"/>
    <w:rsid w:val="00A41C2D"/>
    <w:rsid w:val="00A42748"/>
    <w:rsid w:val="00A42DBD"/>
    <w:rsid w:val="00A449D1"/>
    <w:rsid w:val="00A45666"/>
    <w:rsid w:val="00A46DAC"/>
    <w:rsid w:val="00A47D4C"/>
    <w:rsid w:val="00A50814"/>
    <w:rsid w:val="00A50FBC"/>
    <w:rsid w:val="00A51B56"/>
    <w:rsid w:val="00A54027"/>
    <w:rsid w:val="00A60A6E"/>
    <w:rsid w:val="00A61DA1"/>
    <w:rsid w:val="00A62F62"/>
    <w:rsid w:val="00A637ED"/>
    <w:rsid w:val="00A641F9"/>
    <w:rsid w:val="00A679D3"/>
    <w:rsid w:val="00A703B1"/>
    <w:rsid w:val="00A70D25"/>
    <w:rsid w:val="00A7280A"/>
    <w:rsid w:val="00A72EB2"/>
    <w:rsid w:val="00A74965"/>
    <w:rsid w:val="00A75875"/>
    <w:rsid w:val="00A759D0"/>
    <w:rsid w:val="00A812FE"/>
    <w:rsid w:val="00A8288B"/>
    <w:rsid w:val="00A82952"/>
    <w:rsid w:val="00A82D89"/>
    <w:rsid w:val="00A8353C"/>
    <w:rsid w:val="00A846A4"/>
    <w:rsid w:val="00A8476B"/>
    <w:rsid w:val="00A847F0"/>
    <w:rsid w:val="00A84F6F"/>
    <w:rsid w:val="00A85518"/>
    <w:rsid w:val="00A85F55"/>
    <w:rsid w:val="00A873AF"/>
    <w:rsid w:val="00A87AD2"/>
    <w:rsid w:val="00A90062"/>
    <w:rsid w:val="00A901CC"/>
    <w:rsid w:val="00A90AE8"/>
    <w:rsid w:val="00A91319"/>
    <w:rsid w:val="00A913AE"/>
    <w:rsid w:val="00A91478"/>
    <w:rsid w:val="00A91CAC"/>
    <w:rsid w:val="00A93327"/>
    <w:rsid w:val="00A93585"/>
    <w:rsid w:val="00A94318"/>
    <w:rsid w:val="00A9549E"/>
    <w:rsid w:val="00A96CF4"/>
    <w:rsid w:val="00AA09F2"/>
    <w:rsid w:val="00AA0D98"/>
    <w:rsid w:val="00AA10EF"/>
    <w:rsid w:val="00AA1C78"/>
    <w:rsid w:val="00AA42FC"/>
    <w:rsid w:val="00AA469D"/>
    <w:rsid w:val="00AB1B3D"/>
    <w:rsid w:val="00AB1C61"/>
    <w:rsid w:val="00AB1E31"/>
    <w:rsid w:val="00AB2223"/>
    <w:rsid w:val="00AB35CE"/>
    <w:rsid w:val="00AB44AA"/>
    <w:rsid w:val="00AB5486"/>
    <w:rsid w:val="00AB74FA"/>
    <w:rsid w:val="00AB75DC"/>
    <w:rsid w:val="00AB781B"/>
    <w:rsid w:val="00AC00F0"/>
    <w:rsid w:val="00AC0C28"/>
    <w:rsid w:val="00AC253D"/>
    <w:rsid w:val="00AC3B4D"/>
    <w:rsid w:val="00AC4964"/>
    <w:rsid w:val="00AC4C5C"/>
    <w:rsid w:val="00AC5376"/>
    <w:rsid w:val="00AC6964"/>
    <w:rsid w:val="00AC7089"/>
    <w:rsid w:val="00AC7846"/>
    <w:rsid w:val="00AD074B"/>
    <w:rsid w:val="00AD3692"/>
    <w:rsid w:val="00AD421D"/>
    <w:rsid w:val="00AD61F7"/>
    <w:rsid w:val="00AD6984"/>
    <w:rsid w:val="00AD799C"/>
    <w:rsid w:val="00AE39A8"/>
    <w:rsid w:val="00AE4BF7"/>
    <w:rsid w:val="00AE516D"/>
    <w:rsid w:val="00AE67E8"/>
    <w:rsid w:val="00AE7CA6"/>
    <w:rsid w:val="00AF18C3"/>
    <w:rsid w:val="00AF1C57"/>
    <w:rsid w:val="00AF5DA9"/>
    <w:rsid w:val="00AF792F"/>
    <w:rsid w:val="00B02CEF"/>
    <w:rsid w:val="00B063B0"/>
    <w:rsid w:val="00B071E5"/>
    <w:rsid w:val="00B10B9D"/>
    <w:rsid w:val="00B116F2"/>
    <w:rsid w:val="00B11C50"/>
    <w:rsid w:val="00B12003"/>
    <w:rsid w:val="00B12B1B"/>
    <w:rsid w:val="00B144A2"/>
    <w:rsid w:val="00B14D6E"/>
    <w:rsid w:val="00B16BB7"/>
    <w:rsid w:val="00B22502"/>
    <w:rsid w:val="00B23375"/>
    <w:rsid w:val="00B238C0"/>
    <w:rsid w:val="00B2502A"/>
    <w:rsid w:val="00B25324"/>
    <w:rsid w:val="00B27831"/>
    <w:rsid w:val="00B30338"/>
    <w:rsid w:val="00B311E5"/>
    <w:rsid w:val="00B31570"/>
    <w:rsid w:val="00B316E3"/>
    <w:rsid w:val="00B341F8"/>
    <w:rsid w:val="00B34F62"/>
    <w:rsid w:val="00B36727"/>
    <w:rsid w:val="00B40003"/>
    <w:rsid w:val="00B418A7"/>
    <w:rsid w:val="00B45426"/>
    <w:rsid w:val="00B50EFF"/>
    <w:rsid w:val="00B51407"/>
    <w:rsid w:val="00B5160D"/>
    <w:rsid w:val="00B5162C"/>
    <w:rsid w:val="00B518E5"/>
    <w:rsid w:val="00B51C4C"/>
    <w:rsid w:val="00B5366F"/>
    <w:rsid w:val="00B5437D"/>
    <w:rsid w:val="00B54651"/>
    <w:rsid w:val="00B554F9"/>
    <w:rsid w:val="00B56660"/>
    <w:rsid w:val="00B57A44"/>
    <w:rsid w:val="00B60C50"/>
    <w:rsid w:val="00B62932"/>
    <w:rsid w:val="00B660EC"/>
    <w:rsid w:val="00B67F62"/>
    <w:rsid w:val="00B702A9"/>
    <w:rsid w:val="00B71227"/>
    <w:rsid w:val="00B719EE"/>
    <w:rsid w:val="00B73580"/>
    <w:rsid w:val="00B8015A"/>
    <w:rsid w:val="00B80735"/>
    <w:rsid w:val="00B817D6"/>
    <w:rsid w:val="00B876BB"/>
    <w:rsid w:val="00B876FA"/>
    <w:rsid w:val="00B879C3"/>
    <w:rsid w:val="00B94561"/>
    <w:rsid w:val="00B969DC"/>
    <w:rsid w:val="00B96F31"/>
    <w:rsid w:val="00BA079E"/>
    <w:rsid w:val="00BA0810"/>
    <w:rsid w:val="00BA40BF"/>
    <w:rsid w:val="00BA40F2"/>
    <w:rsid w:val="00BA4C85"/>
    <w:rsid w:val="00BA5183"/>
    <w:rsid w:val="00BA5EFE"/>
    <w:rsid w:val="00BA7CEC"/>
    <w:rsid w:val="00BB01F7"/>
    <w:rsid w:val="00BB0B0B"/>
    <w:rsid w:val="00BB2800"/>
    <w:rsid w:val="00BB53D1"/>
    <w:rsid w:val="00BB7185"/>
    <w:rsid w:val="00BC18F9"/>
    <w:rsid w:val="00BC27EF"/>
    <w:rsid w:val="00BC349A"/>
    <w:rsid w:val="00BC4CC1"/>
    <w:rsid w:val="00BC504D"/>
    <w:rsid w:val="00BC600B"/>
    <w:rsid w:val="00BC62F3"/>
    <w:rsid w:val="00BC73D6"/>
    <w:rsid w:val="00BC7FE5"/>
    <w:rsid w:val="00BD0E01"/>
    <w:rsid w:val="00BD32B2"/>
    <w:rsid w:val="00BD3FDB"/>
    <w:rsid w:val="00BD52AF"/>
    <w:rsid w:val="00BD5E5D"/>
    <w:rsid w:val="00BD7BE0"/>
    <w:rsid w:val="00BE17BA"/>
    <w:rsid w:val="00BE1D59"/>
    <w:rsid w:val="00BE3F24"/>
    <w:rsid w:val="00BE6E9D"/>
    <w:rsid w:val="00BF09C4"/>
    <w:rsid w:val="00BF1527"/>
    <w:rsid w:val="00BF2435"/>
    <w:rsid w:val="00BF26B6"/>
    <w:rsid w:val="00BF4F2C"/>
    <w:rsid w:val="00BF5910"/>
    <w:rsid w:val="00BF7E5A"/>
    <w:rsid w:val="00C01C48"/>
    <w:rsid w:val="00C02D42"/>
    <w:rsid w:val="00C03B5D"/>
    <w:rsid w:val="00C03DCF"/>
    <w:rsid w:val="00C049E3"/>
    <w:rsid w:val="00C051EC"/>
    <w:rsid w:val="00C07550"/>
    <w:rsid w:val="00C07773"/>
    <w:rsid w:val="00C11DB1"/>
    <w:rsid w:val="00C12A4D"/>
    <w:rsid w:val="00C145DC"/>
    <w:rsid w:val="00C160C4"/>
    <w:rsid w:val="00C203CA"/>
    <w:rsid w:val="00C203D5"/>
    <w:rsid w:val="00C2078F"/>
    <w:rsid w:val="00C210E2"/>
    <w:rsid w:val="00C24793"/>
    <w:rsid w:val="00C25551"/>
    <w:rsid w:val="00C257C9"/>
    <w:rsid w:val="00C26A4A"/>
    <w:rsid w:val="00C3058A"/>
    <w:rsid w:val="00C32D58"/>
    <w:rsid w:val="00C331BE"/>
    <w:rsid w:val="00C3402E"/>
    <w:rsid w:val="00C44B3D"/>
    <w:rsid w:val="00C45CC0"/>
    <w:rsid w:val="00C460B0"/>
    <w:rsid w:val="00C460C6"/>
    <w:rsid w:val="00C501C7"/>
    <w:rsid w:val="00C61D0D"/>
    <w:rsid w:val="00C62192"/>
    <w:rsid w:val="00C63A65"/>
    <w:rsid w:val="00C6465C"/>
    <w:rsid w:val="00C651FA"/>
    <w:rsid w:val="00C70146"/>
    <w:rsid w:val="00C70EE2"/>
    <w:rsid w:val="00C71298"/>
    <w:rsid w:val="00C718B5"/>
    <w:rsid w:val="00C72038"/>
    <w:rsid w:val="00C735F6"/>
    <w:rsid w:val="00C74A27"/>
    <w:rsid w:val="00C77867"/>
    <w:rsid w:val="00C80C12"/>
    <w:rsid w:val="00C83712"/>
    <w:rsid w:val="00C85D96"/>
    <w:rsid w:val="00C86662"/>
    <w:rsid w:val="00C86787"/>
    <w:rsid w:val="00C86D93"/>
    <w:rsid w:val="00C8777F"/>
    <w:rsid w:val="00C90075"/>
    <w:rsid w:val="00C92003"/>
    <w:rsid w:val="00C94A9B"/>
    <w:rsid w:val="00C94EE8"/>
    <w:rsid w:val="00CA254F"/>
    <w:rsid w:val="00CA2CF6"/>
    <w:rsid w:val="00CA410F"/>
    <w:rsid w:val="00CA5589"/>
    <w:rsid w:val="00CA64F5"/>
    <w:rsid w:val="00CA669E"/>
    <w:rsid w:val="00CA74A1"/>
    <w:rsid w:val="00CB0330"/>
    <w:rsid w:val="00CB1178"/>
    <w:rsid w:val="00CB46BA"/>
    <w:rsid w:val="00CB51EC"/>
    <w:rsid w:val="00CB600B"/>
    <w:rsid w:val="00CB712E"/>
    <w:rsid w:val="00CB7593"/>
    <w:rsid w:val="00CB7934"/>
    <w:rsid w:val="00CC0435"/>
    <w:rsid w:val="00CC340E"/>
    <w:rsid w:val="00CC3C9A"/>
    <w:rsid w:val="00CC4EE1"/>
    <w:rsid w:val="00CC7AEF"/>
    <w:rsid w:val="00CC7EBC"/>
    <w:rsid w:val="00CD1100"/>
    <w:rsid w:val="00CD17B6"/>
    <w:rsid w:val="00CD202B"/>
    <w:rsid w:val="00CD2FCA"/>
    <w:rsid w:val="00CD3415"/>
    <w:rsid w:val="00CD3F77"/>
    <w:rsid w:val="00CD53A8"/>
    <w:rsid w:val="00CE03A3"/>
    <w:rsid w:val="00CE1253"/>
    <w:rsid w:val="00CE2010"/>
    <w:rsid w:val="00CE2BED"/>
    <w:rsid w:val="00CE3CB8"/>
    <w:rsid w:val="00CE5AD1"/>
    <w:rsid w:val="00CE70C6"/>
    <w:rsid w:val="00CF061F"/>
    <w:rsid w:val="00CF0CB1"/>
    <w:rsid w:val="00CF0DE1"/>
    <w:rsid w:val="00CF3110"/>
    <w:rsid w:val="00CF47E3"/>
    <w:rsid w:val="00CF4FAD"/>
    <w:rsid w:val="00CF5190"/>
    <w:rsid w:val="00CF620A"/>
    <w:rsid w:val="00CF626D"/>
    <w:rsid w:val="00D0014B"/>
    <w:rsid w:val="00D00465"/>
    <w:rsid w:val="00D004F4"/>
    <w:rsid w:val="00D00D70"/>
    <w:rsid w:val="00D00DE6"/>
    <w:rsid w:val="00D032AC"/>
    <w:rsid w:val="00D03CF3"/>
    <w:rsid w:val="00D059A6"/>
    <w:rsid w:val="00D101E1"/>
    <w:rsid w:val="00D1117F"/>
    <w:rsid w:val="00D12950"/>
    <w:rsid w:val="00D12DD0"/>
    <w:rsid w:val="00D1516E"/>
    <w:rsid w:val="00D16662"/>
    <w:rsid w:val="00D16C72"/>
    <w:rsid w:val="00D17569"/>
    <w:rsid w:val="00D20423"/>
    <w:rsid w:val="00D22A45"/>
    <w:rsid w:val="00D23899"/>
    <w:rsid w:val="00D23B94"/>
    <w:rsid w:val="00D25265"/>
    <w:rsid w:val="00D25957"/>
    <w:rsid w:val="00D2607E"/>
    <w:rsid w:val="00D30EED"/>
    <w:rsid w:val="00D3311C"/>
    <w:rsid w:val="00D33E1D"/>
    <w:rsid w:val="00D34E8E"/>
    <w:rsid w:val="00D378BD"/>
    <w:rsid w:val="00D41165"/>
    <w:rsid w:val="00D43187"/>
    <w:rsid w:val="00D443E5"/>
    <w:rsid w:val="00D4606E"/>
    <w:rsid w:val="00D479E3"/>
    <w:rsid w:val="00D47B0D"/>
    <w:rsid w:val="00D47FB2"/>
    <w:rsid w:val="00D5196B"/>
    <w:rsid w:val="00D5292A"/>
    <w:rsid w:val="00D53C67"/>
    <w:rsid w:val="00D54B03"/>
    <w:rsid w:val="00D54F74"/>
    <w:rsid w:val="00D564EA"/>
    <w:rsid w:val="00D56A11"/>
    <w:rsid w:val="00D57A19"/>
    <w:rsid w:val="00D60028"/>
    <w:rsid w:val="00D60D9B"/>
    <w:rsid w:val="00D61E41"/>
    <w:rsid w:val="00D6263E"/>
    <w:rsid w:val="00D63C21"/>
    <w:rsid w:val="00D673A1"/>
    <w:rsid w:val="00D67935"/>
    <w:rsid w:val="00D70D1F"/>
    <w:rsid w:val="00D7185C"/>
    <w:rsid w:val="00D72052"/>
    <w:rsid w:val="00D73B4F"/>
    <w:rsid w:val="00D74891"/>
    <w:rsid w:val="00D7571F"/>
    <w:rsid w:val="00D775AF"/>
    <w:rsid w:val="00D80CC6"/>
    <w:rsid w:val="00D80DAD"/>
    <w:rsid w:val="00D84480"/>
    <w:rsid w:val="00D84D3D"/>
    <w:rsid w:val="00D85374"/>
    <w:rsid w:val="00D86019"/>
    <w:rsid w:val="00D86C33"/>
    <w:rsid w:val="00D90B85"/>
    <w:rsid w:val="00D9233B"/>
    <w:rsid w:val="00D92895"/>
    <w:rsid w:val="00D931F1"/>
    <w:rsid w:val="00D9398B"/>
    <w:rsid w:val="00D9571F"/>
    <w:rsid w:val="00D9599E"/>
    <w:rsid w:val="00DA0584"/>
    <w:rsid w:val="00DA21B5"/>
    <w:rsid w:val="00DA293D"/>
    <w:rsid w:val="00DA3A6A"/>
    <w:rsid w:val="00DA4298"/>
    <w:rsid w:val="00DA4FFB"/>
    <w:rsid w:val="00DA6651"/>
    <w:rsid w:val="00DB27F3"/>
    <w:rsid w:val="00DB42C4"/>
    <w:rsid w:val="00DB49A4"/>
    <w:rsid w:val="00DB4DA0"/>
    <w:rsid w:val="00DB5033"/>
    <w:rsid w:val="00DB65D7"/>
    <w:rsid w:val="00DB676D"/>
    <w:rsid w:val="00DC0260"/>
    <w:rsid w:val="00DC0712"/>
    <w:rsid w:val="00DC3A10"/>
    <w:rsid w:val="00DC6194"/>
    <w:rsid w:val="00DD175F"/>
    <w:rsid w:val="00DD193F"/>
    <w:rsid w:val="00DD1A00"/>
    <w:rsid w:val="00DD218A"/>
    <w:rsid w:val="00DD24C2"/>
    <w:rsid w:val="00DD3078"/>
    <w:rsid w:val="00DD36B9"/>
    <w:rsid w:val="00DD3DE7"/>
    <w:rsid w:val="00DD5A69"/>
    <w:rsid w:val="00DD5C8E"/>
    <w:rsid w:val="00DE22CA"/>
    <w:rsid w:val="00DE3166"/>
    <w:rsid w:val="00DE529F"/>
    <w:rsid w:val="00DE6EEC"/>
    <w:rsid w:val="00DE74C6"/>
    <w:rsid w:val="00DE7681"/>
    <w:rsid w:val="00DF1194"/>
    <w:rsid w:val="00DF4845"/>
    <w:rsid w:val="00DF4AA8"/>
    <w:rsid w:val="00DF5EE3"/>
    <w:rsid w:val="00E011CC"/>
    <w:rsid w:val="00E02337"/>
    <w:rsid w:val="00E05380"/>
    <w:rsid w:val="00E059E8"/>
    <w:rsid w:val="00E05F6C"/>
    <w:rsid w:val="00E070B5"/>
    <w:rsid w:val="00E10027"/>
    <w:rsid w:val="00E124CA"/>
    <w:rsid w:val="00E12B4F"/>
    <w:rsid w:val="00E12DD2"/>
    <w:rsid w:val="00E13CD4"/>
    <w:rsid w:val="00E154A2"/>
    <w:rsid w:val="00E167C4"/>
    <w:rsid w:val="00E17D7F"/>
    <w:rsid w:val="00E211D0"/>
    <w:rsid w:val="00E22848"/>
    <w:rsid w:val="00E23765"/>
    <w:rsid w:val="00E25E00"/>
    <w:rsid w:val="00E27923"/>
    <w:rsid w:val="00E30802"/>
    <w:rsid w:val="00E30D6C"/>
    <w:rsid w:val="00E315C4"/>
    <w:rsid w:val="00E3217D"/>
    <w:rsid w:val="00E32DA7"/>
    <w:rsid w:val="00E33530"/>
    <w:rsid w:val="00E33AE8"/>
    <w:rsid w:val="00E34F0C"/>
    <w:rsid w:val="00E35028"/>
    <w:rsid w:val="00E35FB7"/>
    <w:rsid w:val="00E3790A"/>
    <w:rsid w:val="00E40A98"/>
    <w:rsid w:val="00E41BE2"/>
    <w:rsid w:val="00E438B2"/>
    <w:rsid w:val="00E43B45"/>
    <w:rsid w:val="00E43B6F"/>
    <w:rsid w:val="00E44ABA"/>
    <w:rsid w:val="00E4598C"/>
    <w:rsid w:val="00E47B7A"/>
    <w:rsid w:val="00E5100B"/>
    <w:rsid w:val="00E516A8"/>
    <w:rsid w:val="00E5418C"/>
    <w:rsid w:val="00E54C64"/>
    <w:rsid w:val="00E560C5"/>
    <w:rsid w:val="00E56255"/>
    <w:rsid w:val="00E56BD1"/>
    <w:rsid w:val="00E5782E"/>
    <w:rsid w:val="00E60D3E"/>
    <w:rsid w:val="00E61741"/>
    <w:rsid w:val="00E61D82"/>
    <w:rsid w:val="00E62A7E"/>
    <w:rsid w:val="00E62B3B"/>
    <w:rsid w:val="00E63551"/>
    <w:rsid w:val="00E6432F"/>
    <w:rsid w:val="00E6476A"/>
    <w:rsid w:val="00E65607"/>
    <w:rsid w:val="00E65DB3"/>
    <w:rsid w:val="00E6752F"/>
    <w:rsid w:val="00E678A0"/>
    <w:rsid w:val="00E750F0"/>
    <w:rsid w:val="00E7585E"/>
    <w:rsid w:val="00E75E07"/>
    <w:rsid w:val="00E806C6"/>
    <w:rsid w:val="00E81653"/>
    <w:rsid w:val="00E82322"/>
    <w:rsid w:val="00E83B5B"/>
    <w:rsid w:val="00E83CCF"/>
    <w:rsid w:val="00E90418"/>
    <w:rsid w:val="00E90617"/>
    <w:rsid w:val="00E91621"/>
    <w:rsid w:val="00E928CD"/>
    <w:rsid w:val="00E9615B"/>
    <w:rsid w:val="00E975C0"/>
    <w:rsid w:val="00EA1778"/>
    <w:rsid w:val="00EA1BD0"/>
    <w:rsid w:val="00EA2484"/>
    <w:rsid w:val="00EA3719"/>
    <w:rsid w:val="00EA42F8"/>
    <w:rsid w:val="00EA44F3"/>
    <w:rsid w:val="00EA5A5F"/>
    <w:rsid w:val="00EA62BB"/>
    <w:rsid w:val="00EA7EC4"/>
    <w:rsid w:val="00EB0F7D"/>
    <w:rsid w:val="00EB150C"/>
    <w:rsid w:val="00EB1AD9"/>
    <w:rsid w:val="00EB2041"/>
    <w:rsid w:val="00EB20A4"/>
    <w:rsid w:val="00EB260B"/>
    <w:rsid w:val="00EB263A"/>
    <w:rsid w:val="00EB3BA8"/>
    <w:rsid w:val="00EB4A24"/>
    <w:rsid w:val="00EB4BA2"/>
    <w:rsid w:val="00EC235C"/>
    <w:rsid w:val="00EC2895"/>
    <w:rsid w:val="00EC30AF"/>
    <w:rsid w:val="00EC3889"/>
    <w:rsid w:val="00EC3CF1"/>
    <w:rsid w:val="00EC5729"/>
    <w:rsid w:val="00EC6845"/>
    <w:rsid w:val="00EC7108"/>
    <w:rsid w:val="00ED0AE5"/>
    <w:rsid w:val="00ED36CE"/>
    <w:rsid w:val="00ED47F3"/>
    <w:rsid w:val="00ED72C7"/>
    <w:rsid w:val="00ED7E35"/>
    <w:rsid w:val="00EE038A"/>
    <w:rsid w:val="00EE0A97"/>
    <w:rsid w:val="00EE4A77"/>
    <w:rsid w:val="00EE588E"/>
    <w:rsid w:val="00EE7C7E"/>
    <w:rsid w:val="00EF117F"/>
    <w:rsid w:val="00EF1EF6"/>
    <w:rsid w:val="00EF2402"/>
    <w:rsid w:val="00EF37C6"/>
    <w:rsid w:val="00EF5AF5"/>
    <w:rsid w:val="00EF6532"/>
    <w:rsid w:val="00EF6BC7"/>
    <w:rsid w:val="00EF6C73"/>
    <w:rsid w:val="00EF7CD3"/>
    <w:rsid w:val="00F009AE"/>
    <w:rsid w:val="00F0252D"/>
    <w:rsid w:val="00F02F29"/>
    <w:rsid w:val="00F034DB"/>
    <w:rsid w:val="00F03F86"/>
    <w:rsid w:val="00F04625"/>
    <w:rsid w:val="00F05A90"/>
    <w:rsid w:val="00F05CA9"/>
    <w:rsid w:val="00F1020C"/>
    <w:rsid w:val="00F130E1"/>
    <w:rsid w:val="00F13501"/>
    <w:rsid w:val="00F14FF7"/>
    <w:rsid w:val="00F160DD"/>
    <w:rsid w:val="00F1718F"/>
    <w:rsid w:val="00F17899"/>
    <w:rsid w:val="00F225A5"/>
    <w:rsid w:val="00F2362C"/>
    <w:rsid w:val="00F25E67"/>
    <w:rsid w:val="00F2608D"/>
    <w:rsid w:val="00F2659C"/>
    <w:rsid w:val="00F32522"/>
    <w:rsid w:val="00F33279"/>
    <w:rsid w:val="00F3472C"/>
    <w:rsid w:val="00F34D80"/>
    <w:rsid w:val="00F3700F"/>
    <w:rsid w:val="00F408F4"/>
    <w:rsid w:val="00F40AB6"/>
    <w:rsid w:val="00F41479"/>
    <w:rsid w:val="00F41CEE"/>
    <w:rsid w:val="00F426B8"/>
    <w:rsid w:val="00F443F7"/>
    <w:rsid w:val="00F44704"/>
    <w:rsid w:val="00F44930"/>
    <w:rsid w:val="00F44FC9"/>
    <w:rsid w:val="00F47ABC"/>
    <w:rsid w:val="00F503EB"/>
    <w:rsid w:val="00F50927"/>
    <w:rsid w:val="00F52F2A"/>
    <w:rsid w:val="00F530C5"/>
    <w:rsid w:val="00F54427"/>
    <w:rsid w:val="00F55CC5"/>
    <w:rsid w:val="00F5744D"/>
    <w:rsid w:val="00F60473"/>
    <w:rsid w:val="00F61362"/>
    <w:rsid w:val="00F62AF3"/>
    <w:rsid w:val="00F63479"/>
    <w:rsid w:val="00F64D21"/>
    <w:rsid w:val="00F673FC"/>
    <w:rsid w:val="00F677FA"/>
    <w:rsid w:val="00F67B30"/>
    <w:rsid w:val="00F70025"/>
    <w:rsid w:val="00F702DC"/>
    <w:rsid w:val="00F719F9"/>
    <w:rsid w:val="00F744FE"/>
    <w:rsid w:val="00F74845"/>
    <w:rsid w:val="00F76109"/>
    <w:rsid w:val="00F808FA"/>
    <w:rsid w:val="00F81A46"/>
    <w:rsid w:val="00F81EE4"/>
    <w:rsid w:val="00F82719"/>
    <w:rsid w:val="00F83346"/>
    <w:rsid w:val="00F83978"/>
    <w:rsid w:val="00F85869"/>
    <w:rsid w:val="00F85F0D"/>
    <w:rsid w:val="00F86843"/>
    <w:rsid w:val="00F908B1"/>
    <w:rsid w:val="00F90C17"/>
    <w:rsid w:val="00F91177"/>
    <w:rsid w:val="00F92D0A"/>
    <w:rsid w:val="00F93617"/>
    <w:rsid w:val="00F9397B"/>
    <w:rsid w:val="00F93B76"/>
    <w:rsid w:val="00FA0BC0"/>
    <w:rsid w:val="00FA11A3"/>
    <w:rsid w:val="00FA13A9"/>
    <w:rsid w:val="00FA1B30"/>
    <w:rsid w:val="00FA1E00"/>
    <w:rsid w:val="00FA2356"/>
    <w:rsid w:val="00FA4E84"/>
    <w:rsid w:val="00FA60AB"/>
    <w:rsid w:val="00FA66E2"/>
    <w:rsid w:val="00FA6C19"/>
    <w:rsid w:val="00FB0C9A"/>
    <w:rsid w:val="00FB3978"/>
    <w:rsid w:val="00FB416A"/>
    <w:rsid w:val="00FB47AF"/>
    <w:rsid w:val="00FB6C42"/>
    <w:rsid w:val="00FC070A"/>
    <w:rsid w:val="00FC0A19"/>
    <w:rsid w:val="00FC1CAF"/>
    <w:rsid w:val="00FC3177"/>
    <w:rsid w:val="00FC4474"/>
    <w:rsid w:val="00FC51CC"/>
    <w:rsid w:val="00FC6A2C"/>
    <w:rsid w:val="00FC6BBD"/>
    <w:rsid w:val="00FC6BDF"/>
    <w:rsid w:val="00FD051D"/>
    <w:rsid w:val="00FD21D1"/>
    <w:rsid w:val="00FD2E53"/>
    <w:rsid w:val="00FD3652"/>
    <w:rsid w:val="00FD4F78"/>
    <w:rsid w:val="00FD5147"/>
    <w:rsid w:val="00FD5433"/>
    <w:rsid w:val="00FD6B9D"/>
    <w:rsid w:val="00FD76FC"/>
    <w:rsid w:val="00FE073A"/>
    <w:rsid w:val="00FE3156"/>
    <w:rsid w:val="00FE3863"/>
    <w:rsid w:val="00FE3B7A"/>
    <w:rsid w:val="00FE5095"/>
    <w:rsid w:val="00FE5F87"/>
    <w:rsid w:val="00FE631A"/>
    <w:rsid w:val="00FE7847"/>
    <w:rsid w:val="00FF158F"/>
    <w:rsid w:val="00FF1F7C"/>
    <w:rsid w:val="00FF3AE9"/>
    <w:rsid w:val="00FF63CB"/>
    <w:rsid w:val="00FF6FF8"/>
    <w:rsid w:val="01AB2D25"/>
    <w:rsid w:val="027479B5"/>
    <w:rsid w:val="03511FCD"/>
    <w:rsid w:val="03D9557B"/>
    <w:rsid w:val="041D0370"/>
    <w:rsid w:val="0522371D"/>
    <w:rsid w:val="052A20EC"/>
    <w:rsid w:val="05771B25"/>
    <w:rsid w:val="062032B7"/>
    <w:rsid w:val="065B6720"/>
    <w:rsid w:val="077B6774"/>
    <w:rsid w:val="08F6413C"/>
    <w:rsid w:val="09C92D20"/>
    <w:rsid w:val="0A112057"/>
    <w:rsid w:val="0A6B3C94"/>
    <w:rsid w:val="0D114D69"/>
    <w:rsid w:val="0DFF2E7D"/>
    <w:rsid w:val="0F6B488E"/>
    <w:rsid w:val="0FFE3EAE"/>
    <w:rsid w:val="10922B9B"/>
    <w:rsid w:val="10CD329A"/>
    <w:rsid w:val="11603172"/>
    <w:rsid w:val="12306A5F"/>
    <w:rsid w:val="12870948"/>
    <w:rsid w:val="13383F29"/>
    <w:rsid w:val="13D2223B"/>
    <w:rsid w:val="14056C72"/>
    <w:rsid w:val="14651C22"/>
    <w:rsid w:val="14855027"/>
    <w:rsid w:val="14A30D26"/>
    <w:rsid w:val="150C6D94"/>
    <w:rsid w:val="158E382C"/>
    <w:rsid w:val="161E77AC"/>
    <w:rsid w:val="179662FD"/>
    <w:rsid w:val="17FA7851"/>
    <w:rsid w:val="18D24319"/>
    <w:rsid w:val="18EB7E2E"/>
    <w:rsid w:val="19C70F71"/>
    <w:rsid w:val="1A8472A0"/>
    <w:rsid w:val="1C0316E1"/>
    <w:rsid w:val="1D351C57"/>
    <w:rsid w:val="1D3C3412"/>
    <w:rsid w:val="1E58112C"/>
    <w:rsid w:val="1FD7740D"/>
    <w:rsid w:val="21DE508C"/>
    <w:rsid w:val="22364F87"/>
    <w:rsid w:val="228A7F33"/>
    <w:rsid w:val="231D6F16"/>
    <w:rsid w:val="23BB01A1"/>
    <w:rsid w:val="24307C2B"/>
    <w:rsid w:val="248C64B4"/>
    <w:rsid w:val="251F19CE"/>
    <w:rsid w:val="25227482"/>
    <w:rsid w:val="25AC730F"/>
    <w:rsid w:val="26F935C7"/>
    <w:rsid w:val="27310FA3"/>
    <w:rsid w:val="27545CBD"/>
    <w:rsid w:val="281B11C5"/>
    <w:rsid w:val="281F32BE"/>
    <w:rsid w:val="28C53225"/>
    <w:rsid w:val="29971C77"/>
    <w:rsid w:val="29C62C4E"/>
    <w:rsid w:val="2A8C718D"/>
    <w:rsid w:val="2B3941B7"/>
    <w:rsid w:val="2BCC4575"/>
    <w:rsid w:val="2BD06100"/>
    <w:rsid w:val="2CE842A8"/>
    <w:rsid w:val="2E696801"/>
    <w:rsid w:val="2F147A9B"/>
    <w:rsid w:val="2F23570A"/>
    <w:rsid w:val="2F6432A9"/>
    <w:rsid w:val="2FE00849"/>
    <w:rsid w:val="30454B37"/>
    <w:rsid w:val="30807232"/>
    <w:rsid w:val="3084599D"/>
    <w:rsid w:val="31423EC2"/>
    <w:rsid w:val="338F1C66"/>
    <w:rsid w:val="33DD0BCD"/>
    <w:rsid w:val="33FA529A"/>
    <w:rsid w:val="34125C11"/>
    <w:rsid w:val="34D654EA"/>
    <w:rsid w:val="36274599"/>
    <w:rsid w:val="36F22FFD"/>
    <w:rsid w:val="373C427D"/>
    <w:rsid w:val="381750D7"/>
    <w:rsid w:val="3BEC1951"/>
    <w:rsid w:val="3CB25EB8"/>
    <w:rsid w:val="3E945785"/>
    <w:rsid w:val="3EE1629C"/>
    <w:rsid w:val="3F02642A"/>
    <w:rsid w:val="40CD4E49"/>
    <w:rsid w:val="4129549C"/>
    <w:rsid w:val="4129624E"/>
    <w:rsid w:val="41464900"/>
    <w:rsid w:val="42703746"/>
    <w:rsid w:val="452A7916"/>
    <w:rsid w:val="45461A6A"/>
    <w:rsid w:val="46F14DF2"/>
    <w:rsid w:val="476E0405"/>
    <w:rsid w:val="47DD62DC"/>
    <w:rsid w:val="47F03A1C"/>
    <w:rsid w:val="482D1968"/>
    <w:rsid w:val="4A593A76"/>
    <w:rsid w:val="4A5B5006"/>
    <w:rsid w:val="4A8843F4"/>
    <w:rsid w:val="4A9C3550"/>
    <w:rsid w:val="4BBB11AF"/>
    <w:rsid w:val="4C336C95"/>
    <w:rsid w:val="4D6E47C9"/>
    <w:rsid w:val="4F42535A"/>
    <w:rsid w:val="50AF1D75"/>
    <w:rsid w:val="511E5465"/>
    <w:rsid w:val="512E12F9"/>
    <w:rsid w:val="51B40859"/>
    <w:rsid w:val="534A592F"/>
    <w:rsid w:val="578D4B8C"/>
    <w:rsid w:val="58801C97"/>
    <w:rsid w:val="59B25816"/>
    <w:rsid w:val="5A0A0D73"/>
    <w:rsid w:val="5BC723AD"/>
    <w:rsid w:val="5CE47458"/>
    <w:rsid w:val="5D8A17AE"/>
    <w:rsid w:val="5DA7177E"/>
    <w:rsid w:val="5DC71CE4"/>
    <w:rsid w:val="5DD90F67"/>
    <w:rsid w:val="5ED62FDA"/>
    <w:rsid w:val="5FAC7E60"/>
    <w:rsid w:val="5FEE081D"/>
    <w:rsid w:val="614C3043"/>
    <w:rsid w:val="615C49FF"/>
    <w:rsid w:val="62F25907"/>
    <w:rsid w:val="634A3830"/>
    <w:rsid w:val="645050CE"/>
    <w:rsid w:val="64770380"/>
    <w:rsid w:val="649B64D7"/>
    <w:rsid w:val="676D6954"/>
    <w:rsid w:val="68223ECB"/>
    <w:rsid w:val="6866550E"/>
    <w:rsid w:val="68A4162E"/>
    <w:rsid w:val="68D555F8"/>
    <w:rsid w:val="6C2707E0"/>
    <w:rsid w:val="6C897A30"/>
    <w:rsid w:val="6C9B6D61"/>
    <w:rsid w:val="6D4902ED"/>
    <w:rsid w:val="6E8805A4"/>
    <w:rsid w:val="702269E4"/>
    <w:rsid w:val="706926C1"/>
    <w:rsid w:val="71152AE8"/>
    <w:rsid w:val="723C5FB7"/>
    <w:rsid w:val="736723B9"/>
    <w:rsid w:val="73682094"/>
    <w:rsid w:val="74D81C84"/>
    <w:rsid w:val="75D95DA3"/>
    <w:rsid w:val="75DD1611"/>
    <w:rsid w:val="76166FA3"/>
    <w:rsid w:val="76BC3E29"/>
    <w:rsid w:val="777B650D"/>
    <w:rsid w:val="778E6CEF"/>
    <w:rsid w:val="779A6AE7"/>
    <w:rsid w:val="78D644F1"/>
    <w:rsid w:val="7A0A390B"/>
    <w:rsid w:val="7BBD673E"/>
    <w:rsid w:val="7C816E73"/>
    <w:rsid w:val="7EE20534"/>
    <w:rsid w:val="7FA048A0"/>
    <w:rsid w:val="EEBDA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1"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0"/>
    <w:pPr>
      <w:keepNext/>
      <w:keepLines/>
      <w:adjustRightInd w:val="0"/>
      <w:snapToGrid w:val="0"/>
      <w:spacing w:before="120" w:after="120" w:line="360" w:lineRule="auto"/>
      <w:textAlignment w:val="baseline"/>
      <w:outlineLvl w:val="0"/>
    </w:pPr>
    <w:rPr>
      <w:rFonts w:ascii="Cambria" w:hAnsi="Cambria" w:eastAsia="黑体" w:cs="Arial"/>
      <w:b/>
      <w:bCs/>
      <w:color w:val="0070C0"/>
      <w:kern w:val="44"/>
      <w:sz w:val="30"/>
      <w:szCs w:val="28"/>
    </w:rPr>
  </w:style>
  <w:style w:type="paragraph" w:styleId="4">
    <w:name w:val="heading 2"/>
    <w:basedOn w:val="1"/>
    <w:next w:val="1"/>
    <w:link w:val="36"/>
    <w:qFormat/>
    <w:uiPriority w:val="0"/>
    <w:pPr>
      <w:keepNext/>
      <w:keepLines/>
      <w:adjustRightInd w:val="0"/>
      <w:snapToGrid w:val="0"/>
      <w:spacing w:line="360" w:lineRule="auto"/>
      <w:jc w:val="left"/>
      <w:textAlignment w:val="baseline"/>
      <w:outlineLvl w:val="1"/>
    </w:pPr>
    <w:rPr>
      <w:rFonts w:cs="Arial"/>
      <w:b/>
      <w:bCs/>
      <w:color w:val="000000"/>
      <w:sz w:val="28"/>
    </w:rPr>
  </w:style>
  <w:style w:type="paragraph" w:styleId="5">
    <w:name w:val="heading 3"/>
    <w:basedOn w:val="1"/>
    <w:next w:val="1"/>
    <w:qFormat/>
    <w:uiPriority w:val="0"/>
    <w:pPr>
      <w:keepNext/>
      <w:keepLines/>
      <w:spacing w:before="260" w:after="260" w:line="416" w:lineRule="auto"/>
      <w:outlineLvl w:val="2"/>
    </w:pPr>
    <w:rPr>
      <w:rFonts w:ascii="Calibri" w:hAnsi="Calibri"/>
      <w:b/>
      <w:bCs/>
      <w:sz w:val="32"/>
      <w:szCs w:val="32"/>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9">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qFormat/>
    <w:uiPriority w:val="0"/>
    <w:pPr>
      <w:ind w:firstLine="420" w:firstLineChars="200"/>
    </w:pPr>
  </w:style>
  <w:style w:type="paragraph" w:styleId="8">
    <w:name w:val="caption"/>
    <w:basedOn w:val="1"/>
    <w:next w:val="1"/>
    <w:qFormat/>
    <w:uiPriority w:val="0"/>
    <w:pPr>
      <w:jc w:val="center"/>
    </w:pPr>
    <w:rPr>
      <w:rFonts w:ascii="等线 Light" w:hAnsi="等线 Light"/>
      <w:szCs w:val="20"/>
    </w:rPr>
  </w:style>
  <w:style w:type="paragraph" w:styleId="9">
    <w:name w:val="Body Text Indent"/>
    <w:basedOn w:val="1"/>
    <w:qFormat/>
    <w:uiPriority w:val="0"/>
    <w:pPr>
      <w:spacing w:after="120"/>
      <w:ind w:left="420" w:leftChars="200"/>
    </w:pPr>
  </w:style>
  <w:style w:type="paragraph" w:styleId="10">
    <w:name w:val="toc 5"/>
    <w:basedOn w:val="1"/>
    <w:next w:val="1"/>
    <w:qFormat/>
    <w:uiPriority w:val="0"/>
    <w:pPr>
      <w:adjustRightInd w:val="0"/>
      <w:snapToGrid w:val="0"/>
      <w:ind w:left="800" w:leftChars="800"/>
    </w:pPr>
    <w:rPr>
      <w:rFonts w:eastAsia="Cambria"/>
      <w:sz w:val="24"/>
    </w:rPr>
  </w:style>
  <w:style w:type="paragraph" w:styleId="11">
    <w:name w:val="toc 3"/>
    <w:basedOn w:val="1"/>
    <w:next w:val="1"/>
    <w:qFormat/>
    <w:uiPriority w:val="0"/>
    <w:pPr>
      <w:adjustRightInd w:val="0"/>
      <w:snapToGrid w:val="0"/>
      <w:ind w:left="400" w:leftChars="400"/>
    </w:pPr>
    <w:rPr>
      <w:rFonts w:eastAsia="Cambria"/>
      <w:sz w:val="24"/>
    </w:rPr>
  </w:style>
  <w:style w:type="paragraph" w:styleId="12">
    <w:name w:val="Plain Text"/>
    <w:basedOn w:val="1"/>
    <w:link w:val="37"/>
    <w:qFormat/>
    <w:uiPriority w:val="0"/>
    <w:rPr>
      <w:rFonts w:ascii="宋体" w:hAnsi="Courier New" w:cs="Courier New"/>
      <w:szCs w:val="21"/>
    </w:rPr>
  </w:style>
  <w:style w:type="paragraph" w:styleId="13">
    <w:name w:val="Date"/>
    <w:basedOn w:val="1"/>
    <w:next w:val="1"/>
    <w:link w:val="38"/>
    <w:qFormat/>
    <w:uiPriority w:val="0"/>
    <w:pPr>
      <w:ind w:left="100"/>
    </w:pPr>
    <w:rPr>
      <w:sz w:val="24"/>
      <w:szCs w:val="20"/>
    </w:rPr>
  </w:style>
  <w:style w:type="paragraph" w:styleId="14">
    <w:name w:val="Body Text Indent 2"/>
    <w:basedOn w:val="1"/>
    <w:qFormat/>
    <w:uiPriority w:val="0"/>
    <w:pPr>
      <w:spacing w:line="440" w:lineRule="atLeast"/>
      <w:ind w:firstLine="720" w:firstLineChars="300"/>
    </w:pPr>
    <w:rPr>
      <w:rFonts w:ascii="宋体" w:hAnsi="宋体"/>
      <w:sz w:val="24"/>
    </w:rPr>
  </w:style>
  <w:style w:type="paragraph" w:styleId="15">
    <w:name w:val="Balloon Text"/>
    <w:basedOn w:val="1"/>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adjustRightInd w:val="0"/>
      <w:snapToGrid w:val="0"/>
      <w:spacing w:before="120" w:after="120"/>
    </w:pPr>
    <w:rPr>
      <w:b/>
      <w:sz w:val="28"/>
    </w:rPr>
  </w:style>
  <w:style w:type="paragraph" w:styleId="19">
    <w:name w:val="toc 4"/>
    <w:basedOn w:val="1"/>
    <w:next w:val="1"/>
    <w:qFormat/>
    <w:uiPriority w:val="0"/>
    <w:pPr>
      <w:adjustRightInd w:val="0"/>
      <w:snapToGrid w:val="0"/>
      <w:ind w:left="600" w:leftChars="600"/>
    </w:pPr>
    <w:rPr>
      <w:rFonts w:eastAsia="Cambria"/>
      <w:sz w:val="24"/>
    </w:rPr>
  </w:style>
  <w:style w:type="paragraph" w:styleId="20">
    <w:name w:val="Body Text Indent 3"/>
    <w:basedOn w:val="1"/>
    <w:qFormat/>
    <w:uiPriority w:val="0"/>
    <w:pPr>
      <w:spacing w:line="410" w:lineRule="exact"/>
      <w:ind w:left="619" w:leftChars="295" w:firstLine="390" w:firstLineChars="179"/>
    </w:pPr>
    <w:rPr>
      <w:rFonts w:ascii="宋体" w:hAnsi="宋体"/>
      <w:spacing w:val="4"/>
    </w:rPr>
  </w:style>
  <w:style w:type="paragraph" w:styleId="21">
    <w:name w:val="toc 2"/>
    <w:basedOn w:val="1"/>
    <w:next w:val="1"/>
    <w:qFormat/>
    <w:uiPriority w:val="0"/>
    <w:pPr>
      <w:adjustRightInd w:val="0"/>
      <w:snapToGrid w:val="0"/>
      <w:spacing w:before="60" w:after="60"/>
      <w:ind w:left="200" w:leftChars="200"/>
    </w:pPr>
    <w:rPr>
      <w:rFonts w:eastAsia="Cambria"/>
      <w:sz w:val="28"/>
    </w:rPr>
  </w:style>
  <w:style w:type="paragraph" w:styleId="22">
    <w:name w:val="HTML Preformatted"/>
    <w:basedOn w:val="1"/>
    <w:unhideWhenUsed/>
    <w:qFormat/>
    <w:uiPriority w:val="99"/>
    <w:rPr>
      <w:rFonts w:ascii="Courier New" w:hAnsi="Courier New" w:cs="Courier New"/>
      <w:sz w:val="20"/>
      <w:szCs w:val="20"/>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5">
    <w:name w:val="Body Text First Indent"/>
    <w:basedOn w:val="2"/>
    <w:qFormat/>
    <w:uiPriority w:val="0"/>
    <w:pPr>
      <w:ind w:firstLine="420" w:firstLineChars="100"/>
    </w:pPr>
  </w:style>
  <w:style w:type="paragraph" w:styleId="26">
    <w:name w:val="Body Text First Indent 2"/>
    <w:basedOn w:val="9"/>
    <w:unhideWhenUsed/>
    <w:qFormat/>
    <w:uiPriority w:val="99"/>
    <w:pPr>
      <w:ind w:firstLine="420" w:firstLineChars="2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rPr>
      <w:rFonts w:ascii="Times New Roman" w:hAnsi="Times New Roman" w:eastAsia="宋体" w:cs="Times New Roman"/>
    </w:rPr>
  </w:style>
  <w:style w:type="character" w:styleId="31">
    <w:name w:val="Emphasis"/>
    <w:qFormat/>
    <w:uiPriority w:val="0"/>
    <w:rPr>
      <w:rFonts w:ascii="Times New Roman" w:hAnsi="Times New Roman" w:eastAsia="宋体" w:cs="Times New Roman"/>
      <w:color w:val="CC0000"/>
      <w:sz w:val="24"/>
      <w:szCs w:val="24"/>
    </w:rPr>
  </w:style>
  <w:style w:type="character" w:styleId="32">
    <w:name w:val="Hyperlink"/>
    <w:qFormat/>
    <w:uiPriority w:val="0"/>
    <w:rPr>
      <w:rFonts w:ascii="Times New Roman" w:hAnsi="Times New Roman" w:eastAsia="宋体" w:cs="Times New Roman"/>
      <w:color w:val="0000FF"/>
      <w:u w:val="single"/>
    </w:rPr>
  </w:style>
  <w:style w:type="paragraph" w:customStyle="1" w:styleId="33">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35">
    <w:name w:val="标题 1 Char"/>
    <w:link w:val="3"/>
    <w:qFormat/>
    <w:uiPriority w:val="0"/>
    <w:rPr>
      <w:rFonts w:ascii="Cambria" w:hAnsi="Cambria" w:eastAsia="黑体" w:cs="Arial"/>
      <w:b/>
      <w:bCs/>
      <w:color w:val="0070C0"/>
      <w:kern w:val="44"/>
      <w:sz w:val="30"/>
      <w:szCs w:val="28"/>
    </w:rPr>
  </w:style>
  <w:style w:type="character" w:customStyle="1" w:styleId="36">
    <w:name w:val="标题 2 Char"/>
    <w:link w:val="4"/>
    <w:qFormat/>
    <w:uiPriority w:val="0"/>
    <w:rPr>
      <w:rFonts w:ascii="Times New Roman" w:hAnsi="Times New Roman" w:eastAsia="宋体" w:cs="Arial"/>
      <w:b/>
      <w:bCs/>
      <w:color w:val="000000"/>
      <w:kern w:val="2"/>
      <w:sz w:val="28"/>
      <w:szCs w:val="24"/>
    </w:rPr>
  </w:style>
  <w:style w:type="character" w:customStyle="1" w:styleId="37">
    <w:name w:val="纯文本 Char"/>
    <w:link w:val="12"/>
    <w:qFormat/>
    <w:uiPriority w:val="0"/>
    <w:rPr>
      <w:rFonts w:ascii="宋体" w:hAnsi="Courier New" w:eastAsia="宋体" w:cs="Courier New"/>
      <w:kern w:val="2"/>
      <w:sz w:val="21"/>
      <w:szCs w:val="21"/>
      <w:lang w:val="en-US" w:eastAsia="zh-CN" w:bidi="ar-SA"/>
    </w:rPr>
  </w:style>
  <w:style w:type="character" w:customStyle="1" w:styleId="38">
    <w:name w:val="日期 Char"/>
    <w:link w:val="13"/>
    <w:qFormat/>
    <w:uiPriority w:val="0"/>
    <w:rPr>
      <w:rFonts w:ascii="Times New Roman" w:hAnsi="Times New Roman" w:eastAsia="宋体" w:cs="Times New Roman"/>
      <w:kern w:val="2"/>
      <w:sz w:val="24"/>
      <w:lang w:val="en-US" w:eastAsia="zh-CN" w:bidi="ar-SA"/>
    </w:rPr>
  </w:style>
  <w:style w:type="character" w:customStyle="1" w:styleId="39">
    <w:name w:val="apple-style-span"/>
    <w:qFormat/>
    <w:uiPriority w:val="0"/>
    <w:rPr>
      <w:rFonts w:ascii="Times New Roman" w:hAnsi="Times New Roman" w:eastAsia="宋体" w:cs="Times New Roman"/>
    </w:rPr>
  </w:style>
  <w:style w:type="character" w:customStyle="1" w:styleId="40">
    <w:name w:val="Default Text Char"/>
    <w:link w:val="41"/>
    <w:qFormat/>
    <w:uiPriority w:val="0"/>
    <w:rPr>
      <w:rFonts w:ascii="Times New Roman" w:hAnsi="Times New Roman" w:eastAsia="宋体" w:cs="Times New Roman"/>
      <w:color w:val="000000"/>
      <w:sz w:val="24"/>
      <w:lang w:val="en-US" w:eastAsia="zh-CN" w:bidi="ar-SA"/>
    </w:rPr>
  </w:style>
  <w:style w:type="paragraph" w:customStyle="1" w:styleId="41">
    <w:name w:val="Default Text"/>
    <w:link w:val="40"/>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character" w:customStyle="1" w:styleId="42">
    <w:name w:val="表格 Char Char"/>
    <w:link w:val="43"/>
    <w:qFormat/>
    <w:uiPriority w:val="0"/>
    <w:rPr>
      <w:rFonts w:ascii="Times New Roman" w:hAnsi="Times New Roman" w:eastAsia="华文中宋" w:cs="Arial"/>
      <w:kern w:val="2"/>
      <w:sz w:val="18"/>
      <w:szCs w:val="21"/>
    </w:rPr>
  </w:style>
  <w:style w:type="paragraph" w:customStyle="1" w:styleId="43">
    <w:name w:val="表格"/>
    <w:basedOn w:val="1"/>
    <w:link w:val="42"/>
    <w:qFormat/>
    <w:uiPriority w:val="0"/>
    <w:pPr>
      <w:adjustRightInd w:val="0"/>
      <w:snapToGrid w:val="0"/>
      <w:spacing w:line="360" w:lineRule="auto"/>
      <w:jc w:val="left"/>
      <w:textAlignment w:val="baseline"/>
    </w:pPr>
    <w:rPr>
      <w:rFonts w:eastAsia="华文中宋"/>
      <w:sz w:val="18"/>
      <w:szCs w:val="21"/>
    </w:rPr>
  </w:style>
  <w:style w:type="paragraph" w:customStyle="1" w:styleId="4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5">
    <w:name w:val="列出段落1"/>
    <w:basedOn w:val="1"/>
    <w:qFormat/>
    <w:uiPriority w:val="0"/>
    <w:pPr>
      <w:ind w:firstLine="420" w:firstLineChars="200"/>
    </w:pPr>
  </w:style>
  <w:style w:type="paragraph" w:styleId="46">
    <w:name w:val="List Paragraph"/>
    <w:basedOn w:val="1"/>
    <w:qFormat/>
    <w:uiPriority w:val="34"/>
    <w:pPr>
      <w:ind w:firstLine="420" w:firstLineChars="200"/>
    </w:pPr>
  </w:style>
  <w:style w:type="paragraph" w:customStyle="1" w:styleId="47">
    <w:name w:val="Char Char Char Char"/>
    <w:basedOn w:val="1"/>
    <w:qFormat/>
    <w:uiPriority w:val="0"/>
  </w:style>
  <w:style w:type="paragraph" w:customStyle="1" w:styleId="48">
    <w:name w:val="样式1"/>
    <w:basedOn w:val="1"/>
    <w:qFormat/>
    <w:uiPriority w:val="0"/>
    <w:pPr>
      <w:adjustRightInd w:val="0"/>
      <w:spacing w:line="420" w:lineRule="auto"/>
      <w:jc w:val="center"/>
      <w:textAlignment w:val="baseline"/>
    </w:pPr>
    <w:rPr>
      <w:rFonts w:ascii="宋体"/>
      <w:kern w:val="0"/>
      <w:sz w:val="24"/>
      <w:szCs w:val="20"/>
    </w:rPr>
  </w:style>
  <w:style w:type="paragraph" w:customStyle="1" w:styleId="4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Table Paragraph"/>
    <w:basedOn w:val="1"/>
    <w:qFormat/>
    <w:uiPriority w:val="1"/>
    <w:pPr>
      <w:autoSpaceDE w:val="0"/>
      <w:autoSpaceDN w:val="0"/>
      <w:adjustRightInd w:val="0"/>
      <w:jc w:val="left"/>
    </w:pPr>
    <w:rPr>
      <w:kern w:val="0"/>
      <w:sz w:val="24"/>
    </w:rPr>
  </w:style>
  <w:style w:type="paragraph" w:customStyle="1" w:styleId="51">
    <w:name w:val="正文缩进1"/>
    <w:basedOn w:val="1"/>
    <w:qFormat/>
    <w:uiPriority w:val="0"/>
    <w:pPr>
      <w:ind w:firstLine="420" w:firstLineChars="200"/>
    </w:pPr>
  </w:style>
  <w:style w:type="paragraph" w:customStyle="1" w:styleId="5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标题 11"/>
    <w:basedOn w:val="1"/>
    <w:qFormat/>
    <w:uiPriority w:val="1"/>
    <w:pPr>
      <w:autoSpaceDE w:val="0"/>
      <w:autoSpaceDN w:val="0"/>
      <w:adjustRightInd w:val="0"/>
      <w:ind w:left="82"/>
      <w:jc w:val="left"/>
      <w:outlineLvl w:val="0"/>
    </w:pPr>
    <w:rPr>
      <w:rFonts w:ascii="宋体" w:cs="宋体"/>
      <w:b/>
      <w:bCs/>
      <w:kern w:val="0"/>
      <w:sz w:val="32"/>
      <w:szCs w:val="32"/>
    </w:rPr>
  </w:style>
  <w:style w:type="paragraph" w:customStyle="1" w:styleId="54">
    <w:name w:val="标题 41"/>
    <w:basedOn w:val="1"/>
    <w:qFormat/>
    <w:uiPriority w:val="1"/>
    <w:pPr>
      <w:autoSpaceDE w:val="0"/>
      <w:autoSpaceDN w:val="0"/>
      <w:adjustRightInd w:val="0"/>
      <w:ind w:left="120"/>
      <w:jc w:val="left"/>
      <w:outlineLvl w:val="3"/>
    </w:pPr>
    <w:rPr>
      <w:rFonts w:ascii="宋体" w:cs="宋体"/>
      <w:b/>
      <w:bCs/>
      <w:kern w:val="0"/>
      <w:szCs w:val="21"/>
    </w:rPr>
  </w:style>
  <w:style w:type="paragraph" w:customStyle="1" w:styleId="55">
    <w:name w:val="标题 21"/>
    <w:basedOn w:val="1"/>
    <w:qFormat/>
    <w:uiPriority w:val="1"/>
    <w:pPr>
      <w:autoSpaceDE w:val="0"/>
      <w:autoSpaceDN w:val="0"/>
      <w:adjustRightInd w:val="0"/>
      <w:jc w:val="left"/>
      <w:outlineLvl w:val="1"/>
    </w:pPr>
    <w:rPr>
      <w:rFonts w:ascii="仿宋" w:eastAsia="仿宋" w:cs="仿宋"/>
      <w:b/>
      <w:bCs/>
      <w:kern w:val="0"/>
      <w:sz w:val="72"/>
      <w:szCs w:val="72"/>
    </w:rPr>
  </w:style>
  <w:style w:type="paragraph" w:customStyle="1" w:styleId="56">
    <w:name w:val="一级标题"/>
    <w:basedOn w:val="24"/>
    <w:next w:val="1"/>
    <w:qFormat/>
    <w:uiPriority w:val="0"/>
    <w:pPr>
      <w:spacing w:line="360" w:lineRule="auto"/>
    </w:pPr>
    <w:rPr>
      <w:rFonts w:hAnsi="宋体"/>
      <w:sz w:val="72"/>
      <w:szCs w:val="72"/>
    </w:rPr>
  </w:style>
  <w:style w:type="character" w:customStyle="1" w:styleId="57">
    <w:name w:val="font11"/>
    <w:qFormat/>
    <w:uiPriority w:val="0"/>
    <w:rPr>
      <w:rFonts w:hint="eastAsia" w:ascii="微软雅黑" w:hAnsi="微软雅黑" w:eastAsia="微软雅黑" w:cs="微软雅黑"/>
      <w:color w:val="000000"/>
      <w:sz w:val="20"/>
      <w:szCs w:val="20"/>
      <w:u w:val="none"/>
    </w:rPr>
  </w:style>
  <w:style w:type="character" w:customStyle="1" w:styleId="58">
    <w:name w:val="font21"/>
    <w:qFormat/>
    <w:uiPriority w:val="0"/>
    <w:rPr>
      <w:rFonts w:hint="eastAsia" w:ascii="微软雅黑" w:hAnsi="微软雅黑" w:eastAsia="微软雅黑" w:cs="微软雅黑"/>
      <w:color w:val="0070C0"/>
      <w:sz w:val="20"/>
      <w:szCs w:val="20"/>
      <w:u w:val="none"/>
    </w:rPr>
  </w:style>
  <w:style w:type="character" w:customStyle="1" w:styleId="59">
    <w:name w:val="font31"/>
    <w:qFormat/>
    <w:uiPriority w:val="0"/>
    <w:rPr>
      <w:rFonts w:hint="eastAsia" w:ascii="微软雅黑" w:hAnsi="微软雅黑" w:eastAsia="微软雅黑" w:cs="微软雅黑"/>
      <w:color w:val="00B050"/>
      <w:sz w:val="20"/>
      <w:szCs w:val="20"/>
      <w:u w:val="none"/>
    </w:rPr>
  </w:style>
  <w:style w:type="paragraph" w:customStyle="1" w:styleId="60">
    <w:name w:val="段落正文"/>
    <w:basedOn w:val="1"/>
    <w:qFormat/>
    <w:uiPriority w:val="0"/>
    <w:pPr>
      <w:ind w:firstLine="200" w:firstLineChars="200"/>
    </w:pPr>
  </w:style>
  <w:style w:type="paragraph" w:customStyle="1" w:styleId="61">
    <w:name w:val="样式  + 首行缩进:  2 字符"/>
    <w:basedOn w:val="1"/>
    <w:qFormat/>
    <w:uiPriority w:val="0"/>
    <w:pPr>
      <w:adjustRightInd w:val="0"/>
      <w:spacing w:line="360" w:lineRule="auto"/>
      <w:ind w:firstLine="524" w:firstLineChars="200"/>
    </w:pPr>
    <w:rPr>
      <w:rFonts w:ascii="宋体" w:hAnsi="宋体"/>
      <w:snapToGrid w:val="0"/>
      <w:spacing w:val="11"/>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79</Pages>
  <Words>39086</Words>
  <Characters>40560</Characters>
  <Lines>331</Lines>
  <Paragraphs>93</Paragraphs>
  <TotalTime>29</TotalTime>
  <ScaleCrop>false</ScaleCrop>
  <LinksUpToDate>false</LinksUpToDate>
  <CharactersWithSpaces>42685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2022-09-28T03:16:00Z</dcterms:created>
  <dc:creator>番茄花园</dc:creator>
  <cp:lastModifiedBy>admin</cp:lastModifiedBy>
  <cp:lastPrinted>2022-09-16T17:09:00Z</cp:lastPrinted>
  <dcterms:modified xsi:type="dcterms:W3CDTF">2022-10-18T04:55:13Z</dcterms:modified>
  <dc:title>重庆市永川区公共资源招投标交易中心</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18B0286DC63E49919FAD42348EB108C3</vt:lpwstr>
  </property>
</Properties>
</file>