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32"/>
          <w:szCs w:val="32"/>
          <w:u w:val="none"/>
          <w:lang w:eastAsia="zh-CN"/>
        </w:rPr>
      </w:pPr>
      <w:r>
        <w:rPr>
          <w:rFonts w:hint="eastAsia" w:asciiTheme="majorEastAsia" w:hAnsiTheme="majorEastAsia" w:eastAsiaTheme="majorEastAsia" w:cstheme="majorEastAsia"/>
          <w:b/>
          <w:bCs/>
          <w:color w:val="auto"/>
          <w:sz w:val="32"/>
          <w:szCs w:val="32"/>
          <w:u w:val="none"/>
          <w:lang w:val="en-US" w:eastAsia="zh-CN"/>
        </w:rPr>
        <w:t xml:space="preserve"> 2022年奇台县供热基础设施建设项目（审计）</w:t>
      </w:r>
      <w:r>
        <w:rPr>
          <w:rFonts w:hint="eastAsia" w:asciiTheme="majorEastAsia" w:hAnsiTheme="majorEastAsia" w:eastAsiaTheme="majorEastAsia" w:cstheme="majorEastAsia"/>
          <w:b/>
          <w:bCs/>
          <w:color w:val="auto"/>
          <w:sz w:val="32"/>
          <w:szCs w:val="32"/>
          <w:u w:val="none"/>
          <w:lang w:eastAsia="zh-CN"/>
        </w:rPr>
        <w:t>采购公告</w:t>
      </w:r>
    </w:p>
    <w:p>
      <w:pPr>
        <w:pageBreakBefore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eastAsia="仿宋_GB2312" w:cs="Times New Roman"/>
          <w:color w:val="auto"/>
          <w:kern w:val="2"/>
          <w:sz w:val="28"/>
          <w:szCs w:val="28"/>
          <w:lang w:val="en-US" w:eastAsia="zh-CN" w:bidi="ar-SA"/>
        </w:rPr>
        <w:t>新疆新华远景工程造价咨询有限公司受奇台县住房和城乡建设局的委托，就2022年奇台县供热基础设施建设项目（审计）进行竞争性磋商采购，欢迎符合相关资质条件的供应商前来报名参与投标。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color w:val="auto"/>
          <w:sz w:val="30"/>
          <w:szCs w:val="30"/>
          <w:lang w:val="en-US" w:eastAsia="zh-CN"/>
        </w:rPr>
      </w:pPr>
      <w:r>
        <w:rPr>
          <w:rFonts w:hint="eastAsia" w:ascii="仿宋_GB2312" w:eastAsia="仿宋_GB2312"/>
          <w:b/>
          <w:color w:val="auto"/>
          <w:sz w:val="30"/>
          <w:szCs w:val="30"/>
          <w:lang w:eastAsia="zh-CN"/>
        </w:rPr>
        <w:t>一、项目名称：</w:t>
      </w:r>
      <w:r>
        <w:rPr>
          <w:rFonts w:hint="eastAsia" w:ascii="仿宋_GB2312" w:eastAsia="仿宋_GB2312" w:cs="Times New Roman"/>
          <w:color w:val="auto"/>
          <w:kern w:val="2"/>
          <w:sz w:val="28"/>
          <w:szCs w:val="28"/>
          <w:lang w:val="en-US" w:eastAsia="zh-CN" w:bidi="ar-SA"/>
        </w:rPr>
        <w:t>2022年奇台县供热基础设施建设项目（审计）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二、项目编号：</w:t>
      </w:r>
      <w:r>
        <w:rPr>
          <w:rFonts w:hint="eastAsia" w:ascii="仿宋_GB2312" w:eastAsia="仿宋_GB2312" w:cs="Times New Roman"/>
          <w:color w:val="auto"/>
          <w:kern w:val="2"/>
          <w:sz w:val="28"/>
          <w:szCs w:val="28"/>
          <w:lang w:val="en-US" w:eastAsia="zh-CN" w:bidi="ar-SA"/>
        </w:rPr>
        <w:t>XHYJ-QTCG2022-111</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三、</w:t>
      </w:r>
      <w:r>
        <w:rPr>
          <w:rFonts w:hint="eastAsia" w:ascii="仿宋_GB2312" w:eastAsia="仿宋_GB2312"/>
          <w:b/>
          <w:color w:val="auto"/>
          <w:sz w:val="30"/>
          <w:szCs w:val="30"/>
        </w:rPr>
        <w:t>资金来源：</w:t>
      </w:r>
      <w:r>
        <w:rPr>
          <w:rFonts w:hint="eastAsia" w:ascii="仿宋_GB2312" w:eastAsia="仿宋_GB2312" w:cs="Times New Roman"/>
          <w:color w:val="auto"/>
          <w:kern w:val="2"/>
          <w:sz w:val="28"/>
          <w:szCs w:val="28"/>
          <w:lang w:val="en-US" w:eastAsia="zh-CN" w:bidi="ar-SA"/>
        </w:rPr>
        <w:t>县财政资金</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四</w:t>
      </w:r>
      <w:r>
        <w:rPr>
          <w:rFonts w:hint="eastAsia" w:ascii="仿宋_GB2312" w:eastAsia="仿宋_GB2312"/>
          <w:b/>
          <w:color w:val="auto"/>
          <w:sz w:val="30"/>
          <w:szCs w:val="30"/>
        </w:rPr>
        <w:t>、预算价格:</w:t>
      </w:r>
      <w:r>
        <w:rPr>
          <w:rFonts w:hint="eastAsia" w:ascii="仿宋_GB2312" w:eastAsia="仿宋_GB2312"/>
          <w:b/>
          <w:color w:val="auto"/>
          <w:sz w:val="30"/>
          <w:szCs w:val="30"/>
          <w:lang w:val="en-US" w:eastAsia="zh-CN"/>
        </w:rPr>
        <w:t xml:space="preserve"> </w:t>
      </w:r>
      <w:r>
        <w:rPr>
          <w:rFonts w:hint="eastAsia" w:ascii="仿宋_GB2312" w:eastAsia="仿宋_GB2312" w:cs="Times New Roman"/>
          <w:color w:val="auto"/>
          <w:kern w:val="2"/>
          <w:sz w:val="28"/>
          <w:szCs w:val="28"/>
          <w:lang w:val="en-US" w:eastAsia="zh-CN" w:bidi="ar-SA"/>
        </w:rPr>
        <w:t>40万元。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lang w:eastAsia="zh-CN"/>
        </w:rPr>
      </w:pPr>
      <w:r>
        <w:rPr>
          <w:rFonts w:hint="eastAsia" w:ascii="仿宋_GB2312" w:eastAsia="仿宋_GB2312"/>
          <w:b/>
          <w:color w:val="auto"/>
          <w:sz w:val="30"/>
          <w:szCs w:val="30"/>
          <w:lang w:eastAsia="zh-CN"/>
        </w:rPr>
        <w:t>五</w:t>
      </w:r>
      <w:r>
        <w:rPr>
          <w:rFonts w:hint="eastAsia" w:ascii="仿宋_GB2312" w:eastAsia="仿宋_GB2312"/>
          <w:b/>
          <w:color w:val="auto"/>
          <w:sz w:val="30"/>
          <w:szCs w:val="30"/>
        </w:rPr>
        <w:t>、付款方式:</w:t>
      </w:r>
      <w:r>
        <w:rPr>
          <w:rFonts w:hint="eastAsia" w:ascii="仿宋_GB2312" w:eastAsia="仿宋_GB2312"/>
          <w:b/>
          <w:color w:val="auto"/>
          <w:sz w:val="30"/>
          <w:szCs w:val="30"/>
          <w:lang w:val="en-US" w:eastAsia="zh-CN"/>
        </w:rPr>
        <w:t xml:space="preserve"> </w:t>
      </w:r>
      <w:r>
        <w:rPr>
          <w:rFonts w:hint="eastAsia" w:ascii="仿宋_GB2312" w:hAnsi="宋体" w:eastAsia="仿宋_GB2312" w:cs="Times New Roman"/>
          <w:b w:val="0"/>
          <w:bCs w:val="0"/>
          <w:color w:val="auto"/>
          <w:sz w:val="28"/>
          <w:szCs w:val="28"/>
          <w:lang w:val="en-US" w:eastAsia="zh-CN"/>
        </w:rPr>
        <w:t>根据施工进度支付，最终以合同签订为准。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color w:val="auto"/>
          <w:sz w:val="30"/>
          <w:szCs w:val="30"/>
        </w:rPr>
      </w:pPr>
      <w:r>
        <w:rPr>
          <w:rFonts w:hint="eastAsia" w:ascii="仿宋_GB2312" w:eastAsia="仿宋_GB2312"/>
          <w:b/>
          <w:color w:val="auto"/>
          <w:sz w:val="30"/>
          <w:szCs w:val="30"/>
          <w:lang w:eastAsia="zh-CN"/>
        </w:rPr>
        <w:t>六</w:t>
      </w:r>
      <w:r>
        <w:rPr>
          <w:rFonts w:hint="eastAsia" w:ascii="仿宋_GB2312" w:eastAsia="仿宋_GB2312"/>
          <w:b/>
          <w:color w:val="auto"/>
          <w:sz w:val="30"/>
          <w:szCs w:val="30"/>
        </w:rPr>
        <w:t>、投标人资质要求：</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供应商参加本次政府采购活动应当具备《中华人民共和国政府采购法》第二十二条规定的条件，并提供下列材料：</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投标人必须是符合《中华人民共和国政府采购法》第二十二条的合格供应商（1、具有独立承担民事责任的能力；2、具有良好的商业信誉；3、具有健全的财务会计制度；4、具有履行合同所必需的设备和专业技术能力；5、参加政府采购活动前三年内，在经营活动中没有重大违法记录；6、法律、行政法规规定的其他条件；）</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2.落实政府采购政策需满足的资格要求：</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(1)《政府采购促进中小企业发展管理办法》（财库〔2020〕46号）；</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(2)《财政部、司法部关于政府采购支持监狱企业发展有关问题的通知》（财库〔2014〕68号）；</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(3)《国务院办公厅关于建立政府强制采购节能产品制度的通知》（国办发〔2007〕51号）；</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(4)《财政部民政部中国残疾人联合会关于促进残疾人就业政府采购政策的通知》财库〔2017〕141号。</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3.本项目的特定资格要求：</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（1）项目负责人应具有高级职称，并取得住房和城乡建设部颁发的有效注册造价工程师资格证书，注册单位与投标人名称一致。熟悉与审计项目工作有关的法律规范，熟练掌握审计项目的各种规定。</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（2）具有国家注册会计师行业主管部门颁发的会计师事务所执业证书；拟派负责人具有注册会计师执业资格证书，注册单位与投标人名称一致。</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(3)本项目接受联合体投标（如是联合体投标，以工程造价咨询服务机构为主体，主办方与另一联合体签署联合体协议（需提供联合体协议书）。</w:t>
      </w:r>
    </w:p>
    <w:p>
      <w:pPr>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）政府采购严重违法失信行为记录名单中被财政部门禁止参加政府采购活动的供应商（处罚决定规定的时间和地域范围内），提供查询结果打印件（加盖企业公章）。</w:t>
      </w:r>
    </w:p>
    <w:p>
      <w:pPr>
        <w:ind w:firstLine="560" w:firstLineChars="200"/>
        <w:rPr>
          <w:rFonts w:hint="eastAsia" w:ascii="仿宋_GB2312" w:eastAsia="仿宋_GB2312"/>
          <w:sz w:val="30"/>
          <w:szCs w:val="30"/>
          <w:lang w:val="en-US" w:eastAsia="zh-CN"/>
        </w:rPr>
      </w:pPr>
      <w:r>
        <w:rPr>
          <w:rFonts w:hint="eastAsia" w:ascii="仿宋_GB2312" w:hAnsi="Times New Roman" w:eastAsia="仿宋_GB2312" w:cs="Times New Roman"/>
          <w:sz w:val="28"/>
          <w:szCs w:val="28"/>
          <w:lang w:val="en-US" w:eastAsia="zh-CN"/>
        </w:rPr>
        <w:t>（</w:t>
      </w:r>
      <w:r>
        <w:rPr>
          <w:rFonts w:hint="eastAsia" w:ascii="仿宋_GB2312" w:eastAsia="仿宋_GB2312" w:cs="Times New Roman"/>
          <w:sz w:val="28"/>
          <w:szCs w:val="28"/>
          <w:lang w:val="en-US" w:eastAsia="zh-CN"/>
        </w:rPr>
        <w:t>5</w:t>
      </w:r>
      <w:r>
        <w:rPr>
          <w:rFonts w:hint="eastAsia" w:ascii="仿宋_GB2312" w:hAnsi="Times New Roman" w:eastAsia="仿宋_GB2312" w:cs="Times New Roman"/>
          <w:sz w:val="28"/>
          <w:szCs w:val="28"/>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七、具体技术要求：</w:t>
      </w:r>
    </w:p>
    <w:p>
      <w:pPr>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新建隔压换热站1座，建设外环路至团结北路段DN200一级供热管网14700米、团结路至迎宾路段DN200-DN400一级供热管网2025米、九城御景幼儿园段DN125二级供热管网500米。（具体内容及参数详见招标文件）。</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八、售后服务要求: </w:t>
      </w:r>
    </w:p>
    <w:p>
      <w:pPr>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审计单位：应该提供项目前期咨询服务，全过程跟进、督促、规范、核查项目实施工作，协助业主单位组织验收，督促承建单位整改。协助按照进度计划，对实际进行分析，确定工期按照合同工期交付使用。（1）包括项目工程量清单、控制价审核以及实施阶段、项目竣工验收阶段，工程变更、工程洽商、工程签证、工程费用调整相关资料、预决算提供审计服务及审核意见，结算审核报告。编制决算报表并出具竣工决算审计报告，要求按政府投资类项目从立项审批、前期手续、合同签订、质量管理、财务核算等方面进行审计，并对发现的问题提出整改建议，后期跟踪审核整改结果。</w:t>
      </w:r>
    </w:p>
    <w:p>
      <w:pPr>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（2）成果文件：出具完整的工程审计报告及财务竣工决算审计报告，移交全部报告及相关资料至采购人为止。</w:t>
      </w:r>
    </w:p>
    <w:p>
      <w:pPr>
        <w:rPr>
          <w:rFonts w:hint="eastAsia" w:ascii="仿宋_GB2312" w:eastAsia="仿宋_GB2312"/>
          <w:sz w:val="30"/>
          <w:szCs w:val="30"/>
          <w:lang w:val="en-US" w:eastAsia="zh-CN"/>
        </w:rPr>
      </w:pPr>
      <w:r>
        <w:rPr>
          <w:rFonts w:hint="eastAsia" w:ascii="仿宋" w:hAnsi="仿宋" w:eastAsia="仿宋" w:cs="仿宋"/>
          <w:b w:val="0"/>
          <w:bCs w:val="0"/>
          <w:color w:val="000000"/>
          <w:kern w:val="2"/>
          <w:sz w:val="28"/>
          <w:szCs w:val="28"/>
          <w:lang w:val="en-US" w:eastAsia="zh-CN" w:bidi="ar-SA"/>
        </w:rPr>
        <w:t>2、项目须单独出具报告。</w:t>
      </w:r>
      <w:r>
        <w:rPr>
          <w:rFonts w:hint="eastAsia" w:ascii="仿宋_GB2312" w:eastAsia="仿宋_GB2312"/>
          <w:sz w:val="30"/>
          <w:szCs w:val="30"/>
          <w:lang w:val="en-US" w:eastAsia="zh-CN"/>
        </w:rPr>
        <w:t xml:space="preserve"> </w:t>
      </w:r>
    </w:p>
    <w:p>
      <w:pPr>
        <w:numPr>
          <w:ilvl w:val="0"/>
          <w:numId w:val="0"/>
        </w:numPr>
        <w:tabs>
          <w:tab w:val="left" w:pos="276"/>
        </w:tabs>
        <w:rPr>
          <w:rFonts w:hint="eastAsia" w:ascii="仿宋_GB2312" w:eastAsia="仿宋_GB2312"/>
          <w:color w:val="FF0000"/>
          <w:sz w:val="28"/>
          <w:szCs w:val="28"/>
        </w:rPr>
      </w:pPr>
      <w:r>
        <w:rPr>
          <w:rFonts w:hint="eastAsia" w:ascii="仿宋_GB2312" w:eastAsia="仿宋_GB2312"/>
          <w:b/>
          <w:bCs/>
          <w:sz w:val="30"/>
          <w:szCs w:val="30"/>
          <w:lang w:val="en-US" w:eastAsia="zh-CN"/>
        </w:rPr>
        <w:t>九、</w:t>
      </w:r>
      <w:r>
        <w:rPr>
          <w:rFonts w:hint="eastAsia" w:ascii="仿宋_GB2312" w:eastAsia="仿宋_GB2312"/>
          <w:b/>
          <w:color w:val="auto"/>
          <w:sz w:val="28"/>
          <w:szCs w:val="28"/>
          <w:lang w:eastAsia="zh-CN"/>
        </w:rPr>
        <w:t>工</w:t>
      </w:r>
      <w:r>
        <w:rPr>
          <w:rFonts w:hint="eastAsia" w:ascii="仿宋_GB2312" w:eastAsia="仿宋_GB2312"/>
          <w:b/>
          <w:color w:val="auto"/>
          <w:sz w:val="28"/>
          <w:szCs w:val="28"/>
        </w:rPr>
        <w:t>期：</w:t>
      </w:r>
      <w:r>
        <w:rPr>
          <w:rFonts w:hint="eastAsia" w:ascii="仿宋_GB2312" w:eastAsia="仿宋_GB2312"/>
          <w:color w:val="auto"/>
          <w:sz w:val="28"/>
          <w:szCs w:val="28"/>
          <w:lang w:eastAsia="zh-CN"/>
        </w:rPr>
        <w:t>根据施工合同约定工期进行。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lang w:val="en-US" w:eastAsia="zh-CN"/>
        </w:rPr>
      </w:pPr>
      <w:r>
        <w:rPr>
          <w:rFonts w:hint="eastAsia" w:ascii="仿宋_GB2312" w:eastAsia="仿宋_GB2312"/>
          <w:b/>
          <w:bCs/>
          <w:sz w:val="30"/>
          <w:szCs w:val="30"/>
          <w:lang w:val="en-US" w:eastAsia="zh-CN"/>
        </w:rPr>
        <w:t>十、地点：</w:t>
      </w:r>
      <w:r>
        <w:rPr>
          <w:rFonts w:hint="eastAsia" w:ascii="仿宋_GB2312" w:eastAsia="仿宋_GB2312"/>
          <w:sz w:val="30"/>
          <w:szCs w:val="30"/>
          <w:lang w:val="en-US" w:eastAsia="zh-CN"/>
        </w:rPr>
        <w:t>甲方指定地点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十一、报名起截止时间：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lang w:val="en-US" w:eastAsia="zh-CN"/>
        </w:rPr>
      </w:pPr>
      <w:r>
        <w:rPr>
          <w:rFonts w:hint="eastAsia" w:ascii="仿宋_GB2312" w:eastAsia="仿宋_GB2312"/>
          <w:color w:val="auto"/>
          <w:sz w:val="30"/>
          <w:szCs w:val="30"/>
          <w:lang w:val="en-US" w:eastAsia="zh-CN"/>
        </w:rPr>
        <w:t>2022年10月17日---2022年10月24日</w:t>
      </w:r>
      <w:r>
        <w:rPr>
          <w:rFonts w:hint="eastAsia" w:ascii="仿宋_GB2312" w:eastAsia="仿宋_GB2312"/>
          <w:sz w:val="30"/>
          <w:szCs w:val="30"/>
          <w:lang w:val="en-US" w:eastAsia="zh-CN"/>
        </w:rPr>
        <w:t>下午19:00止，每日上午10：00－13：00  下午16：00－19：00（北京时间）（节假日除外）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地点：奇台县双创大厦5楼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_GB2312" w:eastAsia="仿宋_GB2312"/>
          <w:b/>
          <w:bCs/>
          <w:sz w:val="30"/>
          <w:szCs w:val="30"/>
          <w:lang w:val="en-US" w:eastAsia="zh-CN"/>
        </w:rPr>
      </w:pPr>
      <w:r>
        <w:rPr>
          <w:rFonts w:hint="eastAsia" w:ascii="仿宋_GB2312" w:eastAsia="仿宋_GB2312"/>
          <w:b/>
          <w:bCs/>
          <w:sz w:val="30"/>
          <w:szCs w:val="30"/>
          <w:lang w:val="en-US" w:eastAsia="zh-CN"/>
        </w:rPr>
        <w:t>十二、报名须知：招标文件300元/份（售后不退）</w:t>
      </w:r>
    </w:p>
    <w:p>
      <w:pPr>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1、(1)营业执照原件或加盖公章复印件（须包含本次招标范围）。</w:t>
      </w:r>
    </w:p>
    <w:p>
      <w:pPr>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(2)投标人须具备有效的资质证书，国家注册会计师行业主管部门颁发的会计师事务所执业证书、注册造价工程师资格证书、负责人具有的注册会计师执业资格证书。</w:t>
      </w:r>
    </w:p>
    <w:p>
      <w:pPr>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(3)法人代表授权书、被委托人的身份证件原件</w:t>
      </w:r>
    </w:p>
    <w:p>
      <w:pPr>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（4）本项目接受联合体投标（如是联合体投标，以工程造价咨询服务机构为主体，主办方与另一联合体签署联合体协议（需提供联合体协议书）。</w:t>
      </w:r>
    </w:p>
    <w:p>
      <w:pPr>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中国政府采购网(www.ccgp.gov.cn)、“信用中国”网站（www.creditchina.gov.cn）信用记录截图（日期必须在发布公告日期之后）到奇台县双创大厦五楼拷贝招标文件（须自带U盘)。（以上资料复印件加盖公章2套留存）。</w:t>
      </w:r>
    </w:p>
    <w:p>
      <w:pPr>
        <w:jc w:val="both"/>
        <w:rPr>
          <w:rFonts w:hint="eastAsia" w:ascii="仿宋_GB2312" w:eastAsia="仿宋_GB2312"/>
          <w:sz w:val="30"/>
          <w:szCs w:val="30"/>
          <w:lang w:val="en-US" w:eastAsia="zh-CN"/>
        </w:rPr>
      </w:pPr>
      <w:r>
        <w:rPr>
          <w:rFonts w:hint="eastAsia" w:ascii="仿宋" w:hAnsi="仿宋" w:eastAsia="仿宋" w:cs="仿宋"/>
          <w:color w:val="000000"/>
          <w:sz w:val="28"/>
          <w:szCs w:val="28"/>
          <w:lang w:val="en-US" w:eastAsia="zh-CN"/>
        </w:rPr>
        <w:t>2、发布媒介:新疆政府采购网（http://www.ccgp-xinjiang.gov.cn/home.html）。</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十三、投标文件递交截止时间：</w:t>
      </w:r>
    </w:p>
    <w:p>
      <w:pPr>
        <w:ind w:firstLine="300" w:firstLineChars="100"/>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2022年10月27日下午16：00前（北京时间）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color w:val="auto"/>
          <w:sz w:val="30"/>
          <w:szCs w:val="30"/>
          <w:lang w:val="en-US" w:eastAsia="zh-CN"/>
        </w:rPr>
      </w:pPr>
      <w:r>
        <w:rPr>
          <w:rFonts w:hint="eastAsia" w:ascii="仿宋_GB2312" w:eastAsia="仿宋_GB2312"/>
          <w:b/>
          <w:bCs/>
          <w:color w:val="auto"/>
          <w:sz w:val="30"/>
          <w:szCs w:val="30"/>
          <w:lang w:val="en-US" w:eastAsia="zh-CN"/>
        </w:rPr>
        <w:t>十四、招标文件的取得地点：</w:t>
      </w:r>
      <w:r>
        <w:rPr>
          <w:rFonts w:hint="eastAsia" w:ascii="仿宋_GB2312" w:eastAsia="仿宋_GB2312"/>
          <w:color w:val="auto"/>
          <w:sz w:val="30"/>
          <w:szCs w:val="30"/>
          <w:lang w:val="en-US" w:eastAsia="zh-CN"/>
        </w:rPr>
        <w:t>奇台县双创大厦5楼</w:t>
      </w:r>
    </w:p>
    <w:p>
      <w:pPr>
        <w:rPr>
          <w:rFonts w:hint="eastAsia" w:ascii="仿宋_GB2312" w:eastAsia="仿宋_GB2312"/>
          <w:color w:val="auto"/>
          <w:sz w:val="30"/>
          <w:szCs w:val="30"/>
          <w:lang w:val="en-US" w:eastAsia="zh-CN"/>
        </w:rPr>
      </w:pPr>
      <w:r>
        <w:rPr>
          <w:rFonts w:hint="eastAsia" w:ascii="仿宋_GB2312" w:eastAsia="仿宋_GB2312"/>
          <w:b/>
          <w:bCs/>
          <w:color w:val="auto"/>
          <w:sz w:val="30"/>
          <w:szCs w:val="30"/>
          <w:lang w:val="en-US" w:eastAsia="zh-CN"/>
        </w:rPr>
        <w:t>十五、开标时间：</w:t>
      </w:r>
      <w:r>
        <w:rPr>
          <w:rFonts w:hint="eastAsia" w:ascii="仿宋_GB2312" w:eastAsia="仿宋_GB2312"/>
          <w:color w:val="auto"/>
          <w:sz w:val="30"/>
          <w:szCs w:val="30"/>
          <w:lang w:val="en-US" w:eastAsia="zh-CN"/>
        </w:rPr>
        <w:t>2022年10月27日下午16：00</w:t>
      </w:r>
      <w:bookmarkStart w:id="0" w:name="_GoBack"/>
      <w:bookmarkEnd w:id="0"/>
      <w:r>
        <w:rPr>
          <w:rFonts w:hint="eastAsia" w:ascii="仿宋_GB2312" w:eastAsia="仿宋_GB2312"/>
          <w:color w:val="auto"/>
          <w:sz w:val="30"/>
          <w:szCs w:val="30"/>
          <w:lang w:val="en-US" w:eastAsia="zh-CN"/>
        </w:rPr>
        <w:t>前（北京时间）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color w:val="auto"/>
          <w:sz w:val="30"/>
          <w:szCs w:val="30"/>
          <w:lang w:val="en-US" w:eastAsia="zh-CN"/>
        </w:rPr>
      </w:pPr>
      <w:r>
        <w:rPr>
          <w:rFonts w:hint="eastAsia" w:ascii="仿宋_GB2312" w:eastAsia="仿宋_GB2312"/>
          <w:b/>
          <w:bCs/>
          <w:color w:val="auto"/>
          <w:sz w:val="30"/>
          <w:szCs w:val="30"/>
          <w:lang w:val="en-US" w:eastAsia="zh-CN"/>
        </w:rPr>
        <w:t>十六、开标地点：</w:t>
      </w:r>
      <w:r>
        <w:rPr>
          <w:rFonts w:hint="eastAsia" w:ascii="仿宋_GB2312" w:eastAsia="仿宋_GB2312"/>
          <w:color w:val="auto"/>
          <w:sz w:val="30"/>
          <w:szCs w:val="30"/>
          <w:lang w:val="en-US" w:eastAsia="zh-CN"/>
        </w:rPr>
        <w:t>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采购人： 奇台县住房和城乡建设局</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highlight w:val="none"/>
          <w:lang w:val="en-US" w:eastAsia="zh-CN"/>
        </w:rPr>
        <w:t>联系人：杨永利      联系电话：18890866111</w:t>
      </w:r>
      <w:r>
        <w:rPr>
          <w:rFonts w:hint="eastAsia" w:ascii="仿宋_GB2312" w:hAnsi="仿宋_GB2312" w:eastAsia="仿宋_GB2312" w:cs="仿宋_GB2312"/>
          <w:color w:val="auto"/>
          <w:sz w:val="28"/>
          <w:szCs w:val="28"/>
        </w:rPr>
        <w:t xml:space="preserve"> </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招标机构：新疆新华远景工程造价咨询有限公司</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招标机构地址：奇台县双创大厦5楼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联系人： 葛工        联系电话：0994-7229636</w:t>
      </w:r>
    </w:p>
    <w:p>
      <w:pPr>
        <w:pStyle w:val="2"/>
        <w:rPr>
          <w:rFonts w:hint="eastAsia"/>
          <w:lang w:eastAsia="zh-CN"/>
        </w:rPr>
      </w:pPr>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新疆新华远景工程造价咨询有限公司</w:t>
      </w:r>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p>
    <w:p>
      <w:pPr>
        <w:pStyle w:val="2"/>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5"/>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DkyMDFkNDMyOGY5YzRhMDE0MDc0NzFmMWZjMGMifQ=="/>
  </w:docVars>
  <w:rsids>
    <w:rsidRoot w:val="230C220A"/>
    <w:rsid w:val="00CE2CEB"/>
    <w:rsid w:val="00FA6B9C"/>
    <w:rsid w:val="01691F0A"/>
    <w:rsid w:val="01C34639"/>
    <w:rsid w:val="02B80DC8"/>
    <w:rsid w:val="03F61D69"/>
    <w:rsid w:val="042D277D"/>
    <w:rsid w:val="045F6B9B"/>
    <w:rsid w:val="05575AC4"/>
    <w:rsid w:val="064F564D"/>
    <w:rsid w:val="06647088"/>
    <w:rsid w:val="06EA11FE"/>
    <w:rsid w:val="078F7CDF"/>
    <w:rsid w:val="079E2D3B"/>
    <w:rsid w:val="083C511A"/>
    <w:rsid w:val="0841493C"/>
    <w:rsid w:val="09211839"/>
    <w:rsid w:val="0AD60AAA"/>
    <w:rsid w:val="0B0E778B"/>
    <w:rsid w:val="0B415F1C"/>
    <w:rsid w:val="0B565A92"/>
    <w:rsid w:val="0BC11462"/>
    <w:rsid w:val="0D5D10FB"/>
    <w:rsid w:val="0DFB66BA"/>
    <w:rsid w:val="0E814859"/>
    <w:rsid w:val="0F680ECB"/>
    <w:rsid w:val="0FFE2F98"/>
    <w:rsid w:val="12A30193"/>
    <w:rsid w:val="13F33191"/>
    <w:rsid w:val="14A03FE7"/>
    <w:rsid w:val="14A208D9"/>
    <w:rsid w:val="153F7689"/>
    <w:rsid w:val="154B3ABA"/>
    <w:rsid w:val="15B6334F"/>
    <w:rsid w:val="16B90623"/>
    <w:rsid w:val="16F5731E"/>
    <w:rsid w:val="19E62171"/>
    <w:rsid w:val="1A1920D3"/>
    <w:rsid w:val="1AED0D0E"/>
    <w:rsid w:val="1AEE5BD9"/>
    <w:rsid w:val="1BFD5D2D"/>
    <w:rsid w:val="1C4817DB"/>
    <w:rsid w:val="1D37721E"/>
    <w:rsid w:val="1EFB56CB"/>
    <w:rsid w:val="21121B12"/>
    <w:rsid w:val="22716B49"/>
    <w:rsid w:val="22A45D3A"/>
    <w:rsid w:val="22E744D4"/>
    <w:rsid w:val="230C220A"/>
    <w:rsid w:val="230D5E88"/>
    <w:rsid w:val="2321690D"/>
    <w:rsid w:val="23A937E6"/>
    <w:rsid w:val="24326CFD"/>
    <w:rsid w:val="24F9229C"/>
    <w:rsid w:val="25BC0BFC"/>
    <w:rsid w:val="26AF7F78"/>
    <w:rsid w:val="26D432B2"/>
    <w:rsid w:val="280E3822"/>
    <w:rsid w:val="29567CBD"/>
    <w:rsid w:val="2A2658E2"/>
    <w:rsid w:val="2A781AFA"/>
    <w:rsid w:val="2B17347C"/>
    <w:rsid w:val="2B594DA9"/>
    <w:rsid w:val="2B9B6C3D"/>
    <w:rsid w:val="2CC02BAB"/>
    <w:rsid w:val="2D4D6B85"/>
    <w:rsid w:val="2DE67E01"/>
    <w:rsid w:val="2EB129E9"/>
    <w:rsid w:val="2EC052FB"/>
    <w:rsid w:val="2F545CE3"/>
    <w:rsid w:val="31085D41"/>
    <w:rsid w:val="343E7CCC"/>
    <w:rsid w:val="36E92171"/>
    <w:rsid w:val="37C132AA"/>
    <w:rsid w:val="37CE258E"/>
    <w:rsid w:val="389E0F0B"/>
    <w:rsid w:val="3C320FF0"/>
    <w:rsid w:val="3D6A10A8"/>
    <w:rsid w:val="3E616A28"/>
    <w:rsid w:val="3E654F88"/>
    <w:rsid w:val="3EBD76C0"/>
    <w:rsid w:val="3F3B3785"/>
    <w:rsid w:val="3FFE5843"/>
    <w:rsid w:val="410F416B"/>
    <w:rsid w:val="414C13B1"/>
    <w:rsid w:val="41F077D9"/>
    <w:rsid w:val="429116F5"/>
    <w:rsid w:val="42F54110"/>
    <w:rsid w:val="432E2F98"/>
    <w:rsid w:val="43B0679F"/>
    <w:rsid w:val="44A43B7B"/>
    <w:rsid w:val="44B414C1"/>
    <w:rsid w:val="44C4166D"/>
    <w:rsid w:val="45960A20"/>
    <w:rsid w:val="468E3C29"/>
    <w:rsid w:val="46C5353F"/>
    <w:rsid w:val="47197F94"/>
    <w:rsid w:val="47900877"/>
    <w:rsid w:val="48176AB3"/>
    <w:rsid w:val="48390A7E"/>
    <w:rsid w:val="484521EF"/>
    <w:rsid w:val="48C11760"/>
    <w:rsid w:val="491A5544"/>
    <w:rsid w:val="49612C09"/>
    <w:rsid w:val="496E15A5"/>
    <w:rsid w:val="49CD11D1"/>
    <w:rsid w:val="4A270B87"/>
    <w:rsid w:val="4ACA16A0"/>
    <w:rsid w:val="4B673D0F"/>
    <w:rsid w:val="4BF02B63"/>
    <w:rsid w:val="4EF73A90"/>
    <w:rsid w:val="4F6939F7"/>
    <w:rsid w:val="501F447D"/>
    <w:rsid w:val="50237DB3"/>
    <w:rsid w:val="507C26E4"/>
    <w:rsid w:val="50803A44"/>
    <w:rsid w:val="514E59FA"/>
    <w:rsid w:val="519B66EE"/>
    <w:rsid w:val="51EB7F15"/>
    <w:rsid w:val="51F3235D"/>
    <w:rsid w:val="52700BF0"/>
    <w:rsid w:val="52B7716F"/>
    <w:rsid w:val="533903D9"/>
    <w:rsid w:val="53BE61C8"/>
    <w:rsid w:val="55046B45"/>
    <w:rsid w:val="551F38A0"/>
    <w:rsid w:val="563C6515"/>
    <w:rsid w:val="568B028C"/>
    <w:rsid w:val="56B75990"/>
    <w:rsid w:val="57347429"/>
    <w:rsid w:val="575256B8"/>
    <w:rsid w:val="575A03BE"/>
    <w:rsid w:val="57A857EB"/>
    <w:rsid w:val="5865490B"/>
    <w:rsid w:val="5867197F"/>
    <w:rsid w:val="58B2640F"/>
    <w:rsid w:val="58BC7068"/>
    <w:rsid w:val="5907374E"/>
    <w:rsid w:val="5A8D61F6"/>
    <w:rsid w:val="5AF0731D"/>
    <w:rsid w:val="5B794D80"/>
    <w:rsid w:val="5BB826E2"/>
    <w:rsid w:val="5BC12663"/>
    <w:rsid w:val="5C161BFB"/>
    <w:rsid w:val="5C970444"/>
    <w:rsid w:val="5CA51684"/>
    <w:rsid w:val="5D020DA4"/>
    <w:rsid w:val="5DBF026E"/>
    <w:rsid w:val="5ED45A6C"/>
    <w:rsid w:val="5F864151"/>
    <w:rsid w:val="5FC87E4F"/>
    <w:rsid w:val="60555AFC"/>
    <w:rsid w:val="612B6194"/>
    <w:rsid w:val="61D20875"/>
    <w:rsid w:val="62ED2C1C"/>
    <w:rsid w:val="634A5F1E"/>
    <w:rsid w:val="63F773C7"/>
    <w:rsid w:val="645E78C8"/>
    <w:rsid w:val="648F5856"/>
    <w:rsid w:val="64DE2AAF"/>
    <w:rsid w:val="659A6AC8"/>
    <w:rsid w:val="663F14FD"/>
    <w:rsid w:val="6655201C"/>
    <w:rsid w:val="66A06CD6"/>
    <w:rsid w:val="66B261F4"/>
    <w:rsid w:val="66D71272"/>
    <w:rsid w:val="66E20B98"/>
    <w:rsid w:val="68290394"/>
    <w:rsid w:val="69B72C19"/>
    <w:rsid w:val="6A6C48D6"/>
    <w:rsid w:val="6DCE5641"/>
    <w:rsid w:val="6E5D6DD7"/>
    <w:rsid w:val="6EA14278"/>
    <w:rsid w:val="6F8452FF"/>
    <w:rsid w:val="6F9E3B82"/>
    <w:rsid w:val="6FCF56A0"/>
    <w:rsid w:val="709D04E4"/>
    <w:rsid w:val="70D05EA7"/>
    <w:rsid w:val="71112FBF"/>
    <w:rsid w:val="71EB0225"/>
    <w:rsid w:val="74C432FA"/>
    <w:rsid w:val="755C79D6"/>
    <w:rsid w:val="76946059"/>
    <w:rsid w:val="769C4DB2"/>
    <w:rsid w:val="76E61166"/>
    <w:rsid w:val="770A754F"/>
    <w:rsid w:val="77495D38"/>
    <w:rsid w:val="77626DFA"/>
    <w:rsid w:val="77B9603A"/>
    <w:rsid w:val="77E835BA"/>
    <w:rsid w:val="78CD3C08"/>
    <w:rsid w:val="790E0FDD"/>
    <w:rsid w:val="79521FBF"/>
    <w:rsid w:val="79844F71"/>
    <w:rsid w:val="7A4850C0"/>
    <w:rsid w:val="7A722D23"/>
    <w:rsid w:val="7D1F157D"/>
    <w:rsid w:val="7D401061"/>
    <w:rsid w:val="7D9B4B26"/>
    <w:rsid w:val="7E9C7DCA"/>
    <w:rsid w:val="7ECC130A"/>
    <w:rsid w:val="7EE47149"/>
    <w:rsid w:val="7EEB5927"/>
    <w:rsid w:val="7F4330DD"/>
    <w:rsid w:val="7F437511"/>
    <w:rsid w:val="7F5A5161"/>
    <w:rsid w:val="7FC63204"/>
    <w:rsid w:val="7FFD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numPr>
        <w:ilvl w:val="1"/>
        <w:numId w:val="1"/>
      </w:numPr>
      <w:tabs>
        <w:tab w:val="left" w:pos="720"/>
      </w:tabs>
      <w:spacing w:line="360" w:lineRule="auto"/>
      <w:ind w:left="0" w:firstLine="482" w:firstLineChars="200"/>
      <w:outlineLvl w:val="1"/>
    </w:pPr>
    <w:rPr>
      <w:rFonts w:ascii="Arial" w:hAnsi="Arial"/>
      <w:b/>
      <w:bCs/>
      <w:szCs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4"/>
      <w:szCs w:val="24"/>
    </w:rPr>
  </w:style>
  <w:style w:type="paragraph" w:styleId="3">
    <w:name w:val="Body Text 2"/>
    <w:basedOn w:val="1"/>
    <w:qFormat/>
    <w:uiPriority w:val="0"/>
    <w:pPr>
      <w:spacing w:after="120" w:line="480" w:lineRule="auto"/>
    </w:pPr>
    <w:rPr>
      <w:rFonts w:ascii="Arial" w:hAnsi="Arial"/>
      <w:sz w:val="24"/>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2223</Words>
  <Characters>2488</Characters>
  <Lines>0</Lines>
  <Paragraphs>0</Paragraphs>
  <TotalTime>0</TotalTime>
  <ScaleCrop>false</ScaleCrop>
  <LinksUpToDate>false</LinksUpToDate>
  <CharactersWithSpaces>2515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2019-10-29T03:46:00Z</dcterms:created>
  <dc:creator>飞雪轻舞</dc:creator>
  <cp:lastModifiedBy>Administrator</cp:lastModifiedBy>
  <dcterms:modified xsi:type="dcterms:W3CDTF">2022-10-17T09:59:30Z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1015B3BA20B445FEAE6F21766AF29FF7</vt:lpwstr>
  </property>
</Properties>
</file>