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56"/>
          <w:szCs w:val="56"/>
        </w:rPr>
      </w:pPr>
    </w:p>
    <w:p>
      <w:pPr>
        <w:spacing w:line="360" w:lineRule="auto"/>
        <w:jc w:val="center"/>
        <w:rPr>
          <w:rFonts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6"/>
      </w:pPr>
    </w:p>
    <w:p>
      <w:pPr>
        <w:spacing w:line="360" w:lineRule="auto"/>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113"/>
        <w:ind w:firstLine="560"/>
      </w:pPr>
    </w:p>
    <w:p>
      <w:pPr>
        <w:pStyle w:val="16"/>
      </w:pPr>
    </w:p>
    <w:p>
      <w:pPr>
        <w:spacing w:line="360" w:lineRule="auto"/>
        <w:rPr>
          <w:rFonts w:ascii="黑体" w:hAnsi="宋体" w:eastAsia="黑体"/>
          <w:sz w:val="32"/>
        </w:rPr>
      </w:pPr>
    </w:p>
    <w:p>
      <w:pPr>
        <w:pStyle w:val="12"/>
        <w:ind w:firstLine="0" w:firstLineChars="0"/>
        <w:rPr>
          <w:rFonts w:ascii="宋体" w:hAnsi="宋体" w:cs="宋体"/>
          <w:b/>
          <w:sz w:val="32"/>
          <w:szCs w:val="31"/>
        </w:rPr>
      </w:pPr>
      <w:r>
        <w:rPr>
          <w:rFonts w:hint="eastAsia" w:ascii="宋体" w:hAnsi="宋体" w:cs="宋体"/>
          <w:b/>
          <w:sz w:val="32"/>
          <w:szCs w:val="31"/>
        </w:rPr>
        <w:t>招标项目名称：若羌县县域节水型社会达标建设硬件及平台综合服务项目</w:t>
      </w:r>
    </w:p>
    <w:p/>
    <w:p>
      <w:pPr>
        <w:tabs>
          <w:tab w:val="left" w:pos="1134"/>
          <w:tab w:val="left" w:pos="5160"/>
        </w:tabs>
        <w:spacing w:line="360" w:lineRule="auto"/>
        <w:rPr>
          <w:rFonts w:ascii="宋体" w:hAnsi="宋体" w:cs="宋体"/>
          <w:sz w:val="72"/>
          <w:szCs w:val="72"/>
        </w:rPr>
      </w:pPr>
      <w:r>
        <w:rPr>
          <w:rFonts w:hint="eastAsia" w:ascii="宋体" w:hAnsi="宋体" w:cs="宋体"/>
          <w:b/>
          <w:bCs/>
          <w:color w:val="000000"/>
          <w:sz w:val="28"/>
          <w:szCs w:val="28"/>
        </w:rPr>
        <w:t>招 标 单 位：若羌县水利局</w:t>
      </w:r>
    </w:p>
    <w:p>
      <w:pPr>
        <w:pStyle w:val="16"/>
      </w:pPr>
    </w:p>
    <w:p/>
    <w:p>
      <w:pPr>
        <w:pStyle w:val="113"/>
        <w:ind w:firstLine="560"/>
      </w:pPr>
    </w:p>
    <w:p>
      <w:pPr>
        <w:pStyle w:val="113"/>
        <w:ind w:firstLine="560"/>
      </w:pPr>
    </w:p>
    <w:p>
      <w:pPr>
        <w:pStyle w:val="113"/>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6"/>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bookmarkStart w:id="1" w:name="_Toc11510"/>
            <w:bookmarkStart w:id="2" w:name="_Toc30975"/>
            <w:bookmarkStart w:id="3" w:name="_Toc30456"/>
            <w:bookmarkStart w:id="4" w:name="_Toc9512"/>
            <w:bookmarkStart w:id="5" w:name="_Toc16152"/>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color w:val="000000"/>
                <w:kern w:val="2"/>
                <w:sz w:val="28"/>
                <w:szCs w:val="28"/>
              </w:rPr>
              <w:t>若羌县县域节水型社会达标建设硬件及平台综合服务项目</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2"/>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12"/>
              <w:ind w:firstLine="0" w:firstLineChars="0"/>
              <w:rPr>
                <w:rFonts w:ascii="宋体" w:hAnsi="宋体" w:cs="宋体"/>
                <w:b/>
                <w:color w:val="000000"/>
                <w:sz w:val="28"/>
                <w:szCs w:val="28"/>
              </w:rPr>
            </w:pPr>
            <w:r>
              <w:rPr>
                <w:rFonts w:hint="eastAsia" w:ascii="宋体" w:hAnsi="宋体" w:cs="宋体"/>
                <w:b/>
                <w:color w:val="000000"/>
                <w:sz w:val="28"/>
                <w:szCs w:val="28"/>
              </w:rPr>
              <w:t>ZGJHZFCG2022-038号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p>
            <w:pPr>
              <w:pStyle w:val="16"/>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12"/>
              <w:ind w:firstLine="0" w:firstLineChars="0"/>
              <w:rPr>
                <w:rFonts w:ascii="宋体" w:hAnsi="宋体" w:cs="宋体"/>
                <w:b/>
                <w:sz w:val="28"/>
                <w:szCs w:val="28"/>
              </w:rPr>
            </w:pPr>
            <w:r>
              <w:rPr>
                <w:rFonts w:hint="eastAsia" w:ascii="宋体" w:hAnsi="宋体" w:cs="宋体"/>
                <w:b/>
                <w:sz w:val="28"/>
                <w:szCs w:val="28"/>
              </w:rPr>
              <w:t>若羌县水利局（盖章）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ascii="宋体" w:hAnsi="宋体" w:cs="宋体"/>
                <w:b/>
                <w:sz w:val="28"/>
                <w:szCs w:val="28"/>
              </w:rPr>
              <w:t>艾麦江。尼亚孜</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ascii="宋体" w:hAnsi="宋体" w:cs="宋体"/>
                <w:b/>
                <w:sz w:val="28"/>
                <w:szCs w:val="28"/>
              </w:rPr>
            </w:pPr>
            <w:r>
              <w:rPr>
                <w:rFonts w:ascii="宋体" w:hAnsi="宋体" w:cs="宋体"/>
                <w:b/>
                <w:sz w:val="28"/>
                <w:szCs w:val="28"/>
              </w:rPr>
              <w:t xml:space="preserve">13565032121 </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ascii="宋体" w:hAnsi="宋体" w:cs="宋体"/>
                <w:b/>
                <w:sz w:val="28"/>
                <w:szCs w:val="28"/>
              </w:rPr>
            </w:pPr>
            <w:r>
              <w:rPr>
                <w:rFonts w:hint="eastAsia" w:ascii="宋体" w:hAnsi="宋体" w:cs="宋体"/>
                <w:b/>
                <w:sz w:val="28"/>
                <w:szCs w:val="28"/>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26427"/>
      <w:bookmarkStart w:id="8" w:name="_Toc19777"/>
      <w:r>
        <w:t xml:space="preserve"> </w:t>
      </w:r>
    </w:p>
    <w:p>
      <w:pPr>
        <w:pStyle w:val="3"/>
        <w:adjustRightInd w:val="0"/>
        <w:snapToGrid w:val="0"/>
        <w:jc w:val="both"/>
        <w:rPr>
          <w:b w:val="0"/>
          <w:bCs w:val="0"/>
          <w:sz w:val="40"/>
          <w:szCs w:val="52"/>
        </w:rPr>
      </w:pPr>
    </w:p>
    <w:p>
      <w:pPr>
        <w:pStyle w:val="3"/>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3"/>
        <w:adjustRightInd w:val="0"/>
        <w:snapToGrid w:val="0"/>
        <w:rPr>
          <w:rFonts w:ascii="宋体" w:hAnsi="宋体" w:cs="宋体"/>
          <w:bCs w:val="0"/>
          <w:kern w:val="2"/>
          <w:szCs w:val="32"/>
        </w:rPr>
      </w:pPr>
      <w:bookmarkStart w:id="9" w:name="_Toc9759"/>
      <w:bookmarkStart w:id="10" w:name="_Toc18331"/>
      <w:r>
        <w:rPr>
          <w:rFonts w:hint="eastAsia" w:ascii="宋体" w:hAnsi="宋体" w:cs="宋体"/>
          <w:bCs w:val="0"/>
          <w:kern w:val="2"/>
          <w:szCs w:val="32"/>
        </w:rPr>
        <w:t xml:space="preserve"> 若羌县县域节水型社会达标建设硬件及平台综合服务项目竞争性磋商公告</w:t>
      </w:r>
    </w:p>
    <w:p>
      <w:pPr>
        <w:pStyle w:val="14"/>
        <w:spacing w:before="75" w:beforeAutospacing="0" w:after="75" w:afterAutospacing="0"/>
        <w:ind w:firstLine="241" w:firstLineChars="100"/>
        <w:rPr>
          <w:rFonts w:cs="宋体"/>
          <w:bCs/>
          <w:kern w:val="2"/>
          <w:szCs w:val="24"/>
        </w:rPr>
      </w:pPr>
      <w:r>
        <w:rPr>
          <w:rFonts w:hint="eastAsia" w:cs="宋体"/>
          <w:b/>
          <w:kern w:val="2"/>
          <w:szCs w:val="24"/>
        </w:rPr>
        <w:t>采购项目编号：</w:t>
      </w:r>
      <w:r>
        <w:rPr>
          <w:rFonts w:hint="eastAsia" w:cs="宋体"/>
          <w:bCs/>
          <w:kern w:val="2"/>
          <w:szCs w:val="24"/>
        </w:rPr>
        <w:t>ZGJHZFCG2022-038号</w:t>
      </w:r>
    </w:p>
    <w:p>
      <w:pPr>
        <w:pStyle w:val="14"/>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4"/>
        <w:spacing w:before="75" w:beforeAutospacing="0" w:after="75" w:afterAutospacing="0"/>
        <w:rPr>
          <w:rFonts w:cs="宋体"/>
          <w:color w:val="000000"/>
          <w:sz w:val="21"/>
          <w:szCs w:val="21"/>
        </w:rPr>
      </w:pPr>
      <w:r>
        <w:rPr>
          <w:rFonts w:hint="eastAsia" w:cs="宋体"/>
          <w:b/>
          <w:kern w:val="2"/>
          <w:szCs w:val="24"/>
        </w:rPr>
        <w:t>三、采购项目概况：</w:t>
      </w:r>
    </w:p>
    <w:tbl>
      <w:tblPr>
        <w:tblStyle w:val="36"/>
        <w:tblW w:w="10078" w:type="dxa"/>
        <w:tblInd w:w="-407" w:type="dxa"/>
        <w:tblLayout w:type="fixed"/>
        <w:tblCellMar>
          <w:top w:w="15" w:type="dxa"/>
          <w:left w:w="15" w:type="dxa"/>
          <w:bottom w:w="15" w:type="dxa"/>
          <w:right w:w="15" w:type="dxa"/>
        </w:tblCellMar>
      </w:tblPr>
      <w:tblGrid>
        <w:gridCol w:w="1350"/>
        <w:gridCol w:w="2032"/>
        <w:gridCol w:w="955"/>
        <w:gridCol w:w="1495"/>
        <w:gridCol w:w="1165"/>
        <w:gridCol w:w="3081"/>
      </w:tblGrid>
      <w:tr>
        <w:tblPrEx>
          <w:tblCellMar>
            <w:top w:w="15" w:type="dxa"/>
            <w:left w:w="15" w:type="dxa"/>
            <w:bottom w:w="15" w:type="dxa"/>
            <w:right w:w="15" w:type="dxa"/>
          </w:tblCellMar>
        </w:tblPrEx>
        <w:tc>
          <w:tcPr>
            <w:tcW w:w="13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标项序号</w:t>
            </w:r>
          </w:p>
        </w:tc>
        <w:tc>
          <w:tcPr>
            <w:tcW w:w="203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标项名称</w:t>
            </w:r>
          </w:p>
        </w:tc>
        <w:tc>
          <w:tcPr>
            <w:tcW w:w="95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数量</w:t>
            </w:r>
          </w:p>
        </w:tc>
        <w:tc>
          <w:tcPr>
            <w:tcW w:w="149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单位</w:t>
            </w:r>
          </w:p>
        </w:tc>
        <w:tc>
          <w:tcPr>
            <w:tcW w:w="308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720" w:firstLineChars="300"/>
              <w:rPr>
                <w:rFonts w:cs="宋体"/>
                <w:bCs/>
                <w:kern w:val="2"/>
                <w:szCs w:val="24"/>
              </w:rPr>
            </w:pPr>
            <w:r>
              <w:rPr>
                <w:rFonts w:hint="eastAsia" w:cs="宋体"/>
                <w:bCs/>
                <w:kern w:val="2"/>
                <w:szCs w:val="24"/>
              </w:rPr>
              <w:t>采购内容</w:t>
            </w:r>
          </w:p>
        </w:tc>
      </w:tr>
      <w:tr>
        <w:tblPrEx>
          <w:tblCellMar>
            <w:top w:w="15" w:type="dxa"/>
            <w:left w:w="15" w:type="dxa"/>
            <w:bottom w:w="15" w:type="dxa"/>
            <w:right w:w="15" w:type="dxa"/>
          </w:tblCellMar>
        </w:tblPrEx>
        <w:trPr>
          <w:trHeight w:val="1484" w:hRule="atLeast"/>
        </w:trPr>
        <w:tc>
          <w:tcPr>
            <w:tcW w:w="13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203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若羌县县域节水型社会达标建设硬件及平台综合服务项目</w:t>
            </w:r>
          </w:p>
        </w:tc>
        <w:tc>
          <w:tcPr>
            <w:tcW w:w="95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49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1290000元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个</w:t>
            </w:r>
          </w:p>
        </w:tc>
        <w:tc>
          <w:tcPr>
            <w:tcW w:w="308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tcPr>
          <w:p>
            <w:pPr>
              <w:pStyle w:val="14"/>
              <w:spacing w:before="75" w:beforeAutospacing="0" w:after="75" w:afterAutospacing="0"/>
              <w:jc w:val="center"/>
              <w:rPr>
                <w:rFonts w:cs="宋体"/>
                <w:bCs/>
                <w:kern w:val="2"/>
                <w:szCs w:val="24"/>
              </w:rPr>
            </w:pPr>
            <w:r>
              <w:rPr>
                <w:rFonts w:hint="eastAsia" w:cs="宋体"/>
                <w:bCs/>
                <w:kern w:val="2"/>
                <w:szCs w:val="24"/>
              </w:rPr>
              <w:t>节水型社会达标建设硬件及平台综合服务</w:t>
            </w:r>
          </w:p>
        </w:tc>
      </w:tr>
    </w:tbl>
    <w:p>
      <w:pPr>
        <w:pStyle w:val="14"/>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4"/>
        <w:spacing w:before="75" w:beforeAutospacing="0" w:after="75" w:afterAutospacing="0"/>
        <w:rPr>
          <w:rFonts w:cs="宋体"/>
          <w:bCs/>
          <w:kern w:val="2"/>
          <w:szCs w:val="24"/>
        </w:rPr>
      </w:pPr>
      <w:r>
        <w:rPr>
          <w:rFonts w:hint="eastAsia" w:cs="宋体"/>
          <w:bCs/>
          <w:kern w:val="2"/>
          <w:szCs w:val="24"/>
        </w:rPr>
        <w:t>（1）、符合《中华人民共和国政府采购法》第二十二条的规定；  </w:t>
      </w:r>
    </w:p>
    <w:p>
      <w:pPr>
        <w:pStyle w:val="14"/>
        <w:spacing w:before="75" w:beforeAutospacing="0" w:after="75" w:afterAutospacing="0"/>
        <w:rPr>
          <w:rFonts w:cs="宋体"/>
          <w:bCs/>
          <w:kern w:val="2"/>
          <w:szCs w:val="24"/>
        </w:rPr>
      </w:pPr>
      <w:r>
        <w:rPr>
          <w:rFonts w:hint="eastAsia" w:cs="宋体"/>
          <w:bCs/>
          <w:kern w:val="2"/>
          <w:szCs w:val="24"/>
        </w:rPr>
        <w:t>（2）法定代表人身份证明书和法定代表人身份证或者法定代表人授权委托书及被授权人身份证明；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（4）、2020或2021年度财务审计报告（成立未满一年的公司可以不提供年度财务审计报告，但是必须提供财务报表。财务报表内容必须包含资产、负债、现金等报表或提供银行资信证明）； </w:t>
      </w:r>
    </w:p>
    <w:p>
      <w:pPr>
        <w:pStyle w:val="14"/>
        <w:spacing w:before="75" w:beforeAutospacing="0" w:after="75" w:afterAutospacing="0"/>
        <w:rPr>
          <w:rFonts w:cs="宋体"/>
          <w:bCs/>
          <w:kern w:val="2"/>
          <w:szCs w:val="24"/>
        </w:rPr>
      </w:pPr>
      <w:r>
        <w:rPr>
          <w:rFonts w:hint="eastAsia" w:cs="宋体"/>
          <w:bCs/>
          <w:kern w:val="2"/>
          <w:szCs w:val="24"/>
        </w:rPr>
        <w:t>（5）有依法缴纳税收和社会保障资金的良好纪录，提供近半年任意三个月单位缴纳税收证明和社保证明；</w:t>
      </w:r>
    </w:p>
    <w:p>
      <w:pPr>
        <w:pStyle w:val="14"/>
        <w:spacing w:before="75" w:beforeAutospacing="0" w:after="75" w:afterAutospacing="0"/>
        <w:rPr>
          <w:rFonts w:cs="宋体"/>
          <w:bCs/>
          <w:kern w:val="2"/>
          <w:szCs w:val="24"/>
        </w:rPr>
      </w:pPr>
      <w:r>
        <w:rPr>
          <w:rFonts w:hint="eastAsia" w:cs="宋体"/>
          <w:bCs/>
          <w:kern w:val="2"/>
          <w:szCs w:val="24"/>
        </w:rPr>
        <w:t>（6）、投标保证金：壹万</w:t>
      </w:r>
      <w:r>
        <w:rPr>
          <w:rFonts w:hint="eastAsia" w:cs="宋体"/>
          <w:bCs/>
          <w:kern w:val="2"/>
          <w:szCs w:val="24"/>
          <w:lang w:val="en-US" w:eastAsia="zh-CN"/>
        </w:rPr>
        <w:t>伍仟元</w:t>
      </w:r>
      <w:bookmarkStart w:id="148" w:name="_GoBack"/>
      <w:bookmarkEnd w:id="148"/>
      <w:r>
        <w:rPr>
          <w:rFonts w:hint="eastAsia" w:cs="宋体"/>
          <w:bCs/>
          <w:kern w:val="2"/>
          <w:szCs w:val="24"/>
        </w:rPr>
        <w:t>整</w:t>
      </w:r>
    </w:p>
    <w:p>
      <w:pPr>
        <w:pStyle w:val="14"/>
        <w:spacing w:before="75" w:beforeAutospacing="0" w:after="75" w:afterAutospacing="0"/>
        <w:rPr>
          <w:rFonts w:cs="宋体"/>
          <w:bCs/>
          <w:kern w:val="2"/>
          <w:szCs w:val="24"/>
        </w:rPr>
      </w:pPr>
      <w:r>
        <w:rPr>
          <w:rFonts w:hint="eastAsia" w:cs="宋体"/>
          <w:b/>
          <w:kern w:val="2"/>
          <w:szCs w:val="24"/>
        </w:rPr>
        <w:t>五、招标文件的获取</w:t>
      </w:r>
    </w:p>
    <w:p>
      <w:pPr>
        <w:pStyle w:val="14"/>
        <w:spacing w:before="75" w:beforeAutospacing="0" w:after="75" w:afterAutospacing="0"/>
        <w:rPr>
          <w:rFonts w:cs="宋体"/>
          <w:bCs/>
          <w:kern w:val="2"/>
          <w:szCs w:val="24"/>
        </w:rPr>
      </w:pPr>
      <w:r>
        <w:rPr>
          <w:rFonts w:hint="eastAsia" w:cs="宋体"/>
          <w:bCs/>
          <w:kern w:val="2"/>
          <w:szCs w:val="24"/>
        </w:rPr>
        <w:t>1、取获招标文件时间：2022年10月19日起至2022年10月26日止。（工作日10：00-13：30，16：00-19：00）</w:t>
      </w:r>
    </w:p>
    <w:p>
      <w:pPr>
        <w:pStyle w:val="14"/>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4"/>
        <w:spacing w:before="75" w:beforeAutospacing="0" w:after="75" w:afterAutospacing="0"/>
        <w:rPr>
          <w:rFonts w:cs="宋体"/>
          <w:bCs/>
          <w:kern w:val="2"/>
          <w:szCs w:val="24"/>
        </w:rPr>
      </w:pPr>
      <w:r>
        <w:rPr>
          <w:rFonts w:hint="eastAsia" w:cs="宋体"/>
          <w:bCs/>
          <w:kern w:val="2"/>
          <w:szCs w:val="24"/>
        </w:rPr>
        <w:t>3、获取招标文件应上传：</w:t>
      </w:r>
    </w:p>
    <w:p>
      <w:pPr>
        <w:pStyle w:val="14"/>
        <w:spacing w:before="75" w:beforeAutospacing="0" w:after="75" w:afterAutospacing="0"/>
        <w:rPr>
          <w:rFonts w:cs="宋体"/>
          <w:bCs/>
          <w:kern w:val="2"/>
          <w:szCs w:val="24"/>
        </w:rPr>
      </w:pPr>
      <w:r>
        <w:rPr>
          <w:rFonts w:hint="eastAsia" w:cs="宋体"/>
          <w:bCs/>
          <w:kern w:val="2"/>
          <w:szCs w:val="24"/>
        </w:rPr>
        <w:t>营业执照副本扫描件原件； </w:t>
      </w:r>
    </w:p>
    <w:p>
      <w:pPr>
        <w:pStyle w:val="14"/>
        <w:spacing w:before="75" w:beforeAutospacing="0" w:after="75" w:afterAutospacing="0"/>
        <w:rPr>
          <w:rFonts w:cs="宋体"/>
          <w:bCs/>
          <w:kern w:val="2"/>
          <w:szCs w:val="24"/>
        </w:rPr>
      </w:pPr>
      <w:r>
        <w:rPr>
          <w:rFonts w:hint="eastAsia" w:cs="宋体"/>
          <w:bCs/>
          <w:kern w:val="2"/>
          <w:szCs w:val="24"/>
        </w:rPr>
        <w:t>法人授权委托书扫描件原件或具有同等法律效力的证明材料及被授权人《居民身份证》扫描件原件； </w:t>
      </w:r>
    </w:p>
    <w:p>
      <w:pPr>
        <w:pStyle w:val="14"/>
        <w:spacing w:before="75" w:beforeAutospacing="0" w:after="75" w:afterAutospacing="0"/>
        <w:rPr>
          <w:rFonts w:cs="宋体"/>
          <w:bCs/>
          <w:kern w:val="2"/>
          <w:szCs w:val="24"/>
        </w:rPr>
      </w:pP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4"/>
        <w:spacing w:before="75" w:beforeAutospacing="0" w:after="75" w:afterAutospacing="0"/>
        <w:rPr>
          <w:rFonts w:cs="宋体"/>
          <w:bCs/>
          <w:kern w:val="2"/>
          <w:szCs w:val="24"/>
        </w:rPr>
      </w:pPr>
      <w:r>
        <w:rPr>
          <w:rFonts w:hint="eastAsia" w:cs="宋体"/>
          <w:bCs/>
          <w:kern w:val="2"/>
          <w:szCs w:val="24"/>
        </w:rPr>
        <w:t>4、投标保证金缴纳及确认时间：凡拟参加本次招标项目的供应商，必须在2022年10月29 日10:30时（北京时间）前将投标保证金汇入指定账户。投标保证金汇款凭证上用途栏应注明本项目招标项目名称[标准格式：（若羌县县域节水型社会达标建设硬件及平台综合服务项目）否则，届时其投标将被拒绝。</w:t>
      </w:r>
    </w:p>
    <w:p>
      <w:pPr>
        <w:pStyle w:val="14"/>
        <w:spacing w:before="75" w:beforeAutospacing="0" w:after="75" w:afterAutospacing="0"/>
        <w:rPr>
          <w:rFonts w:cs="宋体"/>
          <w:bCs/>
          <w:kern w:val="2"/>
          <w:szCs w:val="24"/>
        </w:rPr>
      </w:pPr>
      <w:r>
        <w:rPr>
          <w:rFonts w:hint="eastAsia" w:cs="宋体"/>
          <w:bCs/>
          <w:kern w:val="2"/>
          <w:szCs w:val="24"/>
        </w:rPr>
        <w:t>5、开标（投标）日期：2022年10月 29日上午10：30时（北京时间）。若逾时，届时其投标将被拒绝。</w:t>
      </w:r>
    </w:p>
    <w:p>
      <w:pPr>
        <w:pStyle w:val="14"/>
        <w:spacing w:before="75" w:beforeAutospacing="0" w:after="75" w:afterAutospacing="0"/>
        <w:rPr>
          <w:rFonts w:cs="宋体"/>
          <w:bCs/>
          <w:kern w:val="2"/>
          <w:szCs w:val="24"/>
        </w:rPr>
      </w:pPr>
      <w:r>
        <w:rPr>
          <w:rFonts w:hint="eastAsia" w:cs="宋体"/>
          <w:bCs/>
          <w:kern w:val="2"/>
          <w:szCs w:val="24"/>
        </w:rPr>
        <w:t>6、开标地点：新疆中工建辉工程咨询有限公司开标厅（库尔勒市欢乐海岸3号楼16层）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六、联系方式</w:t>
      </w:r>
    </w:p>
    <w:p>
      <w:pPr>
        <w:pStyle w:val="14"/>
        <w:spacing w:before="75" w:beforeAutospacing="0" w:after="75" w:afterAutospacing="0"/>
        <w:rPr>
          <w:rFonts w:cs="宋体"/>
          <w:bCs/>
          <w:kern w:val="2"/>
          <w:szCs w:val="24"/>
        </w:rPr>
      </w:pPr>
      <w:r>
        <w:rPr>
          <w:rFonts w:hint="eastAsia" w:cs="宋体"/>
          <w:bCs/>
          <w:kern w:val="2"/>
          <w:szCs w:val="24"/>
        </w:rPr>
        <w:t>代理公司名称：新疆中工建辉工程咨询有限公司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联系人：付晓辉　</w:t>
      </w:r>
    </w:p>
    <w:p>
      <w:pPr>
        <w:pStyle w:val="14"/>
        <w:spacing w:before="75" w:beforeAutospacing="0" w:after="75" w:afterAutospacing="0"/>
        <w:rPr>
          <w:rFonts w:cs="宋体"/>
          <w:bCs/>
          <w:kern w:val="2"/>
          <w:szCs w:val="24"/>
        </w:rPr>
      </w:pPr>
      <w:r>
        <w:rPr>
          <w:rFonts w:hint="eastAsia" w:cs="宋体"/>
          <w:bCs/>
          <w:kern w:val="2"/>
          <w:szCs w:val="24"/>
        </w:rPr>
        <w:t>联系电话：18099592556</w:t>
      </w:r>
    </w:p>
    <w:p>
      <w:pPr>
        <w:pStyle w:val="14"/>
        <w:spacing w:before="75" w:beforeAutospacing="0" w:after="75" w:afterAutospacing="0"/>
        <w:rPr>
          <w:rFonts w:cs="宋体"/>
          <w:bCs/>
          <w:kern w:val="2"/>
          <w:szCs w:val="24"/>
        </w:rPr>
      </w:pPr>
      <w:r>
        <w:rPr>
          <w:rFonts w:hint="eastAsia" w:cs="宋体"/>
          <w:bCs/>
          <w:kern w:val="2"/>
          <w:szCs w:val="24"/>
        </w:rPr>
        <w:t>采购单位：若羌县水利局</w:t>
      </w:r>
    </w:p>
    <w:p>
      <w:pPr>
        <w:pStyle w:val="14"/>
        <w:spacing w:before="75" w:beforeAutospacing="0" w:after="75" w:afterAutospacing="0"/>
        <w:rPr>
          <w:rFonts w:cs="宋体"/>
          <w:bCs/>
          <w:kern w:val="2"/>
          <w:szCs w:val="24"/>
        </w:rPr>
      </w:pPr>
      <w:r>
        <w:rPr>
          <w:rFonts w:hint="eastAsia" w:cs="宋体"/>
          <w:bCs/>
          <w:kern w:val="2"/>
          <w:szCs w:val="24"/>
        </w:rPr>
        <w:t>采购人：艾麦江。尼亚孜</w:t>
      </w:r>
    </w:p>
    <w:p>
      <w:pPr>
        <w:pStyle w:val="14"/>
        <w:spacing w:before="75" w:beforeAutospacing="0" w:after="75" w:afterAutospacing="0"/>
        <w:rPr>
          <w:rFonts w:cs="宋体"/>
          <w:bCs/>
          <w:kern w:val="2"/>
          <w:szCs w:val="24"/>
        </w:rPr>
      </w:pPr>
      <w:r>
        <w:rPr>
          <w:rFonts w:hint="eastAsia" w:cs="宋体"/>
          <w:bCs/>
          <w:kern w:val="2"/>
          <w:szCs w:val="24"/>
        </w:rPr>
        <w:t>电  话：13565032121</w:t>
      </w:r>
    </w:p>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4"/>
        <w:spacing w:before="75" w:beforeAutospacing="0" w:after="75" w:afterAutospacing="0"/>
        <w:ind w:firstLine="5760" w:firstLineChars="2400"/>
        <w:rPr>
          <w:rFonts w:cs="宋体"/>
          <w:bCs/>
          <w:kern w:val="2"/>
          <w:szCs w:val="24"/>
        </w:rPr>
      </w:pPr>
      <w:r>
        <w:rPr>
          <w:rFonts w:hint="eastAsia" w:cs="宋体"/>
          <w:bCs/>
          <w:kern w:val="2"/>
          <w:szCs w:val="24"/>
        </w:rPr>
        <w:t>2022年10月19日</w:t>
      </w: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jc w:val="both"/>
        <w:rPr>
          <w:rFonts w:cs="宋体"/>
          <w:b/>
          <w:kern w:val="2"/>
          <w:szCs w:val="24"/>
        </w:rPr>
      </w:pPr>
    </w:p>
    <w:p>
      <w:pPr>
        <w:rPr>
          <w:rFonts w:cs="宋体"/>
          <w:b/>
          <w:szCs w:val="24"/>
        </w:rPr>
      </w:pPr>
    </w:p>
    <w:p>
      <w:pPr>
        <w:pStyle w:val="2"/>
        <w:rPr>
          <w:rFonts w:cs="宋体"/>
          <w:szCs w:val="24"/>
        </w:rPr>
      </w:pPr>
    </w:p>
    <w:p/>
    <w:p>
      <w:pPr>
        <w:pStyle w:val="14"/>
        <w:spacing w:before="75" w:beforeAutospacing="0" w:after="75" w:afterAutospacing="0"/>
        <w:jc w:val="center"/>
        <w:rPr>
          <w:rFonts w:cs="宋体"/>
          <w:b/>
          <w:kern w:val="2"/>
          <w:szCs w:val="24"/>
        </w:rPr>
      </w:pPr>
      <w:r>
        <w:rPr>
          <w:rFonts w:hint="eastAsia" w:cs="宋体"/>
          <w:b/>
          <w:kern w:val="2"/>
          <w:szCs w:val="24"/>
        </w:rPr>
        <w:t>二、投标单位须知</w:t>
      </w:r>
      <w:bookmarkEnd w:id="9"/>
      <w:bookmarkEnd w:id="10"/>
    </w:p>
    <w:p>
      <w:pPr>
        <w:jc w:val="center"/>
        <w:rPr>
          <w:rFonts w:ascii="宋体" w:hAnsi="宋体" w:cs="宋体"/>
          <w:b/>
          <w:color w:val="FF0000"/>
          <w:sz w:val="28"/>
          <w:szCs w:val="28"/>
        </w:rPr>
      </w:pPr>
      <w:bookmarkStart w:id="11" w:name="_Toc21720"/>
      <w:r>
        <w:rPr>
          <w:rFonts w:hint="eastAsia"/>
          <w:b/>
          <w:sz w:val="28"/>
          <w:szCs w:val="28"/>
        </w:rPr>
        <w:t>投标单位须知前附表</w:t>
      </w:r>
      <w:bookmarkEnd w:id="11"/>
    </w:p>
    <w:tbl>
      <w:tblPr>
        <w:tblStyle w:val="36"/>
        <w:tblW w:w="9523"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689"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若羌县县域节水型社会达标建设硬件及平台综合服务项目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名  称：若羌县水利局</w:t>
            </w:r>
          </w:p>
          <w:p>
            <w:pPr>
              <w:pStyle w:val="14"/>
              <w:spacing w:before="75" w:beforeAutospacing="0" w:after="75" w:afterAutospacing="0"/>
              <w:rPr>
                <w:rFonts w:cs="宋体"/>
                <w:bCs/>
                <w:kern w:val="2"/>
                <w:szCs w:val="24"/>
              </w:rPr>
            </w:pPr>
            <w:r>
              <w:rPr>
                <w:rFonts w:hint="eastAsia" w:cs="宋体"/>
                <w:bCs/>
                <w:kern w:val="2"/>
                <w:szCs w:val="24"/>
              </w:rPr>
              <w:t>地  址：若羌县</w:t>
            </w:r>
          </w:p>
          <w:p>
            <w:pPr>
              <w:pStyle w:val="14"/>
              <w:spacing w:before="75" w:beforeAutospacing="0" w:after="75" w:afterAutospacing="0"/>
              <w:rPr>
                <w:rFonts w:cs="宋体"/>
                <w:bCs/>
                <w:kern w:val="2"/>
                <w:szCs w:val="24"/>
              </w:rPr>
            </w:pPr>
            <w:r>
              <w:rPr>
                <w:rFonts w:hint="eastAsia" w:cs="宋体"/>
                <w:bCs/>
                <w:kern w:val="2"/>
                <w:szCs w:val="24"/>
              </w:rPr>
              <w:t>采购人：艾麦江。尼亚孜</w:t>
            </w:r>
          </w:p>
          <w:p>
            <w:pPr>
              <w:pStyle w:val="14"/>
              <w:spacing w:before="75" w:beforeAutospacing="0" w:after="75" w:afterAutospacing="0"/>
              <w:rPr>
                <w:rFonts w:cs="宋体"/>
                <w:bCs/>
                <w:kern w:val="2"/>
                <w:szCs w:val="24"/>
              </w:rPr>
            </w:pPr>
            <w:r>
              <w:rPr>
                <w:rFonts w:hint="eastAsia" w:cs="宋体"/>
                <w:bCs/>
                <w:kern w:val="2"/>
                <w:szCs w:val="24"/>
              </w:rPr>
              <w:t xml:space="preserve">电  话：13565032121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4"/>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4"/>
              <w:spacing w:before="75" w:beforeAutospacing="0" w:after="75" w:afterAutospacing="0"/>
              <w:rPr>
                <w:rFonts w:cs="宋体"/>
                <w:bCs/>
                <w:kern w:val="2"/>
                <w:szCs w:val="24"/>
              </w:rPr>
            </w:pPr>
            <w:r>
              <w:rPr>
                <w:rFonts w:hint="eastAsia" w:cs="宋体"/>
                <w:bCs/>
                <w:kern w:val="2"/>
                <w:szCs w:val="24"/>
              </w:rPr>
              <w:t>联系人：付晓辉</w:t>
            </w:r>
          </w:p>
          <w:p>
            <w:pPr>
              <w:pStyle w:val="14"/>
              <w:spacing w:before="75" w:beforeAutospacing="0" w:after="75" w:afterAutospacing="0"/>
              <w:rPr>
                <w:rFonts w:cs="宋体"/>
                <w:bCs/>
                <w:kern w:val="2"/>
                <w:szCs w:val="24"/>
              </w:rPr>
            </w:pPr>
            <w:r>
              <w:rPr>
                <w:rFonts w:hint="eastAsia" w:cs="宋体"/>
                <w:bCs/>
                <w:kern w:val="2"/>
                <w:szCs w:val="24"/>
              </w:rPr>
              <w:t>联系电话：18099592556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资金来源：财 政</w:t>
            </w:r>
          </w:p>
          <w:p>
            <w:pPr>
              <w:pStyle w:val="14"/>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129万元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投标单位资格条件</w:t>
            </w:r>
          </w:p>
        </w:tc>
        <w:tc>
          <w:tcPr>
            <w:tcW w:w="5689" w:type="dxa"/>
            <w:vAlign w:val="center"/>
          </w:tcPr>
          <w:p>
            <w:pPr>
              <w:pStyle w:val="14"/>
              <w:numPr>
                <w:ilvl w:val="0"/>
                <w:numId w:val="2"/>
              </w:numPr>
              <w:spacing w:before="75" w:beforeAutospacing="0" w:after="75" w:afterAutospacing="0"/>
            </w:pPr>
            <w:r>
              <w:rPr>
                <w:rFonts w:hint="eastAsia" w:cs="宋体"/>
                <w:bCs/>
                <w:kern w:val="2"/>
                <w:szCs w:val="24"/>
              </w:rPr>
              <w:t>、符合《中华人民共和国政府采购法》第二十二条的规定；</w:t>
            </w:r>
          </w:p>
          <w:p>
            <w:pPr>
              <w:pStyle w:val="14"/>
              <w:spacing w:before="75" w:beforeAutospacing="0" w:after="75" w:afterAutospacing="0"/>
              <w:rPr>
                <w:rFonts w:cs="宋体"/>
                <w:bCs/>
                <w:kern w:val="2"/>
                <w:szCs w:val="24"/>
              </w:rPr>
            </w:pPr>
            <w:r>
              <w:rPr>
                <w:rFonts w:hint="eastAsia" w:cs="宋体"/>
                <w:bCs/>
                <w:kern w:val="2"/>
                <w:szCs w:val="24"/>
              </w:rPr>
              <w:t>（2）、法定代表人身份证明书和法定代表人身份证或者法定代表人授权委托书及被授权人身份证明；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（4）、2020或2021年度财务审计报告（成立未满一年的公司可以不提供年度财务审计报告，但是必须提供财务报表。财务报表内容必须包含资产、负债、现金等报表或提供银行资信证明）；</w:t>
            </w:r>
          </w:p>
          <w:p>
            <w:pPr>
              <w:pStyle w:val="14"/>
              <w:spacing w:before="75" w:beforeAutospacing="0" w:after="75" w:afterAutospacing="0"/>
              <w:rPr>
                <w:rFonts w:cs="宋体"/>
                <w:bCs/>
                <w:kern w:val="2"/>
                <w:szCs w:val="24"/>
              </w:rPr>
            </w:pPr>
            <w:r>
              <w:rPr>
                <w:rFonts w:hint="eastAsia" w:cs="宋体"/>
                <w:bCs/>
                <w:kern w:val="2"/>
                <w:szCs w:val="24"/>
              </w:rPr>
              <w:t>（5）有依法缴纳税收和社会保障资金的良好纪录，提供近半年任意三个月单位缴纳税收证明和社保证明； </w:t>
            </w:r>
          </w:p>
          <w:p>
            <w:pPr>
              <w:pStyle w:val="14"/>
              <w:spacing w:before="75" w:beforeAutospacing="0" w:after="75" w:afterAutospacing="0"/>
              <w:rPr>
                <w:rFonts w:cs="宋体"/>
                <w:bCs/>
                <w:kern w:val="2"/>
                <w:szCs w:val="24"/>
              </w:rPr>
            </w:pPr>
            <w:r>
              <w:rPr>
                <w:rFonts w:hint="eastAsia" w:cs="宋体"/>
                <w:bCs/>
                <w:kern w:val="2"/>
                <w:szCs w:val="24"/>
              </w:rPr>
              <w:t>（6）、投标保证金：壹万</w:t>
            </w:r>
            <w:r>
              <w:rPr>
                <w:rFonts w:hint="eastAsia" w:cs="宋体"/>
                <w:bCs/>
                <w:kern w:val="2"/>
                <w:szCs w:val="24"/>
                <w:lang w:val="en-US" w:eastAsia="zh-CN"/>
              </w:rPr>
              <w:t>伍仟</w:t>
            </w:r>
            <w:r>
              <w:rPr>
                <w:rFonts w:hint="eastAsia" w:cs="宋体"/>
                <w:bCs/>
                <w:kern w:val="2"/>
                <w:szCs w:val="24"/>
              </w:rPr>
              <w:t xml:space="preserve">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联合体投标    </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4"/>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备选方案</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4"/>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信息公告媒体</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响应文件递交截止时间</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2022年10月29日10:30（北京时间）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开标地点及投标文件递交</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蹉商地址：新疆中工建辉工程咨询有限公司开标厅（库尔勒市欢乐海岸3号楼16层）。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 xml:space="preserve">投标人应于2022年10月29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招标采购单位依法组建磋商小组共5人组成</w:t>
            </w:r>
          </w:p>
          <w:p>
            <w:pPr>
              <w:pStyle w:val="14"/>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4"/>
              <w:spacing w:before="75" w:beforeAutospacing="0" w:after="75" w:afterAutospacing="0"/>
              <w:rPr>
                <w:rFonts w:cs="宋体"/>
                <w:bCs/>
                <w:kern w:val="2"/>
                <w:szCs w:val="24"/>
              </w:rPr>
            </w:pPr>
            <w:r>
              <w:rPr>
                <w:rFonts w:hint="eastAsia" w:cs="宋体"/>
                <w:bCs/>
                <w:kern w:val="2"/>
                <w:szCs w:val="24"/>
              </w:rPr>
              <w:t>磋商保证金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金额（小写）：1</w:t>
            </w:r>
            <w:r>
              <w:rPr>
                <w:rFonts w:hint="eastAsia" w:cs="宋体"/>
                <w:bCs/>
                <w:kern w:val="2"/>
                <w:szCs w:val="24"/>
                <w:lang w:val="en-US" w:eastAsia="zh-CN"/>
              </w:rPr>
              <w:t>5</w:t>
            </w:r>
            <w:r>
              <w:rPr>
                <w:rFonts w:hint="eastAsia" w:cs="宋体"/>
                <w:bCs/>
                <w:kern w:val="2"/>
                <w:szCs w:val="24"/>
              </w:rPr>
              <w:t xml:space="preserve">000.00元                                    </w:t>
            </w:r>
          </w:p>
          <w:p>
            <w:pPr>
              <w:pStyle w:val="14"/>
              <w:spacing w:before="75" w:beforeAutospacing="0" w:after="75" w:afterAutospacing="0"/>
              <w:rPr>
                <w:rFonts w:cs="宋体"/>
                <w:bCs/>
                <w:kern w:val="2"/>
                <w:szCs w:val="24"/>
              </w:rPr>
            </w:pPr>
            <w:r>
              <w:rPr>
                <w:rFonts w:hint="eastAsia" w:cs="宋体"/>
                <w:bCs/>
                <w:kern w:val="2"/>
                <w:szCs w:val="24"/>
              </w:rPr>
              <w:t>金额（大写）：壹万</w:t>
            </w:r>
            <w:r>
              <w:rPr>
                <w:rFonts w:hint="eastAsia" w:cs="宋体"/>
                <w:bCs/>
                <w:kern w:val="2"/>
                <w:szCs w:val="24"/>
                <w:lang w:val="en-US" w:eastAsia="zh-CN"/>
              </w:rPr>
              <w:t>伍仟</w:t>
            </w:r>
            <w:r>
              <w:rPr>
                <w:rFonts w:hint="eastAsia" w:cs="宋体"/>
                <w:bCs/>
                <w:kern w:val="2"/>
                <w:szCs w:val="24"/>
              </w:rPr>
              <w:t xml:space="preserve">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投标保证金金额：壹万</w:t>
            </w:r>
            <w:r>
              <w:rPr>
                <w:rFonts w:hint="eastAsia" w:cs="宋体"/>
                <w:bCs/>
                <w:kern w:val="2"/>
                <w:szCs w:val="24"/>
                <w:lang w:val="en-US" w:eastAsia="zh-CN"/>
              </w:rPr>
              <w:t>伍仟</w:t>
            </w:r>
            <w:r>
              <w:rPr>
                <w:rFonts w:hint="eastAsia" w:cs="宋体"/>
                <w:bCs/>
                <w:kern w:val="2"/>
                <w:szCs w:val="24"/>
              </w:rPr>
              <w:t>元整（1</w:t>
            </w:r>
            <w:r>
              <w:rPr>
                <w:rFonts w:hint="eastAsia" w:cs="宋体"/>
                <w:bCs/>
                <w:kern w:val="2"/>
                <w:szCs w:val="24"/>
                <w:lang w:val="en-US" w:eastAsia="zh-CN"/>
              </w:rPr>
              <w:t>5</w:t>
            </w:r>
            <w:r>
              <w:rPr>
                <w:rFonts w:hint="eastAsia" w:cs="宋体"/>
                <w:bCs/>
                <w:kern w:val="2"/>
                <w:szCs w:val="24"/>
              </w:rPr>
              <w:t>000元整）</w:t>
            </w:r>
          </w:p>
          <w:p>
            <w:pPr>
              <w:pStyle w:val="14"/>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4"/>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到账截止时间：2022年10月29日10：30北京时间）</w:t>
            </w:r>
          </w:p>
          <w:p>
            <w:pPr>
              <w:pStyle w:val="14"/>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4"/>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评审办法</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磋商有效期</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标前准备</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4"/>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踏勘现场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代理服务费</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履约保证金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质量标准</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21</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服务期限</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2022年12月30日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23</w:t>
            </w:r>
          </w:p>
        </w:tc>
        <w:tc>
          <w:tcPr>
            <w:tcW w:w="2717"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4"/>
              <w:spacing w:before="75" w:beforeAutospacing="0" w:after="75" w:afterAutospacing="0"/>
              <w:rPr>
                <w:rFonts w:cs="宋体"/>
                <w:bCs/>
                <w:color w:val="000000" w:themeColor="text1"/>
                <w:kern w:val="2"/>
                <w:szCs w:val="24"/>
                <w14:textFill>
                  <w14:solidFill>
                    <w14:schemeClr w14:val="tx1"/>
                  </w14:solidFill>
                </w14:textFill>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开标时间后30分钟内（2022年10月29日上午10:30-11：00前）供应商可以登录“政采云”平台，用“项目采购-开标评标”功能进行解密投标文件。若供应商在规定时间内（2022年10月29日上午10:30前）</w:t>
            </w:r>
          </w:p>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689"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4"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406"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trPr>
        <w:tc>
          <w:tcPr>
            <w:tcW w:w="1117" w:type="dxa"/>
            <w:vAlign w:val="center"/>
          </w:tcPr>
          <w:p>
            <w:pPr>
              <w:pStyle w:val="115"/>
              <w:spacing w:line="440" w:lineRule="exact"/>
              <w:jc w:val="center"/>
              <w:rPr>
                <w:bCs/>
                <w:kern w:val="2"/>
              </w:rPr>
            </w:pPr>
            <w:r>
              <w:rPr>
                <w:rFonts w:hint="eastAsia"/>
                <w:bCs/>
                <w:kern w:val="2"/>
              </w:rPr>
              <w:t>质疑须知</w:t>
            </w:r>
          </w:p>
        </w:tc>
        <w:tc>
          <w:tcPr>
            <w:tcW w:w="8406" w:type="dxa"/>
            <w:gridSpan w:val="2"/>
            <w:vAlign w:val="center"/>
          </w:tcPr>
          <w:p>
            <w:pPr>
              <w:pStyle w:val="115"/>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5"/>
              <w:spacing w:line="440" w:lineRule="exact"/>
              <w:jc w:val="both"/>
              <w:rPr>
                <w:bCs/>
                <w:kern w:val="2"/>
              </w:rPr>
            </w:pPr>
            <w:r>
              <w:rPr>
                <w:rFonts w:hint="eastAsia"/>
                <w:bCs/>
                <w:kern w:val="2"/>
              </w:rPr>
              <w:t>接受质疑的单位：新疆中工建辉工程咨询有限公司</w:t>
            </w:r>
          </w:p>
          <w:p>
            <w:pPr>
              <w:pStyle w:val="115"/>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406"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2"/>
      </w:pPr>
      <w:bookmarkStart w:id="12" w:name="_Toc120614213"/>
      <w:bookmarkEnd w:id="12"/>
      <w:bookmarkStart w:id="13" w:name="_Toc16938518"/>
      <w:bookmarkEnd w:id="13"/>
      <w:bookmarkStart w:id="14" w:name="_Toc513029202"/>
      <w:bookmarkEnd w:id="14"/>
      <w:bookmarkStart w:id="15" w:name="_Toc20823274"/>
      <w:bookmarkEnd w:id="15"/>
      <w:bookmarkStart w:id="16" w:name="_Toc455227390"/>
      <w:bookmarkEnd w:id="16"/>
      <w:bookmarkStart w:id="17" w:name="_Toc11413"/>
      <w:bookmarkStart w:id="18" w:name="_Toc26751"/>
      <w:r>
        <w:rPr>
          <w:rFonts w:hint="eastAsia"/>
          <w:bCs/>
        </w:rPr>
        <w:t>一、说明</w:t>
      </w:r>
      <w:bookmarkEnd w:id="17"/>
      <w:bookmarkEnd w:id="18"/>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12"/>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12"/>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2"/>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12"/>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12"/>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12"/>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2"/>
        <w:rPr>
          <w:rFonts w:ascii="宋体" w:hAnsi="宋体" w:cs="宋体"/>
          <w:sz w:val="24"/>
          <w:szCs w:val="24"/>
        </w:rPr>
      </w:pPr>
      <w:bookmarkStart w:id="19" w:name="_Toc293738992"/>
      <w:bookmarkStart w:id="20" w:name="_Toc293736011"/>
      <w:bookmarkStart w:id="21" w:name="_Toc2362"/>
      <w:bookmarkStart w:id="22" w:name="_Toc293736054"/>
      <w:bookmarkStart w:id="23" w:name="_Toc446599311"/>
      <w:bookmarkStart w:id="24" w:name="_Toc27123"/>
      <w:r>
        <w:rPr>
          <w:rFonts w:hint="eastAsia" w:ascii="宋体" w:hAnsi="宋体" w:cs="宋体"/>
          <w:sz w:val="24"/>
          <w:szCs w:val="24"/>
        </w:rPr>
        <w:t>二、磋商文件</w:t>
      </w:r>
      <w:bookmarkEnd w:id="19"/>
      <w:bookmarkEnd w:id="20"/>
      <w:bookmarkEnd w:id="21"/>
      <w:bookmarkEnd w:id="22"/>
      <w:bookmarkEnd w:id="23"/>
      <w:bookmarkEnd w:id="24"/>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12"/>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12"/>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12"/>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12"/>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12"/>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12"/>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12"/>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12"/>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12"/>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12"/>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12"/>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2"/>
        <w:rPr>
          <w:rFonts w:ascii="宋体" w:hAnsi="宋体" w:cs="宋体"/>
          <w:b w:val="0"/>
          <w:bCs/>
          <w:sz w:val="24"/>
          <w:szCs w:val="24"/>
        </w:rPr>
      </w:pPr>
      <w:bookmarkStart w:id="25" w:name="_Toc293738993"/>
      <w:bookmarkStart w:id="26" w:name="_Toc293736012"/>
      <w:bookmarkStart w:id="27" w:name="_Toc29642"/>
      <w:bookmarkStart w:id="28" w:name="_Toc293736055"/>
      <w:bookmarkStart w:id="29" w:name="_Toc446599312"/>
      <w:bookmarkStart w:id="30" w:name="_Toc137"/>
      <w:r>
        <w:rPr>
          <w:rFonts w:hint="eastAsia" w:ascii="宋体" w:hAnsi="宋体" w:cs="宋体"/>
          <w:sz w:val="24"/>
          <w:szCs w:val="24"/>
        </w:rPr>
        <w:t>三、响应文件的编制和数量</w:t>
      </w:r>
      <w:bookmarkEnd w:id="25"/>
      <w:bookmarkEnd w:id="26"/>
      <w:bookmarkEnd w:id="27"/>
      <w:bookmarkEnd w:id="28"/>
      <w:bookmarkEnd w:id="29"/>
      <w:bookmarkEnd w:id="30"/>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12"/>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12"/>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12"/>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12"/>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12"/>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12"/>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12"/>
        <w:spacing w:line="360" w:lineRule="auto"/>
        <w:ind w:firstLine="480"/>
        <w:rPr>
          <w:rFonts w:ascii="宋体" w:hAnsi="宋体" w:cs="宋体"/>
          <w:bCs/>
          <w:kern w:val="0"/>
          <w:sz w:val="24"/>
          <w:szCs w:val="24"/>
        </w:rPr>
      </w:pPr>
    </w:p>
    <w:p>
      <w:pPr>
        <w:pStyle w:val="2"/>
        <w:rPr>
          <w:rFonts w:ascii="宋体" w:hAnsi="宋体" w:cs="宋体"/>
          <w:b w:val="0"/>
          <w:bCs/>
          <w:sz w:val="24"/>
          <w:szCs w:val="24"/>
        </w:rPr>
      </w:pPr>
      <w:bookmarkStart w:id="31" w:name="_Toc293736056"/>
      <w:bookmarkStart w:id="32" w:name="_Toc293738994"/>
      <w:bookmarkStart w:id="33" w:name="_Toc446599313"/>
      <w:bookmarkStart w:id="34" w:name="_Toc8970"/>
      <w:bookmarkStart w:id="35" w:name="_Toc293736013"/>
      <w:bookmarkStart w:id="36" w:name="_Toc13278"/>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ascii="宋体" w:hAnsi="宋体" w:cs="宋体"/>
          <w:b/>
          <w:sz w:val="24"/>
          <w:szCs w:val="24"/>
        </w:rPr>
      </w:pPr>
      <w:bookmarkStart w:id="37" w:name="_Toc293736014"/>
      <w:bookmarkStart w:id="38" w:name="_Toc446599314"/>
      <w:bookmarkStart w:id="39" w:name="_Toc293738995"/>
      <w:bookmarkStart w:id="40" w:name="_Toc293736057"/>
      <w:bookmarkStart w:id="41" w:name="_Toc12422"/>
      <w:bookmarkStart w:id="42" w:name="_Toc9068"/>
      <w:r>
        <w:rPr>
          <w:rFonts w:hint="eastAsia" w:ascii="宋体" w:hAnsi="宋体" w:cs="宋体"/>
          <w:b/>
          <w:sz w:val="24"/>
          <w:szCs w:val="24"/>
        </w:rPr>
        <w:t>4.1 投标文件的标记</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4.1.1　任何不完整或不满足招标文件要求的投标文件将被拒绝。</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4.1.2由于不可抗拒原因或无法控制的事件而导致的丢失或损坏投标包装体内的投标文件时，招标方将不负责任。</w:t>
      </w:r>
    </w:p>
    <w:p>
      <w:pPr>
        <w:spacing w:line="440" w:lineRule="exact"/>
        <w:ind w:firstLine="723" w:firstLineChars="300"/>
        <w:rPr>
          <w:rFonts w:ascii="宋体" w:hAnsi="宋体" w:cs="宋体"/>
          <w:b/>
          <w:sz w:val="24"/>
          <w:szCs w:val="24"/>
        </w:rPr>
      </w:pPr>
      <w:r>
        <w:rPr>
          <w:rFonts w:hint="eastAsia" w:ascii="宋体" w:hAnsi="宋体" w:cs="宋体"/>
          <w:b/>
          <w:sz w:val="24"/>
          <w:szCs w:val="24"/>
        </w:rPr>
        <w:t>4.2. 投标截止时间</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4.2.1  投标文件的递交不得迟于招标文件规定的截止时间，以密封形式递交至代理公司指定开标地点。</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4.2.2　所有投标文件不论派人送交还是通过邮寄的方式递交，都必须在招标方规定的投标截止时间之前送达招标文件指定地点，在此之后送达的投标文件，为无效投标，投标文件将一律被拒绝。</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4.2.3  出现因招标文件的修改而推迟投标截止时间的情况时，投标人则需按招标方的书面修改通知重新规定的投标时间递交。</w:t>
      </w:r>
    </w:p>
    <w:p>
      <w:pPr>
        <w:spacing w:line="440" w:lineRule="exact"/>
        <w:ind w:firstLine="723" w:firstLineChars="300"/>
        <w:rPr>
          <w:rFonts w:ascii="宋体" w:hAnsi="宋体" w:cs="宋体"/>
          <w:b/>
          <w:sz w:val="24"/>
          <w:szCs w:val="24"/>
        </w:rPr>
      </w:pPr>
      <w:r>
        <w:rPr>
          <w:rFonts w:hint="eastAsia" w:ascii="宋体" w:hAnsi="宋体" w:cs="宋体"/>
          <w:b/>
          <w:sz w:val="24"/>
          <w:szCs w:val="24"/>
        </w:rPr>
        <w:t>4.3. 投标文件解密时间</w:t>
      </w:r>
    </w:p>
    <w:p>
      <w:pPr>
        <w:pStyle w:val="12"/>
        <w:rPr>
          <w:color w:val="000000" w:themeColor="text1"/>
          <w14:textFill>
            <w14:solidFill>
              <w14:schemeClr w14:val="tx1"/>
            </w14:solidFill>
          </w14:textFill>
        </w:rPr>
      </w:pPr>
    </w:p>
    <w:p>
      <w:pPr>
        <w:pStyle w:val="12"/>
        <w:spacing w:line="360" w:lineRule="auto"/>
        <w:ind w:firstLine="48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开标时间后30分钟内（2022年10月 29日上午10:30-11：00前）供应商可以登录“政采云”平台，用“项目采购-开标评标”功能进行解密投标文件。若供应商在规定时间内（2022年10月 29日上午11:00前）未按时解密的，视为投标文件撤回。</w:t>
      </w:r>
    </w:p>
    <w:p>
      <w:pPr>
        <w:pStyle w:val="2"/>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ascii="宋体" w:hAnsi="宋体" w:cs="宋体"/>
          <w:bCs/>
          <w:kern w:val="0"/>
          <w:sz w:val="24"/>
          <w:szCs w:val="24"/>
        </w:rPr>
        <w:fldChar w:fldCharType="end"/>
      </w:r>
      <w:r>
        <w:rPr>
          <w:rFonts w:hint="eastAsia" w:ascii="宋体" w:hAnsi="宋体" w:cs="宋体"/>
          <w:bCs/>
          <w:kern w:val="0"/>
          <w:sz w:val="24"/>
          <w:szCs w:val="24"/>
        </w:rPr>
        <w:t>。</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2"/>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2"/>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446599315"/>
      <w:bookmarkStart w:id="44" w:name="_Toc293736058"/>
      <w:bookmarkStart w:id="45" w:name="_Toc293736015"/>
      <w:bookmarkStart w:id="46" w:name="_Toc293738996"/>
    </w:p>
    <w:p>
      <w:pPr>
        <w:pStyle w:val="2"/>
        <w:rPr>
          <w:rFonts w:ascii="宋体" w:hAnsi="宋体" w:cs="宋体"/>
          <w:sz w:val="24"/>
          <w:szCs w:val="24"/>
          <w:highlight w:val="green"/>
        </w:rPr>
      </w:pPr>
      <w:bookmarkStart w:id="47" w:name="_Toc9991"/>
      <w:bookmarkStart w:id="48" w:name="_Toc17108"/>
      <w:r>
        <w:rPr>
          <w:rFonts w:hint="eastAsia" w:ascii="宋体" w:hAnsi="宋体" w:cs="宋体"/>
          <w:sz w:val="24"/>
          <w:szCs w:val="24"/>
        </w:rPr>
        <w:t>六、 授予合同</w:t>
      </w:r>
      <w:bookmarkEnd w:id="43"/>
      <w:bookmarkEnd w:id="44"/>
      <w:bookmarkEnd w:id="45"/>
      <w:bookmarkEnd w:id="46"/>
      <w:bookmarkEnd w:id="47"/>
      <w:bookmarkEnd w:id="48"/>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2"/>
        <w:rPr>
          <w:rFonts w:ascii="宋体" w:hAnsi="宋体" w:cs="宋体"/>
          <w:sz w:val="24"/>
          <w:szCs w:val="24"/>
        </w:rPr>
      </w:pPr>
      <w:bookmarkStart w:id="49" w:name="_Toc293738997"/>
      <w:bookmarkStart w:id="50" w:name="_Toc446599316"/>
      <w:bookmarkStart w:id="51" w:name="_Toc293736059"/>
      <w:bookmarkStart w:id="52" w:name="_Toc293736016"/>
      <w:bookmarkStart w:id="53" w:name="_Toc6301"/>
      <w:bookmarkStart w:id="54" w:name="_Toc30278"/>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294515577"/>
      <w:bookmarkStart w:id="56" w:name="_Toc446599317"/>
      <w:bookmarkStart w:id="57" w:name="_Toc293736060"/>
      <w:bookmarkStart w:id="58" w:name="_Toc293738998"/>
      <w:bookmarkStart w:id="59" w:name="_Toc293736017"/>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12"/>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12"/>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450546725"/>
      <w:bookmarkStart w:id="61" w:name="_Toc9365"/>
      <w:bookmarkStart w:id="62" w:name="_Toc456336161"/>
      <w:bookmarkStart w:id="63" w:name="_Toc483174929"/>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2"/>
        <w:rPr>
          <w:rFonts w:ascii="宋体" w:hAnsi="宋体" w:cs="宋体"/>
          <w:b w:val="0"/>
          <w:bCs/>
          <w:kern w:val="0"/>
          <w:sz w:val="24"/>
          <w:szCs w:val="24"/>
        </w:rPr>
      </w:pPr>
      <w:bookmarkStart w:id="64" w:name="_Toc21328"/>
      <w:bookmarkStart w:id="65" w:name="_Toc28310"/>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2"/>
        <w:rPr>
          <w:rFonts w:ascii="宋体" w:hAnsi="宋体" w:cs="宋体"/>
          <w:sz w:val="24"/>
          <w:szCs w:val="24"/>
        </w:rPr>
      </w:pPr>
      <w:bookmarkStart w:id="66" w:name="_Toc19629"/>
      <w:bookmarkStart w:id="67" w:name="_Toc293736061"/>
      <w:bookmarkStart w:id="68" w:name="_Toc293738999"/>
      <w:bookmarkStart w:id="69" w:name="_Toc446599318"/>
      <w:bookmarkStart w:id="70" w:name="_Toc293736018"/>
      <w:bookmarkStart w:id="71" w:name="_Toc2937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2"/>
        <w:rPr>
          <w:rFonts w:ascii="宋体" w:hAnsi="宋体" w:cs="宋体"/>
          <w:sz w:val="24"/>
          <w:szCs w:val="24"/>
        </w:rPr>
      </w:pPr>
      <w:bookmarkStart w:id="72" w:name="_Toc437611460"/>
      <w:bookmarkStart w:id="73" w:name="_Toc272247702"/>
      <w:bookmarkStart w:id="74" w:name="_Toc23207"/>
      <w:bookmarkStart w:id="75" w:name="_Toc12755"/>
      <w:bookmarkStart w:id="76" w:name="_Toc446599319"/>
      <w:bookmarkStart w:id="77" w:name="_Toc278891599"/>
      <w:r>
        <w:rPr>
          <w:rFonts w:hint="eastAsia" w:ascii="宋体" w:hAnsi="宋体" w:cs="宋体"/>
          <w:sz w:val="24"/>
          <w:szCs w:val="24"/>
        </w:rPr>
        <w:t>十、磋商文件的解释权</w:t>
      </w:r>
      <w:bookmarkEnd w:id="72"/>
      <w:bookmarkEnd w:id="73"/>
      <w:bookmarkEnd w:id="74"/>
      <w:bookmarkEnd w:id="75"/>
      <w:bookmarkEnd w:id="76"/>
      <w:bookmarkEnd w:id="77"/>
    </w:p>
    <w:p>
      <w:pPr>
        <w:pStyle w:val="12"/>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2"/>
        <w:rPr>
          <w:rFonts w:ascii="宋体" w:hAnsi="宋体" w:cs="宋体"/>
          <w:sz w:val="24"/>
          <w:szCs w:val="24"/>
        </w:rPr>
      </w:pPr>
      <w:bookmarkStart w:id="78" w:name="_Toc26060"/>
      <w:bookmarkStart w:id="79" w:name="_Toc446599320"/>
      <w:bookmarkStart w:id="80" w:name="_Toc21111"/>
      <w:bookmarkStart w:id="81" w:name="_Toc437611461"/>
      <w:r>
        <w:rPr>
          <w:rFonts w:hint="eastAsia" w:ascii="宋体" w:hAnsi="宋体" w:cs="宋体"/>
          <w:sz w:val="24"/>
          <w:szCs w:val="24"/>
        </w:rPr>
        <w:t>十一、其他注意事项</w:t>
      </w:r>
      <w:bookmarkEnd w:id="78"/>
      <w:bookmarkEnd w:id="79"/>
      <w:bookmarkEnd w:id="80"/>
      <w:bookmarkEnd w:id="81"/>
    </w:p>
    <w:p>
      <w:pPr>
        <w:pStyle w:val="12"/>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12"/>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12"/>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12"/>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2"/>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293736063"/>
      <w:bookmarkStart w:id="83" w:name="_Toc293739001"/>
      <w:bookmarkStart w:id="84" w:name="_Toc446599322"/>
      <w:bookmarkStart w:id="85" w:name="_Toc293736020"/>
      <w:bookmarkStart w:id="86" w:name="_Toc22876"/>
      <w:bookmarkStart w:id="87" w:name="_Toc20901"/>
    </w:p>
    <w:p>
      <w:pPr>
        <w:pStyle w:val="22"/>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293736024"/>
      <w:bookmarkStart w:id="89" w:name="_Toc293739005"/>
      <w:bookmarkStart w:id="90" w:name="_Toc446599330"/>
      <w:bookmarkStart w:id="91" w:name="_Toc293736067"/>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[2016]216号）中第三条第三项的规定和执行统一价格标准的项目，其价格不列为评分因素。有特殊情况需要在上述规定范围外设定价格分权重的，应当经本级人民政府财政部门审核同意。</w:t>
      </w:r>
    </w:p>
    <w:p>
      <w:pPr>
        <w:pStyle w:val="16"/>
        <w:rPr>
          <w:highlight w:val="white"/>
        </w:rPr>
      </w:pPr>
    </w:p>
    <w:p>
      <w:pPr>
        <w:rPr>
          <w:highlight w:val="white"/>
        </w:rPr>
      </w:pPr>
    </w:p>
    <w:p>
      <w:pPr>
        <w:pStyle w:val="16"/>
        <w:rPr>
          <w:color w:val="FF0000"/>
          <w:highlight w:val="white"/>
        </w:rPr>
      </w:pPr>
    </w:p>
    <w:p>
      <w:pPr>
        <w:rPr>
          <w:color w:val="FF0000"/>
          <w:highlight w:val="white"/>
        </w:rPr>
      </w:pPr>
    </w:p>
    <w:p>
      <w:pPr>
        <w:pStyle w:val="16"/>
        <w:rPr>
          <w:color w:val="FF0000"/>
          <w:highlight w:val="white"/>
        </w:rPr>
      </w:pPr>
    </w:p>
    <w:p>
      <w:pPr>
        <w:rPr>
          <w:color w:val="FF0000"/>
          <w:highlight w:val="white"/>
        </w:rPr>
      </w:pPr>
    </w:p>
    <w:p>
      <w:pPr>
        <w:pStyle w:val="16"/>
        <w:rPr>
          <w:color w:val="FF0000"/>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4"/>
      </w:pPr>
    </w:p>
    <w:p>
      <w:pPr>
        <w:pStyle w:val="16"/>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12"/>
        <w:ind w:firstLine="2972" w:firstLineChars="1000"/>
        <w:rPr>
          <w:rFonts w:ascii="仿宋" w:hAnsi="仿宋" w:eastAsia="仿宋"/>
          <w:spacing w:val="-2"/>
          <w:sz w:val="30"/>
          <w:szCs w:val="30"/>
        </w:rPr>
      </w:pPr>
      <w:bookmarkStart w:id="92" w:name="EB2b9517aba70e41b6b8039ac384a1ee3b"/>
      <w:r>
        <w:rPr>
          <w:rFonts w:hint="eastAsia" w:ascii="仿宋" w:hAnsi="仿宋" w:eastAsia="仿宋"/>
          <w:b/>
          <w:bCs/>
          <w:spacing w:val="-2"/>
          <w:sz w:val="30"/>
          <w:szCs w:val="30"/>
        </w:rPr>
        <w:t>投标文件响应程度初步审查表</w:t>
      </w:r>
    </w:p>
    <w:p>
      <w:pPr>
        <w:spacing w:line="360" w:lineRule="auto"/>
        <w:jc w:val="left"/>
        <w:rPr>
          <w:rFonts w:ascii="宋体" w:hAnsi="宋体" w:cs="宋体"/>
          <w:sz w:val="24"/>
          <w:szCs w:val="24"/>
          <w:highlight w:val="white"/>
        </w:rPr>
      </w:pPr>
      <w:r>
        <w:rPr>
          <w:rFonts w:hint="eastAsia" w:ascii="宋体" w:hAnsi="宋体" w:cs="宋体"/>
          <w:sz w:val="24"/>
          <w:szCs w:val="24"/>
          <w:highlight w:val="white"/>
        </w:rPr>
        <w:t>1.资格性审查</w:t>
      </w:r>
    </w:p>
    <w:tbl>
      <w:tblPr>
        <w:tblStyle w:val="36"/>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有效的工商营业执照副本、税务登记证副本、组织机构代码证本或“三证合一”的营业执照副本，且具备所投标的经营范围；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2</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3</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360" w:lineRule="auto"/>
        <w:jc w:val="left"/>
        <w:rPr>
          <w:rFonts w:ascii="宋体" w:hAnsi="宋体" w:cs="宋体"/>
          <w:sz w:val="24"/>
          <w:szCs w:val="24"/>
          <w:highlight w:val="white"/>
        </w:rPr>
      </w:pPr>
      <w:r>
        <w:rPr>
          <w:rFonts w:hint="eastAsia" w:ascii="宋体" w:hAnsi="宋体" w:cs="宋体"/>
          <w:sz w:val="24"/>
          <w:szCs w:val="24"/>
          <w:highlight w:val="white"/>
        </w:rPr>
        <w:t>2.符合性审查</w:t>
      </w:r>
    </w:p>
    <w:tbl>
      <w:tblPr>
        <w:tblStyle w:val="36"/>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tcPr>
          <w:p>
            <w:pPr>
              <w:spacing w:line="360" w:lineRule="auto"/>
              <w:jc w:val="left"/>
              <w:rPr>
                <w:rFonts w:ascii="宋体" w:hAnsi="宋体" w:cs="宋体"/>
                <w:sz w:val="24"/>
                <w:szCs w:val="24"/>
                <w:highlight w:val="white"/>
              </w:rPr>
            </w:pPr>
          </w:p>
        </w:tc>
        <w:tc>
          <w:tcPr>
            <w:tcW w:w="646" w:type="dxa"/>
            <w:tcBorders>
              <w:top w:val="single" w:color="auto" w:sz="4" w:space="0"/>
              <w:left w:val="single" w:color="auto" w:sz="4"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是否满足招标文件规定的服务期限；</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是否按规定提供法人授权委托书的；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4</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5</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6</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7</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8</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tcPr>
          <w:p>
            <w:pPr>
              <w:spacing w:line="360" w:lineRule="auto"/>
              <w:jc w:val="left"/>
              <w:rPr>
                <w:rFonts w:ascii="宋体" w:hAnsi="宋体" w:cs="宋体"/>
                <w:sz w:val="24"/>
                <w:szCs w:val="24"/>
                <w:highlight w:val="white"/>
              </w:rPr>
            </w:pPr>
          </w:p>
        </w:tc>
        <w:tc>
          <w:tcPr>
            <w:tcW w:w="646" w:type="dxa"/>
            <w:tcBorders>
              <w:left w:val="single" w:color="auto" w:sz="4" w:space="0"/>
              <w:bottom w:val="single" w:color="auto" w:sz="12" w:space="0"/>
            </w:tcBorders>
          </w:tcPr>
          <w:p>
            <w:pPr>
              <w:spacing w:line="360" w:lineRule="auto"/>
              <w:jc w:val="left"/>
              <w:rPr>
                <w:rFonts w:ascii="宋体" w:hAnsi="宋体" w:cs="宋体"/>
                <w:sz w:val="24"/>
                <w:szCs w:val="24"/>
                <w:highlight w:val="white"/>
              </w:rPr>
            </w:pPr>
          </w:p>
        </w:tc>
        <w:tc>
          <w:tcPr>
            <w:tcW w:w="646" w:type="dxa"/>
            <w:tcBorders>
              <w:bottom w:val="single" w:color="auto" w:sz="12" w:space="0"/>
            </w:tcBorders>
          </w:tcPr>
          <w:p>
            <w:pPr>
              <w:spacing w:line="360" w:lineRule="auto"/>
              <w:jc w:val="left"/>
              <w:rPr>
                <w:rFonts w:ascii="宋体" w:hAnsi="宋体" w:cs="宋体"/>
                <w:sz w:val="24"/>
                <w:szCs w:val="24"/>
                <w:highlight w:val="white"/>
              </w:rPr>
            </w:pPr>
          </w:p>
        </w:tc>
        <w:tc>
          <w:tcPr>
            <w:tcW w:w="597" w:type="dxa"/>
            <w:tcBorders>
              <w:bottom w:val="single" w:color="auto" w:sz="12" w:space="0"/>
            </w:tcBorders>
          </w:tcPr>
          <w:p>
            <w:pPr>
              <w:spacing w:line="360" w:lineRule="auto"/>
              <w:jc w:val="left"/>
              <w:rPr>
                <w:rFonts w:ascii="宋体" w:hAnsi="宋体" w:cs="宋体"/>
                <w:sz w:val="24"/>
                <w:szCs w:val="24"/>
                <w:highlight w:val="white"/>
              </w:rPr>
            </w:pPr>
          </w:p>
        </w:tc>
      </w:tr>
    </w:tbl>
    <w:p>
      <w:pPr>
        <w:pStyle w:val="31"/>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rPr>
          <w:rFonts w:ascii="宋体" w:hAnsi="宋体" w:cs="宋体"/>
          <w:sz w:val="24"/>
          <w:szCs w:val="24"/>
          <w:highlight w:val="white"/>
        </w:rPr>
      </w:pPr>
    </w:p>
    <w:p>
      <w:pPr>
        <w:pStyle w:val="31"/>
        <w:ind w:firstLine="3600" w:firstLineChars="1500"/>
        <w:rPr>
          <w:rFonts w:ascii="宋体" w:hAnsi="宋体" w:cs="宋体"/>
          <w:sz w:val="24"/>
          <w:szCs w:val="24"/>
          <w:highlight w:val="white"/>
        </w:rPr>
      </w:pPr>
    </w:p>
    <w:p>
      <w:pPr>
        <w:pStyle w:val="31"/>
        <w:rPr>
          <w:rFonts w:ascii="宋体" w:hAnsi="宋体" w:cs="宋体"/>
          <w:sz w:val="24"/>
          <w:szCs w:val="24"/>
          <w:highlight w:val="white"/>
        </w:rPr>
      </w:pPr>
      <w:r>
        <w:rPr>
          <w:rFonts w:hint="eastAsia" w:ascii="宋体" w:hAnsi="宋体" w:cs="宋体"/>
          <w:sz w:val="24"/>
          <w:szCs w:val="24"/>
          <w:highlight w:val="white"/>
        </w:rPr>
        <w:t xml:space="preserve">                          3、 详细评审表</w:t>
      </w:r>
    </w:p>
    <w:tbl>
      <w:tblPr>
        <w:tblStyle w:val="36"/>
        <w:tblW w:w="10364" w:type="dxa"/>
        <w:tblInd w:w="-1320" w:type="dxa"/>
        <w:tblLayout w:type="fixed"/>
        <w:tblCellMar>
          <w:top w:w="0" w:type="dxa"/>
          <w:left w:w="108" w:type="dxa"/>
          <w:bottom w:w="0" w:type="dxa"/>
          <w:right w:w="108" w:type="dxa"/>
        </w:tblCellMar>
      </w:tblPr>
      <w:tblGrid>
        <w:gridCol w:w="750"/>
        <w:gridCol w:w="1378"/>
        <w:gridCol w:w="1058"/>
        <w:gridCol w:w="1256"/>
        <w:gridCol w:w="5922"/>
      </w:tblGrid>
      <w:tr>
        <w:tblPrEx>
          <w:tblCellMar>
            <w:top w:w="0" w:type="dxa"/>
            <w:left w:w="108" w:type="dxa"/>
            <w:bottom w:w="0" w:type="dxa"/>
            <w:right w:w="108" w:type="dxa"/>
          </w:tblCellMar>
        </w:tblPrEx>
        <w:trPr>
          <w:trHeight w:val="1245" w:hRule="atLeast"/>
        </w:trPr>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378"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评标指标</w:t>
            </w:r>
            <w:r>
              <w:rPr>
                <w:rFonts w:hint="eastAsia" w:ascii="宋体" w:hAnsi="宋体" w:cs="宋体"/>
                <w:color w:val="FF0000"/>
                <w:kern w:val="0"/>
                <w:sz w:val="24"/>
                <w:szCs w:val="24"/>
                <w:lang w:bidi="ar"/>
              </w:rPr>
              <w:t xml:space="preserve">       </w:t>
            </w:r>
          </w:p>
        </w:tc>
        <w:tc>
          <w:tcPr>
            <w:tcW w:w="1058" w:type="dxa"/>
            <w:vMerge w:val="restart"/>
            <w:tcBorders>
              <w:top w:val="single" w:color="000000" w:sz="8" w:space="0"/>
              <w:left w:val="nil"/>
              <w:bottom w:val="single" w:color="000000" w:sz="8" w:space="0"/>
              <w:right w:val="nil"/>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分值</w:t>
            </w:r>
            <w:r>
              <w:rPr>
                <w:rFonts w:hint="eastAsia" w:ascii="宋体" w:hAnsi="宋体" w:cs="宋体"/>
                <w:color w:val="FF0000"/>
                <w:kern w:val="0"/>
                <w:sz w:val="24"/>
                <w:szCs w:val="24"/>
                <w:lang w:bidi="ar"/>
              </w:rPr>
              <w:t xml:space="preserve">    </w:t>
            </w:r>
          </w:p>
        </w:tc>
        <w:tc>
          <w:tcPr>
            <w:tcW w:w="717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ind w:firstLine="2880" w:firstLineChars="1200"/>
              <w:textAlignment w:val="center"/>
              <w:rPr>
                <w:rFonts w:ascii="宋体" w:hAnsi="宋体" w:cs="宋体"/>
                <w:color w:val="000000"/>
                <w:sz w:val="24"/>
                <w:szCs w:val="24"/>
              </w:rPr>
            </w:pPr>
            <w:r>
              <w:rPr>
                <w:rFonts w:hint="eastAsia" w:ascii="宋体" w:hAnsi="宋体" w:cs="宋体"/>
                <w:color w:val="000000"/>
                <w:kern w:val="0"/>
                <w:sz w:val="24"/>
                <w:szCs w:val="24"/>
                <w:lang w:bidi="ar"/>
              </w:rPr>
              <w:t>评标内容</w:t>
            </w:r>
          </w:p>
        </w:tc>
      </w:tr>
      <w:tr>
        <w:tblPrEx>
          <w:tblCellMar>
            <w:top w:w="0" w:type="dxa"/>
            <w:left w:w="108" w:type="dxa"/>
            <w:bottom w:w="0" w:type="dxa"/>
            <w:right w:w="108" w:type="dxa"/>
          </w:tblCellMar>
        </w:tblPrEx>
        <w:trPr>
          <w:trHeight w:val="312" w:hRule="atLeast"/>
        </w:trPr>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000000" w:sz="8" w:space="0"/>
              <w:left w:val="nil"/>
              <w:bottom w:val="single" w:color="000000" w:sz="8" w:space="0"/>
              <w:right w:val="nil"/>
            </w:tcBorders>
            <w:shd w:val="clear" w:color="auto" w:fill="auto"/>
            <w:vAlign w:val="center"/>
          </w:tcPr>
          <w:p>
            <w:pPr>
              <w:rPr>
                <w:rFonts w:ascii="宋体" w:hAnsi="宋体" w:cs="宋体"/>
                <w:color w:val="000000"/>
                <w:sz w:val="24"/>
                <w:szCs w:val="24"/>
              </w:rPr>
            </w:pPr>
          </w:p>
        </w:tc>
        <w:tc>
          <w:tcPr>
            <w:tcW w:w="71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010"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商务分</w:t>
            </w:r>
          </w:p>
        </w:tc>
        <w:tc>
          <w:tcPr>
            <w:tcW w:w="1058" w:type="dxa"/>
            <w:tcBorders>
              <w:top w:val="nil"/>
              <w:left w:val="nil"/>
              <w:bottom w:val="single" w:color="000000" w:sz="8" w:space="0"/>
              <w:right w:val="nil"/>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10分</w:t>
            </w:r>
          </w:p>
        </w:tc>
        <w:tc>
          <w:tcPr>
            <w:tcW w:w="7178" w:type="dxa"/>
            <w:gridSpan w:val="2"/>
            <w:tcBorders>
              <w:top w:val="nil"/>
              <w:left w:val="single" w:color="000000" w:sz="8" w:space="0"/>
              <w:bottom w:val="single" w:color="auto" w:sz="4"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投标价格最低的投标报价为评标基准价，其价格分为满分。价格分的计算：投标报价得分=(评标基准价／投标报价)×0.1×100</w:t>
            </w:r>
          </w:p>
        </w:tc>
      </w:tr>
      <w:tr>
        <w:tblPrEx>
          <w:tblCellMar>
            <w:top w:w="0" w:type="dxa"/>
            <w:left w:w="108" w:type="dxa"/>
            <w:bottom w:w="0" w:type="dxa"/>
            <w:right w:w="108" w:type="dxa"/>
          </w:tblCellMar>
        </w:tblPrEx>
        <w:trPr>
          <w:trHeight w:val="863"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r>
              <w:rPr>
                <w:rFonts w:hint="eastAsia" w:ascii="宋体" w:hAnsi="宋体" w:cs="宋体"/>
                <w:color w:val="000000"/>
                <w:sz w:val="24"/>
                <w:szCs w:val="24"/>
              </w:rPr>
              <w:t>2</w:t>
            </w:r>
          </w:p>
        </w:tc>
        <w:tc>
          <w:tcPr>
            <w:tcW w:w="1378" w:type="dxa"/>
            <w:tcBorders>
              <w:top w:val="nil"/>
              <w:left w:val="nil"/>
              <w:bottom w:val="single" w:color="000000" w:sz="8" w:space="0"/>
              <w:right w:val="single" w:color="000000" w:sz="8" w:space="0"/>
            </w:tcBorders>
            <w:shd w:val="clear" w:color="auto" w:fill="auto"/>
            <w:vAlign w:val="center"/>
          </w:tcPr>
          <w:p>
            <w:pPr>
              <w:rPr>
                <w:rFonts w:ascii="宋体" w:hAnsi="宋体" w:cs="宋体"/>
                <w:color w:val="000000"/>
                <w:sz w:val="24"/>
                <w:szCs w:val="24"/>
              </w:rPr>
            </w:pPr>
            <w:r>
              <w:rPr>
                <w:rFonts w:hint="eastAsia" w:ascii="宋体" w:hAnsi="宋体" w:cs="宋体"/>
                <w:color w:val="000000"/>
                <w:sz w:val="24"/>
                <w:szCs w:val="24"/>
              </w:rPr>
              <w:t>财务状况</w:t>
            </w:r>
          </w:p>
        </w:tc>
        <w:tc>
          <w:tcPr>
            <w:tcW w:w="1058" w:type="dxa"/>
            <w:tcBorders>
              <w:top w:val="nil"/>
              <w:left w:val="nil"/>
              <w:bottom w:val="single" w:color="000000" w:sz="8" w:space="0"/>
              <w:right w:val="single" w:color="auto" w:sz="4" w:space="0"/>
            </w:tcBorders>
            <w:shd w:val="clear" w:color="auto" w:fill="auto"/>
            <w:vAlign w:val="center"/>
          </w:tcPr>
          <w:p>
            <w:pPr>
              <w:rPr>
                <w:rFonts w:ascii="宋体" w:hAnsi="宋体" w:cs="宋体"/>
                <w:color w:val="000000"/>
                <w:sz w:val="24"/>
                <w:szCs w:val="24"/>
              </w:rPr>
            </w:pPr>
            <w:r>
              <w:rPr>
                <w:rFonts w:hint="eastAsia" w:ascii="宋体" w:hAnsi="宋体" w:cs="宋体"/>
                <w:color w:val="000000"/>
                <w:sz w:val="24"/>
                <w:szCs w:val="24"/>
              </w:rPr>
              <w:t>2分</w:t>
            </w:r>
          </w:p>
        </w:tc>
        <w:tc>
          <w:tcPr>
            <w:tcW w:w="7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经审计的近两年（2020年至2021年）度会计报表显示资产负债率小于50%（不含）的得2分；≥50%得1分；</w:t>
            </w:r>
          </w:p>
        </w:tc>
      </w:tr>
      <w:tr>
        <w:tblPrEx>
          <w:tblCellMar>
            <w:top w:w="0" w:type="dxa"/>
            <w:left w:w="108" w:type="dxa"/>
            <w:bottom w:w="0" w:type="dxa"/>
            <w:right w:w="108" w:type="dxa"/>
          </w:tblCellMar>
        </w:tblPrEx>
        <w:trPr>
          <w:trHeight w:val="1245"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textAlignment w:val="center"/>
              <w:rPr>
                <w:rFonts w:ascii="宋体" w:hAnsi="宋体" w:cs="宋体"/>
                <w:sz w:val="24"/>
                <w:szCs w:val="24"/>
              </w:rPr>
            </w:pPr>
            <w:r>
              <w:rPr>
                <w:rFonts w:hint="eastAsia" w:ascii="宋体" w:hAnsi="宋体" w:cs="宋体"/>
                <w:kern w:val="0"/>
                <w:sz w:val="24"/>
                <w:szCs w:val="24"/>
                <w:lang w:bidi="ar"/>
              </w:rPr>
              <w:t>3</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服务体系及服务情况</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35分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sz w:val="24"/>
                <w:szCs w:val="24"/>
              </w:rPr>
              <w:t>实施方案</w:t>
            </w:r>
          </w:p>
        </w:tc>
        <w:tc>
          <w:tcPr>
            <w:tcW w:w="5922"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投标单位根据现场实际情况及招标人提供的技术要求，制定相应的整体技术方案。方案设计符合甲方要求，方案适当得25-35分；技术方案基本满足要求，一般得18-25分；技术方案较差得0-18分。</w:t>
            </w:r>
          </w:p>
        </w:tc>
      </w:tr>
      <w:tr>
        <w:tblPrEx>
          <w:tblCellMar>
            <w:top w:w="0" w:type="dxa"/>
            <w:left w:w="108" w:type="dxa"/>
            <w:bottom w:w="0" w:type="dxa"/>
            <w:right w:w="108" w:type="dxa"/>
          </w:tblCellMar>
        </w:tblPrEx>
        <w:trPr>
          <w:trHeight w:val="312"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szCs w:val="24"/>
              </w:rPr>
            </w:pPr>
          </w:p>
        </w:tc>
        <w:tc>
          <w:tcPr>
            <w:tcW w:w="592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widowControl/>
              <w:textAlignment w:val="center"/>
              <w:rPr>
                <w:rFonts w:hint="eastAsia" w:ascii="宋体" w:hAnsi="宋体" w:cs="宋体"/>
                <w:color w:val="000000"/>
                <w:kern w:val="0"/>
                <w:sz w:val="24"/>
                <w:szCs w:val="24"/>
                <w:lang w:bidi="ar"/>
              </w:rPr>
            </w:pPr>
          </w:p>
        </w:tc>
      </w:tr>
      <w:tr>
        <w:tblPrEx>
          <w:tblCellMar>
            <w:top w:w="0" w:type="dxa"/>
            <w:left w:w="108" w:type="dxa"/>
            <w:bottom w:w="0" w:type="dxa"/>
            <w:right w:w="108" w:type="dxa"/>
          </w:tblCellMar>
        </w:tblPrEx>
        <w:trPr>
          <w:trHeight w:val="876"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20分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sz w:val="24"/>
                <w:szCs w:val="24"/>
              </w:rPr>
              <w:t>技术方案</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服务要求完全满足招标要求并满足功能、性能及技术指标要求，</w:t>
            </w:r>
            <w:r>
              <w:rPr>
                <w:rFonts w:hint="eastAsia" w:ascii="宋体" w:hAnsi="宋体" w:cs="宋体"/>
                <w:color w:val="000000"/>
                <w:kern w:val="0"/>
                <w:sz w:val="24"/>
                <w:szCs w:val="24"/>
                <w:lang w:val="en-US" w:eastAsia="zh-CN" w:bidi="ar"/>
              </w:rPr>
              <w:t>得7</w:t>
            </w:r>
            <w:r>
              <w:rPr>
                <w:rFonts w:hint="eastAsia" w:ascii="宋体" w:hAnsi="宋体" w:cs="宋体"/>
                <w:color w:val="000000"/>
                <w:kern w:val="0"/>
                <w:sz w:val="24"/>
                <w:szCs w:val="24"/>
                <w:lang w:bidi="ar"/>
              </w:rPr>
              <w:t>分。每有一项服务内容正偏离，加1分，累计加分不超过10分；服务内容存在负偏离，配置不详，内容不清，缺漏项的，每处扣3分，扣完为止。</w:t>
            </w:r>
          </w:p>
        </w:tc>
      </w:tr>
      <w:tr>
        <w:tblPrEx>
          <w:tblCellMar>
            <w:top w:w="0" w:type="dxa"/>
            <w:left w:w="108" w:type="dxa"/>
            <w:bottom w:w="0" w:type="dxa"/>
            <w:right w:w="108" w:type="dxa"/>
          </w:tblCellMar>
        </w:tblPrEx>
        <w:trPr>
          <w:trHeight w:val="904"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包括实施计划、组织管理、服务方案及具体服务措施、保障措施，优良得6-4分、中得2-3分、差得0-1分三个档次。</w:t>
            </w:r>
          </w:p>
        </w:tc>
      </w:tr>
      <w:tr>
        <w:tblPrEx>
          <w:tblCellMar>
            <w:top w:w="0" w:type="dxa"/>
            <w:left w:w="108" w:type="dxa"/>
            <w:bottom w:w="0" w:type="dxa"/>
            <w:right w:w="108" w:type="dxa"/>
          </w:tblCellMar>
        </w:tblPrEx>
        <w:trPr>
          <w:trHeight w:val="77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人员配备情况进行横向比较；具有中级及以上工程师每一人得2分，最高得4分；</w:t>
            </w:r>
          </w:p>
        </w:tc>
      </w:tr>
      <w:tr>
        <w:tblPrEx>
          <w:tblCellMar>
            <w:top w:w="0" w:type="dxa"/>
            <w:left w:w="108" w:type="dxa"/>
            <w:bottom w:w="0" w:type="dxa"/>
            <w:right w:w="108" w:type="dxa"/>
          </w:tblCellMar>
        </w:tblPrEx>
        <w:trPr>
          <w:trHeight w:val="1031"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szCs w:val="24"/>
              </w:rPr>
            </w:pPr>
            <w:r>
              <w:rPr>
                <w:rFonts w:ascii="宋体" w:hAnsi="宋体" w:cs="宋体"/>
                <w:kern w:val="0"/>
                <w:sz w:val="24"/>
                <w:szCs w:val="24"/>
                <w:lang w:bidi="ar"/>
              </w:rPr>
              <w:t>7</w:t>
            </w:r>
            <w:r>
              <w:rPr>
                <w:rFonts w:hint="eastAsia" w:ascii="宋体" w:hAnsi="宋体" w:cs="宋体"/>
                <w:kern w:val="0"/>
                <w:sz w:val="24"/>
                <w:szCs w:val="24"/>
                <w:lang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质量控制</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项目进度控制时间明细设置是否合理、目标设置是否明确、保证措施是否有利可行（0-7）</w:t>
            </w:r>
          </w:p>
        </w:tc>
      </w:tr>
      <w:tr>
        <w:tblPrEx>
          <w:tblCellMar>
            <w:top w:w="0" w:type="dxa"/>
            <w:left w:w="108" w:type="dxa"/>
            <w:bottom w:w="0" w:type="dxa"/>
            <w:right w:w="108" w:type="dxa"/>
          </w:tblCellMar>
        </w:tblPrEx>
        <w:trPr>
          <w:trHeight w:val="949"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1</w:t>
            </w:r>
            <w:r>
              <w:rPr>
                <w:rFonts w:ascii="宋体" w:hAnsi="宋体" w:cs="宋体"/>
                <w:kern w:val="0"/>
                <w:sz w:val="24"/>
                <w:szCs w:val="24"/>
                <w:lang w:bidi="ar"/>
              </w:rPr>
              <w:t>8</w:t>
            </w:r>
            <w:r>
              <w:rPr>
                <w:rFonts w:hint="eastAsia" w:ascii="宋体" w:hAnsi="宋体" w:cs="宋体"/>
                <w:kern w:val="0"/>
                <w:sz w:val="24"/>
                <w:szCs w:val="24"/>
                <w:lang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类似业绩</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近三年同类服务的业绩每提供一项业节水型社会绩得</w:t>
            </w: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分。（满分10分），每提供一项水平测试业绩得1分，满分4分，每提供一项节水型单位或节水型机关得1分，满分4分； 投标人须提供该业绩项目的中标通知书复印件或采购合同文本或验收报告等证明文件复印件，评标过程中如发现填报不实，本项不得分。</w:t>
            </w:r>
          </w:p>
        </w:tc>
      </w:tr>
      <w:tr>
        <w:tblPrEx>
          <w:tblCellMar>
            <w:top w:w="0" w:type="dxa"/>
            <w:left w:w="108" w:type="dxa"/>
            <w:bottom w:w="0" w:type="dxa"/>
            <w:right w:w="108" w:type="dxa"/>
          </w:tblCellMar>
        </w:tblPrEx>
        <w:trPr>
          <w:trHeight w:val="1245" w:hRule="atLeast"/>
        </w:trPr>
        <w:tc>
          <w:tcPr>
            <w:tcW w:w="75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rPr>
                <w:rFonts w:ascii="宋体" w:hAnsi="宋体" w:cs="宋体"/>
                <w:sz w:val="24"/>
                <w:szCs w:val="24"/>
              </w:rPr>
            </w:pPr>
          </w:p>
        </w:tc>
        <w:tc>
          <w:tcPr>
            <w:tcW w:w="1378" w:type="dxa"/>
            <w:vMerge w:val="continue"/>
            <w:tcBorders>
              <w:top w:val="single" w:color="auto" w:sz="4" w:space="0"/>
              <w:left w:val="nil"/>
              <w:bottom w:val="single" w:color="000000" w:sz="8" w:space="0"/>
              <w:right w:val="single" w:color="auto" w:sz="4" w:space="0"/>
            </w:tcBorders>
            <w:shd w:val="clear" w:color="auto" w:fill="auto"/>
            <w:vAlign w:val="center"/>
          </w:tcPr>
          <w:p>
            <w:pPr>
              <w:rPr>
                <w:rFonts w:ascii="宋体" w:hAnsi="宋体" w:cs="宋体"/>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ascii="宋体" w:hAnsi="宋体" w:cs="宋体"/>
                <w:kern w:val="0"/>
                <w:sz w:val="24"/>
                <w:szCs w:val="24"/>
                <w:lang w:bidi="ar"/>
              </w:rPr>
              <w:t>6</w:t>
            </w:r>
            <w:r>
              <w:rPr>
                <w:rFonts w:hint="eastAsia" w:ascii="宋体" w:hAnsi="宋体" w:cs="宋体"/>
                <w:kern w:val="0"/>
                <w:sz w:val="24"/>
                <w:szCs w:val="24"/>
                <w:lang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服务承诺、服务质量保证</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服务承诺横向比较，优良得</w:t>
            </w:r>
            <w:r>
              <w:rPr>
                <w:rFonts w:ascii="宋体" w:hAnsi="宋体" w:cs="宋体"/>
                <w:kern w:val="0"/>
                <w:sz w:val="24"/>
                <w:szCs w:val="24"/>
                <w:lang w:bidi="ar"/>
              </w:rPr>
              <w:t>6</w:t>
            </w:r>
            <w:r>
              <w:rPr>
                <w:rFonts w:hint="eastAsia" w:ascii="宋体" w:hAnsi="宋体" w:cs="宋体"/>
                <w:kern w:val="0"/>
                <w:sz w:val="24"/>
                <w:szCs w:val="24"/>
                <w:lang w:bidi="ar"/>
              </w:rPr>
              <w:t>-</w:t>
            </w:r>
            <w:r>
              <w:rPr>
                <w:rFonts w:ascii="宋体" w:hAnsi="宋体" w:cs="宋体"/>
                <w:kern w:val="0"/>
                <w:sz w:val="24"/>
                <w:szCs w:val="24"/>
                <w:lang w:bidi="ar"/>
              </w:rPr>
              <w:t>5</w:t>
            </w:r>
            <w:r>
              <w:rPr>
                <w:rFonts w:hint="eastAsia" w:ascii="宋体" w:hAnsi="宋体" w:cs="宋体"/>
                <w:kern w:val="0"/>
                <w:sz w:val="24"/>
                <w:szCs w:val="24"/>
                <w:lang w:bidi="ar"/>
              </w:rPr>
              <w:t>分、中得</w:t>
            </w:r>
            <w:r>
              <w:rPr>
                <w:rFonts w:ascii="宋体" w:hAnsi="宋体" w:cs="宋体"/>
                <w:kern w:val="0"/>
                <w:sz w:val="24"/>
                <w:szCs w:val="24"/>
                <w:lang w:bidi="ar"/>
              </w:rPr>
              <w:t>4</w:t>
            </w:r>
            <w:r>
              <w:rPr>
                <w:rFonts w:hint="eastAsia" w:ascii="宋体" w:hAnsi="宋体" w:cs="宋体"/>
                <w:kern w:val="0"/>
                <w:sz w:val="24"/>
                <w:szCs w:val="24"/>
                <w:lang w:bidi="ar"/>
              </w:rPr>
              <w:t>-</w:t>
            </w:r>
            <w:r>
              <w:rPr>
                <w:rFonts w:ascii="宋体" w:hAnsi="宋体" w:cs="宋体"/>
                <w:kern w:val="0"/>
                <w:sz w:val="24"/>
                <w:szCs w:val="24"/>
                <w:lang w:bidi="ar"/>
              </w:rPr>
              <w:t>2</w:t>
            </w:r>
            <w:r>
              <w:rPr>
                <w:rFonts w:hint="eastAsia" w:ascii="宋体" w:hAnsi="宋体" w:cs="宋体"/>
                <w:kern w:val="0"/>
                <w:sz w:val="24"/>
                <w:szCs w:val="24"/>
                <w:lang w:bidi="ar"/>
              </w:rPr>
              <w:t>分、差得2-0分三个档次。</w:t>
            </w:r>
          </w:p>
        </w:tc>
      </w:tr>
      <w:tr>
        <w:tblPrEx>
          <w:tblCellMar>
            <w:top w:w="0" w:type="dxa"/>
            <w:left w:w="108" w:type="dxa"/>
            <w:bottom w:w="0" w:type="dxa"/>
            <w:right w:w="108" w:type="dxa"/>
          </w:tblCellMar>
        </w:tblPrEx>
        <w:trPr>
          <w:trHeight w:val="1245"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sz w:val="24"/>
                <w:szCs w:val="24"/>
              </w:rPr>
            </w:pPr>
            <w:r>
              <w:rPr>
                <w:rFonts w:hint="eastAsia" w:ascii="宋体" w:hAnsi="宋体" w:cs="宋体"/>
                <w:kern w:val="0"/>
                <w:sz w:val="24"/>
                <w:szCs w:val="24"/>
                <w:lang w:bidi="ar"/>
              </w:rPr>
              <w:t>4</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标书质量</w:t>
            </w:r>
          </w:p>
        </w:tc>
        <w:tc>
          <w:tcPr>
            <w:tcW w:w="1058" w:type="dxa"/>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2分</w:t>
            </w:r>
          </w:p>
        </w:tc>
        <w:tc>
          <w:tcPr>
            <w:tcW w:w="7178" w:type="dxa"/>
            <w:gridSpan w:val="2"/>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对项目整体方案清楚了解，提供管理承诺、运行方案及唱标质量较高得0-2分；</w:t>
            </w:r>
          </w:p>
        </w:tc>
      </w:tr>
      <w:tr>
        <w:tblPrEx>
          <w:tblCellMar>
            <w:top w:w="0" w:type="dxa"/>
            <w:left w:w="108" w:type="dxa"/>
            <w:bottom w:w="0" w:type="dxa"/>
            <w:right w:w="108" w:type="dxa"/>
          </w:tblCellMar>
        </w:tblPrEx>
        <w:trPr>
          <w:trHeight w:val="1245"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sz w:val="24"/>
                <w:szCs w:val="24"/>
              </w:rPr>
            </w:pPr>
            <w:r>
              <w:rPr>
                <w:rFonts w:hint="eastAsia" w:ascii="宋体" w:hAnsi="宋体" w:cs="宋体"/>
                <w:kern w:val="0"/>
                <w:sz w:val="24"/>
                <w:szCs w:val="24"/>
                <w:lang w:bidi="ar"/>
              </w:rPr>
              <w:t>5</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指标总分合计</w:t>
            </w:r>
          </w:p>
        </w:tc>
        <w:tc>
          <w:tcPr>
            <w:tcW w:w="105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sz w:val="24"/>
                <w:szCs w:val="24"/>
              </w:rPr>
            </w:pPr>
            <w:r>
              <w:rPr>
                <w:rFonts w:hint="eastAsia" w:ascii="宋体" w:hAnsi="宋体" w:cs="宋体"/>
                <w:kern w:val="0"/>
                <w:sz w:val="24"/>
                <w:szCs w:val="24"/>
                <w:lang w:bidi="ar"/>
              </w:rPr>
              <w:t>100分</w:t>
            </w:r>
          </w:p>
        </w:tc>
        <w:tc>
          <w:tcPr>
            <w:tcW w:w="7178" w:type="dxa"/>
            <w:gridSpan w:val="2"/>
            <w:tcBorders>
              <w:top w:val="nil"/>
              <w:left w:val="nil"/>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sz w:val="24"/>
                <w:szCs w:val="24"/>
              </w:rPr>
            </w:pPr>
            <w:r>
              <w:rPr>
                <w:rFonts w:hint="eastAsia" w:ascii="宋体" w:hAnsi="宋体" w:cs="宋体"/>
                <w:kern w:val="0"/>
                <w:sz w:val="24"/>
                <w:szCs w:val="24"/>
                <w:lang w:bidi="ar"/>
              </w:rPr>
              <w:t>总计</w:t>
            </w:r>
          </w:p>
        </w:tc>
      </w:tr>
    </w:tbl>
    <w:p>
      <w:pPr>
        <w:spacing w:line="360" w:lineRule="exact"/>
        <w:rPr>
          <w:rFonts w:ascii="宋体" w:hAnsi="宋体" w:cs="宋体"/>
          <w:b/>
          <w:bCs/>
          <w:sz w:val="24"/>
          <w:szCs w:val="24"/>
          <w:highlight w:val="white"/>
        </w:rPr>
      </w:pPr>
      <w:r>
        <w:rPr>
          <w:rFonts w:hint="eastAsia" w:ascii="宋体" w:hAnsi="宋体" w:cs="宋体"/>
          <w:sz w:val="24"/>
          <w:szCs w:val="24"/>
          <w:highlight w:val="white"/>
        </w:rPr>
        <w:t xml:space="preserve"> </w:t>
      </w:r>
      <w:bookmarkEnd w:id="92"/>
      <w:bookmarkStart w:id="93" w:name="EB727693b662f248a4a3607ff2f7c636d8"/>
      <w:r>
        <w:rPr>
          <w:rFonts w:hint="eastAsia" w:ascii="宋体" w:hAnsi="宋体" w:cs="宋体"/>
          <w:sz w:val="24"/>
          <w:szCs w:val="24"/>
          <w:highlight w:val="white"/>
        </w:rPr>
        <w:t xml:space="preserve">        </w:t>
      </w:r>
      <w:r>
        <w:rPr>
          <w:rFonts w:hint="eastAsia" w:ascii="宋体" w:hAnsi="宋体" w:cs="宋体"/>
          <w:color w:val="000080"/>
          <w:sz w:val="24"/>
          <w:szCs w:val="24"/>
          <w:highlight w:val="white"/>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b/>
          <w:bCs/>
          <w:sz w:val="32"/>
        </w:rPr>
      </w:pPr>
      <w:r>
        <w:rPr>
          <w:rFonts w:hint="eastAsia" w:ascii="宋体" w:hAnsi="宋体" w:cs="宋体"/>
          <w:sz w:val="24"/>
          <w:szCs w:val="24"/>
          <w:highlight w:val="white"/>
        </w:rPr>
        <w:br w:type="page"/>
      </w:r>
      <w:bookmarkStart w:id="94" w:name="_Toc17352"/>
      <w:bookmarkStart w:id="95" w:name="_Toc6177"/>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合同范本</w:t>
      </w:r>
    </w:p>
    <w:p>
      <w:pPr>
        <w:pStyle w:val="2"/>
      </w:pPr>
      <w:r>
        <w:rPr>
          <w:rFonts w:hint="eastAsia"/>
        </w:rPr>
        <w:t xml:space="preserve"> </w:t>
      </w:r>
      <w:r>
        <w:t xml:space="preserve">  </w:t>
      </w:r>
      <w:r>
        <w:rPr>
          <w:rFonts w:hint="eastAsia"/>
        </w:rPr>
        <w:t>（以签订为准）</w:t>
      </w: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ind w:firstLine="601"/>
        <w:jc w:val="center"/>
        <w:rPr>
          <w:rFonts w:ascii="宋体" w:hAnsi="宋体"/>
          <w:b/>
          <w:color w:val="000000"/>
          <w:sz w:val="32"/>
          <w:szCs w:val="32"/>
        </w:rPr>
      </w:pPr>
    </w:p>
    <w:p>
      <w:pPr>
        <w:spacing w:line="560" w:lineRule="exact"/>
        <w:ind w:firstLine="601"/>
        <w:jc w:val="center"/>
        <w:rPr>
          <w:rFonts w:ascii="仿宋_GB2312" w:hAnsi="仿宋_GB2312" w:eastAsia="仿宋_GB2312"/>
          <w:b/>
          <w:color w:val="000000"/>
          <w:sz w:val="28"/>
          <w:szCs w:val="28"/>
        </w:rPr>
      </w:pPr>
    </w:p>
    <w:p>
      <w:pPr>
        <w:spacing w:line="560" w:lineRule="exact"/>
        <w:ind w:firstLine="601"/>
        <w:jc w:val="center"/>
        <w:rPr>
          <w:rFonts w:ascii="仿宋_GB2312" w:hAnsi="仿宋_GB2312" w:eastAsia="仿宋_GB2312"/>
          <w:b/>
          <w:color w:val="000000"/>
          <w:sz w:val="28"/>
          <w:szCs w:val="28"/>
        </w:rPr>
      </w:pPr>
    </w:p>
    <w:p>
      <w:pPr>
        <w:pStyle w:val="4"/>
      </w:pP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ascii="宋体" w:hAnsi="宋体" w:cs="宋体"/>
          <w:b/>
          <w:sz w:val="24"/>
          <w:szCs w:val="24"/>
          <w:highlight w:val="white"/>
        </w:rPr>
      </w:pPr>
      <w:r>
        <w:rPr>
          <w:rFonts w:hint="eastAsia" w:ascii="宋体" w:hAnsi="宋体" w:cs="宋体"/>
          <w:b/>
          <w:sz w:val="24"/>
          <w:szCs w:val="24"/>
          <w:highlight w:val="white"/>
        </w:rPr>
        <w:t>第一部分 通用条款</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4"/>
        <w:rPr>
          <w:rFonts w:hAnsi="仿宋_GB2312" w:eastAsia="仿宋_GB2312"/>
          <w:color w:val="000000"/>
          <w:sz w:val="24"/>
        </w:rPr>
      </w:pPr>
    </w:p>
    <w:p/>
    <w:p>
      <w:pPr>
        <w:pStyle w:val="3"/>
        <w:jc w:val="both"/>
        <w:rPr>
          <w:b w:val="0"/>
          <w:bCs w:val="0"/>
        </w:rPr>
      </w:pPr>
      <w:bookmarkStart w:id="96" w:name="_Toc13678"/>
      <w:bookmarkStart w:id="97" w:name="_Toc29466"/>
      <w:bookmarkStart w:id="98" w:name="_Toc257633148"/>
    </w:p>
    <w:p/>
    <w:p>
      <w:pPr>
        <w:pStyle w:val="12"/>
      </w:pPr>
    </w:p>
    <w:p/>
    <w:p>
      <w:pPr>
        <w:pStyle w:val="12"/>
      </w:pPr>
    </w:p>
    <w:p/>
    <w:p>
      <w:pPr>
        <w:pStyle w:val="12"/>
      </w:pPr>
    </w:p>
    <w:p/>
    <w:p>
      <w:pPr>
        <w:pStyle w:val="3"/>
      </w:pPr>
      <w:r>
        <w:rPr>
          <w:rFonts w:hint="eastAsia"/>
        </w:rPr>
        <w:t>六、竞争性磋商响应文件格式</w:t>
      </w:r>
      <w:bookmarkEnd w:id="96"/>
      <w:bookmarkEnd w:id="97"/>
    </w:p>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12"/>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12"/>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12"/>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12"/>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12"/>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7"/>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12"/>
        <w:spacing w:line="360" w:lineRule="auto"/>
        <w:ind w:firstLine="480"/>
        <w:rPr>
          <w:rFonts w:ascii="宋体" w:hAnsi="宋体"/>
          <w:sz w:val="24"/>
          <w:szCs w:val="24"/>
        </w:rPr>
      </w:pPr>
      <w:r>
        <w:rPr>
          <w:rFonts w:hint="eastAsia" w:ascii="宋体" w:hAnsi="宋体"/>
          <w:sz w:val="24"/>
          <w:szCs w:val="24"/>
        </w:rPr>
        <w:t>五、近三年（2019年1月1日至今）类似项目业绩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6"/>
        <w:tabs>
          <w:tab w:val="left" w:pos="1490"/>
        </w:tabs>
      </w:pPr>
    </w:p>
    <w:p/>
    <w:p>
      <w:pPr>
        <w:pStyle w:val="16"/>
      </w:pPr>
    </w:p>
    <w:p/>
    <w:p>
      <w:pPr>
        <w:pStyle w:val="16"/>
      </w:pPr>
    </w:p>
    <w:p/>
    <w:p>
      <w:pPr>
        <w:pStyle w:val="16"/>
      </w:pPr>
    </w:p>
    <w:p/>
    <w:p>
      <w:pPr>
        <w:pStyle w:val="16"/>
      </w:pPr>
    </w:p>
    <w:p/>
    <w:p>
      <w:pPr>
        <w:pStyle w:val="16"/>
      </w:pPr>
    </w:p>
    <w:p/>
    <w:p>
      <w:pPr>
        <w:pStyle w:val="16"/>
      </w:pPr>
    </w:p>
    <w:p/>
    <w:p>
      <w:pPr>
        <w:pStyle w:val="4"/>
      </w:pPr>
    </w:p>
    <w:p/>
    <w:p>
      <w:pPr>
        <w:pStyle w:val="4"/>
      </w:pPr>
    </w:p>
    <w:p/>
    <w:p>
      <w:pPr>
        <w:pStyle w:val="4"/>
      </w:pPr>
    </w:p>
    <w:p/>
    <w:p>
      <w:pPr>
        <w:pStyle w:val="4"/>
      </w:pPr>
    </w:p>
    <w:p/>
    <w:p>
      <w:pPr>
        <w:pStyle w:val="16"/>
      </w:pPr>
    </w:p>
    <w:p/>
    <w:p>
      <w:pPr>
        <w:pStyle w:val="16"/>
      </w:pPr>
    </w:p>
    <w:bookmarkEnd w:id="99"/>
    <w:p>
      <w:pPr>
        <w:pStyle w:val="107"/>
        <w:widowControl/>
        <w:spacing w:before="0" w:after="0" w:line="360" w:lineRule="auto"/>
        <w:rPr>
          <w:sz w:val="30"/>
          <w:szCs w:val="30"/>
        </w:rPr>
      </w:pPr>
      <w:bookmarkStart w:id="100" w:name="_Toc17151"/>
      <w:bookmarkStart w:id="101" w:name="_Toc8774"/>
      <w:bookmarkStart w:id="102" w:name="_Toc19025"/>
      <w:bookmarkStart w:id="103" w:name="_Toc22745"/>
      <w:bookmarkStart w:id="104" w:name="_Toc6808"/>
      <w:r>
        <w:rPr>
          <w:sz w:val="30"/>
          <w:szCs w:val="30"/>
        </w:rPr>
        <w:t>商务</w:t>
      </w:r>
      <w:r>
        <w:rPr>
          <w:rFonts w:hint="eastAsia"/>
          <w:sz w:val="30"/>
          <w:szCs w:val="30"/>
        </w:rPr>
        <w:t>、经济</w:t>
      </w:r>
      <w:r>
        <w:rPr>
          <w:sz w:val="30"/>
          <w:szCs w:val="30"/>
        </w:rPr>
        <w:t>文件</w:t>
      </w:r>
      <w:bookmarkEnd w:id="100"/>
      <w:bookmarkEnd w:id="101"/>
    </w:p>
    <w:p>
      <w:pPr>
        <w:pStyle w:val="107"/>
        <w:widowControl/>
        <w:spacing w:before="0" w:after="0" w:line="360" w:lineRule="auto"/>
        <w:rPr>
          <w:sz w:val="24"/>
          <w:szCs w:val="24"/>
        </w:rPr>
      </w:pPr>
      <w:bookmarkStart w:id="105" w:name="_Toc689"/>
      <w:bookmarkStart w:id="106" w:name="_Toc688"/>
      <w:bookmarkStart w:id="107" w:name="_Toc10664"/>
      <w:r>
        <w:rPr>
          <w:rFonts w:hint="eastAsia" w:ascii="宋体" w:hAnsi="宋体" w:cs="宋体"/>
          <w:sz w:val="24"/>
          <w:szCs w:val="24"/>
        </w:rPr>
        <w:t>★</w:t>
      </w:r>
      <w:r>
        <w:rPr>
          <w:rFonts w:hint="eastAsia"/>
          <w:sz w:val="24"/>
          <w:szCs w:val="24"/>
        </w:rPr>
        <w:t>投标函</w:t>
      </w:r>
      <w:bookmarkEnd w:id="105"/>
      <w:bookmarkEnd w:id="106"/>
      <w:bookmarkEnd w:id="107"/>
    </w:p>
    <w:p>
      <w:pPr>
        <w:pStyle w:val="101"/>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1"/>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3"/>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3"/>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3"/>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3"/>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3"/>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3"/>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3"/>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3"/>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3"/>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3"/>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3"/>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3"/>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3"/>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3"/>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3"/>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3"/>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3"/>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3"/>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3"/>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12"/>
        <w:ind w:firstLine="482"/>
        <w:rPr>
          <w:rFonts w:ascii="宋体" w:hAnsi="宋体" w:cs="宋体"/>
          <w:b/>
          <w:color w:val="000000"/>
          <w:sz w:val="24"/>
          <w:szCs w:val="24"/>
        </w:rPr>
      </w:pPr>
    </w:p>
    <w:p>
      <w:pPr>
        <w:pStyle w:val="23"/>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6"/>
        <w:jc w:val="center"/>
        <w:outlineLvl w:val="2"/>
        <w:rPr>
          <w:sz w:val="24"/>
        </w:rPr>
      </w:pPr>
      <w:r>
        <w:br w:type="page"/>
      </w:r>
      <w:r>
        <w:rPr>
          <w:rFonts w:hint="eastAsia" w:ascii="宋体" w:hAnsi="宋体"/>
          <w:sz w:val="24"/>
        </w:rPr>
        <w:t>★</w:t>
      </w:r>
      <w:r>
        <w:rPr>
          <w:rFonts w:hint="eastAsia"/>
          <w:sz w:val="24"/>
        </w:rPr>
        <w:t>法定代表人身份证明书及授权委托书</w:t>
      </w:r>
      <w:bookmarkEnd w:id="102"/>
      <w:bookmarkEnd w:id="103"/>
      <w:bookmarkEnd w:id="104"/>
    </w:p>
    <w:p>
      <w:pPr>
        <w:pStyle w:val="110"/>
        <w:outlineLvl w:val="9"/>
        <w:rPr>
          <w:b w:val="0"/>
          <w:sz w:val="24"/>
          <w:szCs w:val="24"/>
        </w:rPr>
      </w:pPr>
      <w:bookmarkStart w:id="108" w:name="_Toc480371721"/>
      <w:bookmarkStart w:id="109" w:name="_Toc480368424"/>
      <w:bookmarkStart w:id="110" w:name="_Toc480368653"/>
      <w:bookmarkStart w:id="111" w:name="_Toc480368595"/>
    </w:p>
    <w:p>
      <w:pPr>
        <w:pStyle w:val="110"/>
        <w:outlineLvl w:val="9"/>
        <w:rPr>
          <w:b w:val="0"/>
          <w:sz w:val="24"/>
          <w:szCs w:val="24"/>
        </w:rPr>
      </w:pPr>
      <w:bookmarkStart w:id="112" w:name="_Toc23900"/>
      <w:bookmarkStart w:id="113" w:name="_Toc18836"/>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2"/>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2"/>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0"/>
        <w:outlineLvl w:val="9"/>
        <w:rPr>
          <w:b w:val="0"/>
        </w:rPr>
      </w:pPr>
      <w:bookmarkStart w:id="114" w:name="_Toc468535483"/>
      <w:r>
        <w:rPr>
          <w:rFonts w:hint="eastAsia"/>
          <w:b w:val="0"/>
        </w:rPr>
        <w:t xml:space="preserve"> </w:t>
      </w:r>
      <w:bookmarkStart w:id="115" w:name="_Toc480368596"/>
      <w:bookmarkStart w:id="116" w:name="_Toc480368425"/>
      <w:bookmarkStart w:id="117" w:name="_Toc480368654"/>
      <w:bookmarkStart w:id="118" w:name="_Toc480371722"/>
    </w:p>
    <w:p>
      <w:pPr>
        <w:pStyle w:val="110"/>
        <w:outlineLvl w:val="9"/>
        <w:rPr>
          <w:rFonts w:cs="宋体"/>
          <w:bCs w:val="0"/>
          <w:color w:val="000000"/>
          <w:kern w:val="2"/>
          <w:sz w:val="28"/>
          <w:szCs w:val="28"/>
        </w:rPr>
      </w:pPr>
      <w:r>
        <w:rPr>
          <w:rFonts w:hint="eastAsia"/>
          <w:b w:val="0"/>
        </w:rPr>
        <w:br w:type="page"/>
      </w:r>
      <w:bookmarkStart w:id="119" w:name="_Toc1879"/>
      <w:bookmarkStart w:id="120" w:name="_Toc613"/>
      <w:r>
        <w:rPr>
          <w:rFonts w:hint="eastAsia" w:cs="宋体"/>
          <w:bCs w:val="0"/>
          <w:color w:val="000000"/>
          <w:kern w:val="2"/>
          <w:sz w:val="28"/>
          <w:szCs w:val="28"/>
        </w:rPr>
        <w:t>法定代表人授权委托书</w:t>
      </w:r>
      <w:bookmarkEnd w:id="114"/>
      <w:bookmarkEnd w:id="115"/>
      <w:bookmarkEnd w:id="116"/>
      <w:bookmarkEnd w:id="117"/>
      <w:bookmarkEnd w:id="118"/>
      <w:bookmarkEnd w:id="119"/>
      <w:bookmarkEnd w:id="120"/>
    </w:p>
    <w:p>
      <w:pPr>
        <w:pStyle w:val="92"/>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2"/>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2"/>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2"/>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500" w:lineRule="exact"/>
        <w:ind w:left="-88" w:leftChars="-42" w:firstLine="600" w:firstLineChars="250"/>
        <w:rPr>
          <w:rFonts w:ascii="宋体" w:hAnsi="宋体"/>
          <w:sz w:val="24"/>
          <w:szCs w:val="24"/>
          <w:u w:val="single"/>
        </w:rPr>
      </w:pPr>
    </w:p>
    <w:tbl>
      <w:tblPr>
        <w:tblStyle w:val="3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6"/>
        <w:tabs>
          <w:tab w:val="left" w:pos="8786"/>
        </w:tabs>
        <w:spacing w:after="0" w:line="360" w:lineRule="auto"/>
        <w:rPr>
          <w:rFonts w:ascii="宋体" w:hAnsi="宋体"/>
          <w:b/>
          <w:color w:val="000000"/>
          <w:sz w:val="24"/>
        </w:rPr>
      </w:pPr>
    </w:p>
    <w:p>
      <w:pPr>
        <w:pStyle w:val="96"/>
        <w:tabs>
          <w:tab w:val="left" w:pos="8786"/>
        </w:tabs>
        <w:spacing w:after="0" w:line="360" w:lineRule="auto"/>
        <w:rPr>
          <w:rFonts w:ascii="宋体" w:hAnsi="宋体"/>
          <w:b/>
          <w:color w:val="000000"/>
          <w:sz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2"/>
        <w:tabs>
          <w:tab w:val="left" w:pos="750"/>
        </w:tabs>
        <w:adjustRightInd w:val="0"/>
        <w:snapToGrid w:val="0"/>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6"/>
        <w:jc w:val="center"/>
        <w:outlineLvl w:val="2"/>
        <w:rPr>
          <w:rFonts w:ascii="宋体" w:hAnsi="宋体" w:eastAsia="宋体" w:cs="宋体"/>
          <w:color w:val="000000"/>
          <w:kern w:val="2"/>
          <w:sz w:val="28"/>
          <w:szCs w:val="28"/>
        </w:rPr>
      </w:pPr>
      <w:r>
        <w:rPr>
          <w:rFonts w:hint="eastAsia" w:ascii="宋体" w:hAnsi="宋体" w:eastAsia="宋体" w:cs="宋体"/>
          <w:sz w:val="24"/>
        </w:rPr>
        <w:br w:type="page"/>
      </w:r>
      <w:bookmarkStart w:id="121" w:name="_Toc18505"/>
      <w:bookmarkStart w:id="122" w:name="_Toc30613"/>
      <w:bookmarkStart w:id="123" w:name="_Toc15747"/>
      <w:r>
        <w:rPr>
          <w:rFonts w:hint="eastAsia" w:ascii="宋体" w:hAnsi="宋体" w:eastAsia="宋体" w:cs="宋体"/>
          <w:color w:val="000000"/>
          <w:kern w:val="2"/>
          <w:sz w:val="28"/>
          <w:szCs w:val="28"/>
        </w:rPr>
        <w:t>★开标一览表</w:t>
      </w:r>
      <w:bookmarkEnd w:id="121"/>
      <w:bookmarkEnd w:id="122"/>
      <w:bookmarkEnd w:id="123"/>
    </w:p>
    <w:tbl>
      <w:tblPr>
        <w:tblStyle w:val="3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0"/>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0"/>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0"/>
              <w:tabs>
                <w:tab w:val="left" w:pos="1337"/>
              </w:tabs>
              <w:spacing w:line="360" w:lineRule="auto"/>
              <w:rPr>
                <w:rFonts w:ascii="宋体" w:hAnsi="宋体" w:cs="宋体"/>
                <w:bCs/>
                <w:sz w:val="24"/>
              </w:rPr>
            </w:pPr>
          </w:p>
          <w:p>
            <w:pPr>
              <w:pStyle w:val="90"/>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p>
          <w:p>
            <w:pPr>
              <w:pStyle w:val="90"/>
              <w:tabs>
                <w:tab w:val="left" w:pos="1337"/>
              </w:tabs>
              <w:spacing w:line="360" w:lineRule="auto"/>
              <w:rPr>
                <w:rFonts w:ascii="宋体" w:hAnsi="宋体" w:cs="宋体"/>
                <w:bCs/>
                <w:sz w:val="24"/>
                <w:u w:val="single"/>
              </w:rPr>
            </w:pPr>
          </w:p>
          <w:p>
            <w:pPr>
              <w:pStyle w:val="90"/>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0"/>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p>
        </w:tc>
      </w:tr>
    </w:tbl>
    <w:p>
      <w:pPr>
        <w:pStyle w:val="90"/>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0"/>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0"/>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09"/>
        <w:jc w:val="center"/>
        <w:outlineLvl w:val="2"/>
        <w:rPr>
          <w:rFonts w:ascii="宋体" w:hAnsi="宋体" w:cs="仿宋"/>
          <w:sz w:val="24"/>
        </w:rPr>
      </w:pPr>
      <w:r>
        <w:rPr>
          <w:rFonts w:hint="eastAsia" w:ascii="宋体" w:hAnsi="宋体" w:cs="仿宋"/>
          <w:sz w:val="24"/>
        </w:rPr>
        <w:t xml:space="preserve">            </w:t>
      </w:r>
    </w:p>
    <w:p>
      <w:pPr>
        <w:pStyle w:val="109"/>
        <w:jc w:val="center"/>
        <w:outlineLvl w:val="2"/>
        <w:rPr>
          <w:rFonts w:ascii="宋体" w:hAnsi="宋体" w:eastAsia="宋体" w:cs="宋体"/>
          <w:sz w:val="24"/>
        </w:rPr>
      </w:pPr>
      <w:r>
        <w:rPr>
          <w:rFonts w:hint="eastAsia" w:ascii="宋体" w:hAnsi="宋体" w:cs="仿宋"/>
          <w:sz w:val="24"/>
        </w:rPr>
        <w:t xml:space="preserve">               日期：   年   月   日</w:t>
      </w:r>
      <w:r>
        <w:rPr>
          <w:rFonts w:hint="eastAsia"/>
        </w:rPr>
        <w:br w:type="page"/>
      </w:r>
      <w:bookmarkStart w:id="124" w:name="_Toc11982"/>
      <w:bookmarkStart w:id="125" w:name="_Toc22219"/>
      <w:bookmarkStart w:id="126" w:name="_Toc30687"/>
      <w:r>
        <w:rPr>
          <w:rFonts w:hint="eastAsia" w:ascii="宋体" w:hAnsi="宋体" w:eastAsia="宋体" w:cs="宋体"/>
          <w:sz w:val="24"/>
        </w:rPr>
        <w:t>★资格证明文件</w:t>
      </w:r>
      <w:bookmarkEnd w:id="124"/>
      <w:bookmarkEnd w:id="125"/>
      <w:bookmarkEnd w:id="126"/>
    </w:p>
    <w:p>
      <w:pPr>
        <w:pStyle w:val="108"/>
        <w:outlineLvl w:val="2"/>
        <w:rPr>
          <w:sz w:val="24"/>
        </w:rPr>
      </w:pPr>
    </w:p>
    <w:p>
      <w:pPr>
        <w:pStyle w:val="108"/>
        <w:outlineLvl w:val="2"/>
        <w:rPr>
          <w:rFonts w:ascii="宋体" w:hAnsi="宋体" w:eastAsia="宋体" w:cs="宋体"/>
          <w:sz w:val="24"/>
        </w:rPr>
      </w:pPr>
      <w:bookmarkStart w:id="127" w:name="_Toc6635"/>
      <w:bookmarkStart w:id="128" w:name="_Toc14031"/>
      <w:bookmarkStart w:id="129" w:name="_Toc9140"/>
      <w:r>
        <w:rPr>
          <w:rFonts w:hint="eastAsia" w:ascii="宋体" w:hAnsi="宋体" w:eastAsia="宋体" w:cs="宋体"/>
          <w:sz w:val="24"/>
        </w:rPr>
        <w:t>★营业执照、组织机构代码证、税务登记证（或三证合一的营业执照）</w:t>
      </w:r>
      <w:bookmarkEnd w:id="127"/>
      <w:bookmarkEnd w:id="128"/>
      <w:bookmarkEnd w:id="129"/>
    </w:p>
    <w:p>
      <w:pPr>
        <w:pStyle w:val="108"/>
        <w:outlineLvl w:val="2"/>
        <w:rPr>
          <w:rFonts w:ascii="宋体" w:hAnsi="宋体" w:eastAsia="宋体" w:cs="宋体"/>
          <w:sz w:val="24"/>
        </w:rPr>
      </w:pPr>
      <w:bookmarkStart w:id="130" w:name="_Toc3674"/>
      <w:bookmarkStart w:id="131" w:name="_Toc27653"/>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6"/>
        <w:outlineLvl w:val="2"/>
        <w:rPr>
          <w:rFonts w:ascii="宋体" w:hAnsi="宋体" w:eastAsia="宋体" w:cs="宋体"/>
          <w:sz w:val="24"/>
        </w:rPr>
      </w:pPr>
      <w:bookmarkStart w:id="132" w:name="_Toc5625"/>
      <w:bookmarkStart w:id="133" w:name="_Toc10958"/>
      <w:bookmarkStart w:id="134" w:name="_Toc17608"/>
      <w:r>
        <w:rPr>
          <w:rFonts w:hint="eastAsia" w:ascii="宋体" w:hAnsi="宋体" w:eastAsia="宋体" w:cs="宋体"/>
          <w:sz w:val="24"/>
        </w:rPr>
        <w:t>★投标保证金收据（以回执单为准）</w:t>
      </w:r>
      <w:bookmarkEnd w:id="132"/>
      <w:bookmarkEnd w:id="133"/>
      <w:bookmarkEnd w:id="134"/>
    </w:p>
    <w:p>
      <w:pPr>
        <w:pStyle w:val="86"/>
        <w:outlineLvl w:val="2"/>
        <w:rPr>
          <w:rFonts w:ascii="宋体" w:hAnsi="宋体" w:eastAsia="宋体" w:cs="宋体"/>
          <w:sz w:val="24"/>
        </w:rPr>
      </w:pPr>
      <w:bookmarkStart w:id="135" w:name="_Toc18070"/>
      <w:bookmarkStart w:id="136" w:name="_Toc30884"/>
      <w:bookmarkStart w:id="137" w:name="_Toc15360"/>
      <w:r>
        <w:rPr>
          <w:rFonts w:hint="eastAsia" w:ascii="宋体" w:hAnsi="宋体" w:eastAsia="宋体" w:cs="宋体"/>
          <w:sz w:val="24"/>
        </w:rPr>
        <w:t>★“信用中国”、“中国政府采购网”网页打印件</w:t>
      </w:r>
      <w:bookmarkEnd w:id="135"/>
      <w:bookmarkEnd w:id="136"/>
      <w:bookmarkEnd w:id="137"/>
    </w:p>
    <w:p>
      <w:pPr>
        <w:pStyle w:val="86"/>
        <w:outlineLvl w:val="2"/>
        <w:rPr>
          <w:rFonts w:ascii="宋体" w:hAnsi="宋体" w:eastAsia="宋体" w:cs="宋体"/>
          <w:sz w:val="24"/>
        </w:rPr>
      </w:pPr>
      <w:bookmarkStart w:id="138" w:name="_Toc16449"/>
      <w:bookmarkStart w:id="139" w:name="_Toc17345"/>
      <w:bookmarkStart w:id="140" w:name="_Toc17856"/>
      <w:r>
        <w:rPr>
          <w:rFonts w:hint="eastAsia" w:ascii="宋体" w:hAnsi="宋体" w:eastAsia="宋体" w:cs="宋体"/>
          <w:sz w:val="24"/>
        </w:rPr>
        <w:t>★中、小微企业声明函（中、小、微型企业产品价格需扣除的须提供）</w:t>
      </w:r>
      <w:bookmarkEnd w:id="138"/>
      <w:bookmarkEnd w:id="139"/>
      <w:bookmarkEnd w:id="140"/>
    </w:p>
    <w:p>
      <w:pPr>
        <w:pStyle w:val="86"/>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6"/>
        <w:outlineLvl w:val="2"/>
        <w:rPr>
          <w:rFonts w:ascii="宋体" w:hAnsi="宋体" w:eastAsia="宋体" w:cs="宋体"/>
          <w:sz w:val="24"/>
        </w:rPr>
      </w:pPr>
    </w:p>
    <w:p>
      <w:pPr>
        <w:pStyle w:val="79"/>
        <w:spacing w:line="360" w:lineRule="auto"/>
        <w:ind w:right="-97"/>
        <w:jc w:val="center"/>
        <w:rPr>
          <w:b/>
          <w:color w:val="000000"/>
          <w:sz w:val="24"/>
        </w:rPr>
      </w:pPr>
      <w:r>
        <w:rPr>
          <w:rFonts w:hint="eastAsia"/>
          <w:b/>
          <w:color w:val="000000"/>
          <w:sz w:val="24"/>
        </w:rPr>
        <w:t>中小企业声明函</w:t>
      </w:r>
    </w:p>
    <w:p>
      <w:pPr>
        <w:pStyle w:val="104"/>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79"/>
        <w:spacing w:line="360" w:lineRule="auto"/>
        <w:ind w:firstLine="5040" w:firstLineChars="2100"/>
        <w:rPr>
          <w:color w:val="000000"/>
          <w:sz w:val="24"/>
        </w:rPr>
      </w:pPr>
    </w:p>
    <w:p>
      <w:pPr>
        <w:pStyle w:val="79"/>
        <w:spacing w:line="360" w:lineRule="auto"/>
        <w:ind w:firstLine="5040" w:firstLineChars="2100"/>
        <w:rPr>
          <w:color w:val="000000"/>
          <w:sz w:val="24"/>
        </w:rPr>
      </w:pPr>
      <w:r>
        <w:rPr>
          <w:rFonts w:hint="eastAsia"/>
          <w:color w:val="000000"/>
          <w:sz w:val="24"/>
        </w:rPr>
        <w:t>投标单位名称（加盖公章）：</w:t>
      </w:r>
    </w:p>
    <w:p>
      <w:pPr>
        <w:pStyle w:val="79"/>
        <w:spacing w:line="360" w:lineRule="auto"/>
        <w:ind w:firstLine="6000" w:firstLineChars="2500"/>
        <w:rPr>
          <w:color w:val="000000"/>
          <w:sz w:val="24"/>
        </w:rPr>
      </w:pPr>
      <w:r>
        <w:rPr>
          <w:rFonts w:hint="eastAsia"/>
          <w:color w:val="000000"/>
          <w:sz w:val="24"/>
        </w:rPr>
        <w:t>年   月   日</w:t>
      </w:r>
    </w:p>
    <w:p>
      <w:pPr>
        <w:pStyle w:val="79"/>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ascii="宋体" w:hAnsi="宋体" w:cs="宋体"/>
          <w:b/>
          <w:color w:val="000000"/>
          <w:sz w:val="28"/>
          <w:szCs w:val="28"/>
        </w:rPr>
      </w:pPr>
      <w:r>
        <w:rPr>
          <w:rFonts w:hint="eastAsia" w:ascii="宋体" w:hAnsi="宋体"/>
          <w:sz w:val="24"/>
        </w:rPr>
        <w:br w:type="page"/>
      </w:r>
      <w:r>
        <w:rPr>
          <w:rFonts w:hint="eastAsia" w:ascii="宋体" w:hAnsi="宋体" w:cs="宋体"/>
          <w:b/>
          <w:kern w:val="0"/>
          <w:sz w:val="24"/>
        </w:rPr>
        <w:t>★</w:t>
      </w:r>
      <w:bookmarkStart w:id="142" w:name="_Toc449191483"/>
      <w:bookmarkStart w:id="143" w:name="_Toc448862871"/>
      <w:r>
        <w:rPr>
          <w:rFonts w:hint="eastAsia" w:ascii="宋体" w:hAnsi="宋体" w:cs="宋体"/>
          <w:b/>
          <w:color w:val="000000"/>
          <w:sz w:val="28"/>
          <w:szCs w:val="28"/>
        </w:rPr>
        <w:t>近三年类似业绩一览表</w:t>
      </w:r>
    </w:p>
    <w:p>
      <w:pPr>
        <w:spacing w:line="360" w:lineRule="auto"/>
        <w:jc w:val="center"/>
        <w:rPr>
          <w:rFonts w:ascii="宋体" w:hAnsi="宋体" w:cs="宋体"/>
          <w:b/>
          <w:sz w:val="28"/>
          <w:szCs w:val="28"/>
        </w:rPr>
      </w:pPr>
      <w:r>
        <w:rPr>
          <w:rFonts w:hint="eastAsia" w:ascii="宋体" w:hAnsi="宋体" w:cs="宋体"/>
          <w:b/>
          <w:sz w:val="28"/>
          <w:szCs w:val="28"/>
        </w:rPr>
        <w:t>近三年（2019年1月1日至今）类似业绩一览表</w:t>
      </w:r>
    </w:p>
    <w:tbl>
      <w:tblPr>
        <w:tblStyle w:val="3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ascii="宋体" w:hAnsi="宋体" w:cs="宋体"/>
          <w:b/>
          <w:sz w:val="24"/>
          <w:szCs w:val="24"/>
        </w:rPr>
      </w:pPr>
      <w:r>
        <w:rPr>
          <w:rFonts w:hint="eastAsia" w:ascii="宋体" w:hAnsi="宋体" w:cs="宋体"/>
          <w:bCs/>
          <w:sz w:val="24"/>
          <w:szCs w:val="24"/>
          <w:lang w:bidi="ar"/>
        </w:rPr>
        <w:br w:type="page"/>
      </w:r>
      <w:bookmarkStart w:id="144" w:name="_Toc1858"/>
      <w:bookmarkStart w:id="145" w:name="_Toc23931"/>
      <w:bookmarkStart w:id="146" w:name="_Toc16745"/>
      <w:bookmarkStart w:id="147" w:name="_Toc19733"/>
      <w:r>
        <w:rPr>
          <w:rFonts w:hint="eastAsia" w:ascii="宋体" w:hAnsi="宋体" w:cs="宋体"/>
          <w:b/>
          <w:sz w:val="24"/>
          <w:szCs w:val="24"/>
        </w:rPr>
        <w:t>★</w:t>
      </w:r>
      <w:bookmarkEnd w:id="144"/>
      <w:bookmarkEnd w:id="145"/>
      <w:bookmarkEnd w:id="146"/>
      <w:bookmarkEnd w:id="147"/>
      <w:r>
        <w:rPr>
          <w:rFonts w:hint="eastAsia" w:ascii="宋体" w:hAnsi="宋体" w:cs="宋体"/>
          <w:b/>
          <w:sz w:val="24"/>
          <w:szCs w:val="24"/>
        </w:rPr>
        <w:t>人 员 信 息 表</w:t>
      </w:r>
    </w:p>
    <w:tbl>
      <w:tblPr>
        <w:tblStyle w:val="36"/>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12"/>
        <w:ind w:firstLine="480"/>
        <w:rPr>
          <w:rFonts w:ascii="宋体" w:hAnsi="宋体" w:cs="宋体"/>
          <w:sz w:val="24"/>
          <w:szCs w:val="24"/>
        </w:rPr>
      </w:pPr>
    </w:p>
    <w:p>
      <w:pPr>
        <w:pStyle w:val="12"/>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12"/>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jc w:val="center"/>
        <w:rPr>
          <w:rFonts w:ascii="宋体" w:hAnsi="宋体" w:cs="宋体"/>
          <w:b/>
          <w:sz w:val="24"/>
          <w:szCs w:val="24"/>
        </w:rPr>
      </w:pPr>
      <w:r>
        <w:rPr>
          <w:rFonts w:hint="eastAsia" w:ascii="宋体" w:hAnsi="宋体" w:cs="宋体"/>
          <w:b/>
          <w:sz w:val="24"/>
          <w:szCs w:val="24"/>
        </w:rPr>
        <w:t>技术方案</w:t>
      </w: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b/>
          <w:bCs/>
          <w:kern w:val="0"/>
          <w:sz w:val="32"/>
          <w:szCs w:val="32"/>
        </w:rPr>
      </w:pPr>
      <w:r>
        <w:rPr>
          <w:rFonts w:hint="eastAsia"/>
          <w:b/>
          <w:bCs/>
          <w:kern w:val="0"/>
          <w:sz w:val="32"/>
          <w:szCs w:val="32"/>
        </w:rPr>
        <w:t>其他材料</w:t>
      </w:r>
    </w:p>
    <w:p>
      <w:pPr>
        <w:pStyle w:val="12"/>
        <w:ind w:firstLine="643"/>
        <w:rPr>
          <w:b/>
          <w:bCs/>
          <w:kern w:val="0"/>
          <w:sz w:val="32"/>
          <w:szCs w:val="32"/>
        </w:rPr>
      </w:pPr>
    </w:p>
    <w:p>
      <w:pPr>
        <w:pStyle w:val="12"/>
        <w:ind w:firstLine="643"/>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ascii="宋体" w:hAnsi="宋体"/>
          <w:sz w:val="28"/>
          <w:szCs w:val="28"/>
        </w:rPr>
      </w:pPr>
      <w:r>
        <w:rPr>
          <w:rFonts w:hint="eastAsia" w:ascii="宋体" w:hAnsi="宋体"/>
          <w:sz w:val="28"/>
          <w:szCs w:val="28"/>
        </w:rPr>
        <w:t xml:space="preserve">  </w:t>
      </w:r>
    </w:p>
    <w:p>
      <w:pPr>
        <w:pStyle w:val="12"/>
        <w:ind w:firstLine="560"/>
        <w:rPr>
          <w:rFonts w:ascii="宋体" w:hAnsi="宋体"/>
          <w:sz w:val="28"/>
          <w:szCs w:val="28"/>
        </w:rPr>
      </w:pPr>
      <w:r>
        <w:rPr>
          <w:rFonts w:hint="eastAsia" w:ascii="宋体" w:hAnsi="宋体"/>
          <w:sz w:val="28"/>
          <w:szCs w:val="28"/>
        </w:rPr>
        <w:t xml:space="preserve">                   </w:t>
      </w: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3080" w:firstLineChars="1100"/>
        <w:rPr>
          <w:rFonts w:ascii="Times New Roman" w:hAnsi="Times New Roman"/>
          <w:b/>
          <w:bCs/>
          <w:kern w:val="0"/>
          <w:sz w:val="32"/>
          <w:szCs w:val="32"/>
        </w:rPr>
      </w:pPr>
      <w:r>
        <w:rPr>
          <w:rFonts w:hint="eastAsia" w:ascii="宋体" w:hAnsi="宋体"/>
          <w:sz w:val="28"/>
          <w:szCs w:val="28"/>
        </w:rPr>
        <w:t xml:space="preserve"> </w:t>
      </w:r>
      <w:r>
        <w:rPr>
          <w:rFonts w:hint="eastAsia" w:ascii="宋体" w:hAnsi="宋体"/>
          <w:sz w:val="36"/>
          <w:szCs w:val="36"/>
        </w:rPr>
        <w:t xml:space="preserve">  </w:t>
      </w:r>
      <w:r>
        <w:rPr>
          <w:rFonts w:hint="eastAsia" w:ascii="Times New Roman" w:hAnsi="Times New Roman"/>
          <w:b/>
          <w:bCs/>
          <w:kern w:val="0"/>
          <w:sz w:val="32"/>
          <w:szCs w:val="32"/>
        </w:rPr>
        <w:t>采购内容</w:t>
      </w:r>
    </w:p>
    <w:p>
      <w:pPr>
        <w:spacing w:line="360" w:lineRule="auto"/>
        <w:ind w:firstLine="560" w:firstLineChars="200"/>
        <w:rPr>
          <w:rFonts w:ascii="宋体" w:hAnsi="宋体" w:cs="等线"/>
          <w:sz w:val="28"/>
          <w:szCs w:val="28"/>
        </w:rPr>
      </w:pPr>
      <w:r>
        <w:rPr>
          <w:rFonts w:hint="eastAsia" w:ascii="宋体" w:hAnsi="宋体" w:cs="等线"/>
          <w:sz w:val="28"/>
          <w:szCs w:val="28"/>
        </w:rPr>
        <w:t xml:space="preserve">若羌县县域节水型社会达标建设硬件及平台综合服务项目：   1、标准：依照《陶瓷片密封水嘴》（GB/T18145-2000），《大便器冲洗阀》（QB/T3649-1999）《大便器冲洗装置/液压缓闭式冲洗阀》（JG/T3040.2-1997），《6升水便器配套系统》（JC/T856—2000），《卫生陶瓷》（GB/T6952—1999）《非接触式（电子）给水器具》（CJ/T3081-1999）国家节水执行标准。   依照《城市绿地设计规范》（GB50420-2007）                                                                               2、水表，水龙头、绿化硬件设施等改造                                                             3、宣传指导，宣传培训，宣传制作。                                                     4、宣传视频制作。                                     </w:t>
      </w:r>
    </w:p>
    <w:p>
      <w:pPr>
        <w:spacing w:line="360" w:lineRule="auto"/>
        <w:rPr>
          <w:rFonts w:ascii="宋体" w:hAnsi="宋体" w:cs="等线"/>
          <w:sz w:val="28"/>
          <w:szCs w:val="28"/>
        </w:rPr>
      </w:pPr>
      <w:r>
        <w:rPr>
          <w:rFonts w:hint="eastAsia" w:ascii="宋体" w:hAnsi="宋体" w:cs="等线"/>
          <w:sz w:val="28"/>
          <w:szCs w:val="28"/>
        </w:rPr>
        <w:t>5、实时在线平台管理，数据监管，整理分析，动态管理等功能 。                                                         7、《若羌县县域节水型社会达标建设申报材料》                   8、对照《节水型社会评价标准》 收集若羌资料，汇总、分析、统计、汇编、审查  完成节水型社会达标建设资料。                    9、企业、公共机构、小区 载体培训，汇编材料                    10、 巴州水利局验收，水利厅验收，协助若羌县水利局资料审查、汇报 。                                                       11、验收前的准备、动员、培训、辅导等工作                       12、最终通过水利厅验收≥85分。视为项目结束。                 13、2022年12月底前完成自治区水利厅验收≥85分。</w:t>
      </w: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6028E202"/>
    <w:multiLevelType w:val="singleLevel"/>
    <w:tmpl w:val="6028E2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OTk2MzU5NWNmOTlhZjZiMTgyNWQ1OTdmMmI4NTc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B63E8"/>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6A0A"/>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18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5F9A"/>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04CF"/>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04F9"/>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5CBD"/>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A88"/>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321D"/>
    <w:rsid w:val="00B1388F"/>
    <w:rsid w:val="00B15F01"/>
    <w:rsid w:val="00B1748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3A4"/>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301FAC"/>
    <w:rsid w:val="017B7C9A"/>
    <w:rsid w:val="01DF4CDD"/>
    <w:rsid w:val="028F6666"/>
    <w:rsid w:val="02D76118"/>
    <w:rsid w:val="03064AB8"/>
    <w:rsid w:val="039941AC"/>
    <w:rsid w:val="039D7B38"/>
    <w:rsid w:val="03F93A73"/>
    <w:rsid w:val="042046F5"/>
    <w:rsid w:val="0482014B"/>
    <w:rsid w:val="061D3091"/>
    <w:rsid w:val="0698114A"/>
    <w:rsid w:val="06C8511E"/>
    <w:rsid w:val="06FD7B63"/>
    <w:rsid w:val="0731401A"/>
    <w:rsid w:val="073C31C4"/>
    <w:rsid w:val="07D7113E"/>
    <w:rsid w:val="07E147B8"/>
    <w:rsid w:val="08066F25"/>
    <w:rsid w:val="08413FD1"/>
    <w:rsid w:val="0870074C"/>
    <w:rsid w:val="08712537"/>
    <w:rsid w:val="08CA6700"/>
    <w:rsid w:val="08D566AD"/>
    <w:rsid w:val="08DC1AC1"/>
    <w:rsid w:val="09071A9A"/>
    <w:rsid w:val="09490FF4"/>
    <w:rsid w:val="09F340E8"/>
    <w:rsid w:val="0A1D5332"/>
    <w:rsid w:val="0A283ED3"/>
    <w:rsid w:val="0A732D15"/>
    <w:rsid w:val="0ABA31D3"/>
    <w:rsid w:val="0B4806C3"/>
    <w:rsid w:val="0B8C3C0B"/>
    <w:rsid w:val="0BDE31F1"/>
    <w:rsid w:val="0C852589"/>
    <w:rsid w:val="0CD849FA"/>
    <w:rsid w:val="0D1C451A"/>
    <w:rsid w:val="0D4361A7"/>
    <w:rsid w:val="0D817CDD"/>
    <w:rsid w:val="0E0E0A23"/>
    <w:rsid w:val="0E6320AD"/>
    <w:rsid w:val="0EB321BB"/>
    <w:rsid w:val="0F0D0EA4"/>
    <w:rsid w:val="0F344429"/>
    <w:rsid w:val="0FAC30E2"/>
    <w:rsid w:val="0FD063B1"/>
    <w:rsid w:val="0FF8717C"/>
    <w:rsid w:val="100E0101"/>
    <w:rsid w:val="10277B5C"/>
    <w:rsid w:val="10CD3604"/>
    <w:rsid w:val="10EE35C3"/>
    <w:rsid w:val="113E35C5"/>
    <w:rsid w:val="114F26C3"/>
    <w:rsid w:val="121D6EB6"/>
    <w:rsid w:val="127D2F5A"/>
    <w:rsid w:val="13336E3E"/>
    <w:rsid w:val="13681478"/>
    <w:rsid w:val="138A253A"/>
    <w:rsid w:val="13BA3963"/>
    <w:rsid w:val="13BE01A0"/>
    <w:rsid w:val="13DD4ED1"/>
    <w:rsid w:val="14D62909"/>
    <w:rsid w:val="1609743A"/>
    <w:rsid w:val="1631473A"/>
    <w:rsid w:val="165C6DCA"/>
    <w:rsid w:val="167C26C4"/>
    <w:rsid w:val="169B1732"/>
    <w:rsid w:val="16D5092B"/>
    <w:rsid w:val="17545D48"/>
    <w:rsid w:val="176534B8"/>
    <w:rsid w:val="177E44BC"/>
    <w:rsid w:val="178818BA"/>
    <w:rsid w:val="18E1437B"/>
    <w:rsid w:val="18F6151F"/>
    <w:rsid w:val="19EF0BD6"/>
    <w:rsid w:val="19FC44C3"/>
    <w:rsid w:val="1A974163"/>
    <w:rsid w:val="1AD06319"/>
    <w:rsid w:val="1AD53B33"/>
    <w:rsid w:val="1B2B711A"/>
    <w:rsid w:val="1B352404"/>
    <w:rsid w:val="1BCD2368"/>
    <w:rsid w:val="1C084047"/>
    <w:rsid w:val="1C3F60F3"/>
    <w:rsid w:val="1C567B4C"/>
    <w:rsid w:val="1D0D3CA0"/>
    <w:rsid w:val="1D3C38E1"/>
    <w:rsid w:val="1D4A5240"/>
    <w:rsid w:val="1DEA1FEA"/>
    <w:rsid w:val="1DF646A1"/>
    <w:rsid w:val="1E17083B"/>
    <w:rsid w:val="1EDF0728"/>
    <w:rsid w:val="1FA6791C"/>
    <w:rsid w:val="203931EC"/>
    <w:rsid w:val="219E17CE"/>
    <w:rsid w:val="21E62243"/>
    <w:rsid w:val="21FA7BC8"/>
    <w:rsid w:val="21FC6654"/>
    <w:rsid w:val="224F4AB9"/>
    <w:rsid w:val="22E12559"/>
    <w:rsid w:val="231F1167"/>
    <w:rsid w:val="235C2BD4"/>
    <w:rsid w:val="23651A3C"/>
    <w:rsid w:val="23AE6F4D"/>
    <w:rsid w:val="23FF4341"/>
    <w:rsid w:val="24035E1E"/>
    <w:rsid w:val="24324F1D"/>
    <w:rsid w:val="244E193E"/>
    <w:rsid w:val="245F02C4"/>
    <w:rsid w:val="24EB70A7"/>
    <w:rsid w:val="2555132B"/>
    <w:rsid w:val="256E69E8"/>
    <w:rsid w:val="2581038F"/>
    <w:rsid w:val="25A67D3C"/>
    <w:rsid w:val="25B11518"/>
    <w:rsid w:val="25B86563"/>
    <w:rsid w:val="26606DD5"/>
    <w:rsid w:val="26807ACE"/>
    <w:rsid w:val="26C64400"/>
    <w:rsid w:val="281F6039"/>
    <w:rsid w:val="28C66939"/>
    <w:rsid w:val="28E868B0"/>
    <w:rsid w:val="2938027B"/>
    <w:rsid w:val="29816226"/>
    <w:rsid w:val="298A6908"/>
    <w:rsid w:val="29C1340D"/>
    <w:rsid w:val="29F10FDB"/>
    <w:rsid w:val="2A193FB9"/>
    <w:rsid w:val="2A5D4D9B"/>
    <w:rsid w:val="2A676E5E"/>
    <w:rsid w:val="2A787A01"/>
    <w:rsid w:val="2AF31683"/>
    <w:rsid w:val="2B161DF4"/>
    <w:rsid w:val="2B61195F"/>
    <w:rsid w:val="2C3C17A7"/>
    <w:rsid w:val="2C4550B6"/>
    <w:rsid w:val="2C7D521A"/>
    <w:rsid w:val="2C895BBB"/>
    <w:rsid w:val="2CA31F00"/>
    <w:rsid w:val="2CF47464"/>
    <w:rsid w:val="2D427D83"/>
    <w:rsid w:val="2D67415A"/>
    <w:rsid w:val="2E15498A"/>
    <w:rsid w:val="2E916D24"/>
    <w:rsid w:val="2ED33834"/>
    <w:rsid w:val="2F1D1A5A"/>
    <w:rsid w:val="2FD23E16"/>
    <w:rsid w:val="2FDA73CD"/>
    <w:rsid w:val="2FDB37C9"/>
    <w:rsid w:val="2FDE4FD2"/>
    <w:rsid w:val="2FE871EE"/>
    <w:rsid w:val="30550CCF"/>
    <w:rsid w:val="30C44045"/>
    <w:rsid w:val="3133363E"/>
    <w:rsid w:val="31364011"/>
    <w:rsid w:val="31822DF7"/>
    <w:rsid w:val="31832FA6"/>
    <w:rsid w:val="31C615EA"/>
    <w:rsid w:val="31DD36C5"/>
    <w:rsid w:val="320A42DF"/>
    <w:rsid w:val="3261739C"/>
    <w:rsid w:val="32CA69E2"/>
    <w:rsid w:val="32FB322A"/>
    <w:rsid w:val="33E516DF"/>
    <w:rsid w:val="34117E84"/>
    <w:rsid w:val="34140DD3"/>
    <w:rsid w:val="343F797A"/>
    <w:rsid w:val="34765CE9"/>
    <w:rsid w:val="34A81741"/>
    <w:rsid w:val="34BE7F64"/>
    <w:rsid w:val="350D526F"/>
    <w:rsid w:val="35237865"/>
    <w:rsid w:val="35315E89"/>
    <w:rsid w:val="3540076A"/>
    <w:rsid w:val="354E1C56"/>
    <w:rsid w:val="35FB7D42"/>
    <w:rsid w:val="36345EE6"/>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B560CEF"/>
    <w:rsid w:val="3B6650C4"/>
    <w:rsid w:val="3BAE1BDB"/>
    <w:rsid w:val="3BF45333"/>
    <w:rsid w:val="3CF2002E"/>
    <w:rsid w:val="3D5B74C6"/>
    <w:rsid w:val="3D6D0BA5"/>
    <w:rsid w:val="3DD414B2"/>
    <w:rsid w:val="3E467691"/>
    <w:rsid w:val="3E836053"/>
    <w:rsid w:val="3EC97FB2"/>
    <w:rsid w:val="3ED93D06"/>
    <w:rsid w:val="3EFF2568"/>
    <w:rsid w:val="3F2F6B8F"/>
    <w:rsid w:val="3FE36681"/>
    <w:rsid w:val="40070B3D"/>
    <w:rsid w:val="40C304AF"/>
    <w:rsid w:val="41AA697C"/>
    <w:rsid w:val="41F21437"/>
    <w:rsid w:val="4225331F"/>
    <w:rsid w:val="424711C0"/>
    <w:rsid w:val="42C84BF9"/>
    <w:rsid w:val="42CE7F5A"/>
    <w:rsid w:val="4359092D"/>
    <w:rsid w:val="43666688"/>
    <w:rsid w:val="4371282F"/>
    <w:rsid w:val="437F4981"/>
    <w:rsid w:val="438413DB"/>
    <w:rsid w:val="439E4C80"/>
    <w:rsid w:val="43BA05BB"/>
    <w:rsid w:val="44636210"/>
    <w:rsid w:val="44771EA0"/>
    <w:rsid w:val="44806EFE"/>
    <w:rsid w:val="44936C55"/>
    <w:rsid w:val="44B86789"/>
    <w:rsid w:val="44FC5765"/>
    <w:rsid w:val="4520299F"/>
    <w:rsid w:val="45322804"/>
    <w:rsid w:val="453E2BF0"/>
    <w:rsid w:val="45C41F63"/>
    <w:rsid w:val="46205483"/>
    <w:rsid w:val="467F70E2"/>
    <w:rsid w:val="468D2996"/>
    <w:rsid w:val="46B44689"/>
    <w:rsid w:val="46D676EB"/>
    <w:rsid w:val="47943E4F"/>
    <w:rsid w:val="47E7599A"/>
    <w:rsid w:val="47F41A4D"/>
    <w:rsid w:val="48365BE9"/>
    <w:rsid w:val="485F237C"/>
    <w:rsid w:val="48BE507F"/>
    <w:rsid w:val="496E3F89"/>
    <w:rsid w:val="49844CAB"/>
    <w:rsid w:val="49E36933"/>
    <w:rsid w:val="4A012E2B"/>
    <w:rsid w:val="4A2A59E7"/>
    <w:rsid w:val="4A522460"/>
    <w:rsid w:val="4A5D667A"/>
    <w:rsid w:val="4A7D0DB9"/>
    <w:rsid w:val="4A915202"/>
    <w:rsid w:val="4AED3C84"/>
    <w:rsid w:val="4BAC30D6"/>
    <w:rsid w:val="4BB3139E"/>
    <w:rsid w:val="4C06644A"/>
    <w:rsid w:val="4C6E282C"/>
    <w:rsid w:val="4C7C057E"/>
    <w:rsid w:val="4C9F1633"/>
    <w:rsid w:val="4CCC6BB3"/>
    <w:rsid w:val="4CCF07E4"/>
    <w:rsid w:val="4D2770F7"/>
    <w:rsid w:val="4D677A6F"/>
    <w:rsid w:val="4D952382"/>
    <w:rsid w:val="4D9604BC"/>
    <w:rsid w:val="4DC74FFF"/>
    <w:rsid w:val="4DEC6CD7"/>
    <w:rsid w:val="4E2F2707"/>
    <w:rsid w:val="4E6B689F"/>
    <w:rsid w:val="4EDD7CD8"/>
    <w:rsid w:val="4F04441F"/>
    <w:rsid w:val="4FC918B1"/>
    <w:rsid w:val="4FDD44A2"/>
    <w:rsid w:val="501233E8"/>
    <w:rsid w:val="502F2D27"/>
    <w:rsid w:val="50DC7DD1"/>
    <w:rsid w:val="51082263"/>
    <w:rsid w:val="5198572E"/>
    <w:rsid w:val="522D450B"/>
    <w:rsid w:val="52FA2762"/>
    <w:rsid w:val="53221C49"/>
    <w:rsid w:val="532408EC"/>
    <w:rsid w:val="53574187"/>
    <w:rsid w:val="53986C67"/>
    <w:rsid w:val="53FD147E"/>
    <w:rsid w:val="543109BA"/>
    <w:rsid w:val="54323331"/>
    <w:rsid w:val="54AF3253"/>
    <w:rsid w:val="54F03E7B"/>
    <w:rsid w:val="55307659"/>
    <w:rsid w:val="55E0339D"/>
    <w:rsid w:val="55FE1D5B"/>
    <w:rsid w:val="56757C8E"/>
    <w:rsid w:val="56B63238"/>
    <w:rsid w:val="57AA1051"/>
    <w:rsid w:val="58416358"/>
    <w:rsid w:val="58424AB5"/>
    <w:rsid w:val="58D05A14"/>
    <w:rsid w:val="58DF2F7C"/>
    <w:rsid w:val="58F3699F"/>
    <w:rsid w:val="595455B5"/>
    <w:rsid w:val="59730A0E"/>
    <w:rsid w:val="59AC5C70"/>
    <w:rsid w:val="59F22154"/>
    <w:rsid w:val="5A4F3C35"/>
    <w:rsid w:val="5A7002F6"/>
    <w:rsid w:val="5AAD41B2"/>
    <w:rsid w:val="5B0E4FB1"/>
    <w:rsid w:val="5B275FD5"/>
    <w:rsid w:val="5C972052"/>
    <w:rsid w:val="5CB12001"/>
    <w:rsid w:val="5CE01DE0"/>
    <w:rsid w:val="5D0C2A23"/>
    <w:rsid w:val="5D153410"/>
    <w:rsid w:val="5D786872"/>
    <w:rsid w:val="5DE15411"/>
    <w:rsid w:val="5DF14806"/>
    <w:rsid w:val="5F2A7A3E"/>
    <w:rsid w:val="5FC11B8B"/>
    <w:rsid w:val="6004506B"/>
    <w:rsid w:val="600E71BC"/>
    <w:rsid w:val="601E106B"/>
    <w:rsid w:val="606175A3"/>
    <w:rsid w:val="6076235C"/>
    <w:rsid w:val="60AA36E5"/>
    <w:rsid w:val="60B6408B"/>
    <w:rsid w:val="60B65D19"/>
    <w:rsid w:val="61127D2A"/>
    <w:rsid w:val="61601D33"/>
    <w:rsid w:val="622F11D2"/>
    <w:rsid w:val="62315C63"/>
    <w:rsid w:val="624B3430"/>
    <w:rsid w:val="626C074C"/>
    <w:rsid w:val="62E37F5D"/>
    <w:rsid w:val="631A0F8F"/>
    <w:rsid w:val="63236775"/>
    <w:rsid w:val="63332A62"/>
    <w:rsid w:val="63383313"/>
    <w:rsid w:val="634E38B9"/>
    <w:rsid w:val="63633AA7"/>
    <w:rsid w:val="63871BA4"/>
    <w:rsid w:val="63B9315F"/>
    <w:rsid w:val="646F6853"/>
    <w:rsid w:val="64B96ED9"/>
    <w:rsid w:val="64C42F54"/>
    <w:rsid w:val="64CE04C8"/>
    <w:rsid w:val="64DC1AA7"/>
    <w:rsid w:val="64EE4632"/>
    <w:rsid w:val="65917CE0"/>
    <w:rsid w:val="66380607"/>
    <w:rsid w:val="663A71E2"/>
    <w:rsid w:val="66624AC4"/>
    <w:rsid w:val="66CD160F"/>
    <w:rsid w:val="66CF3EB6"/>
    <w:rsid w:val="66F63A96"/>
    <w:rsid w:val="677B0DB5"/>
    <w:rsid w:val="67F43406"/>
    <w:rsid w:val="6808615A"/>
    <w:rsid w:val="68A04182"/>
    <w:rsid w:val="68E601F2"/>
    <w:rsid w:val="694941BC"/>
    <w:rsid w:val="69931B9F"/>
    <w:rsid w:val="69A02426"/>
    <w:rsid w:val="6A300827"/>
    <w:rsid w:val="6A3A3B62"/>
    <w:rsid w:val="6A5C18FD"/>
    <w:rsid w:val="6A6B167A"/>
    <w:rsid w:val="6A800F11"/>
    <w:rsid w:val="6A840C8C"/>
    <w:rsid w:val="6AEE453B"/>
    <w:rsid w:val="6AF3124A"/>
    <w:rsid w:val="6B166CD1"/>
    <w:rsid w:val="6B7E7D5F"/>
    <w:rsid w:val="6CE82148"/>
    <w:rsid w:val="6CEC35B0"/>
    <w:rsid w:val="6D1856E9"/>
    <w:rsid w:val="6E903FBA"/>
    <w:rsid w:val="6E976E60"/>
    <w:rsid w:val="6EB8009F"/>
    <w:rsid w:val="6F3829E8"/>
    <w:rsid w:val="6F6C3363"/>
    <w:rsid w:val="6FB57CB8"/>
    <w:rsid w:val="6FBB7E54"/>
    <w:rsid w:val="6FC74A20"/>
    <w:rsid w:val="6FD33AC8"/>
    <w:rsid w:val="70885FAA"/>
    <w:rsid w:val="708F3534"/>
    <w:rsid w:val="70AC2FCB"/>
    <w:rsid w:val="70F353BF"/>
    <w:rsid w:val="710B00FA"/>
    <w:rsid w:val="710B646C"/>
    <w:rsid w:val="710F69FE"/>
    <w:rsid w:val="71D60F68"/>
    <w:rsid w:val="71F01781"/>
    <w:rsid w:val="71F43287"/>
    <w:rsid w:val="724C3FCD"/>
    <w:rsid w:val="727C0EC4"/>
    <w:rsid w:val="72BA7323"/>
    <w:rsid w:val="72D75763"/>
    <w:rsid w:val="73374E73"/>
    <w:rsid w:val="735C324C"/>
    <w:rsid w:val="742B1FE0"/>
    <w:rsid w:val="743F42E8"/>
    <w:rsid w:val="74714F78"/>
    <w:rsid w:val="747A102E"/>
    <w:rsid w:val="753161AE"/>
    <w:rsid w:val="759251A6"/>
    <w:rsid w:val="75D47F04"/>
    <w:rsid w:val="75EB43FB"/>
    <w:rsid w:val="763C5D0A"/>
    <w:rsid w:val="76CF27C0"/>
    <w:rsid w:val="76D80CE3"/>
    <w:rsid w:val="773D0465"/>
    <w:rsid w:val="77526C08"/>
    <w:rsid w:val="777D3C34"/>
    <w:rsid w:val="781454A1"/>
    <w:rsid w:val="786B2585"/>
    <w:rsid w:val="79671759"/>
    <w:rsid w:val="797075DA"/>
    <w:rsid w:val="7A1B3C8B"/>
    <w:rsid w:val="7AAA05AF"/>
    <w:rsid w:val="7AB963C9"/>
    <w:rsid w:val="7AE30252"/>
    <w:rsid w:val="7B2714CA"/>
    <w:rsid w:val="7B3A2568"/>
    <w:rsid w:val="7B4414D8"/>
    <w:rsid w:val="7BB41C3D"/>
    <w:rsid w:val="7BDC50A2"/>
    <w:rsid w:val="7C593807"/>
    <w:rsid w:val="7CA04D2F"/>
    <w:rsid w:val="7CC606DC"/>
    <w:rsid w:val="7CD87D18"/>
    <w:rsid w:val="7CEB3C59"/>
    <w:rsid w:val="7CF2528C"/>
    <w:rsid w:val="7D0B0461"/>
    <w:rsid w:val="7D282903"/>
    <w:rsid w:val="7D356F5D"/>
    <w:rsid w:val="7D401A7F"/>
    <w:rsid w:val="7E015867"/>
    <w:rsid w:val="7E0D1A37"/>
    <w:rsid w:val="7E2F166A"/>
    <w:rsid w:val="7E3E720E"/>
    <w:rsid w:val="7E5954A9"/>
    <w:rsid w:val="7E753116"/>
    <w:rsid w:val="7E7951BF"/>
    <w:rsid w:val="7F0A4FAE"/>
    <w:rsid w:val="7F2F3071"/>
    <w:rsid w:val="7F761634"/>
    <w:rsid w:val="7F7E0404"/>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9"/>
    <w:pPr>
      <w:keepNext/>
      <w:keepLines/>
      <w:spacing w:line="360" w:lineRule="auto"/>
      <w:jc w:val="center"/>
      <w:outlineLvl w:val="0"/>
    </w:pPr>
    <w:rPr>
      <w:rFonts w:ascii="Cambria" w:hAnsi="Cambria"/>
      <w:b/>
      <w:bCs/>
      <w:kern w:val="44"/>
      <w:sz w:val="32"/>
      <w:szCs w:val="44"/>
    </w:rPr>
  </w:style>
  <w:style w:type="paragraph" w:styleId="2">
    <w:name w:val="heading 2"/>
    <w:basedOn w:val="1"/>
    <w:next w:val="1"/>
    <w:link w:val="45"/>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link w:val="43"/>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48"/>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49"/>
    <w:qFormat/>
    <w:uiPriority w:val="0"/>
    <w:pPr>
      <w:tabs>
        <w:tab w:val="left" w:pos="1800"/>
        <w:tab w:val="clear" w:pos="1440"/>
      </w:tabs>
      <w:ind w:left="1276" w:hanging="1276"/>
      <w:outlineLvl w:val="6"/>
    </w:pPr>
    <w:rPr>
      <w:rFonts w:ascii="Times New Roman" w:hAnsi="Times New Roman"/>
    </w:rPr>
  </w:style>
  <w:style w:type="paragraph" w:styleId="9">
    <w:name w:val="heading 8"/>
    <w:basedOn w:val="8"/>
    <w:next w:val="1"/>
    <w:link w:val="50"/>
    <w:qFormat/>
    <w:uiPriority w:val="0"/>
    <w:pPr>
      <w:ind w:left="1418" w:hanging="1418"/>
      <w:outlineLvl w:val="7"/>
    </w:pPr>
  </w:style>
  <w:style w:type="paragraph" w:styleId="10">
    <w:name w:val="heading 9"/>
    <w:basedOn w:val="9"/>
    <w:next w:val="1"/>
    <w:link w:val="51"/>
    <w:qFormat/>
    <w:uiPriority w:val="0"/>
    <w:pPr>
      <w:tabs>
        <w:tab w:val="left" w:pos="2160"/>
        <w:tab w:val="clear" w:pos="1800"/>
      </w:tabs>
      <w:ind w:left="1559" w:hanging="1559"/>
      <w:outlineLvl w:val="8"/>
    </w:p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semiHidden/>
    <w:qFormat/>
    <w:uiPriority w:val="99"/>
    <w:pPr>
      <w:ind w:left="200" w:leftChars="200"/>
    </w:pPr>
  </w:style>
  <w:style w:type="paragraph" w:styleId="12">
    <w:name w:val="Normal Indent"/>
    <w:basedOn w:val="1"/>
    <w:next w:val="1"/>
    <w:link w:val="52"/>
    <w:unhideWhenUsed/>
    <w:qFormat/>
    <w:uiPriority w:val="0"/>
    <w:pPr>
      <w:ind w:firstLine="420" w:firstLineChars="200"/>
    </w:pPr>
    <w:rPr>
      <w:rFonts w:ascii="Calibri" w:hAnsi="Calibri"/>
    </w:rPr>
  </w:style>
  <w:style w:type="paragraph" w:styleId="13">
    <w:name w:val="List Bullet"/>
    <w:basedOn w:val="1"/>
    <w:next w:val="14"/>
    <w:semiHidden/>
    <w:unhideWhenUsed/>
    <w:qFormat/>
    <w:uiPriority w:val="0"/>
    <w:pPr>
      <w:numPr>
        <w:ilvl w:val="0"/>
        <w:numId w:val="1"/>
      </w:numPr>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Document Map"/>
    <w:basedOn w:val="1"/>
    <w:link w:val="53"/>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54"/>
    <w:qFormat/>
    <w:uiPriority w:val="0"/>
    <w:pPr>
      <w:jc w:val="left"/>
    </w:pPr>
    <w:rPr>
      <w:rFonts w:ascii="Calibri" w:hAnsi="Calibri"/>
    </w:rPr>
  </w:style>
  <w:style w:type="paragraph" w:styleId="18">
    <w:name w:val="Body Text"/>
    <w:basedOn w:val="1"/>
    <w:unhideWhenUsed/>
    <w:qFormat/>
    <w:uiPriority w:val="0"/>
    <w:pPr>
      <w:spacing w:after="120"/>
    </w:pPr>
  </w:style>
  <w:style w:type="paragraph" w:styleId="19">
    <w:name w:val="Body Text Indent"/>
    <w:basedOn w:val="1"/>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55"/>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List"/>
    <w:basedOn w:val="1"/>
    <w:next w:val="29"/>
    <w:unhideWhenUsed/>
    <w:qFormat/>
    <w:uiPriority w:val="0"/>
    <w:pPr>
      <w:ind w:left="200" w:hanging="200" w:hangingChars="200"/>
      <w:contextualSpacing/>
    </w:pPr>
    <w:rPr>
      <w:szCs w:val="20"/>
    </w:rPr>
  </w:style>
  <w:style w:type="paragraph" w:styleId="29">
    <w:name w:val="Body Text Indent 3"/>
    <w:basedOn w:val="1"/>
    <w:next w:val="13"/>
    <w:link w:val="57"/>
    <w:unhideWhenUsed/>
    <w:qFormat/>
    <w:uiPriority w:val="0"/>
    <w:pPr>
      <w:spacing w:after="120"/>
      <w:ind w:left="420" w:leftChars="200"/>
    </w:pPr>
    <w:rPr>
      <w:rFonts w:ascii="Calibri" w:hAnsi="Calibri"/>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HTML Preformatted"/>
    <w:basedOn w:val="1"/>
    <w:qFormat/>
    <w:uiPriority w:val="0"/>
    <w:rPr>
      <w:rFonts w:ascii="Courier New" w:hAnsi="Courier New"/>
      <w:sz w:val="20"/>
    </w:rPr>
  </w:style>
  <w:style w:type="paragraph" w:styleId="32">
    <w:name w:val="index 1"/>
    <w:basedOn w:val="1"/>
    <w:next w:val="1"/>
    <w:qFormat/>
    <w:uiPriority w:val="0"/>
    <w:pPr>
      <w:jc w:val="center"/>
    </w:pPr>
    <w:rPr>
      <w:szCs w:val="24"/>
    </w:rPr>
  </w:style>
  <w:style w:type="paragraph" w:styleId="33">
    <w:name w:val="Title"/>
    <w:basedOn w:val="2"/>
    <w:next w:val="1"/>
    <w:link w:val="58"/>
    <w:qFormat/>
    <w:uiPriority w:val="0"/>
    <w:pPr>
      <w:jc w:val="both"/>
    </w:pPr>
    <w:rPr>
      <w:rFonts w:ascii="宋体" w:hAnsi="宋体"/>
      <w:sz w:val="44"/>
    </w:rPr>
  </w:style>
  <w:style w:type="paragraph" w:styleId="34">
    <w:name w:val="annotation subject"/>
    <w:basedOn w:val="17"/>
    <w:next w:val="17"/>
    <w:link w:val="59"/>
    <w:qFormat/>
    <w:uiPriority w:val="99"/>
    <w:rPr>
      <w:rFonts w:ascii="Times New Roman" w:hAnsi="Times New Roman"/>
      <w:b/>
      <w:sz w:val="28"/>
      <w:szCs w:val="20"/>
    </w:rPr>
  </w:style>
  <w:style w:type="paragraph" w:styleId="35">
    <w:name w:val="Body Text First Indent 2"/>
    <w:basedOn w:val="19"/>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customStyle="1" w:styleId="43">
    <w:name w:val="标题 3 字符"/>
    <w:link w:val="4"/>
    <w:qFormat/>
    <w:uiPriority w:val="0"/>
    <w:rPr>
      <w:rFonts w:ascii="仿宋_GB2312" w:hAnsi="宋体" w:eastAsia="宋体"/>
      <w:b/>
      <w:kern w:val="2"/>
      <w:sz w:val="32"/>
      <w:szCs w:val="32"/>
    </w:rPr>
  </w:style>
  <w:style w:type="character" w:customStyle="1" w:styleId="44">
    <w:name w:val="标题 1 字符1"/>
    <w:link w:val="3"/>
    <w:qFormat/>
    <w:uiPriority w:val="9"/>
    <w:rPr>
      <w:rFonts w:ascii="Cambria" w:hAnsi="Cambria" w:eastAsia="宋体"/>
      <w:b/>
      <w:bCs/>
      <w:kern w:val="44"/>
      <w:sz w:val="32"/>
      <w:szCs w:val="44"/>
    </w:rPr>
  </w:style>
  <w:style w:type="character" w:customStyle="1" w:styleId="45">
    <w:name w:val="标题 2 字符"/>
    <w:link w:val="2"/>
    <w:qFormat/>
    <w:uiPriority w:val="0"/>
    <w:rPr>
      <w:rFonts w:ascii="Cambria" w:hAnsi="Cambria" w:eastAsia="宋体"/>
      <w:b/>
      <w:kern w:val="2"/>
      <w:sz w:val="28"/>
      <w:szCs w:val="28"/>
    </w:rPr>
  </w:style>
  <w:style w:type="character" w:customStyle="1" w:styleId="46">
    <w:name w:val="标题 4 字符"/>
    <w:link w:val="5"/>
    <w:qFormat/>
    <w:uiPriority w:val="0"/>
    <w:rPr>
      <w:rFonts w:ascii="Arial" w:hAnsi="Arial" w:eastAsia="黑体"/>
      <w:b/>
      <w:bCs/>
      <w:kern w:val="2"/>
      <w:sz w:val="28"/>
      <w:szCs w:val="28"/>
    </w:rPr>
  </w:style>
  <w:style w:type="character" w:customStyle="1" w:styleId="47">
    <w:name w:val="标题 5 字符"/>
    <w:link w:val="6"/>
    <w:qFormat/>
    <w:uiPriority w:val="0"/>
    <w:rPr>
      <w:rFonts w:ascii="Calibri" w:hAnsi="Calibri"/>
      <w:b/>
      <w:bCs/>
      <w:kern w:val="2"/>
      <w:sz w:val="28"/>
      <w:szCs w:val="28"/>
    </w:rPr>
  </w:style>
  <w:style w:type="character" w:customStyle="1" w:styleId="48">
    <w:name w:val="标题 6 字符"/>
    <w:link w:val="7"/>
    <w:qFormat/>
    <w:uiPriority w:val="0"/>
    <w:rPr>
      <w:b/>
      <w:bCs/>
      <w:kern w:val="2"/>
      <w:sz w:val="30"/>
      <w:szCs w:val="18"/>
    </w:rPr>
  </w:style>
  <w:style w:type="character" w:customStyle="1" w:styleId="49">
    <w:name w:val="标题 7 字符"/>
    <w:link w:val="8"/>
    <w:qFormat/>
    <w:uiPriority w:val="0"/>
    <w:rPr>
      <w:b/>
      <w:bCs/>
      <w:kern w:val="2"/>
      <w:sz w:val="30"/>
      <w:szCs w:val="18"/>
    </w:rPr>
  </w:style>
  <w:style w:type="character" w:customStyle="1" w:styleId="50">
    <w:name w:val="标题 8 字符"/>
    <w:link w:val="9"/>
    <w:qFormat/>
    <w:uiPriority w:val="0"/>
    <w:rPr>
      <w:b/>
      <w:bCs/>
      <w:kern w:val="2"/>
      <w:sz w:val="30"/>
      <w:szCs w:val="18"/>
    </w:rPr>
  </w:style>
  <w:style w:type="character" w:customStyle="1" w:styleId="51">
    <w:name w:val="标题 9 字符"/>
    <w:link w:val="10"/>
    <w:qFormat/>
    <w:uiPriority w:val="0"/>
    <w:rPr>
      <w:b/>
      <w:bCs/>
      <w:kern w:val="2"/>
      <w:sz w:val="30"/>
      <w:szCs w:val="18"/>
    </w:rPr>
  </w:style>
  <w:style w:type="character" w:customStyle="1" w:styleId="52">
    <w:name w:val="正文缩进 字符1"/>
    <w:link w:val="12"/>
    <w:qFormat/>
    <w:uiPriority w:val="0"/>
    <w:rPr>
      <w:rFonts w:ascii="Calibri" w:hAnsi="Calibri" w:eastAsia="宋体"/>
      <w:kern w:val="2"/>
      <w:sz w:val="21"/>
      <w:szCs w:val="22"/>
      <w:lang w:val="en-US" w:eastAsia="zh-CN" w:bidi="ar-SA"/>
    </w:rPr>
  </w:style>
  <w:style w:type="character" w:customStyle="1" w:styleId="53">
    <w:name w:val="文档结构图 字符"/>
    <w:link w:val="15"/>
    <w:qFormat/>
    <w:uiPriority w:val="0"/>
    <w:rPr>
      <w:rFonts w:ascii="宋体" w:hAnsi="Calibri"/>
      <w:kern w:val="2"/>
      <w:sz w:val="18"/>
      <w:szCs w:val="18"/>
    </w:rPr>
  </w:style>
  <w:style w:type="character" w:customStyle="1" w:styleId="54">
    <w:name w:val="批注文字 字符"/>
    <w:link w:val="17"/>
    <w:qFormat/>
    <w:uiPriority w:val="0"/>
    <w:rPr>
      <w:rFonts w:ascii="Calibri" w:hAnsi="Calibri"/>
      <w:kern w:val="2"/>
      <w:sz w:val="21"/>
      <w:szCs w:val="22"/>
    </w:rPr>
  </w:style>
  <w:style w:type="character" w:customStyle="1" w:styleId="55">
    <w:name w:val="纯文本 字符"/>
    <w:link w:val="22"/>
    <w:qFormat/>
    <w:locked/>
    <w:uiPriority w:val="0"/>
    <w:rPr>
      <w:rFonts w:ascii="宋体" w:hAnsi="Courier New" w:eastAsia="宋体" w:cs="Courier New"/>
      <w:kern w:val="2"/>
      <w:sz w:val="21"/>
      <w:szCs w:val="21"/>
    </w:rPr>
  </w:style>
  <w:style w:type="character" w:customStyle="1" w:styleId="56">
    <w:name w:val="页眉 字符"/>
    <w:link w:val="26"/>
    <w:qFormat/>
    <w:uiPriority w:val="99"/>
    <w:rPr>
      <w:rFonts w:ascii="Calibri" w:hAnsi="Calibri" w:eastAsia="宋体" w:cs="Times New Roman"/>
      <w:kern w:val="2"/>
      <w:sz w:val="18"/>
      <w:szCs w:val="18"/>
    </w:rPr>
  </w:style>
  <w:style w:type="character" w:customStyle="1" w:styleId="57">
    <w:name w:val="正文文本缩进 3 字符"/>
    <w:link w:val="29"/>
    <w:semiHidden/>
    <w:qFormat/>
    <w:uiPriority w:val="0"/>
    <w:rPr>
      <w:rFonts w:ascii="Calibri" w:hAnsi="Calibri"/>
      <w:kern w:val="2"/>
      <w:sz w:val="16"/>
      <w:szCs w:val="16"/>
    </w:rPr>
  </w:style>
  <w:style w:type="character" w:customStyle="1" w:styleId="58">
    <w:name w:val="标题 字符"/>
    <w:link w:val="33"/>
    <w:qFormat/>
    <w:uiPriority w:val="0"/>
    <w:rPr>
      <w:rFonts w:ascii="宋体" w:hAnsi="宋体" w:eastAsia="宋体"/>
      <w:b/>
      <w:kern w:val="2"/>
      <w:sz w:val="44"/>
      <w:szCs w:val="28"/>
    </w:rPr>
  </w:style>
  <w:style w:type="character" w:customStyle="1" w:styleId="59">
    <w:name w:val="批注主题 字符"/>
    <w:link w:val="34"/>
    <w:qFormat/>
    <w:uiPriority w:val="99"/>
    <w:rPr>
      <w:b/>
      <w:kern w:val="2"/>
      <w:sz w:val="28"/>
    </w:rPr>
  </w:style>
  <w:style w:type="character" w:customStyle="1" w:styleId="60">
    <w:name w:val="font41"/>
    <w:qFormat/>
    <w:uiPriority w:val="0"/>
    <w:rPr>
      <w:rFonts w:hint="eastAsia" w:ascii="宋体" w:hAnsi="宋体" w:eastAsia="宋体" w:cs="宋体"/>
      <w:b/>
      <w:color w:val="000000"/>
      <w:sz w:val="18"/>
      <w:szCs w:val="18"/>
      <w:u w:val="none"/>
    </w:rPr>
  </w:style>
  <w:style w:type="character" w:customStyle="1" w:styleId="61">
    <w:name w:val="需求样式 Char"/>
    <w:link w:val="62"/>
    <w:qFormat/>
    <w:uiPriority w:val="0"/>
    <w:rPr>
      <w:b/>
      <w:bCs/>
      <w:kern w:val="44"/>
      <w:sz w:val="32"/>
      <w:szCs w:val="28"/>
    </w:rPr>
  </w:style>
  <w:style w:type="paragraph" w:customStyle="1" w:styleId="62">
    <w:name w:val="需求样式"/>
    <w:basedOn w:val="3"/>
    <w:link w:val="61"/>
    <w:qFormat/>
    <w:uiPriority w:val="0"/>
    <w:pPr>
      <w:spacing w:before="120" w:after="120"/>
      <w:ind w:left="425" w:hanging="425"/>
    </w:pPr>
    <w:rPr>
      <w:b w:val="0"/>
      <w:szCs w:val="28"/>
    </w:rPr>
  </w:style>
  <w:style w:type="character" w:customStyle="1" w:styleId="63">
    <w:name w:val="case31"/>
    <w:qFormat/>
    <w:uiPriority w:val="0"/>
    <w:rPr>
      <w:rFonts w:hint="default"/>
      <w:spacing w:val="390"/>
      <w:sz w:val="21"/>
      <w:szCs w:val="21"/>
    </w:rPr>
  </w:style>
  <w:style w:type="character" w:customStyle="1" w:styleId="64">
    <w:name w:val="font81"/>
    <w:qFormat/>
    <w:uiPriority w:val="0"/>
    <w:rPr>
      <w:rFonts w:hint="default" w:ascii="Calibri" w:hAnsi="Calibri" w:cs="Calibri"/>
      <w:color w:val="000000"/>
      <w:sz w:val="20"/>
      <w:szCs w:val="20"/>
      <w:u w:val="none"/>
    </w:rPr>
  </w:style>
  <w:style w:type="character" w:customStyle="1" w:styleId="65">
    <w:name w:val="标题 1 字符"/>
    <w:qFormat/>
    <w:uiPriority w:val="9"/>
    <w:rPr>
      <w:rFonts w:ascii="Times New Roman" w:hAnsi="Times New Roman" w:eastAsia="宋体" w:cs="Times New Roman"/>
      <w:bCs/>
      <w:kern w:val="44"/>
      <w:sz w:val="32"/>
      <w:szCs w:val="44"/>
    </w:rPr>
  </w:style>
  <w:style w:type="character" w:customStyle="1" w:styleId="66">
    <w:name w:val="font21"/>
    <w:qFormat/>
    <w:uiPriority w:val="0"/>
    <w:rPr>
      <w:rFonts w:hint="eastAsia" w:ascii="宋体" w:hAnsi="宋体" w:eastAsia="宋体" w:cs="宋体"/>
      <w:color w:val="000000"/>
      <w:sz w:val="24"/>
      <w:szCs w:val="24"/>
      <w:u w:val="none"/>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批注主题 Char1"/>
    <w:qFormat/>
    <w:uiPriority w:val="0"/>
    <w:rPr>
      <w:rFonts w:ascii="Calibri" w:hAnsi="Calibri"/>
      <w:b/>
      <w:bCs/>
      <w:kern w:val="2"/>
      <w:sz w:val="21"/>
      <w:szCs w:val="22"/>
    </w:rPr>
  </w:style>
  <w:style w:type="character" w:customStyle="1" w:styleId="72">
    <w:name w:val="正文缩进 字符"/>
    <w:qFormat/>
    <w:uiPriority w:val="0"/>
    <w:rPr>
      <w:rFonts w:ascii="Calibri" w:hAnsi="Calibri"/>
    </w:rPr>
  </w:style>
  <w:style w:type="paragraph" w:styleId="73">
    <w:name w:val="List Paragraph"/>
    <w:basedOn w:val="1"/>
    <w:qFormat/>
    <w:uiPriority w:val="1"/>
    <w:pPr>
      <w:ind w:firstLine="420" w:firstLineChars="200"/>
    </w:pPr>
  </w:style>
  <w:style w:type="paragraph" w:customStyle="1" w:styleId="74">
    <w:name w:val="Normal_16"/>
    <w:qFormat/>
    <w:uiPriority w:val="0"/>
    <w:rPr>
      <w:rFonts w:ascii="黑体" w:hAnsi="黑体" w:eastAsia="黑体" w:cs="Times New Roman"/>
      <w:b/>
      <w:sz w:val="32"/>
      <w:szCs w:val="24"/>
      <w:lang w:val="en-US" w:eastAsia="zh-CN" w:bidi="ar-SA"/>
    </w:rPr>
  </w:style>
  <w:style w:type="paragraph" w:customStyle="1" w:styleId="7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TOC 标题1"/>
    <w:basedOn w:val="3"/>
    <w:next w:val="1"/>
    <w:qFormat/>
    <w:uiPriority w:val="39"/>
    <w:pPr>
      <w:widowControl/>
      <w:spacing w:before="480" w:line="276" w:lineRule="auto"/>
      <w:jc w:val="left"/>
      <w:outlineLvl w:val="9"/>
    </w:pPr>
    <w:rPr>
      <w:color w:val="365F91"/>
      <w:kern w:val="0"/>
      <w:sz w:val="28"/>
    </w:rPr>
  </w:style>
  <w:style w:type="paragraph" w:customStyle="1" w:styleId="7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pPr>
    <w:rPr>
      <w:kern w:val="0"/>
      <w:sz w:val="24"/>
    </w:rPr>
  </w:style>
  <w:style w:type="paragraph" w:customStyle="1" w:styleId="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3">
    <w:name w:val="正文1"/>
    <w:qFormat/>
    <w:uiPriority w:val="0"/>
    <w:rPr>
      <w:rFonts w:ascii="Times New Roman" w:hAnsi="Times New Roman" w:eastAsia="Times New Roman" w:cs="Times New Roman"/>
      <w:sz w:val="24"/>
      <w:szCs w:val="24"/>
      <w:lang w:val="en-US" w:eastAsia="zh-CN" w:bidi="ar-SA"/>
    </w:rPr>
  </w:style>
  <w:style w:type="paragraph" w:customStyle="1" w:styleId="84">
    <w:name w:val="默认段落字体 Para Char"/>
    <w:basedOn w:val="1"/>
    <w:qFormat/>
    <w:uiPriority w:val="0"/>
    <w:pPr>
      <w:adjustRightInd w:val="0"/>
      <w:spacing w:line="360" w:lineRule="auto"/>
    </w:pPr>
    <w:rPr>
      <w:rFonts w:eastAsia="微软雅黑"/>
      <w:szCs w:val="24"/>
    </w:rPr>
  </w:style>
  <w:style w:type="paragraph" w:customStyle="1" w:styleId="85">
    <w:name w:val="SF正文"/>
    <w:basedOn w:val="1"/>
    <w:qFormat/>
    <w:uiPriority w:val="0"/>
    <w:pPr>
      <w:spacing w:line="460" w:lineRule="exact"/>
      <w:ind w:firstLine="200" w:firstLineChars="200"/>
    </w:pPr>
    <w:rPr>
      <w:rFonts w:ascii="Century Gothic" w:hAnsi="Century Gothic"/>
      <w:sz w:val="24"/>
      <w:szCs w:val="24"/>
    </w:rPr>
  </w:style>
  <w:style w:type="paragraph" w:customStyle="1" w:styleId="86">
    <w:name w:val="Normal_5"/>
    <w:qFormat/>
    <w:uiPriority w:val="0"/>
    <w:rPr>
      <w:rFonts w:ascii="黑体" w:hAnsi="黑体" w:eastAsia="黑体" w:cs="Times New Roman"/>
      <w:b/>
      <w:sz w:val="32"/>
      <w:szCs w:val="24"/>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标题 3_0"/>
    <w:basedOn w:val="77"/>
    <w:next w:val="77"/>
    <w:qFormat/>
    <w:uiPriority w:val="0"/>
    <w:pPr>
      <w:adjustRightInd w:val="0"/>
      <w:snapToGrid w:val="0"/>
      <w:spacing w:line="500" w:lineRule="exact"/>
      <w:jc w:val="center"/>
      <w:outlineLvl w:val="2"/>
    </w:pPr>
    <w:rPr>
      <w:rFonts w:ascii="宋体" w:hAnsi="宋体"/>
      <w:b/>
      <w:sz w:val="32"/>
      <w:szCs w:val="32"/>
    </w:rPr>
  </w:style>
  <w:style w:type="paragraph" w:customStyle="1" w:styleId="9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列出段落1"/>
    <w:basedOn w:val="1"/>
    <w:qFormat/>
    <w:uiPriority w:val="34"/>
    <w:pPr>
      <w:ind w:firstLine="420" w:firstLineChars="200"/>
    </w:p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正文文本_1"/>
    <w:basedOn w:val="97"/>
    <w:qFormat/>
    <w:uiPriority w:val="0"/>
    <w:pPr>
      <w:spacing w:after="120"/>
    </w:pPr>
    <w:rPr>
      <w:kern w:val="0"/>
      <w:sz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9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0">
    <w:name w:val="正文文本缩进_1"/>
    <w:basedOn w:val="90"/>
    <w:qFormat/>
    <w:uiPriority w:val="0"/>
    <w:pPr>
      <w:spacing w:line="500" w:lineRule="exact"/>
      <w:ind w:left="1588" w:leftChars="832" w:firstLine="433" w:firstLineChars="196"/>
    </w:pPr>
    <w:rPr>
      <w:kern w:val="0"/>
      <w:sz w:val="24"/>
    </w:rPr>
  </w:style>
  <w:style w:type="paragraph" w:customStyle="1" w:styleId="101">
    <w:name w:val="日期_0"/>
    <w:basedOn w:val="88"/>
    <w:next w:val="88"/>
    <w:qFormat/>
    <w:uiPriority w:val="0"/>
    <w:pPr>
      <w:ind w:left="100" w:leftChars="2500"/>
    </w:pPr>
    <w:rPr>
      <w:kern w:val="0"/>
      <w:sz w:val="20"/>
    </w:rPr>
  </w:style>
  <w:style w:type="paragraph" w:customStyle="1" w:styleId="1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4">
    <w:name w:val="正文文本缩进_0_0"/>
    <w:basedOn w:val="79"/>
    <w:qFormat/>
    <w:uiPriority w:val="0"/>
    <w:pPr>
      <w:spacing w:line="500" w:lineRule="exact"/>
      <w:ind w:left="1588" w:leftChars="832" w:firstLine="433" w:firstLineChars="196"/>
    </w:pPr>
    <w:rPr>
      <w:kern w:val="0"/>
      <w:sz w:val="24"/>
    </w:rPr>
  </w:style>
  <w:style w:type="paragraph" w:customStyle="1" w:styleId="10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1"/>
    <w:qFormat/>
    <w:uiPriority w:val="0"/>
    <w:rPr>
      <w:rFonts w:ascii="黑体" w:hAnsi="黑体" w:eastAsia="黑体" w:cs="Times New Roman"/>
      <w:b/>
      <w:sz w:val="32"/>
      <w:szCs w:val="24"/>
      <w:lang w:val="en-US" w:eastAsia="zh-CN" w:bidi="ar-SA"/>
    </w:rPr>
  </w:style>
  <w:style w:type="paragraph" w:customStyle="1" w:styleId="107">
    <w:name w:val="标题 2_0"/>
    <w:basedOn w:val="77"/>
    <w:next w:val="77"/>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8">
    <w:name w:val="Normal_3"/>
    <w:qFormat/>
    <w:uiPriority w:val="0"/>
    <w:rPr>
      <w:rFonts w:ascii="黑体" w:hAnsi="黑体" w:eastAsia="黑体" w:cs="Times New Roman"/>
      <w:b/>
      <w:sz w:val="32"/>
      <w:szCs w:val="24"/>
      <w:lang w:val="en-US" w:eastAsia="zh-CN" w:bidi="ar-SA"/>
    </w:rPr>
  </w:style>
  <w:style w:type="paragraph" w:customStyle="1" w:styleId="109">
    <w:name w:val="Normal_13"/>
    <w:qFormat/>
    <w:uiPriority w:val="0"/>
    <w:rPr>
      <w:rFonts w:ascii="黑体" w:hAnsi="黑体" w:eastAsia="黑体" w:cs="Times New Roman"/>
      <w:b/>
      <w:sz w:val="32"/>
      <w:szCs w:val="24"/>
      <w:lang w:val="en-US" w:eastAsia="zh-CN" w:bidi="ar-SA"/>
    </w:rPr>
  </w:style>
  <w:style w:type="paragraph" w:customStyle="1" w:styleId="110">
    <w:name w:val="标题 3_0_0"/>
    <w:basedOn w:val="92"/>
    <w:next w:val="9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标题 2_0_0"/>
    <w:basedOn w:val="110"/>
    <w:next w:val="89"/>
    <w:qFormat/>
    <w:uiPriority w:val="0"/>
    <w:pPr>
      <w:outlineLvl w:val="1"/>
    </w:pPr>
    <w:rPr>
      <w:rFonts w:ascii="Calibri" w:hAnsi="Calibri"/>
    </w:rPr>
  </w:style>
  <w:style w:type="paragraph" w:customStyle="1" w:styleId="113">
    <w:name w:val="BodyText1I2"/>
    <w:basedOn w:val="114"/>
    <w:qFormat/>
    <w:uiPriority w:val="0"/>
    <w:pPr>
      <w:spacing w:after="0"/>
      <w:ind w:left="0" w:leftChars="0" w:firstLine="200" w:firstLineChars="200"/>
    </w:pPr>
    <w:rPr>
      <w:sz w:val="28"/>
    </w:rPr>
  </w:style>
  <w:style w:type="paragraph" w:customStyle="1" w:styleId="114">
    <w:name w:val="BodyTextIndent"/>
    <w:basedOn w:val="1"/>
    <w:qFormat/>
    <w:uiPriority w:val="0"/>
    <w:pPr>
      <w:spacing w:after="120"/>
      <w:ind w:left="420" w:leftChars="200"/>
      <w:textAlignment w:val="baseline"/>
    </w:p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7">
    <w:name w:val="font11"/>
    <w:basedOn w:val="38"/>
    <w:qFormat/>
    <w:uiPriority w:val="0"/>
    <w:rPr>
      <w:rFonts w:hint="eastAsia" w:ascii="宋体" w:hAnsi="宋体" w:eastAsia="宋体" w:cs="宋体"/>
      <w:color w:val="FF0000"/>
      <w:sz w:val="24"/>
      <w:szCs w:val="24"/>
      <w:u w:val="none"/>
    </w:rPr>
  </w:style>
  <w:style w:type="paragraph" w:customStyle="1" w:styleId="118">
    <w:name w:val="Table Paragraph"/>
    <w:basedOn w:val="1"/>
    <w:qFormat/>
    <w:uiPriority w:val="1"/>
    <w:rPr>
      <w:rFonts w:ascii="微软雅黑" w:hAnsi="微软雅黑" w:eastAsia="微软雅黑" w:cs="微软雅黑"/>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18315</Words>
  <Characters>19589</Characters>
  <Lines>163</Lines>
  <Paragraphs>45</Paragraphs>
  <TotalTime>0</TotalTime>
  <ScaleCrop>false</ScaleCrop>
  <LinksUpToDate>false</LinksUpToDate>
  <CharactersWithSpaces>21685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任泽</cp:lastModifiedBy>
  <cp:lastPrinted>2021-01-04T03:56:00Z</cp:lastPrinted>
  <dcterms:modified xsi:type="dcterms:W3CDTF">2022-10-19T09:54:11Z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A84BB0BA18B64F688BBAFBDB97412861</vt:lpwstr>
  </property>
</Properties>
</file>