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4"/>
        <w:shd w:val="clear" w:color="auto" w:fill="FFFFFF"/>
        <w:spacing w:line="400" w:lineRule="exact"/>
        <w:jc w:val="right"/>
        <w:rPr>
          <w:rFonts w:ascii="仿宋" w:hAnsi="仿宋" w:eastAsia="仿宋" w:cs="仿宋"/>
          <w:color w:val="auto"/>
          <w:sz w:val="24"/>
          <w:lang w:val="zh-CN"/>
        </w:rPr>
      </w:pPr>
    </w:p>
    <w:p>
      <w:pPr>
        <w:shd w:val="clear" w:color="auto" w:fill="FFFFFF"/>
        <w:autoSpaceDE w:val="0"/>
        <w:autoSpaceDN w:val="0"/>
        <w:adjustRightInd w:val="0"/>
        <w:spacing w:line="360" w:lineRule="auto"/>
        <w:jc w:val="center"/>
        <w:rPr>
          <w:rFonts w:ascii="仿宋" w:hAnsi="仿宋" w:eastAsia="仿宋" w:cs="仿宋"/>
          <w:b/>
          <w:color w:val="auto"/>
          <w:sz w:val="36"/>
          <w:szCs w:val="36"/>
        </w:rPr>
      </w:pPr>
      <w:r>
        <w:rPr>
          <w:rFonts w:hint="eastAsia" w:ascii="仿宋" w:hAnsi="仿宋" w:eastAsia="仿宋" w:cs="仿宋"/>
          <w:b/>
          <w:color w:val="auto"/>
          <w:sz w:val="36"/>
          <w:szCs w:val="36"/>
        </w:rPr>
        <w:t>目    录</w:t>
      </w:r>
    </w:p>
    <w:p>
      <w:pPr>
        <w:shd w:val="clear" w:color="auto" w:fill="FFFFFF"/>
        <w:autoSpaceDE w:val="0"/>
        <w:autoSpaceDN w:val="0"/>
        <w:adjustRightInd w:val="0"/>
        <w:spacing w:line="360" w:lineRule="auto"/>
        <w:rPr>
          <w:rFonts w:ascii="仿宋" w:hAnsi="仿宋" w:eastAsia="仿宋" w:cs="仿宋"/>
          <w:b/>
          <w:color w:val="auto"/>
          <w:sz w:val="24"/>
        </w:rPr>
      </w:pPr>
    </w:p>
    <w:p>
      <w:pPr>
        <w:shd w:val="clear" w:color="auto" w:fill="FFFFFF"/>
        <w:autoSpaceDE w:val="0"/>
        <w:autoSpaceDN w:val="0"/>
        <w:adjustRightInd w:val="0"/>
        <w:spacing w:line="360" w:lineRule="auto"/>
        <w:jc w:val="center"/>
        <w:rPr>
          <w:rFonts w:ascii="仿宋" w:hAnsi="仿宋" w:eastAsia="仿宋" w:cs="仿宋"/>
          <w:b/>
          <w:color w:val="auto"/>
          <w:kern w:val="0"/>
          <w:sz w:val="30"/>
          <w:szCs w:val="30"/>
        </w:rPr>
      </w:pPr>
      <w:r>
        <w:rPr>
          <w:rFonts w:hint="eastAsia" w:ascii="仿宋" w:hAnsi="仿宋" w:eastAsia="仿宋" w:cs="仿宋"/>
          <w:b/>
          <w:color w:val="auto"/>
          <w:kern w:val="0"/>
          <w:sz w:val="30"/>
          <w:szCs w:val="30"/>
        </w:rPr>
        <w:t>第一章 招标公告…………………………………………………………2</w:t>
      </w:r>
    </w:p>
    <w:p>
      <w:pPr>
        <w:shd w:val="clear" w:color="auto" w:fill="FFFFFF"/>
        <w:autoSpaceDE w:val="0"/>
        <w:autoSpaceDN w:val="0"/>
        <w:adjustRightInd w:val="0"/>
        <w:spacing w:line="360" w:lineRule="auto"/>
        <w:jc w:val="center"/>
        <w:rPr>
          <w:rFonts w:ascii="仿宋" w:hAnsi="仿宋" w:eastAsia="仿宋" w:cs="仿宋"/>
          <w:b/>
          <w:color w:val="auto"/>
          <w:kern w:val="0"/>
          <w:sz w:val="30"/>
          <w:szCs w:val="30"/>
        </w:rPr>
      </w:pPr>
      <w:r>
        <w:rPr>
          <w:rFonts w:hint="eastAsia" w:ascii="仿宋" w:hAnsi="仿宋" w:eastAsia="仿宋" w:cs="仿宋"/>
          <w:b/>
          <w:color w:val="auto"/>
          <w:kern w:val="0"/>
          <w:sz w:val="30"/>
          <w:szCs w:val="30"/>
        </w:rPr>
        <w:t>第二章 投标须知前附表及投标须知……………………………………5</w:t>
      </w:r>
    </w:p>
    <w:p>
      <w:pPr>
        <w:shd w:val="clear" w:color="auto" w:fill="FFFFFF"/>
        <w:autoSpaceDE w:val="0"/>
        <w:autoSpaceDN w:val="0"/>
        <w:adjustRightInd w:val="0"/>
        <w:spacing w:line="360" w:lineRule="auto"/>
        <w:jc w:val="center"/>
        <w:rPr>
          <w:rFonts w:ascii="仿宋" w:hAnsi="仿宋" w:eastAsia="仿宋" w:cs="仿宋"/>
          <w:b/>
          <w:color w:val="auto"/>
          <w:kern w:val="0"/>
          <w:sz w:val="30"/>
          <w:szCs w:val="30"/>
        </w:rPr>
      </w:pPr>
      <w:r>
        <w:rPr>
          <w:rFonts w:hint="eastAsia" w:ascii="仿宋" w:hAnsi="仿宋" w:eastAsia="仿宋" w:cs="仿宋"/>
          <w:b/>
          <w:color w:val="auto"/>
          <w:kern w:val="0"/>
          <w:sz w:val="30"/>
          <w:szCs w:val="30"/>
        </w:rPr>
        <w:t>一、投标须知前附表……………………………………………………5</w:t>
      </w:r>
    </w:p>
    <w:p>
      <w:pPr>
        <w:shd w:val="clear" w:color="auto" w:fill="FFFFFF"/>
        <w:autoSpaceDE w:val="0"/>
        <w:autoSpaceDN w:val="0"/>
        <w:adjustRightInd w:val="0"/>
        <w:spacing w:line="360" w:lineRule="auto"/>
        <w:jc w:val="center"/>
        <w:rPr>
          <w:rFonts w:ascii="仿宋" w:hAnsi="仿宋" w:eastAsia="仿宋" w:cs="仿宋"/>
          <w:b/>
          <w:color w:val="auto"/>
          <w:kern w:val="0"/>
          <w:sz w:val="30"/>
          <w:szCs w:val="30"/>
        </w:rPr>
      </w:pPr>
      <w:r>
        <w:rPr>
          <w:rFonts w:hint="eastAsia" w:ascii="仿宋" w:hAnsi="仿宋" w:eastAsia="仿宋" w:cs="仿宋"/>
          <w:b/>
          <w:color w:val="auto"/>
          <w:kern w:val="0"/>
          <w:sz w:val="30"/>
          <w:szCs w:val="30"/>
        </w:rPr>
        <w:t xml:space="preserve"> 二、投标须知……………………………………………………………10</w:t>
      </w:r>
    </w:p>
    <w:p>
      <w:pPr>
        <w:shd w:val="clear" w:color="auto" w:fill="FFFFFF"/>
        <w:autoSpaceDE w:val="0"/>
        <w:autoSpaceDN w:val="0"/>
        <w:adjustRightInd w:val="0"/>
        <w:spacing w:line="360" w:lineRule="auto"/>
        <w:jc w:val="center"/>
        <w:rPr>
          <w:rFonts w:ascii="仿宋" w:hAnsi="仿宋" w:eastAsia="仿宋" w:cs="仿宋"/>
          <w:b/>
          <w:color w:val="auto"/>
          <w:kern w:val="0"/>
          <w:sz w:val="30"/>
          <w:szCs w:val="30"/>
        </w:rPr>
      </w:pPr>
      <w:r>
        <w:rPr>
          <w:rFonts w:hint="eastAsia" w:ascii="仿宋" w:hAnsi="仿宋" w:eastAsia="仿宋" w:cs="仿宋"/>
          <w:b/>
          <w:color w:val="auto"/>
          <w:kern w:val="0"/>
          <w:sz w:val="30"/>
          <w:szCs w:val="30"/>
        </w:rPr>
        <w:t>第三章 合同条款…………………………………………………………28</w:t>
      </w:r>
    </w:p>
    <w:p>
      <w:pPr>
        <w:shd w:val="clear" w:color="auto" w:fill="FFFFFF"/>
        <w:autoSpaceDE w:val="0"/>
        <w:autoSpaceDN w:val="0"/>
        <w:adjustRightInd w:val="0"/>
        <w:spacing w:line="360" w:lineRule="auto"/>
        <w:jc w:val="center"/>
        <w:rPr>
          <w:rFonts w:ascii="仿宋" w:hAnsi="仿宋" w:eastAsia="仿宋" w:cs="仿宋"/>
          <w:b/>
          <w:color w:val="auto"/>
          <w:kern w:val="0"/>
          <w:sz w:val="30"/>
          <w:szCs w:val="30"/>
        </w:rPr>
      </w:pPr>
      <w:r>
        <w:rPr>
          <w:rFonts w:hint="eastAsia" w:ascii="仿宋" w:hAnsi="仿宋" w:eastAsia="仿宋" w:cs="仿宋"/>
          <w:b/>
          <w:color w:val="auto"/>
          <w:kern w:val="0"/>
          <w:sz w:val="30"/>
          <w:szCs w:val="30"/>
        </w:rPr>
        <w:t>第四章 采购需求…………………………………………………………31</w:t>
      </w:r>
    </w:p>
    <w:p>
      <w:pPr>
        <w:shd w:val="clear" w:color="auto" w:fill="FFFFFF"/>
        <w:autoSpaceDE w:val="0"/>
        <w:autoSpaceDN w:val="0"/>
        <w:adjustRightInd w:val="0"/>
        <w:spacing w:line="360" w:lineRule="auto"/>
        <w:jc w:val="center"/>
        <w:rPr>
          <w:rFonts w:ascii="仿宋" w:hAnsi="仿宋" w:eastAsia="仿宋" w:cs="仿宋"/>
          <w:b/>
          <w:color w:val="auto"/>
          <w:kern w:val="0"/>
          <w:sz w:val="30"/>
          <w:szCs w:val="30"/>
        </w:rPr>
      </w:pPr>
      <w:r>
        <w:rPr>
          <w:rFonts w:hint="eastAsia" w:ascii="仿宋" w:hAnsi="仿宋" w:eastAsia="仿宋" w:cs="仿宋"/>
          <w:b/>
          <w:color w:val="auto"/>
          <w:kern w:val="0"/>
          <w:sz w:val="30"/>
          <w:szCs w:val="30"/>
        </w:rPr>
        <w:t>第五章 投标文件格式……………………………………………………39</w:t>
      </w:r>
    </w:p>
    <w:p>
      <w:pPr>
        <w:shd w:val="clear" w:color="auto" w:fill="FFFFFF"/>
        <w:autoSpaceDE w:val="0"/>
        <w:autoSpaceDN w:val="0"/>
        <w:adjustRightInd w:val="0"/>
        <w:spacing w:line="400" w:lineRule="exact"/>
        <w:jc w:val="center"/>
        <w:rPr>
          <w:rFonts w:ascii="仿宋" w:hAnsi="仿宋" w:eastAsia="仿宋" w:cs="仿宋"/>
          <w:b/>
          <w:bCs/>
          <w:color w:val="auto"/>
          <w:kern w:val="0"/>
          <w:sz w:val="24"/>
        </w:rPr>
      </w:pPr>
    </w:p>
    <w:p>
      <w:pPr>
        <w:shd w:val="clear" w:color="auto" w:fill="FFFFFF"/>
        <w:autoSpaceDE w:val="0"/>
        <w:autoSpaceDN w:val="0"/>
        <w:adjustRightInd w:val="0"/>
        <w:spacing w:line="400" w:lineRule="exact"/>
        <w:jc w:val="center"/>
        <w:rPr>
          <w:rFonts w:ascii="仿宋" w:hAnsi="仿宋" w:eastAsia="仿宋" w:cs="仿宋"/>
          <w:b/>
          <w:bCs/>
          <w:color w:val="auto"/>
          <w:kern w:val="0"/>
          <w:sz w:val="24"/>
        </w:rPr>
      </w:pPr>
    </w:p>
    <w:p>
      <w:pPr>
        <w:widowControl/>
        <w:spacing w:line="400" w:lineRule="exact"/>
        <w:jc w:val="center"/>
        <w:rPr>
          <w:rFonts w:ascii="仿宋" w:hAnsi="仿宋" w:eastAsia="仿宋" w:cs="仿宋"/>
          <w:b/>
          <w:color w:val="auto"/>
          <w:sz w:val="32"/>
          <w:szCs w:val="32"/>
        </w:rPr>
      </w:pPr>
      <w:r>
        <w:rPr>
          <w:rFonts w:hint="eastAsia" w:ascii="仿宋" w:hAnsi="仿宋" w:eastAsia="仿宋" w:cs="仿宋"/>
          <w:b/>
          <w:bCs/>
          <w:color w:val="auto"/>
          <w:kern w:val="0"/>
          <w:sz w:val="24"/>
        </w:rPr>
        <w:br w:type="page"/>
      </w:r>
      <w:r>
        <w:rPr>
          <w:rFonts w:hint="eastAsia" w:ascii="仿宋" w:hAnsi="仿宋" w:eastAsia="仿宋" w:cs="仿宋"/>
          <w:b/>
          <w:color w:val="auto"/>
          <w:sz w:val="32"/>
          <w:szCs w:val="32"/>
        </w:rPr>
        <w:t>第一章 招标公告</w:t>
      </w:r>
    </w:p>
    <w:p>
      <w:pPr>
        <w:widowControl/>
        <w:shd w:val="clear" w:color="auto" w:fill="FFFFFF"/>
        <w:spacing w:line="400" w:lineRule="exact"/>
        <w:rPr>
          <w:rFonts w:ascii="仿宋" w:hAnsi="仿宋" w:eastAsia="仿宋" w:cs="仿宋"/>
          <w:color w:val="auto"/>
          <w:sz w:val="24"/>
        </w:rPr>
      </w:pPr>
    </w:p>
    <w:p>
      <w:pPr>
        <w:widowControl/>
        <w:shd w:val="clear" w:color="auto" w:fill="FFFFFF"/>
        <w:spacing w:line="400"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一、项目基本情况</w:t>
      </w:r>
    </w:p>
    <w:p>
      <w:pPr>
        <w:widowControl/>
        <w:spacing w:line="40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项目编号：2022PCGK120</w:t>
      </w:r>
    </w:p>
    <w:p>
      <w:pPr>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项目名称：奇台县基层医疗机构服务能力提升项目</w:t>
      </w:r>
      <w:r>
        <w:rPr>
          <w:rFonts w:hint="eastAsia" w:ascii="仿宋" w:hAnsi="仿宋" w:eastAsia="仿宋" w:cs="仿宋"/>
          <w:color w:val="auto"/>
          <w:sz w:val="24"/>
          <w:lang w:val="en-US" w:eastAsia="zh-CN"/>
        </w:rPr>
        <w:t>-</w:t>
      </w:r>
      <w:r>
        <w:rPr>
          <w:rFonts w:hint="eastAsia" w:ascii="仿宋" w:hAnsi="仿宋" w:eastAsia="仿宋" w:cs="仿宋"/>
          <w:color w:val="auto"/>
          <w:sz w:val="24"/>
        </w:rPr>
        <w:t>特种技术用车采购</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采购方式：公开招标</w:t>
      </w:r>
    </w:p>
    <w:p>
      <w:pPr>
        <w:widowControl/>
        <w:spacing w:line="40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预算金额（元）：3</w:t>
      </w:r>
      <w:r>
        <w:rPr>
          <w:rFonts w:hint="eastAsia" w:ascii="仿宋" w:hAnsi="仿宋" w:eastAsia="仿宋" w:cs="仿宋"/>
          <w:color w:val="auto"/>
          <w:sz w:val="24"/>
          <w:lang w:val="en-US" w:eastAsia="zh-CN"/>
        </w:rPr>
        <w:t>250000.00</w:t>
      </w:r>
    </w:p>
    <w:p>
      <w:pPr>
        <w:widowControl/>
        <w:spacing w:line="400" w:lineRule="exact"/>
        <w:ind w:firstLine="480" w:firstLineChars="200"/>
        <w:rPr>
          <w:rFonts w:hint="default" w:ascii="仿宋" w:hAnsi="仿宋" w:eastAsia="仿宋" w:cs="仿宋"/>
          <w:color w:val="auto"/>
          <w:sz w:val="24"/>
          <w:lang w:val="en-US"/>
        </w:rPr>
      </w:pPr>
      <w:r>
        <w:rPr>
          <w:rFonts w:hint="eastAsia" w:ascii="仿宋" w:hAnsi="仿宋" w:eastAsia="仿宋" w:cs="仿宋"/>
          <w:color w:val="auto"/>
          <w:sz w:val="24"/>
        </w:rPr>
        <w:t>最高限价（元）：3</w:t>
      </w:r>
      <w:r>
        <w:rPr>
          <w:rFonts w:hint="eastAsia" w:ascii="仿宋" w:hAnsi="仿宋" w:eastAsia="仿宋" w:cs="仿宋"/>
          <w:color w:val="auto"/>
          <w:sz w:val="24"/>
          <w:lang w:val="en-US" w:eastAsia="zh-CN"/>
        </w:rPr>
        <w:t>250000.00</w:t>
      </w:r>
    </w:p>
    <w:p>
      <w:pPr>
        <w:widowControl/>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采购</w:t>
      </w:r>
      <w:r>
        <w:rPr>
          <w:rFonts w:hint="eastAsia" w:ascii="仿宋" w:hAnsi="仿宋" w:eastAsia="仿宋" w:cs="仿宋"/>
          <w:color w:val="auto"/>
          <w:sz w:val="24"/>
          <w:lang w:val="en-US" w:eastAsia="zh-CN"/>
        </w:rPr>
        <w:t>需求</w:t>
      </w:r>
      <w:r>
        <w:rPr>
          <w:rFonts w:hint="eastAsia" w:ascii="仿宋" w:hAnsi="仿宋" w:eastAsia="仿宋" w:cs="仿宋"/>
          <w:color w:val="auto"/>
          <w:sz w:val="24"/>
        </w:rPr>
        <w:t>：</w:t>
      </w:r>
    </w:p>
    <w:p>
      <w:pPr>
        <w:widowControl/>
        <w:shd w:val="clear" w:color="auto" w:fill="FFFFFF"/>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标项名称：</w:t>
      </w:r>
      <w:r>
        <w:rPr>
          <w:rFonts w:hint="eastAsia" w:ascii="仿宋" w:hAnsi="仿宋" w:eastAsia="仿宋" w:cs="仿宋"/>
          <w:color w:val="auto"/>
          <w:sz w:val="24"/>
        </w:rPr>
        <w:t>奇台县基层医疗机构服务能力提升项目</w:t>
      </w:r>
      <w:r>
        <w:rPr>
          <w:rFonts w:hint="eastAsia" w:ascii="仿宋" w:hAnsi="仿宋" w:eastAsia="仿宋" w:cs="仿宋"/>
          <w:color w:val="auto"/>
          <w:sz w:val="24"/>
          <w:lang w:val="en-US" w:eastAsia="zh-CN"/>
        </w:rPr>
        <w:t>-</w:t>
      </w:r>
      <w:r>
        <w:rPr>
          <w:rFonts w:hint="eastAsia" w:ascii="仿宋" w:hAnsi="仿宋" w:eastAsia="仿宋" w:cs="仿宋"/>
          <w:color w:val="auto"/>
          <w:sz w:val="24"/>
        </w:rPr>
        <w:t>特种技术用车采购</w:t>
      </w:r>
    </w:p>
    <w:p>
      <w:pPr>
        <w:widowControl/>
        <w:shd w:val="clear" w:color="auto" w:fill="FFFFFF"/>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数量：1</w:t>
      </w:r>
    </w:p>
    <w:p>
      <w:pPr>
        <w:widowControl/>
        <w:shd w:val="clear" w:color="auto" w:fill="FFFFFF"/>
        <w:spacing w:line="400" w:lineRule="exact"/>
        <w:ind w:firstLine="480" w:firstLineChars="200"/>
        <w:rPr>
          <w:rFonts w:hint="default" w:ascii="仿宋" w:hAnsi="仿宋" w:eastAsia="仿宋" w:cs="仿宋"/>
          <w:color w:val="auto"/>
          <w:sz w:val="24"/>
          <w:lang w:val="en-US"/>
        </w:rPr>
      </w:pPr>
      <w:r>
        <w:rPr>
          <w:rFonts w:hint="eastAsia" w:ascii="仿宋" w:hAnsi="仿宋" w:eastAsia="仿宋" w:cs="仿宋"/>
          <w:color w:val="auto"/>
          <w:sz w:val="24"/>
        </w:rPr>
        <w:t>预算金额（元）：3</w:t>
      </w:r>
      <w:r>
        <w:rPr>
          <w:rFonts w:hint="eastAsia" w:ascii="仿宋" w:hAnsi="仿宋" w:eastAsia="仿宋" w:cs="仿宋"/>
          <w:color w:val="auto"/>
          <w:sz w:val="24"/>
          <w:lang w:val="en-US" w:eastAsia="zh-CN"/>
        </w:rPr>
        <w:t>250000.00</w:t>
      </w:r>
    </w:p>
    <w:p>
      <w:pPr>
        <w:widowControl/>
        <w:shd w:val="clear" w:color="auto" w:fill="FFFFFF"/>
        <w:spacing w:line="4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单位：</w:t>
      </w:r>
      <w:r>
        <w:rPr>
          <w:rFonts w:hint="eastAsia" w:ascii="仿宋" w:hAnsi="仿宋" w:eastAsia="仿宋" w:cs="仿宋"/>
          <w:color w:val="auto"/>
          <w:sz w:val="24"/>
          <w:lang w:val="en-US" w:eastAsia="zh-CN"/>
        </w:rPr>
        <w:t>批</w:t>
      </w:r>
    </w:p>
    <w:p>
      <w:pPr>
        <w:widowControl/>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简要规格描述：救护车</w:t>
      </w:r>
      <w:r>
        <w:rPr>
          <w:rFonts w:hint="eastAsia" w:ascii="仿宋" w:hAnsi="仿宋" w:eastAsia="仿宋" w:cs="仿宋"/>
          <w:color w:val="auto"/>
          <w:sz w:val="24"/>
          <w:lang w:val="en-US" w:eastAsia="zh-CN"/>
        </w:rPr>
        <w:t>6辆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最高限价132万元；移动体检车1辆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最高限价120万元；应急指挥车1辆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最高限价25万元；快速检测车1辆，最高限价48万元；</w:t>
      </w:r>
      <w:r>
        <w:rPr>
          <w:rFonts w:hint="eastAsia" w:ascii="仿宋" w:hAnsi="仿宋" w:eastAsia="仿宋" w:cs="仿宋"/>
          <w:color w:val="auto"/>
          <w:sz w:val="24"/>
        </w:rPr>
        <w:t>具体技术参数详见采购文件第四章《采购需求》。</w:t>
      </w:r>
    </w:p>
    <w:p>
      <w:pPr>
        <w:widowControl/>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合同履行期限：从合同签订之日起至质保服务期结束。</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本项目（ 不 ）接受联合体投标。</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二、申请人的资格要求:</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widowControl/>
        <w:shd w:val="clear" w:color="auto" w:fill="FFFFFF"/>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2.落实政府采购政策需满足的资格要求：</w:t>
      </w:r>
      <w:r>
        <w:rPr>
          <w:rFonts w:hint="eastAsia" w:ascii="仿宋" w:hAnsi="仿宋" w:eastAsia="仿宋" w:cs="仿宋"/>
          <w:color w:val="auto"/>
          <w:sz w:val="24"/>
          <w:lang w:val="en-US" w:eastAsia="zh-CN"/>
        </w:rPr>
        <w:t>无</w:t>
      </w:r>
    </w:p>
    <w:p>
      <w:pPr>
        <w:widowControl/>
        <w:shd w:val="clear" w:color="auto" w:fill="FFFFFF"/>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3.本项目的特定资格要求：</w:t>
      </w:r>
    </w:p>
    <w:p>
      <w:pPr>
        <w:widowControl/>
        <w:shd w:val="clear" w:color="auto" w:fill="FFFFFF"/>
        <w:spacing w:line="4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3.1</w:t>
      </w:r>
      <w:r>
        <w:rPr>
          <w:rFonts w:hint="eastAsia" w:ascii="仿宋" w:hAnsi="仿宋" w:eastAsia="仿宋" w:cs="仿宋"/>
          <w:color w:val="auto"/>
          <w:sz w:val="24"/>
        </w:rPr>
        <w:t>供应商须</w:t>
      </w:r>
      <w:r>
        <w:rPr>
          <w:rFonts w:hint="eastAsia" w:ascii="仿宋" w:hAnsi="仿宋" w:eastAsia="仿宋" w:cs="仿宋"/>
          <w:color w:val="auto"/>
          <w:sz w:val="24"/>
          <w:lang w:val="en-US" w:eastAsia="zh-CN"/>
        </w:rPr>
        <w:t>具备</w:t>
      </w:r>
      <w:r>
        <w:rPr>
          <w:rFonts w:hint="eastAsia" w:ascii="仿宋" w:hAnsi="仿宋" w:eastAsia="仿宋" w:cs="仿宋"/>
          <w:color w:val="auto"/>
          <w:sz w:val="24"/>
        </w:rPr>
        <w:t>医疗器械经营许可证（或按照国家食品药品监督管理部门规定实行备案管理的，出具备案证明文件）</w:t>
      </w:r>
      <w:r>
        <w:rPr>
          <w:rFonts w:hint="eastAsia" w:ascii="仿宋" w:hAnsi="仿宋" w:eastAsia="仿宋" w:cs="仿宋"/>
          <w:color w:val="auto"/>
          <w:sz w:val="24"/>
          <w:lang w:eastAsia="zh-CN"/>
        </w:rPr>
        <w:t>；</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3.2</w:t>
      </w:r>
      <w:r>
        <w:rPr>
          <w:rFonts w:hint="eastAsia" w:ascii="仿宋" w:hAnsi="仿宋" w:eastAsia="仿宋" w:cs="Arial"/>
          <w:color w:val="auto"/>
          <w:sz w:val="24"/>
        </w:rPr>
        <w:t>供应商须</w:t>
      </w:r>
      <w:r>
        <w:rPr>
          <w:rFonts w:hint="eastAsia" w:ascii="仿宋" w:hAnsi="仿宋" w:eastAsia="仿宋" w:cs="Arial"/>
          <w:color w:val="auto"/>
          <w:sz w:val="24"/>
          <w:lang w:val="en-US" w:eastAsia="zh-CN"/>
        </w:rPr>
        <w:t>为车辆生产厂家或车辆整车生产厂家授权经销商；</w:t>
      </w:r>
      <w:r>
        <w:rPr>
          <w:rFonts w:hint="eastAsia" w:ascii="仿宋" w:hAnsi="仿宋" w:eastAsia="仿宋" w:cs="Arial"/>
          <w:color w:val="auto"/>
          <w:sz w:val="24"/>
        </w:rPr>
        <w:t>所投车辆车型必须已纳入国家工信部发布的《车辆生产企业及产品公告》中列明的“救护车”车型</w:t>
      </w:r>
      <w:r>
        <w:rPr>
          <w:rFonts w:hint="eastAsia" w:ascii="仿宋" w:hAnsi="仿宋" w:eastAsia="仿宋" w:cs="仿宋"/>
          <w:color w:val="auto"/>
          <w:sz w:val="24"/>
        </w:rPr>
        <w:t>。</w:t>
      </w:r>
    </w:p>
    <w:p>
      <w:pPr>
        <w:widowControl/>
        <w:shd w:val="clear" w:color="auto" w:fill="FFFFFF"/>
        <w:spacing w:line="400"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三、获取</w:t>
      </w:r>
      <w:r>
        <w:rPr>
          <w:rFonts w:hint="eastAsia" w:ascii="仿宋" w:hAnsi="仿宋" w:eastAsia="仿宋" w:cs="仿宋"/>
          <w:b/>
          <w:bCs/>
          <w:color w:val="auto"/>
          <w:sz w:val="24"/>
          <w:lang w:val="en-US" w:eastAsia="zh-CN"/>
        </w:rPr>
        <w:t>招标</w:t>
      </w:r>
      <w:r>
        <w:rPr>
          <w:rFonts w:hint="eastAsia" w:ascii="仿宋" w:hAnsi="仿宋" w:eastAsia="仿宋" w:cs="仿宋"/>
          <w:b/>
          <w:bCs/>
          <w:color w:val="auto"/>
          <w:sz w:val="24"/>
        </w:rPr>
        <w:t>文件</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时间：2022年</w:t>
      </w:r>
      <w:r>
        <w:rPr>
          <w:rFonts w:hint="eastAsia" w:ascii="仿宋" w:hAnsi="仿宋" w:eastAsia="仿宋" w:cs="仿宋"/>
          <w:color w:val="auto"/>
          <w:sz w:val="24"/>
          <w:lang w:val="en-US" w:eastAsia="zh-CN"/>
        </w:rPr>
        <w:t>09</w:t>
      </w:r>
      <w:r>
        <w:rPr>
          <w:rFonts w:hint="eastAsia" w:ascii="仿宋" w:hAnsi="仿宋" w:eastAsia="仿宋" w:cs="仿宋"/>
          <w:color w:val="auto"/>
          <w:sz w:val="24"/>
        </w:rPr>
        <w:t>月</w:t>
      </w:r>
      <w:r>
        <w:rPr>
          <w:rFonts w:hint="eastAsia" w:ascii="仿宋" w:hAnsi="仿宋" w:eastAsia="仿宋" w:cs="仿宋"/>
          <w:color w:val="auto"/>
          <w:sz w:val="24"/>
          <w:lang w:val="en-US" w:eastAsia="zh-CN"/>
        </w:rPr>
        <w:t>20</w:t>
      </w:r>
      <w:r>
        <w:rPr>
          <w:rFonts w:hint="eastAsia" w:ascii="仿宋" w:hAnsi="仿宋" w:eastAsia="仿宋" w:cs="仿宋"/>
          <w:color w:val="auto"/>
          <w:sz w:val="24"/>
        </w:rPr>
        <w:t>日至2022年</w:t>
      </w:r>
      <w:r>
        <w:rPr>
          <w:rFonts w:hint="eastAsia" w:ascii="仿宋" w:hAnsi="仿宋" w:eastAsia="仿宋" w:cs="仿宋"/>
          <w:color w:val="auto"/>
          <w:sz w:val="24"/>
          <w:lang w:val="en-US" w:eastAsia="zh-CN"/>
        </w:rPr>
        <w:t>09</w:t>
      </w:r>
      <w:r>
        <w:rPr>
          <w:rFonts w:hint="eastAsia" w:ascii="仿宋" w:hAnsi="仿宋" w:eastAsia="仿宋" w:cs="仿宋"/>
          <w:color w:val="auto"/>
          <w:sz w:val="24"/>
        </w:rPr>
        <w:t>月</w:t>
      </w:r>
      <w:r>
        <w:rPr>
          <w:rFonts w:hint="eastAsia" w:ascii="仿宋" w:hAnsi="仿宋" w:eastAsia="仿宋" w:cs="仿宋"/>
          <w:color w:val="auto"/>
          <w:sz w:val="24"/>
          <w:lang w:val="en-US" w:eastAsia="zh-CN"/>
        </w:rPr>
        <w:t>27</w:t>
      </w:r>
      <w:r>
        <w:rPr>
          <w:rFonts w:hint="eastAsia" w:ascii="仿宋" w:hAnsi="仿宋" w:eastAsia="仿宋" w:cs="仿宋"/>
          <w:color w:val="auto"/>
          <w:sz w:val="24"/>
        </w:rPr>
        <w:t>日，每天上午10:00至13:00，下午15:30至19:00（工作日报名，周末及节假日除外）</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地点：新疆乌鲁木齐市沙依巴克区长江路76号兴乐世贸广场29楼 业务二部</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方式：线下获取。获取招标文件前应当提供的资料：</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（1）营业执照（复印件加盖供应商公章）； </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（2）法定代表人授权委托书及被授权人身份证原件（法定代表人本人到场的须提供本人身份证原件）</w:t>
      </w:r>
      <w:r>
        <w:rPr>
          <w:rFonts w:hint="eastAsia" w:ascii="仿宋" w:hAnsi="仿宋" w:eastAsia="仿宋" w:cs="仿宋"/>
          <w:color w:val="auto"/>
          <w:sz w:val="24"/>
          <w:lang w:eastAsia="zh-CN"/>
        </w:rPr>
        <w:t>、</w:t>
      </w:r>
      <w:r>
        <w:rPr>
          <w:rFonts w:hint="eastAsia" w:ascii="仿宋" w:hAnsi="仿宋" w:eastAsia="仿宋" w:cs="仿宋"/>
          <w:color w:val="auto"/>
          <w:sz w:val="24"/>
        </w:rPr>
        <w:t>医疗器械经营许可证（或按照国家食品药品监督管理部门规定实行备案管理的，出具备案证明文件）（复印件加盖供应商公章）</w:t>
      </w:r>
      <w:r>
        <w:rPr>
          <w:rFonts w:hint="eastAsia" w:ascii="仿宋" w:hAnsi="仿宋" w:eastAsia="仿宋" w:cs="仿宋"/>
          <w:color w:val="auto"/>
          <w:sz w:val="24"/>
        </w:rPr>
        <w:t>；</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售价（元）：300</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四、提交投标文件截止时间、开标时间和地点</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提交投标文件截止时间：2022年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rPr>
        <w:t>日11:00</w:t>
      </w:r>
      <w:r>
        <w:rPr>
          <w:rFonts w:hint="eastAsia" w:ascii="仿宋" w:hAnsi="仿宋" w:eastAsia="仿宋" w:cs="仿宋"/>
          <w:color w:val="auto"/>
          <w:sz w:val="24"/>
        </w:rPr>
        <w:t>（北京时间）</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投标地点：新疆乌鲁木齐市沙依巴克区长江路76号兴乐世贸广场29楼 第1会议室</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开标时间：2022年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rPr>
        <w:t>日11:00</w:t>
      </w:r>
      <w:r>
        <w:rPr>
          <w:rFonts w:hint="eastAsia" w:ascii="仿宋" w:hAnsi="仿宋" w:eastAsia="仿宋" w:cs="仿宋"/>
          <w:color w:val="auto"/>
          <w:sz w:val="24"/>
        </w:rPr>
        <w:t>（北京时间）</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开标地点：新疆乌鲁木齐市沙依巴克区长江路76号兴乐世贸广场29楼 第1会议室</w:t>
      </w:r>
    </w:p>
    <w:p>
      <w:pPr>
        <w:widowControl/>
        <w:shd w:val="clear" w:color="auto" w:fill="FFFFFF"/>
        <w:spacing w:line="4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五、公告期限</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自本公告发布之日起5个工作日。</w:t>
      </w:r>
    </w:p>
    <w:p>
      <w:pPr>
        <w:widowControl/>
        <w:shd w:val="clear" w:color="auto" w:fill="FFFFFF"/>
        <w:spacing w:line="400"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六、其他补充事宜</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400"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七、对本次</w:t>
      </w:r>
      <w:r>
        <w:rPr>
          <w:rFonts w:hint="eastAsia" w:ascii="仿宋" w:hAnsi="仿宋" w:eastAsia="仿宋" w:cs="仿宋"/>
          <w:b/>
          <w:bCs/>
          <w:color w:val="auto"/>
          <w:sz w:val="24"/>
          <w:lang w:val="en-US" w:eastAsia="zh-CN"/>
        </w:rPr>
        <w:t>采购</w:t>
      </w:r>
      <w:r>
        <w:rPr>
          <w:rFonts w:hint="eastAsia" w:ascii="仿宋" w:hAnsi="仿宋" w:eastAsia="仿宋" w:cs="仿宋"/>
          <w:b/>
          <w:bCs/>
          <w:color w:val="auto"/>
          <w:sz w:val="24"/>
        </w:rPr>
        <w:t>提出询问，请按以下方式联系</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1.采购人信息</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名 称：奇台县卫生健康委员会</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地 址：奇台县团结南路魁星中街976号</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联系方式：0994</w:t>
      </w:r>
      <w:r>
        <w:rPr>
          <w:rFonts w:hint="eastAsia" w:ascii="仿宋" w:hAnsi="仿宋" w:eastAsia="仿宋" w:cs="仿宋"/>
          <w:color w:val="auto"/>
          <w:sz w:val="24"/>
          <w:lang w:val="en-US" w:eastAsia="zh-CN"/>
        </w:rPr>
        <w:t>-</w:t>
      </w:r>
      <w:r>
        <w:rPr>
          <w:rFonts w:hint="eastAsia" w:ascii="仿宋" w:hAnsi="仿宋" w:eastAsia="仿宋" w:cs="仿宋"/>
          <w:color w:val="auto"/>
          <w:sz w:val="24"/>
        </w:rPr>
        <w:t xml:space="preserve">7210360  </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2.采购代理机构信息</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名 称：新疆品创项目管理咨询有限公司</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地 址：新疆乌鲁木齐市沙依巴克区长江路76号兴乐世贸广场29楼 业务二部</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联系方式：0991-5221699 13109903202</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3.项目联系方式</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项目联系人：甘甜、</w:t>
      </w:r>
      <w:r>
        <w:rPr>
          <w:rFonts w:hint="eastAsia" w:ascii="仿宋" w:hAnsi="仿宋" w:eastAsia="仿宋" w:cs="仿宋"/>
          <w:color w:val="auto"/>
          <w:sz w:val="24"/>
          <w:lang w:val="en-US" w:eastAsia="zh-CN"/>
        </w:rPr>
        <w:t>张轩、</w:t>
      </w:r>
      <w:r>
        <w:rPr>
          <w:rFonts w:hint="eastAsia" w:ascii="仿宋" w:hAnsi="仿宋" w:eastAsia="仿宋" w:cs="仿宋"/>
          <w:color w:val="auto"/>
          <w:sz w:val="24"/>
        </w:rPr>
        <w:t>向磊、齐娟、周娟、郭克栋</w:t>
      </w:r>
    </w:p>
    <w:p>
      <w:pPr>
        <w:widowControl/>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电话：0991-5221699 13109903202</w:t>
      </w:r>
    </w:p>
    <w:p>
      <w:pPr>
        <w:widowControl/>
        <w:spacing w:line="400" w:lineRule="exact"/>
        <w:jc w:val="left"/>
        <w:rPr>
          <w:rFonts w:ascii="仿宋" w:hAnsi="仿宋" w:eastAsia="仿宋" w:cs="仿宋"/>
          <w:b/>
          <w:color w:val="auto"/>
          <w:sz w:val="28"/>
          <w:szCs w:val="28"/>
        </w:rPr>
      </w:pPr>
    </w:p>
    <w:p>
      <w:pPr>
        <w:shd w:val="clear" w:color="auto" w:fill="FFFFFF"/>
        <w:autoSpaceDE w:val="0"/>
        <w:autoSpaceDN w:val="0"/>
        <w:adjustRightInd w:val="0"/>
        <w:spacing w:line="400" w:lineRule="exact"/>
        <w:jc w:val="center"/>
        <w:rPr>
          <w:rFonts w:ascii="仿宋" w:hAnsi="仿宋" w:eastAsia="仿宋" w:cs="仿宋"/>
          <w:b/>
          <w:bCs/>
          <w:color w:val="auto"/>
          <w:kern w:val="0"/>
          <w:sz w:val="28"/>
          <w:szCs w:val="28"/>
        </w:rPr>
      </w:pPr>
    </w:p>
    <w:p>
      <w:pPr>
        <w:shd w:val="clear" w:color="auto" w:fill="FFFFFF"/>
        <w:autoSpaceDE w:val="0"/>
        <w:autoSpaceDN w:val="0"/>
        <w:adjustRightInd w:val="0"/>
        <w:spacing w:line="400" w:lineRule="exact"/>
        <w:jc w:val="center"/>
        <w:rPr>
          <w:rFonts w:ascii="仿宋" w:hAnsi="仿宋" w:eastAsia="仿宋" w:cs="仿宋"/>
          <w:b/>
          <w:bCs/>
          <w:color w:val="auto"/>
          <w:kern w:val="0"/>
          <w:sz w:val="28"/>
          <w:szCs w:val="28"/>
        </w:rPr>
      </w:pPr>
    </w:p>
    <w:p>
      <w:pPr>
        <w:shd w:val="clear" w:color="auto" w:fill="FFFFFF"/>
        <w:autoSpaceDE w:val="0"/>
        <w:autoSpaceDN w:val="0"/>
        <w:adjustRightInd w:val="0"/>
        <w:spacing w:line="400" w:lineRule="exact"/>
        <w:jc w:val="center"/>
        <w:rPr>
          <w:rFonts w:ascii="仿宋" w:hAnsi="仿宋" w:eastAsia="仿宋" w:cs="仿宋"/>
          <w:b/>
          <w:bCs/>
          <w:color w:val="auto"/>
          <w:kern w:val="0"/>
          <w:sz w:val="28"/>
          <w:szCs w:val="28"/>
        </w:rPr>
      </w:pPr>
    </w:p>
    <w:p>
      <w:pPr>
        <w:shd w:val="clear" w:color="auto" w:fill="FFFFFF"/>
        <w:autoSpaceDE w:val="0"/>
        <w:autoSpaceDN w:val="0"/>
        <w:adjustRightInd w:val="0"/>
        <w:spacing w:line="400" w:lineRule="exact"/>
        <w:jc w:val="center"/>
        <w:rPr>
          <w:rFonts w:ascii="仿宋" w:hAnsi="仿宋" w:eastAsia="仿宋" w:cs="仿宋"/>
          <w:b/>
          <w:bCs/>
          <w:color w:val="auto"/>
          <w:kern w:val="0"/>
          <w:sz w:val="28"/>
          <w:szCs w:val="28"/>
        </w:rPr>
      </w:pPr>
    </w:p>
    <w:p>
      <w:pPr>
        <w:spacing w:line="400" w:lineRule="exact"/>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br w:type="page"/>
      </w:r>
    </w:p>
    <w:p>
      <w:pPr>
        <w:widowControl/>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 xml:space="preserve"> 第二章、投标须知前附表表及投标须知</w:t>
      </w:r>
    </w:p>
    <w:p>
      <w:pPr>
        <w:shd w:val="clear" w:color="auto" w:fill="FFFFFF"/>
        <w:autoSpaceDE w:val="0"/>
        <w:autoSpaceDN w:val="0"/>
        <w:adjustRightInd w:val="0"/>
        <w:spacing w:line="360" w:lineRule="auto"/>
        <w:ind w:left="3360"/>
        <w:rPr>
          <w:rFonts w:ascii="仿宋" w:hAnsi="仿宋" w:eastAsia="仿宋" w:cs="仿宋"/>
          <w:b/>
          <w:bCs/>
          <w:color w:val="auto"/>
          <w:kern w:val="0"/>
          <w:sz w:val="24"/>
        </w:rPr>
      </w:pPr>
      <w:r>
        <w:rPr>
          <w:rFonts w:hint="eastAsia" w:ascii="仿宋" w:hAnsi="仿宋" w:eastAsia="仿宋" w:cs="仿宋"/>
          <w:b/>
          <w:bCs/>
          <w:color w:val="auto"/>
          <w:kern w:val="0"/>
          <w:sz w:val="24"/>
        </w:rPr>
        <w:t>一、投标须知前附表</w:t>
      </w:r>
    </w:p>
    <w:p>
      <w:pPr>
        <w:shd w:val="clear" w:color="auto" w:fill="FFFFFF"/>
        <w:autoSpaceDE w:val="0"/>
        <w:autoSpaceDN w:val="0"/>
        <w:adjustRightInd w:val="0"/>
        <w:spacing w:line="400" w:lineRule="exact"/>
        <w:jc w:val="center"/>
        <w:rPr>
          <w:rFonts w:ascii="仿宋" w:hAnsi="仿宋" w:eastAsia="仿宋" w:cs="仿宋"/>
          <w:b/>
          <w:bCs/>
          <w:color w:val="auto"/>
          <w:kern w:val="0"/>
          <w:sz w:val="24"/>
        </w:rPr>
      </w:pPr>
    </w:p>
    <w:tbl>
      <w:tblPr>
        <w:tblStyle w:val="61"/>
        <w:tblW w:w="10065"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93"/>
        <w:gridCol w:w="70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项号</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内  容</w:t>
            </w:r>
          </w:p>
        </w:tc>
        <w:tc>
          <w:tcPr>
            <w:tcW w:w="7076"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restart"/>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１</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项目名称</w:t>
            </w:r>
          </w:p>
        </w:tc>
        <w:tc>
          <w:tcPr>
            <w:tcW w:w="7076" w:type="dxa"/>
            <w:vAlign w:val="center"/>
          </w:tcPr>
          <w:p>
            <w:pPr>
              <w:shd w:val="clear" w:color="auto" w:fill="FFFFFF"/>
              <w:autoSpaceDE w:val="0"/>
              <w:autoSpaceDN w:val="0"/>
              <w:spacing w:line="400" w:lineRule="exact"/>
              <w:rPr>
                <w:rFonts w:ascii="仿宋" w:hAnsi="仿宋" w:eastAsia="仿宋" w:cs="仿宋"/>
                <w:bCs/>
                <w:color w:val="auto"/>
                <w:spacing w:val="-4"/>
                <w:kern w:val="0"/>
                <w:sz w:val="24"/>
              </w:rPr>
            </w:pPr>
            <w:r>
              <w:rPr>
                <w:rFonts w:hint="eastAsia" w:ascii="仿宋" w:hAnsi="仿宋" w:eastAsia="仿宋" w:cs="仿宋"/>
                <w:color w:val="auto"/>
                <w:sz w:val="24"/>
              </w:rPr>
              <w:t>奇台县基层医疗机构服务能力提升项目</w:t>
            </w:r>
            <w:r>
              <w:rPr>
                <w:rFonts w:hint="eastAsia" w:ascii="仿宋" w:hAnsi="仿宋" w:eastAsia="仿宋" w:cs="仿宋"/>
                <w:color w:val="auto"/>
                <w:sz w:val="24"/>
                <w:lang w:val="en-US" w:eastAsia="zh-CN"/>
              </w:rPr>
              <w:t>-</w:t>
            </w:r>
            <w:r>
              <w:rPr>
                <w:rFonts w:hint="eastAsia" w:ascii="仿宋" w:hAnsi="仿宋" w:eastAsia="仿宋" w:cs="仿宋"/>
                <w:color w:val="auto"/>
                <w:sz w:val="24"/>
              </w:rPr>
              <w:t>特种技术用车采购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0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color w:val="auto"/>
                <w:sz w:val="24"/>
              </w:rPr>
              <w:t>项目编号</w:t>
            </w:r>
          </w:p>
        </w:tc>
        <w:tc>
          <w:tcPr>
            <w:tcW w:w="7076" w:type="dxa"/>
            <w:vAlign w:val="center"/>
          </w:tcPr>
          <w:p>
            <w:pPr>
              <w:shd w:val="clear" w:color="auto" w:fill="FFFFFF"/>
              <w:autoSpaceDE w:val="0"/>
              <w:autoSpaceDN w:val="0"/>
              <w:spacing w:line="400" w:lineRule="exact"/>
              <w:rPr>
                <w:rFonts w:hint="default" w:ascii="仿宋" w:hAnsi="仿宋" w:eastAsia="仿宋" w:cs="仿宋"/>
                <w:color w:val="auto"/>
                <w:sz w:val="24"/>
                <w:lang w:val="en-US" w:eastAsia="zh-CN"/>
              </w:rPr>
            </w:pPr>
            <w:r>
              <w:rPr>
                <w:rFonts w:hint="eastAsia" w:ascii="仿宋" w:hAnsi="仿宋" w:eastAsia="仿宋" w:cs="仿宋"/>
                <w:color w:val="auto"/>
                <w:sz w:val="24"/>
              </w:rPr>
              <w:t>2022PCGK120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0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采购方式</w:t>
            </w:r>
          </w:p>
        </w:tc>
        <w:tc>
          <w:tcPr>
            <w:tcW w:w="7076" w:type="dxa"/>
            <w:vAlign w:val="center"/>
          </w:tcPr>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0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资金来源</w:t>
            </w:r>
          </w:p>
        </w:tc>
        <w:tc>
          <w:tcPr>
            <w:tcW w:w="7076" w:type="dxa"/>
            <w:vAlign w:val="center"/>
          </w:tcPr>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lang w:val="en-US" w:eastAsia="zh-CN"/>
              </w:rPr>
              <w:t>援疆</w:t>
            </w:r>
            <w:r>
              <w:rPr>
                <w:rFonts w:hint="eastAsia" w:ascii="仿宋" w:hAnsi="仿宋" w:eastAsia="仿宋" w:cs="仿宋"/>
                <w:bCs/>
                <w:color w:val="auto"/>
                <w:kern w:val="0"/>
                <w:sz w:val="24"/>
              </w:rPr>
              <w:t>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vMerge w:val="continue"/>
            <w:vAlign w:val="center"/>
          </w:tcPr>
          <w:p>
            <w:pPr>
              <w:shd w:val="clear" w:color="auto" w:fill="FFFFFF"/>
              <w:autoSpaceDE w:val="0"/>
              <w:autoSpaceDN w:val="0"/>
              <w:spacing w:line="40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资格审查方式</w:t>
            </w:r>
          </w:p>
        </w:tc>
        <w:tc>
          <w:tcPr>
            <w:tcW w:w="7076" w:type="dxa"/>
            <w:vAlign w:val="center"/>
          </w:tcPr>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Merge w:val="continue"/>
            <w:vAlign w:val="center"/>
          </w:tcPr>
          <w:p>
            <w:pPr>
              <w:shd w:val="clear" w:color="auto" w:fill="FFFFFF"/>
              <w:autoSpaceDE w:val="0"/>
              <w:autoSpaceDN w:val="0"/>
              <w:spacing w:line="400" w:lineRule="exact"/>
              <w:jc w:val="center"/>
              <w:rPr>
                <w:rFonts w:ascii="仿宋" w:hAnsi="仿宋" w:eastAsia="仿宋" w:cs="仿宋"/>
                <w:color w:val="auto"/>
                <w:kern w:val="0"/>
                <w:sz w:val="24"/>
              </w:rPr>
            </w:pP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采购内容</w:t>
            </w:r>
          </w:p>
        </w:tc>
        <w:tc>
          <w:tcPr>
            <w:tcW w:w="7076" w:type="dxa"/>
            <w:vAlign w:val="center"/>
          </w:tcPr>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rPr>
              <w:t>救护车</w:t>
            </w:r>
            <w:r>
              <w:rPr>
                <w:rFonts w:hint="eastAsia" w:ascii="仿宋" w:hAnsi="仿宋" w:eastAsia="仿宋" w:cs="仿宋"/>
                <w:color w:val="auto"/>
                <w:sz w:val="24"/>
                <w:lang w:val="en-US" w:eastAsia="zh-CN"/>
              </w:rPr>
              <w:t xml:space="preserve">      6辆</w:t>
            </w:r>
          </w:p>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（2）移动体检车  1辆</w:t>
            </w:r>
          </w:p>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（3）应急指挥车  1辆</w:t>
            </w:r>
          </w:p>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（4）快速检测车  1辆</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（详见第四章采购需求）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2</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预算</w:t>
            </w:r>
            <w:r>
              <w:rPr>
                <w:rFonts w:hint="eastAsia" w:ascii="仿宋" w:hAnsi="仿宋" w:eastAsia="仿宋" w:cs="仿宋"/>
                <w:color w:val="auto"/>
                <w:sz w:val="24"/>
              </w:rPr>
              <w:t>及最高限价</w:t>
            </w:r>
          </w:p>
        </w:tc>
        <w:tc>
          <w:tcPr>
            <w:tcW w:w="7076" w:type="dxa"/>
            <w:vAlign w:val="center"/>
          </w:tcPr>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w:t>
            </w:r>
            <w:r>
              <w:rPr>
                <w:rFonts w:hint="eastAsia" w:ascii="仿宋" w:hAnsi="仿宋" w:eastAsia="仿宋" w:cs="仿宋"/>
                <w:color w:val="auto"/>
                <w:sz w:val="24"/>
              </w:rPr>
              <w:t>救护车</w:t>
            </w:r>
            <w:r>
              <w:rPr>
                <w:rFonts w:hint="eastAsia" w:ascii="仿宋" w:hAnsi="仿宋" w:eastAsia="仿宋" w:cs="仿宋"/>
                <w:color w:val="auto"/>
                <w:sz w:val="24"/>
                <w:lang w:val="en-US" w:eastAsia="zh-CN"/>
              </w:rPr>
              <w:t xml:space="preserve"> 6辆，</w:t>
            </w:r>
            <w:r>
              <w:rPr>
                <w:rFonts w:hint="eastAsia" w:ascii="仿宋" w:hAnsi="仿宋" w:eastAsia="仿宋" w:cs="仿宋"/>
                <w:bCs/>
                <w:color w:val="auto"/>
                <w:kern w:val="0"/>
                <w:sz w:val="24"/>
                <w:lang w:val="en-US" w:eastAsia="zh-CN"/>
              </w:rPr>
              <w:t>最高限价132万元；</w:t>
            </w:r>
          </w:p>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（2）移动体检车 1辆，</w:t>
            </w:r>
            <w:r>
              <w:rPr>
                <w:rFonts w:hint="eastAsia" w:ascii="仿宋" w:hAnsi="仿宋" w:eastAsia="仿宋" w:cs="仿宋"/>
                <w:bCs/>
                <w:color w:val="auto"/>
                <w:kern w:val="0"/>
                <w:sz w:val="24"/>
                <w:lang w:val="en-US" w:eastAsia="zh-CN"/>
              </w:rPr>
              <w:t>最高限价120万元；</w:t>
            </w:r>
          </w:p>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（3）应急指挥车 1辆，</w:t>
            </w:r>
            <w:r>
              <w:rPr>
                <w:rFonts w:hint="eastAsia" w:ascii="仿宋" w:hAnsi="仿宋" w:eastAsia="仿宋" w:cs="仿宋"/>
                <w:bCs/>
                <w:color w:val="auto"/>
                <w:kern w:val="0"/>
                <w:sz w:val="24"/>
                <w:lang w:val="en-US" w:eastAsia="zh-CN"/>
              </w:rPr>
              <w:t>最高限价25万元；</w:t>
            </w:r>
          </w:p>
          <w:p>
            <w:pPr>
              <w:widowControl/>
              <w:shd w:val="clear" w:color="auto" w:fill="FFFFFF"/>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（4）快速检测车 1辆，</w:t>
            </w:r>
            <w:r>
              <w:rPr>
                <w:rFonts w:hint="eastAsia" w:ascii="仿宋" w:hAnsi="仿宋" w:eastAsia="仿宋" w:cs="仿宋"/>
                <w:bCs/>
                <w:color w:val="auto"/>
                <w:kern w:val="0"/>
                <w:sz w:val="24"/>
                <w:lang w:val="en-US" w:eastAsia="zh-CN"/>
              </w:rPr>
              <w:t>最高限价48万元；</w:t>
            </w:r>
          </w:p>
          <w:p>
            <w:pPr>
              <w:widowControl/>
              <w:shd w:val="clear" w:color="auto" w:fill="FFFFFF"/>
              <w:spacing w:line="400" w:lineRule="exact"/>
              <w:rPr>
                <w:rFonts w:ascii="仿宋" w:hAnsi="仿宋" w:eastAsia="仿宋" w:cs="仿宋"/>
                <w:b/>
                <w:color w:val="auto"/>
                <w:sz w:val="24"/>
              </w:rPr>
            </w:pPr>
            <w:r>
              <w:rPr>
                <w:rFonts w:hint="eastAsia" w:ascii="仿宋" w:hAnsi="仿宋" w:eastAsia="仿宋" w:cs="仿宋"/>
                <w:b/>
                <w:color w:val="auto"/>
                <w:sz w:val="24"/>
              </w:rPr>
              <w:t>本</w:t>
            </w:r>
            <w:r>
              <w:rPr>
                <w:rFonts w:hint="eastAsia" w:ascii="仿宋" w:hAnsi="仿宋" w:eastAsia="仿宋" w:cs="仿宋"/>
                <w:b/>
                <w:color w:val="auto"/>
                <w:sz w:val="24"/>
                <w:lang w:val="en-US" w:eastAsia="zh-CN"/>
              </w:rPr>
              <w:t>项目</w:t>
            </w:r>
            <w:r>
              <w:rPr>
                <w:rFonts w:hint="eastAsia" w:ascii="仿宋" w:hAnsi="仿宋" w:eastAsia="仿宋" w:cs="仿宋"/>
                <w:b/>
                <w:color w:val="auto"/>
                <w:sz w:val="24"/>
              </w:rPr>
              <w:t>预算</w:t>
            </w:r>
            <w:r>
              <w:rPr>
                <w:rFonts w:hint="eastAsia" w:ascii="仿宋" w:hAnsi="仿宋" w:eastAsia="仿宋" w:cs="仿宋"/>
                <w:b/>
                <w:color w:val="auto"/>
                <w:sz w:val="24"/>
                <w:lang w:val="en-US" w:eastAsia="zh-CN"/>
              </w:rPr>
              <w:t>及最高限价：325</w:t>
            </w:r>
            <w:r>
              <w:rPr>
                <w:rFonts w:hint="eastAsia" w:ascii="仿宋" w:hAnsi="仿宋" w:eastAsia="仿宋" w:cs="仿宋"/>
                <w:b/>
                <w:color w:val="auto"/>
                <w:sz w:val="24"/>
              </w:rPr>
              <w:t>万元。供应商每</w:t>
            </w:r>
            <w:r>
              <w:rPr>
                <w:rFonts w:hint="eastAsia" w:ascii="仿宋" w:hAnsi="仿宋" w:eastAsia="仿宋" w:cs="仿宋"/>
                <w:b/>
                <w:color w:val="auto"/>
                <w:sz w:val="24"/>
                <w:lang w:val="en-US" w:eastAsia="zh-CN"/>
              </w:rPr>
              <w:t>种车辆</w:t>
            </w:r>
            <w:r>
              <w:rPr>
                <w:rFonts w:hint="eastAsia" w:ascii="仿宋" w:hAnsi="仿宋" w:eastAsia="仿宋" w:cs="仿宋"/>
                <w:b/>
                <w:color w:val="auto"/>
                <w:sz w:val="24"/>
              </w:rPr>
              <w:t>的投标报价均不得超过该</w:t>
            </w:r>
            <w:r>
              <w:rPr>
                <w:rFonts w:hint="eastAsia" w:ascii="仿宋" w:hAnsi="仿宋" w:eastAsia="仿宋" w:cs="仿宋"/>
                <w:b/>
                <w:color w:val="auto"/>
                <w:sz w:val="24"/>
                <w:lang w:val="en-US" w:eastAsia="zh-CN"/>
              </w:rPr>
              <w:t>车辆</w:t>
            </w:r>
            <w:r>
              <w:rPr>
                <w:rFonts w:hint="eastAsia" w:ascii="仿宋" w:hAnsi="仿宋" w:eastAsia="仿宋" w:cs="仿宋"/>
                <w:b/>
                <w:color w:val="auto"/>
                <w:sz w:val="24"/>
              </w:rPr>
              <w:t>的最高限价，否则，按无效投标处理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3</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质量标准</w:t>
            </w:r>
          </w:p>
        </w:tc>
        <w:tc>
          <w:tcPr>
            <w:tcW w:w="7076" w:type="dxa"/>
            <w:vAlign w:val="center"/>
          </w:tcPr>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4</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供应商资格</w:t>
            </w:r>
          </w:p>
        </w:tc>
        <w:tc>
          <w:tcPr>
            <w:tcW w:w="7076" w:type="dxa"/>
            <w:vAlign w:val="center"/>
          </w:tcPr>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 xml:space="preserve">4.1供应商须满足《中华人民共和国政府采购法》第二十二条款规定； </w:t>
            </w:r>
          </w:p>
          <w:p>
            <w:pPr>
              <w:widowControl/>
              <w:shd w:val="clear" w:color="auto" w:fill="FFFFFF"/>
              <w:spacing w:line="400" w:lineRule="exact"/>
              <w:rPr>
                <w:rFonts w:hint="eastAsia" w:ascii="仿宋" w:hAnsi="仿宋" w:eastAsia="仿宋" w:cs="仿宋"/>
                <w:color w:val="auto"/>
                <w:sz w:val="24"/>
              </w:rPr>
            </w:pPr>
            <w:r>
              <w:rPr>
                <w:rFonts w:hint="eastAsia" w:ascii="仿宋" w:hAnsi="仿宋" w:eastAsia="仿宋" w:cs="仿宋"/>
                <w:color w:val="auto"/>
                <w:sz w:val="24"/>
                <w:lang w:val="en-US" w:eastAsia="zh-CN"/>
              </w:rPr>
              <w:t>4.2</w:t>
            </w:r>
            <w:r>
              <w:rPr>
                <w:rFonts w:hint="eastAsia" w:ascii="仿宋" w:hAnsi="仿宋" w:eastAsia="仿宋" w:cs="仿宋"/>
                <w:color w:val="auto"/>
                <w:sz w:val="24"/>
              </w:rPr>
              <w:t>供应商须</w:t>
            </w:r>
            <w:r>
              <w:rPr>
                <w:rFonts w:hint="eastAsia" w:ascii="仿宋" w:hAnsi="仿宋" w:eastAsia="仿宋" w:cs="仿宋"/>
                <w:color w:val="auto"/>
                <w:sz w:val="24"/>
                <w:lang w:val="en-US" w:eastAsia="zh-CN"/>
              </w:rPr>
              <w:t>具备</w:t>
            </w:r>
            <w:r>
              <w:rPr>
                <w:rFonts w:hint="eastAsia" w:ascii="仿宋" w:hAnsi="仿宋" w:eastAsia="仿宋" w:cs="仿宋"/>
                <w:color w:val="auto"/>
                <w:sz w:val="24"/>
              </w:rPr>
              <w:t>医疗器械经营许可证（或按照国家食品药品监督管理部门规定实行备案管理的，出具备案证明文件）</w:t>
            </w:r>
            <w:r>
              <w:rPr>
                <w:rFonts w:hint="eastAsia" w:ascii="仿宋" w:hAnsi="仿宋" w:eastAsia="仿宋" w:cs="仿宋"/>
                <w:color w:val="auto"/>
                <w:sz w:val="24"/>
                <w:lang w:eastAsia="zh-CN"/>
              </w:rPr>
              <w:t>；</w:t>
            </w:r>
            <w:r>
              <w:rPr>
                <w:rFonts w:hint="eastAsia" w:ascii="仿宋" w:hAnsi="仿宋" w:eastAsia="仿宋" w:cs="Arial"/>
                <w:color w:val="auto"/>
                <w:sz w:val="24"/>
              </w:rPr>
              <w:t>供应商须</w:t>
            </w:r>
            <w:r>
              <w:rPr>
                <w:rFonts w:hint="eastAsia" w:ascii="仿宋" w:hAnsi="仿宋" w:eastAsia="仿宋" w:cs="Arial"/>
                <w:color w:val="auto"/>
                <w:sz w:val="24"/>
                <w:lang w:val="en-US" w:eastAsia="zh-CN"/>
              </w:rPr>
              <w:t>为车辆生产厂家或车辆整车生产厂家授权经销商；</w:t>
            </w:r>
            <w:r>
              <w:rPr>
                <w:rFonts w:hint="eastAsia" w:ascii="仿宋" w:hAnsi="仿宋" w:eastAsia="仿宋" w:cs="Arial"/>
                <w:color w:val="auto"/>
                <w:sz w:val="24"/>
              </w:rPr>
              <w:t>所投车辆车型必须已纳入国家工信部发布的《车辆生产企业及产品公告》中列明的“救护车”车型</w:t>
            </w:r>
            <w:r>
              <w:rPr>
                <w:rFonts w:hint="eastAsia" w:ascii="仿宋" w:hAnsi="仿宋" w:eastAsia="仿宋" w:cs="仿宋"/>
                <w:color w:val="auto"/>
                <w:sz w:val="24"/>
              </w:rPr>
              <w:t>。</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4.3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Pr>
                <w:rFonts w:hint="eastAsia" w:ascii="仿宋" w:hAnsi="仿宋" w:eastAsia="仿宋" w:cs="仿宋"/>
                <w:b/>
                <w:bCs/>
                <w:color w:val="auto"/>
                <w:sz w:val="24"/>
              </w:rPr>
              <w:t>（注：采购代理机构在开标时间后至资格审查结束前通过上述查询渠道进行网上查询，对存在“失信被执行人”、“重大税收违法案件当事人名单”、“政府采购严重违法失信行为记录名单”情形的供应商，资格审查不合格，磋商无效，同时其信用信息查询记录作为证据存档。）</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4.4供应商不得存在下列情形之一：</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（l）与采购人、采购代理机构存在隶属关系或者其他利害关系。</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（2）与其他供应商的法定代表人（或者负责人）为同一人；或者与其他供应商存在直接控股、管理关系的；</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（3）为采购项目提供整体设计、规范编制或者项目管理、监理、检测等服务的供应商,不得再参加该采购项目的其他采购活动。</w:t>
            </w:r>
          </w:p>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4.5本项目不接受联合体投标。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5</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投标文件份数</w:t>
            </w:r>
          </w:p>
        </w:tc>
        <w:tc>
          <w:tcPr>
            <w:tcW w:w="7076" w:type="dxa"/>
            <w:vAlign w:val="center"/>
          </w:tcPr>
          <w:p>
            <w:pPr>
              <w:widowControl/>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纸质版投标文件正本1份，副本4份，正本和副本应分别装入信袋内；《开标一览表》1份（单独密封）；电子版投标文件（U盘形式提供，电子版投标文件应为正本投标文件的扫描件）1个（单独密封）；密封要求见本表第12项要求；</w:t>
            </w:r>
          </w:p>
          <w:p>
            <w:pPr>
              <w:widowControl/>
              <w:shd w:val="clear" w:color="auto" w:fill="FFFFFF"/>
              <w:spacing w:line="400" w:lineRule="exact"/>
              <w:rPr>
                <w:rFonts w:ascii="仿宋" w:hAnsi="仿宋" w:eastAsia="仿宋" w:cs="仿宋"/>
                <w:color w:val="auto"/>
              </w:rPr>
            </w:pPr>
            <w:r>
              <w:rPr>
                <w:rFonts w:hint="eastAsia" w:ascii="仿宋" w:hAnsi="仿宋" w:eastAsia="仿宋" w:cs="仿宋"/>
                <w:b/>
                <w:bCs/>
                <w:color w:val="auto"/>
                <w:sz w:val="24"/>
              </w:rPr>
              <w:t>供应商未按上述要求提供投标文件，将导致投标被否决。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6</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投标文件递交截止时间</w:t>
            </w:r>
          </w:p>
        </w:tc>
        <w:tc>
          <w:tcPr>
            <w:tcW w:w="7076" w:type="dxa"/>
            <w:vAlign w:val="center"/>
          </w:tcPr>
          <w:p>
            <w:pPr>
              <w:shd w:val="clear" w:color="auto" w:fill="FFFFFF"/>
              <w:autoSpaceDE w:val="0"/>
              <w:autoSpaceDN w:val="0"/>
              <w:spacing w:line="400" w:lineRule="exact"/>
              <w:rPr>
                <w:rFonts w:ascii="仿宋" w:hAnsi="仿宋" w:eastAsia="仿宋" w:cs="仿宋"/>
                <w:color w:val="auto"/>
                <w:sz w:val="24"/>
              </w:rPr>
            </w:pPr>
            <w:r>
              <w:rPr>
                <w:rFonts w:hint="eastAsia" w:ascii="仿宋" w:hAnsi="仿宋" w:eastAsia="仿宋" w:cs="仿宋"/>
                <w:color w:val="auto"/>
                <w:sz w:val="24"/>
              </w:rPr>
              <w:t>2022年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rPr>
              <w:t>日 11:00时（北京时间）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7</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投标有效期限</w:t>
            </w:r>
          </w:p>
        </w:tc>
        <w:tc>
          <w:tcPr>
            <w:tcW w:w="7076" w:type="dxa"/>
            <w:vAlign w:val="center"/>
          </w:tcPr>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投标截止后</w:t>
            </w:r>
            <w:r>
              <w:rPr>
                <w:rFonts w:hint="eastAsia" w:ascii="仿宋" w:hAnsi="仿宋" w:eastAsia="仿宋" w:cs="仿宋"/>
                <w:bCs/>
                <w:color w:val="auto"/>
                <w:kern w:val="0"/>
                <w:sz w:val="24"/>
                <w:u w:val="single"/>
              </w:rPr>
              <w:t>90</w:t>
            </w:r>
            <w:r>
              <w:rPr>
                <w:rFonts w:hint="eastAsia" w:ascii="仿宋" w:hAnsi="仿宋" w:eastAsia="仿宋" w:cs="仿宋"/>
                <w:bCs/>
                <w:color w:val="auto"/>
                <w:kern w:val="0"/>
                <w:sz w:val="24"/>
              </w:rPr>
              <w:t>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8</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投标文件递交</w:t>
            </w:r>
          </w:p>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地点</w:t>
            </w:r>
          </w:p>
        </w:tc>
        <w:tc>
          <w:tcPr>
            <w:tcW w:w="7076" w:type="dxa"/>
            <w:vAlign w:val="center"/>
          </w:tcPr>
          <w:p>
            <w:pPr>
              <w:shd w:val="clear" w:color="auto" w:fill="FFFFFF"/>
              <w:autoSpaceDE w:val="0"/>
              <w:autoSpaceDN w:val="0"/>
              <w:spacing w:line="400" w:lineRule="exact"/>
              <w:rPr>
                <w:rFonts w:ascii="仿宋" w:hAnsi="仿宋" w:eastAsia="仿宋" w:cs="仿宋"/>
                <w:color w:val="auto"/>
                <w:kern w:val="0"/>
                <w:sz w:val="24"/>
              </w:rPr>
            </w:pPr>
            <w:r>
              <w:rPr>
                <w:rFonts w:hint="eastAsia" w:ascii="仿宋" w:hAnsi="仿宋" w:eastAsia="仿宋" w:cs="仿宋"/>
                <w:color w:val="auto"/>
                <w:kern w:val="0"/>
                <w:sz w:val="24"/>
              </w:rPr>
              <w:t>新疆乌鲁木齐市沙依巴克区长江路76号兴乐世贸广场29楼 第1会议室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9</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开标时间、开标地点</w:t>
            </w:r>
          </w:p>
        </w:tc>
        <w:tc>
          <w:tcPr>
            <w:tcW w:w="7076" w:type="dxa"/>
            <w:vAlign w:val="center"/>
          </w:tcPr>
          <w:p>
            <w:pPr>
              <w:shd w:val="clear" w:color="auto" w:fill="FFFFFF"/>
              <w:autoSpaceDE w:val="0"/>
              <w:autoSpaceDN w:val="0"/>
              <w:spacing w:line="400" w:lineRule="exact"/>
              <w:rPr>
                <w:rFonts w:ascii="仿宋" w:hAnsi="仿宋" w:eastAsia="仿宋" w:cs="仿宋"/>
                <w:color w:val="auto"/>
                <w:sz w:val="24"/>
              </w:rPr>
            </w:pPr>
            <w:r>
              <w:rPr>
                <w:rFonts w:hint="eastAsia" w:ascii="仿宋" w:hAnsi="仿宋" w:eastAsia="仿宋" w:cs="仿宋"/>
                <w:color w:val="auto"/>
                <w:sz w:val="24"/>
              </w:rPr>
              <w:t>开标时间：2022年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rPr>
              <w:t>日 11:00时（北京时间）</w:t>
            </w:r>
          </w:p>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开标地点：新疆乌鲁木齐市沙依巴克区长江路76号兴乐世贸广场29楼 第1会议室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10</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评标办法</w:t>
            </w:r>
          </w:p>
        </w:tc>
        <w:tc>
          <w:tcPr>
            <w:tcW w:w="7076" w:type="dxa"/>
            <w:vAlign w:val="center"/>
          </w:tcPr>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11</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投标保证金</w:t>
            </w:r>
          </w:p>
        </w:tc>
        <w:tc>
          <w:tcPr>
            <w:tcW w:w="7076" w:type="dxa"/>
            <w:vAlign w:val="center"/>
          </w:tcPr>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金额：</w:t>
            </w:r>
            <w:r>
              <w:rPr>
                <w:rFonts w:hint="eastAsia" w:ascii="仿宋" w:hAnsi="仿宋" w:eastAsia="仿宋" w:cs="仿宋"/>
                <w:bCs/>
                <w:color w:val="auto"/>
                <w:kern w:val="0"/>
                <w:sz w:val="24"/>
                <w:szCs w:val="24"/>
                <w:lang w:val="en-US" w:eastAsia="zh-CN"/>
              </w:rPr>
              <w:t>48000</w:t>
            </w:r>
            <w:r>
              <w:rPr>
                <w:rFonts w:hint="eastAsia" w:ascii="仿宋" w:hAnsi="仿宋" w:eastAsia="仿宋" w:cs="仿宋"/>
                <w:bCs/>
                <w:color w:val="auto"/>
                <w:kern w:val="0"/>
                <w:sz w:val="24"/>
                <w:szCs w:val="24"/>
              </w:rPr>
              <w:t>元（</w:t>
            </w:r>
            <w:r>
              <w:rPr>
                <w:rFonts w:hint="eastAsia" w:ascii="仿宋" w:hAnsi="仿宋" w:eastAsia="仿宋" w:cs="仿宋"/>
                <w:bCs/>
                <w:color w:val="auto"/>
                <w:kern w:val="0"/>
                <w:sz w:val="24"/>
                <w:szCs w:val="24"/>
                <w:lang w:val="en-US" w:eastAsia="zh-CN"/>
              </w:rPr>
              <w:t>肆万捌仟</w:t>
            </w:r>
            <w:r>
              <w:rPr>
                <w:rFonts w:hint="eastAsia" w:ascii="仿宋" w:hAnsi="仿宋" w:eastAsia="仿宋" w:cs="仿宋"/>
                <w:bCs/>
                <w:color w:val="auto"/>
                <w:kern w:val="0"/>
                <w:sz w:val="24"/>
                <w:szCs w:val="24"/>
              </w:rPr>
              <w:t>元整）</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供应商应于</w:t>
            </w:r>
            <w:r>
              <w:rPr>
                <w:rFonts w:hint="eastAsia" w:ascii="仿宋" w:hAnsi="仿宋" w:eastAsia="仿宋" w:cs="仿宋"/>
                <w:color w:val="auto"/>
                <w:sz w:val="24"/>
              </w:rPr>
              <w:t>2022年</w:t>
            </w:r>
            <w:r>
              <w:rPr>
                <w:rFonts w:hint="eastAsia" w:ascii="仿宋" w:hAnsi="仿宋" w:eastAsia="仿宋" w:cs="仿宋"/>
                <w:color w:val="auto"/>
                <w:sz w:val="24"/>
                <w:lang w:val="en-US" w:eastAsia="zh-CN"/>
              </w:rPr>
              <w:t>10</w:t>
            </w:r>
            <w:r>
              <w:rPr>
                <w:rFonts w:hint="eastAsia" w:ascii="仿宋" w:hAnsi="仿宋" w:eastAsia="仿宋" w:cs="仿宋"/>
                <w:color w:val="auto"/>
                <w:sz w:val="24"/>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rPr>
              <w:t>日 11:00时</w:t>
            </w:r>
            <w:r>
              <w:rPr>
                <w:rFonts w:hint="eastAsia" w:ascii="仿宋" w:hAnsi="仿宋" w:eastAsia="仿宋" w:cs="仿宋"/>
                <w:bCs/>
                <w:color w:val="auto"/>
                <w:kern w:val="0"/>
                <w:sz w:val="24"/>
                <w:szCs w:val="24"/>
              </w:rPr>
              <w:t>（北京时间）前，将投标保证金由供应商账户缴纳至采购代理机构指定账户，本标不接受银行保函形式的投标保证金。投标保证金应采用人民币，以非现金形式的电汇、网银支付方式由供应商的账户汇出(个体工商户除外)提交。</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账户名称：新疆品创项目管理咨询有限公司</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开户行名称：中国银行股份有限公司乌鲁木齐市安居南路支行</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账号：107685372797</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行号：104881005046</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企业税号：91650105MA7912X843</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注：1、如果发现供应商有围标、串标行为，其投标无效，且投标保证金将被没收，不予退还；</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2、投标保证金未按规定时间缴纳或提交金额不足的，将被视为无效投标,其投标文件将不予接受。供应商应充分考虑资金在途时间；</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
                <w:color w:val="auto"/>
                <w:kern w:val="0"/>
                <w:sz w:val="24"/>
                <w:szCs w:val="24"/>
              </w:rPr>
              <w:t>3、供应商缴纳投标保证金时，须备注“二部PCGK</w:t>
            </w:r>
            <w:r>
              <w:rPr>
                <w:rFonts w:hint="eastAsia" w:ascii="仿宋" w:hAnsi="仿宋" w:eastAsia="仿宋" w:cs="仿宋"/>
                <w:b/>
                <w:color w:val="auto"/>
                <w:kern w:val="0"/>
                <w:sz w:val="24"/>
                <w:szCs w:val="24"/>
                <w:lang w:val="en-US" w:eastAsia="zh-CN"/>
              </w:rPr>
              <w:t>120</w:t>
            </w:r>
            <w:r>
              <w:rPr>
                <w:rFonts w:hint="eastAsia" w:ascii="仿宋" w:hAnsi="仿宋" w:eastAsia="仿宋" w:cs="仿宋"/>
                <w:b/>
                <w:color w:val="auto"/>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12</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投标文件密封标识及要求</w:t>
            </w:r>
          </w:p>
        </w:tc>
        <w:tc>
          <w:tcPr>
            <w:tcW w:w="7076" w:type="dxa"/>
            <w:vAlign w:val="center"/>
          </w:tcPr>
          <w:p>
            <w:pPr>
              <w:pStyle w:val="707"/>
              <w:autoSpaceDE w:val="0"/>
              <w:autoSpaceDN w:val="0"/>
              <w:adjustRightInd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纸质版投标文件封面/纸质版投标文件密封袋封面/电子版投标文件密封袋封面/《开标一览表》密封袋封面均应按照以下内容标识并加盖供应商法人公章、法定代表人印章。“正本”、“副本”如有不一致时，以“正本”为准。投标文件正本与副本须分开密封装订（并须在外封套及封皮注明“正本”、“副本”字样）：</w:t>
            </w:r>
          </w:p>
          <w:p>
            <w:pPr>
              <w:pStyle w:val="707"/>
              <w:autoSpaceDE w:val="0"/>
              <w:autoSpaceDN w:val="0"/>
              <w:adjustRightInd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（1）采购代理机构：新疆品创项目管理咨询有限公司</w:t>
            </w:r>
          </w:p>
          <w:p>
            <w:pPr>
              <w:pStyle w:val="707"/>
              <w:autoSpaceDE w:val="0"/>
              <w:autoSpaceDN w:val="0"/>
              <w:adjustRightInd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（2）项目名称：</w:t>
            </w:r>
          </w:p>
          <w:p>
            <w:pPr>
              <w:pStyle w:val="707"/>
              <w:autoSpaceDE w:val="0"/>
              <w:autoSpaceDN w:val="0"/>
              <w:adjustRightInd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（3）项目编号：</w:t>
            </w:r>
          </w:p>
          <w:p>
            <w:pPr>
              <w:pStyle w:val="707"/>
              <w:autoSpaceDE w:val="0"/>
              <w:autoSpaceDN w:val="0"/>
              <w:adjustRightInd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（4）供应商名称、地址、授权代表姓名、联系电话：</w:t>
            </w:r>
          </w:p>
          <w:p>
            <w:pPr>
              <w:pStyle w:val="707"/>
              <w:autoSpaceDE w:val="0"/>
              <w:autoSpaceDN w:val="0"/>
              <w:adjustRightInd w:val="0"/>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（5）注明“开标时间前不准启封” 、“正本”、“副本”、“电子投标文件”、“开标一览表”字样。</w:t>
            </w:r>
          </w:p>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b/>
                <w:color w:val="auto"/>
                <w:kern w:val="0"/>
                <w:sz w:val="24"/>
              </w:rPr>
              <w:t>供应商未按上述要求提供投标文件的，将导致投标无效。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13</w:t>
            </w:r>
          </w:p>
        </w:tc>
        <w:tc>
          <w:tcPr>
            <w:tcW w:w="1993" w:type="dxa"/>
            <w:vAlign w:val="center"/>
          </w:tcPr>
          <w:p>
            <w:pPr>
              <w:pStyle w:val="84"/>
              <w:shd w:val="clear" w:color="auto" w:fill="FFFFFF"/>
              <w:spacing w:line="40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对采购文件的质疑</w:t>
            </w:r>
          </w:p>
        </w:tc>
        <w:tc>
          <w:tcPr>
            <w:tcW w:w="7076" w:type="dxa"/>
            <w:vAlign w:val="center"/>
          </w:tcPr>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供应商如需对采购文件内容质疑，须按以下要求提出：</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①接受对采购文件提出质疑的截止时间：2022年</w:t>
            </w:r>
            <w:r>
              <w:rPr>
                <w:rFonts w:hint="eastAsia" w:ascii="仿宋" w:hAnsi="仿宋" w:eastAsia="仿宋" w:cs="仿宋"/>
                <w:bCs/>
                <w:color w:val="auto"/>
                <w:kern w:val="0"/>
                <w:sz w:val="24"/>
                <w:szCs w:val="24"/>
                <w:lang w:val="en-US" w:eastAsia="zh-CN"/>
              </w:rPr>
              <w:t>10</w:t>
            </w:r>
            <w:r>
              <w:rPr>
                <w:rFonts w:hint="eastAsia" w:ascii="仿宋" w:hAnsi="仿宋" w:eastAsia="仿宋" w:cs="仿宋"/>
                <w:bCs/>
                <w:color w:val="auto"/>
                <w:kern w:val="0"/>
                <w:sz w:val="24"/>
                <w:szCs w:val="24"/>
              </w:rPr>
              <w:t>月</w:t>
            </w:r>
            <w:r>
              <w:rPr>
                <w:rFonts w:hint="eastAsia" w:ascii="仿宋" w:hAnsi="仿宋" w:eastAsia="仿宋" w:cs="仿宋"/>
                <w:bCs/>
                <w:color w:val="auto"/>
                <w:kern w:val="0"/>
                <w:sz w:val="24"/>
                <w:szCs w:val="24"/>
                <w:lang w:val="en-US" w:eastAsia="zh-CN"/>
              </w:rPr>
              <w:t>07</w:t>
            </w:r>
            <w:r>
              <w:rPr>
                <w:rFonts w:hint="eastAsia" w:ascii="仿宋" w:hAnsi="仿宋" w:eastAsia="仿宋" w:cs="仿宋"/>
                <w:bCs/>
                <w:color w:val="auto"/>
                <w:kern w:val="0"/>
                <w:sz w:val="24"/>
                <w:szCs w:val="24"/>
              </w:rPr>
              <w:t>日16:00时（逾期不予受理），供应商应在法定质疑期内一次性提出所有质疑内容。</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②质疑函应以书面形式（按照财政部94号令要求）通知采购代理机构。采购代理机构将在收到质疑函后7个工作日内作出答复，并以书面形式通知质疑供应商和其他有关供应商。</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③联系部门：新疆品创项目管理咨询有限公司 业务二部</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④联系电话：0991-5221699</w:t>
            </w:r>
          </w:p>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rPr>
              <w:t>⑤通讯地址：新疆乌鲁木齐市沙依巴克区长江路76号兴乐世贸广场29楼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14</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履约保证金</w:t>
            </w:r>
          </w:p>
        </w:tc>
        <w:tc>
          <w:tcPr>
            <w:tcW w:w="7076" w:type="dxa"/>
            <w:vAlign w:val="center"/>
          </w:tcPr>
          <w:p>
            <w:pPr>
              <w:pStyle w:val="84"/>
              <w:shd w:val="clear" w:color="auto" w:fill="FFFFFF"/>
              <w:spacing w:line="40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996" w:type="dxa"/>
            <w:vMerge w:val="restart"/>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15</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rPr>
              <w:t xml:space="preserve">交货期      </w:t>
            </w:r>
            <w:r>
              <w:rPr>
                <w:rFonts w:hint="eastAsia" w:ascii="仿宋" w:hAnsi="仿宋" w:eastAsia="仿宋" w:cs="仿宋"/>
                <w:b/>
                <w:color w:val="auto"/>
                <w:kern w:val="0"/>
                <w:sz w:val="24"/>
              </w:rPr>
              <w:t>（实质性条款）</w:t>
            </w:r>
          </w:p>
        </w:tc>
        <w:tc>
          <w:tcPr>
            <w:tcW w:w="7076" w:type="dxa"/>
            <w:vAlign w:val="center"/>
          </w:tcPr>
          <w:p>
            <w:pPr>
              <w:spacing w:line="400" w:lineRule="exact"/>
              <w:rPr>
                <w:rFonts w:ascii="仿宋" w:hAnsi="仿宋" w:eastAsia="仿宋" w:cs="仿宋"/>
                <w:color w:val="auto"/>
                <w:sz w:val="24"/>
              </w:rPr>
            </w:pPr>
            <w:r>
              <w:rPr>
                <w:rFonts w:hint="eastAsia" w:ascii="仿宋" w:hAnsi="仿宋" w:eastAsia="仿宋" w:cs="仿宋"/>
                <w:color w:val="auto"/>
                <w:sz w:val="24"/>
              </w:rPr>
              <w:t>合同签订后</w:t>
            </w:r>
            <w:r>
              <w:rPr>
                <w:rFonts w:hint="eastAsia" w:ascii="仿宋" w:hAnsi="仿宋" w:eastAsia="仿宋" w:cs="仿宋"/>
                <w:color w:val="auto"/>
                <w:sz w:val="24"/>
                <w:lang w:val="en-US" w:eastAsia="zh-CN"/>
              </w:rPr>
              <w:t>30</w:t>
            </w:r>
            <w:r>
              <w:rPr>
                <w:rFonts w:hint="eastAsia" w:ascii="仿宋" w:hAnsi="仿宋" w:eastAsia="仿宋" w:cs="仿宋"/>
                <w:color w:val="auto"/>
                <w:sz w:val="24"/>
              </w:rPr>
              <w:t>日内全部货物到买方指定地点并安装调试完毕。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6" w:type="dxa"/>
            <w:vMerge w:val="continue"/>
            <w:vAlign w:val="center"/>
          </w:tcPr>
          <w:p>
            <w:pPr>
              <w:shd w:val="clear" w:color="auto" w:fill="FFFFFF"/>
              <w:autoSpaceDE w:val="0"/>
              <w:autoSpaceDN w:val="0"/>
              <w:spacing w:line="400" w:lineRule="exact"/>
              <w:jc w:val="center"/>
              <w:rPr>
                <w:rFonts w:ascii="仿宋" w:hAnsi="仿宋" w:eastAsia="仿宋" w:cs="仿宋"/>
                <w:color w:val="auto"/>
                <w:kern w:val="0"/>
                <w:sz w:val="24"/>
              </w:rPr>
            </w:pPr>
          </w:p>
        </w:tc>
        <w:tc>
          <w:tcPr>
            <w:tcW w:w="1993" w:type="dxa"/>
            <w:vAlign w:val="center"/>
          </w:tcPr>
          <w:p>
            <w:pPr>
              <w:pStyle w:val="84"/>
              <w:shd w:val="clear" w:color="auto" w:fill="FFFFFF"/>
              <w:spacing w:line="40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交货地点</w:t>
            </w:r>
          </w:p>
          <w:p>
            <w:pPr>
              <w:pStyle w:val="84"/>
              <w:shd w:val="clear" w:color="auto" w:fill="FFFFFF"/>
              <w:spacing w:line="40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
                <w:color w:val="auto"/>
                <w:kern w:val="0"/>
                <w:sz w:val="24"/>
                <w:szCs w:val="24"/>
              </w:rPr>
              <w:t>（实质性条款）</w:t>
            </w:r>
          </w:p>
        </w:tc>
        <w:tc>
          <w:tcPr>
            <w:tcW w:w="7076" w:type="dxa"/>
            <w:vAlign w:val="center"/>
          </w:tcPr>
          <w:p>
            <w:pPr>
              <w:pStyle w:val="84"/>
              <w:shd w:val="clear" w:color="auto" w:fill="FFFFFF"/>
              <w:spacing w:line="400" w:lineRule="exact"/>
              <w:ind w:firstLine="0" w:firstLineChars="0"/>
              <w:rPr>
                <w:rFonts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采购单位</w:t>
            </w:r>
            <w:r>
              <w:rPr>
                <w:rFonts w:hint="eastAsia" w:ascii="仿宋" w:hAnsi="仿宋" w:eastAsia="仿宋" w:cs="仿宋"/>
                <w:bCs/>
                <w:color w:val="auto"/>
                <w:kern w:val="0"/>
                <w:sz w:val="24"/>
                <w:szCs w:val="24"/>
              </w:rPr>
              <w:t>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16</w:t>
            </w:r>
          </w:p>
        </w:tc>
        <w:tc>
          <w:tcPr>
            <w:tcW w:w="1993" w:type="dxa"/>
            <w:vAlign w:val="center"/>
          </w:tcPr>
          <w:p>
            <w:pPr>
              <w:pStyle w:val="84"/>
              <w:shd w:val="clear" w:color="auto" w:fill="FFFFFF"/>
              <w:spacing w:line="400" w:lineRule="exact"/>
              <w:ind w:firstLine="0" w:firstLineChars="0"/>
              <w:jc w:val="center"/>
              <w:rPr>
                <w:rFonts w:ascii="仿宋" w:hAnsi="仿宋" w:eastAsia="仿宋" w:cs="仿宋"/>
                <w:b/>
                <w:bCs/>
                <w:color w:val="auto"/>
                <w:sz w:val="24"/>
              </w:rPr>
            </w:pPr>
            <w:r>
              <w:rPr>
                <w:rFonts w:hint="eastAsia" w:ascii="仿宋" w:hAnsi="仿宋" w:eastAsia="仿宋" w:cs="仿宋"/>
                <w:bCs/>
                <w:color w:val="auto"/>
                <w:kern w:val="0"/>
                <w:sz w:val="24"/>
                <w:szCs w:val="24"/>
              </w:rPr>
              <w:t>付款方式</w:t>
            </w:r>
            <w:r>
              <w:rPr>
                <w:rFonts w:hint="eastAsia" w:ascii="仿宋" w:hAnsi="仿宋" w:eastAsia="仿宋" w:cs="仿宋"/>
                <w:b/>
                <w:bCs/>
                <w:color w:val="auto"/>
                <w:sz w:val="24"/>
              </w:rPr>
              <w:t>（</w:t>
            </w:r>
          </w:p>
          <w:p>
            <w:pPr>
              <w:pStyle w:val="84"/>
              <w:shd w:val="clear" w:color="auto" w:fill="FFFFFF"/>
              <w:spacing w:line="400" w:lineRule="exact"/>
              <w:ind w:firstLine="0" w:firstLineChars="0"/>
              <w:jc w:val="center"/>
              <w:rPr>
                <w:rFonts w:ascii="仿宋" w:hAnsi="仿宋" w:eastAsia="仿宋" w:cs="仿宋"/>
                <w:bCs/>
                <w:color w:val="auto"/>
                <w:kern w:val="0"/>
                <w:sz w:val="24"/>
                <w:szCs w:val="24"/>
              </w:rPr>
            </w:pPr>
            <w:r>
              <w:rPr>
                <w:rFonts w:hint="eastAsia" w:ascii="仿宋" w:hAnsi="仿宋" w:eastAsia="仿宋" w:cs="仿宋"/>
                <w:b/>
                <w:bCs/>
                <w:color w:val="auto"/>
                <w:sz w:val="24"/>
              </w:rPr>
              <w:t>实质性条款）</w:t>
            </w:r>
          </w:p>
        </w:tc>
        <w:tc>
          <w:tcPr>
            <w:tcW w:w="7076" w:type="dxa"/>
            <w:vAlign w:val="center"/>
          </w:tcPr>
          <w:p>
            <w:pPr>
              <w:pStyle w:val="84"/>
              <w:shd w:val="clear" w:color="auto" w:fill="FFFFFF"/>
              <w:spacing w:line="360" w:lineRule="exact"/>
              <w:ind w:firstLine="0" w:firstLineChars="0"/>
              <w:rPr>
                <w:rFonts w:ascii="仿宋" w:hAnsi="仿宋" w:eastAsia="仿宋" w:cs="仿宋"/>
                <w:color w:val="auto"/>
                <w:sz w:val="24"/>
              </w:rPr>
            </w:pPr>
            <w:r>
              <w:rPr>
                <w:rFonts w:hint="eastAsia" w:ascii="仿宋" w:hAnsi="仿宋" w:eastAsia="仿宋"/>
                <w:color w:val="auto"/>
                <w:kern w:val="2"/>
                <w:sz w:val="24"/>
                <w:szCs w:val="22"/>
                <w:lang w:val="en-US" w:eastAsia="zh-CN"/>
              </w:rPr>
              <w:t>车辆验收合格后</w:t>
            </w:r>
            <w:r>
              <w:rPr>
                <w:rFonts w:hint="eastAsia" w:ascii="仿宋" w:hAnsi="仿宋" w:eastAsia="仿宋" w:cs="仿宋"/>
                <w:color w:val="auto"/>
                <w:sz w:val="24"/>
              </w:rPr>
              <w:t>买方支付给卖方合同价格</w:t>
            </w:r>
            <w:r>
              <w:rPr>
                <w:rFonts w:hint="eastAsia" w:ascii="仿宋" w:hAnsi="仿宋" w:eastAsia="仿宋" w:cs="仿宋"/>
                <w:color w:val="auto"/>
                <w:sz w:val="24"/>
                <w:lang w:val="en-US" w:eastAsia="zh-CN"/>
              </w:rPr>
              <w:t>90</w:t>
            </w:r>
            <w:r>
              <w:rPr>
                <w:rFonts w:hint="eastAsia" w:ascii="仿宋" w:hAnsi="仿宋" w:eastAsia="仿宋" w:cs="仿宋"/>
                <w:color w:val="auto"/>
                <w:sz w:val="24"/>
              </w:rPr>
              <w:t>％</w:t>
            </w:r>
            <w:r>
              <w:rPr>
                <w:rFonts w:hint="eastAsia" w:ascii="仿宋" w:hAnsi="仿宋" w:eastAsia="仿宋" w:cs="仿宋"/>
                <w:color w:val="auto"/>
                <w:sz w:val="24"/>
                <w:lang w:val="en-US" w:eastAsia="zh-CN"/>
              </w:rPr>
              <w:t>款项</w:t>
            </w:r>
            <w:r>
              <w:rPr>
                <w:rFonts w:hint="eastAsia" w:ascii="仿宋" w:hAnsi="仿宋" w:eastAsia="仿宋" w:cs="仿宋"/>
                <w:color w:val="auto"/>
                <w:sz w:val="24"/>
                <w:lang w:eastAsia="zh-CN"/>
              </w:rPr>
              <w:t>，</w:t>
            </w:r>
            <w:r>
              <w:rPr>
                <w:rFonts w:hint="eastAsia" w:ascii="仿宋" w:hAnsi="仿宋" w:eastAsia="仿宋" w:cs="仿宋"/>
                <w:color w:val="auto"/>
                <w:kern w:val="2"/>
                <w:sz w:val="24"/>
                <w:szCs w:val="22"/>
                <w:lang w:val="en-US" w:eastAsia="zh-CN" w:bidi="ar-SA"/>
              </w:rPr>
              <w:t>待项目审计结束付剩余10%</w:t>
            </w:r>
            <w:r>
              <w:rPr>
                <w:rFonts w:hint="eastAsia" w:ascii="仿宋" w:hAnsi="仿宋" w:eastAsia="仿宋" w:cs="仿宋"/>
                <w:color w:val="auto"/>
                <w:sz w:val="24"/>
                <w:lang w:val="en-US" w:eastAsia="zh-CN"/>
              </w:rPr>
              <w:t>款项</w:t>
            </w:r>
            <w:r>
              <w:rPr>
                <w:rFonts w:hint="eastAsia" w:ascii="仿宋" w:hAnsi="仿宋" w:eastAsia="仿宋" w:cs="仿宋"/>
                <w:color w:val="auto"/>
                <w:kern w:val="2"/>
                <w:sz w:val="24"/>
                <w:szCs w:val="22"/>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17</w:t>
            </w:r>
          </w:p>
        </w:tc>
        <w:tc>
          <w:tcPr>
            <w:tcW w:w="1993" w:type="dxa"/>
            <w:vAlign w:val="center"/>
          </w:tcPr>
          <w:p>
            <w:pPr>
              <w:shd w:val="clear" w:color="auto" w:fill="FFFFFF"/>
              <w:autoSpaceDE w:val="0"/>
              <w:autoSpaceDN w:val="0"/>
              <w:spacing w:line="400" w:lineRule="exact"/>
              <w:jc w:val="center"/>
              <w:rPr>
                <w:rFonts w:ascii="仿宋" w:hAnsi="仿宋" w:eastAsia="仿宋" w:cs="仿宋"/>
                <w:bCs/>
                <w:color w:val="auto"/>
                <w:kern w:val="0"/>
                <w:sz w:val="24"/>
              </w:rPr>
            </w:pPr>
            <w:r>
              <w:rPr>
                <w:rFonts w:hint="eastAsia" w:ascii="仿宋" w:hAnsi="仿宋" w:eastAsia="仿宋" w:cs="仿宋"/>
                <w:bCs/>
                <w:color w:val="auto"/>
                <w:kern w:val="0"/>
                <w:sz w:val="24"/>
                <w:lang w:val="en-US" w:eastAsia="zh-CN"/>
              </w:rPr>
              <w:t>保修期</w:t>
            </w:r>
            <w:r>
              <w:rPr>
                <w:rFonts w:hint="eastAsia" w:ascii="仿宋" w:hAnsi="仿宋" w:eastAsia="仿宋" w:cs="仿宋"/>
                <w:bCs/>
                <w:color w:val="auto"/>
                <w:kern w:val="0"/>
                <w:sz w:val="24"/>
              </w:rPr>
              <w:t xml:space="preserve"> </w:t>
            </w:r>
            <w:r>
              <w:rPr>
                <w:rFonts w:hint="eastAsia" w:ascii="仿宋" w:hAnsi="仿宋" w:eastAsia="仿宋" w:cs="仿宋"/>
                <w:b/>
                <w:bCs/>
                <w:color w:val="auto"/>
                <w:sz w:val="24"/>
              </w:rPr>
              <w:t>（实质性条款）</w:t>
            </w:r>
          </w:p>
        </w:tc>
        <w:tc>
          <w:tcPr>
            <w:tcW w:w="7076" w:type="dxa"/>
            <w:vAlign w:val="center"/>
          </w:tcPr>
          <w:p>
            <w:pPr>
              <w:pStyle w:val="84"/>
              <w:shd w:val="clear" w:color="auto" w:fill="FFFFFF"/>
              <w:spacing w:line="40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lang w:val="en-US" w:eastAsia="zh-CN"/>
              </w:rPr>
              <w:t>全部</w:t>
            </w:r>
            <w:r>
              <w:rPr>
                <w:rFonts w:hint="eastAsia" w:ascii="仿宋" w:hAnsi="仿宋" w:eastAsia="仿宋" w:cs="仿宋"/>
                <w:color w:val="auto"/>
                <w:sz w:val="24"/>
                <w:szCs w:val="24"/>
              </w:rPr>
              <w:t>设备验收合格后免费</w:t>
            </w:r>
            <w:r>
              <w:rPr>
                <w:rFonts w:hint="eastAsia" w:ascii="仿宋" w:hAnsi="仿宋" w:eastAsia="仿宋" w:cs="仿宋"/>
                <w:color w:val="auto"/>
                <w:sz w:val="24"/>
                <w:szCs w:val="24"/>
                <w:lang w:val="en-US" w:eastAsia="zh-CN"/>
              </w:rPr>
              <w:t>保修</w:t>
            </w:r>
            <w:r>
              <w:rPr>
                <w:rFonts w:hint="eastAsia" w:ascii="仿宋" w:hAnsi="仿宋" w:eastAsia="仿宋" w:cs="仿宋"/>
                <w:color w:val="auto"/>
                <w:sz w:val="24"/>
                <w:szCs w:val="24"/>
              </w:rPr>
              <w:t>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18</w:t>
            </w:r>
          </w:p>
        </w:tc>
        <w:tc>
          <w:tcPr>
            <w:tcW w:w="1993" w:type="dxa"/>
            <w:vAlign w:val="center"/>
          </w:tcPr>
          <w:p>
            <w:pPr>
              <w:shd w:val="clear" w:color="auto" w:fill="FFFFFF"/>
              <w:autoSpaceDE w:val="0"/>
              <w:autoSpaceDN w:val="0"/>
              <w:spacing w:line="400" w:lineRule="exact"/>
              <w:rPr>
                <w:rFonts w:ascii="仿宋" w:hAnsi="仿宋" w:eastAsia="仿宋" w:cs="仿宋"/>
                <w:bCs/>
                <w:color w:val="auto"/>
                <w:kern w:val="0"/>
                <w:sz w:val="24"/>
              </w:rPr>
            </w:pPr>
            <w:r>
              <w:rPr>
                <w:rFonts w:hint="eastAsia" w:ascii="仿宋" w:hAnsi="仿宋" w:eastAsia="仿宋" w:cs="仿宋"/>
                <w:color w:val="auto"/>
                <w:kern w:val="1"/>
                <w:sz w:val="24"/>
              </w:rPr>
              <w:t>政府采购政策</w:t>
            </w:r>
          </w:p>
        </w:tc>
        <w:tc>
          <w:tcPr>
            <w:tcW w:w="7076" w:type="dxa"/>
            <w:vAlign w:val="center"/>
          </w:tcPr>
          <w:p>
            <w:pPr>
              <w:pStyle w:val="710"/>
              <w:adjustRightInd w:val="0"/>
              <w:snapToGrid w:val="0"/>
              <w:rPr>
                <w:rFonts w:ascii="仿宋" w:hAnsi="仿宋" w:eastAsia="仿宋"/>
                <w:bCs/>
                <w:color w:val="auto"/>
                <w:sz w:val="24"/>
                <w:szCs w:val="22"/>
              </w:rPr>
            </w:pPr>
            <w:r>
              <w:rPr>
                <w:rFonts w:hint="eastAsia" w:ascii="仿宋" w:hAnsi="仿宋" w:eastAsia="仿宋"/>
                <w:bCs/>
                <w:color w:val="auto"/>
                <w:sz w:val="24"/>
                <w:szCs w:val="22"/>
              </w:rPr>
              <w:t>本项目不专门面向中小企业预留采购份额。根据工信部等部委发布的《关于印发中小企业划型标准规定的通知》（工信部联企业〔</w:t>
            </w:r>
            <w:r>
              <w:rPr>
                <w:rFonts w:ascii="仿宋" w:hAnsi="仿宋" w:eastAsia="仿宋"/>
                <w:bCs/>
                <w:color w:val="auto"/>
                <w:sz w:val="24"/>
                <w:szCs w:val="22"/>
              </w:rPr>
              <w:t>2011〕300号）</w:t>
            </w:r>
            <w:r>
              <w:rPr>
                <w:rFonts w:hint="eastAsia" w:ascii="仿宋" w:hAnsi="仿宋" w:eastAsia="仿宋"/>
                <w:bCs/>
                <w:color w:val="auto"/>
                <w:sz w:val="24"/>
                <w:szCs w:val="22"/>
              </w:rPr>
              <w:t>；</w:t>
            </w:r>
            <w:r>
              <w:rPr>
                <w:rFonts w:ascii="仿宋" w:hAnsi="仿宋" w:eastAsia="仿宋"/>
                <w:bCs/>
                <w:color w:val="auto"/>
                <w:sz w:val="24"/>
                <w:szCs w:val="22"/>
              </w:rPr>
              <w:t>财政部、工业和信息化部《政府采购促进中小企业发展管理办法》（财库[2020]46号文）</w:t>
            </w:r>
            <w:r>
              <w:rPr>
                <w:rFonts w:hint="eastAsia" w:ascii="仿宋" w:hAnsi="仿宋" w:eastAsia="仿宋"/>
                <w:bCs/>
                <w:color w:val="auto"/>
                <w:sz w:val="24"/>
                <w:szCs w:val="22"/>
              </w:rPr>
              <w:t>；</w:t>
            </w:r>
            <w:r>
              <w:rPr>
                <w:rFonts w:ascii="仿宋" w:hAnsi="仿宋" w:eastAsia="仿宋"/>
                <w:bCs/>
                <w:color w:val="auto"/>
                <w:sz w:val="24"/>
                <w:szCs w:val="22"/>
              </w:rPr>
              <w:t>财政部《关于进一步加大政府采购支持中小企业力度的通知》（财库〔2022〕19号）</w:t>
            </w:r>
            <w:r>
              <w:rPr>
                <w:rFonts w:hint="eastAsia" w:ascii="仿宋" w:hAnsi="仿宋" w:eastAsia="仿宋"/>
                <w:bCs/>
                <w:color w:val="auto"/>
                <w:sz w:val="24"/>
                <w:szCs w:val="22"/>
              </w:rPr>
              <w:t>；</w:t>
            </w:r>
            <w:r>
              <w:rPr>
                <w:rFonts w:hint="eastAsia" w:ascii="仿宋" w:hAnsi="仿宋" w:eastAsia="仿宋" w:cs="宋体"/>
                <w:bCs/>
                <w:color w:val="auto"/>
                <w:sz w:val="24"/>
              </w:rPr>
              <w:t>新疆维吾尔自治区财政厅、新疆生产建设兵团财政局</w:t>
            </w:r>
            <w:r>
              <w:rPr>
                <w:rFonts w:ascii="仿宋" w:hAnsi="仿宋" w:eastAsia="仿宋" w:cs="宋体"/>
                <w:bCs/>
                <w:color w:val="auto"/>
                <w:sz w:val="24"/>
              </w:rPr>
              <w:t>《</w:t>
            </w:r>
            <w:r>
              <w:rPr>
                <w:rFonts w:hint="eastAsia" w:ascii="仿宋" w:hAnsi="仿宋" w:eastAsia="仿宋" w:cs="宋体"/>
                <w:bCs/>
                <w:color w:val="auto"/>
                <w:sz w:val="24"/>
              </w:rPr>
              <w:t>关于落实好政府采购支持中小企业发展的通知</w:t>
            </w:r>
            <w:r>
              <w:rPr>
                <w:rFonts w:ascii="仿宋" w:hAnsi="仿宋" w:eastAsia="仿宋" w:cs="宋体"/>
                <w:bCs/>
                <w:color w:val="auto"/>
                <w:sz w:val="24"/>
              </w:rPr>
              <w:t>》（</w:t>
            </w:r>
            <w:r>
              <w:rPr>
                <w:rFonts w:hint="eastAsia" w:ascii="仿宋" w:hAnsi="仿宋" w:eastAsia="仿宋" w:cs="宋体"/>
                <w:bCs/>
                <w:color w:val="auto"/>
                <w:sz w:val="24"/>
              </w:rPr>
              <w:t>新财购〔</w:t>
            </w:r>
            <w:r>
              <w:rPr>
                <w:rFonts w:ascii="仿宋" w:hAnsi="仿宋" w:eastAsia="仿宋" w:cs="宋体"/>
                <w:bCs/>
                <w:color w:val="auto"/>
                <w:sz w:val="24"/>
              </w:rPr>
              <w:t>2022〕22号</w:t>
            </w:r>
            <w:r>
              <w:rPr>
                <w:rFonts w:hint="eastAsia" w:ascii="仿宋" w:hAnsi="仿宋" w:eastAsia="仿宋" w:cs="宋体"/>
                <w:bCs/>
                <w:color w:val="auto"/>
                <w:sz w:val="24"/>
              </w:rPr>
              <w:t>文</w:t>
            </w:r>
            <w:r>
              <w:rPr>
                <w:rFonts w:ascii="仿宋" w:hAnsi="仿宋" w:eastAsia="仿宋" w:cs="宋体"/>
                <w:bCs/>
                <w:color w:val="auto"/>
                <w:sz w:val="24"/>
              </w:rPr>
              <w:t>）</w:t>
            </w:r>
            <w:r>
              <w:rPr>
                <w:rFonts w:ascii="仿宋" w:hAnsi="仿宋" w:eastAsia="仿宋"/>
                <w:bCs/>
                <w:color w:val="auto"/>
                <w:sz w:val="24"/>
                <w:szCs w:val="22"/>
              </w:rPr>
              <w:t>规定，本次采购标的所属行业为</w:t>
            </w:r>
            <w:r>
              <w:rPr>
                <w:rFonts w:ascii="仿宋" w:hAnsi="仿宋" w:eastAsia="仿宋"/>
                <w:b/>
                <w:bCs/>
                <w:color w:val="auto"/>
                <w:sz w:val="24"/>
                <w:szCs w:val="22"/>
                <w:u w:val="single"/>
              </w:rPr>
              <w:t>工业（制造业）</w:t>
            </w:r>
            <w:r>
              <w:rPr>
                <w:rFonts w:ascii="仿宋" w:hAnsi="仿宋" w:eastAsia="仿宋"/>
                <w:bCs/>
                <w:color w:val="auto"/>
                <w:sz w:val="24"/>
                <w:szCs w:val="22"/>
              </w:rPr>
              <w:t>，符合以下条件的中小微型企业应按照</w:t>
            </w:r>
            <w:r>
              <w:rPr>
                <w:rFonts w:hint="eastAsia" w:ascii="仿宋" w:hAnsi="仿宋" w:eastAsia="仿宋"/>
                <w:bCs/>
                <w:color w:val="auto"/>
                <w:sz w:val="24"/>
                <w:szCs w:val="22"/>
              </w:rPr>
              <w:t>采购</w:t>
            </w:r>
            <w:r>
              <w:rPr>
                <w:rFonts w:ascii="仿宋" w:hAnsi="仿宋" w:eastAsia="仿宋"/>
                <w:bCs/>
                <w:color w:val="auto"/>
                <w:sz w:val="24"/>
                <w:szCs w:val="22"/>
              </w:rPr>
              <w:t>文件格式要求提供《中小企业声明函》。</w:t>
            </w:r>
          </w:p>
          <w:p>
            <w:pPr>
              <w:pStyle w:val="710"/>
              <w:adjustRightInd w:val="0"/>
              <w:snapToGrid w:val="0"/>
              <w:rPr>
                <w:rFonts w:ascii="仿宋" w:hAnsi="仿宋" w:eastAsia="仿宋"/>
                <w:bCs/>
                <w:color w:val="auto"/>
                <w:sz w:val="24"/>
                <w:szCs w:val="22"/>
              </w:rPr>
            </w:pPr>
            <w:r>
              <w:rPr>
                <w:rFonts w:hint="eastAsia" w:ascii="仿宋" w:hAnsi="仿宋" w:eastAsia="仿宋"/>
                <w:bCs/>
                <w:color w:val="auto"/>
                <w:sz w:val="24"/>
                <w:szCs w:val="22"/>
              </w:rPr>
              <w:t>（</w:t>
            </w:r>
            <w:r>
              <w:rPr>
                <w:rFonts w:ascii="仿宋" w:hAnsi="仿宋" w:eastAsia="仿宋"/>
                <w:bCs/>
                <w:color w:val="auto"/>
                <w:sz w:val="24"/>
                <w:szCs w:val="22"/>
              </w:rPr>
              <w:t>1）本文件所称中小企业是指</w:t>
            </w:r>
            <w:r>
              <w:rPr>
                <w:rFonts w:hint="eastAsia" w:ascii="仿宋" w:hAnsi="仿宋" w:eastAsia="仿宋"/>
                <w:bCs/>
                <w:color w:val="auto"/>
                <w:sz w:val="24"/>
                <w:szCs w:val="22"/>
              </w:rPr>
              <w:t>：</w:t>
            </w:r>
            <w:r>
              <w:rPr>
                <w:rFonts w:ascii="仿宋" w:hAnsi="仿宋" w:eastAsia="仿宋"/>
                <w:bCs/>
                <w:color w:val="auto"/>
                <w:sz w:val="24"/>
                <w:szCs w:val="22"/>
              </w:rPr>
              <w:t>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10"/>
              <w:adjustRightInd w:val="0"/>
              <w:snapToGrid w:val="0"/>
              <w:rPr>
                <w:rFonts w:ascii="仿宋" w:hAnsi="仿宋" w:eastAsia="仿宋"/>
                <w:bCs/>
                <w:color w:val="auto"/>
                <w:sz w:val="24"/>
                <w:szCs w:val="22"/>
              </w:rPr>
            </w:pPr>
            <w:r>
              <w:rPr>
                <w:rFonts w:hint="eastAsia" w:ascii="仿宋" w:hAnsi="仿宋" w:eastAsia="仿宋"/>
                <w:bCs/>
                <w:color w:val="auto"/>
                <w:sz w:val="24"/>
                <w:szCs w:val="22"/>
              </w:rPr>
              <w:t>（</w:t>
            </w:r>
            <w:r>
              <w:rPr>
                <w:rFonts w:ascii="仿宋" w:hAnsi="仿宋" w:eastAsia="仿宋"/>
                <w:bCs/>
                <w:color w:val="auto"/>
                <w:sz w:val="24"/>
                <w:szCs w:val="22"/>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pStyle w:val="710"/>
              <w:adjustRightInd w:val="0"/>
              <w:snapToGrid w:val="0"/>
              <w:rPr>
                <w:rFonts w:ascii="仿宋" w:hAnsi="仿宋" w:eastAsia="仿宋"/>
                <w:bCs/>
                <w:color w:val="auto"/>
                <w:sz w:val="24"/>
                <w:szCs w:val="22"/>
              </w:rPr>
            </w:pPr>
            <w:r>
              <w:rPr>
                <w:rFonts w:hint="eastAsia" w:ascii="仿宋" w:hAnsi="仿宋" w:eastAsia="仿宋"/>
                <w:bCs/>
                <w:color w:val="auto"/>
                <w:sz w:val="24"/>
                <w:szCs w:val="22"/>
              </w:rPr>
              <w:t>（</w:t>
            </w:r>
            <w:r>
              <w:rPr>
                <w:rFonts w:ascii="仿宋" w:hAnsi="仿宋" w:eastAsia="仿宋"/>
                <w:bCs/>
                <w:color w:val="auto"/>
                <w:sz w:val="24"/>
                <w:szCs w:val="22"/>
              </w:rPr>
              <w:t>3）根据上述文件规定，对满足上述（1）（2）两项条件的小微企业的投标总报价给予</w:t>
            </w:r>
            <w:r>
              <w:rPr>
                <w:rFonts w:hint="eastAsia" w:ascii="仿宋" w:hAnsi="仿宋" w:eastAsia="仿宋"/>
                <w:bCs/>
                <w:color w:val="auto"/>
                <w:sz w:val="24"/>
                <w:szCs w:val="22"/>
              </w:rPr>
              <w:t>10</w:t>
            </w:r>
            <w:r>
              <w:rPr>
                <w:rFonts w:ascii="仿宋" w:hAnsi="仿宋" w:eastAsia="仿宋"/>
                <w:bCs/>
                <w:color w:val="auto"/>
                <w:sz w:val="24"/>
                <w:szCs w:val="22"/>
              </w:rPr>
              <w:t>%的扣除，用扣除后的价格参与评审。</w:t>
            </w:r>
          </w:p>
          <w:p>
            <w:pPr>
              <w:pStyle w:val="710"/>
              <w:adjustRightInd w:val="0"/>
              <w:snapToGrid w:val="0"/>
              <w:rPr>
                <w:rFonts w:hint="eastAsia" w:ascii="仿宋" w:hAnsi="仿宋" w:eastAsia="仿宋"/>
                <w:bCs/>
                <w:color w:val="auto"/>
                <w:sz w:val="24"/>
                <w:szCs w:val="22"/>
              </w:rPr>
            </w:pPr>
            <w:r>
              <w:rPr>
                <w:rFonts w:hint="eastAsia" w:ascii="仿宋" w:hAnsi="仿宋" w:eastAsia="仿宋"/>
                <w:bCs/>
                <w:color w:val="auto"/>
                <w:sz w:val="24"/>
                <w:szCs w:val="22"/>
              </w:rPr>
              <w:t>（</w:t>
            </w:r>
            <w:r>
              <w:rPr>
                <w:rFonts w:ascii="仿宋" w:hAnsi="仿宋" w:eastAsia="仿宋"/>
                <w:bCs/>
                <w:color w:val="auto"/>
                <w:sz w:val="24"/>
                <w:szCs w:val="22"/>
              </w:rPr>
              <w:t>4）依据本办法规定享受扶持政策获得政府采购合同的，小微企业不得将合同分包给大中型企业，中型企业不得将合同分包给大型企业。</w:t>
            </w:r>
          </w:p>
          <w:p>
            <w:pPr>
              <w:pStyle w:val="710"/>
              <w:adjustRightInd w:val="0"/>
              <w:snapToGrid w:val="0"/>
              <w:rPr>
                <w:rFonts w:ascii="仿宋" w:hAnsi="仿宋" w:eastAsia="仿宋"/>
                <w:bCs/>
                <w:color w:val="auto"/>
                <w:sz w:val="24"/>
                <w:szCs w:val="22"/>
              </w:rPr>
            </w:pPr>
            <w:r>
              <w:rPr>
                <w:rFonts w:hint="eastAsia" w:ascii="仿宋" w:hAnsi="仿宋" w:eastAsia="仿宋"/>
                <w:bCs/>
                <w:color w:val="auto"/>
                <w:sz w:val="24"/>
                <w:szCs w:val="22"/>
              </w:rPr>
              <w:t>（5</w:t>
            </w:r>
            <w:r>
              <w:rPr>
                <w:rFonts w:ascii="仿宋" w:hAnsi="仿宋" w:eastAsia="仿宋"/>
                <w:bCs/>
                <w:color w:val="auto"/>
                <w:sz w:val="24"/>
                <w:szCs w:val="22"/>
              </w:rPr>
              <w:t>）</w:t>
            </w:r>
            <w:r>
              <w:rPr>
                <w:rFonts w:hint="eastAsia" w:ascii="仿宋" w:hAnsi="仿宋" w:eastAsia="仿宋"/>
                <w:bCs/>
                <w:color w:val="auto"/>
                <w:sz w:val="24"/>
                <w:szCs w:val="22"/>
              </w:rPr>
              <w:t>根据中华人民共和国</w:t>
            </w:r>
            <w:bookmarkStart w:id="7" w:name="_GoBack"/>
            <w:bookmarkEnd w:id="7"/>
            <w:r>
              <w:rPr>
                <w:rFonts w:hint="eastAsia" w:ascii="仿宋" w:hAnsi="仿宋" w:eastAsia="仿宋"/>
                <w:bCs/>
                <w:color w:val="auto"/>
                <w:sz w:val="24"/>
                <w:szCs w:val="22"/>
              </w:rPr>
              <w:t>财政部、中华人民共和国民政部、中国残疾人联合会《关于促进残疾人就业政府采购政策的通知》（（财库〔</w:t>
            </w:r>
            <w:r>
              <w:rPr>
                <w:rFonts w:ascii="仿宋" w:hAnsi="仿宋" w:eastAsia="仿宋"/>
                <w:bCs/>
                <w:color w:val="auto"/>
                <w:sz w:val="24"/>
                <w:szCs w:val="22"/>
              </w:rPr>
              <w:t>2017〕141号）文件的规定：残疾人福利性单位视同小型、微型企业。</w:t>
            </w:r>
          </w:p>
          <w:p>
            <w:pPr>
              <w:spacing w:line="400" w:lineRule="exact"/>
              <w:rPr>
                <w:rFonts w:ascii="仿宋" w:hAnsi="仿宋" w:eastAsia="仿宋" w:cs="仿宋"/>
                <w:color w:val="auto"/>
                <w:kern w:val="1"/>
                <w:sz w:val="24"/>
              </w:rPr>
            </w:pPr>
            <w:r>
              <w:rPr>
                <w:rFonts w:hint="eastAsia" w:ascii="仿宋" w:hAnsi="仿宋" w:eastAsia="仿宋"/>
                <w:bCs/>
                <w:color w:val="auto"/>
                <w:sz w:val="24"/>
                <w:szCs w:val="22"/>
              </w:rPr>
              <w:t>（6</w:t>
            </w:r>
            <w:r>
              <w:rPr>
                <w:rFonts w:ascii="仿宋" w:hAnsi="仿宋" w:eastAsia="仿宋"/>
                <w:bCs/>
                <w:color w:val="auto"/>
                <w:sz w:val="24"/>
                <w:szCs w:val="22"/>
              </w:rPr>
              <w:t>）</w:t>
            </w:r>
            <w:r>
              <w:rPr>
                <w:rFonts w:hint="eastAsia" w:ascii="仿宋" w:hAnsi="仿宋" w:eastAsia="仿宋"/>
                <w:bCs/>
                <w:color w:val="auto"/>
                <w:sz w:val="24"/>
                <w:szCs w:val="22"/>
              </w:rPr>
              <w:t>根据财政部、司法部《关于政府采购支持监狱企业发展有关问题的通知》</w:t>
            </w:r>
            <w:r>
              <w:rPr>
                <w:rFonts w:ascii="仿宋" w:hAnsi="仿宋" w:eastAsia="仿宋"/>
                <w:bCs/>
                <w:color w:val="auto"/>
                <w:sz w:val="24"/>
                <w:szCs w:val="22"/>
              </w:rPr>
              <w:t>(财库【2014】68号)文件的规定：在政府采购活动中，监狱企业视同小型、微型企业</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lang w:eastAsia="zh-CN"/>
              </w:rPr>
              <w:t>（</w:t>
            </w:r>
            <w:r>
              <w:rPr>
                <w:rFonts w:hint="eastAsia" w:ascii="仿宋" w:hAnsi="仿宋" w:eastAsia="仿宋" w:cs="仿宋"/>
                <w:color w:val="auto"/>
                <w:kern w:val="1"/>
                <w:sz w:val="24"/>
                <w:lang w:val="en-US" w:eastAsia="zh-CN"/>
              </w:rPr>
              <w:t>7</w:t>
            </w:r>
            <w:r>
              <w:rPr>
                <w:rFonts w:hint="eastAsia" w:ascii="仿宋" w:hAnsi="仿宋" w:eastAsia="仿宋" w:cs="仿宋"/>
                <w:color w:val="auto"/>
                <w:kern w:val="1"/>
                <w:sz w:val="24"/>
                <w:lang w:eastAsia="zh-CN"/>
              </w:rPr>
              <w:t>）</w:t>
            </w:r>
            <w:r>
              <w:rPr>
                <w:rFonts w:hint="eastAsia" w:ascii="仿宋" w:hAnsi="仿宋" w:eastAsia="仿宋" w:cs="仿宋"/>
                <w:color w:val="auto"/>
                <w:kern w:val="1"/>
                <w:sz w:val="24"/>
              </w:rPr>
              <w:t>节能、环境标志产品评审优惠内容及加分幅度：</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严格执行《财政部 发展改革委 生态环境部 市场监管总局关于调整优化节能产品、环境标志产品政府采购执行机制的通知》（财库〔2019〕9 号）。</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w:t>
            </w:r>
            <w:r>
              <w:rPr>
                <w:rFonts w:hint="eastAsia" w:ascii="仿宋" w:hAnsi="仿宋" w:eastAsia="仿宋" w:cs="仿宋"/>
                <w:color w:val="auto"/>
                <w:kern w:val="1"/>
                <w:sz w:val="24"/>
                <w:lang w:val="en-US" w:eastAsia="zh-CN"/>
              </w:rPr>
              <w:t>8</w:t>
            </w:r>
            <w:r>
              <w:rPr>
                <w:rFonts w:hint="eastAsia" w:ascii="仿宋" w:hAnsi="仿宋" w:eastAsia="仿宋" w:cs="仿宋"/>
                <w:color w:val="auto"/>
                <w:kern w:val="1"/>
                <w:sz w:val="24"/>
              </w:rPr>
              <w:t>）本次采购产品属于政府强制采购产品类别的，须按照要求提供依据国家确定的认证机构出具的、处于有效期之内的节能产品认证证书，</w:t>
            </w:r>
            <w:r>
              <w:rPr>
                <w:rFonts w:hint="eastAsia" w:ascii="仿宋" w:hAnsi="仿宋" w:eastAsia="仿宋" w:cs="仿宋"/>
                <w:b/>
                <w:bCs/>
                <w:color w:val="auto"/>
                <w:kern w:val="1"/>
                <w:sz w:val="24"/>
              </w:rPr>
              <w:t>否则投标无效</w:t>
            </w:r>
            <w:r>
              <w:rPr>
                <w:rFonts w:hint="eastAsia" w:ascii="仿宋" w:hAnsi="仿宋" w:eastAsia="仿宋" w:cs="仿宋"/>
                <w:color w:val="auto"/>
                <w:kern w:val="1"/>
                <w:sz w:val="24"/>
              </w:rPr>
              <w:t>。</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w:t>
            </w:r>
            <w:r>
              <w:rPr>
                <w:rFonts w:hint="eastAsia" w:ascii="仿宋" w:hAnsi="仿宋" w:eastAsia="仿宋" w:cs="仿宋"/>
                <w:color w:val="auto"/>
                <w:kern w:val="1"/>
                <w:sz w:val="24"/>
                <w:lang w:val="en-US" w:eastAsia="zh-CN"/>
              </w:rPr>
              <w:t>9</w:t>
            </w:r>
            <w:r>
              <w:rPr>
                <w:rFonts w:hint="eastAsia" w:ascii="仿宋" w:hAnsi="仿宋" w:eastAsia="仿宋" w:cs="仿宋"/>
                <w:color w:val="auto"/>
                <w:kern w:val="1"/>
                <w:sz w:val="24"/>
              </w:rPr>
              <w:t>）属于政府优先采购产品类别的，须按照要求提供依据国家确定的认证机构出具的、处于有效期之内的节能产品或环境标志产品认证证书，否则不予认定。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19</w:t>
            </w:r>
          </w:p>
        </w:tc>
        <w:tc>
          <w:tcPr>
            <w:tcW w:w="1993" w:type="dxa"/>
            <w:vAlign w:val="center"/>
          </w:tcPr>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其他说明</w:t>
            </w:r>
          </w:p>
        </w:tc>
        <w:tc>
          <w:tcPr>
            <w:tcW w:w="7076" w:type="dxa"/>
            <w:vAlign w:val="center"/>
          </w:tcPr>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19.1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400" w:lineRule="exact"/>
              <w:rPr>
                <w:rFonts w:ascii="仿宋" w:hAnsi="仿宋" w:eastAsia="仿宋" w:cs="仿宋"/>
                <w:b/>
                <w:color w:val="auto"/>
                <w:kern w:val="1"/>
                <w:sz w:val="24"/>
              </w:rPr>
            </w:pPr>
            <w:r>
              <w:rPr>
                <w:rFonts w:hint="eastAsia" w:ascii="仿宋" w:hAnsi="仿宋" w:eastAsia="仿宋" w:cs="仿宋"/>
                <w:color w:val="auto"/>
                <w:kern w:val="1"/>
                <w:sz w:val="24"/>
              </w:rPr>
              <w:t>19.2非单一产品采购项目，采购人应当根据采购项目技术构成、产品价格比重等合理确定核心产品，并在招标文件中载明。多家供应商提供的核心产品品牌相同的，按前款规定处理。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20</w:t>
            </w:r>
          </w:p>
        </w:tc>
        <w:tc>
          <w:tcPr>
            <w:tcW w:w="1993" w:type="dxa"/>
            <w:vAlign w:val="center"/>
          </w:tcPr>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公证费</w:t>
            </w:r>
          </w:p>
        </w:tc>
        <w:tc>
          <w:tcPr>
            <w:tcW w:w="7076" w:type="dxa"/>
            <w:vAlign w:val="center"/>
          </w:tcPr>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金额： 500元，由中标单位支付。</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公证单位：新疆维吾尔自治区乌鲁木齐西域公证处</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联系人：张燕    联系电话：18199162089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21</w:t>
            </w:r>
          </w:p>
        </w:tc>
        <w:tc>
          <w:tcPr>
            <w:tcW w:w="1993" w:type="dxa"/>
            <w:vAlign w:val="center"/>
          </w:tcPr>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招标代理服务费</w:t>
            </w:r>
          </w:p>
        </w:tc>
        <w:tc>
          <w:tcPr>
            <w:tcW w:w="7076" w:type="dxa"/>
            <w:vAlign w:val="center"/>
          </w:tcPr>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交纳时间：中标单位在《中标通知书》核发前交纳。</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交纳金额：参照《国家纪委关于印发招标代理服务收费管理暂行办法的通知》（计价格[2002]1980号）文件之规定下浮30%收取 。</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账户名称：新疆品创项目管理咨询有限公司</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开户行名称：中国银行股份有限公司乌鲁木齐市安居南路支行</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账号：107685372797</w:t>
            </w:r>
          </w:p>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行号：104881005046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996" w:type="dxa"/>
            <w:vAlign w:val="center"/>
          </w:tcPr>
          <w:p>
            <w:pPr>
              <w:shd w:val="clear" w:color="auto" w:fill="FFFFFF"/>
              <w:autoSpaceDE w:val="0"/>
              <w:autoSpaceDN w:val="0"/>
              <w:spacing w:line="400" w:lineRule="exact"/>
              <w:jc w:val="center"/>
              <w:rPr>
                <w:rFonts w:ascii="仿宋" w:hAnsi="仿宋" w:eastAsia="仿宋" w:cs="仿宋"/>
                <w:color w:val="auto"/>
                <w:kern w:val="0"/>
                <w:sz w:val="24"/>
              </w:rPr>
            </w:pPr>
            <w:r>
              <w:rPr>
                <w:rFonts w:hint="eastAsia" w:ascii="仿宋" w:hAnsi="仿宋" w:eastAsia="仿宋" w:cs="仿宋"/>
                <w:color w:val="auto"/>
                <w:kern w:val="0"/>
                <w:sz w:val="24"/>
              </w:rPr>
              <w:t>22</w:t>
            </w:r>
          </w:p>
        </w:tc>
        <w:tc>
          <w:tcPr>
            <w:tcW w:w="9069" w:type="dxa"/>
            <w:gridSpan w:val="2"/>
            <w:vAlign w:val="center"/>
          </w:tcPr>
          <w:p>
            <w:pPr>
              <w:spacing w:line="400" w:lineRule="exact"/>
              <w:rPr>
                <w:rFonts w:ascii="仿宋" w:hAnsi="仿宋" w:eastAsia="仿宋" w:cs="仿宋"/>
                <w:color w:val="auto"/>
                <w:kern w:val="1"/>
                <w:sz w:val="24"/>
              </w:rPr>
            </w:pPr>
            <w:r>
              <w:rPr>
                <w:rFonts w:hint="eastAsia" w:ascii="仿宋" w:hAnsi="仿宋" w:eastAsia="仿宋" w:cs="仿宋"/>
                <w:color w:val="auto"/>
                <w:kern w:val="1"/>
                <w:sz w:val="24"/>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bl>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shd w:val="clear" w:color="auto" w:fill="FFFFFF"/>
        <w:autoSpaceDE w:val="0"/>
        <w:autoSpaceDN w:val="0"/>
        <w:adjustRightInd w:val="0"/>
        <w:spacing w:line="400" w:lineRule="exact"/>
        <w:jc w:val="center"/>
        <w:rPr>
          <w:rFonts w:ascii="仿宋" w:hAnsi="仿宋" w:eastAsia="仿宋" w:cs="仿宋"/>
          <w:b/>
          <w:bCs/>
          <w:color w:val="auto"/>
          <w:kern w:val="0"/>
          <w:sz w:val="24"/>
        </w:rPr>
      </w:pPr>
      <w:r>
        <w:rPr>
          <w:rFonts w:hint="eastAsia" w:ascii="仿宋" w:hAnsi="仿宋" w:eastAsia="仿宋" w:cs="仿宋"/>
          <w:b/>
          <w:bCs/>
          <w:color w:val="auto"/>
          <w:kern w:val="0"/>
          <w:sz w:val="24"/>
        </w:rPr>
        <w:t>二、投标须知</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（一）总则</w:t>
      </w:r>
    </w:p>
    <w:p>
      <w:pPr>
        <w:shd w:val="clear" w:color="auto" w:fill="FFFFFF"/>
        <w:spacing w:line="4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1. 项目说明</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 本项目的说明详见投标须知前附表（以下简称“前附表”）第1项所述。</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1.2本招标项目已经批准，已具备招标条件，现对该项目进行公开招标。</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1.3</w:t>
      </w:r>
      <w:r>
        <w:rPr>
          <w:rFonts w:hint="eastAsia" w:ascii="仿宋" w:hAnsi="仿宋" w:eastAsia="仿宋" w:cs="仿宋"/>
          <w:color w:val="auto"/>
          <w:sz w:val="24"/>
        </w:rPr>
        <w:t>本招标项目供应商的资格审查采取资格后审方式。本次招标不接受联合体投标、不接受备选方案。</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1.4 资格后审包括下列的内容</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1.4.1 供应商满足“前附表”第4项规定的资格要求 ；</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1.4.2采购文件有要求供应商法定代表人或其授权代表签字或盖章和加盖供应商公章要求的，供应商须按采购文件要求签署；</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1.4.3交货期符合采购文件要求；</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1.4.4交货地点符合采购文件规定；</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1.4.5投标内容、数量、质量、服务等满足采购文件要求；</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1.4.6符合采购文件中规定的其他实质性要求；</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1.4.7无法律、法规和规章禁止的其他情况。</w:t>
      </w:r>
    </w:p>
    <w:p>
      <w:pPr>
        <w:shd w:val="clear" w:color="auto" w:fill="FFFFFF"/>
        <w:spacing w:line="4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2. 招标范围</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2.1本招标项目招标范围</w:t>
      </w:r>
      <w:r>
        <w:rPr>
          <w:rFonts w:hint="eastAsia" w:ascii="仿宋" w:hAnsi="仿宋" w:eastAsia="仿宋" w:cs="仿宋"/>
          <w:color w:val="auto"/>
          <w:kern w:val="0"/>
          <w:sz w:val="24"/>
        </w:rPr>
        <w:t>已通过“前附表”第1项</w:t>
      </w:r>
      <w:r>
        <w:rPr>
          <w:rFonts w:hint="eastAsia" w:ascii="仿宋" w:hAnsi="仿宋" w:eastAsia="仿宋" w:cs="仿宋"/>
          <w:color w:val="auto"/>
          <w:sz w:val="24"/>
        </w:rPr>
        <w:t>采购内容</w:t>
      </w:r>
      <w:r>
        <w:rPr>
          <w:rFonts w:hint="eastAsia" w:ascii="仿宋" w:hAnsi="仿宋" w:eastAsia="仿宋" w:cs="仿宋"/>
          <w:color w:val="auto"/>
          <w:kern w:val="0"/>
          <w:sz w:val="24"/>
        </w:rPr>
        <w:t>所述，</w:t>
      </w:r>
      <w:r>
        <w:rPr>
          <w:rFonts w:hint="eastAsia" w:ascii="仿宋" w:hAnsi="仿宋" w:eastAsia="仿宋" w:cs="仿宋"/>
          <w:color w:val="auto"/>
          <w:sz w:val="24"/>
        </w:rPr>
        <w:t>指本项目采购文件中范围内所要求的所有工作内容。</w:t>
      </w:r>
    </w:p>
    <w:p>
      <w:pPr>
        <w:shd w:val="clear" w:color="auto" w:fill="FFFFFF"/>
        <w:spacing w:line="4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3. 适用法律及约束力</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3.1 本次招标及由本次招标产生的合同受中华人民共和国的相关法律、法规制约和保护。供应商一旦购买了采购文件并参加本项目，即被认为接受了采购文件中的所有条件和规定。</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3.2供应商应保证，在中华人民共和国境内使用投标成果、服务或其任何一部分时，不会产生因第三方提出侵犯其专利权或其它知识产权而引起的法律和经济纠纷。</w:t>
      </w:r>
    </w:p>
    <w:p>
      <w:pPr>
        <w:shd w:val="clear" w:color="auto" w:fill="FFFFFF"/>
        <w:spacing w:line="4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4. 招标项目实施要求</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4.1质量标准已通过“前附表”第3项所述，本招标项目的质量等级标准为</w:t>
      </w:r>
      <w:r>
        <w:rPr>
          <w:rFonts w:hint="eastAsia" w:ascii="仿宋" w:hAnsi="仿宋" w:eastAsia="仿宋" w:cs="仿宋"/>
          <w:bCs/>
          <w:color w:val="auto"/>
          <w:kern w:val="0"/>
          <w:sz w:val="24"/>
        </w:rPr>
        <w:t>合格（通过采购人及有关部门组织的项目验收）</w:t>
      </w:r>
      <w:r>
        <w:rPr>
          <w:rFonts w:hint="eastAsia" w:ascii="仿宋" w:hAnsi="仿宋" w:eastAsia="仿宋" w:cs="仿宋"/>
          <w:color w:val="auto"/>
          <w:kern w:val="0"/>
          <w:sz w:val="24"/>
        </w:rPr>
        <w:t>。</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4.2 供应方与采购人签订合同后，按照采购文件及合同相关的要求编制现场服务计划。</w:t>
      </w:r>
    </w:p>
    <w:p>
      <w:pPr>
        <w:shd w:val="clear" w:color="auto" w:fill="FFFFFF"/>
        <w:spacing w:line="4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5. 交货期及交货地点</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5.1 交货期已</w:t>
      </w:r>
      <w:r>
        <w:rPr>
          <w:rFonts w:hint="eastAsia" w:ascii="仿宋" w:hAnsi="仿宋" w:eastAsia="仿宋" w:cs="仿宋"/>
          <w:color w:val="auto"/>
          <w:kern w:val="0"/>
          <w:sz w:val="24"/>
        </w:rPr>
        <w:t>通过“前附表”第15项所述，</w:t>
      </w:r>
      <w:r>
        <w:rPr>
          <w:rFonts w:hint="eastAsia" w:ascii="仿宋" w:hAnsi="仿宋" w:eastAsia="仿宋" w:cs="仿宋"/>
          <w:color w:val="auto"/>
          <w:sz w:val="24"/>
        </w:rPr>
        <w:t>是指完成本项目采购内容及配套服务工作、验收合格并移交采购人的时间；交货地点已</w:t>
      </w:r>
      <w:r>
        <w:rPr>
          <w:rFonts w:hint="eastAsia" w:ascii="仿宋" w:hAnsi="仿宋" w:eastAsia="仿宋" w:cs="仿宋"/>
          <w:color w:val="auto"/>
          <w:kern w:val="0"/>
          <w:sz w:val="24"/>
        </w:rPr>
        <w:t>通过“前附表”第15项所述</w:t>
      </w:r>
      <w:r>
        <w:rPr>
          <w:rFonts w:hint="eastAsia" w:ascii="仿宋" w:hAnsi="仿宋" w:eastAsia="仿宋" w:cs="仿宋"/>
          <w:color w:val="auto"/>
          <w:sz w:val="24"/>
        </w:rPr>
        <w:t>。</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6. 资金来源</w:t>
      </w:r>
    </w:p>
    <w:p>
      <w:pPr>
        <w:shd w:val="clear" w:color="auto" w:fill="FFFFFF"/>
        <w:spacing w:line="400" w:lineRule="exact"/>
        <w:ind w:firstLine="480" w:firstLineChars="200"/>
        <w:rPr>
          <w:rFonts w:ascii="仿宋" w:hAnsi="仿宋" w:eastAsia="仿宋" w:cs="仿宋"/>
          <w:b/>
          <w:bCs/>
          <w:color w:val="auto"/>
          <w:kern w:val="0"/>
          <w:sz w:val="24"/>
        </w:rPr>
      </w:pPr>
      <w:r>
        <w:rPr>
          <w:rFonts w:hint="eastAsia" w:ascii="仿宋" w:hAnsi="仿宋" w:eastAsia="仿宋" w:cs="仿宋"/>
          <w:bCs/>
          <w:color w:val="auto"/>
          <w:kern w:val="0"/>
          <w:sz w:val="24"/>
        </w:rPr>
        <w:t>6.1</w:t>
      </w:r>
      <w:r>
        <w:rPr>
          <w:rFonts w:hint="eastAsia" w:ascii="仿宋" w:hAnsi="仿宋" w:eastAsia="仿宋" w:cs="仿宋"/>
          <w:color w:val="auto"/>
          <w:kern w:val="0"/>
          <w:sz w:val="24"/>
        </w:rPr>
        <w:t>采购单位的资金通过“前附表”第 1 项所述的方式获得，并将部分资金用于本项目合同下的合格支付。</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7. 供应商资格要求</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供应商资格要求须满足“前附表”第4项要求。</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 xml:space="preserve">8. </w:t>
      </w:r>
      <w:r>
        <w:rPr>
          <w:rFonts w:hint="eastAsia" w:ascii="仿宋" w:hAnsi="仿宋" w:eastAsia="仿宋" w:cs="仿宋"/>
          <w:b/>
          <w:bCs/>
          <w:color w:val="auto"/>
          <w:kern w:val="0"/>
          <w:sz w:val="24"/>
        </w:rPr>
        <w:t>投标费用</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供应商应承担其编制投标文件与递交投标文件所涉及的一切费用，不论投标结果如何，采购人或采购代理机构均无义务和责任承担这些费用。</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9. 授权委托</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9.1 供应商代表为法定代表人的，须持有法定代表人资格证明书和法定代表人身份证；供应商代表不是供应商的法定代表人的，须持有法定代表人授权委托书和授权代表人的本人身份证。</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10. 联合体投标</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10.1投标须知前附表中接受联合体投标的，供应商可以联合体形式投标，否则联合体投标视为无效投标；接受联合体投标的，除应符合本章第7</w:t>
      </w:r>
      <w:r>
        <w:rPr>
          <w:rFonts w:hint="eastAsia" w:ascii="仿宋" w:hAnsi="仿宋" w:eastAsia="仿宋" w:cs="仿宋"/>
          <w:bCs/>
          <w:color w:val="auto"/>
          <w:kern w:val="0"/>
          <w:sz w:val="24"/>
          <w:lang w:val="zh-CN"/>
        </w:rPr>
        <w:t>款</w:t>
      </w:r>
      <w:r>
        <w:rPr>
          <w:rFonts w:hint="eastAsia" w:ascii="仿宋" w:hAnsi="仿宋" w:eastAsia="仿宋" w:cs="仿宋"/>
          <w:bCs/>
          <w:color w:val="auto"/>
          <w:kern w:val="0"/>
          <w:sz w:val="24"/>
        </w:rPr>
        <w:t xml:space="preserve">规定外，还应遵守以下规定： </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（l）联合体各方应按采购文件提供的格式签订</w:t>
      </w:r>
      <w:r>
        <w:rPr>
          <w:rFonts w:hint="eastAsia" w:ascii="仿宋" w:hAnsi="仿宋" w:eastAsia="仿宋" w:cs="仿宋"/>
          <w:bCs/>
          <w:color w:val="auto"/>
          <w:kern w:val="0"/>
          <w:sz w:val="24"/>
          <w:u w:val="single"/>
        </w:rPr>
        <w:t>联合体协议</w:t>
      </w:r>
      <w:r>
        <w:rPr>
          <w:rFonts w:hint="eastAsia" w:ascii="仿宋" w:hAnsi="仿宋" w:eastAsia="仿宋" w:cs="仿宋"/>
          <w:bCs/>
          <w:color w:val="auto"/>
          <w:kern w:val="0"/>
          <w:sz w:val="24"/>
        </w:rPr>
        <w:t>，明确联合体牵头人和各方的权利义务、合同工作量比例；</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（2）联合体各方签订联合体协议书后，不得再单独参加或者与其他供应商组成新的联合体参加同一项目的采购活动。</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11.信用信息查询</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11.1查询渠道：“信用中国”网站（www.creditchina.gov.cn）、中国政府采购网（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69"/>
          <w:rFonts w:hint="eastAsia" w:ascii="仿宋" w:hAnsi="仿宋" w:eastAsia="仿宋" w:cs="仿宋"/>
          <w:bCs/>
          <w:color w:val="auto"/>
          <w:kern w:val="0"/>
          <w:sz w:val="24"/>
        </w:rPr>
        <w:t>www.ccgp.gov.cn</w:t>
      </w:r>
      <w:r>
        <w:rPr>
          <w:rStyle w:val="69"/>
          <w:rFonts w:hint="eastAsia" w:ascii="仿宋" w:hAnsi="仿宋" w:eastAsia="仿宋" w:cs="仿宋"/>
          <w:bCs/>
          <w:color w:val="auto"/>
          <w:kern w:val="0"/>
          <w:sz w:val="24"/>
        </w:rPr>
        <w:fldChar w:fldCharType="end"/>
      </w:r>
      <w:r>
        <w:rPr>
          <w:rFonts w:hint="eastAsia" w:ascii="仿宋" w:hAnsi="仿宋" w:eastAsia="仿宋" w:cs="仿宋"/>
          <w:bCs/>
          <w:color w:val="auto"/>
          <w:kern w:val="0"/>
          <w:sz w:val="24"/>
        </w:rPr>
        <w:t>）。</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bCs/>
          <w:color w:val="auto"/>
          <w:kern w:val="0"/>
          <w:sz w:val="24"/>
        </w:rPr>
        <w:t>11.2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11.3信用信息查询由代理机构在开标后通过本须知11.1所述渠道进行网上查询，对存在本须知11.2所述情形的供应商，将对其查询结果的网页截图作为查询记录和证据留存。</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color w:val="auto"/>
          <w:sz w:val="24"/>
        </w:rPr>
        <w:t>11.4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（二）采购文件</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12. 采购文件的组成</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12.1 采购文件包括下列内容</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第一章 招标公告</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第二章 投标须知前附表及投标须知</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第三章 合同条款</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第四章 采购需求</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第五章 投标文件格式</w:t>
      </w:r>
    </w:p>
    <w:p>
      <w:pPr>
        <w:shd w:val="clear" w:color="auto" w:fill="FFFFFF"/>
        <w:autoSpaceDE w:val="0"/>
        <w:autoSpaceDN w:val="0"/>
        <w:adjustRightInd w:val="0"/>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 xml:space="preserve">12.2 </w:t>
      </w:r>
      <w:r>
        <w:rPr>
          <w:rFonts w:hint="eastAsia" w:ascii="仿宋" w:hAnsi="仿宋" w:eastAsia="仿宋" w:cs="仿宋"/>
          <w:b/>
          <w:bCs/>
          <w:color w:val="auto"/>
          <w:sz w:val="24"/>
          <w:lang w:val="zh-CN"/>
        </w:rPr>
        <w:t>招标的最小单位是包。采购文件未分包的，供应商须对全部招标内容投标，不得部分投标；采购文件分包的，供应商应当以包为单位编制并提交投标文件</w:t>
      </w:r>
      <w:r>
        <w:rPr>
          <w:rFonts w:hint="eastAsia" w:ascii="仿宋" w:hAnsi="仿宋" w:eastAsia="仿宋" w:cs="仿宋"/>
          <w:color w:val="auto"/>
          <w:sz w:val="24"/>
          <w:lang w:val="zh-CN"/>
        </w:rPr>
        <w:t>。</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sz w:val="24"/>
          <w:lang w:val="zh-CN"/>
        </w:rPr>
        <w:t>12.3 采购文件如果要求供应商提交备选投标方案的，供应商可以提交备选方案；否则，备选方案将被拒绝。</w:t>
      </w:r>
    </w:p>
    <w:p>
      <w:pPr>
        <w:shd w:val="clear" w:color="auto" w:fill="FFFFFF"/>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12.4 采购文件由本文件及由采购人按采购文件有关规定发出的采购文件补充构成。</w:t>
      </w:r>
    </w:p>
    <w:p>
      <w:pPr>
        <w:shd w:val="clear" w:color="auto" w:fill="FFFFFF"/>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12.5 采购文件的澄清、修改、招标答疑会纪要等书面材料在本招标项目中均称采购文件补充。</w:t>
      </w:r>
    </w:p>
    <w:p>
      <w:pPr>
        <w:shd w:val="clear" w:color="auto" w:fill="FFFFFF"/>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12.6 采购文件补充作为采购文件的组成部分，对供应商起同等约束作用。如果采购文件补充内容与在此采购文件补充发出之前的采购文件等书面材料中相关内容相冲突，请供应商执行采购文件补充的相关内容，先前发出的采购文件等书面材料中相关内容自动废止。</w:t>
      </w:r>
    </w:p>
    <w:p>
      <w:pPr>
        <w:shd w:val="clear" w:color="auto" w:fill="FFFFFF"/>
        <w:spacing w:line="400" w:lineRule="exact"/>
        <w:ind w:firstLine="480" w:firstLineChars="200"/>
        <w:rPr>
          <w:rFonts w:ascii="仿宋" w:hAnsi="仿宋" w:eastAsia="仿宋" w:cs="仿宋"/>
          <w:color w:val="auto"/>
          <w:sz w:val="24"/>
          <w:lang w:val="zh-CN"/>
        </w:rPr>
      </w:pPr>
      <w:r>
        <w:rPr>
          <w:rFonts w:hint="eastAsia" w:ascii="仿宋" w:hAnsi="仿宋" w:eastAsia="仿宋" w:cs="仿宋"/>
          <w:color w:val="auto"/>
          <w:sz w:val="24"/>
          <w:lang w:val="zh-CN"/>
        </w:rPr>
        <w:t>12.7 供应商应认真审阅和理解采购文件所有内容，尤其注意可能引起“否决投标”、“拒绝评审”、“无效投标”、“评审不予通过”等的条款，按照采购文件要求编制投标文件。任何对采购文件的忽略或误解不能作为投标文件存在缺陷或瑕疵的理由，其风险由供应商承担。</w:t>
      </w:r>
    </w:p>
    <w:p>
      <w:pPr>
        <w:shd w:val="clear" w:color="auto" w:fill="FFFFFF"/>
        <w:spacing w:line="400" w:lineRule="exact"/>
        <w:ind w:firstLine="482" w:firstLineChars="200"/>
        <w:rPr>
          <w:rFonts w:ascii="仿宋" w:hAnsi="仿宋" w:eastAsia="仿宋" w:cs="仿宋"/>
          <w:b/>
          <w:color w:val="auto"/>
          <w:sz w:val="24"/>
          <w:lang w:val="zh-CN"/>
        </w:rPr>
      </w:pPr>
      <w:r>
        <w:rPr>
          <w:rFonts w:hint="eastAsia" w:ascii="仿宋" w:hAnsi="仿宋" w:eastAsia="仿宋" w:cs="仿宋"/>
          <w:b/>
          <w:color w:val="auto"/>
          <w:sz w:val="24"/>
          <w:lang w:val="zh-CN"/>
        </w:rPr>
        <w:t>13. 采购文件的获取</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13.1采购文件的提供期限自开始发出之日起不得少于五个工作日。具体提供期限见</w:t>
      </w:r>
      <w:r>
        <w:rPr>
          <w:rFonts w:hint="eastAsia" w:ascii="仿宋" w:hAnsi="仿宋" w:eastAsia="仿宋" w:cs="仿宋"/>
          <w:b/>
          <w:color w:val="auto"/>
          <w:kern w:val="0"/>
          <w:sz w:val="24"/>
        </w:rPr>
        <w:t>招标公告</w:t>
      </w:r>
      <w:r>
        <w:rPr>
          <w:rFonts w:hint="eastAsia" w:ascii="仿宋" w:hAnsi="仿宋" w:eastAsia="仿宋" w:cs="仿宋"/>
          <w:color w:val="auto"/>
          <w:kern w:val="0"/>
          <w:sz w:val="24"/>
        </w:rPr>
        <w:t>。</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13.2凡符合资格要求并有意参加投标的供应商,</w:t>
      </w:r>
      <w:r>
        <w:rPr>
          <w:rFonts w:hint="eastAsia" w:ascii="仿宋" w:hAnsi="仿宋" w:eastAsia="仿宋" w:cs="仿宋"/>
          <w:color w:val="auto"/>
          <w:kern w:val="0"/>
          <w:sz w:val="24"/>
        </w:rPr>
        <w:t xml:space="preserve"> 须经采购代理机构报名审核通过后获取。</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14. 采购文件的澄清或修改</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供应商若对采购文件有任何疑问，应当在获取采购文件或者采购文件公告期限届满之日起7个工作日内提出。本项目接受对采购文件质疑的截止时间见“前附表”第13项，供应商须在截止时间前一次性提出对采购文件质疑内容。供应商提出质疑应当提交质疑函和必要的证明材料。质疑函应当包括下列内容：</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14.1.1供应商的姓名或者名称、地址、邮编、联系人及联系电话；</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14.1.2质疑项目的名称、编号；</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14.1.3具体、明确的质疑事项和与质疑事项相关的请求；</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14.1.4事实依据；</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14.1.5必要的法律依据；</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14.1.6提出质疑的日期。</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14.2采购人对已发出的采购文件进行必要澄清或者修改的，</w:t>
      </w:r>
      <w:r>
        <w:rPr>
          <w:rFonts w:hint="eastAsia" w:ascii="仿宋" w:hAnsi="仿宋" w:eastAsia="仿宋" w:cs="仿宋"/>
          <w:bCs/>
          <w:color w:val="auto"/>
          <w:kern w:val="0"/>
          <w:sz w:val="24"/>
        </w:rPr>
        <w:t>在投标截止时间</w:t>
      </w:r>
      <w:r>
        <w:rPr>
          <w:rFonts w:hint="eastAsia" w:ascii="仿宋" w:hAnsi="仿宋" w:eastAsia="仿宋" w:cs="仿宋"/>
          <w:bCs/>
          <w:color w:val="auto"/>
          <w:kern w:val="0"/>
          <w:sz w:val="24"/>
          <w:u w:val="single"/>
        </w:rPr>
        <w:t xml:space="preserve"> 15 </w:t>
      </w:r>
      <w:r>
        <w:rPr>
          <w:rFonts w:hint="eastAsia" w:ascii="仿宋" w:hAnsi="仿宋" w:eastAsia="仿宋" w:cs="仿宋"/>
          <w:bCs/>
          <w:color w:val="auto"/>
          <w:kern w:val="0"/>
          <w:sz w:val="24"/>
        </w:rPr>
        <w:t>日前，采购人可</w:t>
      </w:r>
      <w:r>
        <w:rPr>
          <w:rFonts w:hint="eastAsia" w:ascii="仿宋" w:hAnsi="仿宋" w:eastAsia="仿宋" w:cs="仿宋"/>
          <w:color w:val="auto"/>
          <w:sz w:val="24"/>
          <w:lang w:val="zh-CN"/>
        </w:rPr>
        <w:t>在原招标公告媒介发布更正公告，</w:t>
      </w:r>
      <w:r>
        <w:rPr>
          <w:rFonts w:hint="eastAsia" w:ascii="仿宋" w:hAnsi="仿宋" w:eastAsia="仿宋" w:cs="仿宋"/>
          <w:bCs/>
          <w:color w:val="auto"/>
          <w:kern w:val="0"/>
          <w:sz w:val="24"/>
        </w:rPr>
        <w:t>对采购文件进行必要的修改或者澄清，</w:t>
      </w:r>
      <w:r>
        <w:rPr>
          <w:rFonts w:hint="eastAsia" w:ascii="仿宋" w:hAnsi="仿宋" w:eastAsia="仿宋" w:cs="仿宋"/>
          <w:color w:val="auto"/>
          <w:sz w:val="24"/>
          <w:lang w:val="zh-CN"/>
        </w:rPr>
        <w:t>该澄清或者修改的内容为采购文件的组成部分，</w:t>
      </w:r>
      <w:r>
        <w:rPr>
          <w:rFonts w:hint="eastAsia" w:ascii="仿宋" w:hAnsi="仿宋" w:eastAsia="仿宋" w:cs="仿宋"/>
          <w:bCs/>
          <w:color w:val="auto"/>
          <w:kern w:val="0"/>
          <w:sz w:val="24"/>
        </w:rPr>
        <w:t>具有约束作用。不足15日的，应当顺延投标截止时间。为使供应商在编制投标文件时有充分的时间对采购文件的修改或者澄清等内容进行研究，采购人可酌情顺延提交投标文件的截止时间。</w:t>
      </w:r>
    </w:p>
    <w:p>
      <w:pPr>
        <w:shd w:val="clear" w:color="auto" w:fill="FFFFFF"/>
        <w:spacing w:line="400" w:lineRule="exact"/>
        <w:ind w:firstLine="480" w:firstLineChars="200"/>
        <w:rPr>
          <w:rFonts w:ascii="仿宋" w:hAnsi="仿宋" w:eastAsia="仿宋" w:cs="仿宋"/>
          <w:bCs/>
          <w:color w:val="auto"/>
          <w:sz w:val="24"/>
          <w:u w:val="single"/>
        </w:rPr>
      </w:pPr>
      <w:r>
        <w:rPr>
          <w:rFonts w:hint="eastAsia" w:ascii="仿宋" w:hAnsi="仿宋" w:eastAsia="仿宋" w:cs="仿宋"/>
          <w:bCs/>
          <w:color w:val="auto"/>
          <w:kern w:val="0"/>
          <w:sz w:val="24"/>
        </w:rPr>
        <w:t>14.3投标文件递交截止时间前，供应商须随时关注本项目招标公告发布网站上本项目的最新</w:t>
      </w:r>
      <w:r>
        <w:rPr>
          <w:rFonts w:hint="eastAsia" w:ascii="仿宋" w:hAnsi="仿宋" w:eastAsia="仿宋" w:cs="仿宋"/>
          <w:color w:val="auto"/>
          <w:sz w:val="24"/>
        </w:rPr>
        <w:t>的变更公告、更正公告、澄清公告等相关信息，并对上述查看行为自行承担责任；</w:t>
      </w:r>
      <w:r>
        <w:rPr>
          <w:rFonts w:hint="eastAsia" w:ascii="仿宋" w:hAnsi="仿宋" w:eastAsia="仿宋" w:cs="仿宋"/>
          <w:bCs/>
          <w:color w:val="auto"/>
          <w:sz w:val="24"/>
        </w:rPr>
        <w:t>供应商对索取书面修改或者澄清文件或者查阅电子修改或者澄清文件的行为自行承担责任，在投标截止时间后递交的投标文件视为无效投标文件。</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15. 投标报价</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15.1 本招标项目使用的货币为</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，实施时亦以</w:t>
      </w:r>
      <w:r>
        <w:rPr>
          <w:rFonts w:hint="eastAsia" w:ascii="仿宋" w:hAnsi="仿宋" w:eastAsia="仿宋" w:cs="仿宋"/>
          <w:color w:val="auto"/>
          <w:kern w:val="0"/>
          <w:sz w:val="24"/>
          <w:u w:val="single"/>
        </w:rPr>
        <w:t xml:space="preserve"> 人民币 </w:t>
      </w:r>
      <w:r>
        <w:rPr>
          <w:rFonts w:hint="eastAsia" w:ascii="仿宋" w:hAnsi="仿宋" w:eastAsia="仿宋" w:cs="仿宋"/>
          <w:color w:val="auto"/>
          <w:kern w:val="0"/>
          <w:sz w:val="24"/>
        </w:rPr>
        <w:t>支付。</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15.2 投标报价为本采购文件所确定的招标范围内的全部工作内容的价格体现。任何有选择的报价将不予接受（除非采购人另有约定），否则，在评标时将其视为无效投标。</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15.3所有投标报价均以人民币元为计算单位。只要投报了一个确定数额的总价，无论分项价格是否全部填报了相应的金额或免费字样，报价应被视为已经包含了但并不限于各项购买货物、服务等的费用和所需缴纳的所有税、费等。在其他情况下，由于分项报价填报不完整、不清楚或存在其他任何失误，所导致的任何不利后果均应当由投标人自行承担。</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15.4供应商应按本文件给定的格式填报《开标一览表》及《分项报价明细表》，《开标一览表》中价格填报处不应有空白，如无费用可填报“/”。</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15.5供应商对投标报价若有说明应在《开标一览表》显著处注明，只有开标时唱出的报价和优惠才会在评标时予以考虑。报价优惠应对应《开标一览表》及《分项报价明细表》提供相应的明细清单。除报价优惠外，任何超出招标文件要求而额外赠送的货物、免费培训等其他形式的优惠，将不被允许并不予接受。</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15.6对于有配件、耗材、选件和特殊工具的货物，还应填报投标货物配件、耗材、选件表和备件及特殊工具清单，注明品牌、型号、产地、功能、单价等内容，如招标文件未提供相关格式的，应由投标人自行设计编写。</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15.7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15.8投标文件报价出现前后不一致的，除招标文件另有规定外，按照下列规定修正：</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（一）投标文件中《开标一览表》内容与投标文件中相应内容不一致的，以《开标一览表》为准；</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（二）大写金额和小写金额不一致的，以大写金额为准；</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（三）单价金额小数点或者百分比有明显错位的，以《开标一览表》的总价为准，并修改单价；</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（四）总价金额与按单价汇总金额不一致的，以单价金额计算结果为准。</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同时出现两种以上不一致的，按照前款规定的顺序修正。</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修正后的报价遵照如下规定处理：供应商的澄清、说明或者补正应当采用书面形式，并加盖公章，或者由法定代表人或其授权的代表签字。供应商的澄清、说明或者补正不得超出投标文件的范围或者改变投标文件的实质性内容。修正后的报价经供应商确认后产生约束力，供应商不确认的，其投标无效。</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16.投标保证金</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16.1投标保证金是为了保护采购人和招标机构免遭因供应商的违规、违约行为而引起的风险，采购人/代理机构在受到损害时可根据本须知的有关规定没收供应商的投标保证金。中标人如未能按采购文件要求与采购人签署项目合同并提交建设履约保证金，视为供应商违约，则采购人有权提取中标人投标保证金。</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16.2 供应商应提交投标保证金，并作为其投标的一部分。采购文件前附表规定交纳</w:t>
      </w:r>
      <w:r>
        <w:rPr>
          <w:rFonts w:hint="eastAsia" w:ascii="仿宋" w:hAnsi="仿宋" w:eastAsia="仿宋" w:cs="仿宋"/>
          <w:bCs/>
          <w:color w:val="auto"/>
          <w:kern w:val="0"/>
          <w:sz w:val="24"/>
        </w:rPr>
        <w:t>投标保证金的</w:t>
      </w:r>
      <w:r>
        <w:rPr>
          <w:rFonts w:hint="eastAsia" w:ascii="仿宋" w:hAnsi="仿宋" w:eastAsia="仿宋" w:cs="仿宋"/>
          <w:color w:val="auto"/>
          <w:kern w:val="0"/>
          <w:sz w:val="24"/>
        </w:rPr>
        <w:t>，</w:t>
      </w:r>
      <w:r>
        <w:rPr>
          <w:rFonts w:hint="eastAsia" w:ascii="仿宋" w:hAnsi="仿宋" w:eastAsia="仿宋" w:cs="仿宋"/>
          <w:bCs/>
          <w:color w:val="auto"/>
          <w:kern w:val="0"/>
          <w:sz w:val="24"/>
        </w:rPr>
        <w:t>供应商应按采购文件前附表</w:t>
      </w:r>
      <w:r>
        <w:rPr>
          <w:rFonts w:hint="eastAsia" w:ascii="仿宋" w:hAnsi="仿宋" w:eastAsia="仿宋" w:cs="仿宋"/>
          <w:color w:val="auto"/>
          <w:kern w:val="0"/>
          <w:sz w:val="24"/>
        </w:rPr>
        <w:t>规定的要求</w:t>
      </w:r>
      <w:r>
        <w:rPr>
          <w:rFonts w:hint="eastAsia" w:ascii="仿宋" w:hAnsi="仿宋" w:eastAsia="仿宋" w:cs="仿宋"/>
          <w:bCs/>
          <w:color w:val="auto"/>
          <w:kern w:val="0"/>
          <w:sz w:val="24"/>
        </w:rPr>
        <w:t>提交保证金</w:t>
      </w:r>
      <w:r>
        <w:rPr>
          <w:rFonts w:hint="eastAsia" w:ascii="仿宋" w:hAnsi="仿宋" w:eastAsia="仿宋" w:cs="仿宋"/>
          <w:color w:val="auto"/>
          <w:kern w:val="0"/>
          <w:sz w:val="24"/>
        </w:rPr>
        <w:t>，</w:t>
      </w:r>
      <w:r>
        <w:rPr>
          <w:rFonts w:hint="eastAsia" w:ascii="仿宋" w:hAnsi="仿宋" w:eastAsia="仿宋" w:cs="仿宋"/>
          <w:bCs/>
          <w:color w:val="auto"/>
          <w:kern w:val="0"/>
          <w:sz w:val="24"/>
        </w:rPr>
        <w:t>投标保证金有效期应与</w:t>
      </w:r>
      <w:r>
        <w:rPr>
          <w:rFonts w:hint="eastAsia" w:ascii="仿宋" w:hAnsi="仿宋" w:eastAsia="仿宋" w:cs="仿宋"/>
          <w:color w:val="auto"/>
          <w:kern w:val="0"/>
          <w:sz w:val="24"/>
        </w:rPr>
        <w:t>采购文件规定</w:t>
      </w:r>
      <w:r>
        <w:rPr>
          <w:rFonts w:hint="eastAsia" w:ascii="仿宋" w:hAnsi="仿宋" w:eastAsia="仿宋" w:cs="仿宋"/>
          <w:bCs/>
          <w:color w:val="auto"/>
          <w:kern w:val="0"/>
          <w:sz w:val="24"/>
        </w:rPr>
        <w:t>的投标有效期一致。供应商</w:t>
      </w:r>
      <w:r>
        <w:rPr>
          <w:rFonts w:hint="eastAsia" w:ascii="仿宋" w:hAnsi="仿宋" w:eastAsia="仿宋" w:cs="仿宋"/>
          <w:color w:val="auto"/>
          <w:kern w:val="0"/>
          <w:sz w:val="24"/>
        </w:rPr>
        <w:t>未按照采购文件要求提交投标保证金的，投标无效。</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16.3采购文件接受联合体投标的，可以由联合体中的一方或者共同提交投标保证金。以一方名义提交投标保证金的，对联合体各方均具有约束力。</w:t>
      </w:r>
    </w:p>
    <w:p>
      <w:pPr>
        <w:shd w:val="clear" w:color="auto" w:fill="FFFFFF"/>
        <w:spacing w:line="400" w:lineRule="exact"/>
        <w:ind w:firstLine="480" w:firstLineChars="200"/>
        <w:rPr>
          <w:rFonts w:ascii="仿宋" w:hAnsi="仿宋" w:eastAsia="仿宋" w:cs="仿宋"/>
          <w:b/>
          <w:color w:val="auto"/>
          <w:kern w:val="0"/>
          <w:sz w:val="24"/>
        </w:rPr>
      </w:pPr>
      <w:r>
        <w:rPr>
          <w:rFonts w:hint="eastAsia" w:ascii="仿宋" w:hAnsi="仿宋" w:eastAsia="仿宋" w:cs="仿宋"/>
          <w:color w:val="auto"/>
          <w:kern w:val="0"/>
          <w:sz w:val="24"/>
        </w:rPr>
        <w:t>16.4 未中标人的投标保证金，将在中标通知书发出5个工作日内退还。因违反规定被没收的投标保证金不予退回。</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16.5 中标人的投标保证金自采购合同签订之日起5个工作日内退还。</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16.6</w:t>
      </w:r>
      <w:r>
        <w:rPr>
          <w:rFonts w:hint="eastAsia" w:ascii="仿宋" w:hAnsi="仿宋" w:eastAsia="仿宋" w:cs="仿宋"/>
          <w:b/>
          <w:color w:val="auto"/>
          <w:kern w:val="0"/>
          <w:sz w:val="24"/>
        </w:rPr>
        <w:t>下列任何情况发生时，投标保证金将可能被没收：</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16.6.1 供应商在规定的投标有效期内撤回其投标；</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16.6.2 中标人无正当理由拒绝按规定与采购人签订合同或未能在规定期限内签署合同的或未按采购文件要求提交履约保证金的；</w:t>
      </w:r>
    </w:p>
    <w:p>
      <w:pPr>
        <w:shd w:val="clear" w:color="auto" w:fill="FFFFFF"/>
        <w:autoSpaceDE w:val="0"/>
        <w:autoSpaceDN w:val="0"/>
        <w:adjustRightInd w:val="0"/>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16.7</w:t>
      </w:r>
      <w:r>
        <w:rPr>
          <w:rFonts w:hint="eastAsia" w:ascii="仿宋" w:hAnsi="仿宋" w:eastAsia="仿宋" w:cs="仿宋"/>
          <w:b/>
          <w:color w:val="auto"/>
          <w:kern w:val="0"/>
          <w:sz w:val="24"/>
        </w:rPr>
        <w:t>供应商办理投标保证金退款申请手续须提供以下资料：</w:t>
      </w:r>
    </w:p>
    <w:p>
      <w:pPr>
        <w:shd w:val="clear" w:color="auto" w:fill="FFFFFF"/>
        <w:spacing w:line="400" w:lineRule="exact"/>
        <w:ind w:firstLine="482" w:firstLineChars="200"/>
        <w:rPr>
          <w:rFonts w:ascii="仿宋" w:hAnsi="仿宋" w:eastAsia="仿宋" w:cs="仿宋"/>
          <w:b/>
          <w:color w:val="auto"/>
          <w:kern w:val="0"/>
          <w:sz w:val="24"/>
          <w:u w:val="single"/>
        </w:rPr>
      </w:pPr>
      <w:r>
        <w:rPr>
          <w:rFonts w:hint="eastAsia" w:ascii="仿宋" w:hAnsi="仿宋" w:eastAsia="仿宋" w:cs="仿宋"/>
          <w:b/>
          <w:color w:val="auto"/>
          <w:kern w:val="0"/>
          <w:sz w:val="24"/>
          <w:u w:val="single"/>
        </w:rPr>
        <w:t>16.7.1 供应商清晰的单位名称、开户银行名称、银行账号、银行行号。</w:t>
      </w:r>
    </w:p>
    <w:p>
      <w:pPr>
        <w:shd w:val="clear" w:color="auto" w:fill="FFFFFF"/>
        <w:spacing w:line="400" w:lineRule="exact"/>
        <w:ind w:firstLine="482" w:firstLineChars="200"/>
        <w:rPr>
          <w:rFonts w:ascii="仿宋" w:hAnsi="仿宋" w:eastAsia="仿宋" w:cs="仿宋"/>
          <w:b/>
          <w:color w:val="auto"/>
          <w:kern w:val="0"/>
          <w:sz w:val="24"/>
          <w:u w:val="single"/>
        </w:rPr>
      </w:pPr>
      <w:r>
        <w:rPr>
          <w:rFonts w:hint="eastAsia" w:ascii="仿宋" w:hAnsi="仿宋" w:eastAsia="仿宋" w:cs="仿宋"/>
          <w:b/>
          <w:color w:val="auto"/>
          <w:kern w:val="0"/>
          <w:sz w:val="24"/>
          <w:u w:val="single"/>
        </w:rPr>
        <w:t>16.7.2 中标方办理投标保证金退款申请时，中标方还须提供与采购人签订的已加盖中标方公章的合同全本复印件或扫描件一份（代理机构存档备查）。</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特殊说明：中标人须自项目验收合格后5个工作日内，将经采购人签章确认的《验收书》原件壹份（及复印件壹份加盖中标人公章）提交至采购代理机构。</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17. 招标答疑会和现场踏勘</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17.1本项目不组织招标答疑会。</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17.2 采购人不组织供应商进行现场踏勘，供应商应自行在投标截止前对项目服务现场和周围环境进行勘察，以获取须供应商自己负责的有关编制投标文件和签署合同所需的所有资料。勘察现场所发生的费用及风险由供应商自己承担。</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18. 投标有效期</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18.1 投标有效期见本须知前附表所规定的期限，在此期限内，凡符合本采购文件要求的投标文件均保持有效。投标有效期不足的，在评标时将其视为无效投标。</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color w:val="auto"/>
          <w:kern w:val="0"/>
          <w:sz w:val="24"/>
        </w:rPr>
        <w:t>18.2 在特殊情况下，采购人在原定的投标有效期内，可以根据需要以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（三） 投标文件的编制</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19. 投标文件编制要求</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19.1供应商提交的投标文件及供应商与采购代理机构就有关投标的所有来往函电均使用中文。</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20. 投标文件编制的依据</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20.1 采购人提供的采购需求及有关资料；</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20.2 本采购文件及采购文件的修改或者澄清；</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20.3 相关的法律、法规和规定。</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21. 投标文件的组成：</w:t>
      </w:r>
      <w:r>
        <w:rPr>
          <w:rFonts w:hint="eastAsia" w:ascii="仿宋" w:hAnsi="仿宋" w:eastAsia="仿宋" w:cs="仿宋"/>
          <w:bCs/>
          <w:color w:val="auto"/>
          <w:kern w:val="0"/>
          <w:sz w:val="24"/>
        </w:rPr>
        <w:t>资格响应文件、商务响应文件、技术响应文件、报价响应文件。</w:t>
      </w:r>
    </w:p>
    <w:p>
      <w:pPr>
        <w:shd w:val="clear" w:color="auto" w:fill="FFFFFF"/>
        <w:spacing w:line="400" w:lineRule="exact"/>
        <w:ind w:firstLine="482" w:firstLineChars="200"/>
        <w:rPr>
          <w:rFonts w:ascii="仿宋" w:hAnsi="仿宋" w:eastAsia="仿宋" w:cs="仿宋"/>
          <w:b/>
          <w:bCs/>
          <w:color w:val="auto"/>
          <w:kern w:val="0"/>
          <w:sz w:val="24"/>
        </w:rPr>
      </w:pPr>
      <w:bookmarkStart w:id="0" w:name="_Hlk519799218"/>
      <w:bookmarkStart w:id="1" w:name="_Hlk519798821"/>
      <w:r>
        <w:rPr>
          <w:rFonts w:hint="eastAsia" w:ascii="仿宋" w:hAnsi="仿宋" w:eastAsia="仿宋" w:cs="仿宋"/>
          <w:b/>
          <w:bCs/>
          <w:color w:val="auto"/>
          <w:kern w:val="0"/>
          <w:sz w:val="24"/>
        </w:rPr>
        <w:t>21.1资格响应文件组成：</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（1）供应商营业执照或其他组织资格证书，复印件加盖公章；</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（2）法定代表人资格证明书和法定代表人身份证或者法定代表人授权委托书及被授权人身份证明（法定代表人授权委托书原件放入正本，其他为复印件）；</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（3）供应商近</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个月依法纳税及缴纳社会保险相关证明资料，复印件加盖公章；</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（4）供应商经审计的202</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年度的财务报告（投标单位成立不满一年的不需提供）；复印件加盖公章</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（5）供应商参加本次政府采购活动前3年内在经营活动中没有重大违法记录的书面声明（原件放入正本）；</w:t>
      </w:r>
    </w:p>
    <w:p>
      <w:pPr>
        <w:shd w:val="clear" w:color="auto" w:fill="FFFFFF"/>
        <w:spacing w:line="400" w:lineRule="exact"/>
        <w:ind w:firstLine="480" w:firstLineChars="200"/>
        <w:rPr>
          <w:rFonts w:hint="eastAsia" w:ascii="仿宋" w:hAnsi="仿宋" w:eastAsia="仿宋"/>
          <w:bCs/>
          <w:color w:val="auto"/>
          <w:kern w:val="0"/>
          <w:sz w:val="24"/>
        </w:rPr>
      </w:pPr>
      <w:r>
        <w:rPr>
          <w:rFonts w:hint="eastAsia" w:ascii="仿宋" w:hAnsi="仿宋" w:eastAsia="仿宋" w:cs="仿宋"/>
          <w:color w:val="auto"/>
          <w:kern w:val="0"/>
          <w:sz w:val="24"/>
        </w:rPr>
        <w:t>（6）</w:t>
      </w:r>
      <w:r>
        <w:rPr>
          <w:rFonts w:hint="eastAsia" w:ascii="仿宋" w:hAnsi="仿宋" w:eastAsia="仿宋" w:cs="仿宋"/>
          <w:color w:val="auto"/>
          <w:sz w:val="24"/>
        </w:rPr>
        <w:t>供应商医疗器械经营许可证（或按照国家食品药品监督管理部门规定实行备案管理的，出具备案证明文件）</w:t>
      </w:r>
      <w:r>
        <w:rPr>
          <w:rFonts w:hint="eastAsia" w:ascii="仿宋" w:hAnsi="仿宋" w:eastAsia="仿宋" w:cs="仿宋"/>
          <w:color w:val="auto"/>
          <w:sz w:val="24"/>
          <w:lang w:eastAsia="zh-CN"/>
        </w:rPr>
        <w:t>，</w:t>
      </w:r>
      <w:r>
        <w:rPr>
          <w:rFonts w:hint="eastAsia" w:ascii="仿宋" w:hAnsi="仿宋" w:eastAsia="仿宋"/>
          <w:bCs/>
          <w:color w:val="auto"/>
          <w:kern w:val="0"/>
          <w:sz w:val="24"/>
        </w:rPr>
        <w:t>复印件加盖公章</w:t>
      </w:r>
      <w:r>
        <w:rPr>
          <w:rFonts w:hint="eastAsia" w:ascii="仿宋" w:hAnsi="仿宋" w:eastAsia="仿宋" w:cs="仿宋"/>
          <w:color w:val="auto"/>
          <w:sz w:val="24"/>
        </w:rPr>
        <w:t>；</w:t>
      </w:r>
      <w:r>
        <w:rPr>
          <w:rFonts w:hint="eastAsia" w:ascii="仿宋" w:hAnsi="仿宋" w:eastAsia="仿宋" w:cs="仿宋"/>
          <w:color w:val="auto"/>
          <w:sz w:val="24"/>
          <w:lang w:eastAsia="zh-CN"/>
        </w:rPr>
        <w:t>供应商所投</w:t>
      </w:r>
      <w:r>
        <w:rPr>
          <w:rFonts w:hint="eastAsia" w:ascii="仿宋" w:hAnsi="仿宋" w:eastAsia="仿宋"/>
          <w:bCs/>
          <w:color w:val="auto"/>
          <w:kern w:val="0"/>
          <w:sz w:val="24"/>
          <w:lang w:val="en-US" w:eastAsia="zh-CN"/>
        </w:rPr>
        <w:t>国产货物</w:t>
      </w:r>
      <w:r>
        <w:rPr>
          <w:rFonts w:hint="eastAsia" w:ascii="仿宋" w:hAnsi="仿宋" w:eastAsia="仿宋"/>
          <w:bCs/>
          <w:color w:val="auto"/>
          <w:kern w:val="0"/>
          <w:sz w:val="24"/>
        </w:rPr>
        <w:t>制造商的医疗器械生产许可证</w:t>
      </w:r>
      <w:r>
        <w:rPr>
          <w:rFonts w:hint="eastAsia" w:ascii="仿宋" w:hAnsi="仿宋" w:eastAsia="仿宋"/>
          <w:bCs/>
          <w:color w:val="auto"/>
          <w:kern w:val="0"/>
          <w:sz w:val="24"/>
          <w:lang w:eastAsia="zh-CN"/>
        </w:rPr>
        <w:t>，</w:t>
      </w:r>
      <w:r>
        <w:rPr>
          <w:rFonts w:hint="eastAsia" w:ascii="仿宋" w:hAnsi="仿宋" w:eastAsia="仿宋"/>
          <w:bCs/>
          <w:color w:val="auto"/>
          <w:kern w:val="0"/>
          <w:sz w:val="24"/>
          <w:lang w:val="en-US" w:eastAsia="zh-CN"/>
        </w:rPr>
        <w:t>复印件加盖公章</w:t>
      </w:r>
      <w:r>
        <w:rPr>
          <w:rFonts w:hint="eastAsia" w:ascii="仿宋" w:hAnsi="仿宋" w:eastAsia="仿宋"/>
          <w:bCs/>
          <w:color w:val="auto"/>
          <w:kern w:val="0"/>
          <w:sz w:val="24"/>
        </w:rPr>
        <w:t>；</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（7）</w:t>
      </w:r>
      <w:r>
        <w:rPr>
          <w:rFonts w:hint="eastAsia" w:ascii="仿宋" w:hAnsi="仿宋" w:eastAsia="仿宋" w:cs="仿宋"/>
          <w:color w:val="auto"/>
          <w:sz w:val="24"/>
        </w:rPr>
        <w:t>供应商</w:t>
      </w:r>
      <w:r>
        <w:rPr>
          <w:rFonts w:hint="eastAsia" w:ascii="仿宋" w:hAnsi="仿宋" w:eastAsia="仿宋"/>
          <w:bCs/>
          <w:color w:val="auto"/>
          <w:kern w:val="0"/>
          <w:sz w:val="24"/>
        </w:rPr>
        <w:t>所投车型在国家工信部官网发布的《车辆生产企业及产品公告》网页截图（复印件加盖公章）</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8</w:t>
      </w:r>
      <w:r>
        <w:rPr>
          <w:rFonts w:hint="eastAsia" w:ascii="仿宋" w:hAnsi="仿宋" w:eastAsia="仿宋" w:cs="仿宋"/>
          <w:color w:val="auto"/>
          <w:kern w:val="0"/>
          <w:sz w:val="24"/>
        </w:rPr>
        <w:t>）投标保证金缴纳凭证（网上或网下支付凭证复印或打印件）。</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21.2商务响应文件组成：</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（1）投标承诺书；</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（2）售后服务承诺书</w:t>
      </w:r>
      <w:r>
        <w:rPr>
          <w:rFonts w:hint="eastAsia" w:ascii="仿宋" w:hAnsi="仿宋" w:eastAsia="仿宋"/>
          <w:bCs/>
          <w:color w:val="auto"/>
          <w:kern w:val="0"/>
          <w:sz w:val="24"/>
        </w:rPr>
        <w:t>（含维保计划）</w:t>
      </w:r>
      <w:r>
        <w:rPr>
          <w:rFonts w:hint="eastAsia" w:ascii="仿宋" w:hAnsi="仿宋" w:eastAsia="仿宋" w:cs="仿宋"/>
          <w:color w:val="auto"/>
          <w:kern w:val="0"/>
          <w:sz w:val="24"/>
        </w:rPr>
        <w:t>；</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rPr>
        <w:t>3）商务条款偏离表（须包括对本文件《投标须知前附表》提出的“交货期”、“交货地点”、“质保期”、“付款方式”，四项实质性商务内容逐条响应，否则，投标无效）；</w:t>
      </w:r>
    </w:p>
    <w:p>
      <w:pPr>
        <w:shd w:val="clear" w:color="auto" w:fill="FFFFFF"/>
        <w:spacing w:line="4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kern w:val="0"/>
          <w:sz w:val="24"/>
        </w:rPr>
        <w:t>（4）</w:t>
      </w:r>
      <w:r>
        <w:rPr>
          <w:rFonts w:hint="eastAsia" w:ascii="仿宋" w:hAnsi="仿宋" w:eastAsia="仿宋" w:cs="仿宋"/>
          <w:color w:val="auto"/>
          <w:kern w:val="0"/>
          <w:sz w:val="24"/>
          <w:lang w:val="en-US" w:eastAsia="zh-CN"/>
        </w:rPr>
        <w:t>供应商所投</w:t>
      </w:r>
      <w:r>
        <w:rPr>
          <w:rFonts w:hint="eastAsia" w:ascii="仿宋" w:hAnsi="仿宋" w:eastAsia="仿宋" w:cs="仿宋"/>
          <w:color w:val="auto"/>
          <w:kern w:val="0"/>
          <w:sz w:val="24"/>
        </w:rPr>
        <w:t>同类产品近三年（20</w:t>
      </w:r>
      <w:r>
        <w:rPr>
          <w:rFonts w:hint="eastAsia" w:ascii="仿宋" w:hAnsi="仿宋" w:eastAsia="仿宋" w:cs="仿宋"/>
          <w:color w:val="auto"/>
          <w:kern w:val="0"/>
          <w:sz w:val="24"/>
          <w:lang w:val="en-US" w:eastAsia="zh-CN"/>
        </w:rPr>
        <w:t>19</w:t>
      </w:r>
      <w:r>
        <w:rPr>
          <w:rFonts w:hint="eastAsia" w:ascii="仿宋" w:hAnsi="仿宋" w:eastAsia="仿宋" w:cs="仿宋"/>
          <w:color w:val="auto"/>
          <w:kern w:val="0"/>
          <w:sz w:val="24"/>
        </w:rPr>
        <w:t>年1月1日至今）销售业绩，提</w:t>
      </w:r>
      <w:r>
        <w:rPr>
          <w:rFonts w:hint="eastAsia" w:ascii="仿宋" w:hAnsi="仿宋" w:eastAsia="仿宋" w:cs="仿宋"/>
          <w:color w:val="auto"/>
          <w:kern w:val="0"/>
          <w:sz w:val="24"/>
        </w:rPr>
        <w:t>供有效业绩证明资料中标通知书或合同（复印件加盖公章），</w:t>
      </w:r>
      <w:r>
        <w:rPr>
          <w:rFonts w:hint="eastAsia" w:ascii="仿宋" w:hAnsi="仿宋" w:eastAsia="仿宋" w:cs="仿宋"/>
          <w:color w:val="auto"/>
          <w:sz w:val="24"/>
          <w:lang w:eastAsia="zh-CN"/>
        </w:rPr>
        <w:t>（</w:t>
      </w:r>
      <w:r>
        <w:rPr>
          <w:rFonts w:hint="eastAsia" w:ascii="仿宋" w:hAnsi="仿宋" w:eastAsia="仿宋" w:cs="仿宋"/>
          <w:color w:val="auto"/>
          <w:sz w:val="24"/>
        </w:rPr>
        <w:t>提供中标通知书或合同，复印件加盖供应商公章</w:t>
      </w:r>
      <w:r>
        <w:rPr>
          <w:rFonts w:hint="eastAsia" w:ascii="仿宋" w:hAnsi="仿宋" w:eastAsia="仿宋" w:cs="仿宋"/>
          <w:bCs/>
          <w:color w:val="auto"/>
          <w:sz w:val="24"/>
        </w:rPr>
        <w:t>，做为业绩证明资料，未按要求提供证明资料的不计分。</w:t>
      </w:r>
      <w:r>
        <w:rPr>
          <w:rFonts w:hint="eastAsia" w:ascii="仿宋" w:hAnsi="仿宋" w:eastAsia="仿宋" w:cs="仿宋"/>
          <w:color w:val="auto"/>
          <w:sz w:val="24"/>
          <w:lang w:eastAsia="zh-CN"/>
        </w:rPr>
        <w:t>）</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（5）供应商认为有必要提供的其他资料。</w:t>
      </w:r>
    </w:p>
    <w:p>
      <w:pPr>
        <w:shd w:val="clear" w:color="auto" w:fill="FFFFFF"/>
        <w:spacing w:line="400" w:lineRule="exact"/>
        <w:ind w:firstLine="482" w:firstLineChars="200"/>
        <w:rPr>
          <w:rFonts w:ascii="仿宋" w:hAnsi="仿宋" w:eastAsia="仿宋" w:cs="仿宋"/>
          <w:color w:val="auto"/>
          <w:kern w:val="0"/>
          <w:sz w:val="24"/>
        </w:rPr>
      </w:pPr>
      <w:r>
        <w:rPr>
          <w:rFonts w:hint="eastAsia" w:ascii="仿宋" w:hAnsi="仿宋" w:eastAsia="仿宋" w:cs="仿宋"/>
          <w:b/>
          <w:bCs/>
          <w:color w:val="auto"/>
          <w:kern w:val="0"/>
          <w:sz w:val="24"/>
        </w:rPr>
        <w:t>21.3技术响应文件组成：</w:t>
      </w:r>
    </w:p>
    <w:p>
      <w:pPr>
        <w:shd w:val="clear" w:color="auto" w:fill="FFFFFF"/>
        <w:spacing w:line="440" w:lineRule="exact"/>
        <w:ind w:firstLine="480" w:firstLineChars="200"/>
        <w:rPr>
          <w:rFonts w:ascii="仿宋" w:hAnsi="仿宋" w:eastAsia="仿宋"/>
          <w:b w:val="0"/>
          <w:bCs w:val="0"/>
          <w:color w:val="auto"/>
          <w:kern w:val="0"/>
          <w:sz w:val="24"/>
        </w:rPr>
      </w:pPr>
      <w:r>
        <w:rPr>
          <w:rFonts w:hint="eastAsia" w:ascii="仿宋" w:hAnsi="仿宋" w:eastAsia="仿宋"/>
          <w:b w:val="0"/>
          <w:bCs w:val="0"/>
          <w:color w:val="auto"/>
          <w:kern w:val="0"/>
          <w:sz w:val="24"/>
        </w:rPr>
        <w:t>（1）技术条款偏离表</w:t>
      </w:r>
      <w:bookmarkStart w:id="2" w:name="_Hlk49258786"/>
      <w:r>
        <w:rPr>
          <w:rFonts w:hint="eastAsia" w:ascii="仿宋" w:hAnsi="仿宋" w:eastAsia="仿宋"/>
          <w:b w:val="0"/>
          <w:bCs w:val="0"/>
          <w:color w:val="auto"/>
          <w:kern w:val="0"/>
          <w:sz w:val="24"/>
        </w:rPr>
        <w:t>（</w:t>
      </w:r>
      <w:r>
        <w:rPr>
          <w:rFonts w:ascii="仿宋" w:hAnsi="仿宋" w:eastAsia="仿宋"/>
          <w:b w:val="0"/>
          <w:bCs w:val="0"/>
          <w:color w:val="auto"/>
          <w:kern w:val="0"/>
          <w:sz w:val="24"/>
        </w:rPr>
        <w:t>供应商</w:t>
      </w:r>
      <w:r>
        <w:rPr>
          <w:rFonts w:hint="eastAsia" w:ascii="仿宋" w:hAnsi="仿宋" w:eastAsia="仿宋"/>
          <w:b w:val="0"/>
          <w:bCs w:val="0"/>
          <w:color w:val="auto"/>
          <w:kern w:val="0"/>
          <w:sz w:val="24"/>
        </w:rPr>
        <w:t>提供的《技术条款偏离表》</w:t>
      </w:r>
      <w:r>
        <w:rPr>
          <w:rFonts w:ascii="仿宋" w:hAnsi="仿宋" w:eastAsia="仿宋"/>
          <w:b w:val="0"/>
          <w:bCs w:val="0"/>
          <w:color w:val="auto"/>
          <w:kern w:val="0"/>
          <w:sz w:val="24"/>
        </w:rPr>
        <w:t>须对照第四章《采购需求》所有条款逐条列出是否响应及响应内容</w:t>
      </w:r>
      <w:r>
        <w:rPr>
          <w:rFonts w:hint="eastAsia" w:ascii="仿宋" w:hAnsi="仿宋" w:eastAsia="仿宋"/>
          <w:b w:val="0"/>
          <w:bCs w:val="0"/>
          <w:color w:val="auto"/>
          <w:kern w:val="0"/>
          <w:sz w:val="24"/>
        </w:rPr>
        <w:t>）</w:t>
      </w:r>
      <w:bookmarkEnd w:id="2"/>
      <w:r>
        <w:rPr>
          <w:rFonts w:hint="eastAsia" w:ascii="仿宋" w:hAnsi="仿宋" w:eastAsia="仿宋"/>
          <w:b w:val="0"/>
          <w:bCs w:val="0"/>
          <w:color w:val="auto"/>
          <w:kern w:val="0"/>
          <w:sz w:val="24"/>
        </w:rPr>
        <w:t>；</w:t>
      </w:r>
    </w:p>
    <w:p>
      <w:pPr>
        <w:shd w:val="clear" w:color="auto" w:fill="FFFFFF"/>
        <w:spacing w:line="440" w:lineRule="exact"/>
        <w:ind w:firstLine="480" w:firstLineChars="200"/>
        <w:rPr>
          <w:rFonts w:ascii="仿宋" w:hAnsi="仿宋" w:eastAsia="仿宋"/>
          <w:b w:val="0"/>
          <w:bCs w:val="0"/>
          <w:color w:val="auto"/>
          <w:kern w:val="0"/>
          <w:sz w:val="24"/>
        </w:rPr>
      </w:pPr>
      <w:r>
        <w:rPr>
          <w:rFonts w:hint="eastAsia" w:ascii="仿宋" w:hAnsi="仿宋" w:eastAsia="仿宋"/>
          <w:b w:val="0"/>
          <w:bCs w:val="0"/>
          <w:color w:val="auto"/>
          <w:kern w:val="0"/>
          <w:sz w:val="24"/>
        </w:rPr>
        <w:t>（2）所投车型的详细技术参数；</w:t>
      </w:r>
    </w:p>
    <w:p>
      <w:pPr>
        <w:shd w:val="clear" w:color="auto" w:fill="FFFFFF"/>
        <w:spacing w:line="440" w:lineRule="exact"/>
        <w:ind w:firstLine="480" w:firstLineChars="200"/>
        <w:rPr>
          <w:rFonts w:hint="eastAsia" w:ascii="仿宋" w:hAnsi="仿宋" w:eastAsia="仿宋"/>
          <w:b w:val="0"/>
          <w:bCs w:val="0"/>
          <w:color w:val="auto"/>
          <w:kern w:val="0"/>
          <w:sz w:val="24"/>
          <w:lang w:eastAsia="zh-CN"/>
        </w:rPr>
      </w:pPr>
      <w:r>
        <w:rPr>
          <w:rFonts w:hint="eastAsia" w:ascii="仿宋" w:hAnsi="仿宋" w:eastAsia="仿宋"/>
          <w:b w:val="0"/>
          <w:bCs w:val="0"/>
          <w:color w:val="auto"/>
          <w:kern w:val="0"/>
          <w:sz w:val="24"/>
        </w:rPr>
        <w:t>（3）供应商所投车辆重要部件的检测报告或车辆出厂合格证书、对外公开发行的印刷版彩页作为技术支持资料</w:t>
      </w:r>
      <w:r>
        <w:rPr>
          <w:rFonts w:hint="eastAsia" w:ascii="仿宋" w:hAnsi="仿宋" w:eastAsia="仿宋"/>
          <w:b w:val="0"/>
          <w:bCs w:val="0"/>
          <w:color w:val="auto"/>
          <w:kern w:val="0"/>
          <w:sz w:val="24"/>
          <w:lang w:eastAsia="zh-CN"/>
        </w:rPr>
        <w:t>。</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bCs/>
          <w:color w:val="auto"/>
          <w:kern w:val="0"/>
          <w:sz w:val="24"/>
        </w:rPr>
        <w:t>（4）供应商认为有必要提供的声明及文件资料。</w:t>
      </w:r>
    </w:p>
    <w:p>
      <w:pPr>
        <w:shd w:val="clear" w:color="auto" w:fill="FFFFFF"/>
        <w:spacing w:line="400" w:lineRule="exact"/>
        <w:ind w:firstLine="482" w:firstLineChars="200"/>
        <w:rPr>
          <w:rFonts w:ascii="仿宋" w:hAnsi="仿宋" w:eastAsia="仿宋" w:cs="仿宋"/>
          <w:color w:val="auto"/>
          <w:kern w:val="0"/>
          <w:sz w:val="24"/>
        </w:rPr>
      </w:pPr>
      <w:r>
        <w:rPr>
          <w:rFonts w:hint="eastAsia" w:ascii="仿宋" w:hAnsi="仿宋" w:eastAsia="仿宋" w:cs="仿宋"/>
          <w:b/>
          <w:bCs/>
          <w:color w:val="auto"/>
          <w:kern w:val="0"/>
          <w:sz w:val="24"/>
        </w:rPr>
        <w:t>21.4报价响应文件组成：</w:t>
      </w:r>
      <w:r>
        <w:rPr>
          <w:rFonts w:hint="eastAsia" w:ascii="仿宋" w:hAnsi="仿宋" w:eastAsia="仿宋" w:cs="仿宋"/>
          <w:color w:val="auto"/>
          <w:kern w:val="0"/>
          <w:sz w:val="24"/>
        </w:rPr>
        <w:tab/>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（1）开标一览表；（封装要求见本文件第五章 投标文件格式 相关要求）；</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（2）分项报价明细表</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（3）报价需要的其他资料。</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22. 投标文件的编制及格式</w:t>
      </w:r>
    </w:p>
    <w:p>
      <w:pPr>
        <w:shd w:val="clear" w:color="auto" w:fill="FFFFFF"/>
        <w:spacing w:line="40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22.1供应商提供的投标文件应按照本须知第20条规定的内容编制，其中，第21.1（1）—（</w:t>
      </w:r>
      <w:r>
        <w:rPr>
          <w:rFonts w:hint="eastAsia" w:ascii="仿宋" w:hAnsi="仿宋" w:eastAsia="仿宋" w:cs="仿宋"/>
          <w:b/>
          <w:bCs/>
          <w:color w:val="auto"/>
          <w:kern w:val="0"/>
          <w:sz w:val="24"/>
          <w:lang w:val="en-US" w:eastAsia="zh-CN"/>
        </w:rPr>
        <w:t>9</w:t>
      </w:r>
      <w:r>
        <w:rPr>
          <w:rFonts w:hint="eastAsia" w:ascii="仿宋" w:hAnsi="仿宋" w:eastAsia="仿宋" w:cs="仿宋"/>
          <w:b/>
          <w:bCs/>
          <w:color w:val="auto"/>
          <w:kern w:val="0"/>
          <w:sz w:val="24"/>
        </w:rPr>
        <w:t>）、第21.2（1）—（3）、第21.3（1）—（3）、第21.4（1）—（2）为必备项，供应商在投标文件中必须提供有关材料，如果缺项，或不符合要求，将导致投标无效。</w:t>
      </w:r>
    </w:p>
    <w:bookmarkEnd w:id="0"/>
    <w:bookmarkEnd w:id="1"/>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22.2供应商提供的投标文件应当使用采购文件所提供投标文件格式（表格可按照同样格式扩展），并保证所提供的资料的真实性。未提供格式的，供应商可自行编制。</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22.3采购文件要求提供的所有证书、合同等招标要求的证明资料，均使用复印件，特别说明为原件的除外。</w:t>
      </w:r>
      <w:r>
        <w:rPr>
          <w:rFonts w:hint="eastAsia" w:ascii="仿宋" w:hAnsi="仿宋" w:eastAsia="仿宋" w:cs="仿宋"/>
          <w:color w:val="auto"/>
          <w:sz w:val="24"/>
        </w:rPr>
        <w:t>本采购文件规定的投标文件编制中所需提交的证明材料复印件须加盖供应商公章，</w:t>
      </w:r>
      <w:r>
        <w:rPr>
          <w:rFonts w:hint="eastAsia" w:ascii="仿宋" w:hAnsi="仿宋" w:eastAsia="仿宋" w:cs="仿宋"/>
          <w:b/>
          <w:bCs/>
          <w:color w:val="auto"/>
          <w:sz w:val="24"/>
        </w:rPr>
        <w:t>否则，投标无效。</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22.4 供应商应当按照招标文件的要求编制投标文件。投标文件应当对招标文件提出的要求和条件作出明确响应。</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23. 投标文件的份数和签署</w:t>
      </w:r>
    </w:p>
    <w:p>
      <w:pPr>
        <w:shd w:val="clear" w:color="auto" w:fill="FFFFFF"/>
        <w:spacing w:line="400" w:lineRule="exact"/>
        <w:ind w:firstLine="480" w:firstLineChars="200"/>
        <w:rPr>
          <w:rFonts w:ascii="仿宋" w:hAnsi="仿宋" w:eastAsia="仿宋" w:cs="仿宋"/>
          <w:b/>
          <w:bCs/>
          <w:color w:val="auto"/>
          <w:kern w:val="0"/>
          <w:sz w:val="24"/>
        </w:rPr>
      </w:pPr>
      <w:r>
        <w:rPr>
          <w:rFonts w:hint="eastAsia" w:ascii="仿宋" w:hAnsi="仿宋" w:eastAsia="仿宋" w:cs="仿宋"/>
          <w:color w:val="auto"/>
          <w:kern w:val="0"/>
          <w:sz w:val="24"/>
        </w:rPr>
        <w:t>23.1 供应商应当按照本须知前附表第5项规定的份数提交投标文件。</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23.2 投标文件均须印刷体打印。</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23.3 投标文件签署要求均应符合采购文件相关要求。</w:t>
      </w:r>
    </w:p>
    <w:p>
      <w:pPr>
        <w:shd w:val="clear" w:color="auto" w:fill="FFFFFF"/>
        <w:spacing w:line="400" w:lineRule="exact"/>
        <w:ind w:firstLine="482" w:firstLineChars="200"/>
        <w:rPr>
          <w:rFonts w:ascii="仿宋" w:hAnsi="仿宋" w:eastAsia="仿宋" w:cs="仿宋"/>
          <w:color w:val="auto"/>
          <w:kern w:val="0"/>
          <w:sz w:val="24"/>
          <w:u w:val="single"/>
        </w:rPr>
      </w:pPr>
      <w:r>
        <w:rPr>
          <w:rFonts w:hint="eastAsia" w:ascii="仿宋" w:hAnsi="仿宋" w:eastAsia="仿宋" w:cs="仿宋"/>
          <w:b/>
          <w:color w:val="auto"/>
          <w:kern w:val="0"/>
          <w:sz w:val="24"/>
        </w:rPr>
        <w:t>23.4投标文件未按照上述规定编制，初步评审将不予以通过。</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（四） 投标文件的递交</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24. 投标文件的封装与标记</w:t>
      </w:r>
    </w:p>
    <w:p>
      <w:pPr>
        <w:shd w:val="clear" w:color="auto" w:fill="FFFFFF"/>
        <w:spacing w:line="40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24.1</w:t>
      </w:r>
      <w:r>
        <w:rPr>
          <w:rFonts w:hint="eastAsia" w:ascii="仿宋" w:hAnsi="仿宋" w:eastAsia="仿宋" w:cs="仿宋"/>
          <w:color w:val="auto"/>
          <w:sz w:val="24"/>
        </w:rPr>
        <w:t>供应商可将投标文件的商务部分、技术部分、报价部分</w:t>
      </w:r>
      <w:r>
        <w:rPr>
          <w:rFonts w:hint="eastAsia" w:ascii="仿宋" w:hAnsi="仿宋" w:eastAsia="仿宋" w:cs="仿宋"/>
          <w:b/>
          <w:bCs/>
          <w:color w:val="auto"/>
          <w:sz w:val="24"/>
        </w:rPr>
        <w:t>分开</w:t>
      </w:r>
      <w:r>
        <w:rPr>
          <w:rFonts w:hint="eastAsia" w:ascii="仿宋" w:hAnsi="仿宋" w:eastAsia="仿宋" w:cs="仿宋"/>
          <w:color w:val="auto"/>
          <w:sz w:val="24"/>
        </w:rPr>
        <w:t>装订，也可装订成一册，但分为三个部分。</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24.2 除特别说明外，全套响应文件的书面部分均须使用A4规格纸张无线胶装方式装订，不得采用活页夹等可随时拆换的方式装订。</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24.3供应商应当按照本须知前附表第12项密封要求提交投标文件。</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25. 投标文件的提交</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供应商应当按照本投标须知前附表所规定的地点，于投标截止时间前提交投标文件。未按采购文件规定地点、时间送达或未按采购文件要求封装、标识、提交的投标文件</w:t>
      </w:r>
      <w:r>
        <w:rPr>
          <w:rFonts w:hint="eastAsia" w:ascii="仿宋" w:hAnsi="仿宋" w:eastAsia="仿宋" w:cs="仿宋"/>
          <w:bCs/>
          <w:color w:val="auto"/>
          <w:sz w:val="24"/>
        </w:rPr>
        <w:t>将被拒绝接收</w:t>
      </w:r>
      <w:r>
        <w:rPr>
          <w:rFonts w:hint="eastAsia" w:ascii="仿宋" w:hAnsi="仿宋" w:eastAsia="仿宋" w:cs="仿宋"/>
          <w:bCs/>
          <w:color w:val="auto"/>
          <w:kern w:val="0"/>
          <w:sz w:val="24"/>
        </w:rPr>
        <w:t>。</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26. 投标文件提交的截止时间</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26.1 投标文件提交的截止时间详见本投标须知前附表规定。</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26.2 采购人可按本采购文件第14条规定以修改补充通知的方式，酌情延长提交投标书的截止时间。在上述情况下，采购人与供应商在原投标截止时间前的全部权力和义务，将适用于延长后新的投标截止时间。</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26.3 截至投标文件递交截止时间，采购人收到的投标文件少于3个的，采购人将依法重新组织招标。评标过程中有效供应商少于3个的，应终止评标，由采购人依法重新组织招标。</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27. 迟交的投标文件</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供应商在本投标须知前附表规定的投标截止时间以后送达的投标文件将被拒绝并退回供应商。</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28. 投标文件的补充、修改与撤回</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28.1 供应商在投标须知前附表规定的投标截止时间之前，可以以书面形式补充、修改或撤回已提交的投标文件。</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28.2 供应商对投标文件的补充、修改或撤回，应按本采购文件第 24 条的规定编制、密封、标识和提交，并在内层和外层封套上清楚标明“补充”、“修改”或“撤回”字样。</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28.3 在投标截止时间之后，供应商不得补充、修改投标文件。</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（五） 开标</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29. 开标</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29.1 招标会将于投标须知前附表规定的时间和地点召开，邀请供应商代表参加。评标委员会成员不得参加开标活动。供应商应委派开标代表参加开标。与会的供应商代表应在投标文件递交登记表上签字确认其投标文件已递交。</w:t>
      </w:r>
      <w:r>
        <w:rPr>
          <w:rFonts w:hint="eastAsia" w:ascii="仿宋" w:hAnsi="仿宋" w:eastAsia="仿宋" w:cs="仿宋"/>
          <w:b/>
          <w:color w:val="auto"/>
          <w:kern w:val="0"/>
          <w:sz w:val="24"/>
        </w:rPr>
        <w:t>在开标前不得开启投标文件。</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 开标程序</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29.2.1供应商不足3个的，不得开标。</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29.2.2 开标由采购人或采购代理机构主持；</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29.2.3 宣读开标纪律，介绍采购人、监督人（或公证人员）；</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29.2.4 由监督人（或公证人员）随机抽取的供应商授权代表检查所有递交的投标文件的送达时间、密封情况；</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29.2.5由采购人或采购代理机构工作人员按投标文件送达时间正顺序当众拆启投标文件，宣读开标一览表中供应商的名称及货物名称、数量、价格等采购文件规定的需要宣布的内容；如唱标人宣读的内容与投标文件不一致时，供应商代表应当当场提出。</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29.2.6</w:t>
      </w:r>
      <w:r>
        <w:rPr>
          <w:rFonts w:hint="eastAsia" w:ascii="仿宋" w:hAnsi="仿宋" w:eastAsia="仿宋" w:cs="仿宋"/>
          <w:b/>
          <w:bCs/>
          <w:color w:val="auto"/>
          <w:kern w:val="0"/>
          <w:sz w:val="24"/>
        </w:rPr>
        <w:t>唱标结束后由采购人代表对供应商进行资格审查；资格审查不合格的，投标无效；</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29.2.7 按本文件第 28 条已提交了可接受的撤回通知的投标文件及无效投标文件将不予开封。</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29.2.8 供应商代表对开标过程和开标记录有疑义，以及认为采购人、采购代理机构相关工作人员有需要回避的情形的，应当场提出询问或者回避申请。供应商未参加开标的，视同认可开标结果。</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29.3 公开招标数额标准以上的采购项目，投标截止后供应商不足3家或者通过资格审查或符合性审查的供应商不足3家的，除采购任务取消情形外，可按照以下方式处理：</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（一）采购文件存在不合理条款或者招标程序不符合规定的，采购人、采购代理机构改正后依法重新招标；</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（二）采购文件没有不合理条款、招标程序符合规定，需要采用其他采购方式采购的，采购人应当依法报财政部门批准。</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29.4 采购人或采购代理机构应对开标过程进行记录，由参加开标的各供应商代表和相关工作人员签字确认后随采购文件一并存档。</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30. 资格审查</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30.1开标结束后，采购人按照本须知第21.1条资格响应文件要求的（1）-（7）项内容对各供应商进行资格审查，同时由招标代理机构按照《投标须知前附表》第4.3项要求对所有供应商进行信用记录查询，并将查询结果书面记录资料提交采购人。供应商资格审查不合格的，其投标无效。</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30.2合格供应商不足三家的，不进行评标。</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（六） 评标</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31. 评标委员会与评标</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31.1 评标工作由采购人依法组建的评标委员会负责。评标委员会的名单在评标结果公告前应当保密。</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31.2 本项目评标委员会由</w:t>
      </w:r>
      <w:r>
        <w:rPr>
          <w:rFonts w:hint="eastAsia" w:ascii="仿宋" w:hAnsi="仿宋" w:eastAsia="仿宋" w:cs="仿宋"/>
          <w:color w:val="auto"/>
          <w:kern w:val="0"/>
          <w:sz w:val="24"/>
          <w:u w:val="single"/>
        </w:rPr>
        <w:t>5</w:t>
      </w:r>
      <w:r>
        <w:rPr>
          <w:rFonts w:hint="eastAsia" w:ascii="仿宋" w:hAnsi="仿宋" w:eastAsia="仿宋" w:cs="仿宋"/>
          <w:color w:val="auto"/>
          <w:kern w:val="0"/>
          <w:sz w:val="24"/>
        </w:rPr>
        <w:t>人组成，其中：专家库中随机抽取专家</w:t>
      </w:r>
      <w:r>
        <w:rPr>
          <w:rFonts w:hint="eastAsia" w:ascii="仿宋" w:hAnsi="仿宋" w:eastAsia="仿宋" w:cs="仿宋"/>
          <w:color w:val="auto"/>
          <w:kern w:val="0"/>
          <w:sz w:val="24"/>
          <w:u w:val="single"/>
        </w:rPr>
        <w:t>4</w:t>
      </w:r>
      <w:r>
        <w:rPr>
          <w:rFonts w:hint="eastAsia" w:ascii="仿宋" w:hAnsi="仿宋" w:eastAsia="仿宋" w:cs="仿宋"/>
          <w:color w:val="auto"/>
          <w:kern w:val="0"/>
          <w:sz w:val="24"/>
        </w:rPr>
        <w:t>人,采购人代表</w:t>
      </w:r>
      <w:r>
        <w:rPr>
          <w:rFonts w:hint="eastAsia" w:ascii="仿宋" w:hAnsi="仿宋" w:eastAsia="仿宋" w:cs="仿宋"/>
          <w:color w:val="auto"/>
          <w:kern w:val="0"/>
          <w:sz w:val="24"/>
          <w:u w:val="single"/>
        </w:rPr>
        <w:t>1</w:t>
      </w:r>
      <w:r>
        <w:rPr>
          <w:rFonts w:hint="eastAsia" w:ascii="仿宋" w:hAnsi="仿宋" w:eastAsia="仿宋" w:cs="仿宋"/>
          <w:color w:val="auto"/>
          <w:kern w:val="0"/>
          <w:sz w:val="24"/>
        </w:rPr>
        <w:t>人。</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31.3 开标结束后，开始评标，评标采用保密方式进行。</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31.4 评标委员会主任由评标委员会成员推举产生，并与评标委员会其他成员有同等的权利和义务。采购人代表不得担任评标委员会组长。</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31.5 评标委员会成员应当客观、公正地履行职责，遵守职业道德，对所提出的评审意见承担个人责任。</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31.6 评标委员会根据采购文件确定的评比标准和方法，对投标文件进行系统地评审和比较。采购文件中没有规定的标准和方法不得作为评标的依据。</w:t>
      </w:r>
    </w:p>
    <w:p>
      <w:pPr>
        <w:shd w:val="clear" w:color="auto" w:fill="FFFFFF"/>
        <w:spacing w:line="40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31.7在评标过程中，评标委员会发现有证据表明供应商以他人的名义投标、串通投标、以行贿手段谋取中标或者以其他弄虚作假方式投标的，该供应商的投标作无效标处理。并在评标报告中说明。</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32. 投标文件的澄清</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32.1 为有助于对投标文件进行审查、评估和比较，供应商对评审中评标委员会书面提出的投标文件中含义不明确、同类问题表述不一致或者有明显文字和计算错误的内容，供应商以采用书面形式的澄清、说明或者补正，并加盖公章，或者由法定代表人或其授权的代表签字。供应商的澄清、说明或者补正不得超出投标文件的范围或者改变投标文件的实质性内容。</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32.2 供应商未按照要求对投标文件进行澄清、说明或者补正的，评标委员会可以否决其投标。</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33. 投标文件的评审、比较</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33.1 投标文件符合性审查</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33.1.1评标委员会应当对符合资格的供应商的投标文件进行符合性审查，以确定其是否满足采购文件的实质性要求。通过资格审查的供应商的投标文件进入详细评审。</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 投标文件的详细评审</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33.2.1</w:t>
      </w:r>
      <w:r>
        <w:rPr>
          <w:rFonts w:hint="eastAsia" w:ascii="仿宋" w:hAnsi="仿宋" w:eastAsia="仿宋" w:cs="仿宋"/>
          <w:bCs/>
          <w:color w:val="auto"/>
          <w:kern w:val="0"/>
          <w:sz w:val="24"/>
        </w:rPr>
        <w:t>综合评分法是指投标文件满足采购文件全部实质性要求，且按照评审因素的量化指标评审综合得分（即商务部分、技术部分、报价部分合计分值）最高的供应商为中标候选人的评标方法。采用综合评分法的，评标委员会将按供应商得分顺序由高到低依次排名，得分相同的，按投标报价由低到高顺序排列。得分及报价相同的，按技术指标优劣顺序排列。得分最高的前一至三名供应商将成为中标候选人。</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33.2.2 评审中，评标委员会可对投标文件中含义不明确、同类问题表述不一致或者有明显文字和计算错误的内容，评标委员会应当以书面形式要求供应商作出必要的澄清、说明或者补正。</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供应商的澄清、说明或者补正应当采用书面形式，并加盖公章，或者由法定代表人或其授权的代表签字。供应商的澄清、说明或者补正不得超出投标文件的范围或者改变投标文件的实质性内容。</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1"/>
          <w:sz w:val="24"/>
        </w:rPr>
        <w:t>33.3.4使用综合评分法的采购项目，提供相同品牌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33.2.5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33.2.6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33.2.7评标结果汇总完成后，除下列情形外，任何人不得修改评标结果：</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（一）分值汇总计算错误的；</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（二）分项评分超出评分标准范围的；</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（三）评标委员会成员对客观评审因素评分不一致的；</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（四）经评标委员会认定评分畸高、畸低的。</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00" w:lineRule="exact"/>
        <w:ind w:firstLine="480" w:firstLineChars="200"/>
        <w:rPr>
          <w:rFonts w:ascii="仿宋" w:hAnsi="仿宋" w:eastAsia="仿宋" w:cs="仿宋"/>
          <w:bCs/>
          <w:color w:val="auto"/>
          <w:kern w:val="0"/>
          <w:sz w:val="24"/>
        </w:rPr>
      </w:pPr>
      <w:r>
        <w:rPr>
          <w:rFonts w:hint="eastAsia" w:ascii="仿宋" w:hAnsi="仿宋" w:eastAsia="仿宋" w:cs="仿宋"/>
          <w:color w:val="auto"/>
          <w:kern w:val="0"/>
          <w:sz w:val="24"/>
        </w:rPr>
        <w:t>33.2.8 评标委员会依据投标须知前附表规定的评标方法，对供应商的投标文件进行评审和比较，</w:t>
      </w:r>
      <w:r>
        <w:rPr>
          <w:rFonts w:hint="eastAsia" w:ascii="仿宋" w:hAnsi="仿宋" w:eastAsia="仿宋" w:cs="仿宋"/>
          <w:bCs/>
          <w:color w:val="auto"/>
          <w:kern w:val="0"/>
          <w:sz w:val="24"/>
        </w:rPr>
        <w:t>供应商最终得分等于商务部分、技术部分、报价部分得分之和。评标委员会确定供应商最终得分向采购人提出书面报告，并推荐合格的中标候选人。</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34. 评标的办法和标准</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34.1 本招标项目评标办法为综合评分法</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 审查</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34.2.1 资格审查</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34.2.2 投标文件符合性审查</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34.2.3 投标文件详细评审</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（1）投标报价评审</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（2）投标文件商务部分、技术部分评审</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34.3 评标的具体评审办法和标准</w:t>
      </w:r>
    </w:p>
    <w:p>
      <w:pPr>
        <w:shd w:val="clear" w:color="auto" w:fill="FFFFFF"/>
        <w:tabs>
          <w:tab w:val="left" w:pos="3045"/>
        </w:tabs>
        <w:autoSpaceDE w:val="0"/>
        <w:autoSpaceDN w:val="0"/>
        <w:adjustRightInd w:val="0"/>
        <w:snapToGrid w:val="0"/>
        <w:spacing w:line="400" w:lineRule="exact"/>
        <w:rPr>
          <w:rFonts w:ascii="仿宋" w:hAnsi="仿宋" w:eastAsia="仿宋" w:cs="仿宋"/>
          <w:b/>
          <w:color w:val="auto"/>
          <w:kern w:val="0"/>
          <w:sz w:val="24"/>
        </w:rPr>
      </w:pPr>
      <w:r>
        <w:rPr>
          <w:rFonts w:hint="eastAsia" w:ascii="仿宋" w:hAnsi="仿宋" w:eastAsia="仿宋" w:cs="仿宋"/>
          <w:b/>
          <w:color w:val="auto"/>
          <w:kern w:val="0"/>
          <w:sz w:val="24"/>
        </w:rPr>
        <w:br w:type="page"/>
      </w:r>
      <w:r>
        <w:rPr>
          <w:rFonts w:hint="eastAsia" w:ascii="仿宋" w:hAnsi="仿宋" w:eastAsia="仿宋" w:cs="仿宋"/>
          <w:b/>
          <w:color w:val="auto"/>
          <w:kern w:val="0"/>
          <w:sz w:val="24"/>
        </w:rPr>
        <w:t>34.3.1资格审查</w:t>
      </w:r>
    </w:p>
    <w:tbl>
      <w:tblPr>
        <w:tblStyle w:val="61"/>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67"/>
        <w:gridCol w:w="4961"/>
        <w:gridCol w:w="1134"/>
        <w:gridCol w:w="1134"/>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68" w:type="dxa"/>
            <w:tcBorders>
              <w:bottom w:val="single" w:color="auto" w:sz="4" w:space="0"/>
            </w:tcBorders>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项目</w:t>
            </w:r>
          </w:p>
        </w:tc>
        <w:tc>
          <w:tcPr>
            <w:tcW w:w="5528" w:type="dxa"/>
            <w:gridSpan w:val="2"/>
            <w:tcBorders>
              <w:bottom w:val="single" w:color="auto" w:sz="4" w:space="0"/>
            </w:tcBorders>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评  审  内  容</w:t>
            </w:r>
          </w:p>
        </w:tc>
        <w:tc>
          <w:tcPr>
            <w:tcW w:w="1134" w:type="dxa"/>
            <w:tcBorders>
              <w:bottom w:val="single" w:color="auto" w:sz="4" w:space="0"/>
            </w:tcBorders>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供应商1</w:t>
            </w:r>
          </w:p>
        </w:tc>
        <w:tc>
          <w:tcPr>
            <w:tcW w:w="1134" w:type="dxa"/>
            <w:tcBorders>
              <w:bottom w:val="single" w:color="auto" w:sz="4" w:space="0"/>
            </w:tcBorders>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供应商2</w:t>
            </w:r>
          </w:p>
        </w:tc>
        <w:tc>
          <w:tcPr>
            <w:tcW w:w="1134" w:type="dxa"/>
            <w:tcBorders>
              <w:bottom w:val="single" w:color="auto" w:sz="4" w:space="0"/>
            </w:tcBorders>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供应商3</w:t>
            </w:r>
          </w:p>
        </w:tc>
        <w:tc>
          <w:tcPr>
            <w:tcW w:w="709" w:type="dxa"/>
            <w:tcBorders>
              <w:bottom w:val="single" w:color="auto" w:sz="4" w:space="0"/>
            </w:tcBorders>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568" w:type="dxa"/>
            <w:vMerge w:val="restart"/>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资</w:t>
            </w:r>
          </w:p>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格</w:t>
            </w:r>
          </w:p>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审</w:t>
            </w:r>
          </w:p>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查</w:t>
            </w:r>
          </w:p>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表</w:t>
            </w:r>
          </w:p>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1</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供应商营业执照或其他组织资格证书，（复印件加盖公章）</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2</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法定代表人资格证明书和法定代表人身份证或者法定代表人授权委托书及被授权人身份证明，授权委托书原件放入正本</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3</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供应商近</w:t>
            </w:r>
            <w:r>
              <w:rPr>
                <w:rFonts w:hint="eastAsia" w:ascii="仿宋" w:hAnsi="仿宋" w:eastAsia="仿宋" w:cs="仿宋"/>
                <w:bCs/>
                <w:color w:val="auto"/>
                <w:kern w:val="0"/>
                <w:sz w:val="24"/>
                <w:lang w:val="en-US" w:eastAsia="zh-CN"/>
              </w:rPr>
              <w:t>3</w:t>
            </w:r>
            <w:r>
              <w:rPr>
                <w:rFonts w:hint="eastAsia" w:ascii="仿宋" w:hAnsi="仿宋" w:eastAsia="仿宋" w:cs="仿宋"/>
                <w:bCs/>
                <w:color w:val="auto"/>
                <w:kern w:val="0"/>
                <w:sz w:val="24"/>
              </w:rPr>
              <w:t>个月依法纳税及缴纳社会保险相关证明资料</w:t>
            </w:r>
            <w:r>
              <w:rPr>
                <w:rFonts w:hint="eastAsia" w:ascii="仿宋" w:hAnsi="仿宋" w:eastAsia="仿宋" w:cs="仿宋"/>
                <w:color w:val="auto"/>
                <w:kern w:val="0"/>
                <w:sz w:val="24"/>
              </w:rPr>
              <w:t>，</w:t>
            </w:r>
            <w:r>
              <w:rPr>
                <w:rFonts w:hint="eastAsia" w:ascii="仿宋" w:hAnsi="仿宋" w:eastAsia="仿宋" w:cs="仿宋"/>
                <w:bCs/>
                <w:color w:val="auto"/>
                <w:kern w:val="0"/>
                <w:sz w:val="24"/>
              </w:rPr>
              <w:t>复印件加盖公章</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4</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供应商经审计的202</w:t>
            </w:r>
            <w:r>
              <w:rPr>
                <w:rFonts w:hint="eastAsia" w:ascii="仿宋" w:hAnsi="仿宋" w:eastAsia="仿宋" w:cs="仿宋"/>
                <w:bCs/>
                <w:color w:val="auto"/>
                <w:kern w:val="0"/>
                <w:sz w:val="24"/>
                <w:lang w:val="en-US" w:eastAsia="zh-CN"/>
              </w:rPr>
              <w:t>1</w:t>
            </w:r>
            <w:r>
              <w:rPr>
                <w:rFonts w:hint="eastAsia" w:ascii="仿宋" w:hAnsi="仿宋" w:eastAsia="仿宋" w:cs="仿宋"/>
                <w:bCs/>
                <w:color w:val="auto"/>
                <w:kern w:val="0"/>
                <w:sz w:val="24"/>
              </w:rPr>
              <w:t>年度的财务报告（投标单位成立不满一年的不需提供），（复印件加盖公章）</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5</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供应商参加本次政府采购活动前3年内在经营活动中没有重大违法记录的书面声明，原件放入正本</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6</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供应商医疗器械经营许可证（或按照国家食品药品监督管理部门规定实行备案管理的，出具备案证明文件）（复印件加盖公章）</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7</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color w:val="auto"/>
                <w:sz w:val="24"/>
              </w:rPr>
              <w:t>供应商</w:t>
            </w:r>
            <w:r>
              <w:rPr>
                <w:rFonts w:hint="eastAsia" w:ascii="仿宋" w:hAnsi="仿宋" w:eastAsia="仿宋"/>
                <w:bCs/>
                <w:color w:val="auto"/>
                <w:kern w:val="0"/>
                <w:sz w:val="24"/>
              </w:rPr>
              <w:t>所投车型在国家工信部官网发布的《车辆生产企业及产品公告》网页截图（复印件加盖公章）</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hint="eastAsia" w:ascii="仿宋" w:hAnsi="仿宋" w:eastAsia="仿宋" w:cs="仿宋"/>
                <w:bCs/>
                <w:color w:val="auto"/>
                <w:kern w:val="0"/>
                <w:sz w:val="24"/>
                <w:lang w:eastAsia="zh-CN"/>
              </w:rPr>
            </w:pPr>
            <w:r>
              <w:rPr>
                <w:rFonts w:hint="eastAsia" w:ascii="仿宋" w:hAnsi="仿宋" w:eastAsia="仿宋" w:cs="仿宋"/>
                <w:bCs/>
                <w:color w:val="auto"/>
                <w:kern w:val="0"/>
                <w:sz w:val="24"/>
                <w:lang w:val="en-US" w:eastAsia="zh-CN"/>
              </w:rPr>
              <w:t>8</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投标保证金缴纳凭证（复印件加盖公章）</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568" w:type="dxa"/>
            <w:vMerge w:val="continue"/>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567" w:type="dxa"/>
            <w:vAlign w:val="center"/>
          </w:tcPr>
          <w:p>
            <w:pPr>
              <w:shd w:val="clear" w:color="auto" w:fill="FFFFFF"/>
              <w:tabs>
                <w:tab w:val="left" w:pos="3045"/>
              </w:tabs>
              <w:autoSpaceDE w:val="0"/>
              <w:autoSpaceDN w:val="0"/>
              <w:adjustRightInd w:val="0"/>
              <w:snapToGrid w:val="0"/>
              <w:spacing w:line="340" w:lineRule="exact"/>
              <w:rPr>
                <w:rFonts w:hint="default"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9</w:t>
            </w:r>
          </w:p>
        </w:tc>
        <w:tc>
          <w:tcPr>
            <w:tcW w:w="4961"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信用查询记录未出现《投标须知前附表》第4.3项所述违法或失信情形。</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6096" w:type="dxa"/>
            <w:gridSpan w:val="3"/>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结论</w:t>
            </w: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1134"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c>
          <w:tcPr>
            <w:tcW w:w="709" w:type="dxa"/>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0207" w:type="dxa"/>
            <w:gridSpan w:val="7"/>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采购人代表签名：</w:t>
            </w:r>
          </w:p>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10207" w:type="dxa"/>
            <w:gridSpan w:val="7"/>
            <w:vAlign w:val="center"/>
          </w:tcPr>
          <w:p>
            <w:pPr>
              <w:shd w:val="clear" w:color="auto" w:fill="FFFFFF"/>
              <w:tabs>
                <w:tab w:val="left" w:pos="3045"/>
              </w:tabs>
              <w:autoSpaceDE w:val="0"/>
              <w:autoSpaceDN w:val="0"/>
              <w:adjustRightInd w:val="0"/>
              <w:snapToGrid w:val="0"/>
              <w:spacing w:line="340" w:lineRule="exact"/>
              <w:rPr>
                <w:rFonts w:ascii="仿宋" w:hAnsi="仿宋" w:eastAsia="仿宋" w:cs="仿宋"/>
                <w:bCs/>
                <w:color w:val="auto"/>
                <w:kern w:val="0"/>
                <w:sz w:val="24"/>
              </w:rPr>
            </w:pPr>
            <w:r>
              <w:rPr>
                <w:rFonts w:hint="eastAsia" w:ascii="仿宋" w:hAnsi="仿宋" w:eastAsia="仿宋" w:cs="仿宋"/>
                <w:bCs/>
                <w:color w:val="auto"/>
                <w:kern w:val="0"/>
                <w:sz w:val="24"/>
              </w:rPr>
              <w:t>备注：上述每一项审查，供应商通过的，以“√”标记；否则，以“×”标记。如果供应商有一项未通过上述审查，其结论请注明“不合格”，全部通过的，其结论请注明“合格”。资格审查不合格的供应商，投标无效。</w:t>
            </w:r>
          </w:p>
        </w:tc>
      </w:tr>
    </w:tbl>
    <w:p>
      <w:pPr>
        <w:rPr>
          <w:rFonts w:hint="eastAsia" w:ascii="仿宋" w:hAnsi="仿宋" w:eastAsia="仿宋" w:cs="仿宋"/>
          <w:b/>
          <w:color w:val="auto"/>
          <w:sz w:val="24"/>
        </w:rPr>
      </w:pPr>
      <w:r>
        <w:rPr>
          <w:rFonts w:hint="eastAsia" w:ascii="仿宋" w:hAnsi="仿宋" w:eastAsia="仿宋" w:cs="仿宋"/>
          <w:b/>
          <w:color w:val="auto"/>
          <w:sz w:val="24"/>
        </w:rPr>
        <w:br w:type="page"/>
      </w:r>
    </w:p>
    <w:p>
      <w:pPr>
        <w:pStyle w:val="59"/>
        <w:spacing w:line="400" w:lineRule="exact"/>
        <w:ind w:firstLine="241"/>
        <w:rPr>
          <w:rFonts w:ascii="仿宋" w:hAnsi="仿宋" w:eastAsia="仿宋" w:cs="仿宋"/>
          <w:color w:val="auto"/>
        </w:rPr>
      </w:pPr>
      <w:r>
        <w:rPr>
          <w:rFonts w:hint="eastAsia" w:ascii="仿宋" w:hAnsi="仿宋" w:eastAsia="仿宋" w:cs="仿宋"/>
          <w:b/>
          <w:color w:val="auto"/>
          <w:sz w:val="24"/>
        </w:rPr>
        <w:t>34.3.2符合性审查</w:t>
      </w:r>
    </w:p>
    <w:tbl>
      <w:tblPr>
        <w:tblStyle w:val="6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3544"/>
        <w:gridCol w:w="1134"/>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51" w:type="dxa"/>
            <w:tcBorders>
              <w:bottom w:val="single" w:color="auto" w:sz="4" w:space="0"/>
            </w:tcBorders>
            <w:vAlign w:val="center"/>
          </w:tcPr>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项目</w:t>
            </w:r>
          </w:p>
        </w:tc>
        <w:tc>
          <w:tcPr>
            <w:tcW w:w="4111" w:type="dxa"/>
            <w:gridSpan w:val="2"/>
            <w:tcBorders>
              <w:bottom w:val="single" w:color="auto" w:sz="4" w:space="0"/>
            </w:tcBorders>
            <w:vAlign w:val="center"/>
          </w:tcPr>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评  审  内  容</w:t>
            </w:r>
          </w:p>
        </w:tc>
        <w:tc>
          <w:tcPr>
            <w:tcW w:w="1134" w:type="dxa"/>
            <w:tcBorders>
              <w:bottom w:val="single" w:color="auto" w:sz="4" w:space="0"/>
            </w:tcBorders>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供应商1</w:t>
            </w:r>
          </w:p>
        </w:tc>
        <w:tc>
          <w:tcPr>
            <w:tcW w:w="1275" w:type="dxa"/>
            <w:tcBorders>
              <w:bottom w:val="single" w:color="auto" w:sz="4" w:space="0"/>
            </w:tcBorders>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供应商2</w:t>
            </w:r>
          </w:p>
        </w:tc>
        <w:tc>
          <w:tcPr>
            <w:tcW w:w="1276" w:type="dxa"/>
            <w:tcBorders>
              <w:bottom w:val="single" w:color="auto" w:sz="4" w:space="0"/>
            </w:tcBorders>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供应商3</w:t>
            </w:r>
          </w:p>
        </w:tc>
        <w:tc>
          <w:tcPr>
            <w:tcW w:w="1134" w:type="dxa"/>
            <w:tcBorders>
              <w:bottom w:val="single" w:color="auto" w:sz="4" w:space="0"/>
            </w:tcBorders>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1" w:type="dxa"/>
            <w:vMerge w:val="restart"/>
            <w:vAlign w:val="center"/>
          </w:tcPr>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初</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步</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评</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审</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符</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合</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性</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审</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查</w:t>
            </w:r>
          </w:p>
          <w:p>
            <w:pPr>
              <w:shd w:val="clear" w:color="auto" w:fill="FFFFFF"/>
              <w:spacing w:line="400" w:lineRule="exact"/>
              <w:jc w:val="center"/>
              <w:rPr>
                <w:rFonts w:ascii="仿宋" w:hAnsi="仿宋" w:eastAsia="仿宋" w:cs="仿宋"/>
                <w:b/>
                <w:color w:val="auto"/>
                <w:sz w:val="24"/>
              </w:rPr>
            </w:pPr>
            <w:r>
              <w:rPr>
                <w:rFonts w:hint="eastAsia" w:ascii="仿宋" w:hAnsi="仿宋" w:eastAsia="仿宋" w:cs="仿宋"/>
                <w:b/>
                <w:color w:val="auto"/>
                <w:sz w:val="24"/>
              </w:rPr>
              <w:t>表</w:t>
            </w:r>
          </w:p>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b/>
                <w:color w:val="auto"/>
                <w:sz w:val="24"/>
              </w:rPr>
              <w:t>︺</w:t>
            </w: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投标文件组成完整，主要内容按采购文件规定的内容、格式、份数、填写装订</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投标报价</w:t>
            </w:r>
            <w:r>
              <w:rPr>
                <w:rFonts w:hint="eastAsia" w:ascii="仿宋" w:hAnsi="仿宋" w:eastAsia="仿宋" w:cs="仿宋"/>
                <w:color w:val="auto"/>
                <w:sz w:val="24"/>
                <w:lang w:val="en-US" w:eastAsia="zh-CN"/>
              </w:rPr>
              <w:t>均</w:t>
            </w:r>
            <w:r>
              <w:rPr>
                <w:rFonts w:hint="eastAsia" w:ascii="仿宋" w:hAnsi="仿宋" w:eastAsia="仿宋" w:cs="仿宋"/>
                <w:color w:val="auto"/>
                <w:sz w:val="24"/>
              </w:rPr>
              <w:t>未超过最高限价的</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供应商未出现对同一货物做出两个以上报价且未明确效力的</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投标文件载明的“交货期”、“交货地点”、“质保期”、“付款方式”符合招标文件要求</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5</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投标保证金的缴纳主体与供应商一致且按照采购文件要求的金额、方式提供投标保证金</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6</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投标文件按照招标文件第二章第21项要求的资格、商务、技术、报价部分提供必备项内容；</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7</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投标承诺书按采购文件规定格式完整提供、且按采购文件要求签字或盖章</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8</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法定代表人资格证明书及法定代表人授权委托书按采购文件规定格式完整提供、并按采购文件要求签字、盖章</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9</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投标文件未附有采购人不能接受的条件</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851" w:type="dxa"/>
            <w:vMerge w:val="continue"/>
            <w:vAlign w:val="center"/>
          </w:tcPr>
          <w:p>
            <w:pPr>
              <w:shd w:val="clear" w:color="auto" w:fill="FFFFFF"/>
              <w:spacing w:line="400" w:lineRule="exact"/>
              <w:jc w:val="center"/>
              <w:rPr>
                <w:rFonts w:ascii="仿宋" w:hAnsi="仿宋" w:eastAsia="仿宋" w:cs="仿宋"/>
                <w:color w:val="auto"/>
                <w:sz w:val="24"/>
              </w:rPr>
            </w:pPr>
          </w:p>
        </w:tc>
        <w:tc>
          <w:tcPr>
            <w:tcW w:w="56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10</w:t>
            </w:r>
          </w:p>
        </w:tc>
        <w:tc>
          <w:tcPr>
            <w:tcW w:w="3544"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kern w:val="0"/>
                <w:sz w:val="24"/>
              </w:rPr>
              <w:t>符合法律、法规和采购文件中规定的其他实质性要求</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4962" w:type="dxa"/>
            <w:gridSpan w:val="3"/>
            <w:vAlign w:val="center"/>
          </w:tcPr>
          <w:p>
            <w:pPr>
              <w:shd w:val="clear" w:color="auto" w:fill="FFFFFF"/>
              <w:spacing w:line="400" w:lineRule="exact"/>
              <w:jc w:val="right"/>
              <w:rPr>
                <w:rFonts w:ascii="仿宋" w:hAnsi="仿宋" w:eastAsia="仿宋" w:cs="仿宋"/>
                <w:color w:val="auto"/>
                <w:sz w:val="24"/>
              </w:rPr>
            </w:pPr>
            <w:r>
              <w:rPr>
                <w:rFonts w:hint="eastAsia" w:ascii="仿宋" w:hAnsi="仿宋" w:eastAsia="仿宋" w:cs="仿宋"/>
                <w:color w:val="auto"/>
                <w:sz w:val="24"/>
              </w:rPr>
              <w:t>结论</w:t>
            </w:r>
          </w:p>
        </w:tc>
        <w:tc>
          <w:tcPr>
            <w:tcW w:w="1134" w:type="dxa"/>
            <w:vAlign w:val="center"/>
          </w:tcPr>
          <w:p>
            <w:pPr>
              <w:shd w:val="clear" w:color="auto" w:fill="FFFFFF"/>
              <w:spacing w:line="400" w:lineRule="exact"/>
              <w:rPr>
                <w:rFonts w:ascii="仿宋" w:hAnsi="仿宋" w:eastAsia="仿宋" w:cs="仿宋"/>
                <w:color w:val="auto"/>
                <w:sz w:val="24"/>
              </w:rPr>
            </w:pPr>
          </w:p>
        </w:tc>
        <w:tc>
          <w:tcPr>
            <w:tcW w:w="1275" w:type="dxa"/>
            <w:vAlign w:val="center"/>
          </w:tcPr>
          <w:p>
            <w:pPr>
              <w:shd w:val="clear" w:color="auto" w:fill="FFFFFF"/>
              <w:spacing w:line="400" w:lineRule="exact"/>
              <w:rPr>
                <w:rFonts w:ascii="仿宋" w:hAnsi="仿宋" w:eastAsia="仿宋" w:cs="仿宋"/>
                <w:color w:val="auto"/>
                <w:sz w:val="24"/>
              </w:rPr>
            </w:pPr>
          </w:p>
        </w:tc>
        <w:tc>
          <w:tcPr>
            <w:tcW w:w="1276" w:type="dxa"/>
            <w:vAlign w:val="center"/>
          </w:tcPr>
          <w:p>
            <w:pPr>
              <w:shd w:val="clear" w:color="auto" w:fill="FFFFFF"/>
              <w:spacing w:line="400" w:lineRule="exact"/>
              <w:rPr>
                <w:rFonts w:ascii="仿宋" w:hAnsi="仿宋" w:eastAsia="仿宋" w:cs="仿宋"/>
                <w:color w:val="auto"/>
                <w:sz w:val="24"/>
              </w:rPr>
            </w:pPr>
          </w:p>
        </w:tc>
        <w:tc>
          <w:tcPr>
            <w:tcW w:w="1134" w:type="dxa"/>
            <w:vAlign w:val="center"/>
          </w:tcPr>
          <w:p>
            <w:pPr>
              <w:shd w:val="clear" w:color="auto" w:fill="FFFFFF"/>
              <w:spacing w:line="400" w:lineRule="exact"/>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781" w:type="dxa"/>
            <w:gridSpan w:val="7"/>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b/>
                <w:color w:val="auto"/>
                <w:sz w:val="24"/>
              </w:rPr>
              <w:t>评标委员会成员签名：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781" w:type="dxa"/>
            <w:gridSpan w:val="7"/>
            <w:vAlign w:val="center"/>
          </w:tcPr>
          <w:p>
            <w:pPr>
              <w:shd w:val="clear" w:color="auto" w:fill="FFFFFF"/>
              <w:spacing w:line="400" w:lineRule="exact"/>
              <w:rPr>
                <w:rFonts w:ascii="仿宋" w:hAnsi="仿宋" w:eastAsia="仿宋" w:cs="仿宋"/>
                <w:b/>
                <w:color w:val="auto"/>
                <w:sz w:val="24"/>
              </w:rPr>
            </w:pPr>
            <w:r>
              <w:rPr>
                <w:rFonts w:hint="eastAsia" w:ascii="仿宋" w:hAnsi="仿宋" w:eastAsia="仿宋" w:cs="仿宋"/>
                <w:color w:val="auto"/>
                <w:sz w:val="24"/>
              </w:rPr>
              <w:t>备注：上述每一项审查，供应商通过的，以“√”标记；否则，以“×”标记。如果供应商有一项未通过上述审查，其结论请注明“不合格”，全部通过的，其结论请注明“合格”。初步评审合格的供应商方可进入详细评审阶段。</w:t>
            </w:r>
          </w:p>
        </w:tc>
      </w:tr>
    </w:tbl>
    <w:p>
      <w:pPr>
        <w:shd w:val="clear" w:color="auto" w:fill="FFFFFF"/>
        <w:spacing w:line="400" w:lineRule="exact"/>
        <w:rPr>
          <w:rFonts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color w:val="auto"/>
          <w:sz w:val="24"/>
        </w:rPr>
        <w:t>34.3.3详细评审</w:t>
      </w:r>
    </w:p>
    <w:p>
      <w:pPr>
        <w:pStyle w:val="523"/>
        <w:shd w:val="clear" w:color="auto" w:fill="FFFFFF"/>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初步评审合格的供应商方可进入详细评审阶段。详细评审分为投标报价评审和投标文件商务部分、技术部分评审。其中，报价部分30分，商务部分</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分，技术部分</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分，合计满分100分。</w:t>
      </w:r>
    </w:p>
    <w:p>
      <w:pPr>
        <w:shd w:val="clear" w:color="auto" w:fill="FFFFFF"/>
        <w:spacing w:line="400" w:lineRule="exact"/>
        <w:rPr>
          <w:rFonts w:ascii="仿宋" w:hAnsi="仿宋" w:eastAsia="仿宋" w:cs="仿宋"/>
          <w:b/>
          <w:color w:val="auto"/>
          <w:sz w:val="24"/>
        </w:rPr>
      </w:pPr>
      <w:r>
        <w:rPr>
          <w:rFonts w:hint="eastAsia" w:ascii="仿宋" w:hAnsi="仿宋" w:eastAsia="仿宋" w:cs="仿宋"/>
          <w:b/>
          <w:color w:val="auto"/>
          <w:sz w:val="24"/>
        </w:rPr>
        <w:t>具体评审内容及标准</w:t>
      </w:r>
    </w:p>
    <w:p>
      <w:pPr>
        <w:pStyle w:val="523"/>
        <w:shd w:val="clear" w:color="auto" w:fill="FFFFFF"/>
        <w:spacing w:line="40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报价评审</w:t>
      </w:r>
    </w:p>
    <w:tbl>
      <w:tblPr>
        <w:tblStyle w:val="61"/>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 w:hRule="atLeast"/>
          <w:jc w:val="center"/>
        </w:trPr>
        <w:tc>
          <w:tcPr>
            <w:tcW w:w="2175" w:type="dxa"/>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评审因素</w:t>
            </w:r>
          </w:p>
        </w:tc>
        <w:tc>
          <w:tcPr>
            <w:tcW w:w="115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分值</w:t>
            </w:r>
          </w:p>
        </w:tc>
        <w:tc>
          <w:tcPr>
            <w:tcW w:w="6365"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2175"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价格部分（30分）</w:t>
            </w:r>
          </w:p>
        </w:tc>
        <w:tc>
          <w:tcPr>
            <w:tcW w:w="1157" w:type="dxa"/>
            <w:vAlign w:val="center"/>
          </w:tcPr>
          <w:p>
            <w:pPr>
              <w:shd w:val="clear" w:color="auto" w:fill="FFFFFF"/>
              <w:spacing w:line="400" w:lineRule="exact"/>
              <w:jc w:val="center"/>
              <w:rPr>
                <w:rFonts w:ascii="仿宋" w:hAnsi="仿宋" w:eastAsia="仿宋" w:cs="仿宋"/>
                <w:color w:val="auto"/>
                <w:sz w:val="24"/>
              </w:rPr>
            </w:pPr>
            <w:r>
              <w:rPr>
                <w:rFonts w:hint="eastAsia" w:ascii="仿宋" w:hAnsi="仿宋" w:eastAsia="仿宋" w:cs="仿宋"/>
                <w:color w:val="auto"/>
                <w:sz w:val="24"/>
              </w:rPr>
              <w:t>30分</w:t>
            </w:r>
          </w:p>
        </w:tc>
        <w:tc>
          <w:tcPr>
            <w:tcW w:w="6365" w:type="dxa"/>
            <w:vAlign w:val="center"/>
          </w:tcPr>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采用低价优先法计算，即满足采购文件要求且投标价格最低的投标报价为评标基准价，其价格分为满分。</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其他供应商的价格分统一按照下列公式计算:</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投标报价得分=(评标基准价/投标报价)×30%×100（小数点保留两位）</w:t>
            </w:r>
          </w:p>
        </w:tc>
      </w:tr>
    </w:tbl>
    <w:p>
      <w:pPr>
        <w:pStyle w:val="523"/>
        <w:shd w:val="clear" w:color="auto" w:fill="FFFFFF"/>
        <w:spacing w:line="400" w:lineRule="exact"/>
        <w:jc w:val="center"/>
        <w:rPr>
          <w:rFonts w:ascii="仿宋" w:hAnsi="仿宋" w:eastAsia="仿宋" w:cs="仿宋"/>
          <w:b/>
          <w:color w:val="auto"/>
          <w:sz w:val="24"/>
          <w:szCs w:val="24"/>
        </w:rPr>
      </w:pPr>
    </w:p>
    <w:p>
      <w:pPr>
        <w:pStyle w:val="523"/>
        <w:shd w:val="clear" w:color="auto" w:fill="FFFFFF"/>
        <w:spacing w:line="40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商务技术评审</w:t>
      </w:r>
    </w:p>
    <w:tbl>
      <w:tblPr>
        <w:tblStyle w:val="61"/>
        <w:tblW w:w="9726"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0"/>
        <w:gridCol w:w="1083"/>
        <w:gridCol w:w="570"/>
        <w:gridCol w:w="7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atLeast"/>
        </w:trPr>
        <w:tc>
          <w:tcPr>
            <w:tcW w:w="1020" w:type="dxa"/>
            <w:noWrap/>
            <w:tcMar>
              <w:top w:w="15" w:type="dxa"/>
              <w:left w:w="15" w:type="dxa"/>
              <w:right w:w="15" w:type="dxa"/>
            </w:tcMar>
            <w:vAlign w:val="center"/>
          </w:tcPr>
          <w:p>
            <w:pPr>
              <w:widowControl/>
              <w:spacing w:line="400" w:lineRule="exact"/>
              <w:jc w:val="center"/>
              <w:textAlignment w:val="top"/>
              <w:rPr>
                <w:rFonts w:ascii="仿宋" w:hAnsi="仿宋" w:eastAsia="仿宋" w:cs="仿宋"/>
                <w:b/>
                <w:color w:val="auto"/>
                <w:sz w:val="24"/>
              </w:rPr>
            </w:pPr>
            <w:r>
              <w:rPr>
                <w:rFonts w:hint="eastAsia" w:ascii="仿宋" w:hAnsi="仿宋" w:eastAsia="仿宋" w:cs="仿宋"/>
                <w:b/>
                <w:color w:val="auto"/>
                <w:sz w:val="24"/>
              </w:rPr>
              <w:t>评审因素</w:t>
            </w:r>
          </w:p>
        </w:tc>
        <w:tc>
          <w:tcPr>
            <w:tcW w:w="1083" w:type="dxa"/>
            <w:noWrap/>
            <w:tcMar>
              <w:top w:w="15" w:type="dxa"/>
              <w:left w:w="15" w:type="dxa"/>
              <w:right w:w="15" w:type="dxa"/>
            </w:tcMar>
            <w:vAlign w:val="center"/>
          </w:tcPr>
          <w:p>
            <w:pPr>
              <w:widowControl/>
              <w:spacing w:line="400" w:lineRule="exact"/>
              <w:jc w:val="center"/>
              <w:textAlignment w:val="top"/>
              <w:rPr>
                <w:rFonts w:ascii="仿宋" w:hAnsi="仿宋" w:eastAsia="仿宋" w:cs="仿宋"/>
                <w:b/>
                <w:color w:val="auto"/>
                <w:sz w:val="24"/>
              </w:rPr>
            </w:pPr>
            <w:r>
              <w:rPr>
                <w:rFonts w:hint="eastAsia" w:ascii="仿宋" w:hAnsi="仿宋" w:eastAsia="仿宋" w:cs="仿宋"/>
                <w:b/>
                <w:color w:val="auto"/>
                <w:sz w:val="24"/>
              </w:rPr>
              <w:t>评审内容</w:t>
            </w:r>
          </w:p>
        </w:tc>
        <w:tc>
          <w:tcPr>
            <w:tcW w:w="570" w:type="dxa"/>
            <w:noWrap/>
            <w:tcMar>
              <w:top w:w="15" w:type="dxa"/>
              <w:left w:w="15" w:type="dxa"/>
              <w:right w:w="15" w:type="dxa"/>
            </w:tcMar>
            <w:vAlign w:val="center"/>
          </w:tcPr>
          <w:p>
            <w:pPr>
              <w:widowControl/>
              <w:spacing w:line="400" w:lineRule="exact"/>
              <w:jc w:val="center"/>
              <w:textAlignment w:val="top"/>
              <w:rPr>
                <w:rFonts w:ascii="仿宋" w:hAnsi="仿宋" w:eastAsia="仿宋" w:cs="仿宋"/>
                <w:b/>
                <w:color w:val="auto"/>
                <w:sz w:val="24"/>
              </w:rPr>
            </w:pPr>
            <w:r>
              <w:rPr>
                <w:rFonts w:hint="eastAsia" w:ascii="仿宋" w:hAnsi="仿宋" w:eastAsia="仿宋" w:cs="仿宋"/>
                <w:b/>
                <w:color w:val="auto"/>
                <w:sz w:val="24"/>
              </w:rPr>
              <w:t>满分</w:t>
            </w:r>
          </w:p>
        </w:tc>
        <w:tc>
          <w:tcPr>
            <w:tcW w:w="7053" w:type="dxa"/>
            <w:noWrap/>
            <w:tcMar>
              <w:top w:w="15" w:type="dxa"/>
              <w:left w:w="15" w:type="dxa"/>
              <w:right w:w="15" w:type="dxa"/>
            </w:tcMar>
            <w:vAlign w:val="center"/>
          </w:tcPr>
          <w:p>
            <w:pPr>
              <w:widowControl/>
              <w:spacing w:line="400" w:lineRule="exact"/>
              <w:jc w:val="center"/>
              <w:textAlignment w:val="top"/>
              <w:rPr>
                <w:rFonts w:ascii="仿宋" w:hAnsi="仿宋" w:eastAsia="仿宋" w:cs="仿宋"/>
                <w:b/>
                <w:color w:val="auto"/>
                <w:sz w:val="24"/>
              </w:rPr>
            </w:pPr>
            <w:r>
              <w:rPr>
                <w:rFonts w:hint="eastAsia" w:ascii="仿宋" w:hAnsi="仿宋" w:eastAsia="仿宋" w:cs="仿宋"/>
                <w:b/>
                <w:color w:val="auto"/>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2" w:hRule="atLeast"/>
        </w:trPr>
        <w:tc>
          <w:tcPr>
            <w:tcW w:w="1020" w:type="dxa"/>
            <w:vMerge w:val="restart"/>
            <w:noWrap/>
            <w:tcMar>
              <w:top w:w="15" w:type="dxa"/>
              <w:left w:w="15" w:type="dxa"/>
              <w:right w:w="15" w:type="dxa"/>
            </w:tcMar>
            <w:vAlign w:val="center"/>
          </w:tcPr>
          <w:p>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商务部分（</w:t>
            </w:r>
            <w:r>
              <w:rPr>
                <w:rFonts w:hint="eastAsia" w:ascii="仿宋" w:hAnsi="仿宋" w:eastAsia="仿宋" w:cs="仿宋"/>
                <w:color w:val="auto"/>
                <w:sz w:val="24"/>
                <w:lang w:val="en-US" w:eastAsia="zh-CN"/>
              </w:rPr>
              <w:t>30</w:t>
            </w:r>
            <w:r>
              <w:rPr>
                <w:rFonts w:hint="eastAsia" w:ascii="仿宋" w:hAnsi="仿宋" w:eastAsia="仿宋" w:cs="仿宋"/>
                <w:color w:val="auto"/>
                <w:sz w:val="24"/>
              </w:rPr>
              <w:t>分）</w:t>
            </w:r>
          </w:p>
        </w:tc>
        <w:tc>
          <w:tcPr>
            <w:tcW w:w="1083" w:type="dxa"/>
            <w:noWrap/>
            <w:tcMar>
              <w:top w:w="15" w:type="dxa"/>
              <w:left w:w="15" w:type="dxa"/>
              <w:right w:w="15" w:type="dxa"/>
            </w:tcMar>
            <w:vAlign w:val="center"/>
          </w:tcPr>
          <w:p>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售后服务评分</w:t>
            </w:r>
          </w:p>
        </w:tc>
        <w:tc>
          <w:tcPr>
            <w:tcW w:w="570" w:type="dxa"/>
            <w:noWrap/>
            <w:tcMar>
              <w:top w:w="15" w:type="dxa"/>
              <w:left w:w="15" w:type="dxa"/>
              <w:right w:w="15" w:type="dxa"/>
            </w:tcMar>
            <w:vAlign w:val="center"/>
          </w:tcPr>
          <w:p>
            <w:pPr>
              <w:pStyle w:val="676"/>
              <w:spacing w:line="400" w:lineRule="exact"/>
              <w:ind w:firstLine="0" w:firstLineChars="0"/>
              <w:jc w:val="center"/>
              <w:rPr>
                <w:rFonts w:hint="eastAsia" w:ascii="仿宋" w:hAnsi="仿宋" w:eastAsia="仿宋" w:cs="仿宋"/>
                <w:color w:val="auto"/>
                <w:kern w:val="0"/>
                <w:szCs w:val="24"/>
                <w:lang w:eastAsia="zh-CN"/>
              </w:rPr>
            </w:pPr>
            <w:r>
              <w:rPr>
                <w:rFonts w:hint="eastAsia" w:ascii="仿宋" w:hAnsi="仿宋" w:eastAsia="仿宋" w:cs="仿宋"/>
                <w:color w:val="auto"/>
                <w:kern w:val="0"/>
                <w:szCs w:val="24"/>
              </w:rPr>
              <w:t>1</w:t>
            </w:r>
            <w:r>
              <w:rPr>
                <w:rFonts w:hint="eastAsia" w:ascii="仿宋" w:hAnsi="仿宋" w:eastAsia="仿宋" w:cs="仿宋"/>
                <w:color w:val="auto"/>
                <w:kern w:val="0"/>
                <w:szCs w:val="24"/>
                <w:lang w:val="en-US" w:eastAsia="zh-CN"/>
              </w:rPr>
              <w:t>4</w:t>
            </w:r>
          </w:p>
        </w:tc>
        <w:tc>
          <w:tcPr>
            <w:tcW w:w="7053" w:type="dxa"/>
            <w:noWrap/>
            <w:tcMar>
              <w:top w:w="15" w:type="dxa"/>
              <w:left w:w="15" w:type="dxa"/>
              <w:right w:w="15" w:type="dxa"/>
            </w:tcMar>
            <w:vAlign w:val="center"/>
          </w:tcPr>
          <w:p>
            <w:pPr>
              <w:spacing w:line="400" w:lineRule="exact"/>
              <w:rPr>
                <w:rFonts w:ascii="仿宋" w:hAnsi="仿宋" w:eastAsia="仿宋" w:cs="仿宋"/>
                <w:color w:val="auto"/>
                <w:sz w:val="24"/>
              </w:rPr>
            </w:pPr>
            <w:r>
              <w:rPr>
                <w:rFonts w:hint="eastAsia" w:ascii="仿宋" w:hAnsi="仿宋" w:eastAsia="仿宋" w:cs="仿宋"/>
                <w:color w:val="auto"/>
                <w:sz w:val="24"/>
              </w:rPr>
              <w:t>①售后服务方案（含售后服务承诺书、售后服务响应时间、故障处理措施、培训计划等）：</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方案表述条理清晰,内容全面完整，方案制定科学合理，可操作性强，得</w:t>
            </w:r>
            <w:r>
              <w:rPr>
                <w:rFonts w:hint="eastAsia" w:ascii="仿宋" w:hAnsi="仿宋" w:eastAsia="仿宋" w:cs="仿宋"/>
                <w:color w:val="auto"/>
                <w:sz w:val="24"/>
                <w:lang w:val="en-US" w:eastAsia="zh-CN"/>
              </w:rPr>
              <w:t>8</w:t>
            </w:r>
            <w:r>
              <w:rPr>
                <w:rFonts w:hint="eastAsia" w:ascii="仿宋" w:hAnsi="仿宋" w:eastAsia="仿宋" w:cs="仿宋"/>
                <w:color w:val="auto"/>
                <w:sz w:val="24"/>
              </w:rPr>
              <w:t>分；</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方案表述条理清晰，但内容不够完整或方案制定有不科学或不合理处，得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pPr>
              <w:spacing w:line="400" w:lineRule="exact"/>
              <w:rPr>
                <w:rFonts w:ascii="仿宋" w:hAnsi="仿宋" w:eastAsia="仿宋" w:cs="仿宋"/>
                <w:color w:val="auto"/>
                <w:sz w:val="24"/>
              </w:rPr>
            </w:pPr>
            <w:r>
              <w:rPr>
                <w:rFonts w:hint="eastAsia" w:ascii="仿宋" w:hAnsi="仿宋" w:eastAsia="仿宋" w:cs="仿宋"/>
                <w:color w:val="auto"/>
                <w:sz w:val="24"/>
              </w:rPr>
              <w:t>没有提供方案或提供的方案与本项目采购内容不符，得0分。</w:t>
            </w:r>
          </w:p>
          <w:p>
            <w:pPr>
              <w:spacing w:line="400" w:lineRule="exact"/>
              <w:rPr>
                <w:rFonts w:ascii="仿宋" w:hAnsi="仿宋" w:eastAsia="仿宋" w:cs="仿宋"/>
                <w:color w:val="auto"/>
                <w:sz w:val="24"/>
              </w:rPr>
            </w:pPr>
            <w:r>
              <w:rPr>
                <w:rFonts w:hint="eastAsia" w:ascii="仿宋" w:hAnsi="仿宋" w:eastAsia="仿宋" w:cs="仿宋"/>
                <w:color w:val="auto"/>
                <w:sz w:val="24"/>
              </w:rPr>
              <w:t>②提供详尽完备的履约验收方案（含具体验收流程和履约保障措施）：</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方案表述条理清晰,内容全面完整，方案制定科学合理，可操作性强，得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w:t>
            </w:r>
          </w:p>
          <w:p>
            <w:pPr>
              <w:spacing w:line="400" w:lineRule="exact"/>
              <w:rPr>
                <w:rFonts w:ascii="仿宋" w:hAnsi="仿宋" w:eastAsia="仿宋" w:cs="仿宋"/>
                <w:color w:val="auto"/>
                <w:sz w:val="24"/>
              </w:rPr>
            </w:pPr>
            <w:r>
              <w:rPr>
                <w:rFonts w:hint="eastAsia" w:ascii="仿宋" w:hAnsi="仿宋" w:eastAsia="仿宋" w:cs="仿宋"/>
                <w:color w:val="auto"/>
                <w:sz w:val="24"/>
              </w:rPr>
              <w:t>方案表述条理清晰，但内容不够完整或方案制定有不科学或不合理处，得2分；</w:t>
            </w:r>
          </w:p>
          <w:p>
            <w:pPr>
              <w:spacing w:line="400" w:lineRule="exact"/>
              <w:rPr>
                <w:rFonts w:ascii="仿宋" w:hAnsi="仿宋" w:eastAsia="仿宋" w:cs="仿宋"/>
                <w:color w:val="auto"/>
                <w:sz w:val="24"/>
              </w:rPr>
            </w:pPr>
            <w:r>
              <w:rPr>
                <w:rFonts w:hint="eastAsia" w:ascii="仿宋" w:hAnsi="仿宋" w:eastAsia="仿宋" w:cs="仿宋"/>
                <w:color w:val="auto"/>
                <w:sz w:val="24"/>
              </w:rPr>
              <w:t>没有提供方案或提供的方案与本项目采购内容不符，得0分。</w:t>
            </w:r>
          </w:p>
          <w:p>
            <w:pPr>
              <w:spacing w:line="400" w:lineRule="exact"/>
              <w:rPr>
                <w:rFonts w:hint="eastAsia" w:ascii="仿宋" w:hAnsi="仿宋" w:eastAsia="仿宋" w:cs="仿宋"/>
                <w:color w:val="auto"/>
                <w:sz w:val="24"/>
                <w:lang w:val="en-US" w:eastAsia="zh-CN"/>
              </w:rPr>
            </w:pPr>
            <w:r>
              <w:rPr>
                <w:rFonts w:hint="eastAsia" w:ascii="仿宋" w:hAnsi="仿宋" w:eastAsia="仿宋" w:cs="仿宋"/>
                <w:color w:val="auto"/>
                <w:sz w:val="24"/>
              </w:rPr>
              <w:t>③疆内设有售后服务网点，得</w:t>
            </w:r>
            <w:r>
              <w:rPr>
                <w:rFonts w:hint="eastAsia" w:ascii="仿宋" w:hAnsi="仿宋" w:eastAsia="仿宋" w:cs="仿宋"/>
                <w:color w:val="auto"/>
                <w:sz w:val="24"/>
                <w:lang w:val="en-US" w:eastAsia="zh-CN"/>
              </w:rPr>
              <w:t>2</w:t>
            </w:r>
            <w:r>
              <w:rPr>
                <w:rFonts w:hint="eastAsia" w:ascii="仿宋" w:hAnsi="仿宋" w:eastAsia="仿宋" w:cs="仿宋"/>
                <w:color w:val="auto"/>
                <w:sz w:val="24"/>
              </w:rPr>
              <w:t>分，提供有效证明文件（如租房合同或与本地公司合作协议，复印件加盖公章，否则不计分）；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20" w:type="dxa"/>
            <w:vMerge w:val="continue"/>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4"/>
              </w:rPr>
            </w:pPr>
          </w:p>
        </w:tc>
        <w:tc>
          <w:tcPr>
            <w:tcW w:w="1083"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应急保障能力</w:t>
            </w:r>
          </w:p>
        </w:tc>
        <w:tc>
          <w:tcPr>
            <w:tcW w:w="570"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7053" w:type="dxa"/>
            <w:noWrap/>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lang w:val="en-US" w:eastAsia="zh-CN"/>
              </w:rPr>
              <w:t>当有紧急情况发生时，可保障采购人同等设备的使用，有应急保障能力，并提供应急保障方案，应急保障措施完善、可行、针对性强得5分，应急保障能力完善、基本可行、针对性一般3分，应急保障能力不完善、不可行、针对性弱得1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020" w:type="dxa"/>
            <w:vMerge w:val="continue"/>
            <w:noWrap/>
            <w:tcMar>
              <w:top w:w="15" w:type="dxa"/>
              <w:left w:w="15" w:type="dxa"/>
              <w:right w:w="15" w:type="dxa"/>
            </w:tcMar>
            <w:vAlign w:val="center"/>
          </w:tcPr>
          <w:p>
            <w:pPr>
              <w:spacing w:line="400" w:lineRule="exact"/>
              <w:jc w:val="center"/>
              <w:rPr>
                <w:rFonts w:ascii="仿宋" w:hAnsi="仿宋" w:eastAsia="仿宋" w:cs="仿宋"/>
                <w:color w:val="auto"/>
                <w:sz w:val="24"/>
              </w:rPr>
            </w:pPr>
          </w:p>
        </w:tc>
        <w:tc>
          <w:tcPr>
            <w:tcW w:w="1083" w:type="dxa"/>
            <w:noWrap/>
            <w:tcMar>
              <w:top w:w="15" w:type="dxa"/>
              <w:left w:w="15" w:type="dxa"/>
              <w:right w:w="15" w:type="dxa"/>
            </w:tcMar>
            <w:vAlign w:val="center"/>
          </w:tcPr>
          <w:p>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业绩评分</w:t>
            </w:r>
          </w:p>
        </w:tc>
        <w:tc>
          <w:tcPr>
            <w:tcW w:w="570"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5</w:t>
            </w:r>
          </w:p>
        </w:tc>
        <w:tc>
          <w:tcPr>
            <w:tcW w:w="7053" w:type="dxa"/>
            <w:noWrap/>
            <w:tcMar>
              <w:top w:w="15" w:type="dxa"/>
              <w:left w:w="15" w:type="dxa"/>
              <w:right w:w="15" w:type="dxa"/>
            </w:tcMar>
            <w:vAlign w:val="center"/>
          </w:tcPr>
          <w:p>
            <w:pPr>
              <w:widowControl/>
              <w:spacing w:line="400" w:lineRule="exact"/>
              <w:textAlignment w:val="center"/>
              <w:rPr>
                <w:rFonts w:ascii="仿宋" w:hAnsi="仿宋" w:eastAsia="仿宋" w:cs="仿宋"/>
                <w:color w:val="auto"/>
                <w:sz w:val="24"/>
              </w:rPr>
            </w:pPr>
            <w:r>
              <w:rPr>
                <w:rFonts w:hint="eastAsia" w:ascii="仿宋" w:hAnsi="仿宋" w:eastAsia="仿宋" w:cs="仿宋"/>
                <w:color w:val="auto"/>
                <w:sz w:val="24"/>
              </w:rPr>
              <w:t>供应商所投同类产品自20</w:t>
            </w:r>
            <w:r>
              <w:rPr>
                <w:rFonts w:hint="eastAsia" w:ascii="仿宋" w:hAnsi="仿宋" w:eastAsia="仿宋" w:cs="仿宋"/>
                <w:color w:val="auto"/>
                <w:sz w:val="24"/>
                <w:lang w:val="en-US" w:eastAsia="zh-CN"/>
              </w:rPr>
              <w:t>19</w:t>
            </w:r>
            <w:r>
              <w:rPr>
                <w:rFonts w:hint="eastAsia" w:ascii="仿宋" w:hAnsi="仿宋" w:eastAsia="仿宋" w:cs="仿宋"/>
                <w:color w:val="auto"/>
                <w:sz w:val="24"/>
              </w:rPr>
              <w:t>年1月1日至今在中国市场销售业绩，提供一项业绩得</w:t>
            </w:r>
            <w:r>
              <w:rPr>
                <w:rFonts w:hint="eastAsia" w:ascii="仿宋" w:hAnsi="仿宋" w:eastAsia="仿宋" w:cs="仿宋"/>
                <w:color w:val="auto"/>
                <w:sz w:val="24"/>
                <w:lang w:val="en-US" w:eastAsia="zh-CN"/>
              </w:rPr>
              <w:t>1</w:t>
            </w:r>
            <w:r>
              <w:rPr>
                <w:rFonts w:hint="eastAsia" w:ascii="仿宋" w:hAnsi="仿宋" w:eastAsia="仿宋" w:cs="仿宋"/>
                <w:color w:val="auto"/>
                <w:sz w:val="24"/>
              </w:rPr>
              <w:t>分</w:t>
            </w:r>
            <w:r>
              <w:rPr>
                <w:rFonts w:hint="eastAsia" w:ascii="仿宋" w:hAnsi="仿宋" w:eastAsia="仿宋" w:cs="仿宋"/>
                <w:color w:val="auto"/>
                <w:sz w:val="24"/>
                <w:lang w:val="en-US" w:eastAsia="zh-CN"/>
              </w:rPr>
              <w:t>，</w:t>
            </w:r>
            <w:r>
              <w:rPr>
                <w:rFonts w:hint="eastAsia" w:ascii="仿宋" w:hAnsi="仿宋" w:eastAsia="仿宋" w:cs="仿宋"/>
                <w:color w:val="auto"/>
                <w:sz w:val="24"/>
              </w:rPr>
              <w:t>按证明文件个数计，最多得5分。</w:t>
            </w:r>
            <w:r>
              <w:rPr>
                <w:rFonts w:hint="eastAsia" w:ascii="仿宋" w:hAnsi="仿宋" w:eastAsia="仿宋" w:cs="仿宋"/>
                <w:color w:val="auto"/>
                <w:sz w:val="24"/>
                <w:lang w:eastAsia="zh-CN"/>
              </w:rPr>
              <w:t>（</w:t>
            </w:r>
            <w:r>
              <w:rPr>
                <w:rFonts w:hint="eastAsia" w:ascii="仿宋" w:hAnsi="仿宋" w:eastAsia="仿宋" w:cs="仿宋"/>
                <w:color w:val="auto"/>
                <w:sz w:val="24"/>
              </w:rPr>
              <w:t>提供中标通知书或合同，复印件加盖供应商公章，做为业绩证明资料，未按要求提供证明资料的不计分。</w:t>
            </w:r>
            <w:r>
              <w:rPr>
                <w:rFonts w:hint="eastAsia" w:ascii="仿宋" w:hAnsi="仿宋" w:eastAsia="仿宋" w:cs="仿宋"/>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0" w:hRule="atLeast"/>
        </w:trPr>
        <w:tc>
          <w:tcPr>
            <w:tcW w:w="1020" w:type="dxa"/>
            <w:vMerge w:val="continue"/>
            <w:noWrap/>
            <w:tcMar>
              <w:top w:w="15" w:type="dxa"/>
              <w:left w:w="15" w:type="dxa"/>
              <w:right w:w="15" w:type="dxa"/>
            </w:tcMar>
            <w:vAlign w:val="center"/>
          </w:tcPr>
          <w:p>
            <w:pPr>
              <w:spacing w:line="400" w:lineRule="exact"/>
              <w:jc w:val="center"/>
              <w:rPr>
                <w:rFonts w:ascii="仿宋" w:hAnsi="仿宋" w:eastAsia="仿宋" w:cs="仿宋"/>
                <w:color w:val="auto"/>
                <w:sz w:val="24"/>
              </w:rPr>
            </w:pPr>
          </w:p>
        </w:tc>
        <w:tc>
          <w:tcPr>
            <w:tcW w:w="1083" w:type="dxa"/>
            <w:noWrap/>
            <w:tcMar>
              <w:top w:w="15" w:type="dxa"/>
              <w:left w:w="15" w:type="dxa"/>
              <w:right w:w="15" w:type="dxa"/>
            </w:tcMar>
            <w:vAlign w:val="center"/>
          </w:tcPr>
          <w:p>
            <w:pPr>
              <w:widowControl/>
              <w:spacing w:line="400" w:lineRule="exact"/>
              <w:jc w:val="center"/>
              <w:textAlignment w:val="center"/>
              <w:rPr>
                <w:rFonts w:hint="eastAsia" w:ascii="仿宋" w:hAnsi="仿宋" w:eastAsia="仿宋" w:cs="仿宋"/>
                <w:color w:val="auto"/>
                <w:sz w:val="24"/>
              </w:rPr>
            </w:pPr>
            <w:r>
              <w:rPr>
                <w:rFonts w:hint="eastAsia" w:ascii="仿宋" w:hAnsi="仿宋" w:eastAsia="仿宋" w:cs="仿宋"/>
                <w:color w:val="auto"/>
                <w:sz w:val="24"/>
              </w:rPr>
              <w:t>产品来源的可靠性</w:t>
            </w:r>
          </w:p>
        </w:tc>
        <w:tc>
          <w:tcPr>
            <w:tcW w:w="570" w:type="dxa"/>
            <w:noWrap/>
            <w:tcMar>
              <w:top w:w="15" w:type="dxa"/>
              <w:left w:w="15" w:type="dxa"/>
              <w:right w:w="15" w:type="dxa"/>
            </w:tcMar>
            <w:vAlign w:val="center"/>
          </w:tcPr>
          <w:p>
            <w:pPr>
              <w:widowControl/>
              <w:spacing w:line="400" w:lineRule="exact"/>
              <w:jc w:val="center"/>
              <w:textAlignment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7053" w:type="dxa"/>
            <w:noWrap/>
            <w:tcMar>
              <w:top w:w="15" w:type="dxa"/>
              <w:left w:w="15" w:type="dxa"/>
              <w:right w:w="15" w:type="dxa"/>
            </w:tcMar>
            <w:vAlign w:val="center"/>
          </w:tcPr>
          <w:p>
            <w:pPr>
              <w:widowControl/>
              <w:spacing w:line="400" w:lineRule="exact"/>
              <w:jc w:val="left"/>
              <w:textAlignment w:val="center"/>
              <w:rPr>
                <w:rFonts w:hint="eastAsia" w:ascii="仿宋" w:hAnsi="仿宋" w:eastAsia="仿宋" w:cs="仿宋"/>
                <w:color w:val="auto"/>
                <w:sz w:val="24"/>
              </w:rPr>
            </w:pPr>
            <w:r>
              <w:rPr>
                <w:rFonts w:hint="eastAsia" w:ascii="仿宋" w:hAnsi="仿宋" w:eastAsia="仿宋" w:cs="仿宋"/>
                <w:color w:val="auto"/>
                <w:sz w:val="24"/>
              </w:rPr>
              <w:t>需提供厂家授权书</w:t>
            </w:r>
            <w:r>
              <w:rPr>
                <w:rFonts w:hint="eastAsia" w:ascii="仿宋" w:hAnsi="仿宋" w:eastAsia="仿宋" w:cs="仿宋"/>
                <w:color w:val="auto"/>
                <w:sz w:val="24"/>
                <w:lang w:eastAsia="zh-CN"/>
              </w:rPr>
              <w:t>或</w:t>
            </w:r>
            <w:r>
              <w:rPr>
                <w:rFonts w:hint="eastAsia" w:ascii="仿宋" w:hAnsi="仿宋" w:eastAsia="仿宋" w:cs="仿宋"/>
                <w:color w:val="auto"/>
                <w:sz w:val="24"/>
              </w:rPr>
              <w:t>提供有效的产品合法来源证明材料或自身为生产厂家。未提供证明材料不得分。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6" w:hRule="atLeast"/>
        </w:trPr>
        <w:tc>
          <w:tcPr>
            <w:tcW w:w="1020" w:type="dxa"/>
            <w:vMerge w:val="continue"/>
            <w:noWrap/>
            <w:tcMar>
              <w:top w:w="15" w:type="dxa"/>
              <w:left w:w="15" w:type="dxa"/>
              <w:right w:w="15" w:type="dxa"/>
            </w:tcMar>
            <w:vAlign w:val="center"/>
          </w:tcPr>
          <w:p>
            <w:pPr>
              <w:spacing w:line="400" w:lineRule="exact"/>
              <w:jc w:val="center"/>
              <w:rPr>
                <w:rFonts w:ascii="仿宋" w:hAnsi="仿宋" w:eastAsia="仿宋" w:cs="仿宋"/>
                <w:color w:val="auto"/>
                <w:sz w:val="24"/>
              </w:rPr>
            </w:pPr>
          </w:p>
        </w:tc>
        <w:tc>
          <w:tcPr>
            <w:tcW w:w="1083" w:type="dxa"/>
            <w:noWrap/>
            <w:tcMar>
              <w:top w:w="15" w:type="dxa"/>
              <w:left w:w="15" w:type="dxa"/>
              <w:right w:w="15" w:type="dxa"/>
            </w:tcMar>
            <w:vAlign w:val="center"/>
          </w:tcPr>
          <w:p>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政府采购节能环保政策优惠功能评分</w:t>
            </w:r>
          </w:p>
        </w:tc>
        <w:tc>
          <w:tcPr>
            <w:tcW w:w="570" w:type="dxa"/>
            <w:noWrap/>
            <w:tcMar>
              <w:top w:w="15" w:type="dxa"/>
              <w:left w:w="15" w:type="dxa"/>
              <w:right w:w="15" w:type="dxa"/>
            </w:tcMar>
            <w:vAlign w:val="center"/>
          </w:tcPr>
          <w:p>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1</w:t>
            </w:r>
          </w:p>
        </w:tc>
        <w:tc>
          <w:tcPr>
            <w:tcW w:w="7053" w:type="dxa"/>
            <w:noWrap/>
            <w:tcMar>
              <w:top w:w="15" w:type="dxa"/>
              <w:left w:w="15" w:type="dxa"/>
              <w:right w:w="15" w:type="dxa"/>
            </w:tcMar>
            <w:vAlign w:val="center"/>
          </w:tcPr>
          <w:p>
            <w:pPr>
              <w:widowControl/>
              <w:spacing w:line="400" w:lineRule="exact"/>
              <w:textAlignment w:val="center"/>
              <w:rPr>
                <w:rFonts w:ascii="仿宋" w:hAnsi="仿宋" w:eastAsia="仿宋" w:cs="仿宋"/>
                <w:color w:val="auto"/>
                <w:sz w:val="24"/>
              </w:rPr>
            </w:pPr>
            <w:r>
              <w:rPr>
                <w:rFonts w:hint="eastAsia" w:ascii="仿宋" w:hAnsi="仿宋" w:eastAsia="仿宋" w:cs="仿宋"/>
                <w:color w:val="auto"/>
                <w:sz w:val="24"/>
              </w:rPr>
              <w:t>供应商所投开标一览表所列货物如属于政府优先采购产品类别，须按照《财政部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要求提供依据国家确定的认证机构出具的、处于有效期之内的节能产品或环境标志产品认证证书，每项加0.5分，最高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8" w:hRule="atLeast"/>
        </w:trPr>
        <w:tc>
          <w:tcPr>
            <w:tcW w:w="1020" w:type="dxa"/>
            <w:noWrap/>
            <w:tcMar>
              <w:top w:w="15" w:type="dxa"/>
              <w:left w:w="15" w:type="dxa"/>
              <w:right w:w="15" w:type="dxa"/>
            </w:tcMar>
            <w:vAlign w:val="center"/>
          </w:tcPr>
          <w:p>
            <w:pPr>
              <w:widowControl/>
              <w:snapToGrid w:val="0"/>
              <w:spacing w:line="400" w:lineRule="exact"/>
              <w:textAlignment w:val="center"/>
              <w:rPr>
                <w:rFonts w:ascii="仿宋" w:hAnsi="仿宋" w:eastAsia="仿宋" w:cs="仿宋"/>
                <w:color w:val="auto"/>
                <w:sz w:val="24"/>
              </w:rPr>
            </w:pPr>
            <w:r>
              <w:rPr>
                <w:rFonts w:hint="eastAsia" w:ascii="仿宋" w:hAnsi="仿宋" w:eastAsia="仿宋" w:cs="仿宋"/>
                <w:color w:val="auto"/>
                <w:sz w:val="24"/>
              </w:rPr>
              <w:t>技术部分（</w:t>
            </w:r>
            <w:r>
              <w:rPr>
                <w:rFonts w:hint="eastAsia" w:ascii="仿宋" w:hAnsi="仿宋" w:eastAsia="仿宋" w:cs="仿宋"/>
                <w:color w:val="auto"/>
                <w:sz w:val="24"/>
                <w:lang w:val="en-US" w:eastAsia="zh-CN"/>
              </w:rPr>
              <w:t>40</w:t>
            </w:r>
            <w:r>
              <w:rPr>
                <w:rFonts w:hint="eastAsia" w:ascii="仿宋" w:hAnsi="仿宋" w:eastAsia="仿宋" w:cs="仿宋"/>
                <w:color w:val="auto"/>
                <w:sz w:val="24"/>
              </w:rPr>
              <w:t>分）</w:t>
            </w:r>
          </w:p>
        </w:tc>
        <w:tc>
          <w:tcPr>
            <w:tcW w:w="1083" w:type="dxa"/>
            <w:noWrap/>
            <w:tcMar>
              <w:top w:w="15" w:type="dxa"/>
              <w:left w:w="15" w:type="dxa"/>
              <w:right w:w="15" w:type="dxa"/>
            </w:tcMar>
            <w:vAlign w:val="center"/>
          </w:tcPr>
          <w:p>
            <w:pPr>
              <w:widowControl/>
              <w:spacing w:line="400" w:lineRule="exact"/>
              <w:jc w:val="center"/>
              <w:textAlignment w:val="center"/>
              <w:rPr>
                <w:rFonts w:ascii="仿宋" w:hAnsi="仿宋" w:eastAsia="仿宋" w:cs="仿宋"/>
                <w:color w:val="auto"/>
                <w:sz w:val="24"/>
              </w:rPr>
            </w:pPr>
            <w:r>
              <w:rPr>
                <w:rFonts w:hint="eastAsia" w:ascii="仿宋" w:hAnsi="仿宋" w:eastAsia="仿宋" w:cs="仿宋"/>
                <w:color w:val="auto"/>
                <w:sz w:val="24"/>
              </w:rPr>
              <w:t>技术参数响应</w:t>
            </w:r>
          </w:p>
        </w:tc>
        <w:tc>
          <w:tcPr>
            <w:tcW w:w="570" w:type="dxa"/>
            <w:noWrap/>
            <w:tcMar>
              <w:top w:w="15" w:type="dxa"/>
              <w:left w:w="15" w:type="dxa"/>
              <w:right w:w="15" w:type="dxa"/>
            </w:tcMar>
            <w:vAlign w:val="center"/>
          </w:tcPr>
          <w:p>
            <w:pPr>
              <w:pStyle w:val="676"/>
              <w:spacing w:line="400" w:lineRule="exact"/>
              <w:ind w:firstLine="0" w:firstLineChars="0"/>
              <w:jc w:val="center"/>
              <w:rPr>
                <w:rFonts w:hint="eastAsia" w:ascii="仿宋" w:hAnsi="仿宋" w:eastAsia="仿宋" w:cs="仿宋"/>
                <w:color w:val="auto"/>
                <w:szCs w:val="24"/>
                <w:lang w:eastAsia="zh-CN"/>
              </w:rPr>
            </w:pPr>
            <w:r>
              <w:rPr>
                <w:rFonts w:hint="eastAsia" w:ascii="仿宋" w:hAnsi="仿宋" w:eastAsia="仿宋" w:cs="仿宋"/>
                <w:color w:val="auto"/>
                <w:szCs w:val="24"/>
                <w:lang w:val="en-US" w:eastAsia="zh-CN"/>
              </w:rPr>
              <w:t>40</w:t>
            </w:r>
          </w:p>
        </w:tc>
        <w:tc>
          <w:tcPr>
            <w:tcW w:w="7053" w:type="dxa"/>
            <w:noWrap/>
            <w:tcMar>
              <w:top w:w="15" w:type="dxa"/>
              <w:left w:w="15" w:type="dxa"/>
              <w:right w:w="15" w:type="dxa"/>
            </w:tcMar>
            <w:vAlign w:val="center"/>
          </w:tcPr>
          <w:p>
            <w:pPr>
              <w:widowControl/>
              <w:spacing w:line="400" w:lineRule="exact"/>
              <w:rPr>
                <w:rFonts w:hint="eastAsia" w:ascii="仿宋" w:hAnsi="仿宋" w:eastAsia="仿宋" w:cs="仿宋"/>
                <w:color w:val="auto"/>
                <w:sz w:val="24"/>
              </w:rPr>
            </w:pPr>
            <w:r>
              <w:rPr>
                <w:rFonts w:hint="eastAsia" w:ascii="仿宋" w:hAnsi="仿宋" w:eastAsia="仿宋" w:cs="仿宋"/>
                <w:color w:val="auto"/>
                <w:sz w:val="24"/>
              </w:rPr>
              <w:t>技术参数完全满足招标文件要求得</w:t>
            </w:r>
            <w:r>
              <w:rPr>
                <w:rFonts w:hint="eastAsia" w:ascii="仿宋" w:hAnsi="仿宋" w:eastAsia="仿宋" w:cs="仿宋"/>
                <w:color w:val="auto"/>
                <w:sz w:val="24"/>
                <w:lang w:val="en-US" w:eastAsia="zh-CN"/>
              </w:rPr>
              <w:t>4</w:t>
            </w:r>
            <w:r>
              <w:rPr>
                <w:rFonts w:hint="eastAsia" w:ascii="仿宋" w:hAnsi="仿宋" w:eastAsia="仿宋" w:cs="仿宋"/>
                <w:color w:val="auto"/>
                <w:sz w:val="24"/>
              </w:rPr>
              <w:t>0分；“</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rPr>
              <w:t>”参数为重要技术参数，每负偏离一条扣3分；普通参数每负偏离一条扣2分；最低得0分，最高得</w:t>
            </w:r>
            <w:r>
              <w:rPr>
                <w:rFonts w:hint="eastAsia" w:ascii="仿宋" w:hAnsi="仿宋" w:eastAsia="仿宋" w:cs="仿宋"/>
                <w:color w:val="auto"/>
                <w:sz w:val="24"/>
                <w:lang w:val="en-US" w:eastAsia="zh-CN"/>
              </w:rPr>
              <w:t>40</w:t>
            </w:r>
            <w:r>
              <w:rPr>
                <w:rFonts w:hint="eastAsia" w:ascii="仿宋" w:hAnsi="仿宋" w:eastAsia="仿宋" w:cs="仿宋"/>
                <w:color w:val="auto"/>
                <w:sz w:val="24"/>
              </w:rPr>
              <w:t>分。</w:t>
            </w:r>
          </w:p>
          <w:p>
            <w:pPr>
              <w:widowControl/>
              <w:spacing w:line="400" w:lineRule="exact"/>
              <w:rPr>
                <w:rFonts w:ascii="仿宋" w:hAnsi="仿宋" w:eastAsia="仿宋" w:cs="仿宋"/>
                <w:color w:val="auto"/>
                <w:sz w:val="24"/>
              </w:rPr>
            </w:pPr>
            <w:r>
              <w:rPr>
                <w:rFonts w:hint="eastAsia" w:ascii="仿宋" w:hAnsi="仿宋" w:eastAsia="仿宋" w:cs="仿宋"/>
                <w:color w:val="auto"/>
                <w:sz w:val="24"/>
              </w:rPr>
              <w:t>注：技术参数响应指标以投标产品检测报告或性能参数说明书为准，若投标文件中技术支持资料参数与技术规格偏离表应答不符或无支持资料应答，而供应商又未在投标文件中作出说明和解释的，视为不响应该条技术参数要求。</w:t>
            </w:r>
          </w:p>
        </w:tc>
      </w:tr>
    </w:tbl>
    <w:p>
      <w:pPr>
        <w:pStyle w:val="47"/>
        <w:spacing w:line="400" w:lineRule="exact"/>
        <w:rPr>
          <w:rFonts w:ascii="仿宋" w:hAnsi="仿宋" w:eastAsia="仿宋" w:cs="仿宋"/>
          <w:b/>
          <w:color w:val="auto"/>
          <w:sz w:val="24"/>
        </w:rPr>
      </w:pP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35. 定标原则</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35.1 评标委员会依据投标须知前附表规定的评标方法和标准，按照排序确定出前三名作为中标候选人推荐给采购人。</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35.2采购代理机构应当在评标结束后2个工作日内将评标报告送采购人。</w:t>
      </w:r>
      <w:r>
        <w:rPr>
          <w:rFonts w:hint="eastAsia" w:ascii="仿宋" w:hAnsi="仿宋" w:eastAsia="仿宋" w:cs="仿宋"/>
          <w:bCs/>
          <w:color w:val="auto"/>
          <w:kern w:val="0"/>
          <w:sz w:val="24"/>
        </w:rPr>
        <w:t>采购人应当自收到评标报告之日起５个工作日内，在评标报告确定的中标候选人名单中按顺序确定中标人。</w:t>
      </w: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36. 评标过程的保密</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36.1凡属于对投标文件的审查、澄清、评价和比较有关的资料、中标候选人的推荐情况以及与评标有关的其他任何情况，评标委员会成员和与评标活动有关的工作人员不得对任何单位和个人透露。</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36.2 在投标文件的评审和比较、中标候选人推荐以及授予合同的过程中，供应商向采购人或者评标委员会施加影响的任何行为，都将会导致其投标被拒绝。</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36.3 中标人确定后，采购人不对未中标人就评标过程以及未能中标原因做出任何解释。未中标人不得向评标委员会组成人员或者其他有关人员索问评标过程的情况和材料。</w:t>
      </w: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（七） 授予合同</w:t>
      </w: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37. 确定中标人</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 中标的标准</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37.1.1投标文件满足采购文件全部实质性要求；</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37.1.2 具有良好的履行合同的能力和条件；</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37.1.3 能够最大限度满足采购文件的各项要求；</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37.2 采购人将确定资格合格的中标候选人为中标人。</w:t>
      </w: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38. 授予合同的准则</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38.1 采购人将把合同授予经确认的中标人。</w:t>
      </w: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39. 中标通知书</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kern w:val="0"/>
          <w:sz w:val="24"/>
        </w:rPr>
        <w:t>39.1采购人依据评标委员会推荐的中标候选人排序确定排名第一的中标候选人为中标人后，将</w:t>
      </w:r>
      <w:r>
        <w:rPr>
          <w:rFonts w:hint="eastAsia" w:ascii="仿宋" w:hAnsi="仿宋" w:eastAsia="仿宋" w:cs="仿宋"/>
          <w:color w:val="auto"/>
          <w:sz w:val="24"/>
        </w:rPr>
        <w:t>对中标结果公示1工作日，同时向中标人发出中标通知书。</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39.2 供应商中标或者成交结果有异议的，可以在知道或者应知其权益受到损害之日起7个工作日内，向采购人、采购代理机构提出质疑。采购人在收到供应商的书面质疑后七个工作日内作出答复，并以书面形式通知质疑供应商和其他有关供应商；作出答复前，将暂停招标投标活动。</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 xml:space="preserve">39.3 中标通知书对中标人和中标人具有法律约束力。中标通知书发出后，采购人不得违法改变中标结果，中标人无正当理由不得放弃中标。 </w:t>
      </w: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40. 合同的签订</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40.1采购人应当自中标通知书发出之日起30日内，按照采购文件和中标人投标文件的规定，与中标人签订书面合同。所签订的合同不得对采购文件确定的事项和中标人投标文件作实质性修改。</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40.2 采购文件要求中标人提交履约保证金或者其他形式履约担保的，中标人应当提交；拒绝提交的，视为放弃中标项目。</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40.3 采购文件和中标人的投标文件均是该书面合同的附件。</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40.4 中标人因不可抗力或自身原因不能履行采购合同的，采购人可以与排位在中标人之后第一位的中标候选人签订采购合同，以此类推。或采购人重新组织招标。</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40.5 政府采购项目的采购合同自签订之日起七个工作日内，采购人应当将合同副本报同级政府采购监督管理部门和有关部门备案。</w:t>
      </w:r>
    </w:p>
    <w:p>
      <w:pPr>
        <w:shd w:val="clear" w:color="auto" w:fill="FFFFFF"/>
        <w:spacing w:line="400" w:lineRule="exact"/>
        <w:ind w:firstLine="472" w:firstLineChars="196"/>
        <w:rPr>
          <w:rFonts w:ascii="仿宋" w:hAnsi="仿宋" w:eastAsia="仿宋" w:cs="仿宋"/>
          <w:b/>
          <w:color w:val="auto"/>
          <w:sz w:val="24"/>
        </w:rPr>
      </w:pPr>
      <w:r>
        <w:rPr>
          <w:rFonts w:hint="eastAsia" w:ascii="仿宋" w:hAnsi="仿宋" w:eastAsia="仿宋" w:cs="仿宋"/>
          <w:b/>
          <w:color w:val="auto"/>
          <w:sz w:val="24"/>
        </w:rPr>
        <w:t>41.质疑与投诉</w:t>
      </w:r>
    </w:p>
    <w:p>
      <w:pPr>
        <w:shd w:val="clear" w:color="auto" w:fill="FFFFFF"/>
        <w:spacing w:line="400" w:lineRule="exact"/>
        <w:ind w:firstLine="472" w:firstLineChars="196"/>
        <w:rPr>
          <w:rFonts w:ascii="仿宋" w:hAnsi="仿宋" w:eastAsia="仿宋" w:cs="仿宋"/>
          <w:color w:val="auto"/>
          <w:sz w:val="24"/>
        </w:rPr>
      </w:pPr>
      <w:r>
        <w:rPr>
          <w:rFonts w:hint="eastAsia" w:ascii="仿宋" w:hAnsi="仿宋" w:eastAsia="仿宋" w:cs="仿宋"/>
          <w:b/>
          <w:color w:val="auto"/>
          <w:sz w:val="24"/>
        </w:rPr>
        <w:t>41.1</w:t>
      </w:r>
      <w:r>
        <w:rPr>
          <w:rFonts w:hint="eastAsia" w:ascii="仿宋" w:hAnsi="仿宋" w:eastAsia="仿宋" w:cs="仿宋"/>
          <w:color w:val="auto"/>
          <w:sz w:val="24"/>
        </w:rPr>
        <w:t>供应商认为采购文件、采购过程、中标或者成交结果使自己的权益受到损害的，可以在知道或者应知其权益受到损害之日起7个工作日内，向采购人、采购代理机构提出质疑。供应商须在法定质疑期内一次性提出针对同一采购程序环节的质疑。</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41.2质疑函内容</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（1）供应商提交的质疑函必须注明单位名称、地址、邮编、可供查询的单位和法定代表人的电话号码、联系人电话；</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（2）质疑项目的名称、编号；</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（3）具体质疑事项和与质疑事项相关的请求；</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（4）事实依据；</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（5）必要的法律依据：</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（6）提出质疑的日期。</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41.3采购人在收到供应商的书面质疑后七个工作日内作出答复，并以书面形式通知质疑供应商和其他有关供应商，但答复的内容不涉及商业秘密。</w:t>
      </w:r>
    </w:p>
    <w:p>
      <w:pPr>
        <w:shd w:val="clear" w:color="auto" w:fill="FFFFFF"/>
        <w:adjustRightInd w:val="0"/>
        <w:snapToGrid w:val="0"/>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41.4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hd w:val="clear" w:color="auto" w:fill="FFFFFF"/>
        <w:spacing w:line="400" w:lineRule="exact"/>
        <w:ind w:firstLine="487" w:firstLineChars="202"/>
        <w:rPr>
          <w:rFonts w:ascii="仿宋" w:hAnsi="仿宋" w:eastAsia="仿宋" w:cs="仿宋"/>
          <w:b/>
          <w:color w:val="auto"/>
          <w:kern w:val="0"/>
          <w:sz w:val="24"/>
        </w:rPr>
      </w:pPr>
      <w:r>
        <w:rPr>
          <w:rFonts w:hint="eastAsia" w:ascii="仿宋" w:hAnsi="仿宋" w:eastAsia="仿宋" w:cs="仿宋"/>
          <w:b/>
          <w:color w:val="auto"/>
          <w:kern w:val="0"/>
          <w:sz w:val="24"/>
        </w:rPr>
        <w:t>42. 履约担保</w:t>
      </w:r>
    </w:p>
    <w:p>
      <w:pPr>
        <w:shd w:val="clear" w:color="auto" w:fill="FFFFFF"/>
        <w:autoSpaceDE w:val="0"/>
        <w:autoSpaceDN w:val="0"/>
        <w:adjustRightInd w:val="0"/>
        <w:spacing w:line="400" w:lineRule="exact"/>
        <w:ind w:firstLine="438" w:firstLineChars="189"/>
        <w:rPr>
          <w:rFonts w:ascii="仿宋" w:hAnsi="仿宋" w:eastAsia="仿宋" w:cs="仿宋"/>
          <w:color w:val="auto"/>
          <w:spacing w:val="-4"/>
          <w:kern w:val="0"/>
          <w:sz w:val="24"/>
        </w:rPr>
      </w:pPr>
      <w:r>
        <w:rPr>
          <w:rFonts w:hint="eastAsia" w:ascii="仿宋" w:hAnsi="仿宋" w:eastAsia="仿宋" w:cs="仿宋"/>
          <w:color w:val="auto"/>
          <w:spacing w:val="-4"/>
          <w:kern w:val="0"/>
          <w:sz w:val="24"/>
        </w:rPr>
        <w:t>42.1 中标人须在与采购人签署合同前按采购文件有关要求提交履约担保。中标人应按照下列规定的方式和金额向采购人提交履约担保。</w:t>
      </w:r>
    </w:p>
    <w:p>
      <w:pPr>
        <w:shd w:val="clear" w:color="auto" w:fill="FFFFFF"/>
        <w:autoSpaceDE w:val="0"/>
        <w:autoSpaceDN w:val="0"/>
        <w:adjustRightInd w:val="0"/>
        <w:spacing w:line="400" w:lineRule="exact"/>
        <w:ind w:firstLine="453" w:firstLineChars="189"/>
        <w:rPr>
          <w:rFonts w:ascii="仿宋" w:hAnsi="仿宋" w:eastAsia="仿宋" w:cs="仿宋"/>
          <w:color w:val="auto"/>
          <w:kern w:val="0"/>
          <w:sz w:val="24"/>
        </w:rPr>
      </w:pPr>
      <w:r>
        <w:rPr>
          <w:rFonts w:hint="eastAsia" w:ascii="仿宋" w:hAnsi="仿宋" w:eastAsia="仿宋" w:cs="仿宋"/>
          <w:color w:val="auto"/>
          <w:kern w:val="0"/>
          <w:sz w:val="24"/>
        </w:rPr>
        <w:t>42.1.1 履约担保采用下列</w:t>
      </w:r>
      <w:r>
        <w:rPr>
          <w:rFonts w:hint="eastAsia" w:ascii="仿宋" w:hAnsi="仿宋" w:eastAsia="仿宋" w:cs="仿宋"/>
          <w:color w:val="auto"/>
          <w:kern w:val="0"/>
          <w:sz w:val="24"/>
          <w:u w:val="single"/>
        </w:rPr>
        <w:t xml:space="preserve">  / </w:t>
      </w:r>
      <w:r>
        <w:rPr>
          <w:rFonts w:hint="eastAsia" w:ascii="仿宋" w:hAnsi="仿宋" w:eastAsia="仿宋" w:cs="仿宋"/>
          <w:color w:val="auto"/>
          <w:kern w:val="0"/>
          <w:sz w:val="24"/>
        </w:rPr>
        <w:t>方式</w:t>
      </w:r>
    </w:p>
    <w:p>
      <w:pPr>
        <w:shd w:val="clear" w:color="auto" w:fill="FFFFFF"/>
        <w:autoSpaceDE w:val="0"/>
        <w:autoSpaceDN w:val="0"/>
        <w:adjustRightInd w:val="0"/>
        <w:spacing w:line="400" w:lineRule="exact"/>
        <w:ind w:firstLine="480" w:firstLineChars="200"/>
        <w:rPr>
          <w:rFonts w:ascii="仿宋" w:hAnsi="仿宋" w:eastAsia="仿宋" w:cs="仿宋"/>
          <w:color w:val="auto"/>
          <w:kern w:val="0"/>
          <w:sz w:val="24"/>
          <w:u w:val="single"/>
        </w:rPr>
      </w:pPr>
      <w:r>
        <w:rPr>
          <w:rFonts w:hint="eastAsia" w:ascii="仿宋" w:hAnsi="仿宋" w:eastAsia="仿宋" w:cs="仿宋"/>
          <w:color w:val="auto"/>
          <w:kern w:val="0"/>
          <w:sz w:val="24"/>
        </w:rPr>
        <w:t xml:space="preserve">（1）、履约保证金担保方式: </w:t>
      </w:r>
      <w:r>
        <w:rPr>
          <w:rFonts w:hint="eastAsia" w:ascii="仿宋" w:hAnsi="仿宋" w:eastAsia="仿宋" w:cs="仿宋"/>
          <w:color w:val="auto"/>
          <w:kern w:val="0"/>
          <w:sz w:val="24"/>
          <w:u w:val="single"/>
        </w:rPr>
        <w:t xml:space="preserve"> / </w:t>
      </w:r>
    </w:p>
    <w:p>
      <w:pPr>
        <w:shd w:val="clear" w:color="auto" w:fill="FFFFFF"/>
        <w:spacing w:line="40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1） 银行汇票；2） 支票；</w:t>
      </w:r>
      <w:r>
        <w:rPr>
          <w:rFonts w:hint="eastAsia" w:ascii="仿宋" w:hAnsi="仿宋" w:eastAsia="仿宋" w:cs="仿宋"/>
          <w:color w:val="auto"/>
          <w:kern w:val="0"/>
          <w:sz w:val="24"/>
        </w:rPr>
        <w:t>3）银行转账；4）担保公司担保；</w:t>
      </w:r>
      <w:r>
        <w:rPr>
          <w:rFonts w:hint="eastAsia" w:ascii="仿宋" w:hAnsi="仿宋" w:eastAsia="仿宋" w:cs="仿宋"/>
          <w:color w:val="auto"/>
          <w:sz w:val="24"/>
        </w:rPr>
        <w:t>5）采购人与供应商协商确定的其他担保方式。</w:t>
      </w:r>
    </w:p>
    <w:p>
      <w:pPr>
        <w:shd w:val="clear" w:color="auto" w:fill="FFFFFF"/>
        <w:spacing w:line="400" w:lineRule="exact"/>
        <w:ind w:firstLine="484" w:firstLineChars="202"/>
        <w:rPr>
          <w:rFonts w:ascii="仿宋" w:hAnsi="仿宋" w:eastAsia="仿宋" w:cs="仿宋"/>
          <w:b/>
          <w:color w:val="auto"/>
          <w:kern w:val="0"/>
          <w:sz w:val="24"/>
        </w:rPr>
      </w:pPr>
      <w:r>
        <w:rPr>
          <w:rFonts w:hint="eastAsia" w:ascii="仿宋" w:hAnsi="仿宋" w:eastAsia="仿宋" w:cs="仿宋"/>
          <w:color w:val="auto"/>
          <w:kern w:val="0"/>
          <w:sz w:val="24"/>
        </w:rPr>
        <w:t>42.1.2 履约保证金：见投标须知前附表第14条。</w:t>
      </w:r>
    </w:p>
    <w:p>
      <w:pPr>
        <w:shd w:val="clear" w:color="auto" w:fill="FFFFFF"/>
        <w:spacing w:line="400" w:lineRule="exact"/>
        <w:ind w:firstLine="484" w:firstLineChars="202"/>
        <w:rPr>
          <w:rFonts w:ascii="仿宋" w:hAnsi="仿宋" w:eastAsia="仿宋" w:cs="仿宋"/>
          <w:color w:val="auto"/>
          <w:kern w:val="0"/>
          <w:sz w:val="24"/>
        </w:rPr>
      </w:pPr>
      <w:r>
        <w:rPr>
          <w:rFonts w:hint="eastAsia" w:ascii="仿宋" w:hAnsi="仿宋" w:eastAsia="仿宋" w:cs="仿宋"/>
          <w:color w:val="auto"/>
          <w:kern w:val="0"/>
          <w:sz w:val="24"/>
        </w:rPr>
        <w:t>42.2 如中标人不能按照投标须知第40条的规定执行，采购人将视为中标人放弃中标项目；已经订立合同的，采购人有充分理由解除合同，给采购人造成损失的，放弃中标项目的中标人应当赔偿。</w:t>
      </w:r>
    </w:p>
    <w:p>
      <w:pPr>
        <w:shd w:val="clear" w:color="auto" w:fill="FFFFFF"/>
        <w:spacing w:line="400" w:lineRule="exact"/>
        <w:ind w:firstLine="487" w:firstLineChars="202"/>
        <w:rPr>
          <w:rFonts w:ascii="仿宋" w:hAnsi="仿宋" w:eastAsia="仿宋" w:cs="仿宋"/>
          <w:b/>
          <w:bCs/>
          <w:color w:val="auto"/>
          <w:kern w:val="0"/>
          <w:sz w:val="24"/>
        </w:rPr>
      </w:pPr>
      <w:bookmarkStart w:id="3" w:name="_Toc228180139"/>
      <w:r>
        <w:rPr>
          <w:rFonts w:hint="eastAsia" w:ascii="仿宋" w:hAnsi="仿宋" w:eastAsia="仿宋" w:cs="仿宋"/>
          <w:b/>
          <w:color w:val="auto"/>
          <w:kern w:val="0"/>
          <w:sz w:val="24"/>
        </w:rPr>
        <w:t>43.</w:t>
      </w:r>
      <w:bookmarkEnd w:id="3"/>
      <w:r>
        <w:rPr>
          <w:rFonts w:hint="eastAsia" w:ascii="仿宋" w:hAnsi="仿宋" w:eastAsia="仿宋" w:cs="仿宋"/>
          <w:b/>
          <w:bCs/>
          <w:color w:val="auto"/>
          <w:kern w:val="0"/>
          <w:sz w:val="24"/>
        </w:rPr>
        <w:t>中标服务费</w:t>
      </w:r>
    </w:p>
    <w:p>
      <w:pPr>
        <w:shd w:val="clear" w:color="auto" w:fill="FFFFFF"/>
        <w:spacing w:line="40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43.1 中标人应按本采购文件的规定，在领取中标通知书时向采购代理机构一次性支付中标服务费。采购代理机构也可直接从中标人的投标保证金内扣除。</w:t>
      </w:r>
    </w:p>
    <w:p>
      <w:pPr>
        <w:shd w:val="clear" w:color="auto" w:fill="FFFFFF"/>
        <w:spacing w:line="40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43.2 中标服务费的计算基数是中标人投标报价的总金额（即中标通知书中载明的中标金额）。</w:t>
      </w:r>
    </w:p>
    <w:p>
      <w:pPr>
        <w:shd w:val="clear" w:color="auto" w:fill="FFFFFF"/>
        <w:spacing w:line="40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43.3 中标服务费参照《国家纪委关于印发招标代理服务收费管理暂行办法的通知》（计价格[2002]1980号）文件之规定下浮30%收取。</w:t>
      </w:r>
    </w:p>
    <w:p>
      <w:pPr>
        <w:shd w:val="clear" w:color="auto" w:fill="FFFFFF"/>
        <w:spacing w:line="40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需要开具增值税专用发票，供应商请提供增值税专用发票开票信息（需加盖财务专用章）；</w:t>
      </w:r>
    </w:p>
    <w:p>
      <w:pPr>
        <w:shd w:val="clear" w:color="auto" w:fill="FFFFFF"/>
        <w:spacing w:line="400" w:lineRule="exact"/>
        <w:ind w:firstLine="487" w:firstLineChars="202"/>
        <w:rPr>
          <w:rFonts w:ascii="仿宋" w:hAnsi="仿宋" w:eastAsia="仿宋" w:cs="仿宋"/>
          <w:bCs/>
          <w:color w:val="auto"/>
          <w:kern w:val="0"/>
          <w:sz w:val="24"/>
        </w:rPr>
      </w:pPr>
      <w:r>
        <w:rPr>
          <w:rFonts w:hint="eastAsia" w:ascii="仿宋" w:hAnsi="仿宋" w:eastAsia="仿宋" w:cs="仿宋"/>
          <w:b/>
          <w:color w:val="auto"/>
          <w:kern w:val="0"/>
          <w:sz w:val="24"/>
        </w:rPr>
        <w:t>44. 其他</w:t>
      </w:r>
    </w:p>
    <w:p>
      <w:pPr>
        <w:shd w:val="clear" w:color="auto" w:fill="FFFFFF"/>
        <w:spacing w:line="400" w:lineRule="exact"/>
        <w:ind w:firstLine="484" w:firstLineChars="202"/>
        <w:rPr>
          <w:rFonts w:ascii="仿宋" w:hAnsi="仿宋" w:eastAsia="仿宋" w:cs="仿宋"/>
          <w:bCs/>
          <w:color w:val="auto"/>
          <w:kern w:val="0"/>
          <w:sz w:val="24"/>
        </w:rPr>
      </w:pPr>
      <w:r>
        <w:rPr>
          <w:rFonts w:hint="eastAsia" w:ascii="仿宋" w:hAnsi="仿宋" w:eastAsia="仿宋" w:cs="仿宋"/>
          <w:bCs/>
          <w:color w:val="auto"/>
          <w:kern w:val="0"/>
          <w:sz w:val="24"/>
        </w:rPr>
        <w:t>本采购文件是根据《中华人民共和国政府采购法》及其实施条例（658号令）及《政府采购货物和服务招标投标管理办法》（87号令）规定编制的，解释权属</w:t>
      </w:r>
      <w:r>
        <w:rPr>
          <w:rFonts w:hint="eastAsia" w:ascii="仿宋" w:hAnsi="仿宋" w:eastAsia="仿宋" w:cs="仿宋"/>
          <w:color w:val="auto"/>
          <w:sz w:val="24"/>
        </w:rPr>
        <w:t>新疆品创项目管理咨询有限公司。</w:t>
      </w:r>
    </w:p>
    <w:p>
      <w:pPr>
        <w:shd w:val="clear" w:color="auto" w:fill="FFFFFF"/>
        <w:spacing w:line="400" w:lineRule="exact"/>
        <w:ind w:firstLine="482" w:firstLineChars="200"/>
        <w:rPr>
          <w:rFonts w:ascii="仿宋" w:hAnsi="仿宋" w:eastAsia="仿宋" w:cs="仿宋"/>
          <w:b/>
          <w:color w:val="auto"/>
          <w:kern w:val="0"/>
          <w:sz w:val="24"/>
        </w:rPr>
      </w:pPr>
      <w:r>
        <w:rPr>
          <w:rFonts w:hint="eastAsia" w:ascii="仿宋" w:hAnsi="仿宋" w:eastAsia="仿宋" w:cs="仿宋"/>
          <w:b/>
          <w:color w:val="auto"/>
          <w:kern w:val="0"/>
          <w:sz w:val="24"/>
        </w:rPr>
        <w:t>45. 附件</w:t>
      </w:r>
    </w:p>
    <w:p>
      <w:pPr>
        <w:pStyle w:val="327"/>
        <w:spacing w:beforeLines="50" w:afterLines="50" w:line="400" w:lineRule="exact"/>
        <w:jc w:val="center"/>
        <w:rPr>
          <w:rFonts w:ascii="仿宋" w:hAnsi="仿宋" w:eastAsia="仿宋" w:cs="仿宋"/>
          <w:b/>
          <w:color w:val="auto"/>
          <w:szCs w:val="24"/>
        </w:rPr>
      </w:pPr>
      <w:r>
        <w:rPr>
          <w:rFonts w:hint="eastAsia" w:ascii="仿宋" w:hAnsi="仿宋" w:eastAsia="仿宋" w:cs="仿宋"/>
          <w:color w:val="auto"/>
          <w:szCs w:val="24"/>
        </w:rPr>
        <w:br w:type="page"/>
      </w:r>
      <w:bookmarkStart w:id="4" w:name="_Hlk519787567"/>
      <w:r>
        <w:rPr>
          <w:rFonts w:hint="eastAsia" w:ascii="仿宋" w:hAnsi="仿宋" w:eastAsia="仿宋" w:cs="仿宋"/>
          <w:b/>
          <w:color w:val="auto"/>
          <w:sz w:val="32"/>
          <w:szCs w:val="32"/>
        </w:rPr>
        <w:t>第三章  合同</w:t>
      </w:r>
      <w:bookmarkEnd w:id="4"/>
      <w:r>
        <w:rPr>
          <w:rFonts w:hint="eastAsia" w:ascii="仿宋" w:hAnsi="仿宋" w:eastAsia="仿宋" w:cs="仿宋"/>
          <w:b/>
          <w:color w:val="auto"/>
          <w:sz w:val="32"/>
          <w:szCs w:val="32"/>
        </w:rPr>
        <w:t>条款</w:t>
      </w:r>
    </w:p>
    <w:p>
      <w:pPr>
        <w:shd w:val="clear" w:color="auto" w:fill="FFFFFF"/>
        <w:spacing w:line="400" w:lineRule="exact"/>
        <w:jc w:val="center"/>
        <w:rPr>
          <w:rFonts w:ascii="仿宋" w:hAnsi="仿宋" w:eastAsia="仿宋" w:cs="仿宋"/>
          <w:b/>
          <w:color w:val="auto"/>
          <w:kern w:val="0"/>
          <w:sz w:val="24"/>
          <w:shd w:val="clear" w:color="auto" w:fill="FFFFFF"/>
        </w:rPr>
      </w:pPr>
    </w:p>
    <w:p>
      <w:pPr>
        <w:spacing w:line="400" w:lineRule="exact"/>
        <w:ind w:left="1265" w:hanging="1265"/>
        <w:jc w:val="center"/>
        <w:rPr>
          <w:rFonts w:hint="eastAsia" w:ascii="仿宋" w:hAnsi="仿宋" w:eastAsia="仿宋" w:cs="仿宋"/>
          <w:b/>
          <w:bCs/>
          <w:color w:val="auto"/>
          <w:sz w:val="28"/>
          <w:szCs w:val="28"/>
          <w:shd w:val="clear" w:color="auto" w:fill="FFFFFF"/>
          <w:lang w:eastAsia="zh-CN"/>
        </w:rPr>
      </w:pPr>
      <w:r>
        <w:rPr>
          <w:rFonts w:hint="eastAsia" w:ascii="仿宋" w:hAnsi="仿宋" w:eastAsia="仿宋" w:cs="仿宋"/>
          <w:b/>
          <w:bCs/>
          <w:color w:val="auto"/>
          <w:sz w:val="28"/>
          <w:szCs w:val="28"/>
          <w:shd w:val="clear" w:color="auto" w:fill="FFFFFF"/>
        </w:rPr>
        <w:t>设备购销合同</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订立合同双方：</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购货单位：</w:t>
      </w:r>
      <w:r>
        <w:rPr>
          <w:rFonts w:hint="eastAsia" w:ascii="仿宋" w:hAnsi="仿宋" w:eastAsia="仿宋" w:cs="仿宋"/>
          <w:color w:val="auto"/>
          <w:kern w:val="0"/>
          <w:sz w:val="24"/>
          <w:u w:val="single"/>
        </w:rPr>
        <w:t>奇台县卫生健康委员会</w:t>
      </w:r>
      <w:r>
        <w:rPr>
          <w:rFonts w:hint="eastAsia" w:ascii="仿宋" w:hAnsi="仿宋" w:eastAsia="仿宋" w:cs="仿宋"/>
          <w:color w:val="auto"/>
          <w:kern w:val="0"/>
          <w:sz w:val="24"/>
        </w:rPr>
        <w:t>，以下简称甲方；</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供货单位：，以下简称乙方；</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 xml:space="preserve">为了增强甲乙双方的责任感，加强经济核算，提高经济效益，确保双方实现各自的经济目的，经甲乙双方充分协商，特订立本合同，以便共同遵守。                                                                                          </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第一条、产品的名称、品种、规格和质量</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1、产品的名称、型号、数量、金额</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53"/>
        <w:gridCol w:w="2054"/>
        <w:gridCol w:w="1358"/>
        <w:gridCol w:w="165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17"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153"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设备名称</w:t>
            </w:r>
          </w:p>
        </w:tc>
        <w:tc>
          <w:tcPr>
            <w:tcW w:w="2054"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型号</w:t>
            </w:r>
          </w:p>
        </w:tc>
        <w:tc>
          <w:tcPr>
            <w:tcW w:w="1358"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数量（台）</w:t>
            </w:r>
          </w:p>
        </w:tc>
        <w:tc>
          <w:tcPr>
            <w:tcW w:w="1654"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单价</w:t>
            </w:r>
          </w:p>
        </w:tc>
        <w:tc>
          <w:tcPr>
            <w:tcW w:w="1655"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17"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153" w:type="dxa"/>
            <w:noWrap/>
            <w:vAlign w:val="center"/>
          </w:tcPr>
          <w:p>
            <w:pPr>
              <w:spacing w:line="400" w:lineRule="exact"/>
              <w:jc w:val="center"/>
              <w:rPr>
                <w:rFonts w:ascii="仿宋" w:hAnsi="仿宋" w:eastAsia="仿宋" w:cs="仿宋"/>
                <w:color w:val="auto"/>
                <w:sz w:val="24"/>
              </w:rPr>
            </w:pPr>
          </w:p>
        </w:tc>
        <w:tc>
          <w:tcPr>
            <w:tcW w:w="2054" w:type="dxa"/>
            <w:noWrap/>
            <w:vAlign w:val="center"/>
          </w:tcPr>
          <w:p>
            <w:pPr>
              <w:spacing w:line="400" w:lineRule="exact"/>
              <w:jc w:val="center"/>
              <w:rPr>
                <w:rFonts w:ascii="仿宋" w:hAnsi="仿宋" w:eastAsia="仿宋" w:cs="仿宋"/>
                <w:color w:val="auto"/>
                <w:sz w:val="24"/>
              </w:rPr>
            </w:pPr>
          </w:p>
        </w:tc>
        <w:tc>
          <w:tcPr>
            <w:tcW w:w="1358" w:type="dxa"/>
            <w:noWrap/>
            <w:vAlign w:val="center"/>
          </w:tcPr>
          <w:p>
            <w:pPr>
              <w:spacing w:line="400" w:lineRule="exact"/>
              <w:jc w:val="center"/>
              <w:rPr>
                <w:rFonts w:ascii="仿宋" w:hAnsi="仿宋" w:eastAsia="仿宋" w:cs="仿宋"/>
                <w:color w:val="auto"/>
                <w:sz w:val="24"/>
              </w:rPr>
            </w:pPr>
          </w:p>
        </w:tc>
        <w:tc>
          <w:tcPr>
            <w:tcW w:w="1654" w:type="dxa"/>
            <w:noWrap/>
            <w:vAlign w:val="center"/>
          </w:tcPr>
          <w:p>
            <w:pPr>
              <w:spacing w:line="400" w:lineRule="exact"/>
              <w:jc w:val="center"/>
              <w:rPr>
                <w:rFonts w:ascii="仿宋" w:hAnsi="仿宋" w:eastAsia="仿宋" w:cs="仿宋"/>
                <w:color w:val="auto"/>
                <w:sz w:val="24"/>
              </w:rPr>
            </w:pPr>
          </w:p>
        </w:tc>
        <w:tc>
          <w:tcPr>
            <w:tcW w:w="1655" w:type="dxa"/>
            <w:noWrap/>
            <w:vAlign w:val="center"/>
          </w:tcPr>
          <w:p>
            <w:pPr>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17"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153" w:type="dxa"/>
            <w:noWrap/>
            <w:vAlign w:val="center"/>
          </w:tcPr>
          <w:p>
            <w:pPr>
              <w:spacing w:line="400" w:lineRule="exact"/>
              <w:jc w:val="center"/>
              <w:rPr>
                <w:rFonts w:ascii="仿宋" w:hAnsi="仿宋" w:eastAsia="仿宋" w:cs="仿宋"/>
                <w:color w:val="auto"/>
                <w:sz w:val="24"/>
              </w:rPr>
            </w:pPr>
          </w:p>
        </w:tc>
        <w:tc>
          <w:tcPr>
            <w:tcW w:w="2054" w:type="dxa"/>
            <w:noWrap/>
            <w:vAlign w:val="center"/>
          </w:tcPr>
          <w:p>
            <w:pPr>
              <w:spacing w:line="400" w:lineRule="exact"/>
              <w:jc w:val="center"/>
              <w:rPr>
                <w:rFonts w:ascii="仿宋" w:hAnsi="仿宋" w:eastAsia="仿宋" w:cs="仿宋"/>
                <w:color w:val="auto"/>
                <w:sz w:val="24"/>
              </w:rPr>
            </w:pPr>
          </w:p>
        </w:tc>
        <w:tc>
          <w:tcPr>
            <w:tcW w:w="1358" w:type="dxa"/>
            <w:noWrap/>
            <w:vAlign w:val="center"/>
          </w:tcPr>
          <w:p>
            <w:pPr>
              <w:spacing w:line="400" w:lineRule="exact"/>
              <w:jc w:val="center"/>
              <w:rPr>
                <w:rFonts w:ascii="仿宋" w:hAnsi="仿宋" w:eastAsia="仿宋" w:cs="仿宋"/>
                <w:color w:val="auto"/>
                <w:sz w:val="24"/>
              </w:rPr>
            </w:pPr>
          </w:p>
        </w:tc>
        <w:tc>
          <w:tcPr>
            <w:tcW w:w="1654" w:type="dxa"/>
            <w:noWrap/>
            <w:vAlign w:val="center"/>
          </w:tcPr>
          <w:p>
            <w:pPr>
              <w:spacing w:line="400" w:lineRule="exact"/>
              <w:jc w:val="center"/>
              <w:rPr>
                <w:rFonts w:ascii="仿宋" w:hAnsi="仿宋" w:eastAsia="仿宋" w:cs="仿宋"/>
                <w:color w:val="auto"/>
                <w:sz w:val="24"/>
              </w:rPr>
            </w:pPr>
          </w:p>
        </w:tc>
        <w:tc>
          <w:tcPr>
            <w:tcW w:w="1655" w:type="dxa"/>
            <w:noWrap/>
            <w:vAlign w:val="center"/>
          </w:tcPr>
          <w:p>
            <w:pPr>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17" w:type="dxa"/>
            <w:noWrap/>
            <w:vAlign w:val="center"/>
          </w:tcPr>
          <w:p>
            <w:pPr>
              <w:spacing w:line="400" w:lineRule="exact"/>
              <w:jc w:val="center"/>
              <w:rPr>
                <w:rFonts w:ascii="仿宋" w:hAnsi="仿宋" w:eastAsia="仿宋" w:cs="仿宋"/>
                <w:color w:val="auto"/>
                <w:sz w:val="24"/>
              </w:rPr>
            </w:pPr>
          </w:p>
        </w:tc>
        <w:tc>
          <w:tcPr>
            <w:tcW w:w="2153"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合计</w:t>
            </w:r>
          </w:p>
        </w:tc>
        <w:tc>
          <w:tcPr>
            <w:tcW w:w="2054" w:type="dxa"/>
            <w:noWrap/>
            <w:vAlign w:val="center"/>
          </w:tcPr>
          <w:p>
            <w:pPr>
              <w:spacing w:line="400" w:lineRule="exact"/>
              <w:ind w:left="600" w:hanging="600" w:hangingChars="250"/>
              <w:jc w:val="center"/>
              <w:rPr>
                <w:rFonts w:ascii="仿宋" w:hAnsi="仿宋" w:eastAsia="仿宋" w:cs="仿宋"/>
                <w:color w:val="auto"/>
                <w:sz w:val="24"/>
              </w:rPr>
            </w:pPr>
          </w:p>
        </w:tc>
        <w:tc>
          <w:tcPr>
            <w:tcW w:w="1358" w:type="dxa"/>
            <w:noWrap/>
            <w:vAlign w:val="center"/>
          </w:tcPr>
          <w:p>
            <w:pPr>
              <w:spacing w:line="400" w:lineRule="exact"/>
              <w:jc w:val="center"/>
              <w:rPr>
                <w:rFonts w:ascii="仿宋" w:hAnsi="仿宋" w:eastAsia="仿宋" w:cs="仿宋"/>
                <w:color w:val="auto"/>
                <w:sz w:val="24"/>
              </w:rPr>
            </w:pPr>
          </w:p>
        </w:tc>
        <w:tc>
          <w:tcPr>
            <w:tcW w:w="1654" w:type="dxa"/>
            <w:noWrap/>
            <w:vAlign w:val="center"/>
          </w:tcPr>
          <w:p>
            <w:pPr>
              <w:spacing w:line="400" w:lineRule="exact"/>
              <w:jc w:val="center"/>
              <w:rPr>
                <w:rFonts w:ascii="仿宋" w:hAnsi="仿宋" w:eastAsia="仿宋" w:cs="仿宋"/>
                <w:color w:val="auto"/>
                <w:sz w:val="24"/>
              </w:rPr>
            </w:pPr>
          </w:p>
        </w:tc>
        <w:tc>
          <w:tcPr>
            <w:tcW w:w="1655" w:type="dxa"/>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691" w:type="dxa"/>
            <w:gridSpan w:val="6"/>
            <w:noWrap/>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大写</w:t>
            </w:r>
          </w:p>
        </w:tc>
      </w:tr>
    </w:tbl>
    <w:p>
      <w:pPr>
        <w:widowControl/>
        <w:spacing w:line="400" w:lineRule="exact"/>
        <w:ind w:firstLine="482" w:firstLineChars="200"/>
        <w:jc w:val="left"/>
        <w:rPr>
          <w:rFonts w:ascii="仿宋" w:hAnsi="仿宋" w:eastAsia="仿宋" w:cs="仿宋"/>
          <w:b/>
          <w:color w:val="auto"/>
          <w:kern w:val="0"/>
          <w:sz w:val="24"/>
        </w:rPr>
      </w:pPr>
      <w:r>
        <w:rPr>
          <w:rFonts w:hint="eastAsia" w:ascii="仿宋" w:hAnsi="仿宋" w:eastAsia="仿宋" w:cs="仿宋"/>
          <w:b/>
          <w:color w:val="auto"/>
          <w:kern w:val="0"/>
          <w:sz w:val="24"/>
        </w:rPr>
        <w:t>乙方保证所提供的所有设备是全新的原产品，各方面符合标书所规定的品牌名称、生产厂家、质量、规格、型号、性能参数、数量、单价、金额等要求，并全面响应标书、答疑文件及合同备忘录。</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2、产品的技术标准，按下列第（4）项执行。</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（１）按国家标准执行；（２）按部颁标准执行；（3）出厂标准执行；（４）按甲乙双方商定的技术要求执行；</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第二条、产品交货办法、到货地点及运费、装卸费；</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 xml:space="preserve"> 1、交货办法：</w:t>
      </w:r>
      <w:r>
        <w:rPr>
          <w:rFonts w:hint="eastAsia" w:ascii="仿宋" w:hAnsi="仿宋" w:eastAsia="仿宋" w:cs="仿宋"/>
          <w:color w:val="auto"/>
          <w:kern w:val="0"/>
          <w:sz w:val="24"/>
          <w:u w:val="single"/>
        </w:rPr>
        <w:t>乙方负责安装调试</w:t>
      </w:r>
      <w:r>
        <w:rPr>
          <w:rFonts w:hint="eastAsia" w:ascii="仿宋" w:hAnsi="仿宋" w:eastAsia="仿宋" w:cs="仿宋"/>
          <w:color w:val="auto"/>
          <w:kern w:val="0"/>
          <w:sz w:val="24"/>
        </w:rPr>
        <w:t xml:space="preserve"> ； </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 xml:space="preserve"> 2、交货地点； </w:t>
      </w:r>
      <w:r>
        <w:rPr>
          <w:rFonts w:hint="eastAsia" w:ascii="仿宋" w:hAnsi="仿宋" w:eastAsia="仿宋" w:cs="仿宋"/>
          <w:color w:val="auto"/>
          <w:kern w:val="0"/>
          <w:sz w:val="24"/>
          <w:u w:val="single"/>
          <w:lang w:val="en-US" w:eastAsia="zh-CN"/>
        </w:rPr>
        <w:t>采购人</w:t>
      </w:r>
      <w:r>
        <w:rPr>
          <w:rFonts w:hint="eastAsia" w:ascii="仿宋" w:hAnsi="仿宋" w:eastAsia="仿宋" w:cs="仿宋"/>
          <w:color w:val="auto"/>
          <w:kern w:val="0"/>
          <w:sz w:val="24"/>
          <w:u w:val="single"/>
        </w:rPr>
        <w:t>指定地点</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 xml:space="preserve"> 3、货物安装、调试及验收前的运费、装卸等一切费由</w:t>
      </w:r>
      <w:r>
        <w:rPr>
          <w:rFonts w:hint="eastAsia" w:ascii="仿宋" w:hAnsi="仿宋" w:eastAsia="仿宋" w:cs="仿宋"/>
          <w:color w:val="auto"/>
          <w:kern w:val="0"/>
          <w:sz w:val="24"/>
          <w:u w:val="single"/>
        </w:rPr>
        <w:t>乙方</w:t>
      </w:r>
      <w:r>
        <w:rPr>
          <w:rFonts w:hint="eastAsia" w:ascii="仿宋" w:hAnsi="仿宋" w:eastAsia="仿宋" w:cs="仿宋"/>
          <w:color w:val="auto"/>
          <w:kern w:val="0"/>
          <w:sz w:val="24"/>
        </w:rPr>
        <w:t xml:space="preserve">承担。 </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第三条、交货及安装调试完工期：自合同签订后</w:t>
      </w:r>
      <w:r>
        <w:rPr>
          <w:rFonts w:hint="eastAsia" w:ascii="仿宋" w:hAnsi="仿宋" w:eastAsia="仿宋" w:cs="仿宋"/>
          <w:color w:val="auto"/>
          <w:kern w:val="0"/>
          <w:sz w:val="24"/>
          <w:lang w:val="en-US" w:eastAsia="zh-CN"/>
        </w:rPr>
        <w:t>30</w:t>
      </w:r>
      <w:r>
        <w:rPr>
          <w:rFonts w:hint="eastAsia" w:ascii="仿宋" w:hAnsi="仿宋" w:eastAsia="仿宋" w:cs="仿宋"/>
          <w:color w:val="auto"/>
          <w:kern w:val="0"/>
          <w:sz w:val="24"/>
        </w:rPr>
        <w:t>日内全部货物到买方指定地点并安装调试完毕。</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第四条、产品的价格与货款的结算</w:t>
      </w:r>
    </w:p>
    <w:p>
      <w:pPr>
        <w:widowControl/>
        <w:spacing w:line="400" w:lineRule="exact"/>
        <w:ind w:firstLine="480" w:firstLineChars="200"/>
        <w:jc w:val="left"/>
        <w:rPr>
          <w:rFonts w:ascii="仿宋" w:hAnsi="仿宋" w:eastAsia="仿宋" w:cs="仿宋"/>
          <w:color w:val="auto"/>
          <w:kern w:val="0"/>
          <w:sz w:val="24"/>
          <w:u w:val="single"/>
        </w:rPr>
      </w:pPr>
      <w:r>
        <w:rPr>
          <w:rFonts w:hint="eastAsia" w:ascii="仿宋" w:hAnsi="仿宋" w:eastAsia="仿宋" w:cs="仿宋"/>
          <w:color w:val="auto"/>
          <w:kern w:val="0"/>
          <w:sz w:val="24"/>
        </w:rPr>
        <w:t xml:space="preserve"> 1、合同金额:</w:t>
      </w:r>
      <w:r>
        <w:rPr>
          <w:rFonts w:hint="eastAsia" w:ascii="仿宋" w:hAnsi="仿宋" w:eastAsia="仿宋" w:cs="仿宋"/>
          <w:color w:val="auto"/>
          <w:kern w:val="0"/>
          <w:sz w:val="24"/>
          <w:u w:val="single"/>
        </w:rPr>
        <w:t>（元）</w:t>
      </w:r>
      <w:r>
        <w:rPr>
          <w:rFonts w:hint="eastAsia" w:ascii="仿宋" w:hAnsi="仿宋" w:eastAsia="仿宋" w:cs="仿宋"/>
          <w:color w:val="auto"/>
          <w:kern w:val="0"/>
          <w:sz w:val="24"/>
        </w:rPr>
        <w:t>。</w:t>
      </w:r>
    </w:p>
    <w:p>
      <w:pPr>
        <w:spacing w:line="400" w:lineRule="exact"/>
        <w:rPr>
          <w:rFonts w:ascii="仿宋" w:hAnsi="仿宋" w:eastAsia="仿宋" w:cs="仿宋"/>
          <w:color w:val="auto"/>
          <w:kern w:val="0"/>
          <w:sz w:val="24"/>
        </w:rPr>
      </w:pPr>
      <w:r>
        <w:rPr>
          <w:rFonts w:hint="eastAsia" w:ascii="仿宋" w:hAnsi="仿宋" w:eastAsia="仿宋" w:cs="仿宋"/>
          <w:color w:val="auto"/>
          <w:kern w:val="0"/>
          <w:sz w:val="24"/>
        </w:rPr>
        <w:t xml:space="preserve">     2、产品货款的结算：</w:t>
      </w:r>
      <w:r>
        <w:rPr>
          <w:rFonts w:hint="eastAsia" w:ascii="仿宋" w:hAnsi="仿宋" w:eastAsia="仿宋"/>
          <w:color w:val="auto"/>
          <w:kern w:val="2"/>
          <w:sz w:val="24"/>
          <w:szCs w:val="22"/>
          <w:lang w:val="en-US" w:eastAsia="zh-CN"/>
        </w:rPr>
        <w:t>车辆验收合格后</w:t>
      </w:r>
      <w:r>
        <w:rPr>
          <w:rFonts w:hint="eastAsia" w:ascii="仿宋" w:hAnsi="仿宋" w:eastAsia="仿宋" w:cs="仿宋"/>
          <w:color w:val="auto"/>
          <w:sz w:val="24"/>
        </w:rPr>
        <w:t>买方支付给卖方合同价格</w:t>
      </w:r>
      <w:r>
        <w:rPr>
          <w:rFonts w:hint="eastAsia" w:ascii="仿宋" w:hAnsi="仿宋" w:eastAsia="仿宋" w:cs="仿宋"/>
          <w:color w:val="auto"/>
          <w:sz w:val="24"/>
          <w:lang w:val="en-US" w:eastAsia="zh-CN"/>
        </w:rPr>
        <w:t>90</w:t>
      </w:r>
      <w:r>
        <w:rPr>
          <w:rFonts w:hint="eastAsia" w:ascii="仿宋" w:hAnsi="仿宋" w:eastAsia="仿宋" w:cs="仿宋"/>
          <w:color w:val="auto"/>
          <w:sz w:val="24"/>
        </w:rPr>
        <w:t>％</w:t>
      </w:r>
      <w:r>
        <w:rPr>
          <w:rFonts w:hint="eastAsia" w:ascii="仿宋" w:hAnsi="仿宋" w:eastAsia="仿宋" w:cs="仿宋"/>
          <w:color w:val="auto"/>
          <w:sz w:val="24"/>
          <w:lang w:val="en-US" w:eastAsia="zh-CN"/>
        </w:rPr>
        <w:t>款项</w:t>
      </w:r>
      <w:r>
        <w:rPr>
          <w:rFonts w:hint="eastAsia" w:ascii="仿宋" w:hAnsi="仿宋" w:eastAsia="仿宋" w:cs="仿宋"/>
          <w:color w:val="auto"/>
          <w:sz w:val="24"/>
          <w:lang w:eastAsia="zh-CN"/>
        </w:rPr>
        <w:t>，</w:t>
      </w:r>
      <w:r>
        <w:rPr>
          <w:rFonts w:hint="eastAsia" w:ascii="仿宋" w:hAnsi="仿宋" w:eastAsia="仿宋" w:cs="仿宋"/>
          <w:color w:val="auto"/>
          <w:kern w:val="2"/>
          <w:sz w:val="24"/>
          <w:szCs w:val="22"/>
          <w:lang w:val="en-US" w:eastAsia="zh-CN" w:bidi="ar-SA"/>
        </w:rPr>
        <w:t>待项目审计结束付剩余10%</w:t>
      </w:r>
      <w:r>
        <w:rPr>
          <w:rFonts w:hint="eastAsia" w:ascii="仿宋" w:hAnsi="仿宋" w:eastAsia="仿宋" w:cs="仿宋"/>
          <w:color w:val="auto"/>
          <w:sz w:val="24"/>
          <w:lang w:val="en-US" w:eastAsia="zh-CN"/>
        </w:rPr>
        <w:t>款项</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第五条、验收方法：</w:t>
      </w:r>
      <w:r>
        <w:rPr>
          <w:rFonts w:hint="eastAsia" w:ascii="仿宋" w:hAnsi="仿宋" w:eastAsia="仿宋" w:cs="仿宋"/>
          <w:color w:val="auto"/>
          <w:kern w:val="0"/>
          <w:sz w:val="24"/>
          <w:u w:val="single"/>
        </w:rPr>
        <w:t>根据招标文件或询价单及国家相关规定；</w:t>
      </w:r>
    </w:p>
    <w:p>
      <w:pPr>
        <w:widowControl/>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kern w:val="0"/>
          <w:sz w:val="24"/>
        </w:rPr>
        <w:t>第六条、产品的质保时间与维护：</w:t>
      </w:r>
      <w:r>
        <w:rPr>
          <w:rFonts w:hint="eastAsia" w:ascii="仿宋" w:hAnsi="仿宋" w:eastAsia="仿宋" w:cs="仿宋"/>
          <w:color w:val="auto"/>
          <w:sz w:val="24"/>
        </w:rPr>
        <w:t>全套设备验收合格后免费维修3年。</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第七条、乙方的违约责任：乙方不能按期交付验收的，应向甲方偿付</w:t>
      </w:r>
      <w:r>
        <w:rPr>
          <w:rFonts w:hint="eastAsia" w:ascii="仿宋" w:hAnsi="仿宋" w:eastAsia="仿宋" w:cs="仿宋"/>
          <w:color w:val="auto"/>
          <w:kern w:val="0"/>
          <w:sz w:val="24"/>
          <w:u w:val="single"/>
        </w:rPr>
        <w:t xml:space="preserve"> 5 </w:t>
      </w:r>
      <w:r>
        <w:rPr>
          <w:rFonts w:hint="eastAsia" w:ascii="仿宋" w:hAnsi="仿宋" w:eastAsia="仿宋" w:cs="仿宋"/>
          <w:color w:val="auto"/>
          <w:kern w:val="0"/>
          <w:sz w:val="24"/>
        </w:rPr>
        <w:t>%的违约金，乙方所交产品品种、型号、规格、质量不符合规定的，由乙方负责包换或者保修直至退货，并承担调换或退货而支付的实际费用。</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第八条、其他约定事项：按照投标文件的售后承诺书细项执行。</w:t>
      </w:r>
    </w:p>
    <w:p>
      <w:pPr>
        <w:widowControl/>
        <w:spacing w:line="400" w:lineRule="exact"/>
        <w:ind w:left="560"/>
        <w:jc w:val="left"/>
        <w:rPr>
          <w:rFonts w:ascii="仿宋" w:hAnsi="仿宋" w:eastAsia="仿宋" w:cs="仿宋"/>
          <w:color w:val="auto"/>
          <w:kern w:val="0"/>
          <w:sz w:val="24"/>
        </w:rPr>
      </w:pPr>
      <w:r>
        <w:rPr>
          <w:rFonts w:hint="eastAsia" w:ascii="仿宋" w:hAnsi="仿宋" w:eastAsia="仿宋" w:cs="仿宋"/>
          <w:color w:val="auto"/>
          <w:kern w:val="0"/>
          <w:sz w:val="24"/>
        </w:rPr>
        <w:t>本合同如发生纠纷，当事人双方应当及时协商解决，协商不成时，双方同意，由仲裁委员会仲裁。</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本合同自年月日起，须经双方共同协商，作出补充规定，补充规定与本合同具有同等效力。</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购货单位（甲方）：</w:t>
      </w:r>
      <w:r>
        <w:rPr>
          <w:rFonts w:hint="eastAsia" w:ascii="仿宋" w:hAnsi="仿宋" w:eastAsia="仿宋" w:cs="仿宋"/>
          <w:color w:val="auto"/>
          <w:kern w:val="0"/>
          <w:sz w:val="24"/>
          <w:u w:val="single"/>
        </w:rPr>
        <w:t>奇台县卫生健康委员会</w:t>
      </w:r>
      <w:r>
        <w:rPr>
          <w:rFonts w:hint="eastAsia" w:ascii="仿宋" w:hAnsi="仿宋" w:eastAsia="仿宋" w:cs="仿宋"/>
          <w:color w:val="auto"/>
          <w:kern w:val="0"/>
          <w:sz w:val="24"/>
        </w:rPr>
        <w:t>（公章）</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法定代表人：           委托代理人：</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地址、电话：</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签订时间：年月日</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供货公司：（公章）</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法定代表人：            委托代理人：</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地址：                         电话：</w:t>
      </w:r>
    </w:p>
    <w:p>
      <w:pPr>
        <w:widowControl/>
        <w:spacing w:line="40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开户行：</w:t>
      </w:r>
    </w:p>
    <w:p>
      <w:pPr>
        <w:widowControl/>
        <w:shd w:val="clear" w:color="auto" w:fill="FFFFFF"/>
        <w:spacing w:line="400" w:lineRule="exact"/>
        <w:ind w:firstLine="480" w:firstLineChars="200"/>
        <w:rPr>
          <w:rFonts w:ascii="仿宋" w:hAnsi="仿宋" w:eastAsia="仿宋" w:cs="仿宋"/>
          <w:color w:val="auto"/>
          <w:kern w:val="0"/>
          <w:sz w:val="24"/>
        </w:rPr>
      </w:pPr>
    </w:p>
    <w:p>
      <w:pPr>
        <w:widowControl/>
        <w:shd w:val="clear" w:color="auto" w:fill="FFFFFF"/>
        <w:spacing w:line="400" w:lineRule="exact"/>
        <w:rPr>
          <w:rFonts w:ascii="仿宋" w:hAnsi="仿宋" w:eastAsia="仿宋" w:cs="仿宋"/>
          <w:color w:val="auto"/>
          <w:sz w:val="24"/>
        </w:rPr>
      </w:pPr>
    </w:p>
    <w:p>
      <w:pPr>
        <w:widowControl/>
        <w:spacing w:line="400" w:lineRule="exact"/>
        <w:jc w:val="left"/>
        <w:rPr>
          <w:rFonts w:ascii="仿宋" w:hAnsi="仿宋" w:eastAsia="仿宋" w:cs="仿宋"/>
          <w:color w:val="auto"/>
          <w:sz w:val="24"/>
        </w:rPr>
      </w:pPr>
      <w:r>
        <w:rPr>
          <w:rFonts w:hint="eastAsia" w:ascii="仿宋" w:hAnsi="仿宋" w:eastAsia="仿宋" w:cs="仿宋"/>
          <w:color w:val="auto"/>
          <w:sz w:val="24"/>
        </w:rPr>
        <w:br w:type="page"/>
      </w:r>
    </w:p>
    <w:p>
      <w:pPr>
        <w:widowControl/>
        <w:spacing w:line="720" w:lineRule="auto"/>
        <w:jc w:val="center"/>
        <w:rPr>
          <w:rFonts w:hint="eastAsia" w:ascii="仿宋" w:hAnsi="仿宋" w:eastAsia="仿宋" w:cs="仿宋"/>
          <w:b/>
          <w:color w:val="auto"/>
          <w:sz w:val="32"/>
          <w:szCs w:val="32"/>
        </w:rPr>
      </w:pPr>
      <w:r>
        <w:rPr>
          <w:rFonts w:hint="eastAsia" w:ascii="仿宋" w:hAnsi="仿宋" w:eastAsia="仿宋" w:cs="仿宋"/>
          <w:b/>
          <w:bCs/>
          <w:color w:val="auto"/>
          <w:sz w:val="32"/>
          <w:szCs w:val="32"/>
          <w:shd w:val="clear" w:color="auto" w:fill="FFFFFF"/>
        </w:rPr>
        <w:t>第四章</w:t>
      </w:r>
      <w:bookmarkStart w:id="5" w:name="_Hlk519793124"/>
      <w:r>
        <w:rPr>
          <w:rFonts w:hint="eastAsia" w:ascii="仿宋" w:hAnsi="仿宋" w:eastAsia="仿宋" w:cs="仿宋"/>
          <w:b/>
          <w:color w:val="auto"/>
          <w:sz w:val="32"/>
          <w:szCs w:val="32"/>
        </w:rPr>
        <w:t>采购需求</w:t>
      </w:r>
      <w:bookmarkEnd w:id="5"/>
    </w:p>
    <w:p>
      <w:pPr>
        <w:pStyle w:val="327"/>
        <w:numPr>
          <w:ilvl w:val="0"/>
          <w:numId w:val="0"/>
        </w:numPr>
        <w:spacing w:beforeLines="50" w:afterLines="50" w:line="360" w:lineRule="auto"/>
        <w:jc w:val="center"/>
        <w:rPr>
          <w:rFonts w:hint="eastAsia" w:ascii="仿宋" w:hAnsi="仿宋" w:eastAsia="仿宋" w:cs="仿宋"/>
          <w:b/>
          <w:color w:val="auto"/>
          <w:sz w:val="32"/>
          <w:szCs w:val="32"/>
        </w:rPr>
      </w:pPr>
      <w:r>
        <w:rPr>
          <w:rFonts w:hint="eastAsia" w:ascii="仿宋" w:hAnsi="仿宋" w:eastAsia="仿宋" w:cs="仿宋"/>
          <w:b w:val="0"/>
          <w:bCs w:val="0"/>
          <w:color w:val="auto"/>
          <w:sz w:val="28"/>
          <w:szCs w:val="28"/>
          <w:highlight w:val="none"/>
          <w:lang w:eastAsia="zh-CN"/>
        </w:rPr>
        <w:t>一、</w:t>
      </w:r>
      <w:r>
        <w:rPr>
          <w:rFonts w:hint="eastAsia" w:ascii="仿宋" w:hAnsi="仿宋" w:eastAsia="仿宋" w:cs="仿宋"/>
          <w:b w:val="0"/>
          <w:bCs w:val="0"/>
          <w:color w:val="auto"/>
          <w:sz w:val="28"/>
          <w:szCs w:val="28"/>
          <w:highlight w:val="none"/>
        </w:rPr>
        <w:t>货物需求一览表</w:t>
      </w:r>
    </w:p>
    <w:tbl>
      <w:tblPr>
        <w:tblStyle w:val="61"/>
        <w:tblW w:w="9414"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4134"/>
        <w:gridCol w:w="1429"/>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序号</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设备名称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数量</w:t>
            </w:r>
          </w:p>
        </w:tc>
        <w:tc>
          <w:tcPr>
            <w:tcW w:w="30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Arial"/>
                <w:color w:val="auto"/>
                <w:sz w:val="24"/>
                <w:highlight w:val="none"/>
              </w:rPr>
              <w:t>交货期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1</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rPr>
              <w:t>救护车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lang w:val="en-US" w:eastAsia="zh-CN"/>
              </w:rPr>
              <w:t>6辆</w:t>
            </w:r>
          </w:p>
        </w:tc>
        <w:tc>
          <w:tcPr>
            <w:tcW w:w="3000" w:type="dxa"/>
            <w:vMerge w:val="restart"/>
            <w:tcBorders>
              <w:top w:val="single" w:color="000000" w:sz="4" w:space="0"/>
              <w:left w:val="single" w:color="auto" w:sz="4" w:space="0"/>
              <w:right w:val="single" w:color="000000"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Cs/>
                <w:color w:val="auto"/>
                <w:kern w:val="0"/>
                <w:sz w:val="24"/>
              </w:rPr>
              <w:t>合同签订</w:t>
            </w:r>
            <w:r>
              <w:rPr>
                <w:rFonts w:hint="eastAsia" w:ascii="仿宋" w:hAnsi="仿宋" w:eastAsia="仿宋" w:cs="仿宋"/>
                <w:bCs/>
                <w:color w:val="auto"/>
                <w:kern w:val="0"/>
                <w:sz w:val="24"/>
                <w:lang w:val="en-US" w:eastAsia="zh-CN"/>
              </w:rPr>
              <w:t>生效</w:t>
            </w:r>
            <w:r>
              <w:rPr>
                <w:rFonts w:hint="eastAsia" w:ascii="仿宋" w:hAnsi="仿宋" w:eastAsia="仿宋" w:cs="仿宋"/>
                <w:bCs/>
                <w:color w:val="auto"/>
                <w:kern w:val="0"/>
                <w:sz w:val="24"/>
              </w:rPr>
              <w:t>后</w:t>
            </w:r>
            <w:r>
              <w:rPr>
                <w:rFonts w:hint="eastAsia" w:ascii="仿宋" w:hAnsi="仿宋" w:eastAsia="仿宋" w:cs="仿宋"/>
                <w:bCs/>
                <w:color w:val="auto"/>
                <w:kern w:val="0"/>
                <w:sz w:val="24"/>
                <w:lang w:val="en-US" w:eastAsia="zh-CN"/>
              </w:rPr>
              <w:t>30</w:t>
            </w:r>
            <w:r>
              <w:rPr>
                <w:rFonts w:hint="eastAsia" w:ascii="仿宋" w:hAnsi="仿宋" w:eastAsia="仿宋" w:cs="仿宋"/>
                <w:bCs/>
                <w:color w:val="auto"/>
                <w:kern w:val="0"/>
                <w:sz w:val="24"/>
              </w:rPr>
              <w:t>天内全部货物到买方指定地点并安装调试完毕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2</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lang w:val="en-US" w:eastAsia="zh-CN"/>
              </w:rPr>
              <w:t>移动体检车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lang w:val="en-US" w:eastAsia="zh-CN"/>
              </w:rPr>
              <w:t>1辆</w:t>
            </w:r>
          </w:p>
        </w:tc>
        <w:tc>
          <w:tcPr>
            <w:tcW w:w="3000"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3</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lang w:val="en-US" w:eastAsia="zh-CN"/>
              </w:rPr>
              <w:t>应急指挥车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lang w:val="en-US" w:eastAsia="zh-CN"/>
              </w:rPr>
              <w:t>1辆</w:t>
            </w:r>
          </w:p>
        </w:tc>
        <w:tc>
          <w:tcPr>
            <w:tcW w:w="3000" w:type="dxa"/>
            <w:vMerge w:val="continue"/>
            <w:tcBorders>
              <w:left w:val="single" w:color="auto" w:sz="4" w:space="0"/>
              <w:right w:val="single" w:color="000000"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4"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4</w:t>
            </w:r>
          </w:p>
        </w:tc>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lang w:val="en-US" w:eastAsia="zh-CN"/>
              </w:rPr>
              <w:t>快速检测车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color w:val="auto"/>
                <w:sz w:val="24"/>
                <w:lang w:val="en-US" w:eastAsia="zh-CN"/>
              </w:rPr>
              <w:t>1辆</w:t>
            </w:r>
          </w:p>
        </w:tc>
        <w:tc>
          <w:tcPr>
            <w:tcW w:w="300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b w:val="0"/>
                <w:bCs/>
                <w:color w:val="auto"/>
                <w:kern w:val="0"/>
                <w:sz w:val="24"/>
                <w:szCs w:val="24"/>
                <w:lang w:val="en-US" w:eastAsia="zh-CN" w:bidi="ar-SA"/>
              </w:rPr>
            </w:pPr>
          </w:p>
        </w:tc>
      </w:tr>
    </w:tbl>
    <w:p>
      <w:pPr>
        <w:rPr>
          <w:color w:val="auto"/>
        </w:rPr>
      </w:pPr>
      <w:r>
        <w:rPr>
          <w:color w:val="auto"/>
        </w:rPr>
        <w:br w:type="page"/>
      </w:r>
    </w:p>
    <w:p>
      <w:pPr>
        <w:rPr>
          <w:color w:val="auto"/>
        </w:rPr>
      </w:pPr>
    </w:p>
    <w:p>
      <w:pPr>
        <w:pStyle w:val="28"/>
        <w:numPr>
          <w:ilvl w:val="0"/>
          <w:numId w:val="11"/>
        </w:numPr>
        <w:jc w:val="cente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设备详细技术参数</w:t>
      </w:r>
    </w:p>
    <w:p>
      <w:pPr>
        <w:spacing w:line="360" w:lineRule="auto"/>
        <w:rPr>
          <w:rFonts w:ascii="仿宋" w:hAnsi="仿宋" w:eastAsia="仿宋"/>
          <w:b/>
          <w:color w:val="auto"/>
          <w:sz w:val="24"/>
        </w:rPr>
      </w:pPr>
      <w:r>
        <w:rPr>
          <w:rFonts w:hint="eastAsia" w:ascii="仿宋" w:hAnsi="仿宋" w:eastAsia="仿宋"/>
          <w:b/>
          <w:color w:val="auto"/>
          <w:sz w:val="24"/>
        </w:rPr>
        <w:t>1、</w:t>
      </w:r>
      <w:r>
        <w:rPr>
          <w:rFonts w:hint="eastAsia" w:ascii="宋体" w:hAnsi="宋体" w:eastAsia="宋体" w:cs="宋体"/>
          <w:b/>
          <w:bCs w:val="0"/>
          <w:color w:val="auto"/>
          <w:sz w:val="24"/>
          <w:szCs w:val="24"/>
          <w:highlight w:val="none"/>
        </w:rPr>
        <w:t>救护车</w:t>
      </w:r>
    </w:p>
    <w:p>
      <w:pPr>
        <w:spacing w:line="360" w:lineRule="auto"/>
        <w:rPr>
          <w:rFonts w:ascii="仿宋" w:hAnsi="仿宋" w:eastAsia="仿宋"/>
          <w:b/>
          <w:color w:val="auto"/>
          <w:sz w:val="24"/>
        </w:rPr>
      </w:pPr>
      <w:r>
        <w:rPr>
          <w:rFonts w:hint="eastAsia" w:ascii="仿宋" w:hAnsi="仿宋" w:eastAsia="仿宋"/>
          <w:b/>
          <w:color w:val="auto"/>
          <w:sz w:val="24"/>
        </w:rPr>
        <w:t>1.1数量：</w:t>
      </w:r>
      <w:r>
        <w:rPr>
          <w:rFonts w:hint="eastAsia" w:ascii="仿宋" w:hAnsi="仿宋" w:eastAsia="仿宋"/>
          <w:b/>
          <w:color w:val="auto"/>
          <w:sz w:val="24"/>
          <w:lang w:val="en-US" w:eastAsia="zh-CN"/>
        </w:rPr>
        <w:t>6</w:t>
      </w:r>
      <w:r>
        <w:rPr>
          <w:rFonts w:hint="eastAsia" w:ascii="仿宋" w:hAnsi="仿宋" w:eastAsia="仿宋"/>
          <w:b/>
          <w:color w:val="auto"/>
          <w:sz w:val="24"/>
        </w:rPr>
        <w:t>辆</w:t>
      </w:r>
    </w:p>
    <w:p>
      <w:pPr>
        <w:spacing w:line="360" w:lineRule="auto"/>
        <w:rPr>
          <w:rFonts w:hint="default" w:ascii="宋体" w:hAnsi="宋体" w:eastAsia="宋体" w:cs="宋体"/>
          <w:color w:val="auto"/>
          <w:sz w:val="24"/>
          <w:szCs w:val="24"/>
          <w:highlight w:val="none"/>
          <w:u w:val="none"/>
          <w:lang w:val="en-US" w:eastAsia="zh-CN"/>
        </w:rPr>
      </w:pPr>
      <w:r>
        <w:rPr>
          <w:rFonts w:hint="eastAsia" w:ascii="仿宋" w:hAnsi="仿宋" w:eastAsia="仿宋"/>
          <w:b/>
          <w:color w:val="auto"/>
          <w:sz w:val="24"/>
        </w:rPr>
        <w:t>1.2技术参数及要求</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029"/>
        <w:gridCol w:w="5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序号</w:t>
            </w:r>
          </w:p>
        </w:tc>
        <w:tc>
          <w:tcPr>
            <w:tcW w:w="3029"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车辆项目</w:t>
            </w:r>
          </w:p>
        </w:tc>
        <w:tc>
          <w:tcPr>
            <w:tcW w:w="5480"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一</w:t>
            </w:r>
          </w:p>
        </w:tc>
        <w:tc>
          <w:tcPr>
            <w:tcW w:w="3029" w:type="dxa"/>
            <w:noWrap w:val="0"/>
            <w:vAlign w:val="center"/>
          </w:tcPr>
          <w:p>
            <w:pPr>
              <w:jc w:val="left"/>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救护车</w:t>
            </w:r>
          </w:p>
        </w:tc>
        <w:tc>
          <w:tcPr>
            <w:tcW w:w="5480" w:type="dxa"/>
            <w:noWrap w:val="0"/>
            <w:vAlign w:val="center"/>
          </w:tcPr>
          <w:p>
            <w:pPr>
              <w:jc w:val="left"/>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功能：主要为转运、救治、监护抢救重症病人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二</w:t>
            </w:r>
          </w:p>
        </w:tc>
        <w:tc>
          <w:tcPr>
            <w:tcW w:w="3029"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车辆技术要求</w:t>
            </w:r>
          </w:p>
        </w:tc>
        <w:tc>
          <w:tcPr>
            <w:tcW w:w="5480"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w:t>
            </w:r>
          </w:p>
        </w:tc>
        <w:tc>
          <w:tcPr>
            <w:tcW w:w="3029"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排放标准</w:t>
            </w:r>
          </w:p>
        </w:tc>
        <w:tc>
          <w:tcPr>
            <w:tcW w:w="5480"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w:t>
            </w:r>
          </w:p>
        </w:tc>
        <w:tc>
          <w:tcPr>
            <w:tcW w:w="3029"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驱动形式</w:t>
            </w:r>
          </w:p>
        </w:tc>
        <w:tc>
          <w:tcPr>
            <w:tcW w:w="5480"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前置</w:t>
            </w:r>
            <w:r>
              <w:rPr>
                <w:rFonts w:hint="eastAsia" w:ascii="仿宋" w:hAnsi="仿宋" w:eastAsia="仿宋" w:cs="仿宋"/>
                <w:iCs/>
                <w:color w:val="auto"/>
                <w:sz w:val="24"/>
                <w:szCs w:val="24"/>
                <w:highlight w:val="none"/>
                <w:u w:val="none"/>
                <w:lang w:val="en-US" w:eastAsia="zh-CN"/>
              </w:rPr>
              <w:t>前</w:t>
            </w:r>
            <w:r>
              <w:rPr>
                <w:rFonts w:hint="eastAsia" w:ascii="仿宋" w:hAnsi="仿宋" w:eastAsia="仿宋" w:cs="仿宋"/>
                <w:iCs/>
                <w:color w:val="auto"/>
                <w:sz w:val="24"/>
                <w:szCs w:val="24"/>
                <w:highlight w:val="none"/>
                <w:u w:val="none"/>
              </w:rPr>
              <w:t>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3</w:t>
            </w:r>
          </w:p>
        </w:tc>
        <w:tc>
          <w:tcPr>
            <w:tcW w:w="3029"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变速箱</w:t>
            </w:r>
          </w:p>
        </w:tc>
        <w:tc>
          <w:tcPr>
            <w:tcW w:w="5480" w:type="dxa"/>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手动挡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4</w:t>
            </w:r>
          </w:p>
        </w:tc>
        <w:tc>
          <w:tcPr>
            <w:tcW w:w="3029"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车辆总长(mm)</w:t>
            </w:r>
          </w:p>
        </w:tc>
        <w:tc>
          <w:tcPr>
            <w:tcW w:w="5480" w:type="dxa"/>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5340</w:t>
            </w: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长</w:t>
            </w: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5</w:t>
            </w:r>
          </w:p>
        </w:tc>
        <w:tc>
          <w:tcPr>
            <w:tcW w:w="3029" w:type="dxa"/>
            <w:noWrap w:val="0"/>
            <w:vAlign w:val="center"/>
          </w:tcPr>
          <w:p>
            <w:pPr>
              <w:rPr>
                <w:rFonts w:hint="eastAsia" w:ascii="仿宋" w:hAnsi="仿宋" w:eastAsia="仿宋" w:cs="仿宋"/>
                <w:color w:val="auto"/>
                <w:sz w:val="24"/>
                <w:szCs w:val="24"/>
                <w:highlight w:val="none"/>
                <w:u w:val="none"/>
              </w:rPr>
            </w:pPr>
            <w:r>
              <w:rPr>
                <w:rFonts w:hint="eastAsia" w:ascii="仿宋" w:hAnsi="仿宋" w:eastAsia="仿宋" w:cs="仿宋"/>
                <w:iCs/>
                <w:color w:val="auto"/>
                <w:sz w:val="24"/>
                <w:szCs w:val="24"/>
                <w:highlight w:val="none"/>
                <w:u w:val="none"/>
              </w:rPr>
              <w:t>车辆总宽(mm)</w:t>
            </w:r>
          </w:p>
        </w:tc>
        <w:tc>
          <w:tcPr>
            <w:tcW w:w="5480" w:type="dxa"/>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2030</w:t>
            </w:r>
            <w:r>
              <w:rPr>
                <w:rFonts w:hint="eastAsia" w:ascii="仿宋" w:hAnsi="仿宋" w:eastAsia="仿宋" w:cs="仿宋"/>
                <w:iCs/>
                <w:color w:val="auto"/>
                <w:sz w:val="24"/>
                <w:szCs w:val="24"/>
                <w:highlight w:val="none"/>
                <w:u w:val="none"/>
              </w:rPr>
              <w:t>≤宽≤</w:t>
            </w:r>
            <w:r>
              <w:rPr>
                <w:rFonts w:hint="eastAsia" w:ascii="仿宋" w:hAnsi="仿宋" w:eastAsia="仿宋" w:cs="仿宋"/>
                <w:iCs/>
                <w:color w:val="auto"/>
                <w:sz w:val="24"/>
                <w:szCs w:val="24"/>
                <w:highlight w:val="none"/>
                <w:u w:val="none"/>
                <w:lang w:val="en-US" w:eastAsia="zh-CN"/>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6</w:t>
            </w:r>
          </w:p>
        </w:tc>
        <w:tc>
          <w:tcPr>
            <w:tcW w:w="3029" w:type="dxa"/>
            <w:noWrap w:val="0"/>
            <w:vAlign w:val="center"/>
          </w:tcPr>
          <w:p>
            <w:pPr>
              <w:rPr>
                <w:rFonts w:hint="eastAsia" w:ascii="仿宋" w:hAnsi="仿宋" w:eastAsia="仿宋" w:cs="仿宋"/>
                <w:color w:val="auto"/>
                <w:sz w:val="24"/>
                <w:szCs w:val="24"/>
                <w:highlight w:val="none"/>
                <w:u w:val="none"/>
              </w:rPr>
            </w:pPr>
            <w:r>
              <w:rPr>
                <w:rFonts w:hint="eastAsia" w:ascii="仿宋" w:hAnsi="仿宋" w:eastAsia="仿宋" w:cs="仿宋"/>
                <w:iCs/>
                <w:color w:val="auto"/>
                <w:sz w:val="24"/>
                <w:szCs w:val="24"/>
                <w:highlight w:val="none"/>
                <w:u w:val="none"/>
              </w:rPr>
              <w:t>车辆总高(mm)</w:t>
            </w:r>
          </w:p>
        </w:tc>
        <w:tc>
          <w:tcPr>
            <w:tcW w:w="5480" w:type="dxa"/>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2450</w:t>
            </w:r>
            <w:r>
              <w:rPr>
                <w:rFonts w:hint="eastAsia" w:ascii="仿宋" w:hAnsi="仿宋" w:eastAsia="仿宋" w:cs="仿宋"/>
                <w:iCs/>
                <w:color w:val="auto"/>
                <w:sz w:val="24"/>
                <w:szCs w:val="24"/>
                <w:highlight w:val="none"/>
                <w:u w:val="none"/>
              </w:rPr>
              <w:t>≤高≤</w:t>
            </w:r>
            <w:r>
              <w:rPr>
                <w:rFonts w:hint="eastAsia" w:ascii="仿宋" w:hAnsi="仿宋" w:eastAsia="仿宋" w:cs="仿宋"/>
                <w:iCs/>
                <w:color w:val="auto"/>
                <w:sz w:val="24"/>
                <w:szCs w:val="24"/>
                <w:highlight w:val="none"/>
                <w:u w:val="none"/>
                <w:lang w:val="en-US" w:eastAsia="zh-CN"/>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7</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救护舱尺寸(mm)：</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2600*1730*1720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8</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总质量(Kg)：</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9</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整备质量（Kg）：</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10</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轴距(mm)：</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11</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接近角/离去角：</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12</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油箱容积(L)：</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13</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排量(mL)：</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14</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额定功率kw:</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bottom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15</w:t>
            </w:r>
          </w:p>
        </w:tc>
        <w:tc>
          <w:tcPr>
            <w:tcW w:w="3029" w:type="dxa"/>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最大扭矩Nm/rpm:</w:t>
            </w:r>
          </w:p>
        </w:tc>
        <w:tc>
          <w:tcPr>
            <w:tcW w:w="5480" w:type="dxa"/>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16</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悬架系统(前/后)：</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前：麦弗逊式独立悬架/后：霍奇基斯悬架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bottom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17</w:t>
            </w:r>
          </w:p>
        </w:tc>
        <w:tc>
          <w:tcPr>
            <w:tcW w:w="3029" w:type="dxa"/>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eastAsia="zh-CN"/>
              </w:rPr>
            </w:pPr>
            <w:r>
              <w:rPr>
                <w:rFonts w:hint="eastAsia" w:ascii="仿宋" w:hAnsi="仿宋" w:eastAsia="仿宋" w:cs="仿宋"/>
                <w:iCs/>
                <w:color w:val="auto"/>
                <w:sz w:val="24"/>
                <w:szCs w:val="24"/>
                <w:highlight w:val="none"/>
                <w:u w:val="none"/>
              </w:rPr>
              <w:t>制动</w:t>
            </w:r>
            <w:r>
              <w:rPr>
                <w:rFonts w:hint="eastAsia" w:ascii="仿宋" w:hAnsi="仿宋" w:eastAsia="仿宋" w:cs="仿宋"/>
                <w:iCs/>
                <w:color w:val="auto"/>
                <w:sz w:val="24"/>
                <w:szCs w:val="24"/>
                <w:highlight w:val="none"/>
                <w:u w:val="none"/>
                <w:lang w:val="en-US" w:eastAsia="zh-CN"/>
              </w:rPr>
              <w:t>辅助</w:t>
            </w:r>
          </w:p>
        </w:tc>
        <w:tc>
          <w:tcPr>
            <w:tcW w:w="5480" w:type="dxa"/>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前盘后盘，ABS，EBD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18</w:t>
            </w:r>
          </w:p>
        </w:tc>
        <w:tc>
          <w:tcPr>
            <w:tcW w:w="3029"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轮胎规格：</w:t>
            </w:r>
          </w:p>
        </w:tc>
        <w:tc>
          <w:tcPr>
            <w:tcW w:w="5480"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≧215/65R16C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19</w:t>
            </w:r>
          </w:p>
        </w:tc>
        <w:tc>
          <w:tcPr>
            <w:tcW w:w="3029"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后尾门</w:t>
            </w:r>
          </w:p>
        </w:tc>
        <w:tc>
          <w:tcPr>
            <w:tcW w:w="5480" w:type="dxa"/>
            <w:tcBorders>
              <w:top w:val="single" w:color="auto" w:sz="4" w:space="0"/>
              <w:left w:val="single" w:color="auto" w:sz="4" w:space="0"/>
              <w:bottom w:val="single" w:color="auto" w:sz="4" w:space="0"/>
              <w:right w:val="single" w:color="auto" w:sz="4" w:space="0"/>
            </w:tcBorders>
            <w:noWrap w:val="0"/>
            <w:vAlign w:val="center"/>
          </w:tcPr>
          <w:p>
            <w:pPr>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后尾门为180°对开尾门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20</w:t>
            </w:r>
          </w:p>
        </w:tc>
        <w:tc>
          <w:tcPr>
            <w:tcW w:w="30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最大乘员数（含驾驶员）</w:t>
            </w:r>
          </w:p>
        </w:tc>
        <w:tc>
          <w:tcPr>
            <w:tcW w:w="54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lang w:val="en-US" w:eastAsia="zh-CN"/>
              </w:rPr>
              <w:t>7-8</w:t>
            </w:r>
            <w:r>
              <w:rPr>
                <w:rFonts w:hint="eastAsia" w:ascii="仿宋" w:hAnsi="仿宋" w:eastAsia="仿宋" w:cs="仿宋"/>
                <w:iCs/>
                <w:color w:val="auto"/>
                <w:sz w:val="24"/>
                <w:szCs w:val="24"/>
                <w:highlight w:val="none"/>
                <w:u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三</w:t>
            </w:r>
          </w:p>
        </w:tc>
        <w:tc>
          <w:tcPr>
            <w:tcW w:w="30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改装技术要求</w:t>
            </w:r>
          </w:p>
        </w:tc>
        <w:tc>
          <w:tcPr>
            <w:tcW w:w="54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隔断</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将医疗舱与驾驶舱用中隔墙完全隔离，中隔墙表面采用高强度环保材料制作，中隔墙上方有可开启的透明观察窗。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2</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医疗舱铝塑内饰顶</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采用高强度、抗冲击性强、耐老化的铝塑轻型环保材料，防水、防霉、抗菌且环保，方便清洗和消毒，铝塑板符合 GB 8410-2006《汽车内饰材料的燃烧特性》的要求。（提供经国家认可的检测机构出具的检测报告，检测结果需符合规定标准）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lang w:val="en-US" w:eastAsia="zh-CN"/>
              </w:rPr>
              <w:t>3</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舱内多用医药吊柜</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带蓝色抗辐射推拉窗、可放置药品、绷带等医疗用品，方便拿取。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kern w:val="2"/>
                <w:sz w:val="24"/>
                <w:szCs w:val="24"/>
                <w:highlight w:val="none"/>
                <w:u w:val="none"/>
                <w:lang w:val="en-US" w:eastAsia="zh-CN" w:bidi="ar-SA"/>
              </w:rPr>
              <w:t>4</w:t>
            </w:r>
          </w:p>
        </w:tc>
        <w:tc>
          <w:tcPr>
            <w:tcW w:w="3029"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舱内隔断后组合柜</w:t>
            </w:r>
          </w:p>
        </w:tc>
        <w:tc>
          <w:tcPr>
            <w:tcW w:w="5480"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PVC环保材料，含急救箱柜、抽屉柜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kern w:val="2"/>
                <w:sz w:val="24"/>
                <w:szCs w:val="24"/>
                <w:highlight w:val="none"/>
                <w:u w:val="none"/>
                <w:lang w:val="en-US" w:eastAsia="zh-CN" w:bidi="ar-SA"/>
              </w:rPr>
              <w:t>5</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舱内左侧</w:t>
            </w:r>
            <w:r>
              <w:rPr>
                <w:rFonts w:hint="eastAsia" w:ascii="仿宋" w:hAnsi="仿宋" w:eastAsia="仿宋" w:cs="仿宋"/>
                <w:iCs/>
                <w:color w:val="auto"/>
                <w:sz w:val="24"/>
                <w:szCs w:val="24"/>
                <w:highlight w:val="none"/>
                <w:u w:val="none"/>
                <w:lang w:val="en-US" w:eastAsia="zh-CN"/>
              </w:rPr>
              <w:t>医疗柜设备平台</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配置急救医疗设备专用安放、操作平台并配备专用医疗设备支架，设备支架可</w:t>
            </w:r>
            <w:r>
              <w:rPr>
                <w:rFonts w:hint="eastAsia" w:ascii="仿宋" w:hAnsi="仿宋" w:eastAsia="仿宋" w:cs="仿宋"/>
                <w:iCs/>
                <w:color w:val="auto"/>
                <w:sz w:val="24"/>
                <w:szCs w:val="24"/>
                <w:highlight w:val="none"/>
                <w:u w:val="none"/>
                <w:lang w:val="en-US" w:eastAsia="zh-CN"/>
              </w:rPr>
              <w:t>上下移动</w:t>
            </w:r>
            <w:r>
              <w:rPr>
                <w:rFonts w:hint="eastAsia" w:ascii="仿宋" w:hAnsi="仿宋" w:eastAsia="仿宋" w:cs="仿宋"/>
                <w:iCs/>
                <w:color w:val="auto"/>
                <w:sz w:val="24"/>
                <w:szCs w:val="24"/>
                <w:highlight w:val="none"/>
                <w:u w:val="none"/>
              </w:rPr>
              <w:t>、快速拆卸安装，可放置除颤仪、呼吸机、心电图机、心电监护仪、吸痰器等设备，提供以往成熟的设备支架安装方案，提供设计图及实情使用照片等佐证资料。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6</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舱内左后氧气瓶柜</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采用PVC轻型环保材料制作，方便放置2瓶10L氧气瓶。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7</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输液挂钩</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在医疗舱顶部安装</w:t>
            </w:r>
            <w:r>
              <w:rPr>
                <w:rFonts w:hint="eastAsia" w:ascii="仿宋" w:hAnsi="仿宋" w:eastAsia="仿宋" w:cs="仿宋"/>
                <w:iCs/>
                <w:color w:val="auto"/>
                <w:sz w:val="24"/>
                <w:szCs w:val="24"/>
                <w:highlight w:val="none"/>
                <w:u w:val="none"/>
                <w:lang w:val="en-US" w:eastAsia="zh-CN"/>
              </w:rPr>
              <w:t>2</w:t>
            </w:r>
            <w:r>
              <w:rPr>
                <w:rFonts w:hint="eastAsia" w:ascii="仿宋" w:hAnsi="仿宋" w:eastAsia="仿宋" w:cs="仿宋"/>
                <w:iCs/>
                <w:color w:val="auto"/>
                <w:sz w:val="24"/>
                <w:szCs w:val="24"/>
                <w:highlight w:val="none"/>
                <w:u w:val="none"/>
              </w:rPr>
              <w:t>组折叠式输液挂钩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8</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医用地板</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采用蓝色新型轻体地面装饰材料（重量轻，环保，可二次回收利用），该地板防水、防腐、耐磨、抗菌，便于医护人员的清洁、整理。</w:t>
            </w:r>
            <w:r>
              <w:rPr>
                <w:rFonts w:hint="eastAsia" w:ascii="仿宋" w:hAnsi="仿宋" w:eastAsia="仿宋" w:cs="仿宋"/>
                <w:iCs/>
                <w:color w:val="auto"/>
                <w:sz w:val="24"/>
                <w:szCs w:val="24"/>
                <w:highlight w:val="none"/>
                <w:u w:val="none"/>
                <w:lang w:val="en-US" w:eastAsia="zh-CN"/>
              </w:rPr>
              <w:t>医用地板材料符合 GB 8410-2006《汽车内饰材料的燃烧特性》的要求。</w:t>
            </w:r>
            <w:r>
              <w:rPr>
                <w:rFonts w:hint="eastAsia" w:ascii="仿宋" w:hAnsi="仿宋" w:eastAsia="仿宋" w:cs="仿宋"/>
                <w:color w:val="auto"/>
                <w:sz w:val="24"/>
                <w:szCs w:val="24"/>
                <w:highlight w:val="none"/>
                <w:u w:val="none"/>
              </w:rPr>
              <w:t>（提供经国家认可的检测机构出具的检测报告，检测结果需符合规定标准）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9</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隔热消音材料</w:t>
            </w:r>
          </w:p>
        </w:tc>
        <w:tc>
          <w:tcPr>
            <w:tcW w:w="5480" w:type="dxa"/>
            <w:noWrap w:val="0"/>
            <w:vAlign w:val="center"/>
          </w:tcPr>
          <w:p>
            <w:pPr>
              <w:jc w:val="left"/>
              <w:textAlignment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医疗舱车体侧围、顶部采用EVA隔音材料，降低医疗舱噪音，隔音材料符合JT/T1095-2016标准（提供经国家认可的检测机构出具的检测报告，检测结果需符合规定标准）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10</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综合布线，集中控制</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汽车低压电线束：符合国家汽车行业标准QC/T 29106-2004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11</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自动充电及智能电源保护系统</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将钥匙转动到第2挡，副电瓶与主电瓶通电连接，副电瓶开始充电，同时保障在主电瓶无电时，也可通过此连接启动车辆；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12</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逆变系统</w:t>
            </w:r>
          </w:p>
        </w:tc>
        <w:tc>
          <w:tcPr>
            <w:tcW w:w="5480" w:type="dxa"/>
            <w:noWrap w:val="0"/>
            <w:vAlign w:val="center"/>
          </w:tcPr>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1000W正弦波逆变电源，集成了多种功能：</w:t>
            </w:r>
          </w:p>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工频纯正弦波逆变电源，输入输出完全隔离设计确保用电安全市电自启动4段式智能充电器，自动切换装置</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带载能力强、效率高、静态功耗低，安装简便等特点。</w:t>
            </w:r>
          </w:p>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通过</w:t>
            </w:r>
            <w:r>
              <w:rPr>
                <w:rFonts w:hint="eastAsia" w:ascii="仿宋" w:hAnsi="仿宋" w:eastAsia="仿宋" w:cs="仿宋"/>
                <w:color w:val="auto"/>
                <w:sz w:val="24"/>
                <w:szCs w:val="24"/>
                <w:highlight w:val="none"/>
                <w:u w:val="none"/>
                <w:lang w:val="en-US" w:eastAsia="zh-CN"/>
              </w:rPr>
              <w:t>3C</w:t>
            </w:r>
            <w:r>
              <w:rPr>
                <w:rFonts w:hint="eastAsia" w:ascii="仿宋" w:hAnsi="仿宋" w:eastAsia="仿宋" w:cs="仿宋"/>
                <w:color w:val="auto"/>
                <w:sz w:val="24"/>
                <w:szCs w:val="24"/>
                <w:highlight w:val="none"/>
                <w:u w:val="none"/>
              </w:rPr>
              <w:t>认证：产品的技术严格遵循IEC标准，并通过</w:t>
            </w:r>
            <w:r>
              <w:rPr>
                <w:rFonts w:hint="eastAsia" w:ascii="仿宋" w:hAnsi="仿宋" w:eastAsia="仿宋" w:cs="仿宋"/>
                <w:color w:val="auto"/>
                <w:sz w:val="24"/>
                <w:szCs w:val="24"/>
                <w:highlight w:val="none"/>
                <w:u w:val="none"/>
                <w:lang w:val="en-US" w:eastAsia="zh-CN"/>
              </w:rPr>
              <w:t>3C</w:t>
            </w:r>
            <w:r>
              <w:rPr>
                <w:rFonts w:hint="eastAsia" w:ascii="仿宋" w:hAnsi="仿宋" w:eastAsia="仿宋" w:cs="仿宋"/>
                <w:color w:val="auto"/>
                <w:sz w:val="24"/>
                <w:szCs w:val="24"/>
                <w:highlight w:val="none"/>
                <w:u w:val="none"/>
              </w:rPr>
              <w:t>认证，EMC性能优良。与其他车载设备兼容性良好，确保各设备稳定运行</w:t>
            </w:r>
          </w:p>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车辆振动测试：针对车载环境采用加固型设计，并采用专业的防拽式连接方式，防止因汽车振动等原因而造成接线及电子元器件松动，通过国家级第三方检测机构的专业车载振动检测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13</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交/直流插座</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组合插座、可接三/二孔的多功能插座，12V直流插座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14</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紫外线消毒灯</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采用紫外线消毒灯，杀菌有效空间≥10立方米，并可定时延时控制，电器配件优良，工作稳定可靠、耐用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15</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顶部照明灯</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医疗舱配备长条LED照明灯≥</w:t>
            </w:r>
            <w:r>
              <w:rPr>
                <w:rFonts w:hint="eastAsia" w:ascii="仿宋" w:hAnsi="仿宋" w:eastAsia="仿宋" w:cs="仿宋"/>
                <w:iCs/>
                <w:color w:val="auto"/>
                <w:sz w:val="24"/>
                <w:szCs w:val="24"/>
                <w:highlight w:val="none"/>
                <w:u w:val="none"/>
                <w:lang w:val="en-US" w:eastAsia="zh-CN"/>
              </w:rPr>
              <w:t>2</w:t>
            </w:r>
            <w:r>
              <w:rPr>
                <w:rFonts w:hint="eastAsia" w:ascii="仿宋" w:hAnsi="仿宋" w:eastAsia="仿宋" w:cs="仿宋"/>
                <w:iCs/>
                <w:color w:val="auto"/>
                <w:sz w:val="24"/>
                <w:szCs w:val="24"/>
                <w:highlight w:val="none"/>
                <w:u w:val="none"/>
              </w:rPr>
              <w:t>组，光线柔和均匀，亮度应保证患者仰卧于担架车上不刺眼，同时满足急救人员对患者病情观察的需要，一盏为门控灯。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kern w:val="2"/>
                <w:sz w:val="24"/>
                <w:szCs w:val="24"/>
                <w:highlight w:val="none"/>
                <w:u w:val="none"/>
                <w:lang w:val="en-US" w:eastAsia="zh-CN" w:bidi="ar-SA"/>
              </w:rPr>
              <w:t>16</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后尾部场外照明灯</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12V、10W投光灯、正白光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17</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氧气瓶</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10L钢质无缝，含固定支架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18</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湿化器快速转换接口</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插头体总成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19</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湿化器</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调节阀和湿化杯连为一体，湿化杯可以360°旋转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20</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氧气终端</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吸氧用终端（1个）连接湿化器，呼吸机用的终端（1个）连接呼吸机专用接头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21</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空调系统</w:t>
            </w:r>
          </w:p>
        </w:tc>
        <w:tc>
          <w:tcPr>
            <w:tcW w:w="5480" w:type="dxa"/>
            <w:noWrap w:val="0"/>
            <w:vAlign w:val="center"/>
          </w:tcPr>
          <w:p>
            <w:pP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前驾驶室后医疗舱空调系统独立控制、可调节风速大小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22</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暖风系统</w:t>
            </w:r>
          </w:p>
        </w:tc>
        <w:tc>
          <w:tcPr>
            <w:tcW w:w="5480" w:type="dxa"/>
            <w:noWrap w:val="0"/>
            <w:vAlign w:val="center"/>
          </w:tcPr>
          <w:p>
            <w:pP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后医疗舱暖风独立控制、可调节风速大小，控制医疗舱内温度高低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23</w:t>
            </w:r>
          </w:p>
        </w:tc>
        <w:tc>
          <w:tcPr>
            <w:tcW w:w="3029"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排风系统</w:t>
            </w:r>
          </w:p>
        </w:tc>
        <w:tc>
          <w:tcPr>
            <w:tcW w:w="5480"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换气和吸气双功能，双向换气扇车厢内换气次数≥20次/小时，排气量＞7.5m3/min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24</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护士、家属座椅</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右侧座柜加独立陪护座椅：配座椅安全扶手，配装安全带，医疗舱前部安装护士</w:t>
            </w:r>
            <w:r>
              <w:rPr>
                <w:rFonts w:hint="eastAsia" w:ascii="仿宋" w:hAnsi="仿宋" w:eastAsia="仿宋" w:cs="仿宋"/>
                <w:color w:val="auto"/>
                <w:sz w:val="24"/>
                <w:szCs w:val="24"/>
                <w:highlight w:val="none"/>
                <w:u w:val="none"/>
                <w:lang w:val="en-US" w:eastAsia="zh-CN"/>
              </w:rPr>
              <w:t>折叠座椅</w:t>
            </w:r>
            <w:r>
              <w:rPr>
                <w:rFonts w:hint="eastAsia" w:ascii="仿宋" w:hAnsi="仿宋" w:eastAsia="仿宋" w:cs="仿宋"/>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25</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自动上车担架</w:t>
            </w:r>
          </w:p>
        </w:tc>
        <w:tc>
          <w:tcPr>
            <w:tcW w:w="5480" w:type="dxa"/>
            <w:noWrap w:val="0"/>
            <w:vAlign w:val="center"/>
          </w:tcPr>
          <w:p>
            <w:pPr>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长</w:t>
            </w:r>
            <w:r>
              <w:rPr>
                <w:rFonts w:hint="eastAsia" w:ascii="仿宋" w:hAnsi="仿宋" w:eastAsia="仿宋" w:cs="仿宋"/>
                <w:iCs/>
                <w:color w:val="auto"/>
                <w:sz w:val="24"/>
                <w:szCs w:val="24"/>
                <w:highlight w:val="none"/>
                <w:u w:val="none"/>
              </w:rPr>
              <w:t>×</w:t>
            </w:r>
            <w:r>
              <w:rPr>
                <w:rFonts w:hint="eastAsia" w:ascii="仿宋" w:hAnsi="仿宋" w:eastAsia="仿宋" w:cs="仿宋"/>
                <w:color w:val="auto"/>
                <w:sz w:val="24"/>
                <w:szCs w:val="24"/>
                <w:highlight w:val="none"/>
                <w:u w:val="none"/>
              </w:rPr>
              <w:t>宽</w:t>
            </w:r>
            <w:r>
              <w:rPr>
                <w:rFonts w:hint="eastAsia" w:ascii="仿宋" w:hAnsi="仿宋" w:eastAsia="仿宋" w:cs="仿宋"/>
                <w:iCs/>
                <w:color w:val="auto"/>
                <w:sz w:val="24"/>
                <w:szCs w:val="24"/>
                <w:highlight w:val="none"/>
                <w:u w:val="none"/>
              </w:rPr>
              <w:t>×</w:t>
            </w:r>
            <w:r>
              <w:rPr>
                <w:rFonts w:hint="eastAsia" w:ascii="仿宋" w:hAnsi="仿宋" w:eastAsia="仿宋" w:cs="仿宋"/>
                <w:color w:val="auto"/>
                <w:sz w:val="24"/>
                <w:szCs w:val="24"/>
                <w:highlight w:val="none"/>
                <w:u w:val="none"/>
              </w:rPr>
              <w:t>高 ：196</w:t>
            </w:r>
            <w:r>
              <w:rPr>
                <w:rFonts w:hint="eastAsia" w:ascii="仿宋" w:hAnsi="仿宋" w:eastAsia="仿宋" w:cs="仿宋"/>
                <w:iCs/>
                <w:color w:val="auto"/>
                <w:sz w:val="24"/>
                <w:szCs w:val="24"/>
                <w:highlight w:val="none"/>
                <w:u w:val="none"/>
              </w:rPr>
              <w:t>×</w:t>
            </w:r>
            <w:r>
              <w:rPr>
                <w:rFonts w:hint="eastAsia" w:ascii="仿宋" w:hAnsi="仿宋" w:eastAsia="仿宋" w:cs="仿宋"/>
                <w:color w:val="auto"/>
                <w:sz w:val="24"/>
                <w:szCs w:val="24"/>
                <w:highlight w:val="none"/>
                <w:u w:val="none"/>
              </w:rPr>
              <w:t>55</w:t>
            </w:r>
            <w:r>
              <w:rPr>
                <w:rFonts w:hint="eastAsia" w:ascii="仿宋" w:hAnsi="仿宋" w:eastAsia="仿宋" w:cs="仿宋"/>
                <w:iCs/>
                <w:color w:val="auto"/>
                <w:sz w:val="24"/>
                <w:szCs w:val="24"/>
                <w:highlight w:val="none"/>
                <w:u w:val="none"/>
              </w:rPr>
              <w:t>×</w:t>
            </w:r>
            <w:r>
              <w:rPr>
                <w:rFonts w:hint="eastAsia" w:ascii="仿宋" w:hAnsi="仿宋" w:eastAsia="仿宋" w:cs="仿宋"/>
                <w:color w:val="auto"/>
                <w:sz w:val="24"/>
                <w:szCs w:val="24"/>
                <w:highlight w:val="none"/>
                <w:u w:val="none"/>
              </w:rPr>
              <w:t>88cm（高位时），196</w:t>
            </w:r>
            <w:r>
              <w:rPr>
                <w:rFonts w:hint="eastAsia" w:ascii="仿宋" w:hAnsi="仿宋" w:eastAsia="仿宋" w:cs="仿宋"/>
                <w:iCs/>
                <w:color w:val="auto"/>
                <w:sz w:val="24"/>
                <w:szCs w:val="24"/>
                <w:highlight w:val="none"/>
                <w:u w:val="none"/>
              </w:rPr>
              <w:t>×</w:t>
            </w:r>
            <w:r>
              <w:rPr>
                <w:rFonts w:hint="eastAsia" w:ascii="仿宋" w:hAnsi="仿宋" w:eastAsia="仿宋" w:cs="仿宋"/>
                <w:color w:val="auto"/>
                <w:sz w:val="24"/>
                <w:szCs w:val="24"/>
                <w:highlight w:val="none"/>
                <w:u w:val="none"/>
              </w:rPr>
              <w:t>55</w:t>
            </w:r>
            <w:r>
              <w:rPr>
                <w:rFonts w:hint="eastAsia" w:ascii="仿宋" w:hAnsi="仿宋" w:eastAsia="仿宋" w:cs="仿宋"/>
                <w:iCs/>
                <w:color w:val="auto"/>
                <w:sz w:val="24"/>
                <w:szCs w:val="24"/>
                <w:highlight w:val="none"/>
                <w:u w:val="none"/>
              </w:rPr>
              <w:t>×</w:t>
            </w:r>
            <w:r>
              <w:rPr>
                <w:rFonts w:hint="eastAsia" w:ascii="仿宋" w:hAnsi="仿宋" w:eastAsia="仿宋" w:cs="仿宋"/>
                <w:color w:val="auto"/>
                <w:sz w:val="24"/>
                <w:szCs w:val="24"/>
                <w:highlight w:val="none"/>
                <w:u w:val="none"/>
              </w:rPr>
              <w:t>26cm（低位时）</w:t>
            </w:r>
          </w:p>
          <w:p>
            <w:pPr>
              <w:pStyle w:val="15"/>
              <w:ind w:left="0" w:leftChars="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主要用于转运病人上下救护车</w:t>
            </w:r>
          </w:p>
          <w:p>
            <w:pPr>
              <w:pStyle w:val="15"/>
              <w:ind w:left="0" w:leftChars="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材料采用高强度铝合金材料进行硬化和表面处理</w:t>
            </w:r>
          </w:p>
          <w:p>
            <w:pPr>
              <w:pStyle w:val="15"/>
              <w:ind w:left="0" w:leftChars="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头部靠背可调，最大仰角53°</w:t>
            </w:r>
          </w:p>
          <w:p>
            <w:pPr>
              <w:pStyle w:val="15"/>
              <w:ind w:left="0" w:leftChars="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配有两个固定轮、两个万向轮，轮子直径125mm，万向轮带刹车</w:t>
            </w:r>
          </w:p>
          <w:p>
            <w:pPr>
              <w:pStyle w:val="54"/>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折腿机构可由两边把手控制，仅需一名救护车人员可推上车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26</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自动上车担架配套设施</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采用优质不锈钢材料制作，辅助担架上下车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27</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铲式担架</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悬挂于后门上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28</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警灯</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lang w:val="en-US" w:eastAsia="zh-CN"/>
              </w:rPr>
              <w:t>超薄警灯</w:t>
            </w:r>
            <w:r>
              <w:rPr>
                <w:rFonts w:hint="eastAsia" w:ascii="仿宋" w:hAnsi="仿宋" w:eastAsia="仿宋" w:cs="仿宋"/>
                <w:color w:val="auto"/>
                <w:sz w:val="24"/>
                <w:szCs w:val="24"/>
                <w:highlight w:val="none"/>
                <w:u w:val="none"/>
                <w:lang w:val="en-US" w:eastAsia="zh-CN"/>
              </w:rPr>
              <w:t>，警灯不超过原车高度（提供公告照片）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29</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尾部爆闪警示灯</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配置高亮度蓝色爆闪警灯总成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30</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左右两侧安装爆闪警示灯</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配置高亮度蓝白爆闪警灯总成（蓝白为1组）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31</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驾驶室安装警报、警灯控制器</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驾驶室控制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32</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医疗舱玻璃窗膜</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医疗舱车窗玻璃贴深灰色3M太阳膜，保护乘员隐私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33</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车身外观</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前保险杠、车身侧围、尾门采用低温烤漆车身彩条，前引擎盖、左右前门采用反光膜急救标识，颜色鲜艳,醒目,有效警示；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34</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顶部安全扶手</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在医疗舱顶部安装1根长条形扶手。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35</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中门上车扶手</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在中门上车处安装一根黄色尼龙扶手。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36</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驾驶室、医疗舱对讲系统</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在驾驶舱和医疗舱各安装1个话麦，方便前后舱人员沟通、交流。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37</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中拉门推拉窗</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两段式推拉玻璃窗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38</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钢质污物桶</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不锈钢、5L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39</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专用灭火器</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0"/>
                <w:sz w:val="24"/>
                <w:szCs w:val="24"/>
                <w:highlight w:val="none"/>
                <w:u w:val="none"/>
              </w:rPr>
              <w:t>医疗舱配备1套</w:t>
            </w: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none"/>
              </w:rPr>
              <w:t>kg干粉式灭火器。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40</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安全锤</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智能警报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41</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上车踏板</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侧门固定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42</w:t>
            </w:r>
          </w:p>
        </w:tc>
        <w:tc>
          <w:tcPr>
            <w:tcW w:w="3029" w:type="dxa"/>
            <w:noWrap w:val="0"/>
            <w:vAlign w:val="center"/>
          </w:tcPr>
          <w:p>
            <w:pP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电动吸引器</w:t>
            </w:r>
          </w:p>
        </w:tc>
        <w:tc>
          <w:tcPr>
            <w:tcW w:w="5480" w:type="dxa"/>
            <w:noWrap w:val="0"/>
            <w:vAlign w:val="center"/>
          </w:tcPr>
          <w:p>
            <w:pP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详见参数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43</w:t>
            </w:r>
          </w:p>
        </w:tc>
        <w:tc>
          <w:tcPr>
            <w:tcW w:w="3029" w:type="dxa"/>
            <w:noWrap w:val="0"/>
            <w:vAlign w:val="center"/>
          </w:tcPr>
          <w:p>
            <w:pP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心电监护仪</w:t>
            </w:r>
          </w:p>
        </w:tc>
        <w:tc>
          <w:tcPr>
            <w:tcW w:w="5480" w:type="dxa"/>
            <w:noWrap w:val="0"/>
            <w:vAlign w:val="center"/>
          </w:tcPr>
          <w:p>
            <w:pP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详见参数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44</w:t>
            </w:r>
          </w:p>
        </w:tc>
        <w:tc>
          <w:tcPr>
            <w:tcW w:w="3029" w:type="dxa"/>
            <w:noWrap w:val="0"/>
            <w:vAlign w:val="center"/>
          </w:tcPr>
          <w:p>
            <w:pP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除颤监护仪</w:t>
            </w:r>
          </w:p>
        </w:tc>
        <w:tc>
          <w:tcPr>
            <w:tcW w:w="5480" w:type="dxa"/>
            <w:noWrap w:val="0"/>
            <w:vAlign w:val="center"/>
          </w:tcPr>
          <w:p>
            <w:pP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详见设备参数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0" w:type="dxa"/>
            <w:noWrap w:val="0"/>
            <w:vAlign w:val="center"/>
          </w:tcPr>
          <w:p>
            <w:pPr>
              <w:jc w:val="cente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lang w:val="en-US" w:eastAsia="zh-CN"/>
              </w:rPr>
              <w:t>45</w:t>
            </w:r>
          </w:p>
        </w:tc>
        <w:tc>
          <w:tcPr>
            <w:tcW w:w="3029"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多媒体导航后视一体机</w:t>
            </w:r>
          </w:p>
        </w:tc>
        <w:tc>
          <w:tcPr>
            <w:tcW w:w="5480" w:type="dxa"/>
            <w:noWrap w:val="0"/>
            <w:vAlign w:val="center"/>
          </w:tcPr>
          <w:p>
            <w:pPr>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sz w:val="24"/>
                <w:szCs w:val="24"/>
                <w:highlight w:val="none"/>
                <w:u w:val="none"/>
              </w:rPr>
              <w:t>多媒体导航后视</w:t>
            </w:r>
          </w:p>
        </w:tc>
      </w:tr>
    </w:tbl>
    <w:p>
      <w:pPr>
        <w:spacing w:line="360" w:lineRule="auto"/>
        <w:rPr>
          <w:rFonts w:hint="eastAsia" w:ascii="仿宋" w:hAnsi="仿宋" w:eastAsia="仿宋"/>
          <w:b/>
          <w:color w:val="auto"/>
          <w:sz w:val="24"/>
        </w:rPr>
      </w:pPr>
    </w:p>
    <w:p>
      <w:pPr>
        <w:spacing w:line="360" w:lineRule="auto"/>
        <w:rPr>
          <w:rFonts w:hint="eastAsia" w:ascii="仿宋" w:hAnsi="仿宋" w:eastAsia="仿宋"/>
          <w:b/>
          <w:color w:val="auto"/>
          <w:sz w:val="24"/>
        </w:rPr>
      </w:pPr>
      <w:r>
        <w:rPr>
          <w:rFonts w:hint="eastAsia" w:ascii="仿宋" w:hAnsi="仿宋" w:eastAsia="仿宋" w:cs="仿宋"/>
          <w:b/>
          <w:color w:val="auto"/>
          <w:sz w:val="24"/>
          <w:szCs w:val="24"/>
          <w:lang w:val="en-US" w:eastAsia="zh-CN"/>
        </w:rPr>
        <w:t>2</w:t>
      </w:r>
      <w:r>
        <w:rPr>
          <w:rFonts w:hint="eastAsia" w:ascii="仿宋" w:hAnsi="仿宋" w:eastAsia="仿宋"/>
          <w:b/>
          <w:color w:val="auto"/>
          <w:sz w:val="24"/>
        </w:rPr>
        <w:t>、</w:t>
      </w:r>
      <w:r>
        <w:rPr>
          <w:rFonts w:hint="eastAsia" w:ascii="仿宋" w:hAnsi="仿宋" w:eastAsia="仿宋"/>
          <w:b/>
          <w:color w:val="auto"/>
          <w:sz w:val="24"/>
          <w:lang w:val="en-US" w:eastAsia="zh-CN"/>
        </w:rPr>
        <w:t>移动体检车</w:t>
      </w:r>
    </w:p>
    <w:p>
      <w:pPr>
        <w:spacing w:line="360" w:lineRule="auto"/>
        <w:rPr>
          <w:rFonts w:hint="eastAsia" w:ascii="仿宋" w:hAnsi="仿宋" w:eastAsia="仿宋"/>
          <w:b/>
          <w:color w:val="auto"/>
          <w:sz w:val="24"/>
        </w:rPr>
      </w:pPr>
      <w:r>
        <w:rPr>
          <w:rFonts w:hint="eastAsia" w:ascii="仿宋" w:hAnsi="仿宋" w:eastAsia="仿宋"/>
          <w:b/>
          <w:color w:val="auto"/>
          <w:sz w:val="24"/>
          <w:lang w:val="en-US" w:eastAsia="zh-CN"/>
        </w:rPr>
        <w:t>2</w:t>
      </w:r>
      <w:r>
        <w:rPr>
          <w:rFonts w:hint="eastAsia" w:ascii="仿宋" w:hAnsi="仿宋" w:eastAsia="仿宋"/>
          <w:b/>
          <w:color w:val="auto"/>
          <w:sz w:val="24"/>
        </w:rPr>
        <w:t>.1数量：</w:t>
      </w:r>
      <w:r>
        <w:rPr>
          <w:rFonts w:hint="eastAsia" w:ascii="仿宋" w:hAnsi="仿宋" w:eastAsia="仿宋"/>
          <w:b/>
          <w:color w:val="auto"/>
          <w:sz w:val="24"/>
          <w:lang w:val="en-US" w:eastAsia="zh-CN"/>
        </w:rPr>
        <w:t>1</w:t>
      </w:r>
      <w:r>
        <w:rPr>
          <w:rFonts w:hint="eastAsia" w:ascii="仿宋" w:hAnsi="仿宋" w:eastAsia="仿宋"/>
          <w:b/>
          <w:color w:val="auto"/>
          <w:sz w:val="24"/>
        </w:rPr>
        <w:t>辆</w:t>
      </w:r>
    </w:p>
    <w:p>
      <w:pPr>
        <w:spacing w:line="360" w:lineRule="auto"/>
        <w:rPr>
          <w:rFonts w:hint="eastAsia" w:ascii="仿宋" w:hAnsi="仿宋" w:eastAsia="仿宋"/>
          <w:b/>
          <w:color w:val="auto"/>
          <w:sz w:val="24"/>
          <w:lang w:eastAsia="zh-CN"/>
        </w:rPr>
      </w:pPr>
      <w:r>
        <w:rPr>
          <w:rFonts w:hint="eastAsia" w:ascii="仿宋" w:hAnsi="仿宋" w:eastAsia="仿宋"/>
          <w:b/>
          <w:color w:val="auto"/>
          <w:sz w:val="24"/>
          <w:lang w:val="en-US" w:eastAsia="zh-CN"/>
        </w:rPr>
        <w:t>2</w:t>
      </w:r>
      <w:r>
        <w:rPr>
          <w:rFonts w:hint="eastAsia" w:ascii="仿宋" w:hAnsi="仿宋" w:eastAsia="仿宋"/>
          <w:b/>
          <w:color w:val="auto"/>
          <w:sz w:val="24"/>
        </w:rPr>
        <w:t>.2技术参数及要求</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2"/>
        <w:gridCol w:w="1668"/>
        <w:gridCol w:w="537"/>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序号</w:t>
            </w:r>
          </w:p>
        </w:tc>
        <w:tc>
          <w:tcPr>
            <w:tcW w:w="8450" w:type="dxa"/>
            <w:gridSpan w:val="3"/>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val="en-US" w:eastAsia="zh-CN" w:bidi="ar"/>
              </w:rPr>
              <w:t>基础</w:t>
            </w:r>
            <w:r>
              <w:rPr>
                <w:rFonts w:hint="eastAsia" w:ascii="仿宋" w:hAnsi="仿宋" w:eastAsia="仿宋" w:cs="仿宋"/>
                <w:b w:val="0"/>
                <w:bCs/>
                <w:color w:val="auto"/>
                <w:kern w:val="0"/>
                <w:sz w:val="24"/>
                <w:szCs w:val="24"/>
                <w:lang w:bidi="ar"/>
              </w:rPr>
              <w:t>车需求说明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（一）</w:t>
            </w:r>
          </w:p>
        </w:tc>
        <w:tc>
          <w:tcPr>
            <w:tcW w:w="8450" w:type="dxa"/>
            <w:gridSpan w:val="3"/>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车辆部分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整车要求</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lang w:eastAsia="zh-CN"/>
              </w:rPr>
            </w:pPr>
            <w:r>
              <w:rPr>
                <w:rFonts w:hint="eastAsia" w:ascii="仿宋" w:hAnsi="仿宋" w:eastAsia="仿宋" w:cs="仿宋"/>
                <w:b w:val="0"/>
                <w:bCs/>
                <w:color w:val="auto"/>
                <w:kern w:val="0"/>
                <w:sz w:val="24"/>
                <w:szCs w:val="24"/>
                <w:lang w:bidi="ar"/>
              </w:rPr>
              <w:t>知名品牌，由投标商注明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102" w:type="dxa"/>
            <w:vMerge w:val="restart"/>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1.1</w:t>
            </w:r>
          </w:p>
        </w:tc>
        <w:tc>
          <w:tcPr>
            <w:tcW w:w="2205" w:type="dxa"/>
            <w:gridSpan w:val="2"/>
            <w:vMerge w:val="restart"/>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车身基本参数</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总长：</w:t>
            </w:r>
            <w:r>
              <w:rPr>
                <w:rFonts w:hint="eastAsia" w:ascii="仿宋" w:hAnsi="仿宋" w:eastAsia="仿宋" w:cs="仿宋"/>
                <w:b w:val="0"/>
                <w:bCs/>
                <w:color w:val="auto"/>
                <w:kern w:val="0"/>
                <w:sz w:val="24"/>
                <w:szCs w:val="24"/>
                <w:lang w:val="en-US" w:eastAsia="zh-CN" w:bidi="ar"/>
              </w:rPr>
              <w:t>11990</w:t>
            </w:r>
            <w:r>
              <w:rPr>
                <w:rFonts w:hint="eastAsia" w:ascii="仿宋" w:hAnsi="仿宋" w:eastAsia="仿宋" w:cs="仿宋"/>
                <w:b w:val="0"/>
                <w:bCs/>
                <w:color w:val="auto"/>
                <w:sz w:val="24"/>
                <w:szCs w:val="24"/>
                <w:lang w:bidi="ar"/>
              </w:rPr>
              <w:t>mm</w:t>
            </w:r>
            <w:r>
              <w:rPr>
                <w:rFonts w:hint="eastAsia" w:ascii="仿宋" w:hAnsi="仿宋" w:eastAsia="仿宋" w:cs="仿宋"/>
                <w:b w:val="0"/>
                <w:bCs/>
                <w:color w:val="auto"/>
                <w:kern w:val="0"/>
                <w:sz w:val="24"/>
                <w:szCs w:val="24"/>
                <w:lang w:bidi="ar"/>
              </w:rPr>
              <w:t>≤总长≤</w:t>
            </w:r>
            <w:r>
              <w:rPr>
                <w:rFonts w:hint="eastAsia" w:ascii="仿宋" w:hAnsi="仿宋" w:eastAsia="仿宋" w:cs="仿宋"/>
                <w:b w:val="0"/>
                <w:bCs/>
                <w:color w:val="auto"/>
                <w:kern w:val="0"/>
                <w:sz w:val="24"/>
                <w:szCs w:val="24"/>
                <w:lang w:val="en-US" w:eastAsia="zh-CN" w:bidi="ar"/>
              </w:rPr>
              <w:t>12000</w:t>
            </w:r>
            <w:r>
              <w:rPr>
                <w:rFonts w:hint="eastAsia" w:ascii="仿宋" w:hAnsi="仿宋" w:eastAsia="仿宋" w:cs="仿宋"/>
                <w:b w:val="0"/>
                <w:bCs/>
                <w:color w:val="auto"/>
                <w:sz w:val="24"/>
                <w:szCs w:val="24"/>
                <w:lang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1102" w:type="dxa"/>
            <w:vMerge w:val="continue"/>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kern w:val="0"/>
                <w:sz w:val="24"/>
                <w:szCs w:val="24"/>
                <w:lang w:bidi="ar"/>
              </w:rPr>
            </w:pPr>
          </w:p>
        </w:tc>
        <w:tc>
          <w:tcPr>
            <w:tcW w:w="2205" w:type="dxa"/>
            <w:gridSpan w:val="2"/>
            <w:vMerge w:val="continue"/>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bidi="ar"/>
              </w:rPr>
            </w:pPr>
          </w:p>
        </w:tc>
        <w:tc>
          <w:tcPr>
            <w:tcW w:w="6245" w:type="dxa"/>
            <w:noWrap w:val="0"/>
            <w:tcMar>
              <w:top w:w="15" w:type="dxa"/>
              <w:left w:w="15" w:type="dxa"/>
              <w:right w:w="15" w:type="dxa"/>
            </w:tcMar>
            <w:vAlign w:val="center"/>
          </w:tcPr>
          <w:p>
            <w:pPr>
              <w:widowControl/>
              <w:jc w:val="both"/>
              <w:textAlignment w:val="center"/>
              <w:rPr>
                <w:rStyle w:val="140"/>
                <w:rFonts w:hint="eastAsia" w:ascii="仿宋" w:hAnsi="仿宋" w:eastAsia="仿宋" w:cs="仿宋"/>
                <w:b w:val="0"/>
                <w:bCs/>
                <w:color w:val="auto"/>
                <w:sz w:val="24"/>
                <w:szCs w:val="24"/>
                <w:lang w:bidi="ar"/>
              </w:rPr>
            </w:pPr>
            <w:r>
              <w:rPr>
                <w:rStyle w:val="140"/>
                <w:rFonts w:hint="eastAsia" w:ascii="仿宋" w:hAnsi="仿宋" w:eastAsia="仿宋" w:cs="仿宋"/>
                <w:b w:val="0"/>
                <w:bCs/>
                <w:color w:val="auto"/>
                <w:sz w:val="24"/>
                <w:szCs w:val="24"/>
                <w:lang w:bidi="ar"/>
              </w:rPr>
              <w:t>总宽：2</w:t>
            </w:r>
            <w:r>
              <w:rPr>
                <w:rStyle w:val="140"/>
                <w:rFonts w:hint="eastAsia" w:ascii="仿宋" w:hAnsi="仿宋" w:eastAsia="仿宋" w:cs="仿宋"/>
                <w:b w:val="0"/>
                <w:bCs/>
                <w:color w:val="auto"/>
                <w:sz w:val="24"/>
                <w:szCs w:val="24"/>
                <w:lang w:val="en-US" w:eastAsia="zh-CN" w:bidi="ar"/>
              </w:rPr>
              <w:t>50</w:t>
            </w:r>
            <w:r>
              <w:rPr>
                <w:rStyle w:val="140"/>
                <w:rFonts w:hint="eastAsia" w:ascii="仿宋" w:hAnsi="仿宋" w:eastAsia="仿宋" w:cs="仿宋"/>
                <w:b w:val="0"/>
                <w:bCs/>
                <w:color w:val="auto"/>
                <w:sz w:val="24"/>
                <w:szCs w:val="24"/>
                <w:lang w:bidi="ar"/>
              </w:rPr>
              <w:t>0mm</w:t>
            </w:r>
            <w:r>
              <w:rPr>
                <w:rFonts w:hint="eastAsia" w:ascii="仿宋" w:hAnsi="仿宋" w:eastAsia="仿宋" w:cs="仿宋"/>
                <w:b w:val="0"/>
                <w:bCs/>
                <w:color w:val="auto"/>
                <w:kern w:val="0"/>
                <w:sz w:val="24"/>
                <w:szCs w:val="24"/>
                <w:lang w:bidi="ar"/>
              </w:rPr>
              <w:t>≤</w:t>
            </w:r>
            <w:r>
              <w:rPr>
                <w:rStyle w:val="140"/>
                <w:rFonts w:hint="eastAsia" w:ascii="仿宋" w:hAnsi="仿宋" w:eastAsia="仿宋" w:cs="仿宋"/>
                <w:b w:val="0"/>
                <w:bCs/>
                <w:color w:val="auto"/>
                <w:sz w:val="24"/>
                <w:szCs w:val="24"/>
                <w:lang w:bidi="ar"/>
              </w:rPr>
              <w:t>总宽</w:t>
            </w:r>
            <w:r>
              <w:rPr>
                <w:rFonts w:hint="eastAsia" w:ascii="仿宋" w:hAnsi="仿宋" w:eastAsia="仿宋" w:cs="仿宋"/>
                <w:b w:val="0"/>
                <w:bCs/>
                <w:color w:val="auto"/>
                <w:kern w:val="0"/>
                <w:sz w:val="24"/>
                <w:szCs w:val="24"/>
                <w:lang w:bidi="ar"/>
              </w:rPr>
              <w:t>≤</w:t>
            </w:r>
            <w:r>
              <w:rPr>
                <w:rStyle w:val="140"/>
                <w:rFonts w:hint="eastAsia" w:ascii="仿宋" w:hAnsi="仿宋" w:eastAsia="仿宋" w:cs="仿宋"/>
                <w:b w:val="0"/>
                <w:bCs/>
                <w:color w:val="auto"/>
                <w:sz w:val="24"/>
                <w:szCs w:val="24"/>
                <w:lang w:bidi="ar"/>
              </w:rPr>
              <w:t>2</w:t>
            </w:r>
            <w:r>
              <w:rPr>
                <w:rStyle w:val="140"/>
                <w:rFonts w:hint="eastAsia" w:ascii="仿宋" w:hAnsi="仿宋" w:eastAsia="仿宋" w:cs="仿宋"/>
                <w:b w:val="0"/>
                <w:bCs/>
                <w:color w:val="auto"/>
                <w:sz w:val="24"/>
                <w:szCs w:val="24"/>
                <w:lang w:val="en-US" w:eastAsia="zh-CN" w:bidi="ar"/>
              </w:rPr>
              <w:t>550</w:t>
            </w:r>
            <w:r>
              <w:rPr>
                <w:rStyle w:val="140"/>
                <w:rFonts w:hint="eastAsia" w:ascii="仿宋" w:hAnsi="仿宋" w:eastAsia="仿宋" w:cs="仿宋"/>
                <w:b w:val="0"/>
                <w:bCs/>
                <w:color w:val="auto"/>
                <w:sz w:val="24"/>
                <w:szCs w:val="24"/>
                <w:lang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102" w:type="dxa"/>
            <w:vMerge w:val="continue"/>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kern w:val="0"/>
                <w:sz w:val="24"/>
                <w:szCs w:val="24"/>
                <w:lang w:bidi="ar"/>
              </w:rPr>
            </w:pPr>
          </w:p>
        </w:tc>
        <w:tc>
          <w:tcPr>
            <w:tcW w:w="2205" w:type="dxa"/>
            <w:gridSpan w:val="2"/>
            <w:vMerge w:val="continue"/>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bidi="ar"/>
              </w:rPr>
            </w:pPr>
          </w:p>
        </w:tc>
        <w:tc>
          <w:tcPr>
            <w:tcW w:w="6245" w:type="dxa"/>
            <w:noWrap w:val="0"/>
            <w:tcMar>
              <w:top w:w="15" w:type="dxa"/>
              <w:left w:w="15" w:type="dxa"/>
              <w:right w:w="15" w:type="dxa"/>
            </w:tcMar>
            <w:vAlign w:val="center"/>
          </w:tcPr>
          <w:p>
            <w:pPr>
              <w:widowControl/>
              <w:jc w:val="both"/>
              <w:textAlignment w:val="center"/>
              <w:rPr>
                <w:rStyle w:val="140"/>
                <w:rFonts w:hint="eastAsia" w:ascii="仿宋" w:hAnsi="仿宋" w:eastAsia="仿宋" w:cs="仿宋"/>
                <w:b w:val="0"/>
                <w:bCs/>
                <w:color w:val="auto"/>
                <w:sz w:val="24"/>
                <w:szCs w:val="24"/>
                <w:lang w:bidi="ar"/>
              </w:rPr>
            </w:pPr>
            <w:r>
              <w:rPr>
                <w:rFonts w:hint="eastAsia" w:ascii="仿宋" w:hAnsi="仿宋" w:eastAsia="仿宋" w:cs="仿宋"/>
                <w:b w:val="0"/>
                <w:bCs/>
                <w:color w:val="auto"/>
                <w:kern w:val="0"/>
                <w:sz w:val="24"/>
                <w:szCs w:val="24"/>
                <w:lang w:bidi="ar"/>
              </w:rPr>
              <w:t>*</w:t>
            </w:r>
            <w:r>
              <w:rPr>
                <w:rStyle w:val="140"/>
                <w:rFonts w:hint="eastAsia" w:ascii="仿宋" w:hAnsi="仿宋" w:eastAsia="仿宋" w:cs="仿宋"/>
                <w:b w:val="0"/>
                <w:bCs/>
                <w:color w:val="auto"/>
                <w:sz w:val="24"/>
                <w:szCs w:val="24"/>
                <w:lang w:bidi="ar"/>
              </w:rPr>
              <w:t>总</w:t>
            </w:r>
            <w:r>
              <w:rPr>
                <w:rFonts w:hint="eastAsia" w:ascii="仿宋" w:hAnsi="仿宋" w:eastAsia="仿宋" w:cs="仿宋"/>
                <w:b w:val="0"/>
                <w:bCs/>
                <w:color w:val="auto"/>
                <w:kern w:val="0"/>
                <w:sz w:val="24"/>
                <w:szCs w:val="24"/>
                <w:lang w:bidi="ar"/>
              </w:rPr>
              <w:t>高≥39</w:t>
            </w:r>
            <w:r>
              <w:rPr>
                <w:rFonts w:hint="eastAsia" w:ascii="仿宋" w:hAnsi="仿宋" w:eastAsia="仿宋" w:cs="仿宋"/>
                <w:b w:val="0"/>
                <w:bCs/>
                <w:color w:val="auto"/>
                <w:kern w:val="0"/>
                <w:sz w:val="24"/>
                <w:szCs w:val="24"/>
                <w:lang w:val="en-US" w:eastAsia="zh-CN" w:bidi="ar"/>
              </w:rPr>
              <w:t>5</w:t>
            </w:r>
            <w:r>
              <w:rPr>
                <w:rFonts w:hint="eastAsia" w:ascii="仿宋" w:hAnsi="仿宋" w:eastAsia="仿宋" w:cs="仿宋"/>
                <w:b w:val="0"/>
                <w:bCs/>
                <w:color w:val="auto"/>
                <w:kern w:val="0"/>
                <w:sz w:val="24"/>
                <w:szCs w:val="24"/>
                <w:lang w:bidi="ar"/>
              </w:rPr>
              <w:t>0mm</w:t>
            </w:r>
            <w:r>
              <w:rPr>
                <w:rFonts w:hint="eastAsia" w:ascii="仿宋" w:hAnsi="仿宋" w:eastAsia="仿宋" w:cs="仿宋"/>
                <w:b w:val="0"/>
                <w:bCs/>
                <w:color w:val="auto"/>
                <w:kern w:val="0"/>
                <w:sz w:val="24"/>
                <w:szCs w:val="24"/>
                <w:lang w:val="en-US" w:eastAsia="zh-CN" w:bidi="ar"/>
              </w:rPr>
              <w:t>保证车内空间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*1.2</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轴距</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6000</w:t>
            </w:r>
            <w:r>
              <w:rPr>
                <w:rFonts w:hint="eastAsia" w:ascii="仿宋" w:hAnsi="仿宋" w:eastAsia="仿宋" w:cs="仿宋"/>
                <w:b w:val="0"/>
                <w:bCs/>
                <w:color w:val="auto"/>
                <w:kern w:val="0"/>
                <w:sz w:val="24"/>
                <w:szCs w:val="24"/>
                <w:lang w:bidi="ar"/>
              </w:rPr>
              <w:t xml:space="preserve">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1.3</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最高时速</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1.4</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bidi="ar"/>
              </w:rPr>
              <w:t>最大</w:t>
            </w:r>
            <w:r>
              <w:rPr>
                <w:rFonts w:hint="eastAsia" w:ascii="仿宋" w:hAnsi="仿宋" w:eastAsia="仿宋" w:cs="仿宋"/>
                <w:b w:val="0"/>
                <w:bCs/>
                <w:color w:val="auto"/>
                <w:kern w:val="0"/>
                <w:sz w:val="24"/>
                <w:szCs w:val="24"/>
                <w:lang w:val="en-US" w:eastAsia="zh-CN" w:bidi="ar"/>
              </w:rPr>
              <w:t>总质量</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170</w:t>
            </w:r>
            <w:r>
              <w:rPr>
                <w:rFonts w:hint="eastAsia" w:ascii="仿宋" w:hAnsi="仿宋" w:eastAsia="仿宋" w:cs="仿宋"/>
                <w:b w:val="0"/>
                <w:bCs/>
                <w:color w:val="auto"/>
                <w:kern w:val="0"/>
                <w:sz w:val="24"/>
                <w:szCs w:val="24"/>
                <w:lang w:bidi="ar"/>
              </w:rPr>
              <w:t>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1.5</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前后悬</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前悬</w:t>
            </w:r>
            <w:r>
              <w:rPr>
                <w:rFonts w:hint="eastAsia" w:ascii="仿宋" w:hAnsi="仿宋" w:eastAsia="仿宋" w:cs="仿宋"/>
                <w:b w:val="0"/>
                <w:bCs/>
                <w:color w:val="auto"/>
                <w:kern w:val="0"/>
                <w:sz w:val="24"/>
                <w:szCs w:val="24"/>
                <w:lang w:bidi="ar"/>
              </w:rPr>
              <w:t>≥2600</w:t>
            </w:r>
            <w:r>
              <w:rPr>
                <w:rFonts w:hint="eastAsia" w:ascii="仿宋" w:hAnsi="仿宋" w:eastAsia="仿宋" w:cs="仿宋"/>
                <w:b w:val="0"/>
                <w:bCs/>
                <w:color w:val="auto"/>
                <w:kern w:val="0"/>
                <w:sz w:val="24"/>
                <w:szCs w:val="24"/>
                <w:lang w:val="en-US" w:eastAsia="zh-CN" w:bidi="ar"/>
              </w:rPr>
              <w:t>mm;后悬</w:t>
            </w: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3400mm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1.5</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Style w:val="140"/>
                <w:rFonts w:hint="eastAsia" w:ascii="仿宋" w:hAnsi="仿宋" w:eastAsia="仿宋" w:cs="仿宋"/>
                <w:b w:val="0"/>
                <w:bCs/>
                <w:color w:val="auto"/>
                <w:sz w:val="24"/>
                <w:szCs w:val="24"/>
                <w:lang w:bidi="ar"/>
              </w:rPr>
              <w:t>发动机</w:t>
            </w:r>
          </w:p>
        </w:tc>
        <w:tc>
          <w:tcPr>
            <w:tcW w:w="6245" w:type="dxa"/>
            <w:noWrap w:val="0"/>
            <w:tcMar>
              <w:top w:w="15" w:type="dxa"/>
              <w:left w:w="15" w:type="dxa"/>
              <w:right w:w="15" w:type="dxa"/>
            </w:tcMar>
            <w:vAlign w:val="center"/>
          </w:tcPr>
          <w:p>
            <w:pPr>
              <w:spacing w:line="360" w:lineRule="auto"/>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发动机型式：直列、</w:t>
            </w:r>
            <w:r>
              <w:rPr>
                <w:rFonts w:hint="eastAsia" w:ascii="仿宋" w:hAnsi="仿宋" w:eastAsia="仿宋" w:cs="仿宋"/>
                <w:b w:val="0"/>
                <w:bCs/>
                <w:color w:val="auto"/>
                <w:sz w:val="24"/>
                <w:szCs w:val="24"/>
                <w:lang w:val="en-US" w:eastAsia="zh-CN"/>
              </w:rPr>
              <w:t>六</w:t>
            </w:r>
            <w:r>
              <w:rPr>
                <w:rFonts w:hint="eastAsia" w:ascii="仿宋" w:hAnsi="仿宋" w:eastAsia="仿宋" w:cs="仿宋"/>
                <w:b w:val="0"/>
                <w:bCs/>
                <w:color w:val="auto"/>
                <w:sz w:val="24"/>
                <w:szCs w:val="24"/>
              </w:rPr>
              <w:t>缸、四冲程、增压中冷柴油机</w:t>
            </w:r>
          </w:p>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功率：≥</w:t>
            </w:r>
            <w:r>
              <w:rPr>
                <w:rFonts w:hint="eastAsia" w:ascii="仿宋" w:hAnsi="仿宋" w:eastAsia="仿宋" w:cs="仿宋"/>
                <w:b w:val="0"/>
                <w:bCs/>
                <w:color w:val="auto"/>
                <w:sz w:val="24"/>
                <w:szCs w:val="24"/>
                <w:lang w:val="en-US" w:eastAsia="zh-CN"/>
              </w:rPr>
              <w:t>220</w:t>
            </w:r>
            <w:r>
              <w:rPr>
                <w:rFonts w:hint="eastAsia" w:ascii="仿宋" w:hAnsi="仿宋" w:eastAsia="仿宋" w:cs="仿宋"/>
                <w:b w:val="0"/>
                <w:bCs/>
                <w:color w:val="auto"/>
                <w:sz w:val="24"/>
                <w:szCs w:val="24"/>
              </w:rPr>
              <w:t>kw</w:t>
            </w:r>
          </w:p>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排放标准：国</w:t>
            </w:r>
            <w:r>
              <w:rPr>
                <w:rFonts w:hint="eastAsia" w:ascii="仿宋" w:hAnsi="仿宋" w:eastAsia="仿宋" w:cs="仿宋"/>
                <w:b w:val="0"/>
                <w:bCs/>
                <w:color w:val="auto"/>
                <w:sz w:val="24"/>
                <w:szCs w:val="24"/>
                <w:lang w:val="en-US" w:eastAsia="zh-CN"/>
              </w:rPr>
              <w:t>六</w:t>
            </w:r>
            <w:r>
              <w:rPr>
                <w:rFonts w:hint="eastAsia" w:ascii="仿宋" w:hAnsi="仿宋" w:eastAsia="仿宋" w:cs="仿宋"/>
                <w:b w:val="0"/>
                <w:bCs/>
                <w:color w:val="auto"/>
                <w:sz w:val="24"/>
                <w:szCs w:val="24"/>
              </w:rPr>
              <w:t>排放及以上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1.6</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发动机位置</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后置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底盘</w:t>
            </w:r>
          </w:p>
        </w:tc>
        <w:tc>
          <w:tcPr>
            <w:tcW w:w="6245" w:type="dxa"/>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2.1</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离合器</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国产离合器，带气助力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2.2</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变速器</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綦江变速箱，带同步器六档机械，两软轴远距离操纵</w:t>
            </w:r>
            <w:r>
              <w:rPr>
                <w:rFonts w:hint="eastAsia" w:ascii="仿宋" w:hAnsi="仿宋" w:eastAsia="仿宋" w:cs="仿宋"/>
                <w:b w:val="0"/>
                <w:bCs/>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2.3</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前桥</w:t>
            </w:r>
          </w:p>
        </w:tc>
        <w:tc>
          <w:tcPr>
            <w:tcW w:w="6245" w:type="dxa"/>
            <w:noWrap w:val="0"/>
            <w:tcMar>
              <w:top w:w="15" w:type="dxa"/>
              <w:left w:w="15" w:type="dxa"/>
              <w:right w:w="15" w:type="dxa"/>
            </w:tcMar>
            <w:vAlign w:val="top"/>
          </w:tcPr>
          <w:p>
            <w:pPr>
              <w:widowControl/>
              <w:jc w:val="left"/>
              <w:textAlignment w:val="top"/>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车桥承载力≥</w:t>
            </w:r>
            <w:r>
              <w:rPr>
                <w:rFonts w:hint="eastAsia" w:ascii="仿宋" w:hAnsi="仿宋" w:eastAsia="仿宋" w:cs="仿宋"/>
                <w:b w:val="0"/>
                <w:bCs/>
                <w:color w:val="auto"/>
                <w:kern w:val="0"/>
                <w:sz w:val="24"/>
                <w:szCs w:val="24"/>
                <w:lang w:val="en-US" w:eastAsia="zh-CN" w:bidi="ar"/>
              </w:rPr>
              <w:t>6.5</w:t>
            </w:r>
            <w:r>
              <w:rPr>
                <w:rFonts w:hint="eastAsia" w:ascii="仿宋" w:hAnsi="仿宋" w:eastAsia="仿宋" w:cs="仿宋"/>
                <w:b w:val="0"/>
                <w:bCs/>
                <w:color w:val="auto"/>
                <w:kern w:val="0"/>
                <w:sz w:val="24"/>
                <w:szCs w:val="24"/>
                <w:lang w:bidi="ar"/>
              </w:rPr>
              <w:t>T，整体锻钢件，工字梁，端拳式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2.4</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后桥</w:t>
            </w:r>
          </w:p>
        </w:tc>
        <w:tc>
          <w:tcPr>
            <w:tcW w:w="6245" w:type="dxa"/>
            <w:noWrap w:val="0"/>
            <w:tcMar>
              <w:top w:w="15" w:type="dxa"/>
              <w:left w:w="15" w:type="dxa"/>
              <w:right w:w="15" w:type="dxa"/>
            </w:tcMar>
            <w:vAlign w:val="top"/>
          </w:tcPr>
          <w:p>
            <w:pPr>
              <w:widowControl/>
              <w:textAlignment w:val="top"/>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车桥承载力≥</w:t>
            </w:r>
            <w:r>
              <w:rPr>
                <w:rFonts w:hint="eastAsia" w:ascii="仿宋" w:hAnsi="仿宋" w:eastAsia="仿宋" w:cs="仿宋"/>
                <w:b w:val="0"/>
                <w:bCs/>
                <w:color w:val="auto"/>
                <w:kern w:val="0"/>
                <w:sz w:val="24"/>
                <w:szCs w:val="24"/>
                <w:lang w:val="en-US" w:eastAsia="zh-CN" w:bidi="ar"/>
              </w:rPr>
              <w:t>11.5</w:t>
            </w:r>
            <w:r>
              <w:rPr>
                <w:rFonts w:hint="eastAsia" w:ascii="仿宋" w:hAnsi="仿宋" w:eastAsia="仿宋" w:cs="仿宋"/>
                <w:b w:val="0"/>
                <w:bCs/>
                <w:color w:val="auto"/>
                <w:kern w:val="0"/>
                <w:sz w:val="24"/>
                <w:szCs w:val="24"/>
                <w:lang w:bidi="ar"/>
              </w:rPr>
              <w:t>T，整体冲压焊接，全浮式桥壳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*2.5</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悬架系统</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bidi="ar"/>
              </w:rPr>
              <w:t>板簧悬架</w:t>
            </w:r>
            <w:r>
              <w:rPr>
                <w:rFonts w:hint="eastAsia" w:ascii="仿宋" w:hAnsi="仿宋" w:eastAsia="仿宋" w:cs="仿宋"/>
                <w:b w:val="0"/>
                <w:bCs/>
                <w:color w:val="auto"/>
                <w:kern w:val="0"/>
                <w:sz w:val="24"/>
                <w:szCs w:val="24"/>
                <w:lang w:val="en-US" w:eastAsia="zh-CN" w:bidi="ar"/>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2.6</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转向系统</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整体式动力转向器</w:t>
            </w:r>
            <w:r>
              <w:rPr>
                <w:rStyle w:val="140"/>
                <w:rFonts w:hint="eastAsia" w:ascii="仿宋" w:hAnsi="仿宋" w:eastAsia="仿宋" w:cs="仿宋"/>
                <w:b w:val="0"/>
                <w:bCs/>
                <w:color w:val="auto"/>
                <w:sz w:val="24"/>
                <w:szCs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2.7</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制动系统</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符合EGE标准双回路气压制动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2.8</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轮胎</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国产真空胎</w:t>
            </w:r>
            <w:r>
              <w:rPr>
                <w:rFonts w:hint="eastAsia" w:ascii="仿宋" w:hAnsi="仿宋" w:eastAsia="仿宋" w:cs="仿宋"/>
                <w:b w:val="0"/>
                <w:bCs/>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2.9</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油箱</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250</w:t>
            </w:r>
            <w:r>
              <w:rPr>
                <w:rFonts w:hint="eastAsia" w:ascii="仿宋" w:hAnsi="仿宋" w:eastAsia="仿宋" w:cs="仿宋"/>
                <w:b w:val="0"/>
                <w:bCs/>
                <w:color w:val="auto"/>
                <w:kern w:val="0"/>
                <w:sz w:val="24"/>
                <w:szCs w:val="24"/>
                <w:lang w:bidi="ar"/>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*2.10</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底盘防腐处理</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底盘采用进口阴极电泳处理技术，保证8-10年不生锈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w:t>
            </w:r>
          </w:p>
        </w:tc>
        <w:tc>
          <w:tcPr>
            <w:tcW w:w="8450" w:type="dxa"/>
            <w:gridSpan w:val="3"/>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车身主要配置参数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3.1</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车身结构</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半承载式,平地板结构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1102" w:type="dxa"/>
            <w:noWrap w:val="0"/>
            <w:tcMar>
              <w:top w:w="15" w:type="dxa"/>
              <w:left w:w="15" w:type="dxa"/>
              <w:right w:w="15" w:type="dxa"/>
            </w:tcMar>
            <w:vAlign w:val="center"/>
          </w:tcPr>
          <w:p>
            <w:pPr>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3,2</w:t>
            </w:r>
          </w:p>
        </w:tc>
        <w:tc>
          <w:tcPr>
            <w:tcW w:w="2205" w:type="dxa"/>
            <w:gridSpan w:val="2"/>
            <w:noWrap w:val="0"/>
            <w:tcMar>
              <w:top w:w="15" w:type="dxa"/>
              <w:left w:w="15" w:type="dxa"/>
              <w:right w:w="15" w:type="dxa"/>
            </w:tcMar>
            <w:vAlign w:val="center"/>
          </w:tcPr>
          <w:p>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内饰</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成型内饰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3.3</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车门及门泵</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气动单扇外摆门（共2个，分别是右前门，右中门）</w:t>
            </w:r>
            <w:r>
              <w:rPr>
                <w:rFonts w:hint="eastAsia" w:ascii="仿宋" w:hAnsi="仿宋" w:eastAsia="仿宋" w:cs="仿宋"/>
                <w:b w:val="0"/>
                <w:bCs/>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3.4</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车窗</w:t>
            </w:r>
          </w:p>
        </w:tc>
        <w:tc>
          <w:tcPr>
            <w:tcW w:w="6245"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内嵌式推拉司机窗+全封闭钢化玻璃（两侧后上内嵌式推拉窗），换气扇顶风窗，有逃生窗。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3.5</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座椅</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绒布机械减震可调司机椅（三点式安全带）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3.6</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空调系统</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非独立顶置空调 (制冷量≥</w:t>
            </w:r>
            <w:r>
              <w:rPr>
                <w:rFonts w:hint="eastAsia" w:ascii="仿宋" w:hAnsi="仿宋" w:eastAsia="仿宋" w:cs="仿宋"/>
                <w:b w:val="0"/>
                <w:bCs/>
                <w:color w:val="auto"/>
                <w:kern w:val="0"/>
                <w:sz w:val="24"/>
                <w:szCs w:val="24"/>
                <w:lang w:val="en-US" w:eastAsia="zh-CN" w:bidi="ar"/>
              </w:rPr>
              <w:t>315</w:t>
            </w:r>
            <w:r>
              <w:rPr>
                <w:rFonts w:hint="eastAsia" w:ascii="仿宋" w:hAnsi="仿宋" w:eastAsia="仿宋" w:cs="仿宋"/>
                <w:b w:val="0"/>
                <w:bCs/>
                <w:color w:val="auto"/>
                <w:kern w:val="0"/>
                <w:sz w:val="24"/>
                <w:szCs w:val="24"/>
                <w:lang w:bidi="ar"/>
              </w:rPr>
              <w:t>00kcal/h)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3.7</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暖风系统</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独立水暖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3.8</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除霜系统</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大功率水暖除霜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3.9</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视听系统</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MP3收放机，行车记录</w:t>
            </w:r>
            <w:r>
              <w:rPr>
                <w:rStyle w:val="140"/>
                <w:rFonts w:hint="eastAsia" w:ascii="仿宋" w:hAnsi="仿宋" w:eastAsia="仿宋" w:cs="仿宋"/>
                <w:b w:val="0"/>
                <w:bCs/>
                <w:color w:val="auto"/>
                <w:sz w:val="24"/>
                <w:szCs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3.10</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雨刷器</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对摆雨刮器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3.11</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服务设施</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电子钟，乘客门遥控门锁，换气扇顶风窗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4</w:t>
            </w:r>
          </w:p>
        </w:tc>
        <w:tc>
          <w:tcPr>
            <w:tcW w:w="8450" w:type="dxa"/>
            <w:gridSpan w:val="3"/>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专用设施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1102" w:type="dxa"/>
            <w:vMerge w:val="restart"/>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bidi="ar"/>
              </w:rPr>
              <w:t>4.</w:t>
            </w:r>
            <w:r>
              <w:rPr>
                <w:rFonts w:hint="eastAsia" w:ascii="仿宋" w:hAnsi="仿宋" w:eastAsia="仿宋" w:cs="仿宋"/>
                <w:b w:val="0"/>
                <w:bCs/>
                <w:color w:val="auto"/>
                <w:kern w:val="0"/>
                <w:sz w:val="24"/>
                <w:szCs w:val="24"/>
                <w:lang w:val="en-US" w:eastAsia="zh-CN" w:bidi="ar"/>
              </w:rPr>
              <w:t>1</w:t>
            </w:r>
          </w:p>
        </w:tc>
        <w:tc>
          <w:tcPr>
            <w:tcW w:w="1668" w:type="dxa"/>
            <w:vMerge w:val="restart"/>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工作设施</w:t>
            </w:r>
          </w:p>
        </w:tc>
        <w:tc>
          <w:tcPr>
            <w:tcW w:w="6782"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val="en-US" w:eastAsia="zh-CN" w:bidi="ar"/>
              </w:rPr>
              <w:t>生化工作</w:t>
            </w:r>
            <w:r>
              <w:rPr>
                <w:rFonts w:hint="eastAsia" w:ascii="仿宋" w:hAnsi="仿宋" w:eastAsia="仿宋" w:cs="仿宋"/>
                <w:b w:val="0"/>
                <w:bCs/>
                <w:color w:val="auto"/>
                <w:kern w:val="0"/>
                <w:sz w:val="24"/>
                <w:szCs w:val="24"/>
                <w:lang w:bidi="ar"/>
              </w:rPr>
              <w:t>台（</w:t>
            </w:r>
            <w:r>
              <w:rPr>
                <w:rFonts w:hint="eastAsia" w:ascii="仿宋" w:hAnsi="仿宋" w:eastAsia="仿宋" w:cs="仿宋"/>
                <w:b w:val="0"/>
                <w:bCs/>
                <w:color w:val="auto"/>
                <w:kern w:val="0"/>
                <w:sz w:val="24"/>
                <w:szCs w:val="24"/>
                <w:lang w:val="en-US" w:eastAsia="zh-CN" w:bidi="ar"/>
              </w:rPr>
              <w:t>尺寸按照空间布置合理</w:t>
            </w:r>
            <w:r>
              <w:rPr>
                <w:rFonts w:hint="eastAsia" w:ascii="仿宋" w:hAnsi="仿宋" w:eastAsia="仿宋" w:cs="仿宋"/>
                <w:b w:val="0"/>
                <w:bCs/>
                <w:color w:val="auto"/>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1102" w:type="dxa"/>
            <w:vMerge w:val="continue"/>
            <w:noWrap w:val="0"/>
            <w:tcMar>
              <w:top w:w="15" w:type="dxa"/>
              <w:left w:w="15" w:type="dxa"/>
              <w:right w:w="15" w:type="dxa"/>
            </w:tcMar>
            <w:vAlign w:val="center"/>
          </w:tcPr>
          <w:p>
            <w:pPr>
              <w:jc w:val="left"/>
              <w:rPr>
                <w:rFonts w:hint="eastAsia" w:ascii="仿宋" w:hAnsi="仿宋" w:eastAsia="仿宋" w:cs="仿宋"/>
                <w:b w:val="0"/>
                <w:bCs/>
                <w:color w:val="auto"/>
                <w:sz w:val="24"/>
                <w:szCs w:val="24"/>
              </w:rPr>
            </w:pPr>
          </w:p>
        </w:tc>
        <w:tc>
          <w:tcPr>
            <w:tcW w:w="1668" w:type="dxa"/>
            <w:vMerge w:val="continue"/>
            <w:noWrap w:val="0"/>
            <w:tcMar>
              <w:top w:w="15" w:type="dxa"/>
              <w:left w:w="15" w:type="dxa"/>
              <w:right w:w="15" w:type="dxa"/>
            </w:tcMar>
            <w:vAlign w:val="center"/>
          </w:tcPr>
          <w:p>
            <w:pPr>
              <w:jc w:val="center"/>
              <w:rPr>
                <w:rFonts w:hint="eastAsia" w:ascii="仿宋" w:hAnsi="仿宋" w:eastAsia="仿宋" w:cs="仿宋"/>
                <w:b w:val="0"/>
                <w:bCs/>
                <w:color w:val="auto"/>
                <w:sz w:val="24"/>
                <w:szCs w:val="24"/>
              </w:rPr>
            </w:pPr>
          </w:p>
        </w:tc>
        <w:tc>
          <w:tcPr>
            <w:tcW w:w="6782"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影像工作台（L型，</w:t>
            </w:r>
            <w:r>
              <w:rPr>
                <w:rFonts w:hint="eastAsia" w:ascii="仿宋" w:hAnsi="仿宋" w:eastAsia="仿宋" w:cs="仿宋"/>
                <w:b w:val="0"/>
                <w:bCs/>
                <w:color w:val="auto"/>
                <w:kern w:val="0"/>
                <w:sz w:val="24"/>
                <w:szCs w:val="24"/>
                <w:lang w:val="en-US" w:eastAsia="zh-CN" w:bidi="ar"/>
              </w:rPr>
              <w:t>尺寸按照空间布置</w:t>
            </w:r>
            <w:r>
              <w:rPr>
                <w:rFonts w:hint="eastAsia" w:ascii="仿宋" w:hAnsi="仿宋" w:eastAsia="仿宋" w:cs="仿宋"/>
                <w:b w:val="0"/>
                <w:bCs/>
                <w:color w:val="auto"/>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102" w:type="dxa"/>
            <w:vMerge w:val="continue"/>
            <w:noWrap w:val="0"/>
            <w:tcMar>
              <w:top w:w="15" w:type="dxa"/>
              <w:left w:w="15" w:type="dxa"/>
              <w:right w:w="15" w:type="dxa"/>
            </w:tcMar>
            <w:vAlign w:val="center"/>
          </w:tcPr>
          <w:p>
            <w:pPr>
              <w:jc w:val="left"/>
              <w:rPr>
                <w:rFonts w:hint="eastAsia" w:ascii="仿宋" w:hAnsi="仿宋" w:eastAsia="仿宋" w:cs="仿宋"/>
                <w:b w:val="0"/>
                <w:bCs/>
                <w:color w:val="auto"/>
                <w:sz w:val="24"/>
                <w:szCs w:val="24"/>
              </w:rPr>
            </w:pPr>
          </w:p>
        </w:tc>
        <w:tc>
          <w:tcPr>
            <w:tcW w:w="1668" w:type="dxa"/>
            <w:vMerge w:val="continue"/>
            <w:noWrap w:val="0"/>
            <w:tcMar>
              <w:top w:w="15" w:type="dxa"/>
              <w:left w:w="15" w:type="dxa"/>
              <w:right w:w="15" w:type="dxa"/>
            </w:tcMar>
            <w:vAlign w:val="center"/>
          </w:tcPr>
          <w:p>
            <w:pPr>
              <w:jc w:val="center"/>
              <w:rPr>
                <w:rFonts w:hint="eastAsia" w:ascii="仿宋" w:hAnsi="仿宋" w:eastAsia="仿宋" w:cs="仿宋"/>
                <w:b w:val="0"/>
                <w:bCs/>
                <w:color w:val="auto"/>
                <w:sz w:val="24"/>
                <w:szCs w:val="24"/>
              </w:rPr>
            </w:pPr>
          </w:p>
        </w:tc>
        <w:tc>
          <w:tcPr>
            <w:tcW w:w="6782"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工作台（</w:t>
            </w:r>
            <w:r>
              <w:rPr>
                <w:rFonts w:hint="eastAsia" w:ascii="仿宋" w:hAnsi="仿宋" w:eastAsia="仿宋" w:cs="仿宋"/>
                <w:b w:val="0"/>
                <w:bCs/>
                <w:color w:val="auto"/>
                <w:kern w:val="0"/>
                <w:sz w:val="24"/>
                <w:szCs w:val="24"/>
                <w:lang w:val="en-US" w:eastAsia="zh-CN" w:bidi="ar"/>
              </w:rPr>
              <w:t>理化板台面</w:t>
            </w:r>
            <w:r>
              <w:rPr>
                <w:rFonts w:hint="eastAsia" w:ascii="仿宋" w:hAnsi="仿宋" w:eastAsia="仿宋" w:cs="仿宋"/>
                <w:b w:val="0"/>
                <w:bCs/>
                <w:color w:val="auto"/>
                <w:kern w:val="0"/>
                <w:sz w:val="24"/>
                <w:szCs w:val="24"/>
                <w:lang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102" w:type="dxa"/>
            <w:vMerge w:val="continue"/>
            <w:noWrap w:val="0"/>
            <w:tcMar>
              <w:top w:w="15" w:type="dxa"/>
              <w:left w:w="15" w:type="dxa"/>
              <w:right w:w="15" w:type="dxa"/>
            </w:tcMar>
            <w:vAlign w:val="center"/>
          </w:tcPr>
          <w:p>
            <w:pPr>
              <w:jc w:val="left"/>
              <w:rPr>
                <w:rFonts w:hint="eastAsia" w:ascii="仿宋" w:hAnsi="仿宋" w:eastAsia="仿宋" w:cs="仿宋"/>
                <w:b w:val="0"/>
                <w:bCs/>
                <w:color w:val="auto"/>
                <w:sz w:val="24"/>
                <w:szCs w:val="24"/>
              </w:rPr>
            </w:pPr>
          </w:p>
        </w:tc>
        <w:tc>
          <w:tcPr>
            <w:tcW w:w="1668" w:type="dxa"/>
            <w:vMerge w:val="continue"/>
            <w:noWrap w:val="0"/>
            <w:tcMar>
              <w:top w:w="15" w:type="dxa"/>
              <w:left w:w="15" w:type="dxa"/>
              <w:right w:w="15" w:type="dxa"/>
            </w:tcMar>
            <w:vAlign w:val="center"/>
          </w:tcPr>
          <w:p>
            <w:pPr>
              <w:jc w:val="center"/>
              <w:rPr>
                <w:rFonts w:hint="eastAsia" w:ascii="仿宋" w:hAnsi="仿宋" w:eastAsia="仿宋" w:cs="仿宋"/>
                <w:b w:val="0"/>
                <w:bCs/>
                <w:color w:val="auto"/>
                <w:sz w:val="24"/>
                <w:szCs w:val="24"/>
              </w:rPr>
            </w:pPr>
          </w:p>
        </w:tc>
        <w:tc>
          <w:tcPr>
            <w:tcW w:w="6782"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可升降护士圆凳</w:t>
            </w:r>
            <w:r>
              <w:rPr>
                <w:rFonts w:hint="eastAsia" w:ascii="仿宋" w:hAnsi="仿宋" w:eastAsia="仿宋" w:cs="仿宋"/>
                <w:b w:val="0"/>
                <w:bCs/>
                <w:color w:val="auto"/>
                <w:kern w:val="0"/>
                <w:sz w:val="24"/>
                <w:szCs w:val="24"/>
                <w:lang w:val="en-US" w:eastAsia="zh-CN" w:bidi="ar"/>
              </w:rPr>
              <w:t>3</w:t>
            </w:r>
            <w:r>
              <w:rPr>
                <w:rFonts w:hint="eastAsia" w:ascii="仿宋" w:hAnsi="仿宋" w:eastAsia="仿宋" w:cs="仿宋"/>
                <w:b w:val="0"/>
                <w:bCs/>
                <w:color w:val="auto"/>
                <w:kern w:val="0"/>
                <w:sz w:val="24"/>
                <w:szCs w:val="24"/>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102" w:type="dxa"/>
            <w:vMerge w:val="continue"/>
            <w:noWrap w:val="0"/>
            <w:tcMar>
              <w:top w:w="15" w:type="dxa"/>
              <w:left w:w="15" w:type="dxa"/>
              <w:right w:w="15" w:type="dxa"/>
            </w:tcMar>
            <w:vAlign w:val="center"/>
          </w:tcPr>
          <w:p>
            <w:pPr>
              <w:jc w:val="left"/>
              <w:rPr>
                <w:rFonts w:hint="eastAsia" w:ascii="仿宋" w:hAnsi="仿宋" w:eastAsia="仿宋" w:cs="仿宋"/>
                <w:b w:val="0"/>
                <w:bCs/>
                <w:color w:val="auto"/>
                <w:sz w:val="24"/>
                <w:szCs w:val="24"/>
              </w:rPr>
            </w:pPr>
          </w:p>
        </w:tc>
        <w:tc>
          <w:tcPr>
            <w:tcW w:w="1668" w:type="dxa"/>
            <w:vMerge w:val="continue"/>
            <w:noWrap w:val="0"/>
            <w:tcMar>
              <w:top w:w="15" w:type="dxa"/>
              <w:left w:w="15" w:type="dxa"/>
              <w:right w:w="15" w:type="dxa"/>
            </w:tcMar>
            <w:vAlign w:val="center"/>
          </w:tcPr>
          <w:p>
            <w:pPr>
              <w:jc w:val="center"/>
              <w:rPr>
                <w:rFonts w:hint="eastAsia" w:ascii="仿宋" w:hAnsi="仿宋" w:eastAsia="仿宋" w:cs="仿宋"/>
                <w:b w:val="0"/>
                <w:bCs/>
                <w:color w:val="auto"/>
                <w:sz w:val="24"/>
                <w:szCs w:val="24"/>
              </w:rPr>
            </w:pPr>
          </w:p>
        </w:tc>
        <w:tc>
          <w:tcPr>
            <w:tcW w:w="6782"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val="en-US" w:eastAsia="zh-CN" w:bidi="ar"/>
              </w:rPr>
              <w:t>B超</w:t>
            </w:r>
            <w:r>
              <w:rPr>
                <w:rFonts w:hint="eastAsia" w:ascii="仿宋" w:hAnsi="仿宋" w:eastAsia="仿宋" w:cs="仿宋"/>
                <w:b w:val="0"/>
                <w:bCs/>
                <w:color w:val="auto"/>
                <w:kern w:val="0"/>
                <w:sz w:val="24"/>
                <w:szCs w:val="24"/>
                <w:lang w:bidi="ar"/>
              </w:rPr>
              <w:t>床1张,下部</w:t>
            </w:r>
            <w:r>
              <w:rPr>
                <w:rFonts w:hint="eastAsia" w:ascii="仿宋" w:hAnsi="仿宋" w:eastAsia="仿宋" w:cs="仿宋"/>
                <w:b w:val="0"/>
                <w:bCs/>
                <w:color w:val="auto"/>
                <w:kern w:val="0"/>
                <w:sz w:val="24"/>
                <w:szCs w:val="24"/>
                <w:lang w:val="en-US" w:eastAsia="zh-CN" w:bidi="ar"/>
              </w:rPr>
              <w:t>柜体</w:t>
            </w:r>
            <w:r>
              <w:rPr>
                <w:rFonts w:hint="eastAsia" w:ascii="仿宋" w:hAnsi="仿宋" w:eastAsia="仿宋" w:cs="仿宋"/>
                <w:b w:val="0"/>
                <w:bCs/>
                <w:color w:val="auto"/>
                <w:kern w:val="0"/>
                <w:sz w:val="24"/>
                <w:szCs w:val="24"/>
                <w:lang w:bidi="ar"/>
              </w:rPr>
              <w:t>储物空间，上部为海面垫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102" w:type="dxa"/>
            <w:vMerge w:val="continue"/>
            <w:noWrap w:val="0"/>
            <w:tcMar>
              <w:top w:w="15" w:type="dxa"/>
              <w:left w:w="15" w:type="dxa"/>
              <w:right w:w="15" w:type="dxa"/>
            </w:tcMar>
            <w:vAlign w:val="center"/>
          </w:tcPr>
          <w:p>
            <w:pPr>
              <w:jc w:val="left"/>
              <w:rPr>
                <w:rFonts w:hint="eastAsia" w:ascii="仿宋" w:hAnsi="仿宋" w:eastAsia="仿宋" w:cs="仿宋"/>
                <w:b w:val="0"/>
                <w:bCs/>
                <w:color w:val="auto"/>
                <w:sz w:val="24"/>
                <w:szCs w:val="24"/>
              </w:rPr>
            </w:pPr>
          </w:p>
        </w:tc>
        <w:tc>
          <w:tcPr>
            <w:tcW w:w="1668" w:type="dxa"/>
            <w:vMerge w:val="continue"/>
            <w:noWrap w:val="0"/>
            <w:tcMar>
              <w:top w:w="15" w:type="dxa"/>
              <w:left w:w="15" w:type="dxa"/>
              <w:right w:w="15" w:type="dxa"/>
            </w:tcMar>
            <w:vAlign w:val="center"/>
          </w:tcPr>
          <w:p>
            <w:pPr>
              <w:jc w:val="center"/>
              <w:rPr>
                <w:rFonts w:hint="eastAsia" w:ascii="仿宋" w:hAnsi="仿宋" w:eastAsia="仿宋" w:cs="仿宋"/>
                <w:b w:val="0"/>
                <w:bCs/>
                <w:color w:val="auto"/>
                <w:sz w:val="24"/>
                <w:szCs w:val="24"/>
              </w:rPr>
            </w:pPr>
          </w:p>
        </w:tc>
        <w:tc>
          <w:tcPr>
            <w:tcW w:w="6782"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车内装修环保、牢固、美观、人性化设计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102" w:type="dxa"/>
            <w:vMerge w:val="continue"/>
            <w:noWrap w:val="0"/>
            <w:tcMar>
              <w:top w:w="15" w:type="dxa"/>
              <w:left w:w="15" w:type="dxa"/>
              <w:right w:w="15" w:type="dxa"/>
            </w:tcMar>
            <w:vAlign w:val="center"/>
          </w:tcPr>
          <w:p>
            <w:pPr>
              <w:jc w:val="left"/>
              <w:rPr>
                <w:rFonts w:hint="eastAsia" w:ascii="仿宋" w:hAnsi="仿宋" w:eastAsia="仿宋" w:cs="仿宋"/>
                <w:b w:val="0"/>
                <w:bCs/>
                <w:color w:val="auto"/>
                <w:sz w:val="24"/>
                <w:szCs w:val="24"/>
              </w:rPr>
            </w:pPr>
          </w:p>
        </w:tc>
        <w:tc>
          <w:tcPr>
            <w:tcW w:w="1668" w:type="dxa"/>
            <w:vMerge w:val="continue"/>
            <w:noWrap w:val="0"/>
            <w:tcMar>
              <w:top w:w="15" w:type="dxa"/>
              <w:left w:w="15" w:type="dxa"/>
              <w:right w:w="15" w:type="dxa"/>
            </w:tcMar>
            <w:vAlign w:val="center"/>
          </w:tcPr>
          <w:p>
            <w:pPr>
              <w:jc w:val="center"/>
              <w:rPr>
                <w:rFonts w:hint="eastAsia" w:ascii="仿宋" w:hAnsi="仿宋" w:eastAsia="仿宋" w:cs="仿宋"/>
                <w:b w:val="0"/>
                <w:bCs/>
                <w:color w:val="auto"/>
                <w:sz w:val="24"/>
                <w:szCs w:val="24"/>
              </w:rPr>
            </w:pPr>
          </w:p>
        </w:tc>
        <w:tc>
          <w:tcPr>
            <w:tcW w:w="6782"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洗手池1组含净水箱及污水箱及所有附件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bidi="ar"/>
              </w:rPr>
              <w:t>*4.</w:t>
            </w:r>
            <w:r>
              <w:rPr>
                <w:rFonts w:hint="eastAsia" w:ascii="仿宋" w:hAnsi="仿宋" w:eastAsia="仿宋" w:cs="仿宋"/>
                <w:b w:val="0"/>
                <w:bCs/>
                <w:color w:val="auto"/>
                <w:kern w:val="0"/>
                <w:sz w:val="24"/>
                <w:szCs w:val="24"/>
                <w:lang w:val="en-US" w:eastAsia="zh-CN" w:bidi="ar"/>
              </w:rPr>
              <w:t>2</w:t>
            </w:r>
          </w:p>
        </w:tc>
        <w:tc>
          <w:tcPr>
            <w:tcW w:w="1668"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灯光设施</w:t>
            </w:r>
          </w:p>
        </w:tc>
        <w:tc>
          <w:tcPr>
            <w:tcW w:w="6782" w:type="dxa"/>
            <w:gridSpan w:val="2"/>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紫外线</w:t>
            </w:r>
            <w:r>
              <w:rPr>
                <w:rFonts w:hint="eastAsia" w:ascii="仿宋" w:hAnsi="仿宋" w:eastAsia="仿宋" w:cs="仿宋"/>
                <w:b w:val="0"/>
                <w:bCs/>
                <w:color w:val="auto"/>
                <w:kern w:val="0"/>
                <w:sz w:val="24"/>
                <w:szCs w:val="24"/>
                <w:lang w:val="en-US" w:eastAsia="zh-CN" w:bidi="ar"/>
              </w:rPr>
              <w:t>消毒灯6盏（30W配定时器）, 车载24V箱灯.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bidi="ar"/>
              </w:rPr>
              <w:t>*4.</w:t>
            </w:r>
            <w:r>
              <w:rPr>
                <w:rFonts w:hint="eastAsia" w:ascii="仿宋" w:hAnsi="仿宋" w:eastAsia="仿宋" w:cs="仿宋"/>
                <w:b w:val="0"/>
                <w:bCs/>
                <w:color w:val="auto"/>
                <w:kern w:val="0"/>
                <w:sz w:val="24"/>
                <w:szCs w:val="24"/>
                <w:lang w:val="en-US" w:eastAsia="zh-CN" w:bidi="ar"/>
              </w:rPr>
              <w:t>3</w:t>
            </w:r>
          </w:p>
        </w:tc>
        <w:tc>
          <w:tcPr>
            <w:tcW w:w="1668"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市电空调设施</w:t>
            </w:r>
          </w:p>
        </w:tc>
        <w:tc>
          <w:tcPr>
            <w:tcW w:w="6782" w:type="dxa"/>
            <w:gridSpan w:val="2"/>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吸顶式或壁挂式冷暖空调，满足驻车使用</w:t>
            </w:r>
            <w:r>
              <w:rPr>
                <w:rFonts w:hint="eastAsia" w:ascii="仿宋" w:hAnsi="仿宋" w:eastAsia="仿宋" w:cs="仿宋"/>
                <w:b w:val="0"/>
                <w:bCs/>
                <w:color w:val="auto"/>
                <w:kern w:val="0"/>
                <w:sz w:val="24"/>
                <w:szCs w:val="24"/>
                <w:lang w:val="en-US" w:eastAsia="zh-CN" w:bidi="ar"/>
              </w:rPr>
              <w:t>总制冷</w:t>
            </w:r>
            <w:r>
              <w:rPr>
                <w:rFonts w:hint="eastAsia" w:ascii="仿宋" w:hAnsi="仿宋" w:eastAsia="仿宋" w:cs="仿宋"/>
                <w:b w:val="0"/>
                <w:bCs/>
                <w:color w:val="auto"/>
                <w:kern w:val="0"/>
                <w:sz w:val="24"/>
                <w:szCs w:val="24"/>
                <w:lang w:bidi="ar"/>
              </w:rPr>
              <w:t>≥2.5P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bidi="ar"/>
              </w:rPr>
              <w:t>*4.</w:t>
            </w:r>
            <w:r>
              <w:rPr>
                <w:rFonts w:hint="eastAsia" w:ascii="仿宋" w:hAnsi="仿宋" w:eastAsia="仿宋" w:cs="仿宋"/>
                <w:b w:val="0"/>
                <w:bCs/>
                <w:color w:val="auto"/>
                <w:kern w:val="0"/>
                <w:sz w:val="24"/>
                <w:szCs w:val="24"/>
                <w:lang w:val="en-US" w:eastAsia="zh-CN" w:bidi="ar"/>
              </w:rPr>
              <w:t>4</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市电配电设施</w:t>
            </w:r>
          </w:p>
        </w:tc>
        <w:tc>
          <w:tcPr>
            <w:tcW w:w="6245"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车载 24v/220v 电逆变一体机</w:t>
            </w:r>
            <w:r>
              <w:rPr>
                <w:rFonts w:hint="eastAsia" w:ascii="仿宋" w:hAnsi="仿宋" w:eastAsia="仿宋" w:cs="仿宋"/>
                <w:b w:val="0"/>
                <w:bCs/>
                <w:color w:val="auto"/>
                <w:sz w:val="24"/>
                <w:szCs w:val="24"/>
              </w:rPr>
              <w:t>3</w:t>
            </w:r>
            <w:r>
              <w:rPr>
                <w:rStyle w:val="140"/>
                <w:rFonts w:hint="eastAsia" w:ascii="仿宋" w:hAnsi="仿宋" w:eastAsia="仿宋" w:cs="仿宋"/>
                <w:b w:val="0"/>
                <w:bCs/>
                <w:color w:val="auto"/>
                <w:sz w:val="24"/>
                <w:szCs w:val="24"/>
                <w:lang w:bidi="ar"/>
              </w:rPr>
              <w:t>000W，50m电缆盘（≥6平方3软芯）,配电箱（含漏电保护器、空气开关、开关电源（220转24V）），国标插座（每个工作台位2只）等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102" w:type="dxa"/>
            <w:vMerge w:val="restart"/>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val="en-US" w:eastAsia="zh-CN" w:bidi="ar"/>
              </w:rPr>
              <w:t>*</w:t>
            </w:r>
            <w:r>
              <w:rPr>
                <w:rFonts w:hint="eastAsia" w:ascii="仿宋" w:hAnsi="仿宋" w:eastAsia="仿宋" w:cs="仿宋"/>
                <w:b w:val="0"/>
                <w:bCs/>
                <w:color w:val="auto"/>
                <w:kern w:val="0"/>
                <w:sz w:val="24"/>
                <w:szCs w:val="24"/>
                <w:lang w:bidi="ar"/>
              </w:rPr>
              <w:t>4.</w:t>
            </w:r>
            <w:r>
              <w:rPr>
                <w:rFonts w:hint="eastAsia" w:ascii="仿宋" w:hAnsi="仿宋" w:eastAsia="仿宋" w:cs="仿宋"/>
                <w:b w:val="0"/>
                <w:bCs/>
                <w:color w:val="auto"/>
                <w:kern w:val="0"/>
                <w:sz w:val="24"/>
                <w:szCs w:val="24"/>
                <w:lang w:val="en-US" w:eastAsia="zh-CN" w:bidi="ar"/>
              </w:rPr>
              <w:t>5</w:t>
            </w:r>
          </w:p>
        </w:tc>
        <w:tc>
          <w:tcPr>
            <w:tcW w:w="2205" w:type="dxa"/>
            <w:gridSpan w:val="2"/>
            <w:vMerge w:val="restart"/>
            <w:noWrap w:val="0"/>
            <w:tcMar>
              <w:top w:w="15" w:type="dxa"/>
              <w:left w:w="15" w:type="dxa"/>
              <w:right w:w="15" w:type="dxa"/>
            </w:tcMar>
            <w:vAlign w:val="center"/>
          </w:tcPr>
          <w:p>
            <w:pPr>
              <w:widowControl/>
              <w:jc w:val="both"/>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铅房</w:t>
            </w:r>
          </w:p>
        </w:tc>
        <w:tc>
          <w:tcPr>
            <w:tcW w:w="6245" w:type="dxa"/>
            <w:noWrap w:val="0"/>
            <w:tcMar>
              <w:top w:w="15" w:type="dxa"/>
              <w:left w:w="15" w:type="dxa"/>
              <w:right w:w="15" w:type="dxa"/>
            </w:tcMar>
            <w:vAlign w:val="center"/>
          </w:tcPr>
          <w:p>
            <w:pPr>
              <w:widowControl/>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*1、设置铅玻璃观察窗，便于观察设备运行状态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2" w:type="dxa"/>
            <w:vMerge w:val="continue"/>
            <w:noWrap w:val="0"/>
            <w:tcMar>
              <w:top w:w="15" w:type="dxa"/>
              <w:left w:w="15" w:type="dxa"/>
              <w:right w:w="15" w:type="dxa"/>
            </w:tcMar>
            <w:vAlign w:val="center"/>
          </w:tcPr>
          <w:p>
            <w:pPr>
              <w:jc w:val="left"/>
              <w:rPr>
                <w:rFonts w:hint="eastAsia" w:ascii="仿宋" w:hAnsi="仿宋" w:eastAsia="仿宋" w:cs="仿宋"/>
                <w:b w:val="0"/>
                <w:bCs/>
                <w:color w:val="auto"/>
                <w:sz w:val="24"/>
                <w:szCs w:val="24"/>
              </w:rPr>
            </w:pPr>
          </w:p>
        </w:tc>
        <w:tc>
          <w:tcPr>
            <w:tcW w:w="2205" w:type="dxa"/>
            <w:gridSpan w:val="2"/>
            <w:vMerge w:val="continue"/>
            <w:noWrap w:val="0"/>
            <w:tcMar>
              <w:top w:w="15" w:type="dxa"/>
              <w:left w:w="15" w:type="dxa"/>
              <w:right w:w="15" w:type="dxa"/>
            </w:tcMar>
            <w:vAlign w:val="center"/>
          </w:tcPr>
          <w:p>
            <w:pPr>
              <w:jc w:val="center"/>
              <w:rPr>
                <w:rFonts w:hint="eastAsia" w:ascii="仿宋" w:hAnsi="仿宋" w:eastAsia="仿宋" w:cs="仿宋"/>
                <w:b w:val="0"/>
                <w:bCs/>
                <w:color w:val="auto"/>
                <w:sz w:val="24"/>
                <w:szCs w:val="24"/>
              </w:rPr>
            </w:pPr>
          </w:p>
        </w:tc>
        <w:tc>
          <w:tcPr>
            <w:tcW w:w="6245" w:type="dxa"/>
            <w:noWrap w:val="0"/>
            <w:tcMar>
              <w:top w:w="15" w:type="dxa"/>
              <w:left w:w="15" w:type="dxa"/>
              <w:right w:w="15" w:type="dxa"/>
            </w:tcMar>
            <w:vAlign w:val="center"/>
          </w:tcPr>
          <w:p>
            <w:pPr>
              <w:widowControl/>
              <w:numPr>
                <w:ilvl w:val="0"/>
                <w:numId w:val="0"/>
              </w:numPr>
              <w:ind w:leftChars="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1.</w:t>
            </w:r>
            <w:r>
              <w:rPr>
                <w:rFonts w:hint="eastAsia" w:ascii="仿宋" w:hAnsi="仿宋" w:eastAsia="仿宋" w:cs="仿宋"/>
                <w:b w:val="0"/>
                <w:bCs/>
                <w:color w:val="auto"/>
                <w:sz w:val="24"/>
                <w:szCs w:val="24"/>
              </w:rPr>
              <w:t>机房（X 光检查区）设置铅屏蔽防护门</w:t>
            </w:r>
          </w:p>
          <w:p>
            <w:pPr>
              <w:widowControl/>
              <w:numPr>
                <w:ilvl w:val="0"/>
                <w:numId w:val="0"/>
              </w:numPr>
              <w:ind w:leftChars="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2.</w:t>
            </w:r>
            <w:r>
              <w:rPr>
                <w:rFonts w:hint="eastAsia" w:ascii="仿宋" w:hAnsi="仿宋" w:eastAsia="仿宋" w:cs="仿宋"/>
                <w:b w:val="0"/>
                <w:bCs/>
                <w:color w:val="auto"/>
                <w:sz w:val="24"/>
                <w:szCs w:val="24"/>
              </w:rPr>
              <w:t>六面防护</w:t>
            </w:r>
          </w:p>
          <w:p>
            <w:pPr>
              <w:widowControl/>
              <w:numPr>
                <w:ilvl w:val="0"/>
                <w:numId w:val="0"/>
              </w:numPr>
              <w:ind w:leftChars="0"/>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3.</w:t>
            </w:r>
            <w:r>
              <w:rPr>
                <w:rFonts w:hint="eastAsia" w:ascii="仿宋" w:hAnsi="仿宋" w:eastAsia="仿宋" w:cs="仿宋"/>
                <w:b w:val="0"/>
                <w:bCs/>
                <w:color w:val="auto"/>
                <w:sz w:val="24"/>
                <w:szCs w:val="24"/>
              </w:rPr>
              <w:t>出具符合标准的检测报告：X 线防护水平符合 GBZ130-2013 医用 X 射线诊断放 射防护要求、GBZ117-2015 工业 X 射线探伤放射防 护要求。X 射线泄露≤2.5uGy/h。</w:t>
            </w:r>
          </w:p>
          <w:p>
            <w:pPr>
              <w:pStyle w:val="28"/>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4.生产厂商提供“辐射安全许可证”复印件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2"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kern w:val="0"/>
                <w:sz w:val="24"/>
                <w:szCs w:val="24"/>
                <w:lang w:bidi="ar"/>
              </w:rPr>
              <w:t>*4.</w:t>
            </w:r>
            <w:r>
              <w:rPr>
                <w:rFonts w:hint="eastAsia" w:ascii="仿宋" w:hAnsi="仿宋" w:eastAsia="仿宋" w:cs="仿宋"/>
                <w:b w:val="0"/>
                <w:bCs/>
                <w:color w:val="auto"/>
                <w:kern w:val="0"/>
                <w:sz w:val="24"/>
                <w:szCs w:val="24"/>
                <w:lang w:val="en-US" w:eastAsia="zh-CN" w:bidi="ar"/>
              </w:rPr>
              <w:t>7</w:t>
            </w:r>
          </w:p>
        </w:tc>
        <w:tc>
          <w:tcPr>
            <w:tcW w:w="2205" w:type="dxa"/>
            <w:gridSpan w:val="2"/>
            <w:noWrap w:val="0"/>
            <w:tcMar>
              <w:top w:w="15" w:type="dxa"/>
              <w:left w:w="15" w:type="dxa"/>
              <w:right w:w="15" w:type="dxa"/>
            </w:tcMar>
            <w:vAlign w:val="center"/>
          </w:tcPr>
          <w:p>
            <w:pPr>
              <w:widowControl/>
              <w:textAlignment w:val="center"/>
              <w:rPr>
                <w:rFonts w:hint="eastAsia" w:ascii="仿宋" w:hAnsi="仿宋" w:eastAsia="仿宋" w:cs="仿宋"/>
                <w:b w:val="0"/>
                <w:bCs/>
                <w:color w:val="auto"/>
                <w:kern w:val="0"/>
                <w:sz w:val="24"/>
                <w:szCs w:val="24"/>
                <w:lang w:eastAsia="zh-CN" w:bidi="ar"/>
              </w:rPr>
            </w:pPr>
            <w:r>
              <w:rPr>
                <w:rFonts w:hint="eastAsia" w:ascii="仿宋" w:hAnsi="仿宋" w:eastAsia="仿宋" w:cs="仿宋"/>
                <w:b w:val="0"/>
                <w:bCs/>
                <w:color w:val="auto"/>
                <w:kern w:val="0"/>
                <w:sz w:val="24"/>
                <w:szCs w:val="24"/>
                <w:lang w:bidi="ar"/>
              </w:rPr>
              <w:t>生产工艺</w:t>
            </w:r>
          </w:p>
        </w:tc>
        <w:tc>
          <w:tcPr>
            <w:tcW w:w="6245" w:type="dxa"/>
            <w:noWrap w:val="0"/>
            <w:tcMar>
              <w:top w:w="15" w:type="dxa"/>
              <w:left w:w="15" w:type="dxa"/>
              <w:right w:w="15" w:type="dxa"/>
            </w:tcMar>
            <w:vAlign w:val="center"/>
          </w:tcPr>
          <w:p>
            <w:pPr>
              <w:widowControl/>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kern w:val="0"/>
                <w:sz w:val="24"/>
                <w:szCs w:val="24"/>
                <w:lang w:bidi="ar"/>
              </w:rPr>
              <w:t>车辆生产厂家和车内改装为同一厂家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102" w:type="dxa"/>
            <w:noWrap w:val="0"/>
            <w:tcMar>
              <w:top w:w="15" w:type="dxa"/>
              <w:left w:w="15" w:type="dxa"/>
              <w:right w:w="15" w:type="dxa"/>
            </w:tcMar>
            <w:vAlign w:val="center"/>
          </w:tcPr>
          <w:p>
            <w:p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4.8</w:t>
            </w:r>
          </w:p>
        </w:tc>
        <w:tc>
          <w:tcPr>
            <w:tcW w:w="2205" w:type="dxa"/>
            <w:gridSpan w:val="2"/>
            <w:noWrap w:val="0"/>
            <w:tcMar>
              <w:top w:w="15" w:type="dxa"/>
              <w:left w:w="15" w:type="dxa"/>
              <w:right w:w="15" w:type="dxa"/>
            </w:tcMar>
            <w:vAlign w:val="center"/>
          </w:tcPr>
          <w:p>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kern w:val="0"/>
                <w:sz w:val="24"/>
                <w:szCs w:val="24"/>
                <w:lang w:eastAsia="zh-CN" w:bidi="ar"/>
              </w:rPr>
              <w:t>数字化车载</w:t>
            </w:r>
            <w:r>
              <w:rPr>
                <w:rFonts w:hint="eastAsia" w:ascii="仿宋" w:hAnsi="仿宋" w:eastAsia="仿宋" w:cs="仿宋"/>
                <w:b w:val="0"/>
                <w:bCs/>
                <w:color w:val="auto"/>
                <w:kern w:val="0"/>
                <w:sz w:val="24"/>
                <w:szCs w:val="24"/>
                <w:lang w:val="en-US" w:eastAsia="zh-CN" w:bidi="ar"/>
              </w:rPr>
              <w:t>X射线机</w:t>
            </w:r>
          </w:p>
        </w:tc>
        <w:tc>
          <w:tcPr>
            <w:tcW w:w="6245" w:type="dxa"/>
            <w:noWrap w:val="0"/>
            <w:tcMar>
              <w:top w:w="15" w:type="dxa"/>
              <w:left w:w="15" w:type="dxa"/>
              <w:right w:w="15" w:type="dxa"/>
            </w:tcMar>
            <w:vAlign w:val="center"/>
          </w:tcPr>
          <w:p>
            <w:pPr>
              <w:pStyle w:val="28"/>
              <w:rPr>
                <w:rFonts w:hint="eastAsia" w:ascii="仿宋" w:hAnsi="仿宋" w:eastAsia="仿宋" w:cs="仿宋"/>
                <w:b w:val="0"/>
                <w:bCs/>
                <w:color w:val="auto"/>
                <w:kern w:val="0"/>
                <w:sz w:val="24"/>
                <w:szCs w:val="24"/>
                <w:lang w:bidi="ar"/>
              </w:rPr>
            </w:pPr>
            <w:r>
              <w:rPr>
                <w:rFonts w:hint="eastAsia" w:ascii="仿宋" w:hAnsi="仿宋" w:eastAsia="仿宋" w:cs="仿宋"/>
                <w:b w:val="0"/>
                <w:bCs/>
                <w:color w:val="auto"/>
                <w:sz w:val="24"/>
                <w:szCs w:val="24"/>
              </w:rPr>
              <w:t>采购数字化车载X射线机一套，用于体检车内X射线数字化摄影检查，供临床诊断</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kern w:val="0"/>
                <w:sz w:val="24"/>
                <w:szCs w:val="24"/>
                <w:lang w:eastAsia="zh-CN" w:bidi="ar"/>
              </w:rPr>
              <w:t>详见</w:t>
            </w:r>
            <w:r>
              <w:rPr>
                <w:rFonts w:hint="eastAsia" w:ascii="仿宋" w:hAnsi="仿宋" w:eastAsia="仿宋" w:cs="仿宋"/>
                <w:b/>
                <w:bCs w:val="0"/>
                <w:color w:val="auto"/>
                <w:kern w:val="0"/>
                <w:sz w:val="24"/>
                <w:szCs w:val="24"/>
                <w:lang w:val="en-US" w:eastAsia="zh-CN" w:bidi="ar"/>
              </w:rPr>
              <w:t>2.3</w:t>
            </w:r>
            <w:r>
              <w:rPr>
                <w:rFonts w:hint="eastAsia" w:ascii="仿宋" w:hAnsi="仿宋" w:eastAsia="仿宋" w:cs="仿宋"/>
                <w:b w:val="0"/>
                <w:bCs/>
                <w:color w:val="auto"/>
                <w:kern w:val="0"/>
                <w:sz w:val="24"/>
                <w:szCs w:val="24"/>
                <w:lang w:eastAsia="zh-CN" w:bidi="ar"/>
              </w:rPr>
              <w:t>数字化车载</w:t>
            </w:r>
            <w:r>
              <w:rPr>
                <w:rFonts w:hint="eastAsia" w:ascii="仿宋" w:hAnsi="仿宋" w:eastAsia="仿宋" w:cs="仿宋"/>
                <w:b w:val="0"/>
                <w:bCs/>
                <w:color w:val="auto"/>
                <w:kern w:val="0"/>
                <w:sz w:val="24"/>
                <w:szCs w:val="24"/>
                <w:lang w:val="en-US" w:eastAsia="zh-CN" w:bidi="ar"/>
              </w:rPr>
              <w:t>X射线机</w:t>
            </w:r>
            <w:r>
              <w:rPr>
                <w:rFonts w:hint="eastAsia" w:ascii="仿宋" w:hAnsi="仿宋" w:eastAsia="仿宋" w:cs="仿宋"/>
                <w:b w:val="0"/>
                <w:bCs/>
                <w:color w:val="auto"/>
                <w:kern w:val="0"/>
                <w:sz w:val="24"/>
                <w:szCs w:val="24"/>
                <w:lang w:eastAsia="zh-CN" w:bidi="ar"/>
              </w:rPr>
              <w:t>技术参数</w:t>
            </w:r>
          </w:p>
        </w:tc>
      </w:tr>
    </w:tbl>
    <w:p>
      <w:pPr>
        <w:spacing w:line="480" w:lineRule="auto"/>
        <w:jc w:val="both"/>
        <w:rPr>
          <w:rFonts w:hint="eastAsia" w:ascii="宋体" w:hAnsi="宋体"/>
          <w:color w:val="auto"/>
          <w:sz w:val="24"/>
          <w:szCs w:val="24"/>
        </w:rPr>
      </w:pPr>
      <w:r>
        <w:rPr>
          <w:rFonts w:hint="eastAsia" w:ascii="仿宋" w:hAnsi="仿宋" w:eastAsia="仿宋" w:cs="仿宋"/>
          <w:b/>
          <w:bCs w:val="0"/>
          <w:color w:val="auto"/>
          <w:kern w:val="2"/>
          <w:sz w:val="24"/>
          <w:szCs w:val="24"/>
          <w:lang w:val="en-US" w:eastAsia="zh-CN" w:bidi="ar-SA"/>
        </w:rPr>
        <w:t>2.3数字化车载X射线机技术参数</w:t>
      </w:r>
    </w:p>
    <w:tbl>
      <w:tblPr>
        <w:tblStyle w:val="61"/>
        <w:tblW w:w="9454" w:type="dxa"/>
        <w:jc w:val="center"/>
        <w:tblLayout w:type="fixed"/>
        <w:tblCellMar>
          <w:top w:w="0" w:type="dxa"/>
          <w:left w:w="108" w:type="dxa"/>
          <w:bottom w:w="0" w:type="dxa"/>
          <w:right w:w="108" w:type="dxa"/>
        </w:tblCellMar>
      </w:tblPr>
      <w:tblGrid>
        <w:gridCol w:w="2479"/>
        <w:gridCol w:w="6975"/>
      </w:tblGrid>
      <w:tr>
        <w:tblPrEx>
          <w:tblCellMar>
            <w:top w:w="0" w:type="dxa"/>
            <w:left w:w="108" w:type="dxa"/>
            <w:bottom w:w="0" w:type="dxa"/>
            <w:right w:w="108" w:type="dxa"/>
          </w:tblCellMar>
        </w:tblPrEx>
        <w:trPr>
          <w:jc w:val="center"/>
        </w:trPr>
        <w:tc>
          <w:tcPr>
            <w:tcW w:w="2479" w:type="dxa"/>
            <w:vMerge w:val="restart"/>
            <w:tcBorders>
              <w:top w:val="single" w:color="000000" w:sz="4" w:space="0"/>
              <w:left w:val="single" w:color="000000" w:sz="4" w:space="0"/>
              <w:right w:val="single" w:color="000000" w:sz="4" w:space="0"/>
            </w:tcBorders>
            <w:noWrap w:val="0"/>
            <w:vAlign w:val="center"/>
          </w:tcPr>
          <w:p>
            <w:pPr>
              <w:pStyle w:val="628"/>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项目说明</w:t>
            </w:r>
          </w:p>
        </w:tc>
        <w:tc>
          <w:tcPr>
            <w:tcW w:w="6975" w:type="dxa"/>
            <w:tcBorders>
              <w:top w:val="single" w:color="000000" w:sz="4" w:space="0"/>
              <w:left w:val="nil"/>
              <w:bottom w:val="single" w:color="000000" w:sz="4" w:space="0"/>
              <w:right w:val="single" w:color="000000" w:sz="4" w:space="0"/>
            </w:tcBorders>
            <w:noWrap w:val="0"/>
            <w:vAlign w:val="center"/>
          </w:tcPr>
          <w:p>
            <w:pPr>
              <w:pStyle w:val="628"/>
              <w:spacing w:line="440" w:lineRule="exact"/>
              <w:jc w:val="left"/>
              <w:rPr>
                <w:rFonts w:hint="eastAsia" w:ascii="仿宋" w:hAnsi="仿宋" w:eastAsia="仿宋" w:cs="仿宋"/>
                <w:b/>
                <w:bCs/>
                <w:color w:val="auto"/>
                <w:sz w:val="24"/>
                <w:szCs w:val="24"/>
              </w:rPr>
            </w:pPr>
            <w:r>
              <w:rPr>
                <w:rFonts w:hint="eastAsia" w:ascii="仿宋" w:hAnsi="仿宋" w:eastAsia="仿宋" w:cs="仿宋"/>
                <w:color w:val="auto"/>
                <w:sz w:val="24"/>
                <w:szCs w:val="24"/>
              </w:rPr>
              <w:t>设备名称：数字化车载X射线机</w:t>
            </w:r>
          </w:p>
        </w:tc>
      </w:tr>
      <w:tr>
        <w:tblPrEx>
          <w:tblCellMar>
            <w:top w:w="0" w:type="dxa"/>
            <w:left w:w="108" w:type="dxa"/>
            <w:bottom w:w="0" w:type="dxa"/>
            <w:right w:w="108" w:type="dxa"/>
          </w:tblCellMar>
        </w:tblPrEx>
        <w:trPr>
          <w:jc w:val="center"/>
        </w:trPr>
        <w:tc>
          <w:tcPr>
            <w:tcW w:w="2479" w:type="dxa"/>
            <w:vMerge w:val="continue"/>
            <w:tcBorders>
              <w:top w:val="single" w:color="000000" w:sz="4" w:space="0"/>
              <w:left w:val="single" w:color="000000" w:sz="4" w:space="0"/>
              <w:right w:val="single" w:color="000000" w:sz="4" w:space="0"/>
            </w:tcBorders>
            <w:noWrap w:val="0"/>
            <w:vAlign w:val="center"/>
          </w:tcPr>
          <w:p>
            <w:pPr>
              <w:pStyle w:val="628"/>
              <w:spacing w:line="440" w:lineRule="exact"/>
              <w:jc w:val="center"/>
              <w:rPr>
                <w:rFonts w:hint="eastAsia" w:ascii="仿宋" w:hAnsi="仿宋" w:eastAsia="仿宋" w:cs="仿宋"/>
                <w:b/>
                <w:bCs/>
                <w:color w:val="auto"/>
                <w:sz w:val="24"/>
                <w:szCs w:val="24"/>
              </w:rPr>
            </w:pPr>
          </w:p>
        </w:tc>
        <w:tc>
          <w:tcPr>
            <w:tcW w:w="6975" w:type="dxa"/>
            <w:tcBorders>
              <w:top w:val="single" w:color="000000" w:sz="4" w:space="0"/>
              <w:left w:val="nil"/>
              <w:bottom w:val="single" w:color="000000" w:sz="4" w:space="0"/>
              <w:right w:val="single" w:color="000000" w:sz="4" w:space="0"/>
            </w:tcBorders>
            <w:noWrap w:val="0"/>
            <w:vAlign w:val="center"/>
          </w:tcPr>
          <w:p>
            <w:pPr>
              <w:pStyle w:val="628"/>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数量：</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套</w:t>
            </w:r>
          </w:p>
        </w:tc>
      </w:tr>
      <w:tr>
        <w:tblPrEx>
          <w:tblCellMar>
            <w:top w:w="0" w:type="dxa"/>
            <w:left w:w="108" w:type="dxa"/>
            <w:bottom w:w="0" w:type="dxa"/>
            <w:right w:w="108" w:type="dxa"/>
          </w:tblCellMar>
        </w:tblPrEx>
        <w:trPr>
          <w:jc w:val="center"/>
        </w:trPr>
        <w:tc>
          <w:tcPr>
            <w:tcW w:w="2479" w:type="dxa"/>
            <w:vMerge w:val="continue"/>
            <w:tcBorders>
              <w:left w:val="single" w:color="000000" w:sz="4" w:space="0"/>
              <w:bottom w:val="single" w:color="000000" w:sz="4" w:space="0"/>
              <w:right w:val="single" w:color="000000" w:sz="4" w:space="0"/>
            </w:tcBorders>
            <w:noWrap w:val="0"/>
            <w:vAlign w:val="center"/>
          </w:tcPr>
          <w:p>
            <w:pPr>
              <w:pStyle w:val="628"/>
              <w:spacing w:line="440" w:lineRule="exact"/>
              <w:jc w:val="center"/>
              <w:rPr>
                <w:rFonts w:hint="eastAsia" w:ascii="仿宋" w:hAnsi="仿宋" w:eastAsia="仿宋" w:cs="仿宋"/>
                <w:b/>
                <w:bCs/>
                <w:color w:val="auto"/>
                <w:sz w:val="24"/>
                <w:szCs w:val="24"/>
              </w:rPr>
            </w:pPr>
          </w:p>
        </w:tc>
        <w:tc>
          <w:tcPr>
            <w:tcW w:w="6975" w:type="dxa"/>
            <w:tcBorders>
              <w:top w:val="single" w:color="000000" w:sz="4" w:space="0"/>
              <w:left w:val="nil"/>
              <w:bottom w:val="single" w:color="000000" w:sz="4" w:space="0"/>
              <w:right w:val="single" w:color="000000" w:sz="4" w:space="0"/>
            </w:tcBorders>
            <w:noWrap w:val="0"/>
            <w:vAlign w:val="center"/>
          </w:tcPr>
          <w:p>
            <w:pPr>
              <w:pStyle w:val="628"/>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内容：采购数字化车载X射线机一套，用于体检车内X射线数字化摄影检查，供临床诊断。具体要求如下</w:t>
            </w:r>
          </w:p>
        </w:tc>
      </w:tr>
      <w:tr>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pStyle w:val="628"/>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6975" w:type="dxa"/>
            <w:tcBorders>
              <w:top w:val="single" w:color="000000" w:sz="4" w:space="0"/>
              <w:left w:val="nil"/>
              <w:bottom w:val="single" w:color="000000" w:sz="4" w:space="0"/>
              <w:right w:val="single" w:color="000000" w:sz="4" w:space="0"/>
            </w:tcBorders>
            <w:noWrap w:val="0"/>
            <w:vAlign w:val="center"/>
          </w:tcPr>
          <w:p>
            <w:pPr>
              <w:pStyle w:val="628"/>
              <w:spacing w:line="44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招标技术参数</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1</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便携式平板探测器</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可移动平板探测器</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探测器技术</w:t>
            </w: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闪烁体和非晶硅</w:t>
            </w:r>
          </w:p>
        </w:tc>
      </w:tr>
      <w:tr>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像素尺寸≤139</w:t>
            </w:r>
            <w:r>
              <w:rPr>
                <w:rFonts w:hint="eastAsia" w:ascii="仿宋" w:hAnsi="仿宋" w:eastAsia="仿宋" w:cs="仿宋"/>
                <w:bCs/>
                <w:color w:val="auto"/>
                <w:kern w:val="0"/>
                <w:sz w:val="24"/>
                <w:szCs w:val="24"/>
              </w:rPr>
              <w:t>×</w:t>
            </w:r>
            <w:r>
              <w:rPr>
                <w:rFonts w:hint="eastAsia" w:ascii="仿宋" w:hAnsi="仿宋" w:eastAsia="仿宋" w:cs="仿宋"/>
                <w:color w:val="auto"/>
                <w:kern w:val="0"/>
                <w:sz w:val="24"/>
                <w:szCs w:val="24"/>
              </w:rPr>
              <w:t xml:space="preserve">139μm </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像素矩阵≥3072</w:t>
            </w:r>
            <w:r>
              <w:rPr>
                <w:rFonts w:hint="eastAsia" w:ascii="仿宋" w:hAnsi="仿宋" w:eastAsia="仿宋" w:cs="仿宋"/>
                <w:bCs/>
                <w:color w:val="auto"/>
                <w:kern w:val="0"/>
                <w:sz w:val="24"/>
                <w:szCs w:val="24"/>
              </w:rPr>
              <w:t>×3072</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成像尺寸：17</w:t>
            </w:r>
            <w:r>
              <w:rPr>
                <w:rFonts w:hint="eastAsia" w:ascii="仿宋" w:hAnsi="仿宋" w:eastAsia="仿宋" w:cs="仿宋"/>
                <w:bCs/>
                <w:color w:val="auto"/>
                <w:kern w:val="0"/>
                <w:sz w:val="24"/>
                <w:szCs w:val="24"/>
              </w:rPr>
              <w:t>×</w:t>
            </w:r>
            <w:r>
              <w:rPr>
                <w:rFonts w:hint="eastAsia" w:ascii="仿宋" w:hAnsi="仿宋" w:eastAsia="仿宋" w:cs="仿宋"/>
                <w:color w:val="auto"/>
                <w:kern w:val="0"/>
                <w:sz w:val="24"/>
                <w:szCs w:val="24"/>
              </w:rPr>
              <w:t>17英寸</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A/D≥16bit</w:t>
            </w:r>
          </w:p>
        </w:tc>
      </w:tr>
      <w:tr>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2、</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图像采集系统</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2.1</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显示器尺寸≥19"寸液晶</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2.2</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CPU≥2.0GHz</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2.3</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内存≥4G</w:t>
            </w:r>
          </w:p>
        </w:tc>
      </w:tr>
      <w:tr>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2.4</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硬盘≥500G、7200、SATA</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2.5</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网卡：双网卡1000M、100M</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2.6</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操作系统：</w:t>
            </w:r>
            <w:r>
              <w:rPr>
                <w:rFonts w:hint="eastAsia" w:ascii="仿宋" w:hAnsi="仿宋" w:eastAsia="仿宋" w:cs="仿宋"/>
                <w:color w:val="auto"/>
                <w:sz w:val="24"/>
                <w:szCs w:val="24"/>
                <w:lang w:val="en-GB"/>
              </w:rPr>
              <w:t>win10 64位简体中文专业版</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3、</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软件功能</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3.1</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软件具备权限管理、患者登记、图像采集、图像处理、图像自动优化、胶片打印、报告管理功能</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患者登记：包含本地登记、Worklist网络检索、支持条码扫描</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3.3</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影像采集：在软件界面中可设置高压参数</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3.4</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影像处理：鼠标右键亮度/对比度的调整、LUT、ROI、注解、标记、比例尺、灰度条、旋转、翻转、缩放、裁剪、平移、测量</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3.5</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胶片打印：鼠标拖拽式操作，支持不规则排版（含3分隔）</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3.6</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报告管理：具备图文诊断报告编辑、存储功能，看图及编辑报告可同时进行</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符合国际标准DICOM3.0协议</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4、</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高压发生器</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ind w:right="-107"/>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4.1</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供电要求：220V单相供电</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ind w:right="-107"/>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4.2</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最大输出功率≥50kW</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ind w:right="-107"/>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4.3</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最大工作频率≥50kHz</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4.4</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最大输出管电压≥150kV</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4.5</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最大输出管电流≥630mA</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4.6</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曝光时间范围：1-6300ms</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4.7</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APR部位摄影程序≥999个部位</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5、</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color w:val="auto"/>
                <w:kern w:val="0"/>
                <w:sz w:val="24"/>
                <w:szCs w:val="24"/>
              </w:rPr>
              <w:t>X射线管组件</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5.1</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双焦点球管，焦点尺寸：≤0.6/1.2mm</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5.2</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焦点功率：≥20/50kW</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5.3</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阳极靶面热容量≥300kHU </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5.4</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阳极最高转速≥2800rpm/min</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6、</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机械支撑装置</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6.1</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球管和立式摄影架成像部分具备自动对中功能，节省医生摆位时间</w:t>
            </w:r>
          </w:p>
        </w:tc>
      </w:tr>
      <w:tr>
        <w:tblPrEx>
          <w:tblCellMar>
            <w:top w:w="0" w:type="dxa"/>
            <w:left w:w="108" w:type="dxa"/>
            <w:bottom w:w="0" w:type="dxa"/>
            <w:right w:w="108" w:type="dxa"/>
          </w:tblCellMar>
        </w:tblPrEx>
        <w:trPr>
          <w:trHeight w:val="480" w:hRule="atLeast"/>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6.2</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GB"/>
              </w:rPr>
              <w:t>X射线管组件升降运动行程：≥400mm</w:t>
            </w:r>
          </w:p>
        </w:tc>
      </w:tr>
      <w:tr>
        <w:tblPrEx>
          <w:tblCellMar>
            <w:top w:w="0" w:type="dxa"/>
            <w:left w:w="108" w:type="dxa"/>
            <w:bottom w:w="0" w:type="dxa"/>
            <w:right w:w="108" w:type="dxa"/>
          </w:tblCellMar>
        </w:tblPrEx>
        <w:trPr>
          <w:trHeight w:val="480" w:hRule="atLeast"/>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6.3</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GB"/>
              </w:rPr>
              <w:t>X射线管中心最低垂直距地位置：≤1000mm</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6.4</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GB"/>
              </w:rPr>
              <w:t>平板探测器升降运动行程：≥400mm</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6.5</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平板探测器中心</w:t>
            </w:r>
            <w:r>
              <w:rPr>
                <w:rFonts w:hint="eastAsia" w:ascii="仿宋" w:hAnsi="仿宋" w:eastAsia="仿宋" w:cs="仿宋"/>
                <w:color w:val="auto"/>
                <w:kern w:val="0"/>
                <w:sz w:val="24"/>
                <w:szCs w:val="24"/>
                <w:lang w:val="en-GB"/>
              </w:rPr>
              <w:t>最低垂直距地位置：≤1000mm</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6.6</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进口固定式滤线栅（非与平板一体便携式）</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6.7</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滤线栅尺寸：栅比≥10:1</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7、</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限束器</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7.1</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最大辅视野≥430</w:t>
            </w:r>
            <w:r>
              <w:rPr>
                <w:rFonts w:hint="eastAsia" w:ascii="仿宋" w:hAnsi="仿宋" w:eastAsia="仿宋" w:cs="仿宋"/>
                <w:bCs/>
                <w:color w:val="auto"/>
                <w:kern w:val="0"/>
                <w:sz w:val="24"/>
                <w:szCs w:val="24"/>
              </w:rPr>
              <w:t>×430mm(SID=100cm)</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7.2</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指示灯照度≥100 lux</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8、</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其它</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left="6"/>
              <w:jc w:val="left"/>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w:t>
            </w:r>
            <w:r>
              <w:rPr>
                <w:rFonts w:hint="eastAsia" w:ascii="仿宋" w:hAnsi="仿宋" w:eastAsia="仿宋" w:cs="仿宋"/>
                <w:color w:val="auto"/>
                <w:kern w:val="0"/>
                <w:sz w:val="24"/>
                <w:szCs w:val="24"/>
              </w:rPr>
              <w:t>8.1</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ind w:left="6"/>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为证明所投标设备的技术先进性，投标产品生产制造</w:t>
            </w:r>
            <w:r>
              <w:rPr>
                <w:rFonts w:hint="eastAsia" w:ascii="仿宋" w:hAnsi="仿宋" w:eastAsia="仿宋" w:cs="仿宋"/>
                <w:color w:val="auto"/>
                <w:kern w:val="0"/>
                <w:sz w:val="24"/>
                <w:szCs w:val="24"/>
                <w:lang w:val="en-US" w:eastAsia="zh-CN"/>
              </w:rPr>
              <w:t>商</w:t>
            </w:r>
            <w:r>
              <w:rPr>
                <w:rFonts w:hint="eastAsia" w:ascii="仿宋" w:hAnsi="仿宋" w:eastAsia="仿宋" w:cs="仿宋"/>
                <w:color w:val="auto"/>
                <w:kern w:val="0"/>
                <w:sz w:val="24"/>
                <w:szCs w:val="24"/>
              </w:rPr>
              <w:t>需具备DR,CT,MR医疗影像设备的自主研发与生产能力（提供DR，CT，MR三类产品的注册证书，每类产品至少三张。）</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ind w:left="6"/>
              <w:jc w:val="left"/>
              <w:rPr>
                <w:rFonts w:hint="eastAsia" w:ascii="仿宋" w:hAnsi="仿宋" w:eastAsia="仿宋" w:cs="仿宋"/>
                <w:color w:val="auto"/>
                <w:kern w:val="0"/>
                <w:sz w:val="24"/>
                <w:szCs w:val="24"/>
              </w:rPr>
            </w:pPr>
            <w:r>
              <w:rPr>
                <w:rFonts w:hint="eastAsia" w:ascii="仿宋" w:hAnsi="仿宋" w:eastAsia="仿宋" w:cs="仿宋"/>
                <w:bCs/>
                <w:color w:val="auto"/>
                <w:kern w:val="0"/>
                <w:sz w:val="24"/>
                <w:szCs w:val="24"/>
              </w:rPr>
              <w:t>8</w:t>
            </w:r>
            <w:r>
              <w:rPr>
                <w:rFonts w:hint="eastAsia" w:ascii="仿宋" w:hAnsi="仿宋" w:eastAsia="仿宋" w:cs="仿宋"/>
                <w:color w:val="auto"/>
                <w:kern w:val="0"/>
                <w:sz w:val="24"/>
                <w:szCs w:val="24"/>
              </w:rPr>
              <w:t>.2</w:t>
            </w:r>
          </w:p>
        </w:tc>
        <w:tc>
          <w:tcPr>
            <w:tcW w:w="6975" w:type="dxa"/>
            <w:tcBorders>
              <w:top w:val="single" w:color="000000" w:sz="4" w:space="0"/>
              <w:left w:val="nil"/>
              <w:bottom w:val="single" w:color="000000" w:sz="4" w:space="0"/>
              <w:right w:val="single" w:color="000000" w:sz="4" w:space="0"/>
            </w:tcBorders>
            <w:noWrap w:val="0"/>
            <w:vAlign w:val="center"/>
          </w:tcPr>
          <w:p>
            <w:pPr>
              <w:widowControl/>
              <w:spacing w:line="440" w:lineRule="exact"/>
              <w:ind w:left="6"/>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软件通过中国装备协会IHE等四项认证。</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bCs/>
                <w:color w:val="auto"/>
                <w:kern w:val="0"/>
                <w:sz w:val="24"/>
                <w:szCs w:val="24"/>
              </w:rPr>
              <w:t>8</w:t>
            </w:r>
            <w:r>
              <w:rPr>
                <w:rFonts w:hint="eastAsia" w:ascii="仿宋" w:hAnsi="仿宋" w:eastAsia="仿宋" w:cs="仿宋"/>
                <w:color w:val="auto"/>
                <w:kern w:val="0"/>
                <w:sz w:val="24"/>
                <w:szCs w:val="24"/>
              </w:rPr>
              <w:t>.3</w:t>
            </w:r>
          </w:p>
        </w:tc>
        <w:tc>
          <w:tcPr>
            <w:tcW w:w="6975"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为保证整机兼容、售后保障及系统可靠性，要求平板探测器、高压发生器、机械系统、图像采集系统等必须为同一制造商（提供相关检测报告）</w:t>
            </w:r>
          </w:p>
        </w:tc>
      </w:tr>
      <w:tr>
        <w:tblPrEx>
          <w:tblCellMar>
            <w:top w:w="0" w:type="dxa"/>
            <w:left w:w="108" w:type="dxa"/>
            <w:bottom w:w="0" w:type="dxa"/>
            <w:right w:w="108" w:type="dxa"/>
          </w:tblCellMar>
        </w:tblPrEx>
        <w:trPr>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8.4</w:t>
            </w:r>
          </w:p>
        </w:tc>
        <w:tc>
          <w:tcPr>
            <w:tcW w:w="6975" w:type="dxa"/>
            <w:tcBorders>
              <w:top w:val="single" w:color="000000" w:sz="4" w:space="0"/>
              <w:left w:val="nil"/>
              <w:bottom w:val="single" w:color="000000" w:sz="4" w:space="0"/>
              <w:right w:val="single" w:color="000000" w:sz="4" w:space="0"/>
            </w:tcBorders>
            <w:noWrap w:val="0"/>
            <w:vAlign w:val="top"/>
          </w:tcPr>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所投标产品须为专业数字化车载X射线机，不接受常规DR或常规X射线机设备（提供产品注册证书）</w:t>
            </w:r>
          </w:p>
        </w:tc>
      </w:tr>
      <w:tr>
        <w:tblPrEx>
          <w:tblCellMar>
            <w:top w:w="0" w:type="dxa"/>
            <w:left w:w="108" w:type="dxa"/>
            <w:bottom w:w="0" w:type="dxa"/>
            <w:right w:w="108" w:type="dxa"/>
          </w:tblCellMar>
        </w:tblPrEx>
        <w:trPr>
          <w:trHeight w:val="450" w:hRule="atLeast"/>
          <w:jc w:val="center"/>
        </w:trPr>
        <w:tc>
          <w:tcPr>
            <w:tcW w:w="2479"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*8.5</w:t>
            </w:r>
          </w:p>
        </w:tc>
        <w:tc>
          <w:tcPr>
            <w:tcW w:w="6975" w:type="dxa"/>
            <w:tcBorders>
              <w:top w:val="single" w:color="000000" w:sz="4" w:space="0"/>
              <w:left w:val="nil"/>
              <w:bottom w:val="single" w:color="000000" w:sz="4" w:space="0"/>
              <w:right w:val="single" w:color="000000" w:sz="4" w:space="0"/>
            </w:tcBorders>
            <w:noWrap w:val="0"/>
            <w:vAlign w:val="top"/>
          </w:tcPr>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投标设备需入选中国医学装备协会优秀国产医疗设备产品目录。</w:t>
            </w:r>
          </w:p>
        </w:tc>
      </w:tr>
    </w:tbl>
    <w:p>
      <w:pPr>
        <w:spacing w:line="360" w:lineRule="auto"/>
        <w:rPr>
          <w:rFonts w:hint="eastAsia" w:ascii="仿宋" w:hAnsi="仿宋" w:eastAsia="仿宋"/>
          <w:b/>
          <w:color w:val="auto"/>
          <w:sz w:val="24"/>
        </w:rPr>
      </w:pPr>
    </w:p>
    <w:p>
      <w:pPr>
        <w:spacing w:line="360" w:lineRule="auto"/>
        <w:rPr>
          <w:rFonts w:hint="eastAsia" w:ascii="仿宋" w:hAnsi="仿宋" w:eastAsia="仿宋"/>
          <w:b/>
          <w:color w:val="auto"/>
          <w:sz w:val="24"/>
        </w:rPr>
      </w:pPr>
      <w:r>
        <w:rPr>
          <w:rFonts w:hint="eastAsia" w:ascii="仿宋" w:hAnsi="仿宋" w:eastAsia="仿宋"/>
          <w:b/>
          <w:color w:val="auto"/>
          <w:sz w:val="24"/>
          <w:lang w:val="en-US" w:eastAsia="zh-CN"/>
        </w:rPr>
        <w:t>3</w:t>
      </w:r>
      <w:r>
        <w:rPr>
          <w:rFonts w:hint="eastAsia" w:ascii="仿宋" w:hAnsi="仿宋" w:eastAsia="仿宋"/>
          <w:b/>
          <w:color w:val="auto"/>
          <w:sz w:val="24"/>
        </w:rPr>
        <w:t>、</w:t>
      </w:r>
      <w:r>
        <w:rPr>
          <w:rFonts w:hint="eastAsia" w:ascii="仿宋" w:hAnsi="仿宋" w:eastAsia="仿宋"/>
          <w:b/>
          <w:color w:val="auto"/>
          <w:sz w:val="24"/>
          <w:lang w:val="en-US" w:eastAsia="zh-CN"/>
        </w:rPr>
        <w:t>应急指挥车</w:t>
      </w:r>
    </w:p>
    <w:p>
      <w:pPr>
        <w:spacing w:line="360" w:lineRule="auto"/>
        <w:rPr>
          <w:rFonts w:hint="eastAsia" w:ascii="仿宋" w:hAnsi="仿宋" w:eastAsia="仿宋"/>
          <w:b/>
          <w:color w:val="auto"/>
          <w:sz w:val="24"/>
        </w:rPr>
      </w:pPr>
      <w:r>
        <w:rPr>
          <w:rFonts w:hint="eastAsia" w:ascii="仿宋" w:hAnsi="仿宋" w:eastAsia="仿宋"/>
          <w:b/>
          <w:color w:val="auto"/>
          <w:sz w:val="24"/>
          <w:lang w:val="en-US" w:eastAsia="zh-CN"/>
        </w:rPr>
        <w:t>3</w:t>
      </w:r>
      <w:r>
        <w:rPr>
          <w:rFonts w:hint="eastAsia" w:ascii="仿宋" w:hAnsi="仿宋" w:eastAsia="仿宋"/>
          <w:b/>
          <w:color w:val="auto"/>
          <w:sz w:val="24"/>
        </w:rPr>
        <w:t>.1数量：</w:t>
      </w:r>
      <w:r>
        <w:rPr>
          <w:rFonts w:hint="eastAsia" w:ascii="仿宋" w:hAnsi="仿宋" w:eastAsia="仿宋"/>
          <w:b/>
          <w:color w:val="auto"/>
          <w:sz w:val="24"/>
          <w:lang w:val="en-US" w:eastAsia="zh-CN"/>
        </w:rPr>
        <w:t>1</w:t>
      </w:r>
      <w:r>
        <w:rPr>
          <w:rFonts w:hint="eastAsia" w:ascii="仿宋" w:hAnsi="仿宋" w:eastAsia="仿宋"/>
          <w:b/>
          <w:color w:val="auto"/>
          <w:sz w:val="24"/>
        </w:rPr>
        <w:t>辆</w:t>
      </w:r>
    </w:p>
    <w:p>
      <w:pPr>
        <w:spacing w:line="360" w:lineRule="auto"/>
        <w:rPr>
          <w:rFonts w:hint="eastAsia" w:ascii="仿宋" w:hAnsi="仿宋" w:eastAsia="仿宋"/>
          <w:b/>
          <w:color w:val="auto"/>
          <w:sz w:val="24"/>
        </w:rPr>
      </w:pPr>
      <w:r>
        <w:rPr>
          <w:rFonts w:hint="eastAsia" w:ascii="仿宋" w:hAnsi="仿宋" w:eastAsia="仿宋"/>
          <w:b/>
          <w:color w:val="auto"/>
          <w:sz w:val="24"/>
          <w:lang w:val="en-US" w:eastAsia="zh-CN"/>
        </w:rPr>
        <w:t>3</w:t>
      </w:r>
      <w:r>
        <w:rPr>
          <w:rFonts w:hint="eastAsia" w:ascii="仿宋" w:hAnsi="仿宋" w:eastAsia="仿宋"/>
          <w:b/>
          <w:color w:val="auto"/>
          <w:sz w:val="24"/>
        </w:rPr>
        <w:t>.2技术参数及要求</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068"/>
        <w:gridCol w:w="3684"/>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序号</w:t>
            </w:r>
          </w:p>
        </w:tc>
        <w:tc>
          <w:tcPr>
            <w:tcW w:w="3068"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车辆项目</w:t>
            </w:r>
          </w:p>
        </w:tc>
        <w:tc>
          <w:tcPr>
            <w:tcW w:w="5482" w:type="dxa"/>
            <w:gridSpan w:val="2"/>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58"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一</w:t>
            </w:r>
          </w:p>
        </w:tc>
        <w:tc>
          <w:tcPr>
            <w:tcW w:w="3068" w:type="dxa"/>
            <w:noWrap w:val="0"/>
            <w:vAlign w:val="center"/>
          </w:tcPr>
          <w:p>
            <w:pPr>
              <w:ind w:firstLine="723" w:firstLineChars="300"/>
              <w:jc w:val="left"/>
              <w:rPr>
                <w:rFonts w:hint="eastAsia" w:ascii="仿宋" w:hAnsi="仿宋" w:eastAsia="仿宋" w:cs="仿宋"/>
                <w:b/>
                <w:bCs/>
                <w:iCs/>
                <w:color w:val="auto"/>
                <w:sz w:val="24"/>
                <w:szCs w:val="24"/>
                <w:highlight w:val="none"/>
                <w:u w:val="none"/>
                <w:lang w:eastAsia="zh-CN"/>
              </w:rPr>
            </w:pPr>
            <w:r>
              <w:rPr>
                <w:rFonts w:hint="eastAsia" w:ascii="仿宋" w:hAnsi="仿宋" w:eastAsia="仿宋" w:cs="仿宋"/>
                <w:b/>
                <w:bCs/>
                <w:iCs/>
                <w:color w:val="auto"/>
                <w:sz w:val="24"/>
                <w:szCs w:val="24"/>
                <w:highlight w:val="none"/>
                <w:u w:val="none"/>
                <w:lang w:eastAsia="zh-CN"/>
              </w:rPr>
              <w:t>指挥车</w:t>
            </w:r>
          </w:p>
        </w:tc>
        <w:tc>
          <w:tcPr>
            <w:tcW w:w="5482" w:type="dxa"/>
            <w:gridSpan w:val="2"/>
            <w:noWrap w:val="0"/>
            <w:vAlign w:val="center"/>
          </w:tcPr>
          <w:p>
            <w:pPr>
              <w:jc w:val="left"/>
              <w:rPr>
                <w:rFonts w:hint="eastAsia" w:ascii="仿宋" w:hAnsi="仿宋" w:eastAsia="仿宋" w:cs="仿宋"/>
                <w:b/>
                <w:bCs/>
                <w:iCs/>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二</w:t>
            </w:r>
          </w:p>
        </w:tc>
        <w:tc>
          <w:tcPr>
            <w:tcW w:w="3068" w:type="dxa"/>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车辆技术要求</w:t>
            </w:r>
          </w:p>
        </w:tc>
        <w:tc>
          <w:tcPr>
            <w:tcW w:w="5482" w:type="dxa"/>
            <w:gridSpan w:val="2"/>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w:t>
            </w:r>
          </w:p>
        </w:tc>
        <w:tc>
          <w:tcPr>
            <w:tcW w:w="3068"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排放标准</w:t>
            </w:r>
          </w:p>
        </w:tc>
        <w:tc>
          <w:tcPr>
            <w:tcW w:w="5482" w:type="dxa"/>
            <w:gridSpan w:val="2"/>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w:t>
            </w:r>
          </w:p>
        </w:tc>
        <w:tc>
          <w:tcPr>
            <w:tcW w:w="3068"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驱动形式</w:t>
            </w:r>
          </w:p>
        </w:tc>
        <w:tc>
          <w:tcPr>
            <w:tcW w:w="5482" w:type="dxa"/>
            <w:gridSpan w:val="2"/>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前置</w:t>
            </w:r>
            <w:r>
              <w:rPr>
                <w:rFonts w:hint="eastAsia" w:ascii="仿宋" w:hAnsi="仿宋" w:eastAsia="仿宋" w:cs="仿宋"/>
                <w:iCs/>
                <w:color w:val="auto"/>
                <w:sz w:val="24"/>
                <w:szCs w:val="24"/>
                <w:highlight w:val="none"/>
                <w:u w:val="none"/>
                <w:lang w:val="en-US" w:eastAsia="zh-CN"/>
              </w:rPr>
              <w:t>前</w:t>
            </w:r>
            <w:r>
              <w:rPr>
                <w:rFonts w:hint="eastAsia" w:ascii="仿宋" w:hAnsi="仿宋" w:eastAsia="仿宋" w:cs="仿宋"/>
                <w:iCs/>
                <w:color w:val="auto"/>
                <w:sz w:val="24"/>
                <w:szCs w:val="24"/>
                <w:highlight w:val="none"/>
                <w:u w:val="none"/>
              </w:rPr>
              <w:t>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3</w:t>
            </w:r>
          </w:p>
        </w:tc>
        <w:tc>
          <w:tcPr>
            <w:tcW w:w="3068"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变速箱</w:t>
            </w:r>
          </w:p>
        </w:tc>
        <w:tc>
          <w:tcPr>
            <w:tcW w:w="5482" w:type="dxa"/>
            <w:gridSpan w:val="2"/>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手动挡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4</w:t>
            </w:r>
          </w:p>
        </w:tc>
        <w:tc>
          <w:tcPr>
            <w:tcW w:w="3068" w:type="dxa"/>
            <w:noWrap w:val="0"/>
            <w:vAlign w:val="center"/>
          </w:tcPr>
          <w:p>
            <w:pP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车辆总长(mm)</w:t>
            </w:r>
          </w:p>
        </w:tc>
        <w:tc>
          <w:tcPr>
            <w:tcW w:w="5482" w:type="dxa"/>
            <w:gridSpan w:val="2"/>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5510</w:t>
            </w: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长</w:t>
            </w: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5</w:t>
            </w:r>
          </w:p>
        </w:tc>
        <w:tc>
          <w:tcPr>
            <w:tcW w:w="3068" w:type="dxa"/>
            <w:noWrap w:val="0"/>
            <w:vAlign w:val="center"/>
          </w:tcPr>
          <w:p>
            <w:pPr>
              <w:rPr>
                <w:rFonts w:hint="eastAsia" w:ascii="仿宋" w:hAnsi="仿宋" w:eastAsia="仿宋" w:cs="仿宋"/>
                <w:color w:val="auto"/>
                <w:sz w:val="24"/>
                <w:szCs w:val="24"/>
                <w:highlight w:val="none"/>
                <w:u w:val="none"/>
              </w:rPr>
            </w:pPr>
            <w:r>
              <w:rPr>
                <w:rFonts w:hint="eastAsia" w:ascii="仿宋" w:hAnsi="仿宋" w:eastAsia="仿宋" w:cs="仿宋"/>
                <w:iCs/>
                <w:color w:val="auto"/>
                <w:sz w:val="24"/>
                <w:szCs w:val="24"/>
                <w:highlight w:val="none"/>
                <w:u w:val="none"/>
              </w:rPr>
              <w:t>车辆总宽(mm)</w:t>
            </w:r>
          </w:p>
        </w:tc>
        <w:tc>
          <w:tcPr>
            <w:tcW w:w="5482" w:type="dxa"/>
            <w:gridSpan w:val="2"/>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2030</w:t>
            </w:r>
            <w:r>
              <w:rPr>
                <w:rFonts w:hint="eastAsia" w:ascii="仿宋" w:hAnsi="仿宋" w:eastAsia="仿宋" w:cs="仿宋"/>
                <w:iCs/>
                <w:color w:val="auto"/>
                <w:sz w:val="24"/>
                <w:szCs w:val="24"/>
                <w:highlight w:val="none"/>
                <w:u w:val="none"/>
              </w:rPr>
              <w:t>≤宽≤</w:t>
            </w:r>
            <w:r>
              <w:rPr>
                <w:rFonts w:hint="eastAsia" w:ascii="仿宋" w:hAnsi="仿宋" w:eastAsia="仿宋" w:cs="仿宋"/>
                <w:iCs/>
                <w:color w:val="auto"/>
                <w:sz w:val="24"/>
                <w:szCs w:val="24"/>
                <w:highlight w:val="none"/>
                <w:u w:val="none"/>
                <w:lang w:val="en-US" w:eastAsia="zh-CN"/>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u w:val="none"/>
              </w:rPr>
              <w:t>6</w:t>
            </w:r>
          </w:p>
        </w:tc>
        <w:tc>
          <w:tcPr>
            <w:tcW w:w="3068" w:type="dxa"/>
            <w:noWrap w:val="0"/>
            <w:vAlign w:val="center"/>
          </w:tcPr>
          <w:p>
            <w:pPr>
              <w:rPr>
                <w:rFonts w:hint="eastAsia" w:ascii="仿宋" w:hAnsi="仿宋" w:eastAsia="仿宋" w:cs="仿宋"/>
                <w:color w:val="auto"/>
                <w:sz w:val="24"/>
                <w:szCs w:val="24"/>
                <w:highlight w:val="none"/>
                <w:u w:val="none"/>
              </w:rPr>
            </w:pPr>
            <w:r>
              <w:rPr>
                <w:rFonts w:hint="eastAsia" w:ascii="仿宋" w:hAnsi="仿宋" w:eastAsia="仿宋" w:cs="仿宋"/>
                <w:iCs/>
                <w:color w:val="auto"/>
                <w:sz w:val="24"/>
                <w:szCs w:val="24"/>
                <w:highlight w:val="none"/>
                <w:u w:val="none"/>
              </w:rPr>
              <w:t>车辆总高(mm)</w:t>
            </w:r>
          </w:p>
        </w:tc>
        <w:tc>
          <w:tcPr>
            <w:tcW w:w="5482" w:type="dxa"/>
            <w:gridSpan w:val="2"/>
            <w:noWrap w:val="0"/>
            <w:vAlign w:val="center"/>
          </w:tcPr>
          <w:p>
            <w:pP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2450</w:t>
            </w:r>
            <w:r>
              <w:rPr>
                <w:rFonts w:hint="eastAsia" w:ascii="仿宋" w:hAnsi="仿宋" w:eastAsia="仿宋" w:cs="仿宋"/>
                <w:iCs/>
                <w:color w:val="auto"/>
                <w:sz w:val="24"/>
                <w:szCs w:val="24"/>
                <w:highlight w:val="none"/>
                <w:u w:val="none"/>
              </w:rPr>
              <w:t>≤高≤</w:t>
            </w:r>
            <w:r>
              <w:rPr>
                <w:rFonts w:hint="eastAsia" w:ascii="仿宋" w:hAnsi="仿宋" w:eastAsia="仿宋" w:cs="仿宋"/>
                <w:iCs/>
                <w:color w:val="auto"/>
                <w:sz w:val="24"/>
                <w:szCs w:val="24"/>
                <w:highlight w:val="none"/>
                <w:u w:val="none"/>
                <w:lang w:val="en-US" w:eastAsia="zh-CN"/>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7</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lang w:eastAsia="zh-CN"/>
              </w:rPr>
              <w:t>医疗</w:t>
            </w:r>
            <w:r>
              <w:rPr>
                <w:rFonts w:hint="eastAsia" w:ascii="仿宋" w:hAnsi="仿宋" w:eastAsia="仿宋" w:cs="仿宋"/>
                <w:iCs/>
                <w:color w:val="auto"/>
                <w:sz w:val="24"/>
                <w:szCs w:val="24"/>
                <w:highlight w:val="none"/>
                <w:u w:val="none"/>
              </w:rPr>
              <w:t>舱尺寸(mm)：</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2600*1730*1720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8</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总质量(Kg)：</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9</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整备质量（Kg）：</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10</w:t>
            </w:r>
          </w:p>
        </w:tc>
        <w:tc>
          <w:tcPr>
            <w:tcW w:w="3068" w:type="dxa"/>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轴距(mm)：</w:t>
            </w:r>
          </w:p>
        </w:tc>
        <w:tc>
          <w:tcPr>
            <w:tcW w:w="5482" w:type="dxa"/>
            <w:gridSpan w:val="2"/>
            <w:noWrap w:val="0"/>
            <w:vAlign w:val="center"/>
          </w:tcPr>
          <w:p>
            <w:pPr>
              <w:jc w:val="left"/>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11</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接近角/离去角：</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12</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油箱容积(L)：</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13</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排量(mL)：</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14</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额定功率kw:</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tcBorders>
              <w:bottom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15</w:t>
            </w:r>
          </w:p>
        </w:tc>
        <w:tc>
          <w:tcPr>
            <w:tcW w:w="3068" w:type="dxa"/>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最大扭矩Nm/rpm:</w:t>
            </w:r>
          </w:p>
        </w:tc>
        <w:tc>
          <w:tcPr>
            <w:tcW w:w="5482" w:type="dxa"/>
            <w:gridSpan w:val="2"/>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rPr>
              <w:t>≥</w:t>
            </w:r>
            <w:r>
              <w:rPr>
                <w:rFonts w:hint="eastAsia" w:ascii="仿宋" w:hAnsi="仿宋" w:eastAsia="仿宋" w:cs="仿宋"/>
                <w:iCs/>
                <w:color w:val="auto"/>
                <w:sz w:val="24"/>
                <w:szCs w:val="24"/>
                <w:highlight w:val="none"/>
                <w:u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16</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悬架系统(前/后)：</w:t>
            </w:r>
          </w:p>
        </w:tc>
        <w:tc>
          <w:tcPr>
            <w:tcW w:w="5482" w:type="dxa"/>
            <w:gridSpan w:val="2"/>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前：麦弗逊式独立悬架/后：霍奇基斯悬架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tcBorders>
              <w:bottom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17</w:t>
            </w:r>
          </w:p>
        </w:tc>
        <w:tc>
          <w:tcPr>
            <w:tcW w:w="3068" w:type="dxa"/>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eastAsia="zh-CN"/>
              </w:rPr>
            </w:pPr>
            <w:r>
              <w:rPr>
                <w:rFonts w:hint="eastAsia" w:ascii="仿宋" w:hAnsi="仿宋" w:eastAsia="仿宋" w:cs="仿宋"/>
                <w:iCs/>
                <w:color w:val="auto"/>
                <w:sz w:val="24"/>
                <w:szCs w:val="24"/>
                <w:highlight w:val="none"/>
                <w:u w:val="none"/>
              </w:rPr>
              <w:t>制动</w:t>
            </w:r>
            <w:r>
              <w:rPr>
                <w:rFonts w:hint="eastAsia" w:ascii="仿宋" w:hAnsi="仿宋" w:eastAsia="仿宋" w:cs="仿宋"/>
                <w:iCs/>
                <w:color w:val="auto"/>
                <w:sz w:val="24"/>
                <w:szCs w:val="24"/>
                <w:highlight w:val="none"/>
                <w:u w:val="none"/>
                <w:lang w:val="en-US" w:eastAsia="zh-CN"/>
              </w:rPr>
              <w:t>辅助</w:t>
            </w:r>
          </w:p>
        </w:tc>
        <w:tc>
          <w:tcPr>
            <w:tcW w:w="5482" w:type="dxa"/>
            <w:gridSpan w:val="2"/>
            <w:tcBorders>
              <w:bottom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前盘后盘，ABS，EBD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18</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轮胎规格：</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≧215/65R16C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19</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后尾门</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后尾门为180°对开尾门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20</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最大乘员数（含驾驶员）</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21</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最高时速（km/h）</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iCs/>
                <w:color w:val="auto"/>
                <w:sz w:val="24"/>
                <w:szCs w:val="24"/>
                <w:highlight w:val="none"/>
                <w:u w:val="none"/>
              </w:rPr>
            </w:pPr>
            <w:r>
              <w:rPr>
                <w:rFonts w:hint="eastAsia" w:ascii="仿宋" w:hAnsi="仿宋" w:eastAsia="仿宋" w:cs="仿宋"/>
                <w:b/>
                <w:bCs/>
                <w:iCs/>
                <w:color w:val="auto"/>
                <w:sz w:val="24"/>
                <w:szCs w:val="24"/>
                <w:highlight w:val="none"/>
                <w:u w:val="none"/>
              </w:rPr>
              <w:t>三</w:t>
            </w:r>
          </w:p>
        </w:tc>
        <w:tc>
          <w:tcPr>
            <w:tcW w:w="3068"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改装技术要求及检测设备</w:t>
            </w:r>
          </w:p>
        </w:tc>
        <w:tc>
          <w:tcPr>
            <w:tcW w:w="3684"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主要参数</w:t>
            </w:r>
          </w:p>
        </w:tc>
        <w:tc>
          <w:tcPr>
            <w:tcW w:w="1798"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8" w:type="dxa"/>
            <w:noWrap w:val="0"/>
            <w:vAlign w:val="center"/>
          </w:tcPr>
          <w:p>
            <w:pPr>
              <w:jc w:val="center"/>
              <w:textAlignment w:val="center"/>
              <w:rPr>
                <w:rFonts w:hint="eastAsia" w:ascii="仿宋" w:hAnsi="仿宋" w:eastAsia="仿宋" w:cs="仿宋"/>
                <w:iCs/>
                <w:color w:val="auto"/>
                <w:sz w:val="24"/>
                <w:szCs w:val="24"/>
                <w:highlight w:val="none"/>
                <w:u w:val="none"/>
              </w:rPr>
            </w:pPr>
            <w:r>
              <w:rPr>
                <w:rFonts w:hint="eastAsia" w:ascii="仿宋" w:hAnsi="仿宋" w:eastAsia="仿宋" w:cs="仿宋"/>
                <w:iCs/>
                <w:color w:val="auto"/>
                <w:sz w:val="24"/>
                <w:szCs w:val="24"/>
                <w:highlight w:val="none"/>
                <w:u w:val="none"/>
              </w:rPr>
              <w:t>1</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车辆 GPS 导航显示一体机</w:t>
            </w:r>
          </w:p>
        </w:tc>
        <w:tc>
          <w:tcPr>
            <w:tcW w:w="3684"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车辆 GPS 导航显示一体机</w:t>
            </w:r>
          </w:p>
          <w:p>
            <w:pPr>
              <w:jc w:val="left"/>
              <w:textAlignment w:val="center"/>
              <w:rPr>
                <w:rFonts w:hint="eastAsia" w:ascii="仿宋" w:hAnsi="仿宋" w:eastAsia="仿宋" w:cs="仿宋"/>
                <w:iCs/>
                <w:color w:val="auto"/>
                <w:sz w:val="24"/>
                <w:szCs w:val="24"/>
                <w:highlight w:val="none"/>
                <w:u w:val="none"/>
                <w:lang w:val="en-US" w:eastAsia="zh-CN"/>
              </w:rPr>
            </w:pPr>
          </w:p>
        </w:tc>
        <w:tc>
          <w:tcPr>
            <w:tcW w:w="179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58"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rPr>
              <w:t>2</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多功能电源系统</w:t>
            </w:r>
          </w:p>
        </w:tc>
        <w:tc>
          <w:tcPr>
            <w:tcW w:w="3684"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整车电源控制系统</w:t>
            </w:r>
          </w:p>
        </w:tc>
        <w:tc>
          <w:tcPr>
            <w:tcW w:w="179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58" w:type="dxa"/>
            <w:noWrap w:val="0"/>
            <w:vAlign w:val="center"/>
          </w:tcPr>
          <w:p>
            <w:pPr>
              <w:jc w:val="center"/>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3</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显示器</w:t>
            </w:r>
          </w:p>
        </w:tc>
        <w:tc>
          <w:tcPr>
            <w:tcW w:w="3684"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车厢内合理布置显示器与扬声器</w:t>
            </w:r>
          </w:p>
        </w:tc>
        <w:tc>
          <w:tcPr>
            <w:tcW w:w="179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58" w:type="dxa"/>
            <w:noWrap w:val="0"/>
            <w:vAlign w:val="center"/>
          </w:tcPr>
          <w:p>
            <w:pPr>
              <w:jc w:val="center"/>
              <w:textAlignment w:val="center"/>
              <w:rPr>
                <w:rFonts w:hint="eastAsia" w:ascii="仿宋" w:hAnsi="仿宋" w:eastAsia="仿宋" w:cs="仿宋"/>
                <w:iCs/>
                <w:color w:val="auto"/>
                <w:kern w:val="2"/>
                <w:sz w:val="24"/>
                <w:szCs w:val="24"/>
                <w:highlight w:val="none"/>
                <w:u w:val="none"/>
                <w:lang w:val="en-US" w:eastAsia="zh-CN" w:bidi="ar-SA"/>
              </w:rPr>
            </w:pPr>
            <w:r>
              <w:rPr>
                <w:rFonts w:hint="eastAsia" w:ascii="仿宋" w:hAnsi="仿宋" w:eastAsia="仿宋" w:cs="仿宋"/>
                <w:iCs/>
                <w:color w:val="auto"/>
                <w:sz w:val="24"/>
                <w:szCs w:val="24"/>
                <w:highlight w:val="none"/>
                <w:u w:val="none"/>
                <w:lang w:val="en-US" w:eastAsia="zh-CN"/>
              </w:rPr>
              <w:t>4</w:t>
            </w:r>
          </w:p>
        </w:tc>
        <w:tc>
          <w:tcPr>
            <w:tcW w:w="306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座椅</w:t>
            </w:r>
          </w:p>
        </w:tc>
        <w:tc>
          <w:tcPr>
            <w:tcW w:w="3684"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车厢内合理布局</w:t>
            </w:r>
          </w:p>
        </w:tc>
        <w:tc>
          <w:tcPr>
            <w:tcW w:w="1798" w:type="dxa"/>
            <w:noWrap w:val="0"/>
            <w:vAlign w:val="center"/>
          </w:tcPr>
          <w:p>
            <w:pPr>
              <w:jc w:val="left"/>
              <w:textAlignment w:val="center"/>
              <w:rPr>
                <w:rFonts w:hint="eastAsia" w:ascii="仿宋" w:hAnsi="仿宋" w:eastAsia="仿宋" w:cs="仿宋"/>
                <w:iCs/>
                <w:color w:val="auto"/>
                <w:sz w:val="24"/>
                <w:szCs w:val="24"/>
                <w:highlight w:val="none"/>
                <w:u w:val="none"/>
                <w:lang w:val="en-US" w:eastAsia="zh-CN"/>
              </w:rPr>
            </w:pPr>
            <w:r>
              <w:rPr>
                <w:rFonts w:hint="eastAsia" w:ascii="仿宋" w:hAnsi="仿宋" w:eastAsia="仿宋" w:cs="仿宋"/>
                <w:iCs/>
                <w:color w:val="auto"/>
                <w:sz w:val="24"/>
                <w:szCs w:val="24"/>
                <w:highlight w:val="none"/>
                <w:u w:val="none"/>
                <w:lang w:val="en-US" w:eastAsia="zh-CN"/>
              </w:rPr>
              <w:t>4套</w:t>
            </w:r>
          </w:p>
        </w:tc>
      </w:tr>
    </w:tbl>
    <w:p>
      <w:pPr>
        <w:rPr>
          <w:rFonts w:hint="eastAsia"/>
          <w:color w:val="auto"/>
          <w:lang w:val="en-US" w:eastAsia="zh-CN"/>
        </w:rPr>
      </w:pPr>
    </w:p>
    <w:p>
      <w:pPr>
        <w:spacing w:line="360" w:lineRule="auto"/>
        <w:rPr>
          <w:rFonts w:hint="eastAsia" w:ascii="仿宋" w:hAnsi="仿宋" w:eastAsia="仿宋"/>
          <w:b/>
          <w:color w:val="auto"/>
          <w:sz w:val="24"/>
          <w:lang w:val="en-US" w:eastAsia="zh-CN"/>
        </w:rPr>
      </w:pPr>
      <w:r>
        <w:rPr>
          <w:rFonts w:hint="eastAsia" w:ascii="仿宋" w:hAnsi="仿宋" w:eastAsia="仿宋"/>
          <w:b/>
          <w:color w:val="auto"/>
          <w:sz w:val="24"/>
          <w:lang w:val="en-US" w:eastAsia="zh-CN"/>
        </w:rPr>
        <w:t>4、快速检测车</w:t>
      </w:r>
    </w:p>
    <w:p>
      <w:pPr>
        <w:spacing w:line="360" w:lineRule="auto"/>
        <w:rPr>
          <w:rFonts w:hint="eastAsia" w:ascii="仿宋" w:hAnsi="仿宋" w:eastAsia="仿宋"/>
          <w:b/>
          <w:color w:val="auto"/>
          <w:sz w:val="24"/>
          <w:lang w:val="en-US" w:eastAsia="zh-CN"/>
        </w:rPr>
      </w:pPr>
      <w:r>
        <w:rPr>
          <w:rFonts w:hint="eastAsia" w:ascii="仿宋" w:hAnsi="仿宋" w:eastAsia="仿宋"/>
          <w:b/>
          <w:color w:val="auto"/>
          <w:sz w:val="24"/>
          <w:lang w:val="en-US" w:eastAsia="zh-CN"/>
        </w:rPr>
        <w:t>4.1数量：1辆</w:t>
      </w:r>
    </w:p>
    <w:p>
      <w:pPr>
        <w:spacing w:line="360" w:lineRule="auto"/>
        <w:rPr>
          <w:rFonts w:hint="eastAsia" w:ascii="仿宋" w:hAnsi="仿宋" w:eastAsia="仿宋"/>
          <w:b/>
          <w:color w:val="auto"/>
          <w:sz w:val="24"/>
          <w:lang w:val="en-US" w:eastAsia="zh-CN"/>
        </w:rPr>
      </w:pPr>
      <w:r>
        <w:rPr>
          <w:rFonts w:hint="eastAsia" w:ascii="仿宋" w:hAnsi="仿宋" w:eastAsia="仿宋"/>
          <w:b/>
          <w:color w:val="auto"/>
          <w:sz w:val="24"/>
          <w:lang w:val="en-US" w:eastAsia="zh-CN"/>
        </w:rPr>
        <w:t>4.2技术参数及要求</w:t>
      </w:r>
    </w:p>
    <w:tbl>
      <w:tblPr>
        <w:tblStyle w:val="6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3075"/>
        <w:gridCol w:w="4627"/>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序号</w:t>
            </w:r>
          </w:p>
        </w:tc>
        <w:tc>
          <w:tcPr>
            <w:tcW w:w="3075"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车辆项目</w:t>
            </w:r>
          </w:p>
        </w:tc>
        <w:tc>
          <w:tcPr>
            <w:tcW w:w="5482" w:type="dxa"/>
            <w:gridSpan w:val="2"/>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一</w:t>
            </w:r>
          </w:p>
        </w:tc>
        <w:tc>
          <w:tcPr>
            <w:tcW w:w="3075" w:type="dxa"/>
            <w:noWrap w:val="0"/>
            <w:vAlign w:val="center"/>
          </w:tcPr>
          <w:p>
            <w:pPr>
              <w:keepNext w:val="0"/>
              <w:keepLines w:val="0"/>
              <w:pageBreakBefore w:val="0"/>
              <w:kinsoku/>
              <w:wordWrap/>
              <w:overflowPunct/>
              <w:topLinePunct w:val="0"/>
              <w:bidi w:val="0"/>
              <w:spacing w:line="300" w:lineRule="exact"/>
              <w:jc w:val="left"/>
              <w:rPr>
                <w:rFonts w:hint="eastAsia" w:ascii="仿宋" w:hAnsi="仿宋" w:eastAsia="仿宋" w:cs="仿宋"/>
                <w:b w:val="0"/>
                <w:bCs w:val="0"/>
                <w:iCs/>
                <w:color w:val="auto"/>
                <w:sz w:val="24"/>
                <w:szCs w:val="24"/>
                <w:highlight w:val="none"/>
                <w:u w:val="none"/>
                <w:lang w:eastAsia="zh-CN"/>
              </w:rPr>
            </w:pPr>
            <w:r>
              <w:rPr>
                <w:rFonts w:hint="eastAsia" w:ascii="仿宋" w:hAnsi="仿宋" w:eastAsia="仿宋" w:cs="仿宋"/>
                <w:b w:val="0"/>
                <w:bCs w:val="0"/>
                <w:iCs/>
                <w:color w:val="auto"/>
                <w:sz w:val="24"/>
                <w:szCs w:val="24"/>
                <w:highlight w:val="none"/>
                <w:u w:val="none"/>
                <w:lang w:eastAsia="zh-CN"/>
              </w:rPr>
              <w:t>环境检测车</w:t>
            </w:r>
          </w:p>
        </w:tc>
        <w:tc>
          <w:tcPr>
            <w:tcW w:w="5482" w:type="dxa"/>
            <w:gridSpan w:val="2"/>
            <w:noWrap w:val="0"/>
            <w:vAlign w:val="center"/>
          </w:tcPr>
          <w:p>
            <w:pPr>
              <w:keepNext w:val="0"/>
              <w:keepLines w:val="0"/>
              <w:pageBreakBefore w:val="0"/>
              <w:kinsoku/>
              <w:wordWrap/>
              <w:overflowPunct/>
              <w:topLinePunct w:val="0"/>
              <w:bidi w:val="0"/>
              <w:spacing w:line="300" w:lineRule="exact"/>
              <w:jc w:val="left"/>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功能：通过对反映环境质量的指标进行监视和测定，以确定环境污染状况和环境质量的高低。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二</w:t>
            </w:r>
          </w:p>
        </w:tc>
        <w:tc>
          <w:tcPr>
            <w:tcW w:w="3075"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车辆技术要求</w:t>
            </w:r>
          </w:p>
        </w:tc>
        <w:tc>
          <w:tcPr>
            <w:tcW w:w="5482" w:type="dxa"/>
            <w:gridSpan w:val="2"/>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w:t>
            </w:r>
          </w:p>
        </w:tc>
        <w:tc>
          <w:tcPr>
            <w:tcW w:w="3075"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排放标准</w:t>
            </w:r>
          </w:p>
        </w:tc>
        <w:tc>
          <w:tcPr>
            <w:tcW w:w="5482" w:type="dxa"/>
            <w:gridSpan w:val="2"/>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国六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2</w:t>
            </w:r>
          </w:p>
        </w:tc>
        <w:tc>
          <w:tcPr>
            <w:tcW w:w="3075"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驱动形式</w:t>
            </w:r>
          </w:p>
        </w:tc>
        <w:tc>
          <w:tcPr>
            <w:tcW w:w="5482" w:type="dxa"/>
            <w:gridSpan w:val="2"/>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前置</w:t>
            </w:r>
            <w:r>
              <w:rPr>
                <w:rFonts w:hint="eastAsia" w:ascii="仿宋" w:hAnsi="仿宋" w:eastAsia="仿宋" w:cs="仿宋"/>
                <w:b w:val="0"/>
                <w:bCs w:val="0"/>
                <w:iCs/>
                <w:color w:val="auto"/>
                <w:sz w:val="24"/>
                <w:szCs w:val="24"/>
                <w:highlight w:val="none"/>
                <w:u w:val="none"/>
                <w:lang w:val="en-US" w:eastAsia="zh-CN"/>
              </w:rPr>
              <w:t>前</w:t>
            </w:r>
            <w:r>
              <w:rPr>
                <w:rFonts w:hint="eastAsia" w:ascii="仿宋" w:hAnsi="仿宋" w:eastAsia="仿宋" w:cs="仿宋"/>
                <w:b w:val="0"/>
                <w:bCs w:val="0"/>
                <w:iCs/>
                <w:color w:val="auto"/>
                <w:sz w:val="24"/>
                <w:szCs w:val="24"/>
                <w:highlight w:val="none"/>
                <w:u w:val="none"/>
              </w:rPr>
              <w:t>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3</w:t>
            </w:r>
          </w:p>
        </w:tc>
        <w:tc>
          <w:tcPr>
            <w:tcW w:w="3075"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变速箱</w:t>
            </w:r>
          </w:p>
        </w:tc>
        <w:tc>
          <w:tcPr>
            <w:tcW w:w="5482" w:type="dxa"/>
            <w:gridSpan w:val="2"/>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手动挡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b w:val="0"/>
                <w:bCs w:val="0"/>
                <w:iCs/>
                <w:color w:val="auto"/>
                <w:sz w:val="24"/>
                <w:szCs w:val="24"/>
                <w:highlight w:val="none"/>
                <w:u w:val="none"/>
              </w:rPr>
              <w:t>4</w:t>
            </w:r>
          </w:p>
        </w:tc>
        <w:tc>
          <w:tcPr>
            <w:tcW w:w="3075"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车辆总长(mm)</w:t>
            </w:r>
          </w:p>
        </w:tc>
        <w:tc>
          <w:tcPr>
            <w:tcW w:w="5482" w:type="dxa"/>
            <w:gridSpan w:val="2"/>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5510</w:t>
            </w:r>
            <w:r>
              <w:rPr>
                <w:rFonts w:hint="eastAsia" w:ascii="仿宋" w:hAnsi="仿宋" w:eastAsia="仿宋" w:cs="仿宋"/>
                <w:b w:val="0"/>
                <w:bCs w:val="0"/>
                <w:iCs/>
                <w:color w:val="auto"/>
                <w:sz w:val="24"/>
                <w:szCs w:val="24"/>
                <w:highlight w:val="none"/>
                <w:u w:val="none"/>
              </w:rPr>
              <w:t>≤</w:t>
            </w:r>
            <w:r>
              <w:rPr>
                <w:rFonts w:hint="eastAsia" w:ascii="仿宋" w:hAnsi="仿宋" w:eastAsia="仿宋" w:cs="仿宋"/>
                <w:b w:val="0"/>
                <w:bCs w:val="0"/>
                <w:iCs/>
                <w:color w:val="auto"/>
                <w:sz w:val="24"/>
                <w:szCs w:val="24"/>
                <w:highlight w:val="none"/>
                <w:u w:val="none"/>
                <w:lang w:val="en-US" w:eastAsia="zh-CN"/>
              </w:rPr>
              <w:t>长</w:t>
            </w:r>
            <w:r>
              <w:rPr>
                <w:rFonts w:hint="eastAsia" w:ascii="仿宋" w:hAnsi="仿宋" w:eastAsia="仿宋" w:cs="仿宋"/>
                <w:b w:val="0"/>
                <w:bCs w:val="0"/>
                <w:iCs/>
                <w:color w:val="auto"/>
                <w:sz w:val="24"/>
                <w:szCs w:val="24"/>
                <w:highlight w:val="none"/>
                <w:u w:val="none"/>
              </w:rPr>
              <w:t>≤</w:t>
            </w:r>
            <w:r>
              <w:rPr>
                <w:rFonts w:hint="eastAsia" w:ascii="仿宋" w:hAnsi="仿宋" w:eastAsia="仿宋" w:cs="仿宋"/>
                <w:b w:val="0"/>
                <w:bCs w:val="0"/>
                <w:iCs/>
                <w:color w:val="auto"/>
                <w:sz w:val="24"/>
                <w:szCs w:val="24"/>
                <w:highlight w:val="none"/>
                <w:u w:val="none"/>
                <w:lang w:val="en-US" w:eastAsia="zh-CN"/>
              </w:rPr>
              <w:t>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b w:val="0"/>
                <w:bCs w:val="0"/>
                <w:iCs/>
                <w:color w:val="auto"/>
                <w:sz w:val="24"/>
                <w:szCs w:val="24"/>
                <w:highlight w:val="none"/>
                <w:u w:val="none"/>
              </w:rPr>
              <w:t>5</w:t>
            </w:r>
          </w:p>
        </w:tc>
        <w:tc>
          <w:tcPr>
            <w:tcW w:w="3075"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iCs/>
                <w:color w:val="auto"/>
                <w:sz w:val="24"/>
                <w:szCs w:val="24"/>
                <w:highlight w:val="none"/>
                <w:u w:val="none"/>
              </w:rPr>
              <w:t>车辆总宽(mm)</w:t>
            </w:r>
          </w:p>
        </w:tc>
        <w:tc>
          <w:tcPr>
            <w:tcW w:w="5482" w:type="dxa"/>
            <w:gridSpan w:val="2"/>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2030</w:t>
            </w:r>
            <w:r>
              <w:rPr>
                <w:rFonts w:hint="eastAsia" w:ascii="仿宋" w:hAnsi="仿宋" w:eastAsia="仿宋" w:cs="仿宋"/>
                <w:b w:val="0"/>
                <w:bCs w:val="0"/>
                <w:iCs/>
                <w:color w:val="auto"/>
                <w:sz w:val="24"/>
                <w:szCs w:val="24"/>
                <w:highlight w:val="none"/>
                <w:u w:val="none"/>
              </w:rPr>
              <w:t>≤宽≤</w:t>
            </w:r>
            <w:r>
              <w:rPr>
                <w:rFonts w:hint="eastAsia" w:ascii="仿宋" w:hAnsi="仿宋" w:eastAsia="仿宋" w:cs="仿宋"/>
                <w:b w:val="0"/>
                <w:bCs w:val="0"/>
                <w:iCs/>
                <w:color w:val="auto"/>
                <w:sz w:val="24"/>
                <w:szCs w:val="24"/>
                <w:highlight w:val="none"/>
                <w:u w:val="none"/>
                <w:lang w:val="en-US" w:eastAsia="zh-CN"/>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color w:val="auto"/>
                <w:kern w:val="0"/>
                <w:sz w:val="24"/>
                <w:szCs w:val="24"/>
                <w:highlight w:val="none"/>
              </w:rPr>
              <w:t>*</w:t>
            </w:r>
            <w:r>
              <w:rPr>
                <w:rFonts w:hint="eastAsia" w:ascii="仿宋" w:hAnsi="仿宋" w:eastAsia="仿宋" w:cs="仿宋"/>
                <w:b w:val="0"/>
                <w:bCs w:val="0"/>
                <w:iCs/>
                <w:color w:val="auto"/>
                <w:sz w:val="24"/>
                <w:szCs w:val="24"/>
                <w:highlight w:val="none"/>
                <w:u w:val="none"/>
              </w:rPr>
              <w:t>6</w:t>
            </w:r>
          </w:p>
        </w:tc>
        <w:tc>
          <w:tcPr>
            <w:tcW w:w="3075"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u w:val="none"/>
              </w:rPr>
            </w:pPr>
            <w:r>
              <w:rPr>
                <w:rFonts w:hint="eastAsia" w:ascii="仿宋" w:hAnsi="仿宋" w:eastAsia="仿宋" w:cs="仿宋"/>
                <w:b w:val="0"/>
                <w:bCs w:val="0"/>
                <w:iCs/>
                <w:color w:val="auto"/>
                <w:sz w:val="24"/>
                <w:szCs w:val="24"/>
                <w:highlight w:val="none"/>
                <w:u w:val="none"/>
              </w:rPr>
              <w:t>车辆总高(mm)</w:t>
            </w:r>
          </w:p>
        </w:tc>
        <w:tc>
          <w:tcPr>
            <w:tcW w:w="5482" w:type="dxa"/>
            <w:gridSpan w:val="2"/>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2450</w:t>
            </w:r>
            <w:r>
              <w:rPr>
                <w:rFonts w:hint="eastAsia" w:ascii="仿宋" w:hAnsi="仿宋" w:eastAsia="仿宋" w:cs="仿宋"/>
                <w:b w:val="0"/>
                <w:bCs w:val="0"/>
                <w:iCs/>
                <w:color w:val="auto"/>
                <w:sz w:val="24"/>
                <w:szCs w:val="24"/>
                <w:highlight w:val="none"/>
                <w:u w:val="none"/>
              </w:rPr>
              <w:t>≤高≤</w:t>
            </w:r>
            <w:r>
              <w:rPr>
                <w:rFonts w:hint="eastAsia" w:ascii="仿宋" w:hAnsi="仿宋" w:eastAsia="仿宋" w:cs="仿宋"/>
                <w:b w:val="0"/>
                <w:bCs w:val="0"/>
                <w:iCs/>
                <w:color w:val="auto"/>
                <w:sz w:val="24"/>
                <w:szCs w:val="24"/>
                <w:highlight w:val="none"/>
                <w:u w:val="none"/>
                <w:lang w:val="en-US" w:eastAsia="zh-CN"/>
              </w:rPr>
              <w:t>2470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7</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lang w:eastAsia="zh-CN"/>
              </w:rPr>
              <w:t>医疗</w:t>
            </w:r>
            <w:r>
              <w:rPr>
                <w:rFonts w:hint="eastAsia" w:ascii="仿宋" w:hAnsi="仿宋" w:eastAsia="仿宋" w:cs="仿宋"/>
                <w:b w:val="0"/>
                <w:bCs w:val="0"/>
                <w:iCs/>
                <w:color w:val="auto"/>
                <w:sz w:val="24"/>
                <w:szCs w:val="24"/>
                <w:highlight w:val="none"/>
                <w:u w:val="none"/>
              </w:rPr>
              <w:t>舱尺寸(mm)：</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rPr>
              <w:t>≥</w:t>
            </w:r>
            <w:r>
              <w:rPr>
                <w:rFonts w:hint="eastAsia" w:ascii="仿宋" w:hAnsi="仿宋" w:eastAsia="仿宋" w:cs="仿宋"/>
                <w:b w:val="0"/>
                <w:bCs w:val="0"/>
                <w:iCs/>
                <w:color w:val="auto"/>
                <w:sz w:val="24"/>
                <w:szCs w:val="24"/>
                <w:highlight w:val="none"/>
                <w:u w:val="none"/>
                <w:lang w:val="en-US" w:eastAsia="zh-CN"/>
              </w:rPr>
              <w:t>2600*1730*1720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8</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总质量(Kg)：</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rPr>
              <w:t>≥</w:t>
            </w:r>
            <w:r>
              <w:rPr>
                <w:rFonts w:hint="eastAsia" w:ascii="仿宋" w:hAnsi="仿宋" w:eastAsia="仿宋" w:cs="仿宋"/>
                <w:b w:val="0"/>
                <w:bCs w:val="0"/>
                <w:iCs/>
                <w:color w:val="auto"/>
                <w:sz w:val="24"/>
                <w:szCs w:val="24"/>
                <w:highlight w:val="none"/>
                <w:u w:val="no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9</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整备质量（Kg）：</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10</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轴距(mm)：</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w:t>
            </w:r>
            <w:r>
              <w:rPr>
                <w:rFonts w:hint="eastAsia" w:ascii="仿宋" w:hAnsi="仿宋" w:eastAsia="仿宋" w:cs="仿宋"/>
                <w:b w:val="0"/>
                <w:bCs w:val="0"/>
                <w:iCs/>
                <w:color w:val="auto"/>
                <w:sz w:val="24"/>
                <w:szCs w:val="24"/>
                <w:highlight w:val="none"/>
                <w:u w:val="none"/>
                <w:lang w:val="en-US" w:eastAsia="zh-CN"/>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11</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接近角/离去角：</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12</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油箱容积(L)：</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13</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排量(mL)：</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14</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额定功率kw:</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rPr>
              <w:t>≥</w:t>
            </w:r>
            <w:r>
              <w:rPr>
                <w:rFonts w:hint="eastAsia" w:ascii="仿宋" w:hAnsi="仿宋" w:eastAsia="仿宋" w:cs="仿宋"/>
                <w:b w:val="0"/>
                <w:bCs w:val="0"/>
                <w:iCs/>
                <w:color w:val="auto"/>
                <w:sz w:val="24"/>
                <w:szCs w:val="24"/>
                <w:highlight w:val="none"/>
                <w:u w:val="none"/>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tcBorders>
              <w:bottom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15</w:t>
            </w:r>
          </w:p>
        </w:tc>
        <w:tc>
          <w:tcPr>
            <w:tcW w:w="3075" w:type="dxa"/>
            <w:tcBorders>
              <w:bottom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最大扭矩Nm/rpm:</w:t>
            </w:r>
          </w:p>
        </w:tc>
        <w:tc>
          <w:tcPr>
            <w:tcW w:w="5482" w:type="dxa"/>
            <w:gridSpan w:val="2"/>
            <w:tcBorders>
              <w:bottom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rPr>
              <w:t>≥</w:t>
            </w:r>
            <w:r>
              <w:rPr>
                <w:rFonts w:hint="eastAsia" w:ascii="仿宋" w:hAnsi="仿宋" w:eastAsia="仿宋" w:cs="仿宋"/>
                <w:b w:val="0"/>
                <w:bCs w:val="0"/>
                <w:iCs/>
                <w:color w:val="auto"/>
                <w:sz w:val="24"/>
                <w:szCs w:val="24"/>
                <w:highlight w:val="none"/>
                <w:u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16</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悬架系统(前/后)：</w:t>
            </w:r>
          </w:p>
        </w:tc>
        <w:tc>
          <w:tcPr>
            <w:tcW w:w="5482" w:type="dxa"/>
            <w:gridSpan w:val="2"/>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前：麦弗逊式独立悬架/后：霍奇基斯悬架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tcBorders>
              <w:bottom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17</w:t>
            </w:r>
          </w:p>
        </w:tc>
        <w:tc>
          <w:tcPr>
            <w:tcW w:w="3075" w:type="dxa"/>
            <w:tcBorders>
              <w:bottom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eastAsia="zh-CN"/>
              </w:rPr>
            </w:pPr>
            <w:r>
              <w:rPr>
                <w:rFonts w:hint="eastAsia" w:ascii="仿宋" w:hAnsi="仿宋" w:eastAsia="仿宋" w:cs="仿宋"/>
                <w:b w:val="0"/>
                <w:bCs w:val="0"/>
                <w:iCs/>
                <w:color w:val="auto"/>
                <w:sz w:val="24"/>
                <w:szCs w:val="24"/>
                <w:highlight w:val="none"/>
                <w:u w:val="none"/>
              </w:rPr>
              <w:t>制动</w:t>
            </w:r>
            <w:r>
              <w:rPr>
                <w:rFonts w:hint="eastAsia" w:ascii="仿宋" w:hAnsi="仿宋" w:eastAsia="仿宋" w:cs="仿宋"/>
                <w:b w:val="0"/>
                <w:bCs w:val="0"/>
                <w:iCs/>
                <w:color w:val="auto"/>
                <w:sz w:val="24"/>
                <w:szCs w:val="24"/>
                <w:highlight w:val="none"/>
                <w:u w:val="none"/>
                <w:lang w:val="en-US" w:eastAsia="zh-CN"/>
              </w:rPr>
              <w:t>辅助</w:t>
            </w:r>
          </w:p>
        </w:tc>
        <w:tc>
          <w:tcPr>
            <w:tcW w:w="5482" w:type="dxa"/>
            <w:gridSpan w:val="2"/>
            <w:tcBorders>
              <w:bottom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前盘后盘，ABS，EBD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18</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轮胎规格：</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≧215/65R16C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19</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后尾门</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后尾门为180°对开尾门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20</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最大乘员数（含驾驶员）</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7-8人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21</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最高时速（km/h）</w:t>
            </w:r>
          </w:p>
        </w:tc>
        <w:tc>
          <w:tcPr>
            <w:tcW w:w="54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三</w:t>
            </w:r>
          </w:p>
        </w:tc>
        <w:tc>
          <w:tcPr>
            <w:tcW w:w="3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改装技术要求及检测设备</w:t>
            </w:r>
          </w:p>
        </w:tc>
        <w:tc>
          <w:tcPr>
            <w:tcW w:w="4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主要参数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sz w:val="24"/>
                <w:szCs w:val="24"/>
                <w:highlight w:val="none"/>
                <w:u w:val="none"/>
              </w:rPr>
            </w:pPr>
            <w:r>
              <w:rPr>
                <w:rFonts w:hint="eastAsia" w:ascii="仿宋" w:hAnsi="仿宋" w:eastAsia="仿宋" w:cs="仿宋"/>
                <w:b w:val="0"/>
                <w:bCs w:val="0"/>
                <w:iCs/>
                <w:color w:val="auto"/>
                <w:sz w:val="24"/>
                <w:szCs w:val="24"/>
                <w:highlight w:val="none"/>
                <w:u w:val="none"/>
              </w:rPr>
              <w:t>1</w:t>
            </w:r>
          </w:p>
        </w:tc>
        <w:tc>
          <w:tcPr>
            <w:tcW w:w="3075"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车辆 GPS 导航显示一体机</w:t>
            </w:r>
          </w:p>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sz w:val="24"/>
                <w:szCs w:val="24"/>
                <w:highlight w:val="none"/>
                <w:u w:val="none"/>
                <w:lang w:val="en-US" w:eastAsia="zh-CN"/>
              </w:rPr>
            </w:pP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车辆 GPS 导航显示一体机</w:t>
            </w:r>
          </w:p>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sz w:val="24"/>
                <w:szCs w:val="24"/>
                <w:highlight w:val="none"/>
                <w:u w:val="none"/>
                <w:lang w:val="en-US" w:eastAsia="zh-CN"/>
              </w:rPr>
            </w:pPr>
          </w:p>
        </w:tc>
        <w:tc>
          <w:tcPr>
            <w:tcW w:w="855"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2</w:t>
            </w:r>
          </w:p>
        </w:tc>
        <w:tc>
          <w:tcPr>
            <w:tcW w:w="3075"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多功能电源系统</w:t>
            </w: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整车电源控制系统</w:t>
            </w:r>
          </w:p>
        </w:tc>
        <w:tc>
          <w:tcPr>
            <w:tcW w:w="855"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lang w:val="en-US" w:eastAsia="zh-CN"/>
              </w:rPr>
              <w:t>3</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便携式电离室巡测仪</w:t>
            </w:r>
          </w:p>
        </w:tc>
        <w:tc>
          <w:tcPr>
            <w:tcW w:w="4627" w:type="dxa"/>
            <w:noWrap w:val="0"/>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3.1探测器：金属GM管</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 xml:space="preserve">3.2探测辐射：Xγ射线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3.3显示：液晶显示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 xml:space="preserve">3.4测量范围：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剂量率量程：0.01μSv/h～0.01Sv/h</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 xml:space="preserve">剂量量程：0.01μSv～9999μSv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峰值剂量率：0.1 μSv/h～9999μSv/h</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3.5准确度：≤±20%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3.6能量响应：40kev～3MeV  ±10%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3.7供电:工作电压: DC12V～7.4V</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工作电流: ≤3mA</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 xml:space="preserve">3.8环境响应:温度:-20℃～+50℃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ind w:firstLine="1320" w:firstLineChars="550"/>
              <w:jc w:val="both"/>
              <w:textAlignment w:val="baseline"/>
              <w:rPr>
                <w:rStyle w:val="730"/>
                <w:rFonts w:hint="eastAsia" w:ascii="仿宋" w:hAnsi="仿宋" w:eastAsia="仿宋" w:cs="仿宋"/>
                <w:b w:val="0"/>
                <w:bCs w:val="0"/>
                <w:i w:val="0"/>
                <w:caps w:val="0"/>
                <w:color w:val="auto"/>
                <w:spacing w:val="0"/>
                <w:w w:val="100"/>
                <w:kern w:val="2"/>
                <w:sz w:val="24"/>
                <w:szCs w:val="24"/>
                <w:lang w:val="en-US" w:eastAsia="zh-CN" w:bidi="ar-SA"/>
              </w:rPr>
            </w:pPr>
            <w:r>
              <w:rPr>
                <w:rStyle w:val="730"/>
                <w:rFonts w:hint="eastAsia" w:ascii="仿宋" w:hAnsi="仿宋" w:eastAsia="仿宋" w:cs="仿宋"/>
                <w:b w:val="0"/>
                <w:bCs w:val="0"/>
                <w:i w:val="0"/>
                <w:caps w:val="0"/>
                <w:color w:val="auto"/>
                <w:spacing w:val="0"/>
                <w:w w:val="100"/>
                <w:kern w:val="2"/>
                <w:sz w:val="24"/>
                <w:szCs w:val="24"/>
                <w:lang w:val="en-US" w:eastAsia="zh-CN" w:bidi="ar-SA"/>
              </w:rPr>
              <w:t>相对湿度:≤ 95%（40℃）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exact"/>
              <w:jc w:val="both"/>
              <w:textAlignment w:val="baseline"/>
              <w:rPr>
                <w:rFonts w:hint="eastAsia" w:ascii="仿宋" w:hAnsi="仿宋" w:eastAsia="仿宋" w:cs="仿宋"/>
                <w:b w:val="0"/>
                <w:bCs w:val="0"/>
                <w:iCs/>
                <w:color w:val="auto"/>
                <w:sz w:val="24"/>
                <w:szCs w:val="24"/>
                <w:highlight w:val="none"/>
                <w:u w:val="none"/>
                <w:lang w:val="en-US" w:eastAsia="zh-CN"/>
              </w:rPr>
            </w:pPr>
            <w:r>
              <w:rPr>
                <w:rStyle w:val="730"/>
                <w:rFonts w:hint="eastAsia" w:ascii="仿宋" w:hAnsi="仿宋" w:eastAsia="仿宋" w:cs="仿宋"/>
                <w:b w:val="0"/>
                <w:bCs w:val="0"/>
                <w:i w:val="0"/>
                <w:caps w:val="0"/>
                <w:color w:val="auto"/>
                <w:spacing w:val="0"/>
                <w:w w:val="100"/>
                <w:kern w:val="2"/>
                <w:sz w:val="24"/>
                <w:szCs w:val="24"/>
                <w:lang w:val="en-US" w:eastAsia="zh-CN" w:bidi="ar-SA"/>
              </w:rPr>
              <w:t xml:space="preserve">3.9预热时间：≤2min   </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6"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kern w:val="2"/>
                <w:sz w:val="24"/>
                <w:szCs w:val="24"/>
                <w:highlight w:val="none"/>
                <w:u w:val="none"/>
                <w:lang w:val="en-US" w:eastAsia="zh-CN" w:bidi="ar-SA"/>
              </w:rPr>
              <w:t>4</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便携式表面污染仪</w:t>
            </w:r>
          </w:p>
        </w:tc>
        <w:tc>
          <w:tcPr>
            <w:tcW w:w="4627"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1.辐射类型：α 、β 、Χ 、γ 射线 ；</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2.测量单位:μ Gy/ h,μ Sv/h、cps，cpm,Bq/cm2；</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 xml:space="preserve">3.能量范围：50KeV-3MeV； </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 xml:space="preserve">4.灵敏面积：≥16cm2；  </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5.测量范围：</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α 、β ：0.00 cps-  10</w:t>
            </w:r>
            <w:r>
              <w:rPr>
                <w:rFonts w:hint="eastAsia" w:ascii="仿宋" w:hAnsi="仿宋" w:eastAsia="仿宋" w:cs="仿宋"/>
                <w:b w:val="0"/>
                <w:bCs w:val="0"/>
                <w:color w:val="auto"/>
                <w:sz w:val="24"/>
                <w:szCs w:val="24"/>
                <w:vertAlign w:val="superscript"/>
              </w:rPr>
              <w:t>5</w:t>
            </w:r>
            <w:r>
              <w:rPr>
                <w:rFonts w:hint="eastAsia" w:ascii="仿宋" w:hAnsi="仿宋" w:eastAsia="仿宋" w:cs="仿宋"/>
                <w:b w:val="0"/>
                <w:bCs w:val="0"/>
                <w:color w:val="auto"/>
                <w:sz w:val="24"/>
                <w:szCs w:val="24"/>
              </w:rPr>
              <w:t>cps；</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α 、β ：0.00Bq/ cm2  -  10</w:t>
            </w:r>
            <w:r>
              <w:rPr>
                <w:rFonts w:hint="eastAsia" w:ascii="仿宋" w:hAnsi="仿宋" w:eastAsia="仿宋" w:cs="仿宋"/>
                <w:b w:val="0"/>
                <w:bCs w:val="0"/>
                <w:color w:val="auto"/>
                <w:sz w:val="24"/>
                <w:szCs w:val="24"/>
                <w:vertAlign w:val="superscript"/>
              </w:rPr>
              <w:t>6</w:t>
            </w:r>
            <w:r>
              <w:rPr>
                <w:rFonts w:hint="eastAsia" w:ascii="仿宋" w:hAnsi="仿宋" w:eastAsia="仿宋" w:cs="仿宋"/>
                <w:b w:val="0"/>
                <w:bCs w:val="0"/>
                <w:color w:val="auto"/>
                <w:sz w:val="24"/>
                <w:szCs w:val="24"/>
              </w:rPr>
              <w:t xml:space="preserve">Bq/  cm2； </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χ 、γ ：0.1μ  Gy/ h-  500μ Gy/ h；</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6.探测器：扁平云母窗盖革探测器；</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7.探测效率：</w:t>
            </w:r>
            <w:r>
              <w:rPr>
                <w:rFonts w:hint="eastAsia" w:ascii="仿宋" w:hAnsi="仿宋" w:eastAsia="仿宋" w:cs="仿宋"/>
                <w:b w:val="0"/>
                <w:bCs w:val="0"/>
                <w:color w:val="auto"/>
                <w:sz w:val="24"/>
                <w:szCs w:val="24"/>
                <w:vertAlign w:val="superscript"/>
              </w:rPr>
              <w:t xml:space="preserve">90 </w:t>
            </w:r>
            <w:r>
              <w:rPr>
                <w:rFonts w:hint="eastAsia" w:ascii="仿宋" w:hAnsi="仿宋" w:eastAsia="仿宋" w:cs="仿宋"/>
                <w:b w:val="0"/>
                <w:bCs w:val="0"/>
                <w:color w:val="auto"/>
                <w:sz w:val="24"/>
                <w:szCs w:val="24"/>
              </w:rPr>
              <w:t xml:space="preserve"> Sr-  </w:t>
            </w:r>
            <w:r>
              <w:rPr>
                <w:rFonts w:hint="eastAsia" w:ascii="仿宋" w:hAnsi="仿宋" w:eastAsia="仿宋" w:cs="仿宋"/>
                <w:b w:val="0"/>
                <w:bCs w:val="0"/>
                <w:color w:val="auto"/>
                <w:sz w:val="24"/>
                <w:szCs w:val="24"/>
                <w:vertAlign w:val="superscript"/>
              </w:rPr>
              <w:t>90</w:t>
            </w:r>
            <w:r>
              <w:rPr>
                <w:rFonts w:hint="eastAsia" w:ascii="仿宋" w:hAnsi="仿宋" w:eastAsia="仿宋" w:cs="仿宋"/>
                <w:b w:val="0"/>
                <w:bCs w:val="0"/>
                <w:color w:val="auto"/>
                <w:sz w:val="24"/>
                <w:szCs w:val="24"/>
              </w:rPr>
              <w:t xml:space="preserve">  Y，≥40 ，</w:t>
            </w:r>
            <w:r>
              <w:rPr>
                <w:rFonts w:hint="eastAsia" w:ascii="仿宋" w:hAnsi="仿宋" w:eastAsia="仿宋" w:cs="仿宋"/>
                <w:b w:val="0"/>
                <w:bCs w:val="0"/>
                <w:color w:val="auto"/>
                <w:sz w:val="24"/>
                <w:szCs w:val="24"/>
                <w:vertAlign w:val="superscript"/>
              </w:rPr>
              <w:t>239</w:t>
            </w:r>
            <w:r>
              <w:rPr>
                <w:rFonts w:hint="eastAsia" w:ascii="仿宋" w:hAnsi="仿宋" w:eastAsia="仿宋" w:cs="仿宋"/>
                <w:b w:val="0"/>
                <w:bCs w:val="0"/>
                <w:color w:val="auto"/>
                <w:sz w:val="24"/>
                <w:szCs w:val="24"/>
              </w:rPr>
              <w:t>Pu，≥20（带保护格栅）；</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8.固有误差：小于± 15  %（ 相对137 Cs） ；</w:t>
            </w:r>
          </w:p>
          <w:p>
            <w:pPr>
              <w:keepNext w:val="0"/>
              <w:keepLines w:val="0"/>
              <w:pageBreakBefore w:val="0"/>
              <w:widowControl/>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4.</w:t>
            </w:r>
            <w:r>
              <w:rPr>
                <w:rFonts w:hint="eastAsia" w:ascii="仿宋" w:hAnsi="仿宋" w:eastAsia="仿宋" w:cs="仿宋"/>
                <w:b w:val="0"/>
                <w:bCs w:val="0"/>
                <w:color w:val="auto"/>
                <w:kern w:val="0"/>
                <w:sz w:val="24"/>
                <w:szCs w:val="24"/>
              </w:rPr>
              <w:t>9.典型特点：带有串口数据校正K值因子功能，测量平均时间1-99S可设置功能，反应快，灵敏度高；</w:t>
            </w:r>
          </w:p>
          <w:p>
            <w:pPr>
              <w:keepNext w:val="0"/>
              <w:keepLines w:val="0"/>
              <w:pageBreakBefore w:val="0"/>
              <w:widowControl/>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4.</w:t>
            </w:r>
            <w:r>
              <w:rPr>
                <w:rFonts w:hint="eastAsia" w:ascii="仿宋" w:hAnsi="仿宋" w:eastAsia="仿宋" w:cs="仿宋"/>
                <w:b w:val="0"/>
                <w:bCs w:val="0"/>
                <w:color w:val="auto"/>
                <w:kern w:val="0"/>
                <w:sz w:val="24"/>
                <w:szCs w:val="24"/>
              </w:rPr>
              <w:t>10.显示：LED液晶显示；</w:t>
            </w:r>
          </w:p>
          <w:p>
            <w:pPr>
              <w:keepNext w:val="0"/>
              <w:keepLines w:val="0"/>
              <w:pageBreakBefore w:val="0"/>
              <w:widowControl/>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4.</w:t>
            </w:r>
            <w:r>
              <w:rPr>
                <w:rFonts w:hint="eastAsia" w:ascii="仿宋" w:hAnsi="仿宋" w:eastAsia="仿宋" w:cs="仿宋"/>
                <w:b w:val="0"/>
                <w:bCs w:val="0"/>
                <w:color w:val="auto"/>
                <w:kern w:val="0"/>
                <w:sz w:val="24"/>
                <w:szCs w:val="24"/>
              </w:rPr>
              <w:t>11.存储:可以存储2000个数据，可手动自动处理数据；</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12.温湿特性：- 10℃- + 50℃，RH 95 ( 35℃)；</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13.供电方式：≥7.4V，可充电锂电池 ；</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14.功耗：≤100mW ；</w:t>
            </w:r>
          </w:p>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15.连续工作时间&gt;100h ；</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kern w:val="2"/>
                <w:sz w:val="24"/>
                <w:szCs w:val="24"/>
                <w:highlight w:val="none"/>
                <w:u w:val="none"/>
                <w:lang w:val="en-US" w:eastAsia="zh-CN" w:bidi="ar-SA"/>
              </w:rPr>
              <w:t>5</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便携式中子计量仪</w:t>
            </w:r>
          </w:p>
        </w:tc>
        <w:tc>
          <w:tcPr>
            <w:tcW w:w="4627"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1、测量类型：中子射线</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2、探测器：</w:t>
            </w:r>
            <w:r>
              <w:rPr>
                <w:rFonts w:hint="eastAsia" w:ascii="仿宋" w:hAnsi="仿宋" w:eastAsia="仿宋" w:cs="仿宋"/>
                <w:b w:val="0"/>
                <w:bCs w:val="0"/>
                <w:color w:val="auto"/>
                <w:sz w:val="24"/>
                <w:szCs w:val="24"/>
              </w:rPr>
              <w:t>进口3He正比计数管</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3、中子测量范围：</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剂量率：0.1μSv/h ~100mSv/h</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pict>
                <v:shape id="_x0000_s1030" o:spid="_x0000_s1030" o:spt="202" type="#_x0000_t202" style="position:absolute;left:0pt;margin-left:243pt;margin-top:0pt;height:31.2pt;width:207pt;z-index:251663360;mso-width-relative:page;mso-height-relative:page;" filled="f" stroked="f" coordsize="21600,21600" o:gfxdata="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51brtUAAAAH&#10;AQAADwAAAAAAAAABACAAAAAiAAAAZHJzL2Rvd25yZXYueG1sUEsBAhQAFAAAAAgAh07iQG1Yuk6t&#10;AQAATgMAAA4AAAAAAAAAAQAgAAAAJAEAAGRycy9lMm9Eb2MueG1sUEsFBgAAAAAGAAYAWQEAAEMF&#10;AAAAAA==&#10;">
                  <v:path/>
                  <v:fill on="f" focussize="0,0"/>
                  <v:stroke on="f"/>
                  <v:imagedata o:title=""/>
                  <o:lock v:ext="edit" aspectratio="f"/>
                  <v:textbox>
                    <w:txbxContent>
                      <w:p/>
                    </w:txbxContent>
                  </v:textbox>
                </v:shape>
              </w:pict>
            </w:r>
            <w:r>
              <w:rPr>
                <w:rFonts w:hint="eastAsia" w:ascii="仿宋" w:hAnsi="仿宋" w:eastAsia="仿宋" w:cs="仿宋"/>
                <w:b w:val="0"/>
                <w:bCs w:val="0"/>
                <w:color w:val="auto"/>
                <w:sz w:val="24"/>
                <w:szCs w:val="24"/>
              </w:rPr>
              <w:t>累积剂量：0.01μSv ～10Sv</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4、能量范围：中子0.025eV～16MeV</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5、慢化材料：聚乙烯球</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6、角响应：&lt;±20%</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7、测量时间：1～120秒可编程设置</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8、中子灵敏度：大约 1.4 CPS/μSv/h</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9、伽玛灵敏度：对伽玛射线不灵敏（相对Co-60 的100mSv/h的伽玛射线内）</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、报 警 阈： 0.25、2.5、10、20（μSv/h）或自行设置</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、显示单位: 剂 量 率：μSv/h、μGy/h、μR/h；累计剂量：nSv；计数率：CPS</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、通讯：USB通讯接口，仪器可存储800条数据</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、使用环境：温度-15℃～+50℃、相对湿度(在40℃温度下)≤95％</w:t>
            </w:r>
          </w:p>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 xml:space="preserve">、电源和功耗：2节标准1号电池（或充电电池）整机耗电≤120mW </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6</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个人剂量报警仪</w:t>
            </w:r>
          </w:p>
        </w:tc>
        <w:tc>
          <w:tcPr>
            <w:tcW w:w="4627" w:type="dxa"/>
            <w:noWrap w:val="0"/>
            <w:vAlign w:val="center"/>
          </w:tcPr>
          <w:p>
            <w:pPr>
              <w:pStyle w:val="628"/>
              <w:keepNext w:val="0"/>
              <w:keepLines w:val="0"/>
              <w:pageBreakBefore w:val="0"/>
              <w:kinsoku/>
              <w:wordWrap/>
              <w:overflowPunct/>
              <w:topLinePunct w:val="0"/>
              <w:bidi w:val="0"/>
              <w:spacing w:before="0" w:beforeAutospacing="0" w:after="0" w:afterAutospacing="0" w:line="300" w:lineRule="exact"/>
              <w:ind w:left="0" w:leftChars="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1、能量补偿型GM计数管</w:t>
            </w:r>
          </w:p>
          <w:p>
            <w:pPr>
              <w:pStyle w:val="628"/>
              <w:keepNext w:val="0"/>
              <w:keepLines w:val="0"/>
              <w:pageBreakBefore w:val="0"/>
              <w:kinsoku/>
              <w:wordWrap/>
              <w:overflowPunct/>
              <w:topLinePunct w:val="0"/>
              <w:bidi w:val="0"/>
              <w:spacing w:before="0" w:beforeAutospacing="0" w:after="0" w:afterAutospacing="0" w:line="300" w:lineRule="exact"/>
              <w:ind w:left="0" w:leftChars="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2、剂量当量率：0.01μSv/h～1</w:t>
            </w:r>
            <w:r>
              <w:rPr>
                <w:rFonts w:hint="eastAsia" w:ascii="仿宋" w:hAnsi="仿宋" w:eastAsia="仿宋" w:cs="仿宋"/>
                <w:b w:val="0"/>
                <w:bCs w:val="0"/>
                <w:color w:val="auto"/>
                <w:sz w:val="24"/>
                <w:szCs w:val="24"/>
                <w:lang w:val="en-US" w:eastAsia="zh-CN"/>
              </w:rPr>
              <w:t>00</w:t>
            </w:r>
            <w:r>
              <w:rPr>
                <w:rFonts w:hint="eastAsia" w:ascii="仿宋" w:hAnsi="仿宋" w:eastAsia="仿宋" w:cs="仿宋"/>
                <w:b w:val="0"/>
                <w:bCs w:val="0"/>
                <w:color w:val="auto"/>
                <w:sz w:val="24"/>
                <w:szCs w:val="24"/>
              </w:rPr>
              <w:t>mSv/h；</w:t>
            </w:r>
          </w:p>
          <w:p>
            <w:pPr>
              <w:pStyle w:val="628"/>
              <w:keepNext w:val="0"/>
              <w:keepLines w:val="0"/>
              <w:pageBreakBefore w:val="0"/>
              <w:kinsoku/>
              <w:wordWrap/>
              <w:overflowPunct/>
              <w:topLinePunct w:val="0"/>
              <w:bidi w:val="0"/>
              <w:spacing w:before="0" w:beforeAutospacing="0" w:after="0" w:afterAutospacing="0" w:line="300" w:lineRule="exact"/>
              <w:ind w:left="0" w:leftChars="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6.3、</w:t>
            </w:r>
            <w:r>
              <w:rPr>
                <w:rFonts w:hint="eastAsia" w:ascii="仿宋" w:hAnsi="仿宋" w:eastAsia="仿宋" w:cs="仿宋"/>
                <w:b w:val="0"/>
                <w:bCs w:val="0"/>
                <w:color w:val="auto"/>
                <w:sz w:val="24"/>
                <w:szCs w:val="24"/>
              </w:rPr>
              <w:t>累积剂量当量：0.0</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μSv～</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Sv</w:t>
            </w:r>
          </w:p>
          <w:p>
            <w:pPr>
              <w:pStyle w:val="628"/>
              <w:keepNext w:val="0"/>
              <w:keepLines w:val="0"/>
              <w:pageBreakBefore w:val="0"/>
              <w:kinsoku/>
              <w:wordWrap/>
              <w:overflowPunct/>
              <w:topLinePunct w:val="0"/>
              <w:bidi w:val="0"/>
              <w:spacing w:before="0" w:beforeAutospacing="0" w:after="0" w:afterAutospacing="0" w:line="300" w:lineRule="exact"/>
              <w:ind w:left="0" w:leftChars="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灵敏度：&gt;1.5CPS/uSv/h（相对于137Cs）</w:t>
            </w:r>
          </w:p>
          <w:p>
            <w:pPr>
              <w:pStyle w:val="628"/>
              <w:keepNext w:val="0"/>
              <w:keepLines w:val="0"/>
              <w:pageBreakBefore w:val="0"/>
              <w:kinsoku/>
              <w:wordWrap/>
              <w:overflowPunct/>
              <w:topLinePunct w:val="0"/>
              <w:bidi w:val="0"/>
              <w:spacing w:before="0" w:beforeAutospacing="0" w:after="0" w:afterAutospacing="0" w:line="300" w:lineRule="exact"/>
              <w:ind w:left="0" w:leftChars="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能量响应：</w:t>
            </w:r>
            <w:r>
              <w:rPr>
                <w:rFonts w:hint="eastAsia" w:ascii="仿宋" w:hAnsi="仿宋" w:eastAsia="仿宋" w:cs="仿宋"/>
                <w:b w:val="0"/>
                <w:bCs w:val="0"/>
                <w:color w:val="auto"/>
                <w:sz w:val="24"/>
                <w:szCs w:val="24"/>
                <w:lang w:val="en-US" w:eastAsia="zh-CN"/>
              </w:rPr>
              <w:t>25</w:t>
            </w:r>
            <w:r>
              <w:rPr>
                <w:rFonts w:hint="eastAsia" w:ascii="仿宋" w:hAnsi="仿宋" w:eastAsia="仿宋" w:cs="仿宋"/>
                <w:b w:val="0"/>
                <w:bCs w:val="0"/>
                <w:color w:val="auto"/>
                <w:sz w:val="24"/>
                <w:szCs w:val="24"/>
              </w:rPr>
              <w:t>keV～3MeV</w:t>
            </w:r>
          </w:p>
          <w:p>
            <w:pPr>
              <w:pStyle w:val="628"/>
              <w:keepNext w:val="0"/>
              <w:keepLines w:val="0"/>
              <w:pageBreakBefore w:val="0"/>
              <w:numPr>
                <w:ilvl w:val="0"/>
                <w:numId w:val="0"/>
              </w:numPr>
              <w:kinsoku/>
              <w:wordWrap/>
              <w:overflowPunct/>
              <w:topLinePunct w:val="0"/>
              <w:bidi w:val="0"/>
              <w:spacing w:before="0" w:beforeAutospacing="0" w:after="0" w:afterAutospacing="0" w:line="300" w:lineRule="exact"/>
              <w:ind w:left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相对误差：＜10%（在1mSv/h时）</w:t>
            </w:r>
          </w:p>
          <w:p>
            <w:pPr>
              <w:keepNext w:val="0"/>
              <w:keepLines w:val="0"/>
              <w:pageBreakBefore w:val="0"/>
              <w:widowControl/>
              <w:kinsoku/>
              <w:wordWrap/>
              <w:overflowPunct/>
              <w:topLinePunct w:val="0"/>
              <w:bidi w:val="0"/>
              <w:spacing w:line="300" w:lineRule="exact"/>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 </w:t>
            </w:r>
            <w:r>
              <w:rPr>
                <w:rFonts w:hint="eastAsia" w:ascii="仿宋" w:hAnsi="仿宋" w:eastAsia="仿宋" w:cs="仿宋"/>
                <w:b w:val="0"/>
                <w:bCs w:val="0"/>
                <w:color w:val="auto"/>
                <w:kern w:val="0"/>
                <w:sz w:val="24"/>
                <w:szCs w:val="24"/>
              </w:rPr>
              <w:t>4</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报警阈值：量程范围内自由可</w:t>
            </w:r>
          </w:p>
          <w:p>
            <w:pPr>
              <w:keepNext w:val="0"/>
              <w:keepLines w:val="0"/>
              <w:pageBreakBefore w:val="0"/>
              <w:widowControl/>
              <w:kinsoku/>
              <w:wordWrap/>
              <w:overflowPunct/>
              <w:topLinePunct w:val="0"/>
              <w:bidi w:val="0"/>
              <w:spacing w:line="300" w:lineRule="exact"/>
              <w:ind w:left="-508" w:leftChars="-242" w:firstLine="554" w:firstLineChars="231"/>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 xml:space="preserve">调(0.01 µSv/h–100 mSv/h) </w:t>
            </w:r>
          </w:p>
          <w:p>
            <w:pPr>
              <w:keepNext w:val="0"/>
              <w:keepLines w:val="0"/>
              <w:pageBreakBefore w:val="0"/>
              <w:widowControl/>
              <w:kinsoku/>
              <w:wordWrap/>
              <w:overflowPunct/>
              <w:topLinePunct w:val="0"/>
              <w:bidi w:val="0"/>
              <w:spacing w:line="300" w:lineRule="exact"/>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6.</w:t>
            </w:r>
            <w:r>
              <w:rPr>
                <w:rFonts w:hint="eastAsia" w:ascii="仿宋" w:hAnsi="仿宋" w:eastAsia="仿宋" w:cs="仿宋"/>
                <w:b w:val="0"/>
                <w:bCs w:val="0"/>
                <w:color w:val="auto"/>
                <w:kern w:val="0"/>
                <w:sz w:val="24"/>
                <w:szCs w:val="24"/>
              </w:rPr>
              <w:t>5</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 xml:space="preserve">过载显示：100 -1000mSv/h过载显示，5s过载恢复 </w:t>
            </w:r>
          </w:p>
          <w:p>
            <w:pPr>
              <w:keepNext w:val="0"/>
              <w:keepLines w:val="0"/>
              <w:pageBreakBefore w:val="0"/>
              <w:widowControl/>
              <w:kinsoku/>
              <w:wordWrap/>
              <w:overflowPunct/>
              <w:topLinePunct w:val="0"/>
              <w:bidi w:val="0"/>
              <w:spacing w:line="300" w:lineRule="exact"/>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kern w:val="0"/>
                <w:sz w:val="24"/>
                <w:szCs w:val="24"/>
              </w:rPr>
              <w:t>6</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报警方式：声、光</w:t>
            </w:r>
            <w:r>
              <w:rPr>
                <w:rFonts w:hint="eastAsia" w:ascii="仿宋" w:hAnsi="仿宋" w:eastAsia="仿宋" w:cs="仿宋"/>
                <w:b w:val="0"/>
                <w:bCs w:val="0"/>
                <w:color w:val="auto"/>
                <w:kern w:val="0"/>
                <w:sz w:val="24"/>
                <w:szCs w:val="24"/>
                <w:lang w:val="en-US" w:eastAsia="zh-CN"/>
              </w:rPr>
              <w:t>/</w:t>
            </w:r>
            <w:r>
              <w:rPr>
                <w:rFonts w:hint="eastAsia" w:ascii="仿宋" w:hAnsi="仿宋" w:eastAsia="仿宋" w:cs="仿宋"/>
                <w:b w:val="0"/>
                <w:bCs w:val="0"/>
                <w:color w:val="auto"/>
                <w:kern w:val="0"/>
                <w:sz w:val="24"/>
                <w:szCs w:val="24"/>
              </w:rPr>
              <w:t xml:space="preserve">震动 </w:t>
            </w:r>
            <w:r>
              <w:rPr>
                <w:rFonts w:hint="eastAsia" w:ascii="仿宋" w:hAnsi="仿宋" w:eastAsia="仿宋" w:cs="仿宋"/>
                <w:b w:val="0"/>
                <w:bCs w:val="0"/>
                <w:color w:val="auto"/>
                <w:sz w:val="24"/>
                <w:szCs w:val="24"/>
              </w:rPr>
              <w:t> </w:t>
            </w:r>
          </w:p>
          <w:p>
            <w:pPr>
              <w:pStyle w:val="628"/>
              <w:keepNext w:val="0"/>
              <w:keepLines w:val="0"/>
              <w:pageBreakBefore w:val="0"/>
              <w:kinsoku/>
              <w:wordWrap/>
              <w:overflowPunct/>
              <w:topLinePunct w:val="0"/>
              <w:bidi w:val="0"/>
              <w:spacing w:before="0" w:beforeAutospacing="0" w:after="0" w:afterAutospacing="0" w:line="300" w:lineRule="exact"/>
              <w:ind w:left="0" w:leftChars="0" w:firstLine="0" w:firstLineChars="0"/>
              <w:jc w:val="lef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6.7</w:t>
            </w:r>
            <w:r>
              <w:rPr>
                <w:rFonts w:hint="eastAsia" w:ascii="仿宋" w:hAnsi="仿宋" w:eastAsia="仿宋" w:cs="仿宋"/>
                <w:b w:val="0"/>
                <w:bCs w:val="0"/>
                <w:color w:val="auto"/>
                <w:sz w:val="24"/>
                <w:szCs w:val="24"/>
              </w:rPr>
              <w:t>、电源：2节电池</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可充电</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7</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辐射防护服</w:t>
            </w:r>
          </w:p>
        </w:tc>
        <w:tc>
          <w:tcPr>
            <w:tcW w:w="4627" w:type="dxa"/>
            <w:noWrap w:val="0"/>
            <w:vAlign w:val="center"/>
          </w:tcPr>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Style w:val="64"/>
                <w:rFonts w:hint="eastAsia" w:ascii="仿宋" w:hAnsi="仿宋" w:eastAsia="仿宋" w:cs="仿宋"/>
                <w:b w:val="0"/>
                <w:bCs w:val="0"/>
                <w:color w:val="auto"/>
                <w:sz w:val="24"/>
                <w:szCs w:val="24"/>
              </w:rPr>
              <w:t>一、长袖射线防护服</w:t>
            </w:r>
            <w:r>
              <w:rPr>
                <w:rFonts w:hint="eastAsia" w:ascii="仿宋" w:hAnsi="仿宋" w:eastAsia="仿宋" w:cs="仿宋"/>
                <w:b w:val="0"/>
                <w:bCs w:val="0"/>
                <w:color w:val="auto"/>
                <w:sz w:val="24"/>
                <w:szCs w:val="24"/>
              </w:rPr>
              <w:t xml:space="preserve">                   </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1、轻、薄、柔软防护材料；与同类铅衣比较可减轻百分之二十五的相对重量；</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2、防护性能极佳：铅材料分布十分均匀，正常使用铅当量不会衰减；提供0.35铅当量；耐磨、易清洗表面材料。</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3、全新结构设计</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采用多层材料制作，加上专业的人性化结构设计，让您穿戴倍感舒适；</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4、精密制作工艺：做工精雕细琢，一丝不苟，经久耐用，让您用得放心；</w:t>
            </w:r>
          </w:p>
          <w:p>
            <w:pPr>
              <w:pStyle w:val="55"/>
              <w:keepNext w:val="0"/>
              <w:keepLines w:val="0"/>
              <w:pageBreakBefore w:val="0"/>
              <w:kinsoku/>
              <w:wordWrap/>
              <w:overflowPunct/>
              <w:topLinePunct w:val="0"/>
              <w:bidi w:val="0"/>
              <w:spacing w:before="0" w:beforeAutospacing="0" w:after="0" w:afterAutospacing="0" w:line="300" w:lineRule="exact"/>
              <w:rPr>
                <w:rStyle w:val="64"/>
                <w:rFonts w:hint="eastAsia" w:ascii="仿宋" w:hAnsi="仿宋" w:eastAsia="仿宋" w:cs="仿宋"/>
                <w:b w:val="0"/>
                <w:bCs w:val="0"/>
                <w:color w:val="auto"/>
                <w:sz w:val="24"/>
                <w:szCs w:val="24"/>
                <w:lang w:eastAsia="zh-CN"/>
              </w:rPr>
            </w:pPr>
            <w:r>
              <w:rPr>
                <w:rStyle w:val="64"/>
                <w:rFonts w:hint="eastAsia" w:ascii="仿宋" w:hAnsi="仿宋" w:eastAsia="仿宋" w:cs="仿宋"/>
                <w:b w:val="0"/>
                <w:bCs w:val="0"/>
                <w:color w:val="auto"/>
                <w:sz w:val="24"/>
                <w:szCs w:val="24"/>
              </w:rPr>
              <w:t xml:space="preserve">二、单面射线防护围裙（铅胶围裙） </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1、轻、薄、柔软防护材料；与同类铅衣比较可减轻百分之二十五的相对重量；</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2、防护性能佳：铅分布十分均匀，正常使用铅当量不会衰减；提供0.25、0.35、0.5mmPb铅当量； 耐磨、易清洗表面材料</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3、全新结构设计：采用多层材料制作，加上专业的人性化结构设计，让您穿戴倍感舒适；</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4、精密制作工艺：做工精雕细琢，一丝不苟，经久耐用，让您用得放心；</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 xml:space="preserve">三、防护手套        </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1、防护性能较好的防护手套，</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2、灰色质感，提供7.0,7.5,8.0,8.5四种尺码可选，一般选择中号适合人群多。</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3、让您手具有高度的感知性；手术操作时活动自如。</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四、射线防护眼镜</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 xml:space="preserve">1、铅当量:正0.5mmPb/侧0.5mmPb </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2、此射线防护眼镜由高透明铅玻璃精心配装在精致结实的眼镜架上，带侧封防护，并可按处方配光学度数。</w:t>
            </w:r>
          </w:p>
          <w:p>
            <w:pPr>
              <w:pStyle w:val="55"/>
              <w:keepNext w:val="0"/>
              <w:keepLines w:val="0"/>
              <w:pageBreakBefore w:val="0"/>
              <w:kinsoku/>
              <w:wordWrap/>
              <w:overflowPunct/>
              <w:topLinePunct w:val="0"/>
              <w:bidi w:val="0"/>
              <w:spacing w:before="0" w:beforeAutospacing="0" w:after="0" w:afterAutospacing="0" w:line="300" w:lineRule="exact"/>
              <w:rPr>
                <w:rStyle w:val="64"/>
                <w:rFonts w:hint="eastAsia" w:ascii="仿宋" w:hAnsi="仿宋" w:eastAsia="仿宋" w:cs="仿宋"/>
                <w:b w:val="0"/>
                <w:bCs w:val="0"/>
                <w:color w:val="auto"/>
                <w:sz w:val="24"/>
                <w:szCs w:val="24"/>
                <w:lang w:eastAsia="zh-CN"/>
              </w:rPr>
            </w:pPr>
            <w:r>
              <w:rPr>
                <w:rStyle w:val="64"/>
                <w:rFonts w:hint="eastAsia" w:ascii="仿宋" w:hAnsi="仿宋" w:eastAsia="仿宋" w:cs="仿宋"/>
                <w:b w:val="0"/>
                <w:bCs w:val="0"/>
                <w:color w:val="auto"/>
                <w:sz w:val="24"/>
                <w:szCs w:val="24"/>
              </w:rPr>
              <w:t>五、防护帽</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1、轻、薄、软防护材料；</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2、防护性能佳：铅分布十分均匀，正常使用铅当量不会衰减；提供0.35铅当量； 耐磨、易清洗表面材料；</w:t>
            </w:r>
          </w:p>
          <w:p>
            <w:pPr>
              <w:pStyle w:val="55"/>
              <w:keepNext w:val="0"/>
              <w:keepLines w:val="0"/>
              <w:pageBreakBefore w:val="0"/>
              <w:kinsoku/>
              <w:wordWrap/>
              <w:overflowPunct/>
              <w:topLinePunct w:val="0"/>
              <w:bidi w:val="0"/>
              <w:spacing w:before="0" w:beforeAutospacing="0" w:after="0" w:afterAutospacing="0"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rPr>
              <w:t>3、全新结构设计：采用多层材料制作，加上专业的人性化结构设计，让您穿戴倍感舒适；</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8</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 xml:space="preserve"> 呼吸入颗粒分析仪</w:t>
            </w:r>
          </w:p>
        </w:tc>
        <w:tc>
          <w:tcPr>
            <w:tcW w:w="4627" w:type="dxa"/>
            <w:noWrap w:val="0"/>
            <w:vAlign w:val="center"/>
          </w:tcPr>
          <w:p>
            <w:pPr>
              <w:pStyle w:val="693"/>
              <w:keepNext w:val="0"/>
              <w:keepLines w:val="0"/>
              <w:pageBreakBefore w:val="0"/>
              <w:numPr>
                <w:ilvl w:val="0"/>
                <w:numId w:val="0"/>
              </w:numPr>
              <w:kinsoku/>
              <w:wordWrap/>
              <w:overflowPunct/>
              <w:topLinePunct w:val="0"/>
              <w:bidi w:val="0"/>
              <w:spacing w:line="3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w:t>
            </w:r>
            <w:r>
              <w:rPr>
                <w:rFonts w:hint="eastAsia" w:ascii="仿宋" w:hAnsi="仿宋" w:eastAsia="仿宋" w:cs="仿宋"/>
                <w:b w:val="0"/>
                <w:bCs w:val="0"/>
                <w:color w:val="auto"/>
                <w:sz w:val="24"/>
                <w:szCs w:val="24"/>
                <w:highlight w:val="none"/>
              </w:rPr>
              <w:t>具有CPA计量器具型式批准证书；</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8.2</w:t>
            </w:r>
            <w:r>
              <w:rPr>
                <w:rFonts w:hint="eastAsia" w:ascii="仿宋" w:hAnsi="仿宋" w:eastAsia="仿宋" w:cs="仿宋"/>
                <w:b w:val="0"/>
                <w:bCs w:val="0"/>
                <w:color w:val="auto"/>
                <w:sz w:val="24"/>
                <w:szCs w:val="24"/>
                <w:highlight w:val="none"/>
              </w:rPr>
              <w:t xml:space="preserve">、重复性误差：±2％；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8.3</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相对误差</w:t>
            </w:r>
            <w:r>
              <w:rPr>
                <w:rFonts w:hint="eastAsia" w:ascii="仿宋" w:hAnsi="仿宋" w:eastAsia="仿宋" w:cs="仿宋"/>
                <w:b w:val="0"/>
                <w:bCs w:val="0"/>
                <w:color w:val="auto"/>
                <w:sz w:val="24"/>
                <w:szCs w:val="24"/>
                <w:highlight w:val="none"/>
              </w:rPr>
              <w:t xml:space="preserve">： ±10% ；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8.4</w:t>
            </w:r>
            <w:r>
              <w:rPr>
                <w:rFonts w:hint="eastAsia" w:ascii="仿宋" w:hAnsi="仿宋" w:eastAsia="仿宋" w:cs="仿宋"/>
                <w:b w:val="0"/>
                <w:bCs w:val="0"/>
                <w:color w:val="auto"/>
                <w:sz w:val="24"/>
                <w:szCs w:val="24"/>
                <w:highlight w:val="none"/>
              </w:rPr>
              <w:t>、测量范围：0.001～10 mg/m</w:t>
            </w:r>
            <w:r>
              <w:rPr>
                <w:rFonts w:hint="eastAsia" w:ascii="仿宋" w:hAnsi="仿宋" w:eastAsia="仿宋" w:cs="仿宋"/>
                <w:b w:val="0"/>
                <w:bCs w:val="0"/>
                <w:color w:val="auto"/>
                <w:sz w:val="24"/>
                <w:szCs w:val="24"/>
                <w:highlight w:val="none"/>
                <w:vertAlign w:val="superscript"/>
              </w:rPr>
              <w:t>3</w:t>
            </w:r>
            <w:r>
              <w:rPr>
                <w:rFonts w:hint="eastAsia" w:ascii="仿宋" w:hAnsi="仿宋" w:eastAsia="仿宋" w:cs="仿宋"/>
                <w:b w:val="0"/>
                <w:bCs w:val="0"/>
                <w:color w:val="auto"/>
                <w:sz w:val="24"/>
                <w:szCs w:val="24"/>
              </w:rPr>
              <w:t>高精度：0.001mg/m</w:t>
            </w:r>
            <w:r>
              <w:rPr>
                <w:rFonts w:hint="eastAsia" w:ascii="仿宋" w:hAnsi="仿宋" w:eastAsia="仿宋" w:cs="仿宋"/>
                <w:b w:val="0"/>
                <w:bCs w:val="0"/>
                <w:color w:val="auto"/>
                <w:sz w:val="24"/>
                <w:szCs w:val="24"/>
                <w:vertAlign w:val="superscript"/>
              </w:rPr>
              <w:t>3</w:t>
            </w:r>
            <w:r>
              <w:rPr>
                <w:rFonts w:hint="eastAsia" w:ascii="仿宋" w:hAnsi="仿宋" w:eastAsia="仿宋" w:cs="仿宋"/>
                <w:b w:val="0"/>
                <w:bCs w:val="0"/>
                <w:color w:val="auto"/>
                <w:sz w:val="24"/>
                <w:szCs w:val="24"/>
                <w:highlight w:val="none"/>
              </w:rPr>
              <w:t>；0.01～</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00 mg/m</w:t>
            </w:r>
            <w:r>
              <w:rPr>
                <w:rFonts w:hint="eastAsia" w:ascii="仿宋" w:hAnsi="仿宋" w:eastAsia="仿宋" w:cs="仿宋"/>
                <w:b w:val="0"/>
                <w:bCs w:val="0"/>
                <w:color w:val="auto"/>
                <w:sz w:val="24"/>
                <w:szCs w:val="24"/>
                <w:highlight w:val="none"/>
                <w:vertAlign w:val="superscript"/>
              </w:rPr>
              <w:t>3</w:t>
            </w:r>
            <w:r>
              <w:rPr>
                <w:rFonts w:hint="eastAsia" w:ascii="仿宋" w:hAnsi="仿宋" w:eastAsia="仿宋" w:cs="仿宋"/>
                <w:b w:val="0"/>
                <w:bCs w:val="0"/>
                <w:color w:val="auto"/>
                <w:sz w:val="24"/>
                <w:szCs w:val="24"/>
              </w:rPr>
              <w:t>低精度：0.01mg/m</w:t>
            </w:r>
            <w:r>
              <w:rPr>
                <w:rFonts w:hint="eastAsia" w:ascii="仿宋" w:hAnsi="仿宋" w:eastAsia="仿宋" w:cs="仿宋"/>
                <w:b w:val="0"/>
                <w:bCs w:val="0"/>
                <w:color w:val="auto"/>
                <w:sz w:val="24"/>
                <w:szCs w:val="24"/>
                <w:vertAlign w:val="superscript"/>
              </w:rPr>
              <w:t>3</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量程可切换</w:t>
            </w:r>
            <w:r>
              <w:rPr>
                <w:rFonts w:hint="eastAsia" w:ascii="仿宋" w:hAnsi="仿宋" w:eastAsia="仿宋" w:cs="仿宋"/>
                <w:b w:val="0"/>
                <w:bCs w:val="0"/>
                <w:color w:val="auto"/>
                <w:sz w:val="24"/>
                <w:szCs w:val="24"/>
                <w:highlight w:val="none"/>
                <w:lang w:eastAsia="zh-CN"/>
              </w:rPr>
              <w:t>）</w:t>
            </w:r>
          </w:p>
          <w:p>
            <w:pPr>
              <w:pStyle w:val="693"/>
              <w:keepNext w:val="0"/>
              <w:keepLines w:val="0"/>
              <w:pageBreakBefore w:val="0"/>
              <w:numPr>
                <w:ilvl w:val="0"/>
                <w:numId w:val="0"/>
              </w:numPr>
              <w:kinsoku/>
              <w:wordWrap/>
              <w:overflowPunct/>
              <w:topLinePunct w:val="0"/>
              <w:bidi w:val="0"/>
              <w:spacing w:line="3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8.5、</w:t>
            </w:r>
            <w:r>
              <w:rPr>
                <w:rFonts w:hint="eastAsia" w:ascii="仿宋" w:hAnsi="仿宋" w:eastAsia="仿宋" w:cs="仿宋"/>
                <w:b w:val="0"/>
                <w:bCs w:val="0"/>
                <w:color w:val="auto"/>
                <w:sz w:val="24"/>
                <w:szCs w:val="24"/>
                <w:highlight w:val="none"/>
              </w:rPr>
              <w:t>配置40mm测尘滤膜</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方便用户测量更加准确；</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8.6</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仪器配有多个切割器，</w:t>
            </w:r>
            <w:r>
              <w:rPr>
                <w:rFonts w:hint="eastAsia" w:ascii="仿宋" w:hAnsi="仿宋" w:eastAsia="仿宋" w:cs="仿宋"/>
                <w:b w:val="0"/>
                <w:bCs w:val="0"/>
                <w:color w:val="auto"/>
                <w:sz w:val="24"/>
                <w:szCs w:val="24"/>
                <w:highlight w:val="none"/>
              </w:rPr>
              <w:t>可</w:t>
            </w:r>
            <w:r>
              <w:rPr>
                <w:rFonts w:hint="eastAsia" w:ascii="仿宋" w:hAnsi="仿宋" w:eastAsia="仿宋" w:cs="仿宋"/>
                <w:b w:val="0"/>
                <w:bCs w:val="0"/>
                <w:color w:val="auto"/>
                <w:sz w:val="24"/>
                <w:szCs w:val="24"/>
                <w:highlight w:val="none"/>
                <w:lang w:val="en-US" w:eastAsia="zh-CN"/>
              </w:rPr>
              <w:t>根据客户要求随时调整</w:t>
            </w:r>
            <w:r>
              <w:rPr>
                <w:rFonts w:hint="eastAsia" w:ascii="仿宋" w:hAnsi="仿宋" w:eastAsia="仿宋" w:cs="仿宋"/>
                <w:b w:val="0"/>
                <w:bCs w:val="0"/>
                <w:color w:val="auto"/>
                <w:sz w:val="24"/>
                <w:szCs w:val="24"/>
                <w:highlight w:val="none"/>
              </w:rPr>
              <w:t>更换</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PM10、、PM2.5、TSP粒子切割器</w:t>
            </w:r>
            <w:r>
              <w:rPr>
                <w:rFonts w:hint="eastAsia" w:ascii="仿宋" w:hAnsi="仿宋" w:eastAsia="仿宋" w:cs="仿宋"/>
                <w:b w:val="0"/>
                <w:bCs w:val="0"/>
                <w:color w:val="auto"/>
                <w:sz w:val="24"/>
                <w:szCs w:val="24"/>
                <w:highlight w:val="none"/>
                <w:lang w:val="en-US" w:eastAsia="zh-CN"/>
              </w:rPr>
              <w:t>可选</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8.7、连续监测：可设定测量时间（1～9999）s，待机时间（0～9999）s，采样次数（1～9999）次。</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8.8</w:t>
            </w:r>
            <w:r>
              <w:rPr>
                <w:rFonts w:hint="eastAsia" w:ascii="仿宋" w:hAnsi="仿宋" w:eastAsia="仿宋" w:cs="仿宋"/>
                <w:b w:val="0"/>
                <w:bCs w:val="0"/>
                <w:color w:val="auto"/>
                <w:sz w:val="24"/>
                <w:szCs w:val="24"/>
                <w:highlight w:val="none"/>
              </w:rPr>
              <w:t>、测</w:t>
            </w:r>
            <w:r>
              <w:rPr>
                <w:rFonts w:hint="eastAsia" w:ascii="仿宋" w:hAnsi="仿宋" w:eastAsia="仿宋" w:cs="仿宋"/>
                <w:b w:val="0"/>
                <w:bCs w:val="0"/>
                <w:color w:val="auto"/>
                <w:sz w:val="24"/>
                <w:szCs w:val="24"/>
                <w:highlight w:val="none"/>
                <w:lang w:val="en-US" w:eastAsia="zh-CN"/>
              </w:rPr>
              <w:t>量</w:t>
            </w:r>
            <w:r>
              <w:rPr>
                <w:rFonts w:hint="eastAsia" w:ascii="仿宋" w:hAnsi="仿宋" w:eastAsia="仿宋" w:cs="仿宋"/>
                <w:b w:val="0"/>
                <w:bCs w:val="0"/>
                <w:color w:val="auto"/>
                <w:sz w:val="24"/>
                <w:szCs w:val="24"/>
                <w:highlight w:val="none"/>
              </w:rPr>
              <w:t xml:space="preserve">时间：测定时间：0.1min，1min（标准测量时间），及（1～9999）min任意设定。；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8.9</w:t>
            </w:r>
            <w:r>
              <w:rPr>
                <w:rFonts w:hint="eastAsia" w:ascii="仿宋" w:hAnsi="仿宋" w:eastAsia="仿宋" w:cs="仿宋"/>
                <w:b w:val="0"/>
                <w:bCs w:val="0"/>
                <w:color w:val="auto"/>
                <w:sz w:val="24"/>
                <w:szCs w:val="24"/>
                <w:highlight w:val="none"/>
              </w:rPr>
              <w:t>、数据存贮</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5000组</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w:t>
            </w:r>
            <w:bookmarkStart w:id="6" w:name="www.jd-17.com"/>
            <w:r>
              <w:rPr>
                <w:rFonts w:hint="eastAsia" w:ascii="仿宋" w:hAnsi="仿宋" w:eastAsia="仿宋" w:cs="仿宋"/>
                <w:b w:val="0"/>
                <w:bCs w:val="0"/>
                <w:color w:val="auto"/>
                <w:sz w:val="24"/>
                <w:szCs w:val="24"/>
                <w:highlight w:val="none"/>
              </w:rPr>
              <w:t>   一般测量：循环存储99组数据（可由仪器回放，亦可PC机读取），每组包括：质量浓度，测量日期，测量时间，记录序号。</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劳动卫生：循环存储30组数据（可由仪器回放，亦可PC机读取），每组包括：采样日期，采样开始时间，使用K值，测量周期，TWA值，S值和记录序号。同时保留一次测量的每分钟所测浓度值（以CPM表示），zui多1440个数值（24h），该组数据只能通过PC机读取。</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连续监测</w:t>
            </w:r>
            <w:bookmarkEnd w:id="6"/>
            <w:r>
              <w:rPr>
                <w:rFonts w:hint="eastAsia" w:ascii="仿宋" w:hAnsi="仿宋" w:eastAsia="仿宋" w:cs="仿宋"/>
                <w:b w:val="0"/>
                <w:bCs w:val="0"/>
                <w:color w:val="auto"/>
                <w:sz w:val="24"/>
                <w:szCs w:val="24"/>
                <w:highlight w:val="none"/>
              </w:rPr>
              <w:t>：可设置运行参数，可存储两组连续监测模式下的测量数据，每组zui多存储9999个浓度值，只能通过PC机读取。</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8.10</w:t>
            </w:r>
            <w:r>
              <w:rPr>
                <w:rFonts w:hint="eastAsia" w:ascii="仿宋" w:hAnsi="仿宋" w:eastAsia="仿宋" w:cs="仿宋"/>
                <w:b w:val="0"/>
                <w:bCs w:val="0"/>
                <w:color w:val="auto"/>
                <w:sz w:val="24"/>
                <w:szCs w:val="24"/>
                <w:highlight w:val="none"/>
              </w:rPr>
              <w:t>、输出接口：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上位</w:t>
            </w:r>
            <w:r>
              <w:rPr>
                <w:rFonts w:hint="eastAsia" w:ascii="仿宋" w:hAnsi="仿宋" w:eastAsia="仿宋" w:cs="仿宋"/>
                <w:b w:val="0"/>
                <w:bCs w:val="0"/>
                <w:color w:val="auto"/>
                <w:sz w:val="24"/>
                <w:szCs w:val="24"/>
                <w:highlight w:val="none"/>
              </w:rPr>
              <w:t>机通讯接口：RS</w:t>
            </w:r>
            <w:r>
              <w:rPr>
                <w:rFonts w:hint="eastAsia" w:ascii="仿宋" w:hAnsi="仿宋" w:eastAsia="仿宋" w:cs="仿宋"/>
                <w:b w:val="0"/>
                <w:bCs w:val="0"/>
                <w:color w:val="auto"/>
                <w:sz w:val="24"/>
                <w:szCs w:val="24"/>
                <w:highlight w:val="none"/>
                <w:lang w:val="en-US" w:eastAsia="zh-CN"/>
              </w:rPr>
              <w:t>485</w:t>
            </w:r>
            <w:r>
              <w:rPr>
                <w:rFonts w:hint="eastAsia" w:ascii="仿宋" w:hAnsi="仿宋" w:eastAsia="仿宋" w:cs="仿宋"/>
                <w:b w:val="0"/>
                <w:bCs w:val="0"/>
                <w:color w:val="auto"/>
                <w:sz w:val="24"/>
                <w:szCs w:val="24"/>
                <w:highlight w:val="none"/>
              </w:rPr>
              <w:t>；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可连接</w:t>
            </w:r>
            <w:r>
              <w:rPr>
                <w:rFonts w:hint="eastAsia" w:ascii="仿宋" w:hAnsi="仿宋" w:eastAsia="仿宋" w:cs="仿宋"/>
                <w:b w:val="0"/>
                <w:bCs w:val="0"/>
                <w:color w:val="auto"/>
                <w:sz w:val="24"/>
                <w:szCs w:val="24"/>
                <w:highlight w:val="none"/>
              </w:rPr>
              <w:t>微型打印机</w:t>
            </w:r>
            <w:r>
              <w:rPr>
                <w:rFonts w:hint="eastAsia" w:ascii="仿宋" w:hAnsi="仿宋" w:eastAsia="仿宋" w:cs="仿宋"/>
                <w:b w:val="0"/>
                <w:bCs w:val="0"/>
                <w:color w:val="auto"/>
                <w:sz w:val="24"/>
                <w:szCs w:val="24"/>
                <w:highlight w:val="none"/>
                <w:lang w:val="en-US" w:eastAsia="zh-CN"/>
              </w:rPr>
              <w:t>，并实现有线打印与蓝牙无线打印双模式自动切换</w:t>
            </w:r>
            <w:r>
              <w:rPr>
                <w:rFonts w:hint="eastAsia" w:ascii="仿宋" w:hAnsi="仿宋" w:eastAsia="仿宋" w:cs="仿宋"/>
                <w:b w:val="0"/>
                <w:bCs w:val="0"/>
                <w:color w:val="auto"/>
                <w:sz w:val="24"/>
                <w:szCs w:val="24"/>
                <w:highlight w:val="none"/>
              </w:rPr>
              <w:t>；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rPr>
              <w:t>3)  USB数据</w:t>
            </w:r>
            <w:r>
              <w:rPr>
                <w:rFonts w:hint="eastAsia" w:ascii="仿宋" w:hAnsi="仿宋" w:eastAsia="仿宋" w:cs="仿宋"/>
                <w:b w:val="0"/>
                <w:bCs w:val="0"/>
                <w:color w:val="auto"/>
                <w:sz w:val="24"/>
                <w:szCs w:val="24"/>
                <w:highlight w:val="none"/>
                <w:lang w:val="en-US" w:eastAsia="zh-CN"/>
              </w:rPr>
              <w:t>输出</w:t>
            </w:r>
            <w:r>
              <w:rPr>
                <w:rFonts w:hint="eastAsia" w:ascii="仿宋" w:hAnsi="仿宋" w:eastAsia="仿宋" w:cs="仿宋"/>
                <w:b w:val="0"/>
                <w:bCs w:val="0"/>
                <w:color w:val="auto"/>
                <w:sz w:val="24"/>
                <w:szCs w:val="24"/>
                <w:highlight w:val="none"/>
              </w:rPr>
              <w:t>；</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8.11</w:t>
            </w:r>
            <w:r>
              <w:rPr>
                <w:rFonts w:hint="eastAsia" w:ascii="仿宋" w:hAnsi="仿宋" w:eastAsia="仿宋" w:cs="仿宋"/>
                <w:b w:val="0"/>
                <w:bCs w:val="0"/>
                <w:color w:val="auto"/>
                <w:sz w:val="24"/>
                <w:szCs w:val="24"/>
              </w:rPr>
              <w:t>. </w:t>
            </w:r>
            <w:r>
              <w:rPr>
                <w:rFonts w:hint="eastAsia" w:ascii="仿宋" w:hAnsi="仿宋" w:eastAsia="仿宋" w:cs="仿宋"/>
                <w:b w:val="0"/>
                <w:bCs w:val="0"/>
                <w:color w:val="auto"/>
                <w:sz w:val="24"/>
                <w:szCs w:val="24"/>
                <w:lang w:val="en-US" w:eastAsia="zh-CN"/>
              </w:rPr>
              <w:t>电池及续航</w:t>
            </w:r>
            <w:r>
              <w:rPr>
                <w:rFonts w:hint="eastAsia" w:ascii="仿宋" w:hAnsi="仿宋" w:eastAsia="仿宋" w:cs="仿宋"/>
                <w:b w:val="0"/>
                <w:bCs w:val="0"/>
                <w:color w:val="auto"/>
                <w:sz w:val="24"/>
                <w:szCs w:val="24"/>
              </w:rPr>
              <w:t>：充电锂电电池</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连续使用</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rPr>
              <w:t>小时</w:t>
            </w:r>
            <w:r>
              <w:rPr>
                <w:rFonts w:hint="eastAsia" w:ascii="仿宋" w:hAnsi="仿宋" w:eastAsia="仿宋" w:cs="仿宋"/>
                <w:b w:val="0"/>
                <w:bCs w:val="0"/>
                <w:color w:val="auto"/>
                <w:sz w:val="24"/>
                <w:szCs w:val="24"/>
                <w:lang w:val="en-US" w:eastAsia="zh-CN"/>
              </w:rPr>
              <w:t>以上</w:t>
            </w:r>
            <w:r>
              <w:rPr>
                <w:rFonts w:hint="eastAsia" w:ascii="仿宋" w:hAnsi="仿宋" w:eastAsia="仿宋" w:cs="仿宋"/>
                <w:b w:val="0"/>
                <w:bCs w:val="0"/>
                <w:color w:val="auto"/>
                <w:sz w:val="24"/>
                <w:szCs w:val="24"/>
              </w:rPr>
              <w:t>；</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8.12、电源：可充电锂电池组3.5Vх2，电池充满可连续使用8h以上，附220VAC/12VDC 电源适配器。</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9</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光离子化验测仪</w:t>
            </w: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9.1</w:t>
            </w:r>
            <w:r>
              <w:rPr>
                <w:rFonts w:hint="eastAsia" w:ascii="仿宋" w:hAnsi="仿宋" w:eastAsia="仿宋" w:cs="仿宋"/>
                <w:b w:val="0"/>
                <w:bCs w:val="0"/>
                <w:color w:val="auto"/>
                <w:sz w:val="24"/>
                <w:szCs w:val="24"/>
                <w:lang w:eastAsia="zh-CN"/>
              </w:rPr>
              <w:t>传感器：</w:t>
            </w:r>
            <w:r>
              <w:rPr>
                <w:rFonts w:hint="eastAsia" w:ascii="仿宋" w:hAnsi="仿宋" w:eastAsia="仿宋" w:cs="仿宋"/>
                <w:b w:val="0"/>
                <w:bCs w:val="0"/>
                <w:color w:val="auto"/>
                <w:sz w:val="24"/>
                <w:szCs w:val="24"/>
              </w:rPr>
              <w:t>标准配置 10.6eV 光离子化传感器，可选 9.8eV 或 11.7eV</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9.2</w:t>
            </w:r>
            <w:r>
              <w:rPr>
                <w:rFonts w:hint="eastAsia" w:ascii="仿宋" w:hAnsi="仿宋" w:eastAsia="仿宋" w:cs="仿宋"/>
                <w:b w:val="0"/>
                <w:bCs w:val="0"/>
                <w:color w:val="auto"/>
                <w:sz w:val="24"/>
                <w:szCs w:val="24"/>
                <w:lang w:eastAsia="zh-CN"/>
              </w:rPr>
              <w:t>采样方式：</w:t>
            </w:r>
            <w:r>
              <w:rPr>
                <w:rFonts w:hint="eastAsia" w:ascii="仿宋" w:hAnsi="仿宋" w:eastAsia="仿宋" w:cs="仿宋"/>
                <w:b w:val="0"/>
                <w:bCs w:val="0"/>
                <w:color w:val="auto"/>
                <w:sz w:val="24"/>
                <w:szCs w:val="24"/>
              </w:rPr>
              <w:t>泵吸式自动进样</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9.3</w:t>
            </w:r>
            <w:r>
              <w:rPr>
                <w:rFonts w:hint="eastAsia" w:ascii="仿宋" w:hAnsi="仿宋" w:eastAsia="仿宋" w:cs="仿宋"/>
                <w:b w:val="0"/>
                <w:bCs w:val="0"/>
                <w:color w:val="auto"/>
                <w:sz w:val="24"/>
                <w:szCs w:val="24"/>
                <w:lang w:eastAsia="zh-CN"/>
              </w:rPr>
              <w:t>防护等级：</w:t>
            </w:r>
            <w:r>
              <w:rPr>
                <w:rFonts w:hint="eastAsia" w:ascii="仿宋" w:hAnsi="仿宋" w:eastAsia="仿宋" w:cs="仿宋"/>
                <w:b w:val="0"/>
                <w:bCs w:val="0"/>
                <w:color w:val="auto"/>
                <w:sz w:val="24"/>
                <w:szCs w:val="24"/>
              </w:rPr>
              <w:t>IP66/IP67</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9.4</w:t>
            </w:r>
            <w:r>
              <w:rPr>
                <w:rFonts w:hint="eastAsia" w:ascii="仿宋" w:hAnsi="仿宋" w:eastAsia="仿宋" w:cs="仿宋"/>
                <w:b w:val="0"/>
                <w:bCs w:val="0"/>
                <w:color w:val="auto"/>
                <w:sz w:val="24"/>
                <w:szCs w:val="24"/>
                <w:lang w:eastAsia="zh-CN"/>
              </w:rPr>
              <w:t>电池运行时间：</w:t>
            </w:r>
            <w:r>
              <w:rPr>
                <w:rFonts w:hint="eastAsia" w:ascii="仿宋" w:hAnsi="仿宋" w:eastAsia="仿宋" w:cs="仿宋"/>
                <w:b w:val="0"/>
                <w:bCs w:val="0"/>
                <w:color w:val="auto"/>
                <w:sz w:val="24"/>
                <w:szCs w:val="24"/>
              </w:rPr>
              <w:t>可充电锂电池，连续运行超过 24 小时</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10</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气体检测仪</w:t>
            </w:r>
          </w:p>
        </w:tc>
        <w:tc>
          <w:tcPr>
            <w:tcW w:w="4627"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10.1</w:t>
            </w:r>
            <w:r>
              <w:rPr>
                <w:rFonts w:hint="eastAsia" w:ascii="仿宋" w:hAnsi="仿宋" w:eastAsia="仿宋" w:cs="仿宋"/>
                <w:b w:val="0"/>
                <w:bCs w:val="0"/>
                <w:color w:val="auto"/>
                <w:sz w:val="24"/>
                <w:szCs w:val="24"/>
              </w:rPr>
              <w:t>显示误差：±5%FS(可燃)、±10%（一氧化碳）、±5μmol/mol(硫化氢)</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10.2</w:t>
            </w:r>
            <w:r>
              <w:rPr>
                <w:rFonts w:hint="eastAsia" w:ascii="仿宋" w:hAnsi="仿宋" w:eastAsia="仿宋" w:cs="仿宋"/>
                <w:b w:val="0"/>
                <w:bCs w:val="0"/>
                <w:color w:val="auto"/>
                <w:sz w:val="24"/>
                <w:szCs w:val="24"/>
              </w:rPr>
              <w:t>响应时间：T＜30s</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10.3</w:t>
            </w:r>
            <w:r>
              <w:rPr>
                <w:rFonts w:hint="eastAsia" w:ascii="仿宋" w:hAnsi="仿宋" w:eastAsia="仿宋" w:cs="仿宋"/>
                <w:b w:val="0"/>
                <w:bCs w:val="0"/>
                <w:color w:val="auto"/>
                <w:sz w:val="24"/>
                <w:szCs w:val="24"/>
              </w:rPr>
              <w:t>指示方式：LCD显示实时数据及系统状态发光二极管、声音、振动指示报警、故障及欠压</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10.4</w:t>
            </w:r>
            <w:r>
              <w:rPr>
                <w:rFonts w:hint="eastAsia" w:ascii="仿宋" w:hAnsi="仿宋" w:eastAsia="仿宋" w:cs="仿宋"/>
                <w:b w:val="0"/>
                <w:bCs w:val="0"/>
                <w:color w:val="auto"/>
                <w:sz w:val="24"/>
                <w:szCs w:val="24"/>
              </w:rPr>
              <w:t>工作环境：温度-20℃~50℃;湿度＜95% RH（无结露）</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10.5</w:t>
            </w:r>
            <w:r>
              <w:rPr>
                <w:rFonts w:hint="eastAsia" w:ascii="仿宋" w:hAnsi="仿宋" w:eastAsia="仿宋" w:cs="仿宋"/>
                <w:b w:val="0"/>
                <w:bCs w:val="0"/>
                <w:color w:val="auto"/>
                <w:sz w:val="24"/>
                <w:szCs w:val="24"/>
              </w:rPr>
              <w:t>工作电压：DC3.7V(锂电池容量2000mAh)</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10.6</w:t>
            </w:r>
            <w:r>
              <w:rPr>
                <w:rFonts w:hint="eastAsia" w:ascii="仿宋" w:hAnsi="仿宋" w:eastAsia="仿宋" w:cs="仿宋"/>
                <w:b w:val="0"/>
                <w:bCs w:val="0"/>
                <w:color w:val="auto"/>
                <w:sz w:val="24"/>
                <w:szCs w:val="24"/>
              </w:rPr>
              <w:t>防爆标志：Ex ib IIB T3 Gb</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10.7</w:t>
            </w:r>
            <w:r>
              <w:rPr>
                <w:rFonts w:hint="eastAsia" w:ascii="仿宋" w:hAnsi="仿宋" w:eastAsia="仿宋" w:cs="仿宋"/>
                <w:b w:val="0"/>
                <w:bCs w:val="0"/>
                <w:color w:val="auto"/>
                <w:sz w:val="24"/>
                <w:szCs w:val="24"/>
              </w:rPr>
              <w:t>充电时间：6h~8h</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10.8</w:t>
            </w:r>
            <w:r>
              <w:rPr>
                <w:rFonts w:hint="eastAsia" w:ascii="仿宋" w:hAnsi="仿宋" w:eastAsia="仿宋" w:cs="仿宋"/>
                <w:b w:val="0"/>
                <w:bCs w:val="0"/>
                <w:color w:val="auto"/>
                <w:sz w:val="24"/>
                <w:szCs w:val="24"/>
              </w:rPr>
              <w:t>待机时间：大于8小时</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11</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氡检测仪</w:t>
            </w:r>
          </w:p>
        </w:tc>
        <w:tc>
          <w:tcPr>
            <w:tcW w:w="4627" w:type="dxa"/>
            <w:noWrap w:val="0"/>
            <w:vAlign w:val="center"/>
          </w:tcPr>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11.1</w:t>
            </w:r>
            <w:r>
              <w:rPr>
                <w:rFonts w:hint="eastAsia" w:ascii="仿宋" w:hAnsi="仿宋" w:eastAsia="仿宋" w:cs="仿宋"/>
                <w:b w:val="0"/>
                <w:bCs w:val="0"/>
                <w:color w:val="auto"/>
                <w:sz w:val="24"/>
                <w:szCs w:val="24"/>
              </w:rPr>
              <w:t>探测器：闪烁室+固态光电倍增器探测系统</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11.2</w:t>
            </w:r>
            <w:r>
              <w:rPr>
                <w:rFonts w:hint="eastAsia" w:ascii="仿宋" w:hAnsi="仿宋" w:eastAsia="仿宋" w:cs="仿宋"/>
                <w:b w:val="0"/>
                <w:bCs w:val="0"/>
                <w:color w:val="auto"/>
                <w:sz w:val="24"/>
                <w:szCs w:val="24"/>
              </w:rPr>
              <w:t>测量范围：( 5-10000）Bq/ m</w:t>
            </w:r>
            <w:r>
              <w:rPr>
                <w:rFonts w:hint="eastAsia" w:ascii="仿宋" w:hAnsi="仿宋" w:eastAsia="仿宋" w:cs="仿宋"/>
                <w:b w:val="0"/>
                <w:bCs w:val="0"/>
                <w:color w:val="auto"/>
                <w:sz w:val="24"/>
                <w:szCs w:val="24"/>
                <w:vertAlign w:val="superscript"/>
              </w:rPr>
              <w:t>3</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11.3</w:t>
            </w:r>
            <w:r>
              <w:rPr>
                <w:rFonts w:hint="eastAsia" w:ascii="仿宋" w:hAnsi="仿宋" w:eastAsia="仿宋" w:cs="仿宋"/>
                <w:b w:val="0"/>
                <w:bCs w:val="0"/>
                <w:color w:val="auto"/>
                <w:sz w:val="24"/>
                <w:szCs w:val="24"/>
              </w:rPr>
              <w:t>探测下限：5Bq/m</w:t>
            </w:r>
            <w:r>
              <w:rPr>
                <w:rFonts w:hint="eastAsia" w:ascii="仿宋" w:hAnsi="仿宋" w:eastAsia="仿宋" w:cs="仿宋"/>
                <w:b w:val="0"/>
                <w:bCs w:val="0"/>
                <w:color w:val="auto"/>
                <w:sz w:val="24"/>
                <w:szCs w:val="24"/>
                <w:vertAlign w:val="superscript"/>
              </w:rPr>
              <w:t>3</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11.4</w:t>
            </w:r>
            <w:r>
              <w:rPr>
                <w:rFonts w:hint="eastAsia" w:ascii="仿宋" w:hAnsi="仿宋" w:eastAsia="仿宋" w:cs="仿宋"/>
                <w:b w:val="0"/>
                <w:bCs w:val="0"/>
                <w:color w:val="auto"/>
                <w:sz w:val="24"/>
                <w:szCs w:val="24"/>
              </w:rPr>
              <w:t>不确定率:15%（k=2)</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11.5</w:t>
            </w:r>
            <w:r>
              <w:rPr>
                <w:rFonts w:hint="eastAsia" w:ascii="仿宋" w:hAnsi="仿宋" w:eastAsia="仿宋" w:cs="仿宋"/>
                <w:b w:val="0"/>
                <w:bCs w:val="0"/>
                <w:color w:val="auto"/>
                <w:sz w:val="24"/>
                <w:szCs w:val="24"/>
              </w:rPr>
              <w:t>灵敏度：≥ 0.6cpm/(Bq·m</w:t>
            </w:r>
            <w:r>
              <w:rPr>
                <w:rFonts w:hint="eastAsia" w:ascii="仿宋" w:hAnsi="仿宋" w:eastAsia="仿宋" w:cs="仿宋"/>
                <w:b w:val="0"/>
                <w:bCs w:val="0"/>
                <w:color w:val="auto"/>
                <w:sz w:val="24"/>
                <w:szCs w:val="24"/>
                <w:vertAlign w:val="superscript"/>
              </w:rPr>
              <w:t>-3</w:t>
            </w:r>
            <w:r>
              <w:rPr>
                <w:rFonts w:hint="eastAsia" w:ascii="仿宋" w:hAnsi="仿宋" w:eastAsia="仿宋" w:cs="仿宋"/>
                <w:b w:val="0"/>
                <w:bCs w:val="0"/>
                <w:color w:val="auto"/>
                <w:sz w:val="24"/>
                <w:szCs w:val="24"/>
              </w:rPr>
              <w:t xml:space="preserve">   ) </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11.6响应时间：30min可给出测量结果，最快可10分钟。</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11.7打印数据：日期、时间和氡浓度</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11.8产品配置：测氡仪主机、充电器、充电线</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11.9取气方式：增强扩散式 </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11.10数据计算：自动计算单次测量结果/平均测量结果的浓度</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11.11数据存储：测量结果自动保存，可存储19999组数据</w:t>
            </w:r>
          </w:p>
          <w:p>
            <w:pPr>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11.12</w:t>
            </w:r>
            <w:r>
              <w:rPr>
                <w:rFonts w:hint="eastAsia" w:ascii="仿宋" w:hAnsi="仿宋" w:eastAsia="仿宋" w:cs="仿宋"/>
                <w:b w:val="0"/>
                <w:bCs w:val="0"/>
                <w:color w:val="auto"/>
                <w:sz w:val="24"/>
                <w:szCs w:val="24"/>
              </w:rPr>
              <w:t xml:space="preserve">工作环境：温度为-10℃~40℃    湿度为≤90%RH </w:t>
            </w:r>
          </w:p>
          <w:p>
            <w:pPr>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11.13</w:t>
            </w:r>
            <w:r>
              <w:rPr>
                <w:rFonts w:hint="eastAsia" w:ascii="仿宋" w:hAnsi="仿宋" w:eastAsia="仿宋" w:cs="仿宋"/>
                <w:b w:val="0"/>
                <w:bCs w:val="0"/>
                <w:color w:val="auto"/>
                <w:sz w:val="24"/>
                <w:szCs w:val="24"/>
              </w:rPr>
              <w:t>电源：锂离子充电电池/交流电源</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12</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声级计</w:t>
            </w: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eastAsia="zh-CN"/>
              </w:rPr>
              <w:t>传声器型号：</w:t>
            </w:r>
            <w:r>
              <w:rPr>
                <w:rFonts w:hint="eastAsia" w:ascii="仿宋" w:hAnsi="仿宋" w:eastAsia="仿宋" w:cs="仿宋"/>
                <w:b w:val="0"/>
                <w:bCs w:val="0"/>
                <w:color w:val="auto"/>
                <w:sz w:val="24"/>
                <w:szCs w:val="24"/>
              </w:rPr>
              <w:t>AWA14421</w:t>
            </w:r>
            <w:r>
              <w:rPr>
                <w:rFonts w:hint="eastAsia" w:ascii="仿宋" w:hAnsi="仿宋" w:eastAsia="仿宋" w:cs="仿宋"/>
                <w:b w:val="0"/>
                <w:bCs w:val="0"/>
                <w:color w:val="auto"/>
                <w:sz w:val="24"/>
                <w:szCs w:val="24"/>
                <w:lang w:val="en-US" w:eastAsia="zh-CN"/>
              </w:rPr>
              <w:t>B，</w:t>
            </w:r>
            <w:r>
              <w:rPr>
                <w:rFonts w:hint="eastAsia" w:ascii="仿宋" w:hAnsi="仿宋" w:eastAsia="仿宋" w:cs="仿宋"/>
                <w:b w:val="0"/>
                <w:bCs w:val="0"/>
                <w:color w:val="auto"/>
                <w:sz w:val="24"/>
                <w:szCs w:val="24"/>
              </w:rPr>
              <w:t>频率计权</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A，时间计权：F/S，</w:t>
            </w:r>
            <w:r>
              <w:rPr>
                <w:rFonts w:hint="eastAsia" w:ascii="仿宋" w:hAnsi="仿宋" w:eastAsia="仿宋" w:cs="仿宋"/>
                <w:b w:val="0"/>
                <w:bCs w:val="0"/>
                <w:color w:val="auto"/>
                <w:sz w:val="24"/>
                <w:szCs w:val="24"/>
              </w:rPr>
              <w:t>频率范围20 Hz～12.5 kHz</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测量上限&gt;130 dB</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13</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空气微生物采样器</w:t>
            </w:r>
          </w:p>
        </w:tc>
        <w:tc>
          <w:tcPr>
            <w:tcW w:w="4627" w:type="dxa"/>
            <w:noWrap w:val="0"/>
            <w:vAlign w:val="center"/>
          </w:tcPr>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13.</w:t>
            </w:r>
            <w:r>
              <w:rPr>
                <w:rFonts w:hint="eastAsia" w:ascii="仿宋" w:hAnsi="仿宋" w:eastAsia="仿宋" w:cs="仿宋"/>
                <w:b w:val="0"/>
                <w:bCs w:val="0"/>
                <w:color w:val="auto"/>
                <w:kern w:val="0"/>
                <w:sz w:val="24"/>
                <w:szCs w:val="24"/>
              </w:rPr>
              <w:t>1、捕获率：＞98﹪</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13.</w:t>
            </w:r>
            <w:r>
              <w:rPr>
                <w:rFonts w:hint="eastAsia" w:ascii="仿宋" w:hAnsi="仿宋" w:eastAsia="仿宋" w:cs="仿宋"/>
                <w:b w:val="0"/>
                <w:bCs w:val="0"/>
                <w:color w:val="auto"/>
                <w:kern w:val="0"/>
                <w:sz w:val="24"/>
                <w:szCs w:val="24"/>
              </w:rPr>
              <w:t>2、捕获粒子范围：</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第一级 &gt;7.0μm</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第二级 4.7~7.0μm</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第三级 3.3 ~4.7μm</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第四级 2.1~3.3μm</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第五级 1.1~2.1μm</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第六级 0.65~1.1μm</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13.</w:t>
            </w:r>
            <w:r>
              <w:rPr>
                <w:rFonts w:hint="eastAsia" w:ascii="仿宋" w:hAnsi="仿宋" w:eastAsia="仿宋" w:cs="仿宋"/>
                <w:b w:val="0"/>
                <w:bCs w:val="0"/>
                <w:color w:val="auto"/>
                <w:kern w:val="0"/>
                <w:sz w:val="24"/>
                <w:szCs w:val="24"/>
              </w:rPr>
              <w:t>3、采样流量：28.3升/ (可调)</w:t>
            </w:r>
          </w:p>
          <w:p>
            <w:pPr>
              <w:keepNext w:val="0"/>
              <w:keepLines w:val="0"/>
              <w:pageBreakBefore w:val="0"/>
              <w:widowControl/>
              <w:shd w:val="clear" w:color="auto" w:fill="FFFFFF"/>
              <w:kinsoku/>
              <w:wordWrap/>
              <w:overflowPunct/>
              <w:topLinePunct w:val="0"/>
              <w:bidi w:val="0"/>
              <w:spacing w:line="300" w:lineRule="exact"/>
              <w:jc w:val="lef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kern w:val="0"/>
                <w:sz w:val="24"/>
                <w:szCs w:val="24"/>
                <w:lang w:val="en-US" w:eastAsia="zh-CN"/>
              </w:rPr>
              <w:t>13.</w:t>
            </w:r>
            <w:r>
              <w:rPr>
                <w:rFonts w:hint="eastAsia" w:ascii="仿宋" w:hAnsi="仿宋" w:eastAsia="仿宋" w:cs="仿宋"/>
                <w:b w:val="0"/>
                <w:bCs w:val="0"/>
                <w:color w:val="auto"/>
                <w:kern w:val="0"/>
                <w:sz w:val="24"/>
                <w:szCs w:val="24"/>
              </w:rPr>
              <w:t>4、电源：~220V，50HZ</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14</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数字式照度计</w:t>
            </w:r>
          </w:p>
        </w:tc>
        <w:tc>
          <w:tcPr>
            <w:tcW w:w="46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outlineLvl w:val="9"/>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14.1显示器31/2位液晶显示，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outlineLvl w:val="9"/>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14.2测量范围20/200/2000/20000Lux</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outlineLvl w:val="9"/>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(1330alsoFootcandlefor1334A)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outlineLvl w:val="9"/>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200/2000/20000/200000Lux(1332A)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outlineLvl w:val="9"/>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20000lux-readingx10;</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kern w:val="0"/>
                <w:sz w:val="24"/>
                <w:szCs w:val="24"/>
                <w:lang w:val="en-US" w:eastAsia="zh-CN" w:bidi="ar"/>
              </w:rPr>
              <w:t>14.3分辨率0.01Lux(1330A,1334A)&amp;0.1Lux(1332A)；温度特性±0.1%/℃；</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15</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数字微风仪</w:t>
            </w:r>
          </w:p>
        </w:tc>
        <w:tc>
          <w:tcPr>
            <w:tcW w:w="4627" w:type="dxa"/>
            <w:noWrap w:val="0"/>
            <w:vAlign w:val="center"/>
          </w:tcPr>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1、CE认证合格</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2、携带方便、单手可操作</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3、背光显示</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4、zui大读值锁定功能</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5、使用滚珠轴承</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6、平均读值可达多点量测</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7、记录zui小值/zui大值/平均值</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8、移动式2/16 秒平均，zui大、zui小及平均风量测量</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9、测量单位：风速单位、海浬/小时、公里/小时、公尺/秒、呎/分</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10、高精密NTC温度传感器</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lang w:val="en-US" w:eastAsia="zh-CN"/>
              </w:rPr>
              <w:t>15.</w:t>
            </w:r>
            <w:r>
              <w:rPr>
                <w:rFonts w:hint="eastAsia" w:ascii="仿宋" w:hAnsi="仿宋" w:eastAsia="仿宋" w:cs="仿宋"/>
                <w:b w:val="0"/>
                <w:bCs w:val="0"/>
                <w:i w:val="0"/>
                <w:iCs w:val="0"/>
                <w:caps w:val="0"/>
                <w:color w:val="auto"/>
                <w:spacing w:val="0"/>
                <w:sz w:val="24"/>
                <w:szCs w:val="24"/>
              </w:rPr>
              <w:t>11、自动关机功能</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技术参数：</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15.12</w:t>
            </w:r>
            <w:r>
              <w:rPr>
                <w:rFonts w:hint="eastAsia" w:ascii="仿宋" w:hAnsi="仿宋" w:eastAsia="仿宋" w:cs="仿宋"/>
                <w:b w:val="0"/>
                <w:bCs w:val="0"/>
                <w:i w:val="0"/>
                <w:iCs w:val="0"/>
                <w:caps w:val="0"/>
                <w:color w:val="auto"/>
                <w:spacing w:val="0"/>
                <w:sz w:val="24"/>
                <w:szCs w:val="24"/>
              </w:rPr>
              <w:t>测量项目：风速/风温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15.13</w:t>
            </w:r>
            <w:r>
              <w:rPr>
                <w:rFonts w:hint="eastAsia" w:ascii="仿宋" w:hAnsi="仿宋" w:eastAsia="仿宋" w:cs="仿宋"/>
                <w:b w:val="0"/>
                <w:bCs w:val="0"/>
                <w:i w:val="0"/>
                <w:iCs w:val="0"/>
                <w:caps w:val="0"/>
                <w:color w:val="auto"/>
                <w:spacing w:val="0"/>
                <w:sz w:val="24"/>
                <w:szCs w:val="24"/>
              </w:rPr>
              <w:t>测量范围：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----风速： 0~30米/秒, 1.4~90千米/小时, 0~5860英尺/分, 0~55海里/小时, 0~65英里/小时 (精确度：± 5%)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----风温： -10~45o C, 14~113o F (精确度：± 2o C)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15.14</w:t>
            </w:r>
            <w:r>
              <w:rPr>
                <w:rFonts w:hint="eastAsia" w:ascii="仿宋" w:hAnsi="仿宋" w:eastAsia="仿宋" w:cs="仿宋"/>
                <w:b w:val="0"/>
                <w:bCs w:val="0"/>
                <w:i w:val="0"/>
                <w:iCs w:val="0"/>
                <w:caps w:val="0"/>
                <w:color w:val="auto"/>
                <w:spacing w:val="0"/>
                <w:sz w:val="24"/>
                <w:szCs w:val="24"/>
              </w:rPr>
              <w:t>分辨率： 0.2o C, 0.2m/s</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15.15</w:t>
            </w:r>
            <w:r>
              <w:rPr>
                <w:rFonts w:hint="eastAsia" w:ascii="仿宋" w:hAnsi="仿宋" w:eastAsia="仿宋" w:cs="仿宋"/>
                <w:b w:val="0"/>
                <w:bCs w:val="0"/>
                <w:i w:val="0"/>
                <w:iCs w:val="0"/>
                <w:caps w:val="0"/>
                <w:color w:val="auto"/>
                <w:spacing w:val="0"/>
                <w:sz w:val="24"/>
                <w:szCs w:val="24"/>
              </w:rPr>
              <w:t>LCD数字显示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15.16</w:t>
            </w:r>
            <w:r>
              <w:rPr>
                <w:rFonts w:hint="eastAsia" w:ascii="仿宋" w:hAnsi="仿宋" w:eastAsia="仿宋" w:cs="仿宋"/>
                <w:b w:val="0"/>
                <w:bCs w:val="0"/>
                <w:i w:val="0"/>
                <w:iCs w:val="0"/>
                <w:caps w:val="0"/>
                <w:color w:val="auto"/>
                <w:spacing w:val="0"/>
                <w:sz w:val="24"/>
                <w:szCs w:val="24"/>
              </w:rPr>
              <w:t>低电压显示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 xml:space="preserve">15.17 </w:t>
            </w:r>
            <w:r>
              <w:rPr>
                <w:rFonts w:hint="eastAsia" w:ascii="仿宋" w:hAnsi="仿宋" w:eastAsia="仿宋" w:cs="仿宋"/>
                <w:b w:val="0"/>
                <w:bCs w:val="0"/>
                <w:i w:val="0"/>
                <w:iCs w:val="0"/>
                <w:caps w:val="0"/>
                <w:color w:val="auto"/>
                <w:spacing w:val="0"/>
                <w:sz w:val="24"/>
                <w:szCs w:val="24"/>
              </w:rPr>
              <w:t>14分钟无操作自动关机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15.18</w:t>
            </w:r>
            <w:r>
              <w:rPr>
                <w:rFonts w:hint="eastAsia" w:ascii="仿宋" w:hAnsi="仿宋" w:eastAsia="仿宋" w:cs="仿宋"/>
                <w:b w:val="0"/>
                <w:bCs w:val="0"/>
                <w:i w:val="0"/>
                <w:iCs w:val="0"/>
                <w:caps w:val="0"/>
                <w:color w:val="auto"/>
                <w:spacing w:val="0"/>
                <w:sz w:val="24"/>
                <w:szCs w:val="24"/>
              </w:rPr>
              <w:t>LCD背光显示</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lang w:val="en-US" w:eastAsia="zh-CN"/>
              </w:rPr>
              <w:t>15.19最</w:t>
            </w:r>
            <w:r>
              <w:rPr>
                <w:rFonts w:hint="eastAsia" w:ascii="仿宋" w:hAnsi="仿宋" w:eastAsia="仿宋" w:cs="仿宋"/>
                <w:b w:val="0"/>
                <w:bCs w:val="0"/>
                <w:i w:val="0"/>
                <w:iCs w:val="0"/>
                <w:caps w:val="0"/>
                <w:color w:val="auto"/>
                <w:spacing w:val="0"/>
                <w:sz w:val="24"/>
                <w:szCs w:val="24"/>
              </w:rPr>
              <w:t>大值/</w:t>
            </w:r>
            <w:r>
              <w:rPr>
                <w:rFonts w:hint="eastAsia" w:ascii="仿宋" w:hAnsi="仿宋" w:eastAsia="仿宋" w:cs="仿宋"/>
                <w:b w:val="0"/>
                <w:bCs w:val="0"/>
                <w:i w:val="0"/>
                <w:iCs w:val="0"/>
                <w:caps w:val="0"/>
                <w:color w:val="auto"/>
                <w:spacing w:val="0"/>
                <w:sz w:val="24"/>
                <w:szCs w:val="24"/>
                <w:lang w:val="en-US" w:eastAsia="zh-CN"/>
              </w:rPr>
              <w:t>最</w:t>
            </w:r>
            <w:r>
              <w:rPr>
                <w:rFonts w:hint="eastAsia" w:ascii="仿宋" w:hAnsi="仿宋" w:eastAsia="仿宋" w:cs="仿宋"/>
                <w:b w:val="0"/>
                <w:bCs w:val="0"/>
                <w:i w:val="0"/>
                <w:iCs w:val="0"/>
                <w:caps w:val="0"/>
                <w:color w:val="auto"/>
                <w:spacing w:val="0"/>
                <w:sz w:val="24"/>
                <w:szCs w:val="24"/>
              </w:rPr>
              <w:t>小值/平均值显示</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val="en-US" w:eastAsia="zh-CN"/>
              </w:rPr>
              <w:t>15.20</w:t>
            </w:r>
            <w:r>
              <w:rPr>
                <w:rFonts w:hint="eastAsia" w:ascii="仿宋" w:hAnsi="仿宋" w:eastAsia="仿宋" w:cs="仿宋"/>
                <w:b w:val="0"/>
                <w:bCs w:val="0"/>
                <w:i w:val="0"/>
                <w:iCs w:val="0"/>
                <w:caps w:val="0"/>
                <w:color w:val="auto"/>
                <w:spacing w:val="0"/>
                <w:sz w:val="24"/>
                <w:szCs w:val="24"/>
              </w:rPr>
              <w:t>包装方式：吸塑+卡纸</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300" w:lineRule="exact"/>
              <w:ind w:left="0" w:right="0"/>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 w:val="0"/>
                <w:iCs w:val="0"/>
                <w:caps w:val="0"/>
                <w:color w:val="auto"/>
                <w:spacing w:val="0"/>
                <w:sz w:val="24"/>
                <w:szCs w:val="24"/>
                <w:lang w:val="en-US" w:eastAsia="zh-CN"/>
              </w:rPr>
              <w:t>15.21</w:t>
            </w:r>
            <w:r>
              <w:rPr>
                <w:rFonts w:hint="eastAsia" w:ascii="仿宋" w:hAnsi="仿宋" w:eastAsia="仿宋" w:cs="仿宋"/>
                <w:b w:val="0"/>
                <w:bCs w:val="0"/>
                <w:i w:val="0"/>
                <w:iCs w:val="0"/>
                <w:caps w:val="0"/>
                <w:color w:val="auto"/>
                <w:spacing w:val="0"/>
                <w:sz w:val="24"/>
                <w:szCs w:val="24"/>
              </w:rPr>
              <w:t>电源：6F22 9V</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kern w:val="2"/>
                <w:sz w:val="24"/>
                <w:szCs w:val="24"/>
                <w:highlight w:val="none"/>
                <w:u w:val="none"/>
                <w:lang w:val="en-US" w:eastAsia="zh-CN" w:bidi="ar-SA"/>
              </w:rPr>
              <w:t>16</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数字温湿度计</w:t>
            </w: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 w:val="0"/>
                <w:iCs w:val="0"/>
                <w:caps w:val="0"/>
                <w:color w:val="auto"/>
                <w:spacing w:val="0"/>
                <w:kern w:val="0"/>
                <w:sz w:val="24"/>
                <w:szCs w:val="24"/>
                <w:lang w:val="en-US" w:eastAsia="zh-CN" w:bidi="ar"/>
              </w:rPr>
              <w:t>湿度测量0～99%RH；温度测量零下10～60℃，14～140℉；采样速率0.5秒</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17</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便携式电导仪</w:t>
            </w:r>
          </w:p>
        </w:tc>
        <w:tc>
          <w:tcPr>
            <w:tcW w:w="4627" w:type="dxa"/>
            <w:noWrap w:val="0"/>
            <w:vAlign w:val="center"/>
          </w:tcPr>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kern w:val="0"/>
                <w:sz w:val="24"/>
                <w:szCs w:val="24"/>
                <w:shd w:val="clear" w:fill="FFFFFF"/>
                <w:lang w:val="en-US" w:eastAsia="zh-CN" w:bidi="ar"/>
              </w:rPr>
            </w:pPr>
            <w:r>
              <w:rPr>
                <w:rFonts w:hint="eastAsia" w:ascii="仿宋" w:hAnsi="仿宋" w:eastAsia="仿宋" w:cs="仿宋"/>
                <w:b w:val="0"/>
                <w:bCs w:val="0"/>
                <w:i w:val="0"/>
                <w:caps w:val="0"/>
                <w:color w:val="auto"/>
                <w:spacing w:val="0"/>
                <w:kern w:val="0"/>
                <w:sz w:val="24"/>
                <w:szCs w:val="24"/>
                <w:shd w:val="clear" w:fill="FFFFFF"/>
                <w:lang w:val="en-US" w:eastAsia="zh-CN" w:bidi="ar"/>
              </w:rPr>
              <w:t xml:space="preserve">17.1、电导率测量范围： (0～199.9)μs/cm ；(200～1999)μs/cm ；(2.00～19.99)ms/cm ；(20.0～199.9)ms/cm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kern w:val="0"/>
                <w:sz w:val="24"/>
                <w:szCs w:val="24"/>
                <w:shd w:val="clear" w:fill="FFFFFF"/>
                <w:lang w:val="en-US" w:eastAsia="zh-CN" w:bidi="ar"/>
              </w:rPr>
            </w:pPr>
            <w:r>
              <w:rPr>
                <w:rFonts w:hint="eastAsia" w:ascii="仿宋" w:hAnsi="仿宋" w:eastAsia="仿宋" w:cs="仿宋"/>
                <w:b w:val="0"/>
                <w:bCs w:val="0"/>
                <w:i w:val="0"/>
                <w:caps w:val="0"/>
                <w:color w:val="auto"/>
                <w:spacing w:val="0"/>
                <w:kern w:val="0"/>
                <w:sz w:val="24"/>
                <w:szCs w:val="24"/>
                <w:shd w:val="clear" w:fill="FFFFFF"/>
                <w:lang w:val="en-US" w:eastAsia="zh-CN" w:bidi="ar"/>
              </w:rPr>
              <w:t>17.2、分辨率: 0.1/1μs/cm ；0.01/0.1ms/cm </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kern w:val="0"/>
                <w:sz w:val="24"/>
                <w:szCs w:val="24"/>
                <w:shd w:val="clear" w:fill="FFFFFF"/>
                <w:lang w:val="en-US" w:eastAsia="zh-CN" w:bidi="ar"/>
              </w:rPr>
            </w:pPr>
            <w:r>
              <w:rPr>
                <w:rFonts w:hint="eastAsia" w:ascii="仿宋" w:hAnsi="仿宋" w:eastAsia="仿宋" w:cs="仿宋"/>
                <w:b w:val="0"/>
                <w:bCs w:val="0"/>
                <w:i w:val="0"/>
                <w:caps w:val="0"/>
                <w:color w:val="auto"/>
                <w:spacing w:val="0"/>
                <w:kern w:val="0"/>
                <w:sz w:val="24"/>
                <w:szCs w:val="24"/>
                <w:shd w:val="clear" w:fill="FFFFFF"/>
                <w:lang w:val="en-US" w:eastAsia="zh-CN" w:bidi="ar"/>
              </w:rPr>
              <w:t>17.3、准确度:电计:±1.0%FS;配套:±1.5%FS</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kern w:val="0"/>
                <w:sz w:val="24"/>
                <w:szCs w:val="24"/>
                <w:shd w:val="clear" w:fill="FFFFFF"/>
                <w:lang w:val="en-US" w:eastAsia="zh-CN" w:bidi="ar"/>
              </w:rPr>
            </w:pPr>
            <w:r>
              <w:rPr>
                <w:rFonts w:hint="eastAsia" w:ascii="仿宋" w:hAnsi="仿宋" w:eastAsia="仿宋" w:cs="仿宋"/>
                <w:b w:val="0"/>
                <w:bCs w:val="0"/>
                <w:i w:val="0"/>
                <w:caps w:val="0"/>
                <w:color w:val="auto"/>
                <w:spacing w:val="0"/>
                <w:kern w:val="0"/>
                <w:sz w:val="24"/>
                <w:szCs w:val="24"/>
                <w:shd w:val="clear" w:fill="FFFFFF"/>
                <w:lang w:val="en-US" w:eastAsia="zh-CN" w:bidi="ar"/>
              </w:rPr>
              <w:t>17.4、温度补偿:10－50℃手动补偿</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 w:val="0"/>
                <w:caps w:val="0"/>
                <w:color w:val="auto"/>
                <w:spacing w:val="0"/>
                <w:kern w:val="0"/>
                <w:sz w:val="24"/>
                <w:szCs w:val="24"/>
                <w:shd w:val="clear" w:fill="FFFFFF"/>
                <w:lang w:val="en-US" w:eastAsia="zh-CN" w:bidi="ar"/>
              </w:rPr>
              <w:t>17.5、基本配置:DJS-1E(铂黑)电极; 1408μs/cm 电导率标准校准座; 7号DC1.5V电池4节</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18</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浊度仪</w:t>
            </w:r>
          </w:p>
        </w:tc>
        <w:tc>
          <w:tcPr>
            <w:tcW w:w="4627" w:type="dxa"/>
            <w:noWrap w:val="0"/>
            <w:vAlign w:val="center"/>
          </w:tcPr>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right="0" w:rightChars="0" w:firstLine="0"/>
              <w:jc w:val="left"/>
              <w:textAlignment w:val="auto"/>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18.</w:t>
            </w:r>
            <w:r>
              <w:rPr>
                <w:rFonts w:hint="eastAsia" w:ascii="仿宋" w:hAnsi="仿宋" w:eastAsia="仿宋" w:cs="仿宋"/>
                <w:b w:val="0"/>
                <w:bCs w:val="0"/>
                <w:i w:val="0"/>
                <w:caps w:val="0"/>
                <w:color w:val="auto"/>
                <w:spacing w:val="0"/>
                <w:sz w:val="24"/>
                <w:szCs w:val="24"/>
                <w:shd w:val="clear" w:fill="FFFFFF"/>
              </w:rPr>
              <w:t>1、流线形外型设计，简洁的操作和较高的性价比</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right="0" w:rightChars="0" w:firstLine="0"/>
              <w:jc w:val="left"/>
              <w:textAlignment w:val="auto"/>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18.</w:t>
            </w:r>
            <w:r>
              <w:rPr>
                <w:rFonts w:hint="eastAsia" w:ascii="仿宋" w:hAnsi="仿宋" w:eastAsia="仿宋" w:cs="仿宋"/>
                <w:b w:val="0"/>
                <w:bCs w:val="0"/>
                <w:i w:val="0"/>
                <w:caps w:val="0"/>
                <w:color w:val="auto"/>
                <w:spacing w:val="0"/>
                <w:sz w:val="24"/>
                <w:szCs w:val="24"/>
                <w:shd w:val="clear" w:fill="FFFFFF"/>
              </w:rPr>
              <w:t>2、大屏幕LCD数字清晰显示，采用低漂移、高精度电路系统</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right="0" w:rightChars="0" w:firstLine="0"/>
              <w:jc w:val="left"/>
              <w:textAlignment w:val="auto"/>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18.</w:t>
            </w:r>
            <w:r>
              <w:rPr>
                <w:rFonts w:hint="eastAsia" w:ascii="仿宋" w:hAnsi="仿宋" w:eastAsia="仿宋" w:cs="仿宋"/>
                <w:b w:val="0"/>
                <w:bCs w:val="0"/>
                <w:i w:val="0"/>
                <w:caps w:val="0"/>
                <w:color w:val="auto"/>
                <w:spacing w:val="0"/>
                <w:sz w:val="24"/>
                <w:szCs w:val="24"/>
                <w:shd w:val="clear" w:fill="FFFFFF"/>
              </w:rPr>
              <w:t>3、可靠的定位结构及高精度光路系统，仪器能长时间稳定工作</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right="0" w:rightChars="0" w:firstLine="0"/>
              <w:jc w:val="left"/>
              <w:textAlignment w:val="auto"/>
              <w:rPr>
                <w:rFonts w:hint="eastAsia" w:ascii="仿宋" w:hAnsi="仿宋" w:eastAsia="仿宋" w:cs="仿宋"/>
                <w:b w:val="0"/>
                <w:bCs w:val="0"/>
                <w:i w:val="0"/>
                <w:caps w:val="0"/>
                <w:color w:val="auto"/>
                <w:spacing w:val="0"/>
                <w:sz w:val="24"/>
                <w:szCs w:val="24"/>
                <w:shd w:val="clear" w:fill="FFFFFF"/>
              </w:rPr>
            </w:pPr>
            <w:r>
              <w:rPr>
                <w:rFonts w:hint="eastAsia" w:ascii="仿宋" w:hAnsi="仿宋" w:eastAsia="仿宋" w:cs="仿宋"/>
                <w:b w:val="0"/>
                <w:bCs w:val="0"/>
                <w:i w:val="0"/>
                <w:caps w:val="0"/>
                <w:color w:val="auto"/>
                <w:spacing w:val="0"/>
                <w:sz w:val="24"/>
                <w:szCs w:val="24"/>
                <w:shd w:val="clear" w:fill="FFFFFF"/>
                <w:lang w:val="en-US" w:eastAsia="zh-CN"/>
              </w:rPr>
              <w:t>18.</w:t>
            </w:r>
            <w:r>
              <w:rPr>
                <w:rFonts w:hint="eastAsia" w:ascii="仿宋" w:hAnsi="仿宋" w:eastAsia="仿宋" w:cs="仿宋"/>
                <w:b w:val="0"/>
                <w:bCs w:val="0"/>
                <w:i w:val="0"/>
                <w:caps w:val="0"/>
                <w:color w:val="auto"/>
                <w:spacing w:val="0"/>
                <w:sz w:val="24"/>
                <w:szCs w:val="24"/>
                <w:shd w:val="clear" w:fill="FFFFFF"/>
              </w:rPr>
              <w:t>4、色度补偿，有效避免试样颜色引起的干扰，能正确反映浊度的概念</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00" w:lineRule="exact"/>
              <w:ind w:left="0" w:right="0" w:rightChars="0" w:firstLine="0"/>
              <w:jc w:val="left"/>
              <w:textAlignment w:val="auto"/>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 w:val="0"/>
                <w:caps w:val="0"/>
                <w:color w:val="auto"/>
                <w:spacing w:val="0"/>
                <w:sz w:val="24"/>
                <w:szCs w:val="24"/>
                <w:shd w:val="clear" w:fill="FFFFFF"/>
                <w:lang w:val="en-US" w:eastAsia="zh-CN"/>
              </w:rPr>
              <w:t>18.</w:t>
            </w:r>
            <w:r>
              <w:rPr>
                <w:rFonts w:hint="eastAsia" w:ascii="仿宋" w:hAnsi="仿宋" w:eastAsia="仿宋" w:cs="仿宋"/>
                <w:b w:val="0"/>
                <w:bCs w:val="0"/>
                <w:i w:val="0"/>
                <w:caps w:val="0"/>
                <w:color w:val="auto"/>
                <w:spacing w:val="0"/>
                <w:sz w:val="24"/>
                <w:szCs w:val="24"/>
                <w:shd w:val="clear" w:fill="FFFFFF"/>
              </w:rPr>
              <w:t>5、高强度长寿命光源，无更换之忧虑，30秒预热时间即可正常工作</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19</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水质速检箱</w:t>
            </w: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rPr>
              <w:t>水质采样器250ml采样量</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水质采样器30ml采样量</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采样罐250ml</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7号采样袋  200×140mm</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3号采样袋  100×70mm</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20</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余氯测定仪</w:t>
            </w:r>
          </w:p>
        </w:tc>
        <w:tc>
          <w:tcPr>
            <w:tcW w:w="4627" w:type="dxa"/>
            <w:noWrap w:val="0"/>
            <w:vAlign w:val="center"/>
          </w:tcPr>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1.余氯、总氯、化合氯测量范围：0-2.5mg/L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2. 分辨率：0.001mg/L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3.重复性：±2%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4.线性误差：≤±5％FS</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5.电源电压：DC9V</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特点： </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1.微电脑，轻触式键盘，LCD液晶数字清晰显示，使用方便。</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2.采用分光光度的光电比色原理， 应用方便试剂，水样放入试剂反应后十几秒即可读数，数字显示余氯的值。</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.主机内置大功率锂电池，适用于实验室或野外现场定量测量，充电4小时可连续使用4小时，即充即用。</w:t>
            </w:r>
          </w:p>
          <w:p>
            <w:pPr>
              <w:pStyle w:val="693"/>
              <w:keepNext w:val="0"/>
              <w:keepLines w:val="0"/>
              <w:pageBreakBefore w:val="0"/>
              <w:kinsoku/>
              <w:wordWrap/>
              <w:overflowPunct/>
              <w:topLinePunct w:val="0"/>
              <w:bidi w:val="0"/>
              <w:spacing w:line="300" w:lineRule="exact"/>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.仪器内存储有全量程范围内的标定曲线 ，具有断电保护，标定数据不会丢失。可自动调零和5点自动校正，数据有非线性处理及数据平滑功能，仪表最小读数为0.001mg/L。</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21</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紫外线辐照计</w:t>
            </w:r>
          </w:p>
        </w:tc>
        <w:tc>
          <w:tcPr>
            <w:tcW w:w="4627"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sz w:val="24"/>
                <w:szCs w:val="24"/>
              </w:rPr>
            </w:pPr>
            <w:r>
              <w:rPr>
                <w:rFonts w:hint="eastAsia" w:ascii="仿宋" w:hAnsi="仿宋" w:eastAsia="仿宋" w:cs="仿宋"/>
                <w:b w:val="0"/>
                <w:bCs w:val="0"/>
                <w:i w:val="0"/>
                <w:caps w:val="0"/>
                <w:color w:val="auto"/>
                <w:spacing w:val="0"/>
                <w:kern w:val="0"/>
                <w:sz w:val="24"/>
                <w:szCs w:val="24"/>
                <w:shd w:val="clear" w:color="auto" w:fill="FFFFFF"/>
                <w:lang w:val="en-US" w:eastAsia="zh-CN" w:bidi="ar"/>
              </w:rPr>
              <w:t>21.1.波长范围及峰值波长 (其中单通道仪器在二者中择其一)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sz w:val="24"/>
                <w:szCs w:val="24"/>
              </w:rPr>
            </w:pPr>
            <w:r>
              <w:rPr>
                <w:rFonts w:hint="eastAsia" w:ascii="仿宋" w:hAnsi="仿宋" w:eastAsia="仿宋" w:cs="仿宋"/>
                <w:b w:val="0"/>
                <w:bCs w:val="0"/>
                <w:i w:val="0"/>
                <w:caps w:val="0"/>
                <w:color w:val="auto"/>
                <w:spacing w:val="0"/>
                <w:kern w:val="0"/>
                <w:sz w:val="24"/>
                <w:szCs w:val="24"/>
                <w:shd w:val="clear" w:color="auto" w:fill="FFFFFF"/>
                <w:lang w:val="en-US" w:eastAsia="zh-CN" w:bidi="ar"/>
              </w:rPr>
              <w:t>（1）UV－365探头（光谱响应曲线见图）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sz w:val="24"/>
                <w:szCs w:val="24"/>
              </w:rPr>
            </w:pPr>
            <w:r>
              <w:rPr>
                <w:rFonts w:hint="eastAsia" w:ascii="仿宋" w:hAnsi="仿宋" w:eastAsia="仿宋" w:cs="仿宋"/>
                <w:b w:val="0"/>
                <w:bCs w:val="0"/>
                <w:i w:val="0"/>
                <w:caps w:val="0"/>
                <w:color w:val="auto"/>
                <w:spacing w:val="0"/>
                <w:kern w:val="0"/>
                <w:sz w:val="24"/>
                <w:szCs w:val="24"/>
                <w:shd w:val="clear" w:color="auto" w:fill="FFFFFF"/>
                <w:lang w:val="en-US" w:eastAsia="zh-CN" w:bidi="ar"/>
              </w:rPr>
              <w:t> λ：(320～400)nm； λP＝365nm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sz w:val="24"/>
                <w:szCs w:val="24"/>
              </w:rPr>
            </w:pPr>
            <w:r>
              <w:rPr>
                <w:rFonts w:hint="eastAsia" w:ascii="仿宋" w:hAnsi="仿宋" w:eastAsia="仿宋" w:cs="仿宋"/>
                <w:b w:val="0"/>
                <w:bCs w:val="0"/>
                <w:i w:val="0"/>
                <w:caps w:val="0"/>
                <w:color w:val="auto"/>
                <w:spacing w:val="0"/>
                <w:kern w:val="0"/>
                <w:sz w:val="24"/>
                <w:szCs w:val="24"/>
                <w:shd w:val="clear" w:color="auto" w:fill="FFFFFF"/>
                <w:lang w:val="en-US" w:eastAsia="zh-CN" w:bidi="ar"/>
              </w:rPr>
              <w:t>（2）UV－420探头（光谱响应曲线见图）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sz w:val="24"/>
                <w:szCs w:val="24"/>
              </w:rPr>
            </w:pPr>
            <w:r>
              <w:rPr>
                <w:rFonts w:hint="eastAsia" w:ascii="仿宋" w:hAnsi="仿宋" w:eastAsia="仿宋" w:cs="仿宋"/>
                <w:b w:val="0"/>
                <w:bCs w:val="0"/>
                <w:i w:val="0"/>
                <w:caps w:val="0"/>
                <w:color w:val="auto"/>
                <w:spacing w:val="0"/>
                <w:kern w:val="0"/>
                <w:sz w:val="24"/>
                <w:szCs w:val="24"/>
                <w:shd w:val="clear" w:color="auto" w:fill="FFFFFF"/>
                <w:lang w:val="en-US" w:eastAsia="zh-CN" w:bidi="ar"/>
              </w:rPr>
              <w:t>λ：(375～475)nm； λP＝420nm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 w:val="0"/>
                <w:caps w:val="0"/>
                <w:color w:val="auto"/>
                <w:spacing w:val="0"/>
                <w:sz w:val="24"/>
                <w:szCs w:val="24"/>
              </w:rPr>
            </w:pPr>
            <w:r>
              <w:rPr>
                <w:rFonts w:hint="eastAsia" w:ascii="仿宋" w:hAnsi="仿宋" w:eastAsia="仿宋" w:cs="仿宋"/>
                <w:b w:val="0"/>
                <w:bCs w:val="0"/>
                <w:i w:val="0"/>
                <w:caps w:val="0"/>
                <w:color w:val="auto"/>
                <w:spacing w:val="0"/>
                <w:kern w:val="0"/>
                <w:sz w:val="24"/>
                <w:szCs w:val="24"/>
                <w:shd w:val="clear" w:color="auto" w:fill="FFFFFF"/>
                <w:lang w:val="en-US" w:eastAsia="zh-CN" w:bidi="ar"/>
              </w:rPr>
              <w:t>21.2.辐照度测量范围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00" w:lineRule="exact"/>
              <w:ind w:left="0" w:leftChars="0" w:right="0" w:rightChars="0" w:firstLine="0" w:firstLineChars="0"/>
              <w:jc w:val="left"/>
              <w:textAlignment w:val="auto"/>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 w:val="0"/>
                <w:caps w:val="0"/>
                <w:color w:val="auto"/>
                <w:spacing w:val="0"/>
                <w:kern w:val="0"/>
                <w:sz w:val="24"/>
                <w:szCs w:val="24"/>
                <w:shd w:val="clear" w:color="auto" w:fill="FFFFFF"/>
                <w:lang w:val="en-US" w:eastAsia="zh-CN" w:bidi="ar"/>
              </w:rPr>
              <w:t>(0.1～199.9×103)μW/cm2</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22</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环氧乙烷分析仪</w:t>
            </w: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color w:val="auto"/>
                <w:sz w:val="24"/>
                <w:szCs w:val="24"/>
                <w:lang w:eastAsia="zh-CN"/>
              </w:rPr>
              <w:t>工作温度：</w:t>
            </w:r>
            <w:r>
              <w:rPr>
                <w:rFonts w:hint="eastAsia" w:ascii="仿宋" w:hAnsi="仿宋" w:eastAsia="仿宋" w:cs="仿宋"/>
                <w:b w:val="0"/>
                <w:bCs w:val="0"/>
                <w:color w:val="auto"/>
                <w:sz w:val="24"/>
                <w:szCs w:val="24"/>
              </w:rPr>
              <w:t>-20</w:t>
            </w:r>
            <w:r>
              <w:rPr>
                <w:rFonts w:hint="eastAsia" w:ascii="仿宋" w:hAnsi="仿宋" w:eastAsia="仿宋" w:cs="仿宋"/>
                <w:b w:val="0"/>
                <w:bCs w:val="0"/>
                <w:color w:val="auto"/>
                <w:sz w:val="24"/>
                <w:szCs w:val="24"/>
              </w:rPr>
              <w:t>°C</w:t>
            </w:r>
            <w:r>
              <w:rPr>
                <w:rFonts w:hint="eastAsia" w:ascii="仿宋" w:hAnsi="仿宋" w:eastAsia="仿宋" w:cs="仿宋"/>
                <w:b w:val="0"/>
                <w:bCs w:val="0"/>
                <w:color w:val="auto"/>
                <w:sz w:val="24"/>
                <w:szCs w:val="24"/>
              </w:rPr>
              <w:t>～50</w:t>
            </w:r>
            <w:r>
              <w:rPr>
                <w:rFonts w:hint="eastAsia" w:ascii="仿宋" w:hAnsi="仿宋" w:eastAsia="仿宋" w:cs="仿宋"/>
                <w:b w:val="0"/>
                <w:bCs w:val="0"/>
                <w:color w:val="auto"/>
                <w:sz w:val="24"/>
                <w:szCs w:val="24"/>
              </w:rPr>
              <w:t>°C</w:t>
            </w:r>
            <w:r>
              <w:rPr>
                <w:rFonts w:hint="eastAsia" w:ascii="仿宋" w:hAnsi="仿宋" w:eastAsia="仿宋" w:cs="仿宋"/>
                <w:b w:val="0"/>
                <w:bCs w:val="0"/>
                <w:color w:val="auto"/>
                <w:sz w:val="24"/>
                <w:szCs w:val="24"/>
                <w:lang w:eastAsia="zh-CN"/>
              </w:rPr>
              <w:t>，报警信号：</w:t>
            </w:r>
            <w:r>
              <w:rPr>
                <w:rFonts w:hint="eastAsia" w:ascii="仿宋" w:hAnsi="仿宋" w:eastAsia="仿宋" w:cs="仿宋"/>
                <w:b w:val="0"/>
                <w:bCs w:val="0"/>
                <w:color w:val="auto"/>
                <w:sz w:val="24"/>
                <w:szCs w:val="24"/>
              </w:rPr>
              <w:t>高/低报警、TWA/STEL 报警（可自行设定）、电池欠压报警、超量程报警</w:t>
            </w:r>
            <w:r>
              <w:rPr>
                <w:rFonts w:hint="eastAsia" w:ascii="仿宋" w:hAnsi="仿宋" w:eastAsia="仿宋" w:cs="仿宋"/>
                <w:b w:val="0"/>
                <w:bCs w:val="0"/>
                <w:color w:val="auto"/>
                <w:sz w:val="24"/>
                <w:szCs w:val="24"/>
                <w:lang w:eastAsia="zh-CN"/>
              </w:rPr>
              <w:t>，标定：</w:t>
            </w:r>
            <w:r>
              <w:rPr>
                <w:rFonts w:hint="eastAsia" w:ascii="仿宋" w:hAnsi="仿宋" w:eastAsia="仿宋" w:cs="仿宋"/>
                <w:b w:val="0"/>
                <w:bCs w:val="0"/>
                <w:color w:val="auto"/>
                <w:sz w:val="24"/>
                <w:szCs w:val="24"/>
              </w:rPr>
              <w:t>手动和自动标定平台；修改标定气体浓度</w:t>
            </w:r>
            <w:r>
              <w:rPr>
                <w:rFonts w:hint="eastAsia" w:ascii="仿宋" w:hAnsi="仿宋" w:eastAsia="仿宋" w:cs="仿宋"/>
                <w:b w:val="0"/>
                <w:bCs w:val="0"/>
                <w:color w:val="auto"/>
                <w:sz w:val="24"/>
                <w:szCs w:val="24"/>
                <w:lang w:eastAsia="zh-CN"/>
              </w:rPr>
              <w:t>；储存：</w:t>
            </w:r>
            <w:r>
              <w:rPr>
                <w:rFonts w:hint="eastAsia" w:ascii="仿宋" w:hAnsi="仿宋" w:eastAsia="仿宋" w:cs="仿宋"/>
                <w:b w:val="0"/>
                <w:bCs w:val="0"/>
                <w:color w:val="auto"/>
                <w:sz w:val="24"/>
                <w:szCs w:val="24"/>
              </w:rPr>
              <w:t>最近 50 次事件，累计报警时间</w:t>
            </w:r>
            <w:r>
              <w:rPr>
                <w:rFonts w:hint="eastAsia" w:ascii="仿宋" w:hAnsi="仿宋" w:eastAsia="仿宋" w:cs="仿宋"/>
                <w:b w:val="0"/>
                <w:bCs w:val="0"/>
                <w:color w:val="auto"/>
                <w:sz w:val="24"/>
                <w:szCs w:val="24"/>
                <w:lang w:eastAsia="zh-CN"/>
              </w:rPr>
              <w:t>；防护等级：</w:t>
            </w:r>
            <w:r>
              <w:rPr>
                <w:rFonts w:hint="eastAsia" w:ascii="仿宋" w:hAnsi="仿宋" w:eastAsia="仿宋" w:cs="仿宋"/>
                <w:b w:val="0"/>
                <w:bCs w:val="0"/>
                <w:color w:val="auto"/>
                <w:sz w:val="24"/>
                <w:szCs w:val="24"/>
                <w:lang w:val="en-US" w:eastAsia="zh-CN"/>
              </w:rPr>
              <w:t>IP67.</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23</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ATP荧光检测仪</w:t>
            </w: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23.1.</w:t>
            </w:r>
            <w:r>
              <w:rPr>
                <w:rFonts w:hint="eastAsia" w:ascii="仿宋" w:hAnsi="仿宋" w:eastAsia="仿宋" w:cs="仿宋"/>
                <w:b w:val="0"/>
                <w:bCs w:val="0"/>
                <w:i w:val="0"/>
                <w:caps w:val="0"/>
                <w:color w:val="auto"/>
                <w:spacing w:val="0"/>
                <w:sz w:val="24"/>
                <w:szCs w:val="24"/>
                <w:shd w:val="clear" w:fill="FFFFFF"/>
              </w:rPr>
              <w:t>进口高灵敏度光电传感器。</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2.检测精度：2×10-15?mol ATP。</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3.检测范围：0-9999?RLUs。</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4.检测下限：大肠杆菌1.0 CFU/ml。</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5.开机自检：30秒（内置自校光源）。</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6.检测时间：15秒。</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7.精确误差：±5%。</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8.相关系数：≥0.995。</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9.数据内容：RLU(数值)文件名、记录号、日期、时间、检验时间长度等。</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10存储空间：2000条以上数据记录。</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11.数据显示：大屏幕清晰液晶屏显示。</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 w:val="0"/>
                <w:caps w:val="0"/>
                <w:color w:val="auto"/>
                <w:spacing w:val="0"/>
                <w:sz w:val="24"/>
                <w:szCs w:val="24"/>
                <w:shd w:val="clear" w:fill="FFFFFF"/>
                <w:lang w:eastAsia="zh-CN"/>
              </w:rPr>
            </w:pPr>
            <w:r>
              <w:rPr>
                <w:rFonts w:hint="eastAsia" w:ascii="仿宋" w:hAnsi="仿宋" w:eastAsia="仿宋" w:cs="仿宋"/>
                <w:b w:val="0"/>
                <w:bCs w:val="0"/>
                <w:i w:val="0"/>
                <w:caps w:val="0"/>
                <w:color w:val="auto"/>
                <w:spacing w:val="0"/>
                <w:sz w:val="24"/>
                <w:szCs w:val="24"/>
                <w:shd w:val="clear" w:fill="FFFFFF"/>
                <w:lang w:val="en-US" w:eastAsia="zh-CN"/>
              </w:rPr>
              <w:t>23.</w:t>
            </w:r>
            <w:r>
              <w:rPr>
                <w:rFonts w:hint="eastAsia" w:ascii="仿宋" w:hAnsi="仿宋" w:eastAsia="仿宋" w:cs="仿宋"/>
                <w:b w:val="0"/>
                <w:bCs w:val="0"/>
                <w:i w:val="0"/>
                <w:caps w:val="0"/>
                <w:color w:val="auto"/>
                <w:spacing w:val="0"/>
                <w:sz w:val="24"/>
                <w:szCs w:val="24"/>
                <w:shd w:val="clear" w:fill="FFFFFF"/>
              </w:rPr>
              <w:t>12.用户设定：100个以上分组号，250个结果限值设置等。</w:t>
            </w:r>
          </w:p>
          <w:p>
            <w:pPr>
              <w:pStyle w:val="28"/>
              <w:keepNext w:val="0"/>
              <w:keepLines w:val="0"/>
              <w:pageBreakBefore w:val="0"/>
              <w:kinsoku/>
              <w:wordWrap/>
              <w:overflowPunct/>
              <w:topLinePunct w:val="0"/>
              <w:bidi w:val="0"/>
              <w:spacing w:line="300" w:lineRule="exact"/>
              <w:rPr>
                <w:rFonts w:hint="eastAsia" w:ascii="仿宋" w:hAnsi="仿宋" w:eastAsia="仿宋" w:cs="仿宋"/>
                <w:b w:val="0"/>
                <w:bCs w:val="0"/>
                <w:color w:val="auto"/>
                <w:sz w:val="24"/>
                <w:szCs w:val="24"/>
                <w:lang w:val="en-US" w:eastAsia="zh-CN"/>
              </w:rPr>
            </w:pP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24</w:t>
            </w:r>
          </w:p>
        </w:tc>
        <w:tc>
          <w:tcPr>
            <w:tcW w:w="3075" w:type="dxa"/>
            <w:noWrap w:val="0"/>
            <w:vAlign w:val="center"/>
          </w:tcPr>
          <w:p>
            <w:pPr>
              <w:keepNext w:val="0"/>
              <w:keepLines w:val="0"/>
              <w:pageBreakBefore w:val="0"/>
              <w:kinsoku/>
              <w:wordWrap/>
              <w:overflowPunct/>
              <w:topLinePunct w:val="0"/>
              <w:bidi w:val="0"/>
              <w:spacing w:line="300" w:lineRule="exact"/>
              <w:jc w:val="both"/>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车载空调系统</w:t>
            </w:r>
          </w:p>
        </w:tc>
        <w:tc>
          <w:tcPr>
            <w:tcW w:w="4627" w:type="dxa"/>
            <w:noWrap w:val="0"/>
            <w:vAlign w:val="center"/>
          </w:tcPr>
          <w:p>
            <w:pPr>
              <w:keepNext w:val="0"/>
              <w:keepLines w:val="0"/>
              <w:pageBreakBefore w:val="0"/>
              <w:kinsoku/>
              <w:wordWrap/>
              <w:overflowPunct/>
              <w:topLinePunct w:val="0"/>
              <w:bidi w:val="0"/>
              <w:spacing w:line="300" w:lineRule="exact"/>
              <w:jc w:val="both"/>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房车空调</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042" w:type="dxa"/>
            <w:noWrap w:val="0"/>
            <w:vAlign w:val="center"/>
          </w:tcPr>
          <w:p>
            <w:pPr>
              <w:keepNext w:val="0"/>
              <w:keepLines w:val="0"/>
              <w:pageBreakBefore w:val="0"/>
              <w:kinsoku/>
              <w:wordWrap/>
              <w:overflowPunct/>
              <w:topLinePunct w:val="0"/>
              <w:bidi w:val="0"/>
              <w:spacing w:line="300" w:lineRule="exact"/>
              <w:jc w:val="center"/>
              <w:textAlignment w:val="center"/>
              <w:rPr>
                <w:rFonts w:hint="eastAsia" w:ascii="仿宋" w:hAnsi="仿宋" w:eastAsia="仿宋" w:cs="仿宋"/>
                <w:b w:val="0"/>
                <w:bCs w:val="0"/>
                <w:iCs/>
                <w:color w:val="auto"/>
                <w:kern w:val="2"/>
                <w:sz w:val="24"/>
                <w:szCs w:val="24"/>
                <w:highlight w:val="none"/>
                <w:u w:val="none"/>
                <w:lang w:val="en-US" w:eastAsia="zh-CN" w:bidi="ar-SA"/>
              </w:rPr>
            </w:pPr>
            <w:r>
              <w:rPr>
                <w:rFonts w:hint="eastAsia" w:ascii="仿宋" w:hAnsi="仿宋" w:eastAsia="仿宋" w:cs="仿宋"/>
                <w:b w:val="0"/>
                <w:bCs w:val="0"/>
                <w:iCs/>
                <w:color w:val="auto"/>
                <w:sz w:val="24"/>
                <w:szCs w:val="24"/>
                <w:highlight w:val="none"/>
                <w:u w:val="none"/>
              </w:rPr>
              <w:t>25</w:t>
            </w:r>
          </w:p>
        </w:tc>
        <w:tc>
          <w:tcPr>
            <w:tcW w:w="307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 xml:space="preserve">车载供配电系统 </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p>
        </w:tc>
        <w:tc>
          <w:tcPr>
            <w:tcW w:w="4627"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 xml:space="preserve">电源模式根据客户需求设计 </w:t>
            </w:r>
          </w:p>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市电优先接入供电；无市电时，可通过车载蓄电池搭载逆变转换系统，进行部分设备供电；</w:t>
            </w:r>
          </w:p>
        </w:tc>
        <w:tc>
          <w:tcPr>
            <w:tcW w:w="855" w:type="dxa"/>
            <w:noWrap w:val="0"/>
            <w:vAlign w:val="center"/>
          </w:tcPr>
          <w:p>
            <w:pPr>
              <w:keepNext w:val="0"/>
              <w:keepLines w:val="0"/>
              <w:pageBreakBefore w:val="0"/>
              <w:kinsoku/>
              <w:wordWrap/>
              <w:overflowPunct/>
              <w:topLinePunct w:val="0"/>
              <w:bidi w:val="0"/>
              <w:spacing w:line="300" w:lineRule="exact"/>
              <w:jc w:val="left"/>
              <w:textAlignment w:val="center"/>
              <w:rPr>
                <w:rFonts w:hint="eastAsia" w:ascii="仿宋" w:hAnsi="仿宋" w:eastAsia="仿宋" w:cs="仿宋"/>
                <w:b w:val="0"/>
                <w:bCs w:val="0"/>
                <w:iCs/>
                <w:color w:val="auto"/>
                <w:sz w:val="24"/>
                <w:szCs w:val="24"/>
                <w:highlight w:val="none"/>
                <w:u w:val="none"/>
                <w:lang w:val="en-US" w:eastAsia="zh-CN"/>
              </w:rPr>
            </w:pPr>
            <w:r>
              <w:rPr>
                <w:rFonts w:hint="eastAsia" w:ascii="仿宋" w:hAnsi="仿宋" w:eastAsia="仿宋" w:cs="仿宋"/>
                <w:b w:val="0"/>
                <w:bCs w:val="0"/>
                <w:iCs/>
                <w:color w:val="auto"/>
                <w:sz w:val="24"/>
                <w:szCs w:val="24"/>
                <w:highlight w:val="none"/>
                <w:u w:val="none"/>
                <w:lang w:val="en-US" w:eastAsia="zh-CN"/>
              </w:rPr>
              <w:t>1套</w:t>
            </w:r>
          </w:p>
        </w:tc>
      </w:tr>
    </w:tbl>
    <w:p>
      <w:pPr>
        <w:numPr>
          <w:ilvl w:val="0"/>
          <w:numId w:val="0"/>
        </w:numPr>
        <w:spacing w:line="360" w:lineRule="auto"/>
        <w:rPr>
          <w:rFonts w:hint="eastAsia" w:ascii="仿宋" w:hAnsi="仿宋" w:eastAsia="仿宋" w:cs="仿宋"/>
          <w:color w:val="auto"/>
          <w:sz w:val="24"/>
          <w:lang w:val="en-US" w:eastAsia="zh-CN"/>
        </w:rPr>
      </w:pPr>
    </w:p>
    <w:p>
      <w:pPr>
        <w:numPr>
          <w:ilvl w:val="0"/>
          <w:numId w:val="0"/>
        </w:numPr>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5、售后服务</w:t>
      </w:r>
    </w:p>
    <w:p>
      <w:pPr>
        <w:numPr>
          <w:ilvl w:val="0"/>
          <w:numId w:val="0"/>
        </w:num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在新疆地区设有专门服务机构，必须提供上门售后服务，质保期三年，售后服务24小时响应上门服务，涉及零配件3日内解决。所投产品必须通过国家权威机构进行检测，必须提供全部内容的《检测报告》。</w:t>
      </w: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400" w:lineRule="exact"/>
        <w:ind w:firstLine="643" w:firstLineChars="200"/>
        <w:jc w:val="center"/>
        <w:rPr>
          <w:rFonts w:ascii="仿宋" w:hAnsi="仿宋" w:eastAsia="仿宋" w:cs="仿宋"/>
          <w:b/>
          <w:color w:val="auto"/>
          <w:sz w:val="32"/>
          <w:szCs w:val="32"/>
        </w:rPr>
      </w:pPr>
      <w:r>
        <w:rPr>
          <w:rFonts w:hint="eastAsia" w:ascii="仿宋" w:hAnsi="仿宋" w:eastAsia="仿宋" w:cs="仿宋"/>
          <w:b/>
          <w:color w:val="auto"/>
          <w:sz w:val="32"/>
          <w:szCs w:val="32"/>
        </w:rPr>
        <w:t>第五章  投标文件格式</w:t>
      </w:r>
    </w:p>
    <w:p>
      <w:pPr>
        <w:pStyle w:val="327"/>
        <w:spacing w:line="400" w:lineRule="exact"/>
        <w:jc w:val="center"/>
        <w:rPr>
          <w:rFonts w:ascii="仿宋" w:hAnsi="仿宋" w:eastAsia="仿宋" w:cs="仿宋"/>
          <w:b/>
          <w:color w:val="auto"/>
          <w:szCs w:val="24"/>
        </w:rPr>
      </w:pPr>
    </w:p>
    <w:p>
      <w:pPr>
        <w:pStyle w:val="327"/>
        <w:spacing w:line="400" w:lineRule="exact"/>
        <w:jc w:val="center"/>
        <w:rPr>
          <w:rFonts w:ascii="仿宋" w:hAnsi="仿宋" w:eastAsia="仿宋" w:cs="仿宋"/>
          <w:b/>
          <w:color w:val="auto"/>
          <w:szCs w:val="24"/>
        </w:rPr>
      </w:pPr>
    </w:p>
    <w:p>
      <w:pPr>
        <w:pStyle w:val="327"/>
        <w:spacing w:line="400" w:lineRule="exact"/>
        <w:jc w:val="left"/>
        <w:rPr>
          <w:rFonts w:ascii="仿宋" w:hAnsi="仿宋" w:eastAsia="仿宋" w:cs="仿宋"/>
          <w:b/>
          <w:color w:val="auto"/>
          <w:szCs w:val="24"/>
        </w:rPr>
      </w:pPr>
      <w:r>
        <w:rPr>
          <w:rFonts w:hint="eastAsia" w:ascii="仿宋" w:hAnsi="仿宋" w:eastAsia="仿宋" w:cs="仿宋"/>
          <w:b/>
          <w:color w:val="auto"/>
          <w:szCs w:val="24"/>
        </w:rPr>
        <w:t>附件一 供应商营业执照或其他组织资格证书（复印件加盖公章）</w:t>
      </w:r>
    </w:p>
    <w:p>
      <w:pPr>
        <w:spacing w:line="400" w:lineRule="exact"/>
        <w:ind w:firstLine="560"/>
        <w:rPr>
          <w:rFonts w:ascii="仿宋" w:hAnsi="仿宋" w:eastAsia="仿宋" w:cs="仿宋"/>
          <w:color w:val="auto"/>
          <w:sz w:val="24"/>
        </w:rPr>
      </w:pP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b/>
          <w:color w:val="auto"/>
          <w:sz w:val="24"/>
        </w:rPr>
        <w:br w:type="page"/>
      </w:r>
      <w:r>
        <w:rPr>
          <w:rFonts w:hint="eastAsia" w:ascii="仿宋" w:hAnsi="仿宋" w:eastAsia="仿宋" w:cs="仿宋"/>
          <w:b/>
          <w:color w:val="auto"/>
          <w:sz w:val="24"/>
        </w:rPr>
        <w:t>附件二  法定代表人资格证明书及法定代表人授权委托书</w:t>
      </w:r>
    </w:p>
    <w:p>
      <w:pPr>
        <w:shd w:val="clear" w:color="auto" w:fill="FFFFFF"/>
        <w:spacing w:beforeLines="100" w:afterLines="100"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法定代表人资格证明书</w:t>
      </w:r>
    </w:p>
    <w:p>
      <w:pPr>
        <w:shd w:val="clear" w:color="auto" w:fill="FFFFFF"/>
        <w:spacing w:line="400" w:lineRule="exact"/>
        <w:rPr>
          <w:rFonts w:ascii="仿宋" w:hAnsi="仿宋" w:eastAsia="仿宋" w:cs="仿宋"/>
          <w:color w:val="auto"/>
          <w:sz w:val="24"/>
        </w:rPr>
      </w:pPr>
    </w:p>
    <w:p>
      <w:pPr>
        <w:pStyle w:val="724"/>
        <w:adjustRightInd w:val="0"/>
        <w:snapToGrid w:val="0"/>
        <w:spacing w:line="400" w:lineRule="exact"/>
        <w:rPr>
          <w:rFonts w:ascii="仿宋" w:hAnsi="仿宋" w:eastAsia="仿宋" w:cs="仿宋"/>
          <w:color w:val="auto"/>
          <w:sz w:val="24"/>
          <w:szCs w:val="24"/>
        </w:rPr>
      </w:pPr>
      <w:r>
        <w:rPr>
          <w:rFonts w:hint="eastAsia" w:ascii="仿宋" w:hAnsi="仿宋" w:eastAsia="仿宋" w:cs="仿宋"/>
          <w:color w:val="auto"/>
          <w:sz w:val="24"/>
          <w:szCs w:val="24"/>
          <w:u w:val="single"/>
        </w:rPr>
        <w:t>（代理机构名称）</w:t>
      </w:r>
      <w:r>
        <w:rPr>
          <w:rFonts w:hint="eastAsia" w:ascii="仿宋" w:hAnsi="仿宋" w:eastAsia="仿宋" w:cs="仿宋"/>
          <w:color w:val="auto"/>
          <w:sz w:val="24"/>
          <w:szCs w:val="24"/>
        </w:rPr>
        <w:t>：</w:t>
      </w:r>
    </w:p>
    <w:p>
      <w:pPr>
        <w:pStyle w:val="724"/>
        <w:adjustRightInd w:val="0"/>
        <w:snapToGrid w:val="0"/>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兹有同志为公司法定代表人，代表我公司办理一切社会公务事宜，具有法律效力。 </w:t>
      </w:r>
    </w:p>
    <w:p>
      <w:pPr>
        <w:pStyle w:val="724"/>
        <w:adjustRightInd w:val="0"/>
        <w:snapToGrid w:val="0"/>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附法定代表人基本情况： </w:t>
      </w:r>
    </w:p>
    <w:p>
      <w:pPr>
        <w:pStyle w:val="724"/>
        <w:adjustRightInd w:val="0"/>
        <w:snapToGrid w:val="0"/>
        <w:spacing w:line="400" w:lineRule="exact"/>
        <w:ind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rPr>
        <w:t>姓名：性别：年龄：职务：</w:t>
      </w:r>
    </w:p>
    <w:p>
      <w:pPr>
        <w:pStyle w:val="724"/>
        <w:adjustRightInd w:val="0"/>
        <w:snapToGrid w:val="0"/>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身份证号码：</w:t>
      </w:r>
    </w:p>
    <w:p>
      <w:pPr>
        <w:pStyle w:val="724"/>
        <w:adjustRightInd w:val="0"/>
        <w:snapToGrid w:val="0"/>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通讯地址：</w:t>
      </w:r>
    </w:p>
    <w:p>
      <w:pPr>
        <w:shd w:val="clear" w:color="auto" w:fill="FFFFFF"/>
        <w:spacing w:line="40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电话号码：</w:t>
      </w:r>
    </w:p>
    <w:p>
      <w:pPr>
        <w:shd w:val="clear" w:color="auto" w:fill="FFFFFF"/>
        <w:spacing w:line="400" w:lineRule="exact"/>
        <w:rPr>
          <w:rFonts w:ascii="仿宋" w:hAnsi="仿宋" w:eastAsia="仿宋" w:cs="仿宋"/>
          <w:color w:val="auto"/>
          <w:szCs w:val="21"/>
        </w:rPr>
      </w:pPr>
      <w:r>
        <w:rPr>
          <w:rFonts w:ascii="仿宋" w:hAnsi="仿宋" w:eastAsia="仿宋" w:cs="仿宋"/>
          <w:color w:val="auto"/>
          <w:szCs w:val="21"/>
        </w:rPr>
        <w:pict>
          <v:shape id="文本框 4" o:spid="_x0000_s1026" o:spt="202" type="#_x0000_t202" style="position:absolute;left:0pt;margin-left:-19.6pt;margin-top:12.8pt;height:151.1pt;width:252.1pt;z-index:251659264;mso-width-relative:page;mso-height-relative:page;" coordsize="21600,21600"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k2uPYE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s="仿宋"/>
          <w:color w:val="auto"/>
          <w:szCs w:val="21"/>
        </w:rPr>
        <w:pict>
          <v:shape id="文本框 3" o:spid="_x0000_s1029" o:spt="202" type="#_x0000_t202" style="position:absolute;left:0pt;margin-left:249pt;margin-top:12.8pt;height:151.1pt;width:254pt;z-index:251660288;mso-width-relative:page;mso-height-relative:page;" coordsize="21600,21600" o:gfxdata="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6r1My2wAAAAsBAAAPAAAA&#10;AAAAAAEAIAAAACIAAABkcnMvZG93bnJldi54bWxQSwECFAAUAAAACACHTuJApdP7oUsCAACWBAAA&#10;DgAAAAAAAAABACAAAAAqAQAAZHJzL2Uyb0RvYy54bWxQSwUGAAAAAAYABgBZAQAA5w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00" w:lineRule="exact"/>
        <w:rPr>
          <w:rFonts w:ascii="仿宋" w:hAnsi="仿宋" w:eastAsia="仿宋" w:cs="仿宋"/>
          <w:color w:val="auto"/>
          <w:szCs w:val="21"/>
        </w:rPr>
      </w:pPr>
    </w:p>
    <w:p>
      <w:pPr>
        <w:shd w:val="clear" w:color="auto" w:fill="FFFFFF"/>
        <w:spacing w:line="400" w:lineRule="exact"/>
        <w:rPr>
          <w:rFonts w:ascii="仿宋" w:hAnsi="仿宋" w:eastAsia="仿宋" w:cs="仿宋"/>
          <w:color w:val="auto"/>
          <w:szCs w:val="21"/>
        </w:rPr>
      </w:pPr>
    </w:p>
    <w:p>
      <w:pPr>
        <w:shd w:val="clear" w:color="auto" w:fill="FFFFFF"/>
        <w:spacing w:line="400" w:lineRule="exact"/>
        <w:rPr>
          <w:rFonts w:ascii="仿宋" w:hAnsi="仿宋" w:eastAsia="仿宋" w:cs="仿宋"/>
          <w:color w:val="auto"/>
          <w:szCs w:val="21"/>
        </w:rPr>
      </w:pPr>
    </w:p>
    <w:p>
      <w:pPr>
        <w:shd w:val="clear" w:color="auto" w:fill="FFFFFF"/>
        <w:spacing w:line="400" w:lineRule="exact"/>
        <w:rPr>
          <w:rFonts w:ascii="仿宋" w:hAnsi="仿宋" w:eastAsia="仿宋" w:cs="仿宋"/>
          <w:color w:val="auto"/>
          <w:szCs w:val="21"/>
        </w:rPr>
      </w:pPr>
    </w:p>
    <w:p>
      <w:pPr>
        <w:shd w:val="clear" w:color="auto" w:fill="FFFFFF"/>
        <w:spacing w:line="400" w:lineRule="exact"/>
        <w:rPr>
          <w:rFonts w:ascii="仿宋" w:hAnsi="仿宋" w:eastAsia="仿宋" w:cs="仿宋"/>
          <w:color w:val="auto"/>
          <w:szCs w:val="21"/>
        </w:rPr>
      </w:pPr>
    </w:p>
    <w:p>
      <w:pPr>
        <w:shd w:val="clear" w:color="auto" w:fill="FFFFFF"/>
        <w:spacing w:line="400" w:lineRule="exact"/>
        <w:rPr>
          <w:rFonts w:ascii="仿宋" w:hAnsi="仿宋" w:eastAsia="仿宋" w:cs="仿宋"/>
          <w:color w:val="auto"/>
          <w:szCs w:val="21"/>
        </w:rPr>
      </w:pPr>
    </w:p>
    <w:p>
      <w:pPr>
        <w:shd w:val="clear" w:color="auto" w:fill="FFFFFF"/>
        <w:spacing w:line="400" w:lineRule="exact"/>
        <w:rPr>
          <w:rFonts w:ascii="仿宋" w:hAnsi="仿宋" w:eastAsia="仿宋" w:cs="仿宋"/>
          <w:color w:val="auto"/>
          <w:szCs w:val="21"/>
        </w:rPr>
      </w:pP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特此证明。</w:t>
      </w:r>
    </w:p>
    <w:p>
      <w:pPr>
        <w:shd w:val="clear" w:color="auto" w:fill="FFFFFF"/>
        <w:spacing w:line="400" w:lineRule="exact"/>
        <w:rPr>
          <w:rFonts w:ascii="仿宋" w:hAnsi="仿宋" w:eastAsia="仿宋" w:cs="仿宋"/>
          <w:color w:val="auto"/>
          <w:sz w:val="24"/>
        </w:rPr>
      </w:pPr>
    </w:p>
    <w:p>
      <w:pPr>
        <w:shd w:val="clear" w:color="auto" w:fill="FFFFFF"/>
        <w:spacing w:line="400" w:lineRule="exact"/>
        <w:rPr>
          <w:rFonts w:ascii="仿宋" w:hAnsi="仿宋" w:eastAsia="仿宋" w:cs="仿宋"/>
          <w:color w:val="auto"/>
          <w:sz w:val="24"/>
        </w:rPr>
      </w:pPr>
    </w:p>
    <w:p>
      <w:pPr>
        <w:pStyle w:val="304"/>
        <w:shd w:val="clear" w:color="auto" w:fill="FFFFFF"/>
        <w:snapToGrid w:val="0"/>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法定代表人（签字或签章）：</w:t>
      </w:r>
    </w:p>
    <w:p>
      <w:pPr>
        <w:shd w:val="clear" w:color="auto" w:fill="FFFFFF"/>
        <w:tabs>
          <w:tab w:val="left" w:pos="3780"/>
        </w:tabs>
        <w:spacing w:line="400" w:lineRule="exact"/>
        <w:rPr>
          <w:rFonts w:ascii="仿宋" w:hAnsi="仿宋" w:eastAsia="仿宋" w:cs="仿宋"/>
          <w:color w:val="auto"/>
          <w:sz w:val="24"/>
        </w:rPr>
      </w:pPr>
      <w:r>
        <w:rPr>
          <w:rFonts w:hint="eastAsia" w:ascii="仿宋" w:hAnsi="仿宋" w:eastAsia="仿宋" w:cs="仿宋"/>
          <w:color w:val="auto"/>
          <w:sz w:val="24"/>
        </w:rPr>
        <w:t>日期：  年  月  日</w:t>
      </w:r>
    </w:p>
    <w:p>
      <w:pPr>
        <w:shd w:val="clear" w:color="auto" w:fill="FFFFFF"/>
        <w:spacing w:line="400" w:lineRule="exact"/>
        <w:ind w:firstLine="480" w:firstLineChars="200"/>
        <w:rPr>
          <w:rFonts w:ascii="仿宋" w:hAnsi="仿宋" w:eastAsia="仿宋" w:cs="仿宋"/>
          <w:color w:val="auto"/>
          <w:kern w:val="0"/>
          <w:sz w:val="24"/>
        </w:rPr>
      </w:pPr>
    </w:p>
    <w:p>
      <w:pPr>
        <w:shd w:val="clear" w:color="auto" w:fill="FFFFFF"/>
        <w:spacing w:line="400" w:lineRule="exact"/>
        <w:rPr>
          <w:rFonts w:ascii="仿宋" w:hAnsi="仿宋" w:eastAsia="仿宋" w:cs="仿宋"/>
          <w:color w:val="auto"/>
          <w:sz w:val="24"/>
        </w:rPr>
      </w:pPr>
    </w:p>
    <w:p>
      <w:pPr>
        <w:widowControl/>
        <w:spacing w:line="400" w:lineRule="exact"/>
        <w:jc w:val="left"/>
        <w:rPr>
          <w:rFonts w:ascii="仿宋" w:hAnsi="仿宋" w:eastAsia="仿宋" w:cs="仿宋"/>
          <w:bCs/>
          <w:color w:val="auto"/>
          <w:sz w:val="24"/>
        </w:rPr>
      </w:pPr>
    </w:p>
    <w:p>
      <w:pPr>
        <w:widowControl/>
        <w:spacing w:line="400" w:lineRule="exact"/>
        <w:jc w:val="left"/>
        <w:rPr>
          <w:rFonts w:ascii="仿宋" w:hAnsi="仿宋" w:eastAsia="仿宋" w:cs="仿宋"/>
          <w:b/>
          <w:bCs/>
          <w:color w:val="auto"/>
          <w:sz w:val="24"/>
        </w:rPr>
      </w:pPr>
      <w:r>
        <w:rPr>
          <w:rFonts w:hint="eastAsia" w:ascii="仿宋" w:hAnsi="仿宋" w:eastAsia="仿宋" w:cs="仿宋"/>
          <w:b/>
          <w:bCs/>
          <w:color w:val="auto"/>
          <w:sz w:val="24"/>
        </w:rPr>
        <w:br w:type="page"/>
      </w:r>
    </w:p>
    <w:p>
      <w:pPr>
        <w:shd w:val="clear" w:color="auto" w:fill="FFFFFF"/>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法定代表人授权委托书</w:t>
      </w:r>
    </w:p>
    <w:p>
      <w:pPr>
        <w:shd w:val="clear" w:color="auto" w:fill="FFFFFF"/>
        <w:spacing w:line="400" w:lineRule="exact"/>
        <w:jc w:val="center"/>
        <w:rPr>
          <w:rFonts w:ascii="仿宋" w:hAnsi="仿宋" w:eastAsia="仿宋" w:cs="仿宋"/>
          <w:b/>
          <w:bCs/>
          <w:color w:val="auto"/>
          <w:sz w:val="24"/>
        </w:rPr>
      </w:pPr>
    </w:p>
    <w:p>
      <w:pPr>
        <w:shd w:val="clear" w:color="auto" w:fill="FFFFFF"/>
        <w:spacing w:line="400" w:lineRule="exact"/>
        <w:ind w:firstLine="453" w:firstLineChars="189"/>
        <w:rPr>
          <w:rFonts w:ascii="仿宋" w:hAnsi="仿宋" w:eastAsia="仿宋" w:cs="仿宋"/>
          <w:bCs/>
          <w:color w:val="auto"/>
          <w:sz w:val="24"/>
          <w:u w:val="single"/>
        </w:rPr>
      </w:pPr>
      <w:r>
        <w:rPr>
          <w:rFonts w:hint="eastAsia" w:ascii="仿宋" w:hAnsi="仿宋" w:eastAsia="仿宋" w:cs="仿宋"/>
          <w:bCs/>
          <w:color w:val="auto"/>
          <w:sz w:val="24"/>
        </w:rPr>
        <w:t>本授权委托书声明：我系</w:t>
      </w:r>
      <w:r>
        <w:rPr>
          <w:rFonts w:hint="eastAsia" w:ascii="仿宋" w:hAnsi="仿宋" w:eastAsia="仿宋" w:cs="仿宋"/>
          <w:bCs/>
          <w:color w:val="auto"/>
          <w:sz w:val="24"/>
          <w:u w:val="single"/>
        </w:rPr>
        <w:t xml:space="preserve">  （供应商名称）  </w:t>
      </w:r>
      <w:r>
        <w:rPr>
          <w:rFonts w:hint="eastAsia" w:ascii="仿宋" w:hAnsi="仿宋" w:eastAsia="仿宋" w:cs="仿宋"/>
          <w:bCs/>
          <w:color w:val="auto"/>
          <w:sz w:val="24"/>
        </w:rPr>
        <w:t>的法定代表人，现授权委托</w:t>
      </w:r>
      <w:r>
        <w:rPr>
          <w:rFonts w:hint="eastAsia" w:ascii="仿宋" w:hAnsi="仿宋" w:eastAsia="仿宋" w:cs="仿宋"/>
          <w:bCs/>
          <w:color w:val="auto"/>
          <w:sz w:val="24"/>
          <w:u w:val="single"/>
        </w:rPr>
        <w:t xml:space="preserve">   （供应商名称） </w:t>
      </w:r>
      <w:r>
        <w:rPr>
          <w:rFonts w:hint="eastAsia" w:ascii="仿宋" w:hAnsi="仿宋" w:eastAsia="仿宋" w:cs="仿宋"/>
          <w:bCs/>
          <w:color w:val="auto"/>
          <w:sz w:val="24"/>
        </w:rPr>
        <w:t>的</w:t>
      </w:r>
      <w:r>
        <w:rPr>
          <w:rFonts w:hint="eastAsia" w:ascii="仿宋" w:hAnsi="仿宋" w:eastAsia="仿宋" w:cs="仿宋"/>
          <w:bCs/>
          <w:color w:val="auto"/>
          <w:sz w:val="24"/>
          <w:u w:val="single"/>
        </w:rPr>
        <w:t xml:space="preserve"> （授权代表姓名） </w:t>
      </w:r>
      <w:r>
        <w:rPr>
          <w:rFonts w:hint="eastAsia" w:ascii="仿宋" w:hAnsi="仿宋" w:eastAsia="仿宋" w:cs="仿宋"/>
          <w:bCs/>
          <w:color w:val="auto"/>
          <w:sz w:val="24"/>
        </w:rPr>
        <w:t xml:space="preserve"> 为我的代理人，以</w:t>
      </w:r>
      <w:r>
        <w:rPr>
          <w:rFonts w:hint="eastAsia" w:ascii="仿宋" w:hAnsi="仿宋" w:eastAsia="仿宋" w:cs="仿宋"/>
          <w:bCs/>
          <w:color w:val="auto"/>
          <w:sz w:val="24"/>
          <w:u w:val="single"/>
        </w:rPr>
        <w:t>（供应商名称）</w:t>
      </w:r>
      <w:r>
        <w:rPr>
          <w:rFonts w:hint="eastAsia" w:ascii="仿宋" w:hAnsi="仿宋" w:eastAsia="仿宋" w:cs="仿宋"/>
          <w:bCs/>
          <w:color w:val="auto"/>
          <w:sz w:val="24"/>
        </w:rPr>
        <w:t>的名义参加</w:t>
      </w:r>
      <w:r>
        <w:rPr>
          <w:rFonts w:hint="eastAsia" w:ascii="仿宋" w:hAnsi="仿宋" w:eastAsia="仿宋" w:cs="仿宋"/>
          <w:bCs/>
          <w:color w:val="auto"/>
          <w:sz w:val="24"/>
          <w:u w:val="single"/>
        </w:rPr>
        <w:t>（项目名称和项目编号）</w:t>
      </w:r>
      <w:r>
        <w:rPr>
          <w:rFonts w:hint="eastAsia" w:ascii="仿宋" w:hAnsi="仿宋" w:eastAsia="仿宋" w:cs="仿宋"/>
          <w:bCs/>
          <w:color w:val="auto"/>
          <w:sz w:val="24"/>
        </w:rPr>
        <w:t>招标项目的投标活动。代理人在参加整个招标投标活动所签署的一切文件和处理与之相关的一切事物，我均予承认。</w:t>
      </w:r>
    </w:p>
    <w:p>
      <w:pPr>
        <w:shd w:val="clear" w:color="auto" w:fill="FFFFFF"/>
        <w:spacing w:line="400" w:lineRule="exact"/>
        <w:ind w:firstLine="480" w:firstLineChars="200"/>
        <w:rPr>
          <w:rFonts w:ascii="仿宋" w:hAnsi="仿宋" w:eastAsia="仿宋" w:cs="仿宋"/>
          <w:bCs/>
          <w:color w:val="auto"/>
          <w:sz w:val="24"/>
          <w:u w:val="single"/>
        </w:rPr>
      </w:pPr>
      <w:r>
        <w:rPr>
          <w:rFonts w:hint="eastAsia" w:ascii="仿宋" w:hAnsi="仿宋" w:eastAsia="仿宋" w:cs="仿宋"/>
          <w:bCs/>
          <w:color w:val="auto"/>
          <w:sz w:val="24"/>
        </w:rPr>
        <w:t>代理人：   性别：  年龄：</w:t>
      </w:r>
    </w:p>
    <w:p>
      <w:pPr>
        <w:shd w:val="clear" w:color="auto" w:fill="FFFFFF"/>
        <w:spacing w:line="4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部  门：   职务：  </w:t>
      </w:r>
      <w:r>
        <w:rPr>
          <w:rFonts w:hint="eastAsia" w:ascii="仿宋" w:hAnsi="仿宋" w:eastAsia="仿宋" w:cs="仿宋"/>
          <w:color w:val="auto"/>
          <w:sz w:val="24"/>
        </w:rPr>
        <w:t>电话号码：</w:t>
      </w:r>
    </w:p>
    <w:p>
      <w:pPr>
        <w:shd w:val="clear" w:color="auto" w:fill="FFFFFF"/>
        <w:spacing w:line="400" w:lineRule="exact"/>
        <w:ind w:firstLine="480" w:firstLineChars="200"/>
        <w:rPr>
          <w:rFonts w:ascii="仿宋" w:hAnsi="仿宋" w:eastAsia="仿宋" w:cs="仿宋"/>
          <w:bCs/>
          <w:color w:val="auto"/>
          <w:sz w:val="24"/>
          <w:u w:val="single"/>
        </w:rPr>
      </w:pPr>
      <w:r>
        <w:rPr>
          <w:rFonts w:hint="eastAsia" w:ascii="仿宋" w:hAnsi="仿宋" w:eastAsia="仿宋" w:cs="仿宋"/>
          <w:bCs/>
          <w:color w:val="auto"/>
          <w:sz w:val="24"/>
        </w:rPr>
        <w:t>代理期限：</w:t>
      </w:r>
    </w:p>
    <w:p>
      <w:pPr>
        <w:shd w:val="clear" w:color="auto" w:fill="FFFFFF"/>
        <w:spacing w:line="400" w:lineRule="exact"/>
        <w:rPr>
          <w:rFonts w:ascii="仿宋" w:hAnsi="仿宋" w:eastAsia="仿宋" w:cs="仿宋"/>
          <w:bCs/>
          <w:color w:val="auto"/>
          <w:szCs w:val="21"/>
        </w:rPr>
      </w:pPr>
      <w:r>
        <w:rPr>
          <w:rFonts w:ascii="仿宋" w:hAnsi="仿宋" w:eastAsia="仿宋" w:cs="仿宋"/>
          <w:bCs/>
          <w:color w:val="auto"/>
          <w:szCs w:val="21"/>
        </w:rPr>
        <w:pict>
          <v:shape id="文本框 2" o:spid="_x0000_s1028" o:spt="202" type="#_x0000_t202" style="position:absolute;left:0pt;margin-left:-7.3pt;margin-top:9.65pt;height:149.25pt;width:234pt;z-index:251661312;mso-width-relative:page;mso-height-relative:page;"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6ZKLv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Z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6ZKLvUgCAACWBAAADgAA&#10;AAAAAAABACAAAAAqAQAAZHJzL2Uyb0RvYy54bWxQSwUGAAAAAAYABgBZAQAA5AU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w:r>
      <w:r>
        <w:rPr>
          <w:rFonts w:ascii="仿宋" w:hAnsi="仿宋" w:eastAsia="仿宋" w:cs="仿宋"/>
          <w:bCs/>
          <w:color w:val="auto"/>
          <w:szCs w:val="21"/>
        </w:rPr>
        <w:pict>
          <v:shape id="文本框 1" o:spid="_x0000_s1027" o:spt="202" type="#_x0000_t202" style="position:absolute;left:0pt;margin-left:244.7pt;margin-top:9.65pt;height:149.25pt;width:234pt;z-index:251662336;mso-width-relative:page;mso-height-relative:page;"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path/>
            <v:fill focussize="0,0"/>
            <v:stroke miterlimit="2"/>
            <v:imagedata o:title=""/>
            <o:lock v:ext="edit"/>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w:r>
    </w:p>
    <w:p>
      <w:pPr>
        <w:shd w:val="clear" w:color="auto" w:fill="FFFFFF"/>
        <w:spacing w:line="400" w:lineRule="exact"/>
        <w:rPr>
          <w:rFonts w:ascii="仿宋" w:hAnsi="仿宋" w:eastAsia="仿宋" w:cs="仿宋"/>
          <w:bCs/>
          <w:color w:val="auto"/>
          <w:szCs w:val="21"/>
        </w:rPr>
      </w:pPr>
    </w:p>
    <w:p>
      <w:pPr>
        <w:shd w:val="clear" w:color="auto" w:fill="FFFFFF"/>
        <w:spacing w:line="400" w:lineRule="exact"/>
        <w:rPr>
          <w:rFonts w:ascii="仿宋" w:hAnsi="仿宋" w:eastAsia="仿宋" w:cs="仿宋"/>
          <w:bCs/>
          <w:color w:val="auto"/>
          <w:szCs w:val="21"/>
        </w:rPr>
      </w:pPr>
    </w:p>
    <w:p>
      <w:pPr>
        <w:shd w:val="clear" w:color="auto" w:fill="FFFFFF"/>
        <w:spacing w:line="400" w:lineRule="exact"/>
        <w:rPr>
          <w:rFonts w:ascii="仿宋" w:hAnsi="仿宋" w:eastAsia="仿宋" w:cs="仿宋"/>
          <w:bCs/>
          <w:color w:val="auto"/>
          <w:szCs w:val="21"/>
        </w:rPr>
      </w:pPr>
    </w:p>
    <w:p>
      <w:pPr>
        <w:shd w:val="clear" w:color="auto" w:fill="FFFFFF"/>
        <w:spacing w:line="400" w:lineRule="exact"/>
        <w:rPr>
          <w:rFonts w:ascii="仿宋" w:hAnsi="仿宋" w:eastAsia="仿宋" w:cs="仿宋"/>
          <w:bCs/>
          <w:color w:val="auto"/>
          <w:szCs w:val="21"/>
        </w:rPr>
      </w:pPr>
    </w:p>
    <w:p>
      <w:pPr>
        <w:shd w:val="clear" w:color="auto" w:fill="FFFFFF"/>
        <w:spacing w:line="400" w:lineRule="exact"/>
        <w:rPr>
          <w:rFonts w:ascii="仿宋" w:hAnsi="仿宋" w:eastAsia="仿宋" w:cs="仿宋"/>
          <w:bCs/>
          <w:color w:val="auto"/>
          <w:szCs w:val="21"/>
        </w:rPr>
      </w:pPr>
    </w:p>
    <w:p>
      <w:pPr>
        <w:shd w:val="clear" w:color="auto" w:fill="FFFFFF"/>
        <w:spacing w:line="400" w:lineRule="exact"/>
        <w:rPr>
          <w:rFonts w:ascii="仿宋" w:hAnsi="仿宋" w:eastAsia="仿宋" w:cs="仿宋"/>
          <w:bCs/>
          <w:color w:val="auto"/>
          <w:szCs w:val="21"/>
        </w:rPr>
      </w:pPr>
    </w:p>
    <w:p>
      <w:pPr>
        <w:pStyle w:val="304"/>
        <w:shd w:val="clear" w:color="auto" w:fill="FFFFFF"/>
        <w:snapToGrid w:val="0"/>
        <w:spacing w:line="400" w:lineRule="exact"/>
        <w:ind w:firstLine="210"/>
        <w:rPr>
          <w:rFonts w:ascii="仿宋" w:hAnsi="仿宋" w:eastAsia="仿宋" w:cs="仿宋"/>
          <w:color w:val="auto"/>
          <w:sz w:val="21"/>
          <w:szCs w:val="21"/>
        </w:rPr>
      </w:pPr>
    </w:p>
    <w:p>
      <w:pPr>
        <w:pStyle w:val="304"/>
        <w:shd w:val="clear" w:color="auto" w:fill="FFFFFF"/>
        <w:snapToGrid w:val="0"/>
        <w:spacing w:line="400" w:lineRule="exact"/>
        <w:ind w:firstLine="210"/>
        <w:rPr>
          <w:rFonts w:ascii="仿宋" w:hAnsi="仿宋" w:eastAsia="仿宋" w:cs="仿宋"/>
          <w:color w:val="auto"/>
          <w:sz w:val="21"/>
          <w:szCs w:val="21"/>
        </w:rPr>
      </w:pPr>
    </w:p>
    <w:p>
      <w:pPr>
        <w:pStyle w:val="304"/>
        <w:shd w:val="clear" w:color="auto" w:fill="FFFFFF"/>
        <w:snapToGrid w:val="0"/>
        <w:spacing w:line="400" w:lineRule="exact"/>
        <w:ind w:firstLine="210"/>
        <w:rPr>
          <w:rFonts w:ascii="仿宋" w:hAnsi="仿宋" w:eastAsia="仿宋" w:cs="仿宋"/>
          <w:color w:val="auto"/>
          <w:sz w:val="21"/>
          <w:szCs w:val="21"/>
        </w:rPr>
      </w:pPr>
    </w:p>
    <w:p>
      <w:pPr>
        <w:pStyle w:val="304"/>
        <w:shd w:val="clear" w:color="auto" w:fill="FFFFFF"/>
        <w:snapToGrid w:val="0"/>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法定代表人（签字或签章）：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widowControl/>
        <w:spacing w:line="400" w:lineRule="exact"/>
        <w:jc w:val="left"/>
        <w:rPr>
          <w:rFonts w:ascii="仿宋" w:hAnsi="仿宋" w:eastAsia="仿宋" w:cs="仿宋"/>
          <w:color w:val="auto"/>
          <w:sz w:val="24"/>
        </w:rPr>
      </w:pPr>
      <w:r>
        <w:rPr>
          <w:rFonts w:hint="eastAsia" w:ascii="仿宋" w:hAnsi="仿宋" w:eastAsia="仿宋" w:cs="仿宋"/>
          <w:color w:val="auto"/>
          <w:sz w:val="24"/>
        </w:rPr>
        <w:t>日期：  年  月  日</w:t>
      </w:r>
    </w:p>
    <w:p>
      <w:pPr>
        <w:widowControl/>
        <w:spacing w:line="400" w:lineRule="exact"/>
        <w:jc w:val="left"/>
        <w:rPr>
          <w:rFonts w:ascii="仿宋" w:hAnsi="仿宋" w:eastAsia="仿宋" w:cs="仿宋"/>
          <w:color w:val="auto"/>
          <w:sz w:val="24"/>
        </w:rPr>
      </w:pPr>
      <w:r>
        <w:rPr>
          <w:rFonts w:hint="eastAsia" w:ascii="仿宋" w:hAnsi="仿宋" w:eastAsia="仿宋" w:cs="仿宋"/>
          <w:color w:val="auto"/>
          <w:sz w:val="24"/>
        </w:rPr>
        <w:br w:type="page"/>
      </w:r>
    </w:p>
    <w:p>
      <w:pPr>
        <w:shd w:val="clear" w:color="auto" w:fill="FFFFFF"/>
        <w:spacing w:line="400" w:lineRule="exact"/>
        <w:rPr>
          <w:rFonts w:ascii="仿宋" w:hAnsi="仿宋" w:eastAsia="仿宋" w:cs="仿宋"/>
          <w:b/>
          <w:bCs/>
          <w:color w:val="auto"/>
          <w:kern w:val="0"/>
          <w:sz w:val="24"/>
        </w:rPr>
      </w:pPr>
      <w:r>
        <w:rPr>
          <w:rFonts w:hint="eastAsia" w:ascii="仿宋" w:hAnsi="仿宋" w:eastAsia="仿宋" w:cs="仿宋"/>
          <w:b/>
          <w:bCs/>
          <w:color w:val="auto"/>
          <w:kern w:val="0"/>
          <w:sz w:val="24"/>
        </w:rPr>
        <w:t xml:space="preserve">附件三  </w:t>
      </w:r>
    </w:p>
    <w:p>
      <w:pPr>
        <w:shd w:val="clear" w:color="auto" w:fill="FFFFFF"/>
        <w:spacing w:line="400" w:lineRule="exact"/>
        <w:rPr>
          <w:rFonts w:ascii="仿宋" w:hAnsi="仿宋" w:eastAsia="仿宋" w:cs="仿宋"/>
          <w:b/>
          <w:bCs/>
          <w:color w:val="auto"/>
          <w:kern w:val="0"/>
          <w:sz w:val="24"/>
        </w:rPr>
      </w:pPr>
      <w:r>
        <w:rPr>
          <w:rFonts w:hint="eastAsia" w:ascii="仿宋" w:hAnsi="仿宋" w:eastAsia="仿宋" w:cs="仿宋"/>
          <w:b/>
          <w:bCs/>
          <w:color w:val="auto"/>
          <w:kern w:val="0"/>
          <w:sz w:val="24"/>
        </w:rPr>
        <w:t>供应商近</w:t>
      </w:r>
      <w:r>
        <w:rPr>
          <w:rFonts w:hint="eastAsia" w:ascii="仿宋" w:hAnsi="仿宋" w:eastAsia="仿宋" w:cs="仿宋"/>
          <w:b/>
          <w:bCs/>
          <w:color w:val="auto"/>
          <w:kern w:val="0"/>
          <w:sz w:val="24"/>
          <w:lang w:val="en-US" w:eastAsia="zh-CN"/>
        </w:rPr>
        <w:t>3</w:t>
      </w:r>
      <w:r>
        <w:rPr>
          <w:rFonts w:hint="eastAsia" w:ascii="仿宋" w:hAnsi="仿宋" w:eastAsia="仿宋" w:cs="仿宋"/>
          <w:b/>
          <w:bCs/>
          <w:color w:val="auto"/>
          <w:kern w:val="0"/>
          <w:sz w:val="24"/>
        </w:rPr>
        <w:t>个月依法纳税及缴纳社会保险相关证明资料</w:t>
      </w:r>
    </w:p>
    <w:p>
      <w:pPr>
        <w:shd w:val="clear" w:color="auto" w:fill="FFFFFF"/>
        <w:spacing w:line="400" w:lineRule="exact"/>
        <w:rPr>
          <w:rFonts w:ascii="仿宋" w:hAnsi="仿宋" w:eastAsia="仿宋" w:cs="仿宋"/>
          <w:bCs/>
          <w:color w:val="auto"/>
          <w:sz w:val="24"/>
        </w:rPr>
      </w:pPr>
      <w:r>
        <w:rPr>
          <w:rFonts w:hint="eastAsia" w:ascii="仿宋" w:hAnsi="仿宋" w:eastAsia="仿宋" w:cs="仿宋"/>
          <w:bCs/>
          <w:color w:val="auto"/>
          <w:sz w:val="24"/>
        </w:rPr>
        <w:t>此处请附：</w:t>
      </w:r>
    </w:p>
    <w:p>
      <w:pPr>
        <w:shd w:val="clear" w:color="auto" w:fill="FFFFFF"/>
        <w:spacing w:line="400" w:lineRule="exact"/>
        <w:rPr>
          <w:rFonts w:ascii="仿宋" w:hAnsi="仿宋" w:eastAsia="仿宋" w:cs="仿宋"/>
          <w:bCs/>
          <w:color w:val="auto"/>
          <w:sz w:val="24"/>
        </w:rPr>
      </w:pPr>
      <w:r>
        <w:rPr>
          <w:rFonts w:hint="eastAsia" w:ascii="仿宋" w:hAnsi="仿宋" w:eastAsia="仿宋" w:cs="仿宋"/>
          <w:bCs/>
          <w:color w:val="auto"/>
          <w:sz w:val="24"/>
        </w:rPr>
        <w:t xml:space="preserve"> ①供应商近</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个月公司缴纳税收的凭据或证明材料复印件加盖公章；</w:t>
      </w:r>
    </w:p>
    <w:p>
      <w:pPr>
        <w:widowControl/>
        <w:spacing w:line="400" w:lineRule="exact"/>
        <w:jc w:val="left"/>
        <w:rPr>
          <w:rFonts w:ascii="仿宋" w:hAnsi="仿宋" w:eastAsia="仿宋" w:cs="仿宋"/>
          <w:bCs/>
          <w:color w:val="auto"/>
          <w:sz w:val="24"/>
        </w:rPr>
      </w:pPr>
      <w:r>
        <w:rPr>
          <w:rFonts w:hint="eastAsia" w:ascii="仿宋" w:hAnsi="仿宋" w:eastAsia="仿宋" w:cs="仿宋"/>
          <w:bCs/>
          <w:color w:val="auto"/>
          <w:sz w:val="24"/>
        </w:rPr>
        <w:t xml:space="preserve"> ②供应商近</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个月公司缴纳社会保险的凭据或证明材料复印件加盖公章。</w:t>
      </w:r>
    </w:p>
    <w:p>
      <w:pPr>
        <w:widowControl/>
        <w:spacing w:line="400" w:lineRule="exact"/>
        <w:jc w:val="left"/>
        <w:rPr>
          <w:rFonts w:ascii="仿宋" w:hAnsi="仿宋" w:eastAsia="仿宋" w:cs="仿宋"/>
          <w:color w:val="auto"/>
          <w:sz w:val="24"/>
        </w:rPr>
      </w:pPr>
      <w:r>
        <w:rPr>
          <w:rFonts w:hint="eastAsia" w:ascii="仿宋" w:hAnsi="仿宋" w:eastAsia="仿宋" w:cs="仿宋"/>
          <w:color w:val="auto"/>
          <w:sz w:val="24"/>
        </w:rPr>
        <w:br w:type="page"/>
      </w:r>
    </w:p>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t xml:space="preserve">附件四  </w:t>
      </w:r>
    </w:p>
    <w:p>
      <w:pPr>
        <w:widowControl/>
        <w:spacing w:line="400" w:lineRule="exact"/>
        <w:jc w:val="left"/>
        <w:rPr>
          <w:rFonts w:ascii="仿宋" w:hAnsi="仿宋" w:eastAsia="仿宋" w:cs="仿宋"/>
          <w:b/>
          <w:color w:val="auto"/>
          <w:kern w:val="0"/>
          <w:sz w:val="24"/>
          <w:szCs w:val="22"/>
        </w:rPr>
      </w:pPr>
      <w:r>
        <w:rPr>
          <w:rFonts w:hint="eastAsia" w:ascii="仿宋" w:hAnsi="仿宋" w:eastAsia="仿宋" w:cs="仿宋"/>
          <w:b/>
          <w:bCs/>
          <w:color w:val="auto"/>
          <w:kern w:val="0"/>
          <w:sz w:val="24"/>
        </w:rPr>
        <w:t>供应商</w:t>
      </w:r>
      <w:r>
        <w:rPr>
          <w:rFonts w:hint="eastAsia" w:ascii="仿宋" w:hAnsi="仿宋" w:eastAsia="仿宋" w:cs="仿宋"/>
          <w:b/>
          <w:color w:val="auto"/>
          <w:kern w:val="0"/>
          <w:sz w:val="24"/>
          <w:szCs w:val="22"/>
        </w:rPr>
        <w:t>经审计的202</w:t>
      </w:r>
      <w:r>
        <w:rPr>
          <w:rFonts w:hint="eastAsia" w:ascii="仿宋" w:hAnsi="仿宋" w:eastAsia="仿宋" w:cs="仿宋"/>
          <w:b/>
          <w:color w:val="auto"/>
          <w:kern w:val="0"/>
          <w:sz w:val="24"/>
          <w:szCs w:val="22"/>
          <w:lang w:val="en-US" w:eastAsia="zh-CN"/>
        </w:rPr>
        <w:t>1</w:t>
      </w:r>
      <w:r>
        <w:rPr>
          <w:rFonts w:hint="eastAsia" w:ascii="仿宋" w:hAnsi="仿宋" w:eastAsia="仿宋" w:cs="仿宋"/>
          <w:b/>
          <w:color w:val="auto"/>
          <w:kern w:val="0"/>
          <w:sz w:val="24"/>
          <w:szCs w:val="22"/>
        </w:rPr>
        <w:t>年度的财务报告复印件（投标单位成立不满一年的不需提供）</w:t>
      </w:r>
    </w:p>
    <w:p>
      <w:pPr>
        <w:widowControl/>
        <w:spacing w:line="400" w:lineRule="exact"/>
        <w:jc w:val="left"/>
        <w:rPr>
          <w:rFonts w:ascii="仿宋" w:hAnsi="仿宋" w:eastAsia="仿宋" w:cs="仿宋"/>
          <w:b/>
          <w:color w:val="auto"/>
          <w:kern w:val="0"/>
          <w:sz w:val="24"/>
          <w:szCs w:val="22"/>
        </w:rPr>
      </w:pPr>
    </w:p>
    <w:p>
      <w:pPr>
        <w:widowControl/>
        <w:spacing w:line="400" w:lineRule="exact"/>
        <w:jc w:val="left"/>
        <w:rPr>
          <w:rFonts w:ascii="仿宋" w:hAnsi="仿宋" w:eastAsia="仿宋" w:cs="仿宋"/>
          <w:color w:val="auto"/>
          <w:sz w:val="24"/>
        </w:rPr>
      </w:pPr>
    </w:p>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shd w:val="clear" w:color="auto" w:fill="FFFFFF"/>
        <w:spacing w:line="400" w:lineRule="exact"/>
        <w:rPr>
          <w:rFonts w:ascii="仿宋" w:hAnsi="仿宋" w:eastAsia="仿宋" w:cs="仿宋"/>
          <w:b/>
          <w:bCs/>
          <w:color w:val="auto"/>
          <w:kern w:val="0"/>
          <w:sz w:val="24"/>
        </w:rPr>
      </w:pPr>
      <w:r>
        <w:rPr>
          <w:rFonts w:hint="eastAsia" w:ascii="仿宋" w:hAnsi="仿宋" w:eastAsia="仿宋" w:cs="仿宋"/>
          <w:b/>
          <w:bCs/>
          <w:color w:val="auto"/>
          <w:kern w:val="0"/>
          <w:sz w:val="24"/>
        </w:rPr>
        <w:t xml:space="preserve">附件五 </w:t>
      </w:r>
    </w:p>
    <w:p>
      <w:pPr>
        <w:shd w:val="clear" w:color="auto" w:fill="FFFFFF"/>
        <w:spacing w:line="400" w:lineRule="exact"/>
        <w:rPr>
          <w:rFonts w:ascii="仿宋" w:hAnsi="仿宋" w:eastAsia="仿宋" w:cs="仿宋"/>
          <w:b/>
          <w:bCs/>
          <w:color w:val="auto"/>
          <w:kern w:val="0"/>
          <w:sz w:val="24"/>
        </w:rPr>
      </w:pPr>
      <w:r>
        <w:rPr>
          <w:rFonts w:hint="eastAsia" w:ascii="仿宋" w:hAnsi="仿宋" w:eastAsia="仿宋" w:cs="仿宋"/>
          <w:b/>
          <w:bCs/>
          <w:color w:val="auto"/>
          <w:kern w:val="0"/>
          <w:sz w:val="24"/>
        </w:rPr>
        <w:t xml:space="preserve"> 供应商参加政府采购活动前3年内在经营活动中没有重大违法记录的书面声明</w:t>
      </w:r>
    </w:p>
    <w:p>
      <w:pPr>
        <w:shd w:val="clear" w:color="auto" w:fill="FFFFFF"/>
        <w:spacing w:beforeLines="100" w:afterLines="100"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无重大违法记录声明书</w:t>
      </w:r>
    </w:p>
    <w:p>
      <w:pPr>
        <w:shd w:val="clear" w:color="auto" w:fill="FFFFFF"/>
        <w:tabs>
          <w:tab w:val="left" w:pos="996"/>
        </w:tabs>
        <w:spacing w:line="400" w:lineRule="exact"/>
        <w:rPr>
          <w:rFonts w:ascii="仿宋" w:hAnsi="仿宋" w:eastAsia="仿宋" w:cs="仿宋"/>
          <w:color w:val="auto"/>
          <w:sz w:val="24"/>
        </w:rPr>
      </w:pPr>
    </w:p>
    <w:p>
      <w:pPr>
        <w:shd w:val="clear" w:color="auto" w:fill="FFFFFF"/>
        <w:tabs>
          <w:tab w:val="left" w:pos="996"/>
        </w:tabs>
        <w:spacing w:line="400" w:lineRule="exact"/>
        <w:rPr>
          <w:rFonts w:ascii="仿宋" w:hAnsi="仿宋" w:eastAsia="仿宋" w:cs="仿宋"/>
          <w:color w:val="auto"/>
          <w:sz w:val="24"/>
        </w:rPr>
      </w:pPr>
      <w:r>
        <w:rPr>
          <w:rFonts w:hint="eastAsia" w:ascii="仿宋" w:hAnsi="仿宋" w:eastAsia="仿宋" w:cs="仿宋"/>
          <w:color w:val="auto"/>
          <w:sz w:val="24"/>
        </w:rPr>
        <w:t>致：（采购人）</w:t>
      </w:r>
    </w:p>
    <w:p>
      <w:pPr>
        <w:shd w:val="clear" w:color="auto" w:fill="FFFFFF"/>
        <w:tabs>
          <w:tab w:val="left" w:pos="996"/>
        </w:tabs>
        <w:spacing w:line="400" w:lineRule="exact"/>
        <w:rPr>
          <w:rFonts w:ascii="仿宋" w:hAnsi="仿宋" w:eastAsia="仿宋" w:cs="仿宋"/>
          <w:color w:val="auto"/>
          <w:sz w:val="24"/>
        </w:rPr>
      </w:pPr>
    </w:p>
    <w:p>
      <w:pPr>
        <w:shd w:val="clear" w:color="auto" w:fill="FFFFFF"/>
        <w:tabs>
          <w:tab w:val="left" w:pos="996"/>
        </w:tabs>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我公司参与</w:t>
      </w:r>
      <w:r>
        <w:rPr>
          <w:rFonts w:hint="eastAsia" w:ascii="仿宋" w:hAnsi="仿宋" w:eastAsia="仿宋" w:cs="仿宋"/>
          <w:color w:val="auto"/>
          <w:sz w:val="24"/>
          <w:u w:val="single"/>
        </w:rPr>
        <w:t>（项目名称、项目编号）</w:t>
      </w:r>
      <w:r>
        <w:rPr>
          <w:rFonts w:hint="eastAsia" w:ascii="仿宋" w:hAnsi="仿宋" w:eastAsia="仿宋" w:cs="仿宋"/>
          <w:color w:val="auto"/>
          <w:sz w:val="24"/>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400" w:lineRule="exact"/>
        <w:rPr>
          <w:rFonts w:ascii="仿宋" w:hAnsi="仿宋" w:eastAsia="仿宋" w:cs="仿宋"/>
          <w:color w:val="auto"/>
          <w:sz w:val="24"/>
        </w:rPr>
      </w:pPr>
      <w:r>
        <w:rPr>
          <w:rFonts w:hint="eastAsia" w:ascii="仿宋" w:hAnsi="仿宋" w:eastAsia="仿宋" w:cs="仿宋"/>
          <w:color w:val="auto"/>
          <w:sz w:val="24"/>
        </w:rPr>
        <w:t xml:space="preserve">特此声明  </w:t>
      </w:r>
    </w:p>
    <w:p>
      <w:pPr>
        <w:shd w:val="clear" w:color="auto" w:fill="FFFFFF"/>
        <w:tabs>
          <w:tab w:val="left" w:pos="996"/>
        </w:tabs>
        <w:spacing w:line="400" w:lineRule="exact"/>
        <w:rPr>
          <w:rFonts w:ascii="仿宋" w:hAnsi="仿宋" w:eastAsia="仿宋" w:cs="仿宋"/>
          <w:color w:val="auto"/>
          <w:sz w:val="24"/>
        </w:rPr>
      </w:pPr>
    </w:p>
    <w:p>
      <w:pPr>
        <w:shd w:val="clear" w:color="auto" w:fill="FFFFFF"/>
        <w:tabs>
          <w:tab w:val="left" w:pos="996"/>
        </w:tabs>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tabs>
          <w:tab w:val="left" w:pos="996"/>
        </w:tabs>
        <w:spacing w:line="400" w:lineRule="exact"/>
        <w:rPr>
          <w:rFonts w:ascii="仿宋" w:hAnsi="仿宋" w:eastAsia="仿宋" w:cs="仿宋"/>
          <w:color w:val="auto"/>
          <w:sz w:val="24"/>
        </w:rPr>
      </w:pPr>
      <w:r>
        <w:rPr>
          <w:rFonts w:hint="eastAsia" w:ascii="仿宋" w:hAnsi="仿宋" w:eastAsia="仿宋" w:cs="仿宋"/>
          <w:color w:val="auto"/>
          <w:sz w:val="24"/>
        </w:rPr>
        <w:t>法定代表人（签字或签章）：</w:t>
      </w:r>
    </w:p>
    <w:p>
      <w:pPr>
        <w:shd w:val="clear" w:color="auto" w:fill="FFFFFF"/>
        <w:tabs>
          <w:tab w:val="left" w:pos="996"/>
        </w:tabs>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shd w:val="clear" w:color="auto" w:fill="FFFFFF"/>
        <w:tabs>
          <w:tab w:val="left" w:pos="996"/>
        </w:tabs>
        <w:spacing w:line="400" w:lineRule="exact"/>
        <w:rPr>
          <w:rFonts w:ascii="仿宋" w:hAnsi="仿宋" w:eastAsia="仿宋" w:cs="仿宋"/>
          <w:color w:val="auto"/>
          <w:sz w:val="24"/>
        </w:rPr>
      </w:pPr>
      <w:r>
        <w:rPr>
          <w:rFonts w:hint="eastAsia" w:ascii="仿宋" w:hAnsi="仿宋" w:eastAsia="仿宋" w:cs="仿宋"/>
          <w:color w:val="auto"/>
          <w:sz w:val="24"/>
        </w:rPr>
        <w:t>日期：年月日</w:t>
      </w:r>
    </w:p>
    <w:p>
      <w:pPr>
        <w:shd w:val="clear" w:color="auto" w:fill="FFFFFF"/>
        <w:tabs>
          <w:tab w:val="left" w:pos="996"/>
        </w:tabs>
        <w:spacing w:line="400" w:lineRule="exact"/>
        <w:rPr>
          <w:rFonts w:ascii="仿宋" w:hAnsi="仿宋" w:eastAsia="仿宋" w:cs="仿宋"/>
          <w:color w:val="auto"/>
          <w:sz w:val="24"/>
        </w:rPr>
      </w:pPr>
    </w:p>
    <w:p>
      <w:pPr>
        <w:widowControl/>
        <w:spacing w:line="400" w:lineRule="exact"/>
        <w:jc w:val="left"/>
        <w:rPr>
          <w:rFonts w:ascii="仿宋" w:hAnsi="仿宋" w:eastAsia="仿宋" w:cs="仿宋"/>
          <w:color w:val="auto"/>
          <w:sz w:val="24"/>
        </w:rPr>
      </w:pPr>
      <w:r>
        <w:rPr>
          <w:rFonts w:hint="eastAsia" w:ascii="仿宋" w:hAnsi="仿宋" w:eastAsia="仿宋" w:cs="仿宋"/>
          <w:color w:val="auto"/>
          <w:sz w:val="24"/>
        </w:rPr>
        <w:t>注：[近三年：指成立三年以上的，为提交首次投标文件截止时间前三年内；成立不足三年的，为实际时间。]</w:t>
      </w:r>
    </w:p>
    <w:p>
      <w:pPr>
        <w:widowControl/>
        <w:spacing w:line="400" w:lineRule="exact"/>
        <w:jc w:val="left"/>
        <w:rPr>
          <w:rFonts w:ascii="仿宋" w:hAnsi="仿宋" w:eastAsia="仿宋" w:cs="仿宋"/>
          <w:color w:val="auto"/>
          <w:kern w:val="0"/>
          <w:sz w:val="24"/>
        </w:rPr>
      </w:pPr>
    </w:p>
    <w:p>
      <w:pPr>
        <w:widowControl/>
        <w:spacing w:line="400" w:lineRule="exact"/>
        <w:jc w:val="left"/>
        <w:rPr>
          <w:rFonts w:ascii="仿宋" w:hAnsi="仿宋" w:eastAsia="仿宋" w:cs="仿宋"/>
          <w:color w:val="auto"/>
          <w:kern w:val="0"/>
          <w:sz w:val="24"/>
        </w:rPr>
      </w:pPr>
    </w:p>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t xml:space="preserve">附件六  </w:t>
      </w:r>
    </w:p>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t>供应商医疗器械经营许可证（或按照国家食品药品监督管理部门规定实行备案管理的，出具备案证明文件）（复印件加盖公章）</w:t>
      </w:r>
    </w:p>
    <w:p>
      <w:pPr>
        <w:widowControl/>
        <w:jc w:val="left"/>
        <w:rPr>
          <w:rFonts w:ascii="仿宋" w:hAnsi="仿宋" w:eastAsia="仿宋" w:cs="仿宋"/>
          <w:b/>
          <w:bCs/>
          <w:color w:val="auto"/>
          <w:kern w:val="0"/>
          <w:sz w:val="24"/>
        </w:rPr>
      </w:pPr>
      <w:r>
        <w:rPr>
          <w:rFonts w:ascii="仿宋" w:hAnsi="仿宋" w:eastAsia="仿宋" w:cs="仿宋"/>
          <w:b/>
          <w:bCs/>
          <w:color w:val="auto"/>
          <w:kern w:val="0"/>
          <w:sz w:val="24"/>
        </w:rPr>
        <w:br w:type="page"/>
      </w:r>
    </w:p>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t xml:space="preserve">附件七  </w:t>
      </w:r>
    </w:p>
    <w:p>
      <w:pPr>
        <w:widowControl/>
        <w:spacing w:line="400" w:lineRule="exact"/>
        <w:jc w:val="left"/>
        <w:rPr>
          <w:rFonts w:ascii="仿宋" w:hAnsi="仿宋" w:eastAsia="仿宋" w:cs="仿宋"/>
          <w:b/>
          <w:bCs/>
          <w:color w:val="auto"/>
          <w:kern w:val="0"/>
          <w:sz w:val="28"/>
          <w:szCs w:val="28"/>
        </w:rPr>
      </w:pPr>
      <w:r>
        <w:rPr>
          <w:rFonts w:hint="eastAsia" w:ascii="仿宋" w:hAnsi="仿宋" w:eastAsia="仿宋" w:cs="仿宋"/>
          <w:b/>
          <w:bCs/>
          <w:color w:val="auto"/>
          <w:kern w:val="0"/>
          <w:sz w:val="24"/>
        </w:rPr>
        <w:t>供应商所投车型在国家工信部官网发布的《车辆生产企业及产品公告》网页截图（复印件加盖公章）</w:t>
      </w:r>
      <w:r>
        <w:rPr>
          <w:rFonts w:hint="eastAsia" w:ascii="仿宋" w:hAnsi="仿宋" w:eastAsia="仿宋" w:cs="仿宋"/>
          <w:b/>
          <w:bCs/>
          <w:color w:val="auto"/>
          <w:kern w:val="0"/>
          <w:sz w:val="28"/>
          <w:szCs w:val="28"/>
        </w:rPr>
        <w:br w:type="page"/>
      </w:r>
    </w:p>
    <w:p>
      <w:pPr>
        <w:widowControl/>
        <w:jc w:val="left"/>
        <w:rPr>
          <w:rFonts w:ascii="仿宋" w:hAnsi="仿宋" w:eastAsia="仿宋" w:cs="仿宋"/>
          <w:b/>
          <w:bCs/>
          <w:color w:val="auto"/>
          <w:kern w:val="0"/>
          <w:sz w:val="24"/>
        </w:rPr>
      </w:pPr>
    </w:p>
    <w:p>
      <w:pPr>
        <w:shd w:val="clear" w:color="auto" w:fill="FFFFFF"/>
        <w:spacing w:line="400" w:lineRule="exact"/>
        <w:rPr>
          <w:rFonts w:ascii="仿宋" w:hAnsi="仿宋" w:eastAsia="仿宋" w:cs="仿宋"/>
          <w:b/>
          <w:bCs/>
          <w:color w:val="auto"/>
          <w:kern w:val="0"/>
          <w:sz w:val="24"/>
        </w:rPr>
      </w:pPr>
      <w:r>
        <w:rPr>
          <w:rFonts w:hint="eastAsia" w:ascii="仿宋" w:hAnsi="仿宋" w:eastAsia="仿宋" w:cs="仿宋"/>
          <w:b/>
          <w:bCs/>
          <w:color w:val="auto"/>
          <w:kern w:val="0"/>
          <w:sz w:val="24"/>
        </w:rPr>
        <w:t>附件</w:t>
      </w:r>
      <w:r>
        <w:rPr>
          <w:rFonts w:hint="eastAsia" w:ascii="仿宋" w:hAnsi="仿宋" w:eastAsia="仿宋" w:cs="仿宋"/>
          <w:b/>
          <w:bCs/>
          <w:color w:val="auto"/>
          <w:kern w:val="0"/>
          <w:sz w:val="24"/>
          <w:lang w:val="en-US" w:eastAsia="zh-CN"/>
        </w:rPr>
        <w:t>八</w:t>
      </w:r>
      <w:r>
        <w:rPr>
          <w:rFonts w:hint="eastAsia" w:ascii="仿宋" w:hAnsi="仿宋" w:eastAsia="仿宋" w:cs="仿宋"/>
          <w:b/>
          <w:bCs/>
          <w:color w:val="auto"/>
          <w:kern w:val="0"/>
          <w:sz w:val="24"/>
        </w:rPr>
        <w:t xml:space="preserve">  </w:t>
      </w:r>
    </w:p>
    <w:p>
      <w:pPr>
        <w:shd w:val="clear" w:color="auto" w:fill="FFFFFF"/>
        <w:spacing w:line="400" w:lineRule="exact"/>
        <w:rPr>
          <w:rFonts w:ascii="仿宋" w:hAnsi="仿宋" w:eastAsia="仿宋" w:cs="仿宋"/>
          <w:b/>
          <w:bCs/>
          <w:color w:val="auto"/>
          <w:kern w:val="0"/>
          <w:sz w:val="24"/>
        </w:rPr>
      </w:pPr>
      <w:r>
        <w:rPr>
          <w:rFonts w:hint="eastAsia" w:ascii="仿宋" w:hAnsi="仿宋" w:eastAsia="仿宋" w:cs="仿宋"/>
          <w:b/>
          <w:bCs/>
          <w:color w:val="auto"/>
          <w:kern w:val="0"/>
          <w:sz w:val="24"/>
        </w:rPr>
        <w:t>投标保证金缴纳凭证</w:t>
      </w:r>
    </w:p>
    <w:p>
      <w:pPr>
        <w:spacing w:line="400" w:lineRule="exact"/>
        <w:rPr>
          <w:rFonts w:ascii="仿宋" w:hAnsi="仿宋" w:eastAsia="仿宋" w:cs="仿宋"/>
          <w:color w:val="auto"/>
          <w:kern w:val="0"/>
          <w:sz w:val="24"/>
        </w:rPr>
      </w:pPr>
      <w:r>
        <w:rPr>
          <w:rFonts w:hint="eastAsia" w:ascii="仿宋" w:hAnsi="仿宋" w:eastAsia="仿宋" w:cs="仿宋"/>
          <w:color w:val="auto"/>
          <w:kern w:val="0"/>
          <w:sz w:val="24"/>
        </w:rPr>
        <w:t>此处请附： ①投标保证金打款凭证</w:t>
      </w:r>
    </w:p>
    <w:p>
      <w:pPr>
        <w:spacing w:line="400" w:lineRule="exact"/>
        <w:ind w:firstLine="1320" w:firstLineChars="550"/>
        <w:rPr>
          <w:rFonts w:ascii="仿宋" w:hAnsi="仿宋" w:eastAsia="仿宋" w:cs="仿宋"/>
          <w:color w:val="auto"/>
          <w:kern w:val="0"/>
          <w:sz w:val="24"/>
        </w:rPr>
      </w:pPr>
    </w:p>
    <w:p>
      <w:pPr>
        <w:spacing w:line="400" w:lineRule="exact"/>
        <w:ind w:firstLine="1320" w:firstLineChars="550"/>
        <w:rPr>
          <w:rFonts w:ascii="仿宋" w:hAnsi="仿宋" w:eastAsia="仿宋" w:cs="仿宋"/>
          <w:color w:val="auto"/>
          <w:kern w:val="0"/>
          <w:sz w:val="24"/>
        </w:rPr>
      </w:pPr>
    </w:p>
    <w:p>
      <w:pPr>
        <w:spacing w:line="400" w:lineRule="exact"/>
        <w:ind w:firstLine="1320" w:firstLineChars="550"/>
        <w:rPr>
          <w:rFonts w:ascii="仿宋" w:hAnsi="仿宋" w:eastAsia="仿宋" w:cs="仿宋"/>
          <w:color w:val="auto"/>
          <w:kern w:val="0"/>
          <w:sz w:val="24"/>
        </w:rPr>
      </w:pPr>
    </w:p>
    <w:p>
      <w:pPr>
        <w:spacing w:line="400" w:lineRule="exact"/>
        <w:ind w:firstLine="1320" w:firstLineChars="550"/>
        <w:rPr>
          <w:rFonts w:ascii="仿宋" w:hAnsi="仿宋" w:eastAsia="仿宋" w:cs="仿宋"/>
          <w:color w:val="auto"/>
          <w:kern w:val="0"/>
          <w:sz w:val="24"/>
        </w:rPr>
      </w:pPr>
    </w:p>
    <w:p>
      <w:pPr>
        <w:spacing w:line="400" w:lineRule="exact"/>
        <w:ind w:firstLine="1320" w:firstLineChars="550"/>
        <w:rPr>
          <w:rFonts w:ascii="仿宋" w:hAnsi="仿宋" w:eastAsia="仿宋" w:cs="仿宋"/>
          <w:color w:val="auto"/>
          <w:kern w:val="0"/>
          <w:sz w:val="24"/>
        </w:rPr>
      </w:pPr>
    </w:p>
    <w:p>
      <w:pPr>
        <w:pStyle w:val="59"/>
        <w:spacing w:line="400" w:lineRule="exact"/>
        <w:ind w:firstLine="210"/>
        <w:rPr>
          <w:rFonts w:ascii="仿宋" w:hAnsi="仿宋" w:eastAsia="仿宋" w:cs="仿宋"/>
          <w:color w:val="auto"/>
        </w:rPr>
      </w:pPr>
    </w:p>
    <w:p>
      <w:pPr>
        <w:pStyle w:val="59"/>
        <w:spacing w:line="400" w:lineRule="exact"/>
        <w:ind w:firstLine="0" w:firstLineChars="0"/>
        <w:rPr>
          <w:rFonts w:ascii="仿宋" w:hAnsi="仿宋" w:eastAsia="仿宋" w:cs="仿宋"/>
          <w:color w:val="auto"/>
        </w:rPr>
      </w:pPr>
    </w:p>
    <w:p>
      <w:pPr>
        <w:spacing w:line="400" w:lineRule="exact"/>
        <w:ind w:firstLine="1320" w:firstLineChars="550"/>
        <w:rPr>
          <w:rFonts w:ascii="仿宋" w:hAnsi="仿宋" w:eastAsia="仿宋" w:cs="仿宋"/>
          <w:color w:val="auto"/>
          <w:kern w:val="0"/>
          <w:sz w:val="24"/>
        </w:rPr>
      </w:pPr>
      <w:r>
        <w:rPr>
          <w:rFonts w:hint="eastAsia" w:ascii="仿宋" w:hAnsi="仿宋" w:eastAsia="仿宋" w:cs="仿宋"/>
          <w:color w:val="auto"/>
          <w:kern w:val="0"/>
          <w:sz w:val="24"/>
        </w:rPr>
        <w:t>②供应商缴纳保证金的账户信息（作退保证金使用）</w:t>
      </w:r>
    </w:p>
    <w:p>
      <w:pPr>
        <w:spacing w:line="400" w:lineRule="exact"/>
        <w:ind w:firstLine="1320" w:firstLineChars="550"/>
        <w:rPr>
          <w:rFonts w:ascii="仿宋" w:hAnsi="仿宋" w:eastAsia="仿宋" w:cs="仿宋"/>
          <w:color w:val="auto"/>
          <w:kern w:val="0"/>
          <w:sz w:val="24"/>
        </w:rPr>
      </w:pPr>
      <w:r>
        <w:rPr>
          <w:rFonts w:hint="eastAsia" w:ascii="仿宋" w:hAnsi="仿宋" w:eastAsia="仿宋" w:cs="仿宋"/>
          <w:color w:val="auto"/>
          <w:kern w:val="0"/>
          <w:sz w:val="24"/>
        </w:rPr>
        <w:t>开户行名称：</w:t>
      </w:r>
    </w:p>
    <w:p>
      <w:pPr>
        <w:spacing w:line="400" w:lineRule="exact"/>
        <w:ind w:firstLine="1320" w:firstLineChars="550"/>
        <w:rPr>
          <w:rFonts w:ascii="仿宋" w:hAnsi="仿宋" w:eastAsia="仿宋" w:cs="仿宋"/>
          <w:color w:val="auto"/>
          <w:kern w:val="0"/>
          <w:sz w:val="24"/>
        </w:rPr>
      </w:pPr>
      <w:r>
        <w:rPr>
          <w:rFonts w:hint="eastAsia" w:ascii="仿宋" w:hAnsi="仿宋" w:eastAsia="仿宋" w:cs="仿宋"/>
          <w:color w:val="auto"/>
          <w:kern w:val="0"/>
          <w:sz w:val="24"/>
        </w:rPr>
        <w:t>银行账号：</w:t>
      </w:r>
    </w:p>
    <w:p>
      <w:pPr>
        <w:widowControl/>
        <w:spacing w:line="400" w:lineRule="exact"/>
        <w:ind w:firstLine="1320" w:firstLineChars="550"/>
        <w:jc w:val="left"/>
        <w:rPr>
          <w:rFonts w:ascii="仿宋" w:hAnsi="仿宋" w:eastAsia="仿宋" w:cs="仿宋"/>
          <w:bCs/>
          <w:color w:val="auto"/>
          <w:sz w:val="24"/>
        </w:rPr>
      </w:pPr>
      <w:r>
        <w:rPr>
          <w:rFonts w:hint="eastAsia" w:ascii="仿宋" w:hAnsi="仿宋" w:eastAsia="仿宋" w:cs="仿宋"/>
          <w:color w:val="auto"/>
          <w:kern w:val="0"/>
          <w:sz w:val="24"/>
        </w:rPr>
        <w:t>银行行号：</w:t>
      </w:r>
    </w:p>
    <w:p>
      <w:pPr>
        <w:widowControl/>
        <w:spacing w:line="400" w:lineRule="exact"/>
        <w:jc w:val="left"/>
        <w:rPr>
          <w:rFonts w:ascii="仿宋" w:hAnsi="仿宋" w:eastAsia="仿宋" w:cs="仿宋"/>
          <w:b/>
          <w:bCs/>
          <w:color w:val="auto"/>
          <w:kern w:val="0"/>
          <w:sz w:val="24"/>
        </w:rPr>
      </w:pPr>
      <w:r>
        <w:rPr>
          <w:rFonts w:hint="eastAsia" w:ascii="仿宋" w:hAnsi="仿宋" w:eastAsia="仿宋" w:cs="仿宋"/>
          <w:b/>
          <w:bCs/>
          <w:color w:val="auto"/>
          <w:kern w:val="0"/>
          <w:sz w:val="24"/>
        </w:rPr>
        <w:br w:type="page"/>
      </w:r>
    </w:p>
    <w:p>
      <w:pPr>
        <w:widowControl/>
        <w:spacing w:line="400" w:lineRule="exact"/>
        <w:jc w:val="left"/>
        <w:rPr>
          <w:rFonts w:hint="eastAsia" w:ascii="仿宋" w:hAnsi="仿宋" w:eastAsia="仿宋" w:cs="仿宋"/>
          <w:b/>
          <w:bCs/>
          <w:color w:val="auto"/>
          <w:sz w:val="28"/>
          <w:szCs w:val="28"/>
          <w:lang w:eastAsia="zh-CN"/>
        </w:rPr>
      </w:pPr>
      <w:r>
        <w:rPr>
          <w:rFonts w:hint="eastAsia" w:ascii="仿宋" w:hAnsi="仿宋" w:eastAsia="仿宋" w:cs="仿宋"/>
          <w:b/>
          <w:bCs/>
          <w:color w:val="auto"/>
          <w:kern w:val="0"/>
          <w:sz w:val="24"/>
        </w:rPr>
        <w:t>附件</w:t>
      </w:r>
      <w:r>
        <w:rPr>
          <w:rFonts w:hint="eastAsia" w:ascii="仿宋" w:hAnsi="仿宋" w:eastAsia="仿宋" w:cs="仿宋"/>
          <w:b/>
          <w:bCs/>
          <w:color w:val="auto"/>
          <w:kern w:val="0"/>
          <w:sz w:val="24"/>
          <w:lang w:val="en-US" w:eastAsia="zh-CN"/>
        </w:rPr>
        <w:t>九</w:t>
      </w:r>
    </w:p>
    <w:p>
      <w:pPr>
        <w:shd w:val="clear" w:color="auto" w:fill="FFFFFF"/>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投标承诺书</w:t>
      </w:r>
    </w:p>
    <w:p>
      <w:pPr>
        <w:shd w:val="clear" w:color="auto" w:fill="FFFFFF"/>
        <w:spacing w:line="400" w:lineRule="exact"/>
        <w:jc w:val="left"/>
        <w:rPr>
          <w:rFonts w:ascii="仿宋" w:hAnsi="仿宋" w:eastAsia="仿宋" w:cs="仿宋"/>
          <w:color w:val="auto"/>
          <w:sz w:val="24"/>
          <w:u w:val="single"/>
        </w:rPr>
      </w:pPr>
      <w:r>
        <w:rPr>
          <w:rFonts w:hint="eastAsia" w:ascii="仿宋" w:hAnsi="仿宋" w:eastAsia="仿宋" w:cs="仿宋"/>
          <w:color w:val="auto"/>
          <w:sz w:val="24"/>
          <w:u w:val="single"/>
        </w:rPr>
        <w:t xml:space="preserve">（采购人名称） </w:t>
      </w:r>
    </w:p>
    <w:p>
      <w:pPr>
        <w:shd w:val="clear" w:color="auto" w:fill="FFFFFF"/>
        <w:spacing w:line="400" w:lineRule="exact"/>
        <w:ind w:firstLine="489" w:firstLineChars="204"/>
        <w:rPr>
          <w:rFonts w:ascii="仿宋" w:hAnsi="仿宋" w:eastAsia="仿宋" w:cs="仿宋"/>
          <w:color w:val="auto"/>
          <w:sz w:val="24"/>
        </w:rPr>
      </w:pPr>
      <w:r>
        <w:rPr>
          <w:rFonts w:hint="eastAsia" w:ascii="仿宋" w:hAnsi="仿宋" w:eastAsia="仿宋" w:cs="仿宋"/>
          <w:color w:val="auto"/>
          <w:sz w:val="24"/>
        </w:rPr>
        <w:t>我方收到并研究了贵方</w:t>
      </w:r>
      <w:r>
        <w:rPr>
          <w:rFonts w:hint="eastAsia" w:ascii="仿宋" w:hAnsi="仿宋" w:eastAsia="仿宋" w:cs="仿宋"/>
          <w:color w:val="auto"/>
          <w:sz w:val="24"/>
          <w:u w:val="single"/>
        </w:rPr>
        <w:t>（项目名称、项目编号）</w:t>
      </w:r>
      <w:r>
        <w:rPr>
          <w:rFonts w:hint="eastAsia" w:ascii="仿宋" w:hAnsi="仿宋" w:eastAsia="仿宋" w:cs="仿宋"/>
          <w:color w:val="auto"/>
          <w:sz w:val="24"/>
        </w:rPr>
        <w:t>项目的招标文件，愿意按照招标文件规定的内容承担该项目的投标任务，严格执行我方所承诺的责任和义务。为此，我方郑重声明以下诸点，并承担法律责任。</w:t>
      </w:r>
    </w:p>
    <w:p>
      <w:pPr>
        <w:shd w:val="clear" w:color="auto" w:fill="FFFFFF"/>
        <w:spacing w:line="400" w:lineRule="exact"/>
        <w:ind w:firstLine="489" w:firstLineChars="204"/>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0"/>
          <w:sz w:val="24"/>
        </w:rPr>
        <w:t>我方提交投标文件，正本1份，副本4份，单独密封的《开标一览表》1份，同时提交电子版投标文件一份（U盘形式）；我方愿按《中华人民共和国政府采购法》及其他有关法律、法规的规定及采购文件的规定，自觉履行自己的全部责任。</w:t>
      </w:r>
    </w:p>
    <w:p>
      <w:pPr>
        <w:shd w:val="clear" w:color="auto" w:fill="FFFFFF"/>
        <w:spacing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2、我方同意在投标有效期内遵守本投标文件，在此期限期满前的任何时间，本投标文件一直对我方具有约束力。</w:t>
      </w:r>
    </w:p>
    <w:p>
      <w:pPr>
        <w:shd w:val="clear" w:color="auto" w:fill="FFFFFF"/>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3、如果我方投标文件被接受，我方将按照招标文件的规定，保证按招标要求和投标文件中的承诺按期、按质、按量交付使用方。</w:t>
      </w:r>
    </w:p>
    <w:p>
      <w:pPr>
        <w:shd w:val="clear" w:color="auto" w:fill="FFFFFF"/>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pPr>
        <w:shd w:val="clear" w:color="auto" w:fill="FFFFFF"/>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6、一旦我方中标，我方愿意按招标要求承担招标代理服务费。</w:t>
      </w:r>
    </w:p>
    <w:p>
      <w:pPr>
        <w:shd w:val="clear" w:color="auto" w:fill="FFFFFF"/>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7、贵方的中标通知书和本投标文件将成为构成约束双方合同的组成部分。</w:t>
      </w:r>
    </w:p>
    <w:p>
      <w:pPr>
        <w:shd w:val="clear" w:color="auto" w:fill="FFFFFF"/>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8、如果我方未中标，贵方没有义务对我方做出任何解释和说明，我方将充分尊重和理解贵方的选择。</w:t>
      </w:r>
    </w:p>
    <w:p>
      <w:pPr>
        <w:shd w:val="clear" w:color="auto" w:fill="FFFFFF"/>
        <w:spacing w:line="400" w:lineRule="exact"/>
        <w:jc w:val="left"/>
        <w:rPr>
          <w:rFonts w:ascii="仿宋" w:hAnsi="仿宋" w:eastAsia="仿宋" w:cs="仿宋"/>
          <w:color w:val="auto"/>
          <w:sz w:val="24"/>
        </w:rPr>
      </w:pPr>
      <w:r>
        <w:rPr>
          <w:rFonts w:hint="eastAsia" w:ascii="仿宋" w:hAnsi="仿宋" w:eastAsia="仿宋" w:cs="仿宋"/>
          <w:color w:val="auto"/>
          <w:sz w:val="24"/>
        </w:rPr>
        <w:t xml:space="preserve">    9、我方的投标文件自提交投标文件截止之日起有效期为天。</w:t>
      </w:r>
    </w:p>
    <w:p>
      <w:pPr>
        <w:pStyle w:val="304"/>
        <w:shd w:val="clear" w:color="auto" w:fill="FFFFFF"/>
        <w:snapToGrid w:val="0"/>
        <w:spacing w:line="400" w:lineRule="exact"/>
        <w:rPr>
          <w:rFonts w:ascii="仿宋" w:hAnsi="仿宋" w:eastAsia="仿宋" w:cs="仿宋"/>
          <w:color w:val="auto"/>
          <w:sz w:val="24"/>
        </w:rPr>
      </w:pPr>
    </w:p>
    <w:p>
      <w:pPr>
        <w:pStyle w:val="304"/>
        <w:shd w:val="clear" w:color="auto" w:fill="FFFFFF"/>
        <w:snapToGrid w:val="0"/>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法定代表人（签字或签章）：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pStyle w:val="47"/>
        <w:spacing w:line="400" w:lineRule="exact"/>
        <w:rPr>
          <w:rFonts w:ascii="仿宋" w:hAnsi="仿宋" w:eastAsia="仿宋" w:cs="仿宋"/>
          <w:color w:val="auto"/>
        </w:rPr>
      </w:pPr>
      <w:r>
        <w:rPr>
          <w:rFonts w:hint="eastAsia" w:ascii="仿宋" w:hAnsi="仿宋" w:eastAsia="仿宋" w:cs="仿宋"/>
          <w:color w:val="auto"/>
          <w:sz w:val="24"/>
        </w:rPr>
        <w:t>日期：  年  月  日</w:t>
      </w:r>
      <w:r>
        <w:rPr>
          <w:rFonts w:hint="eastAsia" w:ascii="仿宋" w:hAnsi="仿宋" w:eastAsia="仿宋" w:cs="仿宋"/>
          <w:color w:val="auto"/>
          <w:szCs w:val="18"/>
        </w:rPr>
        <w:br w:type="page"/>
      </w:r>
    </w:p>
    <w:p>
      <w:pPr>
        <w:shd w:val="clear" w:color="auto" w:fill="FFFFFF"/>
        <w:spacing w:line="400" w:lineRule="exact"/>
        <w:rPr>
          <w:rFonts w:ascii="仿宋" w:hAnsi="仿宋" w:eastAsia="仿宋" w:cs="仿宋"/>
          <w:b/>
          <w:color w:val="auto"/>
          <w:kern w:val="0"/>
          <w:sz w:val="24"/>
        </w:rPr>
      </w:pPr>
      <w:r>
        <w:rPr>
          <w:rFonts w:hint="eastAsia" w:ascii="仿宋" w:hAnsi="仿宋" w:eastAsia="仿宋" w:cs="仿宋"/>
          <w:b/>
          <w:color w:val="auto"/>
          <w:kern w:val="0"/>
          <w:sz w:val="24"/>
        </w:rPr>
        <w:t xml:space="preserve">附件十  </w:t>
      </w:r>
    </w:p>
    <w:p>
      <w:pPr>
        <w:shd w:val="clear" w:color="auto" w:fill="FFFFFF"/>
        <w:spacing w:line="400" w:lineRule="exact"/>
        <w:rPr>
          <w:rFonts w:ascii="仿宋" w:hAnsi="仿宋" w:eastAsia="仿宋" w:cs="仿宋"/>
          <w:color w:val="auto"/>
          <w:kern w:val="0"/>
          <w:sz w:val="24"/>
        </w:rPr>
      </w:pPr>
      <w:r>
        <w:rPr>
          <w:rFonts w:hint="eastAsia" w:ascii="仿宋" w:hAnsi="仿宋" w:eastAsia="仿宋" w:cs="仿宋"/>
          <w:b/>
          <w:color w:val="auto"/>
          <w:kern w:val="0"/>
          <w:sz w:val="24"/>
        </w:rPr>
        <w:t>售后服务承诺书</w:t>
      </w: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承诺书格式由供应商自行确定，包括但不限于以下内容：</w:t>
      </w: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1、详细的售后服务方案、维保服务计划；</w:t>
      </w: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2、保修期内和保修期后，如设备出现故障，派工程技术人员到达现场解决问题的响应时间；</w:t>
      </w: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3、培训方案；</w:t>
      </w: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4、售后服务网点明细表（包括联系人、详细地址、电话、传真）及本地化服务情况一览表）；</w:t>
      </w: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bCs/>
          <w:color w:val="auto"/>
          <w:kern w:val="0"/>
          <w:sz w:val="24"/>
        </w:rPr>
        <w:t>5、其他供应商认为必要的承诺内容包括但不限于以下内容：</w:t>
      </w:r>
    </w:p>
    <w:p>
      <w:pPr>
        <w:shd w:val="clear" w:color="auto" w:fill="FFFFFF"/>
        <w:spacing w:line="400" w:lineRule="exact"/>
        <w:rPr>
          <w:rFonts w:ascii="仿宋" w:hAnsi="仿宋" w:eastAsia="仿宋" w:cs="仿宋"/>
          <w:bCs/>
          <w:color w:val="auto"/>
          <w:kern w:val="0"/>
          <w:sz w:val="24"/>
        </w:rPr>
      </w:pPr>
    </w:p>
    <w:p>
      <w:pPr>
        <w:shd w:val="clear" w:color="auto" w:fill="FFFFFF"/>
        <w:spacing w:line="400" w:lineRule="exact"/>
        <w:rPr>
          <w:rFonts w:ascii="仿宋" w:hAnsi="仿宋" w:eastAsia="仿宋" w:cs="仿宋"/>
          <w:bCs/>
          <w:color w:val="auto"/>
          <w:kern w:val="0"/>
          <w:sz w:val="24"/>
        </w:rPr>
      </w:pPr>
    </w:p>
    <w:p>
      <w:pPr>
        <w:shd w:val="clear" w:color="auto" w:fill="FFFFFF"/>
        <w:spacing w:line="400" w:lineRule="exact"/>
        <w:rPr>
          <w:rFonts w:ascii="仿宋" w:hAnsi="仿宋" w:eastAsia="仿宋" w:cs="仿宋"/>
          <w:bCs/>
          <w:color w:val="auto"/>
          <w:kern w:val="0"/>
          <w:sz w:val="24"/>
        </w:rPr>
      </w:pPr>
    </w:p>
    <w:p>
      <w:pPr>
        <w:shd w:val="clear" w:color="auto" w:fill="FFFFFF"/>
        <w:spacing w:line="400" w:lineRule="exact"/>
        <w:rPr>
          <w:rFonts w:ascii="仿宋" w:hAnsi="仿宋" w:eastAsia="仿宋" w:cs="仿宋"/>
          <w:bCs/>
          <w:color w:val="auto"/>
          <w:kern w:val="0"/>
          <w:sz w:val="24"/>
        </w:rPr>
      </w:pPr>
    </w:p>
    <w:p>
      <w:pPr>
        <w:shd w:val="clear" w:color="auto" w:fill="FFFFFF"/>
        <w:spacing w:line="400" w:lineRule="exact"/>
        <w:rPr>
          <w:rFonts w:ascii="仿宋" w:hAnsi="仿宋" w:eastAsia="仿宋" w:cs="仿宋"/>
          <w:bCs/>
          <w:color w:val="auto"/>
          <w:kern w:val="0"/>
          <w:sz w:val="24"/>
        </w:rPr>
      </w:pPr>
    </w:p>
    <w:p>
      <w:pPr>
        <w:shd w:val="clear" w:color="auto" w:fill="FFFFFF"/>
        <w:spacing w:line="400" w:lineRule="exact"/>
        <w:rPr>
          <w:rFonts w:ascii="仿宋" w:hAnsi="仿宋" w:eastAsia="仿宋" w:cs="仿宋"/>
          <w:bCs/>
          <w:color w:val="auto"/>
          <w:kern w:val="0"/>
          <w:sz w:val="24"/>
        </w:rPr>
      </w:pPr>
    </w:p>
    <w:p>
      <w:pPr>
        <w:shd w:val="clear" w:color="auto" w:fill="FFFFFF"/>
        <w:spacing w:line="400" w:lineRule="exact"/>
        <w:rPr>
          <w:rFonts w:ascii="仿宋" w:hAnsi="仿宋" w:eastAsia="仿宋" w:cs="仿宋"/>
          <w:bCs/>
          <w:color w:val="auto"/>
          <w:kern w:val="0"/>
          <w:sz w:val="24"/>
        </w:rPr>
      </w:pPr>
    </w:p>
    <w:p>
      <w:pPr>
        <w:shd w:val="clear" w:color="auto" w:fill="FFFFFF"/>
        <w:spacing w:line="400" w:lineRule="exact"/>
        <w:rPr>
          <w:rFonts w:ascii="仿宋" w:hAnsi="仿宋" w:eastAsia="仿宋" w:cs="仿宋"/>
          <w:bCs/>
          <w:color w:val="auto"/>
          <w:kern w:val="0"/>
          <w:sz w:val="24"/>
        </w:rPr>
      </w:pPr>
    </w:p>
    <w:p>
      <w:pPr>
        <w:pStyle w:val="304"/>
        <w:shd w:val="clear" w:color="auto" w:fill="FFFFFF"/>
        <w:snapToGrid w:val="0"/>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法定代表人（签字或签章）：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shd w:val="clear" w:color="auto" w:fill="FFFFFF"/>
        <w:spacing w:line="400" w:lineRule="exact"/>
        <w:rPr>
          <w:rFonts w:ascii="仿宋" w:hAnsi="仿宋" w:eastAsia="仿宋" w:cs="仿宋"/>
          <w:bCs/>
          <w:color w:val="auto"/>
          <w:kern w:val="0"/>
          <w:sz w:val="24"/>
        </w:rPr>
      </w:pPr>
      <w:r>
        <w:rPr>
          <w:rFonts w:hint="eastAsia" w:ascii="仿宋" w:hAnsi="仿宋" w:eastAsia="仿宋" w:cs="仿宋"/>
          <w:color w:val="auto"/>
          <w:sz w:val="24"/>
        </w:rPr>
        <w:t>日期：  年  月  日</w:t>
      </w:r>
    </w:p>
    <w:p>
      <w:pPr>
        <w:widowControl/>
        <w:spacing w:line="400" w:lineRule="exact"/>
        <w:jc w:val="left"/>
        <w:rPr>
          <w:rFonts w:ascii="仿宋" w:hAnsi="仿宋" w:eastAsia="仿宋" w:cs="仿宋"/>
          <w:bCs/>
          <w:color w:val="auto"/>
          <w:sz w:val="24"/>
        </w:rPr>
      </w:pPr>
    </w:p>
    <w:p>
      <w:pPr>
        <w:shd w:val="clear" w:color="auto" w:fill="FFFFFF"/>
        <w:spacing w:line="400" w:lineRule="exact"/>
        <w:rPr>
          <w:rFonts w:ascii="仿宋" w:hAnsi="仿宋" w:eastAsia="仿宋" w:cs="仿宋"/>
          <w:bCs/>
          <w:color w:val="auto"/>
          <w:sz w:val="24"/>
        </w:rPr>
      </w:pPr>
    </w:p>
    <w:p>
      <w:pPr>
        <w:widowControl/>
        <w:spacing w:line="400" w:lineRule="exact"/>
        <w:jc w:val="left"/>
        <w:rPr>
          <w:rFonts w:ascii="仿宋" w:hAnsi="仿宋" w:eastAsia="仿宋" w:cs="仿宋"/>
          <w:b/>
          <w:bCs/>
          <w:color w:val="auto"/>
          <w:sz w:val="24"/>
        </w:rPr>
      </w:pPr>
      <w:r>
        <w:rPr>
          <w:rFonts w:hint="eastAsia" w:ascii="仿宋" w:hAnsi="仿宋" w:eastAsia="仿宋" w:cs="仿宋"/>
          <w:b/>
          <w:bCs/>
          <w:color w:val="auto"/>
          <w:sz w:val="24"/>
        </w:rPr>
        <w:br w:type="page"/>
      </w:r>
    </w:p>
    <w:p>
      <w:pPr>
        <w:widowControl/>
        <w:spacing w:line="400" w:lineRule="exact"/>
        <w:jc w:val="left"/>
        <w:rPr>
          <w:rFonts w:hint="eastAsia" w:ascii="仿宋" w:hAnsi="仿宋" w:eastAsia="仿宋" w:cs="仿宋"/>
          <w:color w:val="auto"/>
          <w:kern w:val="0"/>
          <w:sz w:val="24"/>
          <w:lang w:val="en-US" w:eastAsia="zh-CN"/>
        </w:rPr>
      </w:pPr>
      <w:r>
        <w:rPr>
          <w:rFonts w:hint="eastAsia" w:ascii="仿宋" w:hAnsi="仿宋" w:eastAsia="仿宋" w:cs="仿宋"/>
          <w:b/>
          <w:bCs/>
          <w:color w:val="auto"/>
          <w:kern w:val="0"/>
          <w:sz w:val="24"/>
        </w:rPr>
        <w:t>附件十</w:t>
      </w:r>
      <w:r>
        <w:rPr>
          <w:rFonts w:hint="eastAsia" w:ascii="仿宋" w:hAnsi="仿宋" w:eastAsia="仿宋" w:cs="仿宋"/>
          <w:b/>
          <w:bCs/>
          <w:color w:val="auto"/>
          <w:kern w:val="0"/>
          <w:sz w:val="24"/>
          <w:lang w:val="en-US" w:eastAsia="zh-CN"/>
        </w:rPr>
        <w:t>一</w:t>
      </w:r>
    </w:p>
    <w:p>
      <w:pPr>
        <w:shd w:val="clear" w:color="auto" w:fill="FFFFFF"/>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商务条款偏离表</w:t>
      </w:r>
    </w:p>
    <w:p>
      <w:pPr>
        <w:shd w:val="clear" w:color="auto" w:fill="FFFFFF"/>
        <w:spacing w:beforeLines="50"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                                                  项目编号:</w:t>
      </w:r>
    </w:p>
    <w:tbl>
      <w:tblPr>
        <w:tblStyle w:val="61"/>
        <w:tblW w:w="8954" w:type="dxa"/>
        <w:tblInd w:w="468" w:type="dxa"/>
        <w:tblLayout w:type="fixed"/>
        <w:tblCellMar>
          <w:top w:w="0" w:type="dxa"/>
          <w:left w:w="108" w:type="dxa"/>
          <w:bottom w:w="0" w:type="dxa"/>
          <w:right w:w="108" w:type="dxa"/>
        </w:tblCellMar>
      </w:tblPr>
      <w:tblGrid>
        <w:gridCol w:w="900"/>
        <w:gridCol w:w="1725"/>
        <w:gridCol w:w="1941"/>
        <w:gridCol w:w="2050"/>
        <w:gridCol w:w="2338"/>
      </w:tblGrid>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rPr>
                <w:rFonts w:ascii="仿宋" w:hAnsi="仿宋" w:eastAsia="仿宋" w:cs="仿宋"/>
                <w:color w:val="auto"/>
                <w:szCs w:val="21"/>
              </w:rPr>
            </w:pPr>
            <w:r>
              <w:rPr>
                <w:rFonts w:hint="eastAsia" w:ascii="仿宋" w:hAnsi="仿宋" w:eastAsia="仿宋" w:cs="仿宋"/>
                <w:color w:val="auto"/>
                <w:szCs w:val="21"/>
              </w:rPr>
              <w:t>序号</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jc w:val="center"/>
              <w:rPr>
                <w:rFonts w:ascii="仿宋" w:hAnsi="仿宋" w:eastAsia="仿宋" w:cs="仿宋"/>
                <w:color w:val="auto"/>
                <w:szCs w:val="21"/>
              </w:rPr>
            </w:pPr>
            <w:r>
              <w:rPr>
                <w:rFonts w:hint="eastAsia" w:ascii="仿宋" w:hAnsi="仿宋" w:eastAsia="仿宋" w:cs="仿宋"/>
                <w:color w:val="auto"/>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jc w:val="center"/>
              <w:rPr>
                <w:rFonts w:ascii="仿宋" w:hAnsi="仿宋" w:eastAsia="仿宋" w:cs="仿宋"/>
                <w:color w:val="auto"/>
                <w:szCs w:val="21"/>
              </w:rPr>
            </w:pPr>
            <w:r>
              <w:rPr>
                <w:rFonts w:hint="eastAsia" w:ascii="仿宋" w:hAnsi="仿宋" w:eastAsia="仿宋" w:cs="仿宋"/>
                <w:color w:val="auto"/>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jc w:val="center"/>
              <w:rPr>
                <w:rFonts w:ascii="仿宋" w:hAnsi="仿宋" w:eastAsia="仿宋" w:cs="仿宋"/>
                <w:color w:val="auto"/>
                <w:szCs w:val="21"/>
              </w:rPr>
            </w:pPr>
            <w:r>
              <w:rPr>
                <w:rFonts w:hint="eastAsia" w:ascii="仿宋" w:hAnsi="仿宋" w:eastAsia="仿宋" w:cs="仿宋"/>
                <w:color w:val="auto"/>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jc w:val="center"/>
              <w:rPr>
                <w:rFonts w:ascii="仿宋" w:hAnsi="仿宋" w:eastAsia="仿宋" w:cs="仿宋"/>
                <w:color w:val="auto"/>
                <w:szCs w:val="21"/>
              </w:rPr>
            </w:pPr>
            <w:r>
              <w:rPr>
                <w:rFonts w:hint="eastAsia" w:ascii="仿宋" w:hAnsi="仿宋" w:eastAsia="仿宋" w:cs="仿宋"/>
                <w:color w:val="auto"/>
                <w:szCs w:val="21"/>
              </w:rPr>
              <w:t>响应/偏离</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w:t>
            </w: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72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941"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05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338"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bl>
    <w:p>
      <w:pPr>
        <w:shd w:val="clear" w:color="auto" w:fill="FFFFFF"/>
        <w:spacing w:line="400" w:lineRule="exact"/>
        <w:ind w:firstLine="99"/>
        <w:rPr>
          <w:rFonts w:ascii="仿宋" w:hAnsi="仿宋" w:eastAsia="仿宋" w:cs="仿宋"/>
          <w:color w:val="auto"/>
          <w:szCs w:val="21"/>
        </w:rPr>
      </w:pP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widowControl/>
        <w:spacing w:line="400" w:lineRule="exact"/>
        <w:jc w:val="left"/>
        <w:rPr>
          <w:rFonts w:ascii="仿宋" w:hAnsi="仿宋" w:eastAsia="仿宋" w:cs="仿宋"/>
          <w:color w:val="auto"/>
          <w:kern w:val="0"/>
          <w:sz w:val="24"/>
        </w:rPr>
      </w:pPr>
      <w:r>
        <w:rPr>
          <w:rFonts w:hint="eastAsia" w:ascii="仿宋" w:hAnsi="仿宋" w:eastAsia="仿宋" w:cs="仿宋"/>
          <w:color w:val="auto"/>
          <w:sz w:val="24"/>
        </w:rPr>
        <w:t>日期：年 月 日</w:t>
      </w:r>
    </w:p>
    <w:p>
      <w:pPr>
        <w:widowControl/>
        <w:spacing w:line="400" w:lineRule="exact"/>
        <w:jc w:val="left"/>
        <w:rPr>
          <w:rFonts w:ascii="仿宋" w:hAnsi="仿宋" w:eastAsia="仿宋" w:cs="仿宋"/>
          <w:color w:val="auto"/>
          <w:kern w:val="0"/>
          <w:sz w:val="24"/>
        </w:rPr>
      </w:pPr>
    </w:p>
    <w:p>
      <w:pPr>
        <w:shd w:val="clear" w:color="auto" w:fill="FFFFFF"/>
        <w:spacing w:line="400" w:lineRule="exact"/>
        <w:jc w:val="left"/>
        <w:rPr>
          <w:rFonts w:ascii="仿宋" w:hAnsi="仿宋" w:eastAsia="仿宋" w:cs="仿宋"/>
          <w:b/>
          <w:bCs/>
          <w:color w:val="auto"/>
          <w:kern w:val="0"/>
          <w:szCs w:val="21"/>
        </w:rPr>
      </w:pPr>
      <w:r>
        <w:rPr>
          <w:rFonts w:hint="eastAsia" w:ascii="仿宋" w:hAnsi="仿宋" w:eastAsia="仿宋" w:cs="仿宋"/>
          <w:b/>
          <w:bCs/>
          <w:color w:val="auto"/>
          <w:szCs w:val="21"/>
        </w:rPr>
        <w:t>重要说明：供应商在上表中说明的内容，至少应包括对本文件《投标须知前附表》提出的“交货期”、“交货地点”、“质保期”、“付款方式”，四项实质性商务内容逐条响应，否则，投标无效。</w:t>
      </w:r>
    </w:p>
    <w:p>
      <w:pPr>
        <w:widowControl/>
        <w:spacing w:line="400" w:lineRule="exact"/>
        <w:jc w:val="left"/>
        <w:rPr>
          <w:rFonts w:ascii="仿宋" w:hAnsi="仿宋" w:eastAsia="仿宋" w:cs="仿宋"/>
          <w:color w:val="auto"/>
          <w:sz w:val="24"/>
        </w:rPr>
      </w:pPr>
      <w:r>
        <w:rPr>
          <w:rFonts w:hint="eastAsia" w:ascii="仿宋" w:hAnsi="仿宋" w:eastAsia="仿宋" w:cs="仿宋"/>
          <w:color w:val="auto"/>
          <w:sz w:val="24"/>
        </w:rPr>
        <w:br w:type="page"/>
      </w:r>
    </w:p>
    <w:p>
      <w:pPr>
        <w:widowControl/>
        <w:spacing w:line="400" w:lineRule="exact"/>
        <w:jc w:val="left"/>
        <w:rPr>
          <w:rFonts w:hint="eastAsia" w:ascii="仿宋" w:hAnsi="仿宋" w:eastAsia="仿宋" w:cs="仿宋"/>
          <w:b/>
          <w:bCs/>
          <w:color w:val="auto"/>
          <w:kern w:val="0"/>
          <w:sz w:val="24"/>
          <w:lang w:eastAsia="zh-CN"/>
        </w:rPr>
      </w:pPr>
      <w:r>
        <w:rPr>
          <w:rFonts w:hint="eastAsia" w:ascii="仿宋" w:hAnsi="仿宋" w:eastAsia="仿宋" w:cs="仿宋"/>
          <w:b/>
          <w:bCs/>
          <w:color w:val="auto"/>
          <w:kern w:val="0"/>
          <w:sz w:val="24"/>
        </w:rPr>
        <w:t>附件十</w:t>
      </w:r>
      <w:r>
        <w:rPr>
          <w:rFonts w:hint="eastAsia" w:ascii="仿宋" w:hAnsi="仿宋" w:eastAsia="仿宋" w:cs="仿宋"/>
          <w:b/>
          <w:bCs/>
          <w:color w:val="auto"/>
          <w:kern w:val="0"/>
          <w:sz w:val="24"/>
          <w:lang w:val="en-US" w:eastAsia="zh-CN"/>
        </w:rPr>
        <w:t>二</w:t>
      </w:r>
    </w:p>
    <w:p>
      <w:pPr>
        <w:shd w:val="clear" w:color="auto" w:fill="FFFFFF"/>
        <w:spacing w:line="400" w:lineRule="exact"/>
        <w:jc w:val="center"/>
        <w:rPr>
          <w:rFonts w:ascii="仿宋" w:hAnsi="仿宋" w:eastAsia="仿宋" w:cs="仿宋"/>
          <w:b/>
          <w:bCs/>
          <w:color w:val="auto"/>
          <w:sz w:val="28"/>
          <w:szCs w:val="28"/>
        </w:rPr>
      </w:pPr>
    </w:p>
    <w:p>
      <w:pPr>
        <w:shd w:val="clear" w:color="auto" w:fill="FFFFFF"/>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lang w:val="en-US" w:eastAsia="zh-CN"/>
        </w:rPr>
        <w:t>供应商所投</w:t>
      </w:r>
      <w:r>
        <w:rPr>
          <w:rFonts w:hint="eastAsia" w:ascii="仿宋" w:hAnsi="仿宋" w:eastAsia="仿宋" w:cs="仿宋"/>
          <w:b/>
          <w:bCs/>
          <w:color w:val="auto"/>
          <w:sz w:val="28"/>
          <w:szCs w:val="28"/>
        </w:rPr>
        <w:t>同类产品近三年（20</w:t>
      </w:r>
      <w:r>
        <w:rPr>
          <w:rFonts w:hint="eastAsia" w:ascii="仿宋" w:hAnsi="仿宋" w:eastAsia="仿宋" w:cs="仿宋"/>
          <w:b/>
          <w:bCs/>
          <w:color w:val="auto"/>
          <w:sz w:val="28"/>
          <w:szCs w:val="28"/>
          <w:lang w:val="en-US" w:eastAsia="zh-CN"/>
        </w:rPr>
        <w:t>19</w:t>
      </w:r>
      <w:r>
        <w:rPr>
          <w:rFonts w:hint="eastAsia" w:ascii="仿宋" w:hAnsi="仿宋" w:eastAsia="仿宋" w:cs="仿宋"/>
          <w:b/>
          <w:bCs/>
          <w:color w:val="auto"/>
          <w:sz w:val="28"/>
          <w:szCs w:val="28"/>
        </w:rPr>
        <w:t>年1月1日至今）销售业绩</w:t>
      </w:r>
    </w:p>
    <w:p>
      <w:pPr>
        <w:widowControl/>
        <w:spacing w:line="400" w:lineRule="exact"/>
        <w:jc w:val="left"/>
        <w:rPr>
          <w:rFonts w:ascii="仿宋" w:hAnsi="仿宋" w:eastAsia="仿宋" w:cs="仿宋"/>
          <w:b/>
          <w:color w:val="auto"/>
          <w:szCs w:val="21"/>
        </w:rPr>
      </w:pPr>
    </w:p>
    <w:tbl>
      <w:tblPr>
        <w:tblStyle w:val="61"/>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268"/>
        <w:gridCol w:w="1760"/>
        <w:gridCol w:w="1393"/>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pPr>
              <w:widowControl/>
              <w:spacing w:line="400" w:lineRule="exact"/>
              <w:jc w:val="center"/>
              <w:rPr>
                <w:rFonts w:ascii="仿宋" w:hAnsi="仿宋" w:eastAsia="仿宋" w:cs="仿宋"/>
                <w:bCs/>
                <w:color w:val="auto"/>
                <w:szCs w:val="21"/>
              </w:rPr>
            </w:pPr>
            <w:r>
              <w:rPr>
                <w:rFonts w:hint="eastAsia" w:ascii="仿宋" w:hAnsi="仿宋" w:eastAsia="仿宋" w:cs="仿宋"/>
                <w:bCs/>
                <w:color w:val="auto"/>
                <w:szCs w:val="21"/>
              </w:rPr>
              <w:t>序号</w:t>
            </w:r>
          </w:p>
        </w:tc>
        <w:tc>
          <w:tcPr>
            <w:tcW w:w="2268" w:type="dxa"/>
            <w:shd w:val="clear" w:color="auto" w:fill="F3F3F3"/>
            <w:vAlign w:val="center"/>
          </w:tcPr>
          <w:p>
            <w:pPr>
              <w:widowControl/>
              <w:spacing w:line="400" w:lineRule="exact"/>
              <w:jc w:val="center"/>
              <w:rPr>
                <w:rFonts w:ascii="仿宋" w:hAnsi="仿宋" w:eastAsia="仿宋" w:cs="仿宋"/>
                <w:bCs/>
                <w:color w:val="auto"/>
                <w:szCs w:val="21"/>
              </w:rPr>
            </w:pPr>
            <w:r>
              <w:rPr>
                <w:rFonts w:hint="eastAsia" w:ascii="仿宋" w:hAnsi="仿宋" w:eastAsia="仿宋" w:cs="仿宋"/>
                <w:bCs/>
                <w:color w:val="auto"/>
                <w:szCs w:val="21"/>
              </w:rPr>
              <w:t>产品名称及规格型号</w:t>
            </w:r>
          </w:p>
        </w:tc>
        <w:tc>
          <w:tcPr>
            <w:tcW w:w="1760" w:type="dxa"/>
            <w:shd w:val="clear" w:color="auto" w:fill="F3F3F3"/>
            <w:vAlign w:val="center"/>
          </w:tcPr>
          <w:p>
            <w:pPr>
              <w:widowControl/>
              <w:spacing w:line="400" w:lineRule="exact"/>
              <w:jc w:val="center"/>
              <w:rPr>
                <w:rFonts w:ascii="仿宋" w:hAnsi="仿宋" w:eastAsia="仿宋" w:cs="仿宋"/>
                <w:bCs/>
                <w:color w:val="auto"/>
                <w:szCs w:val="21"/>
              </w:rPr>
            </w:pPr>
            <w:r>
              <w:rPr>
                <w:rFonts w:hint="eastAsia" w:ascii="仿宋" w:hAnsi="仿宋" w:eastAsia="仿宋" w:cs="仿宋"/>
                <w:bCs/>
                <w:color w:val="auto"/>
                <w:szCs w:val="21"/>
              </w:rPr>
              <w:t>数量规模</w:t>
            </w:r>
          </w:p>
        </w:tc>
        <w:tc>
          <w:tcPr>
            <w:tcW w:w="1393" w:type="dxa"/>
            <w:shd w:val="clear" w:color="auto" w:fill="F3F3F3"/>
            <w:vAlign w:val="center"/>
          </w:tcPr>
          <w:p>
            <w:pPr>
              <w:widowControl/>
              <w:spacing w:line="400" w:lineRule="exact"/>
              <w:jc w:val="center"/>
              <w:rPr>
                <w:rFonts w:ascii="仿宋" w:hAnsi="仿宋" w:eastAsia="仿宋" w:cs="仿宋"/>
                <w:bCs/>
                <w:color w:val="auto"/>
                <w:szCs w:val="21"/>
              </w:rPr>
            </w:pPr>
            <w:r>
              <w:rPr>
                <w:rFonts w:hint="eastAsia" w:ascii="仿宋" w:hAnsi="仿宋" w:eastAsia="仿宋" w:cs="仿宋"/>
                <w:bCs/>
                <w:color w:val="auto"/>
                <w:szCs w:val="21"/>
              </w:rPr>
              <w:t>合同价格</w:t>
            </w:r>
          </w:p>
        </w:tc>
        <w:tc>
          <w:tcPr>
            <w:tcW w:w="3120" w:type="dxa"/>
            <w:shd w:val="clear" w:color="auto" w:fill="F3F3F3"/>
            <w:vAlign w:val="center"/>
          </w:tcPr>
          <w:p>
            <w:pPr>
              <w:widowControl/>
              <w:spacing w:line="400" w:lineRule="exact"/>
              <w:jc w:val="center"/>
              <w:rPr>
                <w:rFonts w:ascii="仿宋" w:hAnsi="仿宋" w:eastAsia="仿宋" w:cs="仿宋"/>
                <w:bCs/>
                <w:color w:val="auto"/>
                <w:szCs w:val="21"/>
              </w:rPr>
            </w:pPr>
            <w:r>
              <w:rPr>
                <w:rFonts w:hint="eastAsia" w:ascii="仿宋" w:hAnsi="仿宋" w:eastAsia="仿宋" w:cs="仿宋"/>
                <w:bCs/>
                <w:color w:val="auto"/>
                <w:szCs w:val="21"/>
              </w:rPr>
              <w:t>业主名称/联系人/电话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r>
              <w:rPr>
                <w:rFonts w:hint="eastAsia" w:ascii="仿宋" w:hAnsi="仿宋" w:eastAsia="仿宋" w:cs="仿宋"/>
                <w:color w:val="auto"/>
                <w:szCs w:val="21"/>
              </w:rPr>
              <w:t>…</w:t>
            </w:r>
          </w:p>
        </w:tc>
        <w:tc>
          <w:tcPr>
            <w:tcW w:w="2268" w:type="dxa"/>
            <w:vAlign w:val="center"/>
          </w:tcPr>
          <w:p>
            <w:pPr>
              <w:widowControl/>
              <w:spacing w:line="400" w:lineRule="exact"/>
              <w:jc w:val="left"/>
              <w:rPr>
                <w:rFonts w:ascii="仿宋" w:hAnsi="仿宋" w:eastAsia="仿宋" w:cs="仿宋"/>
                <w:color w:val="auto"/>
                <w:szCs w:val="21"/>
              </w:rPr>
            </w:pPr>
            <w:r>
              <w:rPr>
                <w:rFonts w:hint="eastAsia" w:ascii="仿宋" w:hAnsi="仿宋" w:eastAsia="仿宋" w:cs="仿宋"/>
                <w:color w:val="auto"/>
                <w:szCs w:val="21"/>
              </w:rPr>
              <w:t>……</w:t>
            </w: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color w:val="auto"/>
                <w:szCs w:val="21"/>
              </w:rPr>
            </w:pPr>
          </w:p>
        </w:tc>
        <w:tc>
          <w:tcPr>
            <w:tcW w:w="2268" w:type="dxa"/>
            <w:vAlign w:val="center"/>
          </w:tcPr>
          <w:p>
            <w:pPr>
              <w:widowControl/>
              <w:spacing w:line="400" w:lineRule="exact"/>
              <w:jc w:val="left"/>
              <w:rPr>
                <w:rFonts w:ascii="仿宋" w:hAnsi="仿宋" w:eastAsia="仿宋" w:cs="仿宋"/>
                <w:color w:val="auto"/>
                <w:szCs w:val="21"/>
              </w:rPr>
            </w:pPr>
          </w:p>
        </w:tc>
        <w:tc>
          <w:tcPr>
            <w:tcW w:w="1760" w:type="dxa"/>
          </w:tcPr>
          <w:p>
            <w:pPr>
              <w:widowControl/>
              <w:spacing w:line="400" w:lineRule="exact"/>
              <w:jc w:val="left"/>
              <w:rPr>
                <w:rFonts w:ascii="仿宋" w:hAnsi="仿宋" w:eastAsia="仿宋" w:cs="仿宋"/>
                <w:color w:val="auto"/>
                <w:szCs w:val="21"/>
              </w:rPr>
            </w:pPr>
          </w:p>
        </w:tc>
        <w:tc>
          <w:tcPr>
            <w:tcW w:w="1393" w:type="dxa"/>
            <w:vAlign w:val="center"/>
          </w:tcPr>
          <w:p>
            <w:pPr>
              <w:widowControl/>
              <w:spacing w:line="400" w:lineRule="exact"/>
              <w:jc w:val="left"/>
              <w:rPr>
                <w:rFonts w:ascii="仿宋" w:hAnsi="仿宋" w:eastAsia="仿宋" w:cs="仿宋"/>
                <w:color w:val="auto"/>
                <w:szCs w:val="21"/>
              </w:rPr>
            </w:pPr>
          </w:p>
        </w:tc>
        <w:tc>
          <w:tcPr>
            <w:tcW w:w="3120" w:type="dxa"/>
            <w:vAlign w:val="center"/>
          </w:tcPr>
          <w:p>
            <w:pPr>
              <w:widowControl/>
              <w:spacing w:line="400" w:lineRule="exact"/>
              <w:jc w:val="left"/>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pPr>
              <w:widowControl/>
              <w:spacing w:line="400" w:lineRule="exact"/>
              <w:jc w:val="left"/>
              <w:rPr>
                <w:rFonts w:ascii="仿宋" w:hAnsi="仿宋" w:eastAsia="仿宋" w:cs="仿宋"/>
                <w:b/>
                <w:color w:val="auto"/>
                <w:szCs w:val="21"/>
              </w:rPr>
            </w:pPr>
          </w:p>
        </w:tc>
        <w:tc>
          <w:tcPr>
            <w:tcW w:w="2268" w:type="dxa"/>
            <w:vAlign w:val="center"/>
          </w:tcPr>
          <w:p>
            <w:pPr>
              <w:widowControl/>
              <w:spacing w:line="400" w:lineRule="exact"/>
              <w:jc w:val="left"/>
              <w:rPr>
                <w:rFonts w:ascii="仿宋" w:hAnsi="仿宋" w:eastAsia="仿宋" w:cs="仿宋"/>
                <w:b/>
                <w:color w:val="auto"/>
                <w:szCs w:val="21"/>
              </w:rPr>
            </w:pPr>
          </w:p>
        </w:tc>
        <w:tc>
          <w:tcPr>
            <w:tcW w:w="1760" w:type="dxa"/>
          </w:tcPr>
          <w:p>
            <w:pPr>
              <w:widowControl/>
              <w:spacing w:line="400" w:lineRule="exact"/>
              <w:jc w:val="left"/>
              <w:rPr>
                <w:rFonts w:ascii="仿宋" w:hAnsi="仿宋" w:eastAsia="仿宋" w:cs="仿宋"/>
                <w:b/>
                <w:color w:val="auto"/>
                <w:szCs w:val="21"/>
              </w:rPr>
            </w:pPr>
          </w:p>
        </w:tc>
        <w:tc>
          <w:tcPr>
            <w:tcW w:w="1393" w:type="dxa"/>
            <w:vAlign w:val="center"/>
          </w:tcPr>
          <w:p>
            <w:pPr>
              <w:widowControl/>
              <w:spacing w:line="400" w:lineRule="exact"/>
              <w:jc w:val="left"/>
              <w:rPr>
                <w:rFonts w:ascii="仿宋" w:hAnsi="仿宋" w:eastAsia="仿宋" w:cs="仿宋"/>
                <w:b/>
                <w:color w:val="auto"/>
                <w:szCs w:val="21"/>
              </w:rPr>
            </w:pPr>
          </w:p>
        </w:tc>
        <w:tc>
          <w:tcPr>
            <w:tcW w:w="3120" w:type="dxa"/>
            <w:vAlign w:val="center"/>
          </w:tcPr>
          <w:p>
            <w:pPr>
              <w:widowControl/>
              <w:spacing w:line="400" w:lineRule="exact"/>
              <w:jc w:val="left"/>
              <w:rPr>
                <w:rFonts w:ascii="仿宋" w:hAnsi="仿宋" w:eastAsia="仿宋" w:cs="仿宋"/>
                <w:b/>
                <w:color w:val="auto"/>
                <w:szCs w:val="21"/>
              </w:rPr>
            </w:pPr>
          </w:p>
        </w:tc>
      </w:tr>
    </w:tbl>
    <w:p>
      <w:pPr>
        <w:shd w:val="clear" w:color="auto" w:fill="FFFFFF"/>
        <w:spacing w:line="400" w:lineRule="exact"/>
        <w:rPr>
          <w:rFonts w:ascii="仿宋" w:hAnsi="仿宋" w:eastAsia="仿宋" w:cs="仿宋"/>
          <w:b/>
          <w:color w:val="auto"/>
          <w:szCs w:val="21"/>
        </w:rPr>
      </w:pPr>
      <w:r>
        <w:rPr>
          <w:rFonts w:hint="eastAsia" w:ascii="仿宋" w:hAnsi="仿宋" w:eastAsia="仿宋" w:cs="仿宋"/>
          <w:b/>
          <w:color w:val="auto"/>
          <w:szCs w:val="21"/>
        </w:rPr>
        <w:t>备注：提供中标通知书或合同，复印件加盖公章，做为业绩证明资料，未按要求提供证明资料的不计分。</w:t>
      </w:r>
    </w:p>
    <w:p>
      <w:pPr>
        <w:shd w:val="clear" w:color="auto" w:fill="FFFFFF"/>
        <w:spacing w:line="400" w:lineRule="exact"/>
        <w:rPr>
          <w:rFonts w:ascii="仿宋" w:hAnsi="仿宋" w:eastAsia="仿宋" w:cs="仿宋"/>
          <w:b/>
          <w:color w:val="auto"/>
          <w:szCs w:val="21"/>
        </w:rPr>
      </w:pP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日期：   年  月   日</w:t>
      </w:r>
    </w:p>
    <w:p>
      <w:pPr>
        <w:pStyle w:val="47"/>
        <w:spacing w:line="400" w:lineRule="exact"/>
        <w:rPr>
          <w:rFonts w:ascii="仿宋" w:hAnsi="仿宋" w:eastAsia="仿宋" w:cs="仿宋"/>
          <w:color w:val="auto"/>
        </w:rPr>
      </w:pPr>
    </w:p>
    <w:p>
      <w:pPr>
        <w:widowControl/>
        <w:spacing w:line="400" w:lineRule="exact"/>
        <w:jc w:val="left"/>
        <w:rPr>
          <w:rFonts w:ascii="仿宋" w:hAnsi="仿宋" w:eastAsia="仿宋" w:cs="仿宋"/>
          <w:b/>
          <w:bCs/>
          <w:color w:val="auto"/>
          <w:sz w:val="28"/>
          <w:szCs w:val="28"/>
        </w:rPr>
      </w:pPr>
      <w:r>
        <w:rPr>
          <w:rFonts w:hint="eastAsia" w:ascii="仿宋" w:hAnsi="仿宋" w:eastAsia="仿宋" w:cs="仿宋"/>
          <w:b/>
          <w:bCs/>
          <w:color w:val="auto"/>
          <w:sz w:val="28"/>
          <w:szCs w:val="28"/>
        </w:rPr>
        <w:br w:type="page"/>
      </w:r>
    </w:p>
    <w:p>
      <w:pPr>
        <w:widowControl/>
        <w:spacing w:line="400" w:lineRule="exact"/>
        <w:jc w:val="left"/>
        <w:rPr>
          <w:rFonts w:ascii="仿宋" w:hAnsi="仿宋" w:eastAsia="仿宋" w:cs="仿宋"/>
          <w:b/>
          <w:bCs/>
          <w:color w:val="auto"/>
          <w:szCs w:val="21"/>
        </w:rPr>
      </w:pPr>
      <w:r>
        <w:rPr>
          <w:rFonts w:hint="eastAsia" w:ascii="仿宋" w:hAnsi="仿宋" w:eastAsia="仿宋" w:cs="仿宋"/>
          <w:b/>
          <w:bCs/>
          <w:color w:val="auto"/>
          <w:sz w:val="24"/>
        </w:rPr>
        <w:t>附件十</w:t>
      </w:r>
      <w:r>
        <w:rPr>
          <w:rFonts w:hint="eastAsia" w:ascii="仿宋" w:hAnsi="仿宋" w:eastAsia="仿宋" w:cs="仿宋"/>
          <w:b/>
          <w:bCs/>
          <w:color w:val="auto"/>
          <w:sz w:val="24"/>
          <w:lang w:val="en-US" w:eastAsia="zh-CN"/>
        </w:rPr>
        <w:t>三</w:t>
      </w:r>
      <w:r>
        <w:rPr>
          <w:rFonts w:hint="eastAsia" w:ascii="仿宋" w:hAnsi="仿宋" w:eastAsia="仿宋" w:cs="仿宋"/>
          <w:b/>
          <w:bCs/>
          <w:color w:val="auto"/>
          <w:sz w:val="24"/>
        </w:rPr>
        <w:t xml:space="preserve">  </w:t>
      </w:r>
    </w:p>
    <w:p>
      <w:pPr>
        <w:shd w:val="clear" w:color="auto" w:fill="FFFFFF"/>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技术服务条款偏离表</w:t>
      </w:r>
    </w:p>
    <w:p>
      <w:pPr>
        <w:shd w:val="clear" w:color="auto" w:fill="FFFFFF"/>
        <w:spacing w:line="400" w:lineRule="exact"/>
        <w:ind w:firstLine="120" w:firstLineChars="50"/>
        <w:rPr>
          <w:rFonts w:ascii="仿宋" w:hAnsi="仿宋" w:eastAsia="仿宋" w:cs="仿宋"/>
          <w:color w:val="auto"/>
          <w:sz w:val="24"/>
        </w:rPr>
      </w:pPr>
      <w:r>
        <w:rPr>
          <w:rFonts w:hint="eastAsia" w:ascii="仿宋" w:hAnsi="仿宋" w:eastAsia="仿宋" w:cs="仿宋"/>
          <w:color w:val="auto"/>
          <w:sz w:val="24"/>
        </w:rPr>
        <w:t>项目名称：                                                      项目编号：</w:t>
      </w:r>
    </w:p>
    <w:tbl>
      <w:tblPr>
        <w:tblStyle w:val="61"/>
        <w:tblW w:w="9038" w:type="dxa"/>
        <w:jc w:val="center"/>
        <w:tblLayout w:type="fixed"/>
        <w:tblCellMar>
          <w:top w:w="0" w:type="dxa"/>
          <w:left w:w="108" w:type="dxa"/>
          <w:bottom w:w="0" w:type="dxa"/>
          <w:right w:w="108" w:type="dxa"/>
        </w:tblCellMar>
      </w:tblPr>
      <w:tblGrid>
        <w:gridCol w:w="1180"/>
        <w:gridCol w:w="1655"/>
        <w:gridCol w:w="2127"/>
        <w:gridCol w:w="1630"/>
        <w:gridCol w:w="1318"/>
        <w:gridCol w:w="1128"/>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序 号</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jc w:val="center"/>
              <w:rPr>
                <w:rFonts w:ascii="仿宋" w:hAnsi="仿宋" w:eastAsia="仿宋" w:cs="仿宋"/>
                <w:color w:val="auto"/>
                <w:szCs w:val="21"/>
              </w:rPr>
            </w:pPr>
            <w:r>
              <w:rPr>
                <w:rFonts w:hint="eastAsia" w:ascii="仿宋" w:hAnsi="仿宋" w:eastAsia="仿宋" w:cs="仿宋"/>
                <w:color w:val="auto"/>
                <w:szCs w:val="21"/>
              </w:rPr>
              <w:t>条款</w:t>
            </w: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jc w:val="center"/>
              <w:rPr>
                <w:rFonts w:ascii="仿宋" w:hAnsi="仿宋" w:eastAsia="仿宋" w:cs="仿宋"/>
                <w:color w:val="auto"/>
                <w:szCs w:val="21"/>
              </w:rPr>
            </w:pPr>
            <w:r>
              <w:rPr>
                <w:rFonts w:hint="eastAsia" w:ascii="仿宋" w:hAnsi="仿宋" w:eastAsia="仿宋" w:cs="仿宋"/>
                <w:color w:val="auto"/>
                <w:szCs w:val="21"/>
              </w:rPr>
              <w:t>招标规格</w:t>
            </w: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jc w:val="center"/>
              <w:rPr>
                <w:rFonts w:ascii="仿宋" w:hAnsi="仿宋" w:eastAsia="仿宋" w:cs="仿宋"/>
                <w:color w:val="auto"/>
                <w:szCs w:val="21"/>
              </w:rPr>
            </w:pPr>
            <w:r>
              <w:rPr>
                <w:rFonts w:hint="eastAsia" w:ascii="仿宋" w:hAnsi="仿宋" w:eastAsia="仿宋" w:cs="仿宋"/>
                <w:color w:val="auto"/>
                <w:szCs w:val="21"/>
              </w:rPr>
              <w:t>投标规格</w:t>
            </w: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jc w:val="center"/>
              <w:rPr>
                <w:rFonts w:ascii="仿宋" w:hAnsi="仿宋" w:eastAsia="仿宋" w:cs="仿宋"/>
                <w:color w:val="auto"/>
                <w:szCs w:val="21"/>
              </w:rPr>
            </w:pPr>
            <w:r>
              <w:rPr>
                <w:rFonts w:hint="eastAsia" w:ascii="仿宋" w:hAnsi="仿宋" w:eastAsia="仿宋" w:cs="仿宋"/>
                <w:color w:val="auto"/>
                <w:szCs w:val="21"/>
              </w:rPr>
              <w:t>是否偏离</w:t>
            </w: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jc w:val="center"/>
              <w:rPr>
                <w:rFonts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00" w:lineRule="exact"/>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00" w:lineRule="exact"/>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00" w:lineRule="exact"/>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00" w:lineRule="exact"/>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400" w:lineRule="exact"/>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w:t>
            </w:r>
          </w:p>
          <w:p>
            <w:pPr>
              <w:shd w:val="clear" w:color="auto" w:fill="FFFFFF"/>
              <w:spacing w:line="400" w:lineRule="exact"/>
              <w:ind w:firstLine="99"/>
              <w:rPr>
                <w:rFonts w:ascii="仿宋" w:hAnsi="仿宋" w:eastAsia="仿宋" w:cs="仿宋"/>
                <w:color w:val="auto"/>
                <w:szCs w:val="21"/>
              </w:rPr>
            </w:pPr>
            <w:r>
              <w:rPr>
                <w:rFonts w:hint="eastAsia" w:ascii="仿宋" w:hAnsi="仿宋" w:eastAsia="仿宋" w:cs="仿宋"/>
                <w:color w:val="auto"/>
                <w:szCs w:val="21"/>
              </w:rPr>
              <w:t>…..</w:t>
            </w: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55"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2127"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630" w:type="dxa"/>
            <w:tcBorders>
              <w:top w:val="single" w:color="auto" w:sz="6" w:space="0"/>
              <w:left w:val="single" w:color="auto" w:sz="6"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c>
          <w:tcPr>
            <w:tcW w:w="1318" w:type="dxa"/>
            <w:tcBorders>
              <w:top w:val="single" w:color="auto" w:sz="6" w:space="0"/>
              <w:left w:val="single" w:color="auto" w:sz="6" w:space="0"/>
              <w:bottom w:val="single" w:color="auto" w:sz="6" w:space="0"/>
              <w:right w:val="single" w:color="auto" w:sz="4" w:space="0"/>
            </w:tcBorders>
          </w:tcPr>
          <w:p>
            <w:pPr>
              <w:shd w:val="clear" w:color="auto" w:fill="FFFFFF"/>
              <w:spacing w:line="400" w:lineRule="exact"/>
              <w:ind w:firstLine="99"/>
              <w:rPr>
                <w:rFonts w:ascii="仿宋" w:hAnsi="仿宋" w:eastAsia="仿宋" w:cs="仿宋"/>
                <w:color w:val="auto"/>
                <w:szCs w:val="21"/>
              </w:rPr>
            </w:pPr>
          </w:p>
        </w:tc>
        <w:tc>
          <w:tcPr>
            <w:tcW w:w="1128" w:type="dxa"/>
            <w:tcBorders>
              <w:top w:val="single" w:color="auto" w:sz="6" w:space="0"/>
              <w:left w:val="single" w:color="auto" w:sz="4" w:space="0"/>
              <w:bottom w:val="single" w:color="auto" w:sz="6" w:space="0"/>
              <w:right w:val="single" w:color="auto" w:sz="6" w:space="0"/>
            </w:tcBorders>
          </w:tcPr>
          <w:p>
            <w:pPr>
              <w:shd w:val="clear" w:color="auto" w:fill="FFFFFF"/>
              <w:spacing w:line="400" w:lineRule="exact"/>
              <w:ind w:firstLine="99"/>
              <w:rPr>
                <w:rFonts w:ascii="仿宋" w:hAnsi="仿宋" w:eastAsia="仿宋" w:cs="仿宋"/>
                <w:color w:val="auto"/>
                <w:szCs w:val="21"/>
              </w:rPr>
            </w:pPr>
          </w:p>
        </w:tc>
      </w:tr>
    </w:tbl>
    <w:p>
      <w:pPr>
        <w:shd w:val="clear" w:color="auto" w:fill="FFFFFF"/>
        <w:spacing w:line="400" w:lineRule="exact"/>
        <w:rPr>
          <w:rFonts w:ascii="仿宋" w:hAnsi="仿宋" w:eastAsia="仿宋" w:cs="仿宋"/>
          <w:color w:val="auto"/>
          <w:szCs w:val="21"/>
        </w:rPr>
      </w:pPr>
      <w:r>
        <w:rPr>
          <w:rFonts w:hint="eastAsia" w:ascii="仿宋" w:hAnsi="仿宋" w:eastAsia="仿宋" w:cs="仿宋"/>
          <w:b/>
          <w:color w:val="auto"/>
          <w:kern w:val="0"/>
          <w:szCs w:val="21"/>
        </w:rPr>
        <w:t>说明：供应商提供的《技术服务条款偏离表》须对照第四章《采购需求》所有条款逐条列出是否响应及响应内容。</w:t>
      </w:r>
    </w:p>
    <w:p>
      <w:pPr>
        <w:shd w:val="clear" w:color="auto" w:fill="FFFFFF"/>
        <w:spacing w:line="400" w:lineRule="exact"/>
        <w:rPr>
          <w:rFonts w:ascii="仿宋" w:hAnsi="仿宋" w:eastAsia="仿宋" w:cs="仿宋"/>
          <w:color w:val="auto"/>
          <w:sz w:val="24"/>
        </w:rPr>
      </w:pPr>
    </w:p>
    <w:p>
      <w:pPr>
        <w:shd w:val="clear" w:color="auto" w:fill="FFFFFF"/>
        <w:spacing w:line="400" w:lineRule="exact"/>
        <w:rPr>
          <w:rFonts w:ascii="仿宋" w:hAnsi="仿宋" w:eastAsia="仿宋" w:cs="仿宋"/>
          <w:color w:val="auto"/>
          <w:sz w:val="24"/>
        </w:rPr>
      </w:pPr>
    </w:p>
    <w:p>
      <w:pPr>
        <w:shd w:val="clear" w:color="auto" w:fill="FFFFFF"/>
        <w:spacing w:line="400" w:lineRule="exact"/>
        <w:rPr>
          <w:rFonts w:ascii="仿宋" w:hAnsi="仿宋" w:eastAsia="仿宋" w:cs="仿宋"/>
          <w:color w:val="auto"/>
          <w:sz w:val="24"/>
        </w:rPr>
      </w:pP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shd w:val="clear" w:color="auto" w:fill="FFFFFF"/>
        <w:spacing w:line="400" w:lineRule="exact"/>
        <w:rPr>
          <w:rFonts w:ascii="仿宋" w:hAnsi="仿宋" w:eastAsia="仿宋" w:cs="仿宋"/>
          <w:color w:val="auto"/>
          <w:sz w:val="24"/>
        </w:rPr>
      </w:pPr>
      <w:r>
        <w:rPr>
          <w:rFonts w:hint="eastAsia" w:ascii="仿宋" w:hAnsi="仿宋" w:eastAsia="仿宋" w:cs="仿宋"/>
          <w:color w:val="auto"/>
          <w:sz w:val="24"/>
        </w:rPr>
        <w:t>日期： 年 月 日</w:t>
      </w:r>
    </w:p>
    <w:p>
      <w:pPr>
        <w:widowControl/>
        <w:spacing w:line="400" w:lineRule="exact"/>
        <w:ind w:firstLine="482" w:firstLineChars="200"/>
        <w:jc w:val="left"/>
        <w:rPr>
          <w:rFonts w:ascii="仿宋" w:hAnsi="仿宋" w:eastAsia="仿宋" w:cs="仿宋"/>
          <w:b/>
          <w:bCs/>
          <w:color w:val="auto"/>
          <w:sz w:val="24"/>
        </w:rPr>
      </w:pPr>
    </w:p>
    <w:p>
      <w:pPr>
        <w:spacing w:line="400" w:lineRule="exact"/>
        <w:rPr>
          <w:rFonts w:ascii="仿宋" w:hAnsi="仿宋" w:eastAsia="仿宋" w:cs="仿宋"/>
          <w:bCs/>
          <w:color w:val="auto"/>
          <w:sz w:val="24"/>
        </w:rPr>
      </w:pPr>
      <w:r>
        <w:rPr>
          <w:rFonts w:hint="eastAsia" w:ascii="仿宋" w:hAnsi="仿宋" w:eastAsia="仿宋" w:cs="仿宋"/>
          <w:bCs/>
          <w:color w:val="auto"/>
          <w:sz w:val="24"/>
        </w:rPr>
        <w:br w:type="page"/>
      </w:r>
    </w:p>
    <w:p>
      <w:pPr>
        <w:widowControl/>
        <w:spacing w:line="400" w:lineRule="exact"/>
        <w:jc w:val="left"/>
        <w:rPr>
          <w:rFonts w:ascii="仿宋" w:hAnsi="仿宋" w:eastAsia="仿宋" w:cs="仿宋"/>
          <w:b/>
          <w:bCs/>
          <w:color w:val="auto"/>
          <w:sz w:val="24"/>
        </w:rPr>
      </w:pPr>
      <w:r>
        <w:rPr>
          <w:rFonts w:hint="eastAsia" w:ascii="仿宋" w:hAnsi="仿宋" w:eastAsia="仿宋" w:cs="仿宋"/>
          <w:b/>
          <w:bCs/>
          <w:color w:val="auto"/>
          <w:sz w:val="24"/>
        </w:rPr>
        <w:t>附件十</w:t>
      </w:r>
      <w:r>
        <w:rPr>
          <w:rFonts w:hint="eastAsia" w:ascii="仿宋" w:hAnsi="仿宋" w:eastAsia="仿宋" w:cs="仿宋"/>
          <w:b/>
          <w:bCs/>
          <w:color w:val="auto"/>
          <w:sz w:val="24"/>
          <w:lang w:val="en-US" w:eastAsia="zh-CN"/>
        </w:rPr>
        <w:t>四</w:t>
      </w:r>
      <w:r>
        <w:rPr>
          <w:rFonts w:hint="eastAsia" w:ascii="仿宋" w:hAnsi="仿宋" w:eastAsia="仿宋" w:cs="仿宋"/>
          <w:b/>
          <w:bCs/>
          <w:color w:val="auto"/>
          <w:sz w:val="24"/>
        </w:rPr>
        <w:t xml:space="preserve"> </w:t>
      </w:r>
    </w:p>
    <w:p>
      <w:pPr>
        <w:widowControl/>
        <w:spacing w:line="400" w:lineRule="exact"/>
        <w:jc w:val="left"/>
        <w:rPr>
          <w:rFonts w:ascii="仿宋" w:hAnsi="仿宋" w:eastAsia="仿宋" w:cs="仿宋"/>
          <w:b/>
          <w:bCs/>
          <w:color w:val="auto"/>
          <w:szCs w:val="21"/>
        </w:rPr>
      </w:pPr>
      <w:r>
        <w:rPr>
          <w:rFonts w:hint="eastAsia" w:ascii="仿宋" w:hAnsi="仿宋" w:eastAsia="仿宋" w:cs="仿宋"/>
          <w:b/>
          <w:bCs/>
          <w:color w:val="auto"/>
          <w:sz w:val="24"/>
        </w:rPr>
        <w:t xml:space="preserve"> 技术支持资料</w:t>
      </w:r>
    </w:p>
    <w:p>
      <w:pPr>
        <w:shd w:val="clear" w:color="auto" w:fill="FFFFFF"/>
        <w:spacing w:line="440" w:lineRule="exact"/>
        <w:ind w:firstLine="480" w:firstLineChars="200"/>
        <w:rPr>
          <w:rFonts w:ascii="仿宋" w:hAnsi="仿宋" w:eastAsia="仿宋"/>
          <w:b w:val="0"/>
          <w:bCs w:val="0"/>
          <w:color w:val="auto"/>
          <w:kern w:val="0"/>
          <w:sz w:val="24"/>
        </w:rPr>
      </w:pPr>
      <w:r>
        <w:rPr>
          <w:rFonts w:hint="eastAsia" w:ascii="仿宋" w:hAnsi="仿宋" w:eastAsia="仿宋"/>
          <w:b w:val="0"/>
          <w:bCs w:val="0"/>
          <w:color w:val="auto"/>
          <w:kern w:val="0"/>
          <w:sz w:val="24"/>
          <w:lang w:val="en-US" w:eastAsia="zh-CN"/>
        </w:rPr>
        <w:t>1.</w:t>
      </w:r>
      <w:r>
        <w:rPr>
          <w:rFonts w:hint="eastAsia" w:ascii="仿宋" w:hAnsi="仿宋" w:eastAsia="仿宋"/>
          <w:b w:val="0"/>
          <w:bCs w:val="0"/>
          <w:color w:val="auto"/>
          <w:kern w:val="0"/>
          <w:sz w:val="24"/>
        </w:rPr>
        <w:t>所投车型的详细技术参数；</w:t>
      </w:r>
    </w:p>
    <w:p>
      <w:pPr>
        <w:pStyle w:val="704"/>
        <w:spacing w:line="400" w:lineRule="exact"/>
        <w:jc w:val="left"/>
        <w:rPr>
          <w:rFonts w:ascii="仿宋" w:hAnsi="仿宋" w:eastAsia="仿宋" w:cs="仿宋"/>
          <w:color w:val="auto"/>
          <w:sz w:val="24"/>
        </w:rPr>
      </w:pPr>
      <w:r>
        <w:rPr>
          <w:rFonts w:hint="eastAsia" w:ascii="仿宋" w:hAnsi="仿宋" w:eastAsia="仿宋"/>
          <w:b w:val="0"/>
          <w:bCs w:val="0"/>
          <w:color w:val="auto"/>
          <w:kern w:val="0"/>
          <w:sz w:val="24"/>
          <w:lang w:val="en-US" w:eastAsia="zh-CN"/>
        </w:rPr>
        <w:t>2.</w:t>
      </w:r>
      <w:r>
        <w:rPr>
          <w:rFonts w:hint="eastAsia" w:ascii="仿宋" w:hAnsi="仿宋" w:eastAsia="仿宋"/>
          <w:b w:val="0"/>
          <w:bCs w:val="0"/>
          <w:color w:val="auto"/>
          <w:kern w:val="0"/>
          <w:sz w:val="24"/>
        </w:rPr>
        <w:t>供应商所投车辆重要部件的检测报告或车辆出厂合格证书、对外公开发行的印刷版彩页作为技术支持资料</w:t>
      </w: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spacing w:line="400" w:lineRule="exact"/>
        <w:rPr>
          <w:rFonts w:ascii="仿宋" w:hAnsi="仿宋" w:eastAsia="仿宋" w:cs="仿宋"/>
          <w:color w:val="auto"/>
        </w:rPr>
      </w:pPr>
    </w:p>
    <w:p>
      <w:pPr>
        <w:pStyle w:val="2"/>
        <w:spacing w:line="400" w:lineRule="exact"/>
        <w:ind w:left="359"/>
        <w:rPr>
          <w:rFonts w:ascii="仿宋" w:hAnsi="仿宋" w:eastAsia="仿宋" w:cs="仿宋"/>
          <w:color w:val="auto"/>
        </w:rPr>
      </w:pPr>
    </w:p>
    <w:p>
      <w:pPr>
        <w:rPr>
          <w:rFonts w:hint="eastAsia" w:ascii="仿宋" w:hAnsi="仿宋" w:eastAsia="仿宋" w:cs="仿宋"/>
          <w:b/>
          <w:bCs/>
          <w:color w:val="auto"/>
          <w:kern w:val="0"/>
          <w:sz w:val="24"/>
        </w:rPr>
      </w:pPr>
      <w:r>
        <w:rPr>
          <w:rFonts w:hint="eastAsia" w:ascii="仿宋" w:hAnsi="仿宋" w:eastAsia="仿宋" w:cs="仿宋"/>
          <w:b/>
          <w:bCs/>
          <w:color w:val="auto"/>
          <w:kern w:val="0"/>
          <w:sz w:val="24"/>
        </w:rPr>
        <w:br w:type="page"/>
      </w:r>
    </w:p>
    <w:p>
      <w:pPr>
        <w:shd w:val="clear" w:color="auto" w:fill="FFFFFF"/>
        <w:spacing w:line="400" w:lineRule="exact"/>
        <w:jc w:val="left"/>
        <w:rPr>
          <w:rFonts w:hint="eastAsia" w:ascii="仿宋" w:hAnsi="仿宋" w:eastAsia="仿宋" w:cs="仿宋"/>
          <w:b/>
          <w:bCs/>
          <w:color w:val="auto"/>
          <w:sz w:val="28"/>
          <w:szCs w:val="28"/>
          <w:lang w:eastAsia="zh-CN"/>
        </w:rPr>
      </w:pPr>
      <w:r>
        <w:rPr>
          <w:rFonts w:hint="eastAsia" w:ascii="仿宋" w:hAnsi="仿宋" w:eastAsia="仿宋" w:cs="仿宋"/>
          <w:b/>
          <w:bCs/>
          <w:color w:val="auto"/>
          <w:kern w:val="0"/>
          <w:sz w:val="24"/>
        </w:rPr>
        <w:t>附件</w:t>
      </w:r>
      <w:r>
        <w:rPr>
          <w:rFonts w:hint="eastAsia" w:ascii="仿宋" w:hAnsi="仿宋" w:eastAsia="仿宋" w:cs="仿宋"/>
          <w:b/>
          <w:bCs/>
          <w:color w:val="auto"/>
          <w:kern w:val="0"/>
          <w:sz w:val="24"/>
          <w:lang w:val="en-US" w:eastAsia="zh-CN"/>
        </w:rPr>
        <w:t>十五</w:t>
      </w:r>
    </w:p>
    <w:p>
      <w:pPr>
        <w:shd w:val="clear" w:color="auto" w:fill="FFFFFF"/>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中小企业声明函</w:t>
      </w:r>
    </w:p>
    <w:p>
      <w:pPr>
        <w:widowControl/>
        <w:spacing w:line="400" w:lineRule="exact"/>
        <w:jc w:val="left"/>
        <w:rPr>
          <w:rFonts w:ascii="仿宋" w:hAnsi="仿宋" w:eastAsia="仿宋" w:cs="仿宋"/>
          <w:color w:val="auto"/>
          <w:sz w:val="24"/>
        </w:rPr>
      </w:pPr>
    </w:p>
    <w:p>
      <w:pPr>
        <w:widowControl/>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本公司（联合体）郑重声明，根据《政府采购促进中小企业发展管理办法》（财库﹝2020﹞46 号）的规定，本公司（联合体）参加</w:t>
      </w:r>
      <w:r>
        <w:rPr>
          <w:rFonts w:hint="eastAsia" w:ascii="仿宋" w:hAnsi="仿宋" w:eastAsia="仿宋" w:cs="仿宋"/>
          <w:color w:val="auto"/>
          <w:sz w:val="24"/>
          <w:u w:val="single"/>
        </w:rPr>
        <w:t>（单位名称）</w:t>
      </w:r>
      <w:r>
        <w:rPr>
          <w:rFonts w:hint="eastAsia" w:ascii="仿宋" w:hAnsi="仿宋" w:eastAsia="仿宋" w:cs="仿宋"/>
          <w:color w:val="auto"/>
          <w:sz w:val="24"/>
        </w:rPr>
        <w:t>的</w:t>
      </w:r>
      <w:r>
        <w:rPr>
          <w:rFonts w:hint="eastAsia" w:ascii="仿宋" w:hAnsi="仿宋" w:eastAsia="仿宋" w:cs="仿宋"/>
          <w:color w:val="auto"/>
          <w:sz w:val="24"/>
          <w:u w:val="single"/>
        </w:rPr>
        <w:t>（项目名称）</w:t>
      </w:r>
      <w:r>
        <w:rPr>
          <w:rFonts w:hint="eastAsia" w:ascii="仿宋" w:hAnsi="仿宋" w:eastAsia="仿宋" w:cs="仿宋"/>
          <w:color w:val="auto"/>
          <w:sz w:val="24"/>
        </w:rPr>
        <w:t>采购活动，提供的货物全部由符合政策要求的中小企业制造。相关企业（含联合体中的中小企业、签订分包意向协议的中小企业） 的具体情况如下：</w:t>
      </w:r>
    </w:p>
    <w:p>
      <w:pPr>
        <w:widowControl/>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 xml:space="preserve">1. </w:t>
      </w:r>
      <w:r>
        <w:rPr>
          <w:rFonts w:hint="eastAsia" w:ascii="仿宋" w:hAnsi="仿宋" w:eastAsia="仿宋" w:cs="仿宋"/>
          <w:color w:val="auto"/>
          <w:sz w:val="24"/>
          <w:u w:val="single"/>
        </w:rPr>
        <w:t xml:space="preserve">（ 标 的 名 称 ） </w:t>
      </w:r>
      <w:r>
        <w:rPr>
          <w:rFonts w:hint="eastAsia" w:ascii="仿宋" w:hAnsi="仿宋" w:eastAsia="仿宋" w:cs="仿宋"/>
          <w:color w:val="auto"/>
          <w:sz w:val="24"/>
        </w:rPr>
        <w:t xml:space="preserve">， 属 于 </w:t>
      </w:r>
      <w:r>
        <w:rPr>
          <w:rFonts w:hint="eastAsia" w:ascii="仿宋" w:hAnsi="仿宋" w:eastAsia="仿宋" w:cs="仿宋"/>
          <w:color w:val="auto"/>
          <w:sz w:val="24"/>
          <w:u w:val="single"/>
        </w:rPr>
        <w:t>（ 采 购 文 件 中 明 确 的 所 属 行 业 ）</w:t>
      </w:r>
      <w:r>
        <w:rPr>
          <w:rFonts w:hint="eastAsia" w:ascii="仿宋" w:hAnsi="仿宋" w:eastAsia="仿宋" w:cs="仿宋"/>
          <w:color w:val="auto"/>
          <w:sz w:val="24"/>
        </w:rPr>
        <w:t xml:space="preserve"> 行业；制造商为</w:t>
      </w:r>
      <w:r>
        <w:rPr>
          <w:rFonts w:hint="eastAsia" w:ascii="仿宋" w:hAnsi="仿宋" w:eastAsia="仿宋" w:cs="仿宋"/>
          <w:color w:val="auto"/>
          <w:sz w:val="24"/>
          <w:u w:val="single"/>
        </w:rPr>
        <w:t xml:space="preserve">（企业名称）   </w:t>
      </w:r>
      <w:r>
        <w:rPr>
          <w:rFonts w:hint="eastAsia" w:ascii="仿宋" w:hAnsi="仿宋" w:eastAsia="仿宋" w:cs="仿宋"/>
          <w:color w:val="auto"/>
          <w:sz w:val="24"/>
        </w:rPr>
        <w:t>，从业人员人，营业收入为万元，资产总额为万元，属于（中型企业、小型企业、微型企业）；</w:t>
      </w:r>
    </w:p>
    <w:p>
      <w:pPr>
        <w:widowControl/>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 xml:space="preserve">2. </w:t>
      </w:r>
      <w:r>
        <w:rPr>
          <w:rFonts w:hint="eastAsia" w:ascii="仿宋" w:hAnsi="仿宋" w:eastAsia="仿宋" w:cs="仿宋"/>
          <w:color w:val="auto"/>
          <w:sz w:val="24"/>
          <w:u w:val="single"/>
        </w:rPr>
        <w:t xml:space="preserve">（ 标 的 名 称 ） </w:t>
      </w:r>
      <w:r>
        <w:rPr>
          <w:rFonts w:hint="eastAsia" w:ascii="仿宋" w:hAnsi="仿宋" w:eastAsia="仿宋" w:cs="仿宋"/>
          <w:color w:val="auto"/>
          <w:sz w:val="24"/>
        </w:rPr>
        <w:t xml:space="preserve">， 属 于 </w:t>
      </w:r>
      <w:r>
        <w:rPr>
          <w:rFonts w:hint="eastAsia" w:ascii="仿宋" w:hAnsi="仿宋" w:eastAsia="仿宋" w:cs="仿宋"/>
          <w:color w:val="auto"/>
          <w:sz w:val="24"/>
          <w:u w:val="single"/>
        </w:rPr>
        <w:t>（ 采 购 文 件 中 明 确 的 所 属 行 业 ）</w:t>
      </w:r>
      <w:r>
        <w:rPr>
          <w:rFonts w:hint="eastAsia" w:ascii="仿宋" w:hAnsi="仿宋" w:eastAsia="仿宋" w:cs="仿宋"/>
          <w:color w:val="auto"/>
          <w:sz w:val="24"/>
        </w:rPr>
        <w:t xml:space="preserve"> 行业；制造商为</w:t>
      </w:r>
      <w:r>
        <w:rPr>
          <w:rFonts w:hint="eastAsia" w:ascii="仿宋" w:hAnsi="仿宋" w:eastAsia="仿宋" w:cs="仿宋"/>
          <w:color w:val="auto"/>
          <w:sz w:val="24"/>
          <w:u w:val="single"/>
        </w:rPr>
        <w:t xml:space="preserve">（企业名称）  </w:t>
      </w:r>
      <w:r>
        <w:rPr>
          <w:rFonts w:hint="eastAsia" w:ascii="仿宋" w:hAnsi="仿宋" w:eastAsia="仿宋" w:cs="仿宋"/>
          <w:color w:val="auto"/>
          <w:sz w:val="24"/>
        </w:rPr>
        <w:t>，从业人员人，营业收入为万元，资产总额为万元，属于（中型企业、小型企业、微型企业）；</w:t>
      </w:r>
    </w:p>
    <w:p>
      <w:pPr>
        <w:widowControl/>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w:t>
      </w:r>
    </w:p>
    <w:p>
      <w:pPr>
        <w:widowControl/>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pPr>
        <w:widowControl/>
        <w:spacing w:line="40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pPr>
        <w:widowControl/>
        <w:spacing w:line="400" w:lineRule="exact"/>
        <w:jc w:val="left"/>
        <w:rPr>
          <w:rFonts w:ascii="仿宋" w:hAnsi="仿宋" w:eastAsia="仿宋" w:cs="仿宋"/>
          <w:color w:val="auto"/>
          <w:sz w:val="24"/>
        </w:rPr>
      </w:pPr>
    </w:p>
    <w:p>
      <w:pPr>
        <w:widowControl/>
        <w:spacing w:line="400" w:lineRule="exact"/>
        <w:jc w:val="left"/>
        <w:rPr>
          <w:rFonts w:ascii="仿宋" w:hAnsi="仿宋" w:eastAsia="仿宋" w:cs="仿宋"/>
          <w:color w:val="auto"/>
          <w:sz w:val="24"/>
        </w:rPr>
      </w:pPr>
    </w:p>
    <w:p>
      <w:pPr>
        <w:widowControl/>
        <w:spacing w:line="400" w:lineRule="exact"/>
        <w:jc w:val="left"/>
        <w:rPr>
          <w:rFonts w:ascii="仿宋" w:hAnsi="仿宋" w:eastAsia="仿宋" w:cs="仿宋"/>
          <w:color w:val="auto"/>
          <w:sz w:val="24"/>
        </w:rPr>
      </w:pPr>
    </w:p>
    <w:p>
      <w:pPr>
        <w:widowControl/>
        <w:spacing w:line="400" w:lineRule="exact"/>
        <w:jc w:val="left"/>
        <w:rPr>
          <w:rFonts w:ascii="仿宋" w:hAnsi="仿宋" w:eastAsia="仿宋" w:cs="仿宋"/>
          <w:color w:val="auto"/>
          <w:sz w:val="24"/>
        </w:rPr>
      </w:pPr>
    </w:p>
    <w:p>
      <w:pPr>
        <w:widowControl/>
        <w:spacing w:line="400" w:lineRule="exact"/>
        <w:ind w:right="480"/>
        <w:jc w:val="center"/>
        <w:rPr>
          <w:rFonts w:ascii="仿宋" w:hAnsi="仿宋" w:eastAsia="仿宋" w:cs="仿宋"/>
          <w:color w:val="auto"/>
          <w:sz w:val="24"/>
        </w:rPr>
      </w:pPr>
      <w:r>
        <w:rPr>
          <w:rFonts w:hint="eastAsia" w:ascii="仿宋" w:hAnsi="仿宋" w:eastAsia="仿宋" w:cs="仿宋"/>
          <w:color w:val="auto"/>
          <w:kern w:val="1"/>
          <w:sz w:val="24"/>
        </w:rPr>
        <w:t>投标供应商</w:t>
      </w:r>
      <w:r>
        <w:rPr>
          <w:rFonts w:hint="eastAsia" w:ascii="仿宋" w:hAnsi="仿宋" w:eastAsia="仿宋" w:cs="仿宋"/>
          <w:color w:val="auto"/>
          <w:sz w:val="24"/>
        </w:rPr>
        <w:t xml:space="preserve">（盖公章）：  </w:t>
      </w:r>
    </w:p>
    <w:p>
      <w:pPr>
        <w:widowControl/>
        <w:spacing w:line="400" w:lineRule="exact"/>
        <w:ind w:right="360"/>
        <w:jc w:val="center"/>
        <w:rPr>
          <w:rFonts w:ascii="仿宋" w:hAnsi="仿宋" w:eastAsia="仿宋" w:cs="仿宋"/>
          <w:color w:val="auto"/>
          <w:sz w:val="24"/>
        </w:rPr>
      </w:pPr>
      <w:r>
        <w:rPr>
          <w:rFonts w:hint="eastAsia" w:ascii="仿宋" w:hAnsi="仿宋" w:eastAsia="仿宋" w:cs="仿宋"/>
          <w:color w:val="auto"/>
          <w:sz w:val="24"/>
        </w:rPr>
        <w:t xml:space="preserve">                                                       日期：  年  月  日</w:t>
      </w:r>
    </w:p>
    <w:p>
      <w:pPr>
        <w:widowControl/>
        <w:spacing w:line="400" w:lineRule="exact"/>
        <w:jc w:val="left"/>
        <w:rPr>
          <w:rFonts w:ascii="仿宋" w:hAnsi="仿宋" w:eastAsia="仿宋" w:cs="仿宋"/>
          <w:color w:val="auto"/>
          <w:sz w:val="24"/>
        </w:rPr>
      </w:pPr>
    </w:p>
    <w:p>
      <w:pPr>
        <w:widowControl/>
        <w:spacing w:line="400" w:lineRule="exact"/>
        <w:jc w:val="left"/>
        <w:rPr>
          <w:rFonts w:ascii="仿宋" w:hAnsi="仿宋" w:eastAsia="仿宋" w:cs="仿宋"/>
          <w:color w:val="auto"/>
          <w:sz w:val="24"/>
        </w:rPr>
      </w:pPr>
    </w:p>
    <w:p>
      <w:pPr>
        <w:widowControl/>
        <w:spacing w:line="400" w:lineRule="exact"/>
        <w:jc w:val="left"/>
        <w:rPr>
          <w:rFonts w:ascii="仿宋" w:hAnsi="仿宋" w:eastAsia="仿宋" w:cs="仿宋"/>
          <w:b/>
          <w:color w:val="auto"/>
          <w:szCs w:val="21"/>
        </w:rPr>
      </w:pPr>
      <w:r>
        <w:rPr>
          <w:rFonts w:hint="eastAsia" w:ascii="仿宋" w:hAnsi="仿宋" w:eastAsia="仿宋" w:cs="仿宋"/>
          <w:b/>
          <w:color w:val="auto"/>
          <w:szCs w:val="21"/>
        </w:rPr>
        <w:t>注：1.从业人员、营业收入、资产总额填报上一年度数据，无上一年度数据的新成立企业可不填报。</w:t>
      </w:r>
    </w:p>
    <w:p>
      <w:pPr>
        <w:widowControl/>
        <w:spacing w:line="400" w:lineRule="exact"/>
        <w:ind w:firstLine="422" w:firstLineChars="200"/>
        <w:jc w:val="left"/>
        <w:rPr>
          <w:rFonts w:ascii="仿宋" w:hAnsi="仿宋" w:eastAsia="仿宋" w:cs="仿宋"/>
          <w:color w:val="auto"/>
          <w:sz w:val="24"/>
        </w:rPr>
      </w:pPr>
      <w:r>
        <w:rPr>
          <w:rFonts w:hint="eastAsia" w:ascii="仿宋" w:hAnsi="仿宋" w:eastAsia="仿宋" w:cs="仿宋"/>
          <w:b/>
          <w:color w:val="auto"/>
          <w:szCs w:val="21"/>
        </w:rPr>
        <w:t>2.供应商提供由省级以上监狱管理局、戒毒管理局（含新疆生产建设兵团）出具的属于监狱企业证明文件的，视同为小型和微型企业。</w:t>
      </w:r>
    </w:p>
    <w:p>
      <w:pPr>
        <w:rPr>
          <w:rFonts w:hint="eastAsia" w:ascii="仿宋" w:hAnsi="仿宋" w:eastAsia="仿宋" w:cs="仿宋"/>
          <w:b/>
          <w:bCs/>
          <w:color w:val="auto"/>
          <w:sz w:val="24"/>
        </w:rPr>
      </w:pPr>
      <w:r>
        <w:rPr>
          <w:rFonts w:hint="eastAsia" w:ascii="仿宋" w:hAnsi="仿宋" w:eastAsia="仿宋" w:cs="仿宋"/>
          <w:b/>
          <w:bCs/>
          <w:color w:val="auto"/>
          <w:sz w:val="24"/>
        </w:rPr>
        <w:br w:type="page"/>
      </w:r>
    </w:p>
    <w:p>
      <w:pPr>
        <w:pStyle w:val="704"/>
        <w:spacing w:line="400" w:lineRule="exact"/>
        <w:jc w:val="left"/>
        <w:rPr>
          <w:rFonts w:ascii="仿宋" w:hAnsi="仿宋" w:eastAsia="仿宋" w:cs="仿宋"/>
          <w:color w:val="auto"/>
          <w:sz w:val="24"/>
        </w:rPr>
      </w:pPr>
      <w:r>
        <w:rPr>
          <w:rFonts w:hint="eastAsia" w:ascii="仿宋" w:hAnsi="仿宋" w:eastAsia="仿宋" w:cs="仿宋"/>
          <w:b/>
          <w:bCs/>
          <w:color w:val="auto"/>
          <w:sz w:val="24"/>
        </w:rPr>
        <w:t>附件十六</w:t>
      </w:r>
    </w:p>
    <w:p>
      <w:pPr>
        <w:shd w:val="clear" w:color="auto" w:fill="FFFFFF"/>
        <w:spacing w:line="400" w:lineRule="exact"/>
        <w:jc w:val="center"/>
        <w:rPr>
          <w:rFonts w:ascii="仿宋" w:hAnsi="仿宋" w:eastAsia="仿宋" w:cs="仿宋"/>
          <w:color w:val="auto"/>
          <w:sz w:val="28"/>
          <w:szCs w:val="28"/>
        </w:rPr>
      </w:pPr>
      <w:r>
        <w:rPr>
          <w:rFonts w:hint="eastAsia" w:ascii="仿宋" w:hAnsi="仿宋" w:eastAsia="仿宋" w:cs="仿宋"/>
          <w:b/>
          <w:bCs/>
          <w:color w:val="auto"/>
          <w:sz w:val="28"/>
          <w:szCs w:val="28"/>
        </w:rPr>
        <w:t>开标一览表</w:t>
      </w:r>
    </w:p>
    <w:p>
      <w:pPr>
        <w:tabs>
          <w:tab w:val="center" w:pos="7115"/>
          <w:tab w:val="right" w:pos="14230"/>
        </w:tabs>
        <w:spacing w:line="400" w:lineRule="exact"/>
        <w:ind w:firstLine="723"/>
        <w:jc w:val="center"/>
        <w:rPr>
          <w:rFonts w:ascii="仿宋" w:hAnsi="仿宋" w:eastAsia="仿宋" w:cs="仿宋"/>
          <w:color w:val="auto"/>
          <w:sz w:val="24"/>
        </w:rPr>
      </w:pPr>
    </w:p>
    <w:p>
      <w:pPr>
        <w:tabs>
          <w:tab w:val="center" w:pos="7115"/>
          <w:tab w:val="right" w:pos="14230"/>
        </w:tabs>
        <w:spacing w:line="400" w:lineRule="exact"/>
        <w:ind w:firstLine="120" w:firstLineChars="50"/>
        <w:rPr>
          <w:rFonts w:ascii="仿宋" w:hAnsi="仿宋" w:eastAsia="仿宋" w:cs="仿宋"/>
          <w:color w:val="auto"/>
          <w:sz w:val="24"/>
        </w:rPr>
      </w:pPr>
      <w:r>
        <w:rPr>
          <w:rFonts w:hint="eastAsia" w:ascii="仿宋" w:hAnsi="仿宋" w:eastAsia="仿宋" w:cs="仿宋"/>
          <w:color w:val="auto"/>
          <w:sz w:val="24"/>
        </w:rPr>
        <w:t>供应商名称：                                                       单位：元</w:t>
      </w:r>
    </w:p>
    <w:p>
      <w:pPr>
        <w:spacing w:line="400" w:lineRule="exact"/>
        <w:ind w:firstLine="120" w:firstLineChars="50"/>
        <w:rPr>
          <w:rFonts w:ascii="仿宋" w:hAnsi="仿宋" w:eastAsia="仿宋" w:cs="仿宋"/>
          <w:color w:val="auto"/>
          <w:spacing w:val="-10"/>
          <w:kern w:val="0"/>
          <w:sz w:val="24"/>
        </w:rPr>
      </w:pPr>
      <w:r>
        <w:rPr>
          <w:rFonts w:hint="eastAsia" w:ascii="仿宋" w:hAnsi="仿宋" w:eastAsia="仿宋" w:cs="仿宋"/>
          <w:color w:val="auto"/>
          <w:sz w:val="24"/>
        </w:rPr>
        <w:t>项目名称：</w:t>
      </w:r>
      <w:r>
        <w:rPr>
          <w:rFonts w:hint="eastAsia" w:ascii="仿宋" w:hAnsi="仿宋" w:eastAsia="仿宋" w:cs="仿宋"/>
          <w:color w:val="auto"/>
          <w:spacing w:val="-10"/>
          <w:kern w:val="0"/>
          <w:sz w:val="24"/>
        </w:rPr>
        <w:t xml:space="preserve">                                                                    项目</w:t>
      </w:r>
      <w:r>
        <w:rPr>
          <w:rFonts w:hint="eastAsia" w:ascii="仿宋" w:hAnsi="仿宋" w:eastAsia="仿宋" w:cs="仿宋"/>
          <w:color w:val="auto"/>
          <w:sz w:val="24"/>
        </w:rPr>
        <w:t>编号：</w:t>
      </w:r>
    </w:p>
    <w:tbl>
      <w:tblPr>
        <w:tblStyle w:val="61"/>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2081"/>
        <w:gridCol w:w="725"/>
        <w:gridCol w:w="1202"/>
        <w:gridCol w:w="1349"/>
        <w:gridCol w:w="1324"/>
        <w:gridCol w:w="1113"/>
        <w:gridCol w:w="1107"/>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5" w:hRule="atLeast"/>
          <w:jc w:val="center"/>
        </w:trPr>
        <w:tc>
          <w:tcPr>
            <w:tcW w:w="575" w:type="dxa"/>
            <w:tcBorders>
              <w:bottom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2081" w:type="dxa"/>
            <w:tcBorders>
              <w:bottom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设备名称</w:t>
            </w:r>
          </w:p>
        </w:tc>
        <w:tc>
          <w:tcPr>
            <w:tcW w:w="725" w:type="dxa"/>
            <w:tcBorders>
              <w:bottom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1202" w:type="dxa"/>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规格型号</w:t>
            </w:r>
          </w:p>
        </w:tc>
        <w:tc>
          <w:tcPr>
            <w:tcW w:w="1349" w:type="dxa"/>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设备价</w:t>
            </w:r>
          </w:p>
        </w:tc>
        <w:tc>
          <w:tcPr>
            <w:tcW w:w="1324" w:type="dxa"/>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安装调试费</w:t>
            </w:r>
          </w:p>
        </w:tc>
        <w:tc>
          <w:tcPr>
            <w:tcW w:w="1113" w:type="dxa"/>
            <w:tcBorders>
              <w:bottom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运杂费</w:t>
            </w:r>
          </w:p>
        </w:tc>
        <w:tc>
          <w:tcPr>
            <w:tcW w:w="1107" w:type="dxa"/>
            <w:tcBorders>
              <w:bottom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交货期</w:t>
            </w:r>
          </w:p>
        </w:tc>
        <w:tc>
          <w:tcPr>
            <w:tcW w:w="685" w:type="dxa"/>
            <w:tcBorders>
              <w:bottom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575" w:type="dxa"/>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081"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ascii="仿宋" w:hAnsi="仿宋" w:eastAsia="仿宋" w:cs="仿宋"/>
                <w:color w:val="auto"/>
                <w:sz w:val="24"/>
              </w:rPr>
            </w:pPr>
            <w:r>
              <w:rPr>
                <w:rFonts w:hint="eastAsia" w:ascii="仿宋" w:hAnsi="仿宋" w:eastAsia="仿宋" w:cs="仿宋"/>
                <w:color w:val="auto"/>
                <w:sz w:val="24"/>
              </w:rPr>
              <w:t>救护车</w:t>
            </w:r>
          </w:p>
        </w:tc>
        <w:tc>
          <w:tcPr>
            <w:tcW w:w="72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ascii="仿宋" w:hAnsi="仿宋" w:eastAsia="仿宋" w:cs="仿宋"/>
                <w:color w:val="auto"/>
                <w:sz w:val="24"/>
              </w:rPr>
            </w:pPr>
            <w:r>
              <w:rPr>
                <w:rFonts w:hint="eastAsia" w:ascii="仿宋" w:hAnsi="仿宋" w:eastAsia="仿宋" w:cs="仿宋"/>
                <w:color w:val="auto"/>
                <w:sz w:val="24"/>
                <w:lang w:val="en-US" w:eastAsia="zh-CN"/>
              </w:rPr>
              <w:t>6辆</w:t>
            </w:r>
          </w:p>
        </w:tc>
        <w:tc>
          <w:tcPr>
            <w:tcW w:w="1202" w:type="dxa"/>
            <w:vAlign w:val="center"/>
          </w:tcPr>
          <w:p>
            <w:pPr>
              <w:spacing w:line="400" w:lineRule="exact"/>
              <w:jc w:val="center"/>
              <w:rPr>
                <w:rFonts w:ascii="仿宋" w:hAnsi="仿宋" w:eastAsia="仿宋" w:cs="仿宋"/>
                <w:color w:val="auto"/>
                <w:sz w:val="24"/>
              </w:rPr>
            </w:pPr>
          </w:p>
        </w:tc>
        <w:tc>
          <w:tcPr>
            <w:tcW w:w="1349" w:type="dxa"/>
            <w:vAlign w:val="center"/>
          </w:tcPr>
          <w:p>
            <w:pPr>
              <w:spacing w:line="400" w:lineRule="exact"/>
              <w:jc w:val="center"/>
              <w:rPr>
                <w:rFonts w:ascii="仿宋" w:hAnsi="仿宋" w:eastAsia="仿宋" w:cs="仿宋"/>
                <w:color w:val="auto"/>
                <w:sz w:val="24"/>
              </w:rPr>
            </w:pPr>
          </w:p>
        </w:tc>
        <w:tc>
          <w:tcPr>
            <w:tcW w:w="1324" w:type="dxa"/>
            <w:vAlign w:val="center"/>
          </w:tcPr>
          <w:p>
            <w:pPr>
              <w:spacing w:line="400" w:lineRule="exact"/>
              <w:jc w:val="center"/>
              <w:rPr>
                <w:rFonts w:ascii="仿宋" w:hAnsi="仿宋" w:eastAsia="仿宋" w:cs="仿宋"/>
                <w:color w:val="auto"/>
                <w:sz w:val="24"/>
              </w:rPr>
            </w:pPr>
          </w:p>
        </w:tc>
        <w:tc>
          <w:tcPr>
            <w:tcW w:w="1113"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1107"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685" w:type="dxa"/>
            <w:tcBorders>
              <w:left w:val="single" w:color="auto" w:sz="4" w:space="0"/>
              <w:right w:val="single" w:color="auto" w:sz="4" w:space="0"/>
            </w:tcBorders>
            <w:vAlign w:val="center"/>
          </w:tcPr>
          <w:p>
            <w:pPr>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75" w:type="dxa"/>
            <w:vAlign w:val="center"/>
          </w:tcPr>
          <w:p>
            <w:pPr>
              <w:spacing w:line="40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w:t>
            </w:r>
          </w:p>
        </w:tc>
        <w:tc>
          <w:tcPr>
            <w:tcW w:w="2081"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移动体检车</w:t>
            </w:r>
          </w:p>
        </w:tc>
        <w:tc>
          <w:tcPr>
            <w:tcW w:w="72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1辆</w:t>
            </w:r>
          </w:p>
        </w:tc>
        <w:tc>
          <w:tcPr>
            <w:tcW w:w="1202" w:type="dxa"/>
            <w:vAlign w:val="center"/>
          </w:tcPr>
          <w:p>
            <w:pPr>
              <w:spacing w:line="400" w:lineRule="exact"/>
              <w:jc w:val="center"/>
              <w:rPr>
                <w:rFonts w:ascii="仿宋" w:hAnsi="仿宋" w:eastAsia="仿宋" w:cs="仿宋"/>
                <w:color w:val="auto"/>
                <w:sz w:val="24"/>
              </w:rPr>
            </w:pPr>
          </w:p>
        </w:tc>
        <w:tc>
          <w:tcPr>
            <w:tcW w:w="1349" w:type="dxa"/>
            <w:vAlign w:val="center"/>
          </w:tcPr>
          <w:p>
            <w:pPr>
              <w:spacing w:line="400" w:lineRule="exact"/>
              <w:jc w:val="center"/>
              <w:rPr>
                <w:rFonts w:ascii="仿宋" w:hAnsi="仿宋" w:eastAsia="仿宋" w:cs="仿宋"/>
                <w:color w:val="auto"/>
                <w:sz w:val="24"/>
              </w:rPr>
            </w:pPr>
          </w:p>
        </w:tc>
        <w:tc>
          <w:tcPr>
            <w:tcW w:w="1324" w:type="dxa"/>
            <w:vAlign w:val="center"/>
          </w:tcPr>
          <w:p>
            <w:pPr>
              <w:spacing w:line="400" w:lineRule="exact"/>
              <w:jc w:val="center"/>
              <w:rPr>
                <w:rFonts w:ascii="仿宋" w:hAnsi="仿宋" w:eastAsia="仿宋" w:cs="仿宋"/>
                <w:color w:val="auto"/>
                <w:sz w:val="24"/>
              </w:rPr>
            </w:pPr>
          </w:p>
        </w:tc>
        <w:tc>
          <w:tcPr>
            <w:tcW w:w="1113"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1107"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685" w:type="dxa"/>
            <w:tcBorders>
              <w:left w:val="single" w:color="auto" w:sz="4" w:space="0"/>
              <w:right w:val="single" w:color="auto" w:sz="4" w:space="0"/>
            </w:tcBorders>
            <w:vAlign w:val="center"/>
          </w:tcPr>
          <w:p>
            <w:pPr>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1" w:hRule="atLeast"/>
          <w:jc w:val="center"/>
        </w:trPr>
        <w:tc>
          <w:tcPr>
            <w:tcW w:w="575" w:type="dxa"/>
            <w:vAlign w:val="center"/>
          </w:tcPr>
          <w:p>
            <w:pPr>
              <w:spacing w:line="40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p>
        </w:tc>
        <w:tc>
          <w:tcPr>
            <w:tcW w:w="2081"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应急指挥车</w:t>
            </w:r>
          </w:p>
        </w:tc>
        <w:tc>
          <w:tcPr>
            <w:tcW w:w="72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1辆</w:t>
            </w:r>
          </w:p>
        </w:tc>
        <w:tc>
          <w:tcPr>
            <w:tcW w:w="1202" w:type="dxa"/>
            <w:vAlign w:val="center"/>
          </w:tcPr>
          <w:p>
            <w:pPr>
              <w:spacing w:line="400" w:lineRule="exact"/>
              <w:jc w:val="center"/>
              <w:rPr>
                <w:rFonts w:ascii="仿宋" w:hAnsi="仿宋" w:eastAsia="仿宋" w:cs="仿宋"/>
                <w:color w:val="auto"/>
                <w:sz w:val="24"/>
              </w:rPr>
            </w:pPr>
          </w:p>
        </w:tc>
        <w:tc>
          <w:tcPr>
            <w:tcW w:w="1349" w:type="dxa"/>
            <w:vAlign w:val="center"/>
          </w:tcPr>
          <w:p>
            <w:pPr>
              <w:spacing w:line="400" w:lineRule="exact"/>
              <w:jc w:val="center"/>
              <w:rPr>
                <w:rFonts w:ascii="仿宋" w:hAnsi="仿宋" w:eastAsia="仿宋" w:cs="仿宋"/>
                <w:color w:val="auto"/>
                <w:sz w:val="24"/>
              </w:rPr>
            </w:pPr>
          </w:p>
        </w:tc>
        <w:tc>
          <w:tcPr>
            <w:tcW w:w="1324" w:type="dxa"/>
            <w:vAlign w:val="center"/>
          </w:tcPr>
          <w:p>
            <w:pPr>
              <w:spacing w:line="400" w:lineRule="exact"/>
              <w:jc w:val="center"/>
              <w:rPr>
                <w:rFonts w:ascii="仿宋" w:hAnsi="仿宋" w:eastAsia="仿宋" w:cs="仿宋"/>
                <w:color w:val="auto"/>
                <w:sz w:val="24"/>
              </w:rPr>
            </w:pPr>
          </w:p>
        </w:tc>
        <w:tc>
          <w:tcPr>
            <w:tcW w:w="1113"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1107"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685" w:type="dxa"/>
            <w:tcBorders>
              <w:left w:val="single" w:color="auto" w:sz="4" w:space="0"/>
              <w:right w:val="single" w:color="auto" w:sz="4" w:space="0"/>
            </w:tcBorders>
            <w:vAlign w:val="center"/>
          </w:tcPr>
          <w:p>
            <w:pPr>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7" w:hRule="atLeast"/>
          <w:jc w:val="center"/>
        </w:trPr>
        <w:tc>
          <w:tcPr>
            <w:tcW w:w="575" w:type="dxa"/>
            <w:vAlign w:val="center"/>
          </w:tcPr>
          <w:p>
            <w:pPr>
              <w:spacing w:line="40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2081"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快速检测车</w:t>
            </w:r>
          </w:p>
        </w:tc>
        <w:tc>
          <w:tcPr>
            <w:tcW w:w="72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1辆</w:t>
            </w:r>
          </w:p>
        </w:tc>
        <w:tc>
          <w:tcPr>
            <w:tcW w:w="1202" w:type="dxa"/>
            <w:vAlign w:val="center"/>
          </w:tcPr>
          <w:p>
            <w:pPr>
              <w:spacing w:line="400" w:lineRule="exact"/>
              <w:jc w:val="center"/>
              <w:rPr>
                <w:rFonts w:ascii="仿宋" w:hAnsi="仿宋" w:eastAsia="仿宋" w:cs="仿宋"/>
                <w:color w:val="auto"/>
                <w:sz w:val="24"/>
              </w:rPr>
            </w:pPr>
          </w:p>
        </w:tc>
        <w:tc>
          <w:tcPr>
            <w:tcW w:w="1349" w:type="dxa"/>
            <w:vAlign w:val="center"/>
          </w:tcPr>
          <w:p>
            <w:pPr>
              <w:spacing w:line="400" w:lineRule="exact"/>
              <w:jc w:val="center"/>
              <w:rPr>
                <w:rFonts w:ascii="仿宋" w:hAnsi="仿宋" w:eastAsia="仿宋" w:cs="仿宋"/>
                <w:color w:val="auto"/>
                <w:sz w:val="24"/>
              </w:rPr>
            </w:pPr>
          </w:p>
        </w:tc>
        <w:tc>
          <w:tcPr>
            <w:tcW w:w="1324" w:type="dxa"/>
            <w:vAlign w:val="center"/>
          </w:tcPr>
          <w:p>
            <w:pPr>
              <w:spacing w:line="400" w:lineRule="exact"/>
              <w:jc w:val="center"/>
              <w:rPr>
                <w:rFonts w:ascii="仿宋" w:hAnsi="仿宋" w:eastAsia="仿宋" w:cs="仿宋"/>
                <w:color w:val="auto"/>
                <w:sz w:val="24"/>
              </w:rPr>
            </w:pPr>
          </w:p>
        </w:tc>
        <w:tc>
          <w:tcPr>
            <w:tcW w:w="1113"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1107" w:type="dxa"/>
            <w:tcBorders>
              <w:right w:val="single" w:color="auto" w:sz="4" w:space="0"/>
            </w:tcBorders>
            <w:vAlign w:val="center"/>
          </w:tcPr>
          <w:p>
            <w:pPr>
              <w:spacing w:line="400" w:lineRule="exact"/>
              <w:jc w:val="center"/>
              <w:rPr>
                <w:rFonts w:ascii="仿宋" w:hAnsi="仿宋" w:eastAsia="仿宋" w:cs="仿宋"/>
                <w:color w:val="auto"/>
                <w:sz w:val="24"/>
              </w:rPr>
            </w:pPr>
          </w:p>
        </w:tc>
        <w:tc>
          <w:tcPr>
            <w:tcW w:w="685" w:type="dxa"/>
            <w:tcBorders>
              <w:left w:val="single" w:color="auto" w:sz="4" w:space="0"/>
              <w:right w:val="single" w:color="auto" w:sz="4" w:space="0"/>
            </w:tcBorders>
            <w:vAlign w:val="center"/>
          </w:tcPr>
          <w:p>
            <w:pPr>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atLeast"/>
          <w:jc w:val="center"/>
        </w:trPr>
        <w:tc>
          <w:tcPr>
            <w:tcW w:w="2656" w:type="dxa"/>
            <w:gridSpan w:val="2"/>
            <w:tcBorders>
              <w:bottom w:val="single" w:color="auto" w:sz="4" w:space="0"/>
            </w:tcBorders>
            <w:vAlign w:val="center"/>
          </w:tcPr>
          <w:p>
            <w:pPr>
              <w:spacing w:line="400" w:lineRule="exact"/>
              <w:jc w:val="center"/>
              <w:rPr>
                <w:rFonts w:ascii="仿宋" w:hAnsi="仿宋" w:eastAsia="仿宋" w:cs="仿宋"/>
                <w:color w:val="auto"/>
                <w:sz w:val="24"/>
              </w:rPr>
            </w:pPr>
            <w:r>
              <w:rPr>
                <w:rFonts w:hint="eastAsia" w:ascii="仿宋" w:hAnsi="仿宋" w:eastAsia="仿宋" w:cs="仿宋"/>
                <w:color w:val="auto"/>
                <w:sz w:val="24"/>
              </w:rPr>
              <w:t>投标总报价（大写）</w:t>
            </w:r>
          </w:p>
        </w:tc>
        <w:tc>
          <w:tcPr>
            <w:tcW w:w="7505" w:type="dxa"/>
            <w:gridSpan w:val="7"/>
            <w:tcBorders>
              <w:bottom w:val="single" w:color="auto" w:sz="4" w:space="0"/>
            </w:tcBorders>
            <w:vAlign w:val="center"/>
          </w:tcPr>
          <w:p>
            <w:pPr>
              <w:spacing w:line="400" w:lineRule="exact"/>
              <w:rPr>
                <w:rFonts w:ascii="仿宋" w:hAnsi="仿宋" w:eastAsia="仿宋" w:cs="仿宋"/>
                <w:color w:val="auto"/>
                <w:u w:val="single"/>
              </w:rPr>
            </w:pPr>
          </w:p>
        </w:tc>
      </w:tr>
    </w:tbl>
    <w:p>
      <w:pPr>
        <w:spacing w:line="400" w:lineRule="exact"/>
        <w:ind w:firstLine="110" w:firstLineChars="50"/>
        <w:rPr>
          <w:rFonts w:ascii="仿宋" w:hAnsi="仿宋" w:eastAsia="仿宋" w:cs="仿宋"/>
          <w:color w:val="auto"/>
          <w:spacing w:val="-10"/>
          <w:kern w:val="0"/>
          <w:sz w:val="24"/>
        </w:rPr>
      </w:pPr>
    </w:p>
    <w:p>
      <w:pPr>
        <w:widowControl/>
        <w:spacing w:line="400" w:lineRule="exact"/>
        <w:jc w:val="lef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tabs>
          <w:tab w:val="left" w:pos="3780"/>
        </w:tabs>
        <w:spacing w:line="400" w:lineRule="exact"/>
        <w:rPr>
          <w:rFonts w:ascii="仿宋" w:hAnsi="仿宋" w:eastAsia="仿宋" w:cs="仿宋"/>
          <w:color w:val="auto"/>
          <w:sz w:val="24"/>
        </w:rPr>
      </w:pPr>
      <w:r>
        <w:rPr>
          <w:rFonts w:hint="eastAsia" w:ascii="仿宋" w:hAnsi="仿宋" w:eastAsia="仿宋" w:cs="仿宋"/>
          <w:color w:val="auto"/>
          <w:sz w:val="24"/>
        </w:rPr>
        <w:t>法定代表人（签字或签章）：</w:t>
      </w:r>
    </w:p>
    <w:p>
      <w:pPr>
        <w:shd w:val="clear" w:color="auto" w:fill="FFFFFF"/>
        <w:tabs>
          <w:tab w:val="left" w:pos="3780"/>
        </w:tabs>
        <w:spacing w:line="400" w:lineRule="exact"/>
        <w:rPr>
          <w:rFonts w:ascii="仿宋" w:hAnsi="仿宋" w:eastAsia="仿宋" w:cs="仿宋"/>
          <w:color w:val="auto"/>
          <w:sz w:val="24"/>
        </w:rPr>
      </w:pPr>
      <w:r>
        <w:rPr>
          <w:rFonts w:hint="eastAsia" w:ascii="仿宋" w:hAnsi="仿宋" w:eastAsia="仿宋" w:cs="仿宋"/>
          <w:color w:val="auto"/>
          <w:sz w:val="24"/>
        </w:rPr>
        <w:t>授权代理人（签字或签章）：</w:t>
      </w:r>
    </w:p>
    <w:p>
      <w:pPr>
        <w:widowControl/>
        <w:spacing w:line="400" w:lineRule="exact"/>
        <w:jc w:val="left"/>
        <w:rPr>
          <w:rFonts w:ascii="仿宋" w:hAnsi="仿宋" w:eastAsia="仿宋" w:cs="仿宋"/>
          <w:b/>
          <w:bCs/>
          <w:color w:val="auto"/>
          <w:sz w:val="24"/>
        </w:rPr>
      </w:pPr>
      <w:r>
        <w:rPr>
          <w:rFonts w:hint="eastAsia" w:ascii="仿宋" w:hAnsi="仿宋" w:eastAsia="仿宋" w:cs="仿宋"/>
          <w:color w:val="auto"/>
          <w:sz w:val="24"/>
        </w:rPr>
        <w:t>日期： 年  月  日</w:t>
      </w:r>
    </w:p>
    <w:p>
      <w:pPr>
        <w:widowControl/>
        <w:spacing w:line="400" w:lineRule="exact"/>
        <w:jc w:val="left"/>
        <w:rPr>
          <w:rFonts w:ascii="仿宋" w:hAnsi="仿宋" w:eastAsia="仿宋" w:cs="仿宋"/>
          <w:b/>
          <w:bCs/>
          <w:color w:val="auto"/>
          <w:sz w:val="24"/>
        </w:rPr>
      </w:pPr>
    </w:p>
    <w:p>
      <w:pPr>
        <w:shd w:val="clear" w:color="auto" w:fill="FFFFFF"/>
        <w:tabs>
          <w:tab w:val="left" w:pos="3780"/>
        </w:tabs>
        <w:spacing w:line="400" w:lineRule="exact"/>
        <w:rPr>
          <w:rFonts w:ascii="仿宋" w:hAnsi="仿宋" w:eastAsia="仿宋" w:cs="仿宋"/>
          <w:b/>
          <w:bCs/>
          <w:color w:val="auto"/>
          <w:sz w:val="24"/>
        </w:rPr>
      </w:pPr>
      <w:r>
        <w:rPr>
          <w:rFonts w:hint="eastAsia" w:ascii="仿宋" w:hAnsi="仿宋" w:eastAsia="仿宋" w:cs="仿宋"/>
          <w:b/>
          <w:bCs/>
          <w:color w:val="auto"/>
          <w:sz w:val="24"/>
        </w:rPr>
        <w:t>重要说明：</w:t>
      </w:r>
    </w:p>
    <w:p>
      <w:pPr>
        <w:shd w:val="clear" w:color="auto" w:fill="FFFFFF"/>
        <w:tabs>
          <w:tab w:val="left" w:pos="3780"/>
        </w:tabs>
        <w:spacing w:line="400" w:lineRule="exact"/>
        <w:rPr>
          <w:rFonts w:ascii="仿宋" w:hAnsi="仿宋" w:eastAsia="仿宋" w:cs="仿宋"/>
          <w:b/>
          <w:bCs/>
          <w:color w:val="auto"/>
          <w:sz w:val="24"/>
        </w:rPr>
      </w:pPr>
      <w:r>
        <w:rPr>
          <w:rFonts w:hint="eastAsia" w:ascii="仿宋" w:hAnsi="仿宋" w:eastAsia="仿宋" w:cs="仿宋"/>
          <w:b/>
          <w:bCs/>
          <w:color w:val="auto"/>
          <w:sz w:val="24"/>
        </w:rPr>
        <w:t>1、此表须单独密封（封装标识按照本文件《投标须知》23.4条要求）与投标文件一并递交。</w:t>
      </w:r>
    </w:p>
    <w:p>
      <w:pPr>
        <w:shd w:val="clear" w:color="auto" w:fill="FFFFFF"/>
        <w:tabs>
          <w:tab w:val="left" w:pos="3780"/>
        </w:tabs>
        <w:spacing w:line="400" w:lineRule="exact"/>
        <w:rPr>
          <w:rFonts w:ascii="仿宋" w:hAnsi="仿宋" w:eastAsia="仿宋" w:cs="仿宋"/>
          <w:b/>
          <w:bCs/>
          <w:color w:val="auto"/>
          <w:sz w:val="24"/>
        </w:rPr>
      </w:pPr>
      <w:r>
        <w:rPr>
          <w:rFonts w:hint="eastAsia" w:ascii="仿宋" w:hAnsi="仿宋" w:eastAsia="仿宋" w:cs="仿宋"/>
          <w:b/>
          <w:bCs/>
          <w:color w:val="auto"/>
          <w:sz w:val="24"/>
        </w:rPr>
        <w:t>2、此表须由法定代表人签字或盖章、授权代理人签字及加盖供应商公章</w:t>
      </w:r>
    </w:p>
    <w:p>
      <w:pPr>
        <w:shd w:val="clear" w:color="auto" w:fill="FFFFFF"/>
        <w:tabs>
          <w:tab w:val="left" w:pos="3780"/>
        </w:tabs>
        <w:spacing w:line="400" w:lineRule="exact"/>
        <w:rPr>
          <w:rFonts w:ascii="仿宋" w:hAnsi="仿宋" w:eastAsia="仿宋" w:cs="仿宋"/>
          <w:b/>
          <w:bCs/>
          <w:color w:val="auto"/>
          <w:sz w:val="24"/>
        </w:rPr>
      </w:pPr>
      <w:r>
        <w:rPr>
          <w:rFonts w:hint="eastAsia" w:ascii="仿宋" w:hAnsi="仿宋" w:eastAsia="仿宋" w:cs="仿宋"/>
          <w:b/>
          <w:bCs/>
          <w:color w:val="auto"/>
          <w:sz w:val="24"/>
        </w:rPr>
        <w:t>不满足上述任意一条，投标无效。</w:t>
      </w:r>
      <w:r>
        <w:rPr>
          <w:rFonts w:hint="eastAsia" w:ascii="仿宋" w:hAnsi="仿宋" w:eastAsia="仿宋" w:cs="仿宋"/>
          <w:b/>
          <w:bCs/>
          <w:color w:val="auto"/>
          <w:sz w:val="24"/>
        </w:rPr>
        <w:br w:type="page"/>
      </w:r>
      <w:r>
        <w:rPr>
          <w:rFonts w:hint="eastAsia" w:ascii="仿宋" w:hAnsi="仿宋" w:eastAsia="仿宋" w:cs="仿宋"/>
          <w:b/>
          <w:bCs/>
          <w:color w:val="auto"/>
          <w:sz w:val="24"/>
        </w:rPr>
        <w:t xml:space="preserve">附件十七  </w:t>
      </w:r>
    </w:p>
    <w:p>
      <w:pPr>
        <w:shd w:val="clear" w:color="auto" w:fill="FFFFFF"/>
        <w:tabs>
          <w:tab w:val="left" w:pos="3780"/>
        </w:tabs>
        <w:spacing w:line="400" w:lineRule="exact"/>
        <w:rPr>
          <w:rFonts w:ascii="仿宋" w:hAnsi="仿宋" w:eastAsia="仿宋" w:cs="仿宋"/>
          <w:b/>
          <w:bCs/>
          <w:color w:val="auto"/>
          <w:kern w:val="0"/>
          <w:sz w:val="24"/>
        </w:rPr>
      </w:pPr>
      <w:r>
        <w:rPr>
          <w:rFonts w:hint="eastAsia" w:ascii="仿宋" w:hAnsi="仿宋" w:eastAsia="仿宋" w:cs="仿宋"/>
          <w:b/>
          <w:bCs/>
          <w:color w:val="auto"/>
          <w:kern w:val="0"/>
          <w:sz w:val="24"/>
        </w:rPr>
        <w:t>分项报价明细表</w:t>
      </w:r>
    </w:p>
    <w:p>
      <w:pPr>
        <w:shd w:val="clear" w:color="auto" w:fill="FFFFFF"/>
        <w:spacing w:line="400" w:lineRule="exact"/>
        <w:rPr>
          <w:rFonts w:ascii="仿宋" w:hAnsi="仿宋" w:eastAsia="仿宋" w:cs="仿宋"/>
          <w:b/>
          <w:color w:val="auto"/>
          <w:sz w:val="24"/>
        </w:rPr>
      </w:pPr>
    </w:p>
    <w:tbl>
      <w:tblPr>
        <w:tblStyle w:val="6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821"/>
        <w:gridCol w:w="1630"/>
        <w:gridCol w:w="140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tcBorders>
              <w:top w:val="single" w:color="auto" w:sz="12" w:space="0"/>
              <w:left w:val="single" w:color="auto" w:sz="12" w:space="0"/>
              <w:bottom w:val="single" w:color="auto" w:sz="4" w:space="0"/>
              <w:right w:val="single" w:color="auto" w:sz="4" w:space="0"/>
            </w:tcBorders>
            <w:vAlign w:val="center"/>
          </w:tcPr>
          <w:p>
            <w:pPr>
              <w:pStyle w:val="725"/>
              <w:tabs>
                <w:tab w:val="left" w:pos="1337"/>
              </w:tabs>
              <w:spacing w:line="400" w:lineRule="exact"/>
              <w:ind w:left="-42" w:right="-42"/>
              <w:jc w:val="center"/>
              <w:rPr>
                <w:rFonts w:ascii="仿宋" w:hAnsi="仿宋" w:eastAsia="仿宋" w:cs="仿宋"/>
                <w:color w:val="auto"/>
                <w:sz w:val="24"/>
              </w:rPr>
            </w:pPr>
            <w:r>
              <w:rPr>
                <w:rFonts w:hint="eastAsia" w:ascii="仿宋" w:hAnsi="仿宋" w:eastAsia="仿宋" w:cs="仿宋"/>
                <w:color w:val="auto"/>
                <w:sz w:val="24"/>
              </w:rPr>
              <w:t>项</w:t>
            </w:r>
          </w:p>
        </w:tc>
        <w:tc>
          <w:tcPr>
            <w:tcW w:w="2821" w:type="dxa"/>
            <w:tcBorders>
              <w:top w:val="single" w:color="auto" w:sz="12" w:space="0"/>
              <w:left w:val="single" w:color="auto" w:sz="4" w:space="0"/>
              <w:bottom w:val="single" w:color="auto" w:sz="4" w:space="0"/>
              <w:right w:val="single" w:color="auto" w:sz="4" w:space="0"/>
            </w:tcBorders>
            <w:vAlign w:val="center"/>
          </w:tcPr>
          <w:p>
            <w:pPr>
              <w:pStyle w:val="725"/>
              <w:tabs>
                <w:tab w:val="left" w:pos="1337"/>
              </w:tabs>
              <w:spacing w:line="400" w:lineRule="exact"/>
              <w:ind w:left="-42" w:right="-42"/>
              <w:jc w:val="center"/>
              <w:rPr>
                <w:rFonts w:ascii="仿宋" w:hAnsi="仿宋" w:eastAsia="仿宋" w:cs="仿宋"/>
                <w:color w:val="auto"/>
                <w:sz w:val="24"/>
              </w:rPr>
            </w:pPr>
            <w:r>
              <w:rPr>
                <w:rFonts w:hint="eastAsia" w:ascii="仿宋" w:hAnsi="仿宋" w:eastAsia="仿宋" w:cs="仿宋"/>
                <w:color w:val="auto"/>
                <w:sz w:val="24"/>
              </w:rPr>
              <w:t>1</w:t>
            </w:r>
          </w:p>
        </w:tc>
        <w:tc>
          <w:tcPr>
            <w:tcW w:w="1630" w:type="dxa"/>
            <w:tcBorders>
              <w:top w:val="single" w:color="auto" w:sz="12" w:space="0"/>
              <w:left w:val="single" w:color="auto" w:sz="4" w:space="0"/>
              <w:bottom w:val="single" w:color="auto" w:sz="4" w:space="0"/>
              <w:right w:val="single" w:color="auto" w:sz="4" w:space="0"/>
            </w:tcBorders>
            <w:vAlign w:val="center"/>
          </w:tcPr>
          <w:p>
            <w:pPr>
              <w:pStyle w:val="725"/>
              <w:tabs>
                <w:tab w:val="left" w:pos="1337"/>
              </w:tabs>
              <w:spacing w:line="400" w:lineRule="exact"/>
              <w:ind w:right="-42"/>
              <w:jc w:val="center"/>
              <w:rPr>
                <w:rFonts w:ascii="仿宋" w:hAnsi="仿宋" w:eastAsia="仿宋" w:cs="仿宋"/>
                <w:color w:val="auto"/>
                <w:sz w:val="24"/>
              </w:rPr>
            </w:pPr>
            <w:r>
              <w:rPr>
                <w:rFonts w:hint="eastAsia" w:ascii="仿宋" w:hAnsi="仿宋" w:eastAsia="仿宋" w:cs="仿宋"/>
                <w:color w:val="auto"/>
                <w:sz w:val="24"/>
              </w:rPr>
              <w:t>2</w:t>
            </w:r>
          </w:p>
        </w:tc>
        <w:tc>
          <w:tcPr>
            <w:tcW w:w="1408" w:type="dxa"/>
            <w:tcBorders>
              <w:top w:val="single" w:color="auto" w:sz="12" w:space="0"/>
              <w:left w:val="single" w:color="auto" w:sz="4" w:space="0"/>
              <w:bottom w:val="single" w:color="auto" w:sz="4" w:space="0"/>
              <w:right w:val="single" w:color="auto" w:sz="4" w:space="0"/>
            </w:tcBorders>
            <w:vAlign w:val="center"/>
          </w:tcPr>
          <w:p>
            <w:pPr>
              <w:pStyle w:val="725"/>
              <w:tabs>
                <w:tab w:val="left" w:pos="1337"/>
              </w:tabs>
              <w:spacing w:line="400" w:lineRule="exact"/>
              <w:ind w:right="-42"/>
              <w:jc w:val="center"/>
              <w:rPr>
                <w:rFonts w:ascii="仿宋" w:hAnsi="仿宋" w:eastAsia="仿宋" w:cs="仿宋"/>
                <w:color w:val="auto"/>
                <w:sz w:val="24"/>
              </w:rPr>
            </w:pPr>
            <w:r>
              <w:rPr>
                <w:rFonts w:hint="eastAsia" w:ascii="仿宋" w:hAnsi="仿宋" w:eastAsia="仿宋" w:cs="仿宋"/>
                <w:color w:val="auto"/>
                <w:sz w:val="24"/>
              </w:rPr>
              <w:t>3</w:t>
            </w:r>
          </w:p>
        </w:tc>
        <w:tc>
          <w:tcPr>
            <w:tcW w:w="3056" w:type="dxa"/>
            <w:gridSpan w:val="3"/>
            <w:tcBorders>
              <w:top w:val="single" w:color="auto" w:sz="12" w:space="0"/>
              <w:left w:val="single" w:color="auto" w:sz="4" w:space="0"/>
              <w:bottom w:val="single" w:color="auto" w:sz="4" w:space="0"/>
              <w:right w:val="single" w:color="auto" w:sz="12" w:space="0"/>
            </w:tcBorders>
            <w:vAlign w:val="center"/>
          </w:tcPr>
          <w:p>
            <w:pPr>
              <w:pStyle w:val="725"/>
              <w:tabs>
                <w:tab w:val="left" w:pos="1337"/>
              </w:tabs>
              <w:spacing w:line="400" w:lineRule="exact"/>
              <w:ind w:left="-42" w:right="-42"/>
              <w:jc w:val="center"/>
              <w:rPr>
                <w:rFonts w:ascii="仿宋" w:hAnsi="仿宋" w:eastAsia="仿宋" w:cs="仿宋"/>
                <w:color w:val="auto"/>
                <w:sz w:val="24"/>
              </w:rPr>
            </w:pPr>
            <w:r>
              <w:rPr>
                <w:rFonts w:hint="eastAsia" w:ascii="仿宋" w:hAnsi="仿宋" w:eastAsia="仿宋" w:cs="仿宋"/>
                <w:color w:val="auto"/>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restart"/>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ind w:left="-42" w:right="-42"/>
              <w:jc w:val="center"/>
              <w:rPr>
                <w:rFonts w:ascii="仿宋" w:hAnsi="仿宋" w:eastAsia="仿宋" w:cs="仿宋"/>
                <w:color w:val="auto"/>
                <w:sz w:val="24"/>
              </w:rPr>
            </w:pPr>
            <w:r>
              <w:rPr>
                <w:rFonts w:hint="eastAsia" w:ascii="仿宋" w:hAnsi="仿宋" w:eastAsia="仿宋" w:cs="仿宋"/>
                <w:color w:val="auto"/>
                <w:sz w:val="24"/>
              </w:rPr>
              <w:t>序</w:t>
            </w:r>
          </w:p>
          <w:p>
            <w:pPr>
              <w:pStyle w:val="725"/>
              <w:tabs>
                <w:tab w:val="left" w:pos="1337"/>
              </w:tabs>
              <w:spacing w:line="400" w:lineRule="exact"/>
              <w:ind w:left="-42" w:right="-42"/>
              <w:jc w:val="center"/>
              <w:rPr>
                <w:rFonts w:ascii="仿宋" w:hAnsi="仿宋" w:eastAsia="仿宋" w:cs="仿宋"/>
                <w:color w:val="auto"/>
                <w:sz w:val="24"/>
              </w:rPr>
            </w:pPr>
            <w:r>
              <w:rPr>
                <w:rFonts w:hint="eastAsia" w:ascii="仿宋" w:hAnsi="仿宋" w:eastAsia="仿宋" w:cs="仿宋"/>
                <w:color w:val="auto"/>
                <w:sz w:val="24"/>
              </w:rPr>
              <w:t>号</w:t>
            </w:r>
          </w:p>
        </w:tc>
        <w:tc>
          <w:tcPr>
            <w:tcW w:w="2821" w:type="dxa"/>
            <w:vMerge w:val="restart"/>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产品名称</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ind w:left="-42" w:right="-42"/>
              <w:jc w:val="center"/>
              <w:rPr>
                <w:rFonts w:ascii="仿宋" w:hAnsi="仿宋" w:eastAsia="仿宋" w:cs="仿宋"/>
                <w:color w:val="auto"/>
                <w:sz w:val="24"/>
              </w:rPr>
            </w:pPr>
            <w:r>
              <w:rPr>
                <w:rFonts w:hint="eastAsia" w:ascii="仿宋" w:hAnsi="仿宋" w:eastAsia="仿宋" w:cs="仿宋"/>
                <w:color w:val="auto"/>
                <w:sz w:val="24"/>
              </w:rPr>
              <w:t>规格型号</w:t>
            </w:r>
          </w:p>
        </w:tc>
        <w:tc>
          <w:tcPr>
            <w:tcW w:w="1408" w:type="dxa"/>
            <w:vMerge w:val="restart"/>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ind w:left="-42" w:right="-42"/>
              <w:jc w:val="center"/>
              <w:rPr>
                <w:rFonts w:ascii="仿宋" w:hAnsi="仿宋" w:eastAsia="仿宋" w:cs="仿宋"/>
                <w:color w:val="auto"/>
                <w:sz w:val="24"/>
              </w:rPr>
            </w:pPr>
            <w:r>
              <w:rPr>
                <w:rFonts w:hint="eastAsia" w:ascii="仿宋" w:hAnsi="仿宋" w:eastAsia="仿宋" w:cs="仿宋"/>
                <w:color w:val="auto"/>
                <w:sz w:val="24"/>
              </w:rPr>
              <w:t>生产厂家及品牌</w:t>
            </w:r>
          </w:p>
        </w:tc>
        <w:tc>
          <w:tcPr>
            <w:tcW w:w="3056" w:type="dxa"/>
            <w:gridSpan w:val="3"/>
            <w:tcBorders>
              <w:top w:val="single" w:color="auto" w:sz="4" w:space="0"/>
              <w:left w:val="single" w:color="auto" w:sz="4" w:space="0"/>
              <w:bottom w:val="single" w:color="auto" w:sz="4" w:space="0"/>
              <w:right w:val="single" w:color="auto" w:sz="12" w:space="0"/>
            </w:tcBorders>
            <w:vAlign w:val="center"/>
          </w:tcPr>
          <w:p>
            <w:pPr>
              <w:pStyle w:val="725"/>
              <w:spacing w:line="400" w:lineRule="exact"/>
              <w:jc w:val="center"/>
              <w:rPr>
                <w:rFonts w:ascii="仿宋" w:hAnsi="仿宋" w:eastAsia="仿宋" w:cs="仿宋"/>
                <w:color w:val="auto"/>
                <w:sz w:val="24"/>
              </w:rPr>
            </w:pPr>
            <w:r>
              <w:rPr>
                <w:rFonts w:hint="eastAsia" w:ascii="仿宋" w:hAnsi="仿宋" w:eastAsia="仿宋" w:cs="仿宋"/>
                <w:color w:val="auto"/>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Merge w:val="continue"/>
            <w:tcBorders>
              <w:top w:val="single" w:color="auto" w:sz="4" w:space="0"/>
              <w:left w:val="single" w:color="auto" w:sz="12" w:space="0"/>
              <w:bottom w:val="single" w:color="auto" w:sz="4" w:space="0"/>
              <w:right w:val="single" w:color="auto" w:sz="4" w:space="0"/>
            </w:tcBorders>
            <w:vAlign w:val="center"/>
          </w:tcPr>
          <w:p>
            <w:pPr>
              <w:pStyle w:val="726"/>
              <w:widowControl/>
              <w:spacing w:line="400" w:lineRule="exact"/>
              <w:jc w:val="left"/>
              <w:rPr>
                <w:rFonts w:ascii="仿宋" w:hAnsi="仿宋" w:eastAsia="仿宋" w:cs="仿宋"/>
                <w:color w:val="auto"/>
                <w:sz w:val="24"/>
              </w:rPr>
            </w:pPr>
          </w:p>
        </w:tc>
        <w:tc>
          <w:tcPr>
            <w:tcW w:w="2821" w:type="dxa"/>
            <w:vMerge w:val="continue"/>
            <w:tcBorders>
              <w:top w:val="single" w:color="auto" w:sz="4" w:space="0"/>
              <w:left w:val="single" w:color="auto" w:sz="4" w:space="0"/>
              <w:bottom w:val="single" w:color="auto" w:sz="4" w:space="0"/>
              <w:right w:val="single" w:color="auto" w:sz="4" w:space="0"/>
            </w:tcBorders>
            <w:vAlign w:val="center"/>
          </w:tcPr>
          <w:p>
            <w:pPr>
              <w:pStyle w:val="726"/>
              <w:widowControl/>
              <w:spacing w:line="400" w:lineRule="exact"/>
              <w:jc w:val="left"/>
              <w:rPr>
                <w:rFonts w:ascii="仿宋" w:hAnsi="仿宋" w:eastAsia="仿宋" w:cs="仿宋"/>
                <w:color w:val="auto"/>
                <w:sz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pStyle w:val="726"/>
              <w:widowControl/>
              <w:spacing w:line="400" w:lineRule="exact"/>
              <w:jc w:val="left"/>
              <w:rPr>
                <w:rFonts w:ascii="仿宋" w:hAnsi="仿宋" w:eastAsia="仿宋" w:cs="仿宋"/>
                <w:color w:val="auto"/>
                <w:sz w:val="24"/>
              </w:rPr>
            </w:pPr>
          </w:p>
        </w:tc>
        <w:tc>
          <w:tcPr>
            <w:tcW w:w="1408" w:type="dxa"/>
            <w:vMerge w:val="continue"/>
            <w:tcBorders>
              <w:top w:val="single" w:color="auto" w:sz="4" w:space="0"/>
              <w:left w:val="single" w:color="auto" w:sz="4" w:space="0"/>
              <w:bottom w:val="single" w:color="auto" w:sz="4" w:space="0"/>
              <w:right w:val="single" w:color="auto" w:sz="4" w:space="0"/>
            </w:tcBorders>
            <w:vAlign w:val="center"/>
          </w:tcPr>
          <w:p>
            <w:pPr>
              <w:pStyle w:val="726"/>
              <w:widowControl/>
              <w:spacing w:line="400" w:lineRule="exact"/>
              <w:jc w:val="left"/>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单价</w:t>
            </w:r>
          </w:p>
        </w:tc>
        <w:tc>
          <w:tcPr>
            <w:tcW w:w="955" w:type="dxa"/>
            <w:tcBorders>
              <w:top w:val="single" w:color="auto" w:sz="4" w:space="0"/>
              <w:left w:val="single" w:color="auto" w:sz="4" w:space="0"/>
              <w:bottom w:val="single" w:color="auto" w:sz="4" w:space="0"/>
              <w:right w:val="single" w:color="auto" w:sz="4" w:space="0"/>
            </w:tcBorders>
            <w:vAlign w:val="center"/>
          </w:tcPr>
          <w:p>
            <w:pPr>
              <w:pStyle w:val="725"/>
              <w:widowControl/>
              <w:spacing w:line="40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1146" w:type="dxa"/>
            <w:tcBorders>
              <w:top w:val="single" w:color="auto" w:sz="4" w:space="0"/>
              <w:left w:val="single" w:color="auto" w:sz="4" w:space="0"/>
              <w:bottom w:val="single" w:color="auto" w:sz="4" w:space="0"/>
              <w:right w:val="single" w:color="auto" w:sz="12" w:space="0"/>
            </w:tcBorders>
            <w:vAlign w:val="center"/>
          </w:tcPr>
          <w:p>
            <w:pPr>
              <w:pStyle w:val="725"/>
              <w:widowControl/>
              <w:spacing w:line="400" w:lineRule="exact"/>
              <w:jc w:val="center"/>
              <w:rPr>
                <w:rFonts w:ascii="仿宋" w:hAnsi="仿宋" w:eastAsia="仿宋" w:cs="仿宋"/>
                <w:color w:val="auto"/>
                <w:sz w:val="24"/>
              </w:rPr>
            </w:pPr>
            <w:r>
              <w:rPr>
                <w:rFonts w:hint="eastAsia" w:ascii="仿宋" w:hAnsi="仿宋" w:eastAsia="仿宋" w:cs="仿宋"/>
                <w:color w:val="auto"/>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1</w:t>
            </w: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bCs/>
                <w:color w:val="auto"/>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bCs/>
                <w:color w:val="auto"/>
                <w:spacing w:val="-4"/>
                <w:kern w:val="0"/>
                <w:sz w:val="24"/>
              </w:rPr>
            </w:pPr>
            <w:r>
              <w:rPr>
                <w:rFonts w:hint="eastAsia" w:ascii="仿宋" w:hAnsi="仿宋" w:eastAsia="仿宋" w:cs="仿宋"/>
                <w:bCs/>
                <w:color w:val="auto"/>
                <w:spacing w:val="-4"/>
                <w:kern w:val="0"/>
                <w:sz w:val="24"/>
              </w:rPr>
              <w:t>…</w:t>
            </w:r>
          </w:p>
        </w:tc>
        <w:tc>
          <w:tcPr>
            <w:tcW w:w="1630"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备品备件</w:t>
            </w:r>
          </w:p>
        </w:tc>
        <w:tc>
          <w:tcPr>
            <w:tcW w:w="1630"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专用工具</w:t>
            </w:r>
          </w:p>
        </w:tc>
        <w:tc>
          <w:tcPr>
            <w:tcW w:w="1630"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630"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1630"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1408"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4"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3038" w:type="dxa"/>
            <w:gridSpan w:val="2"/>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安装调试费</w:t>
            </w:r>
          </w:p>
        </w:tc>
        <w:tc>
          <w:tcPr>
            <w:tcW w:w="3038" w:type="dxa"/>
            <w:gridSpan w:val="2"/>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运杂费</w:t>
            </w:r>
          </w:p>
        </w:tc>
        <w:tc>
          <w:tcPr>
            <w:tcW w:w="3038" w:type="dxa"/>
            <w:gridSpan w:val="2"/>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3038" w:type="dxa"/>
            <w:gridSpan w:val="2"/>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w:t>
            </w:r>
          </w:p>
        </w:tc>
        <w:tc>
          <w:tcPr>
            <w:tcW w:w="3038" w:type="dxa"/>
            <w:gridSpan w:val="2"/>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ind w:firstLine="960" w:firstLineChars="400"/>
              <w:rPr>
                <w:rFonts w:ascii="仿宋" w:hAnsi="仿宋" w:eastAsia="仿宋" w:cs="仿宋"/>
                <w:color w:val="auto"/>
                <w:sz w:val="24"/>
              </w:rPr>
            </w:pPr>
            <w:r>
              <w:rPr>
                <w:rFonts w:hint="eastAsia" w:ascii="仿宋" w:hAnsi="仿宋" w:eastAsia="仿宋" w:cs="仿宋"/>
                <w:color w:val="auto"/>
                <w:sz w:val="24"/>
              </w:rPr>
              <w:t>其他</w:t>
            </w:r>
          </w:p>
        </w:tc>
        <w:tc>
          <w:tcPr>
            <w:tcW w:w="3038" w:type="dxa"/>
            <w:gridSpan w:val="2"/>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3" w:type="dxa"/>
            <w:tcBorders>
              <w:top w:val="single" w:color="auto" w:sz="4" w:space="0"/>
              <w:left w:val="single" w:color="auto" w:sz="12"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2821"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r>
              <w:rPr>
                <w:rFonts w:hint="eastAsia" w:ascii="仿宋" w:hAnsi="仿宋" w:eastAsia="仿宋" w:cs="仿宋"/>
                <w:color w:val="auto"/>
                <w:sz w:val="24"/>
              </w:rPr>
              <w:t>合计</w:t>
            </w:r>
          </w:p>
        </w:tc>
        <w:tc>
          <w:tcPr>
            <w:tcW w:w="3038" w:type="dxa"/>
            <w:gridSpan w:val="2"/>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tcPr>
          <w:p>
            <w:pPr>
              <w:pStyle w:val="725"/>
              <w:tabs>
                <w:tab w:val="left" w:pos="1337"/>
              </w:tabs>
              <w:spacing w:line="400" w:lineRule="exact"/>
              <w:jc w:val="center"/>
              <w:rPr>
                <w:rFonts w:ascii="仿宋" w:hAnsi="仿宋" w:eastAsia="仿宋" w:cs="仿宋"/>
                <w:color w:val="auto"/>
                <w:sz w:val="24"/>
              </w:rPr>
            </w:pPr>
          </w:p>
        </w:tc>
        <w:tc>
          <w:tcPr>
            <w:tcW w:w="955" w:type="dxa"/>
            <w:tcBorders>
              <w:top w:val="single" w:color="auto" w:sz="4" w:space="0"/>
              <w:left w:val="single" w:color="auto" w:sz="4" w:space="0"/>
              <w:bottom w:val="single" w:color="auto" w:sz="12" w:space="0"/>
              <w:right w:val="single" w:color="auto" w:sz="4" w:space="0"/>
            </w:tcBorders>
            <w:vAlign w:val="center"/>
          </w:tcPr>
          <w:p>
            <w:pPr>
              <w:pStyle w:val="725"/>
              <w:tabs>
                <w:tab w:val="left" w:pos="1337"/>
              </w:tabs>
              <w:spacing w:line="400" w:lineRule="exact"/>
              <w:jc w:val="center"/>
              <w:rPr>
                <w:rFonts w:ascii="仿宋" w:hAnsi="仿宋" w:eastAsia="仿宋" w:cs="仿宋"/>
                <w:color w:val="auto"/>
                <w:sz w:val="24"/>
              </w:rPr>
            </w:pPr>
          </w:p>
        </w:tc>
        <w:tc>
          <w:tcPr>
            <w:tcW w:w="1146" w:type="dxa"/>
            <w:tcBorders>
              <w:top w:val="single" w:color="auto" w:sz="4" w:space="0"/>
              <w:left w:val="single" w:color="auto" w:sz="4" w:space="0"/>
              <w:bottom w:val="single" w:color="auto" w:sz="12" w:space="0"/>
              <w:right w:val="single" w:color="auto" w:sz="12" w:space="0"/>
            </w:tcBorders>
            <w:vAlign w:val="center"/>
          </w:tcPr>
          <w:p>
            <w:pPr>
              <w:pStyle w:val="725"/>
              <w:tabs>
                <w:tab w:val="left" w:pos="1337"/>
              </w:tabs>
              <w:spacing w:line="400" w:lineRule="exact"/>
              <w:jc w:val="center"/>
              <w:rPr>
                <w:rFonts w:ascii="仿宋" w:hAnsi="仿宋" w:eastAsia="仿宋" w:cs="仿宋"/>
                <w:color w:val="auto"/>
                <w:sz w:val="24"/>
              </w:rPr>
            </w:pPr>
          </w:p>
        </w:tc>
      </w:tr>
    </w:tbl>
    <w:p>
      <w:pPr>
        <w:pStyle w:val="727"/>
        <w:tabs>
          <w:tab w:val="left" w:pos="420"/>
          <w:tab w:val="clear" w:pos="360"/>
        </w:tabs>
        <w:spacing w:line="400" w:lineRule="exact"/>
        <w:outlineLvl w:val="2"/>
        <w:rPr>
          <w:rFonts w:ascii="仿宋" w:hAnsi="仿宋" w:eastAsia="仿宋" w:cs="仿宋"/>
          <w:color w:val="auto"/>
        </w:rPr>
      </w:pPr>
    </w:p>
    <w:p>
      <w:pPr>
        <w:widowControl/>
        <w:spacing w:line="400" w:lineRule="exact"/>
        <w:ind w:firstLine="5400" w:firstLineChars="2250"/>
        <w:jc w:val="left"/>
        <w:rPr>
          <w:rFonts w:ascii="仿宋" w:hAnsi="仿宋" w:eastAsia="仿宋" w:cs="仿宋"/>
          <w:color w:val="auto"/>
          <w:sz w:val="24"/>
        </w:rPr>
      </w:pPr>
      <w:r>
        <w:rPr>
          <w:rFonts w:hint="eastAsia" w:ascii="仿宋" w:hAnsi="仿宋" w:eastAsia="仿宋" w:cs="仿宋"/>
          <w:color w:val="auto"/>
          <w:sz w:val="24"/>
        </w:rPr>
        <w:t>供应商（盖公章）：</w:t>
      </w:r>
    </w:p>
    <w:p>
      <w:pPr>
        <w:shd w:val="clear" w:color="auto" w:fill="FFFFFF"/>
        <w:tabs>
          <w:tab w:val="left" w:pos="3780"/>
        </w:tabs>
        <w:spacing w:line="400" w:lineRule="exact"/>
        <w:rPr>
          <w:rFonts w:ascii="仿宋" w:hAnsi="仿宋" w:eastAsia="仿宋" w:cs="仿宋"/>
          <w:color w:val="auto"/>
          <w:sz w:val="24"/>
        </w:rPr>
      </w:pPr>
      <w:r>
        <w:rPr>
          <w:rFonts w:hint="eastAsia" w:ascii="仿宋" w:hAnsi="仿宋" w:eastAsia="仿宋" w:cs="仿宋"/>
          <w:color w:val="auto"/>
          <w:sz w:val="24"/>
        </w:rPr>
        <w:t xml:space="preserve">                                             法定代表人（签字或签章）：</w:t>
      </w:r>
    </w:p>
    <w:p>
      <w:pPr>
        <w:shd w:val="clear" w:color="auto" w:fill="FFFFFF"/>
        <w:tabs>
          <w:tab w:val="left" w:pos="3780"/>
        </w:tabs>
        <w:spacing w:line="400" w:lineRule="exact"/>
        <w:rPr>
          <w:rFonts w:ascii="仿宋" w:hAnsi="仿宋" w:eastAsia="仿宋" w:cs="仿宋"/>
          <w:color w:val="auto"/>
          <w:sz w:val="24"/>
        </w:rPr>
      </w:pPr>
      <w:r>
        <w:rPr>
          <w:rFonts w:hint="eastAsia" w:ascii="仿宋" w:hAnsi="仿宋" w:eastAsia="仿宋" w:cs="仿宋"/>
          <w:color w:val="auto"/>
          <w:sz w:val="24"/>
        </w:rPr>
        <w:t xml:space="preserve">                                             授权代理人（签字或签章）：</w:t>
      </w:r>
    </w:p>
    <w:p>
      <w:pPr>
        <w:pStyle w:val="728"/>
        <w:spacing w:line="400" w:lineRule="exact"/>
        <w:rPr>
          <w:rFonts w:ascii="仿宋" w:hAnsi="仿宋" w:eastAsia="仿宋" w:cs="仿宋"/>
          <w:color w:val="auto"/>
          <w:sz w:val="24"/>
        </w:rPr>
      </w:pPr>
      <w:r>
        <w:rPr>
          <w:rFonts w:hint="eastAsia" w:ascii="仿宋" w:hAnsi="仿宋" w:eastAsia="仿宋" w:cs="仿宋"/>
          <w:color w:val="auto"/>
          <w:sz w:val="24"/>
        </w:rPr>
        <w:t xml:space="preserve">                                             日期： 年  月  日</w:t>
      </w:r>
    </w:p>
    <w:p>
      <w:pPr>
        <w:spacing w:line="400" w:lineRule="exact"/>
        <w:rPr>
          <w:rFonts w:ascii="仿宋" w:hAnsi="仿宋" w:eastAsia="仿宋" w:cs="仿宋"/>
          <w:color w:val="auto"/>
        </w:rPr>
      </w:pPr>
    </w:p>
    <w:sectPr>
      <w:footerReference r:id="rId5" w:type="first"/>
      <w:headerReference r:id="rId3" w:type="default"/>
      <w:footerReference r:id="rId4" w:type="default"/>
      <w:pgSz w:w="11906" w:h="16838"/>
      <w:pgMar w:top="1134" w:right="1134" w:bottom="1134" w:left="1134" w:header="703" w:footer="851"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D..">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Geneva">
    <w:altName w:val="Arial"/>
    <w:panose1 w:val="00000000000000000000"/>
    <w:charset w:val="00"/>
    <w:family w:val="swiss"/>
    <w:pitch w:val="default"/>
    <w:sig w:usb0="00000000" w:usb1="00000000" w:usb2="00000000" w:usb3="00000000" w:csb0="00000000" w:csb1="00000000"/>
  </w:font>
  <w:font w:name="Angsana New">
    <w:panose1 w:val="02020603050405020304"/>
    <w:charset w:val="00"/>
    <w:family w:val="roman"/>
    <w:pitch w:val="default"/>
    <w:sig w:usb0="81000003" w:usb1="00000000" w:usb2="00000000" w:usb3="00000000" w:csb0="00010001" w:csb1="00000000"/>
  </w:font>
  <w:font w:name="Arial Black">
    <w:panose1 w:val="020B0A04020102020204"/>
    <w:charset w:val="00"/>
    <w:family w:val="swiss"/>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6"/>
    </w:sdtPr>
    <w:sdtContent>
      <w:p>
        <w:pPr>
          <w:pStyle w:val="41"/>
          <w:pBdr>
            <w:top w:val="dashDotStroked" w:color="auto" w:sz="24" w:space="1"/>
          </w:pBdr>
          <w:jc w:val="center"/>
          <w:rPr>
            <w:rFonts w:ascii="宋体"/>
            <w:kern w:val="0"/>
            <w:sz w:val="20"/>
          </w:rPr>
        </w:pPr>
        <w:r>
          <w:rPr>
            <w:lang w:val="zh-CN"/>
          </w:rPr>
          <w:fldChar w:fldCharType="begin"/>
        </w:r>
        <w:r>
          <w:rPr>
            <w:lang w:val="zh-CN"/>
          </w:rPr>
          <w:instrText xml:space="preserve">PAGE   \* MERGEFORMAT</w:instrText>
        </w:r>
        <w:r>
          <w:rPr>
            <w:lang w:val="zh-CN"/>
          </w:rPr>
          <w:fldChar w:fldCharType="separate"/>
        </w:r>
        <w:r>
          <w:rPr>
            <w:lang w:val="zh-CN"/>
          </w:rPr>
          <w:t>-</w:t>
        </w:r>
        <w:r>
          <w:t xml:space="preserve"> 6 -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2517"/>
    </w:sdtPr>
    <w:sdtContent>
      <w:p>
        <w:pPr>
          <w:pStyle w:val="41"/>
          <w:jc w:val="center"/>
        </w:pPr>
        <w:r>
          <w:fldChar w:fldCharType="begin"/>
        </w:r>
        <w:r>
          <w:instrText xml:space="preserve">PAGE   \* MERGEFORMAT</w:instrText>
        </w:r>
        <w:r>
          <w:fldChar w:fldCharType="separate"/>
        </w:r>
        <w:r>
          <w:rPr>
            <w:lang w:val="zh-CN"/>
          </w:rPr>
          <w:t>2</w:t>
        </w:r>
        <w:r>
          <w:rPr>
            <w:lang w:val="zh-CN"/>
          </w:rPr>
          <w:fldChar w:fldCharType="end"/>
        </w:r>
      </w:p>
    </w:sdtContent>
  </w:sdt>
  <w:p>
    <w:pPr>
      <w:ind w:right="359" w:rightChars="171" w:firstLine="525" w:firstLineChars="25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dashDotStroked" w:color="auto" w:sz="24" w:space="0"/>
      </w:pBdr>
      <w:ind w:left="8035" w:hanging="8035" w:hangingChars="5000"/>
      <w:jc w:val="left"/>
      <w:rPr>
        <w:rFonts w:hint="default" w:ascii="仿宋_GB2312" w:eastAsia="仿宋_GB2312"/>
        <w:b/>
        <w:i/>
        <w:spacing w:val="-10"/>
        <w:lang w:val="en-US" w:eastAsia="zh-CN"/>
      </w:rPr>
    </w:pPr>
    <w:r>
      <w:rPr>
        <w:rFonts w:hint="eastAsia" w:ascii="仿宋_GB2312" w:eastAsia="仿宋_GB2312"/>
        <w:b/>
        <w:i/>
        <w:spacing w:val="-10"/>
      </w:rPr>
      <w:t>项目名称：奇台县基层医疗机构服务能力提升项目-特种技术用车采购                                          项目编号：2022PCGK120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0115B"/>
    <w:multiLevelType w:val="singleLevel"/>
    <w:tmpl w:val="F7C0115B"/>
    <w:lvl w:ilvl="0" w:tentative="0">
      <w:start w:val="2"/>
      <w:numFmt w:val="chineseCounting"/>
      <w:suff w:val="nothing"/>
      <w:lvlText w:val="%1、"/>
      <w:lvlJc w:val="left"/>
      <w:rPr>
        <w:rFonts w:hint="eastAsia"/>
      </w:rPr>
    </w:lvl>
  </w:abstractNum>
  <w:abstractNum w:abstractNumId="1">
    <w:nsid w:val="0EDB2900"/>
    <w:multiLevelType w:val="multilevel"/>
    <w:tmpl w:val="0EDB2900"/>
    <w:lvl w:ilvl="0" w:tentative="0">
      <w:start w:val="1"/>
      <w:numFmt w:val="bullet"/>
      <w:pStyle w:val="512"/>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
    <w:nsid w:val="11BF6E1B"/>
    <w:multiLevelType w:val="multilevel"/>
    <w:tmpl w:val="11BF6E1B"/>
    <w:lvl w:ilvl="0" w:tentative="0">
      <w:start w:val="1"/>
      <w:numFmt w:val="decimal"/>
      <w:pStyle w:val="152"/>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3">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8"/>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4">
    <w:nsid w:val="18232DD3"/>
    <w:multiLevelType w:val="singleLevel"/>
    <w:tmpl w:val="18232DD3"/>
    <w:lvl w:ilvl="0" w:tentative="0">
      <w:start w:val="1"/>
      <w:numFmt w:val="decimal"/>
      <w:pStyle w:val="509"/>
      <w:lvlText w:val="（%1）"/>
      <w:lvlJc w:val="left"/>
      <w:pPr>
        <w:tabs>
          <w:tab w:val="left" w:pos="1800"/>
        </w:tabs>
        <w:ind w:left="1800" w:hanging="900"/>
      </w:pPr>
      <w:rPr>
        <w:rFonts w:hint="eastAsia"/>
      </w:rPr>
    </w:lvl>
  </w:abstractNum>
  <w:abstractNum w:abstractNumId="5">
    <w:nsid w:val="20A10221"/>
    <w:multiLevelType w:val="multilevel"/>
    <w:tmpl w:val="20A10221"/>
    <w:lvl w:ilvl="0" w:tentative="0">
      <w:start w:val="1"/>
      <w:numFmt w:val="decimal"/>
      <w:pStyle w:val="216"/>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7727B63"/>
    <w:multiLevelType w:val="multilevel"/>
    <w:tmpl w:val="27727B63"/>
    <w:lvl w:ilvl="0" w:tentative="0">
      <w:start w:val="1"/>
      <w:numFmt w:val="bullet"/>
      <w:pStyle w:val="431"/>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F430D32"/>
    <w:multiLevelType w:val="multilevel"/>
    <w:tmpl w:val="4F430D32"/>
    <w:lvl w:ilvl="0" w:tentative="0">
      <w:start w:val="1"/>
      <w:numFmt w:val="decimal"/>
      <w:pStyle w:val="16"/>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8">
    <w:nsid w:val="5B6D3AF1"/>
    <w:multiLevelType w:val="multilevel"/>
    <w:tmpl w:val="5B6D3AF1"/>
    <w:lvl w:ilvl="0" w:tentative="0">
      <w:start w:val="1"/>
      <w:numFmt w:val="decimal"/>
      <w:pStyle w:val="587"/>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9">
    <w:nsid w:val="6E230785"/>
    <w:multiLevelType w:val="multilevel"/>
    <w:tmpl w:val="6E230785"/>
    <w:lvl w:ilvl="0" w:tentative="0">
      <w:start w:val="1"/>
      <w:numFmt w:val="bullet"/>
      <w:pStyle w:val="6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7E3B679F"/>
    <w:multiLevelType w:val="multilevel"/>
    <w:tmpl w:val="7E3B679F"/>
    <w:lvl w:ilvl="0" w:tentative="0">
      <w:start w:val="1"/>
      <w:numFmt w:val="chineseCountingThousand"/>
      <w:pStyle w:val="369"/>
      <w:lvlText w:val="%1."/>
      <w:lvlJc w:val="left"/>
      <w:pPr>
        <w:ind w:left="0" w:firstLine="0"/>
      </w:pPr>
      <w:rPr>
        <w:rFonts w:hint="default"/>
        <w:color w:val="auto"/>
        <w:sz w:val="44"/>
      </w:rPr>
    </w:lvl>
    <w:lvl w:ilvl="1" w:tentative="0">
      <w:start w:val="1"/>
      <w:numFmt w:val="decimal"/>
      <w:pStyle w:val="444"/>
      <w:lvlText w:val="%2"/>
      <w:lvlJc w:val="left"/>
      <w:pPr>
        <w:ind w:left="0" w:firstLine="0"/>
      </w:pPr>
      <w:rPr>
        <w:rFonts w:hint="eastAsia"/>
      </w:rPr>
    </w:lvl>
    <w:lvl w:ilvl="2" w:tentative="0">
      <w:start w:val="1"/>
      <w:numFmt w:val="decimal"/>
      <w:pStyle w:val="552"/>
      <w:lvlText w:val="%2.%3"/>
      <w:lvlJc w:val="left"/>
      <w:pPr>
        <w:ind w:left="0" w:firstLine="0"/>
      </w:pPr>
      <w:rPr>
        <w:rFonts w:hint="eastAsia"/>
      </w:rPr>
    </w:lvl>
    <w:lvl w:ilvl="3" w:tentative="0">
      <w:start w:val="1"/>
      <w:numFmt w:val="decimal"/>
      <w:pStyle w:val="182"/>
      <w:lvlText w:val="%2.%3.%4"/>
      <w:lvlJc w:val="left"/>
      <w:pPr>
        <w:ind w:left="0" w:firstLine="0"/>
      </w:pPr>
      <w:rPr>
        <w:rFonts w:hint="eastAsia"/>
      </w:rPr>
    </w:lvl>
    <w:lvl w:ilvl="4" w:tentative="0">
      <w:start w:val="1"/>
      <w:numFmt w:val="decimal"/>
      <w:pStyle w:val="619"/>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7"/>
  </w:num>
  <w:num w:numId="2">
    <w:abstractNumId w:val="2"/>
  </w:num>
  <w:num w:numId="3">
    <w:abstractNumId w:val="10"/>
  </w:num>
  <w:num w:numId="4">
    <w:abstractNumId w:val="5"/>
  </w:num>
  <w:num w:numId="5">
    <w:abstractNumId w:val="6"/>
  </w:num>
  <w:num w:numId="6">
    <w:abstractNumId w:val="3"/>
  </w:num>
  <w:num w:numId="7">
    <w:abstractNumId w:val="4"/>
  </w:num>
  <w:num w:numId="8">
    <w:abstractNumId w:val="1"/>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hideSpellingErrors/>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4NDM5MzU2MzNlZjk2YWM1YWViNThhNDhlYzgzNGIifQ=="/>
  </w:docVars>
  <w:rsids>
    <w:rsidRoot w:val="00FD0709"/>
    <w:rsid w:val="00000648"/>
    <w:rsid w:val="0000080C"/>
    <w:rsid w:val="0000164C"/>
    <w:rsid w:val="00001AA4"/>
    <w:rsid w:val="00001B99"/>
    <w:rsid w:val="0000219E"/>
    <w:rsid w:val="000026E1"/>
    <w:rsid w:val="00002A72"/>
    <w:rsid w:val="00002D0A"/>
    <w:rsid w:val="00003069"/>
    <w:rsid w:val="0000431D"/>
    <w:rsid w:val="00004BCF"/>
    <w:rsid w:val="00005500"/>
    <w:rsid w:val="00005717"/>
    <w:rsid w:val="00005A0B"/>
    <w:rsid w:val="00006FF4"/>
    <w:rsid w:val="0000744F"/>
    <w:rsid w:val="00007E6D"/>
    <w:rsid w:val="000100D7"/>
    <w:rsid w:val="00010470"/>
    <w:rsid w:val="00010A5F"/>
    <w:rsid w:val="00010CE3"/>
    <w:rsid w:val="00010DF2"/>
    <w:rsid w:val="00012264"/>
    <w:rsid w:val="00012804"/>
    <w:rsid w:val="00013694"/>
    <w:rsid w:val="000137EC"/>
    <w:rsid w:val="00013833"/>
    <w:rsid w:val="000138DF"/>
    <w:rsid w:val="00013ECD"/>
    <w:rsid w:val="000140FD"/>
    <w:rsid w:val="0001535B"/>
    <w:rsid w:val="00015E47"/>
    <w:rsid w:val="0001650D"/>
    <w:rsid w:val="00016860"/>
    <w:rsid w:val="00016944"/>
    <w:rsid w:val="00016A4D"/>
    <w:rsid w:val="0001711C"/>
    <w:rsid w:val="00017BA7"/>
    <w:rsid w:val="00020677"/>
    <w:rsid w:val="00020F51"/>
    <w:rsid w:val="0002167A"/>
    <w:rsid w:val="00022976"/>
    <w:rsid w:val="000235E9"/>
    <w:rsid w:val="00023E07"/>
    <w:rsid w:val="0002451A"/>
    <w:rsid w:val="0002579A"/>
    <w:rsid w:val="00025802"/>
    <w:rsid w:val="00026643"/>
    <w:rsid w:val="00027213"/>
    <w:rsid w:val="000275F5"/>
    <w:rsid w:val="0003038B"/>
    <w:rsid w:val="00030458"/>
    <w:rsid w:val="0003049C"/>
    <w:rsid w:val="00030940"/>
    <w:rsid w:val="00032460"/>
    <w:rsid w:val="00032774"/>
    <w:rsid w:val="00033651"/>
    <w:rsid w:val="0003443B"/>
    <w:rsid w:val="00034C64"/>
    <w:rsid w:val="00035989"/>
    <w:rsid w:val="000361E1"/>
    <w:rsid w:val="00036619"/>
    <w:rsid w:val="00036F43"/>
    <w:rsid w:val="00037038"/>
    <w:rsid w:val="000375B1"/>
    <w:rsid w:val="000377AC"/>
    <w:rsid w:val="000379CC"/>
    <w:rsid w:val="000403B6"/>
    <w:rsid w:val="000417C3"/>
    <w:rsid w:val="00043FB9"/>
    <w:rsid w:val="00044931"/>
    <w:rsid w:val="00045C26"/>
    <w:rsid w:val="00047062"/>
    <w:rsid w:val="00047090"/>
    <w:rsid w:val="0005094C"/>
    <w:rsid w:val="00050D70"/>
    <w:rsid w:val="000514DA"/>
    <w:rsid w:val="00051B60"/>
    <w:rsid w:val="0005275C"/>
    <w:rsid w:val="00052D90"/>
    <w:rsid w:val="000530B5"/>
    <w:rsid w:val="00053BB2"/>
    <w:rsid w:val="000541EF"/>
    <w:rsid w:val="0005746D"/>
    <w:rsid w:val="000578E2"/>
    <w:rsid w:val="00057BEC"/>
    <w:rsid w:val="00057CEE"/>
    <w:rsid w:val="00060599"/>
    <w:rsid w:val="000615F7"/>
    <w:rsid w:val="00061754"/>
    <w:rsid w:val="00061E49"/>
    <w:rsid w:val="00063463"/>
    <w:rsid w:val="00063EE6"/>
    <w:rsid w:val="00064BD4"/>
    <w:rsid w:val="0006630D"/>
    <w:rsid w:val="000668C3"/>
    <w:rsid w:val="00066E3F"/>
    <w:rsid w:val="000676B4"/>
    <w:rsid w:val="00070238"/>
    <w:rsid w:val="000706EA"/>
    <w:rsid w:val="0007120E"/>
    <w:rsid w:val="0007149E"/>
    <w:rsid w:val="00071CDF"/>
    <w:rsid w:val="000720DB"/>
    <w:rsid w:val="000725C8"/>
    <w:rsid w:val="00072985"/>
    <w:rsid w:val="00072BD7"/>
    <w:rsid w:val="00073D89"/>
    <w:rsid w:val="00073E8E"/>
    <w:rsid w:val="000749E7"/>
    <w:rsid w:val="000768DC"/>
    <w:rsid w:val="00080194"/>
    <w:rsid w:val="000819A1"/>
    <w:rsid w:val="000827AD"/>
    <w:rsid w:val="00082E4F"/>
    <w:rsid w:val="000830A7"/>
    <w:rsid w:val="000832A1"/>
    <w:rsid w:val="0008382F"/>
    <w:rsid w:val="00083B2D"/>
    <w:rsid w:val="000856EF"/>
    <w:rsid w:val="00085DC8"/>
    <w:rsid w:val="00085FAD"/>
    <w:rsid w:val="000864B0"/>
    <w:rsid w:val="000867C7"/>
    <w:rsid w:val="00086C8A"/>
    <w:rsid w:val="00087B69"/>
    <w:rsid w:val="00087F9F"/>
    <w:rsid w:val="00090C73"/>
    <w:rsid w:val="00091F91"/>
    <w:rsid w:val="000935A4"/>
    <w:rsid w:val="0009387E"/>
    <w:rsid w:val="0009396F"/>
    <w:rsid w:val="00093D4C"/>
    <w:rsid w:val="00094064"/>
    <w:rsid w:val="000947F1"/>
    <w:rsid w:val="000949E6"/>
    <w:rsid w:val="00094C95"/>
    <w:rsid w:val="0009593D"/>
    <w:rsid w:val="00095994"/>
    <w:rsid w:val="00095EAE"/>
    <w:rsid w:val="000973D4"/>
    <w:rsid w:val="000A08F8"/>
    <w:rsid w:val="000A11E5"/>
    <w:rsid w:val="000A1504"/>
    <w:rsid w:val="000A4BCB"/>
    <w:rsid w:val="000A5AE9"/>
    <w:rsid w:val="000A6391"/>
    <w:rsid w:val="000A7A93"/>
    <w:rsid w:val="000B0216"/>
    <w:rsid w:val="000B0279"/>
    <w:rsid w:val="000B0851"/>
    <w:rsid w:val="000B0960"/>
    <w:rsid w:val="000B1BB8"/>
    <w:rsid w:val="000B1CC4"/>
    <w:rsid w:val="000B35E1"/>
    <w:rsid w:val="000B389A"/>
    <w:rsid w:val="000B443C"/>
    <w:rsid w:val="000B4FE9"/>
    <w:rsid w:val="000B55BC"/>
    <w:rsid w:val="000B60AE"/>
    <w:rsid w:val="000B6137"/>
    <w:rsid w:val="000B65B8"/>
    <w:rsid w:val="000B6AF4"/>
    <w:rsid w:val="000C0AA0"/>
    <w:rsid w:val="000C1377"/>
    <w:rsid w:val="000C17B0"/>
    <w:rsid w:val="000C247F"/>
    <w:rsid w:val="000C2CB4"/>
    <w:rsid w:val="000C3057"/>
    <w:rsid w:val="000C4110"/>
    <w:rsid w:val="000C41EA"/>
    <w:rsid w:val="000C4B6C"/>
    <w:rsid w:val="000C4D44"/>
    <w:rsid w:val="000C686C"/>
    <w:rsid w:val="000C7336"/>
    <w:rsid w:val="000C7574"/>
    <w:rsid w:val="000D00C8"/>
    <w:rsid w:val="000D0BBC"/>
    <w:rsid w:val="000D0F31"/>
    <w:rsid w:val="000D1353"/>
    <w:rsid w:val="000D153C"/>
    <w:rsid w:val="000D17BA"/>
    <w:rsid w:val="000D1DBA"/>
    <w:rsid w:val="000D1DDD"/>
    <w:rsid w:val="000D2311"/>
    <w:rsid w:val="000D2A54"/>
    <w:rsid w:val="000D2FEE"/>
    <w:rsid w:val="000D328F"/>
    <w:rsid w:val="000D33F8"/>
    <w:rsid w:val="000D45E2"/>
    <w:rsid w:val="000D5976"/>
    <w:rsid w:val="000D5FBA"/>
    <w:rsid w:val="000D62DA"/>
    <w:rsid w:val="000D6A10"/>
    <w:rsid w:val="000D7D03"/>
    <w:rsid w:val="000E01A4"/>
    <w:rsid w:val="000E01BB"/>
    <w:rsid w:val="000E0C38"/>
    <w:rsid w:val="000E0FEE"/>
    <w:rsid w:val="000E17A6"/>
    <w:rsid w:val="000E1875"/>
    <w:rsid w:val="000E1A89"/>
    <w:rsid w:val="000E2A07"/>
    <w:rsid w:val="000E36DE"/>
    <w:rsid w:val="000E5C89"/>
    <w:rsid w:val="000E63FF"/>
    <w:rsid w:val="000E7B08"/>
    <w:rsid w:val="000E7B96"/>
    <w:rsid w:val="000E7BEE"/>
    <w:rsid w:val="000E7DEA"/>
    <w:rsid w:val="000E7EAF"/>
    <w:rsid w:val="000E7F1E"/>
    <w:rsid w:val="000F0017"/>
    <w:rsid w:val="000F01D5"/>
    <w:rsid w:val="000F0549"/>
    <w:rsid w:val="000F1ED1"/>
    <w:rsid w:val="000F2021"/>
    <w:rsid w:val="000F21E5"/>
    <w:rsid w:val="000F24BF"/>
    <w:rsid w:val="000F2A62"/>
    <w:rsid w:val="000F39A1"/>
    <w:rsid w:val="000F3F24"/>
    <w:rsid w:val="000F44AE"/>
    <w:rsid w:val="000F48B9"/>
    <w:rsid w:val="000F4FDE"/>
    <w:rsid w:val="000F515E"/>
    <w:rsid w:val="000F5230"/>
    <w:rsid w:val="000F55CE"/>
    <w:rsid w:val="000F5A98"/>
    <w:rsid w:val="000F5C32"/>
    <w:rsid w:val="000F5C69"/>
    <w:rsid w:val="000F5CB8"/>
    <w:rsid w:val="000F6D58"/>
    <w:rsid w:val="00100EF6"/>
    <w:rsid w:val="00101022"/>
    <w:rsid w:val="00101550"/>
    <w:rsid w:val="001016C6"/>
    <w:rsid w:val="00101A88"/>
    <w:rsid w:val="00103C81"/>
    <w:rsid w:val="00104153"/>
    <w:rsid w:val="0010489E"/>
    <w:rsid w:val="00104B84"/>
    <w:rsid w:val="001056FC"/>
    <w:rsid w:val="001069F0"/>
    <w:rsid w:val="0011054A"/>
    <w:rsid w:val="001113CC"/>
    <w:rsid w:val="001118E4"/>
    <w:rsid w:val="00112782"/>
    <w:rsid w:val="00113994"/>
    <w:rsid w:val="00113D6F"/>
    <w:rsid w:val="00113FC6"/>
    <w:rsid w:val="00114616"/>
    <w:rsid w:val="001154EA"/>
    <w:rsid w:val="00115817"/>
    <w:rsid w:val="00115CAE"/>
    <w:rsid w:val="00116620"/>
    <w:rsid w:val="0011671D"/>
    <w:rsid w:val="001205DF"/>
    <w:rsid w:val="00120DC2"/>
    <w:rsid w:val="00120EB2"/>
    <w:rsid w:val="00121314"/>
    <w:rsid w:val="001217D2"/>
    <w:rsid w:val="00122B8B"/>
    <w:rsid w:val="001236B1"/>
    <w:rsid w:val="00124AC7"/>
    <w:rsid w:val="00124DF5"/>
    <w:rsid w:val="00124F6E"/>
    <w:rsid w:val="00125E8C"/>
    <w:rsid w:val="00126796"/>
    <w:rsid w:val="00127E92"/>
    <w:rsid w:val="00130176"/>
    <w:rsid w:val="00130A54"/>
    <w:rsid w:val="00130C2C"/>
    <w:rsid w:val="00130D97"/>
    <w:rsid w:val="00130EE4"/>
    <w:rsid w:val="00130FD7"/>
    <w:rsid w:val="00131CC8"/>
    <w:rsid w:val="00132E8E"/>
    <w:rsid w:val="00133161"/>
    <w:rsid w:val="001331DD"/>
    <w:rsid w:val="0013329C"/>
    <w:rsid w:val="001332D6"/>
    <w:rsid w:val="00133537"/>
    <w:rsid w:val="00133BBE"/>
    <w:rsid w:val="00133D43"/>
    <w:rsid w:val="00137242"/>
    <w:rsid w:val="00140987"/>
    <w:rsid w:val="00141351"/>
    <w:rsid w:val="00142ED9"/>
    <w:rsid w:val="001432C0"/>
    <w:rsid w:val="001434FF"/>
    <w:rsid w:val="00143BE1"/>
    <w:rsid w:val="00144F52"/>
    <w:rsid w:val="00145344"/>
    <w:rsid w:val="0014543A"/>
    <w:rsid w:val="00145484"/>
    <w:rsid w:val="00145632"/>
    <w:rsid w:val="001468EF"/>
    <w:rsid w:val="00150704"/>
    <w:rsid w:val="00150ECD"/>
    <w:rsid w:val="00153ED1"/>
    <w:rsid w:val="00154367"/>
    <w:rsid w:val="001544B2"/>
    <w:rsid w:val="00154A90"/>
    <w:rsid w:val="001553B5"/>
    <w:rsid w:val="001556E9"/>
    <w:rsid w:val="001559C2"/>
    <w:rsid w:val="00155A2F"/>
    <w:rsid w:val="0015642B"/>
    <w:rsid w:val="001568D4"/>
    <w:rsid w:val="00157E9E"/>
    <w:rsid w:val="00160BC8"/>
    <w:rsid w:val="00160FC2"/>
    <w:rsid w:val="00161870"/>
    <w:rsid w:val="00161B20"/>
    <w:rsid w:val="0016302E"/>
    <w:rsid w:val="0016347D"/>
    <w:rsid w:val="00163499"/>
    <w:rsid w:val="00163CF4"/>
    <w:rsid w:val="001642B0"/>
    <w:rsid w:val="001647B3"/>
    <w:rsid w:val="00165A93"/>
    <w:rsid w:val="00165B6E"/>
    <w:rsid w:val="00166129"/>
    <w:rsid w:val="00166271"/>
    <w:rsid w:val="00166EAA"/>
    <w:rsid w:val="00166EDE"/>
    <w:rsid w:val="00167210"/>
    <w:rsid w:val="0016731F"/>
    <w:rsid w:val="00167E2A"/>
    <w:rsid w:val="00167EFB"/>
    <w:rsid w:val="00170781"/>
    <w:rsid w:val="00171434"/>
    <w:rsid w:val="00171B3E"/>
    <w:rsid w:val="00171C3E"/>
    <w:rsid w:val="00172069"/>
    <w:rsid w:val="00173868"/>
    <w:rsid w:val="00173D3B"/>
    <w:rsid w:val="00175964"/>
    <w:rsid w:val="00175FB4"/>
    <w:rsid w:val="001762E9"/>
    <w:rsid w:val="00176468"/>
    <w:rsid w:val="00177106"/>
    <w:rsid w:val="00177D68"/>
    <w:rsid w:val="00180752"/>
    <w:rsid w:val="00180985"/>
    <w:rsid w:val="00180C8F"/>
    <w:rsid w:val="00181A29"/>
    <w:rsid w:val="00182166"/>
    <w:rsid w:val="00182460"/>
    <w:rsid w:val="00182627"/>
    <w:rsid w:val="0018262A"/>
    <w:rsid w:val="00183396"/>
    <w:rsid w:val="00183D54"/>
    <w:rsid w:val="00183F5E"/>
    <w:rsid w:val="00183FEA"/>
    <w:rsid w:val="00184397"/>
    <w:rsid w:val="001846AE"/>
    <w:rsid w:val="00185020"/>
    <w:rsid w:val="00185166"/>
    <w:rsid w:val="00185451"/>
    <w:rsid w:val="00185BA7"/>
    <w:rsid w:val="0018784A"/>
    <w:rsid w:val="00190DC4"/>
    <w:rsid w:val="00191383"/>
    <w:rsid w:val="0019173B"/>
    <w:rsid w:val="00191C0B"/>
    <w:rsid w:val="00192678"/>
    <w:rsid w:val="001928E7"/>
    <w:rsid w:val="001940A1"/>
    <w:rsid w:val="001951C1"/>
    <w:rsid w:val="00195330"/>
    <w:rsid w:val="001954B8"/>
    <w:rsid w:val="0019588D"/>
    <w:rsid w:val="0019638F"/>
    <w:rsid w:val="00196965"/>
    <w:rsid w:val="00196CB7"/>
    <w:rsid w:val="00197210"/>
    <w:rsid w:val="0019721D"/>
    <w:rsid w:val="001978EC"/>
    <w:rsid w:val="00197C2E"/>
    <w:rsid w:val="001A0940"/>
    <w:rsid w:val="001A0ADD"/>
    <w:rsid w:val="001A0C26"/>
    <w:rsid w:val="001A1572"/>
    <w:rsid w:val="001A21F1"/>
    <w:rsid w:val="001A2869"/>
    <w:rsid w:val="001A376D"/>
    <w:rsid w:val="001A4876"/>
    <w:rsid w:val="001A4BED"/>
    <w:rsid w:val="001A4F84"/>
    <w:rsid w:val="001A5CF0"/>
    <w:rsid w:val="001A60A6"/>
    <w:rsid w:val="001A60D0"/>
    <w:rsid w:val="001A6DED"/>
    <w:rsid w:val="001B0101"/>
    <w:rsid w:val="001B083D"/>
    <w:rsid w:val="001B0B4B"/>
    <w:rsid w:val="001B0D17"/>
    <w:rsid w:val="001B0E63"/>
    <w:rsid w:val="001B0E64"/>
    <w:rsid w:val="001B1F23"/>
    <w:rsid w:val="001B3C6F"/>
    <w:rsid w:val="001B5117"/>
    <w:rsid w:val="001B60B0"/>
    <w:rsid w:val="001B658F"/>
    <w:rsid w:val="001B6602"/>
    <w:rsid w:val="001B6CA7"/>
    <w:rsid w:val="001B712A"/>
    <w:rsid w:val="001B7540"/>
    <w:rsid w:val="001B7743"/>
    <w:rsid w:val="001C01C7"/>
    <w:rsid w:val="001C0200"/>
    <w:rsid w:val="001C061F"/>
    <w:rsid w:val="001C0C8A"/>
    <w:rsid w:val="001C117B"/>
    <w:rsid w:val="001C18D9"/>
    <w:rsid w:val="001C2501"/>
    <w:rsid w:val="001C2C9A"/>
    <w:rsid w:val="001C314A"/>
    <w:rsid w:val="001C34CD"/>
    <w:rsid w:val="001C39B1"/>
    <w:rsid w:val="001C3E0F"/>
    <w:rsid w:val="001C43D3"/>
    <w:rsid w:val="001C511F"/>
    <w:rsid w:val="001C56DD"/>
    <w:rsid w:val="001C5BFB"/>
    <w:rsid w:val="001C70FD"/>
    <w:rsid w:val="001C73C0"/>
    <w:rsid w:val="001C7D63"/>
    <w:rsid w:val="001D016E"/>
    <w:rsid w:val="001D0F23"/>
    <w:rsid w:val="001D1082"/>
    <w:rsid w:val="001D1A2A"/>
    <w:rsid w:val="001D21B6"/>
    <w:rsid w:val="001D350E"/>
    <w:rsid w:val="001D3C2F"/>
    <w:rsid w:val="001D4490"/>
    <w:rsid w:val="001D5068"/>
    <w:rsid w:val="001D5360"/>
    <w:rsid w:val="001D62DB"/>
    <w:rsid w:val="001D7D3E"/>
    <w:rsid w:val="001D7DA5"/>
    <w:rsid w:val="001E0506"/>
    <w:rsid w:val="001E0698"/>
    <w:rsid w:val="001E1C7E"/>
    <w:rsid w:val="001E2B77"/>
    <w:rsid w:val="001E30E6"/>
    <w:rsid w:val="001E3B18"/>
    <w:rsid w:val="001E3C3E"/>
    <w:rsid w:val="001E3C81"/>
    <w:rsid w:val="001E52A9"/>
    <w:rsid w:val="001E6CA5"/>
    <w:rsid w:val="001E6EED"/>
    <w:rsid w:val="001E6FAE"/>
    <w:rsid w:val="001E7078"/>
    <w:rsid w:val="001E75C1"/>
    <w:rsid w:val="001E7944"/>
    <w:rsid w:val="001E7D66"/>
    <w:rsid w:val="001F041F"/>
    <w:rsid w:val="001F14F5"/>
    <w:rsid w:val="001F1743"/>
    <w:rsid w:val="001F1CAC"/>
    <w:rsid w:val="001F1E17"/>
    <w:rsid w:val="001F1F1D"/>
    <w:rsid w:val="001F2419"/>
    <w:rsid w:val="001F4381"/>
    <w:rsid w:val="001F479E"/>
    <w:rsid w:val="001F47BB"/>
    <w:rsid w:val="001F5134"/>
    <w:rsid w:val="001F5141"/>
    <w:rsid w:val="001F55A0"/>
    <w:rsid w:val="001F697E"/>
    <w:rsid w:val="001F76F6"/>
    <w:rsid w:val="002002FE"/>
    <w:rsid w:val="00200E97"/>
    <w:rsid w:val="002018C8"/>
    <w:rsid w:val="00201F6C"/>
    <w:rsid w:val="002023C2"/>
    <w:rsid w:val="00202657"/>
    <w:rsid w:val="002033CE"/>
    <w:rsid w:val="002044E0"/>
    <w:rsid w:val="0020489B"/>
    <w:rsid w:val="00204AE6"/>
    <w:rsid w:val="00204D42"/>
    <w:rsid w:val="002053A0"/>
    <w:rsid w:val="00206433"/>
    <w:rsid w:val="00206AD9"/>
    <w:rsid w:val="00206AE0"/>
    <w:rsid w:val="00206B08"/>
    <w:rsid w:val="002073D9"/>
    <w:rsid w:val="00207FD5"/>
    <w:rsid w:val="002100AB"/>
    <w:rsid w:val="002101AD"/>
    <w:rsid w:val="00211D5D"/>
    <w:rsid w:val="00212407"/>
    <w:rsid w:val="00213954"/>
    <w:rsid w:val="0021398C"/>
    <w:rsid w:val="00213A06"/>
    <w:rsid w:val="00213DFD"/>
    <w:rsid w:val="00214146"/>
    <w:rsid w:val="002146A5"/>
    <w:rsid w:val="00214D2C"/>
    <w:rsid w:val="00215669"/>
    <w:rsid w:val="00215A2E"/>
    <w:rsid w:val="00215B0C"/>
    <w:rsid w:val="00215CD4"/>
    <w:rsid w:val="002170E1"/>
    <w:rsid w:val="002171B9"/>
    <w:rsid w:val="00217408"/>
    <w:rsid w:val="00217E4B"/>
    <w:rsid w:val="002200D7"/>
    <w:rsid w:val="00220300"/>
    <w:rsid w:val="00221059"/>
    <w:rsid w:val="00221080"/>
    <w:rsid w:val="00222A25"/>
    <w:rsid w:val="00223158"/>
    <w:rsid w:val="002242AF"/>
    <w:rsid w:val="00225746"/>
    <w:rsid w:val="00225955"/>
    <w:rsid w:val="002264D5"/>
    <w:rsid w:val="0022690C"/>
    <w:rsid w:val="00227189"/>
    <w:rsid w:val="0022730E"/>
    <w:rsid w:val="00227B79"/>
    <w:rsid w:val="002300C6"/>
    <w:rsid w:val="002300E1"/>
    <w:rsid w:val="002304B6"/>
    <w:rsid w:val="0023271B"/>
    <w:rsid w:val="0023299B"/>
    <w:rsid w:val="00234304"/>
    <w:rsid w:val="0023463B"/>
    <w:rsid w:val="00234EF7"/>
    <w:rsid w:val="002355FD"/>
    <w:rsid w:val="00236104"/>
    <w:rsid w:val="00236554"/>
    <w:rsid w:val="00236D55"/>
    <w:rsid w:val="002372F4"/>
    <w:rsid w:val="00237A0B"/>
    <w:rsid w:val="00237D96"/>
    <w:rsid w:val="00240846"/>
    <w:rsid w:val="002408A3"/>
    <w:rsid w:val="002409E6"/>
    <w:rsid w:val="00240AEE"/>
    <w:rsid w:val="00240E9B"/>
    <w:rsid w:val="00240F2E"/>
    <w:rsid w:val="0024226A"/>
    <w:rsid w:val="00243238"/>
    <w:rsid w:val="00243E03"/>
    <w:rsid w:val="00244EE6"/>
    <w:rsid w:val="00245A2D"/>
    <w:rsid w:val="002461BB"/>
    <w:rsid w:val="002462FB"/>
    <w:rsid w:val="00247398"/>
    <w:rsid w:val="00247E6B"/>
    <w:rsid w:val="002502A5"/>
    <w:rsid w:val="002518C1"/>
    <w:rsid w:val="0025226C"/>
    <w:rsid w:val="002534DA"/>
    <w:rsid w:val="002535F1"/>
    <w:rsid w:val="002538DB"/>
    <w:rsid w:val="00253BBF"/>
    <w:rsid w:val="00253D4C"/>
    <w:rsid w:val="0025421B"/>
    <w:rsid w:val="00255643"/>
    <w:rsid w:val="00255B81"/>
    <w:rsid w:val="00255F3F"/>
    <w:rsid w:val="00256867"/>
    <w:rsid w:val="00257B49"/>
    <w:rsid w:val="00260254"/>
    <w:rsid w:val="0026029F"/>
    <w:rsid w:val="002602F3"/>
    <w:rsid w:val="0026031A"/>
    <w:rsid w:val="00262276"/>
    <w:rsid w:val="00262BE9"/>
    <w:rsid w:val="00263B7D"/>
    <w:rsid w:val="00263C3B"/>
    <w:rsid w:val="002647DC"/>
    <w:rsid w:val="00264859"/>
    <w:rsid w:val="00264BB5"/>
    <w:rsid w:val="00264E05"/>
    <w:rsid w:val="00265D0B"/>
    <w:rsid w:val="002661E8"/>
    <w:rsid w:val="00266402"/>
    <w:rsid w:val="0027015E"/>
    <w:rsid w:val="002702FD"/>
    <w:rsid w:val="00271231"/>
    <w:rsid w:val="002733E2"/>
    <w:rsid w:val="00273D1C"/>
    <w:rsid w:val="00273FC8"/>
    <w:rsid w:val="00274244"/>
    <w:rsid w:val="00274336"/>
    <w:rsid w:val="00275893"/>
    <w:rsid w:val="002759A1"/>
    <w:rsid w:val="00275A59"/>
    <w:rsid w:val="0027680C"/>
    <w:rsid w:val="0027703F"/>
    <w:rsid w:val="0027776E"/>
    <w:rsid w:val="002808D0"/>
    <w:rsid w:val="00280A1F"/>
    <w:rsid w:val="00281080"/>
    <w:rsid w:val="00281642"/>
    <w:rsid w:val="00282325"/>
    <w:rsid w:val="00282DD6"/>
    <w:rsid w:val="0028304F"/>
    <w:rsid w:val="00283395"/>
    <w:rsid w:val="002842CD"/>
    <w:rsid w:val="00284834"/>
    <w:rsid w:val="002855C9"/>
    <w:rsid w:val="00285AD9"/>
    <w:rsid w:val="00285C1B"/>
    <w:rsid w:val="00286273"/>
    <w:rsid w:val="00286A37"/>
    <w:rsid w:val="00286B65"/>
    <w:rsid w:val="00287035"/>
    <w:rsid w:val="00287BB1"/>
    <w:rsid w:val="002904AC"/>
    <w:rsid w:val="002904CD"/>
    <w:rsid w:val="002905DB"/>
    <w:rsid w:val="00290CFC"/>
    <w:rsid w:val="0029159D"/>
    <w:rsid w:val="002921F2"/>
    <w:rsid w:val="00292652"/>
    <w:rsid w:val="0029268A"/>
    <w:rsid w:val="00292798"/>
    <w:rsid w:val="00292A77"/>
    <w:rsid w:val="00292D52"/>
    <w:rsid w:val="00293B6A"/>
    <w:rsid w:val="00293B80"/>
    <w:rsid w:val="00294E8F"/>
    <w:rsid w:val="00297364"/>
    <w:rsid w:val="00297F03"/>
    <w:rsid w:val="002A00AA"/>
    <w:rsid w:val="002A1234"/>
    <w:rsid w:val="002A252A"/>
    <w:rsid w:val="002A2BAB"/>
    <w:rsid w:val="002A3040"/>
    <w:rsid w:val="002A3742"/>
    <w:rsid w:val="002A4141"/>
    <w:rsid w:val="002A4CDC"/>
    <w:rsid w:val="002A4E2D"/>
    <w:rsid w:val="002A50A2"/>
    <w:rsid w:val="002A51B0"/>
    <w:rsid w:val="002A5B04"/>
    <w:rsid w:val="002A6138"/>
    <w:rsid w:val="002A6614"/>
    <w:rsid w:val="002A71EF"/>
    <w:rsid w:val="002A73B4"/>
    <w:rsid w:val="002A77C3"/>
    <w:rsid w:val="002A781B"/>
    <w:rsid w:val="002A7872"/>
    <w:rsid w:val="002B0CB5"/>
    <w:rsid w:val="002B23DF"/>
    <w:rsid w:val="002B28E5"/>
    <w:rsid w:val="002B32EF"/>
    <w:rsid w:val="002B48B5"/>
    <w:rsid w:val="002B599D"/>
    <w:rsid w:val="002B6902"/>
    <w:rsid w:val="002C036A"/>
    <w:rsid w:val="002C0420"/>
    <w:rsid w:val="002C1B5E"/>
    <w:rsid w:val="002C2460"/>
    <w:rsid w:val="002C267E"/>
    <w:rsid w:val="002C2CAE"/>
    <w:rsid w:val="002C2D41"/>
    <w:rsid w:val="002C2E16"/>
    <w:rsid w:val="002C40EE"/>
    <w:rsid w:val="002C4E05"/>
    <w:rsid w:val="002C5358"/>
    <w:rsid w:val="002C55A1"/>
    <w:rsid w:val="002C57C0"/>
    <w:rsid w:val="002C6353"/>
    <w:rsid w:val="002C6C9C"/>
    <w:rsid w:val="002C6E0E"/>
    <w:rsid w:val="002C73F8"/>
    <w:rsid w:val="002C7882"/>
    <w:rsid w:val="002C7925"/>
    <w:rsid w:val="002C7C8A"/>
    <w:rsid w:val="002D04A9"/>
    <w:rsid w:val="002D0838"/>
    <w:rsid w:val="002D10EF"/>
    <w:rsid w:val="002D1E9D"/>
    <w:rsid w:val="002D202F"/>
    <w:rsid w:val="002D2237"/>
    <w:rsid w:val="002D45BD"/>
    <w:rsid w:val="002D4962"/>
    <w:rsid w:val="002D497C"/>
    <w:rsid w:val="002D4C47"/>
    <w:rsid w:val="002D4DB5"/>
    <w:rsid w:val="002D5E3D"/>
    <w:rsid w:val="002D6698"/>
    <w:rsid w:val="002D677D"/>
    <w:rsid w:val="002D6B8E"/>
    <w:rsid w:val="002D6BAB"/>
    <w:rsid w:val="002D6F03"/>
    <w:rsid w:val="002D771E"/>
    <w:rsid w:val="002D7F2F"/>
    <w:rsid w:val="002E0426"/>
    <w:rsid w:val="002E04EA"/>
    <w:rsid w:val="002E2F97"/>
    <w:rsid w:val="002E39AA"/>
    <w:rsid w:val="002E3AA7"/>
    <w:rsid w:val="002E3F83"/>
    <w:rsid w:val="002E44F0"/>
    <w:rsid w:val="002E4561"/>
    <w:rsid w:val="002E4D99"/>
    <w:rsid w:val="002E5584"/>
    <w:rsid w:val="002E59FB"/>
    <w:rsid w:val="002E5E93"/>
    <w:rsid w:val="002E6613"/>
    <w:rsid w:val="002E6BE7"/>
    <w:rsid w:val="002F12CB"/>
    <w:rsid w:val="002F14EF"/>
    <w:rsid w:val="002F1841"/>
    <w:rsid w:val="002F1ECD"/>
    <w:rsid w:val="002F1F29"/>
    <w:rsid w:val="002F2D18"/>
    <w:rsid w:val="002F33C5"/>
    <w:rsid w:val="002F3591"/>
    <w:rsid w:val="002F447B"/>
    <w:rsid w:val="002F5998"/>
    <w:rsid w:val="002F636D"/>
    <w:rsid w:val="002F716B"/>
    <w:rsid w:val="002F7AAB"/>
    <w:rsid w:val="003001D4"/>
    <w:rsid w:val="00300597"/>
    <w:rsid w:val="00300818"/>
    <w:rsid w:val="0030090B"/>
    <w:rsid w:val="00300CD2"/>
    <w:rsid w:val="00300D89"/>
    <w:rsid w:val="00300F32"/>
    <w:rsid w:val="0030104F"/>
    <w:rsid w:val="003018A4"/>
    <w:rsid w:val="00302A92"/>
    <w:rsid w:val="00304499"/>
    <w:rsid w:val="00304743"/>
    <w:rsid w:val="00305902"/>
    <w:rsid w:val="00305D3D"/>
    <w:rsid w:val="00305F28"/>
    <w:rsid w:val="00306284"/>
    <w:rsid w:val="00307F1D"/>
    <w:rsid w:val="00310468"/>
    <w:rsid w:val="00310747"/>
    <w:rsid w:val="00310AED"/>
    <w:rsid w:val="00310EBF"/>
    <w:rsid w:val="00311536"/>
    <w:rsid w:val="003118BE"/>
    <w:rsid w:val="00312026"/>
    <w:rsid w:val="00313AC0"/>
    <w:rsid w:val="00313E14"/>
    <w:rsid w:val="00314B05"/>
    <w:rsid w:val="0031502D"/>
    <w:rsid w:val="003152BB"/>
    <w:rsid w:val="00316286"/>
    <w:rsid w:val="003168AA"/>
    <w:rsid w:val="00316A7C"/>
    <w:rsid w:val="00316B20"/>
    <w:rsid w:val="003177F5"/>
    <w:rsid w:val="003178F5"/>
    <w:rsid w:val="0032015D"/>
    <w:rsid w:val="003202AC"/>
    <w:rsid w:val="00320A3A"/>
    <w:rsid w:val="00321082"/>
    <w:rsid w:val="003217E4"/>
    <w:rsid w:val="003219B3"/>
    <w:rsid w:val="003222CC"/>
    <w:rsid w:val="00322655"/>
    <w:rsid w:val="00322D37"/>
    <w:rsid w:val="00323301"/>
    <w:rsid w:val="0032377B"/>
    <w:rsid w:val="00323E35"/>
    <w:rsid w:val="00325545"/>
    <w:rsid w:val="0032560B"/>
    <w:rsid w:val="003258EB"/>
    <w:rsid w:val="00325C94"/>
    <w:rsid w:val="003260AA"/>
    <w:rsid w:val="0032665D"/>
    <w:rsid w:val="00327A9E"/>
    <w:rsid w:val="0033006C"/>
    <w:rsid w:val="003301D7"/>
    <w:rsid w:val="0033185A"/>
    <w:rsid w:val="00331D65"/>
    <w:rsid w:val="0033221F"/>
    <w:rsid w:val="0033224C"/>
    <w:rsid w:val="00332671"/>
    <w:rsid w:val="003330D8"/>
    <w:rsid w:val="00333F73"/>
    <w:rsid w:val="00334415"/>
    <w:rsid w:val="0033443D"/>
    <w:rsid w:val="00334BDE"/>
    <w:rsid w:val="00335527"/>
    <w:rsid w:val="0033652A"/>
    <w:rsid w:val="0033684E"/>
    <w:rsid w:val="00337C72"/>
    <w:rsid w:val="00340540"/>
    <w:rsid w:val="0034083D"/>
    <w:rsid w:val="00340E71"/>
    <w:rsid w:val="003427B0"/>
    <w:rsid w:val="003434F3"/>
    <w:rsid w:val="00343B84"/>
    <w:rsid w:val="00343D31"/>
    <w:rsid w:val="00344709"/>
    <w:rsid w:val="00345C11"/>
    <w:rsid w:val="00345C36"/>
    <w:rsid w:val="00347271"/>
    <w:rsid w:val="00347EE8"/>
    <w:rsid w:val="00350D46"/>
    <w:rsid w:val="0035106E"/>
    <w:rsid w:val="00351466"/>
    <w:rsid w:val="003519D2"/>
    <w:rsid w:val="00352751"/>
    <w:rsid w:val="0035398F"/>
    <w:rsid w:val="00353BBA"/>
    <w:rsid w:val="00353E82"/>
    <w:rsid w:val="00354000"/>
    <w:rsid w:val="0035427B"/>
    <w:rsid w:val="003542A3"/>
    <w:rsid w:val="00354EB6"/>
    <w:rsid w:val="003553C2"/>
    <w:rsid w:val="00355FB8"/>
    <w:rsid w:val="00356492"/>
    <w:rsid w:val="0035663B"/>
    <w:rsid w:val="00356678"/>
    <w:rsid w:val="0035733A"/>
    <w:rsid w:val="00360511"/>
    <w:rsid w:val="00360984"/>
    <w:rsid w:val="00361DD3"/>
    <w:rsid w:val="00361E00"/>
    <w:rsid w:val="0036239E"/>
    <w:rsid w:val="003624DB"/>
    <w:rsid w:val="003628D5"/>
    <w:rsid w:val="0036358E"/>
    <w:rsid w:val="00364897"/>
    <w:rsid w:val="003648F9"/>
    <w:rsid w:val="00364B80"/>
    <w:rsid w:val="0036598D"/>
    <w:rsid w:val="00366369"/>
    <w:rsid w:val="00366C68"/>
    <w:rsid w:val="00370035"/>
    <w:rsid w:val="0037021C"/>
    <w:rsid w:val="0037040A"/>
    <w:rsid w:val="003708B2"/>
    <w:rsid w:val="00372B75"/>
    <w:rsid w:val="00373D60"/>
    <w:rsid w:val="003747F2"/>
    <w:rsid w:val="00375220"/>
    <w:rsid w:val="00375B5F"/>
    <w:rsid w:val="00376710"/>
    <w:rsid w:val="00376E96"/>
    <w:rsid w:val="00377B7A"/>
    <w:rsid w:val="00377E03"/>
    <w:rsid w:val="00377EED"/>
    <w:rsid w:val="00381183"/>
    <w:rsid w:val="003814C9"/>
    <w:rsid w:val="003815EF"/>
    <w:rsid w:val="00381EE6"/>
    <w:rsid w:val="00381F0E"/>
    <w:rsid w:val="00382ACB"/>
    <w:rsid w:val="0038312F"/>
    <w:rsid w:val="0038351C"/>
    <w:rsid w:val="00383B15"/>
    <w:rsid w:val="00383E41"/>
    <w:rsid w:val="00383FBB"/>
    <w:rsid w:val="0038413D"/>
    <w:rsid w:val="003865AB"/>
    <w:rsid w:val="00386ECF"/>
    <w:rsid w:val="00390808"/>
    <w:rsid w:val="00391116"/>
    <w:rsid w:val="00391287"/>
    <w:rsid w:val="00391FE4"/>
    <w:rsid w:val="00392004"/>
    <w:rsid w:val="003931C6"/>
    <w:rsid w:val="00393710"/>
    <w:rsid w:val="00394135"/>
    <w:rsid w:val="0039461B"/>
    <w:rsid w:val="00395268"/>
    <w:rsid w:val="003955FA"/>
    <w:rsid w:val="00395B8D"/>
    <w:rsid w:val="003964B3"/>
    <w:rsid w:val="00396967"/>
    <w:rsid w:val="00396A15"/>
    <w:rsid w:val="003973FB"/>
    <w:rsid w:val="003A079F"/>
    <w:rsid w:val="003A0A12"/>
    <w:rsid w:val="003A1430"/>
    <w:rsid w:val="003A206B"/>
    <w:rsid w:val="003A23B0"/>
    <w:rsid w:val="003A2BF6"/>
    <w:rsid w:val="003A438A"/>
    <w:rsid w:val="003A46F1"/>
    <w:rsid w:val="003A5CC6"/>
    <w:rsid w:val="003A6ABA"/>
    <w:rsid w:val="003A6F45"/>
    <w:rsid w:val="003A7A5A"/>
    <w:rsid w:val="003A7DF2"/>
    <w:rsid w:val="003A7E56"/>
    <w:rsid w:val="003B0F3E"/>
    <w:rsid w:val="003B23B7"/>
    <w:rsid w:val="003B2DA2"/>
    <w:rsid w:val="003B2FB3"/>
    <w:rsid w:val="003B2FC7"/>
    <w:rsid w:val="003B301A"/>
    <w:rsid w:val="003B331E"/>
    <w:rsid w:val="003B332C"/>
    <w:rsid w:val="003B38B2"/>
    <w:rsid w:val="003B41AE"/>
    <w:rsid w:val="003B44C4"/>
    <w:rsid w:val="003B48EB"/>
    <w:rsid w:val="003B558C"/>
    <w:rsid w:val="003B577A"/>
    <w:rsid w:val="003B6B07"/>
    <w:rsid w:val="003B76FD"/>
    <w:rsid w:val="003B7829"/>
    <w:rsid w:val="003C00A6"/>
    <w:rsid w:val="003C099E"/>
    <w:rsid w:val="003C0B78"/>
    <w:rsid w:val="003C101A"/>
    <w:rsid w:val="003C1115"/>
    <w:rsid w:val="003C2039"/>
    <w:rsid w:val="003C23EB"/>
    <w:rsid w:val="003C2522"/>
    <w:rsid w:val="003C2BA5"/>
    <w:rsid w:val="003C300B"/>
    <w:rsid w:val="003C3FE6"/>
    <w:rsid w:val="003C47D4"/>
    <w:rsid w:val="003C4C07"/>
    <w:rsid w:val="003C6265"/>
    <w:rsid w:val="003C772D"/>
    <w:rsid w:val="003C7863"/>
    <w:rsid w:val="003C7927"/>
    <w:rsid w:val="003D0B9A"/>
    <w:rsid w:val="003D2B14"/>
    <w:rsid w:val="003D35DA"/>
    <w:rsid w:val="003D5BBD"/>
    <w:rsid w:val="003D5C0A"/>
    <w:rsid w:val="003D5DA2"/>
    <w:rsid w:val="003D6B87"/>
    <w:rsid w:val="003E0BF7"/>
    <w:rsid w:val="003E0C04"/>
    <w:rsid w:val="003E0F8F"/>
    <w:rsid w:val="003E1671"/>
    <w:rsid w:val="003E2868"/>
    <w:rsid w:val="003E2A93"/>
    <w:rsid w:val="003E2C24"/>
    <w:rsid w:val="003E2D2D"/>
    <w:rsid w:val="003E2EC5"/>
    <w:rsid w:val="003E308B"/>
    <w:rsid w:val="003E38D1"/>
    <w:rsid w:val="003E49DE"/>
    <w:rsid w:val="003E4B39"/>
    <w:rsid w:val="003E4EE4"/>
    <w:rsid w:val="003E63CA"/>
    <w:rsid w:val="003E75C5"/>
    <w:rsid w:val="003E7A81"/>
    <w:rsid w:val="003E7C0D"/>
    <w:rsid w:val="003F0019"/>
    <w:rsid w:val="003F03A3"/>
    <w:rsid w:val="003F09F9"/>
    <w:rsid w:val="003F0CD9"/>
    <w:rsid w:val="003F126A"/>
    <w:rsid w:val="003F27FB"/>
    <w:rsid w:val="003F6B77"/>
    <w:rsid w:val="003F6B94"/>
    <w:rsid w:val="003F6F2C"/>
    <w:rsid w:val="003F741F"/>
    <w:rsid w:val="0040081C"/>
    <w:rsid w:val="004008E8"/>
    <w:rsid w:val="00400A47"/>
    <w:rsid w:val="00400AE5"/>
    <w:rsid w:val="00401DD7"/>
    <w:rsid w:val="00402950"/>
    <w:rsid w:val="004036F7"/>
    <w:rsid w:val="00403FCE"/>
    <w:rsid w:val="004045E9"/>
    <w:rsid w:val="00404750"/>
    <w:rsid w:val="004051F2"/>
    <w:rsid w:val="0040629E"/>
    <w:rsid w:val="004065D0"/>
    <w:rsid w:val="00406E46"/>
    <w:rsid w:val="004078E9"/>
    <w:rsid w:val="0040797A"/>
    <w:rsid w:val="00410048"/>
    <w:rsid w:val="00410249"/>
    <w:rsid w:val="004103F1"/>
    <w:rsid w:val="00410E53"/>
    <w:rsid w:val="00411266"/>
    <w:rsid w:val="00411A15"/>
    <w:rsid w:val="00411B23"/>
    <w:rsid w:val="00411DDB"/>
    <w:rsid w:val="0041301B"/>
    <w:rsid w:val="00413318"/>
    <w:rsid w:val="004156A0"/>
    <w:rsid w:val="004157A2"/>
    <w:rsid w:val="00416611"/>
    <w:rsid w:val="00416693"/>
    <w:rsid w:val="004166B0"/>
    <w:rsid w:val="00416C81"/>
    <w:rsid w:val="00417192"/>
    <w:rsid w:val="00420BC5"/>
    <w:rsid w:val="004219D0"/>
    <w:rsid w:val="00421A40"/>
    <w:rsid w:val="00421FDC"/>
    <w:rsid w:val="00422195"/>
    <w:rsid w:val="004222B8"/>
    <w:rsid w:val="00422838"/>
    <w:rsid w:val="00422CCB"/>
    <w:rsid w:val="00423B7E"/>
    <w:rsid w:val="00423BDD"/>
    <w:rsid w:val="00424482"/>
    <w:rsid w:val="00424792"/>
    <w:rsid w:val="004249EF"/>
    <w:rsid w:val="00424D06"/>
    <w:rsid w:val="00425A04"/>
    <w:rsid w:val="00426118"/>
    <w:rsid w:val="004268E8"/>
    <w:rsid w:val="0042696B"/>
    <w:rsid w:val="00426DEC"/>
    <w:rsid w:val="0042740F"/>
    <w:rsid w:val="004276B7"/>
    <w:rsid w:val="004300CC"/>
    <w:rsid w:val="0043076C"/>
    <w:rsid w:val="00430F0A"/>
    <w:rsid w:val="00430F55"/>
    <w:rsid w:val="0043118F"/>
    <w:rsid w:val="0043126D"/>
    <w:rsid w:val="00431433"/>
    <w:rsid w:val="004320D0"/>
    <w:rsid w:val="00432277"/>
    <w:rsid w:val="00432A96"/>
    <w:rsid w:val="00432EAC"/>
    <w:rsid w:val="00433182"/>
    <w:rsid w:val="00433FA9"/>
    <w:rsid w:val="00434585"/>
    <w:rsid w:val="00434F7B"/>
    <w:rsid w:val="00435002"/>
    <w:rsid w:val="00435A13"/>
    <w:rsid w:val="00435A8E"/>
    <w:rsid w:val="004374EC"/>
    <w:rsid w:val="004377CE"/>
    <w:rsid w:val="00437B62"/>
    <w:rsid w:val="00437BB3"/>
    <w:rsid w:val="0044034D"/>
    <w:rsid w:val="00441705"/>
    <w:rsid w:val="0044204F"/>
    <w:rsid w:val="0044241A"/>
    <w:rsid w:val="00442A7C"/>
    <w:rsid w:val="00442C72"/>
    <w:rsid w:val="0044337C"/>
    <w:rsid w:val="00444302"/>
    <w:rsid w:val="00444698"/>
    <w:rsid w:val="00444883"/>
    <w:rsid w:val="00444F07"/>
    <w:rsid w:val="004453F3"/>
    <w:rsid w:val="0044548E"/>
    <w:rsid w:val="004458A7"/>
    <w:rsid w:val="00446FA1"/>
    <w:rsid w:val="00447EF9"/>
    <w:rsid w:val="004500B3"/>
    <w:rsid w:val="0045092E"/>
    <w:rsid w:val="00450C2E"/>
    <w:rsid w:val="00451077"/>
    <w:rsid w:val="00451487"/>
    <w:rsid w:val="004516B0"/>
    <w:rsid w:val="004523B6"/>
    <w:rsid w:val="00452447"/>
    <w:rsid w:val="00453D86"/>
    <w:rsid w:val="00455075"/>
    <w:rsid w:val="0045580F"/>
    <w:rsid w:val="00456E66"/>
    <w:rsid w:val="00457053"/>
    <w:rsid w:val="00457BB1"/>
    <w:rsid w:val="004607AA"/>
    <w:rsid w:val="00460D17"/>
    <w:rsid w:val="00461271"/>
    <w:rsid w:val="004614C1"/>
    <w:rsid w:val="004614FF"/>
    <w:rsid w:val="004617AE"/>
    <w:rsid w:val="004627AC"/>
    <w:rsid w:val="00463915"/>
    <w:rsid w:val="00463E53"/>
    <w:rsid w:val="00463E99"/>
    <w:rsid w:val="00464063"/>
    <w:rsid w:val="00464AB6"/>
    <w:rsid w:val="0046590F"/>
    <w:rsid w:val="00465A3C"/>
    <w:rsid w:val="00465B24"/>
    <w:rsid w:val="00465CA8"/>
    <w:rsid w:val="0046679E"/>
    <w:rsid w:val="00466F41"/>
    <w:rsid w:val="004703C0"/>
    <w:rsid w:val="00470A1F"/>
    <w:rsid w:val="00471124"/>
    <w:rsid w:val="0047180E"/>
    <w:rsid w:val="00471B14"/>
    <w:rsid w:val="00471F44"/>
    <w:rsid w:val="0047245F"/>
    <w:rsid w:val="00472BB5"/>
    <w:rsid w:val="00473AB2"/>
    <w:rsid w:val="00473C94"/>
    <w:rsid w:val="004744DB"/>
    <w:rsid w:val="00474FFF"/>
    <w:rsid w:val="004753F9"/>
    <w:rsid w:val="0047721E"/>
    <w:rsid w:val="004777C7"/>
    <w:rsid w:val="00477B51"/>
    <w:rsid w:val="004800CD"/>
    <w:rsid w:val="00480923"/>
    <w:rsid w:val="00481E4C"/>
    <w:rsid w:val="00482160"/>
    <w:rsid w:val="00482A52"/>
    <w:rsid w:val="00482D5E"/>
    <w:rsid w:val="00482EA9"/>
    <w:rsid w:val="00483137"/>
    <w:rsid w:val="0048315F"/>
    <w:rsid w:val="00483FE0"/>
    <w:rsid w:val="004851A7"/>
    <w:rsid w:val="00485D02"/>
    <w:rsid w:val="004867CB"/>
    <w:rsid w:val="00486A0D"/>
    <w:rsid w:val="00486B88"/>
    <w:rsid w:val="00486EB8"/>
    <w:rsid w:val="00487892"/>
    <w:rsid w:val="00487AE6"/>
    <w:rsid w:val="00490A17"/>
    <w:rsid w:val="0049127E"/>
    <w:rsid w:val="00491495"/>
    <w:rsid w:val="004914DE"/>
    <w:rsid w:val="0049159E"/>
    <w:rsid w:val="00491EF6"/>
    <w:rsid w:val="00491F25"/>
    <w:rsid w:val="00492206"/>
    <w:rsid w:val="00492661"/>
    <w:rsid w:val="00492A0C"/>
    <w:rsid w:val="004933EE"/>
    <w:rsid w:val="004936EA"/>
    <w:rsid w:val="00495508"/>
    <w:rsid w:val="004959BA"/>
    <w:rsid w:val="00495EFF"/>
    <w:rsid w:val="00495F27"/>
    <w:rsid w:val="004964B2"/>
    <w:rsid w:val="004966DC"/>
    <w:rsid w:val="004967A5"/>
    <w:rsid w:val="004979BF"/>
    <w:rsid w:val="00497F58"/>
    <w:rsid w:val="004A1A2C"/>
    <w:rsid w:val="004A20B5"/>
    <w:rsid w:val="004A349B"/>
    <w:rsid w:val="004A523B"/>
    <w:rsid w:val="004A6942"/>
    <w:rsid w:val="004A7346"/>
    <w:rsid w:val="004B091B"/>
    <w:rsid w:val="004B0ED2"/>
    <w:rsid w:val="004B0FAC"/>
    <w:rsid w:val="004B119F"/>
    <w:rsid w:val="004B11AD"/>
    <w:rsid w:val="004B24A8"/>
    <w:rsid w:val="004B275C"/>
    <w:rsid w:val="004B29B6"/>
    <w:rsid w:val="004B3B6C"/>
    <w:rsid w:val="004B4996"/>
    <w:rsid w:val="004B49D5"/>
    <w:rsid w:val="004B5490"/>
    <w:rsid w:val="004B5783"/>
    <w:rsid w:val="004B6B0C"/>
    <w:rsid w:val="004B6F9B"/>
    <w:rsid w:val="004C03D8"/>
    <w:rsid w:val="004C0BD6"/>
    <w:rsid w:val="004C0C50"/>
    <w:rsid w:val="004C138A"/>
    <w:rsid w:val="004C1E2F"/>
    <w:rsid w:val="004C2A5F"/>
    <w:rsid w:val="004C35C2"/>
    <w:rsid w:val="004C53E2"/>
    <w:rsid w:val="004C5482"/>
    <w:rsid w:val="004C557A"/>
    <w:rsid w:val="004C5DCA"/>
    <w:rsid w:val="004C6413"/>
    <w:rsid w:val="004C6EFE"/>
    <w:rsid w:val="004C6FE5"/>
    <w:rsid w:val="004C7207"/>
    <w:rsid w:val="004C7B8F"/>
    <w:rsid w:val="004D0CD6"/>
    <w:rsid w:val="004D1180"/>
    <w:rsid w:val="004D1D07"/>
    <w:rsid w:val="004D1F65"/>
    <w:rsid w:val="004D21BE"/>
    <w:rsid w:val="004D273B"/>
    <w:rsid w:val="004D2A5A"/>
    <w:rsid w:val="004D2B58"/>
    <w:rsid w:val="004D3418"/>
    <w:rsid w:val="004D35FF"/>
    <w:rsid w:val="004D3C14"/>
    <w:rsid w:val="004D3DA1"/>
    <w:rsid w:val="004D3EA1"/>
    <w:rsid w:val="004D3EE4"/>
    <w:rsid w:val="004D4C57"/>
    <w:rsid w:val="004D51C0"/>
    <w:rsid w:val="004D6E04"/>
    <w:rsid w:val="004D70E2"/>
    <w:rsid w:val="004E0585"/>
    <w:rsid w:val="004E075A"/>
    <w:rsid w:val="004E18B1"/>
    <w:rsid w:val="004E2018"/>
    <w:rsid w:val="004E210B"/>
    <w:rsid w:val="004E22C8"/>
    <w:rsid w:val="004E22EC"/>
    <w:rsid w:val="004E259D"/>
    <w:rsid w:val="004E4061"/>
    <w:rsid w:val="004E6128"/>
    <w:rsid w:val="004E7007"/>
    <w:rsid w:val="004E7B4F"/>
    <w:rsid w:val="004F0327"/>
    <w:rsid w:val="004F03A0"/>
    <w:rsid w:val="004F0439"/>
    <w:rsid w:val="004F0659"/>
    <w:rsid w:val="004F0C74"/>
    <w:rsid w:val="004F1317"/>
    <w:rsid w:val="004F17C2"/>
    <w:rsid w:val="004F221B"/>
    <w:rsid w:val="004F2725"/>
    <w:rsid w:val="004F2841"/>
    <w:rsid w:val="004F319E"/>
    <w:rsid w:val="004F3423"/>
    <w:rsid w:val="004F36CA"/>
    <w:rsid w:val="004F4037"/>
    <w:rsid w:val="004F4191"/>
    <w:rsid w:val="004F419E"/>
    <w:rsid w:val="004F457F"/>
    <w:rsid w:val="004F45E0"/>
    <w:rsid w:val="004F544A"/>
    <w:rsid w:val="004F55B9"/>
    <w:rsid w:val="004F6BF6"/>
    <w:rsid w:val="004F6E37"/>
    <w:rsid w:val="0050101E"/>
    <w:rsid w:val="005011D7"/>
    <w:rsid w:val="00501DBA"/>
    <w:rsid w:val="005030C9"/>
    <w:rsid w:val="005039A5"/>
    <w:rsid w:val="00504573"/>
    <w:rsid w:val="00504D4B"/>
    <w:rsid w:val="00504E35"/>
    <w:rsid w:val="005050D4"/>
    <w:rsid w:val="0050555E"/>
    <w:rsid w:val="005059A9"/>
    <w:rsid w:val="0050625A"/>
    <w:rsid w:val="005062D6"/>
    <w:rsid w:val="0050760B"/>
    <w:rsid w:val="00507A12"/>
    <w:rsid w:val="00507C25"/>
    <w:rsid w:val="00510977"/>
    <w:rsid w:val="005114E3"/>
    <w:rsid w:val="005116A5"/>
    <w:rsid w:val="00511FEB"/>
    <w:rsid w:val="00512800"/>
    <w:rsid w:val="005129EA"/>
    <w:rsid w:val="00512B83"/>
    <w:rsid w:val="00513037"/>
    <w:rsid w:val="005134C6"/>
    <w:rsid w:val="0051361F"/>
    <w:rsid w:val="00513F0A"/>
    <w:rsid w:val="005142BD"/>
    <w:rsid w:val="005146BF"/>
    <w:rsid w:val="005158C2"/>
    <w:rsid w:val="00515EDE"/>
    <w:rsid w:val="00516197"/>
    <w:rsid w:val="00516E14"/>
    <w:rsid w:val="00517126"/>
    <w:rsid w:val="00517351"/>
    <w:rsid w:val="00517455"/>
    <w:rsid w:val="0051792D"/>
    <w:rsid w:val="00517D08"/>
    <w:rsid w:val="00517DE1"/>
    <w:rsid w:val="00520387"/>
    <w:rsid w:val="00521E28"/>
    <w:rsid w:val="00521EED"/>
    <w:rsid w:val="005220C5"/>
    <w:rsid w:val="00522334"/>
    <w:rsid w:val="00522995"/>
    <w:rsid w:val="00522A08"/>
    <w:rsid w:val="005235D6"/>
    <w:rsid w:val="00523825"/>
    <w:rsid w:val="00523840"/>
    <w:rsid w:val="00523B97"/>
    <w:rsid w:val="005254F7"/>
    <w:rsid w:val="00525D08"/>
    <w:rsid w:val="00525F82"/>
    <w:rsid w:val="00526D07"/>
    <w:rsid w:val="0052722B"/>
    <w:rsid w:val="00527FA1"/>
    <w:rsid w:val="0053018F"/>
    <w:rsid w:val="00530293"/>
    <w:rsid w:val="0053034E"/>
    <w:rsid w:val="00531370"/>
    <w:rsid w:val="00531443"/>
    <w:rsid w:val="00531B35"/>
    <w:rsid w:val="00531DC2"/>
    <w:rsid w:val="00532BD1"/>
    <w:rsid w:val="00533623"/>
    <w:rsid w:val="00533BCF"/>
    <w:rsid w:val="00533C82"/>
    <w:rsid w:val="005344FC"/>
    <w:rsid w:val="0053463D"/>
    <w:rsid w:val="00535EFA"/>
    <w:rsid w:val="005362DD"/>
    <w:rsid w:val="005368DE"/>
    <w:rsid w:val="005400A2"/>
    <w:rsid w:val="005404BA"/>
    <w:rsid w:val="00540A53"/>
    <w:rsid w:val="00541041"/>
    <w:rsid w:val="00542C9C"/>
    <w:rsid w:val="0054374C"/>
    <w:rsid w:val="00543A81"/>
    <w:rsid w:val="00544CE1"/>
    <w:rsid w:val="005451A6"/>
    <w:rsid w:val="0054625A"/>
    <w:rsid w:val="00546C51"/>
    <w:rsid w:val="00546E75"/>
    <w:rsid w:val="00547395"/>
    <w:rsid w:val="005476FC"/>
    <w:rsid w:val="005479EA"/>
    <w:rsid w:val="00550637"/>
    <w:rsid w:val="00550732"/>
    <w:rsid w:val="00550752"/>
    <w:rsid w:val="005515E6"/>
    <w:rsid w:val="00551A4D"/>
    <w:rsid w:val="005522AE"/>
    <w:rsid w:val="0055290D"/>
    <w:rsid w:val="00552F63"/>
    <w:rsid w:val="00553567"/>
    <w:rsid w:val="005542D2"/>
    <w:rsid w:val="005543FF"/>
    <w:rsid w:val="005546DD"/>
    <w:rsid w:val="00555125"/>
    <w:rsid w:val="0055530F"/>
    <w:rsid w:val="00555376"/>
    <w:rsid w:val="00555BEA"/>
    <w:rsid w:val="00556CE5"/>
    <w:rsid w:val="00560C1A"/>
    <w:rsid w:val="005613DD"/>
    <w:rsid w:val="005613F3"/>
    <w:rsid w:val="00561932"/>
    <w:rsid w:val="00561CE4"/>
    <w:rsid w:val="00562BEB"/>
    <w:rsid w:val="00563762"/>
    <w:rsid w:val="00563935"/>
    <w:rsid w:val="00563B54"/>
    <w:rsid w:val="00565572"/>
    <w:rsid w:val="00565D73"/>
    <w:rsid w:val="00565F64"/>
    <w:rsid w:val="00565F7C"/>
    <w:rsid w:val="0056669E"/>
    <w:rsid w:val="005718F5"/>
    <w:rsid w:val="00572089"/>
    <w:rsid w:val="00574692"/>
    <w:rsid w:val="00574785"/>
    <w:rsid w:val="0057503C"/>
    <w:rsid w:val="00576078"/>
    <w:rsid w:val="00576534"/>
    <w:rsid w:val="00576688"/>
    <w:rsid w:val="005768D1"/>
    <w:rsid w:val="00576910"/>
    <w:rsid w:val="00576CE9"/>
    <w:rsid w:val="00577147"/>
    <w:rsid w:val="00577491"/>
    <w:rsid w:val="00577CAB"/>
    <w:rsid w:val="0058125D"/>
    <w:rsid w:val="00582C52"/>
    <w:rsid w:val="00582D5B"/>
    <w:rsid w:val="00583680"/>
    <w:rsid w:val="005837CE"/>
    <w:rsid w:val="00583F15"/>
    <w:rsid w:val="005846DA"/>
    <w:rsid w:val="0058526D"/>
    <w:rsid w:val="00585718"/>
    <w:rsid w:val="00586CF2"/>
    <w:rsid w:val="00586D7A"/>
    <w:rsid w:val="0058717C"/>
    <w:rsid w:val="005875A5"/>
    <w:rsid w:val="0058798B"/>
    <w:rsid w:val="00587EF8"/>
    <w:rsid w:val="005900AF"/>
    <w:rsid w:val="0059027E"/>
    <w:rsid w:val="0059055E"/>
    <w:rsid w:val="0059116B"/>
    <w:rsid w:val="005913F6"/>
    <w:rsid w:val="00591A62"/>
    <w:rsid w:val="00591CA1"/>
    <w:rsid w:val="00591EB1"/>
    <w:rsid w:val="00591FE6"/>
    <w:rsid w:val="005925F4"/>
    <w:rsid w:val="00593479"/>
    <w:rsid w:val="00593F20"/>
    <w:rsid w:val="00595D44"/>
    <w:rsid w:val="00596063"/>
    <w:rsid w:val="00596AA7"/>
    <w:rsid w:val="00596C4E"/>
    <w:rsid w:val="005973E2"/>
    <w:rsid w:val="00597E37"/>
    <w:rsid w:val="00597E85"/>
    <w:rsid w:val="00597EAC"/>
    <w:rsid w:val="005A136B"/>
    <w:rsid w:val="005A201D"/>
    <w:rsid w:val="005A2638"/>
    <w:rsid w:val="005A2C2A"/>
    <w:rsid w:val="005A31DD"/>
    <w:rsid w:val="005A35E0"/>
    <w:rsid w:val="005A43F2"/>
    <w:rsid w:val="005A458D"/>
    <w:rsid w:val="005A4E06"/>
    <w:rsid w:val="005A509E"/>
    <w:rsid w:val="005A664A"/>
    <w:rsid w:val="005A66A1"/>
    <w:rsid w:val="005A7418"/>
    <w:rsid w:val="005A7745"/>
    <w:rsid w:val="005B06CB"/>
    <w:rsid w:val="005B1E07"/>
    <w:rsid w:val="005B34DA"/>
    <w:rsid w:val="005B3922"/>
    <w:rsid w:val="005B4361"/>
    <w:rsid w:val="005B447F"/>
    <w:rsid w:val="005B4DAE"/>
    <w:rsid w:val="005B5992"/>
    <w:rsid w:val="005B6340"/>
    <w:rsid w:val="005B6848"/>
    <w:rsid w:val="005B6EF9"/>
    <w:rsid w:val="005B70C4"/>
    <w:rsid w:val="005B7AB8"/>
    <w:rsid w:val="005C0393"/>
    <w:rsid w:val="005C08D3"/>
    <w:rsid w:val="005C0B62"/>
    <w:rsid w:val="005C0DE9"/>
    <w:rsid w:val="005C19D3"/>
    <w:rsid w:val="005C2547"/>
    <w:rsid w:val="005C3531"/>
    <w:rsid w:val="005C4AC1"/>
    <w:rsid w:val="005C512D"/>
    <w:rsid w:val="005C53F4"/>
    <w:rsid w:val="005C5D45"/>
    <w:rsid w:val="005C6753"/>
    <w:rsid w:val="005C68B5"/>
    <w:rsid w:val="005C6A2A"/>
    <w:rsid w:val="005C6BF7"/>
    <w:rsid w:val="005C6F7A"/>
    <w:rsid w:val="005C7AA4"/>
    <w:rsid w:val="005C7F8D"/>
    <w:rsid w:val="005D0689"/>
    <w:rsid w:val="005D11BA"/>
    <w:rsid w:val="005D121B"/>
    <w:rsid w:val="005D196E"/>
    <w:rsid w:val="005D1CE3"/>
    <w:rsid w:val="005D260C"/>
    <w:rsid w:val="005D3073"/>
    <w:rsid w:val="005D3598"/>
    <w:rsid w:val="005D4161"/>
    <w:rsid w:val="005D42C9"/>
    <w:rsid w:val="005D448D"/>
    <w:rsid w:val="005D47E1"/>
    <w:rsid w:val="005D52B9"/>
    <w:rsid w:val="005D55BC"/>
    <w:rsid w:val="005D5D42"/>
    <w:rsid w:val="005D5DB7"/>
    <w:rsid w:val="005D668E"/>
    <w:rsid w:val="005D6D08"/>
    <w:rsid w:val="005D7136"/>
    <w:rsid w:val="005D7FEF"/>
    <w:rsid w:val="005E0D54"/>
    <w:rsid w:val="005E0F22"/>
    <w:rsid w:val="005E1CB0"/>
    <w:rsid w:val="005E2062"/>
    <w:rsid w:val="005E2B27"/>
    <w:rsid w:val="005E2D2D"/>
    <w:rsid w:val="005E3478"/>
    <w:rsid w:val="005E3805"/>
    <w:rsid w:val="005E391F"/>
    <w:rsid w:val="005E39CD"/>
    <w:rsid w:val="005E3E2C"/>
    <w:rsid w:val="005E493D"/>
    <w:rsid w:val="005E4B70"/>
    <w:rsid w:val="005E4B7C"/>
    <w:rsid w:val="005E528A"/>
    <w:rsid w:val="005E53A9"/>
    <w:rsid w:val="005E5FE8"/>
    <w:rsid w:val="005E67DB"/>
    <w:rsid w:val="005E6E41"/>
    <w:rsid w:val="005F03CB"/>
    <w:rsid w:val="005F04F3"/>
    <w:rsid w:val="005F09E0"/>
    <w:rsid w:val="005F0FD5"/>
    <w:rsid w:val="005F1786"/>
    <w:rsid w:val="005F3523"/>
    <w:rsid w:val="005F3E18"/>
    <w:rsid w:val="005F3FD8"/>
    <w:rsid w:val="005F4926"/>
    <w:rsid w:val="005F4D20"/>
    <w:rsid w:val="005F514B"/>
    <w:rsid w:val="005F5535"/>
    <w:rsid w:val="005F5AF0"/>
    <w:rsid w:val="005F6147"/>
    <w:rsid w:val="005F6FC1"/>
    <w:rsid w:val="005F7C0D"/>
    <w:rsid w:val="00600194"/>
    <w:rsid w:val="00600A30"/>
    <w:rsid w:val="00601B2E"/>
    <w:rsid w:val="00601B6C"/>
    <w:rsid w:val="00602004"/>
    <w:rsid w:val="006023A7"/>
    <w:rsid w:val="00602782"/>
    <w:rsid w:val="006027A4"/>
    <w:rsid w:val="00602CC3"/>
    <w:rsid w:val="00602F41"/>
    <w:rsid w:val="00603281"/>
    <w:rsid w:val="00603A7C"/>
    <w:rsid w:val="00603CBA"/>
    <w:rsid w:val="00603E2C"/>
    <w:rsid w:val="006040FD"/>
    <w:rsid w:val="0060419A"/>
    <w:rsid w:val="0060468A"/>
    <w:rsid w:val="00604DAB"/>
    <w:rsid w:val="00606BDD"/>
    <w:rsid w:val="00606D84"/>
    <w:rsid w:val="00607219"/>
    <w:rsid w:val="00610671"/>
    <w:rsid w:val="006109ED"/>
    <w:rsid w:val="006110EC"/>
    <w:rsid w:val="00611CB0"/>
    <w:rsid w:val="00611FD5"/>
    <w:rsid w:val="006120B9"/>
    <w:rsid w:val="006125F2"/>
    <w:rsid w:val="00612BB0"/>
    <w:rsid w:val="00612CB2"/>
    <w:rsid w:val="006156B8"/>
    <w:rsid w:val="006158F4"/>
    <w:rsid w:val="00615D3F"/>
    <w:rsid w:val="00615D72"/>
    <w:rsid w:val="00616052"/>
    <w:rsid w:val="00617785"/>
    <w:rsid w:val="00621254"/>
    <w:rsid w:val="00621379"/>
    <w:rsid w:val="00621532"/>
    <w:rsid w:val="00621679"/>
    <w:rsid w:val="0062390D"/>
    <w:rsid w:val="00623A18"/>
    <w:rsid w:val="00623A7D"/>
    <w:rsid w:val="00624458"/>
    <w:rsid w:val="00624FA7"/>
    <w:rsid w:val="00626338"/>
    <w:rsid w:val="006263B2"/>
    <w:rsid w:val="00626C50"/>
    <w:rsid w:val="00626D7E"/>
    <w:rsid w:val="00626E58"/>
    <w:rsid w:val="00627100"/>
    <w:rsid w:val="00627409"/>
    <w:rsid w:val="00627C51"/>
    <w:rsid w:val="006304CC"/>
    <w:rsid w:val="006309C7"/>
    <w:rsid w:val="00630A18"/>
    <w:rsid w:val="00632068"/>
    <w:rsid w:val="006328B3"/>
    <w:rsid w:val="00632F53"/>
    <w:rsid w:val="00634222"/>
    <w:rsid w:val="006342A6"/>
    <w:rsid w:val="006348E9"/>
    <w:rsid w:val="0063492C"/>
    <w:rsid w:val="00634ED9"/>
    <w:rsid w:val="006403F1"/>
    <w:rsid w:val="00640BB7"/>
    <w:rsid w:val="00640DBF"/>
    <w:rsid w:val="006415D1"/>
    <w:rsid w:val="0064169C"/>
    <w:rsid w:val="006416DA"/>
    <w:rsid w:val="006418D9"/>
    <w:rsid w:val="00642DDB"/>
    <w:rsid w:val="0064317F"/>
    <w:rsid w:val="006435E4"/>
    <w:rsid w:val="00643CA2"/>
    <w:rsid w:val="00644B4B"/>
    <w:rsid w:val="00645FE2"/>
    <w:rsid w:val="00646AF2"/>
    <w:rsid w:val="00647A9C"/>
    <w:rsid w:val="006504EC"/>
    <w:rsid w:val="00650E10"/>
    <w:rsid w:val="006515F1"/>
    <w:rsid w:val="00651B56"/>
    <w:rsid w:val="00652BEF"/>
    <w:rsid w:val="00652D7F"/>
    <w:rsid w:val="00653CE4"/>
    <w:rsid w:val="006544CF"/>
    <w:rsid w:val="00654A5D"/>
    <w:rsid w:val="00654C5E"/>
    <w:rsid w:val="006550B8"/>
    <w:rsid w:val="006562D5"/>
    <w:rsid w:val="006566E8"/>
    <w:rsid w:val="006567CA"/>
    <w:rsid w:val="006568C5"/>
    <w:rsid w:val="006573AD"/>
    <w:rsid w:val="00657899"/>
    <w:rsid w:val="006602D4"/>
    <w:rsid w:val="0066031A"/>
    <w:rsid w:val="00660ED4"/>
    <w:rsid w:val="006639C7"/>
    <w:rsid w:val="00663CD4"/>
    <w:rsid w:val="00663FAA"/>
    <w:rsid w:val="00663FF5"/>
    <w:rsid w:val="00664324"/>
    <w:rsid w:val="00664F1A"/>
    <w:rsid w:val="006650F8"/>
    <w:rsid w:val="0066563D"/>
    <w:rsid w:val="00665AE6"/>
    <w:rsid w:val="00665D19"/>
    <w:rsid w:val="00666109"/>
    <w:rsid w:val="006662E9"/>
    <w:rsid w:val="00666912"/>
    <w:rsid w:val="00666B79"/>
    <w:rsid w:val="006673C4"/>
    <w:rsid w:val="00667A25"/>
    <w:rsid w:val="00670805"/>
    <w:rsid w:val="00672059"/>
    <w:rsid w:val="006720D3"/>
    <w:rsid w:val="00672BEB"/>
    <w:rsid w:val="00673A37"/>
    <w:rsid w:val="00675263"/>
    <w:rsid w:val="006752F0"/>
    <w:rsid w:val="00675542"/>
    <w:rsid w:val="00675A96"/>
    <w:rsid w:val="00675C3A"/>
    <w:rsid w:val="00676091"/>
    <w:rsid w:val="006773E7"/>
    <w:rsid w:val="006778F6"/>
    <w:rsid w:val="00677B47"/>
    <w:rsid w:val="00680396"/>
    <w:rsid w:val="00680621"/>
    <w:rsid w:val="00680E87"/>
    <w:rsid w:val="00681351"/>
    <w:rsid w:val="0068149B"/>
    <w:rsid w:val="00681842"/>
    <w:rsid w:val="006819AF"/>
    <w:rsid w:val="006828AF"/>
    <w:rsid w:val="00682FA4"/>
    <w:rsid w:val="00683CAF"/>
    <w:rsid w:val="00684591"/>
    <w:rsid w:val="00684BFA"/>
    <w:rsid w:val="0068540A"/>
    <w:rsid w:val="00685579"/>
    <w:rsid w:val="006857CE"/>
    <w:rsid w:val="00686457"/>
    <w:rsid w:val="00686A37"/>
    <w:rsid w:val="00687145"/>
    <w:rsid w:val="00687172"/>
    <w:rsid w:val="006875B3"/>
    <w:rsid w:val="00687BDB"/>
    <w:rsid w:val="00687E38"/>
    <w:rsid w:val="00690CF0"/>
    <w:rsid w:val="006912B3"/>
    <w:rsid w:val="0069141B"/>
    <w:rsid w:val="00692978"/>
    <w:rsid w:val="00692E1B"/>
    <w:rsid w:val="00694640"/>
    <w:rsid w:val="0069491F"/>
    <w:rsid w:val="00694D25"/>
    <w:rsid w:val="00695680"/>
    <w:rsid w:val="006965CE"/>
    <w:rsid w:val="00697714"/>
    <w:rsid w:val="006978CA"/>
    <w:rsid w:val="00697A2E"/>
    <w:rsid w:val="006A0C5D"/>
    <w:rsid w:val="006A0F7B"/>
    <w:rsid w:val="006A20A5"/>
    <w:rsid w:val="006A2AED"/>
    <w:rsid w:val="006A3232"/>
    <w:rsid w:val="006A33E6"/>
    <w:rsid w:val="006A39BF"/>
    <w:rsid w:val="006A3B90"/>
    <w:rsid w:val="006A3C27"/>
    <w:rsid w:val="006A3E77"/>
    <w:rsid w:val="006A3EB9"/>
    <w:rsid w:val="006A3ECA"/>
    <w:rsid w:val="006A4358"/>
    <w:rsid w:val="006A4605"/>
    <w:rsid w:val="006A52B8"/>
    <w:rsid w:val="006A55A9"/>
    <w:rsid w:val="006A5B44"/>
    <w:rsid w:val="006A6178"/>
    <w:rsid w:val="006A6C83"/>
    <w:rsid w:val="006A6D8D"/>
    <w:rsid w:val="006A7504"/>
    <w:rsid w:val="006A7615"/>
    <w:rsid w:val="006A7A3D"/>
    <w:rsid w:val="006A7AF5"/>
    <w:rsid w:val="006B13AA"/>
    <w:rsid w:val="006B1E06"/>
    <w:rsid w:val="006B3EF6"/>
    <w:rsid w:val="006B47FC"/>
    <w:rsid w:val="006B5233"/>
    <w:rsid w:val="006B52B4"/>
    <w:rsid w:val="006B54FD"/>
    <w:rsid w:val="006B5582"/>
    <w:rsid w:val="006B5A93"/>
    <w:rsid w:val="006B5D4D"/>
    <w:rsid w:val="006B5EED"/>
    <w:rsid w:val="006B6CDD"/>
    <w:rsid w:val="006B7449"/>
    <w:rsid w:val="006B7CAC"/>
    <w:rsid w:val="006B7E1B"/>
    <w:rsid w:val="006C0FD4"/>
    <w:rsid w:val="006C106A"/>
    <w:rsid w:val="006C18BD"/>
    <w:rsid w:val="006C1C2A"/>
    <w:rsid w:val="006C2496"/>
    <w:rsid w:val="006C270D"/>
    <w:rsid w:val="006C31E0"/>
    <w:rsid w:val="006C3465"/>
    <w:rsid w:val="006C367B"/>
    <w:rsid w:val="006C38BA"/>
    <w:rsid w:val="006C3DB2"/>
    <w:rsid w:val="006C4196"/>
    <w:rsid w:val="006C4492"/>
    <w:rsid w:val="006C4B9E"/>
    <w:rsid w:val="006C5491"/>
    <w:rsid w:val="006C6387"/>
    <w:rsid w:val="006C6B28"/>
    <w:rsid w:val="006C71A6"/>
    <w:rsid w:val="006C73DA"/>
    <w:rsid w:val="006C752F"/>
    <w:rsid w:val="006C784B"/>
    <w:rsid w:val="006C79E3"/>
    <w:rsid w:val="006C7D99"/>
    <w:rsid w:val="006D0E56"/>
    <w:rsid w:val="006D105B"/>
    <w:rsid w:val="006D1F55"/>
    <w:rsid w:val="006D25F9"/>
    <w:rsid w:val="006D3810"/>
    <w:rsid w:val="006D39A7"/>
    <w:rsid w:val="006D4EEB"/>
    <w:rsid w:val="006D54DE"/>
    <w:rsid w:val="006D55A4"/>
    <w:rsid w:val="006D5F7D"/>
    <w:rsid w:val="006D62D7"/>
    <w:rsid w:val="006D6950"/>
    <w:rsid w:val="006D712B"/>
    <w:rsid w:val="006E01BF"/>
    <w:rsid w:val="006E0896"/>
    <w:rsid w:val="006E0B7D"/>
    <w:rsid w:val="006E0D8A"/>
    <w:rsid w:val="006E1624"/>
    <w:rsid w:val="006E3FCA"/>
    <w:rsid w:val="006E422C"/>
    <w:rsid w:val="006E556C"/>
    <w:rsid w:val="006E565C"/>
    <w:rsid w:val="006E5881"/>
    <w:rsid w:val="006E6751"/>
    <w:rsid w:val="006E6ADE"/>
    <w:rsid w:val="006E70B3"/>
    <w:rsid w:val="006E737F"/>
    <w:rsid w:val="006E7A32"/>
    <w:rsid w:val="006E7A3C"/>
    <w:rsid w:val="006F0F5A"/>
    <w:rsid w:val="006F31EC"/>
    <w:rsid w:val="006F36F7"/>
    <w:rsid w:val="006F3CCC"/>
    <w:rsid w:val="006F4221"/>
    <w:rsid w:val="006F42E0"/>
    <w:rsid w:val="006F5039"/>
    <w:rsid w:val="006F748A"/>
    <w:rsid w:val="006F79A4"/>
    <w:rsid w:val="00700A50"/>
    <w:rsid w:val="007014D9"/>
    <w:rsid w:val="00702A0C"/>
    <w:rsid w:val="00702DA2"/>
    <w:rsid w:val="00703952"/>
    <w:rsid w:val="00704A81"/>
    <w:rsid w:val="00704FCD"/>
    <w:rsid w:val="007054DA"/>
    <w:rsid w:val="00706509"/>
    <w:rsid w:val="00707318"/>
    <w:rsid w:val="0070798F"/>
    <w:rsid w:val="00707BA0"/>
    <w:rsid w:val="00707E86"/>
    <w:rsid w:val="00710352"/>
    <w:rsid w:val="007108DF"/>
    <w:rsid w:val="00710A1F"/>
    <w:rsid w:val="00711033"/>
    <w:rsid w:val="00711042"/>
    <w:rsid w:val="007116F1"/>
    <w:rsid w:val="00711C7C"/>
    <w:rsid w:val="00713004"/>
    <w:rsid w:val="0071352D"/>
    <w:rsid w:val="00713B6F"/>
    <w:rsid w:val="00713CD4"/>
    <w:rsid w:val="00713ED6"/>
    <w:rsid w:val="00714507"/>
    <w:rsid w:val="00714B14"/>
    <w:rsid w:val="00715D6A"/>
    <w:rsid w:val="00715E5E"/>
    <w:rsid w:val="007162F1"/>
    <w:rsid w:val="00716680"/>
    <w:rsid w:val="00716877"/>
    <w:rsid w:val="00716D67"/>
    <w:rsid w:val="007176EC"/>
    <w:rsid w:val="00717AE8"/>
    <w:rsid w:val="00717C51"/>
    <w:rsid w:val="00717C59"/>
    <w:rsid w:val="00720055"/>
    <w:rsid w:val="0072023E"/>
    <w:rsid w:val="00720780"/>
    <w:rsid w:val="00720FA5"/>
    <w:rsid w:val="00721AAC"/>
    <w:rsid w:val="00722E29"/>
    <w:rsid w:val="007236F8"/>
    <w:rsid w:val="00723994"/>
    <w:rsid w:val="007241A3"/>
    <w:rsid w:val="0072452D"/>
    <w:rsid w:val="007301CA"/>
    <w:rsid w:val="00730485"/>
    <w:rsid w:val="0073099A"/>
    <w:rsid w:val="007310D4"/>
    <w:rsid w:val="00731B29"/>
    <w:rsid w:val="00733308"/>
    <w:rsid w:val="00733D1D"/>
    <w:rsid w:val="00734EEC"/>
    <w:rsid w:val="007356F7"/>
    <w:rsid w:val="00735D0C"/>
    <w:rsid w:val="00735FF9"/>
    <w:rsid w:val="007361A8"/>
    <w:rsid w:val="00736894"/>
    <w:rsid w:val="00736944"/>
    <w:rsid w:val="0073737F"/>
    <w:rsid w:val="007376B1"/>
    <w:rsid w:val="00740DC1"/>
    <w:rsid w:val="0074229B"/>
    <w:rsid w:val="00742CC6"/>
    <w:rsid w:val="007430AA"/>
    <w:rsid w:val="007443B2"/>
    <w:rsid w:val="00744F4C"/>
    <w:rsid w:val="00744FFF"/>
    <w:rsid w:val="00745213"/>
    <w:rsid w:val="0074594B"/>
    <w:rsid w:val="00745E24"/>
    <w:rsid w:val="00745F66"/>
    <w:rsid w:val="007462F6"/>
    <w:rsid w:val="007466B0"/>
    <w:rsid w:val="007510B0"/>
    <w:rsid w:val="007512BE"/>
    <w:rsid w:val="00752D81"/>
    <w:rsid w:val="00753165"/>
    <w:rsid w:val="00753334"/>
    <w:rsid w:val="00753CB7"/>
    <w:rsid w:val="00753D97"/>
    <w:rsid w:val="007542F6"/>
    <w:rsid w:val="007545FA"/>
    <w:rsid w:val="00754862"/>
    <w:rsid w:val="0075638D"/>
    <w:rsid w:val="00756E68"/>
    <w:rsid w:val="00757505"/>
    <w:rsid w:val="00757597"/>
    <w:rsid w:val="00760DAB"/>
    <w:rsid w:val="00761DF8"/>
    <w:rsid w:val="007621A6"/>
    <w:rsid w:val="007639FC"/>
    <w:rsid w:val="00764639"/>
    <w:rsid w:val="007669AB"/>
    <w:rsid w:val="007670EA"/>
    <w:rsid w:val="00767BF8"/>
    <w:rsid w:val="00771BF1"/>
    <w:rsid w:val="007743F6"/>
    <w:rsid w:val="00774631"/>
    <w:rsid w:val="00774CDC"/>
    <w:rsid w:val="00774FAA"/>
    <w:rsid w:val="00776DD8"/>
    <w:rsid w:val="0077719B"/>
    <w:rsid w:val="007777C9"/>
    <w:rsid w:val="007800A7"/>
    <w:rsid w:val="00782159"/>
    <w:rsid w:val="00782B96"/>
    <w:rsid w:val="0078381E"/>
    <w:rsid w:val="007842CA"/>
    <w:rsid w:val="00784738"/>
    <w:rsid w:val="00785F5F"/>
    <w:rsid w:val="00786134"/>
    <w:rsid w:val="00786D1A"/>
    <w:rsid w:val="00786F6E"/>
    <w:rsid w:val="007901AD"/>
    <w:rsid w:val="00791239"/>
    <w:rsid w:val="00791ACD"/>
    <w:rsid w:val="00791EB0"/>
    <w:rsid w:val="00791F39"/>
    <w:rsid w:val="00792801"/>
    <w:rsid w:val="00792A6F"/>
    <w:rsid w:val="007930EE"/>
    <w:rsid w:val="007936F2"/>
    <w:rsid w:val="00793724"/>
    <w:rsid w:val="0079375C"/>
    <w:rsid w:val="00793C8E"/>
    <w:rsid w:val="00794758"/>
    <w:rsid w:val="00794A7D"/>
    <w:rsid w:val="007955D0"/>
    <w:rsid w:val="00795E51"/>
    <w:rsid w:val="007961AA"/>
    <w:rsid w:val="007977CA"/>
    <w:rsid w:val="00797880"/>
    <w:rsid w:val="00797F5A"/>
    <w:rsid w:val="007A013F"/>
    <w:rsid w:val="007A146C"/>
    <w:rsid w:val="007A147B"/>
    <w:rsid w:val="007A2106"/>
    <w:rsid w:val="007A247F"/>
    <w:rsid w:val="007A2D1B"/>
    <w:rsid w:val="007A2D64"/>
    <w:rsid w:val="007A3F6E"/>
    <w:rsid w:val="007A427B"/>
    <w:rsid w:val="007A464E"/>
    <w:rsid w:val="007A50D0"/>
    <w:rsid w:val="007A5F4C"/>
    <w:rsid w:val="007A6F32"/>
    <w:rsid w:val="007A79E0"/>
    <w:rsid w:val="007A7E92"/>
    <w:rsid w:val="007B019A"/>
    <w:rsid w:val="007B03F6"/>
    <w:rsid w:val="007B1052"/>
    <w:rsid w:val="007B1417"/>
    <w:rsid w:val="007B15A1"/>
    <w:rsid w:val="007B16F6"/>
    <w:rsid w:val="007B1ABB"/>
    <w:rsid w:val="007B25CD"/>
    <w:rsid w:val="007B27FF"/>
    <w:rsid w:val="007B2CAB"/>
    <w:rsid w:val="007B3370"/>
    <w:rsid w:val="007B34FE"/>
    <w:rsid w:val="007B4670"/>
    <w:rsid w:val="007B7ED8"/>
    <w:rsid w:val="007C0BE5"/>
    <w:rsid w:val="007C1647"/>
    <w:rsid w:val="007C1E42"/>
    <w:rsid w:val="007C2085"/>
    <w:rsid w:val="007C2385"/>
    <w:rsid w:val="007C3112"/>
    <w:rsid w:val="007C518E"/>
    <w:rsid w:val="007C6296"/>
    <w:rsid w:val="007C639A"/>
    <w:rsid w:val="007D08AF"/>
    <w:rsid w:val="007D08C6"/>
    <w:rsid w:val="007D0B5D"/>
    <w:rsid w:val="007D0E28"/>
    <w:rsid w:val="007D1A26"/>
    <w:rsid w:val="007D21EE"/>
    <w:rsid w:val="007D22FE"/>
    <w:rsid w:val="007D321F"/>
    <w:rsid w:val="007D34BD"/>
    <w:rsid w:val="007D4559"/>
    <w:rsid w:val="007D49DC"/>
    <w:rsid w:val="007D4D5A"/>
    <w:rsid w:val="007D5845"/>
    <w:rsid w:val="007D5F2F"/>
    <w:rsid w:val="007D659D"/>
    <w:rsid w:val="007D67ED"/>
    <w:rsid w:val="007D6863"/>
    <w:rsid w:val="007E0773"/>
    <w:rsid w:val="007E1324"/>
    <w:rsid w:val="007E19D4"/>
    <w:rsid w:val="007E2079"/>
    <w:rsid w:val="007E26A8"/>
    <w:rsid w:val="007E2AF2"/>
    <w:rsid w:val="007E300A"/>
    <w:rsid w:val="007E55E3"/>
    <w:rsid w:val="007E6032"/>
    <w:rsid w:val="007E67D9"/>
    <w:rsid w:val="007E747B"/>
    <w:rsid w:val="007E7754"/>
    <w:rsid w:val="007E7D84"/>
    <w:rsid w:val="007F00AA"/>
    <w:rsid w:val="007F19EC"/>
    <w:rsid w:val="007F1EF2"/>
    <w:rsid w:val="007F256B"/>
    <w:rsid w:val="007F2D69"/>
    <w:rsid w:val="007F3A12"/>
    <w:rsid w:val="007F3E57"/>
    <w:rsid w:val="007F4895"/>
    <w:rsid w:val="007F4B12"/>
    <w:rsid w:val="007F5030"/>
    <w:rsid w:val="007F677B"/>
    <w:rsid w:val="007F7157"/>
    <w:rsid w:val="007F7462"/>
    <w:rsid w:val="007F755F"/>
    <w:rsid w:val="00800194"/>
    <w:rsid w:val="008007F3"/>
    <w:rsid w:val="00800804"/>
    <w:rsid w:val="00801057"/>
    <w:rsid w:val="00801B9B"/>
    <w:rsid w:val="00802D52"/>
    <w:rsid w:val="00803609"/>
    <w:rsid w:val="008037A6"/>
    <w:rsid w:val="00804986"/>
    <w:rsid w:val="00804BB8"/>
    <w:rsid w:val="00804D50"/>
    <w:rsid w:val="00805537"/>
    <w:rsid w:val="00805583"/>
    <w:rsid w:val="0080632A"/>
    <w:rsid w:val="00806502"/>
    <w:rsid w:val="008071C3"/>
    <w:rsid w:val="00807C26"/>
    <w:rsid w:val="00811F52"/>
    <w:rsid w:val="00812108"/>
    <w:rsid w:val="008123DA"/>
    <w:rsid w:val="00813376"/>
    <w:rsid w:val="00813C68"/>
    <w:rsid w:val="00814DC4"/>
    <w:rsid w:val="0081509B"/>
    <w:rsid w:val="00815175"/>
    <w:rsid w:val="00815D47"/>
    <w:rsid w:val="00816546"/>
    <w:rsid w:val="00820AD7"/>
    <w:rsid w:val="00820C08"/>
    <w:rsid w:val="00820E91"/>
    <w:rsid w:val="00822CFE"/>
    <w:rsid w:val="00823128"/>
    <w:rsid w:val="00823C9C"/>
    <w:rsid w:val="00824917"/>
    <w:rsid w:val="008250BD"/>
    <w:rsid w:val="008256E3"/>
    <w:rsid w:val="00827039"/>
    <w:rsid w:val="008275B1"/>
    <w:rsid w:val="00827A93"/>
    <w:rsid w:val="00827DEA"/>
    <w:rsid w:val="00827F35"/>
    <w:rsid w:val="008303F9"/>
    <w:rsid w:val="008311C6"/>
    <w:rsid w:val="00831434"/>
    <w:rsid w:val="00831B47"/>
    <w:rsid w:val="0083239E"/>
    <w:rsid w:val="00832A58"/>
    <w:rsid w:val="008331AA"/>
    <w:rsid w:val="0083354A"/>
    <w:rsid w:val="00833BE5"/>
    <w:rsid w:val="008347E2"/>
    <w:rsid w:val="00834B47"/>
    <w:rsid w:val="0083690E"/>
    <w:rsid w:val="00836E92"/>
    <w:rsid w:val="008375D7"/>
    <w:rsid w:val="008375E5"/>
    <w:rsid w:val="0084056F"/>
    <w:rsid w:val="0084059A"/>
    <w:rsid w:val="00841C59"/>
    <w:rsid w:val="00842222"/>
    <w:rsid w:val="00842AA6"/>
    <w:rsid w:val="00842C7C"/>
    <w:rsid w:val="00843089"/>
    <w:rsid w:val="00843702"/>
    <w:rsid w:val="008442D1"/>
    <w:rsid w:val="008442FF"/>
    <w:rsid w:val="00844C47"/>
    <w:rsid w:val="00844C5E"/>
    <w:rsid w:val="008469CA"/>
    <w:rsid w:val="00846A56"/>
    <w:rsid w:val="00847741"/>
    <w:rsid w:val="0085087C"/>
    <w:rsid w:val="00850937"/>
    <w:rsid w:val="00850B9A"/>
    <w:rsid w:val="00851116"/>
    <w:rsid w:val="008512A5"/>
    <w:rsid w:val="008515E1"/>
    <w:rsid w:val="00851FB5"/>
    <w:rsid w:val="00852F94"/>
    <w:rsid w:val="008531F1"/>
    <w:rsid w:val="008532EE"/>
    <w:rsid w:val="00853820"/>
    <w:rsid w:val="0085458C"/>
    <w:rsid w:val="00854695"/>
    <w:rsid w:val="0085483F"/>
    <w:rsid w:val="00854DCB"/>
    <w:rsid w:val="008554D6"/>
    <w:rsid w:val="0085573A"/>
    <w:rsid w:val="00855E13"/>
    <w:rsid w:val="00856D29"/>
    <w:rsid w:val="008606CD"/>
    <w:rsid w:val="00862C5E"/>
    <w:rsid w:val="008634BF"/>
    <w:rsid w:val="008638BA"/>
    <w:rsid w:val="0086433F"/>
    <w:rsid w:val="00864464"/>
    <w:rsid w:val="008657A7"/>
    <w:rsid w:val="00865CE4"/>
    <w:rsid w:val="00866E7E"/>
    <w:rsid w:val="0087000C"/>
    <w:rsid w:val="0087014B"/>
    <w:rsid w:val="008701C9"/>
    <w:rsid w:val="0087082C"/>
    <w:rsid w:val="008713A1"/>
    <w:rsid w:val="00871545"/>
    <w:rsid w:val="00871656"/>
    <w:rsid w:val="00871B44"/>
    <w:rsid w:val="00872CCB"/>
    <w:rsid w:val="00872E71"/>
    <w:rsid w:val="00873CA0"/>
    <w:rsid w:val="00874AC5"/>
    <w:rsid w:val="00875E0F"/>
    <w:rsid w:val="0087726C"/>
    <w:rsid w:val="00877522"/>
    <w:rsid w:val="008778AD"/>
    <w:rsid w:val="0087791C"/>
    <w:rsid w:val="00881285"/>
    <w:rsid w:val="00881CE4"/>
    <w:rsid w:val="00882042"/>
    <w:rsid w:val="00882534"/>
    <w:rsid w:val="00882862"/>
    <w:rsid w:val="00883624"/>
    <w:rsid w:val="00883913"/>
    <w:rsid w:val="00883F59"/>
    <w:rsid w:val="00883FF6"/>
    <w:rsid w:val="008840DF"/>
    <w:rsid w:val="0088548C"/>
    <w:rsid w:val="008858BB"/>
    <w:rsid w:val="008874BF"/>
    <w:rsid w:val="00887DFC"/>
    <w:rsid w:val="00891F91"/>
    <w:rsid w:val="0089208C"/>
    <w:rsid w:val="008921C3"/>
    <w:rsid w:val="0089292F"/>
    <w:rsid w:val="00892C75"/>
    <w:rsid w:val="008931AA"/>
    <w:rsid w:val="00893401"/>
    <w:rsid w:val="008943F3"/>
    <w:rsid w:val="00896061"/>
    <w:rsid w:val="00896AAF"/>
    <w:rsid w:val="00897915"/>
    <w:rsid w:val="008A0212"/>
    <w:rsid w:val="008A0937"/>
    <w:rsid w:val="008A157D"/>
    <w:rsid w:val="008A2245"/>
    <w:rsid w:val="008A39BD"/>
    <w:rsid w:val="008A4214"/>
    <w:rsid w:val="008A4787"/>
    <w:rsid w:val="008A4932"/>
    <w:rsid w:val="008A5432"/>
    <w:rsid w:val="008A54D0"/>
    <w:rsid w:val="008A6584"/>
    <w:rsid w:val="008A6FD2"/>
    <w:rsid w:val="008A79D2"/>
    <w:rsid w:val="008B0567"/>
    <w:rsid w:val="008B2505"/>
    <w:rsid w:val="008B2BA2"/>
    <w:rsid w:val="008B4F3E"/>
    <w:rsid w:val="008B4FDA"/>
    <w:rsid w:val="008B4FE9"/>
    <w:rsid w:val="008B54D4"/>
    <w:rsid w:val="008B55E3"/>
    <w:rsid w:val="008B5DBB"/>
    <w:rsid w:val="008B627B"/>
    <w:rsid w:val="008B6916"/>
    <w:rsid w:val="008B699B"/>
    <w:rsid w:val="008B7119"/>
    <w:rsid w:val="008B7C5A"/>
    <w:rsid w:val="008C0258"/>
    <w:rsid w:val="008C0C7A"/>
    <w:rsid w:val="008C0C8A"/>
    <w:rsid w:val="008C1816"/>
    <w:rsid w:val="008C1BFE"/>
    <w:rsid w:val="008C29EE"/>
    <w:rsid w:val="008C2FC1"/>
    <w:rsid w:val="008C3469"/>
    <w:rsid w:val="008C4424"/>
    <w:rsid w:val="008C4DB4"/>
    <w:rsid w:val="008C558A"/>
    <w:rsid w:val="008C63F0"/>
    <w:rsid w:val="008C6543"/>
    <w:rsid w:val="008C6F63"/>
    <w:rsid w:val="008C76D1"/>
    <w:rsid w:val="008C7BF5"/>
    <w:rsid w:val="008D019A"/>
    <w:rsid w:val="008D02D1"/>
    <w:rsid w:val="008D1989"/>
    <w:rsid w:val="008D2270"/>
    <w:rsid w:val="008D269D"/>
    <w:rsid w:val="008D2A38"/>
    <w:rsid w:val="008D2F22"/>
    <w:rsid w:val="008D3214"/>
    <w:rsid w:val="008D4491"/>
    <w:rsid w:val="008D46A1"/>
    <w:rsid w:val="008D669B"/>
    <w:rsid w:val="008D69F5"/>
    <w:rsid w:val="008D7113"/>
    <w:rsid w:val="008D7DB6"/>
    <w:rsid w:val="008E08C2"/>
    <w:rsid w:val="008E1572"/>
    <w:rsid w:val="008E1813"/>
    <w:rsid w:val="008E2138"/>
    <w:rsid w:val="008E2CFA"/>
    <w:rsid w:val="008E2DCF"/>
    <w:rsid w:val="008E33A1"/>
    <w:rsid w:val="008E4BDE"/>
    <w:rsid w:val="008E5931"/>
    <w:rsid w:val="008E5D47"/>
    <w:rsid w:val="008E7208"/>
    <w:rsid w:val="008E740D"/>
    <w:rsid w:val="008E7C38"/>
    <w:rsid w:val="008F023E"/>
    <w:rsid w:val="008F153D"/>
    <w:rsid w:val="008F1998"/>
    <w:rsid w:val="008F30A0"/>
    <w:rsid w:val="008F41E6"/>
    <w:rsid w:val="008F4617"/>
    <w:rsid w:val="008F517E"/>
    <w:rsid w:val="008F5A40"/>
    <w:rsid w:val="008F6FF1"/>
    <w:rsid w:val="008F75E6"/>
    <w:rsid w:val="0090012B"/>
    <w:rsid w:val="009001A2"/>
    <w:rsid w:val="0090055F"/>
    <w:rsid w:val="009007F0"/>
    <w:rsid w:val="00900EDA"/>
    <w:rsid w:val="00901F8E"/>
    <w:rsid w:val="00902009"/>
    <w:rsid w:val="00902319"/>
    <w:rsid w:val="00903F02"/>
    <w:rsid w:val="00904431"/>
    <w:rsid w:val="0090449A"/>
    <w:rsid w:val="009053B2"/>
    <w:rsid w:val="00905566"/>
    <w:rsid w:val="00905D88"/>
    <w:rsid w:val="00906F98"/>
    <w:rsid w:val="009070B4"/>
    <w:rsid w:val="0091125E"/>
    <w:rsid w:val="00911E70"/>
    <w:rsid w:val="0091268E"/>
    <w:rsid w:val="00912DA2"/>
    <w:rsid w:val="0091419F"/>
    <w:rsid w:val="00914C87"/>
    <w:rsid w:val="00914E95"/>
    <w:rsid w:val="009153F3"/>
    <w:rsid w:val="00915AA0"/>
    <w:rsid w:val="009161D0"/>
    <w:rsid w:val="00917428"/>
    <w:rsid w:val="009176FB"/>
    <w:rsid w:val="009177AC"/>
    <w:rsid w:val="009202BD"/>
    <w:rsid w:val="0092038A"/>
    <w:rsid w:val="009212E8"/>
    <w:rsid w:val="00921ADB"/>
    <w:rsid w:val="00922DD1"/>
    <w:rsid w:val="0092301C"/>
    <w:rsid w:val="009230C9"/>
    <w:rsid w:val="009234BB"/>
    <w:rsid w:val="00923D4C"/>
    <w:rsid w:val="0092689C"/>
    <w:rsid w:val="0092726C"/>
    <w:rsid w:val="00927746"/>
    <w:rsid w:val="00927B1A"/>
    <w:rsid w:val="00931B3F"/>
    <w:rsid w:val="00934593"/>
    <w:rsid w:val="009353D9"/>
    <w:rsid w:val="00935E48"/>
    <w:rsid w:val="00936430"/>
    <w:rsid w:val="009415E5"/>
    <w:rsid w:val="00941806"/>
    <w:rsid w:val="00941875"/>
    <w:rsid w:val="00942037"/>
    <w:rsid w:val="009420B9"/>
    <w:rsid w:val="009421B2"/>
    <w:rsid w:val="0094290F"/>
    <w:rsid w:val="009429F2"/>
    <w:rsid w:val="00942F59"/>
    <w:rsid w:val="00943436"/>
    <w:rsid w:val="00943BFA"/>
    <w:rsid w:val="00944A05"/>
    <w:rsid w:val="00945825"/>
    <w:rsid w:val="0094658E"/>
    <w:rsid w:val="00946818"/>
    <w:rsid w:val="00946B57"/>
    <w:rsid w:val="009472A3"/>
    <w:rsid w:val="009477B3"/>
    <w:rsid w:val="009513DA"/>
    <w:rsid w:val="00954626"/>
    <w:rsid w:val="009548FB"/>
    <w:rsid w:val="009554B4"/>
    <w:rsid w:val="00956646"/>
    <w:rsid w:val="009567E8"/>
    <w:rsid w:val="00956810"/>
    <w:rsid w:val="00956D18"/>
    <w:rsid w:val="0096294B"/>
    <w:rsid w:val="0096326C"/>
    <w:rsid w:val="00963BF7"/>
    <w:rsid w:val="00964C97"/>
    <w:rsid w:val="0096564F"/>
    <w:rsid w:val="00966793"/>
    <w:rsid w:val="00966F16"/>
    <w:rsid w:val="00967BF7"/>
    <w:rsid w:val="00970E80"/>
    <w:rsid w:val="009712FD"/>
    <w:rsid w:val="00971365"/>
    <w:rsid w:val="00973879"/>
    <w:rsid w:val="00973968"/>
    <w:rsid w:val="009739D7"/>
    <w:rsid w:val="00973DE4"/>
    <w:rsid w:val="00973DF2"/>
    <w:rsid w:val="00974D45"/>
    <w:rsid w:val="0097574C"/>
    <w:rsid w:val="00976ACA"/>
    <w:rsid w:val="0097716A"/>
    <w:rsid w:val="00980009"/>
    <w:rsid w:val="00980155"/>
    <w:rsid w:val="00982A05"/>
    <w:rsid w:val="00983522"/>
    <w:rsid w:val="009839CA"/>
    <w:rsid w:val="00983E38"/>
    <w:rsid w:val="009842DA"/>
    <w:rsid w:val="00984D12"/>
    <w:rsid w:val="009850E1"/>
    <w:rsid w:val="00985306"/>
    <w:rsid w:val="0098581C"/>
    <w:rsid w:val="00985B8B"/>
    <w:rsid w:val="00986895"/>
    <w:rsid w:val="00986F86"/>
    <w:rsid w:val="00986F97"/>
    <w:rsid w:val="00987DDD"/>
    <w:rsid w:val="00987DE8"/>
    <w:rsid w:val="009907B4"/>
    <w:rsid w:val="00991351"/>
    <w:rsid w:val="009913A5"/>
    <w:rsid w:val="0099180A"/>
    <w:rsid w:val="00992227"/>
    <w:rsid w:val="00993B98"/>
    <w:rsid w:val="00993CA0"/>
    <w:rsid w:val="00993DA3"/>
    <w:rsid w:val="00993F22"/>
    <w:rsid w:val="009946AE"/>
    <w:rsid w:val="00994A50"/>
    <w:rsid w:val="00994BAC"/>
    <w:rsid w:val="00995673"/>
    <w:rsid w:val="0099607C"/>
    <w:rsid w:val="00996EE9"/>
    <w:rsid w:val="0099714E"/>
    <w:rsid w:val="00997C8E"/>
    <w:rsid w:val="00997E68"/>
    <w:rsid w:val="00997F93"/>
    <w:rsid w:val="009A2108"/>
    <w:rsid w:val="009A2FDF"/>
    <w:rsid w:val="009A347A"/>
    <w:rsid w:val="009A3A04"/>
    <w:rsid w:val="009A3C15"/>
    <w:rsid w:val="009A3D91"/>
    <w:rsid w:val="009A3F0D"/>
    <w:rsid w:val="009A4407"/>
    <w:rsid w:val="009A455C"/>
    <w:rsid w:val="009A457D"/>
    <w:rsid w:val="009A45BA"/>
    <w:rsid w:val="009A45D7"/>
    <w:rsid w:val="009A4A2F"/>
    <w:rsid w:val="009A640B"/>
    <w:rsid w:val="009A752F"/>
    <w:rsid w:val="009B1D4F"/>
    <w:rsid w:val="009B286A"/>
    <w:rsid w:val="009B3015"/>
    <w:rsid w:val="009B34F6"/>
    <w:rsid w:val="009B3AF7"/>
    <w:rsid w:val="009B4238"/>
    <w:rsid w:val="009B59F3"/>
    <w:rsid w:val="009B6A88"/>
    <w:rsid w:val="009B6EE9"/>
    <w:rsid w:val="009B718B"/>
    <w:rsid w:val="009B7CA7"/>
    <w:rsid w:val="009B7FA8"/>
    <w:rsid w:val="009C0C2B"/>
    <w:rsid w:val="009C0F04"/>
    <w:rsid w:val="009C2E20"/>
    <w:rsid w:val="009C321F"/>
    <w:rsid w:val="009C32EB"/>
    <w:rsid w:val="009C46E5"/>
    <w:rsid w:val="009C5CD0"/>
    <w:rsid w:val="009C6768"/>
    <w:rsid w:val="009C6D88"/>
    <w:rsid w:val="009C7139"/>
    <w:rsid w:val="009C7357"/>
    <w:rsid w:val="009C78D7"/>
    <w:rsid w:val="009C7C60"/>
    <w:rsid w:val="009D0224"/>
    <w:rsid w:val="009D0698"/>
    <w:rsid w:val="009D11B4"/>
    <w:rsid w:val="009D11DD"/>
    <w:rsid w:val="009D29F7"/>
    <w:rsid w:val="009D2A94"/>
    <w:rsid w:val="009D2D76"/>
    <w:rsid w:val="009D5727"/>
    <w:rsid w:val="009D5973"/>
    <w:rsid w:val="009D7C26"/>
    <w:rsid w:val="009E0371"/>
    <w:rsid w:val="009E0464"/>
    <w:rsid w:val="009E0898"/>
    <w:rsid w:val="009E169C"/>
    <w:rsid w:val="009E177B"/>
    <w:rsid w:val="009E1916"/>
    <w:rsid w:val="009E35B3"/>
    <w:rsid w:val="009E4BCD"/>
    <w:rsid w:val="009E4D65"/>
    <w:rsid w:val="009E4ECB"/>
    <w:rsid w:val="009E4FFD"/>
    <w:rsid w:val="009E5657"/>
    <w:rsid w:val="009E5BDE"/>
    <w:rsid w:val="009E641E"/>
    <w:rsid w:val="009E6B0A"/>
    <w:rsid w:val="009E6E1B"/>
    <w:rsid w:val="009F0262"/>
    <w:rsid w:val="009F02D6"/>
    <w:rsid w:val="009F05F2"/>
    <w:rsid w:val="009F0BC9"/>
    <w:rsid w:val="009F10CE"/>
    <w:rsid w:val="009F1214"/>
    <w:rsid w:val="009F12C0"/>
    <w:rsid w:val="009F19AE"/>
    <w:rsid w:val="009F20D5"/>
    <w:rsid w:val="009F34AD"/>
    <w:rsid w:val="009F354F"/>
    <w:rsid w:val="009F5ECF"/>
    <w:rsid w:val="009F6589"/>
    <w:rsid w:val="009F69FE"/>
    <w:rsid w:val="00A000F9"/>
    <w:rsid w:val="00A0177C"/>
    <w:rsid w:val="00A01B01"/>
    <w:rsid w:val="00A02350"/>
    <w:rsid w:val="00A0308F"/>
    <w:rsid w:val="00A0368A"/>
    <w:rsid w:val="00A0455B"/>
    <w:rsid w:val="00A049DC"/>
    <w:rsid w:val="00A04DC4"/>
    <w:rsid w:val="00A05253"/>
    <w:rsid w:val="00A064DD"/>
    <w:rsid w:val="00A0653F"/>
    <w:rsid w:val="00A065E4"/>
    <w:rsid w:val="00A066CC"/>
    <w:rsid w:val="00A0685D"/>
    <w:rsid w:val="00A10E1D"/>
    <w:rsid w:val="00A11404"/>
    <w:rsid w:val="00A11AC8"/>
    <w:rsid w:val="00A121FA"/>
    <w:rsid w:val="00A126AD"/>
    <w:rsid w:val="00A12717"/>
    <w:rsid w:val="00A12CC9"/>
    <w:rsid w:val="00A13037"/>
    <w:rsid w:val="00A1310F"/>
    <w:rsid w:val="00A1370E"/>
    <w:rsid w:val="00A13B9D"/>
    <w:rsid w:val="00A145C9"/>
    <w:rsid w:val="00A16461"/>
    <w:rsid w:val="00A16B95"/>
    <w:rsid w:val="00A20BDF"/>
    <w:rsid w:val="00A20F90"/>
    <w:rsid w:val="00A21513"/>
    <w:rsid w:val="00A219BE"/>
    <w:rsid w:val="00A21C38"/>
    <w:rsid w:val="00A22426"/>
    <w:rsid w:val="00A239D8"/>
    <w:rsid w:val="00A2420E"/>
    <w:rsid w:val="00A25490"/>
    <w:rsid w:val="00A25612"/>
    <w:rsid w:val="00A269D6"/>
    <w:rsid w:val="00A27685"/>
    <w:rsid w:val="00A30BC0"/>
    <w:rsid w:val="00A30C24"/>
    <w:rsid w:val="00A32FA4"/>
    <w:rsid w:val="00A33B3F"/>
    <w:rsid w:val="00A33F1F"/>
    <w:rsid w:val="00A33F76"/>
    <w:rsid w:val="00A3443D"/>
    <w:rsid w:val="00A34B55"/>
    <w:rsid w:val="00A34D78"/>
    <w:rsid w:val="00A351CC"/>
    <w:rsid w:val="00A3521B"/>
    <w:rsid w:val="00A366EC"/>
    <w:rsid w:val="00A37BDA"/>
    <w:rsid w:val="00A37E13"/>
    <w:rsid w:val="00A37E8C"/>
    <w:rsid w:val="00A4098A"/>
    <w:rsid w:val="00A414C6"/>
    <w:rsid w:val="00A41595"/>
    <w:rsid w:val="00A41AA1"/>
    <w:rsid w:val="00A41B5F"/>
    <w:rsid w:val="00A42195"/>
    <w:rsid w:val="00A44187"/>
    <w:rsid w:val="00A458EA"/>
    <w:rsid w:val="00A463EF"/>
    <w:rsid w:val="00A502F1"/>
    <w:rsid w:val="00A51416"/>
    <w:rsid w:val="00A5170E"/>
    <w:rsid w:val="00A51A21"/>
    <w:rsid w:val="00A51DEE"/>
    <w:rsid w:val="00A52015"/>
    <w:rsid w:val="00A52939"/>
    <w:rsid w:val="00A53746"/>
    <w:rsid w:val="00A53963"/>
    <w:rsid w:val="00A53DD0"/>
    <w:rsid w:val="00A5508C"/>
    <w:rsid w:val="00A55578"/>
    <w:rsid w:val="00A5661C"/>
    <w:rsid w:val="00A60999"/>
    <w:rsid w:val="00A60AB1"/>
    <w:rsid w:val="00A60FFF"/>
    <w:rsid w:val="00A613A9"/>
    <w:rsid w:val="00A6186F"/>
    <w:rsid w:val="00A62582"/>
    <w:rsid w:val="00A62BAD"/>
    <w:rsid w:val="00A62E70"/>
    <w:rsid w:val="00A63922"/>
    <w:rsid w:val="00A6421D"/>
    <w:rsid w:val="00A642B4"/>
    <w:rsid w:val="00A65735"/>
    <w:rsid w:val="00A659D1"/>
    <w:rsid w:val="00A65A75"/>
    <w:rsid w:val="00A65F4B"/>
    <w:rsid w:val="00A66AD2"/>
    <w:rsid w:val="00A67E11"/>
    <w:rsid w:val="00A67E39"/>
    <w:rsid w:val="00A70754"/>
    <w:rsid w:val="00A715B2"/>
    <w:rsid w:val="00A725E5"/>
    <w:rsid w:val="00A735C3"/>
    <w:rsid w:val="00A74F83"/>
    <w:rsid w:val="00A75156"/>
    <w:rsid w:val="00A7583C"/>
    <w:rsid w:val="00A75E5F"/>
    <w:rsid w:val="00A76ABC"/>
    <w:rsid w:val="00A7753F"/>
    <w:rsid w:val="00A77EB5"/>
    <w:rsid w:val="00A801A2"/>
    <w:rsid w:val="00A80C19"/>
    <w:rsid w:val="00A82723"/>
    <w:rsid w:val="00A8275C"/>
    <w:rsid w:val="00A82CE0"/>
    <w:rsid w:val="00A83951"/>
    <w:rsid w:val="00A844D0"/>
    <w:rsid w:val="00A845EB"/>
    <w:rsid w:val="00A84767"/>
    <w:rsid w:val="00A84E63"/>
    <w:rsid w:val="00A84E68"/>
    <w:rsid w:val="00A85329"/>
    <w:rsid w:val="00A858AF"/>
    <w:rsid w:val="00A8596A"/>
    <w:rsid w:val="00A8689A"/>
    <w:rsid w:val="00A86916"/>
    <w:rsid w:val="00A871AD"/>
    <w:rsid w:val="00A87873"/>
    <w:rsid w:val="00A87DE3"/>
    <w:rsid w:val="00A901DE"/>
    <w:rsid w:val="00A910F7"/>
    <w:rsid w:val="00A911D2"/>
    <w:rsid w:val="00A92501"/>
    <w:rsid w:val="00A94C76"/>
    <w:rsid w:val="00A94F78"/>
    <w:rsid w:val="00A965AE"/>
    <w:rsid w:val="00A96F26"/>
    <w:rsid w:val="00A974DA"/>
    <w:rsid w:val="00A97D73"/>
    <w:rsid w:val="00AA06CC"/>
    <w:rsid w:val="00AA1C11"/>
    <w:rsid w:val="00AA3365"/>
    <w:rsid w:val="00AA41D0"/>
    <w:rsid w:val="00AA4931"/>
    <w:rsid w:val="00AA4BF2"/>
    <w:rsid w:val="00AA4DEC"/>
    <w:rsid w:val="00AA51C0"/>
    <w:rsid w:val="00AA5B98"/>
    <w:rsid w:val="00AA60CE"/>
    <w:rsid w:val="00AA6A8D"/>
    <w:rsid w:val="00AA6D60"/>
    <w:rsid w:val="00AA6F52"/>
    <w:rsid w:val="00AA7371"/>
    <w:rsid w:val="00AA7FB3"/>
    <w:rsid w:val="00AB10F0"/>
    <w:rsid w:val="00AB11F1"/>
    <w:rsid w:val="00AB1567"/>
    <w:rsid w:val="00AB36AF"/>
    <w:rsid w:val="00AB4C11"/>
    <w:rsid w:val="00AB5991"/>
    <w:rsid w:val="00AB5CE1"/>
    <w:rsid w:val="00AB5D60"/>
    <w:rsid w:val="00AB6A3F"/>
    <w:rsid w:val="00AB7056"/>
    <w:rsid w:val="00AB72B7"/>
    <w:rsid w:val="00AC062D"/>
    <w:rsid w:val="00AC15C1"/>
    <w:rsid w:val="00AC18DD"/>
    <w:rsid w:val="00AC2D35"/>
    <w:rsid w:val="00AC3D3C"/>
    <w:rsid w:val="00AC53A8"/>
    <w:rsid w:val="00AC5511"/>
    <w:rsid w:val="00AC5790"/>
    <w:rsid w:val="00AC61A3"/>
    <w:rsid w:val="00AC6371"/>
    <w:rsid w:val="00AC6789"/>
    <w:rsid w:val="00AC6C95"/>
    <w:rsid w:val="00AC7059"/>
    <w:rsid w:val="00AC768A"/>
    <w:rsid w:val="00AC7958"/>
    <w:rsid w:val="00AD0877"/>
    <w:rsid w:val="00AD0995"/>
    <w:rsid w:val="00AD0FFD"/>
    <w:rsid w:val="00AD1286"/>
    <w:rsid w:val="00AD1B2C"/>
    <w:rsid w:val="00AD1F5D"/>
    <w:rsid w:val="00AD2302"/>
    <w:rsid w:val="00AD2860"/>
    <w:rsid w:val="00AD3B4B"/>
    <w:rsid w:val="00AD455C"/>
    <w:rsid w:val="00AD4843"/>
    <w:rsid w:val="00AD4B7D"/>
    <w:rsid w:val="00AD5A38"/>
    <w:rsid w:val="00AD5E51"/>
    <w:rsid w:val="00AD6244"/>
    <w:rsid w:val="00AD7E6D"/>
    <w:rsid w:val="00AE0397"/>
    <w:rsid w:val="00AE1B46"/>
    <w:rsid w:val="00AE2411"/>
    <w:rsid w:val="00AE24D7"/>
    <w:rsid w:val="00AE2C51"/>
    <w:rsid w:val="00AE2C75"/>
    <w:rsid w:val="00AE3473"/>
    <w:rsid w:val="00AE3715"/>
    <w:rsid w:val="00AE3BE7"/>
    <w:rsid w:val="00AE3E31"/>
    <w:rsid w:val="00AE3FA2"/>
    <w:rsid w:val="00AE4A82"/>
    <w:rsid w:val="00AE4EEC"/>
    <w:rsid w:val="00AE6C7F"/>
    <w:rsid w:val="00AE6F8E"/>
    <w:rsid w:val="00AE7281"/>
    <w:rsid w:val="00AE75FB"/>
    <w:rsid w:val="00AF05B7"/>
    <w:rsid w:val="00AF1805"/>
    <w:rsid w:val="00AF216D"/>
    <w:rsid w:val="00AF2B0F"/>
    <w:rsid w:val="00AF2E9C"/>
    <w:rsid w:val="00AF3696"/>
    <w:rsid w:val="00AF427D"/>
    <w:rsid w:val="00AF5252"/>
    <w:rsid w:val="00AF5286"/>
    <w:rsid w:val="00AF547D"/>
    <w:rsid w:val="00AF6A15"/>
    <w:rsid w:val="00AF6D5F"/>
    <w:rsid w:val="00AF6EC7"/>
    <w:rsid w:val="00AF71E4"/>
    <w:rsid w:val="00AF7256"/>
    <w:rsid w:val="00B00F3C"/>
    <w:rsid w:val="00B00F61"/>
    <w:rsid w:val="00B013A1"/>
    <w:rsid w:val="00B01729"/>
    <w:rsid w:val="00B02A0A"/>
    <w:rsid w:val="00B0456E"/>
    <w:rsid w:val="00B04B31"/>
    <w:rsid w:val="00B04E36"/>
    <w:rsid w:val="00B05E2A"/>
    <w:rsid w:val="00B07987"/>
    <w:rsid w:val="00B1025C"/>
    <w:rsid w:val="00B104BD"/>
    <w:rsid w:val="00B104ED"/>
    <w:rsid w:val="00B10541"/>
    <w:rsid w:val="00B1140B"/>
    <w:rsid w:val="00B147F5"/>
    <w:rsid w:val="00B1493B"/>
    <w:rsid w:val="00B15079"/>
    <w:rsid w:val="00B155F2"/>
    <w:rsid w:val="00B16197"/>
    <w:rsid w:val="00B1732C"/>
    <w:rsid w:val="00B17C6E"/>
    <w:rsid w:val="00B20717"/>
    <w:rsid w:val="00B20A03"/>
    <w:rsid w:val="00B21591"/>
    <w:rsid w:val="00B2179E"/>
    <w:rsid w:val="00B21ABF"/>
    <w:rsid w:val="00B221C3"/>
    <w:rsid w:val="00B224D7"/>
    <w:rsid w:val="00B2290C"/>
    <w:rsid w:val="00B230F4"/>
    <w:rsid w:val="00B2427B"/>
    <w:rsid w:val="00B24314"/>
    <w:rsid w:val="00B24B2B"/>
    <w:rsid w:val="00B254F1"/>
    <w:rsid w:val="00B25523"/>
    <w:rsid w:val="00B2680D"/>
    <w:rsid w:val="00B26F36"/>
    <w:rsid w:val="00B275A3"/>
    <w:rsid w:val="00B3045D"/>
    <w:rsid w:val="00B304E3"/>
    <w:rsid w:val="00B31604"/>
    <w:rsid w:val="00B31910"/>
    <w:rsid w:val="00B3238B"/>
    <w:rsid w:val="00B323FB"/>
    <w:rsid w:val="00B32F42"/>
    <w:rsid w:val="00B346ED"/>
    <w:rsid w:val="00B34B4B"/>
    <w:rsid w:val="00B34DED"/>
    <w:rsid w:val="00B358E6"/>
    <w:rsid w:val="00B41484"/>
    <w:rsid w:val="00B41915"/>
    <w:rsid w:val="00B42558"/>
    <w:rsid w:val="00B433B3"/>
    <w:rsid w:val="00B43E24"/>
    <w:rsid w:val="00B449E1"/>
    <w:rsid w:val="00B44A65"/>
    <w:rsid w:val="00B45090"/>
    <w:rsid w:val="00B455A9"/>
    <w:rsid w:val="00B45B2E"/>
    <w:rsid w:val="00B45E1F"/>
    <w:rsid w:val="00B4639D"/>
    <w:rsid w:val="00B47C9D"/>
    <w:rsid w:val="00B47DB8"/>
    <w:rsid w:val="00B50125"/>
    <w:rsid w:val="00B50F26"/>
    <w:rsid w:val="00B518B7"/>
    <w:rsid w:val="00B51B62"/>
    <w:rsid w:val="00B524FC"/>
    <w:rsid w:val="00B52F7C"/>
    <w:rsid w:val="00B54BBC"/>
    <w:rsid w:val="00B55616"/>
    <w:rsid w:val="00B56097"/>
    <w:rsid w:val="00B5612E"/>
    <w:rsid w:val="00B572F5"/>
    <w:rsid w:val="00B5738F"/>
    <w:rsid w:val="00B60517"/>
    <w:rsid w:val="00B61524"/>
    <w:rsid w:val="00B61611"/>
    <w:rsid w:val="00B61CA8"/>
    <w:rsid w:val="00B61F1F"/>
    <w:rsid w:val="00B626E3"/>
    <w:rsid w:val="00B631C8"/>
    <w:rsid w:val="00B636CA"/>
    <w:rsid w:val="00B64B15"/>
    <w:rsid w:val="00B65B14"/>
    <w:rsid w:val="00B65C88"/>
    <w:rsid w:val="00B666C4"/>
    <w:rsid w:val="00B66ED0"/>
    <w:rsid w:val="00B66FBA"/>
    <w:rsid w:val="00B6752C"/>
    <w:rsid w:val="00B675BA"/>
    <w:rsid w:val="00B67954"/>
    <w:rsid w:val="00B67A44"/>
    <w:rsid w:val="00B7111F"/>
    <w:rsid w:val="00B7115B"/>
    <w:rsid w:val="00B71F95"/>
    <w:rsid w:val="00B72033"/>
    <w:rsid w:val="00B73C57"/>
    <w:rsid w:val="00B755B8"/>
    <w:rsid w:val="00B75A16"/>
    <w:rsid w:val="00B7642A"/>
    <w:rsid w:val="00B76845"/>
    <w:rsid w:val="00B77433"/>
    <w:rsid w:val="00B77708"/>
    <w:rsid w:val="00B77FDF"/>
    <w:rsid w:val="00B8087D"/>
    <w:rsid w:val="00B80981"/>
    <w:rsid w:val="00B80B37"/>
    <w:rsid w:val="00B81971"/>
    <w:rsid w:val="00B828C4"/>
    <w:rsid w:val="00B82D67"/>
    <w:rsid w:val="00B832F5"/>
    <w:rsid w:val="00B835AA"/>
    <w:rsid w:val="00B83639"/>
    <w:rsid w:val="00B8387F"/>
    <w:rsid w:val="00B83AFB"/>
    <w:rsid w:val="00B84450"/>
    <w:rsid w:val="00B84528"/>
    <w:rsid w:val="00B84E0E"/>
    <w:rsid w:val="00B86C59"/>
    <w:rsid w:val="00B86D5D"/>
    <w:rsid w:val="00B87596"/>
    <w:rsid w:val="00B8771B"/>
    <w:rsid w:val="00B9082C"/>
    <w:rsid w:val="00B918CB"/>
    <w:rsid w:val="00B918FE"/>
    <w:rsid w:val="00B91940"/>
    <w:rsid w:val="00B923AB"/>
    <w:rsid w:val="00B92B8F"/>
    <w:rsid w:val="00B94CE5"/>
    <w:rsid w:val="00B95ACE"/>
    <w:rsid w:val="00B96733"/>
    <w:rsid w:val="00B96EF0"/>
    <w:rsid w:val="00BA26B3"/>
    <w:rsid w:val="00BA2721"/>
    <w:rsid w:val="00BA27EF"/>
    <w:rsid w:val="00BA2DD7"/>
    <w:rsid w:val="00BA2F85"/>
    <w:rsid w:val="00BA30B5"/>
    <w:rsid w:val="00BA3190"/>
    <w:rsid w:val="00BA3390"/>
    <w:rsid w:val="00BA398D"/>
    <w:rsid w:val="00BA417D"/>
    <w:rsid w:val="00BA5425"/>
    <w:rsid w:val="00BA5426"/>
    <w:rsid w:val="00BA576F"/>
    <w:rsid w:val="00BA618C"/>
    <w:rsid w:val="00BA6326"/>
    <w:rsid w:val="00BA68E8"/>
    <w:rsid w:val="00BA6D75"/>
    <w:rsid w:val="00BA7F85"/>
    <w:rsid w:val="00BB12DE"/>
    <w:rsid w:val="00BB1379"/>
    <w:rsid w:val="00BB3576"/>
    <w:rsid w:val="00BB3B42"/>
    <w:rsid w:val="00BB4146"/>
    <w:rsid w:val="00BB428F"/>
    <w:rsid w:val="00BB4787"/>
    <w:rsid w:val="00BB4926"/>
    <w:rsid w:val="00BB499F"/>
    <w:rsid w:val="00BB53A2"/>
    <w:rsid w:val="00BB6AA1"/>
    <w:rsid w:val="00BB7D9B"/>
    <w:rsid w:val="00BB7DD9"/>
    <w:rsid w:val="00BC0CAC"/>
    <w:rsid w:val="00BC0F30"/>
    <w:rsid w:val="00BC20B4"/>
    <w:rsid w:val="00BC2170"/>
    <w:rsid w:val="00BC29C0"/>
    <w:rsid w:val="00BC2FEF"/>
    <w:rsid w:val="00BC306C"/>
    <w:rsid w:val="00BC4020"/>
    <w:rsid w:val="00BC5315"/>
    <w:rsid w:val="00BC56CF"/>
    <w:rsid w:val="00BC595B"/>
    <w:rsid w:val="00BC5A44"/>
    <w:rsid w:val="00BC68D8"/>
    <w:rsid w:val="00BC7DAD"/>
    <w:rsid w:val="00BC7E68"/>
    <w:rsid w:val="00BD0888"/>
    <w:rsid w:val="00BD147C"/>
    <w:rsid w:val="00BD1CC5"/>
    <w:rsid w:val="00BD1DDF"/>
    <w:rsid w:val="00BD2B86"/>
    <w:rsid w:val="00BD3299"/>
    <w:rsid w:val="00BD32C6"/>
    <w:rsid w:val="00BD3711"/>
    <w:rsid w:val="00BD3AB5"/>
    <w:rsid w:val="00BD43CF"/>
    <w:rsid w:val="00BD4B50"/>
    <w:rsid w:val="00BD5632"/>
    <w:rsid w:val="00BD5D92"/>
    <w:rsid w:val="00BD5EE2"/>
    <w:rsid w:val="00BD63EC"/>
    <w:rsid w:val="00BD6C87"/>
    <w:rsid w:val="00BD78AF"/>
    <w:rsid w:val="00BD7CEB"/>
    <w:rsid w:val="00BE1ED3"/>
    <w:rsid w:val="00BE2121"/>
    <w:rsid w:val="00BE25E1"/>
    <w:rsid w:val="00BE3479"/>
    <w:rsid w:val="00BE492C"/>
    <w:rsid w:val="00BE4C75"/>
    <w:rsid w:val="00BE5069"/>
    <w:rsid w:val="00BE5132"/>
    <w:rsid w:val="00BE6317"/>
    <w:rsid w:val="00BE6C0D"/>
    <w:rsid w:val="00BE7361"/>
    <w:rsid w:val="00BE759B"/>
    <w:rsid w:val="00BE773F"/>
    <w:rsid w:val="00BF0830"/>
    <w:rsid w:val="00BF0CAD"/>
    <w:rsid w:val="00BF0FD6"/>
    <w:rsid w:val="00BF148C"/>
    <w:rsid w:val="00BF1818"/>
    <w:rsid w:val="00BF1F83"/>
    <w:rsid w:val="00BF1FF1"/>
    <w:rsid w:val="00BF2787"/>
    <w:rsid w:val="00BF2FF9"/>
    <w:rsid w:val="00BF48F9"/>
    <w:rsid w:val="00BF585E"/>
    <w:rsid w:val="00BF60A9"/>
    <w:rsid w:val="00BF60BA"/>
    <w:rsid w:val="00BF6E2F"/>
    <w:rsid w:val="00BF7575"/>
    <w:rsid w:val="00BF7ABF"/>
    <w:rsid w:val="00BF7ED2"/>
    <w:rsid w:val="00C009EF"/>
    <w:rsid w:val="00C01B4E"/>
    <w:rsid w:val="00C01D59"/>
    <w:rsid w:val="00C02980"/>
    <w:rsid w:val="00C02E6F"/>
    <w:rsid w:val="00C0391B"/>
    <w:rsid w:val="00C03A32"/>
    <w:rsid w:val="00C041FF"/>
    <w:rsid w:val="00C04682"/>
    <w:rsid w:val="00C047E7"/>
    <w:rsid w:val="00C05996"/>
    <w:rsid w:val="00C059B2"/>
    <w:rsid w:val="00C067AD"/>
    <w:rsid w:val="00C067F1"/>
    <w:rsid w:val="00C06EE0"/>
    <w:rsid w:val="00C07163"/>
    <w:rsid w:val="00C07BB6"/>
    <w:rsid w:val="00C07E9D"/>
    <w:rsid w:val="00C1086D"/>
    <w:rsid w:val="00C1097D"/>
    <w:rsid w:val="00C11107"/>
    <w:rsid w:val="00C11618"/>
    <w:rsid w:val="00C12C84"/>
    <w:rsid w:val="00C12FF6"/>
    <w:rsid w:val="00C1456E"/>
    <w:rsid w:val="00C15EDF"/>
    <w:rsid w:val="00C1702B"/>
    <w:rsid w:val="00C17F4A"/>
    <w:rsid w:val="00C200B9"/>
    <w:rsid w:val="00C20101"/>
    <w:rsid w:val="00C20A35"/>
    <w:rsid w:val="00C20A4C"/>
    <w:rsid w:val="00C2179A"/>
    <w:rsid w:val="00C2498C"/>
    <w:rsid w:val="00C24F97"/>
    <w:rsid w:val="00C25F3A"/>
    <w:rsid w:val="00C26044"/>
    <w:rsid w:val="00C302E7"/>
    <w:rsid w:val="00C30F54"/>
    <w:rsid w:val="00C317D5"/>
    <w:rsid w:val="00C31A6F"/>
    <w:rsid w:val="00C31AC5"/>
    <w:rsid w:val="00C31D22"/>
    <w:rsid w:val="00C3294A"/>
    <w:rsid w:val="00C32E6F"/>
    <w:rsid w:val="00C336F2"/>
    <w:rsid w:val="00C3535E"/>
    <w:rsid w:val="00C353FD"/>
    <w:rsid w:val="00C3585C"/>
    <w:rsid w:val="00C35D61"/>
    <w:rsid w:val="00C35E94"/>
    <w:rsid w:val="00C36823"/>
    <w:rsid w:val="00C37801"/>
    <w:rsid w:val="00C406AC"/>
    <w:rsid w:val="00C40A47"/>
    <w:rsid w:val="00C40F1D"/>
    <w:rsid w:val="00C4102F"/>
    <w:rsid w:val="00C41FBA"/>
    <w:rsid w:val="00C4220E"/>
    <w:rsid w:val="00C4231C"/>
    <w:rsid w:val="00C423FC"/>
    <w:rsid w:val="00C428E0"/>
    <w:rsid w:val="00C43600"/>
    <w:rsid w:val="00C43FF8"/>
    <w:rsid w:val="00C442AA"/>
    <w:rsid w:val="00C446A7"/>
    <w:rsid w:val="00C45C4C"/>
    <w:rsid w:val="00C46202"/>
    <w:rsid w:val="00C462D8"/>
    <w:rsid w:val="00C46922"/>
    <w:rsid w:val="00C5008D"/>
    <w:rsid w:val="00C503BD"/>
    <w:rsid w:val="00C5048D"/>
    <w:rsid w:val="00C518ED"/>
    <w:rsid w:val="00C51983"/>
    <w:rsid w:val="00C51A02"/>
    <w:rsid w:val="00C52AB8"/>
    <w:rsid w:val="00C554BA"/>
    <w:rsid w:val="00C55BE6"/>
    <w:rsid w:val="00C55DB2"/>
    <w:rsid w:val="00C561B9"/>
    <w:rsid w:val="00C570C0"/>
    <w:rsid w:val="00C600BB"/>
    <w:rsid w:val="00C60810"/>
    <w:rsid w:val="00C61CCE"/>
    <w:rsid w:val="00C6258E"/>
    <w:rsid w:val="00C62676"/>
    <w:rsid w:val="00C629EE"/>
    <w:rsid w:val="00C63206"/>
    <w:rsid w:val="00C6338D"/>
    <w:rsid w:val="00C6389A"/>
    <w:rsid w:val="00C63F97"/>
    <w:rsid w:val="00C64B7F"/>
    <w:rsid w:val="00C64E92"/>
    <w:rsid w:val="00C64F78"/>
    <w:rsid w:val="00C6605A"/>
    <w:rsid w:val="00C6634F"/>
    <w:rsid w:val="00C6693A"/>
    <w:rsid w:val="00C66CA9"/>
    <w:rsid w:val="00C67C75"/>
    <w:rsid w:val="00C703E0"/>
    <w:rsid w:val="00C7042E"/>
    <w:rsid w:val="00C70708"/>
    <w:rsid w:val="00C7106D"/>
    <w:rsid w:val="00C710CB"/>
    <w:rsid w:val="00C71416"/>
    <w:rsid w:val="00C71BF9"/>
    <w:rsid w:val="00C722FA"/>
    <w:rsid w:val="00C73EC7"/>
    <w:rsid w:val="00C7402E"/>
    <w:rsid w:val="00C7475B"/>
    <w:rsid w:val="00C753FE"/>
    <w:rsid w:val="00C75566"/>
    <w:rsid w:val="00C762D1"/>
    <w:rsid w:val="00C770FB"/>
    <w:rsid w:val="00C772E3"/>
    <w:rsid w:val="00C774C6"/>
    <w:rsid w:val="00C77835"/>
    <w:rsid w:val="00C77ACA"/>
    <w:rsid w:val="00C77EA5"/>
    <w:rsid w:val="00C82261"/>
    <w:rsid w:val="00C826D4"/>
    <w:rsid w:val="00C828FC"/>
    <w:rsid w:val="00C82ACD"/>
    <w:rsid w:val="00C82F16"/>
    <w:rsid w:val="00C83024"/>
    <w:rsid w:val="00C83DF7"/>
    <w:rsid w:val="00C84EDB"/>
    <w:rsid w:val="00C851BB"/>
    <w:rsid w:val="00C85B71"/>
    <w:rsid w:val="00C85D01"/>
    <w:rsid w:val="00C869FD"/>
    <w:rsid w:val="00C86FCC"/>
    <w:rsid w:val="00C87264"/>
    <w:rsid w:val="00C87AA7"/>
    <w:rsid w:val="00C905AA"/>
    <w:rsid w:val="00C90D48"/>
    <w:rsid w:val="00C9213F"/>
    <w:rsid w:val="00C92617"/>
    <w:rsid w:val="00C9292D"/>
    <w:rsid w:val="00C93003"/>
    <w:rsid w:val="00C9359C"/>
    <w:rsid w:val="00C936FD"/>
    <w:rsid w:val="00C94419"/>
    <w:rsid w:val="00C95242"/>
    <w:rsid w:val="00C9578B"/>
    <w:rsid w:val="00C968EE"/>
    <w:rsid w:val="00C96B2C"/>
    <w:rsid w:val="00C9760D"/>
    <w:rsid w:val="00C97925"/>
    <w:rsid w:val="00C97F06"/>
    <w:rsid w:val="00CA01AA"/>
    <w:rsid w:val="00CA06E3"/>
    <w:rsid w:val="00CA0C2A"/>
    <w:rsid w:val="00CA161C"/>
    <w:rsid w:val="00CA1A02"/>
    <w:rsid w:val="00CA1DB0"/>
    <w:rsid w:val="00CA27A3"/>
    <w:rsid w:val="00CA28B9"/>
    <w:rsid w:val="00CA2B2C"/>
    <w:rsid w:val="00CA342B"/>
    <w:rsid w:val="00CA353A"/>
    <w:rsid w:val="00CA4921"/>
    <w:rsid w:val="00CA493B"/>
    <w:rsid w:val="00CA63D4"/>
    <w:rsid w:val="00CA6E1A"/>
    <w:rsid w:val="00CA6E88"/>
    <w:rsid w:val="00CA7765"/>
    <w:rsid w:val="00CA77DA"/>
    <w:rsid w:val="00CB0B97"/>
    <w:rsid w:val="00CB12A4"/>
    <w:rsid w:val="00CB194D"/>
    <w:rsid w:val="00CB1B85"/>
    <w:rsid w:val="00CB1CCD"/>
    <w:rsid w:val="00CB206F"/>
    <w:rsid w:val="00CB50D2"/>
    <w:rsid w:val="00CB5246"/>
    <w:rsid w:val="00CB5993"/>
    <w:rsid w:val="00CB5B41"/>
    <w:rsid w:val="00CB5B8B"/>
    <w:rsid w:val="00CB623A"/>
    <w:rsid w:val="00CB6E93"/>
    <w:rsid w:val="00CB70D4"/>
    <w:rsid w:val="00CB7B29"/>
    <w:rsid w:val="00CC101C"/>
    <w:rsid w:val="00CC2234"/>
    <w:rsid w:val="00CC3D41"/>
    <w:rsid w:val="00CC53AB"/>
    <w:rsid w:val="00CC544B"/>
    <w:rsid w:val="00CC5B81"/>
    <w:rsid w:val="00CC5D92"/>
    <w:rsid w:val="00CC60F8"/>
    <w:rsid w:val="00CC6111"/>
    <w:rsid w:val="00CC6A5A"/>
    <w:rsid w:val="00CC7D68"/>
    <w:rsid w:val="00CD06DD"/>
    <w:rsid w:val="00CD2716"/>
    <w:rsid w:val="00CD5549"/>
    <w:rsid w:val="00CD5A38"/>
    <w:rsid w:val="00CD6276"/>
    <w:rsid w:val="00CD63EF"/>
    <w:rsid w:val="00CD650F"/>
    <w:rsid w:val="00CD7D8F"/>
    <w:rsid w:val="00CD7EED"/>
    <w:rsid w:val="00CE0139"/>
    <w:rsid w:val="00CE0890"/>
    <w:rsid w:val="00CE09E4"/>
    <w:rsid w:val="00CE1470"/>
    <w:rsid w:val="00CE1E49"/>
    <w:rsid w:val="00CE1F8B"/>
    <w:rsid w:val="00CE2B12"/>
    <w:rsid w:val="00CE3CCE"/>
    <w:rsid w:val="00CE3F79"/>
    <w:rsid w:val="00CE51AE"/>
    <w:rsid w:val="00CE51ED"/>
    <w:rsid w:val="00CE5DB9"/>
    <w:rsid w:val="00CE5EAA"/>
    <w:rsid w:val="00CE6966"/>
    <w:rsid w:val="00CE6CD0"/>
    <w:rsid w:val="00CE6E52"/>
    <w:rsid w:val="00CE7AFF"/>
    <w:rsid w:val="00CF0661"/>
    <w:rsid w:val="00CF171A"/>
    <w:rsid w:val="00CF17DF"/>
    <w:rsid w:val="00CF2311"/>
    <w:rsid w:val="00CF320C"/>
    <w:rsid w:val="00CF3500"/>
    <w:rsid w:val="00CF39AC"/>
    <w:rsid w:val="00CF3E77"/>
    <w:rsid w:val="00CF4431"/>
    <w:rsid w:val="00CF47CE"/>
    <w:rsid w:val="00CF6335"/>
    <w:rsid w:val="00CF6418"/>
    <w:rsid w:val="00CF72F8"/>
    <w:rsid w:val="00CF74F8"/>
    <w:rsid w:val="00CF7502"/>
    <w:rsid w:val="00CF7A99"/>
    <w:rsid w:val="00CF7CEE"/>
    <w:rsid w:val="00D001F0"/>
    <w:rsid w:val="00D0089B"/>
    <w:rsid w:val="00D00D1B"/>
    <w:rsid w:val="00D011FA"/>
    <w:rsid w:val="00D0144E"/>
    <w:rsid w:val="00D02601"/>
    <w:rsid w:val="00D02706"/>
    <w:rsid w:val="00D0386E"/>
    <w:rsid w:val="00D03AAE"/>
    <w:rsid w:val="00D03F07"/>
    <w:rsid w:val="00D04457"/>
    <w:rsid w:val="00D04C57"/>
    <w:rsid w:val="00D06276"/>
    <w:rsid w:val="00D06320"/>
    <w:rsid w:val="00D06966"/>
    <w:rsid w:val="00D072D3"/>
    <w:rsid w:val="00D07CCD"/>
    <w:rsid w:val="00D07FCC"/>
    <w:rsid w:val="00D07FE9"/>
    <w:rsid w:val="00D10B62"/>
    <w:rsid w:val="00D10D31"/>
    <w:rsid w:val="00D114FF"/>
    <w:rsid w:val="00D11BC2"/>
    <w:rsid w:val="00D11F86"/>
    <w:rsid w:val="00D12689"/>
    <w:rsid w:val="00D12DCA"/>
    <w:rsid w:val="00D12F31"/>
    <w:rsid w:val="00D13155"/>
    <w:rsid w:val="00D141E5"/>
    <w:rsid w:val="00D156CC"/>
    <w:rsid w:val="00D156E2"/>
    <w:rsid w:val="00D15942"/>
    <w:rsid w:val="00D1627E"/>
    <w:rsid w:val="00D16AA3"/>
    <w:rsid w:val="00D172EF"/>
    <w:rsid w:val="00D17DA1"/>
    <w:rsid w:val="00D20067"/>
    <w:rsid w:val="00D20533"/>
    <w:rsid w:val="00D20920"/>
    <w:rsid w:val="00D20EF6"/>
    <w:rsid w:val="00D216DB"/>
    <w:rsid w:val="00D2193F"/>
    <w:rsid w:val="00D22700"/>
    <w:rsid w:val="00D22750"/>
    <w:rsid w:val="00D22AFC"/>
    <w:rsid w:val="00D23DB3"/>
    <w:rsid w:val="00D24C0A"/>
    <w:rsid w:val="00D24E40"/>
    <w:rsid w:val="00D25A40"/>
    <w:rsid w:val="00D265D0"/>
    <w:rsid w:val="00D2697A"/>
    <w:rsid w:val="00D27421"/>
    <w:rsid w:val="00D27FF1"/>
    <w:rsid w:val="00D31827"/>
    <w:rsid w:val="00D31BB9"/>
    <w:rsid w:val="00D31C2B"/>
    <w:rsid w:val="00D31E05"/>
    <w:rsid w:val="00D32139"/>
    <w:rsid w:val="00D322EC"/>
    <w:rsid w:val="00D32759"/>
    <w:rsid w:val="00D329AB"/>
    <w:rsid w:val="00D32E0E"/>
    <w:rsid w:val="00D32E9B"/>
    <w:rsid w:val="00D3546F"/>
    <w:rsid w:val="00D354D6"/>
    <w:rsid w:val="00D358E5"/>
    <w:rsid w:val="00D37EB4"/>
    <w:rsid w:val="00D407E3"/>
    <w:rsid w:val="00D40B45"/>
    <w:rsid w:val="00D40D38"/>
    <w:rsid w:val="00D4159F"/>
    <w:rsid w:val="00D41CF5"/>
    <w:rsid w:val="00D42611"/>
    <w:rsid w:val="00D4295A"/>
    <w:rsid w:val="00D434B9"/>
    <w:rsid w:val="00D448FA"/>
    <w:rsid w:val="00D47688"/>
    <w:rsid w:val="00D478C0"/>
    <w:rsid w:val="00D502EE"/>
    <w:rsid w:val="00D506CC"/>
    <w:rsid w:val="00D5076F"/>
    <w:rsid w:val="00D5079D"/>
    <w:rsid w:val="00D52812"/>
    <w:rsid w:val="00D537A0"/>
    <w:rsid w:val="00D54048"/>
    <w:rsid w:val="00D54249"/>
    <w:rsid w:val="00D54C4D"/>
    <w:rsid w:val="00D54D8B"/>
    <w:rsid w:val="00D5561A"/>
    <w:rsid w:val="00D556F1"/>
    <w:rsid w:val="00D55BFB"/>
    <w:rsid w:val="00D5608D"/>
    <w:rsid w:val="00D56247"/>
    <w:rsid w:val="00D56CD9"/>
    <w:rsid w:val="00D60B84"/>
    <w:rsid w:val="00D61842"/>
    <w:rsid w:val="00D61C09"/>
    <w:rsid w:val="00D61E4D"/>
    <w:rsid w:val="00D62195"/>
    <w:rsid w:val="00D62203"/>
    <w:rsid w:val="00D628FB"/>
    <w:rsid w:val="00D62969"/>
    <w:rsid w:val="00D62DA9"/>
    <w:rsid w:val="00D6428C"/>
    <w:rsid w:val="00D6442D"/>
    <w:rsid w:val="00D644FB"/>
    <w:rsid w:val="00D64880"/>
    <w:rsid w:val="00D658D9"/>
    <w:rsid w:val="00D65A08"/>
    <w:rsid w:val="00D65A64"/>
    <w:rsid w:val="00D6605C"/>
    <w:rsid w:val="00D66448"/>
    <w:rsid w:val="00D6647F"/>
    <w:rsid w:val="00D669B4"/>
    <w:rsid w:val="00D669FB"/>
    <w:rsid w:val="00D671EA"/>
    <w:rsid w:val="00D67512"/>
    <w:rsid w:val="00D67537"/>
    <w:rsid w:val="00D67AC6"/>
    <w:rsid w:val="00D702B2"/>
    <w:rsid w:val="00D70452"/>
    <w:rsid w:val="00D706EA"/>
    <w:rsid w:val="00D707A7"/>
    <w:rsid w:val="00D70BA1"/>
    <w:rsid w:val="00D70F3D"/>
    <w:rsid w:val="00D72239"/>
    <w:rsid w:val="00D73897"/>
    <w:rsid w:val="00D738D2"/>
    <w:rsid w:val="00D73961"/>
    <w:rsid w:val="00D74680"/>
    <w:rsid w:val="00D74811"/>
    <w:rsid w:val="00D75A98"/>
    <w:rsid w:val="00D7605B"/>
    <w:rsid w:val="00D77001"/>
    <w:rsid w:val="00D7747B"/>
    <w:rsid w:val="00D803B8"/>
    <w:rsid w:val="00D8117A"/>
    <w:rsid w:val="00D814D0"/>
    <w:rsid w:val="00D824F6"/>
    <w:rsid w:val="00D826F0"/>
    <w:rsid w:val="00D82C07"/>
    <w:rsid w:val="00D83699"/>
    <w:rsid w:val="00D83D9D"/>
    <w:rsid w:val="00D846F6"/>
    <w:rsid w:val="00D84937"/>
    <w:rsid w:val="00D85968"/>
    <w:rsid w:val="00D85D25"/>
    <w:rsid w:val="00D85E62"/>
    <w:rsid w:val="00D86E17"/>
    <w:rsid w:val="00D87669"/>
    <w:rsid w:val="00D9275B"/>
    <w:rsid w:val="00D93656"/>
    <w:rsid w:val="00D93669"/>
    <w:rsid w:val="00D94A21"/>
    <w:rsid w:val="00D94D96"/>
    <w:rsid w:val="00D94FCE"/>
    <w:rsid w:val="00D95881"/>
    <w:rsid w:val="00D95C4A"/>
    <w:rsid w:val="00D95DB4"/>
    <w:rsid w:val="00D9632E"/>
    <w:rsid w:val="00D96F05"/>
    <w:rsid w:val="00D97A14"/>
    <w:rsid w:val="00DA0182"/>
    <w:rsid w:val="00DA0757"/>
    <w:rsid w:val="00DA08BF"/>
    <w:rsid w:val="00DA09DD"/>
    <w:rsid w:val="00DA1487"/>
    <w:rsid w:val="00DA15C9"/>
    <w:rsid w:val="00DA180E"/>
    <w:rsid w:val="00DA2139"/>
    <w:rsid w:val="00DA224E"/>
    <w:rsid w:val="00DA2BB7"/>
    <w:rsid w:val="00DA2E2B"/>
    <w:rsid w:val="00DA3391"/>
    <w:rsid w:val="00DA3905"/>
    <w:rsid w:val="00DA3D7E"/>
    <w:rsid w:val="00DA3E83"/>
    <w:rsid w:val="00DA475B"/>
    <w:rsid w:val="00DA4F36"/>
    <w:rsid w:val="00DA6385"/>
    <w:rsid w:val="00DA7136"/>
    <w:rsid w:val="00DA7618"/>
    <w:rsid w:val="00DA7DE7"/>
    <w:rsid w:val="00DB01A7"/>
    <w:rsid w:val="00DB09D2"/>
    <w:rsid w:val="00DB1531"/>
    <w:rsid w:val="00DB19A3"/>
    <w:rsid w:val="00DB1A88"/>
    <w:rsid w:val="00DB1F58"/>
    <w:rsid w:val="00DB2965"/>
    <w:rsid w:val="00DB2A1D"/>
    <w:rsid w:val="00DB2B56"/>
    <w:rsid w:val="00DB3AB8"/>
    <w:rsid w:val="00DB3C6A"/>
    <w:rsid w:val="00DB3CD1"/>
    <w:rsid w:val="00DB4C5F"/>
    <w:rsid w:val="00DB50A1"/>
    <w:rsid w:val="00DB51BC"/>
    <w:rsid w:val="00DB5BF3"/>
    <w:rsid w:val="00DB636B"/>
    <w:rsid w:val="00DB74AF"/>
    <w:rsid w:val="00DB7953"/>
    <w:rsid w:val="00DC000A"/>
    <w:rsid w:val="00DC00F8"/>
    <w:rsid w:val="00DC01B4"/>
    <w:rsid w:val="00DC1344"/>
    <w:rsid w:val="00DC181E"/>
    <w:rsid w:val="00DC2128"/>
    <w:rsid w:val="00DC22CB"/>
    <w:rsid w:val="00DC332D"/>
    <w:rsid w:val="00DC3A9B"/>
    <w:rsid w:val="00DC3F85"/>
    <w:rsid w:val="00DC4403"/>
    <w:rsid w:val="00DC4920"/>
    <w:rsid w:val="00DC5F9B"/>
    <w:rsid w:val="00DC6637"/>
    <w:rsid w:val="00DC6923"/>
    <w:rsid w:val="00DC6DED"/>
    <w:rsid w:val="00DC71A5"/>
    <w:rsid w:val="00DC741C"/>
    <w:rsid w:val="00DC75BE"/>
    <w:rsid w:val="00DC7845"/>
    <w:rsid w:val="00DC78A3"/>
    <w:rsid w:val="00DC7F3E"/>
    <w:rsid w:val="00DC7F7F"/>
    <w:rsid w:val="00DD049A"/>
    <w:rsid w:val="00DD1916"/>
    <w:rsid w:val="00DD1AE6"/>
    <w:rsid w:val="00DD1FF6"/>
    <w:rsid w:val="00DD25E4"/>
    <w:rsid w:val="00DD2E76"/>
    <w:rsid w:val="00DD57C3"/>
    <w:rsid w:val="00DD58AE"/>
    <w:rsid w:val="00DD6983"/>
    <w:rsid w:val="00DD6BDB"/>
    <w:rsid w:val="00DD7200"/>
    <w:rsid w:val="00DD7321"/>
    <w:rsid w:val="00DD7461"/>
    <w:rsid w:val="00DD7727"/>
    <w:rsid w:val="00DE035B"/>
    <w:rsid w:val="00DE0432"/>
    <w:rsid w:val="00DE0688"/>
    <w:rsid w:val="00DE1185"/>
    <w:rsid w:val="00DE19F4"/>
    <w:rsid w:val="00DE2D12"/>
    <w:rsid w:val="00DE36E9"/>
    <w:rsid w:val="00DE39BD"/>
    <w:rsid w:val="00DE46AB"/>
    <w:rsid w:val="00DE479F"/>
    <w:rsid w:val="00DE609E"/>
    <w:rsid w:val="00DE6158"/>
    <w:rsid w:val="00DE64EB"/>
    <w:rsid w:val="00DE6D9C"/>
    <w:rsid w:val="00DF02BE"/>
    <w:rsid w:val="00DF0C97"/>
    <w:rsid w:val="00DF230C"/>
    <w:rsid w:val="00DF5951"/>
    <w:rsid w:val="00DF7147"/>
    <w:rsid w:val="00DF78B9"/>
    <w:rsid w:val="00DF7E0E"/>
    <w:rsid w:val="00E001A8"/>
    <w:rsid w:val="00E00261"/>
    <w:rsid w:val="00E00862"/>
    <w:rsid w:val="00E012B4"/>
    <w:rsid w:val="00E028E3"/>
    <w:rsid w:val="00E03361"/>
    <w:rsid w:val="00E03EF6"/>
    <w:rsid w:val="00E040FA"/>
    <w:rsid w:val="00E042F4"/>
    <w:rsid w:val="00E0472F"/>
    <w:rsid w:val="00E04D88"/>
    <w:rsid w:val="00E05EA6"/>
    <w:rsid w:val="00E05FA4"/>
    <w:rsid w:val="00E06485"/>
    <w:rsid w:val="00E06560"/>
    <w:rsid w:val="00E06E5D"/>
    <w:rsid w:val="00E07783"/>
    <w:rsid w:val="00E07BDB"/>
    <w:rsid w:val="00E109F9"/>
    <w:rsid w:val="00E10FDB"/>
    <w:rsid w:val="00E114E4"/>
    <w:rsid w:val="00E11650"/>
    <w:rsid w:val="00E11C02"/>
    <w:rsid w:val="00E120FD"/>
    <w:rsid w:val="00E124AF"/>
    <w:rsid w:val="00E12EA2"/>
    <w:rsid w:val="00E13096"/>
    <w:rsid w:val="00E134EB"/>
    <w:rsid w:val="00E13F6C"/>
    <w:rsid w:val="00E16030"/>
    <w:rsid w:val="00E16662"/>
    <w:rsid w:val="00E1678B"/>
    <w:rsid w:val="00E16B09"/>
    <w:rsid w:val="00E17577"/>
    <w:rsid w:val="00E21295"/>
    <w:rsid w:val="00E218B3"/>
    <w:rsid w:val="00E223F4"/>
    <w:rsid w:val="00E225C3"/>
    <w:rsid w:val="00E22AF7"/>
    <w:rsid w:val="00E22DCE"/>
    <w:rsid w:val="00E24B93"/>
    <w:rsid w:val="00E257A9"/>
    <w:rsid w:val="00E25920"/>
    <w:rsid w:val="00E25A3A"/>
    <w:rsid w:val="00E25CFD"/>
    <w:rsid w:val="00E266AC"/>
    <w:rsid w:val="00E273D3"/>
    <w:rsid w:val="00E27959"/>
    <w:rsid w:val="00E304C5"/>
    <w:rsid w:val="00E312E4"/>
    <w:rsid w:val="00E31620"/>
    <w:rsid w:val="00E31632"/>
    <w:rsid w:val="00E3183D"/>
    <w:rsid w:val="00E31879"/>
    <w:rsid w:val="00E31EE6"/>
    <w:rsid w:val="00E325F4"/>
    <w:rsid w:val="00E327E5"/>
    <w:rsid w:val="00E3286E"/>
    <w:rsid w:val="00E32C60"/>
    <w:rsid w:val="00E32ED5"/>
    <w:rsid w:val="00E3357B"/>
    <w:rsid w:val="00E34077"/>
    <w:rsid w:val="00E34F2A"/>
    <w:rsid w:val="00E35C48"/>
    <w:rsid w:val="00E36B96"/>
    <w:rsid w:val="00E37050"/>
    <w:rsid w:val="00E370AB"/>
    <w:rsid w:val="00E3746D"/>
    <w:rsid w:val="00E405F7"/>
    <w:rsid w:val="00E41712"/>
    <w:rsid w:val="00E420F8"/>
    <w:rsid w:val="00E42534"/>
    <w:rsid w:val="00E42E12"/>
    <w:rsid w:val="00E44A50"/>
    <w:rsid w:val="00E44B09"/>
    <w:rsid w:val="00E45419"/>
    <w:rsid w:val="00E45B3E"/>
    <w:rsid w:val="00E460A8"/>
    <w:rsid w:val="00E4771C"/>
    <w:rsid w:val="00E503AF"/>
    <w:rsid w:val="00E50426"/>
    <w:rsid w:val="00E5074D"/>
    <w:rsid w:val="00E50F00"/>
    <w:rsid w:val="00E51155"/>
    <w:rsid w:val="00E512EF"/>
    <w:rsid w:val="00E51A6D"/>
    <w:rsid w:val="00E51DD8"/>
    <w:rsid w:val="00E51FD1"/>
    <w:rsid w:val="00E52447"/>
    <w:rsid w:val="00E530B6"/>
    <w:rsid w:val="00E53F4A"/>
    <w:rsid w:val="00E5498D"/>
    <w:rsid w:val="00E55A31"/>
    <w:rsid w:val="00E5641D"/>
    <w:rsid w:val="00E56759"/>
    <w:rsid w:val="00E569C8"/>
    <w:rsid w:val="00E57B10"/>
    <w:rsid w:val="00E6159B"/>
    <w:rsid w:val="00E6310E"/>
    <w:rsid w:val="00E63FB5"/>
    <w:rsid w:val="00E64D85"/>
    <w:rsid w:val="00E64FC5"/>
    <w:rsid w:val="00E6526E"/>
    <w:rsid w:val="00E6550F"/>
    <w:rsid w:val="00E66E82"/>
    <w:rsid w:val="00E671F3"/>
    <w:rsid w:val="00E675C5"/>
    <w:rsid w:val="00E676BA"/>
    <w:rsid w:val="00E67C0E"/>
    <w:rsid w:val="00E67C2C"/>
    <w:rsid w:val="00E71AC1"/>
    <w:rsid w:val="00E743A5"/>
    <w:rsid w:val="00E743C8"/>
    <w:rsid w:val="00E74543"/>
    <w:rsid w:val="00E757AF"/>
    <w:rsid w:val="00E75A5B"/>
    <w:rsid w:val="00E75AEB"/>
    <w:rsid w:val="00E75F91"/>
    <w:rsid w:val="00E7688C"/>
    <w:rsid w:val="00E76B71"/>
    <w:rsid w:val="00E76D5A"/>
    <w:rsid w:val="00E77F4D"/>
    <w:rsid w:val="00E80092"/>
    <w:rsid w:val="00E81A53"/>
    <w:rsid w:val="00E82139"/>
    <w:rsid w:val="00E8282E"/>
    <w:rsid w:val="00E82C0E"/>
    <w:rsid w:val="00E82CD0"/>
    <w:rsid w:val="00E83813"/>
    <w:rsid w:val="00E84D5F"/>
    <w:rsid w:val="00E85501"/>
    <w:rsid w:val="00E86278"/>
    <w:rsid w:val="00E86A81"/>
    <w:rsid w:val="00E875A6"/>
    <w:rsid w:val="00E87BE5"/>
    <w:rsid w:val="00E90CBB"/>
    <w:rsid w:val="00E91734"/>
    <w:rsid w:val="00E91DFC"/>
    <w:rsid w:val="00E9215A"/>
    <w:rsid w:val="00E92D18"/>
    <w:rsid w:val="00E92D20"/>
    <w:rsid w:val="00E943BA"/>
    <w:rsid w:val="00E955F3"/>
    <w:rsid w:val="00E957C5"/>
    <w:rsid w:val="00E95800"/>
    <w:rsid w:val="00E95FF3"/>
    <w:rsid w:val="00E96669"/>
    <w:rsid w:val="00EA19DF"/>
    <w:rsid w:val="00EA1A09"/>
    <w:rsid w:val="00EA1A46"/>
    <w:rsid w:val="00EA1BD8"/>
    <w:rsid w:val="00EA293D"/>
    <w:rsid w:val="00EA2F4F"/>
    <w:rsid w:val="00EA3045"/>
    <w:rsid w:val="00EA32F0"/>
    <w:rsid w:val="00EA3AA4"/>
    <w:rsid w:val="00EA4425"/>
    <w:rsid w:val="00EA4525"/>
    <w:rsid w:val="00EA463E"/>
    <w:rsid w:val="00EA5236"/>
    <w:rsid w:val="00EA5400"/>
    <w:rsid w:val="00EA583E"/>
    <w:rsid w:val="00EA5869"/>
    <w:rsid w:val="00EA5A19"/>
    <w:rsid w:val="00EB050A"/>
    <w:rsid w:val="00EB063A"/>
    <w:rsid w:val="00EB06FE"/>
    <w:rsid w:val="00EB07D3"/>
    <w:rsid w:val="00EB1619"/>
    <w:rsid w:val="00EB1E97"/>
    <w:rsid w:val="00EB2530"/>
    <w:rsid w:val="00EB2B28"/>
    <w:rsid w:val="00EB2EEB"/>
    <w:rsid w:val="00EB39C6"/>
    <w:rsid w:val="00EB5C63"/>
    <w:rsid w:val="00EB6FF1"/>
    <w:rsid w:val="00EB712C"/>
    <w:rsid w:val="00EC05C1"/>
    <w:rsid w:val="00EC0CCD"/>
    <w:rsid w:val="00EC1766"/>
    <w:rsid w:val="00EC1962"/>
    <w:rsid w:val="00EC1A36"/>
    <w:rsid w:val="00EC1E98"/>
    <w:rsid w:val="00EC2809"/>
    <w:rsid w:val="00EC280B"/>
    <w:rsid w:val="00EC427C"/>
    <w:rsid w:val="00EC5069"/>
    <w:rsid w:val="00EC5093"/>
    <w:rsid w:val="00EC52E1"/>
    <w:rsid w:val="00EC652F"/>
    <w:rsid w:val="00EC69F3"/>
    <w:rsid w:val="00EC6B7F"/>
    <w:rsid w:val="00EC784C"/>
    <w:rsid w:val="00EC7B88"/>
    <w:rsid w:val="00ED27D1"/>
    <w:rsid w:val="00ED2EC8"/>
    <w:rsid w:val="00ED3E43"/>
    <w:rsid w:val="00ED4AA1"/>
    <w:rsid w:val="00ED4D33"/>
    <w:rsid w:val="00ED7373"/>
    <w:rsid w:val="00ED7481"/>
    <w:rsid w:val="00EE0D84"/>
    <w:rsid w:val="00EE177D"/>
    <w:rsid w:val="00EE1AE2"/>
    <w:rsid w:val="00EE1C2E"/>
    <w:rsid w:val="00EE20B6"/>
    <w:rsid w:val="00EE273F"/>
    <w:rsid w:val="00EE285E"/>
    <w:rsid w:val="00EE2AAB"/>
    <w:rsid w:val="00EE3141"/>
    <w:rsid w:val="00EE3247"/>
    <w:rsid w:val="00EE3F4C"/>
    <w:rsid w:val="00EE414C"/>
    <w:rsid w:val="00EE4924"/>
    <w:rsid w:val="00EE4B95"/>
    <w:rsid w:val="00EE4D2A"/>
    <w:rsid w:val="00EE524C"/>
    <w:rsid w:val="00EE5C37"/>
    <w:rsid w:val="00EE6BAA"/>
    <w:rsid w:val="00EE6FE2"/>
    <w:rsid w:val="00EE7086"/>
    <w:rsid w:val="00EE7A24"/>
    <w:rsid w:val="00EF0988"/>
    <w:rsid w:val="00EF14D1"/>
    <w:rsid w:val="00EF1A83"/>
    <w:rsid w:val="00EF1E17"/>
    <w:rsid w:val="00EF2063"/>
    <w:rsid w:val="00EF2F22"/>
    <w:rsid w:val="00EF300D"/>
    <w:rsid w:val="00EF4B0A"/>
    <w:rsid w:val="00EF4BB5"/>
    <w:rsid w:val="00EF4E6A"/>
    <w:rsid w:val="00EF52C3"/>
    <w:rsid w:val="00EF58CD"/>
    <w:rsid w:val="00EF652F"/>
    <w:rsid w:val="00EF6DC3"/>
    <w:rsid w:val="00EF7B13"/>
    <w:rsid w:val="00F0059D"/>
    <w:rsid w:val="00F00678"/>
    <w:rsid w:val="00F00A19"/>
    <w:rsid w:val="00F00C33"/>
    <w:rsid w:val="00F010F7"/>
    <w:rsid w:val="00F014F5"/>
    <w:rsid w:val="00F0178E"/>
    <w:rsid w:val="00F01C91"/>
    <w:rsid w:val="00F038AE"/>
    <w:rsid w:val="00F04A52"/>
    <w:rsid w:val="00F05662"/>
    <w:rsid w:val="00F059B0"/>
    <w:rsid w:val="00F068A9"/>
    <w:rsid w:val="00F0740E"/>
    <w:rsid w:val="00F109B3"/>
    <w:rsid w:val="00F10C7D"/>
    <w:rsid w:val="00F1157C"/>
    <w:rsid w:val="00F125D7"/>
    <w:rsid w:val="00F13052"/>
    <w:rsid w:val="00F139C4"/>
    <w:rsid w:val="00F1408D"/>
    <w:rsid w:val="00F14B5A"/>
    <w:rsid w:val="00F1579D"/>
    <w:rsid w:val="00F15932"/>
    <w:rsid w:val="00F159D8"/>
    <w:rsid w:val="00F15BA0"/>
    <w:rsid w:val="00F15C32"/>
    <w:rsid w:val="00F16215"/>
    <w:rsid w:val="00F17636"/>
    <w:rsid w:val="00F17E54"/>
    <w:rsid w:val="00F20455"/>
    <w:rsid w:val="00F20836"/>
    <w:rsid w:val="00F21000"/>
    <w:rsid w:val="00F21002"/>
    <w:rsid w:val="00F2119A"/>
    <w:rsid w:val="00F21B3C"/>
    <w:rsid w:val="00F236B1"/>
    <w:rsid w:val="00F23E7B"/>
    <w:rsid w:val="00F2527A"/>
    <w:rsid w:val="00F25B15"/>
    <w:rsid w:val="00F26AF0"/>
    <w:rsid w:val="00F26E31"/>
    <w:rsid w:val="00F306E4"/>
    <w:rsid w:val="00F30A61"/>
    <w:rsid w:val="00F30E5E"/>
    <w:rsid w:val="00F314A3"/>
    <w:rsid w:val="00F31AB8"/>
    <w:rsid w:val="00F31D69"/>
    <w:rsid w:val="00F31EB1"/>
    <w:rsid w:val="00F32177"/>
    <w:rsid w:val="00F324A4"/>
    <w:rsid w:val="00F33304"/>
    <w:rsid w:val="00F334C0"/>
    <w:rsid w:val="00F34922"/>
    <w:rsid w:val="00F354FD"/>
    <w:rsid w:val="00F35508"/>
    <w:rsid w:val="00F355CC"/>
    <w:rsid w:val="00F356C8"/>
    <w:rsid w:val="00F35817"/>
    <w:rsid w:val="00F35EFD"/>
    <w:rsid w:val="00F35F3A"/>
    <w:rsid w:val="00F3607B"/>
    <w:rsid w:val="00F36198"/>
    <w:rsid w:val="00F36CA8"/>
    <w:rsid w:val="00F36FE0"/>
    <w:rsid w:val="00F40016"/>
    <w:rsid w:val="00F400F3"/>
    <w:rsid w:val="00F42076"/>
    <w:rsid w:val="00F4248F"/>
    <w:rsid w:val="00F430A4"/>
    <w:rsid w:val="00F43A67"/>
    <w:rsid w:val="00F44016"/>
    <w:rsid w:val="00F44333"/>
    <w:rsid w:val="00F44385"/>
    <w:rsid w:val="00F44AA7"/>
    <w:rsid w:val="00F4516A"/>
    <w:rsid w:val="00F4522A"/>
    <w:rsid w:val="00F453F9"/>
    <w:rsid w:val="00F457E9"/>
    <w:rsid w:val="00F45EDB"/>
    <w:rsid w:val="00F46137"/>
    <w:rsid w:val="00F46335"/>
    <w:rsid w:val="00F46489"/>
    <w:rsid w:val="00F46850"/>
    <w:rsid w:val="00F47096"/>
    <w:rsid w:val="00F50675"/>
    <w:rsid w:val="00F516C5"/>
    <w:rsid w:val="00F51DCB"/>
    <w:rsid w:val="00F5249E"/>
    <w:rsid w:val="00F527DC"/>
    <w:rsid w:val="00F528D5"/>
    <w:rsid w:val="00F52EE0"/>
    <w:rsid w:val="00F5393F"/>
    <w:rsid w:val="00F54A51"/>
    <w:rsid w:val="00F55C2A"/>
    <w:rsid w:val="00F56A7E"/>
    <w:rsid w:val="00F56D35"/>
    <w:rsid w:val="00F56D44"/>
    <w:rsid w:val="00F5783A"/>
    <w:rsid w:val="00F57C93"/>
    <w:rsid w:val="00F607B3"/>
    <w:rsid w:val="00F61B23"/>
    <w:rsid w:val="00F62199"/>
    <w:rsid w:val="00F62A16"/>
    <w:rsid w:val="00F62DEA"/>
    <w:rsid w:val="00F638C7"/>
    <w:rsid w:val="00F6394D"/>
    <w:rsid w:val="00F63CDA"/>
    <w:rsid w:val="00F641B2"/>
    <w:rsid w:val="00F643CE"/>
    <w:rsid w:val="00F65116"/>
    <w:rsid w:val="00F65505"/>
    <w:rsid w:val="00F664A3"/>
    <w:rsid w:val="00F675E7"/>
    <w:rsid w:val="00F676D1"/>
    <w:rsid w:val="00F67740"/>
    <w:rsid w:val="00F678B7"/>
    <w:rsid w:val="00F67CF8"/>
    <w:rsid w:val="00F70F94"/>
    <w:rsid w:val="00F7124F"/>
    <w:rsid w:val="00F7208E"/>
    <w:rsid w:val="00F72A1C"/>
    <w:rsid w:val="00F72D66"/>
    <w:rsid w:val="00F72DCC"/>
    <w:rsid w:val="00F734C6"/>
    <w:rsid w:val="00F743C0"/>
    <w:rsid w:val="00F7484F"/>
    <w:rsid w:val="00F753F1"/>
    <w:rsid w:val="00F75746"/>
    <w:rsid w:val="00F757F1"/>
    <w:rsid w:val="00F7641C"/>
    <w:rsid w:val="00F76B03"/>
    <w:rsid w:val="00F76E73"/>
    <w:rsid w:val="00F77927"/>
    <w:rsid w:val="00F77935"/>
    <w:rsid w:val="00F80057"/>
    <w:rsid w:val="00F803AC"/>
    <w:rsid w:val="00F80416"/>
    <w:rsid w:val="00F80A5D"/>
    <w:rsid w:val="00F8100B"/>
    <w:rsid w:val="00F81161"/>
    <w:rsid w:val="00F81329"/>
    <w:rsid w:val="00F81626"/>
    <w:rsid w:val="00F820F3"/>
    <w:rsid w:val="00F823E8"/>
    <w:rsid w:val="00F84883"/>
    <w:rsid w:val="00F8546B"/>
    <w:rsid w:val="00F86802"/>
    <w:rsid w:val="00F87214"/>
    <w:rsid w:val="00F87277"/>
    <w:rsid w:val="00F87412"/>
    <w:rsid w:val="00F90A99"/>
    <w:rsid w:val="00F9179F"/>
    <w:rsid w:val="00F91998"/>
    <w:rsid w:val="00F923DA"/>
    <w:rsid w:val="00F93B9D"/>
    <w:rsid w:val="00F93C2A"/>
    <w:rsid w:val="00F9425A"/>
    <w:rsid w:val="00F9483C"/>
    <w:rsid w:val="00F957DB"/>
    <w:rsid w:val="00F96183"/>
    <w:rsid w:val="00F96208"/>
    <w:rsid w:val="00F96246"/>
    <w:rsid w:val="00F9654C"/>
    <w:rsid w:val="00F965F5"/>
    <w:rsid w:val="00F96E73"/>
    <w:rsid w:val="00F972D3"/>
    <w:rsid w:val="00F976E6"/>
    <w:rsid w:val="00F97EA4"/>
    <w:rsid w:val="00FA0E0D"/>
    <w:rsid w:val="00FA149E"/>
    <w:rsid w:val="00FA15A9"/>
    <w:rsid w:val="00FA1D8E"/>
    <w:rsid w:val="00FA26F6"/>
    <w:rsid w:val="00FA3526"/>
    <w:rsid w:val="00FA38E4"/>
    <w:rsid w:val="00FA4190"/>
    <w:rsid w:val="00FA46A3"/>
    <w:rsid w:val="00FA4847"/>
    <w:rsid w:val="00FA50B6"/>
    <w:rsid w:val="00FA5493"/>
    <w:rsid w:val="00FA6509"/>
    <w:rsid w:val="00FA6E3C"/>
    <w:rsid w:val="00FA7255"/>
    <w:rsid w:val="00FA779C"/>
    <w:rsid w:val="00FA791A"/>
    <w:rsid w:val="00FB05F4"/>
    <w:rsid w:val="00FB0879"/>
    <w:rsid w:val="00FB0AC6"/>
    <w:rsid w:val="00FB1497"/>
    <w:rsid w:val="00FB20E2"/>
    <w:rsid w:val="00FB4B92"/>
    <w:rsid w:val="00FB4C2C"/>
    <w:rsid w:val="00FB52DD"/>
    <w:rsid w:val="00FB5640"/>
    <w:rsid w:val="00FB7B46"/>
    <w:rsid w:val="00FC0141"/>
    <w:rsid w:val="00FC0575"/>
    <w:rsid w:val="00FC08FB"/>
    <w:rsid w:val="00FC0A2F"/>
    <w:rsid w:val="00FC13DB"/>
    <w:rsid w:val="00FC176A"/>
    <w:rsid w:val="00FC1B89"/>
    <w:rsid w:val="00FC20F4"/>
    <w:rsid w:val="00FC30BC"/>
    <w:rsid w:val="00FC3387"/>
    <w:rsid w:val="00FC3E25"/>
    <w:rsid w:val="00FC4715"/>
    <w:rsid w:val="00FC498C"/>
    <w:rsid w:val="00FC4E3E"/>
    <w:rsid w:val="00FC5ED9"/>
    <w:rsid w:val="00FC6E5E"/>
    <w:rsid w:val="00FC714E"/>
    <w:rsid w:val="00FC73BE"/>
    <w:rsid w:val="00FD00B4"/>
    <w:rsid w:val="00FD06A2"/>
    <w:rsid w:val="00FD0709"/>
    <w:rsid w:val="00FD070E"/>
    <w:rsid w:val="00FD0E54"/>
    <w:rsid w:val="00FD0EF0"/>
    <w:rsid w:val="00FD185C"/>
    <w:rsid w:val="00FD18EB"/>
    <w:rsid w:val="00FD23F1"/>
    <w:rsid w:val="00FD4288"/>
    <w:rsid w:val="00FD43C2"/>
    <w:rsid w:val="00FD4517"/>
    <w:rsid w:val="00FD594D"/>
    <w:rsid w:val="00FD6042"/>
    <w:rsid w:val="00FD6197"/>
    <w:rsid w:val="00FD6BE2"/>
    <w:rsid w:val="00FD6FFF"/>
    <w:rsid w:val="00FD735D"/>
    <w:rsid w:val="00FD7FA4"/>
    <w:rsid w:val="00FE0314"/>
    <w:rsid w:val="00FE088D"/>
    <w:rsid w:val="00FE0DCD"/>
    <w:rsid w:val="00FE0EE8"/>
    <w:rsid w:val="00FE15C8"/>
    <w:rsid w:val="00FE2469"/>
    <w:rsid w:val="00FE26E6"/>
    <w:rsid w:val="00FE2C7E"/>
    <w:rsid w:val="00FE30A4"/>
    <w:rsid w:val="00FE3CF4"/>
    <w:rsid w:val="00FE4C24"/>
    <w:rsid w:val="00FE4D15"/>
    <w:rsid w:val="00FE58AB"/>
    <w:rsid w:val="00FE68D2"/>
    <w:rsid w:val="00FE6B34"/>
    <w:rsid w:val="00FE6F4E"/>
    <w:rsid w:val="00FF3403"/>
    <w:rsid w:val="00FF521F"/>
    <w:rsid w:val="00FF6CFA"/>
    <w:rsid w:val="00FF6EFD"/>
    <w:rsid w:val="00FF77B9"/>
    <w:rsid w:val="00FF7952"/>
    <w:rsid w:val="00FF7C19"/>
    <w:rsid w:val="00FF7CCC"/>
    <w:rsid w:val="01270094"/>
    <w:rsid w:val="01741464"/>
    <w:rsid w:val="02304712"/>
    <w:rsid w:val="0242549F"/>
    <w:rsid w:val="027D2D3A"/>
    <w:rsid w:val="034E3DBB"/>
    <w:rsid w:val="039567C1"/>
    <w:rsid w:val="039840F6"/>
    <w:rsid w:val="0438440B"/>
    <w:rsid w:val="04396C99"/>
    <w:rsid w:val="047E2E01"/>
    <w:rsid w:val="04B94CB4"/>
    <w:rsid w:val="04CB5FDF"/>
    <w:rsid w:val="04EF3B65"/>
    <w:rsid w:val="04F52BCB"/>
    <w:rsid w:val="051B6EBD"/>
    <w:rsid w:val="051E1A33"/>
    <w:rsid w:val="05316BAE"/>
    <w:rsid w:val="053B6FBB"/>
    <w:rsid w:val="055B706D"/>
    <w:rsid w:val="057D77DA"/>
    <w:rsid w:val="057F1CD7"/>
    <w:rsid w:val="05A7288B"/>
    <w:rsid w:val="05B72EA8"/>
    <w:rsid w:val="05C72C19"/>
    <w:rsid w:val="05DA3153"/>
    <w:rsid w:val="068018D0"/>
    <w:rsid w:val="06C565FB"/>
    <w:rsid w:val="06CA6F0E"/>
    <w:rsid w:val="07B22212"/>
    <w:rsid w:val="07B61A95"/>
    <w:rsid w:val="082E46E1"/>
    <w:rsid w:val="0840402D"/>
    <w:rsid w:val="091E7EC5"/>
    <w:rsid w:val="094075CA"/>
    <w:rsid w:val="09B9104A"/>
    <w:rsid w:val="0A335CE2"/>
    <w:rsid w:val="0A405F0F"/>
    <w:rsid w:val="0B0E35AD"/>
    <w:rsid w:val="0B883793"/>
    <w:rsid w:val="0B8956E5"/>
    <w:rsid w:val="0BA1674F"/>
    <w:rsid w:val="0C243E2A"/>
    <w:rsid w:val="0CE97A4D"/>
    <w:rsid w:val="0D044FAD"/>
    <w:rsid w:val="0D0D78C5"/>
    <w:rsid w:val="0D787973"/>
    <w:rsid w:val="0D945C06"/>
    <w:rsid w:val="0DB717F6"/>
    <w:rsid w:val="0E4634E0"/>
    <w:rsid w:val="0E5B3A0C"/>
    <w:rsid w:val="0E8C396F"/>
    <w:rsid w:val="0EBE0829"/>
    <w:rsid w:val="0F3A3224"/>
    <w:rsid w:val="0F9B5267"/>
    <w:rsid w:val="0F9D05FF"/>
    <w:rsid w:val="0FCA5AD3"/>
    <w:rsid w:val="10C1783C"/>
    <w:rsid w:val="10D10D1E"/>
    <w:rsid w:val="117A512E"/>
    <w:rsid w:val="12720635"/>
    <w:rsid w:val="12CB5EEF"/>
    <w:rsid w:val="12E94559"/>
    <w:rsid w:val="131A5191"/>
    <w:rsid w:val="137C4C7C"/>
    <w:rsid w:val="13CC3122"/>
    <w:rsid w:val="14357DDE"/>
    <w:rsid w:val="14432211"/>
    <w:rsid w:val="14B82098"/>
    <w:rsid w:val="14EC700B"/>
    <w:rsid w:val="14FC5A53"/>
    <w:rsid w:val="151F48AF"/>
    <w:rsid w:val="15B20C35"/>
    <w:rsid w:val="15EC5AE8"/>
    <w:rsid w:val="16D434AF"/>
    <w:rsid w:val="171D255A"/>
    <w:rsid w:val="17A411E0"/>
    <w:rsid w:val="180E23B5"/>
    <w:rsid w:val="19346A2C"/>
    <w:rsid w:val="194E5882"/>
    <w:rsid w:val="19537834"/>
    <w:rsid w:val="1964109A"/>
    <w:rsid w:val="19850CDD"/>
    <w:rsid w:val="19BA0B7E"/>
    <w:rsid w:val="1A2623A5"/>
    <w:rsid w:val="1A6801A3"/>
    <w:rsid w:val="1A6B148E"/>
    <w:rsid w:val="1ACB7166"/>
    <w:rsid w:val="1B2A3090"/>
    <w:rsid w:val="1B52352F"/>
    <w:rsid w:val="1B784E96"/>
    <w:rsid w:val="1B8161E5"/>
    <w:rsid w:val="1BA46498"/>
    <w:rsid w:val="1BF0048C"/>
    <w:rsid w:val="1C204B72"/>
    <w:rsid w:val="1C4C4D9E"/>
    <w:rsid w:val="1C5406CF"/>
    <w:rsid w:val="1C5811A9"/>
    <w:rsid w:val="1C760DB1"/>
    <w:rsid w:val="1C797609"/>
    <w:rsid w:val="1CC225DD"/>
    <w:rsid w:val="1CC51F1F"/>
    <w:rsid w:val="1D6B2E98"/>
    <w:rsid w:val="1D76424A"/>
    <w:rsid w:val="1DCB6EA5"/>
    <w:rsid w:val="1E58446C"/>
    <w:rsid w:val="1E600CA6"/>
    <w:rsid w:val="1E8B1540"/>
    <w:rsid w:val="1EA93970"/>
    <w:rsid w:val="1F884AE3"/>
    <w:rsid w:val="1FC70F13"/>
    <w:rsid w:val="1FE67A2A"/>
    <w:rsid w:val="20051B17"/>
    <w:rsid w:val="20322F5E"/>
    <w:rsid w:val="20365C9B"/>
    <w:rsid w:val="203F3A3F"/>
    <w:rsid w:val="204A5A59"/>
    <w:rsid w:val="20564A82"/>
    <w:rsid w:val="206A4A93"/>
    <w:rsid w:val="20BB6C85"/>
    <w:rsid w:val="210F5757"/>
    <w:rsid w:val="21D41C4A"/>
    <w:rsid w:val="21E008EA"/>
    <w:rsid w:val="21E47777"/>
    <w:rsid w:val="22142A77"/>
    <w:rsid w:val="22175505"/>
    <w:rsid w:val="221E32A1"/>
    <w:rsid w:val="223E6938"/>
    <w:rsid w:val="22D4131B"/>
    <w:rsid w:val="230C79F5"/>
    <w:rsid w:val="23511A08"/>
    <w:rsid w:val="23D32D86"/>
    <w:rsid w:val="23D47A6E"/>
    <w:rsid w:val="23E30F7D"/>
    <w:rsid w:val="23F01A88"/>
    <w:rsid w:val="246F79AD"/>
    <w:rsid w:val="24D5565B"/>
    <w:rsid w:val="25591046"/>
    <w:rsid w:val="2590650A"/>
    <w:rsid w:val="262D68A3"/>
    <w:rsid w:val="26417CD1"/>
    <w:rsid w:val="26853417"/>
    <w:rsid w:val="26894890"/>
    <w:rsid w:val="26B37D07"/>
    <w:rsid w:val="276044FA"/>
    <w:rsid w:val="27685E5A"/>
    <w:rsid w:val="282C6621"/>
    <w:rsid w:val="286B09FD"/>
    <w:rsid w:val="28823B1D"/>
    <w:rsid w:val="289E44DF"/>
    <w:rsid w:val="28BB15EC"/>
    <w:rsid w:val="28C47333"/>
    <w:rsid w:val="28E51BF8"/>
    <w:rsid w:val="2936506A"/>
    <w:rsid w:val="29F36FE0"/>
    <w:rsid w:val="2A392EBA"/>
    <w:rsid w:val="2A424296"/>
    <w:rsid w:val="2A665476"/>
    <w:rsid w:val="2BB24687"/>
    <w:rsid w:val="2BEA0493"/>
    <w:rsid w:val="2C0C79D5"/>
    <w:rsid w:val="2C1D4692"/>
    <w:rsid w:val="2C6110AC"/>
    <w:rsid w:val="2C67465C"/>
    <w:rsid w:val="2C8941F8"/>
    <w:rsid w:val="2CCA7B38"/>
    <w:rsid w:val="2D460466"/>
    <w:rsid w:val="2D693427"/>
    <w:rsid w:val="2DA97EE5"/>
    <w:rsid w:val="2DF132C8"/>
    <w:rsid w:val="2DFA17AB"/>
    <w:rsid w:val="2F7259F1"/>
    <w:rsid w:val="2FDB5CC5"/>
    <w:rsid w:val="303134C3"/>
    <w:rsid w:val="31000E7D"/>
    <w:rsid w:val="310966F9"/>
    <w:rsid w:val="314F1A18"/>
    <w:rsid w:val="316E04D9"/>
    <w:rsid w:val="31E8196D"/>
    <w:rsid w:val="32096279"/>
    <w:rsid w:val="32352D3F"/>
    <w:rsid w:val="32A72F4A"/>
    <w:rsid w:val="33F27615"/>
    <w:rsid w:val="342127BC"/>
    <w:rsid w:val="35AD4789"/>
    <w:rsid w:val="36B24C69"/>
    <w:rsid w:val="3761315B"/>
    <w:rsid w:val="37696568"/>
    <w:rsid w:val="37813D7F"/>
    <w:rsid w:val="378A27B4"/>
    <w:rsid w:val="388006F6"/>
    <w:rsid w:val="388A2D14"/>
    <w:rsid w:val="38D73AED"/>
    <w:rsid w:val="38E607DB"/>
    <w:rsid w:val="3912728A"/>
    <w:rsid w:val="39323D9E"/>
    <w:rsid w:val="395F1B8E"/>
    <w:rsid w:val="3A99316B"/>
    <w:rsid w:val="3AE8398C"/>
    <w:rsid w:val="3B7D3ED4"/>
    <w:rsid w:val="3BCE68FE"/>
    <w:rsid w:val="3C095919"/>
    <w:rsid w:val="3C2B2FCC"/>
    <w:rsid w:val="3C79332E"/>
    <w:rsid w:val="3C903142"/>
    <w:rsid w:val="3CA238C9"/>
    <w:rsid w:val="3CF0024D"/>
    <w:rsid w:val="3D1B2B3C"/>
    <w:rsid w:val="3D3F5331"/>
    <w:rsid w:val="3D4D0E07"/>
    <w:rsid w:val="3D81292A"/>
    <w:rsid w:val="3D8E7E05"/>
    <w:rsid w:val="3DB85315"/>
    <w:rsid w:val="3E726D31"/>
    <w:rsid w:val="3F490C31"/>
    <w:rsid w:val="3FB14895"/>
    <w:rsid w:val="3FD712C7"/>
    <w:rsid w:val="4089679F"/>
    <w:rsid w:val="40A1219A"/>
    <w:rsid w:val="40F1187B"/>
    <w:rsid w:val="41163263"/>
    <w:rsid w:val="428003B2"/>
    <w:rsid w:val="42A477E4"/>
    <w:rsid w:val="430E4C1A"/>
    <w:rsid w:val="437835D9"/>
    <w:rsid w:val="43CC78E6"/>
    <w:rsid w:val="441950C4"/>
    <w:rsid w:val="45252720"/>
    <w:rsid w:val="45910A50"/>
    <w:rsid w:val="467825C8"/>
    <w:rsid w:val="46855A4B"/>
    <w:rsid w:val="46A27346"/>
    <w:rsid w:val="46D7238C"/>
    <w:rsid w:val="46D755F8"/>
    <w:rsid w:val="46EE1E8D"/>
    <w:rsid w:val="48362755"/>
    <w:rsid w:val="48BC623E"/>
    <w:rsid w:val="48BE7AC2"/>
    <w:rsid w:val="49F00B99"/>
    <w:rsid w:val="4AAD488C"/>
    <w:rsid w:val="4B122CFD"/>
    <w:rsid w:val="4B4E04B7"/>
    <w:rsid w:val="4B9C3352"/>
    <w:rsid w:val="4C1919B7"/>
    <w:rsid w:val="4C2A657C"/>
    <w:rsid w:val="4C89590F"/>
    <w:rsid w:val="4E6D044E"/>
    <w:rsid w:val="4E95578B"/>
    <w:rsid w:val="4EBD4FC8"/>
    <w:rsid w:val="4F7E3F1A"/>
    <w:rsid w:val="4FB62B66"/>
    <w:rsid w:val="4FBC4948"/>
    <w:rsid w:val="4FED50E7"/>
    <w:rsid w:val="504340CD"/>
    <w:rsid w:val="506C4203"/>
    <w:rsid w:val="51463AF4"/>
    <w:rsid w:val="518A549C"/>
    <w:rsid w:val="521A10C4"/>
    <w:rsid w:val="523B06B4"/>
    <w:rsid w:val="52DD009F"/>
    <w:rsid w:val="52DF7371"/>
    <w:rsid w:val="52FD7A4F"/>
    <w:rsid w:val="531050B2"/>
    <w:rsid w:val="539E1E5B"/>
    <w:rsid w:val="53D81C5E"/>
    <w:rsid w:val="5433355D"/>
    <w:rsid w:val="548010BF"/>
    <w:rsid w:val="54855236"/>
    <w:rsid w:val="54BA63B6"/>
    <w:rsid w:val="54C8136A"/>
    <w:rsid w:val="54EC3572"/>
    <w:rsid w:val="551F2240"/>
    <w:rsid w:val="555D10CA"/>
    <w:rsid w:val="555E4E86"/>
    <w:rsid w:val="556F62D4"/>
    <w:rsid w:val="56396A17"/>
    <w:rsid w:val="563E37DD"/>
    <w:rsid w:val="56B247A1"/>
    <w:rsid w:val="56F47B7E"/>
    <w:rsid w:val="570A3FF4"/>
    <w:rsid w:val="571A3CDF"/>
    <w:rsid w:val="573F5E6E"/>
    <w:rsid w:val="578A05BF"/>
    <w:rsid w:val="58335A19"/>
    <w:rsid w:val="58501EDA"/>
    <w:rsid w:val="58EB7435"/>
    <w:rsid w:val="59077D7A"/>
    <w:rsid w:val="59083544"/>
    <w:rsid w:val="592A0548"/>
    <w:rsid w:val="59444C1B"/>
    <w:rsid w:val="594D3595"/>
    <w:rsid w:val="596C1687"/>
    <w:rsid w:val="5A350DBE"/>
    <w:rsid w:val="5A353C94"/>
    <w:rsid w:val="5A412053"/>
    <w:rsid w:val="5A4D042D"/>
    <w:rsid w:val="5B2C5C4C"/>
    <w:rsid w:val="5B9E3038"/>
    <w:rsid w:val="5BBA5D28"/>
    <w:rsid w:val="5BED19F4"/>
    <w:rsid w:val="5C0E6535"/>
    <w:rsid w:val="5C26315F"/>
    <w:rsid w:val="5CA666B6"/>
    <w:rsid w:val="5CB179C5"/>
    <w:rsid w:val="5CDC1C54"/>
    <w:rsid w:val="5CEE7C31"/>
    <w:rsid w:val="5D203FD6"/>
    <w:rsid w:val="5D8A7EB7"/>
    <w:rsid w:val="5D8E40F4"/>
    <w:rsid w:val="5E00069E"/>
    <w:rsid w:val="5EA502A8"/>
    <w:rsid w:val="5EF4726A"/>
    <w:rsid w:val="5F7E2967"/>
    <w:rsid w:val="5FB5175A"/>
    <w:rsid w:val="60212D3D"/>
    <w:rsid w:val="610324EB"/>
    <w:rsid w:val="610B478D"/>
    <w:rsid w:val="627C1875"/>
    <w:rsid w:val="62A15DA4"/>
    <w:rsid w:val="62D831F8"/>
    <w:rsid w:val="62D968EB"/>
    <w:rsid w:val="63604768"/>
    <w:rsid w:val="638B6788"/>
    <w:rsid w:val="6437264F"/>
    <w:rsid w:val="645F6E38"/>
    <w:rsid w:val="64645B83"/>
    <w:rsid w:val="646F010F"/>
    <w:rsid w:val="64766A7E"/>
    <w:rsid w:val="65FF60B8"/>
    <w:rsid w:val="661063CD"/>
    <w:rsid w:val="66867E32"/>
    <w:rsid w:val="66CC797F"/>
    <w:rsid w:val="66D66AC5"/>
    <w:rsid w:val="67224B97"/>
    <w:rsid w:val="681B21F4"/>
    <w:rsid w:val="689A4F37"/>
    <w:rsid w:val="68C17F78"/>
    <w:rsid w:val="68DA7C00"/>
    <w:rsid w:val="69D82783"/>
    <w:rsid w:val="69E1242B"/>
    <w:rsid w:val="6A3D3DFF"/>
    <w:rsid w:val="6A6C5263"/>
    <w:rsid w:val="6A8F5E03"/>
    <w:rsid w:val="6AEC269B"/>
    <w:rsid w:val="6AF26D6D"/>
    <w:rsid w:val="6B10435C"/>
    <w:rsid w:val="6B171960"/>
    <w:rsid w:val="6B3C494C"/>
    <w:rsid w:val="6BDC236A"/>
    <w:rsid w:val="6C216ACF"/>
    <w:rsid w:val="6C9E720C"/>
    <w:rsid w:val="6CCB01A1"/>
    <w:rsid w:val="6DBB7A2C"/>
    <w:rsid w:val="6DE94FF2"/>
    <w:rsid w:val="6DF71F59"/>
    <w:rsid w:val="6E3E1358"/>
    <w:rsid w:val="6E7E5383"/>
    <w:rsid w:val="6E88454A"/>
    <w:rsid w:val="6E971CE5"/>
    <w:rsid w:val="70150337"/>
    <w:rsid w:val="70294CD2"/>
    <w:rsid w:val="70FE47A5"/>
    <w:rsid w:val="71190330"/>
    <w:rsid w:val="71484884"/>
    <w:rsid w:val="71942299"/>
    <w:rsid w:val="71A72819"/>
    <w:rsid w:val="721F7401"/>
    <w:rsid w:val="723C64AD"/>
    <w:rsid w:val="727C3B9C"/>
    <w:rsid w:val="72982659"/>
    <w:rsid w:val="72C34A4E"/>
    <w:rsid w:val="72F1136F"/>
    <w:rsid w:val="73533BD7"/>
    <w:rsid w:val="73A20BE1"/>
    <w:rsid w:val="73B35FE0"/>
    <w:rsid w:val="73BE6D5C"/>
    <w:rsid w:val="7403775D"/>
    <w:rsid w:val="75431DF5"/>
    <w:rsid w:val="75A83403"/>
    <w:rsid w:val="75D2262A"/>
    <w:rsid w:val="75EE0105"/>
    <w:rsid w:val="76135043"/>
    <w:rsid w:val="76547256"/>
    <w:rsid w:val="767D2E2C"/>
    <w:rsid w:val="76907AF5"/>
    <w:rsid w:val="76D05882"/>
    <w:rsid w:val="76D86923"/>
    <w:rsid w:val="77170DB9"/>
    <w:rsid w:val="7729645E"/>
    <w:rsid w:val="773E029C"/>
    <w:rsid w:val="782869F8"/>
    <w:rsid w:val="785D0F4A"/>
    <w:rsid w:val="78E7533D"/>
    <w:rsid w:val="799333ED"/>
    <w:rsid w:val="79AA0C50"/>
    <w:rsid w:val="7A366FBF"/>
    <w:rsid w:val="7AAA72FB"/>
    <w:rsid w:val="7AF21ABD"/>
    <w:rsid w:val="7B38059E"/>
    <w:rsid w:val="7B91726B"/>
    <w:rsid w:val="7BE50FFB"/>
    <w:rsid w:val="7C215D74"/>
    <w:rsid w:val="7C82598B"/>
    <w:rsid w:val="7C9148A1"/>
    <w:rsid w:val="7CAA66E6"/>
    <w:rsid w:val="7CB873FA"/>
    <w:rsid w:val="7CD03826"/>
    <w:rsid w:val="7CDF13B5"/>
    <w:rsid w:val="7D5170DA"/>
    <w:rsid w:val="7D7609EE"/>
    <w:rsid w:val="7DB305D4"/>
    <w:rsid w:val="7E0E0A6A"/>
    <w:rsid w:val="7E7A28A3"/>
    <w:rsid w:val="7EC573B1"/>
    <w:rsid w:val="7F5E6069"/>
    <w:rsid w:val="7F5F04E4"/>
    <w:rsid w:val="7FE315B8"/>
    <w:rsid w:val="7FEE6A0D"/>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3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74"/>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link w:val="75"/>
    <w:qFormat/>
    <w:uiPriority w:val="0"/>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6"/>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7"/>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78"/>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9"/>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80"/>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1"/>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index 8"/>
    <w:basedOn w:val="1"/>
    <w:next w:val="1"/>
    <w:qFormat/>
    <w:uiPriority w:val="0"/>
    <w:pPr>
      <w:ind w:left="1400" w:leftChars="1400"/>
    </w:pPr>
    <w:rPr>
      <w:rFonts w:ascii="Times New Roman" w:hAnsi="Times New Roman" w:eastAsia="宋体" w:cs="Times New Roman"/>
      <w:kern w:val="1"/>
    </w:rPr>
  </w:style>
  <w:style w:type="paragraph" w:styleId="16">
    <w:name w:val="List Number"/>
    <w:basedOn w:val="1"/>
    <w:qFormat/>
    <w:uiPriority w:val="0"/>
    <w:pPr>
      <w:numPr>
        <w:ilvl w:val="0"/>
        <w:numId w:val="1"/>
      </w:numPr>
      <w:tabs>
        <w:tab w:val="left" w:pos="840"/>
      </w:tabs>
    </w:pPr>
    <w:rPr>
      <w:rFonts w:ascii="Calibri" w:hAnsi="Calibri"/>
      <w:sz w:val="28"/>
      <w:szCs w:val="22"/>
    </w:rPr>
  </w:style>
  <w:style w:type="paragraph" w:styleId="17">
    <w:name w:val="Normal Indent"/>
    <w:basedOn w:val="1"/>
    <w:link w:val="121"/>
    <w:qFormat/>
    <w:uiPriority w:val="99"/>
    <w:pPr>
      <w:ind w:firstLine="420" w:firstLineChars="200"/>
    </w:pPr>
    <w:rPr>
      <w:rFonts w:asciiTheme="minorHAnsi" w:hAnsiTheme="minorHAnsi" w:eastAsiaTheme="minorEastAsia" w:cstheme="minorBidi"/>
    </w:rPr>
  </w:style>
  <w:style w:type="paragraph" w:styleId="18">
    <w:name w:val="caption"/>
    <w:basedOn w:val="1"/>
    <w:next w:val="1"/>
    <w:link w:val="202"/>
    <w:qFormat/>
    <w:uiPriority w:val="0"/>
    <w:pPr>
      <w:widowControl/>
      <w:jc w:val="left"/>
    </w:pPr>
    <w:rPr>
      <w:rFonts w:ascii="Arial" w:hAnsi="Arial" w:eastAsia="黑体" w:cstheme="minorBidi"/>
      <w:szCs w:val="22"/>
    </w:rPr>
  </w:style>
  <w:style w:type="paragraph" w:styleId="19">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20">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1">
    <w:name w:val="Document Map"/>
    <w:basedOn w:val="1"/>
    <w:link w:val="258"/>
    <w:qFormat/>
    <w:uiPriority w:val="99"/>
    <w:pPr>
      <w:shd w:val="clear" w:color="auto" w:fill="000080"/>
    </w:pPr>
    <w:rPr>
      <w:rFonts w:asciiTheme="minorHAnsi" w:hAnsiTheme="minorHAnsi" w:eastAsiaTheme="minorEastAsia" w:cstheme="minorBidi"/>
    </w:rPr>
  </w:style>
  <w:style w:type="paragraph" w:styleId="22">
    <w:name w:val="toa heading"/>
    <w:basedOn w:val="1"/>
    <w:next w:val="1"/>
    <w:qFormat/>
    <w:uiPriority w:val="0"/>
    <w:pPr>
      <w:spacing w:before="120"/>
    </w:pPr>
    <w:rPr>
      <w:rFonts w:ascii="Arial" w:hAnsi="Arial" w:eastAsia="微软雅黑"/>
      <w:sz w:val="24"/>
      <w:szCs w:val="21"/>
    </w:rPr>
  </w:style>
  <w:style w:type="paragraph" w:styleId="23">
    <w:name w:val="annotation text"/>
    <w:basedOn w:val="1"/>
    <w:link w:val="245"/>
    <w:unhideWhenUsed/>
    <w:qFormat/>
    <w:uiPriority w:val="0"/>
    <w:pPr>
      <w:jc w:val="left"/>
    </w:pPr>
  </w:style>
  <w:style w:type="paragraph" w:styleId="24">
    <w:name w:val="Salutation"/>
    <w:basedOn w:val="1"/>
    <w:next w:val="1"/>
    <w:link w:val="255"/>
    <w:qFormat/>
    <w:uiPriority w:val="0"/>
    <w:rPr>
      <w:rFonts w:asciiTheme="minorHAnsi" w:hAnsiTheme="minorHAnsi" w:eastAsiaTheme="minorEastAsia" w:cstheme="minorBidi"/>
    </w:rPr>
  </w:style>
  <w:style w:type="paragraph" w:styleId="25">
    <w:name w:val="Body Text 3"/>
    <w:basedOn w:val="1"/>
    <w:link w:val="225"/>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6">
    <w:name w:val="Closing"/>
    <w:basedOn w:val="1"/>
    <w:link w:val="287"/>
    <w:qFormat/>
    <w:uiPriority w:val="0"/>
    <w:pPr>
      <w:ind w:left="100" w:leftChars="2100"/>
    </w:pPr>
    <w:rPr>
      <w:rFonts w:ascii="宋体" w:hAnsi="宋体" w:eastAsiaTheme="minorEastAsia" w:cstheme="minorBidi"/>
      <w:b/>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29"/>
    <w:link w:val="252"/>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customStyle="1" w:styleId="29">
    <w:name w:val="段"/>
    <w:link w:val="207"/>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paragraph" w:styleId="30">
    <w:name w:val="Body Text Indent"/>
    <w:basedOn w:val="1"/>
    <w:link w:val="222"/>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31">
    <w:name w:val="List 2"/>
    <w:basedOn w:val="1"/>
    <w:qFormat/>
    <w:uiPriority w:val="0"/>
    <w:pPr>
      <w:spacing w:beforeLines="50" w:afterLines="50" w:line="360" w:lineRule="auto"/>
      <w:ind w:left="100" w:leftChars="200" w:hanging="200" w:hangingChars="200"/>
    </w:pPr>
    <w:rPr>
      <w:sz w:val="24"/>
    </w:rPr>
  </w:style>
  <w:style w:type="paragraph" w:styleId="32">
    <w:name w:val="Block Text"/>
    <w:basedOn w:val="1"/>
    <w:qFormat/>
    <w:uiPriority w:val="0"/>
    <w:pPr>
      <w:spacing w:beforeLines="50" w:afterLines="50" w:line="360" w:lineRule="auto"/>
      <w:ind w:left="1440" w:leftChars="700" w:right="1440" w:rightChars="700"/>
    </w:pPr>
    <w:rPr>
      <w:sz w:val="24"/>
    </w:rPr>
  </w:style>
  <w:style w:type="paragraph" w:styleId="33">
    <w:name w:val="toc 5"/>
    <w:basedOn w:val="1"/>
    <w:next w:val="1"/>
    <w:qFormat/>
    <w:uiPriority w:val="39"/>
    <w:pPr>
      <w:ind w:left="840"/>
      <w:jc w:val="left"/>
    </w:pPr>
    <w:rPr>
      <w:sz w:val="18"/>
      <w:szCs w:val="18"/>
    </w:rPr>
  </w:style>
  <w:style w:type="paragraph" w:styleId="34">
    <w:name w:val="toc 3"/>
    <w:basedOn w:val="1"/>
    <w:next w:val="1"/>
    <w:qFormat/>
    <w:uiPriority w:val="39"/>
    <w:pPr>
      <w:ind w:left="420"/>
      <w:jc w:val="left"/>
    </w:pPr>
    <w:rPr>
      <w:i/>
      <w:iCs/>
      <w:sz w:val="20"/>
      <w:szCs w:val="20"/>
    </w:rPr>
  </w:style>
  <w:style w:type="paragraph" w:styleId="35">
    <w:name w:val="Plain Text"/>
    <w:basedOn w:val="1"/>
    <w:link w:val="237"/>
    <w:qFormat/>
    <w:uiPriority w:val="0"/>
    <w:rPr>
      <w:rFonts w:ascii="宋体" w:hAnsi="Courier New" w:cs="Courier New" w:eastAsiaTheme="minorEastAsia"/>
      <w:szCs w:val="21"/>
    </w:rPr>
  </w:style>
  <w:style w:type="paragraph" w:styleId="36">
    <w:name w:val="toc 8"/>
    <w:basedOn w:val="1"/>
    <w:next w:val="1"/>
    <w:qFormat/>
    <w:uiPriority w:val="39"/>
    <w:pPr>
      <w:ind w:left="1470"/>
      <w:jc w:val="left"/>
    </w:pPr>
    <w:rPr>
      <w:sz w:val="18"/>
      <w:szCs w:val="18"/>
    </w:rPr>
  </w:style>
  <w:style w:type="paragraph" w:styleId="37">
    <w:name w:val="Date"/>
    <w:basedOn w:val="1"/>
    <w:next w:val="1"/>
    <w:link w:val="262"/>
    <w:qFormat/>
    <w:uiPriority w:val="0"/>
    <w:pPr>
      <w:ind w:left="100" w:leftChars="2500"/>
    </w:pPr>
    <w:rPr>
      <w:rFonts w:eastAsia="仿宋_GB2312" w:asciiTheme="minorHAnsi" w:hAnsiTheme="minorHAnsi" w:cstheme="minorBidi"/>
      <w:color w:val="000000"/>
      <w:sz w:val="28"/>
    </w:rPr>
  </w:style>
  <w:style w:type="paragraph" w:styleId="38">
    <w:name w:val="Body Text Indent 2"/>
    <w:basedOn w:val="1"/>
    <w:link w:val="215"/>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9">
    <w:name w:val="endnote text"/>
    <w:basedOn w:val="1"/>
    <w:link w:val="291"/>
    <w:qFormat/>
    <w:uiPriority w:val="0"/>
    <w:pPr>
      <w:snapToGrid w:val="0"/>
      <w:jc w:val="left"/>
    </w:pPr>
    <w:rPr>
      <w:rFonts w:asciiTheme="minorHAnsi" w:hAnsiTheme="minorHAnsi" w:eastAsiaTheme="minorEastAsia" w:cstheme="minorBidi"/>
      <w:szCs w:val="22"/>
    </w:rPr>
  </w:style>
  <w:style w:type="paragraph" w:styleId="40">
    <w:name w:val="Balloon Text"/>
    <w:basedOn w:val="1"/>
    <w:link w:val="243"/>
    <w:qFormat/>
    <w:uiPriority w:val="0"/>
    <w:rPr>
      <w:rFonts w:asciiTheme="minorHAnsi" w:hAnsiTheme="minorHAnsi" w:eastAsiaTheme="minorEastAsia" w:cstheme="minorBidi"/>
      <w:sz w:val="18"/>
      <w:szCs w:val="18"/>
    </w:rPr>
  </w:style>
  <w:style w:type="paragraph" w:styleId="41">
    <w:name w:val="footer"/>
    <w:basedOn w:val="1"/>
    <w:link w:val="72"/>
    <w:unhideWhenUsed/>
    <w:qFormat/>
    <w:uiPriority w:val="99"/>
    <w:pPr>
      <w:tabs>
        <w:tab w:val="center" w:pos="4153"/>
        <w:tab w:val="right" w:pos="8306"/>
      </w:tabs>
      <w:snapToGrid w:val="0"/>
      <w:jc w:val="left"/>
    </w:pPr>
    <w:rPr>
      <w:sz w:val="18"/>
      <w:szCs w:val="18"/>
    </w:rPr>
  </w:style>
  <w:style w:type="paragraph" w:styleId="42">
    <w:name w:val="header"/>
    <w:basedOn w:val="1"/>
    <w:link w:val="71"/>
    <w:unhideWhenUsed/>
    <w:qFormat/>
    <w:uiPriority w:val="0"/>
    <w:pPr>
      <w:pBdr>
        <w:bottom w:val="single" w:color="auto" w:sz="6" w:space="1"/>
      </w:pBdr>
      <w:tabs>
        <w:tab w:val="center" w:pos="4153"/>
        <w:tab w:val="right" w:pos="8306"/>
      </w:tabs>
      <w:snapToGrid w:val="0"/>
      <w:jc w:val="center"/>
    </w:pPr>
    <w:rPr>
      <w:sz w:val="18"/>
      <w:szCs w:val="18"/>
    </w:rPr>
  </w:style>
  <w:style w:type="paragraph" w:styleId="43">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4">
    <w:name w:val="toc 4"/>
    <w:basedOn w:val="1"/>
    <w:next w:val="1"/>
    <w:qFormat/>
    <w:uiPriority w:val="39"/>
    <w:pPr>
      <w:ind w:left="630"/>
      <w:jc w:val="left"/>
    </w:pPr>
    <w:rPr>
      <w:sz w:val="18"/>
      <w:szCs w:val="18"/>
    </w:rPr>
  </w:style>
  <w:style w:type="paragraph" w:styleId="45">
    <w:name w:val="Subtitle"/>
    <w:basedOn w:val="1"/>
    <w:next w:val="1"/>
    <w:link w:val="28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6">
    <w:name w:val="List"/>
    <w:basedOn w:val="1"/>
    <w:qFormat/>
    <w:uiPriority w:val="0"/>
    <w:pPr>
      <w:ind w:left="420" w:hanging="420"/>
    </w:pPr>
    <w:rPr>
      <w:sz w:val="24"/>
      <w:szCs w:val="20"/>
    </w:rPr>
  </w:style>
  <w:style w:type="paragraph" w:styleId="47">
    <w:name w:val="footnote text"/>
    <w:basedOn w:val="1"/>
    <w:qFormat/>
    <w:uiPriority w:val="0"/>
    <w:pPr>
      <w:snapToGrid w:val="0"/>
      <w:jc w:val="left"/>
    </w:pPr>
    <w:rPr>
      <w:sz w:val="18"/>
    </w:rPr>
  </w:style>
  <w:style w:type="paragraph" w:styleId="48">
    <w:name w:val="toc 6"/>
    <w:basedOn w:val="1"/>
    <w:next w:val="1"/>
    <w:qFormat/>
    <w:uiPriority w:val="39"/>
    <w:pPr>
      <w:ind w:left="1050"/>
      <w:jc w:val="left"/>
    </w:pPr>
    <w:rPr>
      <w:sz w:val="18"/>
      <w:szCs w:val="18"/>
    </w:rPr>
  </w:style>
  <w:style w:type="paragraph" w:styleId="49">
    <w:name w:val="Body Text Indent 3"/>
    <w:basedOn w:val="1"/>
    <w:link w:val="247"/>
    <w:qFormat/>
    <w:uiPriority w:val="0"/>
    <w:pPr>
      <w:ind w:firstLine="480" w:firstLineChars="200"/>
    </w:pPr>
    <w:rPr>
      <w:rFonts w:ascii="幼圆" w:eastAsia="幼圆" w:hAnsiTheme="minorHAnsi" w:cstheme="minorBidi"/>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smallCaps/>
      <w:sz w:val="20"/>
      <w:szCs w:val="20"/>
    </w:rPr>
  </w:style>
  <w:style w:type="paragraph" w:styleId="52">
    <w:name w:val="toc 9"/>
    <w:basedOn w:val="1"/>
    <w:next w:val="1"/>
    <w:qFormat/>
    <w:uiPriority w:val="39"/>
    <w:pPr>
      <w:ind w:left="1680"/>
      <w:jc w:val="left"/>
    </w:pPr>
    <w:rPr>
      <w:sz w:val="18"/>
      <w:szCs w:val="18"/>
    </w:rPr>
  </w:style>
  <w:style w:type="paragraph" w:styleId="53">
    <w:name w:val="Body Text 2"/>
    <w:basedOn w:val="1"/>
    <w:link w:val="282"/>
    <w:qFormat/>
    <w:uiPriority w:val="0"/>
    <w:pPr>
      <w:jc w:val="center"/>
    </w:pPr>
    <w:rPr>
      <w:rFonts w:ascii="宋体" w:hAnsi="宋体" w:eastAsiaTheme="minorEastAsia" w:cstheme="minorBidi"/>
      <w:sz w:val="24"/>
    </w:rPr>
  </w:style>
  <w:style w:type="paragraph" w:styleId="54">
    <w:name w:val="HTML Preformatted"/>
    <w:basedOn w:val="1"/>
    <w:link w:val="2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6">
    <w:name w:val="index 1"/>
    <w:basedOn w:val="1"/>
    <w:next w:val="1"/>
    <w:qFormat/>
    <w:uiPriority w:val="0"/>
    <w:rPr>
      <w:kern w:val="0"/>
      <w:sz w:val="24"/>
      <w:szCs w:val="21"/>
    </w:rPr>
  </w:style>
  <w:style w:type="paragraph" w:styleId="57">
    <w:name w:val="Title"/>
    <w:basedOn w:val="1"/>
    <w:next w:val="1"/>
    <w:link w:val="228"/>
    <w:qFormat/>
    <w:uiPriority w:val="0"/>
    <w:pPr>
      <w:spacing w:before="240" w:after="60"/>
      <w:jc w:val="center"/>
      <w:outlineLvl w:val="0"/>
    </w:pPr>
    <w:rPr>
      <w:rFonts w:ascii="Arial" w:hAnsi="Arial" w:eastAsiaTheme="minorEastAsia" w:cstheme="minorBidi"/>
      <w:b/>
      <w:bCs/>
      <w:sz w:val="32"/>
      <w:szCs w:val="32"/>
    </w:rPr>
  </w:style>
  <w:style w:type="paragraph" w:styleId="58">
    <w:name w:val="annotation subject"/>
    <w:basedOn w:val="23"/>
    <w:next w:val="23"/>
    <w:link w:val="246"/>
    <w:qFormat/>
    <w:uiPriority w:val="0"/>
    <w:rPr>
      <w:rFonts w:asciiTheme="minorHAnsi" w:hAnsiTheme="minorHAnsi" w:eastAsiaTheme="minorEastAsia" w:cstheme="minorBidi"/>
      <w:b/>
    </w:rPr>
  </w:style>
  <w:style w:type="paragraph" w:styleId="59">
    <w:name w:val="Body Text First Indent"/>
    <w:basedOn w:val="28"/>
    <w:link w:val="281"/>
    <w:qFormat/>
    <w:uiPriority w:val="0"/>
    <w:pPr>
      <w:autoSpaceDE/>
      <w:autoSpaceDN/>
      <w:adjustRightInd/>
      <w:spacing w:after="120" w:line="240" w:lineRule="auto"/>
      <w:ind w:firstLine="420" w:firstLineChars="100"/>
      <w:jc w:val="both"/>
    </w:pPr>
    <w:rPr>
      <w:sz w:val="21"/>
    </w:rPr>
  </w:style>
  <w:style w:type="paragraph" w:styleId="60">
    <w:name w:val="Body Text First Indent 2"/>
    <w:basedOn w:val="30"/>
    <w:link w:val="233"/>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62">
    <w:name w:val="Table Grid"/>
    <w:basedOn w:val="6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4">
    <w:name w:val="Strong"/>
    <w:basedOn w:val="63"/>
    <w:qFormat/>
    <w:uiPriority w:val="22"/>
    <w:rPr>
      <w:b/>
      <w:bCs/>
    </w:rPr>
  </w:style>
  <w:style w:type="character" w:styleId="65">
    <w:name w:val="endnote reference"/>
    <w:qFormat/>
    <w:uiPriority w:val="0"/>
    <w:rPr>
      <w:vertAlign w:val="superscript"/>
    </w:rPr>
  </w:style>
  <w:style w:type="character" w:styleId="66">
    <w:name w:val="page number"/>
    <w:basedOn w:val="63"/>
    <w:qFormat/>
    <w:uiPriority w:val="0"/>
  </w:style>
  <w:style w:type="character" w:styleId="67">
    <w:name w:val="FollowedHyperlink"/>
    <w:qFormat/>
    <w:uiPriority w:val="99"/>
    <w:rPr>
      <w:color w:val="800080"/>
      <w:u w:val="single"/>
    </w:rPr>
  </w:style>
  <w:style w:type="character" w:styleId="68">
    <w:name w:val="Emphasis"/>
    <w:qFormat/>
    <w:uiPriority w:val="0"/>
    <w:rPr>
      <w:i/>
      <w:iCs/>
    </w:rPr>
  </w:style>
  <w:style w:type="character" w:styleId="69">
    <w:name w:val="Hyperlink"/>
    <w:qFormat/>
    <w:uiPriority w:val="99"/>
    <w:rPr>
      <w:color w:val="0000FF"/>
      <w:u w:val="single"/>
    </w:rPr>
  </w:style>
  <w:style w:type="character" w:styleId="70">
    <w:name w:val="annotation reference"/>
    <w:qFormat/>
    <w:uiPriority w:val="0"/>
    <w:rPr>
      <w:sz w:val="21"/>
    </w:rPr>
  </w:style>
  <w:style w:type="character" w:customStyle="1" w:styleId="71">
    <w:name w:val="页眉 Char"/>
    <w:basedOn w:val="63"/>
    <w:link w:val="42"/>
    <w:qFormat/>
    <w:uiPriority w:val="0"/>
    <w:rPr>
      <w:sz w:val="18"/>
      <w:szCs w:val="18"/>
    </w:rPr>
  </w:style>
  <w:style w:type="character" w:customStyle="1" w:styleId="72">
    <w:name w:val="页脚 Char"/>
    <w:basedOn w:val="63"/>
    <w:link w:val="41"/>
    <w:qFormat/>
    <w:uiPriority w:val="99"/>
    <w:rPr>
      <w:sz w:val="18"/>
      <w:szCs w:val="18"/>
    </w:rPr>
  </w:style>
  <w:style w:type="character" w:customStyle="1" w:styleId="73">
    <w:name w:val="标题 1 Char"/>
    <w:basedOn w:val="63"/>
    <w:link w:val="3"/>
    <w:qFormat/>
    <w:uiPriority w:val="0"/>
    <w:rPr>
      <w:rFonts w:ascii="Times New Roman" w:hAnsi="Times New Roman" w:eastAsia="宋体" w:cs="Times New Roman"/>
      <w:b/>
      <w:kern w:val="44"/>
      <w:sz w:val="32"/>
      <w:szCs w:val="20"/>
    </w:rPr>
  </w:style>
  <w:style w:type="character" w:customStyle="1" w:styleId="74">
    <w:name w:val="标题 2 Char"/>
    <w:basedOn w:val="63"/>
    <w:link w:val="4"/>
    <w:qFormat/>
    <w:uiPriority w:val="0"/>
    <w:rPr>
      <w:rFonts w:ascii="Arial" w:hAnsi="Arial" w:eastAsia="黑体" w:cs="Times New Roman"/>
      <w:b/>
      <w:bCs/>
      <w:sz w:val="32"/>
      <w:szCs w:val="32"/>
    </w:rPr>
  </w:style>
  <w:style w:type="character" w:customStyle="1" w:styleId="75">
    <w:name w:val="标题 3 Char"/>
    <w:basedOn w:val="63"/>
    <w:link w:val="2"/>
    <w:qFormat/>
    <w:uiPriority w:val="0"/>
    <w:rPr>
      <w:rFonts w:ascii="Times New Roman" w:hAnsi="Times New Roman" w:eastAsia="Arial Unicode MS" w:cs="Times New Roman"/>
      <w:b/>
      <w:szCs w:val="20"/>
    </w:rPr>
  </w:style>
  <w:style w:type="character" w:customStyle="1" w:styleId="76">
    <w:name w:val="标题 4 Char"/>
    <w:basedOn w:val="63"/>
    <w:link w:val="5"/>
    <w:qFormat/>
    <w:uiPriority w:val="0"/>
    <w:rPr>
      <w:rFonts w:ascii="Cambria" w:hAnsi="Cambria" w:eastAsia="宋体" w:cs="Times New Roman"/>
      <w:b/>
      <w:bCs/>
      <w:sz w:val="28"/>
      <w:szCs w:val="28"/>
    </w:rPr>
  </w:style>
  <w:style w:type="character" w:customStyle="1" w:styleId="77">
    <w:name w:val="标题 5 Char"/>
    <w:basedOn w:val="63"/>
    <w:link w:val="6"/>
    <w:qFormat/>
    <w:uiPriority w:val="0"/>
    <w:rPr>
      <w:rFonts w:ascii="Calibri" w:hAnsi="Calibri" w:eastAsia="宋体" w:cs="Times New Roman"/>
      <w:b/>
      <w:bCs/>
      <w:sz w:val="28"/>
      <w:szCs w:val="28"/>
    </w:rPr>
  </w:style>
  <w:style w:type="character" w:customStyle="1" w:styleId="78">
    <w:name w:val="标题 6 Char"/>
    <w:basedOn w:val="63"/>
    <w:link w:val="7"/>
    <w:qFormat/>
    <w:uiPriority w:val="0"/>
    <w:rPr>
      <w:rFonts w:ascii="Arial" w:hAnsi="Arial" w:eastAsia="黑体" w:cs="Times New Roman"/>
      <w:b/>
      <w:bCs/>
      <w:kern w:val="0"/>
      <w:sz w:val="24"/>
      <w:szCs w:val="24"/>
    </w:rPr>
  </w:style>
  <w:style w:type="character" w:customStyle="1" w:styleId="79">
    <w:name w:val="标题 7 Char"/>
    <w:basedOn w:val="63"/>
    <w:link w:val="8"/>
    <w:qFormat/>
    <w:uiPriority w:val="0"/>
    <w:rPr>
      <w:rFonts w:ascii="Times New Roman" w:hAnsi="Times New Roman" w:eastAsia="宋体" w:cs="Times New Roman"/>
      <w:b/>
      <w:bCs/>
      <w:kern w:val="0"/>
      <w:sz w:val="24"/>
      <w:szCs w:val="24"/>
    </w:rPr>
  </w:style>
  <w:style w:type="character" w:customStyle="1" w:styleId="80">
    <w:name w:val="标题 8 Char"/>
    <w:basedOn w:val="63"/>
    <w:link w:val="9"/>
    <w:qFormat/>
    <w:uiPriority w:val="0"/>
    <w:rPr>
      <w:rFonts w:ascii="Arial" w:hAnsi="Arial" w:eastAsia="黑体" w:cs="Times New Roman"/>
      <w:kern w:val="0"/>
      <w:sz w:val="24"/>
      <w:szCs w:val="24"/>
    </w:rPr>
  </w:style>
  <w:style w:type="character" w:customStyle="1" w:styleId="81">
    <w:name w:val="标题 9 Char"/>
    <w:basedOn w:val="63"/>
    <w:link w:val="10"/>
    <w:qFormat/>
    <w:uiPriority w:val="0"/>
    <w:rPr>
      <w:rFonts w:ascii="Arial" w:hAnsi="Arial" w:eastAsia="黑体" w:cs="Times New Roman"/>
      <w:kern w:val="0"/>
      <w:szCs w:val="21"/>
    </w:rPr>
  </w:style>
  <w:style w:type="character" w:customStyle="1" w:styleId="82">
    <w:name w:val="hei12"/>
    <w:basedOn w:val="63"/>
    <w:qFormat/>
    <w:uiPriority w:val="0"/>
  </w:style>
  <w:style w:type="character" w:customStyle="1" w:styleId="83">
    <w:name w:val="正文缩进2格 Char"/>
    <w:link w:val="84"/>
    <w:qFormat/>
    <w:uiPriority w:val="0"/>
    <w:rPr>
      <w:rFonts w:ascii="仿宋_GB2312" w:hAnsi="宋体" w:eastAsia="仿宋_GB2312"/>
      <w:sz w:val="31"/>
    </w:rPr>
  </w:style>
  <w:style w:type="paragraph" w:customStyle="1" w:styleId="84">
    <w:name w:val="正文缩进2格"/>
    <w:basedOn w:val="1"/>
    <w:link w:val="83"/>
    <w:qFormat/>
    <w:uiPriority w:val="0"/>
    <w:pPr>
      <w:spacing w:line="600" w:lineRule="exact"/>
      <w:ind w:firstLine="639" w:firstLineChars="206"/>
    </w:pPr>
    <w:rPr>
      <w:rFonts w:ascii="仿宋_GB2312" w:hAnsi="宋体" w:eastAsia="仿宋_GB2312" w:cstheme="minorBidi"/>
      <w:sz w:val="31"/>
      <w:szCs w:val="22"/>
    </w:rPr>
  </w:style>
  <w:style w:type="character" w:customStyle="1" w:styleId="85">
    <w:name w:val="font51"/>
    <w:qFormat/>
    <w:uiPriority w:val="0"/>
    <w:rPr>
      <w:rFonts w:hint="eastAsia" w:ascii="宋体" w:hAnsi="宋体" w:eastAsia="宋体" w:cs="宋体"/>
      <w:color w:val="000000"/>
      <w:sz w:val="20"/>
      <w:szCs w:val="20"/>
      <w:u w:val="none"/>
    </w:rPr>
  </w:style>
  <w:style w:type="character" w:customStyle="1" w:styleId="86">
    <w:name w:val="font61"/>
    <w:qFormat/>
    <w:uiPriority w:val="0"/>
    <w:rPr>
      <w:rFonts w:hint="default" w:ascii="Times New Roman" w:hAnsi="Times New Roman" w:cs="Times New Roman"/>
      <w:color w:val="000000"/>
      <w:sz w:val="20"/>
      <w:szCs w:val="20"/>
      <w:u w:val="none"/>
    </w:rPr>
  </w:style>
  <w:style w:type="character" w:customStyle="1" w:styleId="87">
    <w:name w:val="表中左小5 Char"/>
    <w:link w:val="88"/>
    <w:qFormat/>
    <w:uiPriority w:val="0"/>
    <w:rPr>
      <w:color w:val="0000FF"/>
      <w:sz w:val="18"/>
      <w:szCs w:val="18"/>
    </w:rPr>
  </w:style>
  <w:style w:type="paragraph" w:customStyle="1" w:styleId="88">
    <w:name w:val="表中左小5"/>
    <w:link w:val="87"/>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9">
    <w:name w:val="font71"/>
    <w:qFormat/>
    <w:uiPriority w:val="0"/>
    <w:rPr>
      <w:rFonts w:hint="eastAsia" w:ascii="宋体" w:hAnsi="宋体" w:eastAsia="宋体" w:cs="宋体"/>
      <w:color w:val="000000"/>
      <w:sz w:val="20"/>
      <w:szCs w:val="20"/>
      <w:u w:val="none"/>
    </w:rPr>
  </w:style>
  <w:style w:type="character" w:customStyle="1" w:styleId="90">
    <w:name w:val="z-窗体底端 Char"/>
    <w:qFormat/>
    <w:uiPriority w:val="99"/>
    <w:rPr>
      <w:rFonts w:ascii="Arial" w:hAnsi="Arial" w:cs="Arial"/>
      <w:vanish/>
      <w:sz w:val="16"/>
      <w:szCs w:val="16"/>
    </w:rPr>
  </w:style>
  <w:style w:type="paragraph" w:customStyle="1" w:styleId="91">
    <w:name w:val="z-窗体底端1"/>
    <w:basedOn w:val="1"/>
    <w:next w:val="1"/>
    <w:link w:val="277"/>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2">
    <w:name w:val="ca-251"/>
    <w:qFormat/>
    <w:uiPriority w:val="0"/>
    <w:rPr>
      <w:rFonts w:hint="default" w:ascii="Times New Roman" w:hAnsi="Times New Roman" w:cs="Times New Roman"/>
      <w:sz w:val="24"/>
      <w:szCs w:val="24"/>
    </w:rPr>
  </w:style>
  <w:style w:type="character" w:customStyle="1" w:styleId="93">
    <w:name w:val="Char Char3"/>
    <w:semiHidden/>
    <w:qFormat/>
    <w:uiPriority w:val="0"/>
    <w:rPr>
      <w:sz w:val="18"/>
      <w:szCs w:val="18"/>
    </w:rPr>
  </w:style>
  <w:style w:type="character" w:customStyle="1" w:styleId="94">
    <w:name w:val="批注文字 Char"/>
    <w:qFormat/>
    <w:uiPriority w:val="0"/>
    <w:rPr>
      <w:kern w:val="2"/>
      <w:sz w:val="21"/>
      <w:szCs w:val="24"/>
    </w:rPr>
  </w:style>
  <w:style w:type="character" w:customStyle="1" w:styleId="95">
    <w:name w:val="apple-converted-space"/>
    <w:basedOn w:val="63"/>
    <w:qFormat/>
    <w:uiPriority w:val="0"/>
  </w:style>
  <w:style w:type="character" w:customStyle="1" w:styleId="96">
    <w:name w:val="chanpinname"/>
    <w:basedOn w:val="63"/>
    <w:qFormat/>
    <w:uiPriority w:val="0"/>
  </w:style>
  <w:style w:type="character" w:customStyle="1" w:styleId="97">
    <w:name w:val="副标题 Char"/>
    <w:qFormat/>
    <w:uiPriority w:val="0"/>
    <w:rPr>
      <w:rFonts w:ascii="Cambria" w:hAnsi="Cambria"/>
      <w:b/>
      <w:bCs/>
      <w:kern w:val="28"/>
      <w:sz w:val="32"/>
      <w:szCs w:val="32"/>
    </w:rPr>
  </w:style>
  <w:style w:type="character" w:customStyle="1" w:styleId="98">
    <w:name w:val="ca-231"/>
    <w:qFormat/>
    <w:uiPriority w:val="0"/>
    <w:rPr>
      <w:rFonts w:hint="eastAsia" w:ascii="宋体" w:hAnsi="宋体" w:eastAsia="宋体"/>
      <w:sz w:val="24"/>
      <w:szCs w:val="24"/>
    </w:rPr>
  </w:style>
  <w:style w:type="character" w:customStyle="1" w:styleId="99">
    <w:name w:val="Figure Text Char"/>
    <w:link w:val="100"/>
    <w:qFormat/>
    <w:uiPriority w:val="0"/>
    <w:rPr>
      <w:rFonts w:ascii="Arial" w:hAnsi="Arial" w:cs="Arial"/>
      <w:sz w:val="18"/>
      <w:szCs w:val="18"/>
      <w:lang w:eastAsia="en-US"/>
    </w:rPr>
  </w:style>
  <w:style w:type="paragraph" w:customStyle="1" w:styleId="100">
    <w:name w:val="Figure Text"/>
    <w:link w:val="99"/>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101">
    <w:name w:val="font91"/>
    <w:qFormat/>
    <w:uiPriority w:val="0"/>
    <w:rPr>
      <w:rFonts w:hint="eastAsia" w:ascii="宋体" w:hAnsi="宋体" w:eastAsia="宋体" w:cs="宋体"/>
      <w:color w:val="000000"/>
      <w:sz w:val="20"/>
      <w:szCs w:val="20"/>
      <w:u w:val="none"/>
    </w:rPr>
  </w:style>
  <w:style w:type="character" w:customStyle="1" w:styleId="102">
    <w:name w:val="正文小四 Char"/>
    <w:link w:val="103"/>
    <w:qFormat/>
    <w:uiPriority w:val="0"/>
    <w:rPr>
      <w:rFonts w:ascii="宋体" w:hAnsi="宋体"/>
      <w:sz w:val="24"/>
    </w:rPr>
  </w:style>
  <w:style w:type="paragraph" w:customStyle="1" w:styleId="103">
    <w:name w:val="正文小四"/>
    <w:link w:val="102"/>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4">
    <w:name w:val="正文文本 3 Char"/>
    <w:qFormat/>
    <w:uiPriority w:val="0"/>
    <w:rPr>
      <w:sz w:val="16"/>
      <w:szCs w:val="16"/>
    </w:rPr>
  </w:style>
  <w:style w:type="character" w:customStyle="1" w:styleId="105">
    <w:name w:val="font01"/>
    <w:basedOn w:val="63"/>
    <w:qFormat/>
    <w:uiPriority w:val="0"/>
    <w:rPr>
      <w:rFonts w:hint="eastAsia" w:ascii="宋体" w:hAnsi="宋体" w:eastAsia="宋体" w:cs="宋体"/>
      <w:color w:val="000000"/>
      <w:sz w:val="24"/>
      <w:szCs w:val="24"/>
      <w:u w:val="none"/>
      <w:vertAlign w:val="superscript"/>
    </w:rPr>
  </w:style>
  <w:style w:type="character" w:customStyle="1" w:styleId="106">
    <w:name w:val="Table Description Char Char"/>
    <w:link w:val="107"/>
    <w:qFormat/>
    <w:uiPriority w:val="0"/>
    <w:rPr>
      <w:rFonts w:ascii="Arial" w:hAnsi="Arial" w:eastAsia="黑体"/>
      <w:sz w:val="18"/>
    </w:rPr>
  </w:style>
  <w:style w:type="paragraph" w:customStyle="1" w:styleId="107">
    <w:name w:val="Table Description"/>
    <w:next w:val="1"/>
    <w:link w:val="106"/>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8">
    <w:name w:val="表格标题(居中) Char"/>
    <w:link w:val="109"/>
    <w:qFormat/>
    <w:uiPriority w:val="0"/>
    <w:rPr>
      <w:rFonts w:eastAsia="黑体"/>
      <w:sz w:val="24"/>
    </w:rPr>
  </w:style>
  <w:style w:type="paragraph" w:customStyle="1" w:styleId="109">
    <w:name w:val="表格标题(居中)"/>
    <w:basedOn w:val="1"/>
    <w:link w:val="108"/>
    <w:qFormat/>
    <w:uiPriority w:val="0"/>
    <w:pPr>
      <w:snapToGrid w:val="0"/>
      <w:spacing w:line="300" w:lineRule="auto"/>
      <w:jc w:val="center"/>
    </w:pPr>
    <w:rPr>
      <w:rFonts w:eastAsia="黑体" w:asciiTheme="minorHAnsi" w:hAnsiTheme="minorHAnsi" w:cstheme="minorBidi"/>
      <w:sz w:val="24"/>
      <w:szCs w:val="22"/>
    </w:rPr>
  </w:style>
  <w:style w:type="character" w:customStyle="1" w:styleId="110">
    <w:name w:val="称呼 Char"/>
    <w:qFormat/>
    <w:uiPriority w:val="0"/>
    <w:rPr>
      <w:szCs w:val="24"/>
    </w:rPr>
  </w:style>
  <w:style w:type="character" w:customStyle="1" w:styleId="111">
    <w:name w:val="样式 目录 2 + 宋体 Char"/>
    <w:link w:val="112"/>
    <w:qFormat/>
    <w:uiPriority w:val="0"/>
    <w:rPr>
      <w:rFonts w:ascii="宋体" w:hAnsi="宋体"/>
      <w:sz w:val="28"/>
    </w:rPr>
  </w:style>
  <w:style w:type="paragraph" w:customStyle="1" w:styleId="112">
    <w:name w:val="样式 目录 2 + 宋体"/>
    <w:basedOn w:val="28"/>
    <w:next w:val="28"/>
    <w:link w:val="111"/>
    <w:qFormat/>
    <w:uiPriority w:val="0"/>
    <w:pPr>
      <w:autoSpaceDE/>
      <w:autoSpaceDN/>
      <w:adjustRightInd/>
      <w:spacing w:after="120" w:line="240" w:lineRule="auto"/>
      <w:jc w:val="both"/>
    </w:pPr>
    <w:rPr>
      <w:rFonts w:hAnsi="宋体"/>
      <w:color w:val="auto"/>
      <w:szCs w:val="22"/>
    </w:rPr>
  </w:style>
  <w:style w:type="character" w:customStyle="1" w:styleId="113">
    <w:name w:val="副标题 Char1"/>
    <w:qFormat/>
    <w:uiPriority w:val="0"/>
    <w:rPr>
      <w:rFonts w:ascii="Cambria" w:hAnsi="Cambria" w:cs="Times New Roman"/>
      <w:b/>
      <w:bCs/>
      <w:kern w:val="28"/>
      <w:sz w:val="32"/>
      <w:szCs w:val="32"/>
    </w:rPr>
  </w:style>
  <w:style w:type="character" w:customStyle="1" w:styleId="114">
    <w:name w:val="正文首行缩进 Char"/>
    <w:qFormat/>
    <w:uiPriority w:val="0"/>
    <w:rPr>
      <w:rFonts w:ascii="宋体"/>
      <w:color w:val="000000"/>
      <w:szCs w:val="32"/>
    </w:rPr>
  </w:style>
  <w:style w:type="character" w:customStyle="1" w:styleId="115">
    <w:name w:val="正文文本缩进 2 Char"/>
    <w:qFormat/>
    <w:locked/>
    <w:uiPriority w:val="0"/>
    <w:rPr>
      <w:rFonts w:ascii="幼圆" w:eastAsia="幼圆"/>
      <w:color w:val="000000"/>
      <w:sz w:val="30"/>
      <w:szCs w:val="32"/>
    </w:rPr>
  </w:style>
  <w:style w:type="character" w:customStyle="1" w:styleId="116">
    <w:name w:val="font81"/>
    <w:qFormat/>
    <w:uiPriority w:val="0"/>
    <w:rPr>
      <w:rFonts w:hint="eastAsia" w:ascii="宋体" w:hAnsi="宋体" w:eastAsia="宋体" w:cs="宋体"/>
      <w:color w:val="000000"/>
      <w:sz w:val="20"/>
      <w:szCs w:val="20"/>
      <w:u w:val="none"/>
    </w:rPr>
  </w:style>
  <w:style w:type="character" w:customStyle="1" w:styleId="117">
    <w:name w:val="正文文本 Char"/>
    <w:qFormat/>
    <w:uiPriority w:val="0"/>
    <w:rPr>
      <w:rFonts w:ascii="宋体"/>
      <w:color w:val="000000"/>
      <w:sz w:val="28"/>
      <w:szCs w:val="32"/>
    </w:rPr>
  </w:style>
  <w:style w:type="character" w:customStyle="1" w:styleId="118">
    <w:name w:val="尾注文本 Char"/>
    <w:basedOn w:val="63"/>
    <w:qFormat/>
    <w:uiPriority w:val="0"/>
  </w:style>
  <w:style w:type="character" w:customStyle="1" w:styleId="119">
    <w:name w:val="HTML 预设格式 Char1"/>
    <w:semiHidden/>
    <w:qFormat/>
    <w:uiPriority w:val="0"/>
    <w:rPr>
      <w:rFonts w:ascii="Courier New" w:hAnsi="Courier New" w:eastAsia="宋体" w:cs="Courier New"/>
      <w:sz w:val="20"/>
      <w:szCs w:val="20"/>
    </w:rPr>
  </w:style>
  <w:style w:type="character" w:customStyle="1" w:styleId="120">
    <w:name w:val="3zw1"/>
    <w:qFormat/>
    <w:uiPriority w:val="0"/>
    <w:rPr>
      <w:color w:val="000000"/>
      <w:sz w:val="21"/>
      <w:szCs w:val="21"/>
    </w:rPr>
  </w:style>
  <w:style w:type="character" w:customStyle="1" w:styleId="121">
    <w:name w:val="正文缩进 Char"/>
    <w:link w:val="17"/>
    <w:qFormat/>
    <w:uiPriority w:val="0"/>
    <w:rPr>
      <w:szCs w:val="24"/>
    </w:rPr>
  </w:style>
  <w:style w:type="character" w:customStyle="1" w:styleId="122">
    <w:name w:val="正文2级 Char"/>
    <w:link w:val="123"/>
    <w:qFormat/>
    <w:uiPriority w:val="0"/>
    <w:rPr>
      <w:bCs/>
      <w:kern w:val="44"/>
      <w:sz w:val="24"/>
      <w:szCs w:val="44"/>
    </w:rPr>
  </w:style>
  <w:style w:type="paragraph" w:customStyle="1" w:styleId="123">
    <w:name w:val="正文2级"/>
    <w:link w:val="122"/>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4">
    <w:name w:val="param-name"/>
    <w:qFormat/>
    <w:uiPriority w:val="0"/>
  </w:style>
  <w:style w:type="character" w:customStyle="1" w:styleId="125">
    <w:name w:val="Table Text Char1"/>
    <w:qFormat/>
    <w:uiPriority w:val="0"/>
    <w:rPr>
      <w:rFonts w:ascii="Arial" w:hAnsi="Arial" w:eastAsia="宋体" w:cs="Arial"/>
      <w:snapToGrid w:val="0"/>
      <w:sz w:val="21"/>
      <w:szCs w:val="21"/>
      <w:lang w:val="en-US" w:eastAsia="zh-CN" w:bidi="ar-SA"/>
    </w:rPr>
  </w:style>
  <w:style w:type="character" w:customStyle="1" w:styleId="126">
    <w:name w:val="word21"/>
    <w:qFormat/>
    <w:uiPriority w:val="0"/>
    <w:rPr>
      <w:b/>
      <w:bCs/>
      <w:color w:val="194D7C"/>
      <w:spacing w:val="400"/>
      <w:sz w:val="24"/>
      <w:szCs w:val="24"/>
    </w:rPr>
  </w:style>
  <w:style w:type="character" w:customStyle="1" w:styleId="127">
    <w:name w:val="页眉 Char1"/>
    <w:semiHidden/>
    <w:qFormat/>
    <w:uiPriority w:val="99"/>
    <w:rPr>
      <w:rFonts w:ascii="Times New Roman" w:hAnsi="Times New Roman" w:eastAsia="宋体" w:cs="Times New Roman"/>
      <w:sz w:val="18"/>
      <w:szCs w:val="18"/>
    </w:rPr>
  </w:style>
  <w:style w:type="character" w:customStyle="1" w:styleId="128">
    <w:name w:val="表格非标题文字 Char"/>
    <w:link w:val="129"/>
    <w:qFormat/>
    <w:uiPriority w:val="0"/>
    <w:rPr>
      <w:rFonts w:ascii="Arial" w:hAnsi="Arial"/>
      <w:sz w:val="18"/>
      <w:szCs w:val="21"/>
    </w:rPr>
  </w:style>
  <w:style w:type="paragraph" w:customStyle="1" w:styleId="129">
    <w:name w:val="表格非标题文字"/>
    <w:link w:val="128"/>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30">
    <w:name w:val="正文首行缩进 2 Char1"/>
    <w:basedOn w:val="131"/>
    <w:qFormat/>
    <w:uiPriority w:val="0"/>
    <w:rPr>
      <w:rFonts w:ascii="楷体_GB2312" w:eastAsia="楷体_GB2312"/>
      <w:kern w:val="2"/>
      <w:sz w:val="28"/>
      <w:szCs w:val="31"/>
    </w:rPr>
  </w:style>
  <w:style w:type="character" w:customStyle="1" w:styleId="131">
    <w:name w:val="正文文本缩进 Char1"/>
    <w:qFormat/>
    <w:uiPriority w:val="0"/>
    <w:rPr>
      <w:rFonts w:ascii="楷体_GB2312" w:eastAsia="楷体_GB2312"/>
      <w:kern w:val="2"/>
      <w:sz w:val="28"/>
      <w:szCs w:val="31"/>
    </w:rPr>
  </w:style>
  <w:style w:type="character" w:customStyle="1" w:styleId="132">
    <w:name w:val="正文新 Char"/>
    <w:link w:val="133"/>
    <w:qFormat/>
    <w:uiPriority w:val="0"/>
    <w:rPr>
      <w:rFonts w:ascii="宋体" w:hAnsi="宋体"/>
      <w:sz w:val="28"/>
    </w:rPr>
  </w:style>
  <w:style w:type="paragraph" w:customStyle="1" w:styleId="133">
    <w:name w:val="正文新"/>
    <w:basedOn w:val="1"/>
    <w:link w:val="132"/>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4">
    <w:name w:val="font31"/>
    <w:qFormat/>
    <w:uiPriority w:val="0"/>
    <w:rPr>
      <w:rFonts w:hint="default" w:ascii="Times New Roman" w:hAnsi="Times New Roman" w:cs="Times New Roman"/>
      <w:color w:val="000000"/>
      <w:sz w:val="20"/>
      <w:szCs w:val="20"/>
      <w:u w:val="none"/>
    </w:rPr>
  </w:style>
  <w:style w:type="character" w:customStyle="1" w:styleId="135">
    <w:name w:val="B正文 Char"/>
    <w:link w:val="136"/>
    <w:qFormat/>
    <w:locked/>
    <w:uiPriority w:val="0"/>
    <w:rPr>
      <w:rFonts w:ascii="宋体" w:hAnsi="宋体"/>
      <w:sz w:val="24"/>
    </w:rPr>
  </w:style>
  <w:style w:type="paragraph" w:customStyle="1" w:styleId="136">
    <w:name w:val="B正文"/>
    <w:basedOn w:val="1"/>
    <w:link w:val="135"/>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7">
    <w:name w:val="日期 Char"/>
    <w:qFormat/>
    <w:locked/>
    <w:uiPriority w:val="0"/>
    <w:rPr>
      <w:rFonts w:eastAsia="仿宋_GB2312"/>
      <w:color w:val="000000"/>
      <w:sz w:val="28"/>
      <w:szCs w:val="24"/>
    </w:rPr>
  </w:style>
  <w:style w:type="character" w:customStyle="1" w:styleId="138">
    <w:name w:val="缩进 Char"/>
    <w:link w:val="139"/>
    <w:qFormat/>
    <w:uiPriority w:val="0"/>
    <w:rPr>
      <w:color w:val="0000FF"/>
      <w:szCs w:val="18"/>
    </w:rPr>
  </w:style>
  <w:style w:type="paragraph" w:customStyle="1" w:styleId="139">
    <w:name w:val="缩进"/>
    <w:link w:val="138"/>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40">
    <w:name w:val="font41"/>
    <w:basedOn w:val="63"/>
    <w:qFormat/>
    <w:uiPriority w:val="0"/>
    <w:rPr>
      <w:rFonts w:hint="eastAsia" w:ascii="宋体" w:hAnsi="宋体" w:eastAsia="宋体" w:cs="宋体"/>
      <w:color w:val="000000"/>
      <w:sz w:val="20"/>
      <w:szCs w:val="20"/>
      <w:u w:val="none"/>
    </w:rPr>
  </w:style>
  <w:style w:type="character" w:customStyle="1" w:styleId="141">
    <w:name w:val="txt"/>
    <w:basedOn w:val="63"/>
    <w:qFormat/>
    <w:uiPriority w:val="0"/>
  </w:style>
  <w:style w:type="character" w:customStyle="1" w:styleId="142">
    <w:name w:val="首行缩进 Char Char1"/>
    <w:link w:val="143"/>
    <w:qFormat/>
    <w:locked/>
    <w:uiPriority w:val="0"/>
    <w:rPr>
      <w:sz w:val="24"/>
      <w:szCs w:val="24"/>
    </w:rPr>
  </w:style>
  <w:style w:type="paragraph" w:customStyle="1" w:styleId="143">
    <w:name w:val="首行缩进 Char"/>
    <w:basedOn w:val="1"/>
    <w:next w:val="17"/>
    <w:link w:val="142"/>
    <w:qFormat/>
    <w:uiPriority w:val="0"/>
    <w:pPr>
      <w:spacing w:line="300" w:lineRule="auto"/>
      <w:ind w:firstLine="420"/>
    </w:pPr>
    <w:rPr>
      <w:rFonts w:asciiTheme="minorHAnsi" w:hAnsiTheme="minorHAnsi" w:eastAsiaTheme="minorEastAsia" w:cstheme="minorBidi"/>
      <w:sz w:val="24"/>
    </w:rPr>
  </w:style>
  <w:style w:type="character" w:customStyle="1" w:styleId="144">
    <w:name w:val="ca-131"/>
    <w:qFormat/>
    <w:uiPriority w:val="0"/>
    <w:rPr>
      <w:rFonts w:hint="default" w:ascii="Times New Roman" w:hAnsi="Times New Roman" w:cs="Times New Roman"/>
      <w:sz w:val="21"/>
      <w:szCs w:val="21"/>
    </w:rPr>
  </w:style>
  <w:style w:type="character" w:customStyle="1" w:styleId="145">
    <w:name w:val="标题 Char"/>
    <w:qFormat/>
    <w:uiPriority w:val="0"/>
    <w:rPr>
      <w:rFonts w:ascii="Arial" w:hAnsi="Arial"/>
      <w:b/>
      <w:bCs/>
      <w:sz w:val="32"/>
      <w:szCs w:val="32"/>
    </w:rPr>
  </w:style>
  <w:style w:type="character" w:customStyle="1" w:styleId="146">
    <w:name w:val="悬挂22 Char"/>
    <w:link w:val="147"/>
    <w:qFormat/>
    <w:uiPriority w:val="0"/>
    <w:rPr>
      <w:color w:val="FF0000"/>
      <w:szCs w:val="28"/>
    </w:rPr>
  </w:style>
  <w:style w:type="paragraph" w:customStyle="1" w:styleId="147">
    <w:name w:val="悬挂22"/>
    <w:link w:val="146"/>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8">
    <w:name w:val="正文文本 Char1"/>
    <w:qFormat/>
    <w:uiPriority w:val="0"/>
    <w:rPr>
      <w:rFonts w:ascii="楷体_GB2312" w:eastAsia="楷体_GB2312"/>
      <w:kern w:val="2"/>
      <w:sz w:val="28"/>
    </w:rPr>
  </w:style>
  <w:style w:type="character" w:customStyle="1" w:styleId="149">
    <w:name w:val="纯文本 Char"/>
    <w:qFormat/>
    <w:uiPriority w:val="0"/>
    <w:rPr>
      <w:rFonts w:ascii="宋体" w:hAnsi="Courier New" w:cs="Courier New"/>
      <w:szCs w:val="21"/>
    </w:rPr>
  </w:style>
  <w:style w:type="character" w:customStyle="1" w:styleId="150">
    <w:name w:val="正文文本缩进 3 Char"/>
    <w:qFormat/>
    <w:locked/>
    <w:uiPriority w:val="0"/>
    <w:rPr>
      <w:rFonts w:ascii="幼圆" w:eastAsia="幼圆"/>
      <w:sz w:val="24"/>
      <w:szCs w:val="32"/>
    </w:rPr>
  </w:style>
  <w:style w:type="character" w:customStyle="1" w:styleId="151">
    <w:name w:val="悬挂2 Char"/>
    <w:link w:val="152"/>
    <w:qFormat/>
    <w:uiPriority w:val="0"/>
    <w:rPr>
      <w:szCs w:val="21"/>
    </w:rPr>
  </w:style>
  <w:style w:type="paragraph" w:customStyle="1" w:styleId="152">
    <w:name w:val="悬挂2"/>
    <w:link w:val="151"/>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3">
    <w:name w:val="Char Char5"/>
    <w:qFormat/>
    <w:uiPriority w:val="0"/>
    <w:rPr>
      <w:rFonts w:ascii="Times New Roman" w:hAnsi="Times New Roman" w:eastAsia="宋体"/>
      <w:sz w:val="18"/>
    </w:rPr>
  </w:style>
  <w:style w:type="character" w:customStyle="1" w:styleId="154">
    <w:name w:val="prod_content_font_011"/>
    <w:qFormat/>
    <w:uiPriority w:val="0"/>
    <w:rPr>
      <w:rFonts w:hint="default" w:ascii="Verdana" w:hAnsi="Verdana"/>
      <w:color w:val="5E5E5E"/>
      <w:sz w:val="17"/>
      <w:szCs w:val="17"/>
    </w:rPr>
  </w:style>
  <w:style w:type="character" w:customStyle="1" w:styleId="155">
    <w:name w:val="尾注文本 Char1"/>
    <w:qFormat/>
    <w:uiPriority w:val="99"/>
    <w:rPr>
      <w:kern w:val="2"/>
      <w:sz w:val="21"/>
      <w:szCs w:val="24"/>
    </w:rPr>
  </w:style>
  <w:style w:type="character" w:customStyle="1" w:styleId="156">
    <w:name w:val="普通 (Web) Char"/>
    <w:link w:val="157"/>
    <w:qFormat/>
    <w:uiPriority w:val="99"/>
    <w:rPr>
      <w:rFonts w:ascii="宋体" w:hAnsi="宋体"/>
      <w:sz w:val="24"/>
      <w:szCs w:val="24"/>
    </w:rPr>
  </w:style>
  <w:style w:type="paragraph" w:customStyle="1" w:styleId="157">
    <w:name w:val="普通 (Web)"/>
    <w:basedOn w:val="1"/>
    <w:link w:val="156"/>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8">
    <w:name w:val="标题 Char1"/>
    <w:qFormat/>
    <w:uiPriority w:val="0"/>
    <w:rPr>
      <w:rFonts w:ascii="Cambria" w:hAnsi="Cambria" w:cs="Times New Roman"/>
      <w:b/>
      <w:bCs/>
      <w:kern w:val="2"/>
      <w:sz w:val="32"/>
      <w:szCs w:val="32"/>
    </w:rPr>
  </w:style>
  <w:style w:type="character" w:customStyle="1" w:styleId="159">
    <w:name w:val="正文缩进 Char1"/>
    <w:qFormat/>
    <w:uiPriority w:val="0"/>
    <w:rPr>
      <w:rFonts w:eastAsia="宋体"/>
      <w:kern w:val="2"/>
      <w:sz w:val="21"/>
      <w:szCs w:val="24"/>
      <w:lang w:val="en-US" w:eastAsia="zh-CN" w:bidi="ar-SA"/>
    </w:rPr>
  </w:style>
  <w:style w:type="character" w:customStyle="1" w:styleId="160">
    <w:name w:val="正文文本缩进 Char"/>
    <w:qFormat/>
    <w:uiPriority w:val="99"/>
    <w:rPr>
      <w:rFonts w:ascii="宋体"/>
      <w:color w:val="000000"/>
      <w:sz w:val="32"/>
      <w:szCs w:val="32"/>
    </w:rPr>
  </w:style>
  <w:style w:type="character" w:customStyle="1" w:styleId="161">
    <w:name w:val="Table Text Char"/>
    <w:link w:val="162"/>
    <w:qFormat/>
    <w:uiPriority w:val="0"/>
    <w:rPr>
      <w:rFonts w:ascii="Arial" w:hAnsi="Arial"/>
      <w:sz w:val="18"/>
    </w:rPr>
  </w:style>
  <w:style w:type="paragraph" w:customStyle="1" w:styleId="162">
    <w:name w:val="Table Text"/>
    <w:link w:val="161"/>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3">
    <w:name w:val="批注框文本 Char"/>
    <w:qFormat/>
    <w:uiPriority w:val="0"/>
    <w:rPr>
      <w:rFonts w:ascii="Times New Roman" w:hAnsi="Times New Roman"/>
      <w:kern w:val="2"/>
      <w:sz w:val="18"/>
      <w:szCs w:val="18"/>
    </w:rPr>
  </w:style>
  <w:style w:type="character" w:customStyle="1" w:styleId="164">
    <w:name w:val="Table Heading Char"/>
    <w:link w:val="165"/>
    <w:qFormat/>
    <w:uiPriority w:val="0"/>
    <w:rPr>
      <w:rFonts w:ascii="Arial" w:hAnsi="Arial" w:eastAsia="黑体" w:cs="Book Antiqua"/>
      <w:bCs/>
      <w:snapToGrid w:val="0"/>
      <w:szCs w:val="21"/>
    </w:rPr>
  </w:style>
  <w:style w:type="paragraph" w:customStyle="1" w:styleId="165">
    <w:name w:val="Table Heading"/>
    <w:basedOn w:val="1"/>
    <w:link w:val="164"/>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6">
    <w:name w:val="样式 宋体"/>
    <w:qFormat/>
    <w:uiPriority w:val="0"/>
    <w:rPr>
      <w:rFonts w:ascii="宋体" w:hAnsi="宋体" w:eastAsia="宋体"/>
      <w:sz w:val="24"/>
      <w:szCs w:val="24"/>
    </w:rPr>
  </w:style>
  <w:style w:type="character" w:customStyle="1" w:styleId="167">
    <w:name w:val="正文文本 2 Char"/>
    <w:qFormat/>
    <w:uiPriority w:val="0"/>
    <w:rPr>
      <w:rFonts w:ascii="宋体" w:hAnsi="宋体"/>
      <w:sz w:val="24"/>
      <w:szCs w:val="24"/>
    </w:rPr>
  </w:style>
  <w:style w:type="character" w:customStyle="1" w:styleId="168">
    <w:name w:val="myp1111"/>
    <w:qFormat/>
    <w:uiPriority w:val="0"/>
    <w:rPr>
      <w:rFonts w:hint="default" w:ascii="ˎ̥" w:hAnsi="ˎ̥"/>
      <w:color w:val="000000"/>
      <w:sz w:val="15"/>
      <w:szCs w:val="15"/>
      <w:u w:val="none"/>
    </w:rPr>
  </w:style>
  <w:style w:type="character" w:customStyle="1" w:styleId="169">
    <w:name w:val="hang1"/>
    <w:basedOn w:val="63"/>
    <w:qFormat/>
    <w:uiPriority w:val="0"/>
  </w:style>
  <w:style w:type="character" w:customStyle="1" w:styleId="170">
    <w:name w:val="段 Char Char"/>
    <w:qFormat/>
    <w:uiPriority w:val="0"/>
    <w:rPr>
      <w:rFonts w:ascii="宋体"/>
      <w:sz w:val="21"/>
      <w:lang w:val="en-US" w:eastAsia="zh-CN" w:bidi="ar-SA"/>
    </w:rPr>
  </w:style>
  <w:style w:type="character" w:customStyle="1" w:styleId="171">
    <w:name w:val="悬挂1 Char"/>
    <w:link w:val="172"/>
    <w:qFormat/>
    <w:uiPriority w:val="0"/>
    <w:rPr>
      <w:szCs w:val="21"/>
    </w:rPr>
  </w:style>
  <w:style w:type="paragraph" w:customStyle="1" w:styleId="172">
    <w:name w:val="悬挂1"/>
    <w:link w:val="171"/>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3">
    <w:name w:val="text_12_black1"/>
    <w:qFormat/>
    <w:uiPriority w:val="0"/>
    <w:rPr>
      <w:rFonts w:hint="default" w:ascii="ˎ̥" w:hAnsi="ˎ̥"/>
      <w:color w:val="333333"/>
      <w:sz w:val="18"/>
      <w:szCs w:val="18"/>
      <w:u w:val="none"/>
    </w:rPr>
  </w:style>
  <w:style w:type="character" w:customStyle="1" w:styleId="174">
    <w:name w:val="font11"/>
    <w:qFormat/>
    <w:uiPriority w:val="0"/>
    <w:rPr>
      <w:rFonts w:hint="eastAsia" w:ascii="宋体" w:hAnsi="宋体" w:eastAsia="宋体" w:cs="宋体"/>
      <w:color w:val="000000"/>
      <w:sz w:val="20"/>
      <w:szCs w:val="20"/>
      <w:u w:val="none"/>
    </w:rPr>
  </w:style>
  <w:style w:type="character" w:customStyle="1" w:styleId="175">
    <w:name w:val="正文缩进(ALT+Z) Char"/>
    <w:link w:val="176"/>
    <w:qFormat/>
    <w:uiPriority w:val="0"/>
    <w:rPr>
      <w:sz w:val="24"/>
      <w:szCs w:val="24"/>
    </w:rPr>
  </w:style>
  <w:style w:type="paragraph" w:customStyle="1" w:styleId="176">
    <w:name w:val="正文缩进(ALT+Z)"/>
    <w:basedOn w:val="1"/>
    <w:link w:val="175"/>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7">
    <w:name w:val="font21"/>
    <w:qFormat/>
    <w:uiPriority w:val="0"/>
    <w:rPr>
      <w:rFonts w:hint="eastAsia" w:ascii="宋体" w:hAnsi="宋体" w:eastAsia="宋体" w:cs="宋体"/>
      <w:color w:val="000000"/>
      <w:sz w:val="24"/>
      <w:szCs w:val="24"/>
      <w:u w:val="none"/>
    </w:rPr>
  </w:style>
  <w:style w:type="character" w:customStyle="1" w:styleId="178">
    <w:name w:val="标题 3 Char1"/>
    <w:qFormat/>
    <w:uiPriority w:val="0"/>
    <w:rPr>
      <w:b/>
      <w:bCs/>
      <w:kern w:val="2"/>
      <w:sz w:val="32"/>
      <w:szCs w:val="32"/>
    </w:rPr>
  </w:style>
  <w:style w:type="character" w:customStyle="1" w:styleId="179">
    <w:name w:val="页脚 Char1"/>
    <w:semiHidden/>
    <w:qFormat/>
    <w:uiPriority w:val="0"/>
    <w:rPr>
      <w:rFonts w:ascii="Times New Roman" w:hAnsi="Times New Roman" w:eastAsia="宋体" w:cs="Times New Roman"/>
      <w:sz w:val="18"/>
      <w:szCs w:val="18"/>
    </w:rPr>
  </w:style>
  <w:style w:type="character" w:customStyle="1" w:styleId="180">
    <w:name w:val="z71"/>
    <w:qFormat/>
    <w:uiPriority w:val="0"/>
    <w:rPr>
      <w:spacing w:val="300"/>
      <w:sz w:val="18"/>
      <w:szCs w:val="18"/>
    </w:rPr>
  </w:style>
  <w:style w:type="character" w:customStyle="1" w:styleId="181">
    <w:name w:val="四级大纲 Char"/>
    <w:link w:val="182"/>
    <w:qFormat/>
    <w:uiPriority w:val="0"/>
    <w:rPr>
      <w:rFonts w:ascii="Calibri" w:hAnsi="Calibri"/>
      <w:b/>
      <w:sz w:val="30"/>
    </w:rPr>
  </w:style>
  <w:style w:type="paragraph" w:customStyle="1" w:styleId="182">
    <w:name w:val="四级大纲"/>
    <w:next w:val="103"/>
    <w:link w:val="181"/>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3">
    <w:name w:val="文档正文 Char"/>
    <w:link w:val="184"/>
    <w:qFormat/>
    <w:uiPriority w:val="0"/>
    <w:rPr>
      <w:rFonts w:ascii="Arial" w:eastAsia="长城仿宋"/>
      <w:sz w:val="28"/>
    </w:rPr>
  </w:style>
  <w:style w:type="paragraph" w:customStyle="1" w:styleId="184">
    <w:name w:val="文档正文"/>
    <w:basedOn w:val="1"/>
    <w:link w:val="183"/>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5">
    <w:name w:val="15"/>
    <w:qFormat/>
    <w:uiPriority w:val="0"/>
    <w:rPr>
      <w:rFonts w:hint="default" w:ascii="Times New Roman" w:hAnsi="Times New Roman" w:cs="Times New Roman"/>
      <w:color w:val="0000FF"/>
      <w:u w:val="single"/>
    </w:rPr>
  </w:style>
  <w:style w:type="character" w:customStyle="1" w:styleId="186">
    <w:name w:val="批注主题 Char"/>
    <w:qFormat/>
    <w:uiPriority w:val="0"/>
    <w:rPr>
      <w:b/>
      <w:szCs w:val="24"/>
    </w:rPr>
  </w:style>
  <w:style w:type="character" w:customStyle="1" w:styleId="187">
    <w:name w:val="纯文本 Char1"/>
    <w:qFormat/>
    <w:uiPriority w:val="0"/>
    <w:rPr>
      <w:rFonts w:ascii="宋体" w:hAnsi="Courier New" w:cs="Courier New"/>
      <w:kern w:val="2"/>
      <w:sz w:val="21"/>
      <w:szCs w:val="21"/>
    </w:rPr>
  </w:style>
  <w:style w:type="character" w:customStyle="1" w:styleId="188">
    <w:name w:val="批注框文本 Char1"/>
    <w:qFormat/>
    <w:locked/>
    <w:uiPriority w:val="0"/>
    <w:rPr>
      <w:sz w:val="18"/>
      <w:szCs w:val="18"/>
    </w:rPr>
  </w:style>
  <w:style w:type="character" w:customStyle="1" w:styleId="189">
    <w:name w:val="结束语 Char"/>
    <w:qFormat/>
    <w:uiPriority w:val="0"/>
    <w:rPr>
      <w:rFonts w:ascii="宋体" w:hAnsi="宋体"/>
      <w:b/>
      <w:sz w:val="24"/>
      <w:szCs w:val="24"/>
    </w:rPr>
  </w:style>
  <w:style w:type="character" w:customStyle="1" w:styleId="190">
    <w:name w:val="正文文本 Char2"/>
    <w:qFormat/>
    <w:uiPriority w:val="0"/>
    <w:rPr>
      <w:rFonts w:ascii="宋体"/>
      <w:color w:val="000000"/>
      <w:sz w:val="28"/>
      <w:szCs w:val="32"/>
    </w:rPr>
  </w:style>
  <w:style w:type="character" w:customStyle="1" w:styleId="191">
    <w:name w:val="文档结构图 Char"/>
    <w:qFormat/>
    <w:uiPriority w:val="99"/>
    <w:rPr>
      <w:szCs w:val="24"/>
      <w:shd w:val="clear" w:color="auto" w:fill="000080"/>
    </w:rPr>
  </w:style>
  <w:style w:type="character" w:customStyle="1" w:styleId="192">
    <w:name w:val="contentheaderrev1"/>
    <w:qFormat/>
    <w:uiPriority w:val="0"/>
    <w:rPr>
      <w:rFonts w:hint="default" w:ascii="Arial" w:hAnsi="Arial" w:cs="Arial"/>
      <w:b/>
      <w:bCs/>
      <w:color w:val="FFFFFF"/>
      <w:sz w:val="18"/>
      <w:szCs w:val="18"/>
      <w:u w:val="none"/>
    </w:rPr>
  </w:style>
  <w:style w:type="character" w:customStyle="1" w:styleId="193">
    <w:name w:val="z-窗体底端 Char1"/>
    <w:qFormat/>
    <w:uiPriority w:val="0"/>
    <w:rPr>
      <w:rFonts w:ascii="Arial" w:hAnsi="Arial" w:cs="Arial"/>
      <w:vanish/>
      <w:kern w:val="2"/>
      <w:sz w:val="16"/>
      <w:szCs w:val="16"/>
    </w:rPr>
  </w:style>
  <w:style w:type="character" w:customStyle="1" w:styleId="194">
    <w:name w:val="content021"/>
    <w:qFormat/>
    <w:uiPriority w:val="0"/>
    <w:rPr>
      <w:color w:val="444444"/>
      <w:spacing w:val="330"/>
      <w:sz w:val="21"/>
      <w:szCs w:val="21"/>
      <w:u w:val="none"/>
    </w:rPr>
  </w:style>
  <w:style w:type="character" w:customStyle="1" w:styleId="195">
    <w:name w:val="abcde1"/>
    <w:qFormat/>
    <w:uiPriority w:val="0"/>
    <w:rPr>
      <w:spacing w:val="400"/>
      <w:sz w:val="26"/>
      <w:szCs w:val="26"/>
    </w:rPr>
  </w:style>
  <w:style w:type="character" w:customStyle="1" w:styleId="196">
    <w:name w:val="HTML 预设格式 Char"/>
    <w:qFormat/>
    <w:uiPriority w:val="99"/>
    <w:rPr>
      <w:rFonts w:ascii="宋体" w:hAnsi="宋体" w:cs="宋体"/>
      <w:sz w:val="24"/>
      <w:szCs w:val="24"/>
    </w:rPr>
  </w:style>
  <w:style w:type="character" w:customStyle="1" w:styleId="197">
    <w:name w:val="结束语 Char1"/>
    <w:qFormat/>
    <w:uiPriority w:val="0"/>
    <w:rPr>
      <w:kern w:val="2"/>
      <w:sz w:val="21"/>
      <w:szCs w:val="24"/>
    </w:rPr>
  </w:style>
  <w:style w:type="character" w:customStyle="1" w:styleId="198">
    <w:name w:val="常规 Char"/>
    <w:link w:val="199"/>
    <w:qFormat/>
    <w:uiPriority w:val="0"/>
    <w:rPr>
      <w:rFonts w:ascii="Tahoma" w:hAnsi="Tahoma"/>
      <w:color w:val="000000"/>
      <w:sz w:val="28"/>
      <w:szCs w:val="21"/>
    </w:rPr>
  </w:style>
  <w:style w:type="paragraph" w:customStyle="1" w:styleId="199">
    <w:name w:val="常规"/>
    <w:basedOn w:val="1"/>
    <w:link w:val="198"/>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200">
    <w:name w:val="正文首行缩进 2 Char"/>
    <w:qFormat/>
    <w:uiPriority w:val="0"/>
    <w:rPr>
      <w:rFonts w:ascii="仿宋_GB2312" w:eastAsia="仿宋_GB2312"/>
      <w:color w:val="000000"/>
      <w:sz w:val="24"/>
      <w:szCs w:val="24"/>
    </w:rPr>
  </w:style>
  <w:style w:type="character" w:customStyle="1" w:styleId="201">
    <w:name w:val="unnamed11"/>
    <w:qFormat/>
    <w:uiPriority w:val="0"/>
    <w:rPr>
      <w:sz w:val="20"/>
      <w:szCs w:val="20"/>
    </w:rPr>
  </w:style>
  <w:style w:type="character" w:customStyle="1" w:styleId="202">
    <w:name w:val="题注 Char"/>
    <w:link w:val="18"/>
    <w:qFormat/>
    <w:locked/>
    <w:uiPriority w:val="0"/>
    <w:rPr>
      <w:rFonts w:ascii="Arial" w:hAnsi="Arial" w:eastAsia="黑体"/>
    </w:rPr>
  </w:style>
  <w:style w:type="character" w:customStyle="1" w:styleId="203">
    <w:name w:val="text_12_subject1"/>
    <w:qFormat/>
    <w:uiPriority w:val="0"/>
    <w:rPr>
      <w:rFonts w:hint="default" w:ascii="ˎ̥" w:hAnsi="ˎ̥"/>
      <w:b/>
      <w:bCs/>
      <w:color w:val="006699"/>
      <w:sz w:val="18"/>
      <w:szCs w:val="18"/>
      <w:u w:val="none"/>
    </w:rPr>
  </w:style>
  <w:style w:type="character" w:customStyle="1" w:styleId="204">
    <w:name w:val="正文文本 3 Char1"/>
    <w:qFormat/>
    <w:uiPriority w:val="0"/>
    <w:rPr>
      <w:kern w:val="2"/>
      <w:sz w:val="16"/>
      <w:szCs w:val="16"/>
    </w:rPr>
  </w:style>
  <w:style w:type="character" w:customStyle="1" w:styleId="205">
    <w:name w:val="正文文本缩进 Char2"/>
    <w:qFormat/>
    <w:uiPriority w:val="0"/>
    <w:rPr>
      <w:rFonts w:ascii="宋体"/>
      <w:color w:val="000000"/>
      <w:sz w:val="32"/>
      <w:szCs w:val="32"/>
    </w:rPr>
  </w:style>
  <w:style w:type="character" w:customStyle="1" w:styleId="206">
    <w:name w:val="z21"/>
    <w:qFormat/>
    <w:uiPriority w:val="0"/>
    <w:rPr>
      <w:color w:val="000000"/>
      <w:spacing w:val="255"/>
      <w:sz w:val="18"/>
      <w:szCs w:val="18"/>
    </w:rPr>
  </w:style>
  <w:style w:type="character" w:customStyle="1" w:styleId="207">
    <w:name w:val="段 Char"/>
    <w:link w:val="29"/>
    <w:qFormat/>
    <w:locked/>
    <w:uiPriority w:val="0"/>
    <w:rPr>
      <w:rFonts w:ascii="宋体" w:hAnsi="宋体"/>
    </w:rPr>
  </w:style>
  <w:style w:type="character" w:customStyle="1" w:styleId="208">
    <w:name w:val="line14pj"/>
    <w:basedOn w:val="63"/>
    <w:qFormat/>
    <w:uiPriority w:val="0"/>
  </w:style>
  <w:style w:type="character" w:customStyle="1" w:styleId="209">
    <w:name w:val="ca-121"/>
    <w:qFormat/>
    <w:uiPriority w:val="0"/>
    <w:rPr>
      <w:rFonts w:hint="eastAsia" w:ascii="宋体" w:hAnsi="宋体" w:eastAsia="宋体"/>
      <w:sz w:val="21"/>
      <w:szCs w:val="21"/>
    </w:rPr>
  </w:style>
  <w:style w:type="character" w:customStyle="1" w:styleId="210">
    <w:name w:val="页脚 Char2"/>
    <w:basedOn w:val="63"/>
    <w:semiHidden/>
    <w:qFormat/>
    <w:uiPriority w:val="99"/>
    <w:rPr>
      <w:rFonts w:ascii="Times New Roman" w:hAnsi="Times New Roman" w:eastAsia="宋体" w:cs="Times New Roman"/>
      <w:sz w:val="18"/>
      <w:szCs w:val="18"/>
    </w:rPr>
  </w:style>
  <w:style w:type="paragraph" w:customStyle="1" w:styleId="211">
    <w:name w:val="样式 标题 + 段前: 0.5 行 段后: 0.5 行"/>
    <w:basedOn w:val="57"/>
    <w:qFormat/>
    <w:uiPriority w:val="0"/>
  </w:style>
  <w:style w:type="paragraph" w:customStyle="1" w:styleId="21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3">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4">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5">
    <w:name w:val="正文文本缩进 2 Char1"/>
    <w:basedOn w:val="63"/>
    <w:link w:val="38"/>
    <w:semiHidden/>
    <w:qFormat/>
    <w:uiPriority w:val="99"/>
    <w:rPr>
      <w:rFonts w:ascii="Times New Roman" w:hAnsi="Times New Roman" w:eastAsia="宋体" w:cs="Times New Roman"/>
      <w:szCs w:val="24"/>
    </w:rPr>
  </w:style>
  <w:style w:type="paragraph" w:customStyle="1" w:styleId="216">
    <w:name w:val="表2"/>
    <w:basedOn w:val="217"/>
    <w:qFormat/>
    <w:uiPriority w:val="0"/>
    <w:pPr>
      <w:numPr>
        <w:ilvl w:val="0"/>
        <w:numId w:val="4"/>
      </w:numPr>
    </w:pPr>
  </w:style>
  <w:style w:type="paragraph" w:customStyle="1" w:styleId="217">
    <w:name w:val="表1"/>
    <w:basedOn w:val="218"/>
    <w:qFormat/>
    <w:uiPriority w:val="0"/>
  </w:style>
  <w:style w:type="paragraph" w:customStyle="1" w:styleId="218">
    <w:name w:val="表格样式"/>
    <w:basedOn w:val="1"/>
    <w:qFormat/>
    <w:uiPriority w:val="0"/>
    <w:pPr>
      <w:spacing w:before="156" w:after="156"/>
      <w:jc w:val="center"/>
    </w:pPr>
    <w:rPr>
      <w:rFonts w:ascii="宋体" w:hAnsi="宋体" w:cs="宋体"/>
      <w:b/>
      <w:bCs/>
      <w:kern w:val="0"/>
      <w:szCs w:val="20"/>
    </w:rPr>
  </w:style>
  <w:style w:type="paragraph" w:customStyle="1" w:styleId="219">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20">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1">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2">
    <w:name w:val="正文文本缩进 Char3"/>
    <w:basedOn w:val="63"/>
    <w:link w:val="30"/>
    <w:semiHidden/>
    <w:qFormat/>
    <w:uiPriority w:val="99"/>
    <w:rPr>
      <w:rFonts w:ascii="Times New Roman" w:hAnsi="Times New Roman" w:eastAsia="宋体" w:cs="Times New Roman"/>
      <w:szCs w:val="24"/>
    </w:rPr>
  </w:style>
  <w:style w:type="paragraph" w:customStyle="1" w:styleId="223">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4">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5">
    <w:name w:val="正文文本 3 Char2"/>
    <w:basedOn w:val="63"/>
    <w:link w:val="25"/>
    <w:semiHidden/>
    <w:qFormat/>
    <w:uiPriority w:val="99"/>
    <w:rPr>
      <w:rFonts w:ascii="Times New Roman" w:hAnsi="Times New Roman" w:eastAsia="宋体" w:cs="Times New Roman"/>
      <w:sz w:val="16"/>
      <w:szCs w:val="16"/>
    </w:rPr>
  </w:style>
  <w:style w:type="paragraph" w:customStyle="1" w:styleId="226">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7">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8">
    <w:name w:val="标题 Char2"/>
    <w:basedOn w:val="63"/>
    <w:link w:val="57"/>
    <w:qFormat/>
    <w:uiPriority w:val="10"/>
    <w:rPr>
      <w:rFonts w:eastAsia="宋体" w:asciiTheme="majorHAnsi" w:hAnsiTheme="majorHAnsi" w:cstheme="majorBidi"/>
      <w:b/>
      <w:bCs/>
      <w:sz w:val="32"/>
      <w:szCs w:val="32"/>
    </w:rPr>
  </w:style>
  <w:style w:type="paragraph" w:customStyle="1" w:styleId="229">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30">
    <w:name w:val="表格2"/>
    <w:basedOn w:val="1"/>
    <w:qFormat/>
    <w:uiPriority w:val="0"/>
    <w:pPr>
      <w:snapToGrid w:val="0"/>
      <w:jc w:val="center"/>
    </w:pPr>
    <w:rPr>
      <w:rFonts w:ascii="Arial" w:hAnsi="Arial" w:cs="Arial"/>
      <w:snapToGrid w:val="0"/>
      <w:kern w:val="0"/>
      <w:sz w:val="24"/>
    </w:rPr>
  </w:style>
  <w:style w:type="paragraph" w:customStyle="1" w:styleId="231">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3">
    <w:name w:val="正文首行缩进 2 Char2"/>
    <w:basedOn w:val="222"/>
    <w:link w:val="60"/>
    <w:semiHidden/>
    <w:qFormat/>
    <w:uiPriority w:val="99"/>
    <w:rPr>
      <w:rFonts w:ascii="Times New Roman" w:hAnsi="Times New Roman" w:eastAsia="宋体" w:cs="Times New Roman"/>
      <w:szCs w:val="24"/>
    </w:rPr>
  </w:style>
  <w:style w:type="paragraph" w:customStyle="1" w:styleId="234">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5">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6">
    <w:name w:val="说明正文"/>
    <w:basedOn w:val="1"/>
    <w:qFormat/>
    <w:uiPriority w:val="0"/>
    <w:pPr>
      <w:spacing w:line="360" w:lineRule="auto"/>
      <w:ind w:firstLine="480" w:firstLineChars="200"/>
    </w:pPr>
    <w:rPr>
      <w:rFonts w:ascii="宋体" w:hAnsi="宋体"/>
      <w:sz w:val="24"/>
    </w:rPr>
  </w:style>
  <w:style w:type="character" w:customStyle="1" w:styleId="237">
    <w:name w:val="纯文本 Char2"/>
    <w:basedOn w:val="63"/>
    <w:link w:val="35"/>
    <w:semiHidden/>
    <w:qFormat/>
    <w:uiPriority w:val="99"/>
    <w:rPr>
      <w:rFonts w:ascii="宋体" w:hAnsi="Courier New" w:eastAsia="宋体" w:cs="Courier New"/>
      <w:szCs w:val="21"/>
    </w:rPr>
  </w:style>
  <w:style w:type="paragraph" w:customStyle="1" w:styleId="238">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40">
    <w:name w:val="lgh排序1"/>
    <w:basedOn w:val="35"/>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1">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3">
    <w:name w:val="批注框文本 Char2"/>
    <w:basedOn w:val="63"/>
    <w:link w:val="40"/>
    <w:semiHidden/>
    <w:qFormat/>
    <w:uiPriority w:val="99"/>
    <w:rPr>
      <w:rFonts w:ascii="Times New Roman" w:hAnsi="Times New Roman" w:eastAsia="宋体" w:cs="Times New Roman"/>
      <w:sz w:val="18"/>
      <w:szCs w:val="18"/>
    </w:rPr>
  </w:style>
  <w:style w:type="paragraph" w:customStyle="1" w:styleId="24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5">
    <w:name w:val="批注文字 Char1"/>
    <w:basedOn w:val="63"/>
    <w:link w:val="23"/>
    <w:qFormat/>
    <w:uiPriority w:val="0"/>
    <w:rPr>
      <w:rFonts w:ascii="Times New Roman" w:hAnsi="Times New Roman" w:eastAsia="宋体" w:cs="Times New Roman"/>
      <w:szCs w:val="24"/>
    </w:rPr>
  </w:style>
  <w:style w:type="character" w:customStyle="1" w:styleId="246">
    <w:name w:val="批注主题 Char1"/>
    <w:basedOn w:val="245"/>
    <w:link w:val="58"/>
    <w:semiHidden/>
    <w:qFormat/>
    <w:uiPriority w:val="99"/>
    <w:rPr>
      <w:rFonts w:ascii="Times New Roman" w:hAnsi="Times New Roman" w:eastAsia="宋体" w:cs="Times New Roman"/>
      <w:b/>
      <w:bCs/>
      <w:szCs w:val="24"/>
    </w:rPr>
  </w:style>
  <w:style w:type="character" w:customStyle="1" w:styleId="247">
    <w:name w:val="正文文本缩进 3 Char1"/>
    <w:basedOn w:val="63"/>
    <w:link w:val="49"/>
    <w:semiHidden/>
    <w:qFormat/>
    <w:uiPriority w:val="99"/>
    <w:rPr>
      <w:rFonts w:ascii="Times New Roman" w:hAnsi="Times New Roman" w:eastAsia="宋体" w:cs="Times New Roman"/>
      <w:sz w:val="16"/>
      <w:szCs w:val="16"/>
    </w:rPr>
  </w:style>
  <w:style w:type="paragraph" w:customStyle="1" w:styleId="248">
    <w:name w:val="CM2"/>
    <w:basedOn w:val="249"/>
    <w:next w:val="249"/>
    <w:qFormat/>
    <w:uiPriority w:val="0"/>
    <w:pPr>
      <w:spacing w:line="623" w:lineRule="atLeast"/>
    </w:pPr>
    <w:rPr>
      <w:rFonts w:ascii=".a..DD.." w:eastAsia=".a..DD.."/>
      <w:color w:val="auto"/>
      <w:szCs w:val="24"/>
    </w:rPr>
  </w:style>
  <w:style w:type="paragraph" w:customStyle="1" w:styleId="2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0">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51">
    <w:name w:val="复选框1"/>
    <w:basedOn w:val="1"/>
    <w:qFormat/>
    <w:uiPriority w:val="0"/>
    <w:pPr>
      <w:widowControl/>
      <w:spacing w:before="360" w:after="360"/>
      <w:jc w:val="left"/>
    </w:pPr>
    <w:rPr>
      <w:kern w:val="0"/>
      <w:sz w:val="20"/>
      <w:szCs w:val="20"/>
    </w:rPr>
  </w:style>
  <w:style w:type="character" w:customStyle="1" w:styleId="252">
    <w:name w:val="正文文本 Char3"/>
    <w:basedOn w:val="63"/>
    <w:link w:val="28"/>
    <w:semiHidden/>
    <w:qFormat/>
    <w:uiPriority w:val="99"/>
    <w:rPr>
      <w:rFonts w:ascii="Times New Roman" w:hAnsi="Times New Roman" w:eastAsia="宋体" w:cs="Times New Roman"/>
      <w:szCs w:val="24"/>
    </w:rPr>
  </w:style>
  <w:style w:type="paragraph" w:customStyle="1" w:styleId="253">
    <w:name w:val="yd正文"/>
    <w:basedOn w:val="1"/>
    <w:qFormat/>
    <w:uiPriority w:val="0"/>
    <w:pPr>
      <w:widowControl/>
      <w:spacing w:line="360" w:lineRule="auto"/>
      <w:ind w:firstLine="482"/>
    </w:pPr>
    <w:rPr>
      <w:rFonts w:ascii="宋体" w:hAnsi="Arial Unicode MS"/>
      <w:bCs/>
      <w:kern w:val="0"/>
      <w:sz w:val="24"/>
    </w:rPr>
  </w:style>
  <w:style w:type="paragraph" w:customStyle="1" w:styleId="254">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5">
    <w:name w:val="称呼 Char1"/>
    <w:basedOn w:val="63"/>
    <w:link w:val="24"/>
    <w:semiHidden/>
    <w:qFormat/>
    <w:uiPriority w:val="99"/>
    <w:rPr>
      <w:rFonts w:ascii="Times New Roman" w:hAnsi="Times New Roman" w:eastAsia="宋体" w:cs="Times New Roman"/>
      <w:szCs w:val="24"/>
    </w:rPr>
  </w:style>
  <w:style w:type="paragraph" w:customStyle="1" w:styleId="256">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7">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8">
    <w:name w:val="文档结构图 Char1"/>
    <w:basedOn w:val="63"/>
    <w:link w:val="21"/>
    <w:semiHidden/>
    <w:qFormat/>
    <w:uiPriority w:val="99"/>
    <w:rPr>
      <w:rFonts w:ascii="宋体" w:hAnsi="Times New Roman" w:eastAsia="宋体" w:cs="Times New Roman"/>
      <w:sz w:val="18"/>
      <w:szCs w:val="18"/>
    </w:rPr>
  </w:style>
  <w:style w:type="paragraph" w:customStyle="1" w:styleId="259">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0">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61">
    <w:name w:val="页眉 Char2"/>
    <w:basedOn w:val="63"/>
    <w:semiHidden/>
    <w:qFormat/>
    <w:uiPriority w:val="99"/>
    <w:rPr>
      <w:rFonts w:ascii="Times New Roman" w:hAnsi="Times New Roman" w:eastAsia="宋体" w:cs="Times New Roman"/>
      <w:sz w:val="18"/>
      <w:szCs w:val="18"/>
    </w:rPr>
  </w:style>
  <w:style w:type="character" w:customStyle="1" w:styleId="262">
    <w:name w:val="日期 Char1"/>
    <w:basedOn w:val="63"/>
    <w:link w:val="37"/>
    <w:semiHidden/>
    <w:qFormat/>
    <w:uiPriority w:val="99"/>
    <w:rPr>
      <w:rFonts w:ascii="Times New Roman" w:hAnsi="Times New Roman" w:eastAsia="宋体" w:cs="Times New Roman"/>
      <w:szCs w:val="24"/>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4">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5">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6">
    <w:name w:val="样式5"/>
    <w:basedOn w:val="143"/>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7">
    <w:name w:val="五级条标题"/>
    <w:basedOn w:val="268"/>
    <w:next w:val="1"/>
    <w:qFormat/>
    <w:uiPriority w:val="0"/>
    <w:pPr>
      <w:outlineLvl w:val="6"/>
    </w:pPr>
  </w:style>
  <w:style w:type="paragraph" w:customStyle="1" w:styleId="268">
    <w:name w:val="四级条标题"/>
    <w:basedOn w:val="269"/>
    <w:next w:val="1"/>
    <w:qFormat/>
    <w:uiPriority w:val="0"/>
    <w:pPr>
      <w:outlineLvl w:val="5"/>
    </w:pPr>
  </w:style>
  <w:style w:type="paragraph" w:customStyle="1" w:styleId="269">
    <w:name w:val="三级条标题"/>
    <w:basedOn w:val="270"/>
    <w:next w:val="1"/>
    <w:qFormat/>
    <w:uiPriority w:val="0"/>
    <w:pPr>
      <w:outlineLvl w:val="4"/>
    </w:pPr>
  </w:style>
  <w:style w:type="paragraph" w:customStyle="1" w:styleId="270">
    <w:name w:val="二级条标题"/>
    <w:basedOn w:val="224"/>
    <w:next w:val="1"/>
    <w:qFormat/>
    <w:uiPriority w:val="0"/>
    <w:pPr>
      <w:outlineLvl w:val="3"/>
    </w:pPr>
  </w:style>
  <w:style w:type="paragraph" w:customStyle="1" w:styleId="271">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2">
    <w:name w:val="CM3"/>
    <w:basedOn w:val="249"/>
    <w:next w:val="249"/>
    <w:qFormat/>
    <w:uiPriority w:val="0"/>
    <w:pPr>
      <w:spacing w:line="626" w:lineRule="atLeast"/>
    </w:pPr>
    <w:rPr>
      <w:rFonts w:ascii=".a..DD.." w:eastAsia=".a..DD.."/>
      <w:color w:val="auto"/>
      <w:szCs w:val="24"/>
    </w:rPr>
  </w:style>
  <w:style w:type="paragraph" w:customStyle="1" w:styleId="2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4">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样式 标题 3标题 3 Char Char Char Char(A-3)sect1.2.3h3H3 + 加粗 段前:..."/>
    <w:basedOn w:val="2"/>
    <w:qFormat/>
    <w:uiPriority w:val="0"/>
    <w:pPr>
      <w:keepNext w:val="0"/>
      <w:tabs>
        <w:tab w:val="left" w:pos="1080"/>
      </w:tabs>
      <w:spacing w:before="120" w:after="0" w:line="415" w:lineRule="auto"/>
    </w:pPr>
    <w:rPr>
      <w:rFonts w:eastAsia="黑体" w:cs="宋体"/>
      <w:b w:val="0"/>
      <w:bCs/>
      <w:sz w:val="24"/>
    </w:rPr>
  </w:style>
  <w:style w:type="character" w:customStyle="1" w:styleId="277">
    <w:name w:val="z-窗体底端 Char2"/>
    <w:basedOn w:val="63"/>
    <w:link w:val="91"/>
    <w:semiHidden/>
    <w:qFormat/>
    <w:uiPriority w:val="99"/>
    <w:rPr>
      <w:rFonts w:ascii="Arial" w:hAnsi="Arial" w:eastAsia="宋体" w:cs="Arial"/>
      <w:vanish/>
      <w:sz w:val="16"/>
      <w:szCs w:val="16"/>
    </w:rPr>
  </w:style>
  <w:style w:type="character" w:customStyle="1" w:styleId="278">
    <w:name w:val="HTML 预设格式 Char2"/>
    <w:basedOn w:val="63"/>
    <w:link w:val="54"/>
    <w:semiHidden/>
    <w:qFormat/>
    <w:uiPriority w:val="99"/>
    <w:rPr>
      <w:rFonts w:ascii="Courier New" w:hAnsi="Courier New" w:eastAsia="宋体" w:cs="Courier New"/>
      <w:sz w:val="20"/>
      <w:szCs w:val="20"/>
    </w:rPr>
  </w:style>
  <w:style w:type="paragraph" w:customStyle="1" w:styleId="279">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81">
    <w:name w:val="正文首行缩进 Char1"/>
    <w:basedOn w:val="252"/>
    <w:link w:val="59"/>
    <w:semiHidden/>
    <w:qFormat/>
    <w:uiPriority w:val="99"/>
    <w:rPr>
      <w:rFonts w:ascii="Times New Roman" w:hAnsi="Times New Roman" w:eastAsia="宋体" w:cs="Times New Roman"/>
      <w:szCs w:val="24"/>
    </w:rPr>
  </w:style>
  <w:style w:type="character" w:customStyle="1" w:styleId="282">
    <w:name w:val="正文文本 2 Char1"/>
    <w:basedOn w:val="63"/>
    <w:link w:val="53"/>
    <w:semiHidden/>
    <w:qFormat/>
    <w:uiPriority w:val="99"/>
    <w:rPr>
      <w:rFonts w:ascii="Times New Roman" w:hAnsi="Times New Roman" w:eastAsia="宋体" w:cs="Times New Roman"/>
      <w:szCs w:val="24"/>
    </w:rPr>
  </w:style>
  <w:style w:type="paragraph" w:customStyle="1" w:styleId="28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4">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5">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7">
    <w:name w:val="结束语 Char2"/>
    <w:basedOn w:val="63"/>
    <w:link w:val="26"/>
    <w:semiHidden/>
    <w:qFormat/>
    <w:uiPriority w:val="99"/>
    <w:rPr>
      <w:rFonts w:ascii="Times New Roman" w:hAnsi="Times New Roman" w:eastAsia="宋体" w:cs="Times New Roman"/>
      <w:szCs w:val="24"/>
    </w:rPr>
  </w:style>
  <w:style w:type="character" w:customStyle="1" w:styleId="288">
    <w:name w:val="副标题 Char2"/>
    <w:basedOn w:val="63"/>
    <w:link w:val="45"/>
    <w:qFormat/>
    <w:uiPriority w:val="11"/>
    <w:rPr>
      <w:rFonts w:eastAsia="宋体" w:asciiTheme="majorHAnsi" w:hAnsiTheme="majorHAnsi" w:cstheme="majorBidi"/>
      <w:b/>
      <w:bCs/>
      <w:kern w:val="28"/>
      <w:sz w:val="32"/>
      <w:szCs w:val="32"/>
    </w:rPr>
  </w:style>
  <w:style w:type="paragraph" w:customStyle="1" w:styleId="289">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9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91">
    <w:name w:val="尾注文本 Char2"/>
    <w:basedOn w:val="63"/>
    <w:link w:val="39"/>
    <w:semiHidden/>
    <w:qFormat/>
    <w:uiPriority w:val="99"/>
    <w:rPr>
      <w:rFonts w:ascii="Times New Roman" w:hAnsi="Times New Roman" w:eastAsia="宋体" w:cs="Times New Roman"/>
      <w:szCs w:val="24"/>
    </w:rPr>
  </w:style>
  <w:style w:type="paragraph" w:customStyle="1" w:styleId="292">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3">
    <w:name w:val="样式3"/>
    <w:qFormat/>
    <w:uiPriority w:val="0"/>
    <w:pPr>
      <w:spacing w:line="300" w:lineRule="auto"/>
    </w:pPr>
    <w:rPr>
      <w:rFonts w:ascii="Times New Roman" w:hAnsi="Times New Roman" w:eastAsia="宋体" w:cs="Times New Roman"/>
      <w:lang w:val="en-US" w:eastAsia="zh-CN" w:bidi="ar-SA"/>
    </w:rPr>
  </w:style>
  <w:style w:type="paragraph" w:customStyle="1" w:styleId="294">
    <w:name w:val="Char11"/>
    <w:basedOn w:val="1"/>
    <w:qFormat/>
    <w:uiPriority w:val="0"/>
  </w:style>
  <w:style w:type="paragraph" w:customStyle="1" w:styleId="295">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6">
    <w:name w:val="不缩进"/>
    <w:basedOn w:val="1"/>
    <w:qFormat/>
    <w:uiPriority w:val="0"/>
    <w:pPr>
      <w:spacing w:line="360" w:lineRule="auto"/>
      <w:jc w:val="center"/>
    </w:pPr>
    <w:rPr>
      <w:b/>
      <w:bCs/>
      <w:sz w:val="28"/>
      <w:szCs w:val="21"/>
    </w:rPr>
  </w:style>
  <w:style w:type="paragraph" w:customStyle="1" w:styleId="29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8">
    <w:name w:val="标题2"/>
    <w:basedOn w:val="1"/>
    <w:qFormat/>
    <w:uiPriority w:val="0"/>
    <w:pPr>
      <w:spacing w:beforeLines="50" w:afterLines="50" w:line="300" w:lineRule="exact"/>
    </w:pPr>
    <w:rPr>
      <w:b/>
      <w:bCs/>
    </w:rPr>
  </w:style>
  <w:style w:type="paragraph" w:customStyle="1" w:styleId="299">
    <w:name w:val="表格1"/>
    <w:basedOn w:val="1"/>
    <w:qFormat/>
    <w:uiPriority w:val="0"/>
    <w:pPr>
      <w:tabs>
        <w:tab w:val="left" w:pos="203"/>
      </w:tabs>
      <w:spacing w:before="40" w:after="40"/>
      <w:jc w:val="center"/>
    </w:pPr>
    <w:rPr>
      <w:b/>
      <w:sz w:val="28"/>
      <w:szCs w:val="20"/>
    </w:rPr>
  </w:style>
  <w:style w:type="paragraph" w:customStyle="1" w:styleId="300">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3">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5">
    <w:name w:val="项目编号一级"/>
    <w:basedOn w:val="1"/>
    <w:qFormat/>
    <w:uiPriority w:val="0"/>
    <w:pPr>
      <w:tabs>
        <w:tab w:val="left" w:pos="900"/>
      </w:tabs>
      <w:spacing w:line="360" w:lineRule="auto"/>
      <w:ind w:left="900" w:hanging="420"/>
    </w:pPr>
  </w:style>
  <w:style w:type="paragraph" w:customStyle="1" w:styleId="30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9">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0">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11">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2">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3">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4">
    <w:name w:val="DLP正文"/>
    <w:basedOn w:val="1"/>
    <w:qFormat/>
    <w:uiPriority w:val="0"/>
    <w:pPr>
      <w:snapToGrid w:val="0"/>
      <w:spacing w:line="360" w:lineRule="auto"/>
      <w:ind w:firstLine="473"/>
    </w:pPr>
    <w:rPr>
      <w:rFonts w:hAnsi="宋体"/>
      <w:sz w:val="24"/>
      <w:szCs w:val="22"/>
    </w:rPr>
  </w:style>
  <w:style w:type="paragraph" w:customStyle="1" w:styleId="315">
    <w:name w:val="CM19"/>
    <w:basedOn w:val="249"/>
    <w:next w:val="249"/>
    <w:qFormat/>
    <w:uiPriority w:val="0"/>
    <w:pPr>
      <w:spacing w:line="440" w:lineRule="atLeast"/>
    </w:pPr>
    <w:rPr>
      <w:rFonts w:ascii="方正小标宋简体" w:eastAsia="方正小标宋简体"/>
      <w:color w:val="auto"/>
      <w:szCs w:val="24"/>
    </w:rPr>
  </w:style>
  <w:style w:type="paragraph" w:customStyle="1" w:styleId="31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7">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8">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9">
    <w:name w:val="默认段落字体 Para Char Char Char Char Char Char Char Char Char Char Char Char Char"/>
    <w:basedOn w:val="21"/>
    <w:qFormat/>
    <w:uiPriority w:val="0"/>
    <w:pPr>
      <w:adjustRightInd w:val="0"/>
      <w:spacing w:line="436" w:lineRule="exact"/>
      <w:ind w:left="357"/>
      <w:jc w:val="left"/>
      <w:outlineLvl w:val="3"/>
    </w:pPr>
    <w:rPr>
      <w:rFonts w:ascii="宋体" w:hAnsi="宋体"/>
      <w:kern w:val="0"/>
      <w:szCs w:val="21"/>
    </w:rPr>
  </w:style>
  <w:style w:type="paragraph" w:customStyle="1" w:styleId="320">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2">
    <w:name w:val="样式 标题 2 + 段前: 0.5 行 段后: 0.5 行2"/>
    <w:basedOn w:val="4"/>
    <w:qFormat/>
    <w:uiPriority w:val="0"/>
    <w:pPr>
      <w:tabs>
        <w:tab w:val="left" w:pos="1320"/>
      </w:tabs>
      <w:spacing w:beforeLines="50" w:afterLines="50" w:line="360" w:lineRule="auto"/>
      <w:jc w:val="left"/>
    </w:pPr>
    <w:rPr>
      <w:rFonts w:cs="宋体"/>
      <w:kern w:val="0"/>
      <w:sz w:val="36"/>
      <w:szCs w:val="20"/>
    </w:rPr>
  </w:style>
  <w:style w:type="paragraph" w:customStyle="1" w:styleId="323">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4">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5">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6">
    <w:name w:val="Block"/>
    <w:basedOn w:val="1"/>
    <w:next w:val="199"/>
    <w:qFormat/>
    <w:uiPriority w:val="0"/>
    <w:pPr>
      <w:tabs>
        <w:tab w:val="left" w:pos="0"/>
      </w:tabs>
    </w:pPr>
    <w:rPr>
      <w:rFonts w:ascii="Arial" w:hAnsi="Arial" w:eastAsia="楷体_GB2312"/>
      <w:color w:val="000080"/>
      <w:sz w:val="28"/>
      <w:szCs w:val="28"/>
    </w:rPr>
  </w:style>
  <w:style w:type="paragraph" w:customStyle="1" w:styleId="327">
    <w:name w:val="_Style 20"/>
    <w:basedOn w:val="1"/>
    <w:qFormat/>
    <w:uiPriority w:val="0"/>
    <w:rPr>
      <w:rFonts w:ascii="Tahoma" w:hAnsi="Tahoma"/>
      <w:sz w:val="24"/>
      <w:szCs w:val="20"/>
    </w:rPr>
  </w:style>
  <w:style w:type="paragraph" w:customStyle="1" w:styleId="32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9">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30">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31">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3">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4">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5">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7">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8">
    <w:name w:val="GP正文(首行缩进)"/>
    <w:basedOn w:val="1"/>
    <w:qFormat/>
    <w:uiPriority w:val="0"/>
    <w:pPr>
      <w:spacing w:line="360" w:lineRule="auto"/>
      <w:ind w:firstLine="200" w:firstLineChars="200"/>
      <w:jc w:val="left"/>
    </w:pPr>
    <w:rPr>
      <w:sz w:val="24"/>
      <w:szCs w:val="21"/>
    </w:rPr>
  </w:style>
  <w:style w:type="paragraph" w:customStyle="1" w:styleId="339">
    <w:name w:val="目录"/>
    <w:basedOn w:val="1"/>
    <w:qFormat/>
    <w:uiPriority w:val="0"/>
    <w:pPr>
      <w:widowControl/>
      <w:jc w:val="center"/>
    </w:pPr>
    <w:rPr>
      <w:rFonts w:ascii="宋体"/>
      <w:b/>
      <w:kern w:val="0"/>
      <w:sz w:val="36"/>
      <w:szCs w:val="20"/>
    </w:rPr>
  </w:style>
  <w:style w:type="paragraph" w:customStyle="1" w:styleId="3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1">
    <w:name w:val="样式 小四 行距: 1.5 倍行距"/>
    <w:basedOn w:val="1"/>
    <w:qFormat/>
    <w:uiPriority w:val="0"/>
    <w:pPr>
      <w:tabs>
        <w:tab w:val="left" w:pos="740"/>
      </w:tabs>
      <w:ind w:left="1081" w:hanging="1081"/>
    </w:pPr>
  </w:style>
  <w:style w:type="paragraph" w:customStyle="1" w:styleId="342">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6">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7">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8">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9">
    <w:name w:val="样式 标题 3h:33H3Kop 3Vl3Level 3 Headh3sect1.2.3Alt+31.1.1..."/>
    <w:basedOn w:val="2"/>
    <w:qFormat/>
    <w:uiPriority w:val="0"/>
    <w:pPr>
      <w:tabs>
        <w:tab w:val="left" w:pos="1800"/>
      </w:tabs>
      <w:spacing w:before="312" w:after="312" w:line="415" w:lineRule="auto"/>
      <w:ind w:left="1800" w:leftChars="0" w:hanging="720"/>
    </w:pPr>
    <w:rPr>
      <w:rFonts w:eastAsia="宋体" w:cs="宋体"/>
      <w:bCs/>
      <w:sz w:val="30"/>
    </w:rPr>
  </w:style>
  <w:style w:type="paragraph" w:customStyle="1" w:styleId="350">
    <w:name w:val="Char Char Char Char Char Char Char1"/>
    <w:basedOn w:val="1"/>
    <w:qFormat/>
    <w:uiPriority w:val="0"/>
  </w:style>
  <w:style w:type="paragraph" w:customStyle="1" w:styleId="351">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2">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3">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4">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5">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8">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9">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60">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3">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4">
    <w:name w:val="列表 21"/>
    <w:basedOn w:val="1"/>
    <w:qFormat/>
    <w:uiPriority w:val="0"/>
    <w:pPr>
      <w:ind w:left="100" w:leftChars="200" w:hanging="200" w:hangingChars="200"/>
    </w:pPr>
  </w:style>
  <w:style w:type="paragraph" w:customStyle="1" w:styleId="365">
    <w:name w:val="Char Char Char Char Char Char Char"/>
    <w:basedOn w:val="1"/>
    <w:qFormat/>
    <w:uiPriority w:val="0"/>
  </w:style>
  <w:style w:type="paragraph" w:customStyle="1" w:styleId="366">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7">
    <w:name w:val="一级无"/>
    <w:basedOn w:val="224"/>
    <w:qFormat/>
    <w:uiPriority w:val="0"/>
    <w:pPr>
      <w:spacing w:beforeLines="0" w:afterLines="0"/>
    </w:pPr>
    <w:rPr>
      <w:rFonts w:ascii="宋体" w:eastAsia="宋体"/>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手动目录"/>
    <w:basedOn w:val="1"/>
    <w:qFormat/>
    <w:uiPriority w:val="0"/>
    <w:pPr>
      <w:numPr>
        <w:ilvl w:val="0"/>
        <w:numId w:val="3"/>
      </w:numPr>
      <w:spacing w:line="360" w:lineRule="auto"/>
    </w:pPr>
    <w:rPr>
      <w:sz w:val="24"/>
    </w:rPr>
  </w:style>
  <w:style w:type="paragraph" w:customStyle="1" w:styleId="370">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71">
    <w:name w:val="默认段落字体 Para Char Char Char Char"/>
    <w:basedOn w:val="1"/>
    <w:qFormat/>
    <w:uiPriority w:val="0"/>
    <w:rPr>
      <w:szCs w:val="20"/>
    </w:rPr>
  </w:style>
  <w:style w:type="paragraph" w:customStyle="1" w:styleId="372">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4">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6">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7">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8">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9">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80">
    <w:name w:val="CM20"/>
    <w:basedOn w:val="249"/>
    <w:next w:val="249"/>
    <w:qFormat/>
    <w:uiPriority w:val="0"/>
    <w:pPr>
      <w:spacing w:after="115"/>
    </w:pPr>
    <w:rPr>
      <w:rFonts w:ascii=".a..DD.." w:eastAsia=".a..DD.."/>
      <w:color w:val="auto"/>
      <w:szCs w:val="24"/>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4">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5">
    <w:name w:val="书目1"/>
    <w:basedOn w:val="1"/>
    <w:next w:val="1"/>
    <w:unhideWhenUsed/>
    <w:qFormat/>
    <w:uiPriority w:val="37"/>
    <w:pPr>
      <w:spacing w:line="360" w:lineRule="auto"/>
      <w:ind w:firstLine="200" w:firstLineChars="200"/>
      <w:jc w:val="left"/>
    </w:pPr>
    <w:rPr>
      <w:sz w:val="24"/>
    </w:rPr>
  </w:style>
  <w:style w:type="paragraph" w:customStyle="1" w:styleId="38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7">
    <w:name w:val="表文"/>
    <w:basedOn w:val="1"/>
    <w:qFormat/>
    <w:uiPriority w:val="0"/>
    <w:pPr>
      <w:spacing w:line="300" w:lineRule="auto"/>
      <w:jc w:val="center"/>
      <w:textAlignment w:val="baseline"/>
    </w:pPr>
    <w:rPr>
      <w:kern w:val="0"/>
      <w:szCs w:val="20"/>
    </w:rPr>
  </w:style>
  <w:style w:type="paragraph" w:customStyle="1" w:styleId="38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9">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0">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91">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5">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6">
    <w:name w:val="样式 样式 标题 2 + 段前: 0.5 行 段后: 0.5 行 + 段前: 0.5 行 段后: 0.5 行"/>
    <w:basedOn w:val="397"/>
    <w:qFormat/>
    <w:uiPriority w:val="0"/>
    <w:pPr>
      <w:tabs>
        <w:tab w:val="left" w:pos="1320"/>
      </w:tabs>
      <w:spacing w:beforeLines="0" w:beforeAutospacing="1" w:afterLines="0" w:afterAutospacing="1"/>
      <w:ind w:left="576" w:hanging="576"/>
    </w:pPr>
    <w:rPr>
      <w:bCs w:val="0"/>
    </w:rPr>
  </w:style>
  <w:style w:type="paragraph" w:customStyle="1" w:styleId="397">
    <w:name w:val="样式 标题 2 + 段前: 0.5 行 段后: 0.5 行"/>
    <w:basedOn w:val="4"/>
    <w:qFormat/>
    <w:uiPriority w:val="0"/>
    <w:pPr>
      <w:tabs>
        <w:tab w:val="left" w:pos="1320"/>
      </w:tabs>
      <w:spacing w:beforeLines="50" w:afterLines="50" w:line="360" w:lineRule="auto"/>
      <w:jc w:val="left"/>
    </w:pPr>
    <w:rPr>
      <w:rFonts w:cs="宋体"/>
      <w:b w:val="0"/>
      <w:kern w:val="0"/>
      <w:szCs w:val="20"/>
    </w:rPr>
  </w:style>
  <w:style w:type="paragraph" w:customStyle="1" w:styleId="398">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9">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00">
    <w:name w:val="标准"/>
    <w:basedOn w:val="1"/>
    <w:qFormat/>
    <w:uiPriority w:val="0"/>
    <w:pPr>
      <w:autoSpaceDE w:val="0"/>
      <w:autoSpaceDN w:val="0"/>
      <w:adjustRightInd w:val="0"/>
      <w:ind w:firstLine="600"/>
      <w:textAlignment w:val="baseline"/>
    </w:pPr>
    <w:rPr>
      <w:kern w:val="0"/>
      <w:sz w:val="28"/>
      <w:szCs w:val="20"/>
    </w:rPr>
  </w:style>
  <w:style w:type="paragraph" w:customStyle="1" w:styleId="401">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2">
    <w:name w:val="样式 标题 3 + 四号 段前: 7.8 磅 段后: 0 磅 行距: 单倍行距"/>
    <w:basedOn w:val="2"/>
    <w:qFormat/>
    <w:uiPriority w:val="0"/>
    <w:pPr>
      <w:tabs>
        <w:tab w:val="left" w:pos="673"/>
      </w:tabs>
      <w:spacing w:before="156" w:after="0"/>
      <w:ind w:left="720" w:hanging="720"/>
    </w:pPr>
    <w:rPr>
      <w:rFonts w:ascii="宋体" w:hAnsi="宋体" w:eastAsia="宋体"/>
      <w:b w:val="0"/>
      <w:sz w:val="28"/>
    </w:rPr>
  </w:style>
  <w:style w:type="paragraph" w:customStyle="1" w:styleId="403">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4">
    <w:name w:val="表项"/>
    <w:next w:val="4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6">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9">
    <w:name w:val="Char2"/>
    <w:basedOn w:val="1"/>
    <w:qFormat/>
    <w:uiPriority w:val="0"/>
    <w:pPr>
      <w:jc w:val="center"/>
    </w:pPr>
    <w:rPr>
      <w:rFonts w:ascii="宋体" w:hAnsi="宋体"/>
      <w:b/>
      <w:szCs w:val="21"/>
    </w:rPr>
  </w:style>
  <w:style w:type="paragraph" w:customStyle="1" w:styleId="41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2">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4">
    <w:name w:val="样式 样式 标题 2 + 段前: 0.5 行 段后: 0.5 行2 + 段前: 0.5 行 段后: 0.5 行"/>
    <w:basedOn w:val="322"/>
    <w:qFormat/>
    <w:uiPriority w:val="0"/>
    <w:rPr>
      <w:b w:val="0"/>
    </w:rPr>
  </w:style>
  <w:style w:type="paragraph" w:customStyle="1" w:styleId="415">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6">
    <w:name w:val="Figure Description"/>
    <w:basedOn w:val="1"/>
    <w:next w:val="199"/>
    <w:qFormat/>
    <w:uiPriority w:val="0"/>
    <w:pPr>
      <w:keepNext/>
      <w:keepLines/>
      <w:spacing w:afterLines="100" w:line="360" w:lineRule="auto"/>
      <w:jc w:val="center"/>
    </w:pPr>
    <w:rPr>
      <w:rFonts w:ascii="Tahoma" w:hAnsi="Tahoma"/>
      <w:sz w:val="24"/>
    </w:rPr>
  </w:style>
  <w:style w:type="paragraph" w:customStyle="1" w:styleId="417">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8">
    <w:name w:val="pa-13"/>
    <w:basedOn w:val="1"/>
    <w:qFormat/>
    <w:uiPriority w:val="0"/>
    <w:pPr>
      <w:widowControl/>
      <w:spacing w:line="240" w:lineRule="atLeast"/>
    </w:pPr>
    <w:rPr>
      <w:rFonts w:ascii="宋体" w:hAnsi="宋体" w:cs="宋体"/>
      <w:kern w:val="0"/>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20">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21">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2">
    <w:name w:val="样式 小四 首行缩进:  2 字符"/>
    <w:basedOn w:val="1"/>
    <w:qFormat/>
    <w:uiPriority w:val="0"/>
    <w:pPr>
      <w:spacing w:line="300" w:lineRule="auto"/>
      <w:ind w:firstLine="480" w:firstLineChars="200"/>
    </w:pPr>
    <w:rPr>
      <w:sz w:val="24"/>
      <w:szCs w:val="20"/>
    </w:rPr>
  </w:style>
  <w:style w:type="paragraph" w:customStyle="1" w:styleId="423">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4">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5">
    <w:name w:val="列出段落2"/>
    <w:basedOn w:val="1"/>
    <w:qFormat/>
    <w:uiPriority w:val="0"/>
    <w:pPr>
      <w:ind w:firstLine="420" w:firstLineChars="200"/>
    </w:pPr>
  </w:style>
  <w:style w:type="paragraph" w:customStyle="1" w:styleId="426">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30">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31">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2">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3">
    <w:name w:val="Char Char Char"/>
    <w:basedOn w:val="1"/>
    <w:qFormat/>
    <w:uiPriority w:val="0"/>
    <w:rPr>
      <w:rFonts w:ascii="Tahoma" w:hAnsi="Tahoma" w:cs="Angsana New"/>
      <w:sz w:val="24"/>
      <w:szCs w:val="20"/>
    </w:rPr>
  </w:style>
  <w:style w:type="paragraph" w:customStyle="1" w:styleId="434">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6">
    <w:name w:val="样式 标题 1章H11. heading 1标准章Alt+1h1Huvudrubrikh11h12h13h..."/>
    <w:basedOn w:val="1"/>
    <w:qFormat/>
    <w:uiPriority w:val="0"/>
  </w:style>
  <w:style w:type="paragraph" w:customStyle="1" w:styleId="43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8">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40">
    <w:name w:val="正文居中小5"/>
    <w:basedOn w:val="1"/>
    <w:qFormat/>
    <w:uiPriority w:val="0"/>
    <w:pPr>
      <w:spacing w:line="360" w:lineRule="auto"/>
      <w:jc w:val="center"/>
    </w:pPr>
    <w:rPr>
      <w:rFonts w:ascii="Arial" w:hAnsi="Arial"/>
      <w:sz w:val="18"/>
    </w:rPr>
  </w:style>
  <w:style w:type="paragraph" w:customStyle="1" w:styleId="44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2">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3">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4">
    <w:name w:val="二级大纲"/>
    <w:next w:val="103"/>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5">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6">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8">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9">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0">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51">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样式 样式 标题 + 段前: 0.5 行 段后: 0.5 行 + 段前: 0.5 行 段后: 0.5 行"/>
    <w:basedOn w:val="211"/>
    <w:qFormat/>
    <w:uiPriority w:val="0"/>
    <w:pPr>
      <w:spacing w:beforeLines="50" w:afterLines="50" w:line="360" w:lineRule="auto"/>
    </w:pPr>
    <w:rPr>
      <w:rFonts w:eastAsia="黑体" w:cs="宋体"/>
      <w:sz w:val="72"/>
      <w:szCs w:val="20"/>
      <w:u w:val="double"/>
    </w:rPr>
  </w:style>
  <w:style w:type="paragraph" w:customStyle="1" w:styleId="456">
    <w:name w:val="正文居中"/>
    <w:basedOn w:val="1"/>
    <w:next w:val="38"/>
    <w:qFormat/>
    <w:uiPriority w:val="0"/>
    <w:pPr>
      <w:adjustRightInd w:val="0"/>
      <w:snapToGrid w:val="0"/>
      <w:ind w:firstLine="480" w:firstLineChars="200"/>
    </w:pPr>
    <w:rPr>
      <w:rFonts w:ascii="宋体" w:hAnsi="宋体"/>
      <w:sz w:val="24"/>
    </w:rPr>
  </w:style>
  <w:style w:type="paragraph" w:customStyle="1" w:styleId="457">
    <w:name w:val="文档控制号等"/>
    <w:basedOn w:val="1"/>
    <w:qFormat/>
    <w:uiPriority w:val="0"/>
    <w:pPr>
      <w:spacing w:line="360" w:lineRule="auto"/>
      <w:jc w:val="left"/>
    </w:pPr>
  </w:style>
  <w:style w:type="paragraph" w:customStyle="1" w:styleId="458">
    <w:name w:val="小四 段落 宋体 Char Char"/>
    <w:basedOn w:val="459"/>
    <w:qFormat/>
    <w:uiPriority w:val="0"/>
    <w:pPr>
      <w:tabs>
        <w:tab w:val="left" w:pos="360"/>
        <w:tab w:val="left" w:pos="840"/>
      </w:tabs>
    </w:pPr>
  </w:style>
  <w:style w:type="paragraph" w:customStyle="1" w:styleId="459">
    <w:name w:val="小四 段落 宋体 Char Char Char"/>
    <w:basedOn w:val="16"/>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60">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61">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2">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3">
    <w:name w:val="表格内容五号(V1)"/>
    <w:basedOn w:val="1"/>
    <w:qFormat/>
    <w:uiPriority w:val="0"/>
    <w:pPr>
      <w:jc w:val="center"/>
    </w:pPr>
    <w:rPr>
      <w:rFonts w:cs="Arial Unicode MS"/>
      <w:kern w:val="0"/>
      <w:szCs w:val="21"/>
    </w:rPr>
  </w:style>
  <w:style w:type="paragraph" w:customStyle="1" w:styleId="46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5">
    <w:name w:val="10"/>
    <w:basedOn w:val="1"/>
    <w:qFormat/>
    <w:uiPriority w:val="0"/>
    <w:pPr>
      <w:spacing w:line="360" w:lineRule="auto"/>
      <w:ind w:firstLine="454"/>
    </w:pPr>
    <w:rPr>
      <w:rFonts w:ascii="Tahoma" w:hAnsi="Tahoma"/>
      <w:sz w:val="24"/>
      <w:szCs w:val="20"/>
    </w:rPr>
  </w:style>
  <w:style w:type="paragraph" w:customStyle="1" w:styleId="466">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7">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8">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9">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70">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47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3">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5">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6">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7">
    <w:name w:val="三级无"/>
    <w:basedOn w:val="269"/>
    <w:qFormat/>
    <w:uiPriority w:val="0"/>
    <w:pPr>
      <w:spacing w:beforeLines="0" w:afterLines="0"/>
    </w:pPr>
    <w:rPr>
      <w:rFonts w:ascii="宋体" w:eastAsia="宋体"/>
    </w:rPr>
  </w:style>
  <w:style w:type="paragraph" w:customStyle="1" w:styleId="47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9">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0">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Figure"/>
    <w:basedOn w:val="1"/>
    <w:next w:val="416"/>
    <w:qFormat/>
    <w:uiPriority w:val="0"/>
    <w:pPr>
      <w:keepNext/>
      <w:ind w:left="1701"/>
    </w:pPr>
  </w:style>
  <w:style w:type="paragraph" w:customStyle="1" w:styleId="48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4">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5">
    <w:name w:val="正文悬挂缩进4"/>
    <w:basedOn w:val="1"/>
    <w:qFormat/>
    <w:uiPriority w:val="0"/>
    <w:pPr>
      <w:spacing w:line="360" w:lineRule="auto"/>
      <w:ind w:left="839"/>
    </w:pPr>
  </w:style>
  <w:style w:type="paragraph" w:customStyle="1" w:styleId="486">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7">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8">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9">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91">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2">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3">
    <w:name w:val="项目编号1级"/>
    <w:basedOn w:val="494"/>
    <w:qFormat/>
    <w:uiPriority w:val="0"/>
    <w:pPr>
      <w:tabs>
        <w:tab w:val="left" w:pos="840"/>
      </w:tabs>
      <w:ind w:left="840" w:hanging="420" w:firstLineChars="0"/>
    </w:pPr>
  </w:style>
  <w:style w:type="paragraph" w:customStyle="1" w:styleId="494">
    <w:name w:val="正文缩进2"/>
    <w:basedOn w:val="1"/>
    <w:qFormat/>
    <w:uiPriority w:val="0"/>
    <w:pPr>
      <w:spacing w:line="360" w:lineRule="auto"/>
      <w:ind w:firstLine="200" w:firstLineChars="200"/>
    </w:pPr>
  </w:style>
  <w:style w:type="paragraph" w:customStyle="1" w:styleId="495">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8">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9">
    <w:name w:val="样式 标题 3 + 段前: 0.5 行 段后: 0.5 行"/>
    <w:basedOn w:val="2"/>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500">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1">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2">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3">
    <w:name w:val="列出段落1"/>
    <w:basedOn w:val="1"/>
    <w:qFormat/>
    <w:uiPriority w:val="34"/>
    <w:pPr>
      <w:ind w:firstLine="420" w:firstLineChars="200"/>
    </w:pPr>
    <w:rPr>
      <w:szCs w:val="20"/>
    </w:rPr>
  </w:style>
  <w:style w:type="paragraph" w:customStyle="1" w:styleId="504">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6">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7">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8">
    <w:name w:val="一级"/>
    <w:basedOn w:val="103"/>
    <w:next w:val="103"/>
    <w:qFormat/>
    <w:uiPriority w:val="0"/>
    <w:pPr>
      <w:tabs>
        <w:tab w:val="left" w:pos="360"/>
        <w:tab w:val="left" w:pos="780"/>
      </w:tabs>
      <w:ind w:left="780" w:hanging="360" w:firstLineChars="0"/>
      <w:jc w:val="center"/>
      <w:outlineLvl w:val="0"/>
    </w:pPr>
    <w:rPr>
      <w:b/>
      <w:sz w:val="44"/>
    </w:rPr>
  </w:style>
  <w:style w:type="paragraph" w:customStyle="1" w:styleId="509">
    <w:name w:val="警告"/>
    <w:basedOn w:val="1"/>
    <w:next w:val="199"/>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10">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11">
    <w:name w:val="样式 标题 3H3h3h31第二层条3Bold Headbh章标题1小标题level_3PIM 3Lev..."/>
    <w:basedOn w:val="2"/>
    <w:qFormat/>
    <w:uiPriority w:val="0"/>
    <w:pPr>
      <w:tabs>
        <w:tab w:val="left" w:pos="1931"/>
      </w:tabs>
      <w:spacing w:before="156" w:after="156"/>
      <w:ind w:left="1418" w:leftChars="0" w:hanging="567"/>
    </w:pPr>
    <w:rPr>
      <w:rFonts w:eastAsia="楷体_GB2312" w:cs="宋体"/>
      <w:bCs/>
      <w:kern w:val="0"/>
      <w:sz w:val="44"/>
    </w:rPr>
  </w:style>
  <w:style w:type="paragraph" w:customStyle="1" w:styleId="512">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3">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7">
    <w:name w:val="正文(单倍行距)"/>
    <w:basedOn w:val="1"/>
    <w:qFormat/>
    <w:uiPriority w:val="0"/>
    <w:pPr>
      <w:adjustRightInd w:val="0"/>
      <w:snapToGrid w:val="0"/>
      <w:jc w:val="center"/>
    </w:pPr>
  </w:style>
  <w:style w:type="paragraph" w:customStyle="1" w:styleId="518">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9">
    <w:name w:val="二级无"/>
    <w:basedOn w:val="270"/>
    <w:qFormat/>
    <w:uiPriority w:val="0"/>
    <w:pPr>
      <w:spacing w:beforeLines="0" w:afterLines="0"/>
    </w:pPr>
    <w:rPr>
      <w:rFonts w:ascii="宋体" w:eastAsia="宋体"/>
    </w:rPr>
  </w:style>
  <w:style w:type="paragraph" w:customStyle="1" w:styleId="520">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21">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2">
    <w:name w:val="pa-10"/>
    <w:basedOn w:val="1"/>
    <w:qFormat/>
    <w:uiPriority w:val="0"/>
    <w:pPr>
      <w:widowControl/>
      <w:spacing w:line="280" w:lineRule="atLeast"/>
    </w:pPr>
    <w:rPr>
      <w:rFonts w:ascii="宋体" w:hAnsi="宋体" w:cs="宋体"/>
      <w:kern w:val="0"/>
      <w:sz w:val="24"/>
    </w:rPr>
  </w:style>
  <w:style w:type="paragraph" w:customStyle="1" w:styleId="523">
    <w:name w:val="WPS Plain"/>
    <w:qFormat/>
    <w:uiPriority w:val="0"/>
    <w:rPr>
      <w:rFonts w:ascii="Times New Roman" w:hAnsi="Times New Roman" w:eastAsia="宋体" w:cs="Times New Roman"/>
      <w:lang w:val="en-US" w:eastAsia="zh-CN" w:bidi="ar-SA"/>
    </w:rPr>
  </w:style>
  <w:style w:type="paragraph" w:customStyle="1" w:styleId="524">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5">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7">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30">
    <w:name w:val="表身（中）"/>
    <w:basedOn w:val="405"/>
    <w:qFormat/>
    <w:uiPriority w:val="0"/>
    <w:pPr>
      <w:jc w:val="center"/>
    </w:pPr>
  </w:style>
  <w:style w:type="paragraph" w:customStyle="1" w:styleId="531">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2">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3">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5">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7">
    <w:name w:val="表格正文2"/>
    <w:basedOn w:val="1"/>
    <w:qFormat/>
    <w:uiPriority w:val="0"/>
    <w:pPr>
      <w:adjustRightInd w:val="0"/>
      <w:snapToGrid w:val="0"/>
      <w:spacing w:line="400" w:lineRule="atLeast"/>
      <w:jc w:val="left"/>
    </w:pPr>
    <w:rPr>
      <w:sz w:val="24"/>
      <w:szCs w:val="20"/>
    </w:rPr>
  </w:style>
  <w:style w:type="paragraph" w:customStyle="1" w:styleId="53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9">
    <w:name w:val="样式 首行缩进:  2 字符2 + 居中"/>
    <w:basedOn w:val="220"/>
    <w:qFormat/>
    <w:uiPriority w:val="0"/>
    <w:pPr>
      <w:adjustRightInd/>
      <w:snapToGrid/>
      <w:ind w:firstLine="0" w:firstLineChars="0"/>
      <w:jc w:val="center"/>
    </w:pPr>
    <w:rPr>
      <w:sz w:val="28"/>
      <w:szCs w:val="20"/>
    </w:rPr>
  </w:style>
  <w:style w:type="paragraph" w:customStyle="1" w:styleId="540">
    <w:name w:val="Absatz2AL"/>
    <w:basedOn w:val="28"/>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3">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4">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8">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9">
    <w:name w:val="def正文"/>
    <w:basedOn w:val="28"/>
    <w:qFormat/>
    <w:uiPriority w:val="0"/>
    <w:pPr>
      <w:widowControl/>
      <w:autoSpaceDE/>
      <w:autoSpaceDN/>
      <w:adjustRightInd/>
      <w:ind w:firstLine="482"/>
      <w:jc w:val="both"/>
    </w:pPr>
    <w:rPr>
      <w:rFonts w:ascii="Times New Roman"/>
      <w:b/>
      <w:sz w:val="24"/>
      <w:szCs w:val="24"/>
    </w:rPr>
  </w:style>
  <w:style w:type="paragraph" w:customStyle="1" w:styleId="550">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5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2">
    <w:name w:val="三级大纲"/>
    <w:next w:val="103"/>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3">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4">
    <w:name w:val="1"/>
    <w:basedOn w:val="42"/>
    <w:qFormat/>
    <w:uiPriority w:val="0"/>
    <w:pPr>
      <w:pBdr>
        <w:bottom w:val="none" w:color="auto" w:sz="0" w:space="0"/>
      </w:pBdr>
    </w:pPr>
    <w:rPr>
      <w:rFonts w:ascii="Calibri" w:hAnsi="Calibri" w:eastAsia="华文新魏"/>
      <w:kern w:val="0"/>
      <w:sz w:val="21"/>
      <w:szCs w:val="20"/>
    </w:rPr>
  </w:style>
  <w:style w:type="paragraph" w:customStyle="1" w:styleId="555">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7">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8">
    <w:name w:val="Item Step in Table"/>
    <w:basedOn w:val="1"/>
    <w:qFormat/>
    <w:uiPriority w:val="0"/>
    <w:pPr>
      <w:tabs>
        <w:tab w:val="left" w:pos="420"/>
      </w:tabs>
      <w:ind w:left="420" w:hanging="420"/>
      <w:jc w:val="left"/>
    </w:pPr>
    <w:rPr>
      <w:rFonts w:ascii="Tahoma" w:hAnsi="Tahoma"/>
      <w:sz w:val="28"/>
      <w:szCs w:val="21"/>
    </w:rPr>
  </w:style>
  <w:style w:type="paragraph" w:customStyle="1" w:styleId="55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60">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2">
    <w:name w:val="正文悬挂缩进6"/>
    <w:basedOn w:val="485"/>
    <w:qFormat/>
    <w:uiPriority w:val="0"/>
    <w:pPr>
      <w:tabs>
        <w:tab w:val="left" w:pos="1259"/>
      </w:tabs>
      <w:ind w:left="600" w:leftChars="600"/>
    </w:pPr>
  </w:style>
  <w:style w:type="paragraph" w:customStyle="1" w:styleId="563">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5">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6">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70">
    <w:name w:val="表3"/>
    <w:basedOn w:val="216"/>
    <w:qFormat/>
    <w:uiPriority w:val="0"/>
    <w:pPr>
      <w:numPr>
        <w:numId w:val="0"/>
      </w:numPr>
      <w:ind w:left="902" w:hanging="420"/>
    </w:pPr>
  </w:style>
  <w:style w:type="paragraph" w:customStyle="1" w:styleId="571">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3">
    <w:name w:val="Char21"/>
    <w:basedOn w:val="1"/>
    <w:qFormat/>
    <w:uiPriority w:val="0"/>
  </w:style>
  <w:style w:type="paragraph" w:customStyle="1" w:styleId="574">
    <w:name w:val="正文1"/>
    <w:basedOn w:val="1"/>
    <w:qFormat/>
    <w:uiPriority w:val="0"/>
    <w:pPr>
      <w:spacing w:line="360" w:lineRule="auto"/>
      <w:ind w:firstLine="200" w:firstLineChars="200"/>
    </w:pPr>
  </w:style>
  <w:style w:type="paragraph" w:customStyle="1" w:styleId="575">
    <w:name w:val="Char1"/>
    <w:basedOn w:val="1"/>
    <w:qFormat/>
    <w:uiPriority w:val="0"/>
  </w:style>
  <w:style w:type="paragraph" w:customStyle="1" w:styleId="576">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7">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8">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2">
    <w:name w:val="Char Char Char Char Char Char"/>
    <w:basedOn w:val="21"/>
    <w:semiHidden/>
    <w:qFormat/>
    <w:uiPriority w:val="0"/>
    <w:pPr>
      <w:spacing w:line="360" w:lineRule="auto"/>
      <w:ind w:firstLine="200" w:firstLineChars="200"/>
      <w:jc w:val="left"/>
    </w:pPr>
    <w:rPr>
      <w:rFonts w:ascii="Tahoma" w:hAnsi="Tahoma" w:cs="Tahoma"/>
      <w:kern w:val="0"/>
      <w:sz w:val="18"/>
    </w:rPr>
  </w:style>
  <w:style w:type="paragraph" w:customStyle="1" w:styleId="583">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4">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6">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7">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8">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9">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90">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2">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4">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5">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6">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7">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8">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0">
    <w:name w:val="Char"/>
    <w:basedOn w:val="1"/>
    <w:qFormat/>
    <w:uiPriority w:val="0"/>
    <w:rPr>
      <w:rFonts w:ascii="Tahoma" w:hAnsi="Tahoma" w:cs="仿宋_GB2312"/>
      <w:sz w:val="24"/>
      <w:szCs w:val="28"/>
    </w:rPr>
  </w:style>
  <w:style w:type="paragraph" w:customStyle="1" w:styleId="60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2">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3">
    <w:name w:val="我的正文格式"/>
    <w:basedOn w:val="1"/>
    <w:next w:val="1"/>
    <w:qFormat/>
    <w:uiPriority w:val="0"/>
    <w:pPr>
      <w:snapToGrid w:val="0"/>
      <w:spacing w:line="288" w:lineRule="auto"/>
      <w:ind w:left="540" w:hanging="540" w:hangingChars="225"/>
    </w:pPr>
    <w:rPr>
      <w:sz w:val="24"/>
    </w:rPr>
  </w:style>
  <w:style w:type="paragraph" w:customStyle="1" w:styleId="604">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5">
    <w:name w:val="_Style 56"/>
    <w:basedOn w:val="1"/>
    <w:qFormat/>
    <w:uiPriority w:val="0"/>
    <w:pPr>
      <w:ind w:firstLine="420" w:firstLineChars="200"/>
    </w:pPr>
    <w:rPr>
      <w:rFonts w:ascii="Calibri" w:hAnsi="Calibri"/>
      <w:szCs w:val="22"/>
    </w:rPr>
  </w:style>
  <w:style w:type="paragraph" w:styleId="606">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607">
    <w:name w:val="Char1 Char Char Char"/>
    <w:basedOn w:val="1"/>
    <w:qFormat/>
    <w:uiPriority w:val="0"/>
    <w:rPr>
      <w:rFonts w:ascii="Tahoma" w:hAnsi="Tahoma"/>
      <w:sz w:val="24"/>
      <w:szCs w:val="20"/>
    </w:rPr>
  </w:style>
  <w:style w:type="paragraph" w:customStyle="1" w:styleId="608">
    <w:name w:val="Char Char Char Char1"/>
    <w:basedOn w:val="1"/>
    <w:qFormat/>
    <w:uiPriority w:val="0"/>
    <w:rPr>
      <w:rFonts w:ascii="仿宋_GB2312" w:eastAsia="仿宋_GB2312"/>
      <w:b/>
      <w:sz w:val="32"/>
      <w:szCs w:val="32"/>
    </w:rPr>
  </w:style>
  <w:style w:type="paragraph" w:customStyle="1" w:styleId="609">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10">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11">
    <w:name w:val="标准小四"/>
    <w:basedOn w:val="1"/>
    <w:qFormat/>
    <w:uiPriority w:val="0"/>
    <w:pPr>
      <w:spacing w:line="360" w:lineRule="auto"/>
      <w:ind w:firstLine="480" w:firstLineChars="200"/>
    </w:pPr>
    <w:rPr>
      <w:rFonts w:ascii="Arial" w:hAnsi="Arial"/>
      <w:sz w:val="24"/>
      <w:szCs w:val="21"/>
    </w:rPr>
  </w:style>
  <w:style w:type="paragraph" w:customStyle="1" w:styleId="612">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3">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4">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5">
    <w:name w:val="书目11"/>
    <w:basedOn w:val="1"/>
    <w:next w:val="1"/>
    <w:unhideWhenUsed/>
    <w:qFormat/>
    <w:uiPriority w:val="37"/>
    <w:pPr>
      <w:spacing w:line="360" w:lineRule="auto"/>
      <w:ind w:firstLine="200" w:firstLineChars="200"/>
      <w:jc w:val="left"/>
    </w:pPr>
    <w:rPr>
      <w:sz w:val="24"/>
    </w:rPr>
  </w:style>
  <w:style w:type="paragraph" w:customStyle="1" w:styleId="616">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7">
    <w:name w:val="小标"/>
    <w:basedOn w:val="1"/>
    <w:qFormat/>
    <w:uiPriority w:val="0"/>
    <w:rPr>
      <w:rFonts w:hint="eastAsia" w:ascii="黑体" w:eastAsia="黑体"/>
      <w:spacing w:val="20"/>
      <w:szCs w:val="20"/>
    </w:rPr>
  </w:style>
  <w:style w:type="paragraph" w:customStyle="1" w:styleId="618">
    <w:name w:val="表格标题3"/>
    <w:basedOn w:val="415"/>
    <w:qFormat/>
    <w:uiPriority w:val="0"/>
    <w:pPr>
      <w:tabs>
        <w:tab w:val="left" w:pos="570"/>
        <w:tab w:val="left" w:pos="720"/>
        <w:tab w:val="clear" w:pos="1620"/>
      </w:tabs>
      <w:ind w:left="570" w:hanging="570"/>
    </w:pPr>
  </w:style>
  <w:style w:type="paragraph" w:customStyle="1" w:styleId="619">
    <w:name w:val="五级大纲"/>
    <w:next w:val="103"/>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20">
    <w:name w:val="默认段落字体 Para Char Char Char Char Char Char Char"/>
    <w:basedOn w:val="1"/>
    <w:qFormat/>
    <w:uiPriority w:val="0"/>
    <w:pPr>
      <w:jc w:val="left"/>
    </w:pPr>
    <w:rPr>
      <w:rFonts w:ascii="Tahoma" w:hAnsi="Tahoma"/>
      <w:sz w:val="24"/>
      <w:szCs w:val="20"/>
    </w:rPr>
  </w:style>
  <w:style w:type="paragraph" w:customStyle="1" w:styleId="621">
    <w:name w:val="默认段落字体 Para Char Char Char Char Char Char Char Char Char Char Char Char Char Char"/>
    <w:basedOn w:val="21"/>
    <w:qFormat/>
    <w:uiPriority w:val="0"/>
    <w:rPr>
      <w:rFonts w:ascii="Tahoma" w:hAnsi="Tahoma"/>
      <w:sz w:val="24"/>
    </w:rPr>
  </w:style>
  <w:style w:type="paragraph" w:customStyle="1" w:styleId="62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3">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4">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5">
    <w:name w:val="样式 标题 2 + 宋体 小三 段前: 0 磅 段后: 12 磅 行距: 1.5 倍行距"/>
    <w:basedOn w:val="4"/>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6">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7">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9">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30">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31">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2">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3">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4">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5">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6">
    <w:name w:val="Char Char Char1 Char"/>
    <w:basedOn w:val="21"/>
    <w:qFormat/>
    <w:uiPriority w:val="0"/>
    <w:pPr>
      <w:adjustRightInd w:val="0"/>
      <w:spacing w:line="436" w:lineRule="exact"/>
      <w:ind w:left="357"/>
      <w:jc w:val="left"/>
      <w:outlineLvl w:val="3"/>
    </w:pPr>
    <w:rPr>
      <w:kern w:val="0"/>
      <w:sz w:val="20"/>
      <w:szCs w:val="20"/>
    </w:rPr>
  </w:style>
  <w:style w:type="paragraph" w:customStyle="1" w:styleId="637">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8">
    <w:name w:val="版权所有"/>
    <w:basedOn w:val="1"/>
    <w:qFormat/>
    <w:uiPriority w:val="0"/>
    <w:pPr>
      <w:spacing w:beforeLines="100" w:afterLines="100" w:line="360" w:lineRule="auto"/>
    </w:pPr>
    <w:rPr>
      <w:rFonts w:ascii="Arial" w:hAnsi="Arial" w:eastAsia="黑体"/>
      <w:b/>
      <w:sz w:val="30"/>
      <w:u w:val="single"/>
    </w:rPr>
  </w:style>
  <w:style w:type="paragraph" w:customStyle="1" w:styleId="639">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40">
    <w:name w:val="项目编号2级"/>
    <w:basedOn w:val="493"/>
    <w:qFormat/>
    <w:uiPriority w:val="0"/>
  </w:style>
  <w:style w:type="paragraph" w:customStyle="1" w:styleId="641">
    <w:name w:val="四级无"/>
    <w:basedOn w:val="268"/>
    <w:qFormat/>
    <w:uiPriority w:val="0"/>
    <w:pPr>
      <w:tabs>
        <w:tab w:val="left" w:pos="360"/>
      </w:tabs>
      <w:spacing w:beforeLines="0" w:afterLines="0"/>
    </w:pPr>
    <w:rPr>
      <w:rFonts w:ascii="宋体" w:eastAsia="宋体"/>
    </w:rPr>
  </w:style>
  <w:style w:type="paragraph" w:customStyle="1" w:styleId="642">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3">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4">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6">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7">
    <w:name w:val="样式 标题 3H3h3h31第二层条3Bold Headbh章标题1小标题level_3PIM 3Lev...2"/>
    <w:basedOn w:val="2"/>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8">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9">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50">
    <w:name w:val="Default Text"/>
    <w:link w:val="70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5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2">
    <w:name w:val="样式 标题 3H3h3h31第二层条3Bold Headbh章标题1小标题level_3PIM 3Lev...1"/>
    <w:basedOn w:val="2"/>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3">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5">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6">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9">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60">
    <w:name w:val="表头"/>
    <w:basedOn w:val="1"/>
    <w:qFormat/>
    <w:uiPriority w:val="0"/>
    <w:pPr>
      <w:autoSpaceDE w:val="0"/>
      <w:autoSpaceDN w:val="0"/>
      <w:adjustRightInd w:val="0"/>
      <w:jc w:val="center"/>
    </w:pPr>
    <w:rPr>
      <w:rFonts w:ascii="Arial" w:hAnsi="Arial"/>
      <w:kern w:val="0"/>
      <w:sz w:val="18"/>
    </w:rPr>
  </w:style>
  <w:style w:type="paragraph" w:customStyle="1" w:styleId="6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2">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3">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4">
    <w:name w:val="Body Text 21"/>
    <w:basedOn w:val="1"/>
    <w:qFormat/>
    <w:uiPriority w:val="0"/>
    <w:pPr>
      <w:adjustRightInd w:val="0"/>
      <w:spacing w:line="240" w:lineRule="exact"/>
      <w:textAlignment w:val="baseline"/>
    </w:pPr>
    <w:rPr>
      <w:rFonts w:ascii="宋体"/>
      <w:kern w:val="0"/>
      <w:sz w:val="18"/>
      <w:szCs w:val="20"/>
    </w:rPr>
  </w:style>
  <w:style w:type="paragraph" w:customStyle="1" w:styleId="66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8">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9">
    <w:name w:val="样式 样式 标题 5 + 段前: 0.5 行 段后: 0.5 行 + 段前: 0.5 行 段后: 0.5 行"/>
    <w:basedOn w:val="595"/>
    <w:qFormat/>
    <w:uiPriority w:val="0"/>
    <w:rPr>
      <w:bCs w:val="0"/>
    </w:rPr>
  </w:style>
  <w:style w:type="paragraph" w:customStyle="1" w:styleId="6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71">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4">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5">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6">
    <w:name w:val="标书正文"/>
    <w:basedOn w:val="1"/>
    <w:qFormat/>
    <w:uiPriority w:val="0"/>
    <w:pPr>
      <w:spacing w:line="360" w:lineRule="auto"/>
      <w:ind w:firstLine="497" w:firstLineChars="207"/>
    </w:pPr>
    <w:rPr>
      <w:sz w:val="24"/>
      <w:szCs w:val="20"/>
    </w:rPr>
  </w:style>
  <w:style w:type="paragraph" w:customStyle="1" w:styleId="677">
    <w:name w:val="标题3"/>
    <w:basedOn w:val="1"/>
    <w:qFormat/>
    <w:uiPriority w:val="0"/>
    <w:pPr>
      <w:spacing w:beforeLines="50" w:afterLines="50" w:line="300" w:lineRule="exact"/>
    </w:pPr>
    <w:rPr>
      <w:b/>
      <w:bCs/>
    </w:rPr>
  </w:style>
  <w:style w:type="paragraph" w:customStyle="1" w:styleId="678">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1">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2">
    <w:name w:val="表格(五号)"/>
    <w:basedOn w:val="1"/>
    <w:qFormat/>
    <w:uiPriority w:val="0"/>
    <w:pPr>
      <w:adjustRightInd w:val="0"/>
      <w:snapToGrid w:val="0"/>
      <w:spacing w:before="60" w:after="60"/>
      <w:ind w:left="11"/>
      <w:jc w:val="center"/>
    </w:pPr>
    <w:rPr>
      <w:kern w:val="0"/>
      <w:szCs w:val="20"/>
    </w:rPr>
  </w:style>
  <w:style w:type="paragraph" w:customStyle="1" w:styleId="683">
    <w:name w:val="表格标题1"/>
    <w:basedOn w:val="594"/>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4">
    <w:name w:val="默认段落字体 Para Char"/>
    <w:basedOn w:val="1"/>
    <w:qFormat/>
    <w:uiPriority w:val="0"/>
  </w:style>
  <w:style w:type="paragraph" w:customStyle="1" w:styleId="685">
    <w:name w:val="正"/>
    <w:basedOn w:val="1"/>
    <w:qFormat/>
    <w:uiPriority w:val="0"/>
    <w:pPr>
      <w:ind w:firstLine="525"/>
    </w:pPr>
    <w:rPr>
      <w:spacing w:val="20"/>
      <w:szCs w:val="20"/>
    </w:rPr>
  </w:style>
  <w:style w:type="paragraph" w:customStyle="1" w:styleId="6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9">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9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2">
    <w:name w:val="无间隔 Char"/>
    <w:basedOn w:val="63"/>
    <w:link w:val="693"/>
    <w:qFormat/>
    <w:locked/>
    <w:uiPriority w:val="0"/>
    <w:rPr>
      <w:rFonts w:ascii="Calibri" w:hAnsi="Calibri" w:eastAsia="宋体" w:cs="Times New Roman"/>
    </w:rPr>
  </w:style>
  <w:style w:type="paragraph" w:styleId="693">
    <w:name w:val="No Spacing"/>
    <w:basedOn w:val="1"/>
    <w:link w:val="692"/>
    <w:qFormat/>
    <w:uiPriority w:val="0"/>
    <w:rPr>
      <w:rFonts w:ascii="Calibri" w:hAnsi="Calibri"/>
      <w:szCs w:val="22"/>
    </w:rPr>
  </w:style>
  <w:style w:type="character" w:customStyle="1" w:styleId="694">
    <w:name w:val="short_text"/>
    <w:basedOn w:val="63"/>
    <w:qFormat/>
    <w:uiPriority w:val="0"/>
  </w:style>
  <w:style w:type="character" w:customStyle="1" w:styleId="695">
    <w:name w:val="未处理的提及1"/>
    <w:basedOn w:val="63"/>
    <w:semiHidden/>
    <w:unhideWhenUsed/>
    <w:qFormat/>
    <w:uiPriority w:val="99"/>
    <w:rPr>
      <w:color w:val="605E5C"/>
      <w:shd w:val="clear" w:color="auto" w:fill="E1DFDD"/>
    </w:rPr>
  </w:style>
  <w:style w:type="paragraph" w:customStyle="1" w:styleId="696">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7">
    <w:name w:val="未处理的提及2"/>
    <w:basedOn w:val="63"/>
    <w:semiHidden/>
    <w:unhideWhenUsed/>
    <w:qFormat/>
    <w:uiPriority w:val="99"/>
    <w:rPr>
      <w:color w:val="605E5C"/>
      <w:shd w:val="clear" w:color="auto" w:fill="E1DFDD"/>
    </w:rPr>
  </w:style>
  <w:style w:type="paragraph" w:customStyle="1" w:styleId="69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699">
    <w:name w:val="Normal_2"/>
    <w:qFormat/>
    <w:uiPriority w:val="0"/>
    <w:rPr>
      <w:rFonts w:ascii="Calibri" w:hAnsi="Calibri" w:eastAsia="宋体" w:cs="Times New Roman"/>
      <w:sz w:val="24"/>
      <w:szCs w:val="24"/>
      <w:lang w:val="en-US" w:eastAsia="zh-CN" w:bidi="ar-SA"/>
    </w:rPr>
  </w:style>
  <w:style w:type="character" w:customStyle="1" w:styleId="700">
    <w:name w:val="7）页眉页脚"/>
    <w:qFormat/>
    <w:uiPriority w:val="0"/>
    <w:rPr>
      <w:rFonts w:ascii="仿宋_GB2312" w:eastAsia="仿宋_GB2312"/>
      <w:b/>
      <w:i/>
      <w:sz w:val="18"/>
      <w:vertAlign w:val="baseline"/>
    </w:rPr>
  </w:style>
  <w:style w:type="character" w:customStyle="1" w:styleId="701">
    <w:name w:val="Default Text Char"/>
    <w:link w:val="650"/>
    <w:qFormat/>
    <w:uiPriority w:val="0"/>
    <w:rPr>
      <w:rFonts w:ascii="Times New Roman" w:hAnsi="Times New Roman"/>
      <w:color w:val="000000"/>
      <w:sz w:val="24"/>
      <w:szCs w:val="24"/>
    </w:rPr>
  </w:style>
  <w:style w:type="paragraph" w:customStyle="1" w:styleId="702">
    <w:name w:val="5）标书正文 首行缩进2字符"/>
    <w:basedOn w:val="1"/>
    <w:qFormat/>
    <w:uiPriority w:val="0"/>
    <w:pPr>
      <w:spacing w:line="480" w:lineRule="exact"/>
      <w:ind w:firstLine="200" w:firstLineChars="200"/>
    </w:pPr>
    <w:rPr>
      <w:rFonts w:ascii="仿宋_GB2312" w:eastAsia="仿宋_GB2312"/>
      <w:sz w:val="28"/>
      <w:szCs w:val="20"/>
    </w:rPr>
  </w:style>
  <w:style w:type="paragraph" w:customStyle="1" w:styleId="703">
    <w:name w:val="Normal_5"/>
    <w:qFormat/>
    <w:uiPriority w:val="0"/>
    <w:rPr>
      <w:rFonts w:ascii="黑体" w:hAnsi="黑体" w:eastAsia="黑体" w:cs="Times New Roman"/>
      <w:b/>
      <w:sz w:val="32"/>
      <w:szCs w:val="24"/>
      <w:lang w:val="en-US" w:eastAsia="zh-CN" w:bidi="ar-SA"/>
    </w:rPr>
  </w:style>
  <w:style w:type="paragraph" w:customStyle="1" w:styleId="70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5">
    <w:name w:val="正文文本缩进_3"/>
    <w:basedOn w:val="704"/>
    <w:link w:val="706"/>
    <w:qFormat/>
    <w:uiPriority w:val="0"/>
    <w:pPr>
      <w:spacing w:line="500" w:lineRule="exact"/>
      <w:ind w:left="1588" w:leftChars="832" w:firstLine="433" w:firstLineChars="196"/>
    </w:pPr>
    <w:rPr>
      <w:rFonts w:ascii="Calibri" w:hAnsi="Calibri"/>
      <w:sz w:val="24"/>
    </w:rPr>
  </w:style>
  <w:style w:type="character" w:customStyle="1" w:styleId="706">
    <w:name w:val="正文文本缩进 Char_3"/>
    <w:link w:val="705"/>
    <w:qFormat/>
    <w:uiPriority w:val="0"/>
    <w:rPr>
      <w:kern w:val="2"/>
      <w:sz w:val="24"/>
      <w:szCs w:val="24"/>
      <w:lang w:val="en-US" w:eastAsia="zh-CN"/>
    </w:rPr>
  </w:style>
  <w:style w:type="paragraph" w:customStyle="1" w:styleId="707">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08">
    <w:name w:val="超链接1"/>
    <w:unhideWhenUsed/>
    <w:qFormat/>
    <w:uiPriority w:val="99"/>
    <w:rPr>
      <w:rFonts w:eastAsia="Times New Roman"/>
      <w:color w:val="0000FF"/>
      <w:u w:val="single"/>
    </w:rPr>
  </w:style>
  <w:style w:type="paragraph" w:customStyle="1" w:styleId="709">
    <w:name w:val="正文_0_3"/>
    <w:qFormat/>
    <w:uiPriority w:val="0"/>
    <w:pPr>
      <w:widowControl w:val="0"/>
      <w:jc w:val="both"/>
    </w:pPr>
    <w:rPr>
      <w:rFonts w:ascii="Calibri" w:hAnsi="Calibri" w:eastAsia="宋体" w:cs="Times New Roman"/>
      <w:lang w:val="en-US" w:eastAsia="zh-CN" w:bidi="ar-SA"/>
    </w:rPr>
  </w:style>
  <w:style w:type="paragraph" w:customStyle="1" w:styleId="710">
    <w:name w:val="正文_1_0"/>
    <w:basedOn w:val="711"/>
    <w:next w:val="7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1">
    <w:name w:val="正文_2_0_0"/>
    <w:basedOn w:val="712"/>
    <w:next w:val="713"/>
    <w:qFormat/>
    <w:uiPriority w:val="0"/>
    <w:pPr>
      <w:widowControl w:val="0"/>
      <w:jc w:val="both"/>
    </w:pPr>
    <w:rPr>
      <w:rFonts w:ascii="Calibri" w:hAnsi="Calibri"/>
      <w:kern w:val="2"/>
      <w:sz w:val="21"/>
      <w:szCs w:val="22"/>
      <w:lang w:val="en-US" w:eastAsia="zh-CN" w:bidi="ar-SA"/>
    </w:rPr>
  </w:style>
  <w:style w:type="paragraph" w:customStyle="1" w:styleId="712">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3">
    <w:name w:val="正文文本_0_1"/>
    <w:basedOn w:val="714"/>
    <w:qFormat/>
    <w:uiPriority w:val="0"/>
    <w:pPr>
      <w:spacing w:after="120"/>
    </w:pPr>
    <w:rPr>
      <w:rFonts w:ascii="Calibri" w:hAnsi="Calibri"/>
      <w:kern w:val="0"/>
      <w:sz w:val="20"/>
    </w:rPr>
  </w:style>
  <w:style w:type="paragraph" w:customStyle="1" w:styleId="714">
    <w:name w:val="正文_2_2"/>
    <w:next w:val="7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5">
    <w:name w:val="正文首行缩进 2_0"/>
    <w:basedOn w:val="716"/>
    <w:qFormat/>
    <w:uiPriority w:val="0"/>
    <w:pPr>
      <w:ind w:firstLine="420" w:firstLineChars="200"/>
    </w:pPr>
  </w:style>
  <w:style w:type="paragraph" w:customStyle="1" w:styleId="716">
    <w:name w:val="正文文本缩进_0_1"/>
    <w:basedOn w:val="712"/>
    <w:qFormat/>
    <w:uiPriority w:val="0"/>
    <w:pPr>
      <w:spacing w:line="500" w:lineRule="exact"/>
      <w:ind w:left="1588" w:leftChars="832" w:firstLine="433" w:firstLineChars="196"/>
    </w:pPr>
    <w:rPr>
      <w:rFonts w:ascii="Calibri" w:hAnsi="Calibri" w:eastAsia="宋体"/>
      <w:sz w:val="24"/>
    </w:rPr>
  </w:style>
  <w:style w:type="paragraph" w:customStyle="1" w:styleId="717">
    <w:name w:val="正文首行缩进1"/>
    <w:basedOn w:val="718"/>
    <w:unhideWhenUsed/>
    <w:qFormat/>
    <w:uiPriority w:val="99"/>
    <w:pPr>
      <w:ind w:firstLine="420" w:firstLineChars="100"/>
    </w:pPr>
    <w:rPr>
      <w:szCs w:val="22"/>
    </w:rPr>
  </w:style>
  <w:style w:type="paragraph" w:customStyle="1" w:styleId="718">
    <w:name w:val="正文文本_0_0"/>
    <w:basedOn w:val="719"/>
    <w:qFormat/>
    <w:uiPriority w:val="0"/>
    <w:pPr>
      <w:spacing w:after="120"/>
    </w:pPr>
    <w:rPr>
      <w:rFonts w:ascii="Calibri" w:hAnsi="Calibri"/>
      <w:kern w:val="0"/>
      <w:sz w:val="20"/>
    </w:rPr>
  </w:style>
  <w:style w:type="paragraph" w:customStyle="1" w:styleId="719">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Normal_8_0"/>
    <w:qFormat/>
    <w:uiPriority w:val="0"/>
    <w:rPr>
      <w:rFonts w:ascii="黑体" w:hAnsi="黑体" w:eastAsia="黑体" w:cs="Times New Roman"/>
      <w:b/>
      <w:sz w:val="32"/>
      <w:szCs w:val="24"/>
      <w:lang w:val="en-US" w:eastAsia="zh-CN" w:bidi="ar-SA"/>
    </w:rPr>
  </w:style>
  <w:style w:type="paragraph" w:customStyle="1" w:styleId="721">
    <w:name w:val="宋小四正文"/>
    <w:basedOn w:val="1"/>
    <w:qFormat/>
    <w:uiPriority w:val="0"/>
    <w:pPr>
      <w:spacing w:line="360" w:lineRule="auto"/>
      <w:ind w:firstLine="1446" w:firstLineChars="200"/>
    </w:pPr>
    <w:rPr>
      <w:rFonts w:ascii="Calibri" w:hAnsi="Calibri"/>
      <w:snapToGrid w:val="0"/>
      <w:szCs w:val="22"/>
      <w:lang w:eastAsia="en-US"/>
    </w:rPr>
  </w:style>
  <w:style w:type="paragraph" w:customStyle="1" w:styleId="722">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3">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24">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5">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7">
    <w:name w:val="二级标题_0"/>
    <w:basedOn w:val="1"/>
    <w:next w:val="1"/>
    <w:qFormat/>
    <w:uiPriority w:val="0"/>
    <w:pPr>
      <w:tabs>
        <w:tab w:val="left" w:pos="360"/>
      </w:tabs>
      <w:spacing w:line="360" w:lineRule="auto"/>
      <w:outlineLvl w:val="1"/>
    </w:pPr>
    <w:rPr>
      <w:rFonts w:ascii="宋体" w:hAnsi="宋体"/>
      <w:b/>
      <w:sz w:val="24"/>
    </w:rPr>
  </w:style>
  <w:style w:type="paragraph" w:customStyle="1" w:styleId="728">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9">
    <w:name w:val="Style1"/>
    <w:basedOn w:val="1"/>
    <w:qFormat/>
    <w:uiPriority w:val="0"/>
    <w:pPr>
      <w:widowControl/>
      <w:tabs>
        <w:tab w:val="left" w:pos="-720"/>
      </w:tabs>
      <w:spacing w:after="120" w:afterLines="0" w:afterAutospacing="0"/>
    </w:pPr>
    <w:rPr>
      <w:spacing w:val="-3"/>
      <w:kern w:val="0"/>
      <w:sz w:val="24"/>
      <w:lang w:val="en-AU" w:eastAsia="en-US"/>
    </w:rPr>
  </w:style>
  <w:style w:type="character" w:customStyle="1" w:styleId="730">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731">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BEE90-41AB-46CA-90E9-34054811FA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32151</Words>
  <Characters>36117</Characters>
  <Lines>220</Lines>
  <Paragraphs>62</Paragraphs>
  <TotalTime>56</TotalTime>
  <ScaleCrop>false</ScaleCrop>
  <LinksUpToDate>false</LinksUpToDate>
  <CharactersWithSpaces>37553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2021-02-18T15:08:00Z</dcterms:created>
  <dc:creator>China</dc:creator>
  <cp:lastModifiedBy>NTKO</cp:lastModifiedBy>
  <cp:lastPrinted>2021-01-07T08:35:00Z</cp:lastPrinted>
  <dcterms:modified xsi:type="dcterms:W3CDTF">2022-09-19T06:19:44Z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1B26843064AB4418BA9CE424422DFE7E</vt:lpwstr>
  </property>
</Properties>
</file>