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sz w:val="52"/>
          <w:szCs w:val="52"/>
          <w:lang w:eastAsia="zh-CN"/>
        </w:rPr>
      </w:pPr>
    </w:p>
    <w:p>
      <w:pPr>
        <w:jc w:val="center"/>
        <w:outlineLvl w:val="0"/>
        <w:rPr>
          <w:rFonts w:hint="eastAsia" w:ascii="黑体" w:hAnsi="黑体" w:eastAsia="黑体" w:cs="黑体"/>
          <w:b/>
          <w:kern w:val="44"/>
          <w:sz w:val="52"/>
          <w:szCs w:val="52"/>
          <w:lang w:eastAsia="zh-CN"/>
        </w:rPr>
      </w:pPr>
      <w:r>
        <w:rPr>
          <w:rFonts w:hint="eastAsia" w:ascii="黑体" w:hAnsi="黑体" w:eastAsia="黑体" w:cs="黑体"/>
          <w:b/>
          <w:sz w:val="52"/>
          <w:szCs w:val="52"/>
          <w:lang w:eastAsia="zh-CN"/>
        </w:rPr>
        <w:t>喀什广播电视台广电融合提升设备项目（二次）</w:t>
      </w:r>
    </w:p>
    <w:p>
      <w:pPr>
        <w:spacing w:line="360" w:lineRule="auto"/>
        <w:textAlignment w:val="baseline"/>
        <w:rPr>
          <w:rFonts w:hint="eastAsia" w:asciiTheme="majorEastAsia" w:hAnsiTheme="majorEastAsia" w:eastAsiaTheme="majorEastAsia" w:cstheme="majorEastAsia"/>
          <w:b/>
          <w:kern w:val="44"/>
          <w:sz w:val="72"/>
          <w:szCs w:val="40"/>
        </w:rPr>
      </w:pPr>
    </w:p>
    <w:p>
      <w:pPr>
        <w:jc w:val="center"/>
        <w:outlineLvl w:val="0"/>
        <w:rPr>
          <w:rFonts w:hint="eastAsia" w:ascii="黑体" w:hAnsi="黑体" w:eastAsia="黑体" w:cs="黑体"/>
          <w:b/>
          <w:sz w:val="52"/>
          <w:szCs w:val="52"/>
          <w:lang w:eastAsia="zh-CN"/>
        </w:rPr>
      </w:pPr>
      <w:r>
        <w:rPr>
          <w:rFonts w:hint="eastAsia" w:ascii="黑体" w:hAnsi="黑体" w:eastAsia="黑体" w:cs="黑体"/>
          <w:b/>
          <w:sz w:val="52"/>
          <w:szCs w:val="52"/>
          <w:lang w:eastAsia="zh-CN"/>
        </w:rPr>
        <w:t>招</w:t>
      </w:r>
    </w:p>
    <w:p>
      <w:pPr>
        <w:jc w:val="center"/>
        <w:outlineLvl w:val="0"/>
        <w:rPr>
          <w:rFonts w:hint="eastAsia" w:ascii="黑体" w:hAnsi="黑体" w:eastAsia="黑体" w:cs="黑体"/>
          <w:b/>
          <w:sz w:val="52"/>
          <w:szCs w:val="52"/>
          <w:lang w:eastAsia="zh-CN"/>
        </w:rPr>
      </w:pPr>
    </w:p>
    <w:p>
      <w:pPr>
        <w:jc w:val="center"/>
        <w:outlineLvl w:val="0"/>
        <w:rPr>
          <w:rFonts w:hint="eastAsia" w:ascii="黑体" w:hAnsi="黑体" w:eastAsia="黑体" w:cs="黑体"/>
          <w:b/>
          <w:sz w:val="52"/>
          <w:szCs w:val="52"/>
          <w:lang w:eastAsia="zh-CN"/>
        </w:rPr>
      </w:pPr>
      <w:r>
        <w:rPr>
          <w:rFonts w:hint="eastAsia" w:ascii="黑体" w:hAnsi="黑体" w:eastAsia="黑体" w:cs="黑体"/>
          <w:b/>
          <w:sz w:val="52"/>
          <w:szCs w:val="52"/>
          <w:lang w:eastAsia="zh-CN"/>
        </w:rPr>
        <w:t>标</w:t>
      </w:r>
    </w:p>
    <w:p>
      <w:pPr>
        <w:jc w:val="center"/>
        <w:outlineLvl w:val="0"/>
        <w:rPr>
          <w:rFonts w:hint="eastAsia" w:ascii="黑体" w:hAnsi="黑体" w:eastAsia="黑体" w:cs="黑体"/>
          <w:b/>
          <w:sz w:val="52"/>
          <w:szCs w:val="52"/>
          <w:lang w:eastAsia="zh-CN"/>
        </w:rPr>
      </w:pPr>
    </w:p>
    <w:p>
      <w:pPr>
        <w:jc w:val="center"/>
        <w:outlineLvl w:val="0"/>
        <w:rPr>
          <w:rFonts w:hint="default" w:ascii="黑体" w:hAnsi="黑体" w:eastAsia="黑体" w:cs="黑体"/>
          <w:b/>
          <w:sz w:val="52"/>
          <w:szCs w:val="52"/>
          <w:lang w:val="en-US" w:eastAsia="zh-CN"/>
        </w:rPr>
      </w:pPr>
      <w:r>
        <w:rPr>
          <w:rFonts w:hint="eastAsia" w:ascii="黑体" w:hAnsi="黑体" w:eastAsia="黑体" w:cs="黑体"/>
          <w:b/>
          <w:sz w:val="52"/>
          <w:szCs w:val="52"/>
          <w:lang w:eastAsia="zh-CN"/>
        </w:rPr>
        <w:t>文</w:t>
      </w:r>
      <w:r>
        <w:rPr>
          <w:rFonts w:hint="eastAsia" w:ascii="黑体" w:hAnsi="黑体" w:eastAsia="黑体" w:cs="黑体"/>
          <w:b/>
          <w:sz w:val="52"/>
          <w:szCs w:val="52"/>
          <w:lang w:val="en-US" w:eastAsia="zh-CN"/>
        </w:rPr>
        <w:t xml:space="preserve">  </w:t>
      </w:r>
    </w:p>
    <w:p>
      <w:pPr>
        <w:jc w:val="center"/>
        <w:outlineLvl w:val="0"/>
        <w:rPr>
          <w:rFonts w:hint="eastAsia" w:ascii="黑体" w:hAnsi="黑体" w:eastAsia="黑体" w:cs="黑体"/>
          <w:b/>
          <w:sz w:val="52"/>
          <w:szCs w:val="52"/>
          <w:lang w:eastAsia="zh-CN"/>
        </w:rPr>
      </w:pPr>
    </w:p>
    <w:p>
      <w:pPr>
        <w:jc w:val="center"/>
        <w:outlineLvl w:val="0"/>
        <w:rPr>
          <w:rFonts w:hint="eastAsia" w:ascii="黑体" w:hAnsi="黑体" w:eastAsia="黑体" w:cs="黑体"/>
          <w:b/>
          <w:sz w:val="52"/>
          <w:szCs w:val="52"/>
          <w:lang w:eastAsia="zh-CN"/>
        </w:rPr>
      </w:pPr>
      <w:r>
        <w:rPr>
          <w:rFonts w:hint="eastAsia" w:ascii="黑体" w:hAnsi="黑体" w:eastAsia="黑体" w:cs="黑体"/>
          <w:b/>
          <w:sz w:val="52"/>
          <w:szCs w:val="52"/>
          <w:lang w:eastAsia="zh-CN"/>
        </w:rPr>
        <w:t>件</w:t>
      </w:r>
    </w:p>
    <w:p>
      <w:pPr>
        <w:snapToGrid w:val="0"/>
        <w:spacing w:line="240" w:lineRule="atLeast"/>
        <w:ind w:firstLine="562" w:firstLineChars="200"/>
        <w:textAlignment w:val="baseline"/>
        <w:rPr>
          <w:rFonts w:hint="default"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tabs>
          <w:tab w:val="left" w:leader="underscore" w:pos="3150"/>
        </w:tabs>
        <w:snapToGrid w:val="0"/>
        <w:spacing w:line="240" w:lineRule="atLeast"/>
        <w:ind w:firstLine="562" w:firstLineChars="200"/>
        <w:textAlignment w:val="baseline"/>
        <w:rPr>
          <w:rFonts w:hint="default" w:ascii="宋体" w:hAnsi="宋体" w:cs="宋体"/>
          <w:b/>
          <w:sz w:val="28"/>
          <w:u w:val="single"/>
          <w:lang w:val="en-US"/>
        </w:rPr>
      </w:pPr>
      <w:r>
        <w:rPr>
          <w:rFonts w:hint="eastAsia" w:ascii="宋体" w:hAnsi="宋体" w:cs="宋体"/>
          <w:b/>
          <w:sz w:val="28"/>
          <w:szCs w:val="28"/>
        </w:rPr>
        <w:t>项目编号：</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lang w:eastAsia="zh-CN"/>
        </w:rPr>
        <w:t>CQYQ-KS-(CG)-2022-006</w:t>
      </w:r>
      <w:r>
        <w:rPr>
          <w:rFonts w:hint="eastAsia" w:ascii="宋体" w:hAnsi="宋体" w:cs="宋体"/>
          <w:b/>
          <w:sz w:val="28"/>
          <w:szCs w:val="28"/>
          <w:u w:val="single"/>
          <w:lang w:val="en-US" w:eastAsia="zh-CN"/>
        </w:rPr>
        <w:t>-1</w:t>
      </w:r>
      <w:r>
        <w:rPr>
          <w:rFonts w:hint="eastAsia" w:ascii="宋体" w:hAnsi="宋体" w:cs="宋体"/>
          <w:b/>
          <w:sz w:val="28"/>
          <w:szCs w:val="28"/>
          <w:u w:val="single"/>
        </w:rPr>
        <w:tab/>
      </w:r>
      <w:r>
        <w:rPr>
          <w:rFonts w:hint="eastAsia" w:ascii="宋体" w:hAnsi="宋体" w:cs="宋体"/>
          <w:b/>
          <w:sz w:val="28"/>
          <w:szCs w:val="28"/>
          <w:u w:val="single"/>
          <w:lang w:val="en-US" w:eastAsia="zh-CN"/>
        </w:rPr>
        <w:t xml:space="preserve">   </w:t>
      </w:r>
    </w:p>
    <w:p>
      <w:pPr>
        <w:snapToGrid w:val="0"/>
        <w:spacing w:line="240" w:lineRule="atLeast"/>
        <w:textAlignment w:val="baseline"/>
        <w:rPr>
          <w:rFonts w:ascii="宋体" w:hAnsi="宋体" w:cs="宋体"/>
          <w:b/>
          <w:sz w:val="32"/>
        </w:rPr>
      </w:pPr>
    </w:p>
    <w:p>
      <w:pPr>
        <w:snapToGrid w:val="0"/>
        <w:spacing w:line="360" w:lineRule="auto"/>
        <w:ind w:firstLine="562" w:firstLineChars="200"/>
        <w:textAlignment w:val="baseline"/>
        <w:rPr>
          <w:rFonts w:hint="eastAsia" w:ascii="宋体" w:hAnsi="宋体" w:eastAsia="宋体" w:cs="宋体"/>
          <w:b/>
          <w:sz w:val="28"/>
          <w:szCs w:val="28"/>
          <w:u w:val="single"/>
          <w:lang w:val="en-US" w:eastAsia="zh-CN"/>
        </w:rPr>
      </w:pPr>
      <w:r>
        <w:rPr>
          <w:rFonts w:hint="eastAsia" w:ascii="宋体" w:hAnsi="宋体" w:cs="宋体"/>
          <w:b/>
          <w:sz w:val="28"/>
          <w:szCs w:val="28"/>
        </w:rPr>
        <w:t>采购单位：</w:t>
      </w:r>
      <w:r>
        <w:rPr>
          <w:rFonts w:hint="eastAsia" w:ascii="宋体" w:hAnsi="宋体" w:cs="宋体"/>
          <w:b/>
          <w:sz w:val="28"/>
          <w:szCs w:val="28"/>
          <w:u w:val="single"/>
          <w:lang w:val="en-US" w:eastAsia="zh-CN"/>
        </w:rPr>
        <w:t xml:space="preserve">          喀什广播电视台  </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p>
    <w:p>
      <w:pPr>
        <w:pStyle w:val="21"/>
        <w:spacing w:line="360" w:lineRule="auto"/>
        <w:ind w:firstLine="562"/>
        <w:rPr>
          <w:rFonts w:hint="default" w:ascii="宋体" w:hAnsi="宋体" w:cs="宋体"/>
          <w:b/>
          <w:sz w:val="28"/>
          <w:szCs w:val="28"/>
          <w:u w:val="single"/>
          <w:lang w:val="en-US" w:eastAsia="zh-CN"/>
        </w:rPr>
      </w:pPr>
      <w:r>
        <w:rPr>
          <w:rFonts w:hint="eastAsia" w:ascii="宋体" w:hAnsi="宋体" w:cs="宋体"/>
          <w:b/>
          <w:sz w:val="28"/>
          <w:szCs w:val="28"/>
        </w:rPr>
        <w:t>联 系 人：</w:t>
      </w:r>
      <w:r>
        <w:rPr>
          <w:rFonts w:hint="eastAsia" w:ascii="宋体" w:hAnsi="宋体" w:cs="宋体"/>
          <w:b/>
          <w:sz w:val="28"/>
          <w:szCs w:val="28"/>
          <w:u w:val="single"/>
        </w:rPr>
        <w:tab/>
      </w:r>
      <w:r>
        <w:rPr>
          <w:rFonts w:hint="eastAsia" w:ascii="宋体" w:hAnsi="宋体" w:cs="宋体"/>
          <w:b/>
          <w:sz w:val="28"/>
          <w:szCs w:val="28"/>
          <w:u w:val="single"/>
          <w:lang w:val="en-US" w:eastAsia="zh-CN"/>
        </w:rPr>
        <w:t xml:space="preserve">          蒋强杰              </w:t>
      </w:r>
    </w:p>
    <w:p>
      <w:pPr>
        <w:pStyle w:val="21"/>
        <w:spacing w:line="360" w:lineRule="auto"/>
        <w:ind w:firstLine="562" w:firstLineChars="200"/>
        <w:rPr>
          <w:rFonts w:hint="default" w:ascii="宋体" w:hAnsi="宋体" w:eastAsia="宋体" w:cs="宋体"/>
          <w:b/>
          <w:sz w:val="28"/>
          <w:szCs w:val="28"/>
          <w:u w:val="single"/>
          <w:lang w:val="en-US" w:eastAsia="zh-CN"/>
        </w:rPr>
      </w:pPr>
      <w:r>
        <w:rPr>
          <w:rFonts w:hint="eastAsia" w:ascii="宋体" w:hAnsi="宋体" w:cs="宋体"/>
          <w:b/>
          <w:sz w:val="28"/>
          <w:szCs w:val="28"/>
        </w:rPr>
        <w:t>联系电话：</w:t>
      </w:r>
      <w:r>
        <w:rPr>
          <w:rFonts w:hint="eastAsia" w:ascii="宋体" w:hAnsi="宋体" w:cs="宋体"/>
          <w:b/>
          <w:sz w:val="28"/>
          <w:szCs w:val="28"/>
          <w:u w:val="single"/>
        </w:rPr>
        <w:tab/>
      </w:r>
      <w:r>
        <w:rPr>
          <w:rFonts w:hint="eastAsia" w:ascii="宋体" w:hAnsi="宋体" w:cs="宋体"/>
          <w:b/>
          <w:sz w:val="28"/>
          <w:szCs w:val="28"/>
          <w:u w:val="single"/>
          <w:lang w:val="en-US" w:eastAsia="zh-CN"/>
        </w:rPr>
        <w:t xml:space="preserve">       18709985890            </w:t>
      </w:r>
    </w:p>
    <w:p>
      <w:pPr>
        <w:snapToGrid w:val="0"/>
        <w:spacing w:line="360" w:lineRule="auto"/>
        <w:ind w:firstLine="562" w:firstLineChars="200"/>
        <w:textAlignment w:val="baseline"/>
        <w:rPr>
          <w:rFonts w:hint="default" w:ascii="宋体" w:hAnsi="宋体" w:eastAsia="宋体" w:cs="宋体"/>
          <w:b/>
          <w:sz w:val="28"/>
          <w:u w:val="single"/>
          <w:lang w:val="en-US" w:eastAsia="zh-CN"/>
        </w:rPr>
      </w:pPr>
      <w:r>
        <w:rPr>
          <w:rFonts w:hint="eastAsia" w:ascii="宋体" w:hAnsi="宋体" w:cs="宋体"/>
          <w:b/>
          <w:sz w:val="28"/>
        </w:rPr>
        <w:t>代理机构：</w:t>
      </w:r>
      <w:r>
        <w:rPr>
          <w:rFonts w:hint="eastAsia" w:ascii="宋体" w:hAnsi="宋体" w:cs="宋体"/>
          <w:b/>
          <w:sz w:val="28"/>
          <w:u w:val="single"/>
          <w:lang w:val="en-US" w:eastAsia="zh-CN"/>
        </w:rPr>
        <w:t xml:space="preserve"> </w:t>
      </w:r>
      <w:r>
        <w:rPr>
          <w:rFonts w:hint="eastAsia" w:ascii="宋体" w:hAnsi="宋体" w:cs="宋体"/>
          <w:b/>
          <w:sz w:val="28"/>
          <w:u w:val="single"/>
          <w:lang w:eastAsia="zh-CN"/>
        </w:rPr>
        <w:t>重庆渝强工程项目管理有限公司</w:t>
      </w:r>
      <w:r>
        <w:rPr>
          <w:rFonts w:hint="eastAsia" w:ascii="宋体" w:hAnsi="宋体" w:cs="宋体"/>
          <w:b/>
          <w:sz w:val="28"/>
          <w:u w:val="single"/>
          <w:lang w:val="en-US" w:eastAsia="zh-CN"/>
        </w:rPr>
        <w:t xml:space="preserve">  </w:t>
      </w:r>
    </w:p>
    <w:p>
      <w:pPr>
        <w:snapToGrid w:val="0"/>
        <w:spacing w:line="360" w:lineRule="auto"/>
        <w:ind w:firstLine="562" w:firstLineChars="200"/>
        <w:textAlignment w:val="baseline"/>
        <w:rPr>
          <w:rFonts w:ascii="宋体" w:hAnsi="宋体" w:cs="宋体"/>
          <w:b/>
          <w:sz w:val="28"/>
          <w:szCs w:val="28"/>
          <w:u w:val="single"/>
        </w:rPr>
      </w:pPr>
      <w:r>
        <w:rPr>
          <w:rFonts w:hint="eastAsia" w:ascii="宋体" w:hAnsi="宋体" w:cs="宋体"/>
          <w:b/>
          <w:sz w:val="28"/>
          <w:szCs w:val="28"/>
        </w:rPr>
        <w:t>联系人：</w:t>
      </w:r>
      <w:r>
        <w:rPr>
          <w:rFonts w:hint="eastAsia" w:ascii="宋体" w:hAnsi="宋体" w:cs="宋体"/>
          <w:b/>
          <w:sz w:val="28"/>
          <w:szCs w:val="28"/>
          <w:lang w:val="en-US" w:eastAsia="zh-CN"/>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lang w:eastAsia="zh-CN"/>
        </w:rPr>
        <w:t>贾玺</w:t>
      </w:r>
      <w:r>
        <w:rPr>
          <w:rFonts w:hint="eastAsia" w:ascii="宋体" w:hAnsi="宋体" w:cs="宋体"/>
          <w:b/>
          <w:sz w:val="28"/>
          <w:szCs w:val="28"/>
          <w:u w:val="single"/>
        </w:rPr>
        <w:tab/>
      </w:r>
      <w:r>
        <w:rPr>
          <w:rFonts w:hint="eastAsia" w:ascii="宋体" w:hAnsi="宋体" w:cs="宋体"/>
          <w:b/>
          <w:sz w:val="28"/>
          <w:szCs w:val="28"/>
          <w:u w:val="single"/>
        </w:rPr>
        <w:tab/>
      </w:r>
      <w:r>
        <w:rPr>
          <w:rFonts w:hint="eastAsia" w:ascii="宋体" w:hAnsi="宋体" w:cs="宋体"/>
          <w:b/>
          <w:sz w:val="28"/>
          <w:szCs w:val="28"/>
          <w:u w:val="single"/>
        </w:rPr>
        <w:tab/>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ab/>
      </w:r>
    </w:p>
    <w:p>
      <w:pPr>
        <w:snapToGrid w:val="0"/>
        <w:spacing w:line="360" w:lineRule="auto"/>
        <w:ind w:firstLine="562" w:firstLineChars="200"/>
        <w:textAlignment w:val="baseline"/>
        <w:rPr>
          <w:rFonts w:hint="default" w:ascii="宋体" w:hAnsi="宋体" w:eastAsia="宋体" w:cs="宋体"/>
          <w:b/>
          <w:sz w:val="28"/>
          <w:szCs w:val="28"/>
          <w:u w:val="single"/>
          <w:lang w:val="en-US" w:eastAsia="zh-CN"/>
        </w:rPr>
      </w:pPr>
      <w:r>
        <w:rPr>
          <w:rFonts w:hint="eastAsia" w:ascii="宋体" w:hAnsi="宋体" w:cs="宋体"/>
          <w:b/>
          <w:sz w:val="28"/>
          <w:szCs w:val="28"/>
        </w:rPr>
        <w:t>联系电话：</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lang w:eastAsia="zh-CN"/>
        </w:rPr>
        <w:t>13279866366</w:t>
      </w:r>
      <w:r>
        <w:rPr>
          <w:rFonts w:hint="eastAsia" w:ascii="宋体" w:hAnsi="宋体" w:cs="宋体"/>
          <w:b/>
          <w:sz w:val="28"/>
          <w:szCs w:val="28"/>
          <w:u w:val="single"/>
        </w:rPr>
        <w:tab/>
      </w:r>
      <w:r>
        <w:rPr>
          <w:rFonts w:hint="eastAsia" w:ascii="宋体" w:hAnsi="宋体" w:cs="宋体"/>
          <w:b/>
          <w:sz w:val="28"/>
          <w:szCs w:val="28"/>
          <w:u w:val="single"/>
        </w:rPr>
        <w:tab/>
      </w:r>
      <w:r>
        <w:rPr>
          <w:rFonts w:hint="eastAsia" w:ascii="宋体" w:hAnsi="宋体" w:cs="宋体"/>
          <w:b/>
          <w:sz w:val="28"/>
          <w:szCs w:val="28"/>
          <w:u w:val="single"/>
        </w:rPr>
        <w:tab/>
      </w:r>
      <w:r>
        <w:rPr>
          <w:rFonts w:hint="eastAsia" w:ascii="宋体" w:hAnsi="宋体" w:cs="宋体"/>
          <w:b/>
          <w:sz w:val="28"/>
          <w:szCs w:val="28"/>
          <w:u w:val="single"/>
          <w:lang w:val="en-US" w:eastAsia="zh-CN"/>
        </w:rPr>
        <w:t xml:space="preserve">   </w:t>
      </w:r>
    </w:p>
    <w:p>
      <w:pPr>
        <w:pStyle w:val="2"/>
        <w:jc w:val="center"/>
        <w:rPr>
          <w:rFonts w:hAnsi="宋体" w:cs="宋体"/>
          <w:b/>
          <w:sz w:val="28"/>
          <w:szCs w:val="28"/>
        </w:rPr>
      </w:pPr>
    </w:p>
    <w:p>
      <w:pPr>
        <w:jc w:val="center"/>
        <w:rPr>
          <w:rFonts w:hint="eastAsia" w:eastAsia="宋体"/>
          <w:lang w:eastAsia="zh-CN"/>
        </w:rPr>
      </w:pPr>
      <w:r>
        <w:rPr>
          <w:rFonts w:hint="eastAsia" w:ascii="宋体" w:hAnsi="宋体" w:cs="宋体"/>
          <w:b/>
          <w:sz w:val="28"/>
          <w:szCs w:val="28"/>
          <w:lang w:eastAsia="zh-CN"/>
        </w:rPr>
        <w:t>2022年</w:t>
      </w:r>
      <w:r>
        <w:rPr>
          <w:rFonts w:hint="eastAsia" w:ascii="宋体" w:hAnsi="宋体" w:cs="宋体"/>
          <w:b/>
          <w:sz w:val="28"/>
          <w:szCs w:val="28"/>
          <w:lang w:val="en-US" w:eastAsia="zh-CN"/>
        </w:rPr>
        <w:t>9</w:t>
      </w:r>
      <w:r>
        <w:rPr>
          <w:rFonts w:hint="eastAsia" w:ascii="宋体" w:hAnsi="宋体" w:cs="宋体"/>
          <w:b/>
          <w:sz w:val="28"/>
          <w:szCs w:val="28"/>
          <w:lang w:eastAsia="zh-CN"/>
        </w:rPr>
        <w:t>月</w:t>
      </w:r>
    </w:p>
    <w:p>
      <w:pPr>
        <w:snapToGrid w:val="0"/>
        <w:jc w:val="center"/>
        <w:textAlignment w:val="baseline"/>
        <w:rPr>
          <w:rFonts w:ascii="宋体" w:hAnsi="宋体"/>
        </w:rPr>
      </w:pPr>
    </w:p>
    <w:p>
      <w:pPr>
        <w:snapToGrid w:val="0"/>
        <w:jc w:val="center"/>
        <w:textAlignment w:val="baseline"/>
        <w:rPr>
          <w:rFonts w:ascii="宋体" w:hAnsi="宋体"/>
        </w:rPr>
      </w:pPr>
    </w:p>
    <w:p>
      <w:pPr>
        <w:snapToGrid w:val="0"/>
        <w:textAlignment w:val="baseline"/>
        <w:rPr>
          <w:rFonts w:ascii="宋体" w:hAnsi="宋体"/>
        </w:rPr>
      </w:pPr>
    </w:p>
    <w:p>
      <w:pPr>
        <w:snapToGrid w:val="0"/>
        <w:jc w:val="center"/>
        <w:textAlignment w:val="baseline"/>
        <w:rPr>
          <w:rFonts w:ascii="宋体" w:hAnsi="宋体"/>
        </w:rPr>
      </w:pPr>
    </w:p>
    <w:p>
      <w:pPr>
        <w:snapToGrid w:val="0"/>
        <w:jc w:val="center"/>
        <w:textAlignment w:val="baseline"/>
        <w:rPr>
          <w:rFonts w:ascii="宋体" w:hAnsi="宋体"/>
        </w:rPr>
      </w:pPr>
      <w:r>
        <w:rPr>
          <w:rFonts w:ascii="宋体" w:hAnsi="宋体"/>
        </w:rPr>
        <w:t>目录</w:t>
      </w:r>
    </w:p>
    <w:p>
      <w:pPr>
        <w:pStyle w:val="19"/>
        <w:tabs>
          <w:tab w:val="right" w:leader="dot" w:pos="8312"/>
        </w:tabs>
      </w:pP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"_Toc8832" </w:instrText>
      </w:r>
      <w:r>
        <w:rPr>
          <w:rFonts w:hint="eastAsia" w:ascii="宋体" w:hAnsi="宋体" w:eastAsia="宋体" w:cs="宋体"/>
          <w:kern w:val="2"/>
          <w:sz w:val="21"/>
          <w:szCs w:val="24"/>
          <w:lang w:val="en-US" w:eastAsia="zh-CN" w:bidi="ar-SA"/>
        </w:rPr>
        <w:fldChar w:fldCharType="separate"/>
      </w:r>
      <w:r>
        <w:rPr>
          <w:rFonts w:hint="eastAsia" w:ascii="微软雅黑" w:hAnsi="微软雅黑" w:eastAsia="微软雅黑" w:cs="微软雅黑"/>
          <w:szCs w:val="32"/>
          <w:lang w:val="en-US" w:eastAsia="zh-CN"/>
        </w:rPr>
        <w:t>第1章</w:t>
      </w:r>
      <w:r>
        <w:rPr>
          <w:rFonts w:hint="eastAsia" w:ascii="宋体" w:hAnsi="宋体" w:eastAsia="宋体" w:cs="宋体"/>
          <w:kern w:val="2"/>
          <w:sz w:val="21"/>
          <w:szCs w:val="24"/>
          <w:lang w:val="en-US" w:eastAsia="zh-CN" w:bidi="ar-SA"/>
        </w:rPr>
        <w:t xml:space="preserve">   投标人须知</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t>4</w:t>
      </w:r>
      <w:r>
        <w:rPr>
          <w:rFonts w:hint="eastAsia" w:ascii="宋体" w:hAnsi="宋体" w:eastAsia="宋体" w:cs="宋体"/>
          <w:kern w:val="2"/>
          <w:sz w:val="21"/>
          <w:szCs w:val="24"/>
          <w:lang w:val="en-US" w:eastAsia="zh-CN" w:bidi="ar-SA"/>
        </w:rPr>
        <w:fldChar w:fldCharType="end"/>
      </w:r>
      <w:r>
        <w:rPr>
          <w:rFonts w:hint="eastAsia" w:hAnsi="宋体" w:cs="宋体"/>
          <w:kern w:val="0"/>
          <w:sz w:val="20"/>
          <w:szCs w:val="21"/>
        </w:rPr>
        <w:fldChar w:fldCharType="begin"/>
      </w:r>
      <w:r>
        <w:rPr>
          <w:rFonts w:hint="eastAsia" w:hAnsi="宋体" w:cs="宋体"/>
          <w:kern w:val="0"/>
          <w:sz w:val="20"/>
          <w:szCs w:val="21"/>
        </w:rPr>
        <w:instrText xml:space="preserve">TOC \o "1-3" \h \u </w:instrText>
      </w:r>
      <w:r>
        <w:rPr>
          <w:rFonts w:hint="eastAsia" w:hAnsi="宋体" w:cs="宋体"/>
          <w:kern w:val="0"/>
          <w:sz w:val="20"/>
          <w:szCs w:val="21"/>
        </w:rPr>
        <w:fldChar w:fldCharType="separate"/>
      </w:r>
    </w:p>
    <w:p>
      <w:pPr>
        <w:pStyle w:val="22"/>
        <w:tabs>
          <w:tab w:val="right" w:leader="dot" w:pos="8312"/>
        </w:tabs>
      </w:pPr>
      <w:r>
        <w:fldChar w:fldCharType="begin"/>
      </w:r>
      <w:r>
        <w:instrText xml:space="preserve"> HYPERLINK \l "_Toc32585" </w:instrText>
      </w:r>
      <w:r>
        <w:fldChar w:fldCharType="separate"/>
      </w:r>
      <w:r>
        <w:rPr>
          <w:rFonts w:hint="eastAsia" w:ascii="宋体" w:hAnsi="宋体" w:cs="宋体"/>
        </w:rPr>
        <w:t>一   总 则</w:t>
      </w:r>
      <w:r>
        <w:tab/>
      </w:r>
      <w:r>
        <w:fldChar w:fldCharType="begin"/>
      </w:r>
      <w:r>
        <w:instrText xml:space="preserve"> PAGEREF _Toc32585 \h </w:instrText>
      </w:r>
      <w:r>
        <w:fldChar w:fldCharType="separate"/>
      </w:r>
      <w:r>
        <w:t>4</w:t>
      </w:r>
      <w:r>
        <w:fldChar w:fldCharType="end"/>
      </w:r>
      <w:r>
        <w:fldChar w:fldCharType="end"/>
      </w:r>
    </w:p>
    <w:p>
      <w:pPr>
        <w:pStyle w:val="14"/>
        <w:tabs>
          <w:tab w:val="right" w:leader="dot" w:pos="8312"/>
        </w:tabs>
      </w:pPr>
      <w:r>
        <w:fldChar w:fldCharType="begin"/>
      </w:r>
      <w:r>
        <w:instrText xml:space="preserve"> HYPERLINK \l "_Toc5854" </w:instrText>
      </w:r>
      <w:r>
        <w:fldChar w:fldCharType="separate"/>
      </w:r>
      <w:r>
        <w:rPr>
          <w:rFonts w:hint="eastAsia" w:ascii="微软雅黑" w:hAnsi="微软雅黑" w:eastAsia="微软雅黑" w:cs="微软雅黑"/>
        </w:rPr>
        <w:t>1.采购人、采购代理机构及投标人</w:t>
      </w:r>
      <w:r>
        <w:tab/>
      </w:r>
      <w:r>
        <w:fldChar w:fldCharType="begin"/>
      </w:r>
      <w:r>
        <w:instrText xml:space="preserve"> PAGEREF _Toc5854 \h </w:instrText>
      </w:r>
      <w:r>
        <w:fldChar w:fldCharType="separate"/>
      </w:r>
      <w:r>
        <w:t>4</w:t>
      </w:r>
      <w:r>
        <w:fldChar w:fldCharType="end"/>
      </w:r>
      <w:r>
        <w:fldChar w:fldCharType="end"/>
      </w:r>
    </w:p>
    <w:p>
      <w:pPr>
        <w:pStyle w:val="14"/>
        <w:tabs>
          <w:tab w:val="right" w:leader="dot" w:pos="8312"/>
        </w:tabs>
      </w:pPr>
      <w:r>
        <w:fldChar w:fldCharType="begin"/>
      </w:r>
      <w:r>
        <w:instrText xml:space="preserve"> HYPERLINK \l "_Toc19012" </w:instrText>
      </w:r>
      <w:r>
        <w:fldChar w:fldCharType="separate"/>
      </w:r>
      <w:r>
        <w:rPr>
          <w:rFonts w:hint="eastAsia" w:ascii="微软雅黑" w:hAnsi="微软雅黑" w:eastAsia="微软雅黑" w:cs="微软雅黑"/>
        </w:rPr>
        <w:t>2.资金来源</w:t>
      </w:r>
      <w:r>
        <w:tab/>
      </w:r>
      <w:r>
        <w:fldChar w:fldCharType="begin"/>
      </w:r>
      <w:r>
        <w:instrText xml:space="preserve"> PAGEREF _Toc19012 \h </w:instrText>
      </w:r>
      <w:r>
        <w:fldChar w:fldCharType="separate"/>
      </w:r>
      <w:r>
        <w:t>5</w:t>
      </w:r>
      <w:r>
        <w:fldChar w:fldCharType="end"/>
      </w:r>
      <w:r>
        <w:fldChar w:fldCharType="end"/>
      </w:r>
    </w:p>
    <w:p>
      <w:pPr>
        <w:pStyle w:val="14"/>
        <w:tabs>
          <w:tab w:val="right" w:leader="dot" w:pos="8312"/>
        </w:tabs>
      </w:pPr>
      <w:r>
        <w:fldChar w:fldCharType="begin"/>
      </w:r>
      <w:r>
        <w:instrText xml:space="preserve"> HYPERLINK \l "_Toc29648" </w:instrText>
      </w:r>
      <w:r>
        <w:fldChar w:fldCharType="separate"/>
      </w:r>
      <w:r>
        <w:rPr>
          <w:rFonts w:hint="eastAsia" w:ascii="微软雅黑" w:hAnsi="微软雅黑" w:eastAsia="微软雅黑" w:cs="微软雅黑"/>
        </w:rPr>
        <w:t>3.投标费用</w:t>
      </w:r>
      <w:r>
        <w:tab/>
      </w:r>
      <w:r>
        <w:fldChar w:fldCharType="begin"/>
      </w:r>
      <w:r>
        <w:instrText xml:space="preserve"> PAGEREF _Toc29648 \h </w:instrText>
      </w:r>
      <w:r>
        <w:fldChar w:fldCharType="separate"/>
      </w:r>
      <w:r>
        <w:t>5</w:t>
      </w:r>
      <w:r>
        <w:fldChar w:fldCharType="end"/>
      </w:r>
      <w:r>
        <w:fldChar w:fldCharType="end"/>
      </w:r>
    </w:p>
    <w:p>
      <w:pPr>
        <w:pStyle w:val="14"/>
        <w:tabs>
          <w:tab w:val="right" w:leader="dot" w:pos="8312"/>
        </w:tabs>
      </w:pPr>
      <w:r>
        <w:fldChar w:fldCharType="begin"/>
      </w:r>
      <w:r>
        <w:instrText xml:space="preserve"> HYPERLINK \l "_Toc21864" </w:instrText>
      </w:r>
      <w:r>
        <w:fldChar w:fldCharType="separate"/>
      </w:r>
      <w:r>
        <w:rPr>
          <w:rFonts w:hint="eastAsia" w:ascii="微软雅黑" w:hAnsi="微软雅黑" w:eastAsia="微软雅黑" w:cs="微软雅黑"/>
        </w:rPr>
        <w:t>4.适用法律</w:t>
      </w:r>
      <w:r>
        <w:tab/>
      </w:r>
      <w:r>
        <w:fldChar w:fldCharType="begin"/>
      </w:r>
      <w:r>
        <w:instrText xml:space="preserve"> PAGEREF _Toc21864 \h </w:instrText>
      </w:r>
      <w:r>
        <w:fldChar w:fldCharType="separate"/>
      </w:r>
      <w:r>
        <w:t>5</w:t>
      </w:r>
      <w:r>
        <w:fldChar w:fldCharType="end"/>
      </w:r>
      <w:r>
        <w:fldChar w:fldCharType="end"/>
      </w:r>
    </w:p>
    <w:p>
      <w:pPr>
        <w:pStyle w:val="22"/>
        <w:tabs>
          <w:tab w:val="right" w:leader="dot" w:pos="8312"/>
        </w:tabs>
      </w:pPr>
      <w:r>
        <w:fldChar w:fldCharType="begin"/>
      </w:r>
      <w:r>
        <w:instrText xml:space="preserve"> HYPERLINK \l "_Toc22935" </w:instrText>
      </w:r>
      <w:r>
        <w:fldChar w:fldCharType="separate"/>
      </w:r>
      <w:r>
        <w:rPr>
          <w:rFonts w:hint="eastAsia" w:ascii="宋体" w:hAnsi="宋体" w:cs="宋体"/>
          <w:szCs w:val="28"/>
        </w:rPr>
        <w:t>二   招标文件</w:t>
      </w:r>
      <w:r>
        <w:tab/>
      </w:r>
      <w:r>
        <w:fldChar w:fldCharType="begin"/>
      </w:r>
      <w:r>
        <w:instrText xml:space="preserve"> PAGEREF _Toc22935 \h </w:instrText>
      </w:r>
      <w:r>
        <w:fldChar w:fldCharType="separate"/>
      </w:r>
      <w:r>
        <w:t>6</w:t>
      </w:r>
      <w:r>
        <w:fldChar w:fldCharType="end"/>
      </w:r>
      <w:r>
        <w:fldChar w:fldCharType="end"/>
      </w:r>
    </w:p>
    <w:p>
      <w:pPr>
        <w:pStyle w:val="14"/>
        <w:tabs>
          <w:tab w:val="right" w:leader="dot" w:pos="8312"/>
        </w:tabs>
      </w:pPr>
      <w:r>
        <w:fldChar w:fldCharType="begin"/>
      </w:r>
      <w:r>
        <w:instrText xml:space="preserve"> HYPERLINK \l "_Toc18193" </w:instrText>
      </w:r>
      <w:r>
        <w:fldChar w:fldCharType="separate"/>
      </w:r>
      <w:r>
        <w:rPr>
          <w:rFonts w:hint="eastAsia" w:ascii="微软雅黑" w:hAnsi="微软雅黑" w:eastAsia="微软雅黑" w:cs="微软雅黑"/>
        </w:rPr>
        <w:t>5.招标文件构成</w:t>
      </w:r>
      <w:r>
        <w:tab/>
      </w:r>
      <w:r>
        <w:fldChar w:fldCharType="begin"/>
      </w:r>
      <w:r>
        <w:instrText xml:space="preserve"> PAGEREF _Toc18193 \h </w:instrText>
      </w:r>
      <w:r>
        <w:fldChar w:fldCharType="separate"/>
      </w:r>
      <w:r>
        <w:t>6</w:t>
      </w:r>
      <w:r>
        <w:fldChar w:fldCharType="end"/>
      </w:r>
      <w:r>
        <w:fldChar w:fldCharType="end"/>
      </w:r>
    </w:p>
    <w:p>
      <w:pPr>
        <w:pStyle w:val="14"/>
        <w:tabs>
          <w:tab w:val="right" w:leader="dot" w:pos="8312"/>
        </w:tabs>
      </w:pPr>
      <w:r>
        <w:fldChar w:fldCharType="begin"/>
      </w:r>
      <w:r>
        <w:instrText xml:space="preserve"> HYPERLINK \l "_Toc29120" </w:instrText>
      </w:r>
      <w:r>
        <w:fldChar w:fldCharType="separate"/>
      </w:r>
      <w:r>
        <w:rPr>
          <w:rFonts w:hint="eastAsia" w:ascii="微软雅黑" w:hAnsi="微软雅黑" w:eastAsia="微软雅黑" w:cs="微软雅黑"/>
        </w:rPr>
        <w:t>6.招标文件的澄清与修改</w:t>
      </w:r>
      <w:r>
        <w:tab/>
      </w:r>
      <w:r>
        <w:fldChar w:fldCharType="begin"/>
      </w:r>
      <w:r>
        <w:instrText xml:space="preserve"> PAGEREF _Toc29120 \h </w:instrText>
      </w:r>
      <w:r>
        <w:fldChar w:fldCharType="separate"/>
      </w:r>
      <w:r>
        <w:t>6</w:t>
      </w:r>
      <w:r>
        <w:fldChar w:fldCharType="end"/>
      </w:r>
      <w:r>
        <w:fldChar w:fldCharType="end"/>
      </w:r>
    </w:p>
    <w:p>
      <w:pPr>
        <w:pStyle w:val="14"/>
        <w:tabs>
          <w:tab w:val="right" w:leader="dot" w:pos="8312"/>
        </w:tabs>
      </w:pPr>
      <w:r>
        <w:fldChar w:fldCharType="begin"/>
      </w:r>
      <w:r>
        <w:instrText xml:space="preserve"> HYPERLINK \l "_Toc13519" </w:instrText>
      </w:r>
      <w:r>
        <w:fldChar w:fldCharType="separate"/>
      </w:r>
      <w:r>
        <w:rPr>
          <w:rFonts w:hint="eastAsia" w:ascii="微软雅黑" w:hAnsi="微软雅黑" w:eastAsia="微软雅黑" w:cs="微软雅黑"/>
        </w:rPr>
        <w:t>7.投标截止时间的顺延</w:t>
      </w:r>
      <w:r>
        <w:tab/>
      </w:r>
      <w:r>
        <w:fldChar w:fldCharType="begin"/>
      </w:r>
      <w:r>
        <w:instrText xml:space="preserve"> PAGEREF _Toc13519 \h </w:instrText>
      </w:r>
      <w:r>
        <w:fldChar w:fldCharType="separate"/>
      </w:r>
      <w:r>
        <w:t>6</w:t>
      </w:r>
      <w:r>
        <w:fldChar w:fldCharType="end"/>
      </w:r>
      <w:r>
        <w:fldChar w:fldCharType="end"/>
      </w:r>
    </w:p>
    <w:p>
      <w:pPr>
        <w:pStyle w:val="22"/>
        <w:tabs>
          <w:tab w:val="right" w:leader="dot" w:pos="8312"/>
        </w:tabs>
      </w:pPr>
      <w:r>
        <w:fldChar w:fldCharType="begin"/>
      </w:r>
      <w:r>
        <w:instrText xml:space="preserve"> HYPERLINK \l "_Toc3327" </w:instrText>
      </w:r>
      <w:r>
        <w:fldChar w:fldCharType="separate"/>
      </w:r>
      <w:r>
        <w:rPr>
          <w:rFonts w:hint="eastAsia" w:ascii="宋体" w:hAnsi="宋体" w:cs="宋体"/>
          <w:szCs w:val="36"/>
        </w:rPr>
        <w:t>三   投标文件的编制</w:t>
      </w:r>
      <w:r>
        <w:tab/>
      </w:r>
      <w:r>
        <w:fldChar w:fldCharType="begin"/>
      </w:r>
      <w:r>
        <w:instrText xml:space="preserve"> PAGEREF _Toc3327 \h </w:instrText>
      </w:r>
      <w:r>
        <w:fldChar w:fldCharType="separate"/>
      </w:r>
      <w:r>
        <w:t>7</w:t>
      </w:r>
      <w:r>
        <w:fldChar w:fldCharType="end"/>
      </w:r>
      <w:r>
        <w:fldChar w:fldCharType="end"/>
      </w:r>
    </w:p>
    <w:p>
      <w:pPr>
        <w:pStyle w:val="14"/>
        <w:tabs>
          <w:tab w:val="right" w:pos="3600"/>
          <w:tab w:val="right" w:leader="dot" w:pos="8312"/>
        </w:tabs>
      </w:pPr>
      <w:r>
        <w:fldChar w:fldCharType="begin"/>
      </w:r>
      <w:r>
        <w:instrText xml:space="preserve"> HYPERLINK \l "_Toc8259" </w:instrText>
      </w:r>
      <w: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rPr>
        <w:t>投标范围及投标文件中标准和计量单位的使用</w:t>
      </w:r>
      <w:r>
        <w:tab/>
      </w:r>
      <w:r>
        <w:fldChar w:fldCharType="begin"/>
      </w:r>
      <w:r>
        <w:instrText xml:space="preserve"> PAGEREF _Toc8259 \h </w:instrText>
      </w:r>
      <w:r>
        <w:fldChar w:fldCharType="separate"/>
      </w:r>
      <w:r>
        <w:t>7</w:t>
      </w:r>
      <w:r>
        <w:fldChar w:fldCharType="end"/>
      </w:r>
      <w:r>
        <w:fldChar w:fldCharType="end"/>
      </w:r>
    </w:p>
    <w:p>
      <w:pPr>
        <w:pStyle w:val="14"/>
        <w:tabs>
          <w:tab w:val="right" w:leader="dot" w:pos="8312"/>
        </w:tabs>
      </w:pPr>
      <w:r>
        <w:fldChar w:fldCharType="begin"/>
      </w:r>
      <w:r>
        <w:instrText xml:space="preserve"> HYPERLINK \l "_Toc29615" </w:instrText>
      </w:r>
      <w:r>
        <w:fldChar w:fldCharType="separate"/>
      </w:r>
      <w:r>
        <w:rPr>
          <w:rFonts w:hint="eastAsia" w:ascii="微软雅黑" w:hAnsi="微软雅黑" w:eastAsia="微软雅黑" w:cs="微软雅黑"/>
        </w:rPr>
        <w:t>9.投标文件构成</w:t>
      </w:r>
      <w:r>
        <w:tab/>
      </w:r>
      <w:r>
        <w:fldChar w:fldCharType="begin"/>
      </w:r>
      <w:r>
        <w:instrText xml:space="preserve"> PAGEREF _Toc29615 \h </w:instrText>
      </w:r>
      <w:r>
        <w:fldChar w:fldCharType="separate"/>
      </w:r>
      <w:r>
        <w:t>7</w:t>
      </w:r>
      <w:r>
        <w:fldChar w:fldCharType="end"/>
      </w:r>
      <w:r>
        <w:fldChar w:fldCharType="end"/>
      </w:r>
    </w:p>
    <w:p>
      <w:pPr>
        <w:pStyle w:val="14"/>
        <w:tabs>
          <w:tab w:val="right" w:pos="3600"/>
          <w:tab w:val="right" w:leader="dot" w:pos="8312"/>
        </w:tabs>
      </w:pPr>
      <w:r>
        <w:fldChar w:fldCharType="begin"/>
      </w:r>
      <w:r>
        <w:instrText xml:space="preserve"> HYPERLINK \l "_Toc10258" </w:instrText>
      </w:r>
      <w: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rPr>
        <w:t>证明投标标的的合格性和符合招标文件规定的技术文件</w:t>
      </w:r>
      <w:r>
        <w:tab/>
      </w:r>
      <w:r>
        <w:fldChar w:fldCharType="begin"/>
      </w:r>
      <w:r>
        <w:instrText xml:space="preserve"> PAGEREF _Toc10258 \h </w:instrText>
      </w:r>
      <w:r>
        <w:fldChar w:fldCharType="separate"/>
      </w:r>
      <w:r>
        <w:t>7</w:t>
      </w:r>
      <w:r>
        <w:fldChar w:fldCharType="end"/>
      </w:r>
      <w:r>
        <w:fldChar w:fldCharType="end"/>
      </w:r>
    </w:p>
    <w:p>
      <w:pPr>
        <w:pStyle w:val="14"/>
        <w:tabs>
          <w:tab w:val="right" w:leader="dot" w:pos="8312"/>
        </w:tabs>
      </w:pPr>
      <w:r>
        <w:fldChar w:fldCharType="begin"/>
      </w:r>
      <w:r>
        <w:instrText xml:space="preserve"> HYPERLINK \l "_Toc17460" </w:instrText>
      </w:r>
      <w:r>
        <w:fldChar w:fldCharType="separate"/>
      </w:r>
      <w:r>
        <w:rPr>
          <w:rFonts w:hint="eastAsia" w:ascii="微软雅黑" w:hAnsi="微软雅黑" w:eastAsia="微软雅黑" w:cs="微软雅黑"/>
        </w:rPr>
        <w:t>11.投标报价</w:t>
      </w:r>
      <w:r>
        <w:tab/>
      </w:r>
      <w:r>
        <w:fldChar w:fldCharType="begin"/>
      </w:r>
      <w:r>
        <w:instrText xml:space="preserve"> PAGEREF _Toc17460 \h </w:instrText>
      </w:r>
      <w:r>
        <w:fldChar w:fldCharType="separate"/>
      </w:r>
      <w:r>
        <w:t>8</w:t>
      </w:r>
      <w:r>
        <w:fldChar w:fldCharType="end"/>
      </w:r>
      <w:r>
        <w:fldChar w:fldCharType="end"/>
      </w:r>
    </w:p>
    <w:p>
      <w:pPr>
        <w:pStyle w:val="14"/>
        <w:tabs>
          <w:tab w:val="right" w:leader="dot" w:pos="8312"/>
        </w:tabs>
      </w:pPr>
      <w:r>
        <w:fldChar w:fldCharType="begin"/>
      </w:r>
      <w:r>
        <w:instrText xml:space="preserve"> HYPERLINK \l "_Toc4897" </w:instrText>
      </w:r>
      <w:r>
        <w:fldChar w:fldCharType="separate"/>
      </w:r>
      <w:r>
        <w:rPr>
          <w:rFonts w:hint="eastAsia" w:ascii="微软雅黑" w:hAnsi="微软雅黑" w:eastAsia="微软雅黑" w:cs="微软雅黑"/>
        </w:rPr>
        <w:t>12.投标保证金</w:t>
      </w:r>
      <w:r>
        <w:tab/>
      </w:r>
      <w:r>
        <w:fldChar w:fldCharType="begin"/>
      </w:r>
      <w:r>
        <w:instrText xml:space="preserve"> PAGEREF _Toc4897 \h </w:instrText>
      </w:r>
      <w:r>
        <w:fldChar w:fldCharType="separate"/>
      </w:r>
      <w:r>
        <w:t>8</w:t>
      </w:r>
      <w:r>
        <w:fldChar w:fldCharType="end"/>
      </w:r>
      <w:r>
        <w:fldChar w:fldCharType="end"/>
      </w:r>
    </w:p>
    <w:p>
      <w:pPr>
        <w:pStyle w:val="14"/>
        <w:tabs>
          <w:tab w:val="right" w:leader="dot" w:pos="8312"/>
        </w:tabs>
      </w:pPr>
      <w:r>
        <w:fldChar w:fldCharType="begin"/>
      </w:r>
      <w:r>
        <w:instrText xml:space="preserve"> HYPERLINK \l "_Toc3796" </w:instrText>
      </w:r>
      <w:r>
        <w:fldChar w:fldCharType="separate"/>
      </w:r>
      <w:r>
        <w:rPr>
          <w:rFonts w:hint="eastAsia" w:ascii="微软雅黑" w:hAnsi="微软雅黑" w:eastAsia="微软雅黑" w:cs="微软雅黑"/>
        </w:rPr>
        <w:t>13.投标有效期</w:t>
      </w:r>
      <w:r>
        <w:tab/>
      </w:r>
      <w:r>
        <w:fldChar w:fldCharType="begin"/>
      </w:r>
      <w:r>
        <w:instrText xml:space="preserve"> PAGEREF _Toc3796 \h </w:instrText>
      </w:r>
      <w:r>
        <w:fldChar w:fldCharType="separate"/>
      </w:r>
      <w:r>
        <w:t>9</w:t>
      </w:r>
      <w:r>
        <w:fldChar w:fldCharType="end"/>
      </w:r>
      <w:r>
        <w:fldChar w:fldCharType="end"/>
      </w:r>
    </w:p>
    <w:p>
      <w:pPr>
        <w:pStyle w:val="14"/>
        <w:tabs>
          <w:tab w:val="right" w:leader="dot" w:pos="8312"/>
        </w:tabs>
      </w:pPr>
      <w:r>
        <w:fldChar w:fldCharType="begin"/>
      </w:r>
      <w:r>
        <w:instrText xml:space="preserve"> HYPERLINK \l "_Toc11003" </w:instrText>
      </w:r>
      <w:r>
        <w:fldChar w:fldCharType="separate"/>
      </w:r>
      <w:r>
        <w:rPr>
          <w:rFonts w:hint="eastAsia" w:ascii="微软雅黑" w:hAnsi="微软雅黑" w:eastAsia="微软雅黑" w:cs="微软雅黑"/>
        </w:rPr>
        <w:t>14.投标文件的签署及规定</w:t>
      </w:r>
      <w:r>
        <w:tab/>
      </w:r>
      <w:r>
        <w:fldChar w:fldCharType="begin"/>
      </w:r>
      <w:r>
        <w:instrText xml:space="preserve"> PAGEREF _Toc11003 \h </w:instrText>
      </w:r>
      <w:r>
        <w:fldChar w:fldCharType="separate"/>
      </w:r>
      <w:r>
        <w:t>9</w:t>
      </w:r>
      <w:r>
        <w:fldChar w:fldCharType="end"/>
      </w:r>
      <w:r>
        <w:fldChar w:fldCharType="end"/>
      </w:r>
    </w:p>
    <w:p>
      <w:pPr>
        <w:pStyle w:val="22"/>
        <w:tabs>
          <w:tab w:val="right" w:leader="dot" w:pos="8312"/>
        </w:tabs>
      </w:pPr>
      <w:r>
        <w:fldChar w:fldCharType="begin"/>
      </w:r>
      <w:r>
        <w:instrText xml:space="preserve"> HYPERLINK \l "_Toc3762" </w:instrText>
      </w:r>
      <w:r>
        <w:fldChar w:fldCharType="separate"/>
      </w:r>
      <w:r>
        <w:rPr>
          <w:rFonts w:hint="eastAsia" w:ascii="宋体" w:hAnsi="宋体" w:eastAsia="宋体" w:cs="宋体"/>
          <w:szCs w:val="36"/>
        </w:rPr>
        <w:t>四   投标文件的递交</w:t>
      </w:r>
      <w:r>
        <w:tab/>
      </w:r>
      <w:r>
        <w:fldChar w:fldCharType="begin"/>
      </w:r>
      <w:r>
        <w:instrText xml:space="preserve"> PAGEREF _Toc3762 \h </w:instrText>
      </w:r>
      <w:r>
        <w:fldChar w:fldCharType="separate"/>
      </w:r>
      <w:r>
        <w:t>9</w:t>
      </w:r>
      <w:r>
        <w:fldChar w:fldCharType="end"/>
      </w:r>
      <w:r>
        <w:fldChar w:fldCharType="end"/>
      </w:r>
    </w:p>
    <w:p>
      <w:pPr>
        <w:pStyle w:val="14"/>
        <w:tabs>
          <w:tab w:val="right" w:leader="dot" w:pos="8312"/>
        </w:tabs>
      </w:pPr>
      <w:r>
        <w:fldChar w:fldCharType="begin"/>
      </w:r>
      <w:r>
        <w:instrText xml:space="preserve"> HYPERLINK \l "_Toc18741" </w:instrText>
      </w:r>
      <w:r>
        <w:fldChar w:fldCharType="separate"/>
      </w:r>
      <w:r>
        <w:rPr>
          <w:rFonts w:hint="eastAsia" w:ascii="微软雅黑" w:hAnsi="微软雅黑" w:eastAsia="微软雅黑" w:cs="微软雅黑"/>
        </w:rPr>
        <w:t>15.投标文件的密封和标记</w:t>
      </w:r>
      <w:r>
        <w:tab/>
      </w:r>
      <w:r>
        <w:fldChar w:fldCharType="begin"/>
      </w:r>
      <w:r>
        <w:instrText xml:space="preserve"> PAGEREF _Toc18741 \h </w:instrText>
      </w:r>
      <w:r>
        <w:fldChar w:fldCharType="separate"/>
      </w:r>
      <w:r>
        <w:t>10</w:t>
      </w:r>
      <w:r>
        <w:fldChar w:fldCharType="end"/>
      </w:r>
      <w:r>
        <w:fldChar w:fldCharType="end"/>
      </w:r>
    </w:p>
    <w:p>
      <w:pPr>
        <w:pStyle w:val="14"/>
        <w:tabs>
          <w:tab w:val="right" w:leader="dot" w:pos="8312"/>
        </w:tabs>
      </w:pPr>
      <w:r>
        <w:fldChar w:fldCharType="begin"/>
      </w:r>
      <w:r>
        <w:instrText xml:space="preserve"> HYPERLINK \l "_Toc32297" </w:instrText>
      </w:r>
      <w:r>
        <w:fldChar w:fldCharType="separate"/>
      </w:r>
      <w:r>
        <w:rPr>
          <w:rFonts w:hint="eastAsia" w:ascii="微软雅黑" w:hAnsi="微软雅黑" w:eastAsia="微软雅黑" w:cs="微软雅黑"/>
        </w:rPr>
        <w:t>16.投标截止</w:t>
      </w:r>
      <w:r>
        <w:tab/>
      </w:r>
      <w:r>
        <w:fldChar w:fldCharType="begin"/>
      </w:r>
      <w:r>
        <w:instrText xml:space="preserve"> PAGEREF _Toc32297 \h </w:instrText>
      </w:r>
      <w:r>
        <w:fldChar w:fldCharType="separate"/>
      </w:r>
      <w:r>
        <w:t>10</w:t>
      </w:r>
      <w:r>
        <w:fldChar w:fldCharType="end"/>
      </w:r>
      <w:r>
        <w:fldChar w:fldCharType="end"/>
      </w:r>
    </w:p>
    <w:p>
      <w:pPr>
        <w:pStyle w:val="14"/>
        <w:tabs>
          <w:tab w:val="right" w:leader="dot" w:pos="8312"/>
        </w:tabs>
      </w:pPr>
      <w:r>
        <w:fldChar w:fldCharType="begin"/>
      </w:r>
      <w:r>
        <w:instrText xml:space="preserve"> HYPERLINK \l "_Toc12680" </w:instrText>
      </w:r>
      <w:r>
        <w:fldChar w:fldCharType="separate"/>
      </w:r>
      <w:r>
        <w:rPr>
          <w:rFonts w:hint="eastAsia" w:ascii="微软雅黑" w:hAnsi="微软雅黑" w:eastAsia="微软雅黑" w:cs="微软雅黑"/>
        </w:rPr>
        <w:t>17.投标文件的接收、修改与撤回</w:t>
      </w:r>
      <w:r>
        <w:tab/>
      </w:r>
      <w:r>
        <w:fldChar w:fldCharType="begin"/>
      </w:r>
      <w:r>
        <w:instrText xml:space="preserve"> PAGEREF _Toc12680 \h </w:instrText>
      </w:r>
      <w:r>
        <w:fldChar w:fldCharType="separate"/>
      </w:r>
      <w:r>
        <w:t>10</w:t>
      </w:r>
      <w:r>
        <w:fldChar w:fldCharType="end"/>
      </w:r>
      <w:r>
        <w:fldChar w:fldCharType="end"/>
      </w:r>
    </w:p>
    <w:p>
      <w:pPr>
        <w:pStyle w:val="22"/>
        <w:tabs>
          <w:tab w:val="right" w:leader="dot" w:pos="8312"/>
        </w:tabs>
      </w:pPr>
      <w:r>
        <w:fldChar w:fldCharType="begin"/>
      </w:r>
      <w:r>
        <w:instrText xml:space="preserve"> HYPERLINK \l "_Toc24999" </w:instrText>
      </w:r>
      <w:r>
        <w:fldChar w:fldCharType="separate"/>
      </w:r>
      <w:r>
        <w:rPr>
          <w:rFonts w:hint="eastAsia" w:ascii="宋体" w:hAnsi="宋体" w:cs="宋体"/>
          <w:szCs w:val="32"/>
        </w:rPr>
        <w:t>五   开标及评标</w:t>
      </w:r>
      <w:r>
        <w:tab/>
      </w:r>
      <w:r>
        <w:fldChar w:fldCharType="begin"/>
      </w:r>
      <w:r>
        <w:instrText xml:space="preserve"> PAGEREF _Toc24999 \h </w:instrText>
      </w:r>
      <w:r>
        <w:fldChar w:fldCharType="separate"/>
      </w:r>
      <w:r>
        <w:t>10</w:t>
      </w:r>
      <w:r>
        <w:fldChar w:fldCharType="end"/>
      </w:r>
      <w:r>
        <w:fldChar w:fldCharType="end"/>
      </w:r>
    </w:p>
    <w:p>
      <w:pPr>
        <w:pStyle w:val="14"/>
        <w:tabs>
          <w:tab w:val="right" w:leader="dot" w:pos="8312"/>
        </w:tabs>
      </w:pPr>
      <w:r>
        <w:fldChar w:fldCharType="begin"/>
      </w:r>
      <w:r>
        <w:instrText xml:space="preserve"> HYPERLINK \l "_Toc28609" </w:instrText>
      </w:r>
      <w:r>
        <w:fldChar w:fldCharType="separate"/>
      </w:r>
      <w:r>
        <w:rPr>
          <w:rFonts w:ascii="微软雅黑" w:hAnsi="微软雅黑" w:eastAsia="微软雅黑" w:cs="微软雅黑"/>
        </w:rPr>
        <w:t xml:space="preserve">18. </w:t>
      </w:r>
      <w:r>
        <w:rPr>
          <w:rFonts w:hint="eastAsia" w:ascii="微软雅黑" w:hAnsi="微软雅黑" w:eastAsia="微软雅黑" w:cs="微软雅黑"/>
        </w:rPr>
        <w:t>开标</w:t>
      </w:r>
      <w:r>
        <w:tab/>
      </w:r>
      <w:r>
        <w:fldChar w:fldCharType="begin"/>
      </w:r>
      <w:r>
        <w:instrText xml:space="preserve"> PAGEREF _Toc28609 \h </w:instrText>
      </w:r>
      <w:r>
        <w:fldChar w:fldCharType="separate"/>
      </w:r>
      <w:r>
        <w:t>11</w:t>
      </w:r>
      <w:r>
        <w:fldChar w:fldCharType="end"/>
      </w:r>
      <w:r>
        <w:fldChar w:fldCharType="end"/>
      </w:r>
    </w:p>
    <w:p>
      <w:pPr>
        <w:pStyle w:val="14"/>
        <w:tabs>
          <w:tab w:val="right" w:leader="dot" w:pos="8312"/>
        </w:tabs>
      </w:pPr>
      <w:r>
        <w:fldChar w:fldCharType="begin"/>
      </w:r>
      <w:r>
        <w:instrText xml:space="preserve"> HYPERLINK \l "_Toc12925" </w:instrText>
      </w:r>
      <w:r>
        <w:fldChar w:fldCharType="separate"/>
      </w:r>
      <w:r>
        <w:rPr>
          <w:rFonts w:hint="eastAsia" w:ascii="微软雅黑" w:hAnsi="微软雅黑" w:eastAsia="微软雅黑" w:cs="微软雅黑"/>
        </w:rPr>
        <w:t>19.资格审查及组建评标委员会</w:t>
      </w:r>
      <w:r>
        <w:tab/>
      </w:r>
      <w:r>
        <w:fldChar w:fldCharType="begin"/>
      </w:r>
      <w:r>
        <w:instrText xml:space="preserve"> PAGEREF _Toc12925 \h </w:instrText>
      </w:r>
      <w:r>
        <w:fldChar w:fldCharType="separate"/>
      </w:r>
      <w:r>
        <w:t>11</w:t>
      </w:r>
      <w:r>
        <w:fldChar w:fldCharType="end"/>
      </w:r>
      <w:r>
        <w:fldChar w:fldCharType="end"/>
      </w:r>
    </w:p>
    <w:p>
      <w:pPr>
        <w:pStyle w:val="14"/>
        <w:tabs>
          <w:tab w:val="right" w:leader="dot" w:pos="8312"/>
        </w:tabs>
      </w:pPr>
      <w:r>
        <w:fldChar w:fldCharType="begin"/>
      </w:r>
      <w:r>
        <w:instrText xml:space="preserve"> HYPERLINK \l "_Toc2524" </w:instrText>
      </w:r>
      <w:r>
        <w:fldChar w:fldCharType="separate"/>
      </w:r>
      <w:r>
        <w:rPr>
          <w:rFonts w:hint="eastAsia" w:ascii="微软雅黑" w:hAnsi="微软雅黑" w:eastAsia="微软雅黑" w:cs="微软雅黑"/>
        </w:rPr>
        <w:t>20.投标文件符合性审查与澄清</w:t>
      </w:r>
      <w:r>
        <w:tab/>
      </w:r>
      <w:r>
        <w:fldChar w:fldCharType="begin"/>
      </w:r>
      <w:r>
        <w:instrText xml:space="preserve"> PAGEREF _Toc2524 \h </w:instrText>
      </w:r>
      <w:r>
        <w:fldChar w:fldCharType="separate"/>
      </w:r>
      <w:r>
        <w:t>13</w:t>
      </w:r>
      <w:r>
        <w:fldChar w:fldCharType="end"/>
      </w:r>
      <w:r>
        <w:fldChar w:fldCharType="end"/>
      </w:r>
    </w:p>
    <w:p>
      <w:pPr>
        <w:pStyle w:val="14"/>
        <w:tabs>
          <w:tab w:val="right" w:leader="dot" w:pos="8312"/>
        </w:tabs>
      </w:pPr>
      <w:r>
        <w:fldChar w:fldCharType="begin"/>
      </w:r>
      <w:r>
        <w:instrText xml:space="preserve"> HYPERLINK \l "_Toc12537" </w:instrText>
      </w:r>
      <w:r>
        <w:fldChar w:fldCharType="separate"/>
      </w:r>
      <w:r>
        <w:rPr>
          <w:rFonts w:hint="eastAsia" w:ascii="微软雅黑" w:hAnsi="微软雅黑" w:eastAsia="微软雅黑" w:cs="微软雅黑"/>
        </w:rPr>
        <w:t>21.投标偏离</w:t>
      </w:r>
      <w:r>
        <w:tab/>
      </w:r>
      <w:r>
        <w:fldChar w:fldCharType="begin"/>
      </w:r>
      <w:r>
        <w:instrText xml:space="preserve"> PAGEREF _Toc12537 \h </w:instrText>
      </w:r>
      <w:r>
        <w:fldChar w:fldCharType="separate"/>
      </w:r>
      <w:r>
        <w:t>14</w:t>
      </w:r>
      <w:r>
        <w:fldChar w:fldCharType="end"/>
      </w:r>
      <w:r>
        <w:fldChar w:fldCharType="end"/>
      </w:r>
    </w:p>
    <w:p>
      <w:pPr>
        <w:pStyle w:val="14"/>
        <w:tabs>
          <w:tab w:val="right" w:leader="dot" w:pos="8312"/>
        </w:tabs>
      </w:pPr>
      <w:r>
        <w:fldChar w:fldCharType="begin"/>
      </w:r>
      <w:r>
        <w:instrText xml:space="preserve"> HYPERLINK \l "_Toc20516" </w:instrText>
      </w:r>
      <w:r>
        <w:fldChar w:fldCharType="separate"/>
      </w:r>
      <w:r>
        <w:rPr>
          <w:rFonts w:hint="eastAsia" w:ascii="微软雅黑" w:hAnsi="微软雅黑" w:eastAsia="微软雅黑" w:cs="微软雅黑"/>
        </w:rPr>
        <w:t>22.</w:t>
      </w:r>
      <w:r>
        <w:rPr>
          <w:rFonts w:hint="eastAsia" w:ascii="微软雅黑" w:hAnsi="微软雅黑" w:eastAsia="微软雅黑" w:cs="微软雅黑"/>
          <w:kern w:val="2"/>
          <w:sz w:val="21"/>
          <w:szCs w:val="24"/>
          <w:lang w:val="en-US" w:eastAsia="zh-CN" w:bidi="ar-SA"/>
        </w:rPr>
        <w:t>投标</w:t>
      </w:r>
      <w:r>
        <w:rPr>
          <w:rFonts w:hint="eastAsia" w:ascii="微软雅黑" w:hAnsi="微软雅黑" w:eastAsia="微软雅黑" w:cs="微软雅黑"/>
        </w:rPr>
        <w:t>无效</w:t>
      </w:r>
      <w:r>
        <w:tab/>
      </w:r>
      <w:r>
        <w:fldChar w:fldCharType="begin"/>
      </w:r>
      <w:r>
        <w:instrText xml:space="preserve"> PAGEREF _Toc20516 \h </w:instrText>
      </w:r>
      <w:r>
        <w:fldChar w:fldCharType="separate"/>
      </w:r>
      <w:r>
        <w:t>14</w:t>
      </w:r>
      <w:r>
        <w:fldChar w:fldCharType="end"/>
      </w:r>
      <w:r>
        <w:fldChar w:fldCharType="end"/>
      </w:r>
    </w:p>
    <w:p>
      <w:pPr>
        <w:pStyle w:val="14"/>
        <w:tabs>
          <w:tab w:val="right" w:leader="dot" w:pos="8312"/>
        </w:tabs>
      </w:pPr>
      <w:r>
        <w:fldChar w:fldCharType="begin"/>
      </w:r>
      <w:r>
        <w:instrText xml:space="preserve"> HYPERLINK \l "_Toc8327" </w:instrText>
      </w:r>
      <w:r>
        <w:fldChar w:fldCharType="separate"/>
      </w:r>
      <w:r>
        <w:rPr>
          <w:rFonts w:hint="eastAsia" w:ascii="微软雅黑" w:hAnsi="微软雅黑" w:eastAsia="微软雅黑" w:cs="微软雅黑"/>
        </w:rPr>
        <w:t>24.废标</w:t>
      </w:r>
      <w:r>
        <w:tab/>
      </w:r>
      <w:r>
        <w:fldChar w:fldCharType="begin"/>
      </w:r>
      <w:r>
        <w:instrText xml:space="preserve"> PAGEREF _Toc8327 \h </w:instrText>
      </w:r>
      <w:r>
        <w:fldChar w:fldCharType="separate"/>
      </w:r>
      <w:r>
        <w:t>15</w:t>
      </w:r>
      <w:r>
        <w:fldChar w:fldCharType="end"/>
      </w:r>
      <w:r>
        <w:fldChar w:fldCharType="end"/>
      </w:r>
    </w:p>
    <w:p>
      <w:pPr>
        <w:pStyle w:val="14"/>
        <w:tabs>
          <w:tab w:val="right" w:leader="dot" w:pos="8312"/>
        </w:tabs>
      </w:pPr>
      <w:r>
        <w:fldChar w:fldCharType="begin"/>
      </w:r>
      <w:r>
        <w:instrText xml:space="preserve"> HYPERLINK \l "_Toc9060" </w:instrText>
      </w:r>
      <w:r>
        <w:fldChar w:fldCharType="separate"/>
      </w:r>
      <w:r>
        <w:rPr>
          <w:rFonts w:hint="eastAsia" w:ascii="微软雅黑" w:hAnsi="微软雅黑" w:eastAsia="微软雅黑" w:cs="微软雅黑"/>
        </w:rPr>
        <w:t>25.保密原则</w:t>
      </w:r>
      <w:r>
        <w:tab/>
      </w:r>
      <w:r>
        <w:fldChar w:fldCharType="begin"/>
      </w:r>
      <w:r>
        <w:instrText xml:space="preserve"> PAGEREF _Toc9060 \h </w:instrText>
      </w:r>
      <w:r>
        <w:fldChar w:fldCharType="separate"/>
      </w:r>
      <w:r>
        <w:t>15</w:t>
      </w:r>
      <w:r>
        <w:fldChar w:fldCharType="end"/>
      </w:r>
      <w:r>
        <w:fldChar w:fldCharType="end"/>
      </w:r>
    </w:p>
    <w:p>
      <w:pPr>
        <w:pStyle w:val="14"/>
        <w:tabs>
          <w:tab w:val="right" w:leader="dot" w:pos="8312"/>
        </w:tabs>
      </w:pPr>
      <w:r>
        <w:fldChar w:fldCharType="begin"/>
      </w:r>
      <w:r>
        <w:instrText xml:space="preserve"> HYPERLINK \l "_Toc2392" </w:instrText>
      </w:r>
      <w:r>
        <w:fldChar w:fldCharType="separate"/>
      </w:r>
      <w:r>
        <w:rPr>
          <w:rFonts w:hint="eastAsia" w:ascii="微软雅黑" w:hAnsi="微软雅黑" w:eastAsia="微软雅黑" w:cs="微软雅黑"/>
        </w:rPr>
        <w:t>26.中标候选人的确定原则及标准</w:t>
      </w:r>
      <w:r>
        <w:tab/>
      </w:r>
      <w:r>
        <w:fldChar w:fldCharType="begin"/>
      </w:r>
      <w:r>
        <w:instrText xml:space="preserve"> PAGEREF _Toc2392 \h </w:instrText>
      </w:r>
      <w:r>
        <w:fldChar w:fldCharType="separate"/>
      </w:r>
      <w:r>
        <w:t>16</w:t>
      </w:r>
      <w:r>
        <w:fldChar w:fldCharType="end"/>
      </w:r>
      <w:r>
        <w:fldChar w:fldCharType="end"/>
      </w:r>
    </w:p>
    <w:p>
      <w:pPr>
        <w:pStyle w:val="14"/>
        <w:tabs>
          <w:tab w:val="right" w:leader="dot" w:pos="8312"/>
        </w:tabs>
      </w:pPr>
      <w:r>
        <w:fldChar w:fldCharType="begin"/>
      </w:r>
      <w:r>
        <w:instrText xml:space="preserve"> HYPERLINK \l "_Toc32040" </w:instrText>
      </w:r>
      <w:r>
        <w:fldChar w:fldCharType="separate"/>
      </w:r>
      <w:r>
        <w:rPr>
          <w:rFonts w:hint="eastAsia" w:ascii="微软雅黑" w:hAnsi="微软雅黑" w:eastAsia="微软雅黑" w:cs="微软雅黑"/>
        </w:rPr>
        <w:t>27.确定中标候选人和中标人</w:t>
      </w:r>
      <w:r>
        <w:tab/>
      </w:r>
      <w:r>
        <w:fldChar w:fldCharType="begin"/>
      </w:r>
      <w:r>
        <w:instrText xml:space="preserve"> PAGEREF _Toc32040 \h </w:instrText>
      </w:r>
      <w:r>
        <w:fldChar w:fldCharType="separate"/>
      </w:r>
      <w:r>
        <w:t>16</w:t>
      </w:r>
      <w:r>
        <w:fldChar w:fldCharType="end"/>
      </w:r>
      <w:r>
        <w:fldChar w:fldCharType="end"/>
      </w:r>
    </w:p>
    <w:p>
      <w:pPr>
        <w:pStyle w:val="14"/>
        <w:tabs>
          <w:tab w:val="right" w:leader="dot" w:pos="8312"/>
        </w:tabs>
      </w:pPr>
      <w:r>
        <w:fldChar w:fldCharType="begin"/>
      </w:r>
      <w:r>
        <w:instrText xml:space="preserve"> HYPERLINK \l "_Toc27148" </w:instrText>
      </w:r>
      <w:r>
        <w:fldChar w:fldCharType="separate"/>
      </w:r>
      <w:r>
        <w:rPr>
          <w:rFonts w:hint="eastAsia" w:ascii="微软雅黑" w:hAnsi="微软雅黑" w:eastAsia="微软雅黑" w:cs="微软雅黑"/>
        </w:rPr>
        <w:t>28.采购任务取消</w:t>
      </w:r>
      <w:r>
        <w:tab/>
      </w:r>
      <w:r>
        <w:fldChar w:fldCharType="begin"/>
      </w:r>
      <w:r>
        <w:instrText xml:space="preserve"> PAGEREF _Toc27148 \h </w:instrText>
      </w:r>
      <w:r>
        <w:fldChar w:fldCharType="separate"/>
      </w:r>
      <w:r>
        <w:t>16</w:t>
      </w:r>
      <w:r>
        <w:fldChar w:fldCharType="end"/>
      </w:r>
      <w:r>
        <w:fldChar w:fldCharType="end"/>
      </w:r>
    </w:p>
    <w:p>
      <w:pPr>
        <w:pStyle w:val="14"/>
        <w:tabs>
          <w:tab w:val="right" w:leader="dot" w:pos="8312"/>
        </w:tabs>
      </w:pPr>
      <w:r>
        <w:fldChar w:fldCharType="begin"/>
      </w:r>
      <w:r>
        <w:instrText xml:space="preserve"> HYPERLINK \l "_Toc15447" </w:instrText>
      </w:r>
      <w:r>
        <w:fldChar w:fldCharType="separate"/>
      </w:r>
      <w:r>
        <w:rPr>
          <w:rFonts w:hint="eastAsia" w:ascii="微软雅黑" w:hAnsi="微软雅黑" w:eastAsia="微软雅黑" w:cs="微软雅黑"/>
        </w:rPr>
        <w:t>29.中标通知书和招标结果通知书</w:t>
      </w:r>
      <w:r>
        <w:tab/>
      </w:r>
      <w:r>
        <w:fldChar w:fldCharType="begin"/>
      </w:r>
      <w:r>
        <w:instrText xml:space="preserve"> PAGEREF _Toc15447 \h </w:instrText>
      </w:r>
      <w:r>
        <w:fldChar w:fldCharType="separate"/>
      </w:r>
      <w:r>
        <w:t>16</w:t>
      </w:r>
      <w:r>
        <w:fldChar w:fldCharType="end"/>
      </w:r>
      <w:r>
        <w:fldChar w:fldCharType="end"/>
      </w:r>
    </w:p>
    <w:p>
      <w:pPr>
        <w:pStyle w:val="14"/>
        <w:tabs>
          <w:tab w:val="right" w:leader="dot" w:pos="8312"/>
        </w:tabs>
      </w:pPr>
      <w:r>
        <w:fldChar w:fldCharType="begin"/>
      </w:r>
      <w:r>
        <w:instrText xml:space="preserve"> HYPERLINK \l "_Toc25799" </w:instrText>
      </w:r>
      <w:r>
        <w:fldChar w:fldCharType="separate"/>
      </w:r>
      <w:r>
        <w:rPr>
          <w:rFonts w:hint="eastAsia" w:ascii="微软雅黑" w:hAnsi="微软雅黑" w:eastAsia="微软雅黑" w:cs="微软雅黑"/>
        </w:rPr>
        <w:t>30.签订合同</w:t>
      </w:r>
      <w:r>
        <w:tab/>
      </w:r>
      <w:r>
        <w:fldChar w:fldCharType="begin"/>
      </w:r>
      <w:r>
        <w:instrText xml:space="preserve"> PAGEREF _Toc25799 \h </w:instrText>
      </w:r>
      <w:r>
        <w:fldChar w:fldCharType="separate"/>
      </w:r>
      <w:r>
        <w:t>16</w:t>
      </w:r>
      <w:r>
        <w:fldChar w:fldCharType="end"/>
      </w:r>
      <w:r>
        <w:fldChar w:fldCharType="end"/>
      </w:r>
    </w:p>
    <w:p>
      <w:pPr>
        <w:pStyle w:val="14"/>
        <w:tabs>
          <w:tab w:val="right" w:leader="dot" w:pos="8312"/>
        </w:tabs>
      </w:pPr>
      <w:r>
        <w:fldChar w:fldCharType="begin"/>
      </w:r>
      <w:r>
        <w:instrText xml:space="preserve"> HYPERLINK \l "_Toc3825" </w:instrText>
      </w:r>
      <w:r>
        <w:fldChar w:fldCharType="separate"/>
      </w:r>
      <w:r>
        <w:rPr>
          <w:rFonts w:hint="eastAsia" w:ascii="微软雅黑" w:hAnsi="微软雅黑" w:eastAsia="微软雅黑" w:cs="微软雅黑"/>
        </w:rPr>
        <w:t>31.履约保证金</w:t>
      </w:r>
      <w:r>
        <w:tab/>
      </w:r>
      <w:r>
        <w:fldChar w:fldCharType="begin"/>
      </w:r>
      <w:r>
        <w:instrText xml:space="preserve"> PAGEREF _Toc3825 \h </w:instrText>
      </w:r>
      <w:r>
        <w:fldChar w:fldCharType="separate"/>
      </w:r>
      <w:r>
        <w:t>17</w:t>
      </w:r>
      <w:r>
        <w:fldChar w:fldCharType="end"/>
      </w:r>
      <w:r>
        <w:fldChar w:fldCharType="end"/>
      </w:r>
    </w:p>
    <w:p>
      <w:pPr>
        <w:pStyle w:val="14"/>
        <w:tabs>
          <w:tab w:val="right" w:leader="dot" w:pos="8312"/>
        </w:tabs>
      </w:pPr>
      <w:r>
        <w:fldChar w:fldCharType="begin"/>
      </w:r>
      <w:r>
        <w:instrText xml:space="preserve"> HYPERLINK \l "_Toc25010" </w:instrText>
      </w:r>
      <w:r>
        <w:fldChar w:fldCharType="separate"/>
      </w:r>
      <w:r>
        <w:rPr>
          <w:rFonts w:hint="eastAsia" w:ascii="微软雅黑" w:hAnsi="微软雅黑" w:eastAsia="微软雅黑" w:cs="微软雅黑"/>
        </w:rPr>
        <w:t>32.中标服务费</w:t>
      </w:r>
      <w:r>
        <w:tab/>
      </w:r>
      <w:r>
        <w:fldChar w:fldCharType="begin"/>
      </w:r>
      <w:r>
        <w:instrText xml:space="preserve"> PAGEREF _Toc25010 \h </w:instrText>
      </w:r>
      <w:r>
        <w:fldChar w:fldCharType="separate"/>
      </w:r>
      <w:r>
        <w:t>17</w:t>
      </w:r>
      <w:r>
        <w:fldChar w:fldCharType="end"/>
      </w:r>
      <w:r>
        <w:fldChar w:fldCharType="end"/>
      </w:r>
    </w:p>
    <w:p>
      <w:pPr>
        <w:pStyle w:val="14"/>
        <w:tabs>
          <w:tab w:val="right" w:leader="dot" w:pos="8312"/>
        </w:tabs>
      </w:pPr>
      <w:r>
        <w:fldChar w:fldCharType="begin"/>
      </w:r>
      <w:r>
        <w:instrText xml:space="preserve"> HYPERLINK \l "_Toc676" </w:instrText>
      </w:r>
      <w:r>
        <w:fldChar w:fldCharType="separate"/>
      </w:r>
      <w:r>
        <w:rPr>
          <w:rFonts w:hint="eastAsia" w:ascii="微软雅黑" w:hAnsi="微软雅黑" w:eastAsia="微软雅黑" w:cs="微软雅黑"/>
        </w:rPr>
        <w:t>33.政府采购信用担保</w:t>
      </w:r>
      <w:r>
        <w:tab/>
      </w:r>
      <w:r>
        <w:fldChar w:fldCharType="begin"/>
      </w:r>
      <w:r>
        <w:instrText xml:space="preserve"> PAGEREF _Toc676 \h </w:instrText>
      </w:r>
      <w:r>
        <w:fldChar w:fldCharType="separate"/>
      </w:r>
      <w:r>
        <w:t>17</w:t>
      </w:r>
      <w:r>
        <w:fldChar w:fldCharType="end"/>
      </w:r>
      <w:r>
        <w:fldChar w:fldCharType="end"/>
      </w:r>
    </w:p>
    <w:p>
      <w:pPr>
        <w:pStyle w:val="14"/>
        <w:tabs>
          <w:tab w:val="right" w:leader="dot" w:pos="8312"/>
        </w:tabs>
      </w:pPr>
      <w:r>
        <w:fldChar w:fldCharType="begin"/>
      </w:r>
      <w:r>
        <w:instrText xml:space="preserve"> HYPERLINK \l "_Toc28000" </w:instrText>
      </w:r>
      <w:r>
        <w:fldChar w:fldCharType="separate"/>
      </w:r>
      <w:r>
        <w:rPr>
          <w:rFonts w:hint="eastAsia" w:ascii="微软雅黑" w:hAnsi="微软雅黑" w:eastAsia="微软雅黑" w:cs="微软雅黑"/>
        </w:rPr>
        <w:t>34.廉洁自律规定</w:t>
      </w:r>
      <w:r>
        <w:tab/>
      </w:r>
      <w:r>
        <w:fldChar w:fldCharType="begin"/>
      </w:r>
      <w:r>
        <w:instrText xml:space="preserve"> PAGEREF _Toc28000 \h </w:instrText>
      </w:r>
      <w:r>
        <w:fldChar w:fldCharType="separate"/>
      </w:r>
      <w:r>
        <w:t>17</w:t>
      </w:r>
      <w:r>
        <w:fldChar w:fldCharType="end"/>
      </w:r>
      <w:r>
        <w:fldChar w:fldCharType="end"/>
      </w:r>
    </w:p>
    <w:p>
      <w:pPr>
        <w:pStyle w:val="14"/>
        <w:tabs>
          <w:tab w:val="right" w:leader="dot" w:pos="8312"/>
        </w:tabs>
      </w:pPr>
      <w:r>
        <w:fldChar w:fldCharType="begin"/>
      </w:r>
      <w:r>
        <w:instrText xml:space="preserve"> HYPERLINK \l "_Toc14565" </w:instrText>
      </w:r>
      <w:r>
        <w:fldChar w:fldCharType="separate"/>
      </w:r>
      <w:r>
        <w:rPr>
          <w:rFonts w:hint="eastAsia" w:ascii="微软雅黑" w:hAnsi="微软雅黑" w:eastAsia="微软雅黑" w:cs="微软雅黑"/>
        </w:rPr>
        <w:t>35.人员回避</w:t>
      </w:r>
      <w:r>
        <w:tab/>
      </w:r>
      <w:r>
        <w:fldChar w:fldCharType="begin"/>
      </w:r>
      <w:r>
        <w:instrText xml:space="preserve"> PAGEREF _Toc14565 \h </w:instrText>
      </w:r>
      <w:r>
        <w:fldChar w:fldCharType="separate"/>
      </w:r>
      <w:r>
        <w:t>17</w:t>
      </w:r>
      <w:r>
        <w:fldChar w:fldCharType="end"/>
      </w:r>
      <w:r>
        <w:fldChar w:fldCharType="end"/>
      </w:r>
    </w:p>
    <w:p>
      <w:pPr>
        <w:pStyle w:val="14"/>
        <w:tabs>
          <w:tab w:val="right" w:leader="dot" w:pos="8312"/>
        </w:tabs>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"_Toc5594" </w:instrText>
      </w:r>
      <w:r>
        <w:rPr>
          <w:rFonts w:hint="eastAsia" w:ascii="微软雅黑" w:hAnsi="微软雅黑" w:eastAsia="微软雅黑" w:cs="微软雅黑"/>
        </w:rPr>
        <w:fldChar w:fldCharType="separate"/>
      </w:r>
      <w:r>
        <w:rPr>
          <w:rFonts w:hint="eastAsia" w:ascii="微软雅黑" w:hAnsi="微软雅黑" w:eastAsia="微软雅黑" w:cs="微软雅黑"/>
        </w:rPr>
        <w:t>36.质疑与接收</w:t>
      </w:r>
      <w:r>
        <w:rPr>
          <w:rFonts w:hint="eastAsia" w:ascii="微软雅黑" w:hAnsi="微软雅黑" w:eastAsia="微软雅黑" w:cs="微软雅黑"/>
        </w:rPr>
        <w:tab/>
      </w:r>
      <w:r>
        <w:rPr>
          <w:rFonts w:hint="eastAsia" w:ascii="微软雅黑" w:hAnsi="微软雅黑" w:eastAsia="微软雅黑" w:cs="微软雅黑"/>
          <w:lang w:val="en-US" w:eastAsia="zh-CN"/>
        </w:rPr>
        <w:t>1</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9</w:t>
      </w:r>
    </w:p>
    <w:p>
      <w:pPr>
        <w:pStyle w:val="14"/>
        <w:tabs>
          <w:tab w:val="right" w:leader="dot" w:pos="8312"/>
        </w:tabs>
        <w:rPr>
          <w:rFonts w:hint="eastAsia" w:eastAsia="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"_Toc22619" </w:instrText>
      </w:r>
      <w:r>
        <w:rPr>
          <w:rFonts w:hint="eastAsia" w:ascii="微软雅黑" w:hAnsi="微软雅黑" w:eastAsia="微软雅黑" w:cs="微软雅黑"/>
        </w:rPr>
        <w:fldChar w:fldCharType="separate"/>
      </w:r>
      <w:r>
        <w:rPr>
          <w:rFonts w:hint="eastAsia" w:ascii="微软雅黑" w:hAnsi="微软雅黑" w:eastAsia="微软雅黑" w:cs="微软雅黑"/>
        </w:rPr>
        <w:t>附件1：履约保证金保函（格式）</w:t>
      </w:r>
      <w:r>
        <w:rPr>
          <w:rFonts w:hint="eastAsia" w:ascii="微软雅黑" w:hAnsi="微软雅黑" w:eastAsia="微软雅黑" w:cs="微软雅黑"/>
          <w:kern w:val="2"/>
          <w:sz w:val="21"/>
          <w:szCs w:val="24"/>
          <w:lang w:val="en-US" w:eastAsia="zh-CN" w:bidi="ar-SA"/>
        </w:rPr>
        <w:t>（采用政府采购信用担保形式时使用）</w:t>
      </w:r>
      <w:r>
        <w:rPr>
          <w:rFonts w:hint="eastAsia" w:ascii="微软雅黑" w:hAnsi="微软雅黑" w:eastAsia="微软雅黑" w:cs="微软雅黑"/>
        </w:rPr>
        <w:tab/>
      </w:r>
      <w:r>
        <w:rPr>
          <w:rFonts w:hint="eastAsia" w:ascii="微软雅黑" w:hAnsi="微软雅黑" w:eastAsia="微软雅黑" w:cs="微软雅黑"/>
          <w:lang w:val="en-US" w:eastAsia="zh-CN"/>
        </w:rPr>
        <w:t>2</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5</w:t>
      </w:r>
    </w:p>
    <w:p>
      <w:pPr>
        <w:pStyle w:val="19"/>
        <w:tabs>
          <w:tab w:val="right" w:leader="dot" w:pos="8312"/>
        </w:tabs>
      </w:pPr>
      <w:r>
        <w:fldChar w:fldCharType="begin"/>
      </w:r>
      <w:r>
        <w:instrText xml:space="preserve"> HYPERLINK \l "_Toc8832" </w:instrText>
      </w:r>
      <w:r>
        <w:fldChar w:fldCharType="separate"/>
      </w:r>
      <w:r>
        <w:rPr>
          <w:rFonts w:hint="eastAsia" w:ascii="微软雅黑" w:hAnsi="微软雅黑" w:eastAsia="微软雅黑" w:cs="微软雅黑"/>
          <w:szCs w:val="32"/>
        </w:rPr>
        <w:t>第</w:t>
      </w:r>
      <w:r>
        <w:rPr>
          <w:rFonts w:hint="eastAsia" w:ascii="微软雅黑" w:hAnsi="微软雅黑" w:eastAsia="微软雅黑" w:cs="微软雅黑"/>
          <w:szCs w:val="32"/>
          <w:lang w:val="en-US" w:eastAsia="zh-CN"/>
        </w:rPr>
        <w:t>2</w:t>
      </w:r>
      <w:r>
        <w:rPr>
          <w:rFonts w:hint="eastAsia" w:ascii="微软雅黑" w:hAnsi="微软雅黑" w:eastAsia="微软雅黑" w:cs="微软雅黑"/>
          <w:szCs w:val="32"/>
        </w:rPr>
        <w:t>章   投标文件格式</w:t>
      </w:r>
      <w:r>
        <w:tab/>
      </w:r>
      <w:r>
        <w:fldChar w:fldCharType="begin"/>
      </w:r>
      <w:r>
        <w:instrText xml:space="preserve"> PAGEREF _Toc8832 \h </w:instrText>
      </w:r>
      <w:r>
        <w:fldChar w:fldCharType="separate"/>
      </w:r>
      <w:r>
        <w:t>25</w:t>
      </w:r>
      <w:r>
        <w:fldChar w:fldCharType="end"/>
      </w:r>
      <w:r>
        <w:fldChar w:fldCharType="end"/>
      </w:r>
    </w:p>
    <w:p>
      <w:pPr>
        <w:pStyle w:val="22"/>
        <w:tabs>
          <w:tab w:val="right" w:leader="dot" w:pos="8312"/>
        </w:tabs>
      </w:pPr>
      <w:r>
        <w:fldChar w:fldCharType="begin"/>
      </w:r>
      <w:r>
        <w:instrText xml:space="preserve"> HYPERLINK \l "_Toc12708" </w:instrText>
      </w:r>
      <w:r>
        <w:fldChar w:fldCharType="separate"/>
      </w:r>
      <w:r>
        <w:rPr>
          <w:rFonts w:hint="eastAsia" w:ascii="宋体" w:hAnsi="宋体" w:cs="宋体"/>
          <w:szCs w:val="28"/>
        </w:rPr>
        <w:t>第一部分 开标一览表及资格证明文件</w:t>
      </w:r>
      <w:r>
        <w:tab/>
      </w:r>
      <w:r>
        <w:fldChar w:fldCharType="begin"/>
      </w:r>
      <w:r>
        <w:instrText xml:space="preserve"> PAGEREF _Toc12708 \h </w:instrText>
      </w:r>
      <w:r>
        <w:fldChar w:fldCharType="separate"/>
      </w:r>
      <w:r>
        <w:t>25</w:t>
      </w:r>
      <w:r>
        <w:fldChar w:fldCharType="end"/>
      </w:r>
      <w:r>
        <w:fldChar w:fldCharType="end"/>
      </w:r>
    </w:p>
    <w:p>
      <w:pPr>
        <w:pStyle w:val="22"/>
        <w:tabs>
          <w:tab w:val="right" w:leader="dot" w:pos="8312"/>
        </w:tabs>
        <w:rPr>
          <w:rFonts w:hint="eastAsia" w:eastAsia="宋体"/>
          <w:lang w:val="en-US" w:eastAsia="zh-CN"/>
        </w:rPr>
      </w:pPr>
      <w:r>
        <w:fldChar w:fldCharType="begin"/>
      </w:r>
      <w:r>
        <w:instrText xml:space="preserve"> HYPERLINK \l "_Toc5999" </w:instrText>
      </w:r>
      <w:r>
        <w:fldChar w:fldCharType="separate"/>
      </w:r>
      <w:r>
        <w:rPr>
          <w:rFonts w:hint="eastAsia" w:ascii="微软雅黑" w:hAnsi="微软雅黑" w:eastAsia="微软雅黑" w:cs="微软雅黑"/>
        </w:rPr>
        <w:t>1  开标一览表（投标文件格式一）</w:t>
      </w:r>
      <w:r>
        <w:tab/>
      </w:r>
      <w:r>
        <w:rPr>
          <w:rFonts w:hint="eastAsia"/>
          <w:lang w:val="en-US" w:eastAsia="zh-CN"/>
        </w:rPr>
        <w:t>2</w:t>
      </w:r>
      <w:r>
        <w:fldChar w:fldCharType="end"/>
      </w:r>
      <w:r>
        <w:rPr>
          <w:rFonts w:hint="eastAsia"/>
          <w:lang w:val="en-US" w:eastAsia="zh-CN"/>
        </w:rPr>
        <w:t>8</w:t>
      </w:r>
    </w:p>
    <w:p>
      <w:pPr>
        <w:pStyle w:val="22"/>
        <w:tabs>
          <w:tab w:val="right" w:leader="dot" w:pos="8312"/>
        </w:tabs>
        <w:rPr>
          <w:rFonts w:hint="eastAsia" w:eastAsia="宋体"/>
          <w:lang w:val="en-US" w:eastAsia="zh-CN"/>
        </w:rPr>
      </w:pPr>
      <w:r>
        <w:fldChar w:fldCharType="begin"/>
      </w:r>
      <w:r>
        <w:instrText xml:space="preserve"> HYPERLINK \l "_Toc13207" </w:instrText>
      </w:r>
      <w:r>
        <w:fldChar w:fldCharType="separate"/>
      </w:r>
      <w:r>
        <w:rPr>
          <w:rFonts w:hint="eastAsia" w:ascii="宋体" w:hAnsi="宋体" w:eastAsia="宋体" w:cs="宋体"/>
          <w:szCs w:val="28"/>
        </w:rPr>
        <w:t>第二部分  商务及技术文件</w:t>
      </w:r>
      <w:r>
        <w:tab/>
      </w:r>
      <w:r>
        <w:rPr>
          <w:rFonts w:hint="eastAsia"/>
          <w:lang w:val="en-US" w:eastAsia="zh-CN"/>
        </w:rPr>
        <w:t>3</w:t>
      </w:r>
      <w:r>
        <w:fldChar w:fldCharType="end"/>
      </w:r>
      <w:r>
        <w:rPr>
          <w:rFonts w:hint="eastAsia"/>
          <w:lang w:val="en-US" w:eastAsia="zh-CN"/>
        </w:rPr>
        <w:t>4</w:t>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"_Toc18282"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1、报价书（响应文件格式五）</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3</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5</w:t>
      </w:r>
    </w:p>
    <w:p>
      <w:pPr>
        <w:pStyle w:val="22"/>
        <w:tabs>
          <w:tab w:val="right" w:leader="dot" w:pos="8312"/>
        </w:tabs>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"_Toc3548"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2、分项报价表（响应文件格式七）</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_Toc3548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33</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"_Toc17858"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3、货物说明一览表（响应文件格式八）</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3</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8</w:t>
      </w:r>
    </w:p>
    <w:p>
      <w:pPr>
        <w:pStyle w:val="14"/>
        <w:tabs>
          <w:tab w:val="right" w:leader="dot" w:pos="8312"/>
        </w:tabs>
        <w:ind w:left="0" w:leftChars="0" w:firstLine="420" w:firstLineChars="200"/>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"_Toc29713"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4、技术规格偏离表</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3</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9</w:t>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"_Toc16400"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5、商务条款偏离表</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0</w:t>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"_Toc3200"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6、近三年完成的类似项目情况表（响应文件格式九）</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0</w:t>
      </w:r>
    </w:p>
    <w:p>
      <w:pPr>
        <w:pStyle w:val="22"/>
        <w:tabs>
          <w:tab w:val="right" w:leader="dot" w:pos="8312"/>
        </w:tabs>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"_Toc13912"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7-1 、《投标单位企业（单位）类型声明函》（响应文件格式十）</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_Toc13912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43</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"_Toc27144"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7-2、《制造商企业（单位）类型声明函》</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_Toc27144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"_Toc28657"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7-3、《残疾人福利性单位声明函》</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_Toc28657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45</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"_Toc29799"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8、投标单位关联单位的说明（格式自拟）</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4</w:t>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"_Toc11697"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9-1、项目负责人简历</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5</w:t>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"_Toc17345"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9-2、此项目其他专职人员表</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_Toc17345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46</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"_Toc27639"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10、政府采购诚信承诺书</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PAGEREF _Toc27639 \h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48</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fldChar w:fldCharType="end"/>
      </w:r>
    </w:p>
    <w:p>
      <w:pPr>
        <w:pStyle w:val="22"/>
        <w:tabs>
          <w:tab w:val="right" w:leader="dot" w:pos="8312"/>
        </w:tabs>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\l "_Toc25494" </w:instrText>
      </w:r>
      <w:r>
        <w:rPr>
          <w:rFonts w:hint="eastAsia" w:ascii="微软雅黑" w:hAnsi="微软雅黑" w:eastAsia="微软雅黑" w:cs="微软雅黑"/>
          <w:kern w:val="2"/>
          <w:sz w:val="21"/>
          <w:szCs w:val="24"/>
          <w:lang w:val="en-US" w:eastAsia="zh-CN" w:bidi="ar-SA"/>
        </w:rPr>
        <w:fldChar w:fldCharType="separate"/>
      </w:r>
      <w:r>
        <w:rPr>
          <w:rFonts w:hint="eastAsia" w:ascii="微软雅黑" w:hAnsi="微软雅黑" w:eastAsia="微软雅黑" w:cs="微软雅黑"/>
          <w:kern w:val="2"/>
          <w:sz w:val="21"/>
          <w:szCs w:val="24"/>
          <w:lang w:val="en-US" w:eastAsia="zh-CN" w:bidi="ar-SA"/>
        </w:rPr>
        <w:t>11、项目实施方案</w:t>
      </w:r>
      <w:r>
        <w:rPr>
          <w:rFonts w:hint="eastAsia" w:ascii="微软雅黑" w:hAnsi="微软雅黑" w:eastAsia="微软雅黑" w:cs="微软雅黑"/>
          <w:kern w:val="2"/>
          <w:sz w:val="21"/>
          <w:szCs w:val="24"/>
          <w:lang w:val="en-US" w:eastAsia="zh-CN" w:bidi="ar-SA"/>
        </w:rPr>
        <w:tab/>
      </w:r>
      <w:r>
        <w:rPr>
          <w:rFonts w:hint="eastAsia" w:ascii="微软雅黑" w:hAnsi="微软雅黑" w:eastAsia="微软雅黑" w:cs="微软雅黑"/>
          <w:kern w:val="2"/>
          <w:sz w:val="21"/>
          <w:szCs w:val="24"/>
          <w:lang w:val="en-US" w:eastAsia="zh-CN" w:bidi="ar-SA"/>
        </w:rPr>
        <w:t>4</w:t>
      </w:r>
      <w:r>
        <w:rPr>
          <w:rFonts w:hint="eastAsia" w:ascii="微软雅黑" w:hAnsi="微软雅黑" w:eastAsia="微软雅黑" w:cs="微软雅黑"/>
          <w:kern w:val="2"/>
          <w:sz w:val="21"/>
          <w:szCs w:val="24"/>
          <w:lang w:val="en-US" w:eastAsia="zh-CN" w:bidi="ar-SA"/>
        </w:rPr>
        <w:fldChar w:fldCharType="end"/>
      </w:r>
      <w:r>
        <w:rPr>
          <w:rFonts w:hint="eastAsia" w:ascii="微软雅黑" w:hAnsi="微软雅黑" w:eastAsia="微软雅黑" w:cs="微软雅黑"/>
          <w:kern w:val="2"/>
          <w:sz w:val="21"/>
          <w:szCs w:val="24"/>
          <w:lang w:val="en-US" w:eastAsia="zh-CN" w:bidi="ar-SA"/>
        </w:rPr>
        <w:t>9</w:t>
      </w:r>
    </w:p>
    <w:p>
      <w:pPr>
        <w:ind w:firstLine="420" w:firstLineChars="200"/>
        <w:rPr>
          <w:rFonts w:hint="default"/>
          <w:lang w:val="en-US"/>
        </w:rPr>
      </w:pPr>
      <w:r>
        <w:rPr>
          <w:rFonts w:hint="eastAsia" w:ascii="微软雅黑" w:hAnsi="微软雅黑" w:eastAsia="微软雅黑" w:cs="微软雅黑"/>
          <w:kern w:val="2"/>
          <w:sz w:val="21"/>
          <w:szCs w:val="24"/>
          <w:lang w:val="en-US" w:eastAsia="zh-CN" w:bidi="ar-SA"/>
        </w:rPr>
        <w:t>12、项目验收方案，服务质量及服务期限（格式自拟）.................................................. 49</w:t>
      </w:r>
    </w:p>
    <w:p>
      <w:pPr>
        <w:pStyle w:val="19"/>
        <w:tabs>
          <w:tab w:val="right" w:leader="dot" w:pos="8312"/>
        </w:tabs>
        <w:ind w:firstLine="420" w:firstLineChars="200"/>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13、小微企业声明函（如有）.................................................................................................49</w:t>
      </w:r>
    </w:p>
    <w:p>
      <w:pPr>
        <w:rPr>
          <w:rFonts w:hint="default"/>
          <w:b/>
          <w:bCs/>
          <w:lang w:val="en-US" w:eastAsia="zh-CN"/>
        </w:rPr>
      </w:pPr>
      <w:r>
        <w:rPr>
          <w:rFonts w:hint="eastAsia" w:ascii="微软雅黑" w:hAnsi="微软雅黑" w:eastAsia="微软雅黑" w:cs="微软雅黑"/>
          <w:kern w:val="2"/>
          <w:sz w:val="21"/>
          <w:szCs w:val="24"/>
          <w:lang w:val="en-US" w:eastAsia="zh-CN" w:bidi="ar-SA"/>
        </w:rPr>
        <w:t xml:space="preserve">    14、投标单位根据项目情况可以自行补充其他证明材料...................................................50</w:t>
      </w:r>
    </w:p>
    <w:p>
      <w:pPr>
        <w:pStyle w:val="19"/>
        <w:tabs>
          <w:tab w:val="right" w:leader="dot" w:pos="8312"/>
        </w:tabs>
        <w:rPr>
          <w:rFonts w:hint="eastAsia" w:ascii="微软雅黑" w:hAnsi="微软雅黑" w:eastAsia="微软雅黑" w:cs="微软雅黑"/>
          <w:szCs w:val="32"/>
          <w:lang w:val="en-US" w:eastAsia="zh-CN"/>
        </w:rPr>
      </w:pPr>
      <w:r>
        <w:rPr>
          <w:rFonts w:hint="eastAsia" w:ascii="微软雅黑" w:hAnsi="微软雅黑" w:eastAsia="微软雅黑" w:cs="微软雅黑"/>
          <w:szCs w:val="32"/>
        </w:rPr>
        <w:fldChar w:fldCharType="begin"/>
      </w:r>
      <w:r>
        <w:rPr>
          <w:rFonts w:hint="eastAsia" w:ascii="微软雅黑" w:hAnsi="微软雅黑" w:eastAsia="微软雅黑" w:cs="微软雅黑"/>
          <w:szCs w:val="32"/>
        </w:rPr>
        <w:instrText xml:space="preserve"> HYPERLINK \l "_Toc20606" </w:instrText>
      </w:r>
      <w:r>
        <w:rPr>
          <w:rFonts w:hint="eastAsia" w:ascii="微软雅黑" w:hAnsi="微软雅黑" w:eastAsia="微软雅黑" w:cs="微软雅黑"/>
          <w:szCs w:val="32"/>
        </w:rPr>
        <w:fldChar w:fldCharType="separate"/>
      </w:r>
      <w:r>
        <w:rPr>
          <w:rFonts w:hint="eastAsia" w:ascii="微软雅黑" w:hAnsi="微软雅黑" w:eastAsia="微软雅黑" w:cs="微软雅黑"/>
          <w:szCs w:val="32"/>
        </w:rPr>
        <w:t>第</w:t>
      </w:r>
      <w:r>
        <w:rPr>
          <w:rFonts w:hint="eastAsia" w:ascii="微软雅黑" w:hAnsi="微软雅黑" w:eastAsia="微软雅黑" w:cs="微软雅黑"/>
          <w:szCs w:val="32"/>
          <w:lang w:val="en-US" w:eastAsia="zh-CN"/>
        </w:rPr>
        <w:t>3</w:t>
      </w:r>
      <w:r>
        <w:rPr>
          <w:rFonts w:hint="eastAsia" w:ascii="微软雅黑" w:hAnsi="微软雅黑" w:eastAsia="微软雅黑" w:cs="微软雅黑"/>
          <w:szCs w:val="32"/>
        </w:rPr>
        <w:t xml:space="preserve">章 </w:t>
      </w:r>
      <w:r>
        <w:rPr>
          <w:rFonts w:hint="eastAsia" w:ascii="微软雅黑" w:hAnsi="微软雅黑" w:eastAsia="微软雅黑" w:cs="微软雅黑"/>
          <w:szCs w:val="32"/>
          <w:lang w:val="en-US" w:eastAsia="zh-CN"/>
        </w:rPr>
        <w:t>投标邀请 公开招标公告</w:t>
      </w:r>
      <w:r>
        <w:rPr>
          <w:rFonts w:hint="eastAsia" w:ascii="微软雅黑" w:hAnsi="微软雅黑" w:eastAsia="微软雅黑" w:cs="微软雅黑"/>
          <w:szCs w:val="32"/>
        </w:rPr>
        <w:tab/>
      </w:r>
      <w:r>
        <w:rPr>
          <w:rFonts w:hint="eastAsia" w:ascii="微软雅黑" w:hAnsi="微软雅黑" w:eastAsia="微软雅黑" w:cs="微软雅黑"/>
          <w:szCs w:val="32"/>
          <w:lang w:val="en-US" w:eastAsia="zh-CN"/>
        </w:rPr>
        <w:t>5</w:t>
      </w:r>
      <w:r>
        <w:rPr>
          <w:rFonts w:hint="eastAsia" w:ascii="微软雅黑" w:hAnsi="微软雅黑" w:eastAsia="微软雅黑" w:cs="微软雅黑"/>
          <w:szCs w:val="32"/>
        </w:rPr>
        <w:fldChar w:fldCharType="end"/>
      </w:r>
      <w:r>
        <w:rPr>
          <w:rFonts w:hint="eastAsia" w:ascii="微软雅黑" w:hAnsi="微软雅黑" w:eastAsia="微软雅黑" w:cs="微软雅黑"/>
          <w:szCs w:val="32"/>
          <w:lang w:val="en-US" w:eastAsia="zh-CN"/>
        </w:rPr>
        <w:t>1</w:t>
      </w:r>
    </w:p>
    <w:p>
      <w:pPr>
        <w:pStyle w:val="19"/>
        <w:tabs>
          <w:tab w:val="right" w:leader="dot" w:pos="8312"/>
        </w:tabs>
        <w:rPr>
          <w:rFonts w:hint="eastAsia" w:ascii="微软雅黑" w:hAnsi="微软雅黑" w:eastAsia="微软雅黑" w:cs="微软雅黑"/>
          <w:szCs w:val="32"/>
          <w:lang w:val="en-US" w:eastAsia="zh-CN"/>
        </w:rPr>
      </w:pPr>
      <w:r>
        <w:rPr>
          <w:rFonts w:hint="eastAsia" w:ascii="微软雅黑" w:hAnsi="微软雅黑" w:eastAsia="微软雅黑" w:cs="微软雅黑"/>
          <w:szCs w:val="32"/>
        </w:rPr>
        <w:fldChar w:fldCharType="begin"/>
      </w:r>
      <w:r>
        <w:rPr>
          <w:rFonts w:hint="eastAsia" w:ascii="微软雅黑" w:hAnsi="微软雅黑" w:eastAsia="微软雅黑" w:cs="微软雅黑"/>
          <w:szCs w:val="32"/>
        </w:rPr>
        <w:instrText xml:space="preserve"> HYPERLINK \l "_Toc21514" </w:instrText>
      </w:r>
      <w:r>
        <w:rPr>
          <w:rFonts w:hint="eastAsia" w:ascii="微软雅黑" w:hAnsi="微软雅黑" w:eastAsia="微软雅黑" w:cs="微软雅黑"/>
          <w:szCs w:val="32"/>
        </w:rPr>
        <w:fldChar w:fldCharType="separate"/>
      </w:r>
      <w:r>
        <w:rPr>
          <w:rFonts w:hint="eastAsia" w:ascii="微软雅黑" w:hAnsi="微软雅黑" w:eastAsia="微软雅黑" w:cs="微软雅黑"/>
          <w:szCs w:val="32"/>
        </w:rPr>
        <w:t>第</w:t>
      </w:r>
      <w:r>
        <w:rPr>
          <w:rFonts w:hint="eastAsia" w:ascii="微软雅黑" w:hAnsi="微软雅黑" w:eastAsia="微软雅黑" w:cs="微软雅黑"/>
          <w:szCs w:val="32"/>
          <w:lang w:val="en-US" w:eastAsia="zh-CN"/>
        </w:rPr>
        <w:t>4</w:t>
      </w:r>
      <w:r>
        <w:rPr>
          <w:rFonts w:hint="eastAsia" w:ascii="微软雅黑" w:hAnsi="微软雅黑" w:eastAsia="微软雅黑" w:cs="微软雅黑"/>
          <w:szCs w:val="32"/>
        </w:rPr>
        <w:t xml:space="preserve">章 </w:t>
      </w:r>
      <w:r>
        <w:rPr>
          <w:rFonts w:hint="eastAsia" w:ascii="微软雅黑" w:hAnsi="微软雅黑" w:eastAsia="微软雅黑" w:cs="微软雅黑"/>
          <w:szCs w:val="32"/>
          <w:lang w:val="en-US" w:eastAsia="zh-CN"/>
        </w:rPr>
        <w:t>投标人须知资料表</w:t>
      </w:r>
      <w:r>
        <w:rPr>
          <w:rFonts w:hint="eastAsia" w:ascii="微软雅黑" w:hAnsi="微软雅黑" w:eastAsia="微软雅黑" w:cs="微软雅黑"/>
          <w:szCs w:val="32"/>
        </w:rPr>
        <w:tab/>
      </w:r>
      <w:r>
        <w:rPr>
          <w:rFonts w:hint="eastAsia" w:ascii="微软雅黑" w:hAnsi="微软雅黑" w:eastAsia="微软雅黑" w:cs="微软雅黑"/>
          <w:szCs w:val="32"/>
          <w:lang w:val="en-US" w:eastAsia="zh-CN"/>
        </w:rPr>
        <w:t>54</w:t>
      </w:r>
      <w:r>
        <w:rPr>
          <w:rFonts w:hint="eastAsia" w:ascii="微软雅黑" w:hAnsi="微软雅黑" w:eastAsia="微软雅黑" w:cs="微软雅黑"/>
          <w:szCs w:val="32"/>
        </w:rPr>
        <w:fldChar w:fldCharType="end"/>
      </w:r>
    </w:p>
    <w:p>
      <w:pPr>
        <w:pStyle w:val="19"/>
        <w:tabs>
          <w:tab w:val="right" w:leader="dot" w:pos="8312"/>
        </w:tabs>
        <w:rPr>
          <w:rFonts w:hint="eastAsia" w:ascii="微软雅黑" w:hAnsi="微软雅黑" w:eastAsia="微软雅黑" w:cs="微软雅黑"/>
          <w:szCs w:val="32"/>
          <w:lang w:val="en-US" w:eastAsia="zh-CN"/>
        </w:rPr>
      </w:pPr>
      <w:r>
        <w:rPr>
          <w:rFonts w:hint="eastAsia" w:ascii="微软雅黑" w:hAnsi="微软雅黑" w:eastAsia="微软雅黑" w:cs="微软雅黑"/>
          <w:szCs w:val="32"/>
        </w:rPr>
        <w:fldChar w:fldCharType="begin"/>
      </w:r>
      <w:r>
        <w:rPr>
          <w:rFonts w:hint="eastAsia" w:ascii="微软雅黑" w:hAnsi="微软雅黑" w:eastAsia="微软雅黑" w:cs="微软雅黑"/>
          <w:szCs w:val="32"/>
        </w:rPr>
        <w:instrText xml:space="preserve"> HYPERLINK \l "_Toc22386" </w:instrText>
      </w:r>
      <w:r>
        <w:rPr>
          <w:rFonts w:hint="eastAsia" w:ascii="微软雅黑" w:hAnsi="微软雅黑" w:eastAsia="微软雅黑" w:cs="微软雅黑"/>
          <w:szCs w:val="32"/>
        </w:rPr>
        <w:fldChar w:fldCharType="separate"/>
      </w:r>
      <w:r>
        <w:rPr>
          <w:rFonts w:hint="eastAsia" w:ascii="微软雅黑" w:hAnsi="微软雅黑" w:eastAsia="微软雅黑" w:cs="微软雅黑"/>
          <w:szCs w:val="32"/>
        </w:rPr>
        <w:t>第</w:t>
      </w:r>
      <w:r>
        <w:rPr>
          <w:rFonts w:hint="eastAsia" w:ascii="微软雅黑" w:hAnsi="微软雅黑" w:eastAsia="微软雅黑" w:cs="微软雅黑"/>
          <w:szCs w:val="32"/>
          <w:lang w:val="en-US" w:eastAsia="zh-CN"/>
        </w:rPr>
        <w:t>5</w:t>
      </w:r>
      <w:r>
        <w:rPr>
          <w:rFonts w:hint="eastAsia" w:ascii="微软雅黑" w:hAnsi="微软雅黑" w:eastAsia="微软雅黑" w:cs="微软雅黑"/>
          <w:szCs w:val="32"/>
        </w:rPr>
        <w:t>章 服务需求一览表及要求</w:t>
      </w:r>
      <w:r>
        <w:rPr>
          <w:rFonts w:hint="eastAsia" w:ascii="微软雅黑" w:hAnsi="微软雅黑" w:eastAsia="微软雅黑" w:cs="微软雅黑"/>
          <w:szCs w:val="32"/>
        </w:rPr>
        <w:tab/>
      </w:r>
      <w:r>
        <w:rPr>
          <w:rFonts w:hint="eastAsia" w:ascii="微软雅黑" w:hAnsi="微软雅黑" w:eastAsia="微软雅黑" w:cs="微软雅黑"/>
          <w:szCs w:val="32"/>
          <w:lang w:val="en-US" w:eastAsia="zh-CN"/>
        </w:rPr>
        <w:t>5</w:t>
      </w:r>
      <w:r>
        <w:rPr>
          <w:rFonts w:hint="eastAsia" w:ascii="微软雅黑" w:hAnsi="微软雅黑" w:eastAsia="微软雅黑" w:cs="微软雅黑"/>
          <w:szCs w:val="32"/>
        </w:rPr>
        <w:fldChar w:fldCharType="end"/>
      </w:r>
      <w:r>
        <w:rPr>
          <w:rFonts w:hint="eastAsia" w:ascii="微软雅黑" w:hAnsi="微软雅黑" w:eastAsia="微软雅黑" w:cs="微软雅黑"/>
          <w:szCs w:val="32"/>
          <w:lang w:val="en-US" w:eastAsia="zh-CN"/>
        </w:rPr>
        <w:t>9</w:t>
      </w:r>
    </w:p>
    <w:p>
      <w:pPr>
        <w:pStyle w:val="19"/>
        <w:tabs>
          <w:tab w:val="right" w:leader="dot" w:pos="8312"/>
        </w:tabs>
        <w:rPr>
          <w:rFonts w:hint="eastAsia" w:ascii="微软雅黑" w:hAnsi="微软雅黑" w:eastAsia="微软雅黑" w:cs="微软雅黑"/>
          <w:szCs w:val="32"/>
          <w:lang w:val="en-US" w:eastAsia="zh-CN"/>
        </w:rPr>
      </w:pPr>
      <w:r>
        <w:rPr>
          <w:rFonts w:hint="eastAsia" w:ascii="微软雅黑" w:hAnsi="微软雅黑" w:eastAsia="微软雅黑" w:cs="微软雅黑"/>
          <w:szCs w:val="32"/>
        </w:rPr>
        <w:t>第</w:t>
      </w:r>
      <w:r>
        <w:rPr>
          <w:rFonts w:hint="eastAsia" w:ascii="微软雅黑" w:hAnsi="微软雅黑" w:eastAsia="微软雅黑" w:cs="微软雅黑"/>
          <w:szCs w:val="32"/>
          <w:lang w:val="en-US" w:eastAsia="zh-CN"/>
        </w:rPr>
        <w:t>6</w:t>
      </w:r>
      <w:r>
        <w:rPr>
          <w:rFonts w:hint="eastAsia" w:ascii="微软雅黑" w:hAnsi="微软雅黑" w:eastAsia="微软雅黑" w:cs="微软雅黑"/>
          <w:szCs w:val="32"/>
        </w:rPr>
        <w:t xml:space="preserve">章 </w:t>
      </w:r>
      <w:r>
        <w:rPr>
          <w:rFonts w:hint="eastAsia" w:ascii="微软雅黑" w:hAnsi="微软雅黑" w:eastAsia="微软雅黑" w:cs="微软雅黑"/>
          <w:szCs w:val="32"/>
          <w:lang w:val="en-US" w:eastAsia="zh-CN"/>
        </w:rPr>
        <w:t>评分方法和标准</w:t>
      </w:r>
    </w:p>
    <w:p>
      <w:pPr>
        <w:pStyle w:val="22"/>
        <w:tabs>
          <w:tab w:val="right" w:leader="dot" w:pos="8312"/>
        </w:tabs>
        <w:ind w:left="0" w:leftChars="0" w:firstLine="0" w:firstLineChars="0"/>
        <w:rPr>
          <w:rFonts w:hint="default" w:eastAsia="宋体"/>
          <w:lang w:val="en-US" w:eastAsia="zh-CN"/>
        </w:rPr>
      </w:pPr>
      <w:r>
        <w:fldChar w:fldCharType="begin"/>
      </w:r>
      <w:r>
        <w:instrText xml:space="preserve"> HYPERLINK \l "_Toc14596" </w:instrText>
      </w:r>
      <w:r>
        <w:fldChar w:fldCharType="separate"/>
      </w:r>
      <w:r>
        <w:rPr>
          <w:rFonts w:hint="eastAsia" w:ascii="微软雅黑" w:hAnsi="微软雅黑" w:eastAsia="微软雅黑" w:cs="微软雅黑"/>
        </w:rPr>
        <w:t>初步评审—资格性审查表</w:t>
      </w:r>
      <w:r>
        <w:tab/>
      </w:r>
      <w:r>
        <w:fldChar w:fldCharType="end"/>
      </w:r>
      <w:r>
        <w:rPr>
          <w:rFonts w:hint="eastAsia"/>
          <w:lang w:val="en-US" w:eastAsia="zh-CN"/>
        </w:rPr>
        <w:t>136</w:t>
      </w:r>
    </w:p>
    <w:p>
      <w:pPr>
        <w:pStyle w:val="22"/>
        <w:tabs>
          <w:tab w:val="right" w:leader="dot" w:pos="8312"/>
        </w:tabs>
        <w:ind w:left="0" w:leftChars="0" w:firstLine="0" w:firstLineChars="0"/>
        <w:rPr>
          <w:rFonts w:hint="default"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"_Toc20256" </w:instrText>
      </w:r>
      <w:r>
        <w:rPr>
          <w:rFonts w:hint="eastAsia" w:ascii="微软雅黑" w:hAnsi="微软雅黑" w:eastAsia="微软雅黑" w:cs="微软雅黑"/>
        </w:rPr>
        <w:fldChar w:fldCharType="separate"/>
      </w:r>
      <w:r>
        <w:rPr>
          <w:rFonts w:hint="eastAsia" w:ascii="微软雅黑" w:hAnsi="微软雅黑" w:eastAsia="微软雅黑" w:cs="微软雅黑"/>
        </w:rPr>
        <w:t>初步评审—符合性审查表</w:t>
      </w:r>
      <w:r>
        <w:rPr>
          <w:rFonts w:hint="eastAsia" w:ascii="微软雅黑" w:hAnsi="微软雅黑" w:eastAsia="微软雅黑" w:cs="微软雅黑"/>
        </w:rPr>
        <w:tab/>
      </w:r>
      <w:r>
        <w:rPr>
          <w:rFonts w:hint="eastAsia" w:ascii="微软雅黑" w:hAnsi="微软雅黑" w:eastAsia="微软雅黑" w:cs="微软雅黑"/>
          <w:lang w:val="en-US" w:eastAsia="zh-CN"/>
        </w:rPr>
        <w:t>1</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37</w:t>
      </w:r>
    </w:p>
    <w:p>
      <w:pPr>
        <w:pStyle w:val="22"/>
        <w:tabs>
          <w:tab w:val="right" w:leader="dot" w:pos="8312"/>
        </w:tabs>
        <w:ind w:left="0" w:leftChars="0" w:firstLine="0" w:firstLineChars="0"/>
        <w:rPr>
          <w:rFonts w:hint="default" w:eastAsia="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"_Toc8643" </w:instrText>
      </w:r>
      <w:r>
        <w:rPr>
          <w:rFonts w:hint="eastAsia" w:ascii="微软雅黑" w:hAnsi="微软雅黑" w:eastAsia="微软雅黑" w:cs="微软雅黑"/>
        </w:rPr>
        <w:fldChar w:fldCharType="separate"/>
      </w:r>
      <w:r>
        <w:rPr>
          <w:rFonts w:hint="eastAsia" w:ascii="微软雅黑" w:hAnsi="微软雅黑" w:eastAsia="微软雅黑" w:cs="微软雅黑"/>
        </w:rPr>
        <w:t>综合评分表</w:t>
      </w:r>
      <w:r>
        <w:rPr>
          <w:rFonts w:hint="eastAsia" w:ascii="微软雅黑" w:hAnsi="微软雅黑" w:eastAsia="微软雅黑" w:cs="微软雅黑"/>
        </w:rPr>
        <w:tab/>
      </w:r>
      <w:r>
        <w:rPr>
          <w:rFonts w:hint="eastAsia" w:ascii="微软雅黑" w:hAnsi="微软雅黑" w:eastAsia="微软雅黑" w:cs="微软雅黑"/>
          <w:lang w:val="en-US" w:eastAsia="zh-CN"/>
        </w:rPr>
        <w:t>1</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39</w:t>
      </w:r>
    </w:p>
    <w:p>
      <w:pPr>
        <w:pStyle w:val="19"/>
        <w:tabs>
          <w:tab w:val="right" w:leader="dot" w:pos="8312"/>
        </w:tabs>
        <w:rPr>
          <w:rFonts w:hint="default" w:eastAsia="宋体"/>
          <w:lang w:val="en-US" w:eastAsia="zh-CN"/>
        </w:rPr>
      </w:pPr>
      <w:r>
        <w:fldChar w:fldCharType="begin"/>
      </w:r>
      <w:r>
        <w:instrText xml:space="preserve"> HYPERLINK \l "_Toc23204" </w:instrText>
      </w:r>
      <w:r>
        <w:fldChar w:fldCharType="separate"/>
      </w:r>
      <w:r>
        <w:rPr>
          <w:rFonts w:hint="eastAsia" w:hAnsi="宋体" w:cs="宋体"/>
          <w:szCs w:val="48"/>
        </w:rPr>
        <w:t>第7章 政府采购合同</w:t>
      </w:r>
      <w:r>
        <w:tab/>
      </w:r>
      <w:r>
        <w:rPr>
          <w:rFonts w:hint="eastAsia" w:ascii="微软雅黑" w:hAnsi="微软雅黑" w:eastAsia="微软雅黑" w:cs="微软雅黑"/>
          <w:kern w:val="2"/>
          <w:sz w:val="21"/>
          <w:szCs w:val="24"/>
          <w:lang w:val="en-US" w:eastAsia="zh-CN" w:bidi="ar-SA"/>
        </w:rPr>
        <w:t>1</w:t>
      </w:r>
      <w:r>
        <w:fldChar w:fldCharType="end"/>
      </w:r>
      <w:r>
        <w:rPr>
          <w:rFonts w:hint="eastAsia"/>
          <w:lang w:val="en-US" w:eastAsia="zh-CN"/>
        </w:rPr>
        <w:t>43</w:t>
      </w:r>
    </w:p>
    <w:p>
      <w:pPr>
        <w:snapToGrid w:val="0"/>
        <w:textAlignment w:val="baseline"/>
        <w:rPr>
          <w:rFonts w:hAnsi="宋体" w:cs="宋体"/>
          <w:b/>
          <w:kern w:val="0"/>
          <w:sz w:val="20"/>
          <w:szCs w:val="21"/>
        </w:rPr>
      </w:pPr>
      <w:r>
        <w:rPr>
          <w:rFonts w:hint="eastAsia" w:hAnsi="宋体" w:cs="宋体"/>
          <w:kern w:val="0"/>
          <w:szCs w:val="21"/>
        </w:rPr>
        <w:fldChar w:fldCharType="end"/>
      </w:r>
    </w:p>
    <w:p>
      <w:pPr>
        <w:pStyle w:val="26"/>
        <w:snapToGrid w:val="0"/>
        <w:ind w:firstLine="0" w:firstLineChars="0"/>
        <w:textAlignment w:val="baseline"/>
        <w:rPr>
          <w:rFonts w:hAnsi="宋体" w:cs="宋体"/>
          <w:b/>
          <w:kern w:val="0"/>
          <w:sz w:val="21"/>
          <w:szCs w:val="21"/>
        </w:rPr>
      </w:pPr>
    </w:p>
    <w:p>
      <w:pPr>
        <w:tabs>
          <w:tab w:val="left" w:pos="0"/>
        </w:tabs>
        <w:snapToGrid w:val="0"/>
        <w:spacing w:line="240" w:lineRule="atLeast"/>
        <w:textAlignment w:val="baseline"/>
        <w:rPr>
          <w:rFonts w:hAnsi="宋体" w:cs="宋体"/>
          <w:b/>
          <w:sz w:val="32"/>
        </w:rPr>
        <w:sectPr>
          <w:headerReference r:id="rId3" w:type="default"/>
          <w:pgSz w:w="11906" w:h="16838"/>
          <w:pgMar w:top="1440" w:right="1797" w:bottom="1440" w:left="1797" w:header="851" w:footer="992" w:gutter="0"/>
          <w:pgNumType w:fmt="decimal" w:start="1"/>
          <w:cols w:space="720" w:num="1"/>
          <w:docGrid w:linePitch="312" w:charSpace="0"/>
        </w:sectPr>
      </w:pPr>
    </w:p>
    <w:p>
      <w:pPr>
        <w:pStyle w:val="24"/>
      </w:pPr>
      <w:r>
        <w:rPr>
          <w:rFonts w:hint="eastAsia"/>
        </w:rPr>
        <w:t>第</w:t>
      </w:r>
      <w:r>
        <w:rPr>
          <w:rFonts w:hint="eastAsia"/>
          <w:lang w:val="en-US" w:eastAsia="zh-CN"/>
        </w:rPr>
        <w:t>1</w:t>
      </w:r>
      <w:r>
        <w:rPr>
          <w:rFonts w:hint="eastAsia"/>
        </w:rPr>
        <w:t>章    投标人须知</w:t>
      </w:r>
    </w:p>
    <w:p>
      <w:pPr>
        <w:pStyle w:val="4"/>
      </w:pPr>
      <w:bookmarkStart w:id="0" w:name="_Toc216582805"/>
      <w:bookmarkStart w:id="1" w:name="_Toc515647757"/>
      <w:bookmarkStart w:id="2" w:name="_Toc520356143"/>
      <w:bookmarkStart w:id="3" w:name="_Toc13039"/>
      <w:bookmarkStart w:id="4" w:name="_Toc5597"/>
      <w:bookmarkStart w:id="5" w:name="_Toc21015"/>
      <w:bookmarkStart w:id="6" w:name="_Toc32585"/>
      <w:bookmarkStart w:id="7" w:name="_Toc21215"/>
      <w:r>
        <w:rPr>
          <w:rFonts w:hint="eastAsia"/>
        </w:rPr>
        <w:t>一</w:t>
      </w:r>
      <w:bookmarkEnd w:id="0"/>
      <w:bookmarkEnd w:id="1"/>
      <w:bookmarkEnd w:id="2"/>
      <w:r>
        <w:rPr>
          <w:rFonts w:hint="eastAsia"/>
        </w:rPr>
        <w:t>、总 则</w:t>
      </w:r>
      <w:bookmarkEnd w:id="3"/>
      <w:bookmarkEnd w:id="4"/>
      <w:bookmarkEnd w:id="5"/>
      <w:bookmarkEnd w:id="6"/>
      <w:bookmarkEnd w:id="7"/>
    </w:p>
    <w:p>
      <w:pPr>
        <w:pStyle w:val="6"/>
        <w:snapToGrid w:val="0"/>
        <w:spacing w:before="0" w:after="0" w:line="400" w:lineRule="exact"/>
        <w:textAlignment w:val="baseline"/>
        <w:rPr>
          <w:rFonts w:ascii="微软雅黑" w:hAnsi="微软雅黑" w:eastAsia="微软雅黑" w:cs="微软雅黑"/>
          <w:szCs w:val="24"/>
        </w:rPr>
      </w:pPr>
      <w:bookmarkStart w:id="8" w:name="_Toc520356144"/>
      <w:bookmarkStart w:id="9" w:name="_Toc515647758"/>
      <w:bookmarkStart w:id="10" w:name="_Toc32623"/>
      <w:bookmarkStart w:id="11" w:name="_Toc5854"/>
      <w:bookmarkStart w:id="12" w:name="_Toc32189"/>
      <w:bookmarkStart w:id="13" w:name="_Toc1120"/>
      <w:r>
        <w:rPr>
          <w:rFonts w:hint="eastAsia" w:ascii="微软雅黑" w:hAnsi="微软雅黑" w:eastAsia="微软雅黑" w:cs="微软雅黑"/>
          <w:szCs w:val="24"/>
        </w:rPr>
        <w:t>1.采购人、采购代理机构及</w:t>
      </w:r>
      <w:bookmarkEnd w:id="8"/>
      <w:r>
        <w:rPr>
          <w:rFonts w:hint="eastAsia" w:ascii="微软雅黑" w:hAnsi="微软雅黑" w:eastAsia="微软雅黑" w:cs="微软雅黑"/>
          <w:szCs w:val="24"/>
        </w:rPr>
        <w:t>投标人</w:t>
      </w:r>
      <w:bookmarkEnd w:id="9"/>
      <w:bookmarkEnd w:id="10"/>
      <w:bookmarkEnd w:id="11"/>
      <w:bookmarkEnd w:id="12"/>
      <w:bookmarkEnd w:id="13"/>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rPr>
      </w:pPr>
      <w:r>
        <w:rPr>
          <w:rFonts w:hint="eastAsia" w:ascii="微软雅黑" w:hAnsi="微软雅黑" w:eastAsia="微软雅黑" w:cs="微软雅黑"/>
          <w:sz w:val="24"/>
        </w:rPr>
        <w:t>采购人：是指依法开展政府采购活动的国家机关、事业单位、团体组织。</w:t>
      </w:r>
    </w:p>
    <w:p>
      <w:pPr>
        <w:tabs>
          <w:tab w:val="left" w:pos="0"/>
        </w:tabs>
        <w:snapToGrid w:val="0"/>
        <w:spacing w:line="400" w:lineRule="exact"/>
        <w:ind w:left="900"/>
        <w:textAlignment w:val="baseline"/>
        <w:rPr>
          <w:rFonts w:ascii="微软雅黑" w:hAnsi="微软雅黑" w:eastAsia="微软雅黑" w:cs="微软雅黑"/>
          <w:sz w:val="24"/>
        </w:rPr>
      </w:pP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w:t>
      </w:r>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rPr>
      </w:pPr>
      <w:r>
        <w:rPr>
          <w:rFonts w:hint="eastAsia" w:ascii="微软雅黑" w:hAnsi="微软雅黑" w:eastAsia="微软雅黑" w:cs="微软雅黑"/>
          <w:sz w:val="24"/>
        </w:rPr>
        <w:t>采购代理机构：是指在集中采购机构或从事采购代理业务的社会中介机构。本项目的采购代理机构见</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w:t>
      </w:r>
    </w:p>
    <w:p>
      <w:pPr>
        <w:numPr>
          <w:ilvl w:val="1"/>
          <w:numId w:val="4"/>
        </w:numPr>
        <w:snapToGrid w:val="0"/>
        <w:spacing w:line="400" w:lineRule="exact"/>
        <w:ind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投标人：是指向采购人提供货物、工程或者服务的法人、非法人组织或者自然人。本项目的投标人及其投标货物须满足以下条件：</w:t>
      </w:r>
    </w:p>
    <w:p>
      <w:pPr>
        <w:snapToGrid w:val="0"/>
        <w:spacing w:line="40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在中华人民共和国境内注册，能够独立承担民事责任，有生产或供应能力的本国投标人。</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具备《中华人民共和国政府采购法》第二十二条关于投标人条件的规定，遵守本项目采购人本级和上级财政部门政府采购的有关规定。</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以采购代理机构认可的方式获得了本项目的招标文件。</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中规定的其他要求。</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1.3.5   若</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中写明允许采购进口产品，投标人应保证所投产品可履行合法报通关手续进入中国关境内。</w:t>
      </w:r>
    </w:p>
    <w:p>
      <w:pPr>
        <w:snapToGrid w:val="0"/>
        <w:spacing w:line="400" w:lineRule="exact"/>
        <w:ind w:left="899" w:leftChars="428"/>
        <w:textAlignment w:val="baseline"/>
        <w:rPr>
          <w:rFonts w:ascii="微软雅黑" w:hAnsi="微软雅黑" w:eastAsia="微软雅黑" w:cs="微软雅黑"/>
          <w:sz w:val="24"/>
        </w:rPr>
      </w:pPr>
      <w:r>
        <w:rPr>
          <w:rFonts w:hint="eastAsia" w:ascii="微软雅黑" w:hAnsi="微软雅黑" w:eastAsia="微软雅黑" w:cs="微软雅黑"/>
          <w:sz w:val="24"/>
        </w:rPr>
        <w:t>若</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中未写明允许采购进口产品，如投标人所投产品为进口产品，其投标将被认定为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napToGrid w:val="0"/>
        <w:spacing w:line="40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1.3.6   若</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中写明专门面向中小企业采购的，如投标人为非中小企业且所投产品为非中小企业产品，其投标将被认定为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中允许联合体投标，对联合体规定如下：</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1.4.1   两个以上投标人可以组成一个投标联合体，以一个投标人的身份投标。</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1.4.3   采购人根据采购项目对投标人的特殊要求，联合体中至少应当有一方符合相关规定。</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1.4.4   联合体各方应签订共同投标协议，明确约定联合体各方承担的工作和相应的责任，并将共同投标协议连同作为投标文件第一部分的内容提交。</w:t>
      </w:r>
    </w:p>
    <w:p>
      <w:pPr>
        <w:snapToGrid w:val="0"/>
        <w:spacing w:line="400" w:lineRule="exact"/>
        <w:ind w:left="900" w:hanging="900" w:hangingChars="375"/>
        <w:textAlignment w:val="baseline"/>
        <w:rPr>
          <w:rFonts w:ascii="微软雅黑" w:hAnsi="微软雅黑" w:eastAsia="微软雅黑" w:cs="微软雅黑"/>
          <w:sz w:val="24"/>
        </w:rPr>
        <w:sectPr>
          <w:footerReference r:id="rId4" w:type="default"/>
          <w:pgSz w:w="11906" w:h="16838"/>
          <w:pgMar w:top="1440" w:right="1797" w:bottom="1440" w:left="1797" w:header="851" w:footer="992" w:gutter="0"/>
          <w:pgNumType w:fmt="decimal" w:start="4"/>
          <w:cols w:space="720" w:num="1"/>
          <w:docGrid w:linePitch="312" w:charSpace="0"/>
        </w:sectPr>
      </w:pPr>
      <w:r>
        <w:rPr>
          <w:rFonts w:hint="eastAsia" w:ascii="微软雅黑" w:hAnsi="微软雅黑" w:eastAsia="微软雅黑" w:cs="微软雅黑"/>
          <w:sz w:val="24"/>
        </w:rPr>
        <w:t>1.4.5   大中型企业、其他自然人、法人或者非法人组织与小型、微型企业组成</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联合体共同参加投标，共同投标协议中应写明小型、微型企业的协议合同金额占到共同投标协议投标总金额的比例。</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1.4.6  联合体中有同类资质的投标人按照联合体分工承担相同工作的，按照较低的资质等级确定联合体的资质等级。</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以联合体形式参加政府采购活动的，联合体各方不得再单独参加或者与其他投标人另外组成联合体参加本项目投标，否则相关投标将被认定为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1.4.8   对联合体投标的其他资格要求见</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单位负责人为同一人或者存在直接控股、管理关系的不同投标人，其相关投标将被认定为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    为本项目提供过整体设计、规范编制或者项目管理、监理、检测等服务的投标人，不得再参加本项目上述服务以外的其他采购活动。否则其投标将被认定为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w:t>
      </w:r>
      <w:r>
        <w:rPr>
          <w:rFonts w:hint="eastAsia" w:ascii="微软雅黑" w:hAnsi="微软雅黑" w:eastAsia="微软雅黑" w:cs="微软雅黑"/>
          <w:sz w:val="24"/>
        </w:rPr>
        <w:tab/>
      </w:r>
      <w:r>
        <w:rPr>
          <w:rFonts w:hint="eastAsia" w:ascii="微软雅黑" w:hAnsi="微软雅黑" w:eastAsia="微软雅黑" w:cs="微软雅黑"/>
          <w:sz w:val="24"/>
        </w:rPr>
        <w:t>投标人在投标过程中不得向采购人提供、给予任何有价值的物品，影响其正常决策行为。一经发现，其将被认定为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6"/>
        <w:snapToGrid w:val="0"/>
        <w:spacing w:before="0" w:after="0" w:line="400" w:lineRule="exact"/>
        <w:textAlignment w:val="baseline"/>
        <w:rPr>
          <w:rFonts w:ascii="微软雅黑" w:hAnsi="微软雅黑" w:eastAsia="微软雅黑" w:cs="微软雅黑"/>
          <w:szCs w:val="24"/>
        </w:rPr>
      </w:pPr>
      <w:bookmarkStart w:id="14" w:name="_Toc19012"/>
      <w:bookmarkStart w:id="15" w:name="_Toc4067"/>
      <w:bookmarkStart w:id="16" w:name="_Toc12139"/>
      <w:bookmarkStart w:id="17" w:name="_Toc515647759"/>
      <w:bookmarkStart w:id="18" w:name="_Toc5286"/>
      <w:r>
        <w:rPr>
          <w:rFonts w:hint="eastAsia" w:ascii="微软雅黑" w:hAnsi="微软雅黑" w:eastAsia="微软雅黑" w:cs="微软雅黑"/>
          <w:szCs w:val="24"/>
        </w:rPr>
        <w:t>2.资金来源</w:t>
      </w:r>
      <w:bookmarkEnd w:id="14"/>
      <w:bookmarkEnd w:id="15"/>
      <w:bookmarkEnd w:id="16"/>
      <w:bookmarkEnd w:id="17"/>
      <w:bookmarkEnd w:id="18"/>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    项目预算金额和分项或分包最高限价</w:t>
      </w:r>
      <w:r>
        <w:rPr>
          <w:rFonts w:hint="eastAsia" w:ascii="微软雅黑" w:hAnsi="微软雅黑" w:eastAsia="微软雅黑" w:cs="微软雅黑"/>
          <w:sz w:val="24"/>
          <w:u w:val="single"/>
        </w:rPr>
        <w:t>见投标人须知资料表</w:t>
      </w:r>
      <w:r>
        <w:rPr>
          <w:rFonts w:hint="eastAsia" w:ascii="微软雅黑" w:hAnsi="微软雅黑" w:eastAsia="微软雅黑" w:cs="微软雅黑"/>
          <w:sz w:val="24"/>
        </w:rPr>
        <w:t>。</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    投标人报价超过招标文件规定的预算金额或者分项、分包最高限价的，其投标将被认定为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6"/>
        <w:snapToGrid w:val="0"/>
        <w:spacing w:before="0" w:after="0" w:line="400" w:lineRule="exact"/>
        <w:textAlignment w:val="baseline"/>
        <w:rPr>
          <w:rFonts w:ascii="微软雅黑" w:hAnsi="微软雅黑" w:eastAsia="微软雅黑" w:cs="微软雅黑"/>
          <w:szCs w:val="24"/>
        </w:rPr>
      </w:pPr>
      <w:bookmarkStart w:id="19" w:name="_Toc520356145"/>
      <w:bookmarkStart w:id="20" w:name="_Toc515647760"/>
      <w:bookmarkStart w:id="21" w:name="_Toc4840"/>
      <w:bookmarkStart w:id="22" w:name="_Toc15936"/>
      <w:bookmarkStart w:id="23" w:name="_Toc29648"/>
      <w:bookmarkStart w:id="24" w:name="_Toc20526"/>
      <w:r>
        <w:rPr>
          <w:rFonts w:hint="eastAsia" w:ascii="微软雅黑" w:hAnsi="微软雅黑" w:eastAsia="微软雅黑" w:cs="微软雅黑"/>
          <w:szCs w:val="24"/>
        </w:rPr>
        <w:t>3.投标费用</w:t>
      </w:r>
      <w:bookmarkEnd w:id="19"/>
      <w:bookmarkEnd w:id="20"/>
      <w:bookmarkEnd w:id="21"/>
      <w:bookmarkEnd w:id="22"/>
      <w:bookmarkEnd w:id="23"/>
      <w:bookmarkEnd w:id="24"/>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不论投标的结果如何，投标人应承担所有与准备和参加投标有关的费用。</w:t>
      </w:r>
    </w:p>
    <w:p>
      <w:pPr>
        <w:pStyle w:val="6"/>
        <w:snapToGrid w:val="0"/>
        <w:spacing w:before="0" w:after="0" w:line="400" w:lineRule="exact"/>
        <w:textAlignment w:val="baseline"/>
        <w:rPr>
          <w:rFonts w:ascii="微软雅黑" w:hAnsi="微软雅黑" w:eastAsia="微软雅黑" w:cs="微软雅黑"/>
          <w:szCs w:val="24"/>
        </w:rPr>
      </w:pPr>
      <w:bookmarkStart w:id="25" w:name="_Toc4463"/>
      <w:bookmarkStart w:id="26" w:name="_Toc515647761"/>
      <w:bookmarkStart w:id="27" w:name="_Toc21864"/>
      <w:bookmarkStart w:id="28" w:name="_Toc6116"/>
      <w:bookmarkStart w:id="29" w:name="_Toc22810"/>
      <w:r>
        <w:rPr>
          <w:rFonts w:hint="eastAsia" w:ascii="微软雅黑" w:hAnsi="微软雅黑" w:eastAsia="微软雅黑" w:cs="微软雅黑"/>
          <w:szCs w:val="24"/>
        </w:rPr>
        <w:t>4.适用法律</w:t>
      </w:r>
      <w:bookmarkEnd w:id="25"/>
      <w:bookmarkEnd w:id="26"/>
      <w:bookmarkEnd w:id="27"/>
      <w:bookmarkEnd w:id="28"/>
      <w:bookmarkEnd w:id="29"/>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本项目采购人、采购代理机构、投标人、评标委员会的相关行为均受《中华人民共和国政府采购法》、《中华人民共和国政府采购法实施条例》</w:t>
      </w:r>
      <w:r>
        <w:rPr>
          <w:rFonts w:hint="eastAsia" w:ascii="微软雅黑" w:hAnsi="微软雅黑" w:eastAsia="微软雅黑" w:cs="微软雅黑"/>
          <w:sz w:val="24"/>
          <w:lang w:eastAsia="zh-CN"/>
        </w:rPr>
        <w:t>、中华人民共和国财政部令第87号《政府采购货物和服务招标投标管理办法》</w:t>
      </w:r>
      <w:r>
        <w:rPr>
          <w:rFonts w:hint="eastAsia" w:ascii="微软雅黑" w:hAnsi="微软雅黑" w:eastAsia="微软雅黑" w:cs="微软雅黑"/>
          <w:sz w:val="24"/>
        </w:rPr>
        <w:t>及本项目本级和上级财政部门政府采购有关规定的约束，其权利受到上述法律法规的保护。</w:t>
      </w:r>
    </w:p>
    <w:p>
      <w:pPr>
        <w:pStyle w:val="15"/>
        <w:rPr>
          <w:rFonts w:hAnsi="宋体" w:cs="宋体"/>
          <w:sz w:val="28"/>
          <w:szCs w:val="28"/>
        </w:rPr>
      </w:pPr>
      <w:r>
        <w:br w:type="page"/>
      </w:r>
      <w:bookmarkStart w:id="30" w:name="_Toc520356146"/>
      <w:bookmarkStart w:id="31" w:name="_Toc21751"/>
      <w:bookmarkStart w:id="32" w:name="_Toc216582806"/>
      <w:bookmarkStart w:id="33" w:name="_Toc4365"/>
      <w:bookmarkStart w:id="34" w:name="_Toc515647762"/>
      <w:bookmarkStart w:id="35" w:name="_Toc21566"/>
      <w:bookmarkStart w:id="36" w:name="_Toc6382"/>
    </w:p>
    <w:p>
      <w:pPr>
        <w:pStyle w:val="4"/>
        <w:rPr>
          <w:rFonts w:ascii="黑体" w:hAnsi="黑体" w:eastAsia="黑体" w:cs="黑体"/>
          <w:sz w:val="44"/>
          <w:szCs w:val="44"/>
        </w:rPr>
      </w:pPr>
      <w:bookmarkStart w:id="37" w:name="_Toc22935"/>
      <w:r>
        <w:rPr>
          <w:rFonts w:hint="eastAsia" w:ascii="黑体" w:hAnsi="黑体" w:eastAsia="黑体" w:cs="黑体"/>
          <w:sz w:val="44"/>
          <w:szCs w:val="44"/>
        </w:rPr>
        <w:t>二、招标文件</w:t>
      </w:r>
      <w:bookmarkEnd w:id="30"/>
      <w:bookmarkEnd w:id="31"/>
      <w:bookmarkEnd w:id="32"/>
      <w:bookmarkEnd w:id="33"/>
      <w:bookmarkEnd w:id="34"/>
      <w:bookmarkEnd w:id="35"/>
      <w:bookmarkEnd w:id="36"/>
      <w:bookmarkEnd w:id="37"/>
    </w:p>
    <w:p>
      <w:pPr>
        <w:pStyle w:val="6"/>
        <w:snapToGrid w:val="0"/>
        <w:spacing w:before="0" w:after="0" w:line="400" w:lineRule="exact"/>
        <w:textAlignment w:val="baseline"/>
        <w:rPr>
          <w:rFonts w:ascii="微软雅黑" w:hAnsi="微软雅黑" w:eastAsia="微软雅黑" w:cs="微软雅黑"/>
          <w:szCs w:val="24"/>
        </w:rPr>
      </w:pPr>
      <w:bookmarkStart w:id="38" w:name="_Toc18193"/>
      <w:bookmarkStart w:id="39" w:name="_Toc25743"/>
      <w:bookmarkStart w:id="40" w:name="_Toc14084"/>
      <w:bookmarkStart w:id="41" w:name="_Toc25000"/>
      <w:bookmarkStart w:id="42" w:name="_Toc520356147"/>
      <w:bookmarkStart w:id="43" w:name="_Toc515647763"/>
      <w:r>
        <w:rPr>
          <w:rFonts w:hint="eastAsia" w:ascii="微软雅黑" w:hAnsi="微软雅黑" w:eastAsia="微软雅黑" w:cs="微软雅黑"/>
          <w:szCs w:val="24"/>
        </w:rPr>
        <w:t>5.招标文件构成</w:t>
      </w:r>
      <w:bookmarkEnd w:id="38"/>
      <w:bookmarkEnd w:id="39"/>
      <w:bookmarkEnd w:id="40"/>
      <w:bookmarkEnd w:id="41"/>
      <w:bookmarkEnd w:id="42"/>
      <w:bookmarkEnd w:id="43"/>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招标文件分为三册共7章，内容如下：</w:t>
      </w:r>
    </w:p>
    <w:p>
      <w:pPr>
        <w:snapToGrid w:val="0"/>
        <w:spacing w:line="400" w:lineRule="exact"/>
        <w:ind w:left="1078" w:leftChars="428"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第一册</w:t>
      </w:r>
    </w:p>
    <w:p>
      <w:pPr>
        <w:numPr>
          <w:ilvl w:val="0"/>
          <w:numId w:val="5"/>
        </w:numPr>
        <w:tabs>
          <w:tab w:val="left" w:pos="0"/>
        </w:tabs>
        <w:snapToGrid w:val="0"/>
        <w:spacing w:line="400" w:lineRule="exact"/>
        <w:ind w:hanging="829"/>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投标人须知</w:t>
      </w:r>
    </w:p>
    <w:p>
      <w:pPr>
        <w:numPr>
          <w:ilvl w:val="0"/>
          <w:numId w:val="5"/>
        </w:num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投标文件格式</w:t>
      </w:r>
    </w:p>
    <w:p>
      <w:p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第二册</w:t>
      </w:r>
    </w:p>
    <w:p>
      <w:pPr>
        <w:numPr>
          <w:ilvl w:val="0"/>
          <w:numId w:val="5"/>
        </w:num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投标邀请</w:t>
      </w:r>
    </w:p>
    <w:p>
      <w:pPr>
        <w:numPr>
          <w:ilvl w:val="0"/>
          <w:numId w:val="5"/>
        </w:num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投标人须知资料表</w:t>
      </w:r>
    </w:p>
    <w:p>
      <w:pPr>
        <w:numPr>
          <w:ilvl w:val="0"/>
          <w:numId w:val="5"/>
        </w:num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货物需求一览表及技术规格</w:t>
      </w:r>
    </w:p>
    <w:p>
      <w:pPr>
        <w:numPr>
          <w:ilvl w:val="0"/>
          <w:numId w:val="5"/>
        </w:numPr>
        <w:snapToGrid w:val="0"/>
        <w:spacing w:line="400" w:lineRule="exact"/>
        <w:ind w:left="1080" w:leftChars="429" w:hanging="18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评标方法和标准</w:t>
      </w:r>
    </w:p>
    <w:p>
      <w:pPr>
        <w:snapToGrid w:val="0"/>
        <w:spacing w:line="400" w:lineRule="exact"/>
        <w:ind w:left="901"/>
        <w:textAlignment w:val="baseline"/>
        <w:rPr>
          <w:rFonts w:ascii="微软雅黑" w:hAnsi="微软雅黑" w:eastAsia="微软雅黑" w:cs="微软雅黑"/>
          <w:sz w:val="24"/>
        </w:rPr>
      </w:pPr>
      <w:r>
        <w:rPr>
          <w:rFonts w:hint="eastAsia" w:ascii="微软雅黑" w:hAnsi="微软雅黑" w:eastAsia="微软雅黑" w:cs="微软雅黑"/>
          <w:sz w:val="24"/>
        </w:rPr>
        <w:t>第三册</w:t>
      </w:r>
    </w:p>
    <w:p>
      <w:pPr>
        <w:numPr>
          <w:ilvl w:val="0"/>
          <w:numId w:val="5"/>
        </w:numPr>
        <w:snapToGrid w:val="0"/>
        <w:spacing w:line="400" w:lineRule="exact"/>
        <w:ind w:left="718" w:leftChars="342"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政府采购合同格式</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6"/>
        <w:snapToGrid w:val="0"/>
        <w:spacing w:before="0" w:after="0" w:line="400" w:lineRule="exact"/>
        <w:textAlignment w:val="baseline"/>
        <w:rPr>
          <w:rFonts w:ascii="微软雅黑" w:hAnsi="微软雅黑" w:eastAsia="微软雅黑" w:cs="微软雅黑"/>
          <w:szCs w:val="24"/>
        </w:rPr>
      </w:pPr>
      <w:bookmarkStart w:id="44" w:name="_Toc520356148"/>
      <w:bookmarkStart w:id="45" w:name="_Toc515904805"/>
      <w:bookmarkStart w:id="46" w:name="_Toc26044"/>
      <w:bookmarkStart w:id="47" w:name="_Toc9232"/>
      <w:bookmarkStart w:id="48" w:name="_Toc28810"/>
      <w:bookmarkStart w:id="49" w:name="_Toc29120"/>
      <w:r>
        <w:rPr>
          <w:rFonts w:hint="eastAsia" w:ascii="微软雅黑" w:hAnsi="微软雅黑" w:eastAsia="微软雅黑" w:cs="微软雅黑"/>
          <w:szCs w:val="24"/>
        </w:rPr>
        <w:t>6.招标文件的澄清</w:t>
      </w:r>
      <w:bookmarkEnd w:id="44"/>
      <w:bookmarkEnd w:id="45"/>
      <w:r>
        <w:rPr>
          <w:rFonts w:hint="eastAsia" w:ascii="微软雅黑" w:hAnsi="微软雅黑" w:eastAsia="微软雅黑" w:cs="微软雅黑"/>
          <w:szCs w:val="24"/>
        </w:rPr>
        <w:t>与修改</w:t>
      </w:r>
      <w:bookmarkEnd w:id="46"/>
      <w:bookmarkEnd w:id="47"/>
      <w:bookmarkEnd w:id="48"/>
      <w:bookmarkEnd w:id="49"/>
    </w:p>
    <w:p>
      <w:pPr>
        <w:pStyle w:val="2"/>
        <w:snapToGrid w:val="0"/>
        <w:spacing w:line="40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6.1    为了保证对招标文件的澄清和修改满足法律的时限要求，任何要求对招标文件进行澄清的投标人，均应在投标截止期十五日前，以书面形式将澄清要求通知采购人或采购代理机构。</w:t>
      </w:r>
    </w:p>
    <w:p>
      <w:pPr>
        <w:pStyle w:val="2"/>
        <w:snapToGrid w:val="0"/>
        <w:spacing w:line="400" w:lineRule="exact"/>
        <w:ind w:left="840" w:hanging="840" w:hangingChars="350"/>
        <w:textAlignment w:val="baseline"/>
        <w:rPr>
          <w:rFonts w:ascii="微软雅黑" w:hAnsi="微软雅黑" w:eastAsia="微软雅黑" w:cs="微软雅黑"/>
          <w:szCs w:val="24"/>
        </w:rPr>
      </w:pPr>
      <w:bookmarkStart w:id="50" w:name="_Toc515904806"/>
      <w:bookmarkStart w:id="51" w:name="_Ref467378678"/>
      <w:bookmarkStart w:id="52" w:name="_Toc520356149"/>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snapToGrid w:val="0"/>
        <w:spacing w:line="40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6"/>
        <w:tabs>
          <w:tab w:val="left" w:pos="900"/>
        </w:tabs>
        <w:snapToGrid w:val="0"/>
        <w:spacing w:before="0" w:after="0" w:line="400" w:lineRule="exact"/>
        <w:textAlignment w:val="baseline"/>
        <w:rPr>
          <w:rFonts w:ascii="微软雅黑" w:hAnsi="微软雅黑" w:eastAsia="微软雅黑" w:cs="微软雅黑"/>
          <w:szCs w:val="24"/>
        </w:rPr>
      </w:pPr>
      <w:bookmarkStart w:id="53" w:name="_Toc17311"/>
      <w:bookmarkStart w:id="54" w:name="_Toc14569"/>
      <w:bookmarkStart w:id="55" w:name="_Toc25635"/>
      <w:bookmarkStart w:id="56" w:name="_Toc13519"/>
      <w:r>
        <w:rPr>
          <w:rFonts w:hint="eastAsia" w:ascii="微软雅黑" w:hAnsi="微软雅黑" w:eastAsia="微软雅黑" w:cs="微软雅黑"/>
          <w:szCs w:val="24"/>
        </w:rPr>
        <w:t>7</w:t>
      </w:r>
      <w:bookmarkEnd w:id="50"/>
      <w:bookmarkEnd w:id="51"/>
      <w:bookmarkEnd w:id="52"/>
      <w:r>
        <w:rPr>
          <w:rFonts w:hint="eastAsia" w:ascii="微软雅黑" w:hAnsi="微软雅黑" w:eastAsia="微软雅黑" w:cs="微软雅黑"/>
          <w:szCs w:val="24"/>
        </w:rPr>
        <w:t>.投标截止时间的顺延</w:t>
      </w:r>
      <w:bookmarkEnd w:id="53"/>
      <w:bookmarkEnd w:id="54"/>
      <w:bookmarkEnd w:id="55"/>
      <w:bookmarkEnd w:id="56"/>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为使投标人准备投标时有足够的时间对招标文件的澄清或者修改部分进行研究，采购人将依法决定是否顺延投标截止时间。</w:t>
      </w:r>
    </w:p>
    <w:p>
      <w:pPr>
        <w:widowControl/>
        <w:jc w:val="left"/>
        <w:rPr>
          <w:rFonts w:ascii="微软雅黑" w:hAnsi="微软雅黑" w:eastAsia="微软雅黑" w:cs="微软雅黑"/>
          <w:sz w:val="24"/>
        </w:rPr>
      </w:pPr>
      <w:r>
        <w:rPr>
          <w:rFonts w:ascii="微软雅黑" w:hAnsi="微软雅黑" w:eastAsia="微软雅黑" w:cs="微软雅黑"/>
          <w:sz w:val="24"/>
        </w:rPr>
        <w:br w:type="page"/>
      </w:r>
    </w:p>
    <w:p>
      <w:pPr>
        <w:pStyle w:val="4"/>
        <w:pageBreakBefore w:val="0"/>
        <w:widowControl w:val="0"/>
        <w:kinsoku/>
        <w:wordWrap/>
        <w:overflowPunct/>
        <w:topLinePunct w:val="0"/>
        <w:bidi w:val="0"/>
        <w:spacing w:line="240" w:lineRule="atLeast"/>
        <w:rPr>
          <w:rFonts w:ascii="黑体" w:hAnsi="黑体" w:eastAsia="黑体" w:cs="黑体"/>
          <w:sz w:val="36"/>
          <w:szCs w:val="36"/>
        </w:rPr>
      </w:pPr>
      <w:bookmarkStart w:id="57" w:name="_Toc516367020"/>
      <w:bookmarkStart w:id="58" w:name="_Toc515647766"/>
      <w:bookmarkStart w:id="59" w:name="_Toc3327"/>
      <w:bookmarkStart w:id="60" w:name="_Toc30808"/>
      <w:bookmarkStart w:id="61" w:name="_Toc216582807"/>
      <w:bookmarkStart w:id="62" w:name="_Toc520356150"/>
      <w:bookmarkStart w:id="63" w:name="_Toc26234"/>
      <w:bookmarkStart w:id="64" w:name="_Toc7636"/>
      <w:bookmarkStart w:id="65" w:name="_Toc23138"/>
      <w:r>
        <w:rPr>
          <w:rFonts w:hint="eastAsia" w:ascii="黑体" w:hAnsi="黑体" w:eastAsia="黑体" w:cs="黑体"/>
          <w:sz w:val="36"/>
          <w:szCs w:val="36"/>
        </w:rPr>
        <w:t>三、投标文件</w:t>
      </w:r>
      <w:bookmarkEnd w:id="57"/>
      <w:r>
        <w:rPr>
          <w:rFonts w:hint="eastAsia" w:ascii="黑体" w:hAnsi="黑体" w:eastAsia="黑体" w:cs="黑体"/>
          <w:sz w:val="36"/>
          <w:szCs w:val="36"/>
        </w:rPr>
        <w:t>的编制</w:t>
      </w:r>
      <w:bookmarkEnd w:id="58"/>
      <w:bookmarkEnd w:id="59"/>
      <w:bookmarkEnd w:id="60"/>
      <w:bookmarkEnd w:id="61"/>
      <w:bookmarkEnd w:id="62"/>
      <w:bookmarkEnd w:id="63"/>
      <w:bookmarkEnd w:id="64"/>
      <w:bookmarkEnd w:id="65"/>
    </w:p>
    <w:p>
      <w:pPr>
        <w:pStyle w:val="6"/>
        <w:pageBreakBefore w:val="0"/>
        <w:widowControl w:val="0"/>
        <w:tabs>
          <w:tab w:val="left" w:pos="900"/>
        </w:tabs>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66" w:name="_Toc515647767"/>
      <w:bookmarkStart w:id="67" w:name="_Toc7786"/>
      <w:bookmarkStart w:id="68" w:name="_Toc30852"/>
      <w:bookmarkStart w:id="69" w:name="_Toc8259"/>
      <w:bookmarkStart w:id="70" w:name="_Toc3553"/>
      <w:bookmarkStart w:id="71" w:name="_Toc516367021"/>
      <w:bookmarkStart w:id="72" w:name="_Toc520356151"/>
      <w:r>
        <w:rPr>
          <w:rFonts w:hint="eastAsia" w:ascii="微软雅黑" w:hAnsi="微软雅黑" w:eastAsia="微软雅黑" w:cs="微软雅黑"/>
          <w:szCs w:val="24"/>
        </w:rPr>
        <w:t>8.</w:t>
      </w:r>
      <w:r>
        <w:rPr>
          <w:rFonts w:hint="eastAsia" w:ascii="微软雅黑" w:hAnsi="微软雅黑" w:eastAsia="微软雅黑" w:cs="微软雅黑"/>
          <w:szCs w:val="24"/>
        </w:rPr>
        <w:tab/>
      </w:r>
      <w:r>
        <w:rPr>
          <w:rFonts w:hint="eastAsia" w:ascii="微软雅黑" w:hAnsi="微软雅黑" w:eastAsia="微软雅黑" w:cs="微软雅黑"/>
          <w:szCs w:val="24"/>
        </w:rPr>
        <w:t>投标范围及投标文件中标准和计量单位的使用</w:t>
      </w:r>
      <w:bookmarkEnd w:id="66"/>
      <w:bookmarkEnd w:id="67"/>
      <w:bookmarkEnd w:id="68"/>
      <w:bookmarkEnd w:id="69"/>
      <w:bookmarkEnd w:id="70"/>
      <w:bookmarkEnd w:id="71"/>
      <w:bookmarkEnd w:id="72"/>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项目有分包的，投标人可对招标文件其中某一个或几个分包货物进行投标，除非在</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中另有规定。</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8.2     投标人应当对所投分包招标文件中“服务需求”所列的所有内容进行投标，如仅响应某一包中的部分内容，其该包投标将被认定为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8.3     无论招标文件第5章技术需求一览表及技术规格中是否要求，投标人所投货物均应符合国家强制性标准。</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8.4     除招标文件中有特殊要求外，投标文件中所使用的计量单位，应采用中华人民共和国法定计量单位。</w:t>
      </w:r>
    </w:p>
    <w:p>
      <w:pPr>
        <w:pStyle w:val="6"/>
        <w:pageBreakBefore w:val="0"/>
        <w:widowControl w:val="0"/>
        <w:tabs>
          <w:tab w:val="left" w:pos="900"/>
        </w:tabs>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73" w:name="_Ref467306676"/>
      <w:bookmarkStart w:id="74" w:name="_Ref467306195"/>
      <w:bookmarkStart w:id="75" w:name="_Toc516367022"/>
      <w:bookmarkStart w:id="76" w:name="_Toc520356152"/>
      <w:bookmarkStart w:id="77" w:name="_Toc10364"/>
      <w:bookmarkStart w:id="78" w:name="_Toc32655"/>
      <w:bookmarkStart w:id="79" w:name="_Toc29615"/>
      <w:bookmarkStart w:id="80" w:name="_Toc28307"/>
      <w:bookmarkStart w:id="81" w:name="_Toc515647768"/>
      <w:r>
        <w:rPr>
          <w:rFonts w:hint="eastAsia" w:ascii="微软雅黑" w:hAnsi="微软雅黑" w:eastAsia="微软雅黑" w:cs="微软雅黑"/>
          <w:szCs w:val="24"/>
        </w:rPr>
        <w:t>9.投标文件</w:t>
      </w:r>
      <w:bookmarkEnd w:id="73"/>
      <w:bookmarkEnd w:id="74"/>
      <w:bookmarkEnd w:id="75"/>
      <w:r>
        <w:rPr>
          <w:rFonts w:hint="eastAsia" w:ascii="微软雅黑" w:hAnsi="微软雅黑" w:eastAsia="微软雅黑" w:cs="微软雅黑"/>
          <w:szCs w:val="24"/>
        </w:rPr>
        <w:t>构成</w:t>
      </w:r>
      <w:bookmarkEnd w:id="76"/>
      <w:bookmarkEnd w:id="77"/>
      <w:bookmarkEnd w:id="78"/>
      <w:bookmarkEnd w:id="79"/>
      <w:bookmarkEnd w:id="80"/>
      <w:bookmarkEnd w:id="81"/>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rPr>
        <w:t xml:space="preserve">9.1     </w:t>
      </w:r>
      <w:r>
        <w:rPr>
          <w:rFonts w:hint="eastAsia" w:ascii="微软雅黑" w:hAnsi="微软雅黑" w:eastAsia="微软雅黑" w:cs="微软雅黑"/>
          <w:b/>
          <w:bCs/>
          <w:sz w:val="24"/>
          <w:szCs w:val="24"/>
        </w:rPr>
        <w:t>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9.2    上述文件应按照招标文件规定的格式填写、签署和盖章。</w:t>
      </w:r>
    </w:p>
    <w:p>
      <w:pPr>
        <w:pStyle w:val="6"/>
        <w:pageBreakBefore w:val="0"/>
        <w:widowControl w:val="0"/>
        <w:tabs>
          <w:tab w:val="left" w:pos="900"/>
        </w:tabs>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82" w:name="_Toc10379"/>
      <w:bookmarkStart w:id="83" w:name="_Toc4601"/>
      <w:bookmarkStart w:id="84" w:name="_Toc27659"/>
      <w:bookmarkStart w:id="85" w:name="_Toc515647769"/>
      <w:bookmarkStart w:id="86" w:name="_Toc10258"/>
      <w:bookmarkStart w:id="87" w:name="_Toc516367023"/>
      <w:bookmarkStart w:id="88" w:name="_Toc520356153"/>
      <w:r>
        <w:rPr>
          <w:rFonts w:hint="eastAsia" w:ascii="微软雅黑" w:hAnsi="微软雅黑" w:eastAsia="微软雅黑" w:cs="微软雅黑"/>
          <w:szCs w:val="24"/>
        </w:rPr>
        <w:t>10.</w:t>
      </w:r>
      <w:r>
        <w:rPr>
          <w:rFonts w:hint="eastAsia" w:ascii="微软雅黑" w:hAnsi="微软雅黑" w:eastAsia="微软雅黑" w:cs="微软雅黑"/>
          <w:szCs w:val="24"/>
        </w:rPr>
        <w:tab/>
      </w:r>
      <w:r>
        <w:rPr>
          <w:rFonts w:hint="eastAsia" w:ascii="微软雅黑" w:hAnsi="微软雅黑" w:eastAsia="微软雅黑" w:cs="微软雅黑"/>
          <w:szCs w:val="24"/>
        </w:rPr>
        <w:t>证明投标标的的合格性和符合招标文件规定的技术文件</w:t>
      </w:r>
      <w:bookmarkEnd w:id="82"/>
      <w:bookmarkEnd w:id="83"/>
      <w:bookmarkEnd w:id="84"/>
      <w:bookmarkEnd w:id="85"/>
      <w:bookmarkEnd w:id="86"/>
      <w:bookmarkEnd w:id="87"/>
      <w:bookmarkEnd w:id="88"/>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投标人应提交证明文件，证明其投标内容符合招标文件规定。该证明文件是投标文件的一部分。</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bookmarkStart w:id="89"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89"/>
      <w:r>
        <w:rPr>
          <w:rFonts w:hint="eastAsia" w:ascii="微软雅黑" w:hAnsi="微软雅黑" w:eastAsia="微软雅黑" w:cs="微软雅黑"/>
          <w:sz w:val="24"/>
        </w:rPr>
        <w:t>它包括：</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10.2.1</w:t>
      </w:r>
      <w:r>
        <w:rPr>
          <w:rFonts w:hint="eastAsia" w:ascii="微软雅黑" w:hAnsi="微软雅黑" w:eastAsia="微软雅黑" w:cs="微软雅黑"/>
          <w:sz w:val="24"/>
        </w:rPr>
        <w:tab/>
      </w:r>
      <w:r>
        <w:rPr>
          <w:rFonts w:hint="eastAsia" w:ascii="微软雅黑" w:hAnsi="微软雅黑" w:eastAsia="微软雅黑" w:cs="微软雅黑"/>
          <w:sz w:val="24"/>
        </w:rPr>
        <w:t>货物主要技术指标和性能的详细说明；</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10.2.2</w:t>
      </w:r>
      <w:r>
        <w:rPr>
          <w:rFonts w:hint="eastAsia" w:ascii="微软雅黑" w:hAnsi="微软雅黑" w:eastAsia="微软雅黑" w:cs="微软雅黑"/>
          <w:sz w:val="24"/>
        </w:rPr>
        <w:tab/>
      </w:r>
      <w:r>
        <w:rPr>
          <w:rFonts w:hint="eastAsia" w:ascii="微软雅黑" w:hAnsi="微软雅黑" w:eastAsia="微软雅黑" w:cs="微软雅黑"/>
          <w:sz w:val="24"/>
        </w:rPr>
        <w:t>货物从买方开始使用至招标文件规定的保质期内正常、连续地使用所必须的备件和专用工具清单，包括备件和专用工具的货源及现行价格；</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10.2.3</w:t>
      </w:r>
      <w:r>
        <w:rPr>
          <w:rFonts w:hint="eastAsia" w:ascii="微软雅黑" w:hAnsi="微软雅黑" w:eastAsia="微软雅黑" w:cs="微软雅黑"/>
          <w:sz w:val="24"/>
        </w:rPr>
        <w:tab/>
      </w:r>
      <w:r>
        <w:rPr>
          <w:rFonts w:hint="eastAsia" w:ascii="微软雅黑" w:hAnsi="微软雅黑" w:eastAsia="微软雅黑" w:cs="微软雅黑"/>
          <w:sz w:val="24"/>
        </w:rPr>
        <w:t>对照招标文件技术规格，逐条说明所提供货物及伴随的工程和服务已对招标文件的技术规格做出了实质性的响应，或申明与技术规格条文的偏差和例外。</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10.3</w:t>
      </w:r>
      <w:r>
        <w:rPr>
          <w:rFonts w:hint="eastAsia" w:ascii="微软雅黑" w:hAnsi="微软雅黑" w:eastAsia="微软雅黑" w:cs="微软雅黑"/>
          <w:sz w:val="24"/>
        </w:rPr>
        <w:tab/>
      </w:r>
      <w:r>
        <w:rPr>
          <w:rFonts w:hint="eastAsia" w:ascii="微软雅黑" w:hAnsi="微软雅黑" w:eastAsia="微软雅黑" w:cs="微软雅黑"/>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90" w:name="_Toc28654"/>
      <w:bookmarkStart w:id="91" w:name="_Toc515647770"/>
      <w:bookmarkStart w:id="92" w:name="_Toc17460"/>
      <w:bookmarkStart w:id="93" w:name="_Toc520356155"/>
      <w:bookmarkStart w:id="94" w:name="_Toc23231"/>
      <w:bookmarkStart w:id="95" w:name="_Toc2248"/>
      <w:r>
        <w:rPr>
          <w:rFonts w:hint="eastAsia" w:ascii="微软雅黑" w:hAnsi="微软雅黑" w:eastAsia="微软雅黑" w:cs="微软雅黑"/>
          <w:szCs w:val="24"/>
        </w:rPr>
        <w:t>11.投标报价</w:t>
      </w:r>
      <w:bookmarkEnd w:id="90"/>
      <w:bookmarkEnd w:id="91"/>
      <w:bookmarkEnd w:id="92"/>
      <w:bookmarkEnd w:id="93"/>
      <w:bookmarkEnd w:id="94"/>
      <w:bookmarkEnd w:id="95"/>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rPr>
        <w:t>投标人应在投标分项报价表上标明投标货物及相关服务的单价（如适用）和总价，并由法定代表人或其授权代表签署。</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投标分项报价表上的价格应按下列方式填写：</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11.3.1  投标货物（包括备品备件、专用工具等）的出厂价（包括已在中国国内的进口货物完税后的仓库交货价、展室交货价或货架交货价），投标货物安装、调试、检验、技术服务和培训等费用；</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11.3.2  货物运至最终目的地的运输费和保险费用。</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11.4</w:t>
      </w:r>
      <w:r>
        <w:rPr>
          <w:rFonts w:hint="eastAsia" w:ascii="微软雅黑" w:hAnsi="微软雅黑" w:eastAsia="微软雅黑" w:cs="微软雅黑"/>
          <w:sz w:val="24"/>
        </w:rPr>
        <w:tab/>
      </w:r>
      <w:r>
        <w:rPr>
          <w:rFonts w:hint="eastAsia" w:ascii="微软雅黑" w:hAnsi="微软雅黑" w:eastAsia="微软雅黑" w:cs="微软雅黑"/>
          <w:sz w:val="24"/>
        </w:rPr>
        <w:t>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11.5</w:t>
      </w:r>
      <w:r>
        <w:rPr>
          <w:rFonts w:hint="eastAsia" w:ascii="微软雅黑" w:hAnsi="微软雅黑" w:eastAsia="微软雅黑" w:cs="微软雅黑"/>
          <w:sz w:val="24"/>
        </w:rPr>
        <w:tab/>
      </w:r>
      <w:r>
        <w:rPr>
          <w:rFonts w:hint="eastAsia" w:ascii="微软雅黑" w:hAnsi="微软雅黑" w:eastAsia="微软雅黑" w:cs="微软雅黑"/>
          <w:sz w:val="24"/>
        </w:rPr>
        <w:t>每种货物只能有一个投标报价。采购人不接受具有附加条件的报价。</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96" w:name="_Toc17788"/>
      <w:bookmarkStart w:id="97" w:name="_Toc23985"/>
      <w:bookmarkStart w:id="98" w:name="_Toc11514"/>
      <w:bookmarkStart w:id="99" w:name="_Toc515647771"/>
      <w:bookmarkStart w:id="100" w:name="_Toc520356156"/>
      <w:bookmarkStart w:id="101" w:name="_Toc4897"/>
      <w:bookmarkStart w:id="102" w:name="_Ref467306513"/>
      <w:r>
        <w:rPr>
          <w:rFonts w:hint="eastAsia" w:ascii="微软雅黑" w:hAnsi="微软雅黑" w:eastAsia="微软雅黑" w:cs="微软雅黑"/>
          <w:szCs w:val="24"/>
        </w:rPr>
        <w:t>12.投标保证金</w:t>
      </w:r>
      <w:bookmarkEnd w:id="96"/>
      <w:bookmarkEnd w:id="97"/>
      <w:bookmarkEnd w:id="98"/>
      <w:bookmarkEnd w:id="99"/>
      <w:bookmarkEnd w:id="100"/>
      <w:bookmarkEnd w:id="101"/>
      <w:bookmarkEnd w:id="102"/>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bookmarkStart w:id="103"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投标人应提交</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中规定的投标保证金</w:t>
      </w:r>
      <w:bookmarkEnd w:id="103"/>
      <w:r>
        <w:rPr>
          <w:rFonts w:hint="eastAsia" w:ascii="微软雅黑" w:hAnsi="微软雅黑" w:eastAsia="微软雅黑" w:cs="微软雅黑"/>
          <w:sz w:val="24"/>
        </w:rPr>
        <w:t>，并作为其投标的一部分。</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投标人存在下列情形的，投标保证金不予退还：</w:t>
      </w:r>
    </w:p>
    <w:p>
      <w:pPr>
        <w:pStyle w:val="15"/>
        <w:pageBreakBefore w:val="0"/>
        <w:widowControl w:val="0"/>
        <w:tabs>
          <w:tab w:val="left" w:pos="2240"/>
        </w:tabs>
        <w:kinsoku/>
        <w:wordWrap/>
        <w:overflowPunct/>
        <w:topLinePunct w:val="0"/>
        <w:bidi w:val="0"/>
        <w:snapToGrid w:val="0"/>
        <w:spacing w:line="240" w:lineRule="atLeast"/>
        <w:ind w:left="1079" w:leftChars="371" w:hanging="300" w:hangingChars="1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（1）在投标有效期内，撤销投标的；</w:t>
      </w:r>
    </w:p>
    <w:p>
      <w:pPr>
        <w:pStyle w:val="15"/>
        <w:pageBreakBefore w:val="0"/>
        <w:widowControl w:val="0"/>
        <w:tabs>
          <w:tab w:val="left" w:pos="2240"/>
        </w:tabs>
        <w:kinsoku/>
        <w:wordWrap/>
        <w:overflowPunct/>
        <w:topLinePunct w:val="0"/>
        <w:bidi w:val="0"/>
        <w:snapToGrid w:val="0"/>
        <w:spacing w:line="240" w:lineRule="atLeast"/>
        <w:ind w:left="1079" w:leftChars="371" w:hanging="300" w:hangingChars="1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（2）中标后不按本须知第30条的规定与采购人签订合同的；</w:t>
      </w:r>
    </w:p>
    <w:p>
      <w:pPr>
        <w:pStyle w:val="15"/>
        <w:pageBreakBefore w:val="0"/>
        <w:widowControl w:val="0"/>
        <w:tabs>
          <w:tab w:val="left" w:pos="2240"/>
        </w:tabs>
        <w:kinsoku/>
        <w:wordWrap/>
        <w:overflowPunct/>
        <w:topLinePunct w:val="0"/>
        <w:bidi w:val="0"/>
        <w:snapToGrid w:val="0"/>
        <w:spacing w:line="240" w:lineRule="atLeast"/>
        <w:ind w:left="1079" w:leftChars="371" w:hanging="300" w:hangingChars="1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（3）中标后不按本须知第31条的规定提交履约保证金的；</w:t>
      </w:r>
    </w:p>
    <w:p>
      <w:pPr>
        <w:pStyle w:val="15"/>
        <w:pageBreakBefore w:val="0"/>
        <w:widowControl w:val="0"/>
        <w:tabs>
          <w:tab w:val="left" w:pos="2240"/>
        </w:tabs>
        <w:kinsoku/>
        <w:wordWrap/>
        <w:overflowPunct/>
        <w:topLinePunct w:val="0"/>
        <w:bidi w:val="0"/>
        <w:snapToGrid w:val="0"/>
        <w:spacing w:line="240" w:lineRule="atLeast"/>
        <w:ind w:left="1079" w:leftChars="371" w:hanging="300" w:hangingChars="1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（4）中标后不按本须知第32条的规定缴纳中标服务费的；</w:t>
      </w:r>
    </w:p>
    <w:p>
      <w:pPr>
        <w:pStyle w:val="15"/>
        <w:pageBreakBefore w:val="0"/>
        <w:widowControl w:val="0"/>
        <w:tabs>
          <w:tab w:val="left" w:pos="2240"/>
        </w:tabs>
        <w:kinsoku/>
        <w:wordWrap/>
        <w:overflowPunct/>
        <w:topLinePunct w:val="0"/>
        <w:bidi w:val="0"/>
        <w:snapToGrid w:val="0"/>
        <w:spacing w:line="240" w:lineRule="atLeast"/>
        <w:ind w:left="1079" w:leftChars="371" w:hanging="300" w:hangingChars="1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（5）存在其他违法违规行为的。</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bookmarkStart w:id="104" w:name="_Ref467306336"/>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104"/>
      <w:r>
        <w:rPr>
          <w:rFonts w:hint="eastAsia" w:ascii="微软雅黑" w:hAnsi="微软雅黑" w:eastAsia="微软雅黑" w:cs="微软雅黑"/>
          <w:sz w:val="24"/>
        </w:rPr>
        <w:t>政府采购信用担保试点范围内的项目，接受符合财政部门规定的政府采购投标担保函原件。</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投标人未按本须知第12.1和12.3条规定提交投标保证金的，其投标将被认定为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ageBreakBefore w:val="0"/>
        <w:widowControl w:val="0"/>
        <w:kinsoku/>
        <w:wordWrap/>
        <w:overflowPunct/>
        <w:topLinePunct w:val="0"/>
        <w:bidi w:val="0"/>
        <w:snapToGrid w:val="0"/>
        <w:spacing w:line="240" w:lineRule="atLeast"/>
        <w:textAlignment w:val="baseline"/>
        <w:rPr>
          <w:rFonts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pageBreakBefore w:val="0"/>
        <w:widowControl w:val="0"/>
        <w:kinsoku/>
        <w:wordWrap/>
        <w:overflowPunct/>
        <w:topLinePunct w:val="0"/>
        <w:bidi w:val="0"/>
        <w:snapToGrid w:val="0"/>
        <w:spacing w:line="240" w:lineRule="atLeast"/>
        <w:ind w:left="960" w:hanging="960" w:hangingChars="400"/>
        <w:jc w:val="left"/>
        <w:textAlignment w:val="baseline"/>
        <w:rPr>
          <w:rFonts w:ascii="微软雅黑" w:hAnsi="微软雅黑" w:eastAsia="微软雅黑" w:cs="微软雅黑"/>
          <w:sz w:val="24"/>
        </w:rPr>
      </w:pPr>
      <w:r>
        <w:rPr>
          <w:rFonts w:hint="eastAsia" w:ascii="微软雅黑" w:hAnsi="微软雅黑" w:eastAsia="微软雅黑" w:cs="微软雅黑"/>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投标保证金的退还</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12.6.1  中标人应在与采购人签订合同之日起5个工作日内，及时联系保证金收受机构办理投标保证金无息退还手续。</w:t>
      </w:r>
    </w:p>
    <w:p>
      <w:pPr>
        <w:pageBreakBefore w:val="0"/>
        <w:widowControl w:val="0"/>
        <w:kinsoku/>
        <w:wordWrap/>
        <w:overflowPunct/>
        <w:topLinePunct w:val="0"/>
        <w:bidi w:val="0"/>
        <w:snapToGrid w:val="0"/>
        <w:spacing w:line="240" w:lineRule="atLeas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12.6.2  未中标投标人的投标保证金将在中标通知书发出之日暨中标结果公告公布之日起5个工作日内无息退还。投标人应及时联系保证金收受机构办理退还投标保证金手续。</w:t>
      </w:r>
    </w:p>
    <w:p>
      <w:pPr>
        <w:pageBreakBefore w:val="0"/>
        <w:widowControl w:val="0"/>
        <w:kinsoku/>
        <w:wordWrap/>
        <w:overflowPunct/>
        <w:topLinePunct w:val="0"/>
        <w:bidi w:val="0"/>
        <w:snapToGrid w:val="0"/>
        <w:spacing w:line="240" w:lineRule="atLeast"/>
        <w:textAlignment w:val="baseline"/>
        <w:rPr>
          <w:rFonts w:ascii="微软雅黑" w:hAnsi="微软雅黑" w:eastAsia="微软雅黑" w:cs="微软雅黑"/>
          <w:sz w:val="24"/>
        </w:rPr>
      </w:pPr>
      <w:r>
        <w:rPr>
          <w:rFonts w:hint="eastAsia" w:ascii="微软雅黑" w:hAnsi="微软雅黑" w:eastAsia="微软雅黑" w:cs="微软雅黑"/>
          <w:sz w:val="24"/>
        </w:rPr>
        <w:t>12.6.3  政府采购投标担保函不予退回。</w:t>
      </w:r>
    </w:p>
    <w:p>
      <w:pPr>
        <w:pageBreakBefore w:val="0"/>
        <w:widowControl w:val="0"/>
        <w:kinsoku/>
        <w:wordWrap/>
        <w:overflowPunct/>
        <w:topLinePunct w:val="0"/>
        <w:bidi w:val="0"/>
        <w:snapToGrid w:val="0"/>
        <w:spacing w:line="240" w:lineRule="atLeas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12.7    因投标人自身原因导致无法及时退还的，采购人或采购代理机构将不承担相应责任。</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105" w:name="_Toc32569"/>
      <w:bookmarkStart w:id="106" w:name="_Toc520356157"/>
      <w:bookmarkStart w:id="107" w:name="_Toc515647772"/>
      <w:bookmarkStart w:id="108" w:name="_Toc3796"/>
      <w:bookmarkStart w:id="109" w:name="_Toc26580"/>
      <w:bookmarkStart w:id="110" w:name="_Toc23590"/>
      <w:r>
        <w:rPr>
          <w:rFonts w:hint="eastAsia" w:ascii="微软雅黑" w:hAnsi="微软雅黑" w:eastAsia="微软雅黑" w:cs="微软雅黑"/>
          <w:szCs w:val="24"/>
        </w:rPr>
        <w:t>13.投标有效期</w:t>
      </w:r>
      <w:bookmarkEnd w:id="105"/>
      <w:bookmarkEnd w:id="106"/>
      <w:bookmarkEnd w:id="107"/>
      <w:bookmarkEnd w:id="108"/>
      <w:bookmarkEnd w:id="109"/>
      <w:bookmarkEnd w:id="110"/>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投标应在</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中规定时间内保持有效。投标有效期不满足要求的投标，其投标将被认定为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111" w:name="_Toc520356158"/>
      <w:bookmarkStart w:id="112" w:name="_Toc17074"/>
      <w:bookmarkStart w:id="113" w:name="_Toc515647773"/>
      <w:bookmarkStart w:id="114" w:name="_Toc11003"/>
      <w:bookmarkStart w:id="115" w:name="_Toc493"/>
      <w:bookmarkStart w:id="116" w:name="_Toc20503"/>
      <w:r>
        <w:rPr>
          <w:rFonts w:hint="eastAsia" w:ascii="微软雅黑" w:hAnsi="微软雅黑" w:eastAsia="微软雅黑" w:cs="微软雅黑"/>
          <w:szCs w:val="24"/>
        </w:rPr>
        <w:t>14.投标文件的签署</w:t>
      </w:r>
      <w:bookmarkEnd w:id="111"/>
      <w:r>
        <w:rPr>
          <w:rFonts w:hint="eastAsia" w:ascii="微软雅黑" w:hAnsi="微软雅黑" w:eastAsia="微软雅黑" w:cs="微软雅黑"/>
          <w:szCs w:val="24"/>
        </w:rPr>
        <w:t>及规定</w:t>
      </w:r>
      <w:bookmarkEnd w:id="112"/>
      <w:bookmarkEnd w:id="113"/>
      <w:bookmarkEnd w:id="114"/>
      <w:bookmarkEnd w:id="115"/>
      <w:bookmarkEnd w:id="116"/>
    </w:p>
    <w:p>
      <w:pPr>
        <w:pStyle w:val="2"/>
        <w:pageBreakBefore w:val="0"/>
        <w:widowControl w:val="0"/>
        <w:kinsoku/>
        <w:wordWrap/>
        <w:overflowPunct/>
        <w:topLinePunct w:val="0"/>
        <w:bidi w:val="0"/>
        <w:snapToGrid w:val="0"/>
        <w:spacing w:line="240" w:lineRule="atLeast"/>
        <w:ind w:firstLine="0"/>
        <w:textAlignment w:val="baseline"/>
        <w:rPr>
          <w:rFonts w:hint="eastAsia" w:ascii="微软雅黑" w:hAnsi="微软雅黑" w:eastAsia="微软雅黑" w:cs="微软雅黑"/>
          <w:b/>
          <w:bCs/>
          <w:sz w:val="24"/>
          <w:u w:val="single"/>
        </w:rPr>
      </w:pPr>
      <w:bookmarkStart w:id="117" w:name="_Toc520356161"/>
      <w:bookmarkStart w:id="118" w:name="_Toc12751"/>
      <w:bookmarkStart w:id="119" w:name="_Toc9840"/>
      <w:bookmarkStart w:id="120" w:name="_Toc515647776"/>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b/>
          <w:bCs/>
          <w:sz w:val="24"/>
          <w:u w:val="single"/>
        </w:rPr>
        <w:t>供应商应按供应商须知资料表中的规定，准备和递交（加密上传）电子投标文件。</w:t>
      </w:r>
    </w:p>
    <w:p>
      <w:pPr>
        <w:pStyle w:val="2"/>
        <w:pageBreakBefore w:val="0"/>
        <w:widowControl w:val="0"/>
        <w:kinsoku/>
        <w:wordWrap/>
        <w:overflowPunct/>
        <w:topLinePunct w:val="0"/>
        <w:bidi w:val="0"/>
        <w:snapToGrid w:val="0"/>
        <w:spacing w:line="240" w:lineRule="atLeast"/>
        <w:ind w:firstLine="0"/>
        <w:textAlignment w:val="baseline"/>
        <w:rPr>
          <w:rFonts w:hint="eastAsia" w:ascii="微软雅黑" w:hAnsi="微软雅黑" w:eastAsia="微软雅黑" w:cs="微软雅黑"/>
          <w:b/>
          <w:bCs/>
          <w:sz w:val="24"/>
          <w:u w:val="single"/>
        </w:rPr>
      </w:pPr>
      <w:r>
        <w:rPr>
          <w:rFonts w:hint="eastAsia" w:ascii="微软雅黑" w:hAnsi="微软雅黑" w:eastAsia="微软雅黑" w:cs="微软雅黑"/>
          <w:b/>
          <w:bCs/>
          <w:sz w:val="24"/>
          <w:u w:val="single"/>
        </w:rPr>
        <w:t>14.2   所有投标文件应按照招标文件规定的格式填写、签署和盖章。</w:t>
      </w:r>
    </w:p>
    <w:p>
      <w:pPr>
        <w:pStyle w:val="2"/>
        <w:pageBreakBefore w:val="0"/>
        <w:widowControl w:val="0"/>
        <w:kinsoku/>
        <w:wordWrap/>
        <w:overflowPunct/>
        <w:topLinePunct w:val="0"/>
        <w:bidi w:val="0"/>
        <w:snapToGrid w:val="0"/>
        <w:spacing w:line="240" w:lineRule="atLeast"/>
        <w:ind w:firstLine="0"/>
        <w:textAlignment w:val="baseline"/>
        <w:rPr>
          <w:rFonts w:ascii="微软雅黑" w:hAnsi="微软雅黑" w:eastAsia="微软雅黑" w:cs="微软雅黑"/>
          <w:b/>
          <w:bCs/>
          <w:u w:val="single"/>
        </w:rPr>
      </w:pPr>
      <w:r>
        <w:rPr>
          <w:rFonts w:hint="eastAsia" w:ascii="微软雅黑" w:hAnsi="微软雅黑" w:eastAsia="微软雅黑" w:cs="微软雅黑"/>
          <w:b/>
          <w:bCs/>
          <w:sz w:val="24"/>
          <w:u w:val="single"/>
        </w:rPr>
        <w:t>14.3</w:t>
      </w:r>
      <w:r>
        <w:rPr>
          <w:rFonts w:hint="eastAsia" w:ascii="微软雅黑" w:hAnsi="微软雅黑" w:eastAsia="微软雅黑" w:cs="微软雅黑"/>
          <w:b/>
          <w:bCs/>
          <w:sz w:val="24"/>
          <w:u w:val="single"/>
        </w:rPr>
        <w:tab/>
      </w:r>
      <w:r>
        <w:rPr>
          <w:rFonts w:hint="eastAsia" w:ascii="微软雅黑" w:hAnsi="微软雅黑" w:eastAsia="微软雅黑" w:cs="微软雅黑"/>
          <w:b/>
          <w:bCs/>
          <w:sz w:val="24"/>
          <w:u w:val="single"/>
        </w:rPr>
        <w:t>投标文件因字迹潦草、表达不清或未按照招标文件规定的格式填写、签署和盖章所引起的后果由供应商负责。</w:t>
      </w:r>
    </w:p>
    <w:p>
      <w:pPr>
        <w:pStyle w:val="15"/>
        <w:ind w:firstLine="3200" w:firstLineChars="1000"/>
        <w:rPr>
          <w:rFonts w:ascii="黑体" w:hAnsi="黑体" w:eastAsia="黑体" w:cs="黑体"/>
          <w:sz w:val="32"/>
          <w:szCs w:val="32"/>
        </w:rPr>
      </w:pPr>
      <w:bookmarkStart w:id="121" w:name="_Toc3762"/>
      <w:bookmarkStart w:id="122" w:name="_Toc16504"/>
      <w:bookmarkStart w:id="123" w:name="_Toc29176"/>
      <w:r>
        <w:rPr>
          <w:rFonts w:hint="eastAsia" w:ascii="黑体" w:hAnsi="黑体" w:eastAsia="黑体" w:cs="黑体"/>
          <w:sz w:val="32"/>
          <w:szCs w:val="32"/>
        </w:rPr>
        <w:t>四、投标文件的递交</w:t>
      </w:r>
      <w:bookmarkEnd w:id="121"/>
      <w:bookmarkEnd w:id="122"/>
      <w:bookmarkEnd w:id="123"/>
    </w:p>
    <w:p>
      <w:pPr>
        <w:pStyle w:val="6"/>
        <w:snapToGrid w:val="0"/>
        <w:spacing w:before="0" w:after="0" w:line="400" w:lineRule="exact"/>
        <w:textAlignment w:val="baseline"/>
        <w:rPr>
          <w:rFonts w:ascii="微软雅黑" w:hAnsi="微软雅黑" w:eastAsia="微软雅黑" w:cs="微软雅黑"/>
          <w:szCs w:val="24"/>
        </w:rPr>
      </w:pPr>
      <w:bookmarkStart w:id="124" w:name="_Toc18741"/>
      <w:bookmarkStart w:id="125" w:name="_Toc25849_WPSOffice_Level2"/>
      <w:bookmarkStart w:id="126" w:name="_Toc31822"/>
      <w:bookmarkStart w:id="127" w:name="_Toc21645"/>
      <w:bookmarkStart w:id="128" w:name="_Toc520356160"/>
      <w:bookmarkStart w:id="129" w:name="_Toc515647775"/>
      <w:bookmarkStart w:id="130" w:name="_Toc32337"/>
      <w:bookmarkStart w:id="131" w:name="_Toc28066_WPSOffice_Level2"/>
      <w:r>
        <w:rPr>
          <w:rFonts w:hint="eastAsia" w:ascii="微软雅黑" w:hAnsi="微软雅黑" w:eastAsia="微软雅黑" w:cs="微软雅黑"/>
          <w:szCs w:val="24"/>
        </w:rPr>
        <w:t>15.投标文件的密封和标记</w:t>
      </w:r>
      <w:bookmarkEnd w:id="124"/>
      <w:bookmarkEnd w:id="125"/>
      <w:bookmarkEnd w:id="126"/>
      <w:bookmarkEnd w:id="127"/>
      <w:bookmarkEnd w:id="128"/>
      <w:bookmarkEnd w:id="129"/>
      <w:bookmarkEnd w:id="130"/>
      <w:bookmarkEnd w:id="131"/>
    </w:p>
    <w:p>
      <w:pPr>
        <w:pStyle w:val="6"/>
        <w:pageBreakBefore w:val="0"/>
        <w:widowControl w:val="0"/>
        <w:kinsoku/>
        <w:wordWrap/>
        <w:overflowPunct/>
        <w:topLinePunct w:val="0"/>
        <w:bidi w:val="0"/>
        <w:snapToGrid w:val="0"/>
        <w:spacing w:before="0" w:after="0" w:line="240" w:lineRule="atLeast"/>
        <w:textAlignment w:val="baseline"/>
        <w:rPr>
          <w:rFonts w:hint="eastAsia" w:ascii="微软雅黑" w:hAnsi="微软雅黑" w:eastAsia="微软雅黑" w:cs="微软雅黑"/>
          <w:sz w:val="24"/>
          <w:u w:val="single"/>
        </w:rPr>
      </w:pPr>
      <w:r>
        <w:rPr>
          <w:rFonts w:hint="eastAsia" w:ascii="微软雅黑" w:hAnsi="微软雅黑" w:eastAsia="微软雅黑" w:cs="微软雅黑"/>
          <w:sz w:val="24"/>
        </w:rPr>
        <w:t xml:space="preserve">15.1   </w:t>
      </w:r>
      <w:bookmarkStart w:id="132" w:name="_Toc18574"/>
      <w:bookmarkStart w:id="133" w:name="_Toc32297"/>
      <w:r>
        <w:rPr>
          <w:rFonts w:hint="eastAsia" w:ascii="微软雅黑" w:hAnsi="微软雅黑" w:eastAsia="微软雅黑" w:cs="微软雅黑"/>
          <w:sz w:val="24"/>
          <w:u w:val="single"/>
        </w:rPr>
        <w:t>为方便评审及进行资格审查，投标人应完整地按招标文件提供的投标文件格式及要求编写投标文件， 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u w:val="single"/>
        </w:rPr>
      </w:pPr>
      <w:r>
        <w:rPr>
          <w:rFonts w:hint="eastAsia" w:ascii="微软雅黑" w:hAnsi="微软雅黑" w:eastAsia="微软雅黑" w:cs="微软雅黑"/>
          <w:szCs w:val="24"/>
          <w:u w:val="single"/>
        </w:rPr>
        <w:t>16.投标截止</w:t>
      </w:r>
      <w:bookmarkEnd w:id="117"/>
      <w:bookmarkEnd w:id="118"/>
      <w:bookmarkEnd w:id="119"/>
      <w:bookmarkEnd w:id="120"/>
      <w:bookmarkEnd w:id="132"/>
      <w:bookmarkEnd w:id="133"/>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投标人应在</w:t>
      </w:r>
      <w:r>
        <w:rPr>
          <w:rFonts w:hint="eastAsia" w:ascii="微软雅黑" w:hAnsi="微软雅黑" w:eastAsia="微软雅黑" w:cs="微软雅黑"/>
          <w:sz w:val="24"/>
          <w:u w:val="single"/>
        </w:rPr>
        <w:t>投标人须知资料表中</w:t>
      </w:r>
      <w:r>
        <w:rPr>
          <w:rFonts w:hint="eastAsia" w:ascii="微软雅黑" w:hAnsi="微软雅黑" w:eastAsia="微软雅黑" w:cs="微软雅黑"/>
          <w:sz w:val="24"/>
        </w:rPr>
        <w:t>规定的截止时间前，将投标文件递交到招标公告中规定的地点。</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采购人和采购代理机构有权按本须知的规定，延迟投标截止时间。在此情况下，采购人、采购代理机构和投标人受投标截止时间制约的所有权利和义务均应延长至新的截止时间。</w:t>
      </w:r>
    </w:p>
    <w:p>
      <w:pPr>
        <w:pageBreakBefore w:val="0"/>
        <w:widowControl w:val="0"/>
        <w:kinsoku/>
        <w:wordWrap/>
        <w:overflowPunct/>
        <w:topLinePunct w:val="0"/>
        <w:bidi w:val="0"/>
        <w:snapToGrid w:val="0"/>
        <w:spacing w:line="240" w:lineRule="atLeas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16.3</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采购人和采购代理机构将拒绝接收在投标截止时间后送达的投标文件。</w:t>
      </w:r>
    </w:p>
    <w:p>
      <w:pPr>
        <w:pStyle w:val="6"/>
        <w:pageBreakBefore w:val="0"/>
        <w:widowControl w:val="0"/>
        <w:kinsoku/>
        <w:wordWrap/>
        <w:overflowPunct/>
        <w:topLinePunct w:val="0"/>
        <w:bidi w:val="0"/>
        <w:snapToGrid w:val="0"/>
        <w:spacing w:before="0" w:after="0" w:line="240" w:lineRule="atLeast"/>
        <w:textAlignment w:val="baseline"/>
        <w:rPr>
          <w:rFonts w:ascii="微软雅黑" w:hAnsi="微软雅黑" w:eastAsia="微软雅黑" w:cs="微软雅黑"/>
          <w:szCs w:val="24"/>
        </w:rPr>
      </w:pPr>
      <w:bookmarkStart w:id="134" w:name="_Toc18537"/>
      <w:bookmarkStart w:id="135" w:name="_Toc24275"/>
      <w:bookmarkStart w:id="136" w:name="_Toc12680"/>
      <w:bookmarkStart w:id="137" w:name="_Toc520356162"/>
      <w:bookmarkStart w:id="138" w:name="_Toc12408"/>
      <w:bookmarkStart w:id="139" w:name="_Toc515647777"/>
      <w:r>
        <w:rPr>
          <w:rFonts w:hint="eastAsia" w:ascii="微软雅黑" w:hAnsi="微软雅黑" w:eastAsia="微软雅黑" w:cs="微软雅黑"/>
          <w:szCs w:val="24"/>
        </w:rPr>
        <w:t>17.投标文件的接收、修改与撤回</w:t>
      </w:r>
      <w:bookmarkEnd w:id="134"/>
      <w:bookmarkEnd w:id="135"/>
      <w:bookmarkEnd w:id="136"/>
      <w:bookmarkEnd w:id="137"/>
      <w:bookmarkEnd w:id="138"/>
      <w:bookmarkEnd w:id="139"/>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bookmarkStart w:id="140" w:name="_Toc24999"/>
      <w:bookmarkStart w:id="141" w:name="_Toc216582809"/>
      <w:bookmarkStart w:id="142" w:name="_Toc28397"/>
      <w:bookmarkStart w:id="143" w:name="_Toc12436"/>
      <w:bookmarkStart w:id="144" w:name="_Toc8092"/>
      <w:bookmarkStart w:id="145" w:name="_Toc28398"/>
      <w:bookmarkStart w:id="146" w:name="_Toc520356163"/>
      <w:bookmarkStart w:id="147" w:name="_Toc515647778"/>
      <w:r>
        <w:rPr>
          <w:rFonts w:hint="eastAsia" w:ascii="微软雅黑" w:hAnsi="微软雅黑" w:eastAsia="微软雅黑" w:cs="微软雅黑"/>
          <w:sz w:val="24"/>
        </w:rPr>
        <w:t>17.1</w:t>
      </w:r>
      <w:r>
        <w:rPr>
          <w:rFonts w:hint="eastAsia" w:ascii="微软雅黑" w:hAnsi="微软雅黑" w:eastAsia="微软雅黑" w:cs="微软雅黑"/>
          <w:sz w:val="24"/>
        </w:rPr>
        <w:tab/>
      </w:r>
      <w:r>
        <w:rPr>
          <w:rFonts w:hint="eastAsia" w:ascii="微软雅黑" w:hAnsi="微软雅黑" w:eastAsia="微软雅黑" w:cs="微软雅黑"/>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lang w:val="en-US" w:eastAsia="zh-CN"/>
        </w:rPr>
        <w:t>代理机构对因不可抗力事件造成的投标文件的损坏、丢失的，不承担责任。</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rPr>
        <w:t>17.3</w:t>
      </w:r>
      <w:r>
        <w:rPr>
          <w:rFonts w:hint="eastAsia" w:ascii="微软雅黑" w:hAnsi="微软雅黑" w:eastAsia="微软雅黑" w:cs="微软雅黑"/>
          <w:sz w:val="24"/>
        </w:rPr>
        <w:tab/>
      </w:r>
      <w:r>
        <w:rPr>
          <w:rFonts w:hint="eastAsia" w:ascii="微软雅黑" w:hAnsi="微软雅黑" w:eastAsia="微软雅黑" w:cs="微软雅黑"/>
          <w:sz w:val="24"/>
          <w:lang w:val="en-US" w:eastAsia="zh-CN"/>
        </w:rPr>
        <w:t xml:space="preserve">出现下述情形之一，属于未成功提交投标文件，按无效投标处理： </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lang w:val="en-US" w:eastAsia="zh-CN"/>
        </w:rPr>
        <w:t xml:space="preserve">（1）至提交投标文件截止时间，投标文件未完整上传的。 </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lang w:val="en-US" w:eastAsia="zh-CN"/>
        </w:rPr>
        <w:t xml:space="preserve">（2）投标文件未按投标格式中注明需签字盖章的要求进行签名（含电子签名）和加盖电子印章，或签名（含电子签名）或电子印章不完整的。 </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lang w:val="en-US" w:eastAsia="zh-CN"/>
        </w:rPr>
        <w:t xml:space="preserve">（3）投标文件损坏或格式不正确的。 </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rPr>
      </w:pPr>
      <w:r>
        <w:rPr>
          <w:rFonts w:hint="eastAsia" w:ascii="微软雅黑" w:hAnsi="微软雅黑" w:eastAsia="微软雅黑" w:cs="微软雅黑"/>
          <w:sz w:val="24"/>
        </w:rPr>
        <w:t>17.5</w:t>
      </w:r>
      <w:r>
        <w:rPr>
          <w:rFonts w:hint="eastAsia" w:ascii="微软雅黑" w:hAnsi="微软雅黑" w:eastAsia="微软雅黑" w:cs="微软雅黑"/>
          <w:sz w:val="24"/>
        </w:rPr>
        <w:tab/>
      </w:r>
      <w:r>
        <w:rPr>
          <w:rFonts w:hint="eastAsia" w:ascii="微软雅黑" w:hAnsi="微软雅黑" w:eastAsia="微软雅黑" w:cs="微软雅黑"/>
          <w:sz w:val="24"/>
          <w:lang w:val="en-US" w:eastAsia="zh-CN"/>
        </w:rPr>
        <w:t>在提交投标文件截止时间后，投标人不得补充、修改和更换投标文件。</w:t>
      </w:r>
    </w:p>
    <w:p>
      <w:pPr>
        <w:pStyle w:val="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17.6    到达开标时间后，投标人需使用上传投标文件的同一数字证书解密，投标人须在采购代理机构规定的时间内完成投标文件解</w:t>
      </w:r>
    </w:p>
    <w:p>
      <w:pPr>
        <w:pStyle w:val="4"/>
        <w:rPr>
          <w:rFonts w:ascii="黑体" w:hAnsi="黑体" w:eastAsia="黑体" w:cs="黑体"/>
          <w:sz w:val="36"/>
          <w:szCs w:val="36"/>
        </w:rPr>
      </w:pPr>
      <w:r>
        <w:rPr>
          <w:rFonts w:hint="eastAsia" w:ascii="黑体" w:hAnsi="黑体" w:eastAsia="黑体" w:cs="黑体"/>
          <w:sz w:val="36"/>
          <w:szCs w:val="36"/>
        </w:rPr>
        <w:t>五、开标及评标</w:t>
      </w:r>
      <w:bookmarkEnd w:id="140"/>
      <w:bookmarkEnd w:id="141"/>
      <w:bookmarkEnd w:id="142"/>
      <w:bookmarkEnd w:id="143"/>
      <w:bookmarkEnd w:id="144"/>
      <w:bookmarkEnd w:id="145"/>
      <w:bookmarkEnd w:id="146"/>
      <w:bookmarkEnd w:id="147"/>
    </w:p>
    <w:p>
      <w:pPr>
        <w:pStyle w:val="6"/>
        <w:numPr>
          <w:ilvl w:val="0"/>
          <w:numId w:val="6"/>
        </w:numPr>
        <w:snapToGrid w:val="0"/>
        <w:spacing w:line="400" w:lineRule="exact"/>
        <w:textAlignment w:val="baseline"/>
        <w:rPr>
          <w:rFonts w:ascii="微软雅黑" w:hAnsi="微软雅黑" w:eastAsia="微软雅黑" w:cs="微软雅黑"/>
          <w:szCs w:val="24"/>
        </w:rPr>
      </w:pPr>
      <w:bookmarkStart w:id="148" w:name="_Toc520356164"/>
      <w:bookmarkStart w:id="149" w:name="_Toc515647779"/>
      <w:bookmarkStart w:id="150" w:name="_Toc25345"/>
      <w:bookmarkStart w:id="151" w:name="_Toc7186"/>
      <w:bookmarkStart w:id="152" w:name="_Toc28609"/>
      <w:bookmarkStart w:id="153" w:name="_Toc31842"/>
      <w:r>
        <w:rPr>
          <w:rFonts w:hint="eastAsia" w:ascii="微软雅黑" w:hAnsi="微软雅黑" w:eastAsia="微软雅黑" w:cs="微软雅黑"/>
          <w:szCs w:val="24"/>
        </w:rPr>
        <w:t>开标</w:t>
      </w:r>
      <w:bookmarkEnd w:id="148"/>
      <w:bookmarkEnd w:id="149"/>
      <w:bookmarkEnd w:id="150"/>
      <w:bookmarkEnd w:id="151"/>
      <w:bookmarkEnd w:id="152"/>
      <w:bookmarkEnd w:id="153"/>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bookmarkStart w:id="154" w:name="_Toc520356165"/>
      <w:bookmarkStart w:id="155" w:name="_Toc21372"/>
      <w:bookmarkStart w:id="156" w:name="_Toc14136"/>
      <w:bookmarkStart w:id="157" w:name="_Toc515647780"/>
      <w:bookmarkStart w:id="158" w:name="_Toc19296"/>
      <w:bookmarkStart w:id="159" w:name="_Toc12925"/>
      <w:r>
        <w:rPr>
          <w:rFonts w:hint="eastAsia" w:ascii="微软雅黑" w:hAnsi="微软雅黑" w:eastAsia="微软雅黑" w:cs="微软雅黑"/>
          <w:sz w:val="24"/>
          <w:lang w:val="en-US" w:eastAsia="zh-CN"/>
        </w:rPr>
        <w:t>18.1</w:t>
      </w:r>
      <w:r>
        <w:rPr>
          <w:rFonts w:hint="eastAsia" w:ascii="微软雅黑" w:hAnsi="微软雅黑" w:eastAsia="微软雅黑" w:cs="微软雅黑"/>
          <w:sz w:val="24"/>
          <w:lang w:val="en-US" w:eastAsia="zh-CN"/>
        </w:rPr>
        <w:tab/>
      </w:r>
      <w:r>
        <w:rPr>
          <w:rFonts w:hint="eastAsia" w:ascii="微软雅黑" w:hAnsi="微软雅黑" w:eastAsia="微软雅黑" w:cs="微软雅黑"/>
          <w:sz w:val="24"/>
          <w:lang w:val="en-US" w:eastAsia="zh-CN"/>
        </w:rPr>
        <w:t xml:space="preserve">采购人和采购代理机构将按投标人须知资料表中规定的开标时间和地点组织公开开标。  </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投标人不足3家的，不得开标。</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18.2   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18.3    采购人或采购代理机构将对开标过程进行记录，由参加开标的各投标人代表和相关工作人员签字确认，并存档备查。</w:t>
      </w:r>
    </w:p>
    <w:p>
      <w:pPr>
        <w:pageBreakBefore w:val="0"/>
        <w:widowControl w:val="0"/>
        <w:kinsoku/>
        <w:wordWrap/>
        <w:overflowPunct/>
        <w:topLinePunct w:val="0"/>
        <w:bidi w:val="0"/>
        <w:snapToGrid w:val="0"/>
        <w:spacing w:line="240" w:lineRule="atLeas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18.4    投标人代表对开标过程和开标记录有疑义，以及认为采购人、采购代理机构相关工作人员有需要回避的情形的，应当场提出询问或者回避申请。</w:t>
      </w:r>
    </w:p>
    <w:p>
      <w:pPr>
        <w:pStyle w:val="6"/>
        <w:snapToGrid w:val="0"/>
        <w:spacing w:before="0" w:after="0" w:line="400" w:lineRule="exact"/>
        <w:textAlignment w:val="baseline"/>
        <w:rPr>
          <w:rFonts w:ascii="微软雅黑" w:hAnsi="微软雅黑" w:eastAsia="微软雅黑" w:cs="微软雅黑"/>
          <w:szCs w:val="24"/>
        </w:rPr>
      </w:pPr>
      <w:r>
        <w:rPr>
          <w:rFonts w:hint="eastAsia" w:ascii="微软雅黑" w:hAnsi="微软雅黑" w:eastAsia="微软雅黑" w:cs="微软雅黑"/>
          <w:szCs w:val="24"/>
        </w:rPr>
        <w:t>19.</w:t>
      </w:r>
      <w:bookmarkEnd w:id="154"/>
      <w:r>
        <w:rPr>
          <w:rFonts w:hint="eastAsia" w:ascii="微软雅黑" w:hAnsi="微软雅黑" w:eastAsia="微软雅黑" w:cs="微软雅黑"/>
          <w:szCs w:val="24"/>
        </w:rPr>
        <w:t>资格审查及组建评标委员会</w:t>
      </w:r>
      <w:bookmarkEnd w:id="155"/>
      <w:bookmarkEnd w:id="156"/>
      <w:bookmarkEnd w:id="157"/>
      <w:bookmarkEnd w:id="158"/>
      <w:bookmarkEnd w:id="159"/>
    </w:p>
    <w:p>
      <w:pPr>
        <w:snapToGrid w:val="0"/>
        <w:spacing w:line="400" w:lineRule="exact"/>
        <w:ind w:left="960" w:hanging="960" w:hangingChars="400"/>
        <w:textAlignment w:val="baseline"/>
        <w:rPr>
          <w:rFonts w:ascii="微软雅黑" w:hAnsi="微软雅黑" w:eastAsia="微软雅黑" w:cs="微软雅黑"/>
          <w:b/>
          <w:bCs/>
          <w:sz w:val="24"/>
        </w:rPr>
      </w:pPr>
      <w:r>
        <w:rPr>
          <w:rFonts w:hint="eastAsia" w:ascii="微软雅黑" w:hAnsi="微软雅黑" w:eastAsia="微软雅黑" w:cs="微软雅黑"/>
          <w:sz w:val="24"/>
        </w:rPr>
        <w:t>19.1    采购人或采购代理机构依据法律法规和招标文件中规定的内容，对投标人及其货物的资格进行审查，</w:t>
      </w:r>
      <w:r>
        <w:rPr>
          <w:rFonts w:hint="eastAsia" w:ascii="微软雅黑" w:hAnsi="微软雅黑" w:eastAsia="微软雅黑" w:cs="微软雅黑"/>
          <w:b/>
          <w:bCs/>
          <w:sz w:val="24"/>
        </w:rPr>
        <w:t>本项目审查原件内容如下：</w:t>
      </w:r>
    </w:p>
    <w:p>
      <w:pPr>
        <w:tabs>
          <w:tab w:val="left" w:pos="1800"/>
          <w:tab w:val="left" w:pos="5580"/>
        </w:tabs>
        <w:snapToGrid w:val="0"/>
        <w:spacing w:line="240" w:lineRule="auto"/>
        <w:ind w:right="-22" w:rightChars="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投标人必须满足《中华人民共和国政府采购法》第二十二条要求；</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2</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合格有效的三证合一的营业执照（三证合一）副本或电子营业执照打印件（需加盖公章）</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eastAsia="zh-CN"/>
        </w:rPr>
        <w:t>法定代表人（负责人）资格证明书及授权书、被授权人身份证；(法定代表人投标需提供法定代表人身份证及法定代表人代表资格证明书)</w:t>
      </w:r>
      <w:r>
        <w:rPr>
          <w:rFonts w:hint="eastAsia" w:ascii="微软雅黑" w:hAnsi="微软雅黑" w:eastAsia="微软雅黑" w:cs="微软雅黑"/>
          <w:sz w:val="24"/>
        </w:rPr>
        <w:t>；</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4、近三个月依法缴纳税收的证明（完税证明或税务部门出具的其他证明，税种非社会保险类）；</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5、近</w:t>
      </w:r>
      <w:r>
        <w:rPr>
          <w:rFonts w:hint="eastAsia" w:ascii="微软雅黑" w:hAnsi="微软雅黑" w:eastAsia="微软雅黑" w:cs="微软雅黑"/>
          <w:sz w:val="24"/>
          <w:lang w:val="en-US" w:eastAsia="zh-CN"/>
        </w:rPr>
        <w:t>六</w:t>
      </w:r>
      <w:r>
        <w:rPr>
          <w:rFonts w:hint="eastAsia" w:ascii="微软雅黑" w:hAnsi="微软雅黑" w:eastAsia="微软雅黑" w:cs="微软雅黑"/>
          <w:sz w:val="24"/>
        </w:rPr>
        <w:t>个月依法缴纳社会保障金的缴费和银行转帐汇款单证明。</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6、良好的商业信誉和健全的财务会计制度证明材料（2021年度财务审计报告书影印件；新办企业需提供银行资信证明）；</w:t>
      </w:r>
    </w:p>
    <w:p>
      <w:pPr>
        <w:tabs>
          <w:tab w:val="left" w:pos="1800"/>
          <w:tab w:val="left" w:pos="5580"/>
        </w:tabs>
        <w:snapToGrid w:val="0"/>
        <w:spacing w:line="240" w:lineRule="auto"/>
        <w:ind w:right="-840" w:rightChars="-400"/>
        <w:jc w:val="left"/>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rPr>
        <w:t>7、参加政府采购活动前3年内在经营活动中没有重大违法记录的书面声明</w:t>
      </w:r>
      <w:r>
        <w:rPr>
          <w:rFonts w:hint="eastAsia" w:ascii="微软雅黑" w:hAnsi="微软雅黑" w:eastAsia="微软雅黑" w:cs="微软雅黑"/>
          <w:sz w:val="24"/>
          <w:lang w:val="en-US" w:eastAsia="zh-CN"/>
        </w:rPr>
        <w:t>及</w:t>
      </w:r>
      <w:r>
        <w:rPr>
          <w:rFonts w:hint="eastAsia" w:ascii="微软雅黑" w:hAnsi="微软雅黑" w:eastAsia="微软雅黑" w:cs="微软雅黑"/>
          <w:sz w:val="24"/>
        </w:rPr>
        <w:t>投标单位（供应商）提供针对本次采购项目《反商业贿赂承诺书》</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格式自拟</w:t>
      </w:r>
      <w:r>
        <w:rPr>
          <w:rFonts w:hint="eastAsia" w:ascii="微软雅黑" w:hAnsi="微软雅黑" w:eastAsia="微软雅黑" w:cs="微软雅黑"/>
          <w:sz w:val="24"/>
          <w:lang w:eastAsia="zh-CN"/>
        </w:rPr>
        <w:t>）；</w:t>
      </w:r>
    </w:p>
    <w:p>
      <w:pPr>
        <w:keepNext w:val="0"/>
        <w:keepLines w:val="0"/>
        <w:pageBreakBefore w:val="0"/>
        <w:widowControl w:val="0"/>
        <w:tabs>
          <w:tab w:val="left" w:pos="1800"/>
          <w:tab w:val="left" w:pos="5580"/>
        </w:tabs>
        <w:kinsoku/>
        <w:wordWrap/>
        <w:overflowPunct/>
        <w:topLinePunct w:val="0"/>
        <w:bidi w:val="0"/>
        <w:snapToGrid w:val="0"/>
        <w:spacing w:line="400" w:lineRule="exact"/>
        <w:ind w:right="-867"/>
        <w:jc w:val="lef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8</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w:t>
      </w:r>
      <w:r>
        <w:rPr>
          <w:rFonts w:hint="eastAsia" w:ascii="微软雅黑" w:hAnsi="微软雅黑" w:eastAsia="微软雅黑" w:cs="微软雅黑"/>
          <w:sz w:val="24"/>
          <w:lang w:val="en-US" w:eastAsia="zh-CN"/>
        </w:rPr>
        <w:t>网站</w:t>
      </w:r>
      <w:r>
        <w:rPr>
          <w:rFonts w:hint="eastAsia" w:ascii="微软雅黑" w:hAnsi="微软雅黑" w:eastAsia="微软雅黑" w:cs="微软雅黑"/>
          <w:sz w:val="24"/>
        </w:rPr>
        <w:t>查询结果为准</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w:t>
      </w:r>
    </w:p>
    <w:p>
      <w:pPr>
        <w:keepNext w:val="0"/>
        <w:keepLines w:val="0"/>
        <w:pageBreakBefore w:val="0"/>
        <w:widowControl w:val="0"/>
        <w:tabs>
          <w:tab w:val="left" w:pos="1800"/>
          <w:tab w:val="left" w:pos="5580"/>
        </w:tabs>
        <w:kinsoku/>
        <w:wordWrap/>
        <w:overflowPunct/>
        <w:topLinePunct w:val="0"/>
        <w:bidi w:val="0"/>
        <w:snapToGrid w:val="0"/>
        <w:spacing w:line="400" w:lineRule="exact"/>
        <w:ind w:right="-867"/>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sz w:val="24"/>
        </w:rPr>
        <w:t>9、</w:t>
      </w:r>
      <w:r>
        <w:rPr>
          <w:rFonts w:hint="eastAsia" w:ascii="微软雅黑" w:hAnsi="微软雅黑" w:eastAsia="微软雅黑" w:cs="微软雅黑"/>
          <w:color w:val="auto"/>
          <w:sz w:val="24"/>
        </w:rPr>
        <w:t>本项目不接受联合体投标。</w:t>
      </w:r>
    </w:p>
    <w:p>
      <w:pPr>
        <w:keepNext w:val="0"/>
        <w:keepLines w:val="0"/>
        <w:pageBreakBefore w:val="0"/>
        <w:widowControl w:val="0"/>
        <w:kinsoku/>
        <w:wordWrap/>
        <w:overflowPunct/>
        <w:topLinePunct w:val="0"/>
        <w:bidi w:val="0"/>
        <w:snapToGrid w:val="0"/>
        <w:spacing w:line="400" w:lineRule="exact"/>
        <w:textAlignment w:val="baseline"/>
        <w:rPr>
          <w:rFonts w:hint="eastAsia" w:ascii="微软雅黑" w:hAnsi="微软雅黑" w:eastAsia="微软雅黑" w:cs="微软雅黑"/>
          <w:b w:val="0"/>
          <w:bCs w:val="0"/>
          <w:sz w:val="24"/>
        </w:rPr>
      </w:pPr>
      <w:r>
        <w:rPr>
          <w:rFonts w:hint="eastAsia" w:ascii="微软雅黑" w:hAnsi="微软雅黑" w:eastAsia="微软雅黑" w:cs="微软雅黑"/>
          <w:sz w:val="24"/>
          <w:lang w:val="en-US" w:eastAsia="zh-CN"/>
        </w:rPr>
        <w:t>注：</w:t>
      </w:r>
      <w:r>
        <w:rPr>
          <w:rFonts w:hint="eastAsia" w:ascii="微软雅黑" w:hAnsi="微软雅黑" w:eastAsia="微软雅黑" w:cs="微软雅黑"/>
          <w:sz w:val="24"/>
        </w:rPr>
        <w:t>投标人提供的上述资格证明文件中涉及复印件和影印件的，均需加盖公章并注明“与原件一致”。</w:t>
      </w:r>
      <w:r>
        <w:rPr>
          <w:rFonts w:hint="eastAsia" w:ascii="微软雅黑" w:hAnsi="微软雅黑" w:eastAsia="微软雅黑" w:cs="微软雅黑"/>
          <w:b w:val="0"/>
          <w:bCs w:val="0"/>
          <w:sz w:val="24"/>
        </w:rPr>
        <w:t>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val="0"/>
        <w:spacing w:line="400" w:lineRule="exact"/>
        <w:textAlignment w:val="baseline"/>
      </w:pPr>
      <w:r>
        <w:rPr>
          <w:rFonts w:hint="eastAsia" w:ascii="微软雅黑" w:hAnsi="微软雅黑" w:eastAsia="微软雅黑" w:cs="微软雅黑"/>
          <w:b/>
          <w:bCs/>
          <w:sz w:val="24"/>
        </w:rPr>
        <w:t>提示：上述资质开标现场能够通过官方网络查证的，均视为合格供应商。在资格审查过程中，潜在投标企业提供的资质材料不全的，可打开投标书</w:t>
      </w:r>
      <w:r>
        <w:rPr>
          <w:rFonts w:hint="eastAsia" w:ascii="微软雅黑" w:hAnsi="微软雅黑" w:eastAsia="微软雅黑" w:cs="微软雅黑"/>
          <w:b/>
          <w:bCs/>
          <w:sz w:val="24"/>
          <w:lang w:eastAsia="zh-CN"/>
        </w:rPr>
        <w:t>正本</w:t>
      </w:r>
      <w:r>
        <w:rPr>
          <w:rFonts w:hint="eastAsia" w:ascii="微软雅黑" w:hAnsi="微软雅黑" w:eastAsia="微软雅黑" w:cs="微软雅黑"/>
          <w:b/>
          <w:bCs/>
          <w:sz w:val="24"/>
        </w:rPr>
        <w:t>进行进一步核实，符合条件的均为合格供应商。通过资格审查的供应商不足三家的，不得评标。</w:t>
      </w:r>
    </w:p>
    <w:p>
      <w:pPr>
        <w:keepNext w:val="0"/>
        <w:keepLines w:val="0"/>
        <w:pageBreakBefore w:val="0"/>
        <w:widowControl w:val="0"/>
        <w:kinsoku/>
        <w:wordWrap/>
        <w:overflowPunct/>
        <w:topLinePunct w:val="0"/>
        <w:bidi w:val="0"/>
        <w:snapToGrid w:val="0"/>
        <w:spacing w:line="400" w:lineRule="exact"/>
        <w:ind w:left="857" w:leftChars="2" w:hanging="853"/>
        <w:textAlignment w:val="baseline"/>
        <w:rPr>
          <w:rFonts w:ascii="微软雅黑" w:hAnsi="微软雅黑" w:eastAsia="微软雅黑" w:cs="微软雅黑"/>
          <w:sz w:val="24"/>
        </w:rPr>
      </w:pPr>
      <w:r>
        <w:rPr>
          <w:rFonts w:hint="eastAsia" w:ascii="微软雅黑" w:hAnsi="微软雅黑" w:eastAsia="微软雅黑" w:cs="微软雅黑"/>
          <w:sz w:val="24"/>
        </w:rPr>
        <w:t>19.2   采购人或采购代理机构将在开标前1个工作日至投标截止后1小时的期间内查询投标人的信用记录。投标人存在不良信用记录的，其投标将被认定为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keepNext w:val="0"/>
        <w:keepLines w:val="0"/>
        <w:pageBreakBefore w:val="0"/>
        <w:widowControl w:val="0"/>
        <w:kinsoku/>
        <w:wordWrap/>
        <w:overflowPunct/>
        <w:topLinePunct w:val="0"/>
        <w:bidi w:val="0"/>
        <w:snapToGrid w:val="0"/>
        <w:spacing w:line="400" w:lineRule="exact"/>
        <w:ind w:left="857" w:leftChars="2" w:hanging="853"/>
        <w:textAlignment w:val="baseline"/>
        <w:rPr>
          <w:rFonts w:ascii="微软雅黑" w:hAnsi="微软雅黑" w:eastAsia="微软雅黑" w:cs="微软雅黑"/>
          <w:sz w:val="24"/>
        </w:rPr>
      </w:pPr>
      <w:r>
        <w:rPr>
          <w:rFonts w:hint="eastAsia" w:ascii="微软雅黑" w:hAnsi="微软雅黑" w:eastAsia="微软雅黑" w:cs="微软雅黑"/>
          <w:sz w:val="24"/>
        </w:rPr>
        <w:t>19.2.1 不良信用记录指：</w:t>
      </w:r>
      <w:r>
        <w:rPr>
          <w:rFonts w:hint="eastAsia" w:ascii="微软雅黑" w:hAnsi="微软雅黑" w:eastAsia="微软雅黑" w:cs="微软雅黑"/>
          <w:b/>
          <w:bCs/>
          <w:sz w:val="24"/>
        </w:rPr>
        <w:t>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keepNext w:val="0"/>
        <w:keepLines w:val="0"/>
        <w:pageBreakBefore w:val="0"/>
        <w:widowControl w:val="0"/>
        <w:kinsoku/>
        <w:wordWrap/>
        <w:overflowPunct/>
        <w:topLinePunct w:val="0"/>
        <w:bidi w:val="0"/>
        <w:snapToGrid w:val="0"/>
        <w:spacing w:line="400" w:lineRule="exact"/>
        <w:ind w:left="849" w:leftChars="401" w:hanging="7" w:hangingChars="3"/>
        <w:textAlignment w:val="baseline"/>
        <w:rPr>
          <w:rFonts w:ascii="微软雅黑" w:hAnsi="微软雅黑" w:eastAsia="微软雅黑" w:cs="微软雅黑"/>
          <w:sz w:val="24"/>
        </w:rPr>
      </w:pPr>
      <w:r>
        <w:rPr>
          <w:rFonts w:hint="eastAsia" w:ascii="微软雅黑" w:hAnsi="微软雅黑" w:eastAsia="微软雅黑" w:cs="微软雅黑"/>
          <w:sz w:val="24"/>
        </w:rPr>
        <w:t>以联合体形式参加投标的，联合体任何成员存在以上不良信用记录的，联合体投标将被认定为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2"/>
        <w:keepNext w:val="0"/>
        <w:keepLines w:val="0"/>
        <w:pageBreakBefore w:val="0"/>
        <w:widowControl w:val="0"/>
        <w:kinsoku/>
        <w:wordWrap/>
        <w:overflowPunct/>
        <w:topLinePunct w:val="0"/>
        <w:bidi w:val="0"/>
        <w:snapToGrid w:val="0"/>
        <w:spacing w:line="400" w:lineRule="exact"/>
        <w:ind w:left="850" w:hanging="849" w:hangingChars="354"/>
        <w:jc w:val="both"/>
        <w:textAlignment w:val="baseline"/>
        <w:rPr>
          <w:rFonts w:ascii="微软雅黑" w:hAnsi="微软雅黑" w:eastAsia="微软雅黑" w:cs="微软雅黑"/>
          <w:color w:val="auto"/>
          <w:szCs w:val="24"/>
        </w:rPr>
      </w:pPr>
      <w:r>
        <w:rPr>
          <w:rFonts w:hint="eastAsia" w:ascii="微软雅黑" w:hAnsi="微软雅黑" w:eastAsia="微软雅黑" w:cs="微软雅黑"/>
          <w:szCs w:val="24"/>
        </w:rPr>
        <w:t>19.2.2 查询及记录方式：采购人或采购代理机构经办人将查询网页打印、签字并存档备查。投标人不良信用记</w:t>
      </w:r>
      <w:r>
        <w:rPr>
          <w:rFonts w:hint="eastAsia" w:ascii="微软雅黑" w:hAnsi="微软雅黑" w:eastAsia="微软雅黑" w:cs="微软雅黑"/>
          <w:color w:val="auto"/>
          <w:szCs w:val="24"/>
        </w:rPr>
        <w:t>录以采购人或采购代理机构查询结果为准。在本招标文件规定的查询时间之后，网站信息发生的任何变更均不再作为评标依据。</w:t>
      </w:r>
    </w:p>
    <w:p>
      <w:pPr>
        <w:pStyle w:val="2"/>
        <w:keepNext w:val="0"/>
        <w:keepLines w:val="0"/>
        <w:pageBreakBefore w:val="0"/>
        <w:widowControl w:val="0"/>
        <w:kinsoku/>
        <w:wordWrap/>
        <w:overflowPunct/>
        <w:topLinePunct w:val="0"/>
        <w:bidi w:val="0"/>
        <w:snapToGrid w:val="0"/>
        <w:spacing w:line="400" w:lineRule="exact"/>
        <w:ind w:firstLine="720" w:firstLineChars="300"/>
        <w:jc w:val="both"/>
        <w:textAlignment w:val="baseline"/>
        <w:rPr>
          <w:rFonts w:ascii="微软雅黑" w:hAnsi="微软雅黑" w:eastAsia="微软雅黑" w:cs="微软雅黑"/>
          <w:color w:val="auto"/>
          <w:szCs w:val="24"/>
        </w:rPr>
      </w:pPr>
      <w:r>
        <w:rPr>
          <w:rFonts w:hint="eastAsia" w:ascii="微软雅黑" w:hAnsi="微软雅黑" w:eastAsia="微软雅黑" w:cs="微软雅黑"/>
          <w:color w:val="auto"/>
          <w:szCs w:val="24"/>
        </w:rPr>
        <w:t>投标人自行提供的与网站信息不一致的其他证明材料亦不作为资格审查依据。</w:t>
      </w:r>
    </w:p>
    <w:p>
      <w:pPr>
        <w:keepNext w:val="0"/>
        <w:keepLines w:val="0"/>
        <w:pageBreakBefore w:val="0"/>
        <w:widowControl w:val="0"/>
        <w:kinsoku/>
        <w:wordWrap/>
        <w:overflowPunct/>
        <w:topLinePunct w:val="0"/>
        <w:bidi w:val="0"/>
        <w:spacing w:line="400" w:lineRule="exact"/>
        <w:ind w:left="840" w:leftChars="342" w:hanging="122" w:hangingChars="5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19.3   按照《中华人民共和国政府采购法》、《中华人民共和国政府采购法实施条例》</w:t>
      </w:r>
      <w:r>
        <w:rPr>
          <w:rFonts w:hint="eastAsia" w:ascii="微软雅黑" w:hAnsi="微软雅黑" w:eastAsia="微软雅黑" w:cs="微软雅黑"/>
          <w:color w:val="auto"/>
          <w:sz w:val="24"/>
          <w:lang w:eastAsia="zh-CN"/>
        </w:rPr>
        <w:t>、</w:t>
      </w:r>
      <w:r>
        <w:rPr>
          <w:rFonts w:hint="eastAsia" w:ascii="微软雅黑" w:hAnsi="微软雅黑" w:eastAsia="微软雅黑" w:cs="微软雅黑"/>
          <w:sz w:val="24"/>
          <w:lang w:eastAsia="zh-CN"/>
        </w:rPr>
        <w:t>中华人民共和国财政部令第87号《政府采购货物和服务招标投标管理办法》</w:t>
      </w:r>
      <w:r>
        <w:rPr>
          <w:rFonts w:hint="eastAsia" w:ascii="微软雅黑" w:hAnsi="微软雅黑" w:eastAsia="微软雅黑" w:cs="微软雅黑"/>
          <w:color w:val="auto"/>
          <w:sz w:val="24"/>
        </w:rPr>
        <w:t>及本项目本级和上级财政部门的有关规定依法组建的评标委员会，负责评标工作。</w:t>
      </w:r>
      <w:bookmarkStart w:id="160" w:name="_Toc520356166"/>
    </w:p>
    <w:p>
      <w:pPr>
        <w:keepNext w:val="0"/>
        <w:keepLines w:val="0"/>
        <w:pageBreakBefore w:val="0"/>
        <w:widowControl w:val="0"/>
        <w:kinsoku/>
        <w:wordWrap/>
        <w:overflowPunct/>
        <w:topLinePunct w:val="0"/>
        <w:bidi w:val="0"/>
        <w:spacing w:line="400" w:lineRule="exact"/>
        <w:ind w:left="840" w:leftChars="342" w:hanging="122" w:hangingChars="51"/>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rPr>
        <w:t>本项目评标委员会由</w:t>
      </w:r>
      <w:r>
        <w:rPr>
          <w:rFonts w:hint="eastAsia" w:ascii="微软雅黑" w:hAnsi="微软雅黑" w:eastAsia="微软雅黑" w:cs="微软雅黑"/>
          <w:b/>
          <w:bCs/>
          <w:color w:val="auto"/>
          <w:sz w:val="24"/>
          <w:lang w:val="en-US" w:eastAsia="zh-CN"/>
        </w:rPr>
        <w:t>5</w:t>
      </w:r>
      <w:r>
        <w:rPr>
          <w:rFonts w:hint="eastAsia" w:ascii="微软雅黑" w:hAnsi="微软雅黑" w:eastAsia="微软雅黑" w:cs="微软雅黑"/>
          <w:b/>
          <w:bCs/>
          <w:color w:val="auto"/>
          <w:sz w:val="24"/>
        </w:rPr>
        <w:t>人组成（依法从政采云平台专家库随机抽取专家</w:t>
      </w:r>
      <w:r>
        <w:rPr>
          <w:rFonts w:hint="eastAsia" w:ascii="微软雅黑" w:hAnsi="微软雅黑" w:eastAsia="微软雅黑" w:cs="微软雅黑"/>
          <w:b/>
          <w:bCs/>
          <w:color w:val="auto"/>
          <w:sz w:val="24"/>
          <w:lang w:val="en-US" w:eastAsia="zh-CN"/>
        </w:rPr>
        <w:t>4</w:t>
      </w:r>
      <w:r>
        <w:rPr>
          <w:rFonts w:hint="eastAsia" w:ascii="微软雅黑" w:hAnsi="微软雅黑" w:eastAsia="微软雅黑" w:cs="微软雅黑"/>
          <w:b/>
          <w:bCs/>
          <w:color w:val="auto"/>
          <w:sz w:val="24"/>
        </w:rPr>
        <w:t>名</w:t>
      </w:r>
      <w:r>
        <w:rPr>
          <w:rFonts w:hint="eastAsia" w:ascii="微软雅黑" w:hAnsi="微软雅黑" w:eastAsia="微软雅黑" w:cs="微软雅黑"/>
          <w:b/>
          <w:bCs/>
          <w:color w:val="auto"/>
          <w:sz w:val="24"/>
          <w:lang w:eastAsia="zh-CN"/>
        </w:rPr>
        <w:t>，</w:t>
      </w:r>
      <w:r>
        <w:rPr>
          <w:rFonts w:hint="eastAsia" w:ascii="微软雅黑" w:hAnsi="微软雅黑" w:eastAsia="微软雅黑" w:cs="微软雅黑"/>
          <w:b/>
          <w:bCs/>
          <w:color w:val="auto"/>
          <w:sz w:val="24"/>
          <w:lang w:val="en-US" w:eastAsia="zh-CN"/>
        </w:rPr>
        <w:t>业主代表1名</w:t>
      </w:r>
      <w:r>
        <w:rPr>
          <w:rFonts w:hint="eastAsia" w:ascii="微软雅黑" w:hAnsi="微软雅黑" w:eastAsia="微软雅黑" w:cs="微软雅黑"/>
          <w:b/>
          <w:bCs/>
          <w:color w:val="auto"/>
          <w:sz w:val="24"/>
        </w:rPr>
        <w:t>）。</w:t>
      </w:r>
    </w:p>
    <w:p>
      <w:pPr>
        <w:snapToGrid w:val="0"/>
        <w:spacing w:line="400" w:lineRule="exact"/>
        <w:ind w:left="850" w:hanging="849" w:hangingChars="354"/>
        <w:textAlignment w:val="baseline"/>
        <w:rPr>
          <w:rFonts w:ascii="微软雅黑" w:hAnsi="微软雅黑" w:eastAsia="微软雅黑" w:cs="微软雅黑"/>
          <w:color w:val="auto"/>
          <w:sz w:val="24"/>
        </w:rPr>
      </w:pPr>
    </w:p>
    <w:p>
      <w:pPr>
        <w:pStyle w:val="6"/>
        <w:snapToGrid w:val="0"/>
        <w:spacing w:before="0" w:after="0" w:line="400" w:lineRule="exact"/>
        <w:textAlignment w:val="baseline"/>
        <w:rPr>
          <w:rFonts w:ascii="微软雅黑" w:hAnsi="微软雅黑" w:eastAsia="微软雅黑" w:cs="微软雅黑"/>
          <w:b w:val="0"/>
          <w:bCs/>
          <w:color w:val="auto"/>
          <w:szCs w:val="24"/>
          <w:bdr w:val="single" w:color="auto" w:sz="4" w:space="0"/>
        </w:rPr>
      </w:pPr>
      <w:bookmarkStart w:id="161" w:name="_Toc25607"/>
      <w:bookmarkStart w:id="162" w:name="_Toc2524"/>
      <w:bookmarkStart w:id="163" w:name="_Toc515647781"/>
      <w:bookmarkStart w:id="164" w:name="_Toc19949"/>
      <w:bookmarkStart w:id="165" w:name="_Toc28479"/>
      <w:r>
        <w:rPr>
          <w:rFonts w:hint="eastAsia" w:ascii="微软雅黑" w:hAnsi="微软雅黑" w:eastAsia="微软雅黑" w:cs="微软雅黑"/>
          <w:color w:val="auto"/>
          <w:szCs w:val="24"/>
        </w:rPr>
        <w:t>20.投标文件</w:t>
      </w:r>
      <w:bookmarkEnd w:id="160"/>
      <w:r>
        <w:rPr>
          <w:rFonts w:hint="eastAsia" w:ascii="微软雅黑" w:hAnsi="微软雅黑" w:eastAsia="微软雅黑" w:cs="微软雅黑"/>
          <w:color w:val="auto"/>
          <w:szCs w:val="24"/>
        </w:rPr>
        <w:t>符合性审查与澄清</w:t>
      </w:r>
      <w:bookmarkEnd w:id="161"/>
      <w:bookmarkEnd w:id="162"/>
      <w:bookmarkEnd w:id="163"/>
      <w:bookmarkEnd w:id="164"/>
      <w:bookmarkEnd w:id="165"/>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符合性审查是指依据招标文件的规定，从投标文件的有效性和完整性对招标文件的响应程度进行审查，以确定是否对招标文件的实质性要求做出响应。</w:t>
      </w:r>
      <w:bookmarkStart w:id="166" w:name="_Hlt522424701"/>
      <w:bookmarkEnd w:id="166"/>
      <w:bookmarkStart w:id="167" w:name="_Toc520356167"/>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投标文件的澄清</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20.2.2  投标人的的澄清、说明或补正将作为投标文件的一部分。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20.3  投标文件报价出现前后不一致的，按照下列规定修正：</w:t>
      </w:r>
    </w:p>
    <w:p>
      <w:pPr>
        <w:snapToGrid w:val="0"/>
        <w:spacing w:line="400" w:lineRule="exact"/>
        <w:ind w:left="1020" w:hanging="1020" w:hangingChars="42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（一）投标文件中开标一览表（报价表）内容与投标文件中相应内容不一致的，以开标一览表（报价表）为准；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pPr>
        <w:snapToGrid w:val="0"/>
        <w:spacing w:line="400" w:lineRule="exact"/>
        <w:ind w:left="1020" w:hanging="1020" w:hangingChars="42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（三）单价金额小数点或者百分比有明显错位的，以开标一览表的总价为准，并修改单价；</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pPr>
        <w:snapToGrid w:val="0"/>
        <w:spacing w:line="400" w:lineRule="exact"/>
        <w:ind w:left="900" w:hanging="900" w:hangingChars="375"/>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　　    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napToGrid w:val="0"/>
        <w:spacing w:line="400" w:lineRule="exact"/>
        <w:ind w:left="735" w:leftChars="350" w:firstLine="120" w:firstLineChars="5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对不同文字文本投标文件的解释发生异议的，以中文文本为准。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如一个分包内只有一种产品，不同投标人所投产品为同一品牌的，按如下方式处理：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20.5   如一个分包内包含多种产品的，采购人或采购代理机构将在</w:t>
      </w:r>
      <w:r>
        <w:rPr>
          <w:rFonts w:hint="eastAsia" w:ascii="微软雅黑" w:hAnsi="微软雅黑" w:eastAsia="微软雅黑" w:cs="微软雅黑"/>
          <w:color w:val="auto"/>
          <w:sz w:val="24"/>
          <w:u w:val="single"/>
        </w:rPr>
        <w:t>投标人须知资料表</w:t>
      </w:r>
      <w:r>
        <w:rPr>
          <w:rFonts w:hint="eastAsia" w:ascii="微软雅黑" w:hAnsi="微软雅黑" w:eastAsia="微软雅黑" w:cs="微软雅黑"/>
          <w:color w:val="auto"/>
          <w:sz w:val="24"/>
        </w:rPr>
        <w:t>中载明核心产品，多家投标人提供的核心产品品牌相同的，按第20.4条规定处理。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如采购人所采购产品为政府强制采购的节能产品，投标人所投产品的品牌及型号必须为清单中有效期内产品并提供证明文件，否则其投标将被认定为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w:t>
      </w:r>
    </w:p>
    <w:p>
      <w:pPr>
        <w:pStyle w:val="6"/>
        <w:snapToGrid w:val="0"/>
        <w:spacing w:before="0" w:after="0" w:line="400" w:lineRule="exact"/>
        <w:textAlignment w:val="baseline"/>
        <w:rPr>
          <w:rFonts w:ascii="微软雅黑" w:hAnsi="微软雅黑" w:eastAsia="微软雅黑" w:cs="微软雅黑"/>
          <w:color w:val="auto"/>
          <w:szCs w:val="24"/>
        </w:rPr>
      </w:pPr>
      <w:bookmarkStart w:id="168" w:name="_Toc9469"/>
      <w:bookmarkStart w:id="169" w:name="_Toc12537"/>
      <w:bookmarkStart w:id="170" w:name="_Toc6364"/>
      <w:bookmarkStart w:id="171" w:name="_Toc515647782"/>
      <w:bookmarkStart w:id="172" w:name="_Toc28888"/>
      <w:r>
        <w:rPr>
          <w:rFonts w:hint="eastAsia" w:ascii="微软雅黑" w:hAnsi="微软雅黑" w:eastAsia="微软雅黑" w:cs="微软雅黑"/>
          <w:color w:val="auto"/>
          <w:szCs w:val="24"/>
        </w:rPr>
        <w:t>21.投标偏离</w:t>
      </w:r>
      <w:bookmarkEnd w:id="168"/>
      <w:bookmarkEnd w:id="169"/>
      <w:bookmarkEnd w:id="170"/>
      <w:bookmarkEnd w:id="171"/>
      <w:bookmarkEnd w:id="172"/>
    </w:p>
    <w:p>
      <w:pPr>
        <w:snapToGrid w:val="0"/>
        <w:spacing w:line="400" w:lineRule="exact"/>
        <w:ind w:left="847" w:leftChars="99" w:hanging="640" w:hangingChars="26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评标委员会可以接受投标文件中不构成实质性偏离的不正规或不一致。</w:t>
      </w:r>
      <w:bookmarkStart w:id="173" w:name="_Toc515647783"/>
      <w:bookmarkStart w:id="174" w:name="_Toc6092"/>
      <w:bookmarkStart w:id="175" w:name="_Toc4950"/>
    </w:p>
    <w:p>
      <w:pPr>
        <w:pStyle w:val="6"/>
        <w:snapToGrid w:val="0"/>
        <w:spacing w:before="0" w:after="0" w:line="400" w:lineRule="exact"/>
        <w:textAlignment w:val="baseline"/>
        <w:rPr>
          <w:rFonts w:ascii="微软雅黑" w:hAnsi="微软雅黑" w:eastAsia="微软雅黑" w:cs="微软雅黑"/>
          <w:color w:val="auto"/>
          <w:szCs w:val="24"/>
        </w:rPr>
      </w:pPr>
      <w:bookmarkStart w:id="176" w:name="_Toc20254"/>
      <w:bookmarkStart w:id="177" w:name="_Toc20516"/>
      <w:r>
        <w:rPr>
          <w:rFonts w:hint="eastAsia" w:ascii="微软雅黑" w:hAnsi="微软雅黑" w:eastAsia="微软雅黑" w:cs="微软雅黑"/>
          <w:color w:val="auto"/>
          <w:szCs w:val="24"/>
        </w:rPr>
        <w:t>22.投标</w:t>
      </w:r>
      <w:bookmarkEnd w:id="173"/>
      <w:r>
        <w:rPr>
          <w:rFonts w:hint="eastAsia" w:ascii="微软雅黑" w:hAnsi="微软雅黑" w:eastAsia="微软雅黑" w:cs="微软雅黑"/>
          <w:color w:val="auto"/>
          <w:szCs w:val="24"/>
        </w:rPr>
        <w:t>无效</w:t>
      </w:r>
      <w:bookmarkEnd w:id="174"/>
      <w:bookmarkEnd w:id="175"/>
      <w:bookmarkEnd w:id="176"/>
      <w:bookmarkEnd w:id="177"/>
    </w:p>
    <w:p>
      <w:pPr>
        <w:snapToGrid w:val="0"/>
        <w:spacing w:line="400" w:lineRule="exact"/>
        <w:ind w:left="852" w:leftChars="-23"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4"/>
        </w:rPr>
        <w:t>投标无效</w:t>
      </w:r>
      <w:r>
        <w:rPr>
          <w:rFonts w:hint="eastAsia" w:ascii="微软雅黑" w:hAnsi="微软雅黑" w:eastAsia="微软雅黑" w:cs="微软雅黑"/>
          <w:color w:val="auto"/>
          <w:sz w:val="24"/>
        </w:rPr>
        <w:t>。投标人不得通过修正或撤销不符合要求的偏离，从而使其投标成为实质上响应的投标。</w:t>
      </w:r>
    </w:p>
    <w:p>
      <w:pPr>
        <w:snapToGrid w:val="0"/>
        <w:spacing w:line="400" w:lineRule="exact"/>
        <w:ind w:left="791" w:leftChars="37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评标委员会决定投标的响应性只根据招标文件要求、投标文件内容及财政主管部门指定相关信息发布媒体。</w:t>
      </w:r>
    </w:p>
    <w:p>
      <w:pPr>
        <w:snapToGrid w:val="0"/>
        <w:spacing w:line="400" w:lineRule="exact"/>
        <w:ind w:left="900" w:hanging="900" w:hangingChars="375"/>
        <w:textAlignment w:val="baseline"/>
        <w:rPr>
          <w:rFonts w:ascii="微软雅黑" w:hAnsi="微软雅黑" w:eastAsia="微软雅黑" w:cs="微软雅黑"/>
          <w:b/>
          <w:bCs/>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如发现下列情况之一的，其投标将被认定为投标无效：</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未按招标文件规定的形式和金额提交投标保证金的；</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未按照招标文件规定要求签署、盖章的；</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未满足招标文件中技术条款的实质性要求；</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与其他投标人串通投标，或者与招标人串通投标；</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属于招标文件规定的其他投标无效情形；</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评标委员会认为投标人的报价明显低于其他通过符合性检查投标人的报价，有可能影响履约的，且投标人未按照规定证明其报价合理性的；</w:t>
      </w:r>
    </w:p>
    <w:p>
      <w:pPr>
        <w:numPr>
          <w:ilvl w:val="0"/>
          <w:numId w:val="7"/>
        </w:numPr>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投标文件含有采购人不能接受的附加条件的；</w:t>
      </w:r>
    </w:p>
    <w:p>
      <w:pPr>
        <w:numPr>
          <w:ilvl w:val="0"/>
          <w:numId w:val="7"/>
        </w:numPr>
        <w:tabs>
          <w:tab w:val="left" w:pos="0"/>
        </w:tabs>
        <w:snapToGrid w:val="0"/>
        <w:spacing w:line="400" w:lineRule="exact"/>
        <w:ind w:left="1230" w:hanging="18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不符合法规和招标文件中规定的其他实质性要求的。</w:t>
      </w:r>
    </w:p>
    <w:p>
      <w:pPr>
        <w:snapToGrid w:val="0"/>
        <w:spacing w:line="400" w:lineRule="exact"/>
        <w:textAlignment w:val="baseline"/>
        <w:rPr>
          <w:rFonts w:ascii="微软雅黑" w:hAnsi="微软雅黑" w:eastAsia="微软雅黑" w:cs="微软雅黑"/>
          <w:b/>
          <w:bCs/>
          <w:color w:val="auto"/>
          <w:sz w:val="24"/>
        </w:rPr>
      </w:pPr>
      <w:bookmarkStart w:id="178" w:name="_Toc22941"/>
      <w:bookmarkStart w:id="179" w:name="_Toc13652"/>
      <w:bookmarkStart w:id="180" w:name="_Toc515647784"/>
      <w:bookmarkStart w:id="181" w:name="_Toc10960"/>
      <w:r>
        <w:rPr>
          <w:rFonts w:hint="eastAsia" w:ascii="微软雅黑" w:hAnsi="微软雅黑" w:eastAsia="微软雅黑" w:cs="微软雅黑"/>
          <w:b/>
          <w:bCs/>
          <w:color w:val="auto"/>
          <w:sz w:val="24"/>
        </w:rPr>
        <w:t>23.</w:t>
      </w:r>
      <w:bookmarkEnd w:id="167"/>
      <w:r>
        <w:rPr>
          <w:rFonts w:hint="eastAsia" w:ascii="微软雅黑" w:hAnsi="微软雅黑" w:eastAsia="微软雅黑" w:cs="微软雅黑"/>
          <w:b/>
          <w:bCs/>
          <w:color w:val="auto"/>
          <w:sz w:val="24"/>
        </w:rPr>
        <w:t>比较与评价</w:t>
      </w:r>
      <w:bookmarkEnd w:id="178"/>
      <w:bookmarkEnd w:id="179"/>
      <w:bookmarkEnd w:id="180"/>
      <w:bookmarkEnd w:id="181"/>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b/>
          <w:bCs/>
          <w:color w:val="auto"/>
          <w:sz w:val="24"/>
        </w:rPr>
        <w:t>经符合性审查合格的投标文件，评标委员会将根据招标文件确定的评标方法和标准，对其技术部分和商务部分作进一步的比较和评价</w:t>
      </w:r>
      <w:r>
        <w:rPr>
          <w:rFonts w:hint="eastAsia" w:ascii="微软雅黑" w:hAnsi="微软雅黑" w:eastAsia="微软雅黑" w:cs="微软雅黑"/>
          <w:color w:val="auto"/>
          <w:sz w:val="24"/>
        </w:rPr>
        <w:t>。</w:t>
      </w:r>
    </w:p>
    <w:p>
      <w:pPr>
        <w:snapToGrid w:val="0"/>
        <w:spacing w:line="400" w:lineRule="exact"/>
        <w:ind w:left="900" w:hanging="900" w:hangingChars="375"/>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评标严格按照招标文件的要求和条件进行。根据实际情况，在</w:t>
      </w:r>
      <w:r>
        <w:rPr>
          <w:rFonts w:hint="eastAsia" w:ascii="微软雅黑" w:hAnsi="微软雅黑" w:eastAsia="微软雅黑" w:cs="微软雅黑"/>
          <w:color w:val="auto"/>
          <w:sz w:val="24"/>
          <w:u w:val="single"/>
        </w:rPr>
        <w:t>投标人须知资料表</w:t>
      </w:r>
      <w:r>
        <w:rPr>
          <w:rFonts w:hint="eastAsia" w:ascii="微软雅黑" w:hAnsi="微软雅黑" w:eastAsia="微软雅黑" w:cs="微软雅黑"/>
          <w:color w:val="auto"/>
          <w:sz w:val="24"/>
        </w:rPr>
        <w:t>中规定采用下列一种评标方法，详细评标标准见招标文件第六章：</w:t>
      </w:r>
    </w:p>
    <w:p>
      <w:pPr>
        <w:pStyle w:val="15"/>
        <w:snapToGrid w:val="0"/>
        <w:spacing w:line="400" w:lineRule="exact"/>
        <w:ind w:left="899" w:leftChars="342" w:hanging="181"/>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 最低评标价法，是指投标文件满足招标文件全部实质性要求，且投标报价最低的投标人为中标候选人的评标方法。</w:t>
      </w:r>
    </w:p>
    <w:p>
      <w:pPr>
        <w:pStyle w:val="15"/>
        <w:snapToGrid w:val="0"/>
        <w:spacing w:line="400" w:lineRule="exact"/>
        <w:ind w:left="898" w:leftChars="342" w:hanging="180"/>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 综合评分法，是指投标文件满足招标文件全部实质性要求，且按照评审因素的量化指标评审得分最高的投标人为中标候选人的评标方法。</w:t>
      </w:r>
    </w:p>
    <w:p>
      <w:pPr>
        <w:pStyle w:val="15"/>
        <w:snapToGrid w:val="0"/>
        <w:spacing w:line="400" w:lineRule="exact"/>
        <w:ind w:left="898" w:leftChars="342" w:hanging="180"/>
        <w:textAlignment w:val="baseline"/>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本项目采用</w:t>
      </w:r>
      <w:r>
        <w:rPr>
          <w:rFonts w:hint="eastAsia" w:ascii="微软雅黑" w:hAnsi="微软雅黑" w:eastAsia="微软雅黑" w:cs="微软雅黑"/>
          <w:b/>
          <w:bCs/>
          <w:color w:val="auto"/>
          <w:sz w:val="24"/>
          <w:szCs w:val="24"/>
          <w:lang w:eastAsia="zh-CN"/>
        </w:rPr>
        <w:t>综合评分法进行评审（包括投标报价部分、商务部分、技术部分，分值</w:t>
      </w:r>
      <w:r>
        <w:rPr>
          <w:rFonts w:hint="eastAsia" w:ascii="微软雅黑" w:hAnsi="微软雅黑" w:eastAsia="微软雅黑" w:cs="微软雅黑"/>
          <w:b/>
          <w:bCs/>
          <w:color w:val="auto"/>
          <w:sz w:val="24"/>
          <w:szCs w:val="24"/>
          <w:lang w:val="en-US" w:eastAsia="zh-CN"/>
        </w:rPr>
        <w:t>100分</w:t>
      </w:r>
      <w:r>
        <w:rPr>
          <w:rFonts w:hint="eastAsia" w:ascii="微软雅黑" w:hAnsi="微软雅黑" w:eastAsia="微软雅黑" w:cs="微软雅黑"/>
          <w:b/>
          <w:bCs/>
          <w:color w:val="auto"/>
          <w:sz w:val="24"/>
          <w:szCs w:val="24"/>
          <w:lang w:eastAsia="zh-CN"/>
        </w:rPr>
        <w:t>）</w:t>
      </w:r>
    </w:p>
    <w:p>
      <w:pPr>
        <w:pStyle w:val="15"/>
        <w:pageBreakBefore w:val="0"/>
        <w:numPr>
          <w:ilvl w:val="0"/>
          <w:numId w:val="8"/>
        </w:numPr>
        <w:kinsoku/>
        <w:wordWrap/>
        <w:overflowPunct/>
        <w:topLinePunct w:val="0"/>
        <w:bidi w:val="0"/>
        <w:snapToGrid/>
        <w:spacing w:line="336" w:lineRule="exact"/>
        <w:ind w:left="898" w:leftChars="342" w:hanging="180"/>
        <w:textAlignment w:val="auto"/>
        <w:rPr>
          <w:rFonts w:hint="eastAsia" w:ascii="仿宋" w:hAnsi="仿宋" w:eastAsia="仿宋" w:cs="仿宋"/>
          <w:b/>
          <w:bCs/>
          <w:i w:val="0"/>
          <w:iCs w:val="0"/>
          <w:color w:val="FF0000"/>
          <w:sz w:val="24"/>
          <w:szCs w:val="24"/>
          <w:u w:val="single"/>
        </w:rPr>
      </w:pPr>
      <w:r>
        <w:rPr>
          <w:rFonts w:hint="eastAsia" w:ascii="仿宋" w:hAnsi="仿宋" w:eastAsia="仿宋" w:cs="仿宋"/>
          <w:b/>
          <w:bCs/>
          <w:i w:val="0"/>
          <w:iCs w:val="0"/>
          <w:color w:val="FF0000"/>
          <w:sz w:val="24"/>
          <w:szCs w:val="24"/>
          <w:u w:val="single"/>
          <w:lang w:eastAsia="zh-CN"/>
        </w:rPr>
        <w:t>投标报价部分：</w:t>
      </w:r>
      <w:r>
        <w:rPr>
          <w:rFonts w:hint="eastAsia" w:ascii="仿宋" w:hAnsi="仿宋" w:eastAsia="仿宋" w:cs="仿宋"/>
          <w:b/>
          <w:bCs/>
          <w:i w:val="0"/>
          <w:iCs w:val="0"/>
          <w:color w:val="FF0000"/>
          <w:sz w:val="24"/>
          <w:szCs w:val="24"/>
          <w:u w:val="single"/>
        </w:rPr>
        <w:t>3</w:t>
      </w:r>
      <w:r>
        <w:rPr>
          <w:rFonts w:hint="eastAsia" w:ascii="仿宋" w:hAnsi="仿宋" w:eastAsia="仿宋" w:cs="仿宋"/>
          <w:b/>
          <w:bCs/>
          <w:i w:val="0"/>
          <w:iCs w:val="0"/>
          <w:color w:val="FF0000"/>
          <w:sz w:val="24"/>
          <w:szCs w:val="24"/>
          <w:u w:val="single"/>
          <w:lang w:val="en-US" w:eastAsia="zh-CN"/>
        </w:rPr>
        <w:t>0</w:t>
      </w:r>
      <w:r>
        <w:rPr>
          <w:rFonts w:hint="eastAsia" w:ascii="仿宋" w:hAnsi="仿宋" w:eastAsia="仿宋" w:cs="仿宋"/>
          <w:b/>
          <w:bCs/>
          <w:i w:val="0"/>
          <w:iCs w:val="0"/>
          <w:color w:val="FF0000"/>
          <w:sz w:val="24"/>
          <w:szCs w:val="24"/>
          <w:u w:val="single"/>
        </w:rPr>
        <w:t>分</w:t>
      </w:r>
    </w:p>
    <w:p>
      <w:pPr>
        <w:pStyle w:val="15"/>
        <w:pageBreakBefore w:val="0"/>
        <w:numPr>
          <w:ilvl w:val="0"/>
          <w:numId w:val="8"/>
        </w:numPr>
        <w:kinsoku/>
        <w:wordWrap/>
        <w:overflowPunct/>
        <w:topLinePunct w:val="0"/>
        <w:bidi w:val="0"/>
        <w:snapToGrid/>
        <w:spacing w:line="336" w:lineRule="exact"/>
        <w:ind w:left="898" w:leftChars="342" w:hanging="180"/>
        <w:textAlignment w:val="auto"/>
        <w:rPr>
          <w:rFonts w:hint="eastAsia" w:ascii="仿宋" w:hAnsi="仿宋" w:eastAsia="仿宋" w:cs="仿宋"/>
          <w:b/>
          <w:bCs/>
          <w:i w:val="0"/>
          <w:iCs w:val="0"/>
          <w:color w:val="FF0000"/>
          <w:sz w:val="24"/>
          <w:szCs w:val="24"/>
          <w:u w:val="single"/>
        </w:rPr>
      </w:pPr>
      <w:r>
        <w:rPr>
          <w:rFonts w:hint="eastAsia" w:ascii="仿宋" w:hAnsi="仿宋" w:eastAsia="仿宋" w:cs="仿宋"/>
          <w:b/>
          <w:bCs/>
          <w:i w:val="0"/>
          <w:iCs w:val="0"/>
          <w:color w:val="FF0000"/>
          <w:sz w:val="24"/>
          <w:szCs w:val="24"/>
          <w:u w:val="single"/>
          <w:lang w:eastAsia="zh-CN"/>
        </w:rPr>
        <w:t>商务</w:t>
      </w:r>
      <w:r>
        <w:rPr>
          <w:rFonts w:hint="eastAsia" w:ascii="仿宋" w:hAnsi="仿宋" w:eastAsia="仿宋" w:cs="仿宋"/>
          <w:b/>
          <w:bCs/>
          <w:i w:val="0"/>
          <w:iCs w:val="0"/>
          <w:color w:val="FF0000"/>
          <w:sz w:val="24"/>
          <w:szCs w:val="24"/>
          <w:u w:val="single"/>
          <w:lang w:val="en-US" w:eastAsia="zh-CN"/>
        </w:rPr>
        <w:t>技术</w:t>
      </w:r>
      <w:r>
        <w:rPr>
          <w:rFonts w:hint="eastAsia" w:ascii="仿宋" w:hAnsi="仿宋" w:eastAsia="仿宋" w:cs="仿宋"/>
          <w:b/>
          <w:bCs/>
          <w:i w:val="0"/>
          <w:iCs w:val="0"/>
          <w:color w:val="FF0000"/>
          <w:sz w:val="24"/>
          <w:szCs w:val="24"/>
          <w:u w:val="single"/>
          <w:lang w:eastAsia="zh-CN"/>
        </w:rPr>
        <w:t>部分</w:t>
      </w:r>
      <w:r>
        <w:rPr>
          <w:rFonts w:hint="eastAsia" w:ascii="仿宋" w:hAnsi="仿宋" w:eastAsia="仿宋" w:cs="仿宋"/>
          <w:b/>
          <w:bCs/>
          <w:i w:val="0"/>
          <w:iCs w:val="0"/>
          <w:color w:val="FF0000"/>
          <w:sz w:val="24"/>
          <w:szCs w:val="24"/>
          <w:u w:val="single"/>
        </w:rPr>
        <w:t>：</w:t>
      </w:r>
      <w:r>
        <w:rPr>
          <w:rFonts w:hint="eastAsia" w:ascii="仿宋" w:hAnsi="仿宋" w:eastAsia="仿宋" w:cs="仿宋"/>
          <w:b/>
          <w:bCs/>
          <w:i w:val="0"/>
          <w:iCs w:val="0"/>
          <w:color w:val="FF0000"/>
          <w:sz w:val="24"/>
          <w:szCs w:val="24"/>
          <w:u w:val="single"/>
          <w:lang w:val="en-US" w:eastAsia="zh-CN"/>
        </w:rPr>
        <w:t>70</w:t>
      </w:r>
      <w:r>
        <w:rPr>
          <w:rFonts w:hint="eastAsia" w:ascii="仿宋" w:hAnsi="仿宋" w:eastAsia="仿宋" w:cs="仿宋"/>
          <w:b/>
          <w:bCs/>
          <w:i w:val="0"/>
          <w:iCs w:val="0"/>
          <w:color w:val="FF0000"/>
          <w:sz w:val="24"/>
          <w:szCs w:val="24"/>
          <w:u w:val="single"/>
        </w:rPr>
        <w:t>分</w:t>
      </w:r>
    </w:p>
    <w:p>
      <w:pPr>
        <w:pStyle w:val="15"/>
        <w:snapToGrid w:val="0"/>
        <w:spacing w:line="400" w:lineRule="exact"/>
        <w:ind w:left="420" w:leftChars="0" w:right="-420" w:rightChars="-200" w:hanging="420" w:hangingChars="17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sz w:val="24"/>
          <w:szCs w:val="24"/>
          <w:lang w:eastAsia="zh-CN"/>
        </w:rPr>
        <w:t>、财库〔2022〕19号关于进一步加大政府采购支持中小企业力度的通知</w:t>
      </w:r>
      <w:r>
        <w:rPr>
          <w:rFonts w:hint="eastAsia" w:ascii="微软雅黑" w:hAnsi="微软雅黑" w:eastAsia="微软雅黑" w:cs="微软雅黑"/>
          <w:sz w:val="24"/>
          <w:szCs w:val="24"/>
        </w:rPr>
        <w:t>规定，对满足价格扣除条件且在响应文件中提交了《供应商企业类型声明函》或省级以上监狱管理局、戒毒管理局（含新疆生产建设兵团）出具的属于监狱企业的证明文件的供应商</w:t>
      </w:r>
      <w:r>
        <w:rPr>
          <w:rFonts w:hint="eastAsia" w:ascii="微软雅黑" w:hAnsi="微软雅黑" w:eastAsia="微软雅黑" w:cs="微软雅黑"/>
          <w:color w:val="0000FF"/>
          <w:kern w:val="2"/>
          <w:sz w:val="24"/>
          <w:szCs w:val="24"/>
          <w:lang w:val="en-US" w:eastAsia="zh-CN" w:bidi="ar-SA"/>
        </w:rPr>
        <w:t>，其投标报价扣除10%后参与评审。</w:t>
      </w:r>
    </w:p>
    <w:p>
      <w:pPr>
        <w:pStyle w:val="6"/>
        <w:snapToGrid w:val="0"/>
        <w:spacing w:before="0" w:after="0" w:line="400" w:lineRule="exact"/>
        <w:textAlignment w:val="baseline"/>
        <w:rPr>
          <w:rFonts w:ascii="微软雅黑" w:hAnsi="微软雅黑" w:eastAsia="微软雅黑" w:cs="微软雅黑"/>
          <w:szCs w:val="24"/>
        </w:rPr>
      </w:pPr>
      <w:bookmarkStart w:id="182" w:name="_Toc520356168"/>
      <w:bookmarkStart w:id="183" w:name="_Toc8327"/>
      <w:bookmarkStart w:id="184" w:name="_Toc515647785"/>
      <w:bookmarkStart w:id="185" w:name="_Toc26143"/>
      <w:bookmarkStart w:id="186" w:name="_Toc20227"/>
      <w:bookmarkStart w:id="187" w:name="_Toc9378"/>
      <w:r>
        <w:rPr>
          <w:rFonts w:hint="eastAsia" w:ascii="微软雅黑" w:hAnsi="微软雅黑" w:eastAsia="微软雅黑" w:cs="微软雅黑"/>
          <w:szCs w:val="24"/>
        </w:rPr>
        <w:t>24</w:t>
      </w:r>
      <w:bookmarkEnd w:id="182"/>
      <w:r>
        <w:rPr>
          <w:rFonts w:hint="eastAsia" w:ascii="微软雅黑" w:hAnsi="微软雅黑" w:eastAsia="微软雅黑" w:cs="微软雅黑"/>
          <w:szCs w:val="24"/>
        </w:rPr>
        <w:t>.废标</w:t>
      </w:r>
      <w:bookmarkEnd w:id="183"/>
      <w:bookmarkEnd w:id="184"/>
      <w:bookmarkEnd w:id="185"/>
      <w:bookmarkEnd w:id="186"/>
      <w:bookmarkEnd w:id="187"/>
    </w:p>
    <w:p>
      <w:pPr>
        <w:snapToGrid w:val="0"/>
        <w:spacing w:line="400" w:lineRule="exact"/>
        <w:ind w:left="897" w:leftChars="399" w:hanging="60" w:hangingChars="2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出现下列情形之一，将导致项目废标：</w:t>
      </w:r>
    </w:p>
    <w:p>
      <w:pPr>
        <w:snapToGrid w:val="0"/>
        <w:spacing w:line="40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（1）符合专业条件的投标人或者对招标文件做实质性响应的投标人不足三家；</w:t>
      </w:r>
    </w:p>
    <w:p>
      <w:pPr>
        <w:snapToGrid w:val="0"/>
        <w:spacing w:line="40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（2）出现影响采购公正的违法、违规行为的；</w:t>
      </w:r>
    </w:p>
    <w:p>
      <w:pPr>
        <w:snapToGrid w:val="0"/>
        <w:spacing w:line="400" w:lineRule="exact"/>
        <w:ind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（3）投标人的报价均超过了采购预算，采购人不能支付的；</w:t>
      </w:r>
    </w:p>
    <w:p>
      <w:pPr>
        <w:snapToGrid w:val="0"/>
        <w:spacing w:line="400" w:lineRule="exact"/>
        <w:ind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（4）因重大变故，采购任务取消的。   </w:t>
      </w:r>
    </w:p>
    <w:p>
      <w:pPr>
        <w:pStyle w:val="6"/>
        <w:snapToGrid w:val="0"/>
        <w:spacing w:before="0" w:after="0" w:line="400" w:lineRule="exact"/>
        <w:textAlignment w:val="baseline"/>
        <w:rPr>
          <w:rFonts w:ascii="微软雅黑" w:hAnsi="微软雅黑" w:eastAsia="微软雅黑" w:cs="微软雅黑"/>
          <w:szCs w:val="24"/>
        </w:rPr>
      </w:pPr>
      <w:bookmarkStart w:id="188" w:name="_Toc515647786"/>
      <w:bookmarkStart w:id="189" w:name="_Toc31289"/>
      <w:bookmarkStart w:id="190" w:name="_Toc9060"/>
      <w:bookmarkStart w:id="191" w:name="_Toc24972"/>
      <w:bookmarkStart w:id="192" w:name="_Toc29491"/>
      <w:bookmarkStart w:id="193" w:name="_Toc520356169"/>
      <w:r>
        <w:rPr>
          <w:rFonts w:hint="eastAsia" w:ascii="微软雅黑" w:hAnsi="微软雅黑" w:eastAsia="微软雅黑" w:cs="微软雅黑"/>
          <w:szCs w:val="24"/>
        </w:rPr>
        <w:t>25.保密原则</w:t>
      </w:r>
      <w:bookmarkEnd w:id="188"/>
      <w:bookmarkEnd w:id="189"/>
      <w:bookmarkEnd w:id="190"/>
      <w:bookmarkEnd w:id="191"/>
      <w:bookmarkEnd w:id="192"/>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评标将在严格保密的情况下进行。</w:t>
      </w:r>
    </w:p>
    <w:p>
      <w:pPr>
        <w:snapToGrid w:val="0"/>
        <w:spacing w:line="400" w:lineRule="exact"/>
        <w:ind w:left="900" w:hanging="900" w:hangingChars="375"/>
        <w:textAlignment w:val="baseline"/>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bookmarkEnd w:id="193"/>
    <w:p>
      <w:pPr>
        <w:pStyle w:val="4"/>
        <w:rPr>
          <w:rFonts w:ascii="黑体" w:hAnsi="黑体" w:eastAsia="黑体" w:cs="黑体"/>
          <w:sz w:val="36"/>
          <w:szCs w:val="36"/>
        </w:rPr>
      </w:pPr>
      <w:bookmarkStart w:id="194" w:name="_Toc13769"/>
      <w:bookmarkStart w:id="195" w:name="_Toc12143"/>
      <w:bookmarkStart w:id="196" w:name="_Toc20578"/>
      <w:bookmarkStart w:id="197" w:name="_Toc23904"/>
      <w:bookmarkStart w:id="198" w:name="_Toc216582810"/>
      <w:bookmarkStart w:id="199" w:name="_Toc1456"/>
      <w:bookmarkStart w:id="200" w:name="_Toc515647787"/>
      <w:r>
        <w:rPr>
          <w:rFonts w:hint="eastAsia" w:ascii="黑体" w:hAnsi="黑体" w:eastAsia="黑体" w:cs="黑体"/>
          <w:sz w:val="36"/>
          <w:szCs w:val="36"/>
        </w:rPr>
        <w:t>六、确定中标</w:t>
      </w:r>
      <w:bookmarkEnd w:id="194"/>
      <w:bookmarkEnd w:id="195"/>
      <w:bookmarkEnd w:id="196"/>
      <w:bookmarkEnd w:id="197"/>
      <w:bookmarkEnd w:id="198"/>
      <w:bookmarkEnd w:id="199"/>
      <w:bookmarkEnd w:id="200"/>
    </w:p>
    <w:p>
      <w:pPr>
        <w:pStyle w:val="6"/>
        <w:snapToGrid w:val="0"/>
        <w:spacing w:before="0" w:after="0" w:line="400" w:lineRule="exact"/>
        <w:textAlignment w:val="baseline"/>
        <w:rPr>
          <w:rFonts w:ascii="微软雅黑" w:hAnsi="微软雅黑" w:eastAsia="微软雅黑" w:cs="微软雅黑"/>
          <w:szCs w:val="24"/>
        </w:rPr>
      </w:pPr>
      <w:bookmarkStart w:id="201" w:name="_Toc2392"/>
      <w:bookmarkStart w:id="202" w:name="_Ref467307010"/>
      <w:bookmarkStart w:id="203" w:name="_Toc23762"/>
      <w:bookmarkStart w:id="204" w:name="_Toc520356170"/>
      <w:bookmarkStart w:id="205" w:name="_Toc23617"/>
      <w:bookmarkStart w:id="206" w:name="_Toc515647788"/>
      <w:bookmarkStart w:id="207" w:name="_Toc10050"/>
      <w:r>
        <w:rPr>
          <w:rFonts w:hint="eastAsia" w:ascii="微软雅黑" w:hAnsi="微软雅黑" w:eastAsia="微软雅黑" w:cs="微软雅黑"/>
          <w:szCs w:val="24"/>
        </w:rPr>
        <w:t>26.中标候选人的确定原则及标准</w:t>
      </w:r>
      <w:bookmarkEnd w:id="201"/>
      <w:bookmarkEnd w:id="202"/>
      <w:bookmarkEnd w:id="203"/>
      <w:bookmarkEnd w:id="204"/>
      <w:bookmarkEnd w:id="205"/>
      <w:bookmarkEnd w:id="206"/>
      <w:bookmarkEnd w:id="207"/>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除第28条规定外，对实质上响应招标文件的投标人按下列方法进行排序，确定投标候选人：</w:t>
      </w:r>
    </w:p>
    <w:p>
      <w:pPr>
        <w:snapToGrid w:val="0"/>
        <w:spacing w:line="400" w:lineRule="exact"/>
        <w:ind w:left="901"/>
        <w:textAlignment w:val="baseline"/>
        <w:rPr>
          <w:rFonts w:ascii="微软雅黑" w:hAnsi="微软雅黑" w:eastAsia="微软雅黑" w:cs="微软雅黑"/>
          <w:sz w:val="24"/>
        </w:rPr>
      </w:pPr>
      <w:bookmarkStart w:id="208" w:name="_Toc520356171"/>
      <w:bookmarkStart w:id="209" w:name="_Toc515647789"/>
      <w:r>
        <w:rPr>
          <w:rFonts w:hint="eastAsia" w:ascii="微软雅黑" w:hAnsi="微软雅黑" w:eastAsia="微软雅黑" w:cs="微软雅黑"/>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val="0"/>
        <w:spacing w:line="400" w:lineRule="exact"/>
        <w:ind w:left="901"/>
        <w:textAlignment w:val="baseline"/>
        <w:rPr>
          <w:rFonts w:ascii="微软雅黑" w:hAnsi="微软雅黑" w:eastAsia="微软雅黑" w:cs="微软雅黑"/>
          <w:sz w:val="24"/>
        </w:rPr>
      </w:pPr>
      <w:r>
        <w:rPr>
          <w:rFonts w:hint="eastAsia" w:ascii="微软雅黑" w:hAnsi="微软雅黑" w:eastAsia="微软雅黑" w:cs="微软雅黑"/>
          <w:sz w:val="24"/>
        </w:rPr>
        <w:t>（2）采用综合评分法的，评标结果按评审后得分由高到低顺序排列。得分相同的，按修正和扣除后的投标报价由低到高顺序排列。得分与投标报价均相同的处理方式详见招标文件第6章。</w:t>
      </w:r>
    </w:p>
    <w:p>
      <w:pPr>
        <w:pStyle w:val="6"/>
        <w:tabs>
          <w:tab w:val="left" w:pos="900"/>
        </w:tabs>
        <w:snapToGrid w:val="0"/>
        <w:spacing w:before="0" w:after="0" w:line="400" w:lineRule="exact"/>
        <w:textAlignment w:val="baseline"/>
        <w:rPr>
          <w:rFonts w:ascii="微软雅黑" w:hAnsi="微软雅黑" w:eastAsia="微软雅黑" w:cs="微软雅黑"/>
          <w:szCs w:val="24"/>
        </w:rPr>
      </w:pPr>
      <w:bookmarkStart w:id="210" w:name="_Toc32040"/>
      <w:bookmarkStart w:id="211" w:name="_Toc9286"/>
      <w:bookmarkStart w:id="212" w:name="_Toc9653"/>
      <w:bookmarkStart w:id="213" w:name="_Toc23951"/>
      <w:r>
        <w:rPr>
          <w:rFonts w:hint="eastAsia" w:ascii="微软雅黑" w:hAnsi="微软雅黑" w:eastAsia="微软雅黑" w:cs="微软雅黑"/>
          <w:szCs w:val="24"/>
        </w:rPr>
        <w:t>27</w:t>
      </w:r>
      <w:bookmarkEnd w:id="208"/>
      <w:r>
        <w:rPr>
          <w:rFonts w:hint="eastAsia" w:ascii="微软雅黑" w:hAnsi="微软雅黑" w:eastAsia="微软雅黑" w:cs="微软雅黑"/>
          <w:szCs w:val="24"/>
        </w:rPr>
        <w:t>.确定中标候选人和中标人</w:t>
      </w:r>
      <w:bookmarkEnd w:id="209"/>
      <w:bookmarkEnd w:id="210"/>
      <w:bookmarkEnd w:id="211"/>
      <w:bookmarkEnd w:id="212"/>
      <w:bookmarkEnd w:id="213"/>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评标委员会将根据评标标准，按</w:t>
      </w:r>
      <w:r>
        <w:rPr>
          <w:rFonts w:hint="eastAsia" w:ascii="微软雅黑" w:hAnsi="微软雅黑" w:eastAsia="微软雅黑" w:cs="微软雅黑"/>
          <w:sz w:val="24"/>
          <w:u w:val="single"/>
        </w:rPr>
        <w:t>投标人须知资料表中</w:t>
      </w:r>
      <w:r>
        <w:rPr>
          <w:rFonts w:hint="eastAsia" w:ascii="微软雅黑" w:hAnsi="微软雅黑" w:eastAsia="微软雅黑" w:cs="微软雅黑"/>
          <w:sz w:val="24"/>
        </w:rPr>
        <w:t>规定数量推荐中标候选人；或根据采购人的委托，直接确定中标人。</w:t>
      </w:r>
    </w:p>
    <w:p>
      <w:pPr>
        <w:pStyle w:val="6"/>
        <w:tabs>
          <w:tab w:val="left" w:pos="900"/>
        </w:tabs>
        <w:snapToGrid w:val="0"/>
        <w:spacing w:before="0" w:after="0" w:line="400" w:lineRule="exact"/>
        <w:textAlignment w:val="baseline"/>
        <w:rPr>
          <w:rFonts w:ascii="微软雅黑" w:hAnsi="微软雅黑" w:eastAsia="微软雅黑" w:cs="微软雅黑"/>
          <w:szCs w:val="24"/>
        </w:rPr>
      </w:pPr>
      <w:bookmarkStart w:id="214" w:name="_Toc520356173"/>
      <w:bookmarkStart w:id="215" w:name="_Ref467306874"/>
      <w:bookmarkStart w:id="216" w:name="_Toc515647790"/>
      <w:bookmarkStart w:id="217" w:name="_Toc380"/>
      <w:bookmarkStart w:id="218" w:name="_Toc8389"/>
      <w:bookmarkStart w:id="219" w:name="_Toc28562"/>
      <w:bookmarkStart w:id="220" w:name="_Toc27148"/>
      <w:r>
        <w:rPr>
          <w:rFonts w:hint="eastAsia" w:ascii="微软雅黑" w:hAnsi="微软雅黑" w:eastAsia="微软雅黑" w:cs="微软雅黑"/>
          <w:szCs w:val="24"/>
        </w:rPr>
        <w:t>28.</w:t>
      </w:r>
      <w:bookmarkEnd w:id="214"/>
      <w:bookmarkEnd w:id="215"/>
      <w:r>
        <w:rPr>
          <w:rFonts w:hint="eastAsia" w:ascii="微软雅黑" w:hAnsi="微软雅黑" w:eastAsia="微软雅黑" w:cs="微软雅黑"/>
          <w:szCs w:val="24"/>
        </w:rPr>
        <w:t>采购任务取消</w:t>
      </w:r>
      <w:bookmarkEnd w:id="216"/>
      <w:bookmarkEnd w:id="217"/>
      <w:bookmarkEnd w:id="218"/>
      <w:bookmarkEnd w:id="219"/>
      <w:bookmarkEnd w:id="220"/>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因重大变故采购任务取消时，采购人有权拒绝任何投标人中标，且对受影响的投标人不承担任何责任。</w:t>
      </w:r>
      <w:bookmarkStart w:id="221" w:name="_Toc520356174"/>
    </w:p>
    <w:p>
      <w:pPr>
        <w:pStyle w:val="6"/>
        <w:snapToGrid w:val="0"/>
        <w:spacing w:before="0" w:after="0" w:line="400" w:lineRule="exact"/>
        <w:textAlignment w:val="baseline"/>
        <w:rPr>
          <w:rFonts w:ascii="微软雅黑" w:hAnsi="微软雅黑" w:eastAsia="微软雅黑" w:cs="微软雅黑"/>
          <w:szCs w:val="24"/>
        </w:rPr>
      </w:pPr>
      <w:bookmarkStart w:id="222" w:name="_Toc8579"/>
      <w:bookmarkStart w:id="223" w:name="_Toc15447"/>
      <w:bookmarkStart w:id="224" w:name="_Toc31099"/>
      <w:bookmarkStart w:id="225" w:name="_Toc515647791"/>
      <w:bookmarkStart w:id="226" w:name="_Toc30170"/>
      <w:r>
        <w:rPr>
          <w:rFonts w:hint="eastAsia" w:ascii="微软雅黑" w:hAnsi="微软雅黑" w:eastAsia="微软雅黑" w:cs="微软雅黑"/>
          <w:szCs w:val="24"/>
        </w:rPr>
        <w:t>29.中标通知书</w:t>
      </w:r>
      <w:bookmarkEnd w:id="221"/>
      <w:r>
        <w:rPr>
          <w:rFonts w:hint="eastAsia" w:ascii="微软雅黑" w:hAnsi="微软雅黑" w:eastAsia="微软雅黑" w:cs="微软雅黑"/>
          <w:szCs w:val="24"/>
        </w:rPr>
        <w:t>和招标结果通知书</w:t>
      </w:r>
      <w:bookmarkEnd w:id="222"/>
      <w:bookmarkEnd w:id="223"/>
      <w:bookmarkEnd w:id="224"/>
      <w:bookmarkEnd w:id="225"/>
      <w:bookmarkEnd w:id="226"/>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在投标有效期内，中标人确定后，采购人或者采购代理机构发布中标公告，同时以书面形式向中标人发出中标通知书。</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中标通知书是合同的组成部分。</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29.3    招标结果通知书和中标通知书同时发出。</w:t>
      </w:r>
    </w:p>
    <w:p>
      <w:pPr>
        <w:pStyle w:val="6"/>
        <w:snapToGrid w:val="0"/>
        <w:spacing w:before="0" w:after="0" w:line="400" w:lineRule="exact"/>
        <w:textAlignment w:val="baseline"/>
        <w:rPr>
          <w:rFonts w:ascii="微软雅黑" w:hAnsi="微软雅黑" w:eastAsia="微软雅黑" w:cs="微软雅黑"/>
          <w:szCs w:val="24"/>
        </w:rPr>
      </w:pPr>
      <w:bookmarkStart w:id="227" w:name="_Toc15653"/>
      <w:bookmarkStart w:id="228" w:name="_Toc25799"/>
      <w:bookmarkStart w:id="229" w:name="_Toc520356175"/>
      <w:bookmarkStart w:id="230" w:name="_Ref467306978"/>
      <w:bookmarkStart w:id="231" w:name="_Toc790"/>
      <w:bookmarkStart w:id="232" w:name="_Ref467307062"/>
      <w:bookmarkStart w:id="233" w:name="_Toc7779"/>
      <w:bookmarkStart w:id="234" w:name="_Ref467307204"/>
      <w:bookmarkStart w:id="235" w:name="_Ref467306377"/>
      <w:bookmarkStart w:id="236" w:name="_Toc515647792"/>
      <w:r>
        <w:rPr>
          <w:rFonts w:hint="eastAsia" w:ascii="微软雅黑" w:hAnsi="微软雅黑" w:eastAsia="微软雅黑" w:cs="微软雅黑"/>
          <w:szCs w:val="24"/>
        </w:rPr>
        <w:t>30.签订合同</w:t>
      </w:r>
      <w:bookmarkEnd w:id="227"/>
      <w:bookmarkEnd w:id="228"/>
      <w:bookmarkEnd w:id="229"/>
      <w:bookmarkEnd w:id="230"/>
      <w:bookmarkEnd w:id="231"/>
      <w:bookmarkEnd w:id="232"/>
      <w:bookmarkEnd w:id="233"/>
      <w:bookmarkEnd w:id="234"/>
      <w:bookmarkEnd w:id="235"/>
      <w:bookmarkEnd w:id="236"/>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中标人应当自发出中标通知书之日起30日内，与采购人签订合同。</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237" w:name="_Toc520356176"/>
      <w:bookmarkStart w:id="238" w:name="_Ref467307090"/>
      <w:bookmarkStart w:id="239" w:name="_Ref467306425"/>
      <w:r>
        <w:rPr>
          <w:rFonts w:hint="eastAsia" w:ascii="微软雅黑" w:hAnsi="微软雅黑" w:eastAsia="微软雅黑" w:cs="微软雅黑"/>
          <w:sz w:val="24"/>
        </w:rPr>
        <w:t>招标文件、中标人的投标文件及其澄清文件等，均为签订合同的依据。</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30.3   中标人拒绝与采购人签订合同的，采购人可以按照评审报告推荐的中标候选人名单排序，确定下一中标候选人为中标人，也可以重新开展政府采购活动。</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30.4   当出现法规规定的</w:t>
      </w:r>
      <w:r>
        <w:rPr>
          <w:rFonts w:hint="eastAsia" w:ascii="微软雅黑" w:hAnsi="微软雅黑" w:eastAsia="微软雅黑" w:cs="微软雅黑"/>
          <w:b/>
          <w:sz w:val="24"/>
        </w:rPr>
        <w:t>中标无效或中标结果无效</w:t>
      </w:r>
      <w:r>
        <w:rPr>
          <w:rFonts w:hint="eastAsia" w:ascii="微软雅黑" w:hAnsi="微软雅黑" w:eastAsia="微软雅黑" w:cs="微软雅黑"/>
          <w:sz w:val="24"/>
        </w:rPr>
        <w:t>情形时，采购人可与排名下一位的中标候选人另行签订合同，或依法重新开展采购活动。</w:t>
      </w:r>
    </w:p>
    <w:p>
      <w:pPr>
        <w:pStyle w:val="6"/>
        <w:snapToGrid w:val="0"/>
        <w:spacing w:before="0" w:after="0" w:line="400" w:lineRule="exact"/>
        <w:textAlignment w:val="baseline"/>
        <w:rPr>
          <w:rFonts w:ascii="微软雅黑" w:hAnsi="微软雅黑" w:eastAsia="微软雅黑" w:cs="微软雅黑"/>
          <w:szCs w:val="24"/>
        </w:rPr>
      </w:pPr>
      <w:bookmarkStart w:id="240" w:name="_Toc22555"/>
      <w:bookmarkStart w:id="241" w:name="_Toc3825"/>
      <w:bookmarkStart w:id="242" w:name="_Toc14080"/>
      <w:bookmarkStart w:id="243" w:name="_Toc515647793"/>
      <w:bookmarkStart w:id="244" w:name="_Toc20240"/>
      <w:r>
        <w:rPr>
          <w:rFonts w:hint="eastAsia" w:ascii="微软雅黑" w:hAnsi="微软雅黑" w:eastAsia="微软雅黑" w:cs="微软雅黑"/>
          <w:szCs w:val="24"/>
        </w:rPr>
        <w:t>31.履约保证金</w:t>
      </w:r>
      <w:bookmarkEnd w:id="237"/>
      <w:bookmarkEnd w:id="238"/>
      <w:bookmarkEnd w:id="239"/>
      <w:bookmarkEnd w:id="240"/>
      <w:bookmarkEnd w:id="241"/>
      <w:bookmarkEnd w:id="242"/>
      <w:bookmarkEnd w:id="243"/>
      <w:bookmarkEnd w:id="244"/>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31.1</w:t>
      </w:r>
      <w:r>
        <w:rPr>
          <w:rFonts w:hint="eastAsia" w:ascii="微软雅黑" w:hAnsi="微软雅黑" w:eastAsia="微软雅黑" w:cs="微软雅黑"/>
          <w:sz w:val="24"/>
        </w:rPr>
        <w:tab/>
      </w:r>
      <w:r>
        <w:rPr>
          <w:rFonts w:hint="eastAsia" w:ascii="微软雅黑" w:hAnsi="微软雅黑" w:eastAsia="微软雅黑" w:cs="微软雅黑"/>
          <w:sz w:val="24"/>
        </w:rPr>
        <w:t>中标人应按照</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规定向采购人缴纳履约保证金（如采用保函形式，格式见本章附件1）。</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31.2</w:t>
      </w:r>
      <w:r>
        <w:rPr>
          <w:rFonts w:hint="eastAsia" w:ascii="微软雅黑" w:hAnsi="微软雅黑" w:eastAsia="微软雅黑" w:cs="微软雅黑"/>
          <w:sz w:val="24"/>
        </w:rPr>
        <w:tab/>
      </w:r>
      <w:r>
        <w:rPr>
          <w:rFonts w:hint="eastAsia" w:ascii="微软雅黑" w:hAnsi="微软雅黑" w:eastAsia="微软雅黑" w:cs="微软雅黑"/>
          <w:sz w:val="24"/>
        </w:rPr>
        <w:t>政府采购利用担保试点范围内的项目，除31.1规定的情形外，中标人也可以按照财政部门的规定，向采购人提供合格的履约担保函（格式见本章附件2）。</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31.3   如果中标人没有按照上述履约保证金的规定执行，将视为放弃中标资格，中标人的投标保证金将不予退还。在此情况下，采购人可确定下一候选人为中标人，也可以重新开展采购活动。</w:t>
      </w:r>
    </w:p>
    <w:p>
      <w:pPr>
        <w:pStyle w:val="6"/>
        <w:snapToGrid w:val="0"/>
        <w:spacing w:before="0" w:after="0" w:line="400" w:lineRule="exact"/>
        <w:textAlignment w:val="baseline"/>
        <w:rPr>
          <w:rFonts w:ascii="微软雅黑" w:hAnsi="微软雅黑" w:eastAsia="微软雅黑" w:cs="微软雅黑"/>
          <w:szCs w:val="24"/>
        </w:rPr>
      </w:pPr>
      <w:bookmarkStart w:id="245" w:name="_Toc29408"/>
      <w:bookmarkStart w:id="246" w:name="_Toc3090"/>
      <w:bookmarkStart w:id="247" w:name="_Toc515647794"/>
      <w:bookmarkStart w:id="248" w:name="_Toc25010"/>
      <w:bookmarkStart w:id="249" w:name="_Toc8972"/>
      <w:r>
        <w:rPr>
          <w:rFonts w:hint="eastAsia" w:ascii="微软雅黑" w:hAnsi="微软雅黑" w:eastAsia="微软雅黑" w:cs="微软雅黑"/>
          <w:szCs w:val="24"/>
        </w:rPr>
        <w:t>32.中标服务费</w:t>
      </w:r>
      <w:bookmarkEnd w:id="245"/>
      <w:bookmarkEnd w:id="246"/>
      <w:bookmarkEnd w:id="247"/>
      <w:bookmarkEnd w:id="248"/>
      <w:bookmarkEnd w:id="249"/>
    </w:p>
    <w:p>
      <w:pPr>
        <w:snapToGrid w:val="0"/>
        <w:spacing w:line="400" w:lineRule="exact"/>
        <w:ind w:left="840" w:leftChars="200" w:hanging="420" w:hangingChars="1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中标人须按照</w:t>
      </w:r>
      <w:r>
        <w:rPr>
          <w:rFonts w:hint="eastAsia" w:ascii="微软雅黑" w:hAnsi="微软雅黑" w:eastAsia="微软雅黑" w:cs="微软雅黑"/>
          <w:sz w:val="24"/>
          <w:u w:val="single"/>
        </w:rPr>
        <w:t>投标须知资料表</w:t>
      </w:r>
      <w:r>
        <w:rPr>
          <w:rFonts w:hint="eastAsia" w:ascii="微软雅黑" w:hAnsi="微软雅黑" w:eastAsia="微软雅黑" w:cs="微软雅黑"/>
          <w:sz w:val="24"/>
        </w:rPr>
        <w:t>规定，向采购代理机构支付中标服务费。</w:t>
      </w:r>
    </w:p>
    <w:p>
      <w:pPr>
        <w:pStyle w:val="6"/>
        <w:snapToGrid w:val="0"/>
        <w:spacing w:before="0" w:after="0" w:line="400" w:lineRule="exact"/>
        <w:textAlignment w:val="baseline"/>
        <w:rPr>
          <w:rFonts w:ascii="微软雅黑" w:hAnsi="微软雅黑" w:eastAsia="微软雅黑" w:cs="微软雅黑"/>
          <w:szCs w:val="24"/>
        </w:rPr>
      </w:pPr>
      <w:bookmarkStart w:id="250" w:name="_Toc8524"/>
      <w:bookmarkStart w:id="251" w:name="_Toc6923"/>
      <w:bookmarkStart w:id="252" w:name="_Toc7049"/>
      <w:bookmarkStart w:id="253" w:name="_Toc515647795"/>
      <w:bookmarkStart w:id="254" w:name="_Toc676"/>
      <w:r>
        <w:rPr>
          <w:rFonts w:hint="eastAsia" w:ascii="微软雅黑" w:hAnsi="微软雅黑" w:eastAsia="微软雅黑" w:cs="微软雅黑"/>
          <w:szCs w:val="24"/>
        </w:rPr>
        <w:t>33.政府采购信用担保</w:t>
      </w:r>
      <w:bookmarkEnd w:id="250"/>
      <w:bookmarkEnd w:id="251"/>
      <w:bookmarkEnd w:id="252"/>
      <w:bookmarkEnd w:id="253"/>
      <w:bookmarkEnd w:id="254"/>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33.1   本项目是否属于信用担保试点范围见</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w:t>
      </w:r>
    </w:p>
    <w:p>
      <w:pPr>
        <w:snapToGrid w:val="0"/>
        <w:spacing w:line="40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33.2   如属于政府采购信用担保试点范围内，中小型企业投标人可以自由按照财政部门的规定，采用投标担保、履约担保和融资担保。</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33.2.1 投标人递交的投标担保函和履约担保函应符合本招标文件的规定。</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33.2.2 中标人可以采取融资担保的形式为政府采购项目履约进行融资。</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33.2.3 合格的政府采购专业信用担保机构名单见</w:t>
      </w:r>
      <w:r>
        <w:rPr>
          <w:rFonts w:hint="eastAsia" w:ascii="微软雅黑" w:hAnsi="微软雅黑" w:eastAsia="微软雅黑" w:cs="微软雅黑"/>
          <w:sz w:val="24"/>
          <w:u w:val="single"/>
        </w:rPr>
        <w:t>投标人须知资料表</w:t>
      </w:r>
      <w:r>
        <w:rPr>
          <w:rFonts w:hint="eastAsia" w:ascii="微软雅黑" w:hAnsi="微软雅黑" w:eastAsia="微软雅黑" w:cs="微软雅黑"/>
          <w:sz w:val="24"/>
        </w:rPr>
        <w:t>。</w:t>
      </w:r>
    </w:p>
    <w:p>
      <w:pPr>
        <w:pStyle w:val="6"/>
        <w:snapToGrid w:val="0"/>
        <w:spacing w:before="0" w:after="0" w:line="400" w:lineRule="exact"/>
        <w:textAlignment w:val="baseline"/>
        <w:rPr>
          <w:rFonts w:ascii="微软雅黑" w:hAnsi="微软雅黑" w:eastAsia="微软雅黑" w:cs="微软雅黑"/>
          <w:szCs w:val="24"/>
        </w:rPr>
      </w:pPr>
      <w:bookmarkStart w:id="255" w:name="_Toc28000"/>
      <w:bookmarkStart w:id="256" w:name="_Toc2133"/>
      <w:bookmarkStart w:id="257" w:name="_Toc23999"/>
      <w:bookmarkStart w:id="258" w:name="_Toc12709"/>
      <w:bookmarkStart w:id="259" w:name="_Toc515647796"/>
      <w:r>
        <w:rPr>
          <w:rFonts w:hint="eastAsia" w:ascii="微软雅黑" w:hAnsi="微软雅黑" w:eastAsia="微软雅黑" w:cs="微软雅黑"/>
          <w:szCs w:val="24"/>
        </w:rPr>
        <w:t>34.廉洁自律规定</w:t>
      </w:r>
      <w:bookmarkEnd w:id="255"/>
      <w:bookmarkEnd w:id="256"/>
      <w:bookmarkEnd w:id="257"/>
      <w:bookmarkEnd w:id="258"/>
      <w:bookmarkEnd w:id="259"/>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34.1   采购代理机构工作人员不得以不正当手段获取政府采购代理业务，不得与采购人、投标人恶意串通操纵政府采购活动。</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34.2   采购代理机构工作人员不得接受采购人或者投标人组织的宴请、旅游、娱乐，不得收受礼品、现金、有价证券等，不得向采购人或者投标人报销应当由个人承担的费用。</w:t>
      </w:r>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34.3   为强化采购代理机构内部监督机制，投标人可按</w:t>
      </w:r>
      <w:r>
        <w:rPr>
          <w:rFonts w:hint="eastAsia" w:ascii="微软雅黑" w:hAnsi="微软雅黑" w:eastAsia="微软雅黑" w:cs="微软雅黑"/>
          <w:sz w:val="24"/>
          <w:u w:val="single"/>
        </w:rPr>
        <w:t>投标人须知资料表中的</w:t>
      </w:r>
      <w:r>
        <w:rPr>
          <w:rFonts w:hint="eastAsia" w:ascii="微软雅黑" w:hAnsi="微软雅黑" w:eastAsia="微软雅黑" w:cs="微软雅黑"/>
          <w:sz w:val="24"/>
        </w:rPr>
        <w:t>监督电话和邮箱，反映采购代理机构的廉洁自律等问题。</w:t>
      </w:r>
    </w:p>
    <w:p>
      <w:pPr>
        <w:pStyle w:val="6"/>
        <w:snapToGrid w:val="0"/>
        <w:spacing w:before="0" w:after="0" w:line="400" w:lineRule="exact"/>
        <w:textAlignment w:val="baseline"/>
        <w:rPr>
          <w:rFonts w:ascii="微软雅黑" w:hAnsi="微软雅黑" w:eastAsia="微软雅黑" w:cs="微软雅黑"/>
          <w:szCs w:val="24"/>
        </w:rPr>
      </w:pPr>
      <w:bookmarkStart w:id="260" w:name="_Toc515647797"/>
      <w:bookmarkStart w:id="261" w:name="_Toc25480"/>
      <w:bookmarkStart w:id="262" w:name="_Toc11586"/>
      <w:bookmarkStart w:id="263" w:name="_Toc12865"/>
      <w:bookmarkStart w:id="264" w:name="_Toc14565"/>
      <w:r>
        <w:rPr>
          <w:rFonts w:hint="eastAsia" w:ascii="微软雅黑" w:hAnsi="微软雅黑" w:eastAsia="微软雅黑" w:cs="微软雅黑"/>
          <w:szCs w:val="24"/>
        </w:rPr>
        <w:t>35.人员回避</w:t>
      </w:r>
      <w:bookmarkEnd w:id="260"/>
      <w:bookmarkEnd w:id="261"/>
      <w:bookmarkEnd w:id="262"/>
      <w:bookmarkEnd w:id="263"/>
      <w:bookmarkEnd w:id="264"/>
    </w:p>
    <w:p>
      <w:pPr>
        <w:snapToGrid w:val="0"/>
        <w:spacing w:line="40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投标人认为采购人员及其相关人员有法律法规所列与其他投标人有利害关系的，可以向采购人或采购代理机构书面提出回避申请，并说明理由。</w:t>
      </w:r>
    </w:p>
    <w:p>
      <w:pPr>
        <w:pStyle w:val="6"/>
        <w:snapToGrid w:val="0"/>
        <w:spacing w:before="0" w:after="0" w:line="400" w:lineRule="exact"/>
        <w:textAlignment w:val="baseline"/>
        <w:rPr>
          <w:rFonts w:ascii="微软雅黑" w:hAnsi="微软雅黑" w:eastAsia="微软雅黑" w:cs="微软雅黑"/>
          <w:szCs w:val="24"/>
        </w:rPr>
      </w:pPr>
      <w:bookmarkStart w:id="265" w:name="_Toc5594"/>
      <w:bookmarkStart w:id="266" w:name="_Toc11115"/>
      <w:bookmarkStart w:id="267" w:name="_Toc1148"/>
      <w:bookmarkStart w:id="268" w:name="_Toc515647798"/>
      <w:bookmarkStart w:id="269" w:name="_Toc25253"/>
      <w:r>
        <w:rPr>
          <w:rFonts w:hint="eastAsia" w:ascii="微软雅黑" w:hAnsi="微软雅黑" w:eastAsia="微软雅黑" w:cs="微软雅黑"/>
          <w:szCs w:val="24"/>
        </w:rPr>
        <w:t>36.质疑与接收</w:t>
      </w:r>
      <w:bookmarkEnd w:id="265"/>
      <w:bookmarkEnd w:id="266"/>
      <w:bookmarkEnd w:id="267"/>
      <w:bookmarkEnd w:id="268"/>
      <w:bookmarkEnd w:id="269"/>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bookmarkStart w:id="270" w:name="_Toc21748"/>
      <w:bookmarkStart w:id="271" w:name="_Toc16186"/>
      <w:bookmarkStart w:id="272" w:name="_Toc9538"/>
      <w:bookmarkStart w:id="273" w:name="_Toc515647799"/>
      <w:bookmarkStart w:id="274" w:name="_Toc22619"/>
      <w:bookmarkStart w:id="275" w:name="_Toc10151"/>
      <w:bookmarkStart w:id="276" w:name="_Toc15759"/>
      <w:r>
        <w:rPr>
          <w:rFonts w:hint="eastAsia" w:ascii="微软雅黑" w:hAnsi="微软雅黑" w:eastAsia="微软雅黑" w:cs="微软雅黑"/>
          <w:sz w:val="24"/>
          <w:lang w:val="en-US" w:eastAsia="zh-CN"/>
        </w:rPr>
        <w:t xml:space="preserve">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36.3 采购代理机构质疑函接收部门、联系电话和通讯地址, 见投标人须知资料表。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36.4、质疑的提出：一次提出全部质疑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36.5 本采购文件中所称质疑及答复，是指参加本次采购活动的供应商对政府采购活动中的采购文件、采购过程和成交结果向采购方提出质疑，采购方答复质疑的行为。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36.6 供应商认为采购文件、采购过程和成交结果使自己的权益受到损害的，可以在知道或者应知其权益受到损害之日起 7 个工作日内，以书面形式向采购方提出质疑。供应商应知其权益受到损害之日，是指：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（一）对可以质疑的采购文件提出质疑的，为收到采购文件之日或者采购文件公告期限届满之日；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（二）对采购过程提出质疑的，为各采购程序环节结束之日；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（三）对成交结果提出质疑的，为成交结果公告期限届满之日。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36.7 对可以质疑的采购文件提出质疑的，质疑人为参与本项目的报价方或潜在报价方。可质疑的文件为采购公告以及采购文件（包括属于其组成部分的澄清、修改、补充文件和评审标准、合同文本等）。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36.9 提出质疑应当符合下列条件：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（一）质疑主体应当符合有关规定；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（二）在质疑法定期限内提出；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（三）属于可以提出质疑的政府采购事项受理范围和本项目采购人的管辖权范围；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（四）政府采购法律、法规、规章规定的其他条件。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40.1 质疑人所提供的证明材料应当具有真实性、合法性以及与质疑事项的关联性和证明力，否则不能作为认定该质疑事项成立的依据。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40.2 质疑人提出质疑时应当提交质疑函。质疑函包括下列内容：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（一）提出质疑的质疑人的名称、地址、邮编、联系人及联系电话等；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（二）质疑项目的名称、编号；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（三）质疑事项；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（四）事实依据和证明材料；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（五）法律依据；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（六）提出质疑的日期。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16质疑函采用实名制。质疑人为自然人的应当由本人签字，并附有效身份证明文件；质疑人为法人或者非法人组织的应当由法定代表人或者负责人签字并加盖公章，并附有效身份证明文件。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40.3 质疑人可以委托代理人进行质疑。代理人应当提交授权委托书。授权委托书应当载明委托代理的具体权限、期限和相关事项。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40.4、质疑的审查和受理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1 采购方在收到质疑函后应当及时审查是否符合质疑受理条件，对符合质疑受理条件的，及时予以受理。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40.5 对不符合质疑受理条件的，分别按照下列不同情形予以处理：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（一）质疑函内容不符合规定的，告知质疑人进行修改并重新提出质疑。修改后质疑事项仍不具体、不明确或者最终递交质疑函的时间超过质疑法定期限的，不予受理；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（二）质疑主体不符合有关规定的，告知质疑人不予受理；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（三）超过质疑法定期限提出质疑的，告知质疑人不予受理；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（四）对不属于可以提出质疑的政府采购事项提出质疑的，告知质疑人不予受理；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（五）质疑不属于本项目采购方管辖的，告知质疑人向有管辖权的采购人提出质疑；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（六）质疑不符合其他条件的，告知质疑人不予受理。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40.6 质疑的处理和答复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40.7 采购方受理质疑后，将及时把质疑函发送给被质疑人，并要求其在一定限期人提交书面答复，同时提供有关证据、依据和相关材料。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40.8 对于质疑事项中涉及的问题较多、情况比较复杂的，为了全面查清事实、取得充分的证据，采购方认为有必要时，可以进行调查取证或者组织质证。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40.9 对评审过程、成交结果提出质疑的，采购方可以组织原评审委员会协助答复质疑。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41. 质疑处理过程中，质疑人书面申请撤回质疑的，将终止质疑处理程序。</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41.1 质疑人拒绝配合采购方依法对质疑进行调查处理的，采购方将按质疑人自动撤回质疑处理；被质疑人拒绝配合采购方依法对质疑进行调查处理的，采购方将视同其认可质疑事项。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41.2 采购方将在正式受理质疑后 7 个工作日内作出答复，但处理质疑需要进行调查取证、组织专家评审、质疑人及被质疑人提交或补正材料等所需时间，不计算在质疑处理期限内。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41.3 采购方经调查、论证、核实，认定质疑不能成立的，继续开展采购活动；认定质疑成立的，按照以下情况处理：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（二）对采购过程、成交结果提出的质疑未对成交结果构成影响的，继续开展采购活动；对成交结果构成影响但合格报价方仍不少于 3 家时，依法从合格的成交候选人中另行确定成交报价方，否则将重新开展采购活动。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41.4 采购方将书面答复质疑，质疑答复包括下列内容：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（一）质疑人名称；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（二）收到质疑函的日期、质疑项目名称及编号;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(三)质疑事项、质疑答复的具体内容、事实依据和法律依据；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（四）告知质疑人依法投诉的权利；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（五）质疑答复日期。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41.5 质疑人有下列行为之一的，属于虚假、恶意质疑，将由采购方建议财政部门将其列入不良行为记录名单，禁止其 1 至 3 年内参加政府采购活动：</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（一）捏造事实； </w:t>
      </w:r>
    </w:p>
    <w:p>
      <w:pPr>
        <w:snapToGrid w:val="0"/>
        <w:spacing w:line="400" w:lineRule="exact"/>
        <w:ind w:left="900" w:hanging="900" w:hangingChars="375"/>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（二）提供虚假材料； </w:t>
      </w:r>
    </w:p>
    <w:p>
      <w:pPr>
        <w:snapToGrid w:val="0"/>
        <w:spacing w:line="400" w:lineRule="exact"/>
        <w:ind w:left="638" w:leftChars="0" w:right="-840" w:rightChars="-400" w:hanging="638" w:hangingChars="266"/>
        <w:textAlignment w:val="baseline"/>
        <w:rPr>
          <w:rFonts w:hint="eastAsia" w:ascii="微软雅黑" w:hAnsi="微软雅黑" w:eastAsia="微软雅黑" w:cs="微软雅黑"/>
          <w:sz w:val="24"/>
          <w:lang w:val="zh-CN" w:eastAsia="zh-CN"/>
        </w:rPr>
      </w:pPr>
      <w:r>
        <w:rPr>
          <w:rFonts w:hint="eastAsia" w:ascii="微软雅黑" w:hAnsi="微软雅黑" w:eastAsia="微软雅黑" w:cs="微软雅黑"/>
          <w:sz w:val="24"/>
          <w:lang w:val="en-US" w:eastAsia="zh-CN"/>
        </w:rPr>
        <w:t xml:space="preserve">（三）以非法手段取得证明材料或者无法提供证据的合法来源； </w:t>
      </w:r>
    </w:p>
    <w:p>
      <w:pPr>
        <w:snapToGrid w:val="0"/>
        <w:spacing w:line="400" w:lineRule="exac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（四）法律法规规定的其他违法情形。</w:t>
      </w:r>
    </w:p>
    <w:p>
      <w:pPr>
        <w:snapToGrid w:val="0"/>
        <w:spacing w:line="400" w:lineRule="exact"/>
        <w:ind w:left="900" w:hanging="900" w:hangingChars="375"/>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br w:type="page"/>
      </w:r>
    </w:p>
    <w:p>
      <w:pPr>
        <w:keepNext w:val="0"/>
        <w:keepLines w:val="0"/>
        <w:widowControl/>
        <w:suppressLineNumbers w:val="0"/>
        <w:jc w:val="center"/>
      </w:pPr>
      <w:r>
        <w:rPr>
          <w:rFonts w:ascii="楷体" w:hAnsi="楷体" w:eastAsia="楷体" w:cs="楷体"/>
          <w:b/>
          <w:bCs/>
          <w:color w:val="000000"/>
          <w:kern w:val="0"/>
          <w:sz w:val="28"/>
          <w:szCs w:val="28"/>
          <w:lang w:val="en-US" w:eastAsia="zh-CN" w:bidi="ar"/>
        </w:rPr>
        <w:t>质疑函范本</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一、质疑供应商基本信息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质疑供应商：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地址：邮编：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联系人：联系电话：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授权代表：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联系电话：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地址： 邮编：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二、质疑项目基本情况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质疑项目的名称：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质疑项目的编号：包号：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采购人名称：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采购文件获取日期：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三、质疑事项具体内容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质疑事项 1：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事实依据：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法律依据：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质疑事项 2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四、与质疑事项相关的质疑请求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请求：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签字(签章)：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公章：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日期： </w:t>
      </w:r>
    </w:p>
    <w:p>
      <w:pPr>
        <w:keepNext w:val="0"/>
        <w:keepLines w:val="0"/>
        <w:widowControl/>
        <w:suppressLineNumbers w:val="0"/>
        <w:jc w:val="left"/>
        <w:rPr>
          <w:sz w:val="32"/>
          <w:szCs w:val="32"/>
        </w:rPr>
      </w:pPr>
      <w:r>
        <w:rPr>
          <w:rFonts w:hint="eastAsia" w:ascii="楷体" w:hAnsi="楷体" w:eastAsia="楷体" w:cs="楷体"/>
          <w:b/>
          <w:bCs/>
          <w:color w:val="000000"/>
          <w:kern w:val="0"/>
          <w:sz w:val="24"/>
          <w:szCs w:val="24"/>
          <w:lang w:val="en-US" w:eastAsia="zh-CN" w:bidi="ar"/>
        </w:rPr>
        <w:t xml:space="preserve">质疑函制作说明：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1.供应商提出质疑时，应提交质疑函和必要的证明材料。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2.质疑供应商若委托代理人进行质疑的，质疑函应按要求列明“授权代表”的有关内容，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并在附件中提交由质疑供应商签署的授权委托书。授权委托书应载明代理人的姓名或者名称、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代理事项、具体权限、期限和相关事项。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3.质疑供应商若对项目的某一分包进行质疑，质疑函中应列明具体分包号。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4.质疑函的质疑事项应具体、明确，并有必要的事实依据和法律依据。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5.质疑函的质疑请求应与质疑事项相关。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 xml:space="preserve">6.质疑供应商为自然人的，质疑函应由本人签字；质疑供应商为法人或者其他组织的，质疑 </w:t>
      </w:r>
    </w:p>
    <w:p>
      <w:pPr>
        <w:keepNext w:val="0"/>
        <w:keepLines w:val="0"/>
        <w:widowControl/>
        <w:suppressLineNumbers w:val="0"/>
        <w:jc w:val="left"/>
        <w:rPr>
          <w:sz w:val="32"/>
          <w:szCs w:val="32"/>
        </w:rPr>
      </w:pPr>
      <w:r>
        <w:rPr>
          <w:rFonts w:hint="eastAsia" w:ascii="楷体" w:hAnsi="楷体" w:eastAsia="楷体" w:cs="楷体"/>
          <w:color w:val="000000"/>
          <w:kern w:val="0"/>
          <w:sz w:val="24"/>
          <w:szCs w:val="24"/>
          <w:lang w:val="en-US" w:eastAsia="zh-CN" w:bidi="ar"/>
        </w:rPr>
        <w:t>函应由法定代表人、主要负责人，或者其授权代表签字或者盖章，并加盖公章。</w:t>
      </w:r>
    </w:p>
    <w:p>
      <w:pPr>
        <w:pStyle w:val="68"/>
        <w:rPr>
          <w:rFonts w:hint="eastAsia"/>
          <w:lang w:val="zh-CN" w:eastAsia="zh-CN"/>
        </w:rPr>
      </w:pPr>
    </w:p>
    <w:p>
      <w:pPr>
        <w:rPr>
          <w:rFonts w:hint="eastAsia"/>
        </w:rPr>
      </w:pPr>
      <w:r>
        <w:rPr>
          <w:rFonts w:hint="eastAsia"/>
        </w:rPr>
        <w:br w:type="page"/>
      </w:r>
    </w:p>
    <w:p>
      <w:pPr>
        <w:pStyle w:val="4"/>
      </w:pPr>
      <w:r>
        <w:rPr>
          <w:rFonts w:hint="eastAsia"/>
        </w:rPr>
        <w:t>附件1：履约保证金保函（格式）</w:t>
      </w:r>
      <w:bookmarkEnd w:id="270"/>
      <w:bookmarkEnd w:id="271"/>
      <w:bookmarkEnd w:id="272"/>
      <w:bookmarkEnd w:id="273"/>
      <w:bookmarkEnd w:id="274"/>
      <w:bookmarkEnd w:id="275"/>
      <w:bookmarkEnd w:id="276"/>
    </w:p>
    <w:p>
      <w:pPr>
        <w:pStyle w:val="15"/>
        <w:snapToGrid w:val="0"/>
        <w:spacing w:line="240" w:lineRule="atLeast"/>
        <w:ind w:left="1079" w:leftChars="257" w:hanging="540"/>
        <w:jc w:val="center"/>
        <w:textAlignment w:val="baseline"/>
        <w:rPr>
          <w:rFonts w:hAnsi="宋体" w:cs="宋体"/>
          <w:b/>
          <w:sz w:val="28"/>
          <w:szCs w:val="28"/>
        </w:rPr>
      </w:pPr>
      <w:r>
        <w:rPr>
          <w:rFonts w:hint="eastAsia" w:hAnsi="宋体" w:cs="宋体"/>
          <w:b/>
          <w:sz w:val="28"/>
          <w:szCs w:val="28"/>
        </w:rPr>
        <w:t>（中标后开具）</w:t>
      </w:r>
    </w:p>
    <w:p>
      <w:pPr>
        <w:pStyle w:val="15"/>
        <w:snapToGrid w:val="0"/>
        <w:spacing w:line="240" w:lineRule="atLeast"/>
        <w:ind w:left="1079" w:leftChars="257" w:hanging="540"/>
        <w:textAlignment w:val="baseline"/>
        <w:rPr>
          <w:rFonts w:hAnsi="宋体" w:cs="宋体"/>
          <w:b/>
          <w:szCs w:val="21"/>
        </w:rPr>
      </w:pPr>
    </w:p>
    <w:p>
      <w:pPr>
        <w:pStyle w:val="15"/>
        <w:snapToGrid w:val="0"/>
        <w:spacing w:line="400" w:lineRule="exact"/>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致: (</w:t>
      </w:r>
      <w:r>
        <w:rPr>
          <w:rFonts w:hint="eastAsia" w:ascii="微软雅黑" w:hAnsi="微软雅黑" w:eastAsia="微软雅黑" w:cs="微软雅黑"/>
          <w:i/>
          <w:sz w:val="24"/>
          <w:szCs w:val="24"/>
          <w:u w:val="single"/>
        </w:rPr>
        <w:t>买方名称</w:t>
      </w:r>
      <w:r>
        <w:rPr>
          <w:rFonts w:hint="eastAsia" w:ascii="微软雅黑" w:hAnsi="微软雅黑" w:eastAsia="微软雅黑" w:cs="微软雅黑"/>
          <w:sz w:val="24"/>
          <w:szCs w:val="24"/>
        </w:rPr>
        <w:t>)</w:t>
      </w:r>
    </w:p>
    <w:p>
      <w:pPr>
        <w:pStyle w:val="15"/>
        <w:snapToGrid w:val="0"/>
        <w:spacing w:line="400" w:lineRule="exact"/>
        <w:ind w:left="1079" w:leftChars="257" w:hanging="540"/>
        <w:jc w:val="center"/>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号合同履约保函</w:t>
      </w:r>
    </w:p>
    <w:p>
      <w:pPr>
        <w:pStyle w:val="15"/>
        <w:snapToGrid w:val="0"/>
        <w:spacing w:line="400" w:lineRule="exact"/>
        <w:ind w:left="1079" w:leftChars="257" w:hanging="540"/>
        <w:jc w:val="center"/>
        <w:textAlignment w:val="baseline"/>
        <w:rPr>
          <w:rFonts w:ascii="微软雅黑" w:hAnsi="微软雅黑" w:eastAsia="微软雅黑" w:cs="微软雅黑"/>
          <w:sz w:val="24"/>
          <w:szCs w:val="24"/>
        </w:rPr>
      </w:pPr>
    </w:p>
    <w:p>
      <w:pPr>
        <w:pStyle w:val="15"/>
        <w:snapToGrid w:val="0"/>
        <w:spacing w:line="400" w:lineRule="exact"/>
        <w:ind w:firstLine="600" w:firstLineChars="25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本保函作为贵方与(</w:t>
      </w:r>
      <w:r>
        <w:rPr>
          <w:rFonts w:hint="eastAsia" w:ascii="微软雅黑" w:hAnsi="微软雅黑" w:eastAsia="微软雅黑" w:cs="微软雅黑"/>
          <w:i/>
          <w:sz w:val="24"/>
          <w:szCs w:val="24"/>
          <w:u w:val="single"/>
        </w:rPr>
        <w:t>卖方名称</w:t>
      </w:r>
      <w:r>
        <w:rPr>
          <w:rFonts w:hint="eastAsia" w:ascii="微软雅黑" w:hAnsi="微软雅黑" w:eastAsia="微软雅黑" w:cs="微软雅黑"/>
          <w:sz w:val="24"/>
          <w:szCs w:val="24"/>
        </w:rPr>
        <w:t>)(以下简称卖方)于年月日就项目(以下简称项目)项下提供(</w:t>
      </w:r>
      <w:r>
        <w:rPr>
          <w:rFonts w:hint="eastAsia" w:ascii="微软雅黑" w:hAnsi="微软雅黑" w:eastAsia="微软雅黑" w:cs="微软雅黑"/>
          <w:i/>
          <w:sz w:val="24"/>
          <w:szCs w:val="24"/>
          <w:u w:val="single"/>
        </w:rPr>
        <w:t>货物名称</w:t>
      </w:r>
      <w:r>
        <w:rPr>
          <w:rFonts w:hint="eastAsia" w:ascii="微软雅黑" w:hAnsi="微软雅黑" w:eastAsia="微软雅黑" w:cs="微软雅黑"/>
          <w:sz w:val="24"/>
          <w:szCs w:val="24"/>
        </w:rPr>
        <w:t>)(以下简称货物)签订的(</w:t>
      </w:r>
      <w:r>
        <w:rPr>
          <w:rFonts w:hint="eastAsia" w:ascii="微软雅黑" w:hAnsi="微软雅黑" w:eastAsia="微软雅黑" w:cs="微软雅黑"/>
          <w:i/>
          <w:sz w:val="24"/>
          <w:szCs w:val="24"/>
          <w:u w:val="single"/>
        </w:rPr>
        <w:t>合同号</w:t>
      </w:r>
      <w:r>
        <w:rPr>
          <w:rFonts w:hint="eastAsia" w:ascii="微软雅黑" w:hAnsi="微软雅黑" w:eastAsia="微软雅黑" w:cs="微软雅黑"/>
          <w:sz w:val="24"/>
          <w:szCs w:val="24"/>
        </w:rPr>
        <w:t>)号合同的履约保函。</w:t>
      </w:r>
    </w:p>
    <w:p>
      <w:pPr>
        <w:pStyle w:val="15"/>
        <w:snapToGrid w:val="0"/>
        <w:spacing w:line="400" w:lineRule="exact"/>
        <w:ind w:firstLine="540" w:firstLineChars="225"/>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i/>
          <w:sz w:val="24"/>
          <w:szCs w:val="24"/>
          <w:u w:val="single"/>
        </w:rPr>
        <w:t>出具保函的银行名称</w:t>
      </w:r>
      <w:r>
        <w:rPr>
          <w:rFonts w:hint="eastAsia" w:ascii="微软雅黑" w:hAnsi="微软雅黑" w:eastAsia="微软雅黑" w:cs="微软雅黑"/>
          <w:sz w:val="24"/>
          <w:szCs w:val="24"/>
        </w:rPr>
        <w:t>)(以下简称银行)无条件地、不可撤销地具结保证本行、其继承人和受让人无追索地向贵方以(</w:t>
      </w:r>
      <w:r>
        <w:rPr>
          <w:rFonts w:hint="eastAsia" w:ascii="微软雅黑" w:hAnsi="微软雅黑" w:eastAsia="微软雅黑" w:cs="微软雅黑"/>
          <w:i/>
          <w:sz w:val="24"/>
          <w:szCs w:val="24"/>
          <w:u w:val="single"/>
        </w:rPr>
        <w:t>货币名称</w:t>
      </w:r>
      <w:r>
        <w:rPr>
          <w:rFonts w:hint="eastAsia" w:ascii="微软雅黑" w:hAnsi="微软雅黑" w:eastAsia="微软雅黑" w:cs="微软雅黑"/>
          <w:sz w:val="24"/>
          <w:szCs w:val="24"/>
        </w:rPr>
        <w:t>)支付总额不超过(</w:t>
      </w:r>
      <w:r>
        <w:rPr>
          <w:rFonts w:hint="eastAsia" w:ascii="微软雅黑" w:hAnsi="微软雅黑" w:eastAsia="微软雅黑" w:cs="微软雅黑"/>
          <w:i/>
          <w:sz w:val="24"/>
          <w:szCs w:val="24"/>
          <w:u w:val="single"/>
        </w:rPr>
        <w:t>货币数量</w:t>
      </w:r>
      <w:r>
        <w:rPr>
          <w:rFonts w:hint="eastAsia" w:ascii="微软雅黑" w:hAnsi="微软雅黑" w:eastAsia="微软雅黑" w:cs="微软雅黑"/>
          <w:sz w:val="24"/>
          <w:szCs w:val="24"/>
        </w:rPr>
        <w:t>),即相当于合同价格的%,并以此约定如下:</w:t>
      </w:r>
    </w:p>
    <w:p>
      <w:pPr>
        <w:pStyle w:val="15"/>
        <w:snapToGrid w:val="0"/>
        <w:spacing w:line="400" w:lineRule="exact"/>
        <w:ind w:left="539" w:leftChars="257"/>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5"/>
        <w:snapToGrid w:val="0"/>
        <w:spacing w:line="400" w:lineRule="exact"/>
        <w:ind w:left="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2.本保函项下的任何支付应为免税和净值。对于现有或将来的税收、关税、收费、费用扣减或预提税款，不论这些款项是何种性质和由谁征收，都不应从本保函项下的支付中扣除。</w:t>
      </w:r>
    </w:p>
    <w:p>
      <w:pPr>
        <w:pStyle w:val="15"/>
        <w:snapToGrid w:val="0"/>
        <w:spacing w:line="400" w:lineRule="exact"/>
        <w:ind w:left="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napToGrid w:val="0"/>
        <w:spacing w:line="400" w:lineRule="exac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4.本保函在本合同规定的保证期期满前完全有效。</w:t>
      </w:r>
    </w:p>
    <w:p>
      <w:pPr>
        <w:pStyle w:val="15"/>
        <w:snapToGrid w:val="0"/>
        <w:spacing w:line="400" w:lineRule="exact"/>
        <w:ind w:left="1079" w:leftChars="257" w:hanging="540"/>
        <w:textAlignment w:val="baseline"/>
        <w:rPr>
          <w:rFonts w:ascii="微软雅黑" w:hAnsi="微软雅黑" w:eastAsia="微软雅黑" w:cs="微软雅黑"/>
          <w:sz w:val="24"/>
          <w:szCs w:val="24"/>
        </w:rPr>
      </w:pPr>
    </w:p>
    <w:p>
      <w:pPr>
        <w:pStyle w:val="15"/>
        <w:snapToGrid w:val="0"/>
        <w:spacing w:line="400" w:lineRule="exact"/>
        <w:ind w:left="1079" w:leftChars="257" w:hanging="540"/>
        <w:textAlignment w:val="baseline"/>
        <w:rPr>
          <w:rFonts w:ascii="微软雅黑" w:hAnsi="微软雅黑" w:eastAsia="微软雅黑" w:cs="微软雅黑"/>
          <w:sz w:val="24"/>
          <w:szCs w:val="24"/>
        </w:rPr>
      </w:pPr>
    </w:p>
    <w:p>
      <w:pPr>
        <w:pStyle w:val="15"/>
        <w:snapToGrid w:val="0"/>
        <w:spacing w:line="400" w:lineRule="exac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谨启</w:t>
      </w:r>
    </w:p>
    <w:p>
      <w:pPr>
        <w:pStyle w:val="15"/>
        <w:snapToGrid w:val="0"/>
        <w:spacing w:line="400" w:lineRule="exac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出具保函银行名称：</w:t>
      </w:r>
    </w:p>
    <w:p>
      <w:pPr>
        <w:pStyle w:val="15"/>
        <w:snapToGrid w:val="0"/>
        <w:spacing w:line="400" w:lineRule="exact"/>
        <w:ind w:left="1079" w:leftChars="257" w:hanging="540"/>
        <w:textAlignment w:val="baseline"/>
        <w:rPr>
          <w:rFonts w:ascii="微软雅黑" w:hAnsi="微软雅黑" w:eastAsia="微软雅黑" w:cs="微软雅黑"/>
          <w:sz w:val="24"/>
          <w:szCs w:val="24"/>
          <w:u w:val="single"/>
        </w:rPr>
      </w:pPr>
      <w:r>
        <w:rPr>
          <w:rFonts w:hint="eastAsia" w:ascii="微软雅黑" w:hAnsi="微软雅黑" w:eastAsia="微软雅黑" w:cs="微软雅黑"/>
          <w:sz w:val="24"/>
          <w:szCs w:val="24"/>
        </w:rPr>
        <w:t>签字人姓名和职务：</w:t>
      </w:r>
    </w:p>
    <w:p>
      <w:pPr>
        <w:pStyle w:val="15"/>
        <w:snapToGrid w:val="0"/>
        <w:spacing w:line="400" w:lineRule="exac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签字人签名：</w:t>
      </w:r>
    </w:p>
    <w:p>
      <w:pPr>
        <w:pStyle w:val="15"/>
        <w:snapToGrid w:val="0"/>
        <w:spacing w:line="400" w:lineRule="exact"/>
        <w:ind w:left="1079" w:leftChars="257" w:hanging="540"/>
        <w:textAlignment w:val="baseline"/>
        <w:rPr>
          <w:rFonts w:ascii="微软雅黑" w:hAnsi="微软雅黑" w:eastAsia="微软雅黑" w:cs="微软雅黑"/>
          <w:sz w:val="24"/>
          <w:szCs w:val="24"/>
          <w:u w:val="single"/>
        </w:rPr>
      </w:pPr>
      <w:r>
        <w:rPr>
          <w:rFonts w:hint="eastAsia" w:ascii="微软雅黑" w:hAnsi="微软雅黑" w:eastAsia="微软雅黑" w:cs="微软雅黑"/>
          <w:sz w:val="24"/>
          <w:szCs w:val="24"/>
        </w:rPr>
        <w:t>公章：</w:t>
      </w:r>
    </w:p>
    <w:p>
      <w:pPr>
        <w:pStyle w:val="15"/>
        <w:rPr>
          <w:rFonts w:hAnsi="宋体" w:cs="宋体"/>
          <w:sz w:val="28"/>
          <w:szCs w:val="28"/>
        </w:rPr>
      </w:pPr>
      <w:r>
        <w:br w:type="page"/>
      </w:r>
    </w:p>
    <w:p>
      <w:pPr>
        <w:pStyle w:val="4"/>
      </w:pPr>
      <w:bookmarkStart w:id="277" w:name="_Toc515647800"/>
      <w:bookmarkStart w:id="278" w:name="_Toc6548"/>
      <w:bookmarkStart w:id="279" w:name="_Toc10951"/>
      <w:bookmarkStart w:id="280" w:name="_Toc25280"/>
      <w:bookmarkStart w:id="281" w:name="_Toc16333"/>
      <w:bookmarkStart w:id="282" w:name="_Toc13322"/>
      <w:r>
        <w:rPr>
          <w:rFonts w:hint="eastAsia"/>
        </w:rPr>
        <w:t>附件2：履约担保函格式</w:t>
      </w:r>
      <w:bookmarkEnd w:id="277"/>
      <w:bookmarkEnd w:id="278"/>
      <w:bookmarkEnd w:id="279"/>
      <w:r>
        <w:rPr>
          <w:rFonts w:hint="eastAsia"/>
        </w:rPr>
        <w:t xml:space="preserve"> 本项目不适用</w:t>
      </w:r>
      <w:bookmarkEnd w:id="280"/>
      <w:bookmarkEnd w:id="281"/>
      <w:bookmarkEnd w:id="282"/>
    </w:p>
    <w:p>
      <w:pPr>
        <w:pStyle w:val="15"/>
        <w:snapToGrid w:val="0"/>
        <w:spacing w:line="240" w:lineRule="atLeast"/>
        <w:ind w:left="1079" w:leftChars="257" w:hanging="540"/>
        <w:jc w:val="center"/>
        <w:textAlignment w:val="baseline"/>
        <w:rPr>
          <w:rFonts w:hAnsi="宋体" w:cs="宋体"/>
          <w:b/>
          <w:sz w:val="28"/>
          <w:szCs w:val="28"/>
        </w:rPr>
      </w:pPr>
      <w:bookmarkStart w:id="283" w:name="_Toc3224"/>
      <w:bookmarkStart w:id="284" w:name="_Toc515647801"/>
      <w:bookmarkStart w:id="285" w:name="_Toc162"/>
      <w:bookmarkStart w:id="286" w:name="_Toc19793"/>
      <w:bookmarkStart w:id="287" w:name="_Toc22578"/>
      <w:bookmarkStart w:id="288" w:name="_Toc31977"/>
      <w:bookmarkStart w:id="289" w:name="_Toc13962"/>
      <w:r>
        <w:rPr>
          <w:rFonts w:hint="eastAsia" w:hAnsi="宋体" w:cs="宋体"/>
          <w:b/>
          <w:sz w:val="28"/>
          <w:szCs w:val="28"/>
        </w:rPr>
        <w:t>（采用政府采购信用担保形式时使用）</w:t>
      </w:r>
      <w:bookmarkEnd w:id="283"/>
      <w:bookmarkEnd w:id="284"/>
      <w:bookmarkEnd w:id="285"/>
      <w:bookmarkEnd w:id="286"/>
      <w:bookmarkEnd w:id="287"/>
      <w:bookmarkEnd w:id="288"/>
      <w:bookmarkEnd w:id="289"/>
    </w:p>
    <w:p>
      <w:pPr>
        <w:snapToGrid w:val="0"/>
        <w:spacing w:line="240" w:lineRule="atLeast"/>
        <w:ind w:left="1079" w:leftChars="257" w:hanging="540"/>
        <w:textAlignment w:val="baseline"/>
        <w:rPr>
          <w:rFonts w:ascii="宋体" w:hAnsi="宋体" w:cs="宋体"/>
          <w:b/>
          <w:kern w:val="0"/>
          <w:sz w:val="28"/>
          <w:szCs w:val="28"/>
        </w:rPr>
      </w:pPr>
    </w:p>
    <w:p>
      <w:pPr>
        <w:snapToGrid w:val="0"/>
        <w:spacing w:line="40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政府采购履约担保函（项目用）</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编号：</w:t>
      </w:r>
    </w:p>
    <w:p>
      <w:pPr>
        <w:snapToGrid w:val="0"/>
        <w:spacing w:line="400" w:lineRule="exact"/>
        <w:textAlignment w:val="baseline"/>
        <w:rPr>
          <w:rFonts w:ascii="微软雅黑" w:hAnsi="微软雅黑" w:eastAsia="微软雅黑" w:cs="微软雅黑"/>
          <w:sz w:val="24"/>
        </w:rPr>
      </w:pP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（采购人）：</w:t>
      </w:r>
    </w:p>
    <w:p>
      <w:pPr>
        <w:snapToGrid w:val="0"/>
        <w:spacing w:line="400" w:lineRule="exact"/>
        <w:textAlignment w:val="baseline"/>
        <w:rPr>
          <w:rFonts w:ascii="微软雅黑" w:hAnsi="微软雅黑" w:eastAsia="微软雅黑" w:cs="微软雅黑"/>
          <w:sz w:val="24"/>
        </w:rPr>
      </w:pP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鉴于你方与（以下简称投标人）于年月日签定编号为   的《政府采购合同》（以下简称主合同），且依据该合同的约定，投标人应在年</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月日前向你方交纳履约保证金，且可以履约担保函的形式交纳履约保证金。应投标人的申请，我方以保证的方式向你方提供如下履约保证金担保：</w:t>
      </w:r>
    </w:p>
    <w:p>
      <w:pPr>
        <w:snapToGrid w:val="0"/>
        <w:spacing w:line="400" w:lineRule="exact"/>
        <w:ind w:firstLine="480" w:firstLineChars="200"/>
        <w:textAlignment w:val="baseline"/>
        <w:rPr>
          <w:rFonts w:ascii="微软雅黑" w:hAnsi="微软雅黑" w:eastAsia="微软雅黑" w:cs="微软雅黑"/>
          <w:sz w:val="24"/>
        </w:rPr>
      </w:pPr>
      <w:bookmarkStart w:id="290" w:name="_Toc1363"/>
      <w:r>
        <w:rPr>
          <w:rFonts w:hint="eastAsia" w:ascii="微软雅黑" w:hAnsi="微软雅黑" w:eastAsia="微软雅黑" w:cs="微软雅黑"/>
          <w:sz w:val="24"/>
        </w:rPr>
        <w:t>一、保证责任的情形及保证金额</w:t>
      </w:r>
      <w:bookmarkEnd w:id="290"/>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（一）在投标人出现下列情形之一时，我方承担保证责任：</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1．将中标项目转让给他人，或者在投标文件中未说明，且未经采购招标机构人同意，将中标项目分包给他人的；</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2．主合同约定的应当缴纳履约保证金的情形: </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（1）未按主合同约定的质量、数量和期限供应货物/提供服务/完成工程的；</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（2）。</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（二）我方的保证范围是主合同约定的合同价款总额的%数额为元（大写），币种为。（即主合同履约保证金金额）</w:t>
      </w:r>
    </w:p>
    <w:p>
      <w:pPr>
        <w:snapToGrid w:val="0"/>
        <w:spacing w:line="400" w:lineRule="exact"/>
        <w:ind w:firstLine="480" w:firstLineChars="200"/>
        <w:textAlignment w:val="baseline"/>
        <w:rPr>
          <w:rFonts w:ascii="微软雅黑" w:hAnsi="微软雅黑" w:eastAsia="微软雅黑" w:cs="微软雅黑"/>
          <w:sz w:val="24"/>
        </w:rPr>
      </w:pPr>
      <w:bookmarkStart w:id="291" w:name="_Toc21585"/>
      <w:r>
        <w:rPr>
          <w:rFonts w:hint="eastAsia" w:ascii="微软雅黑" w:hAnsi="微软雅黑" w:eastAsia="微软雅黑" w:cs="微软雅黑"/>
          <w:sz w:val="24"/>
        </w:rPr>
        <w:t>二、保证的方式及保证期间</w:t>
      </w:r>
      <w:bookmarkEnd w:id="291"/>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我方保证的方式为：连带责任保证。</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我方保证的期间为：自本合同生效之日起至投标人按照主合同约定的供货/完工期限届满后日内。</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如果投标人未按主合同约定向贵方供应货物/提供服务/完成工程的，由我方在保证金额内向你方支付上述款项。</w:t>
      </w:r>
    </w:p>
    <w:p>
      <w:pPr>
        <w:snapToGrid w:val="0"/>
        <w:spacing w:line="400" w:lineRule="exact"/>
        <w:ind w:firstLine="480" w:firstLineChars="200"/>
        <w:textAlignment w:val="baseline"/>
        <w:rPr>
          <w:rFonts w:ascii="微软雅黑" w:hAnsi="微软雅黑" w:eastAsia="微软雅黑" w:cs="微软雅黑"/>
          <w:sz w:val="24"/>
        </w:rPr>
      </w:pPr>
      <w:bookmarkStart w:id="292" w:name="_Toc30776"/>
      <w:r>
        <w:rPr>
          <w:rFonts w:hint="eastAsia" w:ascii="微软雅黑" w:hAnsi="微软雅黑" w:eastAsia="微软雅黑" w:cs="微软雅黑"/>
          <w:sz w:val="24"/>
        </w:rPr>
        <w:t>三、承担保证责任的程序</w:t>
      </w:r>
      <w:bookmarkEnd w:id="292"/>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1．你方要求我方承担保证责任的，应在本保函保证期间内向我方发出书面索赔通知。索赔通知应写明要求索赔的金额，支付款项应到达的帐号。并附有证明投标人违约事实的证明材料。</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如果你方与投标人因货物质量问题产生争议，你方还需同时提供部门出具的质量检测报告，或经诉讼（仲裁）程序裁决后的裁决书、调解书，本保证人即按照检测结果或裁决书、调解书决定是否承担保证责任。</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2． 我方收到你方的书面索赔通知及相应证明材料，在工作日内进行核定后按照本保函的承诺承担保证责任。</w:t>
      </w:r>
    </w:p>
    <w:p>
      <w:pPr>
        <w:snapToGrid w:val="0"/>
        <w:spacing w:line="400" w:lineRule="exact"/>
        <w:ind w:firstLine="480" w:firstLineChars="200"/>
        <w:textAlignment w:val="baseline"/>
        <w:rPr>
          <w:rFonts w:ascii="微软雅黑" w:hAnsi="微软雅黑" w:eastAsia="微软雅黑" w:cs="微软雅黑"/>
          <w:sz w:val="24"/>
        </w:rPr>
      </w:pPr>
      <w:bookmarkStart w:id="293" w:name="_Toc14350"/>
      <w:r>
        <w:rPr>
          <w:rFonts w:hint="eastAsia" w:ascii="微软雅黑" w:hAnsi="微软雅黑" w:eastAsia="微软雅黑" w:cs="微软雅黑"/>
          <w:sz w:val="24"/>
        </w:rPr>
        <w:t>四、保证责任的终止</w:t>
      </w:r>
      <w:bookmarkEnd w:id="293"/>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2．我方按照本保函向你方履行了保证责任后，自我方向你方支付款项（支付款项从我方账户划出）之日起，保证责任即终止。</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3．按照法律法规的规定或出现应终止我方保证责任的其它情形的，我方在本保函项下的保证责任亦终止。</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napToGrid w:val="0"/>
        <w:spacing w:line="400" w:lineRule="exact"/>
        <w:ind w:firstLine="480" w:firstLineChars="200"/>
        <w:textAlignment w:val="baseline"/>
        <w:rPr>
          <w:rFonts w:ascii="微软雅黑" w:hAnsi="微软雅黑" w:eastAsia="微软雅黑" w:cs="微软雅黑"/>
          <w:sz w:val="24"/>
        </w:rPr>
      </w:pPr>
      <w:bookmarkStart w:id="294" w:name="_Toc7004"/>
      <w:r>
        <w:rPr>
          <w:rFonts w:hint="eastAsia" w:ascii="微软雅黑" w:hAnsi="微软雅黑" w:eastAsia="微软雅黑" w:cs="微软雅黑"/>
          <w:sz w:val="24"/>
        </w:rPr>
        <w:t>五、免责条款</w:t>
      </w:r>
      <w:bookmarkEnd w:id="294"/>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1．因你方违反主合同约定致使投标人不能履行义务的，我方不承担保证责任。</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2．依照法律法规的规定或你方与投标人的另行约定，全部或者部分免除投标人应缴纳的保证金义务的，我方亦免除相应的保证责任。</w:t>
      </w:r>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3．因不可抗力造成投标人不能履行供货义务的，我方不承担保证责任。</w:t>
      </w:r>
    </w:p>
    <w:p>
      <w:pPr>
        <w:snapToGrid w:val="0"/>
        <w:spacing w:line="400" w:lineRule="exact"/>
        <w:ind w:firstLine="480" w:firstLineChars="200"/>
        <w:textAlignment w:val="baseline"/>
        <w:rPr>
          <w:rFonts w:ascii="微软雅黑" w:hAnsi="微软雅黑" w:eastAsia="微软雅黑" w:cs="微软雅黑"/>
          <w:sz w:val="24"/>
        </w:rPr>
      </w:pPr>
      <w:bookmarkStart w:id="295" w:name="_Toc22707"/>
      <w:r>
        <w:rPr>
          <w:rFonts w:hint="eastAsia" w:ascii="微软雅黑" w:hAnsi="微软雅黑" w:eastAsia="微软雅黑" w:cs="微软雅黑"/>
          <w:sz w:val="24"/>
        </w:rPr>
        <w:t>六、争议的解决</w:t>
      </w:r>
      <w:bookmarkEnd w:id="295"/>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因本保函发生的纠纷，由你我双方协商解决，协商不成的，通过诉讼程序解决，诉讼管辖地法院为法院。</w:t>
      </w:r>
    </w:p>
    <w:p>
      <w:pPr>
        <w:snapToGrid w:val="0"/>
        <w:spacing w:line="400" w:lineRule="exact"/>
        <w:ind w:firstLine="480" w:firstLineChars="200"/>
        <w:textAlignment w:val="baseline"/>
        <w:rPr>
          <w:rFonts w:ascii="微软雅黑" w:hAnsi="微软雅黑" w:eastAsia="微软雅黑" w:cs="微软雅黑"/>
          <w:sz w:val="24"/>
        </w:rPr>
      </w:pPr>
      <w:bookmarkStart w:id="296" w:name="_Toc15327"/>
      <w:r>
        <w:rPr>
          <w:rFonts w:hint="eastAsia" w:ascii="微软雅黑" w:hAnsi="微软雅黑" w:eastAsia="微软雅黑" w:cs="微软雅黑"/>
          <w:sz w:val="24"/>
        </w:rPr>
        <w:t>七、保函的生效</w:t>
      </w:r>
      <w:bookmarkEnd w:id="296"/>
    </w:p>
    <w:p>
      <w:pPr>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rPr>
        <w:t>本保函自我方加盖公章之日起生效。</w:t>
      </w:r>
    </w:p>
    <w:p>
      <w:pPr>
        <w:snapToGrid w:val="0"/>
        <w:spacing w:line="400" w:lineRule="exact"/>
        <w:textAlignment w:val="baseline"/>
        <w:rPr>
          <w:rFonts w:ascii="微软雅黑" w:hAnsi="微软雅黑" w:eastAsia="微软雅黑" w:cs="微软雅黑"/>
          <w:sz w:val="24"/>
        </w:rPr>
      </w:pPr>
    </w:p>
    <w:p>
      <w:pPr>
        <w:snapToGrid w:val="0"/>
        <w:spacing w:line="400" w:lineRule="exact"/>
        <w:textAlignment w:val="baseline"/>
        <w:rPr>
          <w:rFonts w:ascii="微软雅黑" w:hAnsi="微软雅黑" w:eastAsia="微软雅黑" w:cs="微软雅黑"/>
          <w:sz w:val="24"/>
        </w:rPr>
      </w:pPr>
    </w:p>
    <w:p>
      <w:pPr>
        <w:snapToGrid w:val="0"/>
        <w:spacing w:line="400" w:lineRule="exact"/>
        <w:ind w:firstLine="5400" w:firstLineChars="2250"/>
        <w:textAlignment w:val="baseline"/>
        <w:rPr>
          <w:rFonts w:ascii="微软雅黑" w:hAnsi="微软雅黑" w:eastAsia="微软雅黑" w:cs="微软雅黑"/>
          <w:sz w:val="24"/>
        </w:rPr>
      </w:pPr>
      <w:r>
        <w:rPr>
          <w:rFonts w:hint="eastAsia" w:ascii="微软雅黑" w:hAnsi="微软雅黑" w:eastAsia="微软雅黑" w:cs="微软雅黑"/>
          <w:sz w:val="24"/>
        </w:rPr>
        <w:t>保证人：（公章）</w:t>
      </w:r>
    </w:p>
    <w:p>
      <w:pPr>
        <w:snapToGrid w:val="0"/>
        <w:spacing w:line="400" w:lineRule="exact"/>
        <w:textAlignment w:val="baseline"/>
        <w:rPr>
          <w:rFonts w:ascii="微软雅黑" w:hAnsi="微软雅黑" w:eastAsia="微软雅黑" w:cs="微软雅黑"/>
          <w:sz w:val="24"/>
        </w:rPr>
      </w:pP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年     月      日</w:t>
      </w:r>
    </w:p>
    <w:p>
      <w:pPr>
        <w:pStyle w:val="2"/>
        <w:snapToGrid w:val="0"/>
        <w:spacing w:line="400" w:lineRule="exact"/>
        <w:ind w:firstLine="0"/>
        <w:textAlignment w:val="baseline"/>
        <w:rPr>
          <w:rFonts w:hAnsi="宋体" w:cs="宋体"/>
          <w:kern w:val="2"/>
          <w:sz w:val="21"/>
          <w:szCs w:val="21"/>
        </w:rPr>
      </w:pPr>
      <w:r>
        <w:rPr>
          <w:sz w:val="20"/>
        </w:rPr>
        <w:br w:type="page"/>
      </w:r>
    </w:p>
    <w:p>
      <w:pPr>
        <w:pStyle w:val="24"/>
        <w:spacing w:line="240" w:lineRule="auto"/>
        <w:jc w:val="center"/>
      </w:pPr>
      <w:bookmarkStart w:id="297" w:name="_Toc515647802"/>
      <w:bookmarkStart w:id="298" w:name="_Toc3574"/>
      <w:bookmarkStart w:id="299" w:name="_Toc728"/>
      <w:bookmarkStart w:id="300" w:name="_Toc702"/>
      <w:bookmarkStart w:id="301" w:name="_Toc216582812"/>
      <w:bookmarkStart w:id="302" w:name="_Toc8832"/>
      <w:bookmarkStart w:id="303" w:name="_Toc29770"/>
      <w:r>
        <w:rPr>
          <w:rFonts w:hint="eastAsia"/>
        </w:rPr>
        <w:t>第</w:t>
      </w:r>
      <w:r>
        <w:rPr>
          <w:rFonts w:hint="eastAsia"/>
          <w:lang w:val="en-US" w:eastAsia="zh-CN"/>
        </w:rPr>
        <w:t>2</w:t>
      </w:r>
      <w:r>
        <w:rPr>
          <w:rFonts w:hint="eastAsia"/>
        </w:rPr>
        <w:t>章   投标文件格式</w:t>
      </w:r>
      <w:bookmarkEnd w:id="297"/>
      <w:bookmarkEnd w:id="298"/>
      <w:bookmarkEnd w:id="299"/>
      <w:bookmarkEnd w:id="300"/>
      <w:bookmarkEnd w:id="301"/>
      <w:bookmarkEnd w:id="302"/>
      <w:bookmarkEnd w:id="303"/>
    </w:p>
    <w:p>
      <w:pPr>
        <w:pStyle w:val="4"/>
        <w:spacing w:line="240" w:lineRule="auto"/>
      </w:pPr>
      <w:bookmarkStart w:id="304" w:name="_Toc18694"/>
      <w:bookmarkStart w:id="305" w:name="_Toc32123"/>
      <w:bookmarkStart w:id="306" w:name="_Toc18974"/>
      <w:bookmarkStart w:id="307" w:name="_Toc515647803"/>
      <w:bookmarkStart w:id="308" w:name="_Toc22572"/>
      <w:bookmarkStart w:id="309" w:name="_Toc32079"/>
      <w:bookmarkStart w:id="310" w:name="_Toc12708"/>
      <w:r>
        <w:rPr>
          <w:rFonts w:hint="eastAsia"/>
        </w:rPr>
        <w:t>第一部分 开标一览表及资格证明文件</w:t>
      </w:r>
      <w:bookmarkEnd w:id="304"/>
      <w:bookmarkEnd w:id="305"/>
      <w:bookmarkEnd w:id="306"/>
      <w:bookmarkEnd w:id="307"/>
      <w:bookmarkEnd w:id="308"/>
      <w:bookmarkEnd w:id="309"/>
      <w:bookmarkEnd w:id="310"/>
    </w:p>
    <w:p>
      <w:pPr>
        <w:tabs>
          <w:tab w:val="left" w:pos="1800"/>
          <w:tab w:val="left" w:pos="5580"/>
        </w:tabs>
        <w:snapToGrid w:val="0"/>
        <w:spacing w:line="240" w:lineRule="auto"/>
        <w:ind w:right="-22" w:rightChars="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开标一览表；</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2</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合格有效的三证合一的营业执照（三证合一）副本或电子营业执照打印件（需加盖公章）</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eastAsia="zh-CN"/>
        </w:rPr>
        <w:t>法定代表人（负责人）资格证明书及授权书、被授权人身份证；(法定代表人投标需提供法定代表人身份证及法定代表人代表资格证明书)</w:t>
      </w:r>
      <w:r>
        <w:rPr>
          <w:rFonts w:hint="eastAsia" w:ascii="微软雅黑" w:hAnsi="微软雅黑" w:eastAsia="微软雅黑" w:cs="微软雅黑"/>
          <w:sz w:val="24"/>
        </w:rPr>
        <w:t>；</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4、近三个月依法缴纳税收的证明（完税证明或税务部门出具的其他证明，税种非社会保险类）；</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5、近</w:t>
      </w:r>
      <w:r>
        <w:rPr>
          <w:rFonts w:hint="eastAsia" w:ascii="微软雅黑" w:hAnsi="微软雅黑" w:eastAsia="微软雅黑" w:cs="微软雅黑"/>
          <w:sz w:val="24"/>
          <w:lang w:val="en-US" w:eastAsia="zh-CN"/>
        </w:rPr>
        <w:t>六</w:t>
      </w:r>
      <w:r>
        <w:rPr>
          <w:rFonts w:hint="eastAsia" w:ascii="微软雅黑" w:hAnsi="微软雅黑" w:eastAsia="微软雅黑" w:cs="微软雅黑"/>
          <w:sz w:val="24"/>
        </w:rPr>
        <w:t>个月依法缴纳社会保障金的缴费和银行转帐汇款单证明。</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6、良好的商业信誉和健全的财务会计制度证明材料（2021年度财务审计报告书影印件；新办企业需提供银行资信证明）；</w:t>
      </w:r>
    </w:p>
    <w:p>
      <w:pPr>
        <w:tabs>
          <w:tab w:val="left" w:pos="1800"/>
          <w:tab w:val="left" w:pos="5580"/>
        </w:tabs>
        <w:snapToGrid w:val="0"/>
        <w:spacing w:line="240" w:lineRule="auto"/>
        <w:ind w:right="-840" w:rightChars="-400"/>
        <w:jc w:val="left"/>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rPr>
        <w:t>7、参加政府采购活动前3年内在经营活动中没有重大违法记录的书面声明</w:t>
      </w:r>
      <w:r>
        <w:rPr>
          <w:rFonts w:hint="eastAsia" w:ascii="微软雅黑" w:hAnsi="微软雅黑" w:eastAsia="微软雅黑" w:cs="微软雅黑"/>
          <w:sz w:val="24"/>
          <w:lang w:val="en-US" w:eastAsia="zh-CN"/>
        </w:rPr>
        <w:t>及</w:t>
      </w:r>
      <w:r>
        <w:rPr>
          <w:rFonts w:hint="eastAsia" w:ascii="微软雅黑" w:hAnsi="微软雅黑" w:eastAsia="微软雅黑" w:cs="微软雅黑"/>
          <w:sz w:val="24"/>
        </w:rPr>
        <w:t>投标单位（供应商）提供针对本次采购项目《反商业贿赂承诺书》</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格式自拟</w:t>
      </w:r>
      <w:r>
        <w:rPr>
          <w:rFonts w:hint="eastAsia" w:ascii="微软雅黑" w:hAnsi="微软雅黑" w:eastAsia="微软雅黑" w:cs="微软雅黑"/>
          <w:sz w:val="24"/>
          <w:lang w:eastAsia="zh-CN"/>
        </w:rPr>
        <w:t>）；</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8</w:t>
      </w:r>
      <w:r>
        <w:rPr>
          <w:rFonts w:hint="eastAsia" w:ascii="微软雅黑" w:hAnsi="微软雅黑" w:eastAsia="微软雅黑" w:cs="微软雅黑"/>
          <w:sz w:val="24"/>
          <w:lang w:eastAsia="zh-CN"/>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w:t>
      </w:r>
      <w:r>
        <w:rPr>
          <w:rFonts w:hint="eastAsia" w:ascii="微软雅黑" w:hAnsi="微软雅黑" w:eastAsia="微软雅黑" w:cs="微软雅黑"/>
          <w:sz w:val="24"/>
        </w:rPr>
        <w:t>府采购网(www.ccgp.gov.cn)查询结果为准；</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9</w:t>
      </w:r>
      <w:r>
        <w:rPr>
          <w:rFonts w:hint="eastAsia" w:ascii="微软雅黑" w:hAnsi="微软雅黑" w:eastAsia="微软雅黑" w:cs="微软雅黑"/>
          <w:color w:val="auto"/>
          <w:sz w:val="24"/>
          <w:lang w:val="en-US" w:eastAsia="zh-CN"/>
        </w:rPr>
        <w:t>、</w:t>
      </w:r>
      <w:r>
        <w:rPr>
          <w:rFonts w:hint="eastAsia" w:ascii="微软雅黑" w:hAnsi="微软雅黑" w:eastAsia="微软雅黑" w:cs="微软雅黑"/>
          <w:sz w:val="24"/>
        </w:rPr>
        <w:t>缴纳投标保证金凭证复印件加盖公章；</w:t>
      </w:r>
    </w:p>
    <w:p>
      <w:pPr>
        <w:pStyle w:val="20"/>
        <w:rPr>
          <w:rFonts w:hint="eastAsia"/>
        </w:rPr>
      </w:pPr>
    </w:p>
    <w:p>
      <w:pPr>
        <w:tabs>
          <w:tab w:val="left" w:pos="1800"/>
          <w:tab w:val="left" w:pos="5580"/>
        </w:tabs>
        <w:snapToGrid w:val="0"/>
        <w:spacing w:line="240" w:lineRule="auto"/>
        <w:ind w:right="-840" w:rightChars="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lang w:val="en-US" w:eastAsia="zh-CN"/>
        </w:rPr>
        <w:t>注：</w:t>
      </w:r>
      <w:r>
        <w:rPr>
          <w:rFonts w:hint="eastAsia" w:ascii="微软雅黑" w:hAnsi="微软雅黑" w:eastAsia="微软雅黑" w:cs="微软雅黑"/>
          <w:sz w:val="24"/>
        </w:rPr>
        <w:t>投标人提供的上述资格证明文件中涉及复印件和影印件的，均需加盖公章并注明“与原件一致”。</w:t>
      </w:r>
    </w:p>
    <w:p>
      <w:pPr>
        <w:spacing w:line="240" w:lineRule="auto"/>
        <w:jc w:val="left"/>
        <w:rPr>
          <w:rFonts w:hint="eastAsia"/>
        </w:rPr>
      </w:pPr>
    </w:p>
    <w:p>
      <w:pPr>
        <w:pStyle w:val="5"/>
        <w:keepNext w:val="0"/>
        <w:keepLines w:val="0"/>
        <w:pageBreakBefore/>
        <w:jc w:val="both"/>
      </w:pPr>
      <w:bookmarkStart w:id="311" w:name="_Toc21614"/>
      <w:bookmarkStart w:id="312" w:name="_Toc3620"/>
      <w:bookmarkStart w:id="313" w:name="_Toc5999"/>
      <w:bookmarkStart w:id="314" w:name="_Toc30630"/>
      <w:bookmarkStart w:id="315" w:name="_Toc16750"/>
      <w:bookmarkStart w:id="316" w:name="_Toc13595"/>
      <w:bookmarkStart w:id="317" w:name="_Toc11138"/>
      <w:bookmarkStart w:id="318" w:name="_Toc16568"/>
      <w:bookmarkStart w:id="319" w:name="_Toc29091"/>
      <w:bookmarkStart w:id="320" w:name="_Toc522"/>
      <w:bookmarkStart w:id="321" w:name="_Toc14118"/>
      <w:bookmarkStart w:id="322" w:name="_Toc515647804"/>
      <w:bookmarkStart w:id="323" w:name="_Toc30524"/>
      <w:r>
        <w:rPr>
          <w:rFonts w:hint="eastAsia"/>
        </w:rPr>
        <w:t>1  开标一览表（投标文件格式一）</w:t>
      </w:r>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2"/>
        <w:tabs>
          <w:tab w:val="left" w:pos="5580"/>
        </w:tabs>
        <w:snapToGrid w:val="0"/>
        <w:spacing w:line="400" w:lineRule="exact"/>
        <w:ind w:left="1079" w:leftChars="257" w:hanging="540"/>
        <w:jc w:val="center"/>
        <w:textAlignment w:val="baseline"/>
        <w:rPr>
          <w:rFonts w:ascii="微软雅黑" w:hAnsi="微软雅黑" w:eastAsia="微软雅黑" w:cs="微软雅黑"/>
        </w:rPr>
      </w:pPr>
      <w:bookmarkStart w:id="324" w:name="_Hlt520356241"/>
      <w:bookmarkEnd w:id="324"/>
      <w:bookmarkStart w:id="325" w:name="_Toc494296984"/>
      <w:r>
        <w:rPr>
          <w:rFonts w:hint="eastAsia" w:ascii="微软雅黑" w:hAnsi="微软雅黑" w:eastAsia="微软雅黑" w:cs="微软雅黑"/>
          <w:b/>
        </w:rPr>
        <w:t>开标一览表</w:t>
      </w:r>
      <w:bookmarkEnd w:id="325"/>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sz w:val="24"/>
        </w:rPr>
      </w:pPr>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项目名称：　                  招标编号：               </w:t>
      </w:r>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万元</w:t>
      </w:r>
    </w:p>
    <w:tbl>
      <w:tblPr>
        <w:tblStyle w:val="2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956"/>
        <w:gridCol w:w="5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vAlign w:val="center"/>
          </w:tcPr>
          <w:p>
            <w:pPr>
              <w:pStyle w:val="6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222" w:type="dxa"/>
            <w:gridSpan w:val="2"/>
            <w:vAlign w:val="center"/>
          </w:tcPr>
          <w:p>
            <w:pPr>
              <w:pStyle w:val="66"/>
              <w:ind w:left="-3" w:right="-25"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vAlign w:val="center"/>
          </w:tcPr>
          <w:p>
            <w:pPr>
              <w:pStyle w:val="6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6"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5266" w:type="dxa"/>
            <w:vAlign w:val="center"/>
          </w:tcPr>
          <w:p>
            <w:pPr>
              <w:pStyle w:val="66"/>
              <w:ind w:left="-3" w:right="-25"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vAlign w:val="center"/>
          </w:tcPr>
          <w:p>
            <w:pPr>
              <w:pStyle w:val="6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56"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p>
        </w:tc>
        <w:tc>
          <w:tcPr>
            <w:tcW w:w="5266" w:type="dxa"/>
            <w:vAlign w:val="center"/>
          </w:tcPr>
          <w:p>
            <w:pPr>
              <w:pStyle w:val="66"/>
              <w:ind w:left="-3" w:right="-25"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58" w:type="dxa"/>
            <w:vAlign w:val="center"/>
          </w:tcPr>
          <w:p>
            <w:pPr>
              <w:pStyle w:val="6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56" w:type="dxa"/>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标项号</w:t>
            </w:r>
          </w:p>
        </w:tc>
        <w:tc>
          <w:tcPr>
            <w:tcW w:w="5266" w:type="dxa"/>
            <w:vAlign w:val="center"/>
          </w:tcPr>
          <w:p>
            <w:pPr>
              <w:pStyle w:val="66"/>
              <w:ind w:left="-3" w:right="-25"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158" w:type="dxa"/>
            <w:vAlign w:val="center"/>
          </w:tcPr>
          <w:p>
            <w:pPr>
              <w:pStyle w:val="66"/>
              <w:ind w:left="-105" w:right="-97" w:firstLine="72" w:firstLine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56" w:type="dxa"/>
            <w:vAlign w:val="center"/>
          </w:tcPr>
          <w:p>
            <w:pPr>
              <w:pStyle w:val="61"/>
              <w:snapToGrid w:val="0"/>
              <w:spacing w:line="400" w:lineRule="exact"/>
              <w:ind w:left="473" w:hanging="473"/>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266" w:type="dxa"/>
            <w:vAlign w:val="center"/>
          </w:tcPr>
          <w:p>
            <w:pPr>
              <w:pStyle w:val="61"/>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pStyle w:val="61"/>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80" w:type="dxa"/>
            <w:gridSpan w:val="3"/>
            <w:vAlign w:val="center"/>
          </w:tcPr>
          <w:p>
            <w:pPr>
              <w:pStyle w:val="6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80" w:type="dxa"/>
            <w:gridSpan w:val="3"/>
            <w:vAlign w:val="center"/>
          </w:tcPr>
          <w:p>
            <w:pPr>
              <w:pStyle w:val="6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tc>
      </w:tr>
    </w:tbl>
    <w:p>
      <w:pPr>
        <w:jc w:val="left"/>
        <w:rPr>
          <w:rFonts w:hint="eastAsia" w:ascii="宋体" w:hAnsi="宋体" w:eastAsia="宋体" w:cs="宋体"/>
          <w:color w:val="auto"/>
          <w:sz w:val="24"/>
          <w:szCs w:val="24"/>
        </w:rPr>
      </w:pPr>
    </w:p>
    <w:p>
      <w:pPr>
        <w:spacing w:line="280" w:lineRule="exact"/>
        <w:jc w:val="left"/>
        <w:rPr>
          <w:rFonts w:hint="eastAsia" w:ascii="宋体" w:hAnsi="宋体" w:eastAsia="宋体" w:cs="宋体"/>
          <w:color w:val="auto"/>
          <w:sz w:val="24"/>
          <w:szCs w:val="24"/>
        </w:rPr>
      </w:pPr>
    </w:p>
    <w:p>
      <w:pPr>
        <w:spacing w:line="280" w:lineRule="exact"/>
        <w:jc w:val="left"/>
        <w:rPr>
          <w:rFonts w:hint="eastAsia" w:ascii="微软雅黑" w:hAnsi="微软雅黑" w:eastAsia="微软雅黑" w:cs="微软雅黑"/>
          <w:sz w:val="24"/>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w:t>
      </w:r>
      <w:r>
        <w:rPr>
          <w:rFonts w:hint="eastAsia" w:ascii="微软雅黑" w:hAnsi="微软雅黑" w:eastAsia="微软雅黑" w:cs="微软雅黑"/>
          <w:sz w:val="24"/>
        </w:rPr>
        <w:t>①</w:t>
      </w:r>
      <w:r>
        <w:rPr>
          <w:rFonts w:hint="eastAsia" w:ascii="微软雅黑" w:hAnsi="微软雅黑" w:eastAsia="微软雅黑" w:cs="微软雅黑"/>
          <w:sz w:val="24"/>
          <w:lang w:val="en-US" w:eastAsia="zh-CN"/>
        </w:rPr>
        <w:t>此</w:t>
      </w:r>
      <w:r>
        <w:rPr>
          <w:rFonts w:hint="eastAsia" w:ascii="微软雅黑" w:hAnsi="微软雅黑" w:eastAsia="微软雅黑" w:cs="微软雅黑"/>
          <w:sz w:val="24"/>
        </w:rPr>
        <w:t>表中大小写不一致时，以大写为准。</w:t>
      </w:r>
    </w:p>
    <w:p>
      <w:pPr>
        <w:spacing w:line="280" w:lineRule="exact"/>
        <w:jc w:val="left"/>
        <w:rPr>
          <w:rFonts w:ascii="微软雅黑" w:hAnsi="微软雅黑" w:eastAsia="微软雅黑" w:cs="微软雅黑"/>
          <w:sz w:val="24"/>
        </w:rPr>
      </w:pPr>
      <w:r>
        <w:rPr>
          <w:rFonts w:hint="eastAsia" w:ascii="微软雅黑" w:hAnsi="微软雅黑" w:eastAsia="微软雅黑" w:cs="微软雅黑"/>
          <w:sz w:val="24"/>
        </w:rPr>
        <w:t>②此表中，投标总价应和投标分项报价表的总价相一致。</w:t>
      </w:r>
    </w:p>
    <w:p>
      <w:pPr>
        <w:pStyle w:val="15"/>
        <w:tabs>
          <w:tab w:val="left" w:pos="5580"/>
        </w:tabs>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③投标商报价时包含税费等一切与本次项目相关的费用。</w:t>
      </w:r>
    </w:p>
    <w:p>
      <w:pPr>
        <w:pStyle w:val="15"/>
        <w:tabs>
          <w:tab w:val="left" w:pos="5580"/>
        </w:tabs>
        <w:snapToGrid w:val="0"/>
        <w:spacing w:line="240" w:lineRule="auto"/>
        <w:textAlignment w:val="baseline"/>
        <w:rPr>
          <w:rFonts w:ascii="微软雅黑" w:hAnsi="微软雅黑" w:eastAsia="微软雅黑" w:cs="微软雅黑"/>
          <w:sz w:val="24"/>
        </w:rPr>
      </w:pPr>
      <w:r>
        <w:rPr>
          <w:rFonts w:hint="eastAsia" w:ascii="微软雅黑" w:hAnsi="微软雅黑" w:eastAsia="微软雅黑" w:cs="微软雅黑"/>
          <w:sz w:val="24"/>
        </w:rPr>
        <w:t>④如评标委员会认为投标人的报价明显低于其他通过符合性检查投标人的报价，有可能影响履约的，且投标人未按照规定证明其报价合理性的；必须提供报价成本及合理利润分析说明，否则投标报价不得分。</w:t>
      </w:r>
    </w:p>
    <w:p>
      <w:pPr>
        <w:pStyle w:val="15"/>
        <w:tabs>
          <w:tab w:val="left" w:pos="5580"/>
        </w:tabs>
        <w:snapToGrid w:val="0"/>
        <w:spacing w:line="400" w:lineRule="exact"/>
        <w:ind w:left="1079" w:leftChars="257" w:hanging="540"/>
        <w:textAlignment w:val="baseline"/>
        <w:rPr>
          <w:rFonts w:ascii="微软雅黑" w:hAnsi="微软雅黑" w:eastAsia="微软雅黑" w:cs="微软雅黑"/>
          <w:sz w:val="24"/>
        </w:rPr>
      </w:pPr>
    </w:p>
    <w:p>
      <w:pPr>
        <w:pStyle w:val="15"/>
        <w:tabs>
          <w:tab w:val="left" w:pos="5580"/>
        </w:tabs>
        <w:snapToGrid w:val="0"/>
        <w:spacing w:line="400" w:lineRule="exact"/>
        <w:ind w:left="1079" w:leftChars="257" w:hanging="540"/>
        <w:textAlignment w:val="baseline"/>
        <w:rPr>
          <w:rFonts w:ascii="微软雅黑" w:hAnsi="微软雅黑" w:eastAsia="微软雅黑" w:cs="微软雅黑"/>
          <w:sz w:val="24"/>
        </w:rPr>
      </w:pPr>
    </w:p>
    <w:p>
      <w:pPr>
        <w:pStyle w:val="15"/>
        <w:tabs>
          <w:tab w:val="left" w:pos="5580"/>
        </w:tabs>
        <w:snapToGrid w:val="0"/>
        <w:spacing w:line="400" w:lineRule="exact"/>
        <w:ind w:left="1079" w:leftChars="257" w:hanging="540"/>
        <w:textAlignment w:val="baseline"/>
        <w:rPr>
          <w:rFonts w:ascii="微软雅黑" w:hAnsi="微软雅黑" w:eastAsia="微软雅黑" w:cs="微软雅黑"/>
          <w:sz w:val="24"/>
        </w:rPr>
      </w:pPr>
    </w:p>
    <w:p>
      <w:pPr>
        <w:pStyle w:val="15"/>
        <w:tabs>
          <w:tab w:val="left" w:pos="5580"/>
        </w:tabs>
        <w:snapToGrid w:val="0"/>
        <w:spacing w:line="400" w:lineRule="exact"/>
        <w:ind w:left="1079" w:leftChars="257" w:hanging="540"/>
        <w:textAlignment w:val="baseline"/>
        <w:rPr>
          <w:rFonts w:ascii="微软雅黑" w:hAnsi="微软雅黑" w:eastAsia="微软雅黑" w:cs="微软雅黑"/>
          <w:sz w:val="24"/>
        </w:rPr>
      </w:pPr>
    </w:p>
    <w:p>
      <w:pPr>
        <w:pStyle w:val="15"/>
        <w:tabs>
          <w:tab w:val="left" w:pos="5580"/>
        </w:tabs>
        <w:snapToGrid w:val="0"/>
        <w:spacing w:line="400" w:lineRule="exact"/>
        <w:ind w:left="1079" w:leftChars="257" w:hanging="540"/>
        <w:textAlignment w:val="baseline"/>
        <w:rPr>
          <w:rFonts w:ascii="微软雅黑" w:hAnsi="微软雅黑" w:eastAsia="微软雅黑" w:cs="微软雅黑"/>
          <w:sz w:val="24"/>
        </w:rPr>
      </w:pPr>
    </w:p>
    <w:p>
      <w:pPr>
        <w:pStyle w:val="6"/>
        <w:spacing w:before="0" w:after="0" w:line="240" w:lineRule="atLeast"/>
        <w:jc w:val="left"/>
        <w:rPr>
          <w:rFonts w:hint="eastAsia" w:ascii="黑体" w:hAnsi="黑体" w:eastAsia="黑体" w:cs="黑体"/>
          <w:b/>
          <w:kern w:val="0"/>
          <w:sz w:val="30"/>
          <w:szCs w:val="30"/>
          <w:lang w:val="en-US" w:eastAsia="zh-CN" w:bidi="ar-SA"/>
        </w:rPr>
      </w:pPr>
      <w:bookmarkStart w:id="326" w:name="_Toc22730864"/>
      <w:bookmarkStart w:id="327" w:name="_Toc22494199"/>
      <w:r>
        <w:rPr>
          <w:rFonts w:hint="eastAsia" w:ascii="黑体" w:hAnsi="黑体" w:eastAsia="黑体" w:cs="黑体"/>
          <w:b/>
          <w:kern w:val="0"/>
          <w:sz w:val="30"/>
          <w:szCs w:val="30"/>
          <w:lang w:val="en-US" w:eastAsia="zh-CN" w:bidi="ar-SA"/>
        </w:rPr>
        <w:t xml:space="preserve">2 </w:t>
      </w:r>
      <w:r>
        <w:rPr>
          <w:rFonts w:hint="eastAsia" w:ascii="黑体" w:hAnsi="黑体" w:eastAsia="黑体" w:cs="黑体"/>
          <w:sz w:val="30"/>
          <w:szCs w:val="30"/>
        </w:rPr>
        <w:t>合格有效的三证合一的营业执照（三证合一）副本或电子营业执照打印件（需加盖公章）</w:t>
      </w:r>
      <w:r>
        <w:rPr>
          <w:rFonts w:hint="eastAsia" w:ascii="黑体" w:hAnsi="黑体" w:eastAsia="黑体" w:cs="黑体"/>
          <w:b/>
          <w:kern w:val="0"/>
          <w:sz w:val="30"/>
          <w:szCs w:val="30"/>
          <w:lang w:val="en-US" w:eastAsia="zh-CN" w:bidi="ar-SA"/>
        </w:rPr>
        <w:t>；</w:t>
      </w:r>
      <w:bookmarkEnd w:id="326"/>
      <w:bookmarkEnd w:id="327"/>
    </w:p>
    <w:p>
      <w:pPr>
        <w:pStyle w:val="15"/>
        <w:tabs>
          <w:tab w:val="left" w:pos="5580"/>
        </w:tabs>
        <w:spacing w:line="240" w:lineRule="atLeast"/>
        <w:ind w:left="1079" w:leftChars="257" w:hanging="540"/>
        <w:jc w:val="left"/>
        <w:rPr>
          <w:rFonts w:ascii="楷体" w:hAnsi="楷体" w:eastAsia="楷体" w:cs="楷体"/>
          <w:color w:val="auto"/>
          <w:sz w:val="24"/>
        </w:rPr>
      </w:pPr>
      <w:r>
        <w:rPr>
          <w:rFonts w:hint="eastAsia" w:ascii="楷体" w:hAnsi="楷体" w:eastAsia="楷体" w:cs="楷体"/>
          <w:color w:val="auto"/>
          <w:sz w:val="24"/>
        </w:rPr>
        <w:t>法人或者非法人组织营业执照等证明文件复印件（须加盖本单位章）或自然人的身份证明复印件;</w:t>
      </w:r>
    </w:p>
    <w:p>
      <w:pPr>
        <w:pStyle w:val="15"/>
        <w:tabs>
          <w:tab w:val="left" w:pos="5580"/>
        </w:tabs>
        <w:spacing w:line="240" w:lineRule="atLeast"/>
        <w:ind w:left="1079" w:leftChars="257" w:hanging="540"/>
        <w:jc w:val="left"/>
        <w:rPr>
          <w:rFonts w:ascii="楷体" w:hAnsi="楷体" w:eastAsia="楷体" w:cs="楷体"/>
          <w:color w:val="auto"/>
          <w:sz w:val="24"/>
        </w:rPr>
      </w:pPr>
      <w:r>
        <w:rPr>
          <w:rFonts w:hint="eastAsia" w:ascii="楷体" w:hAnsi="楷体" w:eastAsia="楷体" w:cs="楷体"/>
          <w:color w:val="auto"/>
          <w:sz w:val="24"/>
        </w:rPr>
        <w:t>投标人必须满足《中华人民共和国政府采购法》第二十二条要求，法定代表人（或企业负责人）授权书（见投标文件格式二，自然人投标的无需提供）;</w:t>
      </w:r>
    </w:p>
    <w:p>
      <w:pPr>
        <w:pStyle w:val="15"/>
        <w:tabs>
          <w:tab w:val="left" w:pos="5580"/>
        </w:tabs>
        <w:spacing w:line="240" w:lineRule="atLeast"/>
        <w:ind w:left="1079" w:leftChars="257" w:hanging="540"/>
        <w:jc w:val="left"/>
        <w:rPr>
          <w:rFonts w:ascii="楷体" w:hAnsi="楷体" w:eastAsia="楷体" w:cs="楷体"/>
          <w:color w:val="auto"/>
          <w:sz w:val="24"/>
        </w:rPr>
      </w:pPr>
      <w:r>
        <w:rPr>
          <w:rFonts w:hint="eastAsia" w:ascii="楷体" w:hAnsi="楷体" w:eastAsia="楷体" w:cs="楷体"/>
          <w:color w:val="auto"/>
          <w:sz w:val="24"/>
        </w:rPr>
        <w:t>说明：提供合格有效的营业执照等证明文件复印件或影印件或打印件，复印件或影印件或打印件上应加盖本单位公章并注明“与原件一致”字样。</w:t>
      </w:r>
    </w:p>
    <w:p>
      <w:pPr>
        <w:pStyle w:val="15"/>
        <w:tabs>
          <w:tab w:val="left" w:pos="5580"/>
        </w:tabs>
        <w:spacing w:line="240" w:lineRule="atLeast"/>
        <w:ind w:left="1079" w:leftChars="257" w:hanging="540"/>
        <w:rPr>
          <w:rFonts w:ascii="楷体" w:hAnsi="楷体" w:eastAsia="楷体" w:cs="楷体"/>
          <w:color w:val="auto"/>
          <w:sz w:val="24"/>
        </w:rPr>
      </w:pPr>
      <w:r>
        <w:rPr>
          <w:rFonts w:hint="eastAsia" w:ascii="楷体" w:hAnsi="楷体" w:eastAsia="楷体" w:cs="楷体"/>
          <w:color w:val="auto"/>
          <w:sz w:val="24"/>
        </w:rPr>
        <w:t xml:space="preserve">  </w:t>
      </w:r>
    </w:p>
    <w:p>
      <w:pPr>
        <w:rPr>
          <w:rFonts w:hint="eastAsia" w:ascii="黑体" w:hAnsi="黑体" w:eastAsia="黑体" w:cs="黑体"/>
          <w:b/>
          <w:kern w:val="0"/>
          <w:sz w:val="30"/>
          <w:szCs w:val="30"/>
          <w:lang w:val="en-US" w:eastAsia="zh-CN" w:bidi="ar-SA"/>
        </w:rPr>
      </w:pPr>
      <w:r>
        <w:rPr>
          <w:rFonts w:hint="eastAsia" w:ascii="黑体" w:hAnsi="黑体" w:eastAsia="黑体" w:cs="黑体"/>
          <w:b/>
          <w:kern w:val="0"/>
          <w:sz w:val="30"/>
          <w:szCs w:val="30"/>
          <w:lang w:val="en-US" w:eastAsia="zh-CN" w:bidi="ar-SA"/>
        </w:rPr>
        <w:br w:type="page"/>
      </w:r>
    </w:p>
    <w:p>
      <w:pPr>
        <w:pStyle w:val="6"/>
        <w:spacing w:before="0" w:after="0" w:line="240" w:lineRule="atLeast"/>
        <w:jc w:val="left"/>
        <w:rPr>
          <w:rFonts w:hint="eastAsia" w:ascii="黑体" w:hAnsi="黑体" w:eastAsia="黑体" w:cs="黑体"/>
          <w:b/>
          <w:kern w:val="0"/>
          <w:sz w:val="30"/>
          <w:szCs w:val="30"/>
          <w:lang w:val="en-US" w:eastAsia="zh-CN" w:bidi="ar-SA"/>
        </w:rPr>
      </w:pPr>
      <w:r>
        <w:rPr>
          <w:rFonts w:hint="eastAsia" w:ascii="黑体" w:hAnsi="黑体" w:eastAsia="黑体" w:cs="黑体"/>
          <w:b/>
          <w:kern w:val="0"/>
          <w:sz w:val="30"/>
          <w:szCs w:val="30"/>
          <w:lang w:val="en-US" w:eastAsia="zh-CN" w:bidi="ar-SA"/>
        </w:rPr>
        <w:t xml:space="preserve">3 </w:t>
      </w:r>
      <w:r>
        <w:rPr>
          <w:rFonts w:hint="eastAsia" w:ascii="黑体" w:hAnsi="黑体" w:eastAsia="黑体" w:cs="黑体"/>
          <w:sz w:val="30"/>
          <w:szCs w:val="30"/>
          <w:lang w:eastAsia="zh-CN"/>
        </w:rPr>
        <w:t>法定代表人（负责人）资格证明书及授权书、被授权人身份证；(法定代表人投标需提供法定代表人身份证及法定代表人代表资格证明书)</w:t>
      </w:r>
    </w:p>
    <w:p>
      <w:pPr>
        <w:ind w:firstLine="480" w:firstLineChars="200"/>
        <w:rPr>
          <w:rFonts w:ascii="微软雅黑" w:hAnsi="微软雅黑" w:eastAsia="微软雅黑" w:cs="微软雅黑"/>
          <w:sz w:val="24"/>
          <w:szCs w:val="20"/>
        </w:rPr>
      </w:pPr>
      <w:r>
        <w:rPr>
          <w:rFonts w:hint="eastAsia" w:ascii="微软雅黑" w:hAnsi="微软雅黑" w:eastAsia="微软雅黑" w:cs="微软雅黑"/>
          <w:sz w:val="24"/>
          <w:szCs w:val="20"/>
        </w:rPr>
        <w:t>(法人投标具备法人身份证及法人代表资格证明书)；</w:t>
      </w:r>
    </w:p>
    <w:p>
      <w:pPr>
        <w:ind w:firstLine="560" w:firstLineChars="200"/>
        <w:jc w:val="center"/>
        <w:rPr>
          <w:b/>
          <w:bCs/>
          <w:sz w:val="28"/>
          <w:szCs w:val="28"/>
        </w:rPr>
      </w:pPr>
      <w:r>
        <w:rPr>
          <w:rFonts w:hint="eastAsia"/>
          <w:b/>
          <w:bCs/>
          <w:sz w:val="28"/>
          <w:szCs w:val="28"/>
        </w:rPr>
        <w:t>法定代表人身份证明</w:t>
      </w:r>
    </w:p>
    <w:p>
      <w:pPr>
        <w:snapToGrid w:val="0"/>
        <w:spacing w:line="400" w:lineRule="exact"/>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 xml:space="preserve">              同志，现任我单位          职务，为法定代表人，特此证明。</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 xml:space="preserve">签发日期：                  单位：            </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附：代表人性别：            年龄：           身份证号码：</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联系电话：</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营业执照号码：              经济性质：</w:t>
      </w:r>
    </w:p>
    <w:p>
      <w:pPr>
        <w:snapToGrid w:val="0"/>
        <w:spacing w:line="400" w:lineRule="exact"/>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说明：</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①法定代表人为企业事业单位、国家机关、社会团体的主要行政负责人。</w:t>
      </w:r>
    </w:p>
    <w:p>
      <w:pPr>
        <w:snapToGrid w:val="0"/>
        <w:spacing w:line="400" w:lineRule="exact"/>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 xml:space="preserve">  ②内容必须填写真实、清楚、涂改无效，不得转让。</w:t>
      </w:r>
    </w:p>
    <w:p>
      <w:pPr>
        <w:snapToGrid w:val="0"/>
        <w:spacing w:line="400" w:lineRule="exact"/>
        <w:ind w:firstLine="240" w:firstLineChars="100"/>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④将此证明书提交采购代理机构作为响应文件附件。</w:t>
      </w:r>
    </w:p>
    <w:p>
      <w:pPr>
        <w:snapToGrid w:val="0"/>
        <w:spacing w:line="400" w:lineRule="exact"/>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 xml:space="preserve">  (为避免废标，请投标人务必提供本附件)</w:t>
      </w:r>
    </w:p>
    <w:p>
      <w:pPr>
        <w:snapToGrid w:val="0"/>
        <w:jc w:val="left"/>
        <w:textAlignment w:val="baseline"/>
        <w:rPr>
          <w:rFonts w:ascii="微软雅黑" w:hAnsi="微软雅黑" w:eastAsia="微软雅黑" w:cs="微软雅黑"/>
          <w:sz w:val="24"/>
          <w:szCs w:val="20"/>
        </w:rPr>
      </w:pPr>
      <w:r>
        <w:rPr>
          <w:rFonts w:ascii="微软雅黑" w:hAnsi="微软雅黑" w:eastAsia="微软雅黑" w:cs="微软雅黑"/>
          <w:sz w:val="24"/>
          <w:szCs w:val="2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61312;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微软雅黑" w:hAnsi="微软雅黑" w:eastAsia="微软雅黑" w:cs="微软雅黑"/>
          <w:sz w:val="24"/>
          <w:szCs w:val="20"/>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wps:txbx>
                      <wps:bodyPr upright="1"/>
                    </wps:wsp>
                  </a:graphicData>
                </a:graphic>
              </wp:anchor>
            </w:drawing>
          </mc:Choice>
          <mc:Fallback>
            <w:pict>
              <v:roundrect id="_x0000_s1026" o:spid="_x0000_s1026" o:spt="2" style="position:absolute;left:0pt;margin-left:229.8pt;margin-top:2.25pt;height:109.1pt;width:163.55pt;z-index:251662336;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v:textbox>
              </v:roundrect>
            </w:pict>
          </mc:Fallback>
        </mc:AlternateContent>
      </w:r>
    </w:p>
    <w:p>
      <w:pPr>
        <w:snapToGrid w:val="0"/>
        <w:jc w:val="left"/>
        <w:textAlignment w:val="baseline"/>
        <w:rPr>
          <w:rFonts w:ascii="微软雅黑" w:hAnsi="微软雅黑" w:eastAsia="微软雅黑" w:cs="微软雅黑"/>
          <w:sz w:val="24"/>
          <w:szCs w:val="20"/>
        </w:rPr>
      </w:pPr>
    </w:p>
    <w:p>
      <w:pPr>
        <w:snapToGrid w:val="0"/>
        <w:jc w:val="left"/>
        <w:textAlignment w:val="baseline"/>
        <w:rPr>
          <w:rFonts w:ascii="微软雅黑" w:hAnsi="微软雅黑" w:eastAsia="微软雅黑" w:cs="微软雅黑"/>
          <w:sz w:val="24"/>
          <w:szCs w:val="20"/>
        </w:rPr>
      </w:pPr>
    </w:p>
    <w:p>
      <w:pPr>
        <w:snapToGrid w:val="0"/>
        <w:ind w:right="246"/>
        <w:jc w:val="left"/>
        <w:textAlignment w:val="baseline"/>
        <w:rPr>
          <w:rFonts w:ascii="微软雅黑" w:hAnsi="微软雅黑" w:eastAsia="微软雅黑" w:cs="微软雅黑"/>
          <w:sz w:val="24"/>
          <w:szCs w:val="20"/>
        </w:rPr>
      </w:pPr>
    </w:p>
    <w:p>
      <w:pPr>
        <w:snapToGrid w:val="0"/>
        <w:ind w:right="246" w:firstLine="784" w:firstLineChars="327"/>
        <w:jc w:val="left"/>
        <w:textAlignment w:val="baseline"/>
        <w:rPr>
          <w:rFonts w:ascii="微软雅黑" w:hAnsi="微软雅黑" w:eastAsia="微软雅黑" w:cs="微软雅黑"/>
          <w:sz w:val="24"/>
          <w:szCs w:val="20"/>
        </w:rPr>
      </w:pPr>
      <w:r>
        <w:rPr>
          <w:rFonts w:hint="eastAsia" w:ascii="微软雅黑" w:hAnsi="微软雅黑" w:eastAsia="微软雅黑" w:cs="微软雅黑"/>
          <w:sz w:val="24"/>
          <w:szCs w:val="20"/>
        </w:rPr>
        <w:t xml:space="preserve">投标人（盖章）：                              </w:t>
      </w:r>
    </w:p>
    <w:p>
      <w:pPr>
        <w:pStyle w:val="15"/>
        <w:tabs>
          <w:tab w:val="left" w:pos="5580"/>
        </w:tabs>
        <w:snapToGrid w:val="0"/>
        <w:spacing w:line="400" w:lineRule="exact"/>
        <w:ind w:left="1079" w:leftChars="257" w:hanging="540"/>
        <w:jc w:val="left"/>
        <w:textAlignment w:val="baseline"/>
        <w:rPr>
          <w:rFonts w:ascii="微软雅黑" w:hAnsi="微软雅黑" w:eastAsia="微软雅黑" w:cs="微软雅黑"/>
          <w:szCs w:val="21"/>
        </w:rPr>
      </w:pPr>
      <w:r>
        <w:rPr>
          <w:rFonts w:hint="eastAsia" w:ascii="微软雅黑" w:hAnsi="微软雅黑" w:eastAsia="微软雅黑" w:cs="微软雅黑"/>
          <w:szCs w:val="21"/>
        </w:rPr>
        <w:t>投标人名称（公章）：</w:t>
      </w:r>
    </w:p>
    <w:p>
      <w:pPr>
        <w:snapToGrid w:val="0"/>
        <w:spacing w:line="400" w:lineRule="exact"/>
        <w:ind w:firstLine="686" w:firstLineChars="327"/>
        <w:jc w:val="left"/>
        <w:textAlignment w:val="baseline"/>
        <w:rPr>
          <w:rFonts w:ascii="微软雅黑" w:hAnsi="微软雅黑" w:eastAsia="微软雅黑" w:cs="微软雅黑"/>
          <w:sz w:val="24"/>
          <w:szCs w:val="20"/>
        </w:rPr>
      </w:pPr>
      <w:r>
        <w:rPr>
          <w:rFonts w:hint="eastAsia" w:ascii="微软雅黑" w:hAnsi="微软雅黑" w:eastAsia="微软雅黑" w:cs="微软雅黑"/>
          <w:szCs w:val="21"/>
        </w:rPr>
        <w:t xml:space="preserve">法定代表人签字或（签/章）：             </w:t>
      </w:r>
    </w:p>
    <w:p>
      <w:pPr>
        <w:snapToGrid w:val="0"/>
        <w:spacing w:line="400" w:lineRule="exact"/>
        <w:ind w:firstLine="686" w:firstLineChars="327"/>
        <w:jc w:val="left"/>
        <w:textAlignment w:val="baseline"/>
        <w:rPr>
          <w:rFonts w:ascii="微软雅黑" w:hAnsi="微软雅黑" w:eastAsia="微软雅黑" w:cs="微软雅黑"/>
          <w:szCs w:val="21"/>
        </w:rPr>
      </w:pPr>
      <w:r>
        <w:rPr>
          <w:rFonts w:hint="eastAsia" w:ascii="微软雅黑" w:hAnsi="微软雅黑" w:eastAsia="微软雅黑" w:cs="微软雅黑"/>
          <w:szCs w:val="21"/>
        </w:rPr>
        <w:t xml:space="preserve">日期：                                       </w:t>
      </w:r>
    </w:p>
    <w:p>
      <w:pPr>
        <w:pStyle w:val="15"/>
        <w:tabs>
          <w:tab w:val="left" w:pos="5580"/>
        </w:tabs>
        <w:snapToGrid w:val="0"/>
        <w:spacing w:line="400" w:lineRule="exact"/>
        <w:jc w:val="left"/>
        <w:textAlignment w:val="baseline"/>
        <w:rPr>
          <w:rFonts w:ascii="微软雅黑" w:hAnsi="微软雅黑" w:eastAsia="微软雅黑" w:cs="微软雅黑"/>
          <w:szCs w:val="21"/>
        </w:rPr>
      </w:pPr>
      <w:r>
        <w:rPr>
          <w:rFonts w:hint="eastAsia" w:ascii="微软雅黑" w:hAnsi="微软雅黑" w:eastAsia="微软雅黑" w:cs="微软雅黑"/>
          <w:szCs w:val="21"/>
        </w:rPr>
        <w:t>说明：（1）提供有效的营业执照等证明文件复印件，复印件上应加盖本单位章。</w:t>
      </w:r>
    </w:p>
    <w:p>
      <w:pPr>
        <w:pStyle w:val="15"/>
        <w:tabs>
          <w:tab w:val="left" w:pos="5580"/>
        </w:tabs>
        <w:snapToGrid w:val="0"/>
        <w:spacing w:line="400" w:lineRule="exact"/>
        <w:ind w:left="1079" w:leftChars="257" w:hanging="540"/>
        <w:jc w:val="left"/>
        <w:textAlignment w:val="baseline"/>
        <w:rPr>
          <w:rFonts w:ascii="微软雅黑" w:hAnsi="微软雅黑" w:eastAsia="微软雅黑" w:cs="微软雅黑"/>
          <w:szCs w:val="21"/>
        </w:rPr>
      </w:pPr>
      <w:r>
        <w:rPr>
          <w:rFonts w:hint="eastAsia" w:ascii="微软雅黑" w:hAnsi="微软雅黑" w:eastAsia="微软雅黑" w:cs="微软雅黑"/>
          <w:szCs w:val="21"/>
        </w:rPr>
        <w:t xml:space="preserve"> （2）投标人为自然人的，应提供身份证明的复印件。</w:t>
      </w:r>
    </w:p>
    <w:p>
      <w:pPr>
        <w:pStyle w:val="15"/>
        <w:tabs>
          <w:tab w:val="left" w:pos="5580"/>
        </w:tabs>
        <w:snapToGrid w:val="0"/>
        <w:spacing w:line="400" w:lineRule="exact"/>
        <w:ind w:left="1079" w:leftChars="257" w:hanging="540"/>
        <w:jc w:val="left"/>
        <w:textAlignment w:val="baseline"/>
        <w:rPr>
          <w:rFonts w:ascii="微软雅黑" w:hAnsi="微软雅黑" w:eastAsia="微软雅黑" w:cs="微软雅黑"/>
          <w:sz w:val="24"/>
        </w:rPr>
      </w:pPr>
      <w:r>
        <w:rPr>
          <w:rFonts w:hint="eastAsia" w:ascii="微软雅黑" w:hAnsi="微软雅黑" w:eastAsia="微软雅黑" w:cs="微软雅黑"/>
          <w:szCs w:val="21"/>
        </w:rPr>
        <w:t xml:space="preserve"> （3）联合体投标应提供联合体各方满足以上要求的证明</w:t>
      </w:r>
      <w:r>
        <w:rPr>
          <w:rFonts w:hint="eastAsia" w:ascii="微软雅黑" w:hAnsi="微软雅黑" w:eastAsia="微软雅黑" w:cs="微软雅黑"/>
          <w:sz w:val="24"/>
        </w:rPr>
        <w:t>文件。</w:t>
      </w:r>
    </w:p>
    <w:p>
      <w:pPr>
        <w:widowControl/>
        <w:jc w:val="left"/>
        <w:rPr>
          <w:sz w:val="20"/>
        </w:rPr>
      </w:pPr>
      <w:bookmarkStart w:id="328" w:name="_Toc22472"/>
      <w:bookmarkStart w:id="329" w:name="_Toc6829"/>
      <w:bookmarkStart w:id="330" w:name="_Toc13107"/>
      <w:bookmarkStart w:id="331" w:name="_Toc21867"/>
      <w:bookmarkStart w:id="332" w:name="_Toc16640"/>
      <w:bookmarkStart w:id="333" w:name="_Toc515647807"/>
      <w:bookmarkStart w:id="334" w:name="_Toc5436"/>
      <w:bookmarkStart w:id="335" w:name="_Toc1083"/>
      <w:r>
        <w:rPr>
          <w:sz w:val="20"/>
        </w:rPr>
        <w:br w:type="page"/>
      </w:r>
    </w:p>
    <w:p>
      <w:pPr>
        <w:pStyle w:val="6"/>
        <w:rPr>
          <w:u w:val="single"/>
        </w:rPr>
      </w:pPr>
      <w:bookmarkStart w:id="336" w:name="_Toc24769"/>
      <w:bookmarkStart w:id="337" w:name="_Toc32380"/>
      <w:bookmarkStart w:id="338" w:name="_Toc6179"/>
      <w:r>
        <w:rPr>
          <w:rFonts w:hint="eastAsia"/>
        </w:rPr>
        <w:t>法定代表人授权委托书</w:t>
      </w:r>
      <w:bookmarkEnd w:id="328"/>
      <w:bookmarkEnd w:id="329"/>
      <w:bookmarkEnd w:id="330"/>
      <w:bookmarkEnd w:id="331"/>
      <w:bookmarkEnd w:id="332"/>
      <w:bookmarkEnd w:id="333"/>
      <w:bookmarkEnd w:id="334"/>
      <w:bookmarkEnd w:id="335"/>
      <w:bookmarkEnd w:id="336"/>
      <w:bookmarkEnd w:id="337"/>
      <w:bookmarkEnd w:id="338"/>
    </w:p>
    <w:p>
      <w:pPr>
        <w:pStyle w:val="15"/>
        <w:tabs>
          <w:tab w:val="left" w:pos="5580"/>
        </w:tabs>
        <w:snapToGrid w:val="0"/>
        <w:spacing w:line="400" w:lineRule="exact"/>
        <w:ind w:left="957" w:leftChars="456"/>
        <w:jc w:val="left"/>
        <w:textAlignment w:val="baseline"/>
        <w:rPr>
          <w:rFonts w:ascii="微软雅黑" w:hAnsi="微软雅黑" w:eastAsia="微软雅黑" w:cs="微软雅黑"/>
          <w:sz w:val="24"/>
        </w:rPr>
      </w:pPr>
      <w:bookmarkStart w:id="339" w:name="_Toc32520"/>
      <w:bookmarkStart w:id="340" w:name="_Toc7039"/>
      <w:bookmarkStart w:id="341" w:name="_Toc515647808"/>
      <w:r>
        <w:rPr>
          <w:rFonts w:hint="eastAsia" w:ascii="微软雅黑" w:hAnsi="微软雅黑" w:eastAsia="微软雅黑" w:cs="微软雅黑"/>
          <w:sz w:val="24"/>
        </w:rPr>
        <w:t>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pStyle w:val="15"/>
        <w:tabs>
          <w:tab w:val="left" w:pos="5580"/>
        </w:tabs>
        <w:snapToGrid w:val="0"/>
        <w:spacing w:line="400" w:lineRule="exact"/>
        <w:ind w:left="1079" w:leftChars="257" w:hanging="540"/>
        <w:jc w:val="left"/>
        <w:textAlignment w:val="baseline"/>
        <w:rPr>
          <w:rFonts w:ascii="微软雅黑" w:hAnsi="微软雅黑" w:eastAsia="微软雅黑" w:cs="微软雅黑"/>
          <w:sz w:val="24"/>
        </w:rPr>
      </w:pPr>
      <w:r>
        <w:rPr>
          <w:rFonts w:hint="eastAsia" w:ascii="微软雅黑" w:hAnsi="微软雅黑" w:eastAsia="微软雅黑" w:cs="微软雅黑"/>
          <w:sz w:val="24"/>
        </w:rPr>
        <w:t>本授权书于           年     月     日签字生效,特此声明。</w:t>
      </w: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r>
        <w:rPr>
          <w:rFonts w:ascii="微软雅黑" w:hAnsi="微软雅黑" w:eastAsia="微软雅黑" w:cs="微软雅黑"/>
          <w:sz w:val="24"/>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438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微软雅黑" w:hAnsi="微软雅黑" w:eastAsia="微软雅黑" w:cs="微软雅黑"/>
          <w:sz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3360;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p>
    <w:p>
      <w:pPr>
        <w:pStyle w:val="15"/>
        <w:tabs>
          <w:tab w:val="left" w:pos="5580"/>
        </w:tabs>
        <w:snapToGrid w:val="0"/>
        <w:spacing w:line="240" w:lineRule="atLeast"/>
        <w:jc w:val="left"/>
        <w:textAlignment w:val="baseline"/>
        <w:rPr>
          <w:rFonts w:ascii="微软雅黑" w:hAnsi="微软雅黑" w:eastAsia="微软雅黑" w:cs="微软雅黑"/>
          <w:sz w:val="24"/>
        </w:rPr>
      </w:pPr>
    </w:p>
    <w:p>
      <w:pPr>
        <w:pStyle w:val="15"/>
        <w:tabs>
          <w:tab w:val="left" w:pos="5580"/>
        </w:tabs>
        <w:snapToGrid w:val="0"/>
        <w:spacing w:line="240" w:lineRule="atLeast"/>
        <w:jc w:val="left"/>
        <w:textAlignment w:val="baseline"/>
        <w:rPr>
          <w:rFonts w:ascii="微软雅黑" w:hAnsi="微软雅黑" w:eastAsia="微软雅黑" w:cs="微软雅黑"/>
          <w:sz w:val="24"/>
        </w:rPr>
      </w:pP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p>
    <w:p>
      <w:pPr>
        <w:pStyle w:val="15"/>
        <w:tabs>
          <w:tab w:val="left" w:pos="5580"/>
        </w:tabs>
        <w:snapToGrid w:val="0"/>
        <w:spacing w:line="240" w:lineRule="atLeast"/>
        <w:jc w:val="left"/>
        <w:textAlignment w:val="baseline"/>
        <w:rPr>
          <w:rFonts w:ascii="微软雅黑" w:hAnsi="微软雅黑" w:eastAsia="微软雅黑" w:cs="微软雅黑"/>
          <w:sz w:val="24"/>
        </w:rPr>
      </w:pPr>
      <w:r>
        <w:rPr>
          <w:rFonts w:ascii="微软雅黑" w:hAnsi="微软雅黑" w:eastAsia="微软雅黑" w:cs="微软雅黑"/>
          <w:sz w:val="24"/>
        </w:rPr>
        <mc:AlternateContent>
          <mc:Choice Requires="wps">
            <w:drawing>
              <wp:anchor distT="0" distB="0" distL="114300" distR="114300" simplePos="0" relativeHeight="251666432" behindDoc="0" locked="0" layoutInCell="1" allowOverlap="1">
                <wp:simplePos x="0" y="0"/>
                <wp:positionH relativeFrom="column">
                  <wp:posOffset>3028315</wp:posOffset>
                </wp:positionH>
                <wp:positionV relativeFrom="paragraph">
                  <wp:posOffset>221615</wp:posOffset>
                </wp:positionV>
                <wp:extent cx="2535555" cy="1432560"/>
                <wp:effectExtent l="7620" t="7620" r="9525" b="26670"/>
                <wp:wrapNone/>
                <wp:docPr id="13" name="圆角矩形 13"/>
                <wp:cNvGraphicFramePr/>
                <a:graphic xmlns:a="http://schemas.openxmlformats.org/drawingml/2006/main">
                  <a:graphicData uri="http://schemas.microsoft.com/office/word/2010/wordprocessingShape">
                    <wps:wsp>
                      <wps:cNvSpPr/>
                      <wps:spPr>
                        <a:xfrm>
                          <a:off x="0" y="0"/>
                          <a:ext cx="2535555" cy="143256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7.45pt;height:112.8pt;width:199.65pt;z-index:251666432;mso-width-relative:page;mso-height-relative:page;" fillcolor="#FFFFFF" filled="t" stroked="t" coordsize="21600,21600" arcsize="0.166666666666667" o:gfxdata="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Q8c73AAAAAoBAAAPAAAAAAAAAAEAIAAAACIAAABkcnMvZG93bnJldi54bWxQ&#10;SwECFAAUAAAACACHTuJABB2VUywCAABoBAAADgAAAAAAAAABACAAAAArAQAAZHJzL2Uyb0RvYy54&#10;bWxQSwUGAAAAAAYABgBZAQAAyQ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微软雅黑" w:hAnsi="微软雅黑" w:eastAsia="微软雅黑" w:cs="微软雅黑"/>
          <w:sz w:val="24"/>
        </w:rPr>
        <mc:AlternateContent>
          <mc:Choice Requires="wps">
            <w:drawing>
              <wp:anchor distT="0" distB="0" distL="114300" distR="114300" simplePos="0" relativeHeight="251665408"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5408;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5"/>
        <w:tabs>
          <w:tab w:val="left" w:pos="5580"/>
        </w:tabs>
        <w:snapToGrid w:val="0"/>
        <w:spacing w:line="240" w:lineRule="atLeast"/>
        <w:jc w:val="left"/>
        <w:textAlignment w:val="baseline"/>
        <w:rPr>
          <w:rFonts w:ascii="微软雅黑" w:hAnsi="微软雅黑" w:eastAsia="微软雅黑" w:cs="微软雅黑"/>
          <w:sz w:val="24"/>
        </w:rPr>
      </w:pPr>
    </w:p>
    <w:p>
      <w:pPr>
        <w:pStyle w:val="15"/>
        <w:tabs>
          <w:tab w:val="left" w:pos="5580"/>
        </w:tabs>
        <w:snapToGrid w:val="0"/>
        <w:spacing w:line="240" w:lineRule="atLeast"/>
        <w:jc w:val="left"/>
        <w:textAlignment w:val="baseline"/>
        <w:rPr>
          <w:rFonts w:ascii="微软雅黑" w:hAnsi="微软雅黑" w:eastAsia="微软雅黑" w:cs="微软雅黑"/>
          <w:sz w:val="24"/>
        </w:rPr>
      </w:pPr>
    </w:p>
    <w:p>
      <w:pPr>
        <w:pStyle w:val="15"/>
        <w:tabs>
          <w:tab w:val="left" w:pos="5580"/>
        </w:tabs>
        <w:snapToGrid w:val="0"/>
        <w:spacing w:line="240" w:lineRule="atLeast"/>
        <w:jc w:val="left"/>
        <w:textAlignment w:val="baseline"/>
        <w:rPr>
          <w:rFonts w:ascii="微软雅黑" w:hAnsi="微软雅黑" w:eastAsia="微软雅黑" w:cs="微软雅黑"/>
          <w:sz w:val="24"/>
        </w:rPr>
      </w:pP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投标人（公章）;                           </w:t>
      </w: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p>
    <w:p>
      <w:pPr>
        <w:pStyle w:val="15"/>
        <w:tabs>
          <w:tab w:val="left" w:pos="5580"/>
        </w:tabs>
        <w:snapToGrid w:val="0"/>
        <w:spacing w:line="240" w:lineRule="atLeast"/>
        <w:ind w:left="1079" w:leftChars="257" w:hanging="540"/>
        <w:jc w:val="left"/>
        <w:textAlignment w:val="baseline"/>
        <w:rPr>
          <w:rFonts w:ascii="微软雅黑" w:hAnsi="微软雅黑" w:eastAsia="微软雅黑" w:cs="微软雅黑"/>
          <w:sz w:val="24"/>
        </w:rPr>
      </w:pPr>
    </w:p>
    <w:p>
      <w:pPr>
        <w:pStyle w:val="15"/>
        <w:tabs>
          <w:tab w:val="left" w:pos="5580"/>
        </w:tabs>
        <w:snapToGrid w:val="0"/>
        <w:spacing w:line="400" w:lineRule="exact"/>
        <w:ind w:left="1079" w:leftChars="257" w:hanging="540"/>
        <w:jc w:val="left"/>
        <w:textAlignment w:val="baseline"/>
        <w:rPr>
          <w:rFonts w:ascii="微软雅黑" w:hAnsi="微软雅黑" w:eastAsia="微软雅黑" w:cs="微软雅黑"/>
          <w:sz w:val="24"/>
        </w:rPr>
      </w:pPr>
      <w:r>
        <w:rPr>
          <w:rFonts w:hint="eastAsia" w:ascii="微软雅黑" w:hAnsi="微软雅黑" w:eastAsia="微软雅黑" w:cs="微软雅黑"/>
          <w:sz w:val="24"/>
        </w:rPr>
        <w:t>投标人名称（公章）：</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法定代表人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 xml:space="preserve">：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身份证号码：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委托代理人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 xml:space="preserve">：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身份证号码：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详细通讯地址：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邮 政 编 码 ：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传　　　　真：                                 </w:t>
      </w:r>
    </w:p>
    <w:p>
      <w:pPr>
        <w:pStyle w:val="15"/>
        <w:tabs>
          <w:tab w:val="left" w:pos="5580"/>
        </w:tabs>
        <w:snapToGrid w:val="0"/>
        <w:spacing w:line="400" w:lineRule="exact"/>
        <w:ind w:left="1078" w:leftChars="257" w:hanging="539"/>
        <w:jc w:val="lef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电　　　　话：                                 </w:t>
      </w:r>
      <w:bookmarkEnd w:id="339"/>
      <w:bookmarkEnd w:id="340"/>
      <w:bookmarkEnd w:id="341"/>
    </w:p>
    <w:p>
      <w:pPr>
        <w:widowControl/>
        <w:jc w:val="left"/>
        <w:rPr>
          <w:rFonts w:ascii="微软雅黑" w:hAnsi="微软雅黑" w:eastAsia="微软雅黑" w:cs="微软雅黑"/>
          <w:sz w:val="24"/>
          <w:szCs w:val="20"/>
        </w:rPr>
      </w:pPr>
      <w:r>
        <w:rPr>
          <w:rFonts w:ascii="微软雅黑" w:hAnsi="微软雅黑" w:eastAsia="微软雅黑" w:cs="微软雅黑"/>
          <w:sz w:val="24"/>
        </w:rPr>
        <w:br w:type="page"/>
      </w:r>
    </w:p>
    <w:p>
      <w:pPr>
        <w:pStyle w:val="6"/>
        <w:spacing w:before="0" w:after="0" w:line="240" w:lineRule="atLeast"/>
        <w:jc w:val="left"/>
        <w:rPr>
          <w:rFonts w:hint="eastAsia" w:ascii="黑体" w:hAnsi="黑体" w:eastAsia="黑体" w:cs="黑体"/>
          <w:b/>
          <w:kern w:val="0"/>
          <w:sz w:val="32"/>
          <w:szCs w:val="32"/>
          <w:lang w:val="en-US" w:eastAsia="zh-CN" w:bidi="ar-SA"/>
        </w:rPr>
      </w:pPr>
      <w:bookmarkStart w:id="342" w:name="_Toc22730866"/>
      <w:bookmarkStart w:id="343" w:name="_Toc22494201"/>
      <w:r>
        <w:rPr>
          <w:rFonts w:hint="eastAsia" w:ascii="黑体" w:hAnsi="黑体" w:eastAsia="黑体" w:cs="黑体"/>
          <w:b/>
          <w:kern w:val="0"/>
          <w:sz w:val="32"/>
          <w:szCs w:val="32"/>
          <w:lang w:val="en-US" w:eastAsia="zh-CN" w:bidi="ar-SA"/>
        </w:rPr>
        <w:t>4</w:t>
      </w:r>
      <w:bookmarkEnd w:id="342"/>
      <w:bookmarkEnd w:id="343"/>
      <w:r>
        <w:rPr>
          <w:rFonts w:hint="eastAsia" w:ascii="黑体" w:hAnsi="黑体" w:eastAsia="黑体" w:cs="黑体"/>
          <w:b/>
          <w:kern w:val="0"/>
          <w:sz w:val="32"/>
          <w:szCs w:val="32"/>
          <w:lang w:val="en-US" w:eastAsia="zh-CN" w:bidi="ar-SA"/>
        </w:rPr>
        <w:t xml:space="preserve"> </w:t>
      </w:r>
      <w:r>
        <w:rPr>
          <w:rFonts w:hint="eastAsia" w:ascii="黑体" w:hAnsi="黑体" w:eastAsia="黑体" w:cs="黑体"/>
          <w:sz w:val="32"/>
          <w:szCs w:val="32"/>
        </w:rPr>
        <w:t>近三个月依法缴纳税收的证明（完税证明或税务部门出具的其他证明，税种非社会保险类）</w:t>
      </w:r>
    </w:p>
    <w:p>
      <w:pPr>
        <w:pStyle w:val="15"/>
        <w:tabs>
          <w:tab w:val="left" w:pos="5580"/>
        </w:tabs>
        <w:spacing w:line="240" w:lineRule="atLeast"/>
        <w:ind w:firstLine="480" w:firstLineChars="200"/>
        <w:jc w:val="left"/>
        <w:rPr>
          <w:rFonts w:ascii="楷体" w:hAnsi="楷体" w:eastAsia="楷体" w:cs="楷体"/>
          <w:color w:val="auto"/>
          <w:sz w:val="24"/>
        </w:rPr>
      </w:pPr>
      <w:r>
        <w:rPr>
          <w:rFonts w:hint="eastAsia" w:ascii="楷体" w:hAnsi="楷体" w:eastAsia="楷体" w:cs="楷体"/>
          <w:color w:val="auto"/>
          <w:sz w:val="24"/>
        </w:rPr>
        <w:t>说明：1.按照</w:t>
      </w:r>
      <w:r>
        <w:rPr>
          <w:rFonts w:hint="eastAsia" w:ascii="楷体" w:hAnsi="楷体" w:eastAsia="楷体" w:cs="楷体"/>
          <w:color w:val="auto"/>
          <w:sz w:val="24"/>
          <w:u w:val="single"/>
        </w:rPr>
        <w:t>投标人须知资料表</w:t>
      </w:r>
      <w:r>
        <w:rPr>
          <w:rFonts w:hint="eastAsia" w:ascii="楷体" w:hAnsi="楷体" w:eastAsia="楷体" w:cs="楷体"/>
          <w:color w:val="auto"/>
          <w:sz w:val="24"/>
        </w:rPr>
        <w:t>中的规定提供复印件。</w:t>
      </w:r>
    </w:p>
    <w:p>
      <w:pPr>
        <w:pStyle w:val="15"/>
        <w:tabs>
          <w:tab w:val="left" w:pos="5580"/>
        </w:tabs>
        <w:spacing w:line="240" w:lineRule="atLeast"/>
        <w:ind w:left="1079" w:leftChars="257" w:hanging="540"/>
        <w:rPr>
          <w:rFonts w:ascii="楷体" w:hAnsi="楷体" w:eastAsia="楷体" w:cs="楷体"/>
          <w:color w:val="auto"/>
          <w:sz w:val="24"/>
        </w:rPr>
      </w:pPr>
      <w:r>
        <w:rPr>
          <w:rFonts w:hint="eastAsia" w:ascii="楷体" w:hAnsi="楷体" w:eastAsia="楷体" w:cs="楷体"/>
          <w:color w:val="auto"/>
          <w:sz w:val="24"/>
        </w:rPr>
        <w:t xml:space="preserve">      2.复印件上应加盖本单位章。</w:t>
      </w:r>
    </w:p>
    <w:p>
      <w:pPr>
        <w:tabs>
          <w:tab w:val="left" w:pos="5580"/>
        </w:tabs>
        <w:spacing w:line="240" w:lineRule="atLeast"/>
        <w:ind w:left="540" w:firstLine="480" w:firstLineChars="200"/>
        <w:rPr>
          <w:rFonts w:ascii="楷体" w:hAnsi="楷体" w:eastAsia="楷体" w:cs="楷体"/>
          <w:bCs/>
          <w:color w:val="auto"/>
          <w:sz w:val="24"/>
        </w:rPr>
      </w:pPr>
    </w:p>
    <w:p>
      <w:pPr>
        <w:tabs>
          <w:tab w:val="left" w:pos="1800"/>
          <w:tab w:val="left" w:pos="5580"/>
        </w:tabs>
        <w:snapToGrid w:val="0"/>
        <w:spacing w:line="240" w:lineRule="auto"/>
        <w:ind w:right="-867"/>
        <w:jc w:val="left"/>
        <w:textAlignment w:val="baseline"/>
        <w:rPr>
          <w:rFonts w:hint="eastAsia" w:ascii="黑体" w:hAnsi="黑体" w:eastAsia="黑体" w:cs="黑体"/>
          <w:b/>
          <w:bCs w:val="0"/>
          <w:sz w:val="30"/>
          <w:szCs w:val="30"/>
        </w:rPr>
      </w:pPr>
      <w:bookmarkStart w:id="344" w:name="_Toc22494202"/>
      <w:bookmarkStart w:id="345" w:name="_Toc22730867"/>
      <w:r>
        <w:rPr>
          <w:rFonts w:hint="eastAsia" w:ascii="黑体" w:hAnsi="黑体" w:eastAsia="黑体" w:cs="黑体"/>
          <w:b/>
          <w:bCs w:val="0"/>
          <w:kern w:val="0"/>
          <w:sz w:val="30"/>
          <w:szCs w:val="30"/>
          <w:lang w:val="en-US" w:eastAsia="zh-CN" w:bidi="ar-SA"/>
        </w:rPr>
        <w:t>5</w:t>
      </w:r>
      <w:bookmarkEnd w:id="344"/>
      <w:bookmarkEnd w:id="345"/>
      <w:r>
        <w:rPr>
          <w:rFonts w:hint="eastAsia" w:ascii="黑体" w:hAnsi="黑体" w:eastAsia="黑体" w:cs="黑体"/>
          <w:b/>
          <w:bCs w:val="0"/>
          <w:kern w:val="0"/>
          <w:sz w:val="30"/>
          <w:szCs w:val="30"/>
          <w:lang w:val="en-US" w:eastAsia="zh-CN" w:bidi="ar-SA"/>
        </w:rPr>
        <w:t xml:space="preserve"> </w:t>
      </w:r>
      <w:r>
        <w:rPr>
          <w:rFonts w:hint="eastAsia" w:ascii="黑体" w:hAnsi="黑体" w:eastAsia="黑体" w:cs="黑体"/>
          <w:b/>
          <w:bCs w:val="0"/>
          <w:sz w:val="30"/>
          <w:szCs w:val="30"/>
        </w:rPr>
        <w:t>近</w:t>
      </w:r>
      <w:r>
        <w:rPr>
          <w:rFonts w:hint="eastAsia" w:ascii="黑体" w:hAnsi="黑体" w:eastAsia="黑体" w:cs="黑体"/>
          <w:b/>
          <w:bCs w:val="0"/>
          <w:sz w:val="30"/>
          <w:szCs w:val="30"/>
          <w:lang w:val="en-US" w:eastAsia="zh-CN"/>
        </w:rPr>
        <w:t>六</w:t>
      </w:r>
      <w:r>
        <w:rPr>
          <w:rFonts w:hint="eastAsia" w:ascii="黑体" w:hAnsi="黑体" w:eastAsia="黑体" w:cs="黑体"/>
          <w:b/>
          <w:bCs w:val="0"/>
          <w:sz w:val="30"/>
          <w:szCs w:val="30"/>
        </w:rPr>
        <w:t>个月依法缴纳社会保障金的缴费和银行转帐汇款单证明</w:t>
      </w:r>
    </w:p>
    <w:p>
      <w:pPr>
        <w:pStyle w:val="15"/>
        <w:tabs>
          <w:tab w:val="left" w:pos="5580"/>
        </w:tabs>
        <w:spacing w:line="240" w:lineRule="atLeast"/>
        <w:ind w:firstLine="360" w:firstLineChars="150"/>
        <w:jc w:val="left"/>
        <w:rPr>
          <w:rFonts w:ascii="楷体" w:hAnsi="楷体" w:eastAsia="楷体" w:cs="楷体"/>
          <w:color w:val="auto"/>
          <w:sz w:val="24"/>
        </w:rPr>
      </w:pPr>
      <w:r>
        <w:rPr>
          <w:rFonts w:hint="eastAsia" w:ascii="楷体" w:hAnsi="楷体" w:eastAsia="楷体" w:cs="楷体"/>
          <w:color w:val="auto"/>
          <w:sz w:val="24"/>
        </w:rPr>
        <w:t>说明：1.按照</w:t>
      </w:r>
      <w:r>
        <w:rPr>
          <w:rFonts w:hint="eastAsia" w:ascii="楷体" w:hAnsi="楷体" w:eastAsia="楷体" w:cs="楷体"/>
          <w:color w:val="auto"/>
          <w:sz w:val="24"/>
          <w:u w:val="single"/>
        </w:rPr>
        <w:t>投标人须知资料表</w:t>
      </w:r>
      <w:r>
        <w:rPr>
          <w:rFonts w:hint="eastAsia" w:ascii="楷体" w:hAnsi="楷体" w:eastAsia="楷体" w:cs="楷体"/>
          <w:color w:val="auto"/>
          <w:sz w:val="24"/>
        </w:rPr>
        <w:t>中的规定提供复印件。</w:t>
      </w:r>
    </w:p>
    <w:p>
      <w:pPr>
        <w:pStyle w:val="15"/>
        <w:tabs>
          <w:tab w:val="left" w:pos="5580"/>
        </w:tabs>
        <w:spacing w:line="240" w:lineRule="atLeast"/>
        <w:ind w:left="1079" w:leftChars="257" w:hanging="540"/>
        <w:jc w:val="left"/>
        <w:rPr>
          <w:rFonts w:ascii="楷体" w:hAnsi="楷体" w:eastAsia="楷体" w:cs="楷体"/>
          <w:color w:val="auto"/>
          <w:sz w:val="24"/>
        </w:rPr>
      </w:pPr>
      <w:r>
        <w:rPr>
          <w:rFonts w:hint="eastAsia" w:ascii="楷体" w:hAnsi="楷体" w:eastAsia="楷体" w:cs="楷体"/>
          <w:color w:val="auto"/>
          <w:sz w:val="24"/>
        </w:rPr>
        <w:t xml:space="preserve">      2.复印件上应加盖本单位章。</w:t>
      </w:r>
    </w:p>
    <w:p>
      <w:pPr>
        <w:pStyle w:val="2"/>
        <w:rPr>
          <w:color w:val="auto"/>
        </w:rPr>
      </w:pPr>
    </w:p>
    <w:p>
      <w:pPr>
        <w:tabs>
          <w:tab w:val="left" w:pos="1800"/>
          <w:tab w:val="left" w:pos="5580"/>
        </w:tabs>
        <w:snapToGrid w:val="0"/>
        <w:spacing w:line="240" w:lineRule="auto"/>
        <w:ind w:right="-867"/>
        <w:jc w:val="left"/>
        <w:textAlignment w:val="baseline"/>
        <w:rPr>
          <w:rFonts w:hint="eastAsia" w:ascii="黑体" w:hAnsi="黑体" w:eastAsia="黑体" w:cs="黑体"/>
          <w:b/>
          <w:bCs w:val="0"/>
          <w:color w:val="auto"/>
          <w:sz w:val="30"/>
          <w:szCs w:val="30"/>
        </w:rPr>
      </w:pPr>
      <w:bookmarkStart w:id="346" w:name="_Toc22730868"/>
      <w:bookmarkStart w:id="347" w:name="_Toc22494203"/>
      <w:r>
        <w:rPr>
          <w:rFonts w:hint="eastAsia" w:ascii="黑体" w:hAnsi="黑体" w:eastAsia="黑体" w:cs="黑体"/>
          <w:b/>
          <w:bCs w:val="0"/>
          <w:kern w:val="0"/>
          <w:sz w:val="30"/>
          <w:szCs w:val="30"/>
          <w:lang w:val="en-US" w:eastAsia="zh-CN" w:bidi="ar-SA"/>
        </w:rPr>
        <w:t>6</w:t>
      </w:r>
      <w:bookmarkEnd w:id="346"/>
      <w:bookmarkEnd w:id="347"/>
      <w:r>
        <w:rPr>
          <w:rFonts w:hint="eastAsia" w:ascii="黑体" w:hAnsi="黑体" w:eastAsia="黑体" w:cs="黑体"/>
          <w:b/>
          <w:bCs w:val="0"/>
          <w:kern w:val="0"/>
          <w:sz w:val="30"/>
          <w:szCs w:val="30"/>
          <w:lang w:val="en-US" w:eastAsia="zh-CN" w:bidi="ar-SA"/>
        </w:rPr>
        <w:t xml:space="preserve"> </w:t>
      </w:r>
      <w:r>
        <w:rPr>
          <w:rFonts w:hint="eastAsia" w:ascii="黑体" w:hAnsi="黑体" w:eastAsia="黑体" w:cs="黑体"/>
          <w:b/>
          <w:bCs w:val="0"/>
          <w:sz w:val="30"/>
          <w:szCs w:val="30"/>
        </w:rPr>
        <w:t>良好的商业信誉和健全的财务会计制度证明材料</w:t>
      </w:r>
      <w:r>
        <w:rPr>
          <w:rFonts w:hint="eastAsia" w:ascii="黑体" w:hAnsi="黑体" w:eastAsia="黑体" w:cs="黑体"/>
          <w:b/>
          <w:bCs w:val="0"/>
          <w:sz w:val="30"/>
          <w:szCs w:val="30"/>
          <w:lang w:eastAsia="zh-CN"/>
        </w:rPr>
        <w:t>（</w:t>
      </w:r>
      <w:r>
        <w:rPr>
          <w:rFonts w:hint="eastAsia" w:ascii="黑体" w:hAnsi="黑体" w:eastAsia="黑体" w:cs="黑体"/>
          <w:b/>
          <w:bCs w:val="0"/>
          <w:sz w:val="30"/>
          <w:szCs w:val="30"/>
        </w:rPr>
        <w:t>2021年度财务审计报告书影印件；新办企业需提供银行资信证明）</w:t>
      </w:r>
    </w:p>
    <w:p>
      <w:pPr>
        <w:pStyle w:val="2"/>
        <w:rPr>
          <w:rFonts w:ascii="楷体" w:hAnsi="楷体" w:eastAsia="楷体" w:cs="楷体"/>
          <w:color w:val="auto"/>
          <w:kern w:val="2"/>
          <w:szCs w:val="24"/>
        </w:rPr>
      </w:pPr>
      <w:r>
        <w:rPr>
          <w:rFonts w:hint="eastAsia" w:ascii="楷体" w:hAnsi="楷体" w:eastAsia="楷体" w:cs="楷体"/>
          <w:color w:val="auto"/>
          <w:kern w:val="2"/>
          <w:szCs w:val="24"/>
        </w:rPr>
        <w:t>说明：</w:t>
      </w:r>
    </w:p>
    <w:p>
      <w:pPr>
        <w:pStyle w:val="2"/>
        <w:rPr>
          <w:rFonts w:ascii="楷体" w:hAnsi="楷体" w:eastAsia="楷体" w:cs="楷体"/>
          <w:color w:val="auto"/>
          <w:kern w:val="2"/>
          <w:szCs w:val="24"/>
        </w:rPr>
      </w:pPr>
      <w:r>
        <w:rPr>
          <w:rFonts w:hint="eastAsia" w:ascii="楷体" w:hAnsi="楷体" w:eastAsia="楷体" w:cs="楷体"/>
          <w:color w:val="auto"/>
          <w:kern w:val="2"/>
          <w:szCs w:val="24"/>
        </w:rPr>
        <w:t>1）如提供本单位20</w:t>
      </w:r>
      <w:r>
        <w:rPr>
          <w:rFonts w:ascii="楷体" w:hAnsi="楷体" w:eastAsia="楷体" w:cs="楷体"/>
          <w:color w:val="auto"/>
          <w:kern w:val="2"/>
          <w:szCs w:val="24"/>
        </w:rPr>
        <w:t>2</w:t>
      </w:r>
      <w:r>
        <w:rPr>
          <w:rFonts w:hint="eastAsia" w:ascii="楷体" w:hAnsi="楷体" w:eastAsia="楷体" w:cs="楷体"/>
          <w:color w:val="auto"/>
          <w:kern w:val="2"/>
          <w:szCs w:val="24"/>
          <w:lang w:val="en-US" w:eastAsia="zh-CN"/>
        </w:rPr>
        <w:t>1</w:t>
      </w:r>
      <w:r>
        <w:rPr>
          <w:rFonts w:hint="eastAsia" w:ascii="楷体" w:hAnsi="楷体" w:eastAsia="楷体" w:cs="楷体"/>
          <w:color w:val="auto"/>
          <w:kern w:val="2"/>
          <w:szCs w:val="24"/>
        </w:rPr>
        <w:t>年的年度财务审计报告书影印件须加盖本单位章。</w:t>
      </w:r>
    </w:p>
    <w:p>
      <w:pPr>
        <w:pStyle w:val="2"/>
        <w:rPr>
          <w:rFonts w:ascii="楷体" w:hAnsi="楷体" w:eastAsia="楷体" w:cs="楷体"/>
          <w:color w:val="auto"/>
          <w:kern w:val="2"/>
          <w:szCs w:val="24"/>
        </w:rPr>
      </w:pPr>
      <w:r>
        <w:rPr>
          <w:rFonts w:hint="eastAsia" w:ascii="楷体" w:hAnsi="楷体" w:eastAsia="楷体" w:cs="楷体"/>
          <w:color w:val="auto"/>
          <w:kern w:val="2"/>
          <w:szCs w:val="24"/>
        </w:rPr>
        <w:t>2）如提供银行出具的证明文件。银行证明文件可提供原件</w:t>
      </w:r>
      <w:r>
        <w:rPr>
          <w:rFonts w:hint="eastAsia" w:ascii="楷体" w:hAnsi="楷体" w:eastAsia="楷体" w:cs="楷体"/>
          <w:color w:val="auto"/>
          <w:kern w:val="2"/>
          <w:szCs w:val="24"/>
          <w:lang w:val="en-US" w:eastAsia="zh-CN"/>
        </w:rPr>
        <w:t>的复印件</w:t>
      </w:r>
      <w:r>
        <w:rPr>
          <w:rFonts w:hint="eastAsia" w:ascii="楷体" w:hAnsi="楷体" w:eastAsia="楷体" w:cs="楷体"/>
          <w:color w:val="auto"/>
          <w:kern w:val="2"/>
          <w:szCs w:val="24"/>
        </w:rPr>
        <w:t>，也可提供银行在开标日前三个月内开具证明文件的复印件。若提供的是复印件，招标采购单位保留审核原件的权利。银行出具的证明文件应能说明该投标人与银行之间业务往来正常，企业信誉良好等。</w:t>
      </w:r>
    </w:p>
    <w:p>
      <w:pPr>
        <w:pStyle w:val="2"/>
        <w:ind w:firstLine="422"/>
        <w:rPr>
          <w:rFonts w:ascii="楷体" w:hAnsi="楷体" w:eastAsia="楷体" w:cs="楷体"/>
          <w:bCs/>
          <w:color w:val="auto"/>
          <w:szCs w:val="24"/>
        </w:rPr>
      </w:pPr>
      <w:bookmarkStart w:id="348" w:name="_Hlk21296357"/>
      <w:r>
        <w:rPr>
          <w:bCs/>
          <w:color w:val="auto"/>
          <w:szCs w:val="24"/>
        </w:rPr>
        <w:drawing>
          <wp:inline distT="0" distB="0" distL="0" distR="0">
            <wp:extent cx="133350" cy="123825"/>
            <wp:effectExtent l="0" t="0" r="0" b="9525"/>
            <wp:docPr id="12" name="图片 12"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u=797893063,3466715407&amp;fm=26&amp;gp=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3350" cy="123825"/>
                    </a:xfrm>
                    <a:prstGeom prst="rect">
                      <a:avLst/>
                    </a:prstGeom>
                    <a:noFill/>
                    <a:ln>
                      <a:noFill/>
                    </a:ln>
                  </pic:spPr>
                </pic:pic>
              </a:graphicData>
            </a:graphic>
          </wp:inline>
        </w:drawing>
      </w:r>
      <w:r>
        <w:rPr>
          <w:rFonts w:hint="eastAsia" w:ascii="楷体" w:hAnsi="楷体" w:eastAsia="楷体" w:cs="楷体"/>
          <w:bCs/>
          <w:color w:val="auto"/>
          <w:kern w:val="2"/>
          <w:szCs w:val="24"/>
        </w:rPr>
        <w:t>审计报告缺少一页，做</w:t>
      </w:r>
      <w:r>
        <w:rPr>
          <w:rFonts w:hint="eastAsia" w:ascii="楷体" w:hAnsi="楷体" w:eastAsia="楷体" w:cs="楷体"/>
          <w:b/>
          <w:color w:val="auto"/>
          <w:kern w:val="2"/>
          <w:szCs w:val="24"/>
        </w:rPr>
        <w:t>无效投标</w:t>
      </w:r>
      <w:r>
        <w:rPr>
          <w:rFonts w:hint="eastAsia" w:ascii="楷体" w:hAnsi="楷体" w:eastAsia="楷体" w:cs="楷体"/>
          <w:bCs/>
          <w:color w:val="auto"/>
          <w:kern w:val="2"/>
          <w:szCs w:val="24"/>
        </w:rPr>
        <w:t>处理。</w:t>
      </w:r>
      <w:bookmarkEnd w:id="348"/>
    </w:p>
    <w:p>
      <w:pPr>
        <w:tabs>
          <w:tab w:val="left" w:pos="5580"/>
        </w:tabs>
        <w:spacing w:line="240" w:lineRule="atLeast"/>
        <w:ind w:left="1079" w:leftChars="257" w:hanging="540"/>
        <w:rPr>
          <w:rFonts w:ascii="楷体" w:hAnsi="楷体" w:eastAsia="楷体" w:cs="楷体"/>
          <w:color w:val="auto"/>
          <w:sz w:val="24"/>
        </w:rPr>
      </w:pPr>
    </w:p>
    <w:p>
      <w:pPr>
        <w:tabs>
          <w:tab w:val="left" w:pos="1800"/>
          <w:tab w:val="left" w:pos="5580"/>
        </w:tabs>
        <w:snapToGrid w:val="0"/>
        <w:spacing w:line="240" w:lineRule="auto"/>
        <w:ind w:left="1079" w:leftChars="257" w:right="-867" w:hanging="540"/>
        <w:jc w:val="left"/>
        <w:textAlignment w:val="baseline"/>
        <w:rPr>
          <w:rFonts w:hint="eastAsia" w:ascii="Arial" w:hAnsi="Arial" w:eastAsia="黑体" w:cs="Times New Roman"/>
          <w:b/>
          <w:kern w:val="0"/>
          <w:sz w:val="30"/>
          <w:szCs w:val="20"/>
          <w:lang w:val="en-US" w:eastAsia="zh-CN" w:bidi="ar-SA"/>
        </w:rPr>
      </w:pPr>
      <w:bookmarkStart w:id="349" w:name="_Toc22730869"/>
      <w:bookmarkStart w:id="350" w:name="_Toc22494204"/>
      <w:r>
        <w:rPr>
          <w:rFonts w:hint="eastAsia" w:ascii="黑体" w:hAnsi="黑体" w:eastAsia="黑体" w:cs="黑体"/>
          <w:b/>
          <w:bCs w:val="0"/>
          <w:kern w:val="0"/>
          <w:sz w:val="30"/>
          <w:szCs w:val="30"/>
          <w:lang w:val="en-US" w:eastAsia="zh-CN" w:bidi="ar-SA"/>
        </w:rPr>
        <w:t>7</w:t>
      </w:r>
      <w:bookmarkEnd w:id="349"/>
      <w:bookmarkEnd w:id="350"/>
      <w:r>
        <w:rPr>
          <w:rFonts w:hint="eastAsia" w:ascii="黑体" w:hAnsi="黑体" w:eastAsia="黑体" w:cs="黑体"/>
          <w:b/>
          <w:bCs w:val="0"/>
          <w:kern w:val="0"/>
          <w:sz w:val="30"/>
          <w:szCs w:val="30"/>
          <w:lang w:val="en-US" w:eastAsia="zh-CN" w:bidi="ar-SA"/>
        </w:rPr>
        <w:t xml:space="preserve"> 参加政府采购活动前3年内在经营活动中没有重大违法记录的书面声明及投标单位（供应商）提供针对本次采购项目《反商业贿赂承诺书》（格式自拟）；</w:t>
      </w:r>
    </w:p>
    <w:p>
      <w:pPr>
        <w:pStyle w:val="15"/>
        <w:tabs>
          <w:tab w:val="left" w:pos="5580"/>
        </w:tabs>
        <w:spacing w:line="240" w:lineRule="atLeast"/>
        <w:ind w:firstLine="480" w:firstLineChars="200"/>
        <w:jc w:val="left"/>
        <w:rPr>
          <w:rFonts w:ascii="楷体" w:hAnsi="楷体" w:eastAsia="楷体" w:cs="楷体"/>
          <w:color w:val="auto"/>
          <w:sz w:val="24"/>
        </w:rPr>
      </w:pPr>
      <w:r>
        <w:rPr>
          <w:rFonts w:hint="eastAsia" w:ascii="楷体" w:hAnsi="楷体" w:eastAsia="楷体" w:cs="楷体"/>
          <w:color w:val="auto"/>
          <w:sz w:val="24"/>
        </w:rPr>
        <w:t>说明：1.投标人应按照相关法规规定如实作出说明。</w:t>
      </w:r>
    </w:p>
    <w:p>
      <w:pPr>
        <w:pStyle w:val="15"/>
        <w:tabs>
          <w:tab w:val="left" w:pos="5580"/>
        </w:tabs>
        <w:spacing w:line="240" w:lineRule="atLeast"/>
        <w:ind w:firstLine="480" w:firstLineChars="200"/>
        <w:jc w:val="left"/>
        <w:rPr>
          <w:rFonts w:ascii="楷体" w:hAnsi="楷体" w:eastAsia="楷体" w:cs="楷体"/>
          <w:color w:val="auto"/>
          <w:sz w:val="24"/>
        </w:rPr>
      </w:pPr>
      <w:r>
        <w:rPr>
          <w:rFonts w:hint="eastAsia" w:ascii="楷体" w:hAnsi="楷体" w:eastAsia="楷体" w:cs="楷体"/>
          <w:color w:val="auto"/>
          <w:sz w:val="24"/>
        </w:rPr>
        <w:t>2．按照招标文件的规定加盖单位章（自然人投标的无需盖章，需要签字）。</w:t>
      </w:r>
    </w:p>
    <w:p>
      <w:pPr>
        <w:pStyle w:val="15"/>
        <w:tabs>
          <w:tab w:val="left" w:pos="5580"/>
        </w:tabs>
        <w:spacing w:line="240" w:lineRule="atLeast"/>
        <w:ind w:firstLine="480" w:firstLineChars="200"/>
        <w:jc w:val="left"/>
        <w:rPr>
          <w:rFonts w:ascii="楷体" w:hAnsi="楷体" w:eastAsia="楷体" w:cs="楷体"/>
          <w:b/>
          <w:bCs/>
          <w:color w:val="auto"/>
          <w:kern w:val="2"/>
          <w:szCs w:val="24"/>
        </w:rPr>
      </w:pPr>
      <w:r>
        <w:rPr>
          <w:rFonts w:hint="eastAsia" w:ascii="楷体" w:hAnsi="楷体" w:eastAsia="楷体" w:cs="楷体"/>
          <w:color w:val="auto"/>
          <w:sz w:val="24"/>
        </w:rPr>
        <w:t>（注：内容应包括：说明现在有无正在诉讼的案件和有无不良记录。有无必须说明，否则作为无效投标）</w:t>
      </w:r>
    </w:p>
    <w:p>
      <w:pPr>
        <w:pStyle w:val="10"/>
        <w:rPr>
          <w:color w:val="auto"/>
        </w:rPr>
      </w:pPr>
    </w:p>
    <w:p>
      <w:pPr>
        <w:numPr>
          <w:ilvl w:val="0"/>
          <w:numId w:val="0"/>
        </w:numPr>
        <w:tabs>
          <w:tab w:val="left" w:pos="1800"/>
          <w:tab w:val="left" w:pos="5580"/>
        </w:tabs>
        <w:snapToGrid w:val="0"/>
        <w:spacing w:line="240" w:lineRule="auto"/>
        <w:ind w:leftChars="257" w:right="-867" w:rightChars="0"/>
        <w:jc w:val="left"/>
        <w:textAlignment w:val="baseline"/>
        <w:rPr>
          <w:rFonts w:hint="eastAsia" w:ascii="黑体" w:hAnsi="黑体" w:eastAsia="黑体" w:cs="黑体"/>
          <w:b/>
          <w:bCs w:val="0"/>
          <w:sz w:val="30"/>
          <w:szCs w:val="30"/>
        </w:rPr>
      </w:pPr>
      <w:bookmarkStart w:id="351" w:name="_Toc22730870"/>
      <w:bookmarkStart w:id="352" w:name="_Toc22494205"/>
      <w:bookmarkStart w:id="353" w:name="_Hlk22505349"/>
      <w:r>
        <w:rPr>
          <w:rFonts w:hint="eastAsia" w:ascii="黑体" w:hAnsi="黑体" w:eastAsia="黑体" w:cs="黑体"/>
          <w:b/>
          <w:bCs w:val="0"/>
          <w:kern w:val="0"/>
          <w:sz w:val="30"/>
          <w:szCs w:val="30"/>
          <w:lang w:val="en-US" w:eastAsia="zh-CN" w:bidi="ar-SA"/>
        </w:rPr>
        <w:t>8</w:t>
      </w:r>
      <w:bookmarkEnd w:id="351"/>
      <w:bookmarkEnd w:id="352"/>
      <w:r>
        <w:rPr>
          <w:rFonts w:hint="eastAsia" w:ascii="黑体" w:hAnsi="黑体" w:eastAsia="黑体" w:cs="黑体"/>
          <w:b/>
          <w:bCs w:val="0"/>
          <w:kern w:val="0"/>
          <w:sz w:val="30"/>
          <w:szCs w:val="30"/>
          <w:lang w:val="en-US" w:eastAsia="zh-CN" w:bidi="ar-SA"/>
        </w:rPr>
        <w:t xml:space="preserve"> </w:t>
      </w:r>
      <w:r>
        <w:rPr>
          <w:rFonts w:hint="eastAsia" w:ascii="黑体" w:hAnsi="黑体" w:eastAsia="黑体" w:cs="黑体"/>
          <w:b/>
          <w:bCs w:val="0"/>
          <w:sz w:val="30"/>
          <w:szCs w:val="30"/>
          <w:lang w:eastAsia="zh-CN"/>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w:t>
      </w:r>
      <w:r>
        <w:rPr>
          <w:rFonts w:hint="eastAsia" w:ascii="黑体" w:hAnsi="黑体" w:eastAsia="黑体" w:cs="黑体"/>
          <w:b/>
          <w:bCs w:val="0"/>
          <w:sz w:val="30"/>
          <w:szCs w:val="30"/>
        </w:rPr>
        <w:t>府采购网(www.ccgp.gov.cn)查询结果为准；</w:t>
      </w:r>
    </w:p>
    <w:p>
      <w:pPr>
        <w:pStyle w:val="2"/>
        <w:rPr>
          <w:rFonts w:hint="eastAsia"/>
        </w:rPr>
      </w:pPr>
      <w:r>
        <w:rPr>
          <w:rFonts w:hint="eastAsia" w:ascii="楷体" w:hAnsi="楷体" w:eastAsia="楷体" w:cs="楷体"/>
          <w:color w:val="auto"/>
          <w:kern w:val="2"/>
          <w:szCs w:val="24"/>
        </w:rPr>
        <w:t>说明：</w:t>
      </w:r>
    </w:p>
    <w:p>
      <w:pPr>
        <w:jc w:val="left"/>
        <w:rPr>
          <w:rFonts w:hint="eastAsia" w:eastAsia="楷体"/>
          <w:lang w:eastAsia="zh-CN"/>
        </w:rPr>
      </w:pPr>
      <w:r>
        <w:rPr>
          <w:rFonts w:hint="eastAsia" w:ascii="楷体" w:hAnsi="楷体" w:eastAsia="楷体" w:cs="楷体"/>
          <w:color w:val="auto"/>
        </w:rPr>
        <w:t>在项目进行期间在“信用中国”网站（http://www.creditchina.gov.cn）、中国政府采购网（http://www.ccgp.gov.cn）、国家企业信用信息公示系统(http://www.gsxt.gov.cn)无尚在处罚期内的不良行为记录网页打印页（非截图）加盖公章</w:t>
      </w:r>
      <w:r>
        <w:rPr>
          <w:rFonts w:hint="eastAsia" w:ascii="楷体" w:hAnsi="楷体" w:eastAsia="楷体" w:cs="楷体"/>
          <w:color w:val="auto"/>
          <w:lang w:eastAsia="zh-CN"/>
        </w:rPr>
        <w:t>。</w:t>
      </w:r>
    </w:p>
    <w:p>
      <w:pPr>
        <w:pStyle w:val="15"/>
        <w:tabs>
          <w:tab w:val="left" w:pos="5580"/>
        </w:tabs>
        <w:spacing w:line="240" w:lineRule="atLeast"/>
        <w:ind w:firstLine="480" w:firstLineChars="200"/>
        <w:jc w:val="left"/>
        <w:rPr>
          <w:rFonts w:hint="eastAsia" w:ascii="楷体" w:hAnsi="楷体" w:eastAsia="楷体" w:cs="楷体"/>
          <w:color w:val="auto"/>
          <w:sz w:val="24"/>
        </w:rPr>
      </w:pPr>
    </w:p>
    <w:p>
      <w:pPr>
        <w:pStyle w:val="15"/>
        <w:tabs>
          <w:tab w:val="left" w:pos="5580"/>
        </w:tabs>
        <w:spacing w:line="240" w:lineRule="atLeast"/>
        <w:jc w:val="left"/>
        <w:rPr>
          <w:rFonts w:ascii="楷体" w:hAnsi="楷体" w:eastAsia="楷体" w:cs="楷体"/>
          <w:i/>
          <w:iCs/>
          <w:strike/>
          <w:color w:val="auto"/>
          <w:sz w:val="24"/>
        </w:rPr>
      </w:pPr>
    </w:p>
    <w:p>
      <w:pPr>
        <w:tabs>
          <w:tab w:val="left" w:pos="1800"/>
          <w:tab w:val="left" w:pos="5580"/>
        </w:tabs>
        <w:snapToGrid w:val="0"/>
        <w:spacing w:line="240" w:lineRule="auto"/>
        <w:ind w:right="-867"/>
        <w:jc w:val="left"/>
        <w:textAlignment w:val="baseline"/>
        <w:rPr>
          <w:rFonts w:hint="eastAsia" w:ascii="黑体" w:hAnsi="黑体" w:eastAsia="黑体" w:cs="黑体"/>
          <w:b/>
          <w:bCs w:val="0"/>
          <w:color w:val="auto"/>
          <w:sz w:val="30"/>
          <w:szCs w:val="30"/>
        </w:rPr>
      </w:pPr>
      <w:r>
        <w:rPr>
          <w:rFonts w:hint="eastAsia" w:ascii="黑体" w:hAnsi="黑体" w:eastAsia="黑体" w:cs="黑体"/>
          <w:b/>
          <w:bCs w:val="0"/>
          <w:sz w:val="30"/>
          <w:szCs w:val="30"/>
          <w:lang w:val="en-US" w:eastAsia="zh-CN"/>
        </w:rPr>
        <w:t xml:space="preserve">9 </w:t>
      </w:r>
      <w:bookmarkEnd w:id="353"/>
      <w:r>
        <w:rPr>
          <w:rFonts w:hint="eastAsia" w:ascii="黑体" w:hAnsi="黑体" w:eastAsia="黑体" w:cs="黑体"/>
          <w:b/>
          <w:bCs/>
          <w:sz w:val="30"/>
          <w:szCs w:val="30"/>
          <w:lang w:val="en-US" w:eastAsia="zh-CN"/>
        </w:rPr>
        <w:t xml:space="preserve"> </w:t>
      </w:r>
      <w:r>
        <w:rPr>
          <w:rFonts w:hint="eastAsia" w:ascii="黑体" w:hAnsi="黑体" w:eastAsia="黑体" w:cs="黑体"/>
          <w:b/>
          <w:bCs w:val="0"/>
          <w:sz w:val="30"/>
          <w:szCs w:val="30"/>
          <w:lang w:val="en-US" w:eastAsia="zh-CN"/>
        </w:rPr>
        <w:t xml:space="preserve"> </w:t>
      </w:r>
      <w:r>
        <w:rPr>
          <w:rFonts w:hint="eastAsia" w:ascii="黑体" w:hAnsi="黑体" w:eastAsia="黑体" w:cs="黑体"/>
          <w:b/>
          <w:bCs w:val="0"/>
          <w:sz w:val="30"/>
          <w:szCs w:val="30"/>
        </w:rPr>
        <w:t>缴纳投标保证金凭证复印件加盖公章</w:t>
      </w:r>
    </w:p>
    <w:p>
      <w:pPr>
        <w:ind w:firstLine="420" w:firstLineChars="200"/>
        <w:jc w:val="left"/>
        <w:rPr>
          <w:rFonts w:hint="eastAsia" w:ascii="楷体" w:hAnsi="楷体" w:eastAsia="楷体" w:cs="楷体"/>
          <w:color w:val="auto"/>
          <w:lang w:eastAsia="zh-CN"/>
        </w:rPr>
      </w:pPr>
      <w:bookmarkStart w:id="354" w:name="_Toc494296665"/>
      <w:bookmarkStart w:id="355" w:name="_Toc494296991"/>
      <w:r>
        <w:rPr>
          <w:rFonts w:hint="eastAsia" w:ascii="楷体" w:hAnsi="楷体" w:eastAsia="楷体" w:cs="楷体"/>
          <w:color w:val="auto"/>
        </w:rPr>
        <w:t>投标人可将本项目投标保证金支付的汇款凭证复印件作为缴纳凭证装订在本部分，复印件上应加盖本单位章</w:t>
      </w:r>
      <w:bookmarkEnd w:id="354"/>
      <w:bookmarkEnd w:id="355"/>
      <w:r>
        <w:rPr>
          <w:rFonts w:hint="eastAsia" w:ascii="楷体" w:hAnsi="楷体" w:eastAsia="楷体" w:cs="楷体"/>
          <w:color w:val="auto"/>
          <w:lang w:eastAsia="zh-CN"/>
        </w:rPr>
        <w:t>。</w:t>
      </w:r>
    </w:p>
    <w:p>
      <w:pPr>
        <w:pStyle w:val="2"/>
        <w:numPr>
          <w:ilvl w:val="0"/>
          <w:numId w:val="9"/>
        </w:numPr>
        <w:rPr>
          <w:rFonts w:ascii="楷体" w:hAnsi="楷体" w:eastAsia="楷体" w:cs="楷体"/>
          <w:b/>
          <w:bCs/>
          <w:color w:val="auto"/>
          <w:kern w:val="2"/>
          <w:szCs w:val="24"/>
        </w:rPr>
      </w:pPr>
      <w:r>
        <w:rPr>
          <w:rFonts w:hint="eastAsia" w:ascii="楷体" w:hAnsi="楷体" w:eastAsia="楷体" w:cs="楷体"/>
          <w:b/>
          <w:bCs/>
          <w:color w:val="auto"/>
          <w:kern w:val="2"/>
          <w:szCs w:val="24"/>
        </w:rPr>
        <w:t>本项目无需换取保证金收据。</w:t>
      </w:r>
    </w:p>
    <w:p>
      <w:pPr>
        <w:pStyle w:val="5"/>
        <w:rPr>
          <w:rFonts w:hint="eastAsia"/>
        </w:rPr>
      </w:pPr>
    </w:p>
    <w:p>
      <w:pPr>
        <w:pStyle w:val="6"/>
        <w:spacing w:before="0" w:after="0" w:line="240" w:lineRule="atLeast"/>
        <w:jc w:val="left"/>
        <w:rPr>
          <w:rFonts w:hint="eastAsia" w:ascii="Arial" w:hAnsi="Arial" w:eastAsia="黑体" w:cs="Times New Roman"/>
          <w:b/>
          <w:kern w:val="0"/>
          <w:sz w:val="30"/>
          <w:szCs w:val="20"/>
          <w:lang w:val="en-US" w:eastAsia="zh-CN" w:bidi="ar-SA"/>
        </w:rPr>
      </w:pPr>
    </w:p>
    <w:p>
      <w:pPr>
        <w:spacing w:line="360" w:lineRule="auto"/>
        <w:ind w:firstLine="480"/>
        <w:rPr>
          <w:rFonts w:ascii="楷体" w:hAnsi="楷体" w:eastAsia="楷体" w:cs="楷体"/>
          <w:color w:val="auto"/>
        </w:rPr>
        <w:sectPr>
          <w:headerReference r:id="rId5" w:type="default"/>
          <w:footerReference r:id="rId7" w:type="default"/>
          <w:headerReference r:id="rId6" w:type="even"/>
          <w:pgSz w:w="11906" w:h="16838"/>
          <w:pgMar w:top="1440" w:right="1786" w:bottom="1440" w:left="1500" w:header="851" w:footer="992" w:gutter="0"/>
          <w:pgNumType w:fmt="decimal"/>
          <w:cols w:space="720" w:num="1"/>
          <w:docGrid w:type="linesAndChars" w:linePitch="312" w:charSpace="0"/>
        </w:sectPr>
      </w:pPr>
      <w:r>
        <w:rPr>
          <w:rFonts w:hint="eastAsia" w:ascii="楷体" w:hAnsi="楷体" w:eastAsia="楷体" w:cs="微软雅黑 Light"/>
          <w:bCs/>
          <w:iCs/>
          <w:color w:val="auto"/>
          <w:sz w:val="24"/>
        </w:rPr>
        <w:t>投标人提供的上述资格证明文件中涉及复印件和影印件的，均需加盖公章并注明“与原件一致”。</w:t>
      </w:r>
    </w:p>
    <w:p>
      <w:pPr>
        <w:widowControl/>
        <w:jc w:val="left"/>
        <w:rPr>
          <w:rFonts w:ascii="微软雅黑" w:hAnsi="微软雅黑" w:eastAsia="微软雅黑" w:cs="微软雅黑"/>
          <w:b/>
          <w:kern w:val="0"/>
          <w:sz w:val="24"/>
          <w:szCs w:val="20"/>
        </w:rPr>
      </w:pPr>
    </w:p>
    <w:p>
      <w:pPr>
        <w:pStyle w:val="24"/>
      </w:pPr>
      <w:bookmarkStart w:id="356" w:name="_Toc13207"/>
      <w:r>
        <w:rPr>
          <w:rFonts w:hint="eastAsia"/>
        </w:rPr>
        <w:t>第二部分  商务及技术文件</w:t>
      </w:r>
      <w:bookmarkEnd w:id="356"/>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sz w:val="24"/>
          <w:szCs w:val="18"/>
        </w:rPr>
      </w:pPr>
      <w:bookmarkStart w:id="357" w:name="_Toc2041"/>
      <w:bookmarkStart w:id="358" w:name="_Toc14915"/>
      <w:bookmarkStart w:id="359" w:name="_Toc515647817"/>
      <w:r>
        <w:rPr>
          <w:rFonts w:hint="eastAsia"/>
          <w:b w:val="0"/>
          <w:sz w:val="24"/>
          <w:szCs w:val="18"/>
        </w:rPr>
        <w:t>1、报价书（响应文件格式五）</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sz w:val="24"/>
          <w:szCs w:val="18"/>
        </w:rPr>
      </w:pPr>
      <w:r>
        <w:rPr>
          <w:rFonts w:hint="eastAsia"/>
          <w:b w:val="0"/>
          <w:sz w:val="24"/>
          <w:szCs w:val="18"/>
        </w:rPr>
        <w:t>2、分项报价表（响应文件格式七）</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sz w:val="24"/>
          <w:szCs w:val="18"/>
        </w:rPr>
      </w:pPr>
      <w:bookmarkStart w:id="360" w:name="_Toc8440"/>
      <w:r>
        <w:rPr>
          <w:rFonts w:hint="eastAsia"/>
          <w:b w:val="0"/>
          <w:kern w:val="2"/>
          <w:sz w:val="24"/>
          <w:szCs w:val="18"/>
        </w:rPr>
        <w:t>3、</w:t>
      </w:r>
      <w:r>
        <w:rPr>
          <w:rFonts w:hint="eastAsia"/>
          <w:b w:val="0"/>
          <w:kern w:val="2"/>
          <w:sz w:val="24"/>
          <w:szCs w:val="18"/>
          <w:lang w:val="en-US" w:eastAsia="zh-CN"/>
        </w:rPr>
        <w:t>货物</w:t>
      </w:r>
      <w:r>
        <w:rPr>
          <w:rFonts w:hint="eastAsia"/>
          <w:b w:val="0"/>
          <w:kern w:val="2"/>
          <w:sz w:val="24"/>
          <w:szCs w:val="18"/>
        </w:rPr>
        <w:t>说明一览表（响应文件格式八）</w:t>
      </w:r>
      <w:bookmarkEnd w:id="360"/>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b w:val="0"/>
          <w:sz w:val="24"/>
          <w:szCs w:val="18"/>
        </w:rPr>
      </w:pPr>
      <w:r>
        <w:rPr>
          <w:rFonts w:hint="eastAsia"/>
          <w:b w:val="0"/>
          <w:sz w:val="24"/>
          <w:szCs w:val="18"/>
        </w:rPr>
        <w:t>4、技术规格偏离表</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ascii="宋体" w:hAnsi="Times New Roman" w:eastAsia="宋体" w:cs="Times New Roman"/>
          <w:b w:val="0"/>
          <w:color w:val="auto"/>
          <w:sz w:val="24"/>
          <w:szCs w:val="18"/>
          <w:lang w:val="en-US" w:eastAsia="zh-CN"/>
        </w:rPr>
      </w:pPr>
      <w:r>
        <w:rPr>
          <w:rFonts w:hint="eastAsia"/>
          <w:b w:val="0"/>
          <w:color w:val="auto"/>
          <w:sz w:val="24"/>
          <w:szCs w:val="18"/>
          <w:lang w:val="en-US" w:eastAsia="zh-CN"/>
        </w:rPr>
        <w:t>5、商务条款</w:t>
      </w:r>
      <w:r>
        <w:rPr>
          <w:rFonts w:hint="eastAsia" w:ascii="宋体" w:hAnsi="Times New Roman" w:eastAsia="宋体" w:cs="Times New Roman"/>
          <w:b w:val="0"/>
          <w:color w:val="auto"/>
          <w:sz w:val="24"/>
          <w:szCs w:val="18"/>
          <w:lang w:val="en-US" w:eastAsia="zh-CN"/>
        </w:rPr>
        <w:t>偏离表</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eastAsia="宋体"/>
          <w:b w:val="0"/>
          <w:color w:val="auto"/>
          <w:sz w:val="24"/>
          <w:szCs w:val="18"/>
          <w:lang w:eastAsia="zh-CN"/>
        </w:rPr>
      </w:pPr>
      <w:r>
        <w:rPr>
          <w:rFonts w:hint="eastAsia" w:ascii="宋体" w:hAnsi="Times New Roman" w:eastAsia="宋体" w:cs="Times New Roman"/>
          <w:b w:val="0"/>
          <w:color w:val="auto"/>
          <w:sz w:val="24"/>
          <w:szCs w:val="18"/>
          <w:lang w:val="en-US" w:eastAsia="zh-CN"/>
        </w:rPr>
        <w:t>6、</w:t>
      </w:r>
      <w:r>
        <w:rPr>
          <w:rFonts w:hint="eastAsia"/>
          <w:b w:val="0"/>
          <w:color w:val="auto"/>
          <w:sz w:val="24"/>
          <w:szCs w:val="18"/>
        </w:rPr>
        <w:t>近三年完成的类似项目情况表</w:t>
      </w:r>
      <w:r>
        <w:rPr>
          <w:rFonts w:hint="eastAsia"/>
          <w:b w:val="0"/>
          <w:color w:val="auto"/>
          <w:sz w:val="24"/>
          <w:szCs w:val="18"/>
          <w:lang w:eastAsia="zh-CN"/>
        </w:rPr>
        <w:t>（</w:t>
      </w:r>
      <w:r>
        <w:rPr>
          <w:rFonts w:hint="eastAsia"/>
          <w:b w:val="0"/>
          <w:color w:val="auto"/>
          <w:kern w:val="2"/>
          <w:sz w:val="24"/>
          <w:szCs w:val="18"/>
        </w:rPr>
        <w:t>响应文件格式</w:t>
      </w:r>
      <w:r>
        <w:rPr>
          <w:rFonts w:hint="eastAsia"/>
          <w:b w:val="0"/>
          <w:color w:val="auto"/>
          <w:sz w:val="24"/>
          <w:szCs w:val="18"/>
          <w:lang w:val="en-US" w:eastAsia="zh-CN"/>
        </w:rPr>
        <w:t>九</w:t>
      </w:r>
      <w:r>
        <w:rPr>
          <w:rFonts w:hint="eastAsia"/>
          <w:b w:val="0"/>
          <w:color w:val="auto"/>
          <w:sz w:val="24"/>
          <w:szCs w:val="18"/>
          <w:lang w:eastAsia="zh-CN"/>
        </w:rPr>
        <w:t>）</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b w:val="0"/>
          <w:color w:val="auto"/>
          <w:sz w:val="24"/>
          <w:szCs w:val="18"/>
        </w:rPr>
      </w:pPr>
      <w:bookmarkStart w:id="361" w:name="_Toc28150_WPSOffice_Level2"/>
      <w:r>
        <w:rPr>
          <w:rFonts w:hint="eastAsia"/>
          <w:b w:val="0"/>
          <w:color w:val="auto"/>
          <w:sz w:val="24"/>
          <w:szCs w:val="18"/>
          <w:lang w:val="en-US" w:eastAsia="zh-CN"/>
        </w:rPr>
        <w:t>7-1</w:t>
      </w:r>
      <w:r>
        <w:rPr>
          <w:rFonts w:hint="eastAsia"/>
          <w:b w:val="0"/>
          <w:color w:val="auto"/>
          <w:sz w:val="24"/>
          <w:szCs w:val="18"/>
        </w:rPr>
        <w:t>、《投标单位企业（单位）类型声明函》（</w:t>
      </w:r>
      <w:r>
        <w:rPr>
          <w:rFonts w:hint="eastAsia"/>
          <w:b w:val="0"/>
          <w:color w:val="auto"/>
          <w:kern w:val="2"/>
          <w:sz w:val="24"/>
          <w:szCs w:val="18"/>
        </w:rPr>
        <w:t>响应文件格式</w:t>
      </w:r>
      <w:r>
        <w:rPr>
          <w:rFonts w:hint="eastAsia"/>
          <w:b w:val="0"/>
          <w:color w:val="auto"/>
          <w:sz w:val="24"/>
          <w:szCs w:val="18"/>
        </w:rPr>
        <w:t>十）</w:t>
      </w:r>
      <w:bookmarkEnd w:id="361"/>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b w:val="0"/>
          <w:color w:val="auto"/>
          <w:sz w:val="24"/>
          <w:szCs w:val="18"/>
        </w:rPr>
      </w:pPr>
      <w:r>
        <w:rPr>
          <w:rFonts w:hint="eastAsia"/>
          <w:b w:val="0"/>
          <w:color w:val="auto"/>
          <w:sz w:val="24"/>
          <w:szCs w:val="18"/>
          <w:lang w:val="en-US" w:eastAsia="zh-CN"/>
        </w:rPr>
        <w:t>7-2</w:t>
      </w:r>
      <w:r>
        <w:rPr>
          <w:rFonts w:hint="eastAsia"/>
          <w:b w:val="0"/>
          <w:color w:val="auto"/>
          <w:sz w:val="24"/>
          <w:szCs w:val="18"/>
        </w:rPr>
        <w:t>、《制造商企业（单位）类型声明函》</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b w:val="0"/>
          <w:color w:val="auto"/>
          <w:sz w:val="24"/>
          <w:szCs w:val="18"/>
        </w:rPr>
      </w:pPr>
      <w:r>
        <w:rPr>
          <w:rFonts w:hint="eastAsia"/>
          <w:b w:val="0"/>
          <w:color w:val="auto"/>
          <w:sz w:val="24"/>
          <w:szCs w:val="18"/>
          <w:lang w:val="en-US" w:eastAsia="zh-CN"/>
        </w:rPr>
        <w:t>7-3</w:t>
      </w:r>
      <w:r>
        <w:rPr>
          <w:rFonts w:hint="eastAsia"/>
          <w:b w:val="0"/>
          <w:color w:val="auto"/>
          <w:sz w:val="24"/>
          <w:szCs w:val="18"/>
        </w:rPr>
        <w:t>、《残疾人福利性单位声明函》</w:t>
      </w:r>
      <w:r>
        <w:rPr>
          <w:rFonts w:hint="eastAsia"/>
          <w:b w:val="0"/>
          <w:color w:val="auto"/>
          <w:sz w:val="24"/>
          <w:szCs w:val="18"/>
          <w:lang w:eastAsia="zh-CN"/>
        </w:rPr>
        <w:t>（</w:t>
      </w:r>
      <w:r>
        <w:rPr>
          <w:rFonts w:hint="eastAsia"/>
          <w:b w:val="0"/>
          <w:color w:val="auto"/>
          <w:sz w:val="24"/>
          <w:szCs w:val="18"/>
        </w:rPr>
        <w:t>价格扣减条件的供应商须提交）</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color w:val="auto"/>
          <w:sz w:val="24"/>
          <w:szCs w:val="18"/>
        </w:rPr>
      </w:pPr>
      <w:r>
        <w:rPr>
          <w:rFonts w:hint="eastAsia"/>
          <w:b w:val="0"/>
          <w:color w:val="auto"/>
          <w:sz w:val="24"/>
          <w:szCs w:val="18"/>
          <w:lang w:val="en-US" w:eastAsia="zh-CN"/>
        </w:rPr>
        <w:t>8</w:t>
      </w:r>
      <w:r>
        <w:rPr>
          <w:rFonts w:hint="eastAsia"/>
          <w:b w:val="0"/>
          <w:color w:val="auto"/>
          <w:sz w:val="24"/>
          <w:szCs w:val="18"/>
        </w:rPr>
        <w:t>、投标单位关联单位的说明（格式自拟）</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color w:val="auto"/>
          <w:kern w:val="2"/>
          <w:sz w:val="24"/>
          <w:szCs w:val="18"/>
        </w:rPr>
      </w:pPr>
      <w:bookmarkStart w:id="362" w:name="_Toc21500"/>
      <w:r>
        <w:rPr>
          <w:rFonts w:hint="eastAsia"/>
          <w:b w:val="0"/>
          <w:color w:val="auto"/>
          <w:kern w:val="2"/>
          <w:sz w:val="24"/>
          <w:szCs w:val="18"/>
          <w:lang w:val="en-US" w:eastAsia="zh-CN"/>
        </w:rPr>
        <w:t>9-1</w:t>
      </w:r>
      <w:r>
        <w:rPr>
          <w:rFonts w:hint="eastAsia"/>
          <w:b w:val="0"/>
          <w:color w:val="auto"/>
          <w:kern w:val="2"/>
          <w:sz w:val="24"/>
          <w:szCs w:val="18"/>
        </w:rPr>
        <w:t>、项目负责人简历</w:t>
      </w:r>
      <w:bookmarkEnd w:id="362"/>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color w:val="auto"/>
          <w:sz w:val="24"/>
          <w:szCs w:val="18"/>
        </w:rPr>
      </w:pPr>
      <w:r>
        <w:rPr>
          <w:rFonts w:hint="eastAsia"/>
          <w:b w:val="0"/>
          <w:color w:val="auto"/>
          <w:sz w:val="24"/>
          <w:szCs w:val="18"/>
          <w:lang w:val="en-US" w:eastAsia="zh-CN"/>
        </w:rPr>
        <w:t>9-2</w:t>
      </w:r>
      <w:r>
        <w:rPr>
          <w:rFonts w:hint="eastAsia"/>
          <w:b w:val="0"/>
          <w:color w:val="auto"/>
          <w:sz w:val="24"/>
          <w:szCs w:val="18"/>
        </w:rPr>
        <w:t>、此项目其他专职人员表</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color w:val="auto"/>
          <w:sz w:val="24"/>
          <w:szCs w:val="18"/>
        </w:rPr>
      </w:pPr>
      <w:r>
        <w:rPr>
          <w:rFonts w:hint="eastAsia"/>
          <w:b w:val="0"/>
          <w:color w:val="auto"/>
          <w:sz w:val="24"/>
          <w:szCs w:val="18"/>
          <w:lang w:val="en-US" w:eastAsia="zh-CN"/>
        </w:rPr>
        <w:t>10</w:t>
      </w:r>
      <w:r>
        <w:rPr>
          <w:rFonts w:hint="eastAsia"/>
          <w:b w:val="0"/>
          <w:color w:val="auto"/>
          <w:sz w:val="24"/>
          <w:szCs w:val="18"/>
        </w:rPr>
        <w:t>、政府采购诚信承诺书</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b w:val="0"/>
          <w:color w:val="auto"/>
          <w:sz w:val="24"/>
          <w:szCs w:val="18"/>
        </w:rPr>
      </w:pPr>
      <w:r>
        <w:rPr>
          <w:rFonts w:hint="eastAsia"/>
          <w:b w:val="0"/>
          <w:color w:val="auto"/>
          <w:sz w:val="24"/>
          <w:szCs w:val="18"/>
          <w:lang w:val="en-US" w:eastAsia="zh-CN"/>
        </w:rPr>
        <w:t>11</w:t>
      </w:r>
      <w:r>
        <w:rPr>
          <w:rFonts w:hint="eastAsia"/>
          <w:b w:val="0"/>
          <w:color w:val="auto"/>
          <w:sz w:val="24"/>
          <w:szCs w:val="18"/>
        </w:rPr>
        <w:t>、项目实施方案</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rFonts w:hint="eastAsia"/>
          <w:b w:val="0"/>
          <w:color w:val="auto"/>
          <w:sz w:val="24"/>
          <w:szCs w:val="18"/>
        </w:rPr>
      </w:pPr>
      <w:r>
        <w:rPr>
          <w:rFonts w:hint="eastAsia"/>
          <w:b w:val="0"/>
          <w:color w:val="auto"/>
          <w:sz w:val="24"/>
          <w:szCs w:val="18"/>
        </w:rPr>
        <w:t>1</w:t>
      </w:r>
      <w:r>
        <w:rPr>
          <w:rFonts w:hint="eastAsia"/>
          <w:b w:val="0"/>
          <w:color w:val="auto"/>
          <w:sz w:val="24"/>
          <w:szCs w:val="18"/>
          <w:lang w:val="en-US" w:eastAsia="zh-CN"/>
        </w:rPr>
        <w:t>2</w:t>
      </w:r>
      <w:r>
        <w:rPr>
          <w:rFonts w:hint="eastAsia"/>
          <w:b w:val="0"/>
          <w:color w:val="auto"/>
          <w:sz w:val="24"/>
          <w:szCs w:val="18"/>
        </w:rPr>
        <w:t>、项目验收方案，服务质量及服务期限（格式自拟）</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rPr>
          <w:sz w:val="24"/>
          <w:szCs w:val="18"/>
        </w:rPr>
      </w:pPr>
      <w:r>
        <w:rPr>
          <w:rFonts w:hint="eastAsia" w:eastAsia="宋体"/>
          <w:b w:val="0"/>
          <w:color w:val="auto"/>
          <w:sz w:val="24"/>
          <w:szCs w:val="18"/>
          <w:lang w:val="en-US" w:eastAsia="zh-CN"/>
        </w:rPr>
        <w:t>13、</w:t>
      </w:r>
      <w:r>
        <w:rPr>
          <w:rFonts w:hint="eastAsia" w:ascii="宋体" w:hAnsi="Times New Roman" w:eastAsia="宋体" w:cs="Times New Roman"/>
          <w:b w:val="0"/>
          <w:color w:val="auto"/>
          <w:sz w:val="24"/>
          <w:szCs w:val="18"/>
        </w:rPr>
        <w:t>小微企业声明函</w:t>
      </w:r>
      <w:r>
        <w:rPr>
          <w:rFonts w:hint="eastAsia" w:ascii="宋体" w:hAnsi="Times New Roman" w:eastAsia="宋体" w:cs="Times New Roman"/>
          <w:b w:val="0"/>
          <w:color w:val="auto"/>
          <w:sz w:val="24"/>
          <w:szCs w:val="18"/>
          <w:lang w:eastAsia="zh-CN"/>
        </w:rPr>
        <w:t>（</w:t>
      </w:r>
      <w:r>
        <w:rPr>
          <w:rFonts w:hint="eastAsia" w:ascii="宋体" w:hAnsi="Times New Roman" w:eastAsia="宋体" w:cs="Times New Roman"/>
          <w:b w:val="0"/>
          <w:color w:val="auto"/>
          <w:sz w:val="24"/>
          <w:szCs w:val="18"/>
          <w:lang w:val="en-US" w:eastAsia="zh-CN"/>
        </w:rPr>
        <w:t>如</w:t>
      </w:r>
      <w:r>
        <w:rPr>
          <w:rFonts w:hint="eastAsia" w:ascii="宋体" w:hAnsi="Times New Roman" w:eastAsia="宋体" w:cs="Times New Roman"/>
          <w:b w:val="0"/>
          <w:sz w:val="24"/>
          <w:szCs w:val="18"/>
          <w:lang w:val="en-US" w:eastAsia="zh-CN"/>
        </w:rPr>
        <w:t>有</w:t>
      </w:r>
      <w:r>
        <w:rPr>
          <w:rFonts w:hint="eastAsia" w:ascii="宋体" w:hAnsi="Times New Roman" w:eastAsia="宋体" w:cs="Times New Roman"/>
          <w:b w:val="0"/>
          <w:sz w:val="24"/>
          <w:szCs w:val="18"/>
          <w:lang w:eastAsia="zh-CN"/>
        </w:rPr>
        <w:t>）</w:t>
      </w:r>
    </w:p>
    <w:p>
      <w:pPr>
        <w:pStyle w:val="6"/>
        <w:keepNext/>
        <w:keepLines/>
        <w:pageBreakBefore w:val="0"/>
        <w:widowControl w:val="0"/>
        <w:kinsoku/>
        <w:wordWrap/>
        <w:overflowPunct/>
        <w:topLinePunct w:val="0"/>
        <w:autoSpaceDE w:val="0"/>
        <w:autoSpaceDN w:val="0"/>
        <w:bidi w:val="0"/>
        <w:adjustRightInd w:val="0"/>
        <w:snapToGrid w:val="0"/>
        <w:spacing w:line="20" w:lineRule="exact"/>
        <w:jc w:val="both"/>
        <w:textAlignment w:val="auto"/>
      </w:pPr>
      <w:r>
        <w:rPr>
          <w:rFonts w:hint="eastAsia"/>
          <w:b w:val="0"/>
          <w:sz w:val="24"/>
          <w:szCs w:val="18"/>
        </w:rPr>
        <w:t>1</w:t>
      </w:r>
      <w:r>
        <w:rPr>
          <w:rFonts w:hint="eastAsia"/>
          <w:b w:val="0"/>
          <w:sz w:val="24"/>
          <w:szCs w:val="18"/>
          <w:lang w:val="en-US" w:eastAsia="zh-CN"/>
        </w:rPr>
        <w:t>4</w:t>
      </w:r>
      <w:r>
        <w:rPr>
          <w:rFonts w:hint="eastAsia"/>
          <w:b w:val="0"/>
          <w:sz w:val="24"/>
          <w:szCs w:val="18"/>
        </w:rPr>
        <w:t>、投标单位根据项目情况可以自行补充其他证明材料</w:t>
      </w:r>
      <w:r>
        <w:br w:type="page"/>
      </w:r>
    </w:p>
    <w:bookmarkEnd w:id="357"/>
    <w:bookmarkEnd w:id="358"/>
    <w:bookmarkEnd w:id="359"/>
    <w:p>
      <w:pPr>
        <w:pStyle w:val="5"/>
      </w:pPr>
      <w:bookmarkStart w:id="363" w:name="_Toc18282"/>
      <w:r>
        <w:rPr>
          <w:rFonts w:hint="eastAsia"/>
        </w:rPr>
        <w:t xml:space="preserve">1 </w:t>
      </w:r>
      <w:bookmarkStart w:id="364" w:name="_Hlt520355504"/>
      <w:bookmarkEnd w:id="364"/>
      <w:r>
        <w:rPr>
          <w:rFonts w:hint="eastAsia"/>
        </w:rPr>
        <w:t>、报价书（响应文件格式五）</w:t>
      </w:r>
      <w:bookmarkEnd w:id="363"/>
    </w:p>
    <w:p>
      <w:pPr>
        <w:tabs>
          <w:tab w:val="left" w:pos="5580"/>
        </w:tabs>
        <w:spacing w:line="440" w:lineRule="exact"/>
        <w:ind w:left="1080" w:hanging="1080"/>
        <w:rPr>
          <w:rFonts w:ascii="宋体" w:hAnsi="宋体" w:cs="宋体"/>
          <w:sz w:val="24"/>
        </w:rPr>
      </w:pPr>
    </w:p>
    <w:p>
      <w:pPr>
        <w:tabs>
          <w:tab w:val="left" w:pos="5580"/>
        </w:tabs>
        <w:spacing w:line="240" w:lineRule="atLeast"/>
        <w:ind w:left="1080" w:leftChars="257" w:hanging="540"/>
        <w:rPr>
          <w:rFonts w:hint="eastAsia" w:ascii="宋体" w:hAnsi="宋体" w:eastAsia="宋体" w:cs="宋体"/>
          <w:sz w:val="24"/>
        </w:rPr>
      </w:pPr>
    </w:p>
    <w:p>
      <w:pPr>
        <w:tabs>
          <w:tab w:val="left" w:pos="5580"/>
        </w:tabs>
        <w:spacing w:line="320" w:lineRule="exact"/>
        <w:ind w:left="1080" w:hanging="108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采购代理机构</w:t>
      </w:r>
    </w:p>
    <w:p>
      <w:pPr>
        <w:pStyle w:val="15"/>
        <w:tabs>
          <w:tab w:val="left" w:pos="5580"/>
        </w:tabs>
        <w:spacing w:line="320" w:lineRule="exact"/>
        <w:ind w:left="1080" w:leftChars="257" w:hanging="540"/>
        <w:rPr>
          <w:rFonts w:hint="eastAsia" w:ascii="宋体" w:hAnsi="宋体" w:eastAsia="宋体" w:cs="宋体"/>
          <w:sz w:val="24"/>
        </w:rPr>
      </w:pPr>
    </w:p>
    <w:p>
      <w:pPr>
        <w:pStyle w:val="15"/>
        <w:tabs>
          <w:tab w:val="left" w:pos="5580"/>
        </w:tabs>
        <w:spacing w:line="320" w:lineRule="exact"/>
        <w:ind w:left="2" w:leftChars="1" w:firstLine="480" w:firstLineChars="200"/>
        <w:rPr>
          <w:rFonts w:hint="eastAsia" w:ascii="宋体" w:hAnsi="宋体" w:eastAsia="宋体" w:cs="宋体"/>
          <w:sz w:val="24"/>
        </w:rPr>
      </w:pPr>
      <w:r>
        <w:rPr>
          <w:rFonts w:hint="eastAsia" w:ascii="宋体" w:hAnsi="宋体" w:eastAsia="宋体" w:cs="宋体"/>
          <w:sz w:val="24"/>
        </w:rPr>
        <w:t>根据贵方(</w:t>
      </w:r>
      <w:r>
        <w:rPr>
          <w:rFonts w:hint="eastAsia" w:ascii="宋体" w:hAnsi="宋体" w:eastAsia="宋体" w:cs="宋体"/>
          <w:i/>
          <w:sz w:val="24"/>
          <w:u w:val="single"/>
        </w:rPr>
        <w:t>项目名称</w:t>
      </w:r>
      <w:r>
        <w:rPr>
          <w:rFonts w:hint="eastAsia" w:ascii="宋体" w:hAnsi="宋体" w:eastAsia="宋体" w:cs="宋体"/>
          <w:sz w:val="24"/>
        </w:rPr>
        <w:t>)项目的投标邀请(</w:t>
      </w:r>
      <w:r>
        <w:rPr>
          <w:rFonts w:hint="eastAsia" w:ascii="宋体" w:hAnsi="宋体" w:eastAsia="宋体" w:cs="宋体"/>
          <w:i/>
          <w:sz w:val="24"/>
          <w:u w:val="single"/>
        </w:rPr>
        <w:t>招标编号</w:t>
      </w:r>
      <w:r>
        <w:rPr>
          <w:rFonts w:hint="eastAsia" w:ascii="宋体" w:hAnsi="宋体" w:eastAsia="宋体" w:cs="宋体"/>
          <w:sz w:val="24"/>
        </w:rPr>
        <w:t>),签字代表(</w:t>
      </w:r>
      <w:r>
        <w:rPr>
          <w:rFonts w:hint="eastAsia" w:ascii="宋体" w:hAnsi="宋体" w:eastAsia="宋体" w:cs="宋体"/>
          <w:i/>
          <w:sz w:val="24"/>
          <w:u w:val="single"/>
        </w:rPr>
        <w:t>姓名、职务</w:t>
      </w:r>
      <w:r>
        <w:rPr>
          <w:rFonts w:hint="eastAsia" w:ascii="宋体" w:hAnsi="宋体" w:eastAsia="宋体" w:cs="宋体"/>
          <w:sz w:val="24"/>
        </w:rPr>
        <w:t>)经正式授权并代表投标人（</w:t>
      </w:r>
      <w:r>
        <w:rPr>
          <w:rFonts w:hint="eastAsia" w:ascii="宋体" w:hAnsi="宋体" w:eastAsia="宋体" w:cs="宋体"/>
          <w:i/>
          <w:sz w:val="24"/>
          <w:u w:val="single"/>
        </w:rPr>
        <w:t>名称、地址</w:t>
      </w:r>
      <w:r>
        <w:rPr>
          <w:rFonts w:hint="eastAsia" w:ascii="宋体" w:hAnsi="宋体" w:eastAsia="宋体" w:cs="宋体"/>
          <w:sz w:val="24"/>
        </w:rPr>
        <w:t>）提交下述文件正本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份及电子文档</w:t>
      </w:r>
      <w:r>
        <w:rPr>
          <w:rFonts w:hint="eastAsia" w:ascii="宋体" w:hAnsi="宋体" w:eastAsia="宋体" w:cs="宋体"/>
          <w:sz w:val="24"/>
          <w:u w:val="single"/>
        </w:rPr>
        <w:t xml:space="preserve">     </w:t>
      </w:r>
      <w:r>
        <w:rPr>
          <w:rFonts w:hint="eastAsia" w:ascii="宋体" w:hAnsi="宋体" w:eastAsia="宋体" w:cs="宋体"/>
          <w:sz w:val="24"/>
        </w:rPr>
        <w:t>份，并以</w:t>
      </w:r>
      <w:r>
        <w:rPr>
          <w:rFonts w:hint="eastAsia" w:ascii="宋体" w:hAnsi="宋体" w:eastAsia="宋体" w:cs="宋体"/>
          <w:sz w:val="24"/>
          <w:u w:val="single"/>
        </w:rPr>
        <w:t xml:space="preserve">         </w:t>
      </w:r>
      <w:r>
        <w:rPr>
          <w:rFonts w:hint="eastAsia" w:ascii="宋体" w:hAnsi="宋体" w:eastAsia="宋体" w:cs="宋体"/>
          <w:sz w:val="24"/>
        </w:rPr>
        <w:t>形式出具的金额为人民币</w:t>
      </w:r>
      <w:r>
        <w:rPr>
          <w:rFonts w:hint="eastAsia" w:ascii="宋体" w:hAnsi="宋体" w:eastAsia="宋体" w:cs="宋体"/>
          <w:sz w:val="24"/>
          <w:u w:val="single"/>
        </w:rPr>
        <w:t>　　　　</w:t>
      </w:r>
      <w:r>
        <w:rPr>
          <w:rFonts w:hint="eastAsia" w:ascii="宋体" w:hAnsi="宋体" w:eastAsia="宋体" w:cs="宋体"/>
          <w:sz w:val="24"/>
        </w:rPr>
        <w:t>元的投标保证金。</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据此，签字代表宣布同意如下：</w:t>
      </w:r>
    </w:p>
    <w:p>
      <w:pPr>
        <w:pStyle w:val="15"/>
        <w:tabs>
          <w:tab w:val="left" w:pos="720"/>
          <w:tab w:val="left" w:pos="900"/>
        </w:tabs>
        <w:spacing w:line="320" w:lineRule="exact"/>
        <w:ind w:left="769" w:leftChars="257" w:hanging="229"/>
        <w:rPr>
          <w:rFonts w:hint="eastAsia" w:ascii="宋体" w:hAnsi="宋体" w:eastAsia="宋体" w:cs="宋体"/>
          <w:sz w:val="24"/>
          <w:u w:val="single"/>
        </w:rPr>
      </w:pPr>
      <w:r>
        <w:rPr>
          <w:rFonts w:hint="eastAsia" w:ascii="宋体" w:hAnsi="宋体" w:eastAsia="宋体" w:cs="宋体"/>
          <w:sz w:val="24"/>
        </w:rPr>
        <w:t>（1）附投标价格表中规定的应提供货物的投标总价详见开标一览表，</w:t>
      </w:r>
      <w:r>
        <w:rPr>
          <w:rFonts w:hint="eastAsia" w:ascii="宋体" w:hAnsi="宋体" w:eastAsia="宋体" w:cs="宋体"/>
          <w:sz w:val="24"/>
          <w:u w:val="single"/>
        </w:rPr>
        <w:t>其中由小型和</w:t>
      </w:r>
      <w:r>
        <w:rPr>
          <w:rFonts w:hint="eastAsia" w:ascii="宋体" w:hAnsi="宋体" w:eastAsia="宋体" w:cs="宋体"/>
          <w:sz w:val="24"/>
        </w:rPr>
        <w:t>微型企业制造产品的价格为</w:t>
      </w:r>
      <w:r>
        <w:rPr>
          <w:rFonts w:hint="eastAsia" w:ascii="宋体" w:hAnsi="宋体" w:eastAsia="宋体" w:cs="宋体"/>
          <w:sz w:val="24"/>
          <w:u w:val="single"/>
        </w:rPr>
        <w:t xml:space="preserve">　　  （用文字和数字表示），占投标总价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w:t>
      </w:r>
      <w:r>
        <w:rPr>
          <w:rFonts w:hint="eastAsia" w:ascii="宋体" w:hAnsi="宋体" w:eastAsia="宋体" w:cs="宋体"/>
          <w:sz w:val="24"/>
        </w:rPr>
        <w:t>。</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（2）本投标有效期为自投标截止之日起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（3）联合体中的大中型企业和其他自然人、法人或者非法人组织，与联合体中的小型、微型企业之间</w:t>
      </w:r>
      <w:r>
        <w:rPr>
          <w:rFonts w:hint="eastAsia" w:ascii="宋体" w:hAnsi="宋体" w:eastAsia="宋体" w:cs="宋体"/>
          <w:sz w:val="24"/>
          <w:u w:val="single"/>
        </w:rPr>
        <w:t xml:space="preserve">     （</w:t>
      </w:r>
      <w:r>
        <w:rPr>
          <w:rFonts w:hint="eastAsia" w:ascii="宋体" w:hAnsi="宋体" w:eastAsia="宋体" w:cs="宋体"/>
          <w:sz w:val="24"/>
        </w:rPr>
        <w:t>存在、不存在）投资关系（如果是联合体的话）。</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（4）已详细审查全部招标文件，包括所有补充通知（如果有的话），完全理解并同意放弃对这方面有不明、误解和质疑的权力。</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（5）在规定的开标时间后，遵守招标文件中有关保证金的规定。</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（6）我方不是为本项目提供整体设计、规范编制或者项目管理、监理、检测等服务的供应商，我方不是采购代理机构的附属机构。</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（7）在领取中标通知书的同时按招标文件规定的形式，向贵方一次性支付中标服务费。</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（8）按照贵方可能要求，提供与其投标有关的一切数据或资料，完全理解贵方不一定接受最低价的投标或收到的任何投标。</w:t>
      </w:r>
    </w:p>
    <w:p>
      <w:pPr>
        <w:pStyle w:val="15"/>
        <w:tabs>
          <w:tab w:val="left" w:pos="5580"/>
        </w:tabs>
        <w:spacing w:line="320" w:lineRule="exact"/>
        <w:ind w:left="1080" w:leftChars="257" w:hanging="54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lang w:val="en-US" w:eastAsia="zh-CN"/>
        </w:rPr>
        <w:t>在中标公示期过后7个工作日内领取中标通知书，不领取中标通知书视为自动放弃中标资格，采购人可依法进行相应处罚。</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）按照招标文件的规定履行合同责任和义务。</w:t>
      </w:r>
    </w:p>
    <w:p>
      <w:pPr>
        <w:pStyle w:val="15"/>
        <w:tabs>
          <w:tab w:val="left" w:pos="5580"/>
        </w:tabs>
        <w:spacing w:line="320" w:lineRule="exact"/>
        <w:ind w:left="359" w:leftChars="68" w:hanging="216" w:hangingChars="90"/>
        <w:rPr>
          <w:rFonts w:hint="eastAsia" w:ascii="宋体" w:hAnsi="宋体" w:eastAsia="宋体" w:cs="宋体"/>
          <w:sz w:val="24"/>
        </w:rPr>
      </w:pPr>
      <w:r>
        <w:rPr>
          <w:rFonts w:hint="eastAsia" w:ascii="宋体" w:hAnsi="宋体" w:eastAsia="宋体" w:cs="宋体"/>
          <w:sz w:val="24"/>
        </w:rPr>
        <w:t xml:space="preserve">  与本投标有关的一切正式往来信函请寄：</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pStyle w:val="15"/>
        <w:tabs>
          <w:tab w:val="left" w:pos="5580"/>
        </w:tabs>
        <w:spacing w:line="320" w:lineRule="exact"/>
        <w:ind w:left="1080" w:leftChars="257" w:hanging="540"/>
        <w:rPr>
          <w:rFonts w:hint="eastAsia" w:ascii="宋体" w:hAnsi="宋体" w:eastAsia="宋体" w:cs="宋体"/>
          <w:b/>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电子函件</w:t>
      </w:r>
      <w:r>
        <w:rPr>
          <w:rFonts w:hint="eastAsia" w:ascii="宋体" w:hAnsi="宋体" w:eastAsia="宋体" w:cs="宋体"/>
          <w:sz w:val="24"/>
          <w:u w:val="single"/>
        </w:rPr>
        <w:t xml:space="preserve">                         </w:t>
      </w:r>
    </w:p>
    <w:p>
      <w:pPr>
        <w:pStyle w:val="15"/>
        <w:tabs>
          <w:tab w:val="left" w:pos="5580"/>
        </w:tabs>
        <w:spacing w:line="320" w:lineRule="exact"/>
        <w:ind w:left="1080" w:leftChars="257" w:hanging="540"/>
        <w:rPr>
          <w:rFonts w:hint="eastAsia" w:ascii="宋体" w:hAnsi="宋体" w:eastAsia="宋体" w:cs="宋体"/>
          <w:sz w:val="24"/>
        </w:rPr>
      </w:pP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法定代表人或其委托代理人签字-----------------</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投标人名称（全称）-----------------</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投标人开户银行（全称）</w:t>
      </w:r>
      <w:r>
        <w:rPr>
          <w:rFonts w:hint="eastAsia" w:ascii="宋体" w:hAnsi="宋体" w:eastAsia="宋体" w:cs="宋体"/>
          <w:sz w:val="24"/>
          <w:u w:val="single"/>
        </w:rPr>
        <w:t xml:space="preserve">　　　　　　 </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投标人银行帐号</w:t>
      </w:r>
      <w:r>
        <w:rPr>
          <w:rFonts w:hint="eastAsia" w:ascii="宋体" w:hAnsi="宋体" w:eastAsia="宋体" w:cs="宋体"/>
          <w:sz w:val="24"/>
          <w:u w:val="single"/>
        </w:rPr>
        <w:t>　　　　　　　　 　　</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投标人单位章-------------------------</w:t>
      </w:r>
    </w:p>
    <w:p>
      <w:pPr>
        <w:pStyle w:val="15"/>
        <w:tabs>
          <w:tab w:val="left" w:pos="5580"/>
        </w:tabs>
        <w:spacing w:line="320" w:lineRule="exact"/>
        <w:ind w:left="1080" w:leftChars="257" w:hanging="540"/>
        <w:rPr>
          <w:rFonts w:hint="eastAsia" w:ascii="宋体" w:hAnsi="宋体" w:eastAsia="宋体" w:cs="宋体"/>
          <w:sz w:val="24"/>
        </w:rPr>
      </w:pPr>
      <w:r>
        <w:rPr>
          <w:rFonts w:hint="eastAsia" w:ascii="宋体" w:hAnsi="宋体" w:eastAsia="宋体" w:cs="宋体"/>
          <w:sz w:val="24"/>
        </w:rPr>
        <w:t>日期-------------------------------</w:t>
      </w:r>
    </w:p>
    <w:p>
      <w:pPr>
        <w:widowControl/>
        <w:jc w:val="left"/>
        <w:rPr>
          <w:rFonts w:hint="eastAsia" w:ascii="宋体" w:hAnsi="宋体" w:eastAsia="宋体" w:cs="宋体"/>
          <w:sz w:val="24"/>
          <w:szCs w:val="20"/>
        </w:rPr>
      </w:pPr>
      <w:r>
        <w:rPr>
          <w:rFonts w:hint="eastAsia" w:ascii="宋体" w:hAnsi="宋体" w:eastAsia="宋体" w:cs="宋体"/>
          <w:sz w:val="24"/>
        </w:rPr>
        <w:br w:type="page"/>
      </w:r>
    </w:p>
    <w:p>
      <w:pPr>
        <w:jc w:val="center"/>
        <w:rPr>
          <w:rFonts w:hint="eastAsia" w:ascii="宋体" w:hAnsi="宋体" w:eastAsia="宋体" w:cs="宋体"/>
          <w:b/>
          <w:color w:val="auto"/>
          <w:sz w:val="24"/>
          <w:szCs w:val="24"/>
          <w:highlight w:val="yellow"/>
        </w:rPr>
        <w:sectPr>
          <w:headerReference r:id="rId8" w:type="default"/>
          <w:footerReference r:id="rId9" w:type="default"/>
          <w:pgSz w:w="11906" w:h="16838"/>
          <w:pgMar w:top="1040" w:right="1800" w:bottom="1440" w:left="1800" w:header="851" w:footer="992" w:gutter="0"/>
          <w:pgNumType w:fmt="decimal"/>
          <w:cols w:space="425" w:num="1"/>
          <w:docGrid w:type="lines" w:linePitch="312" w:charSpace="0"/>
        </w:sectPr>
      </w:pPr>
      <w:bookmarkStart w:id="365" w:name="_Toc23305_WPSOffice_Level2"/>
      <w:bookmarkStart w:id="366" w:name="_Toc23473"/>
      <w:bookmarkStart w:id="367" w:name="_Toc3548"/>
      <w:bookmarkStart w:id="368" w:name="_Toc1266"/>
      <w:bookmarkStart w:id="369" w:name="_Toc14586"/>
      <w:bookmarkStart w:id="370" w:name="_Toc19943"/>
    </w:p>
    <w:bookmarkEnd w:id="365"/>
    <w:bookmarkEnd w:id="366"/>
    <w:bookmarkEnd w:id="367"/>
    <w:bookmarkEnd w:id="368"/>
    <w:bookmarkEnd w:id="369"/>
    <w:bookmarkEnd w:id="370"/>
    <w:p>
      <w:pPr>
        <w:pStyle w:val="6"/>
        <w:spacing w:before="0" w:line="240" w:lineRule="atLeast"/>
        <w:ind w:left="1080" w:leftChars="257" w:hanging="540"/>
        <w:jc w:val="center"/>
        <w:outlineLvl w:val="2"/>
        <w:rPr>
          <w:rFonts w:hint="eastAsia" w:ascii="Arial" w:hAnsi="Arial" w:eastAsia="黑体" w:cs="Times New Roman"/>
          <w:b/>
          <w:kern w:val="0"/>
          <w:sz w:val="30"/>
          <w:szCs w:val="20"/>
          <w:lang w:val="en-US" w:eastAsia="zh-CN" w:bidi="ar-SA"/>
        </w:rPr>
      </w:pPr>
      <w:bookmarkStart w:id="371" w:name="_Toc20897"/>
      <w:bookmarkStart w:id="372" w:name="_Toc515647818"/>
      <w:bookmarkStart w:id="373" w:name="_Toc31062"/>
      <w:bookmarkStart w:id="374" w:name="_Toc216582815"/>
      <w:bookmarkStart w:id="375" w:name="_Toc1881"/>
      <w:bookmarkStart w:id="376" w:name="_Toc216582816"/>
      <w:bookmarkStart w:id="377" w:name="_Toc32118"/>
      <w:bookmarkStart w:id="378" w:name="_Toc32398"/>
      <w:bookmarkStart w:id="379" w:name="_Toc515647819"/>
      <w:bookmarkStart w:id="380" w:name="_Toc14037"/>
      <w:bookmarkStart w:id="381" w:name="_Toc17858"/>
      <w:bookmarkStart w:id="382" w:name="_Toc18267"/>
      <w:r>
        <w:rPr>
          <w:rFonts w:hint="eastAsia" w:ascii="Arial" w:hAnsi="Arial" w:eastAsia="黑体" w:cs="Times New Roman"/>
          <w:b/>
          <w:kern w:val="0"/>
          <w:sz w:val="30"/>
          <w:szCs w:val="20"/>
          <w:lang w:val="en-US" w:eastAsia="zh-CN" w:bidi="ar-SA"/>
        </w:rPr>
        <w:t>2</w:t>
      </w:r>
      <w:bookmarkEnd w:id="371"/>
      <w:bookmarkEnd w:id="372"/>
      <w:bookmarkEnd w:id="373"/>
      <w:bookmarkEnd w:id="374"/>
      <w:bookmarkEnd w:id="375"/>
      <w:r>
        <w:rPr>
          <w:rFonts w:hint="eastAsia" w:ascii="Arial" w:hAnsi="Arial" w:eastAsia="黑体" w:cs="Times New Roman"/>
          <w:b/>
          <w:kern w:val="0"/>
          <w:sz w:val="30"/>
          <w:szCs w:val="20"/>
          <w:lang w:val="en-US" w:eastAsia="zh-CN" w:bidi="ar-SA"/>
        </w:rPr>
        <w:t>、分项报价表</w:t>
      </w:r>
    </w:p>
    <w:p>
      <w:pPr>
        <w:pStyle w:val="15"/>
        <w:spacing w:line="240" w:lineRule="atLeast"/>
        <w:ind w:left="1080" w:leftChars="257" w:hanging="540"/>
        <w:rPr>
          <w:rFonts w:hint="eastAsia" w:ascii="宋体" w:hAnsi="宋体" w:eastAsia="宋体" w:cs="宋体"/>
          <w:sz w:val="24"/>
          <w:szCs w:val="24"/>
        </w:rPr>
      </w:pPr>
    </w:p>
    <w:p>
      <w:pPr>
        <w:pStyle w:val="15"/>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编号:                         　 　报价单位：人民币万元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9"/>
        <w:gridCol w:w="2151"/>
        <w:gridCol w:w="1380"/>
        <w:gridCol w:w="1532"/>
        <w:gridCol w:w="952"/>
        <w:gridCol w:w="1295"/>
        <w:gridCol w:w="1171"/>
        <w:gridCol w:w="1276"/>
        <w:gridCol w:w="148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序号</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名称</w:t>
            </w:r>
          </w:p>
        </w:tc>
        <w:tc>
          <w:tcPr>
            <w:tcW w:w="1380"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品牌</w:t>
            </w:r>
          </w:p>
        </w:tc>
        <w:tc>
          <w:tcPr>
            <w:tcW w:w="1532"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型号和规格</w:t>
            </w:r>
          </w:p>
        </w:tc>
        <w:tc>
          <w:tcPr>
            <w:tcW w:w="952"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数量</w:t>
            </w:r>
          </w:p>
        </w:tc>
        <w:tc>
          <w:tcPr>
            <w:tcW w:w="1295"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原产地</w:t>
            </w:r>
          </w:p>
        </w:tc>
        <w:tc>
          <w:tcPr>
            <w:tcW w:w="117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制造商名称</w:t>
            </w:r>
          </w:p>
        </w:tc>
        <w:tc>
          <w:tcPr>
            <w:tcW w:w="127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单价</w:t>
            </w:r>
          </w:p>
        </w:tc>
        <w:tc>
          <w:tcPr>
            <w:tcW w:w="1485"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总价</w:t>
            </w:r>
          </w:p>
        </w:tc>
        <w:tc>
          <w:tcPr>
            <w:tcW w:w="1484"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1</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货物名称</w:t>
            </w:r>
          </w:p>
        </w:tc>
        <w:tc>
          <w:tcPr>
            <w:tcW w:w="1380"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2</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专用工具</w:t>
            </w:r>
          </w:p>
        </w:tc>
        <w:tc>
          <w:tcPr>
            <w:tcW w:w="1380"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3</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安装、调试、检验</w:t>
            </w:r>
          </w:p>
        </w:tc>
        <w:tc>
          <w:tcPr>
            <w:tcW w:w="1380"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4</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培训</w:t>
            </w:r>
          </w:p>
        </w:tc>
        <w:tc>
          <w:tcPr>
            <w:tcW w:w="1380"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5</w:t>
            </w:r>
          </w:p>
        </w:tc>
        <w:tc>
          <w:tcPr>
            <w:tcW w:w="215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技术服务</w:t>
            </w:r>
          </w:p>
        </w:tc>
        <w:tc>
          <w:tcPr>
            <w:tcW w:w="1380"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10396" w:type="dxa"/>
            <w:gridSpan w:val="8"/>
            <w:noWrap w:val="0"/>
            <w:vAlign w:val="center"/>
          </w:tcPr>
          <w:p>
            <w:pPr>
              <w:widowControl/>
              <w:shd w:val="clear" w:color="auto" w:fill="auto"/>
              <w:spacing w:line="240" w:lineRule="auto"/>
              <w:ind w:firstLine="480" w:firstLineChars="200"/>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总价：</w:t>
            </w:r>
          </w:p>
        </w:tc>
        <w:tc>
          <w:tcPr>
            <w:tcW w:w="2969" w:type="dxa"/>
            <w:gridSpan w:val="2"/>
            <w:noWrap w:val="0"/>
            <w:vAlign w:val="center"/>
          </w:tcPr>
          <w:p>
            <w:pPr>
              <w:shd w:val="clear" w:color="auto" w:fill="auto"/>
              <w:spacing w:line="240" w:lineRule="auto"/>
              <w:rPr>
                <w:rFonts w:hint="eastAsia" w:ascii="宋体" w:hAnsi="宋体" w:eastAsia="宋体" w:cs="宋体"/>
                <w:color w:val="000000"/>
                <w:sz w:val="24"/>
                <w:szCs w:val="24"/>
                <w:highlight w:val="none"/>
                <w:shd w:val="clear" w:color="auto" w:fill="auto"/>
              </w:rPr>
            </w:pPr>
          </w:p>
        </w:tc>
      </w:tr>
    </w:tbl>
    <w:p>
      <w:pPr>
        <w:pStyle w:val="15"/>
        <w:spacing w:line="240" w:lineRule="atLeast"/>
        <w:rPr>
          <w:rFonts w:hint="eastAsia" w:ascii="宋体" w:hAnsi="宋体" w:eastAsia="宋体" w:cs="宋体"/>
          <w:sz w:val="24"/>
          <w:szCs w:val="24"/>
        </w:rPr>
      </w:pPr>
    </w:p>
    <w:p>
      <w:pPr>
        <w:pStyle w:val="15"/>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5"/>
        <w:tabs>
          <w:tab w:val="left" w:pos="5370"/>
        </w:tabs>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投标人(盖单位章):</w:t>
      </w:r>
      <w:r>
        <w:rPr>
          <w:rFonts w:hint="eastAsia" w:ascii="宋体" w:hAnsi="宋体" w:eastAsia="宋体" w:cs="宋体"/>
          <w:sz w:val="24"/>
          <w:szCs w:val="24"/>
          <w:u w:val="single"/>
        </w:rPr>
        <w:tab/>
      </w:r>
    </w:p>
    <w:p>
      <w:pPr>
        <w:pStyle w:val="15"/>
        <w:spacing w:line="240" w:lineRule="atLeast"/>
        <w:ind w:left="1080" w:leftChars="257" w:hanging="540"/>
        <w:rPr>
          <w:rFonts w:hint="eastAsia" w:ascii="宋体" w:hAnsi="宋体" w:eastAsia="宋体" w:cs="宋体"/>
          <w:sz w:val="24"/>
          <w:szCs w:val="24"/>
        </w:rPr>
      </w:pPr>
    </w:p>
    <w:p>
      <w:pPr>
        <w:pStyle w:val="15"/>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注: 1.如果投标人认为需要，每种货物填写一份该表。</w:t>
      </w:r>
    </w:p>
    <w:p>
      <w:pPr>
        <w:pStyle w:val="15"/>
        <w:spacing w:line="240" w:lineRule="atLeast"/>
        <w:ind w:left="1079" w:leftChars="428" w:hanging="180" w:hangingChars="75"/>
        <w:rPr>
          <w:rFonts w:hint="eastAsia" w:ascii="宋体" w:hAnsi="宋体" w:eastAsia="宋体" w:cs="宋体"/>
          <w:sz w:val="24"/>
          <w:szCs w:val="24"/>
        </w:rPr>
      </w:pPr>
      <w:r>
        <w:rPr>
          <w:rFonts w:hint="eastAsia" w:ascii="宋体" w:hAnsi="宋体" w:eastAsia="宋体" w:cs="宋体"/>
          <w:sz w:val="24"/>
          <w:szCs w:val="24"/>
        </w:rPr>
        <w:t>2.如果按单价计算的结果与总价不一致,以单价为准修正总价。</w:t>
      </w:r>
    </w:p>
    <w:p>
      <w:pPr>
        <w:pStyle w:val="15"/>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3.如果不提供详细分项报价将视为没有实质性响应招标文件。</w:t>
      </w:r>
    </w:p>
    <w:p>
      <w:pPr>
        <w:pStyle w:val="15"/>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4.上述各项的详细分项报价，应另页描述。</w:t>
      </w:r>
    </w:p>
    <w:p>
      <w:pPr>
        <w:pStyle w:val="15"/>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   5.如果开标一览表（报价表）内容与投标文件中明细表内容不一致的，以开标一览表（报价表）内容为准。</w:t>
      </w:r>
    </w:p>
    <w:p>
      <w:pPr>
        <w:pStyle w:val="15"/>
        <w:spacing w:line="240" w:lineRule="atLeast"/>
        <w:ind w:left="1080" w:leftChars="257" w:hanging="540"/>
        <w:jc w:val="center"/>
        <w:rPr>
          <w:rFonts w:hint="eastAsia" w:ascii="宋体" w:hAnsi="宋体" w:eastAsia="宋体" w:cs="宋体"/>
          <w:b/>
          <w:bCs/>
          <w:color w:val="auto"/>
          <w:sz w:val="24"/>
          <w:szCs w:val="24"/>
          <w:lang w:val="en-US" w:eastAsia="zh-CN"/>
        </w:rPr>
      </w:pPr>
    </w:p>
    <w:p>
      <w:pPr>
        <w:pStyle w:val="15"/>
        <w:spacing w:line="240" w:lineRule="atLeast"/>
        <w:ind w:left="1080" w:leftChars="257" w:hanging="540"/>
        <w:jc w:val="center"/>
        <w:rPr>
          <w:rFonts w:hint="eastAsia" w:ascii="宋体" w:hAnsi="宋体" w:eastAsia="宋体" w:cs="宋体"/>
          <w:b/>
          <w:bCs/>
          <w:color w:val="auto"/>
          <w:sz w:val="24"/>
          <w:szCs w:val="24"/>
          <w:lang w:val="en-US" w:eastAsia="zh-CN"/>
        </w:rPr>
      </w:pPr>
    </w:p>
    <w:p>
      <w:pPr>
        <w:pStyle w:val="15"/>
        <w:spacing w:line="240" w:lineRule="atLeast"/>
        <w:jc w:val="both"/>
        <w:rPr>
          <w:rFonts w:hint="eastAsia" w:ascii="宋体" w:hAnsi="宋体" w:eastAsia="宋体" w:cs="宋体"/>
          <w:b/>
          <w:bCs/>
          <w:color w:val="auto"/>
          <w:sz w:val="24"/>
          <w:szCs w:val="24"/>
          <w:lang w:val="en-US" w:eastAsia="zh-CN"/>
        </w:rPr>
      </w:pPr>
    </w:p>
    <w:p>
      <w:pPr>
        <w:pStyle w:val="15"/>
        <w:spacing w:line="240" w:lineRule="atLeast"/>
        <w:ind w:left="1080" w:leftChars="257" w:hanging="540"/>
        <w:jc w:val="center"/>
        <w:rPr>
          <w:rFonts w:hint="eastAsia" w:ascii="宋体" w:hAnsi="宋体" w:eastAsia="宋体" w:cs="宋体"/>
          <w:b/>
          <w:bCs/>
          <w:color w:val="auto"/>
          <w:sz w:val="24"/>
          <w:szCs w:val="24"/>
          <w:lang w:val="en-US" w:eastAsia="zh-CN"/>
        </w:rPr>
      </w:pPr>
    </w:p>
    <w:p>
      <w:pPr>
        <w:pStyle w:val="15"/>
        <w:spacing w:line="240" w:lineRule="atLeast"/>
        <w:ind w:left="1080" w:leftChars="257" w:hanging="54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备品备件分项报价清单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9"/>
        <w:gridCol w:w="639"/>
        <w:gridCol w:w="1606"/>
        <w:gridCol w:w="1925"/>
        <w:gridCol w:w="1532"/>
        <w:gridCol w:w="952"/>
        <w:gridCol w:w="1295"/>
        <w:gridCol w:w="1171"/>
        <w:gridCol w:w="1276"/>
        <w:gridCol w:w="148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序号</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名称</w:t>
            </w:r>
          </w:p>
        </w:tc>
        <w:tc>
          <w:tcPr>
            <w:tcW w:w="1925"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品牌</w:t>
            </w:r>
          </w:p>
        </w:tc>
        <w:tc>
          <w:tcPr>
            <w:tcW w:w="1532"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型号和规格</w:t>
            </w:r>
          </w:p>
        </w:tc>
        <w:tc>
          <w:tcPr>
            <w:tcW w:w="952"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数量</w:t>
            </w:r>
          </w:p>
        </w:tc>
        <w:tc>
          <w:tcPr>
            <w:tcW w:w="1295"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产地</w:t>
            </w:r>
          </w:p>
        </w:tc>
        <w:tc>
          <w:tcPr>
            <w:tcW w:w="1171"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制造商名称</w:t>
            </w:r>
          </w:p>
        </w:tc>
        <w:tc>
          <w:tcPr>
            <w:tcW w:w="127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单价</w:t>
            </w:r>
          </w:p>
        </w:tc>
        <w:tc>
          <w:tcPr>
            <w:tcW w:w="1485"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总价</w:t>
            </w:r>
          </w:p>
        </w:tc>
        <w:tc>
          <w:tcPr>
            <w:tcW w:w="1484"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restart"/>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eastAsia="zh-CN" w:bidi="ar"/>
              </w:rPr>
            </w:pPr>
            <w:r>
              <w:rPr>
                <w:rFonts w:hint="eastAsia" w:ascii="宋体" w:hAnsi="宋体" w:eastAsia="宋体" w:cs="宋体"/>
                <w:color w:val="000000"/>
                <w:kern w:val="0"/>
                <w:sz w:val="24"/>
                <w:szCs w:val="24"/>
                <w:highlight w:val="none"/>
                <w:shd w:val="clear" w:color="auto" w:fill="auto"/>
                <w:lang w:eastAsia="zh-CN" w:bidi="ar"/>
              </w:rPr>
              <w:t>质保期内免费设备</w:t>
            </w: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1</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2</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3</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6" w:hRule="atLeast"/>
        </w:trPr>
        <w:tc>
          <w:tcPr>
            <w:tcW w:w="639" w:type="dxa"/>
            <w:noWrap w:val="0"/>
            <w:vAlign w:val="center"/>
          </w:tcPr>
          <w:p>
            <w:pPr>
              <w:widowControl/>
              <w:shd w:val="clear" w:color="auto" w:fill="auto"/>
              <w:spacing w:line="240" w:lineRule="auto"/>
              <w:ind w:firstLine="480" w:firstLineChars="200"/>
              <w:textAlignment w:val="center"/>
              <w:rPr>
                <w:rFonts w:hint="eastAsia" w:ascii="宋体" w:hAnsi="宋体" w:eastAsia="宋体" w:cs="宋体"/>
                <w:color w:val="000000"/>
                <w:kern w:val="0"/>
                <w:sz w:val="24"/>
                <w:szCs w:val="24"/>
                <w:highlight w:val="none"/>
                <w:shd w:val="clear" w:color="auto" w:fill="auto"/>
                <w:lang w:bidi="ar"/>
              </w:rPr>
            </w:pPr>
          </w:p>
        </w:tc>
        <w:tc>
          <w:tcPr>
            <w:tcW w:w="10396" w:type="dxa"/>
            <w:gridSpan w:val="8"/>
            <w:noWrap w:val="0"/>
            <w:vAlign w:val="center"/>
          </w:tcPr>
          <w:p>
            <w:pPr>
              <w:widowControl/>
              <w:shd w:val="clear" w:color="auto" w:fill="auto"/>
              <w:spacing w:line="240" w:lineRule="auto"/>
              <w:ind w:firstLine="480" w:firstLineChars="200"/>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总价：</w:t>
            </w:r>
          </w:p>
        </w:tc>
        <w:tc>
          <w:tcPr>
            <w:tcW w:w="2969" w:type="dxa"/>
            <w:gridSpan w:val="2"/>
            <w:noWrap w:val="0"/>
            <w:vAlign w:val="center"/>
          </w:tcPr>
          <w:p>
            <w:pPr>
              <w:shd w:val="clear" w:color="auto" w:fill="auto"/>
              <w:spacing w:line="240" w:lineRule="auto"/>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restart"/>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eastAsia="zh-CN" w:bidi="ar"/>
              </w:rPr>
            </w:pPr>
            <w:r>
              <w:rPr>
                <w:rFonts w:hint="eastAsia" w:ascii="宋体" w:hAnsi="宋体" w:eastAsia="宋体" w:cs="宋体"/>
                <w:color w:val="000000"/>
                <w:kern w:val="0"/>
                <w:sz w:val="24"/>
                <w:szCs w:val="24"/>
                <w:highlight w:val="none"/>
                <w:shd w:val="clear" w:color="auto" w:fill="auto"/>
                <w:lang w:eastAsia="zh-CN" w:bidi="ar"/>
              </w:rPr>
              <w:t>质保期外设备报价</w:t>
            </w: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1</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2</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eastAsia="zh-CN"/>
              </w:rPr>
            </w:pPr>
            <w:r>
              <w:rPr>
                <w:rFonts w:hint="eastAsia" w:ascii="宋体" w:hAnsi="宋体" w:eastAsia="宋体" w:cs="宋体"/>
                <w:color w:val="000000"/>
                <w:kern w:val="0"/>
                <w:sz w:val="24"/>
                <w:szCs w:val="24"/>
                <w:highlight w:val="none"/>
                <w:shd w:val="clear" w:color="auto" w:fill="auto"/>
                <w:lang w:val="en-US" w:eastAsia="zh-CN" w:bidi="ar"/>
              </w:rPr>
              <w:t>3</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vMerge w:val="continue"/>
            <w:noWrap w:val="0"/>
            <w:vAlign w:val="center"/>
          </w:tcPr>
          <w:p>
            <w:pPr>
              <w:widowControl/>
              <w:shd w:val="clear" w:color="auto" w:fill="auto"/>
              <w:spacing w:line="240" w:lineRule="auto"/>
              <w:jc w:val="center"/>
              <w:textAlignment w:val="center"/>
              <w:rPr>
                <w:rFonts w:hint="eastAsia" w:ascii="宋体" w:hAnsi="宋体" w:eastAsia="宋体" w:cs="宋体"/>
                <w:color w:val="000000"/>
                <w:kern w:val="0"/>
                <w:sz w:val="24"/>
                <w:szCs w:val="24"/>
                <w:highlight w:val="none"/>
                <w:shd w:val="clear" w:color="auto" w:fill="auto"/>
                <w:lang w:val="en-US" w:eastAsia="zh-CN" w:bidi="ar"/>
              </w:rPr>
            </w:pPr>
          </w:p>
        </w:tc>
        <w:tc>
          <w:tcPr>
            <w:tcW w:w="639"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lang w:val="en-US" w:eastAsia="zh-CN"/>
              </w:rPr>
            </w:pPr>
            <w:r>
              <w:rPr>
                <w:rFonts w:hint="eastAsia" w:ascii="宋体" w:hAnsi="宋体" w:eastAsia="宋体" w:cs="宋体"/>
                <w:color w:val="000000"/>
                <w:sz w:val="24"/>
                <w:szCs w:val="24"/>
                <w:highlight w:val="none"/>
                <w:shd w:val="clear" w:color="auto" w:fill="auto"/>
                <w:lang w:val="en-US" w:eastAsia="zh-CN"/>
              </w:rPr>
              <w:t>...</w:t>
            </w:r>
          </w:p>
        </w:tc>
        <w:tc>
          <w:tcPr>
            <w:tcW w:w="1606" w:type="dxa"/>
            <w:noWrap w:val="0"/>
            <w:vAlign w:val="center"/>
          </w:tcPr>
          <w:p>
            <w:pPr>
              <w:widowControl/>
              <w:shd w:val="clear" w:color="auto" w:fill="auto"/>
              <w:spacing w:line="240" w:lineRule="auto"/>
              <w:jc w:val="center"/>
              <w:textAlignment w:val="center"/>
              <w:rPr>
                <w:rFonts w:hint="eastAsia" w:ascii="宋体" w:hAnsi="宋体" w:eastAsia="宋体" w:cs="宋体"/>
                <w:color w:val="000000"/>
                <w:sz w:val="24"/>
                <w:szCs w:val="24"/>
                <w:highlight w:val="none"/>
                <w:shd w:val="clear" w:color="auto" w:fill="auto"/>
              </w:rPr>
            </w:pPr>
          </w:p>
        </w:tc>
        <w:tc>
          <w:tcPr>
            <w:tcW w:w="192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53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952"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9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171"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276"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5"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c>
          <w:tcPr>
            <w:tcW w:w="1484" w:type="dxa"/>
            <w:noWrap w:val="0"/>
            <w:vAlign w:val="center"/>
          </w:tcPr>
          <w:p>
            <w:pPr>
              <w:shd w:val="clear" w:color="auto" w:fill="auto"/>
              <w:spacing w:line="240" w:lineRule="auto"/>
              <w:jc w:val="center"/>
              <w:rPr>
                <w:rFonts w:hint="eastAsia" w:ascii="宋体" w:hAnsi="宋体" w:eastAsia="宋体" w:cs="宋体"/>
                <w:color w:val="000000"/>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639" w:type="dxa"/>
            <w:noWrap w:val="0"/>
            <w:vAlign w:val="center"/>
          </w:tcPr>
          <w:p>
            <w:pPr>
              <w:widowControl/>
              <w:shd w:val="clear" w:color="auto" w:fill="auto"/>
              <w:spacing w:line="240" w:lineRule="auto"/>
              <w:ind w:firstLine="480" w:firstLineChars="200"/>
              <w:textAlignment w:val="center"/>
              <w:rPr>
                <w:rFonts w:hint="eastAsia" w:ascii="宋体" w:hAnsi="宋体" w:eastAsia="宋体" w:cs="宋体"/>
                <w:color w:val="000000"/>
                <w:kern w:val="0"/>
                <w:sz w:val="24"/>
                <w:szCs w:val="24"/>
                <w:highlight w:val="none"/>
                <w:shd w:val="clear" w:color="auto" w:fill="auto"/>
                <w:lang w:bidi="ar"/>
              </w:rPr>
            </w:pPr>
          </w:p>
        </w:tc>
        <w:tc>
          <w:tcPr>
            <w:tcW w:w="10396" w:type="dxa"/>
            <w:gridSpan w:val="8"/>
            <w:noWrap w:val="0"/>
            <w:vAlign w:val="center"/>
          </w:tcPr>
          <w:p>
            <w:pPr>
              <w:widowControl/>
              <w:shd w:val="clear" w:color="auto" w:fill="auto"/>
              <w:spacing w:line="240" w:lineRule="auto"/>
              <w:ind w:firstLine="480" w:firstLineChars="200"/>
              <w:textAlignment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kern w:val="0"/>
                <w:sz w:val="24"/>
                <w:szCs w:val="24"/>
                <w:highlight w:val="none"/>
                <w:shd w:val="clear" w:color="auto" w:fill="auto"/>
                <w:lang w:bidi="ar"/>
              </w:rPr>
              <w:t>总价</w:t>
            </w:r>
            <w:r>
              <w:rPr>
                <w:rFonts w:hint="eastAsia" w:ascii="宋体" w:hAnsi="宋体" w:eastAsia="宋体" w:cs="宋体"/>
                <w:color w:val="000000"/>
                <w:kern w:val="0"/>
                <w:sz w:val="24"/>
                <w:szCs w:val="24"/>
                <w:highlight w:val="none"/>
                <w:shd w:val="clear" w:color="auto" w:fill="auto"/>
                <w:lang w:eastAsia="zh-CN" w:bidi="ar"/>
              </w:rPr>
              <w:t>（质保期外设备报价）</w:t>
            </w:r>
            <w:r>
              <w:rPr>
                <w:rFonts w:hint="eastAsia" w:ascii="宋体" w:hAnsi="宋体" w:eastAsia="宋体" w:cs="宋体"/>
                <w:color w:val="000000"/>
                <w:kern w:val="0"/>
                <w:sz w:val="24"/>
                <w:szCs w:val="24"/>
                <w:highlight w:val="none"/>
                <w:shd w:val="clear" w:color="auto" w:fill="auto"/>
                <w:lang w:bidi="ar"/>
              </w:rPr>
              <w:t>：</w:t>
            </w:r>
          </w:p>
        </w:tc>
        <w:tc>
          <w:tcPr>
            <w:tcW w:w="2969" w:type="dxa"/>
            <w:gridSpan w:val="2"/>
            <w:noWrap w:val="0"/>
            <w:vAlign w:val="center"/>
          </w:tcPr>
          <w:p>
            <w:pPr>
              <w:shd w:val="clear" w:color="auto" w:fill="auto"/>
              <w:spacing w:line="240" w:lineRule="auto"/>
              <w:rPr>
                <w:rFonts w:hint="eastAsia" w:ascii="宋体" w:hAnsi="宋体" w:eastAsia="宋体" w:cs="宋体"/>
                <w:color w:val="000000"/>
                <w:sz w:val="24"/>
                <w:szCs w:val="24"/>
                <w:highlight w:val="none"/>
                <w:shd w:val="clear" w:color="auto" w:fill="auto"/>
              </w:rPr>
            </w:pPr>
          </w:p>
        </w:tc>
      </w:tr>
    </w:tbl>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 </w:t>
      </w:r>
    </w:p>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供应商法人或授权代表签字： （公章）盖章 </w:t>
      </w:r>
    </w:p>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 xml:space="preserve">日 期 ： </w:t>
      </w:r>
    </w:p>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 xml:space="preserve">注：1. 表格长度方向可做扩展根据需求可补充相关资料，但不可减少。 </w:t>
      </w:r>
    </w:p>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 xml:space="preserve">2、备品备件设备分项报价不合计于开标一览表总价，单独名列即可。 </w:t>
      </w:r>
    </w:p>
    <w:p>
      <w:pPr>
        <w:pStyle w:val="15"/>
        <w:spacing w:line="240" w:lineRule="atLeast"/>
        <w:rPr>
          <w:rFonts w:hint="eastAsia" w:ascii="宋体" w:hAnsi="宋体" w:eastAsia="宋体" w:cs="宋体"/>
          <w:sz w:val="24"/>
          <w:szCs w:val="24"/>
        </w:rPr>
      </w:pPr>
      <w:r>
        <w:rPr>
          <w:rFonts w:hint="eastAsia" w:ascii="宋体" w:hAnsi="宋体" w:eastAsia="宋体" w:cs="宋体"/>
          <w:sz w:val="24"/>
          <w:szCs w:val="24"/>
          <w:lang w:val="en-US" w:eastAsia="zh-CN"/>
        </w:rPr>
        <w:t>3、在设备维修和维护过程中，用来更换已经磨损，不能继续使用或损坏的零件和修复件。而为了缩短设备维修的停机维修时间，减少停机损失，供应质量优良的备件。备品备件分为两部分（1、质保期内免费的备品备件、2、质保期外备品备件报价）</w:t>
      </w:r>
    </w:p>
    <w:p>
      <w:pPr>
        <w:pStyle w:val="5"/>
        <w:rPr>
          <w:rFonts w:hint="eastAsia"/>
        </w:rPr>
        <w:sectPr>
          <w:pgSz w:w="16838" w:h="11906" w:orient="landscape"/>
          <w:pgMar w:top="1800" w:right="1440" w:bottom="1800" w:left="1440" w:header="851" w:footer="992" w:gutter="0"/>
          <w:pgNumType w:fmt="decimal"/>
          <w:cols w:space="425" w:num="1"/>
          <w:docGrid w:type="lines" w:linePitch="312" w:charSpace="0"/>
        </w:sectPr>
      </w:pPr>
    </w:p>
    <w:p>
      <w:pPr>
        <w:pStyle w:val="5"/>
      </w:pPr>
      <w:r>
        <w:rPr>
          <w:rFonts w:hint="eastAsia"/>
        </w:rPr>
        <w:t>3、</w:t>
      </w:r>
      <w:r>
        <w:rPr>
          <w:rFonts w:hint="eastAsia"/>
          <w:lang w:val="en-US" w:eastAsia="zh-CN"/>
        </w:rPr>
        <w:t>货物</w:t>
      </w:r>
      <w:r>
        <w:rPr>
          <w:rFonts w:hint="eastAsia"/>
        </w:rPr>
        <w:t>说明一览表</w:t>
      </w:r>
      <w:bookmarkEnd w:id="376"/>
      <w:r>
        <w:rPr>
          <w:rFonts w:hint="eastAsia"/>
        </w:rPr>
        <w:t>（响应文件格式八）</w:t>
      </w:r>
      <w:bookmarkEnd w:id="377"/>
      <w:bookmarkEnd w:id="378"/>
      <w:bookmarkEnd w:id="379"/>
      <w:bookmarkEnd w:id="380"/>
      <w:bookmarkEnd w:id="381"/>
      <w:bookmarkEnd w:id="382"/>
    </w:p>
    <w:p>
      <w:pPr>
        <w:pStyle w:val="15"/>
        <w:spacing w:line="440" w:lineRule="exact"/>
        <w:ind w:left="1080" w:leftChars="257" w:hanging="540"/>
        <w:rPr>
          <w:rFonts w:hAnsi="宋体" w:cs="宋体"/>
          <w:sz w:val="24"/>
        </w:rPr>
      </w:pPr>
    </w:p>
    <w:p>
      <w:pPr>
        <w:pStyle w:val="15"/>
        <w:spacing w:line="440" w:lineRule="exact"/>
        <w:ind w:left="1080" w:leftChars="257" w:hanging="540"/>
        <w:jc w:val="left"/>
        <w:rPr>
          <w:rFonts w:hAnsi="宋体" w:cs="宋体"/>
          <w:sz w:val="24"/>
        </w:rPr>
      </w:pPr>
      <w:r>
        <w:rPr>
          <w:rFonts w:hint="eastAsia" w:hAnsi="宋体" w:cs="宋体"/>
          <w:sz w:val="24"/>
        </w:rPr>
        <w:t xml:space="preserve">项目名称:                          采购编号:                                           </w:t>
      </w:r>
    </w:p>
    <w:p>
      <w:pPr>
        <w:pStyle w:val="15"/>
        <w:spacing w:line="440" w:lineRule="exact"/>
        <w:ind w:left="1080" w:leftChars="257" w:hanging="540"/>
        <w:rPr>
          <w:rFonts w:hAnsi="宋体" w:cs="宋体"/>
          <w:sz w:val="24"/>
        </w:rPr>
      </w:pPr>
    </w:p>
    <w:tbl>
      <w:tblPr>
        <w:tblStyle w:val="2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364"/>
        <w:gridCol w:w="1056"/>
        <w:gridCol w:w="1657"/>
        <w:gridCol w:w="3150"/>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序号</w:t>
            </w:r>
          </w:p>
        </w:tc>
        <w:tc>
          <w:tcPr>
            <w:tcW w:w="1980"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货物名称</w:t>
            </w:r>
          </w:p>
        </w:tc>
        <w:tc>
          <w:tcPr>
            <w:tcW w:w="2364"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rPr>
              <w:t>主要规格</w:t>
            </w:r>
            <w:r>
              <w:rPr>
                <w:rFonts w:hint="eastAsia" w:ascii="仿宋" w:hAnsi="仿宋" w:eastAsia="仿宋" w:cs="仿宋"/>
                <w:sz w:val="24"/>
                <w:highlight w:val="none"/>
                <w:shd w:val="clear" w:color="auto" w:fill="auto"/>
                <w:lang w:val="en-US" w:eastAsia="zh-CN"/>
              </w:rPr>
              <w:t>及型号</w:t>
            </w:r>
          </w:p>
        </w:tc>
        <w:tc>
          <w:tcPr>
            <w:tcW w:w="1056"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数量</w:t>
            </w:r>
          </w:p>
        </w:tc>
        <w:tc>
          <w:tcPr>
            <w:tcW w:w="1657"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交货期</w:t>
            </w:r>
          </w:p>
        </w:tc>
        <w:tc>
          <w:tcPr>
            <w:tcW w:w="3150"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是否有检测报告或合格证</w:t>
            </w:r>
          </w:p>
        </w:tc>
        <w:tc>
          <w:tcPr>
            <w:tcW w:w="1313" w:type="dxa"/>
            <w:noWrap w:val="0"/>
            <w:vAlign w:val="top"/>
          </w:tcPr>
          <w:p>
            <w:pPr>
              <w:pStyle w:val="15"/>
              <w:shd w:val="clear" w:color="auto" w:fill="auto"/>
              <w:spacing w:line="240" w:lineRule="atLeast"/>
              <w:jc w:val="center"/>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98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2364"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056"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657"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3150"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c>
          <w:tcPr>
            <w:tcW w:w="1313" w:type="dxa"/>
            <w:noWrap w:val="0"/>
            <w:vAlign w:val="top"/>
          </w:tcPr>
          <w:p>
            <w:pPr>
              <w:pStyle w:val="15"/>
              <w:shd w:val="clear" w:color="auto" w:fill="auto"/>
              <w:spacing w:line="240" w:lineRule="atLeast"/>
              <w:ind w:left="1080" w:leftChars="257" w:hanging="540"/>
              <w:rPr>
                <w:rFonts w:hint="eastAsia" w:ascii="仿宋" w:hAnsi="仿宋" w:eastAsia="仿宋" w:cs="仿宋"/>
                <w:sz w:val="24"/>
                <w:highlight w:val="none"/>
                <w:shd w:val="clear" w:color="auto" w:fill="auto"/>
              </w:rPr>
            </w:pPr>
          </w:p>
        </w:tc>
      </w:tr>
    </w:tbl>
    <w:p>
      <w:pPr>
        <w:pStyle w:val="15"/>
        <w:spacing w:line="440" w:lineRule="exact"/>
        <w:ind w:left="1080" w:leftChars="257" w:hanging="540"/>
        <w:rPr>
          <w:rFonts w:hAnsi="宋体" w:cs="宋体"/>
          <w:sz w:val="24"/>
        </w:rPr>
      </w:pPr>
    </w:p>
    <w:p>
      <w:pPr>
        <w:pStyle w:val="15"/>
        <w:spacing w:line="440" w:lineRule="exact"/>
        <w:ind w:left="1080" w:leftChars="257" w:hanging="540"/>
        <w:rPr>
          <w:rFonts w:hint="default" w:hAnsi="宋体" w:eastAsia="宋体" w:cs="宋体"/>
          <w:color w:val="auto"/>
          <w:sz w:val="24"/>
          <w:highlight w:val="none"/>
          <w:lang w:val="en-US" w:eastAsia="zh-CN"/>
        </w:rPr>
      </w:pPr>
      <w:r>
        <w:rPr>
          <w:rFonts w:hint="eastAsia" w:hAnsi="宋体" w:cs="宋体"/>
          <w:sz w:val="24"/>
        </w:rPr>
        <w:t>法定代</w:t>
      </w:r>
      <w:r>
        <w:rPr>
          <w:rFonts w:hint="eastAsia" w:hAnsi="宋体" w:cs="宋体"/>
          <w:color w:val="auto"/>
          <w:sz w:val="24"/>
          <w:highlight w:val="none"/>
        </w:rPr>
        <w:t>表人或委托代理人（签字）:</w:t>
      </w:r>
      <w:r>
        <w:rPr>
          <w:rFonts w:hint="eastAsia" w:hAnsi="宋体" w:cs="宋体"/>
          <w:color w:val="auto"/>
          <w:sz w:val="24"/>
          <w:highlight w:val="none"/>
          <w:u w:val="single"/>
        </w:rPr>
        <w:tab/>
      </w:r>
      <w:r>
        <w:rPr>
          <w:rFonts w:hint="eastAsia" w:hAnsi="宋体" w:cs="宋体"/>
          <w:color w:val="auto"/>
          <w:sz w:val="24"/>
          <w:highlight w:val="none"/>
          <w:u w:val="single"/>
          <w:lang w:val="en-US" w:eastAsia="zh-CN"/>
        </w:rPr>
        <w:t xml:space="preserve">      </w:t>
      </w:r>
    </w:p>
    <w:p>
      <w:pPr>
        <w:pStyle w:val="15"/>
        <w:tabs>
          <w:tab w:val="left" w:pos="537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spacing w:line="400" w:lineRule="exact"/>
        <w:rPr>
          <w:rFonts w:hAnsi="宋体" w:cs="宋体"/>
          <w:b/>
          <w:bCs/>
          <w:color w:val="FF0000"/>
          <w:sz w:val="24"/>
          <w:highlight w:val="none"/>
        </w:rPr>
        <w:sectPr>
          <w:pgSz w:w="16838" w:h="11906" w:orient="landscape"/>
          <w:pgMar w:top="1800" w:right="1440" w:bottom="1800" w:left="1440" w:header="851" w:footer="992" w:gutter="0"/>
          <w:pgNumType w:fmt="decimal"/>
          <w:cols w:space="425" w:num="1"/>
          <w:docGrid w:type="lines" w:linePitch="312" w:charSpace="0"/>
        </w:sectPr>
      </w:pPr>
      <w:r>
        <w:rPr>
          <w:rFonts w:hint="eastAsia" w:hAnsi="宋体" w:cs="宋体"/>
          <w:b/>
          <w:bCs/>
          <w:color w:val="auto"/>
          <w:sz w:val="24"/>
          <w:highlight w:val="none"/>
        </w:rPr>
        <w:t xml:space="preserve">注: </w:t>
      </w:r>
      <w:bookmarkStart w:id="383" w:name="_Toc4239_WPSOffice_Level2"/>
      <w:bookmarkStart w:id="384" w:name="_Toc27496_WPSOffice_Level2"/>
      <w:bookmarkStart w:id="385" w:name="_Toc22690_WPSOffice_Level2"/>
      <w:r>
        <w:rPr>
          <w:rFonts w:hint="eastAsia" w:ascii="宋体" w:hAnsi="宋体" w:eastAsia="宋体" w:cs="宋体"/>
          <w:b/>
          <w:bCs/>
          <w:color w:val="auto"/>
          <w:sz w:val="24"/>
          <w:szCs w:val="24"/>
          <w:highlight w:val="none"/>
        </w:rPr>
        <w:t>此表需详列</w:t>
      </w:r>
      <w:r>
        <w:rPr>
          <w:rFonts w:hint="eastAsia" w:hAnsi="宋体" w:cs="宋体"/>
          <w:b/>
          <w:bCs/>
          <w:color w:val="auto"/>
          <w:sz w:val="24"/>
          <w:highlight w:val="none"/>
        </w:rPr>
        <w:t>各项</w:t>
      </w:r>
      <w:r>
        <w:rPr>
          <w:rFonts w:hint="eastAsia" w:ascii="宋体" w:hAnsi="宋体" w:eastAsia="宋体" w:cs="宋体"/>
          <w:b/>
          <w:bCs/>
          <w:color w:val="auto"/>
          <w:sz w:val="24"/>
          <w:szCs w:val="24"/>
          <w:highlight w:val="none"/>
        </w:rPr>
        <w:t>投标产品规格技术参数及性能要求详述；后附所投产品的扫描件或复印件（资料中应能简要反映出产品的规格型号、主要技术参数及性能说明有关投标产品的检测报告或产品鉴定证书、验收标准等附投标产品的证明文件、检测报告或产品鉴定证书的扫描复印件(并加盖投标供应商章)相关证明资料等）。</w:t>
      </w:r>
    </w:p>
    <w:p>
      <w:pPr>
        <w:pStyle w:val="15"/>
        <w:spacing w:line="240" w:lineRule="atLeast"/>
        <w:jc w:val="center"/>
        <w:outlineLvl w:val="2"/>
        <w:rPr>
          <w:rFonts w:hint="eastAsia" w:ascii="Arial" w:hAnsi="Arial" w:eastAsia="黑体" w:cs="Times New Roman"/>
          <w:b/>
          <w:kern w:val="0"/>
          <w:sz w:val="30"/>
          <w:szCs w:val="20"/>
          <w:lang w:val="en-US" w:eastAsia="zh-CN" w:bidi="ar-SA"/>
        </w:rPr>
      </w:pPr>
      <w:bookmarkStart w:id="386" w:name="_Toc22563"/>
      <w:bookmarkStart w:id="387" w:name="_Toc28959"/>
      <w:bookmarkStart w:id="388" w:name="_Toc2428"/>
      <w:bookmarkStart w:id="389" w:name="_Toc515647820"/>
      <w:bookmarkStart w:id="390" w:name="_Toc216582817"/>
      <w:r>
        <w:rPr>
          <w:rFonts w:hint="eastAsia" w:ascii="Arial" w:hAnsi="Arial" w:eastAsia="黑体" w:cs="Times New Roman"/>
          <w:b/>
          <w:kern w:val="0"/>
          <w:sz w:val="30"/>
          <w:szCs w:val="20"/>
          <w:lang w:val="en-US" w:eastAsia="zh-CN" w:bidi="ar-SA"/>
        </w:rPr>
        <w:t>4、技术规格偏离表</w:t>
      </w:r>
      <w:bookmarkEnd w:id="386"/>
      <w:bookmarkEnd w:id="387"/>
      <w:bookmarkEnd w:id="388"/>
      <w:bookmarkEnd w:id="389"/>
      <w:bookmarkEnd w:id="390"/>
    </w:p>
    <w:p>
      <w:pPr>
        <w:pStyle w:val="15"/>
        <w:spacing w:line="240" w:lineRule="atLeast"/>
        <w:jc w:val="center"/>
        <w:rPr>
          <w:rFonts w:hint="eastAsia" w:ascii="仿宋" w:hAnsi="仿宋" w:eastAsia="仿宋" w:cs="仿宋"/>
          <w:sz w:val="24"/>
        </w:rPr>
      </w:pPr>
    </w:p>
    <w:p>
      <w:pPr>
        <w:pStyle w:val="15"/>
        <w:spacing w:line="240" w:lineRule="atLeast"/>
        <w:jc w:val="center"/>
        <w:rPr>
          <w:rFonts w:hint="eastAsia" w:ascii="仿宋" w:hAnsi="仿宋" w:eastAsia="仿宋" w:cs="仿宋"/>
          <w:sz w:val="24"/>
        </w:rPr>
      </w:pPr>
    </w:p>
    <w:p>
      <w:pPr>
        <w:pStyle w:val="15"/>
        <w:spacing w:line="240" w:lineRule="atLeast"/>
        <w:rPr>
          <w:rFonts w:hint="eastAsia" w:ascii="仿宋" w:hAnsi="仿宋" w:eastAsia="仿宋" w:cs="仿宋"/>
          <w:sz w:val="24"/>
        </w:rPr>
      </w:pPr>
      <w:r>
        <w:rPr>
          <w:rFonts w:hint="eastAsia" w:ascii="仿宋" w:hAnsi="仿宋" w:eastAsia="仿宋" w:cs="仿宋"/>
          <w:sz w:val="24"/>
        </w:rPr>
        <w:t>项目名称:                       招标编号:                 包号:</w:t>
      </w:r>
    </w:p>
    <w:p>
      <w:pPr>
        <w:pStyle w:val="15"/>
        <w:spacing w:line="240" w:lineRule="atLeast"/>
        <w:ind w:left="1080" w:leftChars="257" w:hanging="540"/>
        <w:rPr>
          <w:rFonts w:hint="eastAsia" w:ascii="仿宋" w:hAnsi="仿宋" w:eastAsia="仿宋" w:cs="仿宋"/>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货物名称</w:t>
            </w:r>
          </w:p>
        </w:tc>
        <w:tc>
          <w:tcPr>
            <w:tcW w:w="2340" w:type="dxa"/>
            <w:noWrap w:val="0"/>
            <w:vAlign w:val="center"/>
          </w:tcPr>
          <w:p>
            <w:pPr>
              <w:pStyle w:val="15"/>
              <w:spacing w:line="240" w:lineRule="atLeast"/>
              <w:ind w:left="269" w:leftChars="128"/>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招标文件条款号</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招标规格</w:t>
            </w:r>
          </w:p>
        </w:tc>
        <w:tc>
          <w:tcPr>
            <w:tcW w:w="126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投标规格</w:t>
            </w:r>
          </w:p>
        </w:tc>
        <w:tc>
          <w:tcPr>
            <w:tcW w:w="90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偏离</w:t>
            </w:r>
          </w:p>
        </w:tc>
        <w:tc>
          <w:tcPr>
            <w:tcW w:w="900" w:type="dxa"/>
            <w:noWrap w:val="0"/>
            <w:vAlign w:val="center"/>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bl>
    <w:p>
      <w:pPr>
        <w:spacing w:line="440" w:lineRule="exact"/>
        <w:jc w:val="left"/>
        <w:rPr>
          <w:rFonts w:hint="default" w:ascii="宋体" w:hAnsi="宋体" w:cs="宋体"/>
          <w:b/>
          <w:bCs/>
          <w:color w:val="auto"/>
          <w:sz w:val="24"/>
          <w:lang w:val="en-US" w:eastAsia="zh-CN"/>
        </w:rPr>
      </w:pPr>
      <w:r>
        <w:rPr>
          <w:rFonts w:hint="eastAsia" w:ascii="宋体" w:hAnsi="宋体" w:cs="宋体"/>
          <w:b/>
          <w:bCs/>
          <w:color w:val="auto"/>
          <w:sz w:val="24"/>
          <w:lang w:val="en-US" w:eastAsia="zh-CN"/>
        </w:rPr>
        <w:t>注：带星号★的参数均为该产品的最高要求标准，可产生负偏离。</w:t>
      </w:r>
    </w:p>
    <w:p>
      <w:pPr>
        <w:pStyle w:val="15"/>
        <w:spacing w:line="240" w:lineRule="atLeast"/>
        <w:ind w:left="1080" w:leftChars="257" w:hanging="540"/>
        <w:rPr>
          <w:rFonts w:hint="eastAsia" w:ascii="宋体" w:hAnsi="宋体" w:eastAsia="宋体" w:cs="宋体"/>
          <w:sz w:val="24"/>
        </w:rPr>
      </w:pPr>
    </w:p>
    <w:p>
      <w:pPr>
        <w:pStyle w:val="15"/>
        <w:spacing w:line="240" w:lineRule="atLeast"/>
        <w:ind w:left="1080" w:leftChars="257" w:hanging="540"/>
        <w:rPr>
          <w:rFonts w:hint="eastAsia"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pStyle w:val="15"/>
        <w:tabs>
          <w:tab w:val="left" w:pos="5370"/>
        </w:tabs>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投标人(盖单位章):</w:t>
      </w:r>
      <w:r>
        <w:rPr>
          <w:rFonts w:hint="eastAsia" w:ascii="宋体" w:hAnsi="宋体" w:eastAsia="宋体" w:cs="宋体"/>
          <w:sz w:val="24"/>
          <w:szCs w:val="24"/>
          <w:u w:val="single"/>
        </w:rPr>
        <w:tab/>
      </w:r>
    </w:p>
    <w:p>
      <w:pPr>
        <w:pStyle w:val="15"/>
        <w:tabs>
          <w:tab w:val="left" w:pos="5580"/>
        </w:tabs>
        <w:spacing w:line="240" w:lineRule="atLeast"/>
        <w:ind w:left="1080" w:leftChars="257" w:hanging="540"/>
        <w:jc w:val="center"/>
        <w:outlineLvl w:val="2"/>
        <w:rPr>
          <w:rFonts w:hint="eastAsia" w:ascii="仿宋" w:hAnsi="仿宋" w:eastAsia="仿宋" w:cs="仿宋"/>
          <w:sz w:val="24"/>
          <w:highlight w:val="none"/>
        </w:rPr>
      </w:pPr>
      <w:r>
        <w:rPr>
          <w:rFonts w:hint="eastAsia" w:ascii="仿宋" w:hAnsi="仿宋" w:eastAsia="仿宋" w:cs="仿宋"/>
          <w:sz w:val="24"/>
          <w:u w:val="single"/>
        </w:rPr>
        <w:br w:type="page"/>
      </w:r>
      <w:bookmarkStart w:id="391" w:name="_Toc515647821"/>
      <w:bookmarkStart w:id="392" w:name="_Toc23"/>
      <w:bookmarkStart w:id="393" w:name="_Toc216582818"/>
      <w:bookmarkStart w:id="394" w:name="_Toc1980"/>
      <w:bookmarkStart w:id="395" w:name="_Toc32025"/>
      <w:r>
        <w:rPr>
          <w:rFonts w:hint="eastAsia" w:ascii="黑体" w:hAnsi="黑体" w:eastAsia="黑体" w:cs="黑体"/>
          <w:b/>
          <w:bCs/>
          <w:sz w:val="30"/>
          <w:szCs w:val="30"/>
          <w:highlight w:val="none"/>
          <w:lang w:val="en-US" w:eastAsia="zh-CN"/>
        </w:rPr>
        <w:t>5、</w:t>
      </w:r>
      <w:r>
        <w:rPr>
          <w:rFonts w:hint="eastAsia" w:ascii="黑体" w:hAnsi="黑体" w:eastAsia="黑体" w:cs="黑体"/>
          <w:b/>
          <w:bCs/>
          <w:sz w:val="30"/>
          <w:szCs w:val="30"/>
          <w:highlight w:val="none"/>
        </w:rPr>
        <w:t>商务条款偏离表</w:t>
      </w:r>
      <w:bookmarkEnd w:id="391"/>
      <w:bookmarkEnd w:id="392"/>
      <w:bookmarkEnd w:id="393"/>
      <w:bookmarkEnd w:id="394"/>
      <w:bookmarkEnd w:id="395"/>
    </w:p>
    <w:p>
      <w:pPr>
        <w:pStyle w:val="15"/>
        <w:tabs>
          <w:tab w:val="left" w:pos="5580"/>
        </w:tabs>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项目名称:                      招标编号:             包号:</w:t>
      </w:r>
    </w:p>
    <w:p>
      <w:pPr>
        <w:pStyle w:val="15"/>
        <w:spacing w:line="240" w:lineRule="atLeast"/>
        <w:ind w:left="1080" w:leftChars="257" w:hanging="540"/>
        <w:rPr>
          <w:rFonts w:hint="eastAsia" w:ascii="仿宋" w:hAnsi="仿宋" w:eastAsia="仿宋" w:cs="仿宋"/>
          <w:sz w:val="24"/>
        </w:rPr>
      </w:pPr>
    </w:p>
    <w:tbl>
      <w:tblPr>
        <w:tblStyle w:val="2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3822"/>
        <w:gridCol w:w="984"/>
        <w:gridCol w:w="945"/>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70" w:type="dxa"/>
            <w:noWrap w:val="0"/>
            <w:vAlign w:val="top"/>
          </w:tcPr>
          <w:p>
            <w:pPr>
              <w:pStyle w:val="15"/>
              <w:spacing w:line="240" w:lineRule="atLeast"/>
              <w:jc w:val="center"/>
              <w:rPr>
                <w:rFonts w:hint="eastAsia" w:ascii="仿宋" w:hAnsi="仿宋" w:eastAsia="仿宋" w:cs="仿宋"/>
                <w:sz w:val="22"/>
                <w:szCs w:val="18"/>
                <w:lang w:val="en-US" w:eastAsia="zh-CN"/>
              </w:rPr>
            </w:pPr>
          </w:p>
          <w:p>
            <w:pPr>
              <w:pStyle w:val="15"/>
              <w:spacing w:line="240" w:lineRule="atLeast"/>
              <w:jc w:val="center"/>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序号</w:t>
            </w:r>
          </w:p>
        </w:tc>
        <w:tc>
          <w:tcPr>
            <w:tcW w:w="3822" w:type="dxa"/>
            <w:noWrap w:val="0"/>
            <w:vAlign w:val="top"/>
          </w:tcPr>
          <w:p>
            <w:pPr>
              <w:pStyle w:val="15"/>
              <w:spacing w:line="240" w:lineRule="atLeast"/>
              <w:jc w:val="center"/>
              <w:rPr>
                <w:rFonts w:hint="eastAsia" w:ascii="仿宋" w:hAnsi="仿宋" w:eastAsia="仿宋" w:cs="仿宋"/>
                <w:sz w:val="22"/>
                <w:szCs w:val="18"/>
                <w:lang w:val="en-US" w:eastAsia="zh-CN"/>
              </w:rPr>
            </w:pPr>
          </w:p>
          <w:p>
            <w:pPr>
              <w:pStyle w:val="15"/>
              <w:spacing w:line="240" w:lineRule="atLeast"/>
              <w:jc w:val="center"/>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招标文件条款号</w:t>
            </w:r>
          </w:p>
        </w:tc>
        <w:tc>
          <w:tcPr>
            <w:tcW w:w="984" w:type="dxa"/>
            <w:noWrap w:val="0"/>
            <w:vAlign w:val="top"/>
          </w:tcPr>
          <w:p>
            <w:pPr>
              <w:pStyle w:val="15"/>
              <w:spacing w:line="240" w:lineRule="atLeast"/>
              <w:jc w:val="center"/>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招标文件的商务条款</w:t>
            </w:r>
          </w:p>
        </w:tc>
        <w:tc>
          <w:tcPr>
            <w:tcW w:w="945" w:type="dxa"/>
            <w:noWrap w:val="0"/>
            <w:vAlign w:val="top"/>
          </w:tcPr>
          <w:p>
            <w:pPr>
              <w:pStyle w:val="15"/>
              <w:spacing w:line="240" w:lineRule="atLeast"/>
              <w:jc w:val="center"/>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投标文件的商务条款</w:t>
            </w:r>
          </w:p>
        </w:tc>
        <w:tc>
          <w:tcPr>
            <w:tcW w:w="595" w:type="dxa"/>
            <w:noWrap w:val="0"/>
            <w:vAlign w:val="top"/>
          </w:tcPr>
          <w:p>
            <w:pPr>
              <w:pStyle w:val="15"/>
              <w:spacing w:line="240" w:lineRule="atLeast"/>
              <w:jc w:val="center"/>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left"/>
              <w:rPr>
                <w:rFonts w:hint="eastAsia" w:ascii="宋体" w:hAnsi="宋体" w:eastAsia="宋体" w:cs="宋体"/>
                <w:b/>
                <w:kern w:val="0"/>
                <w:sz w:val="20"/>
                <w:szCs w:val="20"/>
                <w:lang w:val="en-US" w:eastAsia="zh-CN" w:bidi="ar-SA"/>
              </w:rPr>
            </w:pPr>
            <w:r>
              <w:rPr>
                <w:rFonts w:hint="eastAsia" w:ascii="宋体" w:hAnsi="宋体" w:eastAsia="宋体" w:cs="宋体"/>
                <w:b/>
                <w:kern w:val="0"/>
                <w:sz w:val="16"/>
                <w:szCs w:val="16"/>
              </w:rPr>
              <w:t>招标文件条款（投标人须知、投标人须知资料表条款号）</w:t>
            </w:r>
          </w:p>
        </w:tc>
        <w:tc>
          <w:tcPr>
            <w:tcW w:w="3822" w:type="dxa"/>
            <w:noWrap w:val="0"/>
            <w:vAlign w:val="center"/>
          </w:tcPr>
          <w:p>
            <w:pPr>
              <w:widowControl/>
              <w:jc w:val="center"/>
              <w:rPr>
                <w:rFonts w:hint="eastAsia" w:ascii="宋体" w:hAnsi="宋体" w:eastAsia="宋体" w:cs="宋体"/>
                <w:b/>
                <w:kern w:val="0"/>
                <w:sz w:val="20"/>
                <w:szCs w:val="20"/>
                <w:lang w:val="en-US" w:eastAsia="zh-CN" w:bidi="ar-SA"/>
              </w:rPr>
            </w:pPr>
            <w:r>
              <w:rPr>
                <w:rFonts w:hint="eastAsia" w:ascii="宋体" w:hAnsi="宋体" w:eastAsia="宋体" w:cs="宋体"/>
                <w:b/>
                <w:kern w:val="0"/>
                <w:sz w:val="20"/>
                <w:szCs w:val="20"/>
              </w:rPr>
              <w:t>本项目要求</w:t>
            </w:r>
          </w:p>
        </w:tc>
        <w:tc>
          <w:tcPr>
            <w:tcW w:w="984" w:type="dxa"/>
            <w:noWrap w:val="0"/>
            <w:vAlign w:val="top"/>
          </w:tcPr>
          <w:p>
            <w:pPr>
              <w:pStyle w:val="15"/>
              <w:spacing w:line="240" w:lineRule="atLeast"/>
              <w:ind w:left="1080" w:leftChars="257" w:hanging="540"/>
              <w:jc w:val="center"/>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jc w:val="center"/>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中小企业投标要求（1.3.5）</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本项目</w:t>
            </w:r>
            <w:r>
              <w:rPr>
                <w:rFonts w:hint="eastAsia" w:ascii="宋体" w:hAnsi="宋体" w:eastAsia="宋体" w:cs="宋体"/>
                <w:i/>
                <w:kern w:val="0"/>
                <w:sz w:val="20"/>
                <w:szCs w:val="20"/>
                <w:u w:val="single"/>
              </w:rPr>
              <w:t>适用</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联合体投标规定</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（1.4）</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本项目</w:t>
            </w:r>
            <w:r>
              <w:rPr>
                <w:rFonts w:hint="eastAsia" w:ascii="宋体" w:hAnsi="宋体" w:eastAsia="宋体" w:cs="宋体"/>
                <w:i/>
                <w:kern w:val="0"/>
                <w:sz w:val="20"/>
                <w:szCs w:val="20"/>
                <w:u w:val="single"/>
              </w:rPr>
              <w:t>不接受联合体投标</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投标人的关联性</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（1.5）</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 xml:space="preserve">在同一标包内，单位负责人非同一人或者不存在直接控股、管理关系的不同供应商。 </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未参与其他服务</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（1.6）</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未为本项目提供整体设计、规范编制或者项目管理、监理、检测等服务。</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未发现影响采购人决策行为（1.7）</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投标人在投标过程中未向采购人提供、给予任何有价值的物品，影响其正常决策行为。</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满足投标范围的完整性要求</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（8.1）</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 xml:space="preserve">投标人对所投分包招标文件中所列的所有服务内容进行投标。 </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未包含价格调整要求</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（11.4）</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投标人所报的各分项投标报价在合同履行过程中是固定不变的，不得以任何理由予以变更。</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投标保证金（12.1）</w:t>
            </w:r>
          </w:p>
        </w:tc>
        <w:tc>
          <w:tcPr>
            <w:tcW w:w="3822" w:type="dxa"/>
            <w:noWrap w:val="0"/>
            <w:vAlign w:val="center"/>
          </w:tcPr>
          <w:p>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符合招标文件要求</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投标有效期满足要求</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（13.1）</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自提交投标文件截止之日起</w:t>
            </w:r>
            <w:r>
              <w:rPr>
                <w:rFonts w:hint="eastAsia" w:ascii="宋体" w:hAnsi="宋体" w:eastAsia="宋体" w:cs="宋体"/>
                <w:sz w:val="20"/>
                <w:szCs w:val="20"/>
                <w:u w:val="single"/>
              </w:rPr>
              <w:t xml:space="preserve">  90日</w:t>
            </w:r>
            <w:r>
              <w:rPr>
                <w:rFonts w:hint="eastAsia" w:ascii="宋体" w:hAnsi="宋体" w:eastAsia="宋体" w:cs="宋体"/>
                <w:sz w:val="20"/>
                <w:szCs w:val="20"/>
              </w:rPr>
              <w:t>历日内</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投标文件的签署和盖章符合要求</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（14.2、14.4）</w:t>
            </w:r>
          </w:p>
        </w:tc>
        <w:tc>
          <w:tcPr>
            <w:tcW w:w="3822" w:type="dxa"/>
            <w:noWrap w:val="0"/>
            <w:vAlign w:val="center"/>
          </w:tcPr>
          <w:p>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按照招标文件规定要求签署、盖章。</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接受价格的算术修正</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（20.2）</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投标文件报价出现前后不一致的，应按照招标文件规定的顺序修正。</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符合强制采购节能产品要求</w:t>
            </w:r>
          </w:p>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（20.3）</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本项目</w:t>
            </w:r>
            <w:r>
              <w:rPr>
                <w:rFonts w:hint="eastAsia" w:ascii="宋体" w:hAnsi="宋体" w:eastAsia="宋体" w:cs="宋体"/>
                <w:i/>
                <w:kern w:val="0"/>
                <w:sz w:val="20"/>
                <w:szCs w:val="20"/>
                <w:u w:val="single"/>
              </w:rPr>
              <w:t>适用</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未发现串通投标（22.2）</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未与其他投标人串通投标，或者与招标人串通投标。</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报价说明可以接受（22.2）</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投标人的报价明显低于其他通过符合性审查投标人的报价，有可能影响履约的，投标人能按照规定证明其报价合理性。</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370"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无采购人不能接受的附加条件（22.2）</w:t>
            </w:r>
          </w:p>
        </w:tc>
        <w:tc>
          <w:tcPr>
            <w:tcW w:w="3822" w:type="dxa"/>
            <w:noWrap w:val="0"/>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 xml:space="preserve">投标文件未含有采购人不能接受的附加条件。 </w:t>
            </w:r>
          </w:p>
        </w:tc>
        <w:tc>
          <w:tcPr>
            <w:tcW w:w="984"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94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c>
          <w:tcPr>
            <w:tcW w:w="595" w:type="dxa"/>
            <w:noWrap w:val="0"/>
            <w:vAlign w:val="top"/>
          </w:tcPr>
          <w:p>
            <w:pPr>
              <w:pStyle w:val="15"/>
              <w:spacing w:line="240" w:lineRule="atLeast"/>
              <w:ind w:left="1080" w:leftChars="257" w:hanging="540"/>
              <w:rPr>
                <w:rFonts w:hint="eastAsia" w:ascii="仿宋" w:hAnsi="仿宋" w:eastAsia="仿宋" w:cs="仿宋"/>
                <w:sz w:val="22"/>
                <w:szCs w:val="18"/>
                <w:lang w:val="en-US" w:eastAsia="zh-CN"/>
              </w:rPr>
            </w:pPr>
          </w:p>
        </w:tc>
      </w:tr>
    </w:tbl>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p>
    <w:p>
      <w:pPr>
        <w:pStyle w:val="15"/>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5"/>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5"/>
        <w:numPr>
          <w:ilvl w:val="0"/>
          <w:numId w:val="0"/>
        </w:numPr>
        <w:jc w:val="both"/>
        <w:rPr>
          <w:rFonts w:hint="eastAsia"/>
          <w:kern w:val="2"/>
          <w:lang w:val="en-US" w:eastAsia="zh-CN"/>
        </w:rPr>
      </w:pPr>
      <w:bookmarkStart w:id="396" w:name="_Toc29713"/>
    </w:p>
    <w:p>
      <w:pPr>
        <w:pStyle w:val="5"/>
        <w:numPr>
          <w:ilvl w:val="0"/>
          <w:numId w:val="0"/>
        </w:numPr>
        <w:jc w:val="center"/>
        <w:rPr>
          <w:kern w:val="2"/>
        </w:rPr>
      </w:pPr>
      <w:r>
        <w:rPr>
          <w:rFonts w:hint="eastAsia"/>
          <w:kern w:val="2"/>
          <w:lang w:val="en-US" w:eastAsia="zh-CN"/>
        </w:rPr>
        <w:t>6、</w:t>
      </w:r>
      <w:r>
        <w:rPr>
          <w:rFonts w:hint="eastAsia"/>
          <w:kern w:val="2"/>
        </w:rPr>
        <w:t>近三年</w:t>
      </w:r>
      <w:r>
        <w:rPr>
          <w:rFonts w:hint="eastAsia" w:hAnsi="宋体" w:cs="宋体"/>
        </w:rPr>
        <w:t>投标人</w:t>
      </w:r>
      <w:r>
        <w:rPr>
          <w:rFonts w:hint="eastAsia" w:hAnsi="宋体" w:cs="宋体"/>
          <w:lang w:eastAsia="zh-CN"/>
        </w:rPr>
        <w:t>（</w:t>
      </w:r>
      <w:r>
        <w:rPr>
          <w:rFonts w:hint="eastAsia" w:hAnsi="宋体" w:cs="宋体"/>
          <w:lang w:val="en-US" w:eastAsia="zh-CN"/>
        </w:rPr>
        <w:t>或</w:t>
      </w:r>
      <w:r>
        <w:rPr>
          <w:rFonts w:hint="eastAsia" w:hAnsi="宋体" w:cs="宋体"/>
        </w:rPr>
        <w:t>产品供应商</w:t>
      </w:r>
      <w:r>
        <w:rPr>
          <w:rFonts w:hint="eastAsia" w:hAnsi="宋体" w:cs="宋体"/>
          <w:lang w:eastAsia="zh-CN"/>
        </w:rPr>
        <w:t>）</w:t>
      </w:r>
      <w:r>
        <w:rPr>
          <w:rFonts w:hint="eastAsia"/>
          <w:kern w:val="2"/>
        </w:rPr>
        <w:t>完成的类似项目情况表</w:t>
      </w:r>
      <w:bookmarkEnd w:id="383"/>
      <w:bookmarkEnd w:id="384"/>
      <w:bookmarkEnd w:id="385"/>
      <w:bookmarkEnd w:id="396"/>
      <w:r>
        <w:rPr>
          <w:rFonts w:hint="eastAsia"/>
        </w:rPr>
        <w:t>（响应文件格式</w:t>
      </w:r>
      <w:r>
        <w:rPr>
          <w:rFonts w:hint="eastAsia"/>
          <w:lang w:val="en-US" w:eastAsia="zh-CN"/>
        </w:rPr>
        <w:t>九</w:t>
      </w:r>
      <w:r>
        <w:rPr>
          <w:rFonts w:hint="eastAsia"/>
        </w:rPr>
        <w:t>）</w:t>
      </w:r>
    </w:p>
    <w:p>
      <w:pPr>
        <w:pStyle w:val="15"/>
        <w:rPr>
          <w:color w:val="auto"/>
        </w:rPr>
      </w:pPr>
      <w:r>
        <w:rPr>
          <w:rFonts w:hint="eastAsia" w:hAnsi="宋体" w:cs="宋体"/>
          <w:b/>
          <w:bCs/>
          <w:color w:val="auto"/>
          <w:sz w:val="24"/>
        </w:rPr>
        <w:t>投标人</w:t>
      </w:r>
      <w:r>
        <w:rPr>
          <w:rFonts w:hint="eastAsia" w:hAnsi="宋体" w:cs="宋体"/>
          <w:b/>
          <w:bCs/>
          <w:color w:val="auto"/>
          <w:sz w:val="24"/>
          <w:lang w:eastAsia="zh-CN"/>
        </w:rPr>
        <w:t>（</w:t>
      </w:r>
      <w:r>
        <w:rPr>
          <w:rFonts w:hint="eastAsia" w:hAnsi="宋体" w:cs="宋体"/>
          <w:b/>
          <w:bCs/>
          <w:color w:val="auto"/>
          <w:sz w:val="24"/>
          <w:lang w:val="en-US" w:eastAsia="zh-CN"/>
        </w:rPr>
        <w:t>或产品供应商）</w:t>
      </w:r>
      <w:r>
        <w:rPr>
          <w:rFonts w:hint="eastAsia" w:hAnsi="宋体" w:cs="宋体"/>
          <w:b/>
          <w:bCs/>
          <w:color w:val="auto"/>
          <w:sz w:val="24"/>
        </w:rPr>
        <w:t>业绩</w:t>
      </w: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序号</w:t>
            </w:r>
          </w:p>
        </w:tc>
        <w:tc>
          <w:tcPr>
            <w:tcW w:w="2068" w:type="dxa"/>
            <w:vAlign w:val="center"/>
          </w:tcPr>
          <w:p>
            <w:pPr>
              <w:spacing w:line="440" w:lineRule="exact"/>
              <w:rPr>
                <w:rFonts w:ascii="宋体" w:hAnsi="宋体" w:cs="宋体"/>
                <w:sz w:val="24"/>
                <w:szCs w:val="20"/>
              </w:rPr>
            </w:pPr>
            <w:r>
              <w:rPr>
                <w:rFonts w:hint="eastAsia" w:ascii="宋体" w:hAnsi="宋体" w:cs="宋体"/>
                <w:sz w:val="24"/>
                <w:szCs w:val="20"/>
              </w:rPr>
              <w:t>使用单位全称</w:t>
            </w:r>
          </w:p>
        </w:tc>
        <w:tc>
          <w:tcPr>
            <w:tcW w:w="1419" w:type="dxa"/>
            <w:vAlign w:val="center"/>
          </w:tcPr>
          <w:p>
            <w:pPr>
              <w:spacing w:line="440" w:lineRule="exact"/>
              <w:rPr>
                <w:rFonts w:ascii="宋体" w:hAnsi="宋体" w:cs="宋体"/>
                <w:sz w:val="24"/>
                <w:szCs w:val="20"/>
              </w:rPr>
            </w:pPr>
            <w:r>
              <w:rPr>
                <w:rFonts w:hint="eastAsia" w:ascii="宋体" w:hAnsi="宋体" w:cs="宋体"/>
                <w:sz w:val="24"/>
                <w:szCs w:val="20"/>
              </w:rPr>
              <w:t>合同金额</w:t>
            </w:r>
          </w:p>
        </w:tc>
        <w:tc>
          <w:tcPr>
            <w:tcW w:w="1419" w:type="dxa"/>
            <w:vAlign w:val="center"/>
          </w:tcPr>
          <w:p>
            <w:pPr>
              <w:spacing w:line="440" w:lineRule="exact"/>
              <w:rPr>
                <w:rFonts w:ascii="宋体" w:hAnsi="宋体" w:cs="宋体"/>
                <w:sz w:val="24"/>
                <w:szCs w:val="20"/>
              </w:rPr>
            </w:pPr>
            <w:r>
              <w:rPr>
                <w:rFonts w:hint="eastAsia" w:ascii="宋体" w:hAnsi="宋体" w:cs="宋体"/>
                <w:sz w:val="24"/>
                <w:szCs w:val="20"/>
              </w:rPr>
              <w:t>完成时间</w:t>
            </w:r>
          </w:p>
        </w:tc>
        <w:tc>
          <w:tcPr>
            <w:tcW w:w="1369" w:type="dxa"/>
            <w:vAlign w:val="center"/>
          </w:tcPr>
          <w:p>
            <w:pPr>
              <w:spacing w:line="440" w:lineRule="exact"/>
              <w:rPr>
                <w:rFonts w:ascii="宋体" w:hAnsi="宋体" w:cs="宋体"/>
                <w:sz w:val="24"/>
                <w:szCs w:val="20"/>
              </w:rPr>
            </w:pPr>
            <w:r>
              <w:rPr>
                <w:rFonts w:hint="eastAsia" w:ascii="宋体" w:hAnsi="宋体" w:cs="宋体"/>
                <w:sz w:val="24"/>
                <w:szCs w:val="20"/>
              </w:rPr>
              <w:t>联系人</w:t>
            </w:r>
          </w:p>
        </w:tc>
        <w:tc>
          <w:tcPr>
            <w:tcW w:w="2185" w:type="dxa"/>
            <w:vAlign w:val="center"/>
          </w:tcPr>
          <w:p>
            <w:pPr>
              <w:spacing w:line="440" w:lineRule="exact"/>
              <w:rPr>
                <w:rFonts w:ascii="宋体" w:hAnsi="宋体" w:cs="宋体"/>
                <w:sz w:val="24"/>
                <w:szCs w:val="20"/>
              </w:rPr>
            </w:pPr>
            <w:r>
              <w:rPr>
                <w:rFonts w:hint="eastAsia" w:ascii="宋体" w:hAnsi="宋体" w:cs="宋体"/>
                <w:sz w:val="24"/>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1</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2</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3</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4</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5</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spacing w:line="440" w:lineRule="exact"/>
              <w:rPr>
                <w:rFonts w:ascii="宋体" w:hAnsi="宋体" w:cs="宋体"/>
                <w:sz w:val="24"/>
                <w:szCs w:val="20"/>
              </w:rPr>
            </w:pPr>
            <w:r>
              <w:rPr>
                <w:rFonts w:hint="eastAsia" w:ascii="宋体" w:hAnsi="宋体" w:cs="宋体"/>
                <w:sz w:val="24"/>
                <w:szCs w:val="20"/>
              </w:rPr>
              <w:t>…</w:t>
            </w:r>
          </w:p>
        </w:tc>
        <w:tc>
          <w:tcPr>
            <w:tcW w:w="2068"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419" w:type="dxa"/>
          </w:tcPr>
          <w:p>
            <w:pPr>
              <w:spacing w:line="440" w:lineRule="exact"/>
              <w:rPr>
                <w:rFonts w:ascii="宋体" w:hAnsi="宋体" w:cs="宋体"/>
                <w:sz w:val="24"/>
                <w:szCs w:val="20"/>
              </w:rPr>
            </w:pPr>
          </w:p>
        </w:tc>
        <w:tc>
          <w:tcPr>
            <w:tcW w:w="1369" w:type="dxa"/>
          </w:tcPr>
          <w:p>
            <w:pPr>
              <w:spacing w:line="440" w:lineRule="exact"/>
              <w:rPr>
                <w:rFonts w:ascii="宋体" w:hAnsi="宋体" w:cs="宋体"/>
                <w:sz w:val="24"/>
                <w:szCs w:val="20"/>
              </w:rPr>
            </w:pPr>
          </w:p>
        </w:tc>
        <w:tc>
          <w:tcPr>
            <w:tcW w:w="2185" w:type="dxa"/>
          </w:tcPr>
          <w:p>
            <w:pPr>
              <w:spacing w:line="440" w:lineRule="exact"/>
              <w:rPr>
                <w:rFonts w:ascii="宋体" w:hAnsi="宋体" w:cs="宋体"/>
                <w:sz w:val="24"/>
                <w:szCs w:val="20"/>
              </w:rPr>
            </w:pPr>
          </w:p>
        </w:tc>
      </w:tr>
    </w:tbl>
    <w:p>
      <w:pPr>
        <w:spacing w:line="440" w:lineRule="exact"/>
        <w:rPr>
          <w:rFonts w:ascii="宋体" w:hAnsi="宋体" w:cs="宋体"/>
          <w:sz w:val="24"/>
          <w:szCs w:val="20"/>
        </w:rPr>
      </w:pPr>
      <w:r>
        <w:rPr>
          <w:rFonts w:hint="eastAsia" w:ascii="宋体" w:hAnsi="宋体" w:cs="宋体"/>
          <w:sz w:val="24"/>
          <w:szCs w:val="20"/>
        </w:rPr>
        <w:t>备注：1、</w:t>
      </w:r>
      <w:r>
        <w:rPr>
          <w:rFonts w:hint="eastAsia" w:ascii="宋体" w:hAnsi="宋体" w:cs="宋体"/>
          <w:color w:val="auto"/>
          <w:sz w:val="24"/>
          <w:szCs w:val="20"/>
        </w:rPr>
        <w:t>应填写</w:t>
      </w:r>
      <w:r>
        <w:rPr>
          <w:rFonts w:hint="eastAsia" w:ascii="宋体" w:hAnsi="宋体" w:cs="宋体"/>
          <w:sz w:val="24"/>
          <w:szCs w:val="20"/>
          <w:lang w:val="en-US" w:eastAsia="zh-CN"/>
        </w:rPr>
        <w:t>与</w:t>
      </w:r>
      <w:r>
        <w:rPr>
          <w:rFonts w:hint="eastAsia" w:ascii="宋体" w:hAnsi="宋体" w:cs="宋体"/>
          <w:sz w:val="24"/>
          <w:szCs w:val="20"/>
        </w:rPr>
        <w:t>项目类似业绩，所有业绩应提供《合同》和中标通知书及验收报告复印件并附在此业绩表之后。</w:t>
      </w:r>
    </w:p>
    <w:p>
      <w:pPr>
        <w:spacing w:line="440" w:lineRule="exact"/>
        <w:ind w:firstLine="720" w:firstLineChars="300"/>
        <w:rPr>
          <w:rFonts w:hint="eastAsia" w:ascii="宋体" w:hAnsi="宋体" w:eastAsia="宋体" w:cs="宋体"/>
          <w:sz w:val="24"/>
          <w:szCs w:val="20"/>
          <w:lang w:eastAsia="zh-CN"/>
        </w:rPr>
      </w:pPr>
      <w:r>
        <w:rPr>
          <w:rFonts w:hint="eastAsia" w:ascii="宋体" w:hAnsi="宋体" w:cs="宋体"/>
          <w:sz w:val="24"/>
          <w:szCs w:val="20"/>
        </w:rPr>
        <w:t>2、业绩不实而造成的废标，由投标人自行承担</w:t>
      </w:r>
      <w:r>
        <w:rPr>
          <w:rFonts w:hint="eastAsia" w:ascii="宋体" w:hAnsi="宋体" w:cs="宋体"/>
          <w:sz w:val="24"/>
          <w:szCs w:val="20"/>
          <w:lang w:eastAsia="zh-CN"/>
        </w:rPr>
        <w:t>。</w:t>
      </w:r>
    </w:p>
    <w:p>
      <w:pPr>
        <w:spacing w:line="440" w:lineRule="exact"/>
        <w:ind w:firstLine="720" w:firstLineChars="300"/>
        <w:rPr>
          <w:rFonts w:ascii="宋体" w:hAnsi="宋体" w:cs="宋体"/>
          <w:sz w:val="24"/>
          <w:szCs w:val="20"/>
        </w:rPr>
      </w:pPr>
      <w:r>
        <w:rPr>
          <w:rFonts w:hint="eastAsia" w:ascii="宋体" w:hAnsi="宋体" w:cs="宋体"/>
          <w:sz w:val="24"/>
          <w:szCs w:val="20"/>
        </w:rPr>
        <w:t>3、此表如填写不下，可另附页。</w:t>
      </w:r>
    </w:p>
    <w:p>
      <w:pPr>
        <w:spacing w:line="440" w:lineRule="exact"/>
        <w:rPr>
          <w:rFonts w:ascii="宋体" w:hAnsi="宋体" w:cs="宋体"/>
          <w:sz w:val="24"/>
          <w:szCs w:val="20"/>
        </w:rPr>
      </w:pPr>
      <w:r>
        <w:rPr>
          <w:rFonts w:hint="eastAsia" w:ascii="宋体" w:hAnsi="宋体" w:cs="宋体"/>
          <w:sz w:val="24"/>
          <w:szCs w:val="20"/>
        </w:rPr>
        <w:t xml:space="preserve">                                            </w:t>
      </w:r>
      <w:r>
        <w:rPr>
          <w:rFonts w:hint="eastAsia" w:ascii="宋体" w:hAnsi="宋体" w:cs="宋体"/>
          <w:b w:val="0"/>
          <w:bCs w:val="0"/>
          <w:sz w:val="24"/>
          <w:szCs w:val="20"/>
        </w:rPr>
        <w:t>投标</w:t>
      </w:r>
      <w:r>
        <w:rPr>
          <w:rFonts w:hint="eastAsia" w:ascii="宋体" w:hAnsi="宋体" w:cs="宋体"/>
          <w:b w:val="0"/>
          <w:bCs w:val="0"/>
          <w:sz w:val="24"/>
          <w:szCs w:val="20"/>
          <w:lang w:val="en-US" w:eastAsia="zh-CN"/>
        </w:rPr>
        <w:t>人</w:t>
      </w:r>
      <w:r>
        <w:rPr>
          <w:rFonts w:hint="eastAsia" w:ascii="宋体" w:hAnsi="宋体" w:cs="宋体"/>
          <w:sz w:val="24"/>
          <w:szCs w:val="20"/>
        </w:rPr>
        <w:t>：（公章）</w:t>
      </w:r>
    </w:p>
    <w:p>
      <w:pPr>
        <w:spacing w:line="440" w:lineRule="exact"/>
        <w:jc w:val="center"/>
        <w:rPr>
          <w:rFonts w:ascii="宋体" w:hAnsi="宋体" w:cs="宋体"/>
          <w:sz w:val="24"/>
          <w:szCs w:val="20"/>
        </w:rPr>
      </w:pPr>
      <w:r>
        <w:rPr>
          <w:rFonts w:hint="eastAsia" w:ascii="宋体" w:hAnsi="宋体" w:cs="宋体"/>
          <w:sz w:val="24"/>
          <w:szCs w:val="20"/>
        </w:rPr>
        <w:t xml:space="preserve">                                            法定代表人或授权人：（签字）              </w:t>
      </w:r>
    </w:p>
    <w:p>
      <w:pPr>
        <w:spacing w:line="440" w:lineRule="exact"/>
        <w:jc w:val="center"/>
        <w:rPr>
          <w:rFonts w:ascii="宋体" w:hAnsi="宋体" w:cs="宋体"/>
          <w:sz w:val="24"/>
          <w:szCs w:val="20"/>
        </w:rPr>
      </w:pPr>
      <w:r>
        <w:rPr>
          <w:rFonts w:hint="eastAsia" w:ascii="宋体" w:hAnsi="宋体" w:cs="宋体"/>
          <w:sz w:val="24"/>
          <w:szCs w:val="20"/>
        </w:rPr>
        <w:t xml:space="preserve">                                          日期：   年    月     日</w:t>
      </w:r>
    </w:p>
    <w:p>
      <w:pPr>
        <w:spacing w:line="440" w:lineRule="exact"/>
        <w:jc w:val="center"/>
        <w:rPr>
          <w:rFonts w:ascii="宋体" w:hAnsi="宋体" w:cs="宋体"/>
          <w:sz w:val="24"/>
          <w:szCs w:val="20"/>
        </w:rPr>
      </w:pPr>
      <w:r>
        <w:rPr>
          <w:rFonts w:hint="eastAsia" w:ascii="宋体" w:hAnsi="宋体" w:cs="宋体"/>
          <w:sz w:val="24"/>
          <w:szCs w:val="20"/>
        </w:rPr>
        <w:br w:type="page"/>
      </w:r>
    </w:p>
    <w:p>
      <w:pPr>
        <w:pStyle w:val="5"/>
      </w:pPr>
      <w:bookmarkStart w:id="397" w:name="_Hlt520343000"/>
      <w:bookmarkEnd w:id="397"/>
      <w:bookmarkStart w:id="398" w:name="_Hlt520273973"/>
      <w:bookmarkEnd w:id="398"/>
      <w:bookmarkStart w:id="399" w:name="_Hlt520350918"/>
      <w:bookmarkEnd w:id="399"/>
      <w:bookmarkStart w:id="400" w:name="_Hlt520274393"/>
      <w:bookmarkEnd w:id="400"/>
      <w:bookmarkStart w:id="401" w:name="_Hlt520274911"/>
      <w:bookmarkEnd w:id="401"/>
      <w:bookmarkStart w:id="402" w:name="_Hlt520274065"/>
      <w:bookmarkEnd w:id="402"/>
      <w:bookmarkStart w:id="403" w:name="_Hlt520271212"/>
      <w:bookmarkEnd w:id="403"/>
      <w:bookmarkStart w:id="404" w:name="_Hlt520343392"/>
      <w:bookmarkEnd w:id="404"/>
      <w:bookmarkStart w:id="405" w:name="_Hlt520350957"/>
      <w:bookmarkEnd w:id="405"/>
      <w:bookmarkStart w:id="406" w:name="_Hlt520273711"/>
      <w:bookmarkEnd w:id="406"/>
      <w:bookmarkStart w:id="407" w:name="_Hlt520274407"/>
      <w:bookmarkEnd w:id="407"/>
      <w:bookmarkStart w:id="408" w:name="_Toc29893"/>
      <w:bookmarkStart w:id="409" w:name="_Toc21312"/>
      <w:bookmarkStart w:id="410" w:name="_Toc515647823"/>
      <w:bookmarkStart w:id="411" w:name="_Toc25347"/>
      <w:bookmarkStart w:id="412" w:name="_Toc10725"/>
      <w:bookmarkStart w:id="413" w:name="_Toc16400"/>
      <w:r>
        <w:rPr>
          <w:rFonts w:hint="eastAsia"/>
          <w:lang w:val="en-US" w:eastAsia="zh-CN"/>
        </w:rPr>
        <w:t>7-1</w:t>
      </w:r>
      <w:r>
        <w:rPr>
          <w:rFonts w:hint="eastAsia"/>
        </w:rPr>
        <w:t>、投标单位（企业）类型声明函（响应文件格式十）</w:t>
      </w:r>
      <w:bookmarkEnd w:id="408"/>
      <w:bookmarkEnd w:id="409"/>
      <w:bookmarkEnd w:id="410"/>
      <w:bookmarkEnd w:id="411"/>
      <w:bookmarkEnd w:id="412"/>
      <w:bookmarkEnd w:id="413"/>
    </w:p>
    <w:p>
      <w:pPr>
        <w:spacing w:before="0" w:line="240" w:lineRule="atLeast"/>
        <w:jc w:val="center"/>
        <w:outlineLvl w:val="9"/>
        <w:rPr>
          <w:rFonts w:hint="eastAsia" w:ascii="宋体" w:hAnsi="宋体" w:eastAsia="宋体" w:cs="宋体"/>
          <w:b/>
          <w:color w:val="auto"/>
          <w:kern w:val="0"/>
          <w:sz w:val="24"/>
          <w:szCs w:val="20"/>
          <w:highlight w:val="none"/>
        </w:rPr>
      </w:pPr>
      <w:r>
        <w:rPr>
          <w:rFonts w:hint="eastAsia" w:ascii="宋体" w:hAnsi="宋体" w:eastAsia="宋体" w:cs="宋体"/>
          <w:b/>
          <w:bCs/>
          <w:color w:val="auto"/>
          <w:sz w:val="24"/>
          <w:highlight w:val="none"/>
          <w:lang w:val="en-US" w:eastAsia="zh-CN"/>
        </w:rPr>
        <w:t>中小企业</w:t>
      </w:r>
      <w:r>
        <w:rPr>
          <w:rFonts w:hint="eastAsia" w:ascii="宋体" w:hAnsi="宋体" w:eastAsia="宋体" w:cs="宋体"/>
          <w:b/>
          <w:bCs/>
          <w:color w:val="auto"/>
          <w:sz w:val="24"/>
          <w:highlight w:val="none"/>
        </w:rPr>
        <w:t>声明函</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4"/>
          <w:szCs w:val="20"/>
          <w:highlight w:val="none"/>
          <w:u w:val="single"/>
          <w:lang w:val="en-US" w:eastAsia="zh-CN" w:bidi="ar-SA"/>
        </w:rPr>
        <w:t>（单位名称）</w:t>
      </w:r>
      <w:r>
        <w:rPr>
          <w:rFonts w:hint="eastAsia" w:ascii="宋体" w:hAnsi="宋体" w:eastAsia="宋体" w:cs="宋体"/>
          <w:color w:val="auto"/>
          <w:kern w:val="2"/>
          <w:sz w:val="24"/>
          <w:szCs w:val="20"/>
          <w:highlight w:val="none"/>
          <w:lang w:val="en-US" w:eastAsia="zh-CN" w:bidi="ar-SA"/>
        </w:rPr>
        <w:t>的</w:t>
      </w:r>
      <w:r>
        <w:rPr>
          <w:rFonts w:hint="eastAsia" w:ascii="宋体" w:hAnsi="宋体" w:eastAsia="宋体" w:cs="宋体"/>
          <w:color w:val="auto"/>
          <w:kern w:val="2"/>
          <w:sz w:val="24"/>
          <w:szCs w:val="20"/>
          <w:highlight w:val="none"/>
          <w:u w:val="single"/>
          <w:lang w:val="en-US" w:eastAsia="zh-CN" w:bidi="ar-SA"/>
        </w:rPr>
        <w:t>（项目名称）</w:t>
      </w:r>
      <w:r>
        <w:rPr>
          <w:rFonts w:hint="eastAsia" w:ascii="宋体" w:hAnsi="宋体" w:eastAsia="宋体" w:cs="宋体"/>
          <w:color w:val="auto"/>
          <w:kern w:val="2"/>
          <w:sz w:val="24"/>
          <w:szCs w:val="20"/>
          <w:highlight w:val="none"/>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w:t>
      </w:r>
      <w:r>
        <w:rPr>
          <w:rFonts w:hint="eastAsia" w:ascii="宋体" w:hAnsi="宋体" w:eastAsia="宋体" w:cs="宋体"/>
          <w:color w:val="auto"/>
          <w:kern w:val="2"/>
          <w:sz w:val="24"/>
          <w:szCs w:val="20"/>
          <w:highlight w:val="none"/>
          <w:u w:val="single"/>
          <w:lang w:val="en-US" w:eastAsia="zh-CN" w:bidi="ar-SA"/>
        </w:rPr>
        <w:t>（标的名称）</w:t>
      </w:r>
      <w:r>
        <w:rPr>
          <w:rFonts w:hint="eastAsia" w:ascii="宋体" w:hAnsi="宋体" w:eastAsia="宋体" w:cs="宋体"/>
          <w:color w:val="auto"/>
          <w:kern w:val="2"/>
          <w:sz w:val="24"/>
          <w:szCs w:val="20"/>
          <w:highlight w:val="none"/>
          <w:lang w:val="en-US" w:eastAsia="zh-CN" w:bidi="ar-SA"/>
        </w:rPr>
        <w:t>，属于</w:t>
      </w:r>
      <w:r>
        <w:rPr>
          <w:rFonts w:hint="eastAsia" w:ascii="宋体" w:hAnsi="宋体" w:eastAsia="宋体" w:cs="宋体"/>
          <w:color w:val="auto"/>
          <w:kern w:val="2"/>
          <w:sz w:val="24"/>
          <w:szCs w:val="20"/>
          <w:highlight w:val="none"/>
          <w:u w:val="single"/>
          <w:lang w:val="en-US" w:eastAsia="zh-CN" w:bidi="ar-SA"/>
        </w:rPr>
        <w:t>（采购文件中明确的所属行业）</w:t>
      </w:r>
      <w:r>
        <w:rPr>
          <w:rFonts w:hint="eastAsia" w:ascii="宋体" w:hAnsi="宋体" w:eastAsia="宋体" w:cs="宋体"/>
          <w:color w:val="auto"/>
          <w:kern w:val="2"/>
          <w:sz w:val="24"/>
          <w:szCs w:val="20"/>
          <w:highlight w:val="none"/>
          <w:lang w:val="en-US" w:eastAsia="zh-CN" w:bidi="ar-SA"/>
        </w:rPr>
        <w:t>；承建（承接）企业为</w:t>
      </w:r>
      <w:r>
        <w:rPr>
          <w:rFonts w:hint="eastAsia" w:ascii="宋体" w:hAnsi="宋体" w:eastAsia="宋体" w:cs="宋体"/>
          <w:color w:val="auto"/>
          <w:kern w:val="2"/>
          <w:sz w:val="24"/>
          <w:szCs w:val="20"/>
          <w:highlight w:val="none"/>
          <w:u w:val="single"/>
          <w:lang w:val="en-US" w:eastAsia="zh-CN" w:bidi="ar-SA"/>
        </w:rPr>
        <w:t>（企业名称）</w:t>
      </w:r>
      <w:r>
        <w:rPr>
          <w:rFonts w:hint="eastAsia" w:ascii="宋体" w:hAnsi="宋体" w:eastAsia="宋体" w:cs="宋体"/>
          <w:color w:val="auto"/>
          <w:kern w:val="2"/>
          <w:sz w:val="24"/>
          <w:szCs w:val="20"/>
          <w:highlight w:val="none"/>
          <w:lang w:val="en-US" w:eastAsia="zh-CN" w:bidi="ar-SA"/>
        </w:rPr>
        <w:t>，从业人员</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2"/>
          <w:sz w:val="24"/>
          <w:szCs w:val="20"/>
          <w:highlight w:val="none"/>
          <w:lang w:val="en-US" w:eastAsia="zh-CN" w:bidi="ar-SA"/>
        </w:rPr>
        <w:t>人，营业收入为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2"/>
          <w:sz w:val="24"/>
          <w:szCs w:val="20"/>
          <w:highlight w:val="none"/>
          <w:lang w:val="en-US" w:eastAsia="zh-CN" w:bidi="ar-SA"/>
        </w:rPr>
        <w:t>万元，资产总额为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0"/>
          <w:sz w:val="24"/>
          <w:szCs w:val="24"/>
          <w:highlight w:val="none"/>
          <w:lang w:bidi="ar"/>
        </w:rPr>
        <w:t>万元¹</w:t>
      </w:r>
      <w:r>
        <w:rPr>
          <w:rFonts w:hint="eastAsia" w:ascii="宋体" w:hAnsi="宋体" w:eastAsia="宋体" w:cs="宋体"/>
          <w:color w:val="auto"/>
          <w:kern w:val="2"/>
          <w:sz w:val="24"/>
          <w:szCs w:val="20"/>
          <w:highlight w:val="none"/>
          <w:lang w:val="en-US" w:eastAsia="zh-CN" w:bidi="ar-SA"/>
        </w:rPr>
        <w:t>，属于</w:t>
      </w:r>
      <w:r>
        <w:rPr>
          <w:rFonts w:hint="eastAsia" w:ascii="宋体" w:hAnsi="宋体" w:eastAsia="宋体" w:cs="宋体"/>
          <w:color w:val="auto"/>
          <w:kern w:val="2"/>
          <w:sz w:val="24"/>
          <w:szCs w:val="20"/>
          <w:highlight w:val="none"/>
          <w:u w:val="single"/>
          <w:lang w:val="en-US" w:eastAsia="zh-CN" w:bidi="ar-SA"/>
        </w:rPr>
        <w:t>（中型企业、小型企业、微型企业）</w:t>
      </w:r>
      <w:r>
        <w:rPr>
          <w:rFonts w:hint="eastAsia" w:ascii="宋体" w:hAnsi="宋体" w:eastAsia="宋体" w:cs="宋体"/>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w:t>
      </w:r>
      <w:r>
        <w:rPr>
          <w:rFonts w:hint="eastAsia" w:ascii="宋体" w:hAnsi="宋体" w:eastAsia="宋体" w:cs="宋体"/>
          <w:color w:val="auto"/>
          <w:kern w:val="2"/>
          <w:sz w:val="24"/>
          <w:szCs w:val="20"/>
          <w:highlight w:val="none"/>
          <w:u w:val="single"/>
          <w:lang w:val="en-US" w:eastAsia="zh-CN" w:bidi="ar-SA"/>
        </w:rPr>
        <w:t>（标的名称）</w:t>
      </w:r>
      <w:r>
        <w:rPr>
          <w:rFonts w:hint="eastAsia" w:ascii="宋体" w:hAnsi="宋体" w:eastAsia="宋体" w:cs="宋体"/>
          <w:color w:val="auto"/>
          <w:kern w:val="2"/>
          <w:sz w:val="24"/>
          <w:szCs w:val="20"/>
          <w:highlight w:val="none"/>
          <w:lang w:val="en-US" w:eastAsia="zh-CN" w:bidi="ar-SA"/>
        </w:rPr>
        <w:t>，属于</w:t>
      </w:r>
      <w:r>
        <w:rPr>
          <w:rFonts w:hint="eastAsia" w:ascii="宋体" w:hAnsi="宋体" w:eastAsia="宋体" w:cs="宋体"/>
          <w:color w:val="auto"/>
          <w:kern w:val="2"/>
          <w:sz w:val="24"/>
          <w:szCs w:val="20"/>
          <w:highlight w:val="none"/>
          <w:u w:val="single"/>
          <w:lang w:val="en-US" w:eastAsia="zh-CN" w:bidi="ar-SA"/>
        </w:rPr>
        <w:t>（采购文件中明确的所属行业）</w:t>
      </w:r>
      <w:r>
        <w:rPr>
          <w:rFonts w:hint="eastAsia" w:ascii="宋体" w:hAnsi="宋体" w:eastAsia="宋体" w:cs="宋体"/>
          <w:color w:val="auto"/>
          <w:kern w:val="2"/>
          <w:sz w:val="24"/>
          <w:szCs w:val="20"/>
          <w:highlight w:val="none"/>
          <w:lang w:val="en-US" w:eastAsia="zh-CN" w:bidi="ar-SA"/>
        </w:rPr>
        <w:t>；承建（承接）企业为</w:t>
      </w:r>
      <w:r>
        <w:rPr>
          <w:rFonts w:hint="eastAsia" w:ascii="宋体" w:hAnsi="宋体" w:eastAsia="宋体" w:cs="宋体"/>
          <w:color w:val="auto"/>
          <w:kern w:val="2"/>
          <w:sz w:val="24"/>
          <w:szCs w:val="20"/>
          <w:highlight w:val="none"/>
          <w:u w:val="single"/>
          <w:lang w:val="en-US" w:eastAsia="zh-CN" w:bidi="ar-SA"/>
        </w:rPr>
        <w:t>（企业名称）</w:t>
      </w:r>
      <w:r>
        <w:rPr>
          <w:rFonts w:hint="eastAsia" w:ascii="宋体" w:hAnsi="宋体" w:eastAsia="宋体" w:cs="宋体"/>
          <w:color w:val="auto"/>
          <w:kern w:val="2"/>
          <w:sz w:val="24"/>
          <w:szCs w:val="20"/>
          <w:highlight w:val="none"/>
          <w:lang w:val="en-US" w:eastAsia="zh-CN" w:bidi="ar-SA"/>
        </w:rPr>
        <w:t>，从业人员</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2"/>
          <w:sz w:val="24"/>
          <w:szCs w:val="20"/>
          <w:highlight w:val="none"/>
          <w:lang w:val="en-US" w:eastAsia="zh-CN" w:bidi="ar-SA"/>
        </w:rPr>
        <w:t>人，营业收入为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2"/>
          <w:sz w:val="24"/>
          <w:szCs w:val="20"/>
          <w:highlight w:val="none"/>
          <w:lang w:val="en-US" w:eastAsia="zh-CN" w:bidi="ar-SA"/>
        </w:rPr>
        <w:t>万元，资产总额为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u w:val="single"/>
          <w:lang w:val="en-US" w:eastAsia="zh-CN" w:bidi="ar-SA"/>
        </w:rPr>
        <w:tab/>
      </w:r>
      <w:r>
        <w:rPr>
          <w:rFonts w:hint="eastAsia" w:ascii="宋体" w:hAnsi="宋体" w:eastAsia="宋体" w:cs="宋体"/>
          <w:color w:val="auto"/>
          <w:kern w:val="0"/>
          <w:sz w:val="24"/>
          <w:szCs w:val="24"/>
          <w:highlight w:val="none"/>
          <w:lang w:bidi="ar"/>
        </w:rPr>
        <w:t>万元¹</w:t>
      </w:r>
      <w:r>
        <w:rPr>
          <w:rFonts w:hint="eastAsia" w:ascii="宋体" w:hAnsi="宋体" w:eastAsia="宋体" w:cs="宋体"/>
          <w:color w:val="auto"/>
          <w:kern w:val="2"/>
          <w:sz w:val="24"/>
          <w:szCs w:val="20"/>
          <w:highlight w:val="none"/>
          <w:lang w:val="en-US" w:eastAsia="zh-CN" w:bidi="ar-SA"/>
        </w:rPr>
        <w:t>，属于</w:t>
      </w:r>
      <w:r>
        <w:rPr>
          <w:rFonts w:hint="eastAsia" w:ascii="宋体" w:hAnsi="宋体" w:eastAsia="宋体" w:cs="宋体"/>
          <w:color w:val="auto"/>
          <w:kern w:val="2"/>
          <w:sz w:val="24"/>
          <w:szCs w:val="20"/>
          <w:highlight w:val="none"/>
          <w:u w:val="single"/>
          <w:lang w:val="en-US" w:eastAsia="zh-CN" w:bidi="ar-SA"/>
        </w:rPr>
        <w:t>（中型企业、小型企业、微型企业）</w:t>
      </w:r>
      <w:r>
        <w:rPr>
          <w:rFonts w:hint="eastAsia" w:ascii="宋体" w:hAnsi="宋体" w:eastAsia="宋体" w:cs="宋体"/>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本企业对上述声明内容的真实性负责。如有虚假，将依法承担相应责任。</w:t>
      </w: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p>
    <w:p>
      <w:pPr>
        <w:widowControl/>
        <w:spacing w:before="100" w:beforeAutospacing="1" w:after="100" w:afterAutospacing="1" w:line="330" w:lineRule="atLeast"/>
        <w:ind w:firstLine="720" w:firstLineChars="3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w:t>
      </w:r>
    </w:p>
    <w:p>
      <w:pPr>
        <w:widowControl/>
        <w:spacing w:before="100" w:beforeAutospacing="1" w:after="100" w:afterAutospacing="1" w:line="330" w:lineRule="atLeast"/>
        <w:ind w:firstLine="3360" w:firstLineChars="140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供应商名称（盖单位章）：</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  </w:t>
      </w:r>
    </w:p>
    <w:p>
      <w:pPr>
        <w:pStyle w:val="5"/>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　           </w:t>
      </w:r>
    </w:p>
    <w:p>
      <w:pPr>
        <w:pStyle w:val="5"/>
        <w:rPr>
          <w:rFonts w:hint="eastAsia" w:ascii="宋体" w:hAnsi="宋体" w:eastAsia="宋体" w:cs="宋体"/>
          <w:color w:val="auto"/>
          <w:kern w:val="2"/>
          <w:sz w:val="24"/>
          <w:szCs w:val="20"/>
          <w:highlight w:val="none"/>
          <w:lang w:val="en-US" w:eastAsia="zh-CN" w:bidi="ar-SA"/>
        </w:rPr>
      </w:pPr>
    </w:p>
    <w:p>
      <w:pPr>
        <w:outlineLvl w:val="9"/>
        <w:rPr>
          <w:rFonts w:hint="eastAsia" w:ascii="宋体" w:hAnsi="宋体" w:eastAsia="宋体" w:cs="宋体"/>
          <w:b w:val="0"/>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 xml:space="preserve">                                           </w:t>
      </w:r>
      <w:r>
        <w:rPr>
          <w:rFonts w:hint="eastAsia" w:ascii="宋体" w:hAnsi="宋体" w:eastAsia="宋体" w:cs="宋体"/>
          <w:b w:val="0"/>
          <w:color w:val="auto"/>
          <w:kern w:val="2"/>
          <w:sz w:val="24"/>
          <w:szCs w:val="20"/>
          <w:highlight w:val="none"/>
          <w:lang w:val="en-US" w:eastAsia="zh-CN" w:bidi="ar-SA"/>
        </w:rPr>
        <w:t xml:space="preserve"> 日　期：</w:t>
      </w:r>
      <w:r>
        <w:rPr>
          <w:rFonts w:hint="eastAsia" w:ascii="宋体" w:hAnsi="宋体" w:eastAsia="宋体" w:cs="宋体"/>
          <w:b w:val="0"/>
          <w:color w:val="auto"/>
          <w:kern w:val="2"/>
          <w:sz w:val="24"/>
          <w:szCs w:val="20"/>
          <w:highlight w:val="none"/>
          <w:u w:val="single"/>
          <w:lang w:val="en-US" w:eastAsia="zh-CN" w:bidi="ar-SA"/>
        </w:rPr>
        <w:t xml:space="preserve">            </w:t>
      </w:r>
    </w:p>
    <w:p>
      <w:pPr>
        <w:widowControl/>
        <w:spacing w:before="100" w:beforeAutospacing="1" w:after="100" w:afterAutospacing="1" w:line="330"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0"/>
          <w:szCs w:val="20"/>
          <w:highlight w:val="none"/>
          <w:lang w:bidi="ar"/>
        </w:rPr>
        <w:t>¹从业人员、营业收入、资产总额填报上一年度数据，无上一年度数据的新成立企业可不填报。</w:t>
      </w:r>
    </w:p>
    <w:p>
      <w:pPr>
        <w:pStyle w:val="15"/>
        <w:rPr>
          <w:kern w:val="0"/>
        </w:rPr>
      </w:pPr>
      <w:r>
        <w:rPr>
          <w:rFonts w:hint="eastAsia"/>
          <w:b/>
          <w:bCs/>
          <w:color w:val="auto"/>
          <w:kern w:val="0"/>
          <w:lang w:val="en-US" w:eastAsia="zh-CN"/>
        </w:rPr>
        <w:t>注：潜在投标企业属于中小微企业的，请在投标文件中提供“中小企业声明函”，如果未提供或提供虚假的“中小企业声明函”，投标企业将承担由此造成的一切不利后果。</w:t>
      </w:r>
      <w:r>
        <w:rPr>
          <w:kern w:val="0"/>
        </w:rPr>
        <w:br w:type="page"/>
      </w:r>
    </w:p>
    <w:p>
      <w:pPr>
        <w:pStyle w:val="5"/>
        <w:rPr>
          <w:rFonts w:hint="eastAsia" w:cs="Times New Roman"/>
        </w:rPr>
      </w:pPr>
      <w:bookmarkStart w:id="414" w:name="_Toc30795"/>
      <w:bookmarkStart w:id="415" w:name="_Toc28099"/>
      <w:bookmarkStart w:id="416" w:name="_Toc10002"/>
      <w:bookmarkStart w:id="417" w:name="_Toc515647827"/>
      <w:bookmarkStart w:id="418" w:name="_Toc3200"/>
      <w:bookmarkStart w:id="419" w:name="_Toc32216"/>
      <w:r>
        <w:rPr>
          <w:rFonts w:hint="eastAsia" w:cs="Times New Roman"/>
          <w:lang w:val="en-US" w:eastAsia="zh-CN"/>
        </w:rPr>
        <w:t>7-2</w:t>
      </w:r>
      <w:r>
        <w:rPr>
          <w:rFonts w:hint="eastAsia" w:cs="Times New Roman"/>
        </w:rPr>
        <w:t>制造商企业（单位）类型声明函</w:t>
      </w:r>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本企业（单位）作为______单位的______ 项目的伴随货物的制造商，参加政府采购活动。根据《政府采购促进中小企业发展暂行办法》</w:t>
      </w:r>
      <w:r>
        <w:rPr>
          <w:rFonts w:hint="eastAsia" w:ascii="宋体" w:hAnsi="宋体" w:cs="宋体"/>
          <w:kern w:val="0"/>
          <w:sz w:val="24"/>
        </w:rPr>
        <w:t>财库[2020]46号</w:t>
      </w:r>
      <w:r>
        <w:rPr>
          <w:rFonts w:hint="eastAsia" w:ascii="宋体" w:hAnsi="宋体" w:eastAsia="宋体" w:cs="宋体"/>
          <w:kern w:val="0"/>
          <w:sz w:val="24"/>
        </w:rPr>
        <w:t>），《工业和信息化部、国家统计局、国家发展和改革委员会、财政部关于印发中小企业划型标准规定的通知》（工信部联企业[2011]300号）、《财政部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本企业为______（请填写：中型、小型、微型）企业。</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本企业为</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本单位为</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本企业（单位）提供企业（单位）制造的货物。</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eastAsia="宋体" w:cs="宋体"/>
          <w:kern w:val="0"/>
          <w:sz w:val="24"/>
        </w:rPr>
      </w:pPr>
    </w:p>
    <w:p>
      <w:pPr>
        <w:widowControl/>
        <w:spacing w:before="100" w:beforeAutospacing="1" w:after="100" w:afterAutospacing="1" w:line="330" w:lineRule="atLeast"/>
        <w:ind w:firstLine="5160" w:firstLineChars="2150"/>
        <w:jc w:val="left"/>
        <w:rPr>
          <w:rFonts w:hint="eastAsia" w:ascii="宋体" w:hAnsi="宋体" w:eastAsia="宋体" w:cs="宋体"/>
          <w:kern w:val="0"/>
          <w:sz w:val="24"/>
        </w:rPr>
      </w:pPr>
    </w:p>
    <w:p>
      <w:pPr>
        <w:widowControl/>
        <w:spacing w:before="100" w:beforeAutospacing="1" w:after="100" w:afterAutospacing="1" w:line="330" w:lineRule="atLeast"/>
        <w:ind w:firstLine="5160" w:firstLineChars="2150"/>
        <w:jc w:val="left"/>
        <w:rPr>
          <w:rFonts w:hint="eastAsia" w:ascii="宋体" w:hAnsi="宋体" w:eastAsia="宋体" w:cs="宋体"/>
          <w:kern w:val="0"/>
          <w:sz w:val="24"/>
        </w:rPr>
      </w:pPr>
    </w:p>
    <w:p>
      <w:pPr>
        <w:widowControl/>
        <w:spacing w:before="100" w:beforeAutospacing="1" w:after="100" w:afterAutospacing="1" w:line="330" w:lineRule="atLeast"/>
        <w:ind w:firstLine="5160" w:firstLineChars="2150"/>
        <w:jc w:val="left"/>
        <w:rPr>
          <w:rFonts w:hint="eastAsia" w:ascii="宋体" w:hAnsi="宋体" w:eastAsia="宋体" w:cs="宋体"/>
          <w:kern w:val="0"/>
          <w:sz w:val="24"/>
        </w:rPr>
      </w:pPr>
    </w:p>
    <w:p>
      <w:pPr>
        <w:widowControl/>
        <w:spacing w:before="100" w:beforeAutospacing="1" w:after="100" w:afterAutospacing="1" w:line="330" w:lineRule="atLeast"/>
        <w:ind w:firstLine="3960" w:firstLineChars="1650"/>
        <w:jc w:val="left"/>
        <w:rPr>
          <w:rFonts w:hint="eastAsia" w:ascii="宋体" w:hAnsi="宋体" w:eastAsia="宋体" w:cs="宋体"/>
          <w:kern w:val="0"/>
          <w:sz w:val="24"/>
          <w:u w:val="single"/>
        </w:rPr>
      </w:pPr>
      <w:r>
        <w:rPr>
          <w:rFonts w:hint="eastAsia" w:ascii="宋体" w:hAnsi="宋体" w:eastAsia="宋体" w:cs="宋体"/>
          <w:kern w:val="0"/>
          <w:sz w:val="24"/>
        </w:rPr>
        <w:t>制造商名称（盖单位章）：</w:t>
      </w:r>
      <w:r>
        <w:rPr>
          <w:rFonts w:hint="eastAsia" w:ascii="宋体" w:hAnsi="宋体" w:eastAsia="宋体" w:cs="宋体"/>
          <w:kern w:val="0"/>
          <w:sz w:val="24"/>
          <w:u w:val="single"/>
        </w:rPr>
        <w:t xml:space="preserve">             </w:t>
      </w:r>
    </w:p>
    <w:p>
      <w:pPr>
        <w:widowControl/>
        <w:spacing w:before="100" w:beforeAutospacing="1" w:after="100" w:afterAutospacing="1" w:line="330" w:lineRule="atLeast"/>
        <w:ind w:firstLine="3960" w:firstLineChars="1650"/>
        <w:jc w:val="left"/>
        <w:rPr>
          <w:rFonts w:hint="eastAsia" w:ascii="宋体" w:hAnsi="宋体" w:eastAsia="宋体" w:cs="宋体"/>
          <w:kern w:val="0"/>
          <w:sz w:val="24"/>
        </w:rPr>
      </w:pPr>
      <w:r>
        <w:rPr>
          <w:rFonts w:hint="eastAsia" w:ascii="宋体" w:hAnsi="宋体" w:eastAsia="宋体" w:cs="宋体"/>
          <w:kern w:val="0"/>
          <w:sz w:val="24"/>
        </w:rPr>
        <w:t>投标人名称（盖单位章）：</w:t>
      </w:r>
      <w:r>
        <w:rPr>
          <w:rFonts w:hint="eastAsia" w:ascii="宋体" w:hAnsi="宋体" w:eastAsia="宋体" w:cs="宋体"/>
          <w:kern w:val="0"/>
          <w:sz w:val="24"/>
          <w:u w:val="single"/>
        </w:rPr>
        <w:t xml:space="preserve">             </w:t>
      </w:r>
    </w:p>
    <w:p>
      <w:pPr>
        <w:widowControl/>
        <w:spacing w:before="100" w:beforeAutospacing="1" w:after="100" w:afterAutospacing="1" w:line="330" w:lineRule="atLeast"/>
        <w:ind w:firstLine="3720" w:firstLineChars="1550"/>
        <w:jc w:val="left"/>
        <w:rPr>
          <w:rFonts w:hint="eastAsia" w:ascii="宋体" w:hAnsi="宋体" w:eastAsia="宋体" w:cs="宋体"/>
          <w:kern w:val="0"/>
          <w:sz w:val="24"/>
          <w:szCs w:val="24"/>
          <w:u w:val="single"/>
        </w:rPr>
      </w:pPr>
      <w:r>
        <w:rPr>
          <w:rFonts w:hint="eastAsia" w:ascii="宋体" w:hAnsi="宋体" w:eastAsia="宋体" w:cs="宋体"/>
          <w:kern w:val="0"/>
          <w:sz w:val="24"/>
          <w:szCs w:val="24"/>
        </w:rPr>
        <w:t>　日　期：</w:t>
      </w:r>
      <w:r>
        <w:rPr>
          <w:rFonts w:hint="eastAsia" w:ascii="宋体" w:hAnsi="宋体" w:eastAsia="宋体" w:cs="宋体"/>
          <w:kern w:val="0"/>
          <w:sz w:val="24"/>
          <w:szCs w:val="24"/>
          <w:u w:val="single"/>
        </w:rPr>
        <w:t xml:space="preserve">             </w:t>
      </w:r>
    </w:p>
    <w:p>
      <w:pPr>
        <w:rPr>
          <w:rFonts w:hint="eastAsia" w:ascii="宋体" w:hAnsi="宋体" w:eastAsia="宋体" w:cs="宋体"/>
          <w:sz w:val="24"/>
          <w:szCs w:val="24"/>
          <w:u w:val="none"/>
        </w:rPr>
      </w:pPr>
      <w:bookmarkStart w:id="420" w:name="_Toc23068"/>
      <w:bookmarkStart w:id="421" w:name="_Toc1908"/>
      <w:bookmarkStart w:id="422" w:name="_Toc515647825"/>
      <w:bookmarkStart w:id="423" w:name="_Toc19284"/>
      <w:bookmarkStart w:id="424" w:name="OLE_LINK13"/>
      <w:bookmarkStart w:id="425" w:name="OLE_LINK14"/>
      <w:r>
        <w:rPr>
          <w:rFonts w:hint="eastAsia" w:ascii="宋体" w:hAnsi="宋体" w:eastAsia="宋体" w:cs="宋体"/>
          <w:sz w:val="24"/>
          <w:szCs w:val="24"/>
          <w:u w:val="none"/>
        </w:rPr>
        <w:br w:type="page"/>
      </w:r>
    </w:p>
    <w:p>
      <w:pPr>
        <w:pStyle w:val="6"/>
        <w:spacing w:before="0" w:line="240" w:lineRule="atLeast"/>
        <w:jc w:val="center"/>
        <w:rPr>
          <w:rFonts w:hint="eastAsia" w:ascii="宋体" w:hAnsi="宋体" w:eastAsia="宋体" w:cs="宋体"/>
          <w:sz w:val="24"/>
          <w:szCs w:val="24"/>
          <w:u w:val="none"/>
        </w:rPr>
      </w:pPr>
      <w:r>
        <w:rPr>
          <w:rFonts w:hint="eastAsia" w:ascii="Arial" w:hAnsi="Arial" w:eastAsia="黑体" w:cs="Times New Roman"/>
          <w:b/>
          <w:kern w:val="0"/>
          <w:sz w:val="30"/>
          <w:szCs w:val="20"/>
          <w:lang w:val="en-US" w:eastAsia="zh-CN" w:bidi="ar-SA"/>
        </w:rPr>
        <w:t>7-3   残疾人福利性单位声明函</w:t>
      </w:r>
      <w:bookmarkEnd w:id="420"/>
      <w:bookmarkEnd w:id="421"/>
      <w:bookmarkEnd w:id="422"/>
      <w:bookmarkEnd w:id="423"/>
    </w:p>
    <w:bookmarkEnd w:id="424"/>
    <w:bookmarkEnd w:id="425"/>
    <w:p>
      <w:pPr>
        <w:spacing w:line="240" w:lineRule="atLeast"/>
        <w:ind w:left="1080" w:leftChars="257" w:hanging="540"/>
        <w:jc w:val="center"/>
        <w:rPr>
          <w:rFonts w:hint="eastAsia" w:ascii="宋体" w:hAnsi="宋体" w:eastAsia="宋体" w:cs="宋体"/>
          <w:kern w:val="0"/>
          <w:sz w:val="24"/>
          <w:szCs w:val="24"/>
        </w:rPr>
      </w:pPr>
    </w:p>
    <w:p>
      <w:pPr>
        <w:spacing w:line="240" w:lineRule="atLeast"/>
        <w:ind w:firstLine="567"/>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spacing w:line="240" w:lineRule="atLeast"/>
        <w:ind w:left="1080" w:leftChars="257" w:hanging="540"/>
        <w:jc w:val="center"/>
        <w:rPr>
          <w:rFonts w:hint="eastAsia" w:ascii="宋体" w:hAnsi="宋体" w:eastAsia="宋体" w:cs="宋体"/>
          <w:kern w:val="0"/>
          <w:sz w:val="24"/>
          <w:szCs w:val="24"/>
        </w:rPr>
      </w:pPr>
    </w:p>
    <w:p>
      <w:pPr>
        <w:spacing w:line="240" w:lineRule="atLeast"/>
        <w:ind w:left="1080" w:leftChars="257" w:hanging="540"/>
        <w:jc w:val="center"/>
        <w:rPr>
          <w:rFonts w:hint="eastAsia" w:ascii="宋体" w:hAnsi="宋体" w:eastAsia="宋体" w:cs="宋体"/>
          <w:kern w:val="0"/>
          <w:sz w:val="24"/>
          <w:szCs w:val="24"/>
        </w:rPr>
      </w:pPr>
    </w:p>
    <w:p>
      <w:pPr>
        <w:spacing w:line="240" w:lineRule="atLeast"/>
        <w:ind w:left="1080" w:leftChars="257" w:hanging="54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残疾人福利性单位名称（盖单位章）：______________</w:t>
      </w:r>
    </w:p>
    <w:p>
      <w:pPr>
        <w:spacing w:line="240" w:lineRule="atLeast"/>
        <w:ind w:left="1080" w:leftChars="257" w:hanging="54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  期：_____________________________________</w:t>
      </w:r>
    </w:p>
    <w:p>
      <w:pPr>
        <w:pStyle w:val="5"/>
        <w:rPr>
          <w:rFonts w:hint="eastAsia" w:ascii="宋体" w:hAnsi="宋体" w:eastAsia="宋体" w:cs="宋体"/>
          <w:color w:val="FF0000"/>
          <w:sz w:val="24"/>
          <w:szCs w:val="24"/>
        </w:rPr>
      </w:pPr>
    </w:p>
    <w:p>
      <w:pPr>
        <w:pStyle w:val="5"/>
        <w:rPr>
          <w:rFonts w:hint="eastAsia"/>
          <w:color w:val="FF0000"/>
        </w:rPr>
      </w:pPr>
    </w:p>
    <w:p>
      <w:pPr>
        <w:pStyle w:val="5"/>
        <w:rPr>
          <w:rFonts w:hint="eastAsia"/>
          <w:color w:val="auto"/>
        </w:rPr>
      </w:pPr>
    </w:p>
    <w:p>
      <w:pPr>
        <w:pStyle w:val="5"/>
        <w:rPr>
          <w:color w:val="auto"/>
        </w:rPr>
      </w:pPr>
      <w:r>
        <w:rPr>
          <w:rFonts w:hint="eastAsia"/>
          <w:color w:val="auto"/>
          <w:lang w:val="en-US" w:eastAsia="zh-CN"/>
        </w:rPr>
        <w:t>8</w:t>
      </w:r>
      <w:r>
        <w:rPr>
          <w:rFonts w:hint="eastAsia"/>
          <w:color w:val="auto"/>
        </w:rPr>
        <w:t>、投标单位关联单位的说明</w:t>
      </w:r>
      <w:bookmarkEnd w:id="414"/>
      <w:bookmarkEnd w:id="415"/>
      <w:bookmarkEnd w:id="416"/>
      <w:bookmarkEnd w:id="417"/>
      <w:r>
        <w:rPr>
          <w:rFonts w:hint="eastAsia"/>
          <w:color w:val="auto"/>
        </w:rPr>
        <w:t>（本项目不适用）</w:t>
      </w:r>
      <w:bookmarkEnd w:id="418"/>
      <w:bookmarkEnd w:id="419"/>
    </w:p>
    <w:p>
      <w:pPr>
        <w:pStyle w:val="2"/>
        <w:spacing w:line="440" w:lineRule="exact"/>
        <w:jc w:val="center"/>
        <w:rPr>
          <w:rFonts w:hAnsi="宋体" w:cs="宋体"/>
          <w:color w:val="auto"/>
        </w:rPr>
      </w:pPr>
    </w:p>
    <w:p>
      <w:pPr>
        <w:pStyle w:val="2"/>
        <w:spacing w:line="440" w:lineRule="exact"/>
        <w:ind w:firstLine="480" w:firstLineChars="200"/>
        <w:rPr>
          <w:rFonts w:hint="eastAsia" w:hAnsi="宋体" w:cs="宋体"/>
          <w:color w:val="auto"/>
        </w:rPr>
      </w:pPr>
      <w:r>
        <w:rPr>
          <w:rFonts w:hint="eastAsia" w:hAnsi="宋体" w:cs="宋体"/>
          <w:color w:val="auto"/>
        </w:rPr>
        <w:t>说明：投标单位应当如实披露与本单位存在下列关联关系的单位名称：</w:t>
      </w:r>
    </w:p>
    <w:p>
      <w:pPr>
        <w:pStyle w:val="2"/>
        <w:spacing w:line="440" w:lineRule="exact"/>
        <w:ind w:left="0" w:leftChars="0" w:firstLine="0" w:firstLineChars="0"/>
        <w:rPr>
          <w:rFonts w:hAnsi="宋体" w:cs="宋体"/>
          <w:color w:val="auto"/>
        </w:rPr>
      </w:pPr>
      <w:r>
        <w:rPr>
          <w:rFonts w:hint="eastAsia" w:hAnsi="宋体" w:cs="宋体"/>
          <w:color w:val="auto"/>
          <w:lang w:eastAsia="zh-CN"/>
        </w:rPr>
        <w:t>（</w:t>
      </w:r>
      <w:r>
        <w:rPr>
          <w:rFonts w:hint="eastAsia" w:hAnsi="宋体" w:cs="宋体"/>
          <w:color w:val="auto"/>
          <w:lang w:val="en-US" w:eastAsia="zh-CN"/>
        </w:rPr>
        <w:t>1</w:t>
      </w:r>
      <w:r>
        <w:rPr>
          <w:rFonts w:hint="eastAsia" w:hAnsi="宋体" w:cs="宋体"/>
          <w:color w:val="auto"/>
          <w:lang w:eastAsia="zh-CN"/>
        </w:rPr>
        <w:t>）</w:t>
      </w:r>
      <w:r>
        <w:rPr>
          <w:rFonts w:hint="eastAsia" w:hAnsi="宋体" w:cs="宋体"/>
          <w:color w:val="auto"/>
        </w:rPr>
        <w:t>与投标单位单位负责人为同一人的其他单位；</w:t>
      </w:r>
    </w:p>
    <w:p>
      <w:pPr>
        <w:pStyle w:val="2"/>
        <w:numPr>
          <w:ilvl w:val="0"/>
          <w:numId w:val="0"/>
        </w:numPr>
        <w:spacing w:line="440" w:lineRule="exact"/>
        <w:rPr>
          <w:rFonts w:hAnsi="宋体" w:cs="宋体"/>
          <w:color w:val="auto"/>
        </w:rPr>
      </w:pPr>
      <w:r>
        <w:rPr>
          <w:rFonts w:hint="eastAsia" w:hAnsi="宋体" w:cs="宋体"/>
          <w:color w:val="auto"/>
        </w:rPr>
        <w:t>（2）与投标单位存在直接控股、管理关系的其他单位。</w:t>
      </w:r>
    </w:p>
    <w:p>
      <w:pPr>
        <w:rPr>
          <w:rFonts w:ascii="宋体"/>
          <w:color w:val="auto"/>
          <w:kern w:val="0"/>
          <w:sz w:val="24"/>
          <w:szCs w:val="20"/>
        </w:rPr>
      </w:pPr>
      <w:r>
        <w:rPr>
          <w:color w:val="auto"/>
        </w:rPr>
        <w:br w:type="page"/>
      </w:r>
    </w:p>
    <w:p>
      <w:pPr>
        <w:pStyle w:val="5"/>
      </w:pPr>
      <w:bookmarkStart w:id="426" w:name="_Toc13912"/>
      <w:r>
        <w:rPr>
          <w:rFonts w:hint="eastAsia"/>
          <w:lang w:val="en-US" w:eastAsia="zh-CN"/>
        </w:rPr>
        <w:t>9-1</w:t>
      </w:r>
      <w:r>
        <w:rPr>
          <w:rFonts w:hint="eastAsia"/>
        </w:rPr>
        <w:t>、项目负责人简历</w:t>
      </w:r>
      <w:bookmarkEnd w:id="426"/>
    </w:p>
    <w:p>
      <w:pPr>
        <w:pStyle w:val="2"/>
        <w:spacing w:line="440" w:lineRule="exact"/>
        <w:ind w:firstLine="480" w:firstLineChars="200"/>
        <w:rPr>
          <w:rFonts w:hAnsi="宋体" w:cs="宋体"/>
        </w:rPr>
      </w:pPr>
    </w:p>
    <w:p>
      <w:pPr>
        <w:pStyle w:val="2"/>
        <w:spacing w:line="440" w:lineRule="exact"/>
        <w:ind w:firstLine="480" w:firstLineChars="200"/>
        <w:rPr>
          <w:rFonts w:hAnsi="宋体" w:cs="宋体"/>
        </w:rPr>
      </w:pPr>
      <w:r>
        <w:rPr>
          <w:rFonts w:hint="eastAsia" w:hAnsi="宋体" w:cs="宋体"/>
        </w:rPr>
        <w:t>1、项目负责人介绍应包括：姓名、性别、年龄、职称、学历、参加工作时间、从事项目年限和能反映该负责人情况的其他内容。</w:t>
      </w:r>
    </w:p>
    <w:p>
      <w:pPr>
        <w:pStyle w:val="2"/>
        <w:spacing w:line="440" w:lineRule="exact"/>
        <w:ind w:firstLine="480" w:firstLineChars="200"/>
        <w:rPr>
          <w:rFonts w:hAnsi="宋体" w:cs="宋体"/>
        </w:rPr>
      </w:pPr>
      <w:r>
        <w:rPr>
          <w:rFonts w:hint="eastAsia" w:hAnsi="宋体" w:cs="宋体"/>
        </w:rPr>
        <w:t>2、项目负责人简历中应附职称证书、学历证书等复印件。</w:t>
      </w:r>
    </w:p>
    <w:tbl>
      <w:tblPr>
        <w:tblStyle w:val="27"/>
        <w:tblW w:w="94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605"/>
        <w:gridCol w:w="1259"/>
        <w:gridCol w:w="361"/>
        <w:gridCol w:w="1619"/>
        <w:gridCol w:w="162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24" w:type="dxa"/>
            <w:vAlign w:val="center"/>
          </w:tcPr>
          <w:p>
            <w:pPr>
              <w:pStyle w:val="2"/>
              <w:spacing w:line="440" w:lineRule="exact"/>
              <w:ind w:firstLine="480" w:firstLineChars="200"/>
              <w:rPr>
                <w:rFonts w:hAnsi="宋体" w:cs="宋体"/>
              </w:rPr>
            </w:pPr>
            <w:r>
              <w:rPr>
                <w:rFonts w:hint="eastAsia" w:hAnsi="宋体" w:cs="宋体"/>
              </w:rPr>
              <w:t>姓名</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480" w:firstLineChars="200"/>
              <w:rPr>
                <w:rFonts w:hAnsi="宋体" w:cs="宋体"/>
              </w:rPr>
            </w:pPr>
            <w:r>
              <w:rPr>
                <w:rFonts w:hint="eastAsia" w:hAnsi="宋体" w:cs="宋体"/>
              </w:rPr>
              <w:t>性别</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2"/>
              <w:spacing w:line="440" w:lineRule="exact"/>
              <w:ind w:firstLine="480" w:firstLineChars="200"/>
              <w:rPr>
                <w:rFonts w:hAnsi="宋体" w:cs="宋体"/>
              </w:rPr>
            </w:pPr>
            <w:r>
              <w:rPr>
                <w:rFonts w:hint="eastAsia" w:hAnsi="宋体" w:cs="宋体"/>
              </w:rPr>
              <w:t>职称</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480" w:firstLineChars="200"/>
              <w:rPr>
                <w:rFonts w:hAnsi="宋体" w:cs="宋体"/>
              </w:rPr>
            </w:pPr>
            <w:r>
              <w:rPr>
                <w:rFonts w:hint="eastAsia" w:hAnsi="宋体" w:cs="宋体"/>
              </w:rPr>
              <w:t>学历</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2"/>
              <w:spacing w:line="440" w:lineRule="exact"/>
              <w:ind w:firstLine="480" w:firstLineChars="200"/>
              <w:rPr>
                <w:rFonts w:hAnsi="宋体" w:cs="宋体"/>
              </w:rPr>
            </w:pPr>
            <w:r>
              <w:rPr>
                <w:rFonts w:hint="eastAsia" w:hAnsi="宋体" w:cs="宋体"/>
              </w:rPr>
              <w:t>参加工作时间</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0"/>
              <w:rPr>
                <w:rFonts w:hAnsi="宋体" w:cs="宋体"/>
              </w:rPr>
            </w:pPr>
            <w:r>
              <w:rPr>
                <w:rFonts w:hint="eastAsia" w:hAnsi="宋体" w:cs="宋体"/>
              </w:rPr>
              <w:t>从事工作年限</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2"/>
              <w:spacing w:line="440" w:lineRule="exact"/>
              <w:ind w:firstLine="480" w:firstLineChars="200"/>
              <w:rPr>
                <w:rFonts w:hAnsi="宋体" w:cs="宋体"/>
              </w:rPr>
            </w:pPr>
            <w:r>
              <w:rPr>
                <w:rFonts w:hint="eastAsia" w:hAnsi="宋体" w:cs="宋体"/>
              </w:rPr>
              <w:t>专业</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480" w:firstLineChars="200"/>
              <w:rPr>
                <w:rFonts w:hAnsi="宋体" w:cs="宋体"/>
              </w:rPr>
            </w:pPr>
            <w:r>
              <w:rPr>
                <w:rFonts w:hint="eastAsia" w:hAnsi="宋体" w:cs="宋体"/>
              </w:rPr>
              <w:t>毕业学校</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2"/>
              <w:spacing w:line="440" w:lineRule="exact"/>
              <w:ind w:firstLine="480" w:firstLineChars="200"/>
              <w:rPr>
                <w:rFonts w:hAnsi="宋体" w:cs="宋体"/>
              </w:rPr>
            </w:pPr>
            <w:r>
              <w:rPr>
                <w:rFonts w:hint="eastAsia" w:hAnsi="宋体" w:cs="宋体"/>
              </w:rPr>
              <w:t>身份证号码</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0"/>
              <w:rPr>
                <w:rFonts w:hAnsi="宋体" w:cs="宋体"/>
              </w:rPr>
            </w:pPr>
            <w:r>
              <w:rPr>
                <w:rFonts w:hint="eastAsia" w:hAnsi="宋体" w:cs="宋体"/>
              </w:rPr>
              <w:t>在公司担任职务</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2"/>
              <w:spacing w:line="440" w:lineRule="exact"/>
              <w:ind w:firstLine="480" w:firstLineChars="200"/>
              <w:rPr>
                <w:rFonts w:hAnsi="宋体" w:cs="宋体"/>
              </w:rPr>
            </w:pPr>
            <w:r>
              <w:rPr>
                <w:rFonts w:hint="eastAsia" w:hAnsi="宋体" w:cs="宋体"/>
              </w:rPr>
              <w:t>执业资格</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480" w:firstLineChars="200"/>
              <w:rPr>
                <w:rFonts w:hAnsi="宋体" w:cs="宋体"/>
              </w:rPr>
            </w:pPr>
            <w:r>
              <w:rPr>
                <w:rFonts w:hint="eastAsia" w:hAnsi="宋体" w:cs="宋体"/>
              </w:rPr>
              <w:t>证书编号</w:t>
            </w: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2"/>
              <w:spacing w:line="440" w:lineRule="exact"/>
              <w:ind w:firstLine="480" w:firstLineChars="200"/>
              <w:rPr>
                <w:rFonts w:hAnsi="宋体" w:cs="宋体"/>
              </w:rPr>
            </w:pPr>
            <w:r>
              <w:rPr>
                <w:rFonts w:hint="eastAsia" w:hAnsi="宋体" w:cs="宋体"/>
              </w:rPr>
              <w:t>联系电话</w:t>
            </w:r>
          </w:p>
        </w:tc>
        <w:tc>
          <w:tcPr>
            <w:tcW w:w="2864" w:type="dxa"/>
            <w:gridSpan w:val="2"/>
            <w:vAlign w:val="center"/>
          </w:tcPr>
          <w:p>
            <w:pPr>
              <w:pStyle w:val="2"/>
              <w:spacing w:line="440" w:lineRule="exact"/>
              <w:ind w:firstLine="480" w:firstLineChars="200"/>
              <w:rPr>
                <w:rFonts w:hAnsi="宋体" w:cs="宋体"/>
              </w:rPr>
            </w:pPr>
          </w:p>
        </w:tc>
        <w:tc>
          <w:tcPr>
            <w:tcW w:w="1980" w:type="dxa"/>
            <w:gridSpan w:val="2"/>
            <w:vAlign w:val="center"/>
          </w:tcPr>
          <w:p>
            <w:pPr>
              <w:pStyle w:val="2"/>
              <w:spacing w:line="440" w:lineRule="exact"/>
              <w:ind w:firstLine="480" w:firstLineChars="200"/>
              <w:rPr>
                <w:rFonts w:hAnsi="宋体" w:cs="宋体"/>
              </w:rPr>
            </w:pPr>
          </w:p>
        </w:tc>
        <w:tc>
          <w:tcPr>
            <w:tcW w:w="2701" w:type="dxa"/>
            <w:gridSpan w:val="2"/>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24" w:type="dxa"/>
            <w:vMerge w:val="restart"/>
            <w:vAlign w:val="center"/>
          </w:tcPr>
          <w:p>
            <w:pPr>
              <w:pStyle w:val="2"/>
              <w:spacing w:line="440" w:lineRule="exact"/>
              <w:ind w:firstLine="480" w:firstLineChars="200"/>
              <w:rPr>
                <w:rFonts w:hAnsi="宋体" w:cs="宋体"/>
              </w:rPr>
            </w:pPr>
            <w:r>
              <w:rPr>
                <w:rFonts w:hint="eastAsia" w:hAnsi="宋体" w:cs="宋体"/>
              </w:rPr>
              <w:t>类似业绩</w:t>
            </w:r>
          </w:p>
        </w:tc>
        <w:tc>
          <w:tcPr>
            <w:tcW w:w="1605" w:type="dxa"/>
            <w:vAlign w:val="center"/>
          </w:tcPr>
          <w:p>
            <w:pPr>
              <w:pStyle w:val="2"/>
              <w:spacing w:line="440" w:lineRule="exact"/>
              <w:rPr>
                <w:rFonts w:hAnsi="宋体" w:cs="宋体"/>
              </w:rPr>
            </w:pPr>
            <w:r>
              <w:rPr>
                <w:rFonts w:hint="eastAsia" w:hAnsi="宋体" w:cs="宋体"/>
              </w:rPr>
              <w:t>建设单位</w:t>
            </w:r>
          </w:p>
        </w:tc>
        <w:tc>
          <w:tcPr>
            <w:tcW w:w="1620" w:type="dxa"/>
            <w:gridSpan w:val="2"/>
            <w:vAlign w:val="center"/>
          </w:tcPr>
          <w:p>
            <w:pPr>
              <w:pStyle w:val="2"/>
              <w:spacing w:line="440" w:lineRule="exact"/>
              <w:rPr>
                <w:rFonts w:hAnsi="宋体" w:cs="宋体"/>
              </w:rPr>
            </w:pPr>
            <w:r>
              <w:rPr>
                <w:rFonts w:hint="eastAsia" w:hAnsi="宋体" w:cs="宋体"/>
              </w:rPr>
              <w:t>项目名称</w:t>
            </w:r>
          </w:p>
        </w:tc>
        <w:tc>
          <w:tcPr>
            <w:tcW w:w="1619" w:type="dxa"/>
            <w:vAlign w:val="center"/>
          </w:tcPr>
          <w:p>
            <w:pPr>
              <w:pStyle w:val="2"/>
              <w:spacing w:line="440" w:lineRule="exact"/>
              <w:rPr>
                <w:rFonts w:hAnsi="宋体" w:cs="宋体"/>
              </w:rPr>
            </w:pPr>
            <w:r>
              <w:rPr>
                <w:rFonts w:hint="eastAsia" w:hAnsi="宋体" w:cs="宋体"/>
              </w:rPr>
              <w:t>合同金额</w:t>
            </w:r>
          </w:p>
        </w:tc>
        <w:tc>
          <w:tcPr>
            <w:tcW w:w="1620" w:type="dxa"/>
            <w:vAlign w:val="center"/>
          </w:tcPr>
          <w:p>
            <w:pPr>
              <w:pStyle w:val="2"/>
              <w:spacing w:line="440" w:lineRule="exact"/>
              <w:rPr>
                <w:rFonts w:hAnsi="宋体" w:cs="宋体"/>
              </w:rPr>
            </w:pPr>
            <w:r>
              <w:rPr>
                <w:rFonts w:hint="eastAsia" w:hAnsi="宋体" w:cs="宋体"/>
              </w:rPr>
              <w:t>完成时间</w:t>
            </w:r>
          </w:p>
        </w:tc>
        <w:tc>
          <w:tcPr>
            <w:tcW w:w="1081" w:type="dxa"/>
            <w:vAlign w:val="center"/>
          </w:tcPr>
          <w:p>
            <w:pPr>
              <w:pStyle w:val="2"/>
              <w:spacing w:line="440" w:lineRule="exact"/>
              <w:ind w:firstLine="0"/>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2"/>
              <w:spacing w:line="440" w:lineRule="exact"/>
              <w:ind w:firstLine="480" w:firstLineChars="200"/>
              <w:rPr>
                <w:rFonts w:hAnsi="宋体" w:cs="宋体"/>
              </w:rPr>
            </w:pPr>
          </w:p>
        </w:tc>
        <w:tc>
          <w:tcPr>
            <w:tcW w:w="1605" w:type="dxa"/>
            <w:vAlign w:val="center"/>
          </w:tcPr>
          <w:p>
            <w:pPr>
              <w:pStyle w:val="2"/>
              <w:spacing w:line="440" w:lineRule="exact"/>
              <w:ind w:firstLine="480" w:firstLineChars="200"/>
              <w:rPr>
                <w:rFonts w:hAnsi="宋体" w:cs="宋体"/>
              </w:rPr>
            </w:pPr>
          </w:p>
        </w:tc>
        <w:tc>
          <w:tcPr>
            <w:tcW w:w="1620" w:type="dxa"/>
            <w:gridSpan w:val="2"/>
            <w:vAlign w:val="center"/>
          </w:tcPr>
          <w:p>
            <w:pPr>
              <w:pStyle w:val="2"/>
              <w:spacing w:line="440" w:lineRule="exact"/>
              <w:ind w:firstLine="480" w:firstLineChars="200"/>
              <w:rPr>
                <w:rFonts w:hAnsi="宋体" w:cs="宋体"/>
              </w:rPr>
            </w:pPr>
          </w:p>
        </w:tc>
        <w:tc>
          <w:tcPr>
            <w:tcW w:w="1619" w:type="dxa"/>
            <w:vAlign w:val="center"/>
          </w:tcPr>
          <w:p>
            <w:pPr>
              <w:pStyle w:val="2"/>
              <w:spacing w:line="440" w:lineRule="exact"/>
              <w:ind w:firstLine="480" w:firstLineChars="200"/>
              <w:rPr>
                <w:rFonts w:hAnsi="宋体" w:cs="宋体"/>
              </w:rPr>
            </w:pPr>
          </w:p>
        </w:tc>
        <w:tc>
          <w:tcPr>
            <w:tcW w:w="1620" w:type="dxa"/>
            <w:vAlign w:val="center"/>
          </w:tcPr>
          <w:p>
            <w:pPr>
              <w:pStyle w:val="2"/>
              <w:spacing w:line="440" w:lineRule="exact"/>
              <w:ind w:firstLine="480" w:firstLineChars="200"/>
              <w:rPr>
                <w:rFonts w:hAnsi="宋体" w:cs="宋体"/>
              </w:rPr>
            </w:pPr>
          </w:p>
        </w:tc>
        <w:tc>
          <w:tcPr>
            <w:tcW w:w="1081" w:type="dxa"/>
            <w:vAlign w:val="center"/>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2"/>
              <w:spacing w:line="440" w:lineRule="exact"/>
              <w:ind w:firstLine="480" w:firstLineChars="200"/>
              <w:rPr>
                <w:rFonts w:hAnsi="宋体" w:cs="宋体"/>
              </w:rPr>
            </w:pPr>
          </w:p>
        </w:tc>
        <w:tc>
          <w:tcPr>
            <w:tcW w:w="1605" w:type="dxa"/>
            <w:vAlign w:val="center"/>
          </w:tcPr>
          <w:p>
            <w:pPr>
              <w:pStyle w:val="2"/>
              <w:spacing w:line="440" w:lineRule="exact"/>
              <w:ind w:firstLine="480" w:firstLineChars="200"/>
              <w:rPr>
                <w:rFonts w:hAnsi="宋体" w:cs="宋体"/>
              </w:rPr>
            </w:pPr>
          </w:p>
        </w:tc>
        <w:tc>
          <w:tcPr>
            <w:tcW w:w="1620" w:type="dxa"/>
            <w:gridSpan w:val="2"/>
            <w:vAlign w:val="center"/>
          </w:tcPr>
          <w:p>
            <w:pPr>
              <w:pStyle w:val="2"/>
              <w:spacing w:line="440" w:lineRule="exact"/>
              <w:ind w:firstLine="480" w:firstLineChars="200"/>
              <w:rPr>
                <w:rFonts w:hAnsi="宋体" w:cs="宋体"/>
              </w:rPr>
            </w:pPr>
          </w:p>
        </w:tc>
        <w:tc>
          <w:tcPr>
            <w:tcW w:w="1619" w:type="dxa"/>
            <w:vAlign w:val="center"/>
          </w:tcPr>
          <w:p>
            <w:pPr>
              <w:pStyle w:val="2"/>
              <w:spacing w:line="440" w:lineRule="exact"/>
              <w:ind w:firstLine="480" w:firstLineChars="200"/>
              <w:rPr>
                <w:rFonts w:hAnsi="宋体" w:cs="宋体"/>
              </w:rPr>
            </w:pPr>
          </w:p>
        </w:tc>
        <w:tc>
          <w:tcPr>
            <w:tcW w:w="1620" w:type="dxa"/>
            <w:vAlign w:val="center"/>
          </w:tcPr>
          <w:p>
            <w:pPr>
              <w:pStyle w:val="2"/>
              <w:spacing w:line="440" w:lineRule="exact"/>
              <w:ind w:firstLine="480" w:firstLineChars="200"/>
              <w:rPr>
                <w:rFonts w:hAnsi="宋体" w:cs="宋体"/>
              </w:rPr>
            </w:pPr>
          </w:p>
        </w:tc>
        <w:tc>
          <w:tcPr>
            <w:tcW w:w="1081" w:type="dxa"/>
            <w:vAlign w:val="center"/>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2"/>
              <w:spacing w:line="440" w:lineRule="exact"/>
              <w:ind w:firstLine="480" w:firstLineChars="200"/>
              <w:rPr>
                <w:rFonts w:hAnsi="宋体" w:cs="宋体"/>
              </w:rPr>
            </w:pPr>
          </w:p>
        </w:tc>
        <w:tc>
          <w:tcPr>
            <w:tcW w:w="1605" w:type="dxa"/>
            <w:vAlign w:val="center"/>
          </w:tcPr>
          <w:p>
            <w:pPr>
              <w:pStyle w:val="2"/>
              <w:spacing w:line="440" w:lineRule="exact"/>
              <w:ind w:firstLine="480" w:firstLineChars="200"/>
              <w:rPr>
                <w:rFonts w:hAnsi="宋体" w:cs="宋体"/>
              </w:rPr>
            </w:pPr>
          </w:p>
        </w:tc>
        <w:tc>
          <w:tcPr>
            <w:tcW w:w="1620" w:type="dxa"/>
            <w:gridSpan w:val="2"/>
            <w:vAlign w:val="center"/>
          </w:tcPr>
          <w:p>
            <w:pPr>
              <w:pStyle w:val="2"/>
              <w:spacing w:line="440" w:lineRule="exact"/>
              <w:ind w:firstLine="480" w:firstLineChars="200"/>
              <w:rPr>
                <w:rFonts w:hAnsi="宋体" w:cs="宋体"/>
              </w:rPr>
            </w:pPr>
          </w:p>
        </w:tc>
        <w:tc>
          <w:tcPr>
            <w:tcW w:w="1619" w:type="dxa"/>
            <w:vAlign w:val="center"/>
          </w:tcPr>
          <w:p>
            <w:pPr>
              <w:pStyle w:val="2"/>
              <w:spacing w:line="440" w:lineRule="exact"/>
              <w:ind w:firstLine="480" w:firstLineChars="200"/>
              <w:rPr>
                <w:rFonts w:hAnsi="宋体" w:cs="宋体"/>
              </w:rPr>
            </w:pPr>
          </w:p>
        </w:tc>
        <w:tc>
          <w:tcPr>
            <w:tcW w:w="1620" w:type="dxa"/>
            <w:vAlign w:val="center"/>
          </w:tcPr>
          <w:p>
            <w:pPr>
              <w:pStyle w:val="2"/>
              <w:spacing w:line="440" w:lineRule="exact"/>
              <w:ind w:firstLine="480" w:firstLineChars="200"/>
              <w:rPr>
                <w:rFonts w:hAnsi="宋体" w:cs="宋体"/>
              </w:rPr>
            </w:pPr>
          </w:p>
        </w:tc>
        <w:tc>
          <w:tcPr>
            <w:tcW w:w="1081" w:type="dxa"/>
            <w:vAlign w:val="center"/>
          </w:tcPr>
          <w:p>
            <w:pPr>
              <w:pStyle w:val="2"/>
              <w:spacing w:line="440" w:lineRule="exact"/>
              <w:ind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2"/>
              <w:spacing w:line="440" w:lineRule="exact"/>
              <w:ind w:firstLine="480" w:firstLineChars="200"/>
              <w:rPr>
                <w:rFonts w:hAnsi="宋体" w:cs="宋体"/>
              </w:rPr>
            </w:pPr>
          </w:p>
        </w:tc>
        <w:tc>
          <w:tcPr>
            <w:tcW w:w="1605" w:type="dxa"/>
            <w:vAlign w:val="center"/>
          </w:tcPr>
          <w:p>
            <w:pPr>
              <w:pStyle w:val="2"/>
              <w:spacing w:line="440" w:lineRule="exact"/>
              <w:ind w:firstLine="480" w:firstLineChars="200"/>
              <w:rPr>
                <w:rFonts w:hAnsi="宋体" w:cs="宋体"/>
              </w:rPr>
            </w:pPr>
          </w:p>
        </w:tc>
        <w:tc>
          <w:tcPr>
            <w:tcW w:w="1620" w:type="dxa"/>
            <w:gridSpan w:val="2"/>
            <w:vAlign w:val="center"/>
          </w:tcPr>
          <w:p>
            <w:pPr>
              <w:pStyle w:val="2"/>
              <w:spacing w:line="440" w:lineRule="exact"/>
              <w:ind w:firstLine="480" w:firstLineChars="200"/>
              <w:rPr>
                <w:rFonts w:hAnsi="宋体" w:cs="宋体"/>
              </w:rPr>
            </w:pPr>
          </w:p>
        </w:tc>
        <w:tc>
          <w:tcPr>
            <w:tcW w:w="1619" w:type="dxa"/>
            <w:vAlign w:val="center"/>
          </w:tcPr>
          <w:p>
            <w:pPr>
              <w:pStyle w:val="2"/>
              <w:spacing w:line="440" w:lineRule="exact"/>
              <w:ind w:firstLine="480" w:firstLineChars="200"/>
              <w:rPr>
                <w:rFonts w:hAnsi="宋体" w:cs="宋体"/>
              </w:rPr>
            </w:pPr>
          </w:p>
        </w:tc>
        <w:tc>
          <w:tcPr>
            <w:tcW w:w="1620" w:type="dxa"/>
            <w:vAlign w:val="center"/>
          </w:tcPr>
          <w:p>
            <w:pPr>
              <w:pStyle w:val="2"/>
              <w:spacing w:line="440" w:lineRule="exact"/>
              <w:ind w:firstLine="480" w:firstLineChars="200"/>
              <w:rPr>
                <w:rFonts w:hAnsi="宋体" w:cs="宋体"/>
              </w:rPr>
            </w:pPr>
          </w:p>
        </w:tc>
        <w:tc>
          <w:tcPr>
            <w:tcW w:w="1081" w:type="dxa"/>
            <w:vAlign w:val="center"/>
          </w:tcPr>
          <w:p>
            <w:pPr>
              <w:pStyle w:val="2"/>
              <w:spacing w:line="440" w:lineRule="exact"/>
              <w:ind w:firstLine="480" w:firstLineChars="200"/>
              <w:rPr>
                <w:rFonts w:hAnsi="宋体" w:cs="宋体"/>
              </w:rPr>
            </w:pPr>
          </w:p>
        </w:tc>
      </w:tr>
    </w:tbl>
    <w:p>
      <w:pPr>
        <w:pStyle w:val="2"/>
        <w:spacing w:line="440" w:lineRule="exact"/>
        <w:ind w:firstLine="480" w:firstLineChars="200"/>
        <w:rPr>
          <w:rFonts w:hAnsi="宋体" w:cs="宋体"/>
        </w:rPr>
      </w:pPr>
      <w:r>
        <w:rPr>
          <w:rFonts w:hint="eastAsia" w:hAnsi="宋体" w:cs="宋体"/>
        </w:rPr>
        <w:t>备注：项目负责人近三年已完成的类似项目业绩，须提供中标通知书或合同复印件。</w:t>
      </w:r>
    </w:p>
    <w:p>
      <w:pPr>
        <w:pStyle w:val="2"/>
        <w:spacing w:line="440" w:lineRule="exact"/>
        <w:ind w:firstLine="480" w:firstLineChars="200"/>
        <w:rPr>
          <w:rFonts w:hAnsi="宋体" w:cs="宋体"/>
        </w:rPr>
      </w:pPr>
    </w:p>
    <w:p>
      <w:pPr>
        <w:pStyle w:val="2"/>
        <w:spacing w:line="440" w:lineRule="exact"/>
        <w:ind w:firstLine="480" w:firstLineChars="200"/>
        <w:rPr>
          <w:rFonts w:hAnsi="宋体" w:cs="宋体"/>
        </w:rPr>
      </w:pPr>
    </w:p>
    <w:p>
      <w:pPr>
        <w:pStyle w:val="2"/>
        <w:spacing w:line="440" w:lineRule="exact"/>
        <w:ind w:firstLine="480" w:firstLineChars="200"/>
        <w:jc w:val="center"/>
        <w:rPr>
          <w:rFonts w:hAnsi="宋体" w:cs="宋体"/>
        </w:rPr>
      </w:pPr>
      <w:r>
        <w:rPr>
          <w:rFonts w:hint="eastAsia" w:hAnsi="宋体" w:cs="宋体"/>
        </w:rPr>
        <w:t xml:space="preserve">                             投标人：（盖</w:t>
      </w:r>
      <w:r>
        <w:rPr>
          <w:rFonts w:hint="eastAsia" w:hAnsi="宋体" w:cs="宋体"/>
          <w:lang w:val="en-US" w:eastAsia="zh-CN"/>
        </w:rPr>
        <w:t>单位</w:t>
      </w:r>
      <w:r>
        <w:rPr>
          <w:rFonts w:hint="eastAsia" w:hAnsi="宋体" w:cs="宋体"/>
        </w:rPr>
        <w:t>章）</w:t>
      </w:r>
    </w:p>
    <w:p>
      <w:pPr>
        <w:pStyle w:val="2"/>
        <w:spacing w:line="440" w:lineRule="exact"/>
        <w:ind w:firstLine="480" w:firstLineChars="200"/>
        <w:jc w:val="right"/>
        <w:rPr>
          <w:rFonts w:hAnsi="宋体" w:cs="宋体"/>
        </w:rPr>
      </w:pPr>
    </w:p>
    <w:p>
      <w:pPr>
        <w:pStyle w:val="2"/>
        <w:spacing w:line="440" w:lineRule="exact"/>
        <w:ind w:firstLine="480" w:firstLineChars="200"/>
        <w:jc w:val="center"/>
        <w:rPr>
          <w:rFonts w:hAnsi="宋体" w:cs="宋体"/>
        </w:rPr>
      </w:pPr>
      <w:r>
        <w:rPr>
          <w:rFonts w:hint="eastAsia" w:hAnsi="宋体" w:cs="宋体"/>
          <w:lang w:val="en-US" w:eastAsia="zh-CN"/>
        </w:rPr>
        <w:t xml:space="preserve">                                 </w:t>
      </w:r>
      <w:r>
        <w:rPr>
          <w:rFonts w:hint="eastAsia" w:hAnsi="宋体" w:cs="宋体"/>
        </w:rPr>
        <w:t>法定代表人：（签字或盖章）</w:t>
      </w:r>
    </w:p>
    <w:p>
      <w:pPr>
        <w:pStyle w:val="2"/>
        <w:spacing w:line="440" w:lineRule="exact"/>
        <w:ind w:firstLine="480" w:firstLineChars="200"/>
        <w:jc w:val="right"/>
        <w:rPr>
          <w:rFonts w:hAnsi="宋体" w:cs="宋体"/>
        </w:rPr>
      </w:pPr>
    </w:p>
    <w:p>
      <w:pPr>
        <w:pStyle w:val="2"/>
        <w:spacing w:line="440" w:lineRule="exact"/>
        <w:ind w:firstLine="480" w:firstLineChars="200"/>
        <w:jc w:val="center"/>
        <w:rPr>
          <w:rFonts w:hAnsi="宋体" w:cs="宋体"/>
        </w:rPr>
      </w:pPr>
      <w:r>
        <w:rPr>
          <w:rFonts w:hint="eastAsia" w:hAnsi="宋体" w:cs="宋体"/>
        </w:rPr>
        <w:t xml:space="preserve">                                 日期：   年   月   日</w:t>
      </w:r>
    </w:p>
    <w:p>
      <w:pPr>
        <w:rPr>
          <w:rFonts w:ascii="宋体"/>
          <w:kern w:val="0"/>
          <w:sz w:val="24"/>
          <w:szCs w:val="20"/>
        </w:rPr>
      </w:pPr>
      <w:r>
        <w:br w:type="page"/>
      </w:r>
    </w:p>
    <w:p>
      <w:pPr>
        <w:pStyle w:val="5"/>
      </w:pPr>
      <w:bookmarkStart w:id="427" w:name="_Toc27144"/>
      <w:r>
        <w:rPr>
          <w:rFonts w:hint="eastAsia"/>
          <w:lang w:val="en-US" w:eastAsia="zh-CN"/>
        </w:rPr>
        <w:t>9-2</w:t>
      </w:r>
      <w:r>
        <w:rPr>
          <w:rFonts w:hint="eastAsia"/>
        </w:rPr>
        <w:t>、此项目其他专职人员表</w:t>
      </w:r>
      <w:bookmarkEnd w:id="427"/>
    </w:p>
    <w:p>
      <w:pPr>
        <w:pStyle w:val="15"/>
      </w:pPr>
    </w:p>
    <w:p>
      <w:pPr>
        <w:pStyle w:val="5"/>
        <w:spacing w:before="0" w:line="440" w:lineRule="exact"/>
        <w:jc w:val="both"/>
        <w:rPr>
          <w:rFonts w:ascii="宋体" w:hAnsi="宋体" w:eastAsia="宋体" w:cs="宋体"/>
          <w:b w:val="0"/>
          <w:sz w:val="24"/>
        </w:rPr>
      </w:pPr>
      <w:bookmarkStart w:id="428" w:name="_Toc24383"/>
      <w:r>
        <w:rPr>
          <w:rFonts w:hint="eastAsia" w:ascii="宋体" w:hAnsi="宋体" w:eastAsia="宋体" w:cs="宋体"/>
          <w:b w:val="0"/>
          <w:sz w:val="24"/>
        </w:rPr>
        <w:t>1、其他专职人员应包括：项目负责人认为需要配备的其他人员。</w:t>
      </w:r>
      <w:bookmarkEnd w:id="428"/>
    </w:p>
    <w:p>
      <w:pPr>
        <w:pStyle w:val="5"/>
        <w:spacing w:before="0" w:line="440" w:lineRule="exact"/>
        <w:jc w:val="both"/>
        <w:rPr>
          <w:rFonts w:ascii="宋体" w:hAnsi="宋体" w:eastAsia="宋体" w:cs="宋体"/>
          <w:b w:val="0"/>
          <w:sz w:val="24"/>
        </w:rPr>
      </w:pPr>
      <w:bookmarkStart w:id="429" w:name="_Toc8947"/>
      <w:r>
        <w:rPr>
          <w:rFonts w:hint="eastAsia" w:ascii="宋体" w:hAnsi="宋体" w:eastAsia="宋体" w:cs="宋体"/>
          <w:b w:val="0"/>
          <w:sz w:val="24"/>
        </w:rPr>
        <w:t>2、上述人员介绍应包括姓名、职称、主要资历等基本信息。</w:t>
      </w:r>
      <w:bookmarkEnd w:id="429"/>
    </w:p>
    <w:p>
      <w:pPr>
        <w:pStyle w:val="5"/>
        <w:spacing w:before="0" w:line="440" w:lineRule="exact"/>
        <w:jc w:val="both"/>
        <w:rPr>
          <w:rFonts w:ascii="宋体" w:hAnsi="宋体" w:eastAsia="宋体" w:cs="宋体"/>
          <w:b w:val="0"/>
          <w:sz w:val="24"/>
        </w:rPr>
      </w:pPr>
      <w:bookmarkStart w:id="430" w:name="_Toc12602"/>
      <w:r>
        <w:rPr>
          <w:rFonts w:hint="eastAsia" w:ascii="宋体" w:hAnsi="宋体" w:eastAsia="宋体" w:cs="宋体"/>
          <w:b w:val="0"/>
          <w:sz w:val="24"/>
        </w:rPr>
        <w:t>3、其他专职人员应附职称证书、学历证明等其它相关证件的复印件。</w:t>
      </w:r>
      <w:bookmarkEnd w:id="430"/>
    </w:p>
    <w:tbl>
      <w:tblPr>
        <w:tblStyle w:val="27"/>
        <w:tblW w:w="962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44"/>
        <w:gridCol w:w="1002"/>
        <w:gridCol w:w="1215"/>
        <w:gridCol w:w="1014"/>
        <w:gridCol w:w="1082"/>
        <w:gridCol w:w="152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pPr>
              <w:spacing w:line="440" w:lineRule="exact"/>
              <w:jc w:val="center"/>
              <w:rPr>
                <w:rFonts w:ascii="宋体" w:hAnsi="宋体" w:cs="宋体"/>
                <w:kern w:val="0"/>
                <w:szCs w:val="21"/>
              </w:rPr>
            </w:pPr>
            <w:r>
              <w:rPr>
                <w:rFonts w:hint="eastAsia" w:ascii="宋体" w:hAnsi="宋体" w:cs="宋体"/>
                <w:bCs/>
                <w:szCs w:val="21"/>
              </w:rPr>
              <w:t>姓名</w:t>
            </w:r>
          </w:p>
        </w:tc>
        <w:tc>
          <w:tcPr>
            <w:tcW w:w="1644" w:type="dxa"/>
            <w:vAlign w:val="center"/>
          </w:tcPr>
          <w:p>
            <w:pPr>
              <w:spacing w:line="440" w:lineRule="exact"/>
              <w:jc w:val="center"/>
              <w:rPr>
                <w:rFonts w:ascii="宋体" w:hAnsi="宋体" w:cs="宋体"/>
                <w:kern w:val="0"/>
                <w:szCs w:val="21"/>
              </w:rPr>
            </w:pPr>
            <w:r>
              <w:rPr>
                <w:rFonts w:hint="eastAsia" w:ascii="宋体" w:hAnsi="宋体" w:cs="宋体"/>
                <w:bCs/>
                <w:szCs w:val="21"/>
              </w:rPr>
              <w:t>身份证号码</w:t>
            </w:r>
          </w:p>
        </w:tc>
        <w:tc>
          <w:tcPr>
            <w:tcW w:w="1002" w:type="dxa"/>
            <w:vAlign w:val="center"/>
          </w:tcPr>
          <w:p>
            <w:pPr>
              <w:spacing w:line="440" w:lineRule="exact"/>
              <w:jc w:val="center"/>
              <w:rPr>
                <w:rFonts w:ascii="宋体" w:hAnsi="宋体" w:cs="宋体"/>
                <w:kern w:val="0"/>
                <w:szCs w:val="21"/>
              </w:rPr>
            </w:pPr>
            <w:r>
              <w:rPr>
                <w:rFonts w:hint="eastAsia" w:ascii="宋体" w:hAnsi="宋体" w:cs="宋体"/>
                <w:bCs/>
                <w:szCs w:val="21"/>
              </w:rPr>
              <w:t>性别</w:t>
            </w:r>
          </w:p>
        </w:tc>
        <w:tc>
          <w:tcPr>
            <w:tcW w:w="1215" w:type="dxa"/>
            <w:vAlign w:val="center"/>
          </w:tcPr>
          <w:p>
            <w:pPr>
              <w:spacing w:line="440" w:lineRule="exact"/>
              <w:jc w:val="center"/>
              <w:rPr>
                <w:rFonts w:ascii="宋体" w:hAnsi="宋体" w:cs="宋体"/>
                <w:kern w:val="0"/>
                <w:szCs w:val="21"/>
              </w:rPr>
            </w:pPr>
            <w:r>
              <w:rPr>
                <w:rFonts w:hint="eastAsia" w:ascii="宋体" w:hAnsi="宋体" w:cs="宋体"/>
                <w:bCs/>
                <w:szCs w:val="21"/>
              </w:rPr>
              <w:t>职称</w:t>
            </w:r>
          </w:p>
        </w:tc>
        <w:tc>
          <w:tcPr>
            <w:tcW w:w="1014" w:type="dxa"/>
            <w:vAlign w:val="center"/>
          </w:tcPr>
          <w:p>
            <w:pPr>
              <w:spacing w:line="440" w:lineRule="exact"/>
              <w:jc w:val="center"/>
              <w:rPr>
                <w:rFonts w:ascii="宋体" w:hAnsi="宋体" w:cs="宋体"/>
                <w:kern w:val="0"/>
                <w:szCs w:val="21"/>
              </w:rPr>
            </w:pPr>
            <w:r>
              <w:rPr>
                <w:rFonts w:hint="eastAsia" w:ascii="宋体" w:hAnsi="宋体" w:cs="宋体"/>
                <w:bCs/>
                <w:szCs w:val="21"/>
              </w:rPr>
              <w:t>学历</w:t>
            </w:r>
          </w:p>
        </w:tc>
        <w:tc>
          <w:tcPr>
            <w:tcW w:w="1082" w:type="dxa"/>
            <w:vAlign w:val="center"/>
          </w:tcPr>
          <w:p>
            <w:pPr>
              <w:spacing w:line="440" w:lineRule="exact"/>
              <w:jc w:val="center"/>
              <w:rPr>
                <w:rFonts w:ascii="宋体" w:hAnsi="宋体" w:cs="宋体"/>
                <w:kern w:val="0"/>
                <w:szCs w:val="21"/>
              </w:rPr>
            </w:pPr>
            <w:r>
              <w:rPr>
                <w:rFonts w:hint="eastAsia" w:ascii="宋体" w:hAnsi="宋体" w:cs="宋体"/>
                <w:bCs/>
                <w:szCs w:val="21"/>
              </w:rPr>
              <w:t>专业</w:t>
            </w:r>
          </w:p>
        </w:tc>
        <w:tc>
          <w:tcPr>
            <w:tcW w:w="1522" w:type="dxa"/>
            <w:vAlign w:val="center"/>
          </w:tcPr>
          <w:p>
            <w:pPr>
              <w:spacing w:line="440" w:lineRule="exact"/>
              <w:jc w:val="center"/>
              <w:rPr>
                <w:rFonts w:ascii="宋体" w:hAnsi="宋体" w:cs="宋体"/>
                <w:kern w:val="0"/>
                <w:szCs w:val="21"/>
              </w:rPr>
            </w:pPr>
            <w:r>
              <w:rPr>
                <w:rFonts w:hint="eastAsia" w:ascii="宋体" w:hAnsi="宋体" w:cs="宋体"/>
                <w:bCs/>
                <w:szCs w:val="21"/>
              </w:rPr>
              <w:t>从事相关工作年限</w:t>
            </w:r>
          </w:p>
        </w:tc>
        <w:tc>
          <w:tcPr>
            <w:tcW w:w="1181" w:type="dxa"/>
          </w:tcPr>
          <w:p>
            <w:pPr>
              <w:spacing w:line="440" w:lineRule="exact"/>
              <w:jc w:val="center"/>
              <w:rPr>
                <w:rFonts w:ascii="宋体" w:hAnsi="宋体" w:cs="宋体"/>
                <w:kern w:val="0"/>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rPr>
            </w:pPr>
          </w:p>
        </w:tc>
        <w:tc>
          <w:tcPr>
            <w:tcW w:w="1644" w:type="dxa"/>
          </w:tcPr>
          <w:p>
            <w:pPr>
              <w:spacing w:line="440" w:lineRule="exact"/>
              <w:rPr>
                <w:rFonts w:ascii="宋体" w:hAnsi="宋体" w:cs="宋体"/>
                <w:kern w:val="0"/>
                <w:sz w:val="24"/>
                <w:szCs w:val="20"/>
              </w:rPr>
            </w:pPr>
          </w:p>
        </w:tc>
        <w:tc>
          <w:tcPr>
            <w:tcW w:w="1002" w:type="dxa"/>
          </w:tcPr>
          <w:p>
            <w:pPr>
              <w:spacing w:line="440" w:lineRule="exact"/>
              <w:rPr>
                <w:rFonts w:ascii="宋体" w:hAnsi="宋体" w:cs="宋体"/>
                <w:kern w:val="0"/>
                <w:sz w:val="24"/>
                <w:szCs w:val="20"/>
              </w:rPr>
            </w:pPr>
          </w:p>
        </w:tc>
        <w:tc>
          <w:tcPr>
            <w:tcW w:w="1215" w:type="dxa"/>
          </w:tcPr>
          <w:p>
            <w:pPr>
              <w:spacing w:line="440" w:lineRule="exact"/>
              <w:rPr>
                <w:rFonts w:ascii="宋体" w:hAnsi="宋体" w:cs="宋体"/>
                <w:kern w:val="0"/>
                <w:sz w:val="24"/>
                <w:szCs w:val="20"/>
              </w:rPr>
            </w:pPr>
          </w:p>
        </w:tc>
        <w:tc>
          <w:tcPr>
            <w:tcW w:w="1014" w:type="dxa"/>
          </w:tcPr>
          <w:p>
            <w:pPr>
              <w:spacing w:line="440" w:lineRule="exact"/>
              <w:rPr>
                <w:rFonts w:ascii="宋体" w:hAnsi="宋体" w:cs="宋体"/>
                <w:kern w:val="0"/>
                <w:sz w:val="24"/>
                <w:szCs w:val="20"/>
              </w:rPr>
            </w:pPr>
          </w:p>
        </w:tc>
        <w:tc>
          <w:tcPr>
            <w:tcW w:w="1082" w:type="dxa"/>
          </w:tcPr>
          <w:p>
            <w:pPr>
              <w:spacing w:line="440" w:lineRule="exact"/>
              <w:rPr>
                <w:rFonts w:ascii="宋体" w:hAnsi="宋体" w:cs="宋体"/>
                <w:kern w:val="0"/>
                <w:sz w:val="24"/>
                <w:szCs w:val="20"/>
              </w:rPr>
            </w:pPr>
          </w:p>
        </w:tc>
        <w:tc>
          <w:tcPr>
            <w:tcW w:w="1522" w:type="dxa"/>
          </w:tcPr>
          <w:p>
            <w:pPr>
              <w:spacing w:line="440" w:lineRule="exact"/>
              <w:rPr>
                <w:rFonts w:ascii="宋体" w:hAnsi="宋体" w:cs="宋体"/>
                <w:kern w:val="0"/>
                <w:sz w:val="24"/>
                <w:szCs w:val="20"/>
              </w:rPr>
            </w:pPr>
          </w:p>
        </w:tc>
        <w:tc>
          <w:tcPr>
            <w:tcW w:w="1181" w:type="dxa"/>
          </w:tcPr>
          <w:p>
            <w:pPr>
              <w:spacing w:line="440" w:lineRule="exact"/>
              <w:rPr>
                <w:rFonts w:ascii="宋体" w:hAnsi="宋体" w:cs="宋体"/>
                <w:kern w:val="0"/>
                <w:sz w:val="24"/>
                <w:szCs w:val="20"/>
              </w:rPr>
            </w:pPr>
          </w:p>
        </w:tc>
      </w:tr>
    </w:tbl>
    <w:p>
      <w:pPr>
        <w:rPr>
          <w:kern w:val="0"/>
          <w:szCs w:val="20"/>
        </w:rPr>
      </w:pPr>
      <w:r>
        <w:br w:type="page"/>
      </w:r>
    </w:p>
    <w:p>
      <w:pPr>
        <w:pStyle w:val="5"/>
        <w:spacing w:before="0" w:line="440" w:lineRule="exact"/>
        <w:ind w:left="1258" w:leftChars="599" w:firstLine="1632" w:firstLineChars="542"/>
        <w:jc w:val="both"/>
        <w:rPr>
          <w:rFonts w:hint="eastAsia" w:ascii="黑体" w:hAnsi="黑体" w:eastAsia="黑体" w:cs="黑体"/>
          <w:bCs/>
          <w:szCs w:val="30"/>
        </w:rPr>
      </w:pPr>
      <w:bookmarkStart w:id="431" w:name="_Toc28657"/>
      <w:r>
        <w:rPr>
          <w:rFonts w:hint="eastAsia" w:ascii="黑体" w:hAnsi="黑体" w:cs="黑体"/>
          <w:bCs/>
          <w:szCs w:val="30"/>
          <w:lang w:val="en-US" w:eastAsia="zh-CN"/>
        </w:rPr>
        <w:t>10</w:t>
      </w:r>
      <w:r>
        <w:rPr>
          <w:rFonts w:hint="eastAsia" w:ascii="黑体" w:hAnsi="黑体" w:eastAsia="黑体" w:cs="黑体"/>
          <w:bCs/>
          <w:szCs w:val="30"/>
        </w:rPr>
        <w:t>、政府采购诚信承诺书</w:t>
      </w:r>
      <w:bookmarkEnd w:id="431"/>
    </w:p>
    <w:p>
      <w:pPr>
        <w:pStyle w:val="15"/>
        <w:spacing w:line="360" w:lineRule="auto"/>
      </w:pPr>
      <w:bookmarkStart w:id="432" w:name="_Toc22042"/>
    </w:p>
    <w:p>
      <w:pPr>
        <w:pStyle w:val="15"/>
        <w:spacing w:line="360" w:lineRule="auto"/>
        <w:rPr>
          <w:sz w:val="24"/>
          <w:szCs w:val="24"/>
        </w:rPr>
      </w:pPr>
      <w:r>
        <w:rPr>
          <w:rFonts w:hint="eastAsia"/>
          <w:sz w:val="24"/>
          <w:szCs w:val="24"/>
        </w:rPr>
        <w:t>（采购人）                     ：</w:t>
      </w:r>
      <w:bookmarkEnd w:id="432"/>
    </w:p>
    <w:p>
      <w:pPr>
        <w:pStyle w:val="15"/>
        <w:spacing w:line="360" w:lineRule="auto"/>
        <w:ind w:firstLine="480" w:firstLineChars="200"/>
        <w:rPr>
          <w:sz w:val="24"/>
          <w:szCs w:val="24"/>
        </w:rPr>
      </w:pPr>
      <w:bookmarkStart w:id="433" w:name="_Toc24546"/>
      <w:r>
        <w:rPr>
          <w:rFonts w:hint="eastAsia"/>
          <w:sz w:val="24"/>
          <w:szCs w:val="24"/>
        </w:rPr>
        <w:t>我公司               （投标单位名称）已详细阅读了项目（项目编号：          ）采购文件，自愿参加本次报价，现就有关事项做出郑重承诺如下：</w:t>
      </w:r>
      <w:bookmarkEnd w:id="433"/>
    </w:p>
    <w:p>
      <w:pPr>
        <w:pStyle w:val="15"/>
        <w:spacing w:line="360" w:lineRule="auto"/>
        <w:ind w:firstLine="480" w:firstLineChars="200"/>
        <w:rPr>
          <w:sz w:val="24"/>
          <w:szCs w:val="24"/>
        </w:rPr>
      </w:pPr>
      <w:bookmarkStart w:id="434" w:name="_Toc25650"/>
      <w:r>
        <w:rPr>
          <w:rFonts w:hint="eastAsia"/>
          <w:sz w:val="24"/>
          <w:szCs w:val="24"/>
        </w:rPr>
        <w:t>一、诚信报价，材料真实。我公司保证所提供的全部材料、报价内容均真实、合法、有效，保证不出借或者借用其他企业资质，不以他人名义报价，不弄虚作假；</w:t>
      </w:r>
      <w:bookmarkEnd w:id="434"/>
    </w:p>
    <w:p>
      <w:pPr>
        <w:pStyle w:val="15"/>
        <w:spacing w:line="360" w:lineRule="auto"/>
        <w:ind w:firstLine="480" w:firstLineChars="200"/>
        <w:rPr>
          <w:sz w:val="24"/>
          <w:szCs w:val="24"/>
        </w:rPr>
      </w:pPr>
      <w:bookmarkStart w:id="435" w:name="_Toc12026"/>
      <w:r>
        <w:rPr>
          <w:rFonts w:hint="eastAsia"/>
          <w:sz w:val="24"/>
          <w:szCs w:val="24"/>
        </w:rPr>
        <w:t>二、遵纪守法，公平竞争。不与其他投标单位相互串通、哄抬价格，不排挤其他投标单位，不损害采购人的合法权益；不向</w:t>
      </w:r>
      <w:r>
        <w:rPr>
          <w:rFonts w:hint="eastAsia"/>
          <w:sz w:val="24"/>
          <w:szCs w:val="24"/>
          <w:lang w:val="en-US" w:eastAsia="zh-CN"/>
        </w:rPr>
        <w:t>评标</w:t>
      </w:r>
      <w:r>
        <w:rPr>
          <w:rFonts w:hint="eastAsia"/>
          <w:sz w:val="24"/>
          <w:szCs w:val="24"/>
        </w:rPr>
        <w:t>小组、采购人提供利益以牟取成交。</w:t>
      </w:r>
      <w:bookmarkEnd w:id="435"/>
    </w:p>
    <w:p>
      <w:pPr>
        <w:pStyle w:val="15"/>
        <w:spacing w:line="360" w:lineRule="auto"/>
        <w:ind w:firstLine="480" w:firstLineChars="200"/>
        <w:rPr>
          <w:sz w:val="24"/>
          <w:szCs w:val="24"/>
        </w:rPr>
      </w:pPr>
      <w:bookmarkStart w:id="436" w:name="_Toc20839"/>
      <w:r>
        <w:rPr>
          <w:rFonts w:hint="eastAsia"/>
          <w:sz w:val="24"/>
          <w:szCs w:val="24"/>
        </w:rPr>
        <w:t>若有违反以上承诺内容的行为，我公司自愿接受取消报价资格、记入信用档案、媒体通报、1-3年内禁止参与政府采购等处罚；如已成交的，自动放弃成交资格，并承担全部法律责任；给采购人造成损失的，依法承担赔偿责任。</w:t>
      </w:r>
      <w:bookmarkEnd w:id="436"/>
    </w:p>
    <w:p>
      <w:pPr>
        <w:pStyle w:val="15"/>
        <w:spacing w:line="360" w:lineRule="auto"/>
        <w:rPr>
          <w:sz w:val="24"/>
          <w:szCs w:val="24"/>
        </w:rPr>
      </w:pPr>
      <w:bookmarkStart w:id="437" w:name="_Toc1032"/>
    </w:p>
    <w:p>
      <w:pPr>
        <w:pStyle w:val="15"/>
        <w:spacing w:line="360" w:lineRule="auto"/>
        <w:rPr>
          <w:sz w:val="24"/>
          <w:szCs w:val="24"/>
        </w:rPr>
      </w:pPr>
    </w:p>
    <w:p>
      <w:pPr>
        <w:pStyle w:val="15"/>
        <w:spacing w:line="360" w:lineRule="auto"/>
        <w:rPr>
          <w:sz w:val="24"/>
          <w:szCs w:val="24"/>
        </w:rPr>
      </w:pPr>
      <w:r>
        <w:rPr>
          <w:rFonts w:hint="eastAsia"/>
          <w:sz w:val="24"/>
          <w:szCs w:val="24"/>
        </w:rPr>
        <w:t>特此承诺</w:t>
      </w:r>
      <w:bookmarkEnd w:id="437"/>
    </w:p>
    <w:p>
      <w:pPr>
        <w:pStyle w:val="15"/>
        <w:spacing w:line="360" w:lineRule="auto"/>
        <w:rPr>
          <w:sz w:val="24"/>
          <w:szCs w:val="24"/>
        </w:rPr>
      </w:pPr>
      <w:bookmarkStart w:id="438" w:name="_Toc30685"/>
      <w:r>
        <w:rPr>
          <w:rFonts w:hint="eastAsia"/>
          <w:sz w:val="24"/>
          <w:szCs w:val="24"/>
        </w:rPr>
        <w:t>（注：后附信用中国网站、中国政府采购网查询结果报告）</w:t>
      </w:r>
      <w:bookmarkEnd w:id="438"/>
    </w:p>
    <w:p>
      <w:pPr>
        <w:pStyle w:val="15"/>
        <w:jc w:val="right"/>
        <w:rPr>
          <w:sz w:val="24"/>
          <w:szCs w:val="24"/>
        </w:rPr>
      </w:pPr>
      <w:bookmarkStart w:id="439" w:name="_Toc11490"/>
    </w:p>
    <w:p>
      <w:pPr>
        <w:pStyle w:val="15"/>
        <w:jc w:val="right"/>
        <w:rPr>
          <w:sz w:val="24"/>
          <w:szCs w:val="24"/>
        </w:rPr>
      </w:pPr>
      <w:r>
        <w:rPr>
          <w:rFonts w:hint="eastAsia"/>
          <w:sz w:val="24"/>
          <w:szCs w:val="24"/>
        </w:rPr>
        <w:t>投标单位名称：          （盖章）</w:t>
      </w:r>
      <w:bookmarkEnd w:id="439"/>
    </w:p>
    <w:p>
      <w:pPr>
        <w:pStyle w:val="15"/>
        <w:jc w:val="right"/>
        <w:rPr>
          <w:sz w:val="24"/>
          <w:szCs w:val="24"/>
        </w:rPr>
      </w:pPr>
      <w:bookmarkStart w:id="440" w:name="_Toc308"/>
    </w:p>
    <w:p>
      <w:pPr>
        <w:pStyle w:val="15"/>
        <w:jc w:val="right"/>
        <w:rPr>
          <w:sz w:val="24"/>
          <w:szCs w:val="24"/>
        </w:rPr>
      </w:pPr>
      <w:r>
        <w:rPr>
          <w:rFonts w:hint="eastAsia"/>
          <w:sz w:val="24"/>
          <w:szCs w:val="24"/>
          <w:lang w:val="en-US" w:eastAsia="zh-CN"/>
        </w:rPr>
        <w:t xml:space="preserve">   </w:t>
      </w:r>
      <w:r>
        <w:rPr>
          <w:rFonts w:hint="eastAsia"/>
          <w:sz w:val="24"/>
          <w:szCs w:val="24"/>
        </w:rPr>
        <w:t>法定代表人：       （签字或盖章）</w:t>
      </w:r>
      <w:bookmarkEnd w:id="440"/>
    </w:p>
    <w:p>
      <w:pPr>
        <w:pStyle w:val="15"/>
        <w:jc w:val="right"/>
        <w:rPr>
          <w:sz w:val="24"/>
          <w:szCs w:val="24"/>
        </w:rPr>
      </w:pPr>
    </w:p>
    <w:p>
      <w:pPr>
        <w:pStyle w:val="15"/>
        <w:jc w:val="right"/>
        <w:rPr>
          <w:sz w:val="24"/>
          <w:szCs w:val="24"/>
        </w:rPr>
      </w:pPr>
      <w:bookmarkStart w:id="441" w:name="_Toc31559"/>
      <w:r>
        <w:rPr>
          <w:rFonts w:hint="eastAsia"/>
          <w:sz w:val="24"/>
          <w:szCs w:val="24"/>
        </w:rPr>
        <w:t>年     月     日</w:t>
      </w:r>
      <w:bookmarkEnd w:id="441"/>
    </w:p>
    <w:p>
      <w:pPr>
        <w:rPr>
          <w:kern w:val="0"/>
          <w:szCs w:val="20"/>
        </w:rPr>
      </w:pPr>
      <w:r>
        <w:br w:type="page"/>
      </w:r>
    </w:p>
    <w:p>
      <w:pPr>
        <w:pStyle w:val="5"/>
        <w:spacing w:before="0" w:line="240" w:lineRule="auto"/>
        <w:jc w:val="left"/>
        <w:rPr>
          <w:rFonts w:hint="eastAsia" w:ascii="宋体" w:hAnsi="宋体" w:eastAsia="宋体" w:cs="宋体"/>
          <w:bCs/>
          <w:szCs w:val="30"/>
        </w:rPr>
      </w:pPr>
      <w:bookmarkStart w:id="442" w:name="_Toc11697"/>
      <w:r>
        <w:rPr>
          <w:rFonts w:hint="eastAsia" w:ascii="宋体" w:hAnsi="宋体" w:eastAsia="宋体" w:cs="宋体"/>
          <w:bCs/>
          <w:szCs w:val="30"/>
        </w:rPr>
        <w:t>11、项目实施方案</w:t>
      </w:r>
      <w:bookmarkEnd w:id="442"/>
      <w:r>
        <w:rPr>
          <w:rFonts w:hint="eastAsia" w:ascii="宋体" w:hAnsi="宋体" w:eastAsia="宋体" w:cs="宋体"/>
          <w:bCs/>
          <w:szCs w:val="30"/>
        </w:rPr>
        <w:t>；</w:t>
      </w:r>
    </w:p>
    <w:p>
      <w:pPr>
        <w:spacing w:line="480" w:lineRule="atLeast"/>
        <w:ind w:firstLine="720" w:firstLineChars="300"/>
        <w:jc w:val="center"/>
        <w:rPr>
          <w:rFonts w:hint="eastAsia" w:ascii="宋体" w:hAnsi="宋体" w:eastAsia="宋体" w:cs="宋体"/>
          <w:color w:val="auto"/>
          <w:sz w:val="24"/>
          <w:szCs w:val="24"/>
        </w:rPr>
      </w:pPr>
      <w:bookmarkStart w:id="443" w:name="_Hlk56977502"/>
      <w:r>
        <w:rPr>
          <w:rFonts w:hint="eastAsia" w:ascii="宋体" w:hAnsi="宋体" w:eastAsia="宋体" w:cs="宋体"/>
          <w:color w:val="auto"/>
          <w:sz w:val="24"/>
          <w:szCs w:val="24"/>
        </w:rPr>
        <w:t>（根据内容及实际需求自行编制，格式自拟）</w:t>
      </w:r>
      <w:bookmarkEnd w:id="443"/>
    </w:p>
    <w:p>
      <w:pPr>
        <w:spacing w:line="360" w:lineRule="exact"/>
        <w:rPr>
          <w:rFonts w:hint="eastAsia" w:ascii="宋体" w:hAnsi="宋体" w:eastAsia="宋体" w:cs="宋体"/>
          <w:color w:val="auto"/>
          <w:sz w:val="24"/>
          <w:szCs w:val="24"/>
        </w:rPr>
      </w:pPr>
    </w:p>
    <w:p>
      <w:pPr>
        <w:spacing w:line="420" w:lineRule="exact"/>
        <w:ind w:left="360"/>
        <w:rPr>
          <w:rFonts w:hint="eastAsia" w:ascii="宋体" w:hAnsi="宋体" w:eastAsia="宋体" w:cs="宋体"/>
          <w:bCs/>
          <w:color w:val="auto"/>
          <w:sz w:val="24"/>
          <w:szCs w:val="24"/>
        </w:rPr>
      </w:pPr>
      <w:bookmarkStart w:id="444" w:name="_Hlk60074685"/>
      <w:r>
        <w:rPr>
          <w:rFonts w:hint="eastAsia" w:ascii="宋体" w:hAnsi="宋体" w:eastAsia="宋体" w:cs="宋体"/>
          <w:bCs/>
          <w:color w:val="auto"/>
          <w:sz w:val="24"/>
          <w:szCs w:val="24"/>
        </w:rPr>
        <w:t>1、工作范围及计划等；</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2、工作措施（关键点、难点等进行分析）；</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3、技术服务组织保障措施（含项目人员配置情况）；</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4、突发事件响应能力（应急预案）；</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5、服务质量保证与承诺；</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6、运输体系；</w:t>
      </w:r>
    </w:p>
    <w:p>
      <w:pPr>
        <w:spacing w:line="420" w:lineRule="exact"/>
        <w:ind w:left="360"/>
        <w:rPr>
          <w:rFonts w:hint="eastAsia" w:ascii="宋体" w:hAnsi="宋体" w:eastAsia="宋体" w:cs="宋体"/>
          <w:bCs/>
          <w:color w:val="auto"/>
          <w:sz w:val="24"/>
          <w:szCs w:val="24"/>
        </w:rPr>
      </w:pPr>
      <w:r>
        <w:rPr>
          <w:rFonts w:hint="eastAsia" w:ascii="宋体" w:hAnsi="宋体" w:eastAsia="宋体" w:cs="宋体"/>
          <w:bCs/>
          <w:color w:val="auto"/>
          <w:sz w:val="24"/>
          <w:szCs w:val="24"/>
        </w:rPr>
        <w:t>7、投标人为其它需要的资料。</w:t>
      </w:r>
      <w:bookmarkEnd w:id="444"/>
    </w:p>
    <w:p>
      <w:pPr>
        <w:spacing w:line="360" w:lineRule="exact"/>
        <w:ind w:firstLine="240" w:firstLineChars="100"/>
        <w:rPr>
          <w:rFonts w:hint="eastAsia" w:ascii="宋体" w:hAnsi="宋体" w:eastAsia="宋体" w:cs="宋体"/>
          <w:bCs/>
          <w:color w:val="auto"/>
          <w:sz w:val="24"/>
          <w:szCs w:val="24"/>
        </w:rPr>
      </w:pPr>
    </w:p>
    <w:p>
      <w:pPr>
        <w:spacing w:line="360" w:lineRule="exact"/>
        <w:ind w:firstLine="240" w:firstLineChars="100"/>
        <w:rPr>
          <w:rFonts w:hint="eastAsia" w:ascii="宋体" w:hAnsi="宋体" w:eastAsia="宋体" w:cs="宋体"/>
          <w:color w:val="auto"/>
          <w:sz w:val="24"/>
          <w:szCs w:val="24"/>
        </w:rPr>
      </w:pPr>
      <w:r>
        <w:rPr>
          <w:rFonts w:hint="eastAsia" w:ascii="宋体" w:hAnsi="宋体" w:eastAsia="宋体" w:cs="宋体"/>
          <w:bCs/>
          <w:color w:val="auto"/>
          <w:sz w:val="24"/>
          <w:szCs w:val="24"/>
        </w:rPr>
        <w:t>注：1、内容中若需要表格请投标人自行编制。</w:t>
      </w:r>
    </w:p>
    <w:p>
      <w:pPr>
        <w:autoSpaceDE w:val="0"/>
        <w:autoSpaceDN w:val="0"/>
        <w:adjustRightInd w:val="0"/>
        <w:spacing w:line="360" w:lineRule="exact"/>
        <w:ind w:firstLine="840" w:firstLineChars="3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2、项目实施方案应针对本项目情况</w:t>
      </w:r>
      <w:r>
        <w:rPr>
          <w:rFonts w:hint="eastAsia" w:ascii="宋体" w:hAnsi="宋体" w:eastAsia="宋体" w:cs="宋体"/>
          <w:bCs/>
          <w:color w:val="auto"/>
          <w:sz w:val="24"/>
          <w:szCs w:val="24"/>
        </w:rPr>
        <w:t>，投标人各自按照合理组织本项目应采取的措施，本着有利于为完成本项目</w:t>
      </w:r>
      <w:r>
        <w:rPr>
          <w:rFonts w:hint="eastAsia" w:ascii="宋体" w:hAnsi="宋体" w:eastAsia="宋体" w:cs="宋体"/>
          <w:color w:val="auto"/>
          <w:kern w:val="0"/>
          <w:sz w:val="24"/>
          <w:szCs w:val="24"/>
        </w:rPr>
        <w:t>的采购、服务、质量等要求，体现实现技术目标的可行性和先进性。</w:t>
      </w:r>
    </w:p>
    <w:p>
      <w:pPr>
        <w:pStyle w:val="66"/>
        <w:spacing w:line="240" w:lineRule="atLeast"/>
        <w:rPr>
          <w:rFonts w:hint="eastAsia" w:ascii="宋体" w:hAnsi="宋体" w:eastAsia="宋体" w:cs="宋体"/>
          <w:b/>
          <w:color w:val="auto"/>
          <w:sz w:val="24"/>
          <w:szCs w:val="24"/>
        </w:rPr>
      </w:pPr>
    </w:p>
    <w:p>
      <w:pPr>
        <w:pStyle w:val="66"/>
        <w:spacing w:line="240" w:lineRule="atLeast"/>
        <w:rPr>
          <w:rFonts w:hint="eastAsia" w:ascii="宋体" w:hAnsi="宋体" w:eastAsia="宋体" w:cs="宋体"/>
          <w:b/>
          <w:color w:val="auto"/>
          <w:sz w:val="24"/>
          <w:szCs w:val="24"/>
        </w:rPr>
      </w:pPr>
    </w:p>
    <w:p>
      <w:pPr>
        <w:pStyle w:val="5"/>
        <w:spacing w:before="0" w:line="240" w:lineRule="auto"/>
        <w:jc w:val="left"/>
        <w:rPr>
          <w:rFonts w:hint="eastAsia" w:ascii="宋体" w:hAnsi="宋体" w:eastAsia="宋体" w:cs="宋体"/>
          <w:bCs/>
          <w:szCs w:val="30"/>
        </w:rPr>
      </w:pPr>
      <w:bookmarkStart w:id="445" w:name="_Toc17345"/>
      <w:r>
        <w:rPr>
          <w:rFonts w:hint="eastAsia" w:ascii="宋体" w:hAnsi="宋体" w:eastAsia="宋体" w:cs="宋体"/>
          <w:bCs/>
          <w:szCs w:val="30"/>
        </w:rPr>
        <w:t>12、项目验收方案，服务质量及服务期限；（格式自拟）</w:t>
      </w:r>
      <w:bookmarkEnd w:id="445"/>
    </w:p>
    <w:p>
      <w:pPr>
        <w:rPr>
          <w:rFonts w:hint="eastAsia" w:ascii="宋体" w:hAnsi="宋体" w:cs="宋体"/>
          <w:b/>
          <w:sz w:val="44"/>
          <w:szCs w:val="36"/>
        </w:rPr>
      </w:pPr>
      <w:r>
        <w:rPr>
          <w:rFonts w:ascii="宋体" w:hAnsi="宋体" w:cs="宋体"/>
          <w:b/>
          <w:sz w:val="32"/>
        </w:rPr>
        <w:br w:type="page"/>
      </w:r>
    </w:p>
    <w:p>
      <w:pPr>
        <w:pStyle w:val="5"/>
        <w:spacing w:before="0" w:line="240" w:lineRule="auto"/>
        <w:jc w:val="left"/>
        <w:rPr>
          <w:rFonts w:hint="eastAsia" w:ascii="宋体" w:hAnsi="宋体" w:eastAsia="宋体" w:cs="宋体"/>
          <w:bCs/>
          <w:color w:val="auto"/>
          <w:szCs w:val="30"/>
          <w:lang w:eastAsia="zh-CN"/>
        </w:rPr>
      </w:pPr>
      <w:r>
        <w:rPr>
          <w:rFonts w:hint="eastAsia" w:ascii="宋体" w:hAnsi="宋体" w:eastAsia="宋体" w:cs="宋体"/>
          <w:bCs/>
          <w:color w:val="auto"/>
          <w:szCs w:val="30"/>
        </w:rPr>
        <w:t>1</w:t>
      </w:r>
      <w:r>
        <w:rPr>
          <w:rFonts w:hint="eastAsia" w:ascii="宋体" w:hAnsi="宋体" w:eastAsia="宋体" w:cs="宋体"/>
          <w:bCs/>
          <w:color w:val="auto"/>
          <w:szCs w:val="30"/>
          <w:lang w:val="en-US" w:eastAsia="zh-CN"/>
        </w:rPr>
        <w:t>3</w:t>
      </w:r>
      <w:r>
        <w:rPr>
          <w:rFonts w:hint="eastAsia" w:ascii="宋体" w:hAnsi="宋体" w:eastAsia="宋体" w:cs="宋体"/>
          <w:bCs/>
          <w:color w:val="auto"/>
          <w:szCs w:val="30"/>
        </w:rPr>
        <w:t>、小微企业声明函</w:t>
      </w:r>
      <w:r>
        <w:rPr>
          <w:rFonts w:hint="eastAsia" w:ascii="宋体" w:hAnsi="宋体" w:eastAsia="宋体" w:cs="宋体"/>
          <w:bCs/>
          <w:color w:val="auto"/>
          <w:szCs w:val="30"/>
          <w:lang w:eastAsia="zh-CN"/>
        </w:rPr>
        <w:t>（</w:t>
      </w:r>
      <w:r>
        <w:rPr>
          <w:rFonts w:hint="eastAsia" w:ascii="宋体" w:hAnsi="宋体" w:eastAsia="宋体" w:cs="宋体"/>
          <w:bCs/>
          <w:color w:val="auto"/>
          <w:szCs w:val="30"/>
          <w:lang w:val="en-US" w:eastAsia="zh-CN"/>
        </w:rPr>
        <w:t>如有</w:t>
      </w:r>
      <w:r>
        <w:rPr>
          <w:rFonts w:hint="eastAsia" w:ascii="宋体" w:hAnsi="宋体" w:eastAsia="宋体" w:cs="宋体"/>
          <w:bCs/>
          <w:color w:val="auto"/>
          <w:szCs w:val="30"/>
          <w:lang w:eastAsia="zh-CN"/>
        </w:rPr>
        <w:t>）</w:t>
      </w:r>
    </w:p>
    <w:p>
      <w:pPr>
        <w:jc w:val="center"/>
        <w:rPr>
          <w:rFonts w:ascii="宋体" w:hAnsi="宋体" w:cs="宋体"/>
          <w:color w:val="auto"/>
          <w:sz w:val="24"/>
        </w:rPr>
      </w:pPr>
      <w:r>
        <w:rPr>
          <w:rFonts w:hint="eastAsia" w:ascii="宋体" w:hAnsi="宋体" w:cs="宋体"/>
          <w:b/>
          <w:bCs/>
          <w:color w:val="auto"/>
          <w:sz w:val="36"/>
          <w:szCs w:val="36"/>
        </w:rPr>
        <w:t>小微企业声明函</w:t>
      </w:r>
    </w:p>
    <w:p>
      <w:pPr>
        <w:spacing w:line="560" w:lineRule="exact"/>
        <w:rPr>
          <w:rFonts w:ascii="宋体" w:hAnsi="宋体" w:cs="宋体"/>
          <w:color w:val="auto"/>
          <w:sz w:val="24"/>
        </w:rPr>
      </w:pPr>
      <w:r>
        <w:rPr>
          <w:rFonts w:hint="eastAsia" w:ascii="宋体" w:hAnsi="宋体" w:cs="宋体"/>
          <w:color w:val="auto"/>
          <w:sz w:val="24"/>
        </w:rPr>
        <w:t xml:space="preserve">    本公司郑重声明，根据《政府采购促进中小企业发展暂行办法》（财库[2011]181号）的规定，本公司为</w:t>
      </w:r>
      <w:r>
        <w:rPr>
          <w:rFonts w:hint="eastAsia" w:ascii="宋体" w:hAnsi="宋体" w:cs="宋体"/>
          <w:color w:val="auto"/>
          <w:sz w:val="24"/>
          <w:u w:val="single"/>
        </w:rPr>
        <w:t xml:space="preserve">     </w:t>
      </w:r>
      <w:r>
        <w:rPr>
          <w:rFonts w:hint="eastAsia" w:ascii="宋体" w:hAnsi="宋体" w:cs="宋体"/>
          <w:color w:val="auto"/>
          <w:sz w:val="24"/>
        </w:rPr>
        <w:t>（请填写：中型、小型、微型）企业。即，本公司同时满足以下条件：</w:t>
      </w:r>
    </w:p>
    <w:p>
      <w:pPr>
        <w:spacing w:line="560" w:lineRule="exact"/>
        <w:ind w:firstLine="360" w:firstLineChars="150"/>
        <w:rPr>
          <w:rFonts w:ascii="宋体" w:hAnsi="宋体" w:cs="宋体"/>
          <w:color w:val="auto"/>
          <w:sz w:val="24"/>
        </w:rPr>
      </w:pPr>
      <w:r>
        <w:rPr>
          <w:rFonts w:hint="eastAsia" w:ascii="宋体" w:hAnsi="宋体" w:cs="宋体"/>
          <w:color w:val="auto"/>
          <w:sz w:val="24"/>
        </w:rPr>
        <w:t xml:space="preserve"> 1.根据《工业和信息化部、国家统计局、国家发展和改革委员会、财政部关于印发中小企业划型标准规定的通知》（工信部联企业[2011]300号）规定的划分标准，本公司为 </w:t>
      </w:r>
      <w:r>
        <w:rPr>
          <w:rFonts w:hint="eastAsia" w:ascii="宋体" w:hAnsi="宋体" w:cs="宋体"/>
          <w:color w:val="auto"/>
          <w:sz w:val="24"/>
          <w:u w:val="single"/>
        </w:rPr>
        <w:t xml:space="preserve">     </w:t>
      </w:r>
      <w:r>
        <w:rPr>
          <w:rFonts w:hint="eastAsia" w:ascii="宋体" w:hAnsi="宋体" w:cs="宋体"/>
          <w:color w:val="auto"/>
          <w:sz w:val="24"/>
        </w:rPr>
        <w:t>（请填写：中型、小型、微型）企业。</w:t>
      </w:r>
    </w:p>
    <w:p>
      <w:pPr>
        <w:spacing w:line="560" w:lineRule="exact"/>
        <w:ind w:firstLine="360" w:firstLineChars="150"/>
        <w:rPr>
          <w:rFonts w:ascii="宋体" w:hAnsi="宋体" w:cs="宋体"/>
          <w:color w:val="auto"/>
          <w:sz w:val="24"/>
        </w:rPr>
      </w:pPr>
      <w:r>
        <w:rPr>
          <w:rFonts w:hint="eastAsia" w:ascii="宋体" w:hAnsi="宋体" w:cs="宋体"/>
          <w:color w:val="auto"/>
          <w:sz w:val="24"/>
        </w:rPr>
        <w:t xml:space="preserve"> 2.本公司参加单位的机</w:t>
      </w:r>
      <w:r>
        <w:rPr>
          <w:rFonts w:hint="eastAsia" w:ascii="宋体" w:hAnsi="宋体" w:cs="宋体"/>
          <w:color w:val="auto"/>
          <w:sz w:val="24"/>
          <w:u w:val="single"/>
        </w:rPr>
        <w:t xml:space="preserve">     </w:t>
      </w:r>
      <w:r>
        <w:rPr>
          <w:rFonts w:hint="eastAsia" w:ascii="宋体" w:hAnsi="宋体" w:cs="宋体"/>
          <w:color w:val="auto"/>
          <w:sz w:val="24"/>
        </w:rPr>
        <w:t xml:space="preserve"> 采购活动提供本企业制造的货物，由本企业承担工程、提供服务，或者提供其他</w:t>
      </w:r>
      <w:r>
        <w:rPr>
          <w:rFonts w:hint="eastAsia" w:ascii="宋体" w:hAnsi="宋体" w:cs="宋体"/>
          <w:color w:val="auto"/>
          <w:sz w:val="24"/>
          <w:u w:val="single"/>
        </w:rPr>
        <w:t xml:space="preserve">      </w:t>
      </w:r>
      <w:r>
        <w:rPr>
          <w:rFonts w:hint="eastAsia" w:ascii="宋体" w:hAnsi="宋体" w:cs="宋体"/>
          <w:color w:val="auto"/>
          <w:sz w:val="24"/>
        </w:rPr>
        <w:t>（请填写：中型、小型、微型）企业制造的货物。本条所称货物不包括使用大型企业注册商标的货物。</w:t>
      </w:r>
    </w:p>
    <w:p>
      <w:pPr>
        <w:spacing w:line="560" w:lineRule="exact"/>
        <w:ind w:firstLine="360" w:firstLineChars="150"/>
        <w:rPr>
          <w:rFonts w:ascii="宋体" w:hAnsi="宋体" w:cs="宋体"/>
          <w:color w:val="auto"/>
          <w:sz w:val="24"/>
        </w:rPr>
      </w:pPr>
      <w:r>
        <w:rPr>
          <w:rFonts w:hint="eastAsia" w:ascii="宋体" w:hAnsi="宋体" w:cs="宋体"/>
          <w:color w:val="auto"/>
          <w:sz w:val="24"/>
        </w:rPr>
        <w:t xml:space="preserve"> 本公司对上述声明的真实性负责。如有虚假，将依法承担相应责任。</w:t>
      </w:r>
    </w:p>
    <w:p>
      <w:pPr>
        <w:spacing w:line="440" w:lineRule="exact"/>
        <w:ind w:firstLine="2640" w:firstLineChars="1100"/>
        <w:rPr>
          <w:rFonts w:ascii="宋体" w:hAnsi="宋体" w:cs="宋体"/>
          <w:color w:val="auto"/>
          <w:sz w:val="24"/>
        </w:rPr>
      </w:pPr>
      <w:r>
        <w:rPr>
          <w:rFonts w:hint="eastAsia" w:ascii="宋体" w:hAnsi="宋体" w:cs="宋体"/>
          <w:color w:val="auto"/>
          <w:sz w:val="24"/>
        </w:rPr>
        <w:t xml:space="preserve"> </w:t>
      </w:r>
    </w:p>
    <w:p>
      <w:pPr>
        <w:pStyle w:val="61"/>
        <w:spacing w:line="360" w:lineRule="auto"/>
        <w:rPr>
          <w:rFonts w:ascii="宋体" w:hAnsi="宋体" w:cs="宋体"/>
          <w:color w:val="auto"/>
        </w:rPr>
      </w:pPr>
      <w:r>
        <w:rPr>
          <w:rFonts w:hint="eastAsia" w:ascii="宋体" w:hAnsi="宋体" w:cs="宋体"/>
          <w:color w:val="auto"/>
        </w:rPr>
        <w:t xml:space="preserve">      </w:t>
      </w:r>
    </w:p>
    <w:p>
      <w:pPr>
        <w:pStyle w:val="61"/>
        <w:spacing w:line="360" w:lineRule="auto"/>
        <w:rPr>
          <w:rFonts w:ascii="宋体" w:hAnsi="宋体" w:cs="宋体"/>
          <w:b/>
          <w:bCs/>
          <w:color w:val="auto"/>
        </w:rPr>
      </w:pPr>
      <w:r>
        <w:rPr>
          <w:rFonts w:hint="eastAsia" w:ascii="宋体" w:hAnsi="宋体" w:cs="宋体"/>
          <w:color w:val="auto"/>
        </w:rPr>
        <w:t xml:space="preserve">投标人名称（盖单位章）：        </w:t>
      </w:r>
    </w:p>
    <w:p>
      <w:pPr>
        <w:spacing w:line="560" w:lineRule="exact"/>
        <w:rPr>
          <w:rFonts w:ascii="宋体" w:hAnsi="宋体" w:cs="宋体"/>
          <w:color w:val="auto"/>
          <w:sz w:val="24"/>
          <w:u w:val="single"/>
        </w:rPr>
      </w:pPr>
      <w:r>
        <w:rPr>
          <w:rFonts w:hint="eastAsia" w:ascii="宋体" w:hAnsi="宋体" w:cs="宋体"/>
          <w:color w:val="auto"/>
          <w:sz w:val="24"/>
        </w:rPr>
        <w:t>法定代表人或其委托代理人签字：</w:t>
      </w:r>
      <w:r>
        <w:rPr>
          <w:rFonts w:hint="eastAsia" w:ascii="宋体" w:hAnsi="宋体" w:cs="宋体"/>
          <w:color w:val="auto"/>
          <w:sz w:val="24"/>
          <w:u w:val="single"/>
        </w:rPr>
        <w:t xml:space="preserve">                    </w:t>
      </w:r>
    </w:p>
    <w:p>
      <w:pPr>
        <w:spacing w:line="560" w:lineRule="exact"/>
        <w:rPr>
          <w:rFonts w:ascii="宋体" w:hAnsi="宋体" w:cs="宋体"/>
          <w:color w:val="auto"/>
          <w:sz w:val="24"/>
        </w:rPr>
      </w:pPr>
      <w:r>
        <w:rPr>
          <w:rFonts w:hint="eastAsia" w:ascii="宋体" w:hAnsi="宋体" w:cs="宋体"/>
          <w:color w:val="auto"/>
          <w:sz w:val="24"/>
        </w:rPr>
        <w:t xml:space="preserve">      日期： 年月 日</w:t>
      </w:r>
    </w:p>
    <w:p>
      <w:pPr>
        <w:spacing w:line="360" w:lineRule="auto"/>
        <w:rPr>
          <w:rFonts w:ascii="宋体" w:hAnsi="宋体" w:cs="宋体"/>
          <w:b/>
          <w:bCs/>
          <w:color w:val="auto"/>
          <w:sz w:val="24"/>
        </w:rPr>
      </w:pPr>
      <w:r>
        <w:rPr>
          <w:rFonts w:hint="eastAsia" w:ascii="宋体" w:hAnsi="宋体" w:cs="宋体"/>
          <w:b/>
          <w:bCs/>
          <w:color w:val="auto"/>
          <w:sz w:val="24"/>
        </w:rPr>
        <w:t>说明：1、填写前请认真阅读《工业和信息化部、国家统计局、国家发展和改革委员会、财政部关于印发中小企业划型标准规定的通知》（工信部联企业[2011] 300号）和《财政部工业和信息化部关于印发&lt;政府采购促进中小企业发展暂行办法&gt;的通知》（财库[2011]181号）相关规定。</w:t>
      </w:r>
    </w:p>
    <w:p>
      <w:pPr>
        <w:spacing w:line="560" w:lineRule="exact"/>
        <w:rPr>
          <w:rFonts w:ascii="宋体" w:hAnsi="宋体" w:cs="宋体"/>
          <w:b/>
          <w:bCs/>
          <w:color w:val="auto"/>
          <w:sz w:val="24"/>
        </w:rPr>
      </w:pPr>
      <w:r>
        <w:rPr>
          <w:rFonts w:hint="eastAsia" w:ascii="宋体" w:hAnsi="宋体" w:cs="宋体"/>
          <w:b/>
          <w:bCs/>
          <w:color w:val="auto"/>
          <w:sz w:val="24"/>
        </w:rPr>
        <w:t>2、中小企业部分提供其他中小企业制造货物的应另附说明，并与后面的报价一栏表保持一致。</w:t>
      </w:r>
    </w:p>
    <w:p>
      <w:pPr>
        <w:spacing w:line="560" w:lineRule="exact"/>
        <w:rPr>
          <w:rFonts w:hint="eastAsia" w:ascii="宋体" w:hAnsi="宋体" w:cs="宋体"/>
          <w:b/>
          <w:bCs/>
          <w:color w:val="auto"/>
          <w:sz w:val="24"/>
        </w:rPr>
      </w:pPr>
      <w:r>
        <w:rPr>
          <w:rFonts w:hint="eastAsia" w:ascii="宋体" w:hAnsi="宋体" w:cs="宋体"/>
          <w:b/>
          <w:bCs/>
          <w:color w:val="auto"/>
          <w:sz w:val="24"/>
        </w:rPr>
        <w:t>3、未按上述要求提供、填写的，评标时不予以考虑。</w:t>
      </w:r>
    </w:p>
    <w:p>
      <w:pPr>
        <w:rPr>
          <w:rFonts w:hint="eastAsia" w:ascii="宋体" w:hAnsi="宋体" w:cs="宋体"/>
          <w:b/>
          <w:bCs/>
          <w:color w:val="0000FF"/>
          <w:sz w:val="24"/>
        </w:rPr>
      </w:pPr>
      <w:r>
        <w:rPr>
          <w:rFonts w:hint="eastAsia" w:ascii="宋体" w:hAnsi="宋体" w:cs="宋体"/>
          <w:b/>
          <w:bCs/>
          <w:color w:val="0000FF"/>
          <w:sz w:val="24"/>
        </w:rPr>
        <w:br w:type="page"/>
      </w:r>
    </w:p>
    <w:p>
      <w:pPr>
        <w:pStyle w:val="5"/>
        <w:spacing w:before="0" w:line="240" w:lineRule="auto"/>
        <w:jc w:val="left"/>
        <w:rPr>
          <w:rFonts w:hint="eastAsia" w:ascii="宋体" w:hAnsi="宋体" w:eastAsia="宋体" w:cs="宋体"/>
          <w:bCs/>
          <w:szCs w:val="30"/>
        </w:rPr>
      </w:pPr>
      <w:bookmarkStart w:id="446" w:name="_Toc27639"/>
      <w:r>
        <w:rPr>
          <w:rFonts w:hint="eastAsia" w:ascii="宋体" w:hAnsi="宋体" w:eastAsia="宋体" w:cs="宋体"/>
          <w:bCs/>
          <w:szCs w:val="30"/>
        </w:rPr>
        <w:t>1</w:t>
      </w:r>
      <w:r>
        <w:rPr>
          <w:rFonts w:hint="eastAsia" w:ascii="宋体" w:hAnsi="宋体" w:eastAsia="宋体" w:cs="宋体"/>
          <w:bCs/>
          <w:szCs w:val="30"/>
          <w:lang w:val="en-US" w:eastAsia="zh-CN"/>
        </w:rPr>
        <w:t>4</w:t>
      </w:r>
      <w:r>
        <w:rPr>
          <w:rFonts w:hint="eastAsia" w:ascii="宋体" w:hAnsi="宋体" w:eastAsia="宋体" w:cs="宋体"/>
          <w:bCs/>
          <w:szCs w:val="30"/>
        </w:rPr>
        <w:t>、投标单位根据项目情况可以自行补充其他证明材料</w:t>
      </w:r>
      <w:bookmarkEnd w:id="446"/>
    </w:p>
    <w:p>
      <w:pPr>
        <w:pStyle w:val="6"/>
      </w:pPr>
    </w:p>
    <w:p>
      <w:pPr>
        <w:rPr>
          <w:rFonts w:hint="eastAsia" w:ascii="宋体" w:hAnsi="宋体" w:cs="宋体"/>
          <w:b/>
          <w:sz w:val="44"/>
          <w:szCs w:val="36"/>
        </w:rPr>
      </w:pPr>
    </w:p>
    <w:p>
      <w:pPr>
        <w:rPr>
          <w:rFonts w:hint="eastAsia"/>
        </w:rPr>
      </w:pPr>
      <w:r>
        <w:rPr>
          <w:rFonts w:hint="eastAsia"/>
        </w:rPr>
        <w:br w:type="page"/>
      </w:r>
    </w:p>
    <w:p>
      <w:pPr>
        <w:pStyle w:val="2"/>
        <w:rPr>
          <w:rFonts w:hint="eastAsia"/>
        </w:rPr>
      </w:pPr>
    </w:p>
    <w:p>
      <w:pPr>
        <w:jc w:val="center"/>
        <w:rPr>
          <w:rFonts w:ascii="宋体" w:hAnsi="宋体" w:cs="宋体"/>
          <w:b/>
          <w:sz w:val="44"/>
          <w:szCs w:val="36"/>
        </w:rPr>
      </w:pPr>
      <w:r>
        <w:rPr>
          <w:rFonts w:hint="eastAsia" w:ascii="宋体" w:hAnsi="宋体" w:cs="宋体"/>
          <w:b/>
          <w:sz w:val="44"/>
          <w:szCs w:val="36"/>
        </w:rPr>
        <w:t xml:space="preserve">第 </w:t>
      </w:r>
      <w:r>
        <w:rPr>
          <w:rFonts w:hint="eastAsia" w:ascii="宋体" w:hAnsi="宋体" w:cs="宋体"/>
          <w:b/>
          <w:sz w:val="44"/>
          <w:szCs w:val="36"/>
          <w:lang w:val="en-US" w:eastAsia="zh-CN"/>
        </w:rPr>
        <w:t>二</w:t>
      </w:r>
      <w:r>
        <w:rPr>
          <w:rFonts w:hint="eastAsia" w:ascii="宋体" w:hAnsi="宋体" w:cs="宋体"/>
          <w:b/>
          <w:sz w:val="44"/>
          <w:szCs w:val="36"/>
        </w:rPr>
        <w:t xml:space="preserve"> 册</w:t>
      </w:r>
    </w:p>
    <w:p>
      <w:pPr>
        <w:pStyle w:val="15"/>
        <w:jc w:val="center"/>
        <w:rPr>
          <w:b/>
          <w:bCs/>
          <w:sz w:val="48"/>
          <w:szCs w:val="48"/>
        </w:rPr>
      </w:pPr>
      <w:bookmarkStart w:id="447" w:name="_Toc803"/>
      <w:bookmarkStart w:id="448" w:name="_Toc29132"/>
      <w:r>
        <w:rPr>
          <w:rFonts w:hint="eastAsia"/>
          <w:b/>
          <w:bCs/>
          <w:sz w:val="48"/>
          <w:szCs w:val="48"/>
        </w:rPr>
        <w:t>第3章 投标邀请</w:t>
      </w:r>
    </w:p>
    <w:bookmarkEnd w:id="447"/>
    <w:p>
      <w:pPr>
        <w:jc w:val="center"/>
        <w:outlineLvl w:val="0"/>
        <w:rPr>
          <w:rFonts w:hint="eastAsia" w:ascii="宋体" w:hAnsi="宋体" w:eastAsia="宋体" w:cs="宋体"/>
          <w:b/>
          <w:sz w:val="36"/>
          <w:szCs w:val="36"/>
          <w:lang w:eastAsia="zh-CN"/>
        </w:rPr>
      </w:pPr>
      <w:r>
        <w:rPr>
          <w:rFonts w:hint="eastAsia" w:ascii="宋体" w:hAnsi="宋体" w:cs="宋体"/>
          <w:b/>
          <w:sz w:val="36"/>
          <w:szCs w:val="36"/>
          <w:lang w:eastAsia="zh-CN"/>
        </w:rPr>
        <w:t>喀什广播电视台广电融合提升设备项目（二次）</w:t>
      </w:r>
    </w:p>
    <w:p>
      <w:pPr>
        <w:pStyle w:val="2"/>
        <w:ind w:left="1807" w:hanging="1807" w:hangingChars="500"/>
        <w:jc w:val="center"/>
        <w:rPr>
          <w:rFonts w:hAnsi="宋体" w:cs="宋体"/>
          <w:b/>
          <w:sz w:val="36"/>
          <w:szCs w:val="36"/>
        </w:rPr>
      </w:pPr>
      <w:r>
        <w:rPr>
          <w:rFonts w:hint="eastAsia" w:hAnsi="宋体" w:cs="宋体"/>
          <w:b/>
          <w:sz w:val="36"/>
          <w:szCs w:val="36"/>
        </w:rPr>
        <w:t>公开招标公告</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lang w:eastAsia="zh-CN"/>
        </w:rPr>
        <w:t>重庆渝强工程项目管理有限公司</w:t>
      </w:r>
      <w:r>
        <w:rPr>
          <w:rFonts w:hint="eastAsia" w:ascii="微软雅黑" w:hAnsi="微软雅黑" w:eastAsia="微软雅黑" w:cs="微软雅黑"/>
          <w:sz w:val="24"/>
          <w:szCs w:val="24"/>
        </w:rPr>
        <w:t>受</w:t>
      </w:r>
      <w:r>
        <w:rPr>
          <w:rFonts w:hint="eastAsia" w:ascii="微软雅黑" w:hAnsi="微软雅黑" w:eastAsia="微软雅黑" w:cs="微软雅黑"/>
          <w:sz w:val="24"/>
          <w:szCs w:val="24"/>
          <w:u w:val="single"/>
          <w:lang w:eastAsia="zh-CN"/>
        </w:rPr>
        <w:t>喀什广播电视台</w:t>
      </w:r>
      <w:r>
        <w:rPr>
          <w:rFonts w:hint="eastAsia" w:ascii="微软雅黑" w:hAnsi="微软雅黑" w:eastAsia="微软雅黑" w:cs="微软雅黑"/>
          <w:sz w:val="24"/>
          <w:szCs w:val="24"/>
        </w:rPr>
        <w:t>的委托，就</w:t>
      </w:r>
      <w:r>
        <w:rPr>
          <w:rFonts w:hint="eastAsia" w:ascii="微软雅黑" w:hAnsi="微软雅黑" w:eastAsia="微软雅黑" w:cs="微软雅黑"/>
          <w:sz w:val="24"/>
          <w:szCs w:val="24"/>
          <w:u w:val="single"/>
          <w:lang w:eastAsia="zh-CN"/>
        </w:rPr>
        <w:t>喀什广播电视台广电融合提升设备项目（二次）</w:t>
      </w:r>
      <w:r>
        <w:rPr>
          <w:rFonts w:hint="eastAsia" w:ascii="微软雅黑" w:hAnsi="微软雅黑" w:eastAsia="微软雅黑" w:cs="微软雅黑"/>
          <w:sz w:val="24"/>
          <w:szCs w:val="24"/>
        </w:rPr>
        <w:t>以公开招标的方式进行招标，现邀请合格投标单位前来投标。</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一、项目基本情况</w:t>
      </w:r>
    </w:p>
    <w:p>
      <w:pPr>
        <w:keepNext w:val="0"/>
        <w:keepLines w:val="0"/>
        <w:pageBreakBefore w:val="0"/>
        <w:widowControl w:val="0"/>
        <w:kinsoku/>
        <w:wordWrap/>
        <w:overflowPunct/>
        <w:topLinePunct w:val="0"/>
        <w:bidi w:val="0"/>
        <w:spacing w:line="38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项目编号：</w:t>
      </w:r>
      <w:r>
        <w:rPr>
          <w:rFonts w:hint="eastAsia" w:ascii="微软雅黑" w:hAnsi="微软雅黑" w:eastAsia="微软雅黑" w:cs="微软雅黑"/>
          <w:sz w:val="24"/>
          <w:szCs w:val="24"/>
          <w:lang w:eastAsia="zh-CN"/>
        </w:rPr>
        <w:t>CQYQ-KS-(CG)-2022-006</w:t>
      </w:r>
      <w:r>
        <w:rPr>
          <w:rFonts w:hint="eastAsia" w:ascii="微软雅黑" w:hAnsi="微软雅黑" w:eastAsia="微软雅黑" w:cs="微软雅黑"/>
          <w:sz w:val="24"/>
          <w:szCs w:val="24"/>
          <w:lang w:val="en-US" w:eastAsia="zh-CN"/>
        </w:rPr>
        <w:t>-01</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喀什广播电视台广电融合提升设备项目（二次）</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采购方式：公开招标</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预算总金额（万元）：</w:t>
      </w:r>
      <w:r>
        <w:rPr>
          <w:rFonts w:hint="eastAsia" w:ascii="微软雅黑" w:hAnsi="微软雅黑" w:eastAsia="微软雅黑" w:cs="微软雅黑"/>
          <w:color w:val="auto"/>
          <w:sz w:val="24"/>
          <w:szCs w:val="24"/>
          <w:lang w:val="en-US" w:eastAsia="zh-CN"/>
        </w:rPr>
        <w:t xml:space="preserve">974.449585 </w:t>
      </w:r>
      <w:r>
        <w:rPr>
          <w:rFonts w:hint="eastAsia" w:ascii="微软雅黑" w:hAnsi="微软雅黑" w:eastAsia="微软雅黑" w:cs="微软雅黑"/>
          <w:color w:val="auto"/>
          <w:sz w:val="24"/>
          <w:szCs w:val="24"/>
        </w:rPr>
        <w:t>万元</w:t>
      </w:r>
    </w:p>
    <w:p>
      <w:pPr>
        <w:pStyle w:val="15"/>
        <w:keepNext w:val="0"/>
        <w:keepLines w:val="0"/>
        <w:pageBreakBefore w:val="0"/>
        <w:widowControl w:val="0"/>
        <w:numPr>
          <w:ilvl w:val="0"/>
          <w:numId w:val="10"/>
        </w:numPr>
        <w:kinsoku/>
        <w:wordWrap/>
        <w:overflowPunct/>
        <w:topLinePunct w:val="0"/>
        <w:bidi w:val="0"/>
        <w:spacing w:line="38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color w:val="auto"/>
          <w:sz w:val="24"/>
          <w:szCs w:val="24"/>
        </w:rPr>
        <w:t>工作内容</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广电融合提升设备一批</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b/>
          <w:bCs/>
          <w:sz w:val="24"/>
          <w:szCs w:val="24"/>
        </w:rPr>
      </w:pP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三、申请人的资格要求：</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1、投标人必须满足《中华人民共和国政府采购法》第二十二条要求；</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2、合格有效的三证合一的营业执照（三证合一）副本或电子营业执照打印件（需加盖公章）</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3、法定代表人（负责人）资格证明书及授权书、被授权人身份证；(法定代表人投标需提供法定代表人身份证及法定代表人代表资格证明书)；</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4、近三个月依法缴纳税收的证明（完税证明或税务部门出具的其他证明，税种非社会保险类）；</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5、近六个月依法缴纳社会保障金的缴费和银行转帐汇款单证明。</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6、良好的商业信誉和健全的财务会计制度证明材料（2021年度财务审计报告书影印件；新办企业需提供银行资信证明）；</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7、参加政府采购活动前3年内在经营活动中没有重大违法记录的书面声明及投标单位（供应商）提供针对本次采购项目《反商业贿赂承诺书》（格式自拟）；</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bookmarkStart w:id="716" w:name="_GoBack"/>
      <w:r>
        <w:rPr>
          <w:rFonts w:hint="eastAsia" w:ascii="微软雅黑" w:hAnsi="微软雅黑" w:eastAsia="微软雅黑" w:cs="微软雅黑"/>
          <w:sz w:val="24"/>
          <w:szCs w:val="24"/>
          <w:lang w:val="en-US" w:eastAsia="zh-CN"/>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府采购网(www.ccgp.gov.cn)查询结果为准；</w:t>
      </w:r>
    </w:p>
    <w:bookmarkEnd w:id="716"/>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9、本项目不接受联合体投标。</w:t>
      </w:r>
    </w:p>
    <w:p>
      <w:pPr>
        <w:keepNext w:val="0"/>
        <w:keepLines w:val="0"/>
        <w:pageBreakBefore w:val="0"/>
        <w:widowControl w:val="0"/>
        <w:tabs>
          <w:tab w:val="left" w:pos="1800"/>
          <w:tab w:val="left" w:pos="5580"/>
        </w:tabs>
        <w:kinsoku/>
        <w:wordWrap/>
        <w:overflowPunct/>
        <w:topLinePunct w:val="0"/>
        <w:bidi w:val="0"/>
        <w:snapToGrid w:val="0"/>
        <w:spacing w:line="380" w:lineRule="exact"/>
        <w:ind w:left="639" w:leftChars="247" w:right="-840" w:rightChars="0" w:hanging="120" w:firstLineChars="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注：</w:t>
      </w:r>
      <w:r>
        <w:rPr>
          <w:rFonts w:hint="eastAsia" w:ascii="微软雅黑" w:hAnsi="微软雅黑" w:eastAsia="微软雅黑" w:cs="微软雅黑"/>
          <w:sz w:val="24"/>
          <w:szCs w:val="24"/>
        </w:rPr>
        <w:t>投标人提供的上述资格证明文件中涉及复印件和影印件的，均需加盖公章并注明“与原件一致”。</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三、获取采购文件</w:t>
      </w:r>
    </w:p>
    <w:p>
      <w:pPr>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时间：</w:t>
      </w: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17</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26</w:t>
      </w:r>
      <w:r>
        <w:rPr>
          <w:rFonts w:hint="eastAsia" w:ascii="微软雅黑" w:hAnsi="微软雅黑" w:eastAsia="微软雅黑" w:cs="微软雅黑"/>
          <w:color w:val="auto"/>
          <w:sz w:val="24"/>
          <w:szCs w:val="24"/>
        </w:rPr>
        <w:t>日 每天上午10：30至14:00,下午16:00至19:30（北京时间，法定节假日除外）</w:t>
      </w:r>
    </w:p>
    <w:p>
      <w:pPr>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方式：政采云平台 </w:t>
      </w:r>
    </w:p>
    <w:p>
      <w:pPr>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四、投标文件提交</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截止时间：</w:t>
      </w:r>
      <w:r>
        <w:rPr>
          <w:rFonts w:hint="eastAsia" w:ascii="微软雅黑" w:hAnsi="微软雅黑" w:eastAsia="微软雅黑" w:cs="微软雅黑"/>
          <w:color w:val="FF0000"/>
          <w:sz w:val="24"/>
          <w:szCs w:val="24"/>
          <w:lang w:eastAsia="zh-CN"/>
        </w:rPr>
        <w:t>2022年</w:t>
      </w:r>
      <w:r>
        <w:rPr>
          <w:rFonts w:hint="eastAsia" w:ascii="微软雅黑" w:hAnsi="微软雅黑" w:eastAsia="微软雅黑" w:cs="微软雅黑"/>
          <w:color w:val="FF0000"/>
          <w:sz w:val="24"/>
          <w:szCs w:val="24"/>
          <w:lang w:val="en-US" w:eastAsia="zh-CN"/>
        </w:rPr>
        <w:t>10</w:t>
      </w:r>
      <w:r>
        <w:rPr>
          <w:rFonts w:hint="eastAsia" w:ascii="微软雅黑" w:hAnsi="微软雅黑" w:eastAsia="微软雅黑" w:cs="微软雅黑"/>
          <w:color w:val="FF0000"/>
          <w:sz w:val="24"/>
          <w:szCs w:val="24"/>
          <w:lang w:eastAsia="zh-CN"/>
        </w:rPr>
        <w:t>月</w:t>
      </w:r>
      <w:r>
        <w:rPr>
          <w:rFonts w:hint="eastAsia" w:ascii="微软雅黑" w:hAnsi="微软雅黑" w:eastAsia="微软雅黑" w:cs="微软雅黑"/>
          <w:color w:val="FF0000"/>
          <w:sz w:val="24"/>
          <w:szCs w:val="24"/>
          <w:lang w:val="en-US" w:eastAsia="zh-CN"/>
        </w:rPr>
        <w:t>08</w:t>
      </w:r>
      <w:r>
        <w:rPr>
          <w:rFonts w:hint="eastAsia" w:ascii="微软雅黑" w:hAnsi="微软雅黑" w:eastAsia="微软雅黑" w:cs="微软雅黑"/>
          <w:color w:val="FF0000"/>
          <w:sz w:val="24"/>
          <w:szCs w:val="24"/>
        </w:rPr>
        <w:t>日上午1</w:t>
      </w:r>
      <w:r>
        <w:rPr>
          <w:rFonts w:hint="eastAsia" w:ascii="微软雅黑" w:hAnsi="微软雅黑" w:eastAsia="微软雅黑" w:cs="微软雅黑"/>
          <w:color w:val="FF0000"/>
          <w:sz w:val="24"/>
          <w:szCs w:val="24"/>
          <w:lang w:val="en-US" w:eastAsia="zh-CN"/>
        </w:rPr>
        <w:t>1:00</w:t>
      </w:r>
      <w:r>
        <w:rPr>
          <w:rFonts w:hint="eastAsia" w:ascii="微软雅黑" w:hAnsi="微软雅黑" w:eastAsia="微软雅黑" w:cs="微软雅黑"/>
          <w:color w:val="auto"/>
          <w:sz w:val="24"/>
          <w:szCs w:val="24"/>
        </w:rPr>
        <w:t>（北京时间）</w:t>
      </w:r>
    </w:p>
    <w:p>
      <w:pPr>
        <w:pStyle w:val="7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开标地点：政采云平台（https://login.zcygov.cn/user-login/#/login）</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五、响应文件开启</w:t>
      </w:r>
    </w:p>
    <w:p>
      <w:pPr>
        <w:keepNext w:val="0"/>
        <w:keepLines w:val="0"/>
        <w:pageBreakBefore w:val="0"/>
        <w:widowControl w:val="0"/>
        <w:kinsoku/>
        <w:wordWrap/>
        <w:overflowPunct/>
        <w:topLinePunct w:val="0"/>
        <w:bidi w:val="0"/>
        <w:spacing w:line="380" w:lineRule="exact"/>
        <w:ind w:firstLine="480" w:firstLineChars="200"/>
        <w:rPr>
          <w:rFonts w:hint="eastAsia" w:ascii="微软雅黑" w:hAnsi="微软雅黑" w:eastAsia="微软雅黑" w:cs="微软雅黑"/>
          <w:color w:val="FF0000"/>
          <w:sz w:val="24"/>
          <w:szCs w:val="24"/>
          <w:shd w:val="clear" w:color="auto" w:fill="FFFFFF"/>
        </w:rPr>
      </w:pPr>
      <w:r>
        <w:rPr>
          <w:rFonts w:hint="eastAsia" w:ascii="微软雅黑" w:hAnsi="微软雅黑" w:eastAsia="微软雅黑" w:cs="微软雅黑"/>
          <w:color w:val="FF0000"/>
          <w:sz w:val="24"/>
          <w:szCs w:val="24"/>
        </w:rPr>
        <w:t> </w:t>
      </w:r>
      <w:r>
        <w:rPr>
          <w:rFonts w:hint="eastAsia" w:ascii="微软雅黑" w:hAnsi="微软雅黑" w:eastAsia="微软雅黑" w:cs="微软雅黑"/>
          <w:color w:val="FF0000"/>
          <w:sz w:val="24"/>
          <w:szCs w:val="24"/>
          <w:shd w:val="clear" w:color="auto" w:fill="FFFFFF"/>
        </w:rPr>
        <w:t>开启时间：</w:t>
      </w:r>
      <w:r>
        <w:rPr>
          <w:rFonts w:hint="eastAsia" w:ascii="微软雅黑" w:hAnsi="微软雅黑" w:eastAsia="微软雅黑" w:cs="微软雅黑"/>
          <w:color w:val="FF0000"/>
          <w:sz w:val="24"/>
          <w:szCs w:val="24"/>
          <w:shd w:val="clear" w:color="auto" w:fill="FFFFFF"/>
          <w:lang w:eastAsia="zh-CN"/>
        </w:rPr>
        <w:t>2022年</w:t>
      </w:r>
      <w:r>
        <w:rPr>
          <w:rFonts w:hint="eastAsia" w:ascii="微软雅黑" w:hAnsi="微软雅黑" w:eastAsia="微软雅黑" w:cs="微软雅黑"/>
          <w:color w:val="FF0000"/>
          <w:sz w:val="24"/>
          <w:szCs w:val="24"/>
          <w:shd w:val="clear" w:color="auto" w:fill="FFFFFF"/>
          <w:lang w:val="en-US" w:eastAsia="zh-CN"/>
        </w:rPr>
        <w:t>10</w:t>
      </w:r>
      <w:r>
        <w:rPr>
          <w:rFonts w:hint="eastAsia" w:ascii="微软雅黑" w:hAnsi="微软雅黑" w:eastAsia="微软雅黑" w:cs="微软雅黑"/>
          <w:color w:val="FF0000"/>
          <w:sz w:val="24"/>
          <w:szCs w:val="24"/>
          <w:shd w:val="clear" w:color="auto" w:fill="FFFFFF"/>
          <w:lang w:eastAsia="zh-CN"/>
        </w:rPr>
        <w:t>月</w:t>
      </w:r>
      <w:r>
        <w:rPr>
          <w:rFonts w:hint="eastAsia" w:ascii="微软雅黑" w:hAnsi="微软雅黑" w:eastAsia="微软雅黑" w:cs="微软雅黑"/>
          <w:color w:val="FF0000"/>
          <w:sz w:val="24"/>
          <w:szCs w:val="24"/>
          <w:shd w:val="clear" w:color="auto" w:fill="FFFFFF"/>
          <w:lang w:val="en-US" w:eastAsia="zh-CN"/>
        </w:rPr>
        <w:t>08</w:t>
      </w:r>
      <w:r>
        <w:rPr>
          <w:rFonts w:hint="eastAsia" w:ascii="微软雅黑" w:hAnsi="微软雅黑" w:eastAsia="微软雅黑" w:cs="微软雅黑"/>
          <w:color w:val="FF0000"/>
          <w:sz w:val="24"/>
          <w:szCs w:val="24"/>
          <w:highlight w:val="none"/>
          <w:shd w:val="clear" w:color="auto" w:fill="FFFFFF"/>
        </w:rPr>
        <w:t>日</w:t>
      </w:r>
      <w:r>
        <w:rPr>
          <w:rFonts w:hint="eastAsia" w:ascii="微软雅黑" w:hAnsi="微软雅黑" w:eastAsia="微软雅黑" w:cs="微软雅黑"/>
          <w:color w:val="FF0000"/>
          <w:sz w:val="24"/>
          <w:szCs w:val="24"/>
          <w:highlight w:val="none"/>
          <w:shd w:val="clear" w:color="auto" w:fill="FFFFFF"/>
          <w:lang w:val="en-US" w:eastAsia="zh-CN"/>
        </w:rPr>
        <w:t>上</w:t>
      </w:r>
      <w:r>
        <w:rPr>
          <w:rFonts w:hint="eastAsia" w:ascii="微软雅黑" w:hAnsi="微软雅黑" w:eastAsia="微软雅黑" w:cs="微软雅黑"/>
          <w:color w:val="FF0000"/>
          <w:sz w:val="24"/>
          <w:szCs w:val="24"/>
          <w:highlight w:val="none"/>
          <w:shd w:val="clear" w:color="auto" w:fill="FFFFFF"/>
        </w:rPr>
        <w:t>午</w:t>
      </w:r>
      <w:r>
        <w:rPr>
          <w:rFonts w:hint="eastAsia" w:ascii="微软雅黑" w:hAnsi="微软雅黑" w:eastAsia="微软雅黑" w:cs="微软雅黑"/>
          <w:color w:val="FF0000"/>
          <w:sz w:val="24"/>
          <w:szCs w:val="24"/>
        </w:rPr>
        <w:t>1</w:t>
      </w:r>
      <w:r>
        <w:rPr>
          <w:rFonts w:hint="eastAsia" w:ascii="微软雅黑" w:hAnsi="微软雅黑" w:eastAsia="微软雅黑" w:cs="微软雅黑"/>
          <w:color w:val="FF0000"/>
          <w:sz w:val="24"/>
          <w:szCs w:val="24"/>
          <w:lang w:val="en-US" w:eastAsia="zh-CN"/>
        </w:rPr>
        <w:t>1:00</w:t>
      </w:r>
      <w:r>
        <w:rPr>
          <w:rFonts w:hint="eastAsia" w:ascii="微软雅黑" w:hAnsi="微软雅黑" w:eastAsia="微软雅黑" w:cs="微软雅黑"/>
          <w:color w:val="FF0000"/>
          <w:sz w:val="24"/>
          <w:szCs w:val="24"/>
          <w:shd w:val="clear" w:color="auto" w:fill="FFFFFF"/>
        </w:rPr>
        <w:t>（北京时间）</w:t>
      </w:r>
    </w:p>
    <w:p>
      <w:pPr>
        <w:pStyle w:val="7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kern w:val="2"/>
          <w:sz w:val="24"/>
          <w:szCs w:val="24"/>
          <w:lang w:val="en-US" w:eastAsia="zh-CN" w:bidi="ar-SA"/>
        </w:rPr>
        <w:t xml:space="preserve">开标地点：政采云平台（https://login.zcygov.cn/user-login/#/login） </w:t>
      </w:r>
    </w:p>
    <w:p>
      <w:pPr>
        <w:keepNext w:val="0"/>
        <w:keepLines w:val="0"/>
        <w:pageBreakBefore w:val="0"/>
        <w:widowControl w:val="0"/>
        <w:kinsoku/>
        <w:wordWrap/>
        <w:overflowPunct/>
        <w:topLinePunct w:val="0"/>
        <w:bidi w:val="0"/>
        <w:spacing w:line="38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六、公告期限</w:t>
      </w:r>
    </w:p>
    <w:p>
      <w:pPr>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自本公告发布之日起5个工作日。</w:t>
      </w:r>
    </w:p>
    <w:p>
      <w:pPr>
        <w:pStyle w:val="2"/>
        <w:keepNext w:val="0"/>
        <w:keepLines w:val="0"/>
        <w:pageBreakBefore w:val="0"/>
        <w:widowControl w:val="0"/>
        <w:kinsoku/>
        <w:wordWrap/>
        <w:overflowPunct/>
        <w:topLinePunct w:val="0"/>
        <w:bidi w:val="0"/>
        <w:spacing w:line="380" w:lineRule="exact"/>
        <w:ind w:firstLine="0"/>
        <w:rPr>
          <w:rFonts w:hint="eastAsia" w:ascii="微软雅黑" w:hAnsi="微软雅黑" w:eastAsia="微软雅黑" w:cs="微软雅黑"/>
          <w:b/>
          <w:bCs/>
          <w:color w:val="auto"/>
          <w:kern w:val="2"/>
          <w:sz w:val="24"/>
          <w:szCs w:val="24"/>
        </w:rPr>
      </w:pPr>
      <w:r>
        <w:rPr>
          <w:rFonts w:hint="eastAsia" w:ascii="微软雅黑" w:hAnsi="微软雅黑" w:eastAsia="微软雅黑" w:cs="微软雅黑"/>
          <w:b/>
          <w:bCs/>
          <w:color w:val="auto"/>
          <w:kern w:val="2"/>
          <w:sz w:val="24"/>
          <w:szCs w:val="24"/>
        </w:rPr>
        <w:t>七、其他补充事宜</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2.本项目实行网上投标，采用电子投标文件(供应商须使用CA加密设备通过政采云电子投标客户端制作投标文件)。若供应商参与投标，自行承担投标一切费用。</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5.供应商在开标时须使用制作加密电子投标文件所使用的CA锁及电脑，电脑须提前配置好浏览器（建议使用谷歌浏览器），以便开标时解锁。</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2"/>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b/>
          <w:bCs/>
          <w:color w:val="auto"/>
          <w:sz w:val="24"/>
          <w:szCs w:val="24"/>
        </w:rPr>
      </w:pPr>
      <w:r>
        <w:rPr>
          <w:rFonts w:hint="eastAsia" w:ascii="微软雅黑" w:hAnsi="微软雅黑" w:eastAsia="微软雅黑" w:cs="微软雅黑"/>
          <w:b w:val="0"/>
          <w:bCs w:val="0"/>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微软雅黑" w:hAnsi="微软雅黑" w:eastAsia="微软雅黑" w:cs="微软雅黑"/>
          <w:b/>
          <w:bCs/>
          <w:color w:val="auto"/>
          <w:sz w:val="24"/>
          <w:szCs w:val="24"/>
        </w:rPr>
        <w:t> </w:t>
      </w:r>
    </w:p>
    <w:p>
      <w:pPr>
        <w:pStyle w:val="2"/>
        <w:keepNext w:val="0"/>
        <w:keepLines w:val="0"/>
        <w:pageBreakBefore w:val="0"/>
        <w:widowControl w:val="0"/>
        <w:kinsoku/>
        <w:wordWrap/>
        <w:overflowPunct/>
        <w:topLinePunct w:val="0"/>
        <w:bidi w:val="0"/>
        <w:spacing w:line="380" w:lineRule="exact"/>
        <w:ind w:firstLine="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八、对本次采购提出询问，请按以下方式联系</w:t>
      </w:r>
      <w:r>
        <w:rPr>
          <w:rFonts w:hint="eastAsia" w:ascii="微软雅黑" w:hAnsi="微软雅黑" w:eastAsia="微软雅黑" w:cs="微软雅黑"/>
          <w:color w:val="auto"/>
          <w:sz w:val="24"/>
          <w:szCs w:val="24"/>
        </w:rPr>
        <w:t>　　　　　　　　　</w:t>
      </w:r>
    </w:p>
    <w:p>
      <w:pPr>
        <w:keepNext w:val="0"/>
        <w:keepLines w:val="0"/>
        <w:pageBreakBefore w:val="0"/>
        <w:widowControl w:val="0"/>
        <w:kinsoku/>
        <w:wordWrap/>
        <w:overflowPunct/>
        <w:topLinePunct w:val="0"/>
        <w:bidi w:val="0"/>
        <w:spacing w:line="380" w:lineRule="exact"/>
        <w:ind w:firstLine="720" w:firstLineChars="300"/>
        <w:rPr>
          <w:rFonts w:hint="eastAsia" w:ascii="微软雅黑" w:hAnsi="微软雅黑" w:eastAsia="微软雅黑" w:cs="微软雅黑"/>
          <w:color w:val="auto"/>
          <w:sz w:val="24"/>
          <w:szCs w:val="24"/>
        </w:rPr>
      </w:pPr>
      <w:bookmarkStart w:id="449" w:name="_Toc35393637"/>
      <w:bookmarkStart w:id="450" w:name="_Toc35393806"/>
      <w:bookmarkStart w:id="451" w:name="_Toc28359096"/>
      <w:bookmarkStart w:id="452" w:name="_Toc28359019"/>
      <w:r>
        <w:rPr>
          <w:rFonts w:hint="eastAsia" w:ascii="微软雅黑" w:hAnsi="微软雅黑" w:eastAsia="微软雅黑" w:cs="微软雅黑"/>
          <w:color w:val="auto"/>
          <w:sz w:val="24"/>
          <w:szCs w:val="24"/>
        </w:rPr>
        <w:t>1.采购人信息</w:t>
      </w:r>
      <w:bookmarkEnd w:id="449"/>
      <w:bookmarkEnd w:id="450"/>
      <w:bookmarkEnd w:id="451"/>
      <w:bookmarkEnd w:id="452"/>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采购单位：</w:t>
      </w:r>
      <w:bookmarkStart w:id="453" w:name="_Toc35393807"/>
      <w:bookmarkStart w:id="454" w:name="_Toc35393638"/>
      <w:bookmarkStart w:id="455" w:name="_Toc28359097"/>
      <w:bookmarkStart w:id="456" w:name="_Toc28359020"/>
      <w:r>
        <w:rPr>
          <w:rFonts w:hint="eastAsia" w:ascii="微软雅黑" w:hAnsi="微软雅黑" w:eastAsia="微软雅黑" w:cs="微软雅黑"/>
          <w:color w:val="auto"/>
          <w:sz w:val="24"/>
          <w:szCs w:val="24"/>
          <w:lang w:eastAsia="zh-CN"/>
        </w:rPr>
        <w:t>喀什广播电视台</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联系方式：</w:t>
      </w:r>
      <w:bookmarkStart w:id="457" w:name="_Toc6476"/>
      <w:r>
        <w:rPr>
          <w:rFonts w:hint="eastAsia" w:ascii="微软雅黑" w:hAnsi="微软雅黑" w:eastAsia="微软雅黑" w:cs="微软雅黑"/>
          <w:color w:val="auto"/>
          <w:sz w:val="24"/>
          <w:szCs w:val="24"/>
          <w:lang w:val="en-US" w:eastAsia="zh-CN"/>
        </w:rPr>
        <w:t xml:space="preserve"> 18709985890</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2.采购代理机构信息</w:t>
      </w:r>
      <w:bookmarkEnd w:id="453"/>
      <w:bookmarkEnd w:id="454"/>
      <w:bookmarkEnd w:id="455"/>
      <w:bookmarkEnd w:id="456"/>
      <w:bookmarkEnd w:id="457"/>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lang w:eastAsia="zh-CN"/>
        </w:rPr>
        <w:t>重庆渝强工程项目管理有限公司</w:t>
      </w:r>
      <w:r>
        <w:rPr>
          <w:rFonts w:hint="eastAsia" w:ascii="微软雅黑" w:hAnsi="微软雅黑" w:eastAsia="微软雅黑" w:cs="微软雅黑"/>
          <w:color w:val="auto"/>
          <w:sz w:val="24"/>
          <w:szCs w:val="24"/>
        </w:rPr>
        <w:t>　</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联 系 人：</w:t>
      </w:r>
      <w:r>
        <w:rPr>
          <w:rFonts w:hint="eastAsia" w:ascii="微软雅黑" w:hAnsi="微软雅黑" w:eastAsia="微软雅黑" w:cs="微软雅黑"/>
          <w:color w:val="auto"/>
          <w:sz w:val="24"/>
          <w:szCs w:val="24"/>
          <w:lang w:eastAsia="zh-CN"/>
        </w:rPr>
        <w:t>贾玺</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联系方式：</w:t>
      </w:r>
      <w:bookmarkStart w:id="458" w:name="_Toc24331"/>
      <w:r>
        <w:rPr>
          <w:rFonts w:hint="eastAsia" w:ascii="微软雅黑" w:hAnsi="微软雅黑" w:eastAsia="微软雅黑" w:cs="微软雅黑"/>
          <w:color w:val="auto"/>
          <w:sz w:val="24"/>
          <w:szCs w:val="24"/>
          <w:lang w:eastAsia="zh-CN"/>
        </w:rPr>
        <w:t>13279866366</w:t>
      </w:r>
    </w:p>
    <w:bookmarkEnd w:id="458"/>
    <w:p>
      <w:pPr>
        <w:pStyle w:val="21"/>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3.监</w:t>
      </w:r>
      <w:r>
        <w:rPr>
          <w:rFonts w:hint="eastAsia" w:ascii="微软雅黑" w:hAnsi="微软雅黑" w:eastAsia="微软雅黑" w:cs="微软雅黑"/>
          <w:color w:val="auto"/>
          <w:sz w:val="24"/>
          <w:szCs w:val="24"/>
        </w:rPr>
        <w:t>督</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监督部门：喀什地区政府采购管理办公室</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联系电话：0998-2597200</w:t>
      </w:r>
    </w:p>
    <w:p>
      <w:pPr>
        <w:keepNext w:val="0"/>
        <w:keepLines w:val="0"/>
        <w:pageBreakBefore w:val="0"/>
        <w:widowControl w:val="0"/>
        <w:kinsoku/>
        <w:wordWrap/>
        <w:overflowPunct/>
        <w:topLinePunct w:val="0"/>
        <w:bidi w:val="0"/>
        <w:spacing w:line="38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通讯地址：新疆喀什市解放北路46号</w:t>
      </w:r>
    </w:p>
    <w:p>
      <w:pPr>
        <w:pStyle w:val="21"/>
        <w:keepNext w:val="0"/>
        <w:keepLines w:val="0"/>
        <w:pageBreakBefore w:val="0"/>
        <w:widowControl w:val="0"/>
        <w:kinsoku/>
        <w:wordWrap/>
        <w:overflowPunct/>
        <w:topLinePunct w:val="0"/>
        <w:bidi w:val="0"/>
        <w:spacing w:line="380" w:lineRule="exact"/>
        <w:jc w:val="right"/>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bidi w:val="0"/>
        <w:spacing w:line="380" w:lineRule="exact"/>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重庆渝强工程项目管理有限公司</w:t>
      </w:r>
      <w:r>
        <w:rPr>
          <w:rFonts w:hint="eastAsia" w:ascii="微软雅黑" w:hAnsi="微软雅黑" w:eastAsia="微软雅黑" w:cs="微软雅黑"/>
          <w:color w:val="auto"/>
          <w:sz w:val="24"/>
          <w:szCs w:val="24"/>
        </w:rPr>
        <w:t xml:space="preserve">                                            </w:t>
      </w:r>
    </w:p>
    <w:p>
      <w:pPr>
        <w:keepNext w:val="0"/>
        <w:keepLines w:val="0"/>
        <w:pageBreakBefore w:val="0"/>
        <w:widowControl w:val="0"/>
        <w:kinsoku/>
        <w:wordWrap/>
        <w:overflowPunct/>
        <w:topLinePunct w:val="0"/>
        <w:bidi w:val="0"/>
        <w:spacing w:line="380" w:lineRule="exact"/>
        <w:jc w:val="right"/>
        <w:rPr>
          <w:rFonts w:hint="eastAsia" w:ascii="微软雅黑" w:hAnsi="微软雅黑" w:eastAsia="微软雅黑" w:cs="微软雅黑"/>
          <w:color w:val="FF0000"/>
          <w:sz w:val="24"/>
          <w:szCs w:val="24"/>
        </w:rPr>
      </w:pP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16</w:t>
      </w:r>
      <w:r>
        <w:rPr>
          <w:rFonts w:hint="eastAsia" w:ascii="微软雅黑" w:hAnsi="微软雅黑" w:eastAsia="微软雅黑" w:cs="微软雅黑"/>
          <w:color w:val="auto"/>
          <w:sz w:val="24"/>
          <w:szCs w:val="24"/>
        </w:rPr>
        <w:t>日</w:t>
      </w:r>
    </w:p>
    <w:p>
      <w:pPr>
        <w:widowControl/>
        <w:jc w:val="left"/>
      </w:pPr>
      <w:r>
        <w:br w:type="page"/>
      </w:r>
    </w:p>
    <w:p>
      <w:pPr>
        <w:pStyle w:val="4"/>
        <w:tabs>
          <w:tab w:val="left" w:pos="0"/>
        </w:tabs>
        <w:snapToGrid w:val="0"/>
        <w:spacing w:before="0" w:after="0" w:line="240" w:lineRule="atLeast"/>
        <w:textAlignment w:val="baseline"/>
        <w:rPr>
          <w:rFonts w:hint="eastAsia" w:hAnsi="宋体" w:cs="宋体"/>
          <w:sz w:val="48"/>
          <w:szCs w:val="48"/>
        </w:rPr>
        <w:sectPr>
          <w:pgSz w:w="11906" w:h="16838"/>
          <w:pgMar w:top="1440" w:right="1800" w:bottom="1440" w:left="1800" w:header="851" w:footer="992" w:gutter="0"/>
          <w:pgNumType w:fmt="decimal"/>
          <w:cols w:space="425" w:num="1"/>
          <w:docGrid w:type="lines" w:linePitch="312" w:charSpace="0"/>
        </w:sectPr>
      </w:pPr>
      <w:bookmarkStart w:id="459" w:name="_Toc20606"/>
    </w:p>
    <w:p>
      <w:pPr>
        <w:pStyle w:val="4"/>
        <w:tabs>
          <w:tab w:val="left" w:pos="0"/>
        </w:tabs>
        <w:snapToGrid w:val="0"/>
        <w:spacing w:before="0" w:after="0" w:line="240" w:lineRule="atLeast"/>
        <w:textAlignment w:val="baseline"/>
        <w:rPr>
          <w:rFonts w:hAnsi="宋体" w:cs="宋体"/>
          <w:b w:val="0"/>
          <w:sz w:val="48"/>
          <w:szCs w:val="48"/>
        </w:rPr>
      </w:pPr>
      <w:r>
        <w:rPr>
          <w:rFonts w:hint="eastAsia" w:hAnsi="宋体" w:cs="宋体"/>
          <w:sz w:val="48"/>
          <w:szCs w:val="48"/>
        </w:rPr>
        <w:t>第4章  投标人须知资料表</w:t>
      </w:r>
      <w:bookmarkEnd w:id="448"/>
      <w:bookmarkEnd w:id="459"/>
    </w:p>
    <w:p>
      <w:pPr>
        <w:snapToGrid w:val="0"/>
        <w:spacing w:line="400" w:lineRule="exac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本表是本招标项目的具体资料，是对投标人须知的具体补充和修改，如有矛盾，应以本资料表为准。</w:t>
      </w:r>
    </w:p>
    <w:tbl>
      <w:tblPr>
        <w:tblStyle w:val="27"/>
        <w:tblW w:w="92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条款号</w:t>
            </w:r>
          </w:p>
        </w:tc>
        <w:tc>
          <w:tcPr>
            <w:tcW w:w="7711" w:type="dxa"/>
            <w:vAlign w:val="center"/>
          </w:tcPr>
          <w:p>
            <w:pPr>
              <w:snapToGrid w:val="0"/>
              <w:spacing w:line="400" w:lineRule="exact"/>
              <w:ind w:left="1080" w:leftChars="257" w:hanging="540"/>
              <w:jc w:val="center"/>
              <w:textAlignment w:val="baseline"/>
              <w:rPr>
                <w:rFonts w:ascii="微软雅黑" w:hAnsi="微软雅黑" w:eastAsia="微软雅黑" w:cs="微软雅黑"/>
                <w:b/>
                <w:sz w:val="24"/>
              </w:rPr>
            </w:pPr>
            <w:r>
              <w:rPr>
                <w:rFonts w:hint="eastAsia" w:ascii="微软雅黑" w:hAnsi="微软雅黑" w:eastAsia="微软雅黑" w:cs="微软雅黑"/>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rPr>
              <w:t>1</w:t>
            </w:r>
            <w:r>
              <w:rPr>
                <w:rFonts w:hint="eastAsia" w:ascii="微软雅黑" w:hAnsi="微软雅黑" w:eastAsia="微软雅黑" w:cs="微软雅黑"/>
                <w:sz w:val="24"/>
                <w:lang w:val="en-US" w:eastAsia="zh-CN"/>
              </w:rPr>
              <w:t>.1</w:t>
            </w:r>
          </w:p>
        </w:tc>
        <w:tc>
          <w:tcPr>
            <w:tcW w:w="7711" w:type="dxa"/>
            <w:vAlign w:val="center"/>
          </w:tcPr>
          <w:p>
            <w:pPr>
              <w:snapToGrid w:val="0"/>
              <w:spacing w:line="400" w:lineRule="exact"/>
              <w:textAlignment w:val="baseline"/>
              <w:rPr>
                <w:rFonts w:hint="eastAsia" w:ascii="微软雅黑" w:hAnsi="微软雅黑" w:eastAsia="微软雅黑" w:cs="微软雅黑"/>
                <w:sz w:val="24"/>
                <w:u w:val="single"/>
                <w:lang w:eastAsia="zh-CN"/>
              </w:rPr>
            </w:pPr>
            <w:r>
              <w:rPr>
                <w:rFonts w:hint="eastAsia" w:ascii="微软雅黑" w:hAnsi="微软雅黑" w:eastAsia="微软雅黑" w:cs="微软雅黑"/>
                <w:sz w:val="24"/>
              </w:rPr>
              <w:t>采购人：</w:t>
            </w:r>
            <w:r>
              <w:rPr>
                <w:rFonts w:hint="eastAsia" w:ascii="微软雅黑" w:hAnsi="微软雅黑" w:eastAsia="微软雅黑" w:cs="微软雅黑"/>
                <w:sz w:val="24"/>
                <w:u w:val="single"/>
                <w:lang w:eastAsia="zh-CN"/>
              </w:rPr>
              <w:t>喀什广播电视台</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联系电话：18709985890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w:t>
            </w:r>
          </w:p>
        </w:tc>
        <w:tc>
          <w:tcPr>
            <w:tcW w:w="7711" w:type="dxa"/>
            <w:vAlign w:val="center"/>
          </w:tcPr>
          <w:p>
            <w:pPr>
              <w:snapToGrid w:val="0"/>
              <w:spacing w:line="400" w:lineRule="exac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采购代理机构：</w:t>
            </w:r>
            <w:r>
              <w:rPr>
                <w:rFonts w:hint="eastAsia" w:ascii="微软雅黑" w:hAnsi="微软雅黑" w:eastAsia="微软雅黑" w:cs="微软雅黑"/>
                <w:sz w:val="24"/>
                <w:u w:val="single"/>
                <w:lang w:eastAsia="zh-CN"/>
              </w:rPr>
              <w:t>重庆渝强工程项目管理有限公司</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业务联系人：</w:t>
            </w:r>
            <w:r>
              <w:rPr>
                <w:rFonts w:hint="eastAsia" w:ascii="微软雅黑" w:hAnsi="微软雅黑" w:eastAsia="微软雅黑" w:cs="微软雅黑"/>
                <w:sz w:val="24"/>
                <w:lang w:eastAsia="zh-CN"/>
              </w:rPr>
              <w:t>贾玺</w:t>
            </w:r>
            <w:r>
              <w:rPr>
                <w:rFonts w:hint="eastAsia" w:ascii="微软雅黑" w:hAnsi="微软雅黑" w:eastAsia="微软雅黑" w:cs="微软雅黑"/>
                <w:sz w:val="24"/>
              </w:rPr>
              <w:t>　   联系电话：</w:t>
            </w:r>
            <w:r>
              <w:rPr>
                <w:rFonts w:hint="eastAsia" w:ascii="微软雅黑" w:hAnsi="微软雅黑" w:eastAsia="微软雅黑" w:cs="微软雅黑"/>
                <w:sz w:val="24"/>
                <w:lang w:eastAsia="zh-CN"/>
              </w:rPr>
              <w:t>13279866366</w:t>
            </w:r>
            <w:r>
              <w:rPr>
                <w:rFonts w:hint="eastAsia" w:ascii="微软雅黑" w:hAnsi="微软雅黑" w:eastAsia="微软雅黑" w:cs="微软雅黑"/>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1.3.4</w:t>
            </w:r>
          </w:p>
        </w:tc>
        <w:tc>
          <w:tcPr>
            <w:tcW w:w="7711" w:type="dxa"/>
            <w:vAlign w:val="center"/>
          </w:tcPr>
          <w:p>
            <w:pPr>
              <w:snapToGrid w:val="0"/>
              <w:spacing w:line="400" w:lineRule="exact"/>
              <w:textAlignment w:val="baseline"/>
              <w:rPr>
                <w:rFonts w:hint="eastAsia" w:ascii="宋体" w:hAnsi="宋体" w:eastAsia="宋体" w:cs="宋体"/>
                <w:color w:val="auto"/>
                <w:sz w:val="28"/>
                <w:szCs w:val="28"/>
              </w:rPr>
            </w:pPr>
            <w:r>
              <w:rPr>
                <w:rFonts w:hint="eastAsia" w:ascii="微软雅黑" w:hAnsi="微软雅黑" w:eastAsia="微软雅黑" w:cs="微软雅黑"/>
                <w:color w:val="auto"/>
                <w:sz w:val="24"/>
              </w:rPr>
              <w:t>合格投标人的其他资格要求：</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投标人必须满足《中华人民共和国政府采购法》第二十二条要求；</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2</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合格有效的三证合一的营业执照（三证合一）副本或电子营业执照打印件（需加盖公章）</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eastAsia="zh-CN"/>
              </w:rPr>
              <w:t>法定代表人（负责人）资格证明书及授权书、被授权人身份证；(法定代表人投标需提供法定代表人身份证及法定代表人代表资格证明书)</w:t>
            </w:r>
            <w:r>
              <w:rPr>
                <w:rFonts w:hint="eastAsia" w:ascii="微软雅黑" w:hAnsi="微软雅黑" w:eastAsia="微软雅黑" w:cs="微软雅黑"/>
                <w:sz w:val="24"/>
              </w:rPr>
              <w:t>；</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4、近三个月依法缴纳税收的证明（完税证明或税务部门出具的其他证明，税种非社会保险类）；</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5、近</w:t>
            </w:r>
            <w:r>
              <w:rPr>
                <w:rFonts w:hint="eastAsia" w:ascii="微软雅黑" w:hAnsi="微软雅黑" w:eastAsia="微软雅黑" w:cs="微软雅黑"/>
                <w:sz w:val="24"/>
                <w:lang w:val="en-US" w:eastAsia="zh-CN"/>
              </w:rPr>
              <w:t>六</w:t>
            </w:r>
            <w:r>
              <w:rPr>
                <w:rFonts w:hint="eastAsia" w:ascii="微软雅黑" w:hAnsi="微软雅黑" w:eastAsia="微软雅黑" w:cs="微软雅黑"/>
                <w:sz w:val="24"/>
              </w:rPr>
              <w:t>个月依法缴纳社会保障金的缴费和银行转帐汇款单证明。</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6、良好的商业信誉和健全的财务会计制度证明材料（2021年度财务审计报告书影印件；新办企业需提供银行资信证明）；</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rPr>
              <w:t>7、参加政府采购活动前3年内在经营活动中没有重大违法记录的书面声明</w:t>
            </w:r>
            <w:r>
              <w:rPr>
                <w:rFonts w:hint="eastAsia" w:ascii="微软雅黑" w:hAnsi="微软雅黑" w:eastAsia="微软雅黑" w:cs="微软雅黑"/>
                <w:sz w:val="24"/>
                <w:lang w:val="en-US" w:eastAsia="zh-CN"/>
              </w:rPr>
              <w:t>及</w:t>
            </w:r>
            <w:r>
              <w:rPr>
                <w:rFonts w:hint="eastAsia" w:ascii="微软雅黑" w:hAnsi="微软雅黑" w:eastAsia="微软雅黑" w:cs="微软雅黑"/>
                <w:sz w:val="24"/>
              </w:rPr>
              <w:t>投标单位（供应商）提供针对本次采购项目《反商业贿赂承诺书》</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格式自拟</w:t>
            </w:r>
            <w:r>
              <w:rPr>
                <w:rFonts w:hint="eastAsia" w:ascii="微软雅黑" w:hAnsi="微软雅黑" w:eastAsia="微软雅黑" w:cs="微软雅黑"/>
                <w:sz w:val="24"/>
                <w:lang w:eastAsia="zh-CN"/>
              </w:rPr>
              <w:t>）；</w:t>
            </w:r>
          </w:p>
          <w:p>
            <w:pPr>
              <w:tabs>
                <w:tab w:val="left" w:pos="1800"/>
                <w:tab w:val="left" w:pos="5580"/>
              </w:tabs>
              <w:snapToGrid w:val="0"/>
              <w:spacing w:line="240" w:lineRule="auto"/>
              <w:ind w:right="294" w:rightChars="140"/>
              <w:jc w:val="lef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8</w:t>
            </w:r>
            <w:r>
              <w:rPr>
                <w:rFonts w:hint="eastAsia" w:ascii="微软雅黑" w:hAnsi="微软雅黑" w:eastAsia="微软雅黑" w:cs="微软雅黑"/>
                <w:sz w:val="24"/>
                <w:lang w:eastAsia="zh-CN"/>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w:t>
            </w:r>
            <w:r>
              <w:rPr>
                <w:rFonts w:hint="eastAsia" w:ascii="微软雅黑" w:hAnsi="微软雅黑" w:eastAsia="微软雅黑" w:cs="微软雅黑"/>
                <w:sz w:val="24"/>
              </w:rPr>
              <w:t>府采购网(www.ccgp.gov.cn)查询结果为准；</w:t>
            </w:r>
          </w:p>
          <w:p>
            <w:pPr>
              <w:tabs>
                <w:tab w:val="left" w:pos="1800"/>
                <w:tab w:val="left" w:pos="5580"/>
              </w:tabs>
              <w:snapToGrid w:val="0"/>
              <w:spacing w:line="240" w:lineRule="auto"/>
              <w:ind w:right="-867"/>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sz w:val="24"/>
              </w:rPr>
              <w:t>9、</w:t>
            </w:r>
            <w:r>
              <w:rPr>
                <w:rFonts w:hint="eastAsia" w:ascii="微软雅黑" w:hAnsi="微软雅黑" w:eastAsia="微软雅黑" w:cs="微软雅黑"/>
                <w:color w:val="auto"/>
                <w:sz w:val="24"/>
              </w:rPr>
              <w:t>本项目不接受联合体投标。</w:t>
            </w:r>
          </w:p>
          <w:p>
            <w:pPr>
              <w:tabs>
                <w:tab w:val="left" w:pos="1800"/>
                <w:tab w:val="left" w:pos="5580"/>
              </w:tabs>
              <w:snapToGrid w:val="0"/>
              <w:spacing w:line="240" w:lineRule="auto"/>
              <w:ind w:right="-840" w:rightChars="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投标人提供的上述资格证明文件中涉及复印件和影印件的，均需加盖公章并注明“与原件一致”。</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b/>
                <w:bCs/>
                <w:color w:val="auto"/>
                <w:sz w:val="24"/>
              </w:rPr>
              <w:t>提示：上述资质开标现场能够通过官方网络查证的，均视为合格供应商。在资格审查过程中，潜在投标企业提供的资质材料不全的，可打开投标书进行进一步核实，符合条件的均为合格供应商。通过资格审查的供应商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1.3.5</w:t>
            </w:r>
          </w:p>
        </w:tc>
        <w:tc>
          <w:tcPr>
            <w:tcW w:w="7711" w:type="dxa"/>
            <w:vAlign w:val="center"/>
          </w:tcPr>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是否允许采购进口产品：</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1.3.6</w:t>
            </w:r>
          </w:p>
        </w:tc>
        <w:tc>
          <w:tcPr>
            <w:tcW w:w="7711" w:type="dxa"/>
            <w:vAlign w:val="center"/>
          </w:tcPr>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是否为专门面向中小企业采购：</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是</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1.4</w:t>
            </w:r>
          </w:p>
        </w:tc>
        <w:tc>
          <w:tcPr>
            <w:tcW w:w="7711" w:type="dxa"/>
            <w:vAlign w:val="center"/>
          </w:tcPr>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是否允许联合体投标：</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1.4.8</w:t>
            </w:r>
          </w:p>
        </w:tc>
        <w:tc>
          <w:tcPr>
            <w:tcW w:w="7711" w:type="dxa"/>
            <w:vAlign w:val="center"/>
          </w:tcPr>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联合体的其他资格要求：本项目不接受联合体投标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2.2</w:t>
            </w:r>
          </w:p>
        </w:tc>
        <w:tc>
          <w:tcPr>
            <w:tcW w:w="7711" w:type="dxa"/>
            <w:vAlign w:val="center"/>
          </w:tcPr>
          <w:p>
            <w:pPr>
              <w:snapToGrid w:val="0"/>
              <w:spacing w:line="400" w:lineRule="exac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项目预算总金额：</w:t>
            </w:r>
            <w:r>
              <w:rPr>
                <w:rFonts w:hint="eastAsia" w:ascii="微软雅黑" w:hAnsi="微软雅黑" w:eastAsia="微软雅黑" w:cs="微软雅黑"/>
                <w:color w:val="auto"/>
                <w:sz w:val="24"/>
                <w:lang w:val="en-US" w:eastAsia="zh-CN"/>
              </w:rPr>
              <w:t xml:space="preserve">974.449585 </w:t>
            </w:r>
            <w:r>
              <w:rPr>
                <w:rFonts w:hint="eastAsia" w:ascii="微软雅黑" w:hAnsi="微软雅黑" w:eastAsia="微软雅黑" w:cs="微软雅黑"/>
                <w:color w:val="auto"/>
                <w:sz w:val="24"/>
              </w:rPr>
              <w:t>万元</w:t>
            </w:r>
          </w:p>
          <w:p>
            <w:pPr>
              <w:snapToGrid w:val="0"/>
              <w:spacing w:line="400" w:lineRule="exact"/>
              <w:textAlignment w:val="baseline"/>
              <w:rPr>
                <w:rFonts w:hint="default" w:eastAsia="微软雅黑"/>
                <w:color w:val="auto"/>
                <w:lang w:val="en-US" w:eastAsia="zh-CN"/>
              </w:rPr>
            </w:pPr>
            <w:r>
              <w:rPr>
                <w:rFonts w:hint="eastAsia" w:ascii="微软雅黑" w:hAnsi="微软雅黑" w:eastAsia="微软雅黑" w:cs="微软雅黑"/>
                <w:color w:val="auto"/>
                <w:sz w:val="24"/>
              </w:rPr>
              <w:t>本项目最高限价：</w:t>
            </w:r>
            <w:r>
              <w:rPr>
                <w:rFonts w:hint="eastAsia" w:ascii="微软雅黑" w:hAnsi="微软雅黑" w:eastAsia="微软雅黑" w:cs="微软雅黑"/>
                <w:color w:val="auto"/>
                <w:sz w:val="24"/>
                <w:lang w:val="en-US" w:eastAsia="zh-CN"/>
              </w:rPr>
              <w:t xml:space="preserve">974.449585 </w:t>
            </w:r>
            <w:r>
              <w:rPr>
                <w:rFonts w:hint="eastAsia" w:ascii="微软雅黑" w:hAnsi="微软雅黑" w:eastAsia="微软雅黑" w:cs="微软雅黑"/>
                <w:color w:val="auto"/>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70"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12.1</w:t>
            </w:r>
          </w:p>
        </w:tc>
        <w:tc>
          <w:tcPr>
            <w:tcW w:w="7711" w:type="dxa"/>
            <w:vAlign w:val="center"/>
          </w:tcPr>
          <w:p>
            <w:pPr>
              <w:snapToGrid w:val="0"/>
              <w:spacing w:line="240" w:lineRule="auto"/>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投标保证金形式：</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 xml:space="preserve">保函  ☑电汇  □支票   ☑对公转账   </w:t>
            </w:r>
          </w:p>
          <w:p>
            <w:pPr>
              <w:snapToGrid w:val="0"/>
              <w:spacing w:line="4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保证金数额：</w:t>
            </w:r>
            <w:r>
              <w:rPr>
                <w:rFonts w:hint="eastAsia" w:ascii="微软雅黑" w:hAnsi="微软雅黑" w:eastAsia="微软雅黑" w:cs="微软雅黑"/>
                <w:color w:val="auto"/>
                <w:sz w:val="24"/>
                <w:lang w:val="en-US" w:eastAsia="zh-CN"/>
              </w:rPr>
              <w:t>180000.00</w:t>
            </w:r>
            <w:r>
              <w:rPr>
                <w:rFonts w:hint="eastAsia" w:ascii="微软雅黑" w:hAnsi="微软雅黑" w:eastAsia="微软雅黑" w:cs="微软雅黑"/>
                <w:color w:val="auto"/>
                <w:sz w:val="24"/>
              </w:rPr>
              <w:t xml:space="preserve">元 </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大写：壹拾捌万元整</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（按照控制金额2%以内的整数计算）</w:t>
            </w:r>
          </w:p>
          <w:p>
            <w:pPr>
              <w:snapToGrid w:val="0"/>
              <w:spacing w:line="400" w:lineRule="exact"/>
              <w:jc w:val="lef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保证金收款单位名称：</w:t>
            </w:r>
            <w:r>
              <w:rPr>
                <w:rFonts w:hint="eastAsia" w:ascii="微软雅黑" w:hAnsi="微软雅黑" w:eastAsia="微软雅黑" w:cs="微软雅黑"/>
                <w:color w:val="auto"/>
                <w:sz w:val="24"/>
                <w:lang w:eastAsia="zh-CN"/>
              </w:rPr>
              <w:t>重庆渝强工程项目管理有限公司克州分公司</w:t>
            </w:r>
          </w:p>
          <w:p>
            <w:pPr>
              <w:snapToGrid w:val="0"/>
              <w:spacing w:line="4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开 户 行：中国银行股份有限公司克孜勒苏柯尔克孜自治州分行</w:t>
            </w:r>
          </w:p>
          <w:p>
            <w:pPr>
              <w:snapToGrid w:val="0"/>
              <w:spacing w:line="4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账   号：107671931470（电汇时请在汇款备注栏注明项目名称及编号、包号（如有），并注明是投标保证金）       </w:t>
            </w:r>
          </w:p>
          <w:p>
            <w:pPr>
              <w:snapToGrid w:val="0"/>
              <w:spacing w:line="4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（1）投标人必须在投标截止时间前完成保证金缴纳工作。投标人需自行评估因异地、跨行、公休日等因素造成的投标保证金到账延迟风险，并承担相应责任。</w:t>
            </w:r>
          </w:p>
          <w:p>
            <w:pPr>
              <w:snapToGrid w:val="0"/>
              <w:spacing w:line="4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（2）投标保证金的提交以保证金账户到账时间为准。</w:t>
            </w:r>
          </w:p>
          <w:p>
            <w:pPr>
              <w:snapToGrid w:val="0"/>
              <w:spacing w:line="4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（3）标书内须放置投标保证金打款凭证。</w:t>
            </w:r>
          </w:p>
          <w:p>
            <w:pPr>
              <w:snapToGrid w:val="0"/>
              <w:spacing w:line="4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保证金退款手续：</w:t>
            </w:r>
          </w:p>
          <w:p>
            <w:pPr>
              <w:snapToGrid w:val="0"/>
              <w:spacing w:line="400" w:lineRule="exact"/>
              <w:jc w:val="left"/>
              <w:textAlignment w:val="baseline"/>
              <w:rPr>
                <w:color w:val="auto"/>
              </w:rPr>
            </w:pPr>
            <w:r>
              <w:rPr>
                <w:rFonts w:hint="eastAsia" w:ascii="微软雅黑" w:hAnsi="微软雅黑" w:eastAsia="微软雅黑" w:cs="微软雅黑"/>
                <w:color w:val="auto"/>
                <w:sz w:val="24"/>
              </w:rPr>
              <w:t>中标人应在与采购单位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13.1</w:t>
            </w:r>
          </w:p>
        </w:tc>
        <w:tc>
          <w:tcPr>
            <w:tcW w:w="7711" w:type="dxa"/>
            <w:vAlign w:val="center"/>
          </w:tcPr>
          <w:p>
            <w:pPr>
              <w:snapToGrid w:val="0"/>
              <w:spacing w:line="400" w:lineRule="exact"/>
              <w:textAlignment w:val="baseline"/>
              <w:rPr>
                <w:rFonts w:ascii="微软雅黑" w:hAnsi="微软雅黑" w:eastAsia="微软雅黑" w:cs="微软雅黑"/>
                <w:sz w:val="24"/>
                <w:u w:val="single"/>
              </w:rPr>
            </w:pPr>
            <w:r>
              <w:rPr>
                <w:rFonts w:hint="eastAsia" w:ascii="微软雅黑" w:hAnsi="微软雅黑" w:eastAsia="微软雅黑" w:cs="微软雅黑"/>
                <w:sz w:val="24"/>
              </w:rPr>
              <w:t>投标有效期：</w:t>
            </w:r>
            <w:r>
              <w:rPr>
                <w:rFonts w:hint="eastAsia" w:ascii="微软雅黑" w:hAnsi="微软雅黑" w:eastAsia="微软雅黑" w:cs="微软雅黑"/>
                <w:sz w:val="24"/>
                <w:u w:val="single"/>
              </w:rPr>
              <w:t>　</w:t>
            </w:r>
            <w:r>
              <w:rPr>
                <w:rFonts w:hint="eastAsia" w:ascii="微软雅黑" w:hAnsi="微软雅黑" w:eastAsia="微软雅黑" w:cs="微软雅黑"/>
                <w:sz w:val="24"/>
                <w:u w:val="single"/>
                <w:lang w:val="en-US" w:eastAsia="zh-CN"/>
              </w:rPr>
              <w:t>9</w:t>
            </w:r>
            <w:r>
              <w:rPr>
                <w:rFonts w:hint="eastAsia" w:ascii="微软雅黑" w:hAnsi="微软雅黑" w:eastAsia="微软雅黑" w:cs="微软雅黑"/>
                <w:sz w:val="24"/>
                <w:u w:val="single"/>
              </w:rPr>
              <w:t>0　</w:t>
            </w:r>
            <w:r>
              <w:rPr>
                <w:rFonts w:hint="eastAsia" w:ascii="微软雅黑" w:hAnsi="微软雅黑" w:eastAsia="微软雅黑" w:cs="微软雅黑"/>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14.1</w:t>
            </w:r>
          </w:p>
        </w:tc>
        <w:tc>
          <w:tcPr>
            <w:tcW w:w="7711" w:type="dxa"/>
            <w:vAlign w:val="center"/>
          </w:tcPr>
          <w:p>
            <w:pPr>
              <w:snapToGrid w:val="0"/>
              <w:spacing w:line="400" w:lineRule="exact"/>
              <w:jc w:val="left"/>
              <w:textAlignment w:val="baseline"/>
              <w:rPr>
                <w:rFonts w:ascii="微软雅黑" w:hAnsi="微软雅黑" w:eastAsia="微软雅黑" w:cs="微软雅黑"/>
                <w:sz w:val="24"/>
              </w:rPr>
            </w:pPr>
            <w:r>
              <w:rPr>
                <w:rFonts w:hint="eastAsia" w:ascii="微软雅黑" w:hAnsi="微软雅黑" w:eastAsia="微软雅黑" w:cs="微软雅黑"/>
                <w:sz w:val="24"/>
              </w:rPr>
              <w:t>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16.1</w:t>
            </w:r>
          </w:p>
        </w:tc>
        <w:tc>
          <w:tcPr>
            <w:tcW w:w="7711" w:type="dxa"/>
            <w:vAlign w:val="center"/>
          </w:tcPr>
          <w:p>
            <w:pPr>
              <w:snapToGrid w:val="0"/>
              <w:spacing w:line="400" w:lineRule="exact"/>
              <w:jc w:val="left"/>
              <w:textAlignment w:val="baseline"/>
              <w:rPr>
                <w:rFonts w:ascii="微软雅黑" w:hAnsi="微软雅黑" w:eastAsia="微软雅黑" w:cs="微软雅黑"/>
                <w:color w:val="FF0000"/>
                <w:sz w:val="24"/>
              </w:rPr>
            </w:pPr>
            <w:r>
              <w:rPr>
                <w:rFonts w:hint="eastAsia" w:ascii="微软雅黑" w:hAnsi="微软雅黑" w:eastAsia="微软雅黑" w:cs="微软雅黑"/>
                <w:color w:val="FF0000"/>
                <w:sz w:val="24"/>
              </w:rPr>
              <w:t>投标截止时间：</w:t>
            </w:r>
            <w:r>
              <w:rPr>
                <w:rFonts w:hint="eastAsia" w:ascii="微软雅黑" w:hAnsi="微软雅黑" w:eastAsia="微软雅黑" w:cs="微软雅黑"/>
                <w:color w:val="FF0000"/>
                <w:sz w:val="24"/>
                <w:lang w:eastAsia="zh-CN"/>
              </w:rPr>
              <w:t>2022年</w:t>
            </w:r>
            <w:r>
              <w:rPr>
                <w:rFonts w:hint="eastAsia" w:ascii="微软雅黑" w:hAnsi="微软雅黑" w:eastAsia="微软雅黑" w:cs="微软雅黑"/>
                <w:color w:val="FF0000"/>
                <w:sz w:val="24"/>
                <w:lang w:val="en-US" w:eastAsia="zh-CN"/>
              </w:rPr>
              <w:t>10</w:t>
            </w:r>
            <w:r>
              <w:rPr>
                <w:rFonts w:hint="eastAsia" w:ascii="微软雅黑" w:hAnsi="微软雅黑" w:eastAsia="微软雅黑" w:cs="微软雅黑"/>
                <w:color w:val="FF0000"/>
                <w:sz w:val="24"/>
                <w:lang w:eastAsia="zh-CN"/>
              </w:rPr>
              <w:t>月</w:t>
            </w:r>
            <w:r>
              <w:rPr>
                <w:rFonts w:hint="eastAsia" w:ascii="微软雅黑" w:hAnsi="微软雅黑" w:eastAsia="微软雅黑" w:cs="微软雅黑"/>
                <w:color w:val="FF0000"/>
                <w:sz w:val="24"/>
                <w:lang w:val="en-US" w:eastAsia="zh-CN"/>
              </w:rPr>
              <w:t>8</w:t>
            </w:r>
            <w:r>
              <w:rPr>
                <w:rFonts w:hint="eastAsia" w:ascii="微软雅黑" w:hAnsi="微软雅黑" w:eastAsia="微软雅黑" w:cs="微软雅黑"/>
                <w:color w:val="FF0000"/>
                <w:sz w:val="24"/>
              </w:rPr>
              <w:t>日上午1</w:t>
            </w:r>
            <w:r>
              <w:rPr>
                <w:rFonts w:hint="eastAsia" w:ascii="微软雅黑" w:hAnsi="微软雅黑" w:eastAsia="微软雅黑" w:cs="微软雅黑"/>
                <w:color w:val="FF0000"/>
                <w:sz w:val="24"/>
                <w:lang w:val="en-US" w:eastAsia="zh-CN"/>
              </w:rPr>
              <w:t>1</w:t>
            </w:r>
            <w:r>
              <w:rPr>
                <w:rFonts w:hint="eastAsia" w:ascii="微软雅黑" w:hAnsi="微软雅黑" w:eastAsia="微软雅黑" w:cs="微软雅黑"/>
                <w:color w:val="FF0000"/>
                <w:sz w:val="24"/>
              </w:rPr>
              <w:t>点</w:t>
            </w:r>
            <w:r>
              <w:rPr>
                <w:rFonts w:hint="eastAsia" w:ascii="微软雅黑" w:hAnsi="微软雅黑" w:eastAsia="微软雅黑" w:cs="微软雅黑"/>
                <w:color w:val="FF0000"/>
                <w:sz w:val="24"/>
                <w:lang w:val="en-US" w:eastAsia="zh-CN"/>
              </w:rPr>
              <w:t>0</w:t>
            </w:r>
            <w:r>
              <w:rPr>
                <w:rFonts w:hint="eastAsia" w:ascii="微软雅黑" w:hAnsi="微软雅黑" w:eastAsia="微软雅黑" w:cs="微软雅黑"/>
                <w:color w:val="FF0000"/>
                <w:sz w:val="24"/>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18.1</w:t>
            </w:r>
          </w:p>
        </w:tc>
        <w:tc>
          <w:tcPr>
            <w:tcW w:w="7711" w:type="dxa"/>
            <w:vAlign w:val="center"/>
          </w:tcPr>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开标时间：</w:t>
            </w:r>
            <w:r>
              <w:rPr>
                <w:rFonts w:hint="eastAsia" w:ascii="微软雅黑" w:hAnsi="微软雅黑" w:eastAsia="微软雅黑" w:cs="微软雅黑"/>
                <w:color w:val="auto"/>
                <w:sz w:val="24"/>
                <w:lang w:eastAsia="zh-CN"/>
              </w:rPr>
              <w:t>2022年</w:t>
            </w:r>
            <w:r>
              <w:rPr>
                <w:rFonts w:hint="eastAsia" w:ascii="微软雅黑" w:hAnsi="微软雅黑" w:eastAsia="微软雅黑" w:cs="微软雅黑"/>
                <w:color w:val="auto"/>
                <w:sz w:val="24"/>
                <w:lang w:val="en-US" w:eastAsia="zh-CN"/>
              </w:rPr>
              <w:t>10</w:t>
            </w:r>
            <w:r>
              <w:rPr>
                <w:rFonts w:hint="eastAsia" w:ascii="微软雅黑" w:hAnsi="微软雅黑" w:eastAsia="微软雅黑" w:cs="微软雅黑"/>
                <w:color w:val="auto"/>
                <w:sz w:val="24"/>
                <w:lang w:eastAsia="zh-CN"/>
              </w:rPr>
              <w:t>月</w:t>
            </w:r>
            <w:r>
              <w:rPr>
                <w:rFonts w:hint="eastAsia" w:ascii="微软雅黑" w:hAnsi="微软雅黑" w:eastAsia="微软雅黑" w:cs="微软雅黑"/>
                <w:color w:val="auto"/>
                <w:sz w:val="24"/>
                <w:lang w:val="en-US" w:eastAsia="zh-CN"/>
              </w:rPr>
              <w:t>8</w:t>
            </w:r>
            <w:r>
              <w:rPr>
                <w:rFonts w:hint="eastAsia" w:ascii="微软雅黑" w:hAnsi="微软雅黑" w:eastAsia="微软雅黑" w:cs="微软雅黑"/>
                <w:color w:val="auto"/>
                <w:sz w:val="24"/>
              </w:rPr>
              <w:t>日上午1</w:t>
            </w:r>
            <w:r>
              <w:rPr>
                <w:rFonts w:hint="eastAsia" w:ascii="微软雅黑" w:hAnsi="微软雅黑" w:eastAsia="微软雅黑" w:cs="微软雅黑"/>
                <w:color w:val="auto"/>
                <w:sz w:val="24"/>
                <w:lang w:val="en-US" w:eastAsia="zh-CN"/>
              </w:rPr>
              <w:t>1</w:t>
            </w:r>
            <w:r>
              <w:rPr>
                <w:rFonts w:hint="eastAsia" w:ascii="微软雅黑" w:hAnsi="微软雅黑" w:eastAsia="微软雅黑" w:cs="微软雅黑"/>
                <w:color w:val="auto"/>
                <w:sz w:val="24"/>
              </w:rPr>
              <w:t>点</w:t>
            </w:r>
            <w:r>
              <w:rPr>
                <w:rFonts w:hint="eastAsia" w:ascii="微软雅黑" w:hAnsi="微软雅黑" w:eastAsia="微软雅黑" w:cs="微软雅黑"/>
                <w:color w:val="auto"/>
                <w:sz w:val="24"/>
                <w:lang w:val="en-US" w:eastAsia="zh-CN"/>
              </w:rPr>
              <w:t>0</w:t>
            </w:r>
            <w:r>
              <w:rPr>
                <w:rFonts w:hint="eastAsia" w:ascii="微软雅黑" w:hAnsi="微软雅黑" w:eastAsia="微软雅黑" w:cs="微软雅黑"/>
                <w:color w:val="auto"/>
                <w:sz w:val="24"/>
              </w:rPr>
              <w:t>0分（北京时间）</w:t>
            </w:r>
          </w:p>
          <w:p>
            <w:pPr>
              <w:pStyle w:val="70"/>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开标地点：</w:t>
            </w:r>
            <w:r>
              <w:rPr>
                <w:rFonts w:hint="eastAsia" w:ascii="微软雅黑" w:hAnsi="微软雅黑" w:eastAsia="微软雅黑" w:cs="微软雅黑"/>
                <w:color w:val="auto"/>
                <w:kern w:val="2"/>
                <w:sz w:val="24"/>
                <w:szCs w:val="24"/>
                <w:lang w:val="en-US" w:eastAsia="zh-CN" w:bidi="ar-SA"/>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color w:val="FF0000"/>
                <w:sz w:val="24"/>
                <w:lang w:val="en-US" w:eastAsia="zh-CN"/>
              </w:rPr>
            </w:pPr>
            <w:r>
              <w:rPr>
                <w:rFonts w:hint="eastAsia" w:ascii="微软雅黑" w:hAnsi="微软雅黑" w:eastAsia="微软雅黑" w:cs="微软雅黑"/>
                <w:color w:val="FF0000"/>
                <w:sz w:val="24"/>
                <w:lang w:val="en-US" w:eastAsia="zh-CN"/>
              </w:rPr>
              <w:t>20.5</w:t>
            </w:r>
          </w:p>
        </w:tc>
        <w:tc>
          <w:tcPr>
            <w:tcW w:w="7711" w:type="dxa"/>
            <w:vAlign w:val="center"/>
          </w:tcPr>
          <w:p>
            <w:pPr>
              <w:pStyle w:val="2"/>
              <w:snapToGrid w:val="0"/>
              <w:spacing w:line="440" w:lineRule="exact"/>
              <w:ind w:firstLine="0"/>
              <w:jc w:val="both"/>
              <w:textAlignment w:val="baseline"/>
              <w:rPr>
                <w:rFonts w:hint="eastAsia" w:ascii="微软雅黑" w:hAnsi="微软雅黑" w:eastAsia="微软雅黑" w:cs="微软雅黑"/>
                <w:color w:val="FF0000"/>
                <w:highlight w:val="none"/>
                <w:lang w:eastAsia="zh-CN"/>
              </w:rPr>
            </w:pPr>
            <w:r>
              <w:rPr>
                <w:rFonts w:hint="eastAsia" w:asciiTheme="minorEastAsia" w:hAnsiTheme="minorEastAsia" w:eastAsiaTheme="minorEastAsia" w:cstheme="minorEastAsia"/>
                <w:color w:val="FF0000"/>
                <w:sz w:val="24"/>
              </w:rPr>
              <w:t>核心产品：</w:t>
            </w:r>
            <w:r>
              <w:rPr>
                <w:rFonts w:hint="eastAsia" w:asciiTheme="minorEastAsia" w:hAnsiTheme="minorEastAsia" w:eastAsiaTheme="minorEastAsia" w:cstheme="minorEastAsia"/>
                <w:color w:val="FF0000"/>
                <w:sz w:val="24"/>
                <w:lang w:val="en-US" w:eastAsia="zh-CN"/>
              </w:rPr>
              <w:t>货物需求一览表内所有带“</w:t>
            </w:r>
            <w:r>
              <w:rPr>
                <w:rFonts w:hint="eastAsia" w:ascii="宋体" w:hAnsi="宋体" w:eastAsia="宋体" w:cs="宋体"/>
                <w:i w:val="0"/>
                <w:iCs w:val="0"/>
                <w:color w:val="auto"/>
                <w:kern w:val="0"/>
                <w:sz w:val="24"/>
                <w:szCs w:val="24"/>
                <w:u w:val="none"/>
                <w:lang w:val="en-US" w:eastAsia="zh-CN"/>
              </w:rPr>
              <w:t>★</w:t>
            </w:r>
            <w:r>
              <w:rPr>
                <w:rFonts w:hint="eastAsia" w:asciiTheme="minorEastAsia" w:hAnsiTheme="minorEastAsia" w:eastAsiaTheme="minorEastAsia" w:cstheme="minorEastAsia"/>
                <w:color w:val="FF0000"/>
                <w:sz w:val="24"/>
                <w:lang w:val="en-US" w:eastAsia="zh-CN"/>
              </w:rPr>
              <w:t>”号字样，均为核心产品</w:t>
            </w:r>
            <w:r>
              <w:rPr>
                <w:rFonts w:hint="eastAsia" w:asciiTheme="minorEastAsia" w:hAnsiTheme="minorEastAsia" w:eastAsiaTheme="minorEastAsia" w:cstheme="minorEastAsia"/>
                <w:color w:val="FF0000"/>
                <w:sz w:val="24"/>
              </w:rPr>
              <w:t>（详细产品要求详见招标文件第</w:t>
            </w:r>
            <w:r>
              <w:rPr>
                <w:rFonts w:hint="eastAsia" w:asciiTheme="minorEastAsia" w:hAnsiTheme="minorEastAsia" w:eastAsiaTheme="minorEastAsia" w:cstheme="minorEastAsia"/>
                <w:color w:val="FF0000"/>
                <w:sz w:val="24"/>
                <w:lang w:val="en-US" w:eastAsia="zh-CN"/>
              </w:rPr>
              <w:t>五</w:t>
            </w:r>
            <w:r>
              <w:rPr>
                <w:rFonts w:hint="eastAsia" w:asciiTheme="minorEastAsia" w:hAnsiTheme="minorEastAsia" w:eastAsiaTheme="minorEastAsia" w:cstheme="minorEastAsia"/>
                <w:color w:val="FF0000"/>
                <w:sz w:val="24"/>
              </w:rPr>
              <w:t xml:space="preserve">章 货物需求一览表及技术规格）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23.2</w:t>
            </w:r>
          </w:p>
        </w:tc>
        <w:tc>
          <w:tcPr>
            <w:tcW w:w="7711" w:type="dxa"/>
            <w:vAlign w:val="center"/>
          </w:tcPr>
          <w:p>
            <w:pPr>
              <w:pStyle w:val="2"/>
              <w:snapToGrid w:val="0"/>
              <w:spacing w:line="440" w:lineRule="exact"/>
              <w:ind w:firstLine="0"/>
              <w:jc w:val="both"/>
              <w:textAlignment w:val="baseline"/>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交货期：</w:t>
            </w:r>
            <w:r>
              <w:rPr>
                <w:rFonts w:hint="eastAsia" w:ascii="微软雅黑" w:hAnsi="微软雅黑" w:eastAsia="微软雅黑" w:cs="微软雅黑"/>
                <w:b/>
                <w:bCs/>
                <w:color w:val="auto"/>
                <w:highlight w:val="none"/>
              </w:rPr>
              <w:t>业主方通知后，</w:t>
            </w:r>
            <w:r>
              <w:rPr>
                <w:rFonts w:hint="eastAsia" w:ascii="微软雅黑" w:hAnsi="微软雅黑" w:eastAsia="微软雅黑" w:cs="微软雅黑"/>
                <w:b/>
                <w:bCs/>
                <w:color w:val="auto"/>
                <w:highlight w:val="none"/>
                <w:lang w:val="en-US" w:eastAsia="zh-CN"/>
              </w:rPr>
              <w:t>30</w:t>
            </w:r>
            <w:r>
              <w:rPr>
                <w:rFonts w:hint="eastAsia" w:ascii="微软雅黑" w:hAnsi="微软雅黑" w:eastAsia="微软雅黑" w:cs="微软雅黑"/>
                <w:b/>
                <w:bCs/>
                <w:color w:val="auto"/>
                <w:highlight w:val="none"/>
              </w:rPr>
              <w:t>日内完成供货、</w:t>
            </w:r>
            <w:r>
              <w:rPr>
                <w:rFonts w:hint="eastAsia" w:ascii="微软雅黑" w:hAnsi="微软雅黑" w:eastAsia="微软雅黑" w:cs="微软雅黑"/>
                <w:b/>
                <w:bCs/>
                <w:color w:val="auto"/>
                <w:highlight w:val="none"/>
                <w:lang w:val="en-US" w:eastAsia="zh-CN"/>
              </w:rPr>
              <w:t>供货后70日内完成</w:t>
            </w:r>
            <w:r>
              <w:rPr>
                <w:rFonts w:hint="eastAsia" w:ascii="微软雅黑" w:hAnsi="微软雅黑" w:eastAsia="微软雅黑" w:cs="微软雅黑"/>
                <w:b/>
                <w:bCs/>
                <w:color w:val="auto"/>
                <w:highlight w:val="none"/>
              </w:rPr>
              <w:t>安装、调试等。</w:t>
            </w:r>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lang w:val="en-US" w:eastAsia="zh-CN"/>
              </w:rPr>
              <w:t>具体以最终签订合同为准</w:t>
            </w:r>
            <w:r>
              <w:rPr>
                <w:rFonts w:hint="eastAsia" w:ascii="微软雅黑" w:hAnsi="微软雅黑" w:eastAsia="微软雅黑" w:cs="微软雅黑"/>
                <w:b/>
                <w:bCs/>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23.2</w:t>
            </w:r>
          </w:p>
        </w:tc>
        <w:tc>
          <w:tcPr>
            <w:tcW w:w="7711" w:type="dxa"/>
            <w:vAlign w:val="center"/>
          </w:tcPr>
          <w:p>
            <w:pPr>
              <w:snapToGrid w:val="0"/>
              <w:spacing w:line="400" w:lineRule="exact"/>
              <w:textAlignment w:val="baseline"/>
              <w:rPr>
                <w:rFonts w:ascii="微软雅黑" w:hAnsi="微软雅黑" w:eastAsia="微软雅黑" w:cs="微软雅黑"/>
                <w:i/>
                <w:color w:val="auto"/>
                <w:sz w:val="24"/>
              </w:rPr>
            </w:pPr>
            <w:r>
              <w:rPr>
                <w:rFonts w:hint="eastAsia" w:ascii="微软雅黑" w:hAnsi="微软雅黑" w:eastAsia="微软雅黑" w:cs="微软雅黑"/>
                <w:color w:val="auto"/>
                <w:sz w:val="24"/>
              </w:rPr>
              <w:t>评标方法：</w:t>
            </w:r>
            <w:r>
              <w:rPr>
                <w:rFonts w:hint="eastAsia" w:ascii="微软雅黑" w:hAnsi="微软雅黑" w:eastAsia="微软雅黑" w:cs="微软雅黑"/>
                <w:b/>
                <w:bCs/>
                <w:color w:val="auto"/>
                <w:sz w:val="24"/>
              </w:rPr>
              <w:t>适用综合评分法</w:t>
            </w:r>
            <w:r>
              <w:rPr>
                <w:rFonts w:hint="eastAsia" w:ascii="微软雅黑" w:hAnsi="微软雅黑" w:eastAsia="微软雅黑" w:cs="微软雅黑"/>
                <w:color w:val="auto"/>
                <w:sz w:val="24"/>
                <w:lang w:eastAsia="zh-CN"/>
              </w:rPr>
              <w:t>，响应文件满足招标文件全部实质性要求且按评审因素的量化指标评审得分最高的供应商为成交候选供应商的评审方法。　</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27</w:t>
            </w:r>
          </w:p>
        </w:tc>
        <w:tc>
          <w:tcPr>
            <w:tcW w:w="7711" w:type="dxa"/>
            <w:vAlign w:val="center"/>
          </w:tcPr>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推荐中标候选投标人的数量：</w:t>
            </w:r>
            <w:r>
              <w:rPr>
                <w:rFonts w:hint="eastAsia" w:ascii="微软雅黑" w:hAnsi="微软雅黑" w:eastAsia="微软雅黑" w:cs="微软雅黑"/>
                <w:sz w:val="24"/>
                <w:u w:val="single"/>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27</w:t>
            </w:r>
          </w:p>
        </w:tc>
        <w:tc>
          <w:tcPr>
            <w:tcW w:w="7711" w:type="dxa"/>
            <w:vAlign w:val="center"/>
          </w:tcPr>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招标人是否委托评标委员会直接确定中标人：</w:t>
            </w:r>
            <w:r>
              <w:rPr>
                <w:rFonts w:hint="eastAsia" w:ascii="微软雅黑" w:hAnsi="微软雅黑" w:eastAsia="微软雅黑" w:cs="微软雅黑"/>
                <w:sz w:val="24"/>
                <w:u w:val="single"/>
              </w:rPr>
              <w:t xml:space="preserve"> 否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5"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31.1</w:t>
            </w:r>
          </w:p>
        </w:tc>
        <w:tc>
          <w:tcPr>
            <w:tcW w:w="7711" w:type="dxa"/>
            <w:vAlign w:val="center"/>
          </w:tcPr>
          <w:p>
            <w:pPr>
              <w:snapToGrid w:val="0"/>
              <w:spacing w:line="400" w:lineRule="exact"/>
              <w:textAlignment w:val="baseline"/>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lang w:eastAsia="zh-CN"/>
              </w:rPr>
              <w:t>履约保证金：合同价的</w:t>
            </w:r>
            <w:r>
              <w:rPr>
                <w:rFonts w:hint="eastAsia" w:ascii="微软雅黑" w:hAnsi="微软雅黑" w:eastAsia="微软雅黑" w:cs="微软雅黑"/>
                <w:b/>
                <w:bCs/>
                <w:color w:val="auto"/>
                <w:sz w:val="24"/>
                <w:lang w:val="en-US" w:eastAsia="zh-CN"/>
              </w:rPr>
              <w:t>10</w:t>
            </w:r>
            <w:r>
              <w:rPr>
                <w:rFonts w:hint="eastAsia" w:ascii="微软雅黑" w:hAnsi="微软雅黑" w:eastAsia="微软雅黑" w:cs="微软雅黑"/>
                <w:b/>
                <w:bCs/>
                <w:color w:val="auto"/>
                <w:sz w:val="24"/>
                <w:lang w:eastAsia="zh-CN"/>
              </w:rPr>
              <w:t>%（不超过合同总价的10%，具体以甲方要求为准）</w:t>
            </w:r>
          </w:p>
          <w:p>
            <w:pPr>
              <w:snapToGrid w:val="0"/>
              <w:spacing w:line="400" w:lineRule="exact"/>
              <w:textAlignment w:val="baseline"/>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lang w:eastAsia="zh-CN"/>
              </w:rPr>
              <w:t>履约保证金形式： 电汇、保函等非现金形式（以总公司的基本账户一次性汇入指定账户。）</w:t>
            </w:r>
          </w:p>
          <w:p>
            <w:pPr>
              <w:snapToGrid w:val="0"/>
              <w:spacing w:line="400" w:lineRule="exact"/>
              <w:textAlignment w:val="baseline"/>
              <w:rPr>
                <w:rFonts w:hint="eastAsia" w:ascii="微软雅黑" w:hAnsi="微软雅黑" w:eastAsia="微软雅黑" w:cs="微软雅黑"/>
                <w:b/>
                <w:bCs/>
                <w:color w:val="auto"/>
                <w:sz w:val="24"/>
                <w:lang w:eastAsia="zh-CN"/>
              </w:rPr>
            </w:pPr>
            <w:r>
              <w:rPr>
                <w:rFonts w:hint="eastAsia" w:ascii="微软雅黑" w:hAnsi="微软雅黑" w:eastAsia="微软雅黑" w:cs="微软雅黑"/>
                <w:b/>
                <w:bCs/>
                <w:color w:val="auto"/>
                <w:sz w:val="24"/>
                <w:lang w:eastAsia="zh-CN"/>
              </w:rPr>
              <w:t>提交履约保证金的时间：签订合同前</w:t>
            </w:r>
            <w:r>
              <w:rPr>
                <w:rFonts w:hint="eastAsia" w:ascii="微软雅黑" w:hAnsi="微软雅黑" w:eastAsia="微软雅黑" w:cs="微软雅黑"/>
                <w:b/>
                <w:bCs/>
                <w:color w:val="auto"/>
                <w:sz w:val="24"/>
                <w:lang w:val="en-US" w:eastAsia="zh-CN"/>
              </w:rPr>
              <w:t>3</w:t>
            </w:r>
            <w:r>
              <w:rPr>
                <w:rFonts w:hint="eastAsia" w:ascii="微软雅黑" w:hAnsi="微软雅黑" w:eastAsia="微软雅黑" w:cs="微软雅黑"/>
                <w:b/>
                <w:bCs/>
                <w:color w:val="auto"/>
                <w:sz w:val="24"/>
                <w:lang w:eastAsia="zh-CN"/>
              </w:rPr>
              <w:t>日历日打入甲方指定账户</w:t>
            </w:r>
          </w:p>
          <w:p>
            <w:pPr>
              <w:snapToGrid w:val="0"/>
              <w:spacing w:line="400" w:lineRule="exact"/>
              <w:textAlignment w:val="baseline"/>
              <w:rPr>
                <w:rFonts w:hint="default" w:eastAsia="宋体"/>
                <w:lang w:val="en-US" w:eastAsia="zh-CN"/>
              </w:rPr>
            </w:pPr>
            <w:r>
              <w:rPr>
                <w:rFonts w:hint="eastAsia" w:ascii="微软雅黑" w:hAnsi="微软雅黑" w:eastAsia="微软雅黑" w:cs="微软雅黑"/>
                <w:b/>
                <w:bCs/>
                <w:color w:val="auto"/>
                <w:sz w:val="24"/>
                <w:lang w:eastAsia="zh-CN"/>
              </w:rPr>
              <w:t>履约保证金退款时间：</w:t>
            </w:r>
            <w:r>
              <w:rPr>
                <w:rFonts w:hint="eastAsia" w:ascii="微软雅黑" w:hAnsi="微软雅黑" w:eastAsia="微软雅黑" w:cs="微软雅黑"/>
                <w:b/>
                <w:bCs/>
                <w:color w:val="auto"/>
                <w:sz w:val="24"/>
                <w:lang w:val="en-US" w:eastAsia="zh-CN"/>
              </w:rPr>
              <w:t>竣工验收后，退还履约保证金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32</w:t>
            </w:r>
          </w:p>
        </w:tc>
        <w:tc>
          <w:tcPr>
            <w:tcW w:w="7711" w:type="dxa"/>
            <w:vAlign w:val="center"/>
          </w:tcPr>
          <w:p>
            <w:pPr>
              <w:snapToGrid w:val="0"/>
              <w:spacing w:line="400" w:lineRule="exact"/>
              <w:textAlignment w:val="baseline"/>
              <w:rPr>
                <w:rFonts w:hint="eastAsia" w:ascii="微软雅黑" w:hAnsi="微软雅黑" w:eastAsia="微软雅黑" w:cs="微软雅黑"/>
                <w:sz w:val="24"/>
              </w:rPr>
            </w:pPr>
            <w:r>
              <w:rPr>
                <w:rFonts w:hint="eastAsia" w:ascii="微软雅黑" w:hAnsi="微软雅黑" w:eastAsia="微软雅黑" w:cs="微软雅黑"/>
                <w:kern w:val="0"/>
                <w:sz w:val="24"/>
              </w:rPr>
              <w:t>代</w:t>
            </w:r>
            <w:r>
              <w:rPr>
                <w:rFonts w:hint="eastAsia" w:ascii="微软雅黑" w:hAnsi="微软雅黑" w:eastAsia="微软雅黑" w:cs="微软雅黑"/>
                <w:sz w:val="24"/>
              </w:rPr>
              <w:t>理服务收费标准：支付金额按《国家发展改革委关于进一步放开建设项目专业服务价格的通知》（发改价格［2015］299号）计取。</w:t>
            </w:r>
          </w:p>
          <w:p>
            <w:pPr>
              <w:snapToGrid w:val="0"/>
              <w:spacing w:line="400" w:lineRule="exact"/>
              <w:textAlignment w:val="baseline"/>
              <w:rPr>
                <w:rFonts w:hint="eastAsia" w:ascii="微软雅黑" w:hAnsi="微软雅黑" w:eastAsia="微软雅黑" w:cs="微软雅黑"/>
                <w:sz w:val="24"/>
              </w:rPr>
            </w:pPr>
            <w:r>
              <w:rPr>
                <w:rFonts w:hint="eastAsia" w:ascii="微软雅黑" w:hAnsi="微软雅黑" w:eastAsia="微软雅黑" w:cs="微软雅黑"/>
                <w:sz w:val="24"/>
              </w:rPr>
              <w:t>本项目招标代理费为：</w:t>
            </w:r>
            <w:r>
              <w:rPr>
                <w:rFonts w:hint="eastAsia" w:ascii="微软雅黑" w:hAnsi="微软雅黑" w:eastAsia="微软雅黑" w:cs="微软雅黑"/>
                <w:sz w:val="24"/>
                <w:lang w:val="en-US" w:eastAsia="zh-CN"/>
              </w:rPr>
              <w:t>96000</w:t>
            </w:r>
            <w:r>
              <w:rPr>
                <w:rFonts w:hint="eastAsia" w:ascii="微软雅黑" w:hAnsi="微软雅黑" w:eastAsia="微软雅黑" w:cs="微软雅黑"/>
                <w:sz w:val="24"/>
              </w:rPr>
              <w:t>元（</w:t>
            </w:r>
            <w:r>
              <w:rPr>
                <w:rFonts w:hint="eastAsia" w:ascii="微软雅黑" w:hAnsi="微软雅黑" w:eastAsia="微软雅黑" w:cs="微软雅黑"/>
                <w:sz w:val="24"/>
                <w:lang w:val="en-US" w:eastAsia="zh-CN"/>
              </w:rPr>
              <w:t>玖万陆仟元整</w:t>
            </w:r>
            <w:r>
              <w:rPr>
                <w:rFonts w:hint="eastAsia" w:ascii="微软雅黑" w:hAnsi="微软雅黑" w:eastAsia="微软雅黑" w:cs="微软雅黑"/>
                <w:sz w:val="24"/>
              </w:rPr>
              <w:t>）</w:t>
            </w:r>
          </w:p>
          <w:p>
            <w:pPr>
              <w:snapToGrid w:val="0"/>
              <w:spacing w:line="400" w:lineRule="exact"/>
              <w:textAlignment w:val="baseline"/>
              <w:rPr>
                <w:rFonts w:hint="eastAsia" w:ascii="微软雅黑" w:hAnsi="微软雅黑" w:eastAsia="微软雅黑" w:cs="微软雅黑"/>
                <w:sz w:val="24"/>
              </w:rPr>
            </w:pPr>
            <w:r>
              <w:rPr>
                <w:rFonts w:hint="eastAsia" w:ascii="微软雅黑" w:hAnsi="微软雅黑" w:eastAsia="微软雅黑" w:cs="微软雅黑"/>
                <w:sz w:val="24"/>
              </w:rPr>
              <w:t xml:space="preserve">支付形式： 网银汇款、支票 </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支付时间： 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33.1</w:t>
            </w:r>
          </w:p>
        </w:tc>
        <w:tc>
          <w:tcPr>
            <w:tcW w:w="7711" w:type="dxa"/>
            <w:vAlign w:val="center"/>
          </w:tcPr>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本项目是否属于信用担保试点范围：</w:t>
            </w:r>
            <w:r>
              <w:rPr>
                <w:rFonts w:hint="eastAsia" w:ascii="微软雅黑" w:hAnsi="微软雅黑" w:eastAsia="微软雅黑" w:cs="微软雅黑"/>
                <w:sz w:val="24"/>
                <w:u w:val="single"/>
              </w:rPr>
              <w:t xml:space="preserve">  否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34.2</w:t>
            </w:r>
          </w:p>
        </w:tc>
        <w:tc>
          <w:tcPr>
            <w:tcW w:w="7711" w:type="dxa"/>
            <w:vAlign w:val="center"/>
          </w:tcPr>
          <w:p>
            <w:pPr>
              <w:snapToGrid w:val="0"/>
              <w:spacing w:line="400" w:lineRule="exact"/>
              <w:textAlignment w:val="baseline"/>
              <w:rPr>
                <w:rFonts w:hint="eastAsia" w:ascii="微软雅黑" w:hAnsi="微软雅黑" w:eastAsia="微软雅黑" w:cs="微软雅黑"/>
                <w:sz w:val="24"/>
              </w:rPr>
            </w:pPr>
            <w:r>
              <w:rPr>
                <w:rFonts w:hint="eastAsia" w:ascii="微软雅黑" w:hAnsi="微软雅黑" w:eastAsia="微软雅黑" w:cs="微软雅黑"/>
                <w:sz w:val="24"/>
              </w:rPr>
              <w:t>反腐倡廉监督电话/邮箱：喀什地区财政局政府采购管理办公室</w:t>
            </w:r>
          </w:p>
          <w:p>
            <w:pPr>
              <w:snapToGrid w:val="0"/>
              <w:spacing w:line="400" w:lineRule="exact"/>
              <w:textAlignment w:val="baseline"/>
              <w:rPr>
                <w:rFonts w:hint="eastAsia" w:ascii="微软雅黑" w:hAnsi="微软雅黑" w:eastAsia="微软雅黑" w:cs="微软雅黑"/>
                <w:sz w:val="24"/>
              </w:rPr>
            </w:pPr>
            <w:r>
              <w:rPr>
                <w:rFonts w:hint="eastAsia" w:ascii="微软雅黑" w:hAnsi="微软雅黑" w:eastAsia="微软雅黑" w:cs="微软雅黑"/>
                <w:sz w:val="24"/>
              </w:rPr>
              <w:t>联系电话：0998-2597000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0" w:hRule="atLeast"/>
        </w:trPr>
        <w:tc>
          <w:tcPr>
            <w:tcW w:w="9247"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400" w:lineRule="exact"/>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1</w:t>
            </w:r>
          </w:p>
        </w:tc>
        <w:tc>
          <w:tcPr>
            <w:tcW w:w="7711" w:type="dxa"/>
            <w:vAlign w:val="center"/>
          </w:tcPr>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进口产品制造商授权等是否作为资格要求：</w:t>
            </w:r>
            <w:r>
              <w:rPr>
                <w:rFonts w:hint="eastAsia" w:ascii="微软雅黑" w:hAnsi="微软雅黑" w:eastAsia="微软雅黑" w:cs="微软雅黑"/>
                <w:sz w:val="24"/>
                <w:u w:val="single"/>
              </w:rPr>
              <w:t xml:space="preserve">  否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536" w:type="dxa"/>
            <w:vAlign w:val="top"/>
          </w:tcPr>
          <w:p>
            <w:pPr>
              <w:snapToGrid w:val="0"/>
              <w:spacing w:line="400" w:lineRule="exact"/>
              <w:jc w:val="center"/>
              <w:textAlignment w:val="baseline"/>
              <w:rPr>
                <w:rFonts w:hint="eastAsia" w:ascii="微软雅黑" w:hAnsi="微软雅黑" w:eastAsia="微软雅黑" w:cs="微软雅黑"/>
                <w:sz w:val="24"/>
                <w:lang w:val="en-US" w:eastAsia="zh-CN"/>
              </w:rPr>
            </w:pPr>
          </w:p>
          <w:p>
            <w:pPr>
              <w:snapToGrid w:val="0"/>
              <w:spacing w:line="400" w:lineRule="exact"/>
              <w:jc w:val="center"/>
              <w:textAlignment w:val="baseline"/>
              <w:rPr>
                <w:rFonts w:hint="eastAsia" w:ascii="微软雅黑" w:hAnsi="微软雅黑" w:eastAsia="微软雅黑" w:cs="微软雅黑"/>
                <w:sz w:val="24"/>
                <w:lang w:val="en-US" w:eastAsia="zh-CN"/>
              </w:rPr>
            </w:pPr>
          </w:p>
          <w:p>
            <w:pPr>
              <w:snapToGrid w:val="0"/>
              <w:spacing w:line="400" w:lineRule="exact"/>
              <w:jc w:val="center"/>
              <w:textAlignment w:val="baseline"/>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lang w:val="en-US" w:eastAsia="zh-CN"/>
              </w:rPr>
              <w:t>2</w:t>
            </w:r>
          </w:p>
        </w:tc>
        <w:tc>
          <w:tcPr>
            <w:tcW w:w="7711" w:type="dxa"/>
            <w:vAlign w:val="center"/>
          </w:tcPr>
          <w:p>
            <w:pPr>
              <w:snapToGrid w:val="0"/>
              <w:spacing w:line="400" w:lineRule="exact"/>
              <w:textAlignment w:val="baseline"/>
              <w:rPr>
                <w:rFonts w:hint="eastAsia" w:ascii="微软雅黑" w:hAnsi="微软雅黑" w:eastAsia="微软雅黑" w:cs="微软雅黑"/>
                <w:b/>
                <w:bCs/>
                <w:color w:val="auto"/>
                <w:sz w:val="24"/>
                <w:shd w:val="clear" w:color="auto" w:fill="auto"/>
              </w:rPr>
            </w:pPr>
            <w:r>
              <w:rPr>
                <w:rFonts w:hint="eastAsia" w:ascii="微软雅黑" w:hAnsi="微软雅黑" w:eastAsia="微软雅黑" w:cs="微软雅黑"/>
                <w:b/>
                <w:bCs/>
                <w:color w:val="auto"/>
                <w:sz w:val="24"/>
                <w:shd w:val="clear" w:color="auto" w:fill="auto"/>
              </w:rPr>
              <w:t>是否组织踏勘现场</w:t>
            </w:r>
            <w:r>
              <w:rPr>
                <w:rFonts w:hint="eastAsia" w:ascii="微软雅黑" w:hAnsi="微软雅黑" w:eastAsia="微软雅黑" w:cs="微软雅黑"/>
                <w:b/>
                <w:bCs/>
                <w:color w:val="auto"/>
                <w:sz w:val="24"/>
                <w:shd w:val="clear" w:color="auto" w:fill="auto"/>
                <w:lang w:eastAsia="zh-CN"/>
              </w:rPr>
              <w:t>：</w:t>
            </w:r>
            <w:r>
              <w:rPr>
                <w:rFonts w:hint="eastAsia" w:ascii="微软雅黑" w:hAnsi="微软雅黑" w:eastAsia="微软雅黑" w:cs="微软雅黑"/>
                <w:b/>
                <w:bCs/>
                <w:color w:val="auto"/>
                <w:sz w:val="24"/>
                <w:shd w:val="clear" w:color="auto" w:fill="auto"/>
              </w:rPr>
              <w:t>：</w:t>
            </w:r>
            <w:r>
              <w:rPr>
                <w:rFonts w:hint="eastAsia" w:ascii="微软雅黑" w:hAnsi="微软雅黑" w:eastAsia="微软雅黑" w:cs="微软雅黑"/>
                <w:b/>
                <w:bCs/>
                <w:color w:val="auto"/>
                <w:sz w:val="24"/>
                <w:u w:val="single"/>
                <w:shd w:val="clear" w:color="auto" w:fill="auto"/>
              </w:rPr>
              <w:t xml:space="preserve"> </w:t>
            </w:r>
            <w:r>
              <w:rPr>
                <w:rFonts w:hint="eastAsia" w:ascii="微软雅黑" w:hAnsi="微软雅黑" w:eastAsia="微软雅黑" w:cs="微软雅黑"/>
                <w:b/>
                <w:bCs/>
                <w:color w:val="auto"/>
                <w:sz w:val="24"/>
                <w:u w:val="single"/>
                <w:shd w:val="clear" w:color="auto" w:fill="auto"/>
                <w:lang w:eastAsia="zh-CN"/>
              </w:rPr>
              <w:t>是</w:t>
            </w:r>
            <w:r>
              <w:rPr>
                <w:rFonts w:hint="eastAsia" w:ascii="微软雅黑" w:hAnsi="微软雅黑" w:eastAsia="微软雅黑" w:cs="微软雅黑"/>
                <w:b/>
                <w:bCs/>
                <w:color w:val="auto"/>
                <w:sz w:val="24"/>
                <w:u w:val="single"/>
                <w:shd w:val="clear" w:color="auto" w:fill="auto"/>
              </w:rPr>
              <w:t xml:space="preserve"> </w:t>
            </w:r>
            <w:r>
              <w:rPr>
                <w:rFonts w:hint="eastAsia" w:ascii="微软雅黑" w:hAnsi="微软雅黑" w:eastAsia="微软雅黑" w:cs="微软雅黑"/>
                <w:b/>
                <w:bCs/>
                <w:i/>
                <w:color w:val="auto"/>
                <w:sz w:val="24"/>
                <w:shd w:val="clear" w:color="auto" w:fill="auto"/>
              </w:rPr>
              <w:t>（是、否）</w:t>
            </w:r>
            <w:r>
              <w:rPr>
                <w:rFonts w:hint="eastAsia" w:ascii="微软雅黑" w:hAnsi="微软雅黑" w:eastAsia="微软雅黑" w:cs="微软雅黑"/>
                <w:b/>
                <w:bCs/>
                <w:color w:val="auto"/>
                <w:sz w:val="24"/>
                <w:shd w:val="clear" w:color="auto" w:fill="auto"/>
              </w:rPr>
              <w:t xml:space="preserve"> </w:t>
            </w:r>
          </w:p>
          <w:p>
            <w:pPr>
              <w:snapToGrid w:val="0"/>
              <w:spacing w:line="400" w:lineRule="exact"/>
              <w:textAlignment w:val="baseline"/>
              <w:rPr>
                <w:rFonts w:hint="default" w:ascii="微软雅黑" w:hAnsi="微软雅黑" w:eastAsia="微软雅黑" w:cs="微软雅黑"/>
                <w:b/>
                <w:bCs/>
                <w:color w:val="auto"/>
                <w:sz w:val="24"/>
                <w:shd w:val="clear" w:color="auto" w:fill="auto"/>
                <w:lang w:val="en-US"/>
              </w:rPr>
            </w:pPr>
            <w:r>
              <w:rPr>
                <w:rFonts w:hint="eastAsia" w:ascii="微软雅黑" w:hAnsi="微软雅黑" w:eastAsia="微软雅黑" w:cs="微软雅黑"/>
                <w:b/>
                <w:bCs/>
                <w:color w:val="auto"/>
                <w:sz w:val="24"/>
                <w:shd w:val="clear" w:color="auto" w:fill="auto"/>
              </w:rPr>
              <w:t>踏勘时间：</w:t>
            </w:r>
            <w:r>
              <w:rPr>
                <w:rFonts w:hint="eastAsia" w:ascii="微软雅黑" w:hAnsi="微软雅黑" w:eastAsia="微软雅黑" w:cs="微软雅黑"/>
                <w:b/>
                <w:bCs/>
                <w:color w:val="auto"/>
                <w:sz w:val="24"/>
                <w:shd w:val="clear" w:color="auto" w:fill="auto"/>
                <w:lang w:val="en-US" w:eastAsia="zh-CN"/>
              </w:rPr>
              <w:t>2022年10月5日前</w:t>
            </w:r>
          </w:p>
          <w:p>
            <w:pPr>
              <w:snapToGrid w:val="0"/>
              <w:spacing w:line="400" w:lineRule="exact"/>
              <w:textAlignment w:val="baseline"/>
              <w:rPr>
                <w:rFonts w:hint="eastAsia" w:ascii="微软雅黑" w:hAnsi="微软雅黑" w:eastAsia="微软雅黑" w:cs="微软雅黑"/>
                <w:b/>
                <w:bCs/>
                <w:color w:val="auto"/>
                <w:sz w:val="24"/>
                <w:shd w:val="clear" w:color="auto" w:fill="auto"/>
              </w:rPr>
            </w:pPr>
            <w:r>
              <w:rPr>
                <w:rFonts w:hint="eastAsia" w:ascii="微软雅黑" w:hAnsi="微软雅黑" w:eastAsia="微软雅黑" w:cs="微软雅黑"/>
                <w:b/>
                <w:bCs/>
                <w:color w:val="auto"/>
                <w:sz w:val="24"/>
                <w:shd w:val="clear" w:color="auto" w:fill="auto"/>
              </w:rPr>
              <w:t>踏勘集中地点：喀什广播电视台</w:t>
            </w:r>
          </w:p>
          <w:p>
            <w:pPr>
              <w:snapToGrid w:val="0"/>
              <w:spacing w:line="400" w:lineRule="exact"/>
              <w:textAlignment w:val="baseline"/>
              <w:rPr>
                <w:rFonts w:hint="default" w:ascii="微软雅黑" w:hAnsi="微软雅黑" w:eastAsia="微软雅黑" w:cs="微软雅黑"/>
                <w:b/>
                <w:bCs/>
                <w:color w:val="auto"/>
                <w:sz w:val="24"/>
                <w:shd w:val="clear" w:color="auto" w:fill="auto"/>
                <w:lang w:val="en-US" w:eastAsia="zh-CN"/>
              </w:rPr>
            </w:pPr>
            <w:r>
              <w:rPr>
                <w:rFonts w:hint="eastAsia" w:ascii="微软雅黑" w:hAnsi="微软雅黑" w:eastAsia="微软雅黑" w:cs="微软雅黑"/>
                <w:b/>
                <w:bCs/>
                <w:color w:val="auto"/>
                <w:sz w:val="24"/>
                <w:shd w:val="clear" w:color="auto" w:fill="auto"/>
                <w:lang w:val="en-US" w:eastAsia="zh-CN"/>
              </w:rPr>
              <w:t>联系人：蒋强杰  联系电话：18709985890</w:t>
            </w:r>
          </w:p>
          <w:p>
            <w:pPr>
              <w:snapToGrid w:val="0"/>
              <w:spacing w:line="400" w:lineRule="exact"/>
              <w:textAlignment w:val="baseline"/>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b/>
                <w:bCs/>
                <w:color w:val="auto"/>
                <w:sz w:val="24"/>
                <w:shd w:val="clear" w:color="auto" w:fill="auto"/>
              </w:rPr>
              <w:t>投标人应在开标前对工程施工现场与周边环境自行进行踏勘。不踏勘现场，产生的一切后果自负</w:t>
            </w:r>
            <w:r>
              <w:rPr>
                <w:rFonts w:hint="eastAsia" w:ascii="微软雅黑" w:hAnsi="微软雅黑" w:eastAsia="微软雅黑" w:cs="微软雅黑"/>
                <w:b/>
                <w:bCs/>
                <w:color w:val="auto"/>
                <w:sz w:val="24"/>
                <w:shd w:val="clear" w:color="auto" w:fill="auto"/>
                <w:lang w:eastAsia="zh-CN"/>
              </w:rPr>
              <w:t>。</w:t>
            </w:r>
          </w:p>
        </w:tc>
      </w:tr>
    </w:tbl>
    <w:p>
      <w:pPr>
        <w:snapToGrid w:val="0"/>
        <w:spacing w:line="400" w:lineRule="exact"/>
        <w:jc w:val="center"/>
        <w:textAlignment w:val="baseline"/>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br w:type="page"/>
      </w:r>
    </w:p>
    <w:tbl>
      <w:tblPr>
        <w:tblStyle w:val="27"/>
        <w:tblW w:w="92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536" w:type="dxa"/>
            <w:vAlign w:val="top"/>
          </w:tcPr>
          <w:p>
            <w:pPr>
              <w:snapToGrid w:val="0"/>
              <w:spacing w:line="400" w:lineRule="exact"/>
              <w:jc w:val="center"/>
              <w:textAlignment w:val="baseline"/>
              <w:rPr>
                <w:rFonts w:hint="default" w:ascii="微软雅黑" w:hAnsi="微软雅黑" w:eastAsia="微软雅黑" w:cs="微软雅黑"/>
                <w:kern w:val="2"/>
                <w:sz w:val="24"/>
                <w:szCs w:val="24"/>
                <w:lang w:val="en-US" w:eastAsia="zh-CN" w:bidi="ar-SA"/>
              </w:rPr>
            </w:pPr>
          </w:p>
        </w:tc>
        <w:tc>
          <w:tcPr>
            <w:tcW w:w="7711" w:type="dxa"/>
            <w:vAlign w:val="center"/>
          </w:tcPr>
          <w:p>
            <w:pPr>
              <w:snapToGrid w:val="0"/>
              <w:spacing w:line="400" w:lineRule="exact"/>
              <w:textAlignment w:val="baseline"/>
              <w:rPr>
                <w:rFonts w:hint="eastAsia" w:ascii="微软雅黑" w:hAnsi="微软雅黑" w:eastAsia="微软雅黑" w:cs="微软雅黑"/>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hint="default" w:ascii="微软雅黑" w:hAnsi="微软雅黑" w:eastAsia="微软雅黑" w:cs="微软雅黑"/>
                <w:b/>
                <w:bCs/>
                <w:color w:val="auto"/>
                <w:sz w:val="24"/>
                <w:shd w:val="clear" w:color="auto" w:fill="auto"/>
                <w:lang w:val="en-US" w:eastAsia="zh-CN"/>
              </w:rPr>
            </w:pPr>
            <w:r>
              <w:rPr>
                <w:rFonts w:hint="eastAsia" w:ascii="微软雅黑" w:hAnsi="微软雅黑" w:eastAsia="微软雅黑" w:cs="微软雅黑"/>
                <w:b w:val="0"/>
                <w:bCs w:val="0"/>
                <w:color w:val="auto"/>
                <w:sz w:val="24"/>
                <w:shd w:val="clear" w:color="auto" w:fill="auto"/>
                <w:lang w:val="en-US" w:eastAsia="zh-CN"/>
              </w:rPr>
              <w:t>3</w:t>
            </w:r>
          </w:p>
        </w:tc>
        <w:tc>
          <w:tcPr>
            <w:tcW w:w="7711" w:type="dxa"/>
            <w:vAlign w:val="center"/>
          </w:tcPr>
          <w:p>
            <w:pPr>
              <w:snapToGrid w:val="0"/>
              <w:spacing w:line="400" w:lineRule="exact"/>
              <w:textAlignment w:val="baseline"/>
              <w:rPr>
                <w:rFonts w:hint="eastAsia" w:ascii="微软雅黑" w:hAnsi="微软雅黑" w:eastAsia="微软雅黑" w:cs="微软雅黑"/>
                <w:b/>
                <w:bCs/>
                <w:color w:val="auto"/>
                <w:sz w:val="24"/>
                <w:shd w:val="clear" w:color="auto" w:fill="auto"/>
                <w:lang w:val="en-US" w:eastAsia="zh-CN"/>
              </w:rPr>
            </w:pPr>
            <w:r>
              <w:rPr>
                <w:rFonts w:hint="eastAsia" w:ascii="微软雅黑" w:hAnsi="微软雅黑" w:eastAsia="微软雅黑" w:cs="微软雅黑"/>
                <w:b/>
                <w:bCs/>
                <w:color w:val="auto"/>
                <w:sz w:val="24"/>
                <w:shd w:val="clear" w:color="auto" w:fill="auto"/>
              </w:rPr>
              <w:t>备注：投标单位如</w:t>
            </w:r>
            <w:r>
              <w:rPr>
                <w:rFonts w:hint="eastAsia" w:ascii="微软雅黑" w:hAnsi="微软雅黑" w:eastAsia="微软雅黑" w:cs="微软雅黑"/>
                <w:b/>
                <w:bCs/>
                <w:color w:val="auto"/>
                <w:sz w:val="24"/>
                <w:shd w:val="clear" w:color="auto" w:fill="auto"/>
                <w:lang w:val="en-US" w:eastAsia="zh-CN"/>
              </w:rPr>
              <w:t>对采购文件</w:t>
            </w:r>
            <w:r>
              <w:rPr>
                <w:rFonts w:hint="eastAsia" w:ascii="微软雅黑" w:hAnsi="微软雅黑" w:eastAsia="微软雅黑" w:cs="微软雅黑"/>
                <w:b/>
                <w:bCs/>
                <w:color w:val="auto"/>
                <w:sz w:val="24"/>
                <w:shd w:val="clear" w:color="auto" w:fill="auto"/>
              </w:rPr>
              <w:t>有疑问</w:t>
            </w:r>
            <w:r>
              <w:rPr>
                <w:rFonts w:hint="eastAsia" w:ascii="微软雅黑" w:hAnsi="微软雅黑" w:eastAsia="微软雅黑" w:cs="微软雅黑"/>
                <w:b/>
                <w:bCs/>
                <w:color w:val="auto"/>
                <w:sz w:val="24"/>
                <w:shd w:val="clear" w:color="auto" w:fill="auto"/>
                <w:lang w:eastAsia="zh-CN"/>
              </w:rPr>
              <w:t>的</w:t>
            </w:r>
            <w:r>
              <w:rPr>
                <w:rFonts w:hint="eastAsia" w:ascii="微软雅黑" w:hAnsi="微软雅黑" w:eastAsia="微软雅黑" w:cs="微软雅黑"/>
                <w:b/>
                <w:bCs/>
                <w:color w:val="auto"/>
                <w:sz w:val="24"/>
                <w:shd w:val="clear" w:color="auto" w:fill="auto"/>
              </w:rPr>
              <w:t>，</w:t>
            </w:r>
            <w:r>
              <w:rPr>
                <w:rFonts w:hint="eastAsia" w:ascii="微软雅黑" w:hAnsi="微软雅黑" w:eastAsia="微软雅黑" w:cs="微软雅黑"/>
                <w:b/>
                <w:bCs/>
                <w:color w:val="auto"/>
                <w:sz w:val="24"/>
                <w:shd w:val="clear" w:color="auto" w:fill="auto"/>
                <w:lang w:val="en-US" w:eastAsia="zh-CN"/>
              </w:rPr>
              <w:t>在获取采购文件或者采购文件公告期限届满之日起7个工作日内提出，并</w:t>
            </w:r>
            <w:r>
              <w:rPr>
                <w:rFonts w:hint="eastAsia" w:ascii="微软雅黑" w:hAnsi="微软雅黑" w:eastAsia="微软雅黑" w:cs="微软雅黑"/>
                <w:b/>
                <w:bCs/>
                <w:color w:val="auto"/>
                <w:sz w:val="24"/>
                <w:shd w:val="clear" w:color="auto" w:fill="auto"/>
              </w:rPr>
              <w:t>将有关疑问以书面形式（必须加盖投标单位公章）送达至项目联系人处，采购单位将对所提疑问以书面形式发至领取招标文件的</w:t>
            </w:r>
            <w:r>
              <w:rPr>
                <w:rFonts w:hint="eastAsia" w:ascii="微软雅黑" w:hAnsi="微软雅黑" w:eastAsia="微软雅黑" w:cs="微软雅黑"/>
                <w:b/>
                <w:bCs/>
                <w:color w:val="auto"/>
                <w:sz w:val="24"/>
                <w:shd w:val="clear" w:color="auto" w:fill="auto"/>
                <w:lang w:val="en-US" w:eastAsia="zh-CN"/>
              </w:rPr>
              <w:t>各</w:t>
            </w:r>
            <w:r>
              <w:rPr>
                <w:rFonts w:hint="eastAsia" w:ascii="微软雅黑" w:hAnsi="微软雅黑" w:eastAsia="微软雅黑" w:cs="微软雅黑"/>
                <w:b/>
                <w:bCs/>
                <w:color w:val="auto"/>
                <w:sz w:val="24"/>
                <w:shd w:val="clear" w:color="auto" w:fill="auto"/>
              </w:rPr>
              <w:t>投标单位，超过此时间所提疑问</w:t>
            </w:r>
            <w:r>
              <w:rPr>
                <w:rFonts w:hint="eastAsia" w:ascii="微软雅黑" w:hAnsi="微软雅黑" w:eastAsia="微软雅黑" w:cs="微软雅黑"/>
                <w:b/>
                <w:bCs/>
                <w:color w:val="auto"/>
                <w:sz w:val="24"/>
                <w:shd w:val="clear" w:color="auto" w:fill="auto"/>
                <w:lang w:eastAsia="zh-CN"/>
              </w:rPr>
              <w:t>，</w:t>
            </w:r>
            <w:r>
              <w:rPr>
                <w:rFonts w:hint="eastAsia" w:ascii="微软雅黑" w:hAnsi="微软雅黑" w:eastAsia="微软雅黑" w:cs="微软雅黑"/>
                <w:b/>
                <w:bCs/>
                <w:color w:val="auto"/>
                <w:sz w:val="24"/>
                <w:shd w:val="clear" w:color="auto" w:fill="auto"/>
              </w:rPr>
              <w:t>采购单位或采购代理机构均不予答复。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47" w:type="dxa"/>
            <w:gridSpan w:val="2"/>
            <w:vAlign w:val="center"/>
          </w:tcPr>
          <w:p>
            <w:pPr>
              <w:tabs>
                <w:tab w:val="left" w:pos="3374"/>
              </w:tabs>
              <w:snapToGrid w:val="0"/>
              <w:spacing w:line="400" w:lineRule="exac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kern w:val="2"/>
                <w:sz w:val="24"/>
                <w:szCs w:val="24"/>
                <w:lang w:val="en-US" w:eastAsia="zh-CN" w:bidi="ar-SA"/>
              </w:rPr>
              <w:t>本项目的招标投标活动及其相关当事人应当接受招投标监督管理部门的监督</w:t>
            </w:r>
          </w:p>
        </w:tc>
      </w:tr>
    </w:tbl>
    <w:p>
      <w:pPr>
        <w:pStyle w:val="15"/>
        <w:jc w:val="center"/>
        <w:rPr>
          <w:rFonts w:hint="eastAsia" w:hAnsi="宋体" w:cs="宋体"/>
          <w:b/>
          <w:kern w:val="0"/>
          <w:sz w:val="32"/>
          <w:szCs w:val="32"/>
        </w:rPr>
      </w:pPr>
      <w:bookmarkStart w:id="460" w:name="_Toc21514"/>
    </w:p>
    <w:p>
      <w:pPr>
        <w:pStyle w:val="15"/>
        <w:jc w:val="center"/>
        <w:rPr>
          <w:rFonts w:hint="eastAsia" w:hAnsi="宋体" w:cs="宋体"/>
          <w:b/>
          <w:kern w:val="0"/>
          <w:sz w:val="32"/>
          <w:szCs w:val="32"/>
        </w:rPr>
      </w:pPr>
    </w:p>
    <w:p>
      <w:pPr>
        <w:pStyle w:val="15"/>
        <w:jc w:val="center"/>
        <w:rPr>
          <w:rFonts w:hint="eastAsia" w:hAnsi="宋体" w:cs="宋体"/>
          <w:b/>
          <w:kern w:val="0"/>
          <w:sz w:val="32"/>
          <w:szCs w:val="32"/>
        </w:rPr>
      </w:pPr>
    </w:p>
    <w:p>
      <w:pPr>
        <w:rPr>
          <w:rFonts w:hint="eastAsia" w:hAnsi="宋体" w:cs="宋体"/>
          <w:b/>
          <w:kern w:val="0"/>
          <w:sz w:val="32"/>
          <w:szCs w:val="32"/>
          <w:lang w:val="en-US" w:eastAsia="zh-CN"/>
        </w:rPr>
      </w:pPr>
      <w:r>
        <w:rPr>
          <w:rFonts w:hint="eastAsia" w:hAnsi="宋体" w:cs="宋体"/>
          <w:b/>
          <w:kern w:val="0"/>
          <w:sz w:val="32"/>
          <w:szCs w:val="32"/>
          <w:lang w:val="en-US" w:eastAsia="zh-CN"/>
        </w:rPr>
        <w:br w:type="page"/>
      </w:r>
    </w:p>
    <w:p>
      <w:pPr>
        <w:pStyle w:val="15"/>
        <w:jc w:val="center"/>
        <w:rPr>
          <w:rFonts w:hint="eastAsia" w:hAnsi="宋体" w:cs="宋体"/>
          <w:b/>
          <w:kern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pStyle w:val="15"/>
        <w:jc w:val="center"/>
        <w:rPr>
          <w:rFonts w:hint="eastAsia" w:hAnsi="宋体" w:cs="宋体"/>
          <w:b/>
          <w:kern w:val="0"/>
          <w:sz w:val="32"/>
          <w:szCs w:val="32"/>
        </w:rPr>
      </w:pPr>
      <w:r>
        <w:rPr>
          <w:rFonts w:hint="eastAsia" w:hAnsi="宋体" w:cs="宋体"/>
          <w:b/>
          <w:kern w:val="0"/>
          <w:sz w:val="32"/>
          <w:szCs w:val="32"/>
          <w:lang w:val="en-US" w:eastAsia="zh-CN"/>
        </w:rPr>
        <w:t>资</w:t>
      </w:r>
      <w:r>
        <w:rPr>
          <w:rFonts w:hint="eastAsia" w:hAnsi="宋体" w:cs="宋体"/>
          <w:b/>
          <w:kern w:val="0"/>
          <w:sz w:val="32"/>
          <w:szCs w:val="32"/>
        </w:rPr>
        <w:t>格审查表</w:t>
      </w:r>
    </w:p>
    <w:tbl>
      <w:tblPr>
        <w:tblStyle w:val="27"/>
        <w:tblpPr w:leftFromText="180" w:rightFromText="180" w:vertAnchor="text" w:horzAnchor="page" w:tblpX="1605" w:tblpY="187"/>
        <w:tblOverlap w:val="never"/>
        <w:tblW w:w="13937" w:type="dxa"/>
        <w:tblInd w:w="0" w:type="dxa"/>
        <w:tblLayout w:type="fixed"/>
        <w:tblCellMar>
          <w:top w:w="0" w:type="dxa"/>
          <w:left w:w="108" w:type="dxa"/>
          <w:bottom w:w="0" w:type="dxa"/>
          <w:right w:w="108" w:type="dxa"/>
        </w:tblCellMar>
      </w:tblPr>
      <w:tblGrid>
        <w:gridCol w:w="570"/>
        <w:gridCol w:w="1081"/>
        <w:gridCol w:w="1278"/>
        <w:gridCol w:w="975"/>
        <w:gridCol w:w="873"/>
        <w:gridCol w:w="1328"/>
        <w:gridCol w:w="1563"/>
        <w:gridCol w:w="3749"/>
        <w:gridCol w:w="668"/>
        <w:gridCol w:w="773"/>
        <w:gridCol w:w="1079"/>
      </w:tblGrid>
      <w:tr>
        <w:tblPrEx>
          <w:tblCellMar>
            <w:top w:w="0" w:type="dxa"/>
            <w:left w:w="108" w:type="dxa"/>
            <w:bottom w:w="0" w:type="dxa"/>
            <w:right w:w="108" w:type="dxa"/>
          </w:tblCellMar>
        </w:tblPrEx>
        <w:trPr>
          <w:trHeight w:val="1262"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供应商名称</w:t>
            </w:r>
          </w:p>
        </w:tc>
        <w:tc>
          <w:tcPr>
            <w:tcW w:w="11515"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审查项目</w:t>
            </w:r>
          </w:p>
        </w:tc>
        <w:tc>
          <w:tcPr>
            <w:tcW w:w="7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结论 （是否通过）</w:t>
            </w:r>
          </w:p>
        </w:tc>
        <w:tc>
          <w:tcPr>
            <w:tcW w:w="10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法定代表人或授权委托人签字确认</w:t>
            </w:r>
          </w:p>
        </w:tc>
      </w:tr>
      <w:tr>
        <w:tblPrEx>
          <w:tblCellMar>
            <w:top w:w="0" w:type="dxa"/>
            <w:left w:w="108" w:type="dxa"/>
            <w:bottom w:w="0" w:type="dxa"/>
            <w:right w:w="108" w:type="dxa"/>
          </w:tblCellMar>
        </w:tblPrEx>
        <w:trPr>
          <w:trHeight w:val="3140"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rPr>
            </w:pPr>
          </w:p>
        </w:tc>
        <w:tc>
          <w:tcPr>
            <w:tcW w:w="1081" w:type="dxa"/>
            <w:tcBorders>
              <w:top w:val="nil"/>
              <w:left w:val="nil"/>
              <w:bottom w:val="single" w:color="auto" w:sz="4" w:space="0"/>
              <w:right w:val="single" w:color="auto" w:sz="4" w:space="0"/>
            </w:tcBorders>
            <w:noWrap w:val="0"/>
            <w:vAlign w:val="center"/>
          </w:tcPr>
          <w:p>
            <w:pPr>
              <w:pStyle w:val="33"/>
              <w:jc w:val="left"/>
              <w:rPr>
                <w:rFonts w:hint="eastAsia" w:ascii="仿宋" w:hAnsi="仿宋" w:eastAsia="仿宋" w:cs="仿宋"/>
                <w:sz w:val="18"/>
                <w:szCs w:val="18"/>
              </w:rPr>
            </w:pPr>
            <w:r>
              <w:rPr>
                <w:rFonts w:hint="eastAsia" w:ascii="仿宋" w:hAnsi="仿宋" w:eastAsia="仿宋" w:cs="仿宋"/>
                <w:sz w:val="18"/>
                <w:szCs w:val="18"/>
              </w:rPr>
              <w:t>合格有效的三证合一的营业执照（三证合一）副本或电子营业执照打印件（需加盖公章）</w:t>
            </w:r>
          </w:p>
          <w:p>
            <w:pPr>
              <w:widowControl/>
              <w:jc w:val="left"/>
              <w:rPr>
                <w:rFonts w:hint="eastAsia" w:ascii="仿宋" w:hAnsi="仿宋" w:eastAsia="仿宋" w:cs="仿宋"/>
                <w:color w:val="000000"/>
                <w:kern w:val="0"/>
                <w:sz w:val="18"/>
                <w:szCs w:val="18"/>
              </w:rPr>
            </w:pPr>
          </w:p>
        </w:tc>
        <w:tc>
          <w:tcPr>
            <w:tcW w:w="127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法定代表人（负责人）资格证明书及授权书、被授权人身份证；(法定代表人投标需提供法定代表人身份证及法定代表人代表资格证明书)</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近三个月依法缴纳税收的证明（完税证明或税务部门出具的其他证明，税种非社会保险类）</w:t>
            </w:r>
          </w:p>
        </w:tc>
        <w:tc>
          <w:tcPr>
            <w:tcW w:w="87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近六个月依法缴纳社会保障金的缴费和银行转帐汇款单证明</w:t>
            </w:r>
          </w:p>
        </w:tc>
        <w:tc>
          <w:tcPr>
            <w:tcW w:w="132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良好的商业信誉和健全的财务会计制度证明材料（2021年度财务审计报告书影印件；新办企业需提供银行资信证明）</w:t>
            </w:r>
          </w:p>
        </w:tc>
        <w:tc>
          <w:tcPr>
            <w:tcW w:w="156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参加政府采购活动前3年内在经营活动中没有重大违法记录的书面声明及投标单位（供应商）提供针对本次采购项目《反商业贿赂承诺书》（格式自拟）</w:t>
            </w:r>
          </w:p>
        </w:tc>
        <w:tc>
          <w:tcPr>
            <w:tcW w:w="3749" w:type="dxa"/>
            <w:tcBorders>
              <w:top w:val="nil"/>
              <w:left w:val="nil"/>
              <w:bottom w:val="single" w:color="auto" w:sz="4" w:space="0"/>
              <w:right w:val="single" w:color="auto" w:sz="4" w:space="0"/>
            </w:tcBorders>
            <w:noWrap w:val="0"/>
            <w:vAlign w:val="center"/>
          </w:tcPr>
          <w:p>
            <w:pPr>
              <w:tabs>
                <w:tab w:val="left" w:pos="1800"/>
                <w:tab w:val="left" w:pos="5580"/>
              </w:tabs>
              <w:snapToGrid w:val="0"/>
              <w:spacing w:line="240" w:lineRule="auto"/>
              <w:ind w:right="-47" w:rightChars="0"/>
              <w:jc w:val="center"/>
              <w:textAlignment w:val="baseline"/>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府采购网(www.ccgp.gov.cn)查询结果为准；</w:t>
            </w:r>
          </w:p>
        </w:tc>
        <w:tc>
          <w:tcPr>
            <w:tcW w:w="66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缴纳投标保证金凭证复印件加盖公章</w:t>
            </w:r>
          </w:p>
        </w:tc>
        <w:tc>
          <w:tcPr>
            <w:tcW w:w="77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i/>
                <w:iCs/>
                <w:color w:val="000000"/>
                <w:kern w:val="0"/>
                <w:sz w:val="18"/>
                <w:szCs w:val="18"/>
              </w:rPr>
            </w:pPr>
          </w:p>
        </w:tc>
        <w:tc>
          <w:tcPr>
            <w:tcW w:w="107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i/>
                <w:iCs/>
                <w:color w:val="000000"/>
                <w:kern w:val="0"/>
                <w:sz w:val="18"/>
                <w:szCs w:val="18"/>
              </w:rPr>
            </w:pPr>
          </w:p>
        </w:tc>
      </w:tr>
      <w:tr>
        <w:tblPrEx>
          <w:tblCellMar>
            <w:top w:w="0" w:type="dxa"/>
            <w:left w:w="108" w:type="dxa"/>
            <w:bottom w:w="0" w:type="dxa"/>
            <w:right w:w="108" w:type="dxa"/>
          </w:tblCellMar>
        </w:tblPrEx>
        <w:trPr>
          <w:trHeight w:val="646" w:hRule="atLeast"/>
        </w:trPr>
        <w:tc>
          <w:tcPr>
            <w:tcW w:w="570"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108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1278" w:type="dxa"/>
            <w:tcBorders>
              <w:top w:val="nil"/>
              <w:left w:val="nil"/>
              <w:bottom w:val="single" w:color="auto" w:sz="4" w:space="0"/>
              <w:right w:val="single" w:color="auto" w:sz="4" w:space="0"/>
            </w:tcBorders>
            <w:noWrap w:val="0"/>
            <w:vAlign w:val="center"/>
          </w:tcPr>
          <w:p>
            <w:pPr>
              <w:widowControl/>
              <w:jc w:val="left"/>
              <w:rPr>
                <w:rFonts w:ascii="仿宋" w:hAnsi="仿宋" w:eastAsia="仿宋" w:cs="仿宋"/>
                <w:color w:val="FF0000"/>
                <w:kern w:val="0"/>
                <w:sz w:val="22"/>
              </w:rPr>
            </w:pPr>
            <w:r>
              <w:rPr>
                <w:rFonts w:hint="eastAsia" w:ascii="仿宋" w:hAnsi="仿宋" w:eastAsia="仿宋" w:cs="仿宋"/>
                <w:color w:val="FF0000"/>
                <w:kern w:val="0"/>
                <w:sz w:val="22"/>
              </w:rPr>
              <w:t>　</w:t>
            </w:r>
          </w:p>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p>
        </w:tc>
        <w:tc>
          <w:tcPr>
            <w:tcW w:w="87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132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156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374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66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r>
              <w:rPr>
                <w:rFonts w:hint="eastAsia" w:ascii="仿宋" w:hAnsi="仿宋" w:eastAsia="仿宋" w:cs="仿宋"/>
                <w:color w:val="FF0000"/>
                <w:kern w:val="0"/>
                <w:sz w:val="22"/>
              </w:rPr>
              <w:t>　</w:t>
            </w:r>
          </w:p>
        </w:tc>
        <w:tc>
          <w:tcPr>
            <w:tcW w:w="773"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p>
        </w:tc>
        <w:tc>
          <w:tcPr>
            <w:tcW w:w="107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FF0000"/>
                <w:kern w:val="0"/>
                <w:sz w:val="22"/>
              </w:rPr>
            </w:pPr>
          </w:p>
        </w:tc>
      </w:tr>
    </w:tbl>
    <w:p>
      <w:pPr>
        <w:tabs>
          <w:tab w:val="left" w:pos="526"/>
        </w:tabs>
        <w:jc w:val="left"/>
        <w:rPr>
          <w:rFonts w:hint="eastAsia" w:hAnsi="宋体" w:cs="宋体"/>
          <w:b/>
          <w:kern w:val="0"/>
          <w:sz w:val="32"/>
          <w:szCs w:val="32"/>
        </w:rPr>
        <w:sectPr>
          <w:headerReference r:id="rId10" w:type="default"/>
          <w:footerReference r:id="rId11" w:type="default"/>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b/>
          <w:bCs/>
          <w:szCs w:val="21"/>
        </w:rPr>
        <w:t>注：上述资质开标现场能够通过官方网络查证的，均视为合格供应商。在资格审查过程中，潜在投标企业提供的资质材料不全的，可打开投标书进行进一步核实，符合条件的均为合格供应商。通过资格审查的供应商不足三家的，不得评标。</w:t>
      </w:r>
    </w:p>
    <w:p>
      <w:pPr>
        <w:widowControl/>
        <w:jc w:val="left"/>
        <w:rPr>
          <w:rFonts w:ascii="宋体" w:hAnsi="宋体" w:cs="宋体"/>
          <w:b/>
          <w:color w:val="002060"/>
          <w:kern w:val="0"/>
          <w:sz w:val="32"/>
          <w:szCs w:val="32"/>
        </w:rPr>
      </w:pPr>
    </w:p>
    <w:p>
      <w:pPr>
        <w:pStyle w:val="15"/>
      </w:pPr>
    </w:p>
    <w:p>
      <w:pPr>
        <w:numPr>
          <w:ilvl w:val="0"/>
          <w:numId w:val="11"/>
        </w:numPr>
        <w:spacing w:line="520" w:lineRule="exact"/>
        <w:jc w:val="center"/>
        <w:outlineLvl w:val="0"/>
        <w:rPr>
          <w:rFonts w:hint="eastAsia" w:ascii="宋体" w:hAnsi="宋体" w:cs="宋体"/>
          <w:b/>
          <w:bCs/>
          <w:sz w:val="44"/>
          <w:szCs w:val="44"/>
        </w:rPr>
      </w:pPr>
      <w:r>
        <w:rPr>
          <w:rFonts w:hint="eastAsia" w:ascii="宋体" w:hAnsi="宋体" w:cs="宋体"/>
          <w:b/>
          <w:bCs/>
          <w:sz w:val="44"/>
          <w:szCs w:val="44"/>
        </w:rPr>
        <w:t>服务需求一览表及要求</w:t>
      </w:r>
      <w:bookmarkEnd w:id="460"/>
      <w:bookmarkStart w:id="461" w:name="_Toc32647"/>
      <w:bookmarkStart w:id="462" w:name="_Toc216582826"/>
      <w:bookmarkStart w:id="463" w:name="_Toc219175639"/>
      <w:bookmarkStart w:id="464" w:name="_Toc515647832"/>
      <w:bookmarkStart w:id="465" w:name="_Toc31651"/>
      <w:bookmarkStart w:id="466" w:name="_Toc11259"/>
      <w:bookmarkStart w:id="467" w:name="_Toc218935355"/>
      <w:bookmarkStart w:id="468" w:name="_Toc7971"/>
      <w:bookmarkStart w:id="469" w:name="_Toc507399907"/>
      <w:bookmarkStart w:id="470" w:name="_Toc22386"/>
    </w:p>
    <w:p>
      <w:pPr>
        <w:pStyle w:val="4"/>
        <w:spacing w:before="200" w:after="200" w:line="560" w:lineRule="exact"/>
        <w:ind w:firstLine="0" w:firstLineChars="0"/>
        <w:jc w:val="left"/>
        <w:rPr>
          <w:rFonts w:hint="eastAsia" w:ascii="宋体" w:hAnsi="宋体" w:eastAsia="宋体" w:cs="宋体"/>
          <w:color w:val="auto"/>
          <w:sz w:val="24"/>
          <w:szCs w:val="24"/>
        </w:rPr>
      </w:pPr>
      <w:bookmarkStart w:id="471" w:name="_Toc14181"/>
      <w:r>
        <w:rPr>
          <w:rFonts w:hint="eastAsia" w:ascii="宋体" w:hAnsi="宋体" w:eastAsia="宋体" w:cs="宋体"/>
          <w:color w:val="auto"/>
          <w:sz w:val="24"/>
          <w:szCs w:val="24"/>
          <w:lang w:val="en-US" w:eastAsia="zh-CN"/>
        </w:rPr>
        <w:t>详细建设要求和</w:t>
      </w:r>
      <w:r>
        <w:rPr>
          <w:rFonts w:hint="eastAsia" w:ascii="宋体" w:hAnsi="宋体" w:eastAsia="宋体" w:cs="宋体"/>
          <w:color w:val="auto"/>
          <w:sz w:val="24"/>
          <w:szCs w:val="24"/>
        </w:rPr>
        <w:t>设备清单</w:t>
      </w:r>
      <w:bookmarkEnd w:id="471"/>
    </w:p>
    <w:p>
      <w:pPr>
        <w:pStyle w:val="65"/>
        <w:spacing w:before="0" w:after="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主要进行喀什广播电视台设备高清化和数字化改造，将新建一套广播电视融媒体演播室系统（1个300平米4讯道演播室和灯光系统，2个60平米3机位演播室和灯光系统，1个演播室大屏系统），一套全媒体录音间系统（3个录音间系统，4个网络直播录音间系统）和一套非线性编辑系统（可支持至超高清）。项目建设完成后可以满足喀什广播电视台高清化的采编播需求，实现节目质量的大幅提升，使得喀什地区广播电视基础更加完善，广播电视数字化、高清化、融合化、智能化水平大幅提高，广播电视公共产品供给能力、传播能力、服务能力显著增强，广电媒体融合发展能力进一步提升。</w:t>
      </w:r>
    </w:p>
    <w:p>
      <w:pPr>
        <w:widowControl/>
        <w:tabs>
          <w:tab w:val="left" w:pos="720"/>
        </w:tabs>
        <w:spacing w:line="360" w:lineRule="auto"/>
        <w:ind w:firstLine="482"/>
        <w:jc w:val="left"/>
        <w:outlineLvl w:val="1"/>
        <w:rPr>
          <w:rFonts w:hint="eastAsia" w:ascii="宋体" w:hAnsi="宋体" w:eastAsia="宋体" w:cs="宋体"/>
          <w:b/>
          <w:snapToGrid w:val="0"/>
          <w:color w:val="auto"/>
          <w:kern w:val="0"/>
          <w:sz w:val="24"/>
          <w:szCs w:val="24"/>
          <w:lang w:val="en-US" w:eastAsia="zh-CN"/>
        </w:rPr>
      </w:pPr>
      <w:bookmarkStart w:id="472" w:name="_Toc19847"/>
      <w:r>
        <w:rPr>
          <w:rFonts w:hint="eastAsia" w:ascii="宋体" w:hAnsi="宋体" w:eastAsia="宋体" w:cs="宋体"/>
          <w:b/>
          <w:snapToGrid w:val="0"/>
          <w:color w:val="auto"/>
          <w:kern w:val="0"/>
          <w:sz w:val="24"/>
          <w:szCs w:val="24"/>
          <w:lang w:val="en-US" w:eastAsia="zh-CN"/>
        </w:rPr>
        <w:t>第一部分、广播电视融媒体演播室系统</w:t>
      </w:r>
      <w:bookmarkEnd w:id="472"/>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本次项目需新建一套广播电视融媒体演播室系统，包括1个300平米4讯道演播室和灯光系统，2个60平米3机位演播室和灯光系统，以及1个演播室大屏系统。</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b/>
          <w:snapToGrid w:val="0"/>
          <w:color w:val="auto"/>
          <w:kern w:val="0"/>
          <w:sz w:val="24"/>
          <w:szCs w:val="24"/>
          <w:lang w:val="en-US" w:eastAsia="zh-CN"/>
        </w:rPr>
      </w:pPr>
      <w:r>
        <w:rPr>
          <w:rFonts w:hint="eastAsia" w:ascii="宋体" w:hAnsi="宋体" w:eastAsia="宋体" w:cs="宋体"/>
          <w:b/>
          <w:snapToGrid w:val="0"/>
          <w:color w:val="auto"/>
          <w:kern w:val="0"/>
          <w:sz w:val="24"/>
          <w:szCs w:val="24"/>
          <w:lang w:val="en-US" w:eastAsia="zh-CN"/>
        </w:rPr>
        <w:t>具体要求如下：</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投标的设备必须满足相关的国家标准和广电总局的行业标准。</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投标人提供的设备要求技术成熟，功能完善，配置齐全，稳定可靠，应用广泛，在国内有应用实例，维修、维护方便。</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所有设备必须是未经使用过的全新产品，并在出厂前经过严格检验和整机包装。</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投标的设备应充分考虑将来的升级和扩展需求。</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所有模块化设备必须支持热插拔。</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系统中配套的操作系统、应用软件等所有相关软件须具有自主版权或合法版权。因投标人提供的软件而引起的任何版权纠纷和法律责任，由投标人承担。</w:t>
      </w:r>
    </w:p>
    <w:p>
      <w:pPr>
        <w:pStyle w:val="65"/>
        <w:keepNext w:val="0"/>
        <w:keepLines w:val="0"/>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投标人根据采购人需求完成系统设计、设备安装调试和售后服务等工作。</w:t>
      </w:r>
    </w:p>
    <w:p>
      <w:pPr>
        <w:spacing w:line="360" w:lineRule="auto"/>
        <w:ind w:firstLine="482" w:firstLineChars="200"/>
        <w:rPr>
          <w:rFonts w:hint="eastAsia" w:ascii="宋体" w:hAnsi="宋体" w:eastAsia="宋体" w:cs="宋体"/>
          <w:b/>
          <w:snapToGrid w:val="0"/>
          <w:color w:val="auto"/>
          <w:kern w:val="0"/>
          <w:sz w:val="24"/>
          <w:szCs w:val="24"/>
          <w:lang w:val="en-US" w:eastAsia="zh-CN"/>
        </w:rPr>
      </w:pPr>
    </w:p>
    <w:p>
      <w:pPr>
        <w:widowControl/>
        <w:tabs>
          <w:tab w:val="left" w:pos="720"/>
        </w:tabs>
        <w:spacing w:line="360" w:lineRule="auto"/>
        <w:ind w:firstLine="482"/>
        <w:jc w:val="left"/>
        <w:outlineLvl w:val="1"/>
        <w:rPr>
          <w:rFonts w:hint="eastAsia" w:ascii="宋体" w:hAnsi="宋体" w:eastAsia="宋体" w:cs="宋体"/>
          <w:b/>
          <w:snapToGrid w:val="0"/>
          <w:color w:val="auto"/>
          <w:kern w:val="0"/>
          <w:sz w:val="24"/>
          <w:szCs w:val="24"/>
          <w:lang w:val="en-US" w:eastAsia="zh-CN"/>
        </w:rPr>
      </w:pPr>
      <w:bookmarkStart w:id="473" w:name="_Toc21057"/>
      <w:r>
        <w:rPr>
          <w:rFonts w:hint="eastAsia" w:ascii="宋体" w:hAnsi="宋体" w:eastAsia="宋体" w:cs="宋体"/>
          <w:b/>
          <w:snapToGrid w:val="0"/>
          <w:color w:val="auto"/>
          <w:kern w:val="0"/>
          <w:sz w:val="24"/>
          <w:szCs w:val="24"/>
          <w:lang w:val="en-US" w:eastAsia="zh-CN"/>
        </w:rPr>
        <w:t>第二部分、全媒体录音间系统</w:t>
      </w:r>
      <w:bookmarkEnd w:id="473"/>
    </w:p>
    <w:p>
      <w:pPr>
        <w:pStyle w:val="65"/>
        <w:spacing w:before="0" w:after="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本次项目需</w:t>
      </w:r>
      <w:r>
        <w:rPr>
          <w:rFonts w:hint="eastAsia" w:ascii="宋体" w:hAnsi="宋体" w:eastAsia="宋体" w:cs="宋体"/>
          <w:color w:val="auto"/>
          <w:sz w:val="24"/>
          <w:szCs w:val="24"/>
          <w:lang w:eastAsia="zh-CN"/>
        </w:rPr>
        <w:t>新建</w:t>
      </w:r>
      <w:r>
        <w:rPr>
          <w:rFonts w:hint="eastAsia" w:ascii="宋体" w:hAnsi="宋体" w:eastAsia="宋体" w:cs="宋体"/>
          <w:color w:val="auto"/>
          <w:sz w:val="24"/>
          <w:szCs w:val="24"/>
          <w:lang w:val="en-US" w:eastAsia="zh-CN"/>
        </w:rPr>
        <w:t>3套录音间系统、4</w:t>
      </w:r>
      <w:r>
        <w:rPr>
          <w:rFonts w:hint="eastAsia" w:ascii="宋体" w:hAnsi="宋体" w:eastAsia="宋体" w:cs="宋体"/>
          <w:color w:val="auto"/>
          <w:sz w:val="24"/>
          <w:szCs w:val="24"/>
          <w:lang w:eastAsia="zh-CN"/>
        </w:rPr>
        <w:t>套</w:t>
      </w:r>
      <w:r>
        <w:rPr>
          <w:rFonts w:hint="eastAsia" w:ascii="宋体" w:hAnsi="宋体" w:eastAsia="宋体" w:cs="宋体"/>
          <w:color w:val="auto"/>
          <w:sz w:val="24"/>
          <w:szCs w:val="24"/>
          <w:lang w:val="en-US" w:eastAsia="zh-CN"/>
        </w:rPr>
        <w:t>网络直播间系统</w:t>
      </w:r>
      <w:r>
        <w:rPr>
          <w:rFonts w:hint="eastAsia" w:ascii="宋体" w:hAnsi="宋体" w:eastAsia="宋体" w:cs="宋体"/>
          <w:color w:val="auto"/>
          <w:sz w:val="24"/>
          <w:szCs w:val="24"/>
          <w:lang w:eastAsia="zh-CN"/>
        </w:rPr>
        <w:t>。</w:t>
      </w:r>
    </w:p>
    <w:p>
      <w:pPr>
        <w:pStyle w:val="65"/>
        <w:spacing w:before="0" w:after="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要求供应商</w:t>
      </w:r>
      <w:r>
        <w:rPr>
          <w:rFonts w:hint="eastAsia" w:ascii="宋体" w:hAnsi="宋体" w:eastAsia="宋体" w:cs="宋体"/>
          <w:color w:val="auto"/>
          <w:sz w:val="24"/>
          <w:szCs w:val="24"/>
        </w:rPr>
        <w:t>提供先进成熟的广播</w:t>
      </w:r>
      <w:r>
        <w:rPr>
          <w:rFonts w:hint="eastAsia" w:ascii="宋体" w:hAnsi="宋体" w:eastAsia="宋体" w:cs="宋体"/>
          <w:color w:val="auto"/>
          <w:sz w:val="24"/>
          <w:szCs w:val="24"/>
          <w:lang w:val="en-US" w:eastAsia="zh-CN"/>
        </w:rPr>
        <w:t>全媒体</w:t>
      </w:r>
      <w:r>
        <w:rPr>
          <w:rFonts w:hint="eastAsia" w:ascii="宋体" w:hAnsi="宋体" w:eastAsia="宋体" w:cs="宋体"/>
          <w:color w:val="auto"/>
          <w:sz w:val="24"/>
          <w:szCs w:val="24"/>
        </w:rPr>
        <w:t>直播间系统、</w:t>
      </w:r>
      <w:r>
        <w:rPr>
          <w:rFonts w:hint="eastAsia" w:ascii="宋体" w:hAnsi="宋体" w:eastAsia="宋体" w:cs="宋体"/>
          <w:color w:val="auto"/>
          <w:sz w:val="24"/>
          <w:szCs w:val="24"/>
          <w:lang w:val="en-US" w:eastAsia="zh-CN"/>
        </w:rPr>
        <w:t>语录</w:t>
      </w:r>
      <w:r>
        <w:rPr>
          <w:rFonts w:hint="eastAsia" w:ascii="宋体" w:hAnsi="宋体" w:eastAsia="宋体" w:cs="宋体"/>
          <w:color w:val="auto"/>
          <w:sz w:val="24"/>
          <w:szCs w:val="24"/>
        </w:rPr>
        <w:t>间系统整体解决方案。应以数字化、网络化的建设原则，全面采用AES数字化音频设备，且应在省市级广播电台广泛使用。系统技术指标应达到国家甲级标准，遵循统一的技术标准、接口标准，具有良好的可扩展性和兼容性，应能体现“以人为本”思想，流程合理、功能完善、操作简单直观、维护管理方便。</w:t>
      </w:r>
    </w:p>
    <w:p>
      <w:pPr>
        <w:pStyle w:val="65"/>
        <w:spacing w:before="0" w:after="0"/>
        <w:rPr>
          <w:rFonts w:hint="eastAsia" w:ascii="宋体" w:hAnsi="宋体" w:eastAsia="宋体" w:cs="宋体"/>
          <w:color w:val="auto"/>
          <w:sz w:val="24"/>
          <w:szCs w:val="24"/>
        </w:rPr>
      </w:pPr>
      <w:r>
        <w:rPr>
          <w:rFonts w:hint="eastAsia" w:ascii="宋体" w:hAnsi="宋体" w:eastAsia="宋体" w:cs="宋体"/>
          <w:color w:val="auto"/>
          <w:sz w:val="24"/>
          <w:szCs w:val="24"/>
        </w:rPr>
        <w:t>系统集成需科学、全面、合理地满足本项目的技术系统需求，提供相关软硬件设备以及相应系统集成、系统/设备的维修/维护、用户使用/维护培训、设备选型适用性测试、软件安装、系统调试、现场施工、操作培训、售后服务和技术保障等综合性服务。</w:t>
      </w:r>
    </w:p>
    <w:p>
      <w:pPr>
        <w:pStyle w:val="65"/>
        <w:spacing w:before="0" w:after="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具体要求如下：</w:t>
      </w:r>
    </w:p>
    <w:p>
      <w:pPr>
        <w:spacing w:line="360" w:lineRule="auto"/>
        <w:ind w:firstLine="435"/>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语录间系统</w:t>
      </w:r>
    </w:p>
    <w:p>
      <w:pPr>
        <w:spacing w:line="360" w:lineRule="auto"/>
        <w:ind w:firstLine="43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语录间配备国内主流电台常用的录制调音台，使用稳定，音质保真度高，操作方便、维护简单，配合录制工作站，实现节目录音、节目制作、节目监听，满足电台节目录制的需要；语录间系统采用标准接口，可进行功能扩展。</w:t>
      </w:r>
    </w:p>
    <w:p>
      <w:pPr>
        <w:pStyle w:val="3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要求定制</w:t>
      </w:r>
      <w:r>
        <w:rPr>
          <w:rFonts w:hint="eastAsia" w:ascii="宋体" w:hAnsi="宋体" w:eastAsia="宋体" w:cs="宋体"/>
          <w:color w:val="auto"/>
          <w:sz w:val="24"/>
          <w:szCs w:val="24"/>
        </w:rPr>
        <w:t>设计符合</w:t>
      </w:r>
      <w:r>
        <w:rPr>
          <w:rFonts w:hint="eastAsia" w:ascii="宋体" w:hAnsi="宋体" w:eastAsia="宋体" w:cs="宋体"/>
          <w:color w:val="auto"/>
          <w:sz w:val="24"/>
          <w:szCs w:val="24"/>
          <w:lang w:val="en-US" w:eastAsia="zh-CN"/>
        </w:rPr>
        <w:t>录制</w:t>
      </w:r>
      <w:r>
        <w:rPr>
          <w:rFonts w:hint="eastAsia" w:ascii="宋体" w:hAnsi="宋体" w:eastAsia="宋体" w:cs="宋体"/>
          <w:color w:val="auto"/>
          <w:sz w:val="24"/>
          <w:szCs w:val="24"/>
        </w:rPr>
        <w:t>需要及装修效果的</w:t>
      </w:r>
      <w:r>
        <w:rPr>
          <w:rFonts w:hint="eastAsia" w:ascii="宋体" w:hAnsi="宋体" w:eastAsia="宋体" w:cs="宋体"/>
          <w:color w:val="auto"/>
          <w:sz w:val="24"/>
          <w:szCs w:val="24"/>
          <w:lang w:val="en-US" w:eastAsia="zh-CN"/>
        </w:rPr>
        <w:t>录制</w:t>
      </w:r>
      <w:r>
        <w:rPr>
          <w:rFonts w:hint="eastAsia" w:ascii="宋体" w:hAnsi="宋体" w:eastAsia="宋体" w:cs="宋体"/>
          <w:color w:val="auto"/>
          <w:sz w:val="24"/>
          <w:szCs w:val="24"/>
        </w:rPr>
        <w:t>桌椅</w:t>
      </w:r>
      <w:r>
        <w:rPr>
          <w:rFonts w:hint="eastAsia" w:ascii="宋体" w:hAnsi="宋体" w:eastAsia="宋体" w:cs="宋体"/>
          <w:color w:val="auto"/>
          <w:sz w:val="24"/>
          <w:szCs w:val="24"/>
          <w:lang w:eastAsia="zh-CN"/>
        </w:rPr>
        <w:t>。</w:t>
      </w:r>
    </w:p>
    <w:p>
      <w:pPr>
        <w:spacing w:line="360" w:lineRule="auto"/>
        <w:ind w:firstLine="435"/>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网络直播间系统</w:t>
      </w:r>
    </w:p>
    <w:p>
      <w:pPr>
        <w:spacing w:line="360" w:lineRule="auto"/>
        <w:ind w:firstLine="435"/>
        <w:rPr>
          <w:rFonts w:hint="eastAsia" w:ascii="宋体" w:hAnsi="宋体" w:eastAsia="宋体" w:cs="宋体"/>
          <w:b/>
          <w:bCs/>
          <w:color w:val="auto"/>
          <w:sz w:val="24"/>
          <w:szCs w:val="24"/>
        </w:rPr>
      </w:pPr>
      <w:r>
        <w:rPr>
          <w:rFonts w:hint="eastAsia" w:ascii="宋体" w:hAnsi="宋体" w:eastAsia="宋体" w:cs="宋体"/>
          <w:b/>
          <w:bCs/>
          <w:color w:val="auto"/>
          <w:sz w:val="24"/>
          <w:szCs w:val="24"/>
        </w:rPr>
        <w:t>传统音频部分：</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直播间为满足电台直播播出任务，以数字化、网络化、智能化为基本设计原则，满足广播节目时效性、参与性、娱乐性、多样性的业务流程特点，适应直播、录播、网播、转播等多种节目播出形式和听众参与、热线互动等直播操控。</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直播间通过数字调音台及总控系统进行信号的传输与切换功能，可进行直播、录播及嘉宾访谈等多种形式播出。同时，为丰富节目内容，直播室增加各类型的外部输入音源，如固态播放机以及</w:t>
      </w:r>
      <w:r>
        <w:rPr>
          <w:rFonts w:hint="eastAsia" w:ascii="宋体" w:hAnsi="宋体" w:eastAsia="宋体" w:cs="宋体"/>
          <w:color w:val="auto"/>
          <w:sz w:val="24"/>
          <w:szCs w:val="24"/>
          <w:lang w:val="en-US" w:eastAsia="zh-CN"/>
        </w:rPr>
        <w:t>电话耦合器</w:t>
      </w:r>
      <w:r>
        <w:rPr>
          <w:rFonts w:hint="eastAsia" w:ascii="宋体" w:hAnsi="宋体" w:eastAsia="宋体" w:cs="宋体"/>
          <w:color w:val="auto"/>
          <w:sz w:val="24"/>
          <w:szCs w:val="24"/>
        </w:rPr>
        <w:t>等软硬件。</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直播室的周边设备还包括话筒、耳机、有源监听音箱等。</w:t>
      </w:r>
    </w:p>
    <w:p>
      <w:pPr>
        <w:pStyle w:val="34"/>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要求定制</w:t>
      </w:r>
      <w:r>
        <w:rPr>
          <w:rFonts w:hint="eastAsia" w:ascii="宋体" w:hAnsi="宋体" w:eastAsia="宋体" w:cs="宋体"/>
          <w:color w:val="auto"/>
          <w:sz w:val="24"/>
          <w:szCs w:val="24"/>
        </w:rPr>
        <w:t>设计符合直播需要及装修效果的</w:t>
      </w:r>
      <w:r>
        <w:rPr>
          <w:rFonts w:hint="eastAsia" w:ascii="宋体" w:hAnsi="宋体" w:eastAsia="宋体" w:cs="宋体"/>
          <w:color w:val="auto"/>
          <w:sz w:val="24"/>
          <w:szCs w:val="24"/>
          <w:lang w:val="en-US" w:eastAsia="zh-CN"/>
        </w:rPr>
        <w:t>广播直播和导播</w:t>
      </w:r>
      <w:r>
        <w:rPr>
          <w:rFonts w:hint="eastAsia" w:ascii="宋体" w:hAnsi="宋体" w:eastAsia="宋体" w:cs="宋体"/>
          <w:color w:val="auto"/>
          <w:sz w:val="24"/>
          <w:szCs w:val="24"/>
        </w:rPr>
        <w:t>桌椅</w:t>
      </w:r>
      <w:r>
        <w:rPr>
          <w:rFonts w:hint="eastAsia" w:ascii="宋体" w:hAnsi="宋体" w:eastAsia="宋体" w:cs="宋体"/>
          <w:color w:val="auto"/>
          <w:sz w:val="24"/>
          <w:szCs w:val="24"/>
          <w:lang w:eastAsia="zh-CN"/>
        </w:rPr>
        <w:t>。</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本次传统音频部分的功能设计将实现如下目标：</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完成主持人和嘉宾直播节目。</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外部音频节目播出，包括固态录放机、音频工作站等。</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配置</w:t>
      </w:r>
      <w:r>
        <w:rPr>
          <w:rFonts w:hint="eastAsia" w:ascii="宋体" w:hAnsi="宋体" w:eastAsia="宋体" w:cs="宋体"/>
          <w:color w:val="auto"/>
          <w:sz w:val="24"/>
          <w:szCs w:val="24"/>
        </w:rPr>
        <w:t>导播监供导播监听。</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适应直播、录播、网播、转播等多种节目播出形式和听众参与、热线互动等直播操控。</w:t>
      </w:r>
    </w:p>
    <w:p>
      <w:pPr>
        <w:numPr>
          <w:ilvl w:val="0"/>
          <w:numId w:val="1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人机界面友好，操控简便灵活，易于管理和维护。</w:t>
      </w:r>
    </w:p>
    <w:p>
      <w:pPr>
        <w:spacing w:line="360" w:lineRule="auto"/>
        <w:ind w:firstLine="435"/>
        <w:rPr>
          <w:rFonts w:hint="eastAsia" w:ascii="宋体" w:hAnsi="宋体" w:eastAsia="宋体" w:cs="宋体"/>
          <w:b/>
          <w:bCs/>
          <w:color w:val="auto"/>
          <w:sz w:val="24"/>
          <w:szCs w:val="24"/>
        </w:rPr>
      </w:pPr>
      <w:r>
        <w:rPr>
          <w:rFonts w:hint="eastAsia" w:ascii="宋体" w:hAnsi="宋体" w:eastAsia="宋体" w:cs="宋体"/>
          <w:b/>
          <w:bCs/>
          <w:color w:val="auto"/>
          <w:sz w:val="24"/>
          <w:szCs w:val="24"/>
        </w:rPr>
        <w:t>视频直播部分：</w:t>
      </w:r>
    </w:p>
    <w:p>
      <w:pPr>
        <w:pStyle w:val="34"/>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通过高清全景摄像机</w:t>
      </w:r>
      <w:r>
        <w:rPr>
          <w:rFonts w:hint="eastAsia" w:ascii="宋体" w:hAnsi="宋体" w:eastAsia="宋体" w:cs="宋体"/>
          <w:color w:val="auto"/>
          <w:sz w:val="24"/>
          <w:szCs w:val="24"/>
          <w:lang w:val="en-US" w:eastAsia="zh-CN"/>
        </w:rPr>
        <w:t>和高清摄像头</w:t>
      </w:r>
      <w:r>
        <w:rPr>
          <w:rFonts w:hint="eastAsia" w:ascii="宋体" w:hAnsi="宋体" w:eastAsia="宋体" w:cs="宋体"/>
          <w:color w:val="auto"/>
          <w:sz w:val="24"/>
          <w:szCs w:val="24"/>
        </w:rPr>
        <w:t>进行视频拍摄，导播切换台实现实时采集、多机位切换、编码、直播和录制多通道的高品质音视频流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配置大屏实现信号的监看</w:t>
      </w:r>
      <w:r>
        <w:rPr>
          <w:rFonts w:hint="eastAsia" w:ascii="宋体" w:hAnsi="宋体" w:eastAsia="宋体" w:cs="宋体"/>
          <w:color w:val="auto"/>
          <w:sz w:val="24"/>
          <w:szCs w:val="24"/>
          <w:lang w:eastAsia="zh-CN"/>
        </w:rPr>
        <w:t>。</w:t>
      </w:r>
    </w:p>
    <w:p>
      <w:pPr>
        <w:spacing w:line="360" w:lineRule="auto"/>
        <w:ind w:firstLine="482" w:firstLineChars="200"/>
        <w:rPr>
          <w:rFonts w:hint="eastAsia" w:ascii="宋体" w:hAnsi="宋体" w:eastAsia="宋体" w:cs="宋体"/>
          <w:b/>
          <w:snapToGrid w:val="0"/>
          <w:color w:val="auto"/>
          <w:kern w:val="0"/>
          <w:sz w:val="24"/>
          <w:szCs w:val="24"/>
          <w:lang w:val="en-US" w:eastAsia="zh-CN"/>
        </w:rPr>
      </w:pPr>
    </w:p>
    <w:p>
      <w:pPr>
        <w:widowControl/>
        <w:tabs>
          <w:tab w:val="left" w:pos="720"/>
        </w:tabs>
        <w:spacing w:line="360" w:lineRule="auto"/>
        <w:ind w:firstLine="482"/>
        <w:jc w:val="left"/>
        <w:outlineLvl w:val="1"/>
        <w:rPr>
          <w:rFonts w:hint="eastAsia" w:ascii="宋体" w:hAnsi="宋体" w:eastAsia="宋体" w:cs="宋体"/>
          <w:b/>
          <w:snapToGrid w:val="0"/>
          <w:color w:val="auto"/>
          <w:kern w:val="0"/>
          <w:sz w:val="24"/>
          <w:szCs w:val="24"/>
          <w:lang w:val="en-US" w:eastAsia="zh-CN"/>
        </w:rPr>
      </w:pPr>
      <w:bookmarkStart w:id="474" w:name="_Toc15648"/>
      <w:r>
        <w:rPr>
          <w:rFonts w:hint="eastAsia" w:ascii="宋体" w:hAnsi="宋体" w:eastAsia="宋体" w:cs="宋体"/>
          <w:b/>
          <w:snapToGrid w:val="0"/>
          <w:color w:val="auto"/>
          <w:kern w:val="0"/>
          <w:sz w:val="24"/>
          <w:szCs w:val="24"/>
          <w:lang w:val="en-US" w:eastAsia="zh-CN"/>
        </w:rPr>
        <w:t>第三部分、非线性编辑系统</w:t>
      </w:r>
      <w:bookmarkEnd w:id="474"/>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w:t>
      </w:r>
      <w:r>
        <w:rPr>
          <w:rFonts w:hint="eastAsia" w:ascii="宋体" w:hAnsi="宋体" w:eastAsia="宋体" w:cs="宋体"/>
          <w:color w:val="auto"/>
          <w:sz w:val="24"/>
          <w:szCs w:val="24"/>
          <w:lang w:val="en-US" w:eastAsia="zh-CN"/>
        </w:rPr>
        <w:t>项目需采购8套高清（新闻）上载/工作站、11套高清（新闻）无卡工作站，</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供应商提供</w:t>
      </w:r>
      <w:r>
        <w:rPr>
          <w:rFonts w:hint="eastAsia" w:ascii="宋体" w:hAnsi="宋体" w:eastAsia="宋体" w:cs="宋体"/>
          <w:color w:val="auto"/>
          <w:sz w:val="24"/>
          <w:szCs w:val="24"/>
        </w:rPr>
        <w:t>优化节目制作、规范节目播出</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解决方案</w:t>
      </w:r>
      <w:r>
        <w:rPr>
          <w:rFonts w:hint="eastAsia" w:ascii="宋体" w:hAnsi="宋体" w:eastAsia="宋体" w:cs="宋体"/>
          <w:color w:val="auto"/>
          <w:sz w:val="24"/>
          <w:szCs w:val="24"/>
        </w:rPr>
        <w:t>，加强</w:t>
      </w:r>
      <w:r>
        <w:rPr>
          <w:rFonts w:hint="eastAsia" w:ascii="宋体" w:hAnsi="宋体" w:eastAsia="宋体" w:cs="宋体"/>
          <w:color w:val="auto"/>
          <w:sz w:val="24"/>
          <w:szCs w:val="24"/>
          <w:lang w:val="en-US" w:eastAsia="zh-CN"/>
        </w:rPr>
        <w:t>喀什</w:t>
      </w:r>
      <w:r>
        <w:rPr>
          <w:rFonts w:hint="eastAsia" w:ascii="宋体" w:hAnsi="宋体" w:eastAsia="宋体" w:cs="宋体"/>
          <w:color w:val="auto"/>
          <w:sz w:val="24"/>
          <w:szCs w:val="24"/>
        </w:rPr>
        <w:t>地方特色节目录播，丰富节目内容，满足各阶层人群日益增长的收视收听需求；使得喀什广播电视台在数字化高清媒体时代具备与之匹配的业务发展能力。</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具体要求如下：</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color w:val="auto"/>
          <w:sz w:val="24"/>
          <w:szCs w:val="24"/>
        </w:rPr>
        <w:t>工作站</w:t>
      </w:r>
      <w:r>
        <w:rPr>
          <w:rFonts w:hint="eastAsia" w:ascii="宋体" w:hAnsi="宋体" w:eastAsia="宋体" w:cs="宋体"/>
          <w:color w:val="auto"/>
          <w:sz w:val="24"/>
          <w:szCs w:val="24"/>
          <w:lang w:val="en-US" w:eastAsia="zh-CN"/>
        </w:rPr>
        <w:t>要求采用</w:t>
      </w:r>
      <w:r>
        <w:rPr>
          <w:rFonts w:hint="eastAsia" w:ascii="宋体" w:hAnsi="宋体" w:eastAsia="宋体" w:cs="宋体"/>
          <w:color w:val="auto"/>
          <w:sz w:val="24"/>
          <w:szCs w:val="24"/>
        </w:rPr>
        <w:t>一线品牌原装出厂设备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非编工作站因为需要编解码、图形渲染、特技等，要求使用新一代的CPU+GPU编辑技术以保障计算性能，GPU要求配置专业图形显卡。CPU除了要求一定的线程数量，同时对主频要求也比较高，</w:t>
      </w:r>
      <w:r>
        <w:rPr>
          <w:rFonts w:hint="eastAsia" w:ascii="宋体" w:hAnsi="宋体" w:cs="宋体"/>
          <w:color w:val="auto"/>
          <w:sz w:val="24"/>
          <w:szCs w:val="24"/>
          <w:lang w:val="en-US" w:eastAsia="zh-CN"/>
        </w:rPr>
        <w:t>要求</w:t>
      </w:r>
      <w:r>
        <w:rPr>
          <w:rFonts w:hint="eastAsia" w:ascii="宋体" w:hAnsi="宋体" w:eastAsia="宋体" w:cs="宋体"/>
          <w:i w:val="0"/>
          <w:iCs w:val="0"/>
          <w:color w:val="auto"/>
          <w:kern w:val="0"/>
          <w:sz w:val="24"/>
          <w:szCs w:val="24"/>
          <w:u w:val="none"/>
          <w:lang w:val="en-US" w:eastAsia="zh-CN"/>
        </w:rPr>
        <w:t>专业图形工作站</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2.CPU：INTEL Xeon  4210R 2.4GHz（十核）×2 </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3.内存：64GB 内存 </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4.系统硬盘：1TBG SSD全固态</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5.数据硬盘：4TB SATA ×2，RAID0；</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6.其它：集成声卡、集成千兆网卡、DVD-ROM、标准键盘、鼠标</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7.电源：1125瓦</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8.显卡：Nvidia 8GB 高性能PCI-E显卡</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9.万兆网卡：10Gb单口光纤服务器网卡，含1个SFP+多模模块万兆单口光纤以太网卡，多模LC接口。拥有高速缓存访问功能，可有效缩短应用程序响应时间。含1个多模SFP+模块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10.配件：监听音箱</w:t>
      </w:r>
    </w:p>
    <w:p>
      <w:pPr>
        <w:spacing w:line="360" w:lineRule="auto"/>
        <w:ind w:firstLine="480" w:firstLineChars="200"/>
        <w:rPr>
          <w:rFonts w:hint="eastAsia" w:ascii="宋体" w:hAnsi="宋体" w:eastAsia="宋体" w:cs="宋体"/>
          <w:i w:val="0"/>
          <w:iCs w:val="0"/>
          <w:color w:val="0000FF"/>
          <w:kern w:val="0"/>
          <w:sz w:val="24"/>
          <w:szCs w:val="24"/>
          <w:u w:val="none"/>
          <w:lang w:val="en-US" w:eastAsia="zh-CN"/>
        </w:rPr>
      </w:pPr>
      <w:r>
        <w:rPr>
          <w:rFonts w:hint="eastAsia" w:ascii="宋体" w:hAnsi="宋体" w:eastAsia="宋体" w:cs="宋体"/>
          <w:i w:val="0"/>
          <w:iCs w:val="0"/>
          <w:color w:val="0000FF"/>
          <w:kern w:val="0"/>
          <w:sz w:val="24"/>
          <w:szCs w:val="24"/>
          <w:u w:val="none"/>
          <w:lang w:val="en-US" w:eastAsia="zh-CN"/>
        </w:rPr>
        <w:t>11.加密狗：配专业接口线缆和专业节目编辑软件套装</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12.显示器：32"宽屏液晶显示器 ×1</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13.Microsoft Windows 10 Pro 64位</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14.融合媒体生产业务系统MCH数据库中间件客户端软件授权License</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★15.融合媒体生产业务系统内容扫描客户端软件、提供通过私有云、内网专线传输等外部系统内容的接入，实现文件分析、入库对接、隔离防护以及数据库缓存的目的授权模块.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数据服务器平台系统：操作系统：CentOS 64bit版，基RedHat Linux企业版的完全开放版本，高安全性、高稳定性，支持虚拟化Docker</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驳原有系统共用存储空间管理，保持原系统架构不变，融合媒体平台分布式计算服务软件包，提供各种计算任务的服务，完全对称的分布式计算架构。包括：分布式检索引擎、智能处理引擎、分布式工作流引擎、业务组件执行器、媒体处理引擎</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MCH数据接口服务器 ：融合媒体平台数据接口服务软件包。提供各种数据、业务访问的API接口，包含业务API、业务数据访问API以及通用数据访问API。</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在现有硬件基础上进行软件升级，加固定制文件化送播数据库接口软件，能满足维汉语新闻节目和素材库的访问到播出。</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16.4K-UHD高清非编软件</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17.4K-UHD上下载软件模块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18.4K-UHD文件介质上下载软件模块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19.4K-UHD字幕编辑软件模块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20.4K-UHD实时上下变换软件模块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21.4K-UHD专业图像特技软件模块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22.4K-UHD专业字幕特技软件模块</w:t>
      </w:r>
    </w:p>
    <w:p>
      <w:pPr>
        <w:spacing w:line="360" w:lineRule="auto"/>
        <w:ind w:firstLine="480" w:firstLineChars="200"/>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23.4K-UHD节目审查软件模块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★要求：该扩容的非编工作站必须和台里现有制作网系统及媒资和硬盘播出系统无缝兼容，能实现工程文件级的互联互通及交互共享，提供投标的软件著作权证书（复印件加盖原厂公章）</w:t>
      </w:r>
      <w:r>
        <w:rPr>
          <w:rFonts w:hint="eastAsia" w:ascii="宋体" w:hAnsi="宋体" w:eastAsia="宋体" w:cs="宋体"/>
          <w:color w:val="auto"/>
          <w:sz w:val="24"/>
          <w:szCs w:val="24"/>
        </w:rPr>
        <w:t>素材，要求网络设备考虑冗余机制，兼顾后续非编扩容或者系统升级。非线性编辑系统支持常用的广电高清格式，支持标清码率编辑、低码率编辑，各种高标清格式混编，为视频编辑提供多种特技效果，提供字幕编辑。</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widowControl/>
        <w:tabs>
          <w:tab w:val="left" w:pos="720"/>
        </w:tabs>
        <w:spacing w:line="360" w:lineRule="auto"/>
        <w:jc w:val="center"/>
        <w:outlineLvl w:val="1"/>
        <w:rPr>
          <w:rFonts w:hint="eastAsia" w:ascii="宋体" w:hAnsi="宋体" w:eastAsia="宋体" w:cs="宋体"/>
          <w:b/>
          <w:snapToGrid w:val="0"/>
          <w:color w:val="auto"/>
          <w:kern w:val="0"/>
          <w:sz w:val="24"/>
          <w:szCs w:val="24"/>
          <w:lang w:val="en-US" w:eastAsia="zh-CN"/>
        </w:rPr>
      </w:pPr>
      <w:bookmarkStart w:id="475" w:name="_Toc26123"/>
      <w:r>
        <w:rPr>
          <w:rFonts w:hint="eastAsia" w:ascii="宋体" w:hAnsi="宋体" w:eastAsia="宋体" w:cs="宋体"/>
          <w:b/>
          <w:snapToGrid w:val="0"/>
          <w:color w:val="auto"/>
          <w:kern w:val="0"/>
          <w:sz w:val="24"/>
          <w:szCs w:val="24"/>
          <w:lang w:val="en-US" w:eastAsia="zh-CN"/>
        </w:rPr>
        <w:t>详细设备需求配置表</w:t>
      </w:r>
      <w:bookmarkEnd w:id="475"/>
    </w:p>
    <w:tbl>
      <w:tblPr>
        <w:tblStyle w:val="27"/>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146"/>
        <w:gridCol w:w="6323"/>
        <w:gridCol w:w="526"/>
        <w:gridCol w:w="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名称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招标参数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第一部分 广播电视融媒体演播室系统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一、300平米4讯道(2讯道 利旧)高清演播室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1.摄像机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4"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★高清讯道摄像机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1.2/3英寸3CMOS高清，每片成像器有效像素数1920x1080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2.★配备全域快门，消除果冻效应和闪光带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3.★标准配置拍摄格式：1080/50i&amp;1080/60i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4.★灵敏度不低于F13（HD@50i&amp;50P）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5.★基础信噪比不低于-62dB，(HD@50i&amp;50P)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6.水平清晰度：1000TVL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7.调制深度55%(HD@50P，27Mhz/1080i)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8.机头具有一路卡农通话耳机接口，具有两个独立的通话线路并可独立调整ENG/PROD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9.★机头具有光学ND滤镜，手动控制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10.机头可输出本机信号\返送信号\题词器信号（HDSDI）三种信号选择两个同时输出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11.机头具有不少于5个功能指派键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12.采用光纤传输，Lemo或者Tajimi接口, 最大传输距离可达2公里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13.具有自动镜头失真补偿、光学补偿等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14.摄像机具有HD提词器信号传输的能力，即由基站至机头传输一路高清HD-SDI信号的能力（HD提词器功能与HD TRUNK不能同时使用）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15.摄像机具有HD TRUNK信号传输的能力，即由摄像机至基站传输一路高清HD-SDI信号的能力（HD提词器功能与HD TRUNK不能同时使用，ZS）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16.★摄像机机头配备2个SDI接口，可以输出本机，返送信号，HD提词器信号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17.支持HDR流程，可以拍摄HD HDR格式，SLOG3_Live，HLG，HLG_LIVE。不支持4K格式（选件）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18.可以同时输出HD-HDR和HD-SDR的图像。并进行增益差、黑电平偏移、HDR拐点等设置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19.摄像机机头输出12V直流电，2.5A电流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20.通过软件升级，实现1080/50/60P拍摄。支持HD-HDR拍摄</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21.通过软件升级，实现1080/25/30P拍摄</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★摄像机控制单元</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1.1.5U高，全机架基站。可以输出HD基带信号。支持HDSDI、3GSDI返送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2.与摄像机采用SMPTE光纤连接，供电距离2000米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3.4*3G SDI输出 两组，即8个3GSDI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4.提供4路返送信号，其中数字返送4个，支持HDSDI、3GSDI。其中一路可以支持VBS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5.基站前面板可显示摄像机的光缆传输状态以及风扇，同步信号等的状态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6.配备8个HD-SDI接口。支持3G&amp;1.5G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7.支持HD提词器信号输入、支持HD TRUNK输出。非同时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8.通过选件支持ST2110标准的IP信号，双口主备。10G光模块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9.配备数字音频AES接口x1，模拟音频卡侬接口x2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10.Web网页访问菜单，设置菜单，软件升级</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11.CCU支持IP TALLY。UMD IP TALLY，ZS</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★彩色寻像器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提供EFP型摄像机用彩色寻像器、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1、7英寸（或以上）宽屏，彩色，带遮光罩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2、分辨率不低于1920 X 1080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2、清晰度 &gt;800电视线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3、具有TALLY指示灯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4、与摄像机品牌相同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摄像机遥控面板</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配置多功能摄像机遥控面板，必须带液晶触摸屏，遥控面板采用推杆式光圈控制方式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摄像机控制线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摄像机控制线，长度10米，连接摄像机遥控面板和摄像机控制单元</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单耳耳麦</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单耳耳麦，降噪动圈式麦克风，头部两侧位置可调，麦克风频率响应针对语音清晰度进行了优化，耳机全缓冲盖，可调节的软垫头带，佩戴舒适，中等重量、中等耳机隔离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摄像机托板</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摄像机托板，适配光纤彩色摄像机，用于三脚架安装适配使用。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摄像机光纤电缆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LEMO接口摄像机光缆，外径≥9.2mm光电复合光缆，配套摄像机使用，长度50米</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传输性能:(光纤:1310mm传输损耗:L≥1㎞ 0.5dB/㎞以下,0.2≤L≤1㎞ 0.375*L+0.125dB以下;L&lt;0.2㎞,0.2dB以下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光缆拔插工具</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光缆拔插工具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光纤清洁工具</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光缆一键式清洁工具</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2.摄像机承托系统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三脚架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18KG铝合金三脚架套装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最大承重 : 18 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俯仰阻尼 : 1-8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水平阻尼 : 1-8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动态平衡 : 1-8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动态平衡分档钮 : 一档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球碗直径 : 100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自身重量 : 7.87 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俯仰角度 : +87° / -55°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水平仪 : 配备LED夜间使用灯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脚架材质 : 铝合金</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脚架级数 : 2级3节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★虚拟跟踪摄像摇臂机器人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 所投产品是以实现演播室节目录制无人化和自动化为目标的机电设备，是一款高度智能机器人摄像摇臂系统，。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数字电控系统，抗干扰，更稳定。可兼容佳能或富士能全伺服镜头，直接采集读取镜头内置数据。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 安全保障，预设安全摇移角度界限及速度监测制动触发系统。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★摇臂总长度3.40m，前端臂长2.41m，臂身水平状态高度1.41m，镜头最大高度2.60m， 臂身俯仰最大角度+50°至-50°。臂身八角型设计，采用轻量化高强度航空铝材质，三点式连接更稳定，臂身上方设计 U 型线槽沉线，隐藏式传感器安装，布线简单，整体外观简洁。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 ★L型两轴虚拟跟踪云台，采用CNC精密机械加工。内置大力矩电机，精密减速机，高精度传感器，实时捕捉云台状态信息。云台承重30kg，可安装专业提词器，云台转速0.01-60°/s，运行速度噪声小于20dB，能满足演播室声学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 内置插线面板，云台节内嵌多功能插线面板，可连接云台及镜头需要的功能插线。多功能接口，可连接AI人体识别跟拍模块，满足演播室多种录制需求。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 U型回转机构（专利设计），采用CNC精密机械加工。回转俯仰及水平锁可调整设备为手动、遥控或自动控制。可通过解锁联动装置使臂杆与回转脱离自动关系，摄像师直接手动摇移摇臂；也可通过选配手动操控系统升级传统手动（手柄式）拍摄模式，以为自动化系统做手动应急备份处理。回转机构内置人机互动5英寸显示屏，可实时监测运动数据，轨迹，各类参数信息，及时排查异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VR/AR/XR虚拟跟踪，高精度内置虚拟跟踪模块，臂身跟踪分辨率1，120，000 /360°，云台跟踪分辨率2，700，000 /360°，镜头跟踪分辨率8，192/360°，臂身跟踪精度±0.00089 °，云台跟踪精度±0.00074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 配备两点快速定位功能；采用绝对式光电编码器，可在任意位置开关机。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 ★遥控面板（远程遥控拍摄模式/程序化自动拍摄模式）工控面板体系，性能稳定；触屏及物理按键组合式面板，操作反馈直接；远程对臂身、云台、镜头、速度进行控制及预设轨迹；对多点轨迹可形成单点运动，单次连续运动及循环连续曲线运动三种摇移模式；操纵杆顶键极低速微调功能；任一时间点自动和手动控制切换；可设置8档节目，各节目20个机位存储点；AI人体识别跟拍启动键；VR及各数据实时设置和曲线状态监控；紧急制动；可配合同品牌其他录制机位以形成单一面板集成化控制多机位拍摄（1-3机位），各机位在独立的预设程序内运行，形成无人化自动演播室录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 支持串口RS-422和以太网通信协议，虚拟跟踪数据采用Free-d协议输出，支持国内外各厂家虚拟现实系统。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 支撑底盘，铝制方形底盘车，可转向四轮，钢制丝杠支撑结构保证硬性支撑，提高画面运动稳定性。长度1.20m，宽度1.20m。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 摇臂数字综合电缆及附件，摇臂钢缆及附件。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 长桶型增强尼龙携带箱（带脚轮），铝合金携带箱。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 包胶配重60KG。</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 ★智能拍摄模块：人体识别跟拍系统，基于图像识别的人工智能跟踪拍摄系统，主持人可任意行走，云台即可对其进行实时自动跟踪拍摄。大幅降低摄像师操作难度，设置简便，即插即用模块化升级部件。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3.镜头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★广播级便携式标准镜头</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1）★变焦倍率22倍，2倍率；内置液晶数字信息显示屏和数字编码器 标准B4卡口；全伺服控制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2）★焦距优于或等于：7.6～168mm(1X)；15.2～336mm(2X)；</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3）最小物距：0.8 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最大口径比(mm): 1:1.8（7.6～116.3）</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5) 标配虚拟数字输出接口，三个接口均支持聚焦，变焦互换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UV镜</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需要与镜头厂家一致 口径要求105mm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★广播级便携广角镜头</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1）★变焦倍率10倍，2倍率；内置液晶数字信息显示屏和数字编码器 标准B4卡口；全伺服控制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2）★焦距优于或等于：4.5～45mm(1X)；9～90mm(2X)；</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3）最小物距：0.3 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最大口径比(mm): 1:1.8（4.5～34.5）</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5) 标配虚拟数字输出接口，三个接口均支持聚焦，变焦互换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伺服</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全伺服控制器 控制镜头变焦以及聚焦需要与镜头品牌一致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4.数字视频切换台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★高标清切换台主机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包含高标清切换台主机1台、1M/E控制面板1台、控制平板电脑1台。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切换台主机要求如下：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1．主机机箱不大于4RU，采用CPU/FPGA/GPU混合架构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2．支持不少于24路3G-SDI输入，12路3G-SDI输出，可以通过I/O卡扩展至48路3G-SDI输入，24路3G-SDI输出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3．★可支持1080i/P:50,59.94 等信号格式，可升级到4K 2SI，升级后支持12G-SDI, 兼容4*3G的4K信号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4．★高清模式下支持不少于16个全功能键，每个全功能键均含2.5D DME特效。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5．输入支持：格式转化 / 帧同步 / 色彩矫正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6．输出支持：格式转化 / 色彩矫正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7．标配掉电非易失SSD帧存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可以通过升级支持Clip播放器，高清模式下有四个通道，4K模式下有两个通道。每个视频文件（高清/4K）的播放长度不低于60分钟，并可存储数小时。支持广泛使用的MOV或MP4格式的AVC编解码文件。计算机或平板电脑上的媒体文件，可直接从菜单显示中导入内置硬盘中。</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控制面板要求如下：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1.不少于16个直切键的控制面板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★Web菜单面板：通过有线/无线Wifi，使得平板电脑访问切换台菜单，允许用户快速访问所需的菜单。最多同时可打开16个菜单页面。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3.每级独立M/E行、功能模块等，具有独立的CPU, 单一模块失效，完全不影响其它模块的正常工作。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4.控制面板每个M/E行、模块、菜单面板均支持PoE+供电和DC直流供电, 具有更高灵活性和安全性。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5.源名显示支持4行16个字符OLED显示, 可显示双重源名, 具有独立彩色提示灯和彩色交叉点双重提示, 彩色交叉点按键，可支持8种颜色设定, 支持源名分组。</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6.支持控制面板交叉点的源名分配表不少于15个，可随时调用不同的源名显示。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★视频矩阵主机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3G-SDI信号切换器，带均衡，时钟恢复，双电源，提供不少于32路数字输入接口、32路数字输出接口、1个外锁相接口、2个RS23控制接口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最大支持完全独立的32条母线对数字信号的输出切换，内部20bit处理，一体化结构外置冗余适配器电源，安全可靠高质量、高稳定性，确保播出切换的安全可靠</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采用信号处理主机与控制面板分离结构，可方便灵活的实现远程控制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矩阵面板</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2U尺寸，配有64个按键，4个功能键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面板通过网线POE方式进行供电无需外部供电，安装简易。</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通信控制方式采用RS232与RS422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6.字幕、虚拟系统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字幕机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利旧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显示器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24寸显示器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FHD 75Hz 低蓝光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支持不少于178°视角，3000：1高对比度</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支持不少于1个 HDMI接口和1个VGA接口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7.监视系统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商用监视器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屏幕对角线尺寸：55"；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★分辨率：3840×2160；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视角上下左右均达到178°；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亮度620cd/㎡；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对比度6000:1；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动态对比度55000；1；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★兼容HDR兼容，包括HDR10、HLG、Dolby Vision；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支持4096 x 2160p (24,50,60Hz), 3840 x 2160p (24,25,30,50,60Hz), 1080p (30,50,60,100,120Hz), 1080/24p, 1080i (50,60Hz), 720p (30,50,60Hz), 720/24p, 576p, 480p；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响应时间不超过8毫秒；</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不少于4路HDMI接口；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17英寸监视器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17.3寸液晶监视器：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屏幕尺寸：17.3”，16：9屏幕， 分辨率：1920×1080， 色彩：16.2M，视角：178°H×178°V，背光：WLED；2路3G/HD/SD-SDI视频输入，1路环通输出，1路复合信号输入，1路HDMI输入，兼容DVI-D，HDMI Type-A连接器，1路模拟立体声音频输入，1路模拟立体声音频输出，内置扬声器及耳机插孔，RS485输入带环通输出，1路USB端口；支持面板的自动色彩校正功能；多种色温调整（D93、D65、D56），支持波形、矢量图显示，16通道音频表显示(VU &amp; PPM)；支持时码显示（LTC、VITC、D-VITC），支持HDMI信号嵌入音频解嵌，支持IMD功能和三色TALLY显示；支持Scan，Native，Aspect Ratio，Marker，Blue Only。</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多画面处理器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支持4路SD/HD/3G-SDI自适应输入，第1路同时支持CVBS自适应，支持1路HDMI输入，支持2声道模拟音频输入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支持1路HDMI多画面输出，支持1920×1080或3840×2160分辨率显示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支持1路HD/3G-SDI多画面输出，内容与HDMI输出相同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支持2声道模拟监听音频输出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支持10个GPI/O，1个以太网口，2个RS-422串口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支持多种显示元素，支持TSL4.0协议，支持NTP自动授时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支持对视音频信号和设备错误进行报警，支持日志记录</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冗余电源（DC 12V），机箱1RU高，1/3RU宽，可3个一组上机架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商用监视器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屏幕对角线尺寸：55"；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★分辨率：3840×2160；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视角上下左右均达到178°；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亮度620cd/㎡；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对比度6000:1；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动态对比度55000；1；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★兼容HDR兼容，包括HDR10、HLG、Dolby Vision；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支持4096 x 2160p (24,50,60Hz), 3840 x 2160p (24,25,30,50,60Hz), 1080p (30,50,60,100,120Hz), 1080/24p, 1080i (50,60Hz), 720p (30,50,60Hz), 720/24p, 576p, 480p；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响应时间不超过8毫秒；</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不少于4路HDMI接口；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电视支架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8.通话系统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通话主站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设备工作在400-470MHz频段，设备支持DFH自动跳频功能，可自动避开干扰信道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设备采用GFSK调制模式，同一个场地可支持8套无线语音通话同时使用，互不干扰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设备接收灵敏度-107dBm,可视条件下，实现稳定传输1500米以上高质量全双工语音通话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设备支持8K音频采样率16bits精度，音频失真度小于2%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一个无线主机同时支持10路全双工语音通话，包括8路无线子机，1路主机，1路外接音频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主机支持分组通话，在同频道内实现任意分组，主机可选择其中一组或几组通话，实现部门联合，提高沟通效率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设备采用专业DSP音频处理芯片，可实现11路音频混音与降噪功能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无线主机最大功耗6W，无线子机最大功耗40mW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无线主机支持110-240V的AC电源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无线主机具备TALLY 信号输入接口，支持各种导播台的TALLY信号输入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无线主机具备MUTE功能，可关闭主机麦克风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无线主机具备配对按钮，可实现无线主机与无线子机的32位通信密码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无线主机支持3芯XLR接口鹅颈麦，4芯XLR接口专业通话耳机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无线主机具备AUDIO IN、AUDIO OUT 4线音频接口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无线主机标配吸盘式延伸天线，实现主机与天线分离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无线子机可实现快速回连</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无线子机采用CNC金属外壳，坚固耐用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无线子机采用单天线设计，确保移动使用稳定通话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无线子机专业小卡农六芯耳机接口，防脱拉设计；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无线子机可保持常CALL状态，无需按键即可随时通话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无线子机具备MUTE功能，可关闭子机麦克风，避免环境噪音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无线子机1.4吋LCD显示屏，方便设定频道、背景声抑制、机身编号、组号、场景声等级设置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无线子机编号可连接电脑重置编号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无线子机支持内置锂电池 3.7V容量5000mAh。持续通话时间 8小时以上，待机15天以上</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无线子机具备双色TALLY灯（红，绿），兼容各类导播台TALLY信号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2000米传输距离，亮度十级可调，具有¼接口，支持热靴、绑带多种固定方式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专业单边通话耳机，包耳式设计，有效隔绝环境噪音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通话耳机采用专业降噪麦克风，可实现降低环境噪音功能</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无线通话1拖8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9.同步系统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多格式同步信号</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发生器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1．不大于1RU机箱、19英寸宽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2．冗余式双电源配置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3．前面板有LCD显示单元、功能指示灯和控制按键，便于用户操控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4．具有高精度的基准信号发生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5．提供不少于15路黑场同步(Black Burst)输出，2路标准彩条输出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6．所有信号均可为NTSC/525或PAL/625制式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7．至少一路1KHz立体声音频测试信号输出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10.时钟、Tally系统、提词器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卫星校时钟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初始跟踪时间：在足够的信噪比下，不长于3分钟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定时精度：1μs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SZ码输出57位，串行BCD反码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EBU码输出引脚1、2，平衡式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RS232输出 接口类型：单向输出，3脚数据，5脚地；数据格式：4800bps，8位数据，一个停止位，无奇偶校验，每秒发送一次，共9个字，依次是同步字（16进制AA）、00、年、月、日、星期、时、分、秒。其中年、月、日、星期、时、分、秒为BCD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RS422输出 接口类型：单向输出，3脚正信号，8脚负信号，1脚地；数据格式：同RS232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报时输出接口类型：卡侬座 2、3脚信号，1脚地，前5响800Hz，最后1响1600Hz，整点前5秒开始一秒一报</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天线馈线长度：标配为30米配置满足实际使用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倒计时控制器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由用户自行设置一组或多组事件时间段；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接收外部校时信号，校准为北京时间；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用串行调宽码向各显示屏传送数据，可任意扩展；</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每组倒计结束后，可自动进行下一组的倒计时；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可接受PC机控制和设置存储数据；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人工触发功能：在不能按原来设置进行时，控制器有自动/手动转换功能，可人工触发倒计时；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外部输入校准信号：SZ串行时码或EBU时码；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计算机控制接口：RS232接口，波特率9600bps，1位停止位，无奇偶校验。；</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驱动信号输出：5路，SZ串行时码。</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时码分配器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一路SMPTE/EBU时码输入，转为10路SMPTE/EBU时码输出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输入：时码：EBU时码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阻抗：High-Z平衡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电平：4VP-P±12dB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输入1：时码：十路EBU码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阻抗：300Ω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电平：18VP-P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输入2（有源环通）： 时码：二路EBU码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阻抗：150Ω</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电平：20VP-P</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子钟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3寸标准子钟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子钟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3寸倒计时子钟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子钟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3寸开播子钟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三联倒计时钟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3/4/3三联子钟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专业提词器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1.自带镜像功能，无须用特殊显示器，使用更加方便。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2.控制灵活，可用键盘，手柄控制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3．可双播音员使用，每个播音员可设置不同颜色区别。</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4．支持windows各种系统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5．采用高反光率专业玻璃，清晰度更高，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4．另有双屏液晶功能提词器,一个屏幕对字幕进行操作,另一个屏幕可以实时对返回拍摄结果进行监视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5．可根据要求加无线遥控功能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6．画面平滑，无抖动．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7.无线控制，小巧方便，灵活，不受墙等障碍物阻挡，距离50米．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８. 19英寸16:10宽屏高清专业提词器液晶显示，最新防眩光高亮显示技术，提词器整体结构采用一体化结构设计，最大程度减少提词器对三脚架的压力，结构牢固、精巧轻便、与摄像机随动，拆卸方便。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9、采用滑道接口对提词器重心进行调节，配可调节配重。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10、软件功能: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(1)系统支持windows系统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(2)系统要求字色、底色256色任意搭配，男女播音员可分别选择不同的背景色和字色方便男女播音员选择自己的播音词,字体和字的大小任意选择，可选多种角色，以区分男角女角或更多播音角色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(3)文稿录入、编辑方便，操作简单，自动完成排版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分别采用监视器和高分辨率的彩显，清晰度高，字迹清晰。可台内外联网。可与文稿摄像方式联用，组成二合一型。适用于各电视台演播室的录、直播节目需要。文稿字迹明亮清晰，支持自定义不同角色的字号/字体/颜色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(7)任意设置大小、颜色，一目了然，易于把握节奏；重点语句可通过颜色标明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(8)信息栏、更新时间、演播速度等方便实用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(9)控制方式灵活多样，键盘、鼠标、控制手柄均可，字幕速度变化范围可随意调节，前后跳段翻页方便自如；播音稿的行进速度可由播音员自己通过手柄控制，可单、双人控制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(10)采用多层宽带介质分光膜（硬膜）玻璃，厚度为2mm，光损失率在3%以下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(11)彩色液晶平板显示器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(12)软件解决双屏正像问题，使播音员和技术区操作更方便直观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(13)★MOS协议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(14)★具有按段检索功能，并能实时修改，具有快速翻段搜索功能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(15)具有主备倒换功能（选配）：双机播出内容显示一致，可快速进行切换，直播必备。（功能模块选加，计算机采用工控机或服务器）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（16）通过选装可以支持多种语言显示：中文、韩语、蒙古文、藏语、维语、英文、法文、西班牙语、俄语、阿拉伯语、葡萄牙语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tally控制器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TALLY 控制器，双32 路GPI，双32 路GPO</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11.音频系统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数字音频输入及输出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16路单声道麦克风输入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路线路输入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66 路输入混音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个 ViSi Connect™ 可选卡插槽，用于 64 x 64 路输入/输出扩展</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可自由分配的推子和跳接线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每路总线的每路输入均提供前/后选择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AES 输入和输出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全局模式编码器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每路总线均提供 GEQ</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 路子组/辅助总线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 FX 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路矩阵总线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LR 和 C 混音总线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路立体声 Lexicon 效果引擎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输入和输出均提供延时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个静音组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可自由分配的插入回路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内置哈曼 HiQnet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彩色触摸屏界面</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12路模拟调音台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12通道，最多6个话筒，12个线路输入 (4个单声道 + 4个立体声)，2编组母线 ，1立体声母线，“D-PRE”话放，带有倒向晶体管电路，单声道输入通道上的PAD开关 ，+48V幻象供电，XLR平衡输出，金属机身。</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无线领夹话筒套装</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单通道接收机；60MHz-UHF调谐带宽，特设有三个频段：DE2（470-530 MHz）、EF1（590-650 MHz）和FG1（650-700 MHz）；发射器具有一键切换频点功能，切换到备用频率（在发射机和接收机上同时切换）；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设有频率扫描和红外线同步功能，以及自动静噪功能；发射器和接收器均设有OLED 显示屏；设有天线幻象电源，地线连接开关，输出端子同时备有平衡及非平衡输出；手持式发射器可兼容2个不同的话筒收音头进行替换；在手持发射机和盒式发射机上均设有两种输出功率：高输出 30mW 、低输出 10mW；腰包发射器；盒式发射机可手动切换到备用频率，并且接收机上同时切换；支持红外对频功能；盒式发射器提供金属机体，并可切换10/30 mW射频功率输出高通滤波 ；不低于125Hz, 12dB/octave</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带宽不低于100MHz；频率间隔不大于25kHz；调制方式：FM调频；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电池寿命不低于：高输出 8小时 、低输出 9小时 (碱性电池)</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不低于：高输出 9小时、 低输出 9.5小时 (Ni-MH 充电电池) 清晰的话音质量，提供清晰而准确的收音；适合在演讲、教学、舞台及电视演出等应用；咪头为米黄色(肤色) 型号；超小型的不显眼设计(5mm外径)，适合于需要隐藏话筒的需畏；cH型螺旋式4针连接器，能牢固连接到盒式无线发射机使用。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播音话筒</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声学工作原理: 压力梯度传感器；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 20Hz- -20KHz；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灵敏度:-32db 20 mV/Pa；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指向性：超心形；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负载阻抗: 1500ohm；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灵敏度(CCIR 468- -3) 22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灵敏度(DIN/IEC 651) : 14dB- 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S/N比(CCIR 468-3) : 69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S/N比(DIN/IEC 651) : 78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最大声压级(THD小于0.5%) : 138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供应电压: DC12-48V；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电流: 3.2 mA；</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话筒连接: XLF3F；</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监听耳机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专业监听耳机；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类别：密闭动圈型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单元直径：Ø40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磁体：钕磁铁 / CCAW (铜包铝线) 音圈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频率响应：不劣于15 ~ 22,000Hz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最大输入功率：1,300 mW 于 1kHz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灵敏度：96 dB/mW</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阻抗：47 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有源监听音箱</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类型：双分频有源监听音箱 低音单元：玻璃纤维复合材料 高音单元：丝膜软球顶高音单元  频率响应：35HZ-35KHZ  最大峰值声压：104db  放大器类型：AB类 输出功率：85W（高音35W 低音50W）输入阻抗：10KΩ  电源指示灯：蓝色（有信号状态）红色（长时间静音）输入接口：RCA/TRS/XLR 箱体结构：木质高密度板 导向孔：后向圆形 箱体颜色：黑色 规格：高25cm x宽18.1cm x深度19.9cm 单只净重：3.6kg</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数字音频二选一</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切换开关</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4路数字/模拟2选1切换器（双电源）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可在2组多路平衡XLR输入信号（数字模拟自动识别）中任意选择，实现2选1切换，多路平衡XLR音频信号输出。切换采用数字方式，切换后有缓冲电路；本电路采用场效应管输入的运算放大器，大大减小了切换引起的开关噪音，双电源供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监听二选一开关</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立体声信号选择器，4组平衡立体声输入，切换选择采取数字方式，切换后具有缓冲电路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输出音量可调节，输出采用平衡式，由精品运放组成正反式电压跟随器产生幅值相等、相位相反的平衡信号。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输入灵敏度： ≤+4dB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输入阻抗： ≥10KΩ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输出电平： ≤+4dB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增益： ≤+0dB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电源电压： AC 220V 50-60Hz</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线路分配</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紧凑型 8 通道多功能线路分配器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每通道设有三组输出：一组直通，两组变压器隔离输出。变压器隔离输出设有地线开关，方便解决因地线产生的噪声，开关处于Lift位置表示地线浮空，反之地线接通。</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分配器系统选用广播级坡莫合金音频变压器，可适用高达26dBu的音频信号输入。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话筒分配</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紧凑型 4 通道多功能话筒分配器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每通道设有三组输出：一组直通，两组变压器隔离输出。变压器隔离输出设有地线开关，方便解决因地线产生的噪声，开关处于Lift位置表示地线浮空，反之地线接通。</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分配器系统选用广播级坡莫合金音频变压器，可适用高达26dBu的音频信号输入。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12.视频周边系统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机箱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标准19英寸机架安装，2U高度机箱，12个槽位。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外置冗余电源，提高电源寿命，减少障率，方便系统维护。</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要求适配周边板卡，留有空余，同功能板卡分散机箱配置，冗余电源，要求支持SNMP监控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包括：交流备份电源、网管控制卡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智能温控风扇,机箱内温度达到一定温度时,风扇才启动。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侧进风风道设计，保证安全散热。</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铝合金材质，重量极轻，散热好。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单通道视分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高清视分，支持SD/HD/3G -SDI，1分6</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带均衡，时钟恢复，带掉电直通</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高清视分接口板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双通道视分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高清视分，支持SD/HD/3G -SDI，1分12或双1分6</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带均衡，时钟恢复，带掉电直通</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高清视分接口板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模拟音分1分8,或双1分4，出厂默认1分8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2"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一体化三选一智能应急切换器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三路SDI输入，一路REF输入，五路SDI输出。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支持净切换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支持三路信号，黑场，静帧状态检测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音频响度自动调节，对音频信号动态范围行音频压缩、扩张、限幅控制、噪声门和增益调整。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内置台标发生器，可直接完成台标与背景信号的混叠</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内置帧同步处理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支持两路外键的手动/自动上下键（选配）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内置WEBserver</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支持断电直通功能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支持遥控面板、网络、RS422等多种控制方式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遥控面板POE供电，网线连接，无需单独供电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配遥控面板POE供电，网线连接，无需单独供电</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音频嵌入器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高清模拟嵌入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1路HD信号输入，2路模拟音频输入，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2路HD输出，带时钟恢复输出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音频增益可调</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板卡自带LED指示灯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高清模拟嵌入接口板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★交叉转换器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上/下/交叉/扫描转换器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支持多种视音频信号格式（CVBS,AES/EBU,SDI,VGA,复合视频,模拟音频,HDMI）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支持音视频加嵌解嵌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支持输入信号格式转换后输出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OSD 菜单设置输出视频信号格式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可输出视频彩条信号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支持显示音频电平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 5 英寸 LCD 触摸屏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支持输入信号监测，监测 SDI 信号矢量图，波形图和显示线缆长度的等功能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HDMI转换</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HDMI/SDI交叉转换器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支持HDMI转SDI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支持SDI转HDMI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具有1路SDI输入，1路HDMI输入，1路REF输入，2路模拟音频输入，1路HDMI输出，1路SDI输出，2路模拟音频输出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具有同步输入，支持帧同步功能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支持格式转换，具有DIP开关，可以设置输出信号格式，输出分辨率范围从480i到1080p60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支持画幅比变换控制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支持音频加嵌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支持音频延时调整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支持音频增益调整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便携式转换器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3G/HD-SDI转HDMI转换器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内置2.7英寸LCD液晶屏，液晶屏亮度可调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1路SDI输入，1路SDI环出，1路HDMI输出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支持SDI眼图测量功能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支持格式转换，支持上/下/交叉转换，输出信号分辨率支持480i到1080p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通过DIP开关设置输出信号格式，无需菜单，简单快捷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运行功率不高于3W</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视频跳线盘</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2X28孔1RU SDI数字视频跳线盘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跳线绳</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MINI WECO，视频跳线，1米</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音频跳线盘</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2X48 音频跳线盘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跳线绳</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音频跳线  0.9m</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线材</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线材、接头一批（ADC、百通、Neutrik等）（批）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安装件辅材（批）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桁架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定制吊装桁架、电动葫芦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14.机柜与控制台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电视墙（含底座、装饰、电源盒等），满足4台55寸大屏安装，具体高度尺寸根据现场尺寸确定。采用的钢板厚度不低于1mm.具体款式需由中标方提供样品图供甲方确认。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机柜</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19"标准机柜，机架可安装设备深度，1000mm，接地铜排、绑线排、机柜后门、立式电源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内嵌式控制台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4U内嵌式控制台基本单元（含所有配件1套），采用钢木结构，桌面上具有4U内嵌式机柜，台面下具有不低于4U 19寸机柜，带前后门，钢板厚度不低于1mm. 工位数量满足现场使用需求</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具体款式需由中标方提供样品图供甲方确认。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19"标准机柜安装件1批（含托架、绑线杆、平托板、盲板、滑轨托板等）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设备安装调试</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及培训</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设备安装调试及培训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二、300平米高清演播室灯光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LED聚光灯</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额定功率 215W；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采用标准色温光源，色温  5600 ± 200，显色指数 Ra ≧ 95（连续光谱）；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具有旋钮调焦，发光角度 15-55°；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光通量：8800lm（最散）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光效：40lm/W（最散）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峰值光强：11400 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功率因数：0.98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透镜直径：190mm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具有智能降温系统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失去控制信号后最后场景保持功能，保证直播安全；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无风扇散热；</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有直观的拨号控制旋钮和数码液晶屏，显示 DMX 地址、LED 的运行温度、亮度值、显示模式和控制模式；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灯内置 RDM 模块精确监测灯具整体性能和状态，地址码和运行时间能实时显示，方便保养；</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交错式通风口无杂散光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LED平板柔光灯</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光源：280颗LED均匀排列，额定功率200W；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色温：5600K ±200K，显色指数Ra≧93（连续光谱）；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调光：DMX512信号，亮度调节0 - 100%；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光通量：9900lm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光效：48lm/W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光束角：90°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功率因数：0.98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发光面：450mm*280mm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灯体：灯体采用优质铝型材与金属板材相结合结构，表面喷黑色环氧树脂高压静电粉末，整体结构可任意拼接。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柔光板：德国柔光板，光输出柔和、均匀、无红外线、紫外线、无眩光、不刺眼。</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遮扉：4页遮扉；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模式：“现场模式”保证现场直播时灯光保持常亮，光源不被中断；“安全模式”保护LED 灯远离不寻常过热，自动调节散热管理系统的功能；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场景：最后场景保持功能，失去控制信号后能保持最后状态不变，保证直播安全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显示：有直观的拨号控制旋钮和数码液晶屏，显示DMX 地址、LED 的运行温度、亮度值、显示模式、控制模式、运行时间；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散热：无风扇散热</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选配附件:30°、45°、60°束光网</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恒力铰链吊杆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1.要求升降平稳，无滑落现象，收回时杆部较短。负荷在5－10kg范围可调，采用磨擦片阻尼与回力簧结构，升降范围在500mm－3800mm之间，灯具在吊杆伸缩范围内可停止在任何位置上，无上缩下伸现像，定位准确。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2.恒力铰链吊杆上的电缆与灯具电缆采用接插件方式连接，方便拆卸、调整灯位。</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3.采用阻燃三芯电源电缆，电缆铜芯截面为 ≥1.5 mm²。"</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灯具号码牌</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灯具信号接插件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五芯 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灯具电源接插件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16A 国标 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杆控杆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1.伸长不小于4米；</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2.采用铝合金材质，两节伸缩设计，设锁紧装置确保操作方便安全。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墙面插座箱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1.选用优质钢板(板厚≥1.2mm)制成；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2.箱体配连接支架；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3.箱体配配2套16A三芯接插件（或防尘防溅接插件），1套5芯卡龙头。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数字调光台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1·输入电压：电源：AC90-240V/50-60Hz  ·额定功率：60W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2·采用功能强大的ARM系统：不易档机，不易损坏系统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3·内置一个7寸电容触摸屏，全中文显示，全触摸操作。快捷触屏操控，可触摸屏和键盘同时操作；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4·2个DMX 512输出端口，1024个DMX通道。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5·支持三种灯具类型模式：（电脑灯，LED灯，调光器）可一键快速切换，现场应用。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6·开机即用:无需灯库直接操作, 并内置快速制作灯库功能（有无说明书，现场做灯库）让你可以随时在控台上编灯库；并支持使用R20灯库。（可存储200个灯库）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7·支持手写式命名做标记，内容易记，易找；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8·手绘快速编程与布局灯具;强大的CMY/RGB调色板功能。让你更加便捷。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9·走灯程序有四种运行模式: 循环模式,手动触发模式,音乐触发模式,播放器触发模式；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10·播放器模式下声光同步控制: 该模式可实现控台与MH-Player播放器的音视频文件双向同步控制；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11·音乐触发模式下：外部音频输入声控走灯。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12·控台内置时间码功能，可以很方便编辑灯光秀。</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13·100个走灯程序或场景,同时运行20个场景或程序,最多输出20个图形;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14·气氛程序键可让您即兴输出渲染气氛的程序; 可让你更快速的走灯程序或者场景。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15·200个可编辑分组功能,可实现快速选灯与选属性; 80个可编辑内置素材。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15．内置图形: 有30个可自主编辑图形和20个内置图形;每个图形都会生成4种输出模式(即绘图方向)。内置灯光流水效果程序,可实现流水跑灯效果；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信号</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放大器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电源：AC110V-60Hz / AC220V-50HZ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国际通用的DMX512协议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可支持512个通道数据实时传送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两组1进4出或一组1进8出经电气隔离的信号分配输出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输入XLR-3-M, 输出XLR-3-F</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接口类型：RS-485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输入对输出的电器隔离耐压＞AC300V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尺寸：484*45*140mm   “19”1U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她的每路输出和输入都采用模块式设计，用户可在不用打开机箱的情况下单独更换任何一路输出或输入模块，这样更加方便用户的现场应急维修处理，该特性为现场应用又增加了一层安全保险；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两种工作模式自由切换：单组1路输入8路输出模式和双组1路输入4路输出模式；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 每路输出与输入均有独立的电源供电与光电隔离措施，实现了在电气上的完全隔离；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4）每个模块配有电源与信号指示合一的高亮度蓝光指示灯，随时指示每个模块的工作状态；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5）内部电源采用变压器稳压供电，更耐用，干扰更小；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6）银色金属3芯或5芯卡侬座更结实耐用。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直通柜</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1.直通柜输出12路×2Kw；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2.柜体采用优质钢板(板厚≥1.2mm)加工而成,表面喷塑处理；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3.直通柜设有进线总开关，开关采用知名品牌；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4.符合供电规范；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5.空气开关与演播室直通回路编号相对应；</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6.配底座。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配套机架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阻燃电缆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1.所有电缆采用国内外专用影视阻燃型铜芯电缆，产品通过3C认证；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2.绝缘护套材料选用温度等级为90℃的阻燃热塑性弹性体复合物材料；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3.绝缘线芯识别：0.5mm²以下采用颜色循环标志，1.5 mm²以上采用数字标识，可根据用户要求标识排列；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4.产品抗电强度应通过2500 V，5分钟耐电压试验不击穿；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5.导电率高，导体直流电阻符合国家的相关要求；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6.产品具有良好的散热性和弯曲性，绝缘、护套材料抗老化性能优良；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7.灯光供电回路采用三芯铜芯电缆，演播室电缆线径不小于1.5mm²；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8.DMX512信号线采用影视屏蔽信号线，电缆线径不小于0.3mm²；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9.电缆规格、用量满足特殊照明灯具（含常规灯具及效果灯具并考虑今后灯具的增加）的连接要求。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电缆桥架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1.采用冷轧钢板，表面做热镀锌处理;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2.300mm以下（含300mm）宽的厚度为1.5mm，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100mm以下（含100mm）宽的厚度为1.0mm；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3.抗腐蚀力强,设置接地装置，实际用量与规格满足设计配置。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固定挂灯网架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1.网格规格："田”字型，间距600mm，网架材料采用直径不小于46 mm钢管；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2.演播室固定挂灯网架全部为焊接结构，上表面须在一个平面上。要求总高度差不大于5mm；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3.固定挂灯网架距地面高度为4-5.5米；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4.演播室仅灯光设备要求固定挂灯网架净承重≥80kg/平米；</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5.钢材表面应做黑色防锈处理。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附属材料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所有附属材料满足工程需求。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安装调试</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施工安装调试费用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三、60平米3机位高清演播室1号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1.摄像机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★4K肩扛式摄像机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1.传感器：三片2/3英寸CMOS成像器（含18倍4K标准变焦镜头，焦距：7.6-137mm）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2.视频压缩格式：H.264</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3.支持多种B4卡口的4KHD镜头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4.文件格式：XAVC-13840*2160600MbPs、XAVCL4223840*2160200Mbps和XAVC-L3840*2160150Mbps等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5.文件封装：MXF&amp;OP-1A封装格式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6.文件系统：exFAT、UDF、FAT</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7.帧率：支持50P、60P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8.量化：10比特色度取样：支持4：2：2、4：20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9.色域：支持BT.2020色域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10.高动态范围：支持HLG、Slog3、HLG_Live</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11.音频编码：支持24B1T</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12.记录介质：Sx5卡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13.信噪比：62dB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14.灵敏度：F12(典型)3840*2160/50P或1920*1080/50i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15.有效分辨率：3840（水平）x2160（垂直）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16.内置光学滤波片：1：Clear，2：1/4ND，3：1/16ND，4：1/64ND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17.快门速度（时间）：59.94i/p、50i/p：1/60秒至1/2000秒+ECS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29.97p：1/40秒至1/2000秒+ECS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25p：1/33秒至1/2000秒+ECS23.94p：1/32秒至1/2000秒+ECS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18.快门速度（慢速快门(SLS)）：2、3、4、5、6、7、8、16帧积累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19.慢动作和快动作：1080p：帧率可从1fps至60fps以及72/75/80/90/96/100/110/120fps中选择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20.最低照度：0.019lx（F1.4，+42dB，16帧积累）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21.白平衡：预设(3200K)，内存A，内存B/ATW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22.增益选择：-3，0，3，6，9，12，18，24，30，36，42dB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23.录制格式（视频）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XAVCIntra(XAVC-IQFHD300)：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3840x2160：59.94p、50p、29.97p、25p、23.98p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XAVCIntra(XAVC-IHD100)：1920x1080：59.94p、50p、59.94i、50i、29.97p、25p、23.98p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XAVCLong(XAVC-L422QFHD200)3840x2160：59.94p、50p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XAVCLong(XAVC-L420QFHD150)3840x2160：59.94p、50p、29.97p、25p、23.98p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XAVCLong(XAVC-L422HD50)1920x1080：59.94p、50p、59.94i、50i、29.97p、25p、23.98p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MPEGHD4221920x1080：59.94i、50i、29.97p、25p、23.98p1280x720：59.94p、50p、29.97p、25p、23.98p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MPEGHD4201920x1080：59.94i、50i、29.97p、25p、23.98p1440x1080：59.94i、50i、1280x720：59.94p、50p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24.录制格式（音频）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XAVCIntra(XAVC-IQFHD300)：LPCM：24bit，48kHz，4声道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XAVCIntra(XAVC-IHD100)：LPCM24bit，48kHz，4声道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XAVCLong(XAVC-L422QFHD200)：LPCM24bit，48kHz，4声道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XAVCLong(XAVC-L420QFHD150)：LPCM24bit，48kHz，4声道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XAVCLong(XAVC-L420HD50)：LPCM24bit，48kHz，4声道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MPEGHD422：LPCM24bit，48kHz，4声道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MPEGHD420：LPCM24bit，48kHz，4声道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25.记录格式（Proxy视频）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XAVC代理：AVC/H.264主要类4:2:0LongGOP，VBR1280x720，9Mbps（目标速率）1280x720，6Mbps（目标速率）640x360，3Mbps（目标速率）480x270，1Mbps，500kbps（目标速率）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26.记录格式（Proxy音频）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XAVC代理：AAC-LC，128kbps，2通道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27.同步锁相输入：BNC(x1)，1.0Vp-p，75Ω，不平衡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28.时间码输入：BNC(x1)，0.5V到18Vp-p，10kΩ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29.SDI输入：符合SMPTEST292/ST259标准，4通道音频1.5G素材池录制（最高108059.94i）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30.音频输入：CH1/CH2：XLR型3针（母头）(x2)，线缆/AES/EBU/麦克风+48V可选线路：+4、0、-3dBuAES/EBU：符合AES3麦克风：-70dBu至-30dBu</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31.麦克风输入：XLR型5针，母头：-70dBu至-30dBu</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32.WRR（无线麦克风接收器）：D-sub15针模拟CH1：-40dBu数字CH1/CH2：-40dBFS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33.SDI输出:BNCx212G(QFHD/60p)/3G(HD/60p)/1.5G(HD/i)四声道嵌入式音频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34.视频输出:BNC、SD模拟复合/HD-Y可选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35.音频输出:XLR型5针，母头：+4/0/-3dBu</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36.时间码输出:BNC，1.0Vp-p，50Ω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37.频率响应：20Hz至20kHz（±3dB或更小）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38.动态范围：90dB（典型）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39.失真：0.08%或更低（-40dBu输入电平）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40.动态余量：20dB（出厂默认值）（20、18、16、12dB），EBUL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41.内置液晶监视器：彩色LCD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42.屏幕尺寸：8.8厘米（3.5英寸）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43.对角线宽高比：16:9</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44.4K全域快门的三片2/3英寸CMOS摄录一体机，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45.具有12G SDI接口有2路12G SDI,可同时输出一路4K和一路高清HD信号监看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46.支持高清高帧率拍摄支持高清120帧视频拍摄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47.增加新的4K编码格式支持XAVC-L422 10bit 200Mbps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48.更高灵敏度和色彩表现力得益于新的3片分光棱镜的使用,SDR高感模式灵敏度可达到F13,HDR高感模式灵敏度可达到F16。多种矩阵校正可使用16轴色彩空间设置饱和度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49.支持HDR可以选择Slog3. HLG, HLG_Live动态范围超过1300%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50.4K/HD同时记录4K和HD可以选择不同的动态范围进行记录:4K HLG (或SDR)同时HD HLG (或SDR)、4K S-LOG3 同时 HD SDR</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51.高清4G信号回传在4K记录同时,高清4G信号回传(此时视频输出请设置为高清);支持可以使用Dual Link双链路高清流媒体10M信号回传,需要配合使用索尼的无线接收服务器PWS-110RX1A,服务器需安装双链路选件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52.寻像器具备HLG辅助显示功能搭配HDVF-EL20/EL30寻像器时,可以使用HLG辅助显示功能以及增强的辅助聚焦功能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53.支持VPID输出可以把HDR曲线ID嵌入到SDI输出信号中,在搭配使用索尼的监视器BVM-HX310时可以根据VPID正确显示25.SD卡独立记录支持在无SxS卡情况下,在SO卡上独立记录XAVC低码率</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配件：配套寻像器，肩带 (1)冷靴套件 (1)镜头接口盖 (1)USB 无线 LAN 模块 (IFU-WLM3) (1)保护盖  (1)配置摄像机托板，2张128GB存储卡，2块电池1个充电器，三脚架，机头灯，无线麦克风，uv保护镜，便携箱。</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2.数字视频切换系统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★直播一体机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8路3G/HD/SD-SDI输入，每路SDI内嵌8声道音频，前4路支持环出，第4路支持断电直通；1路HDMI输入（和1路SDI为二选一关系），8声道内嵌音频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模拟平衡音频：2声道输入、2声道输出，卡侬接口；AES数字音频：4声道输入，BNC×2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2组线性键输入：第1组和AES音频复用接口，第2组和SDI In 7-8复用接口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1路HDMI节目（PGM）输出；2声道耳机监听输出（3.5mm插座）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SDI输出：1路节目（PGM）输出，最高支持到3G-SDI；2路独立的辅助（Aux）输出，最高支持到3G-SDI（可切换为PGM、Clean PGM、PVW、MV或任意1路输入信号）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8个Tally输出，DB26接口；1路REF输入和输出（环出或独立输出）；1路LTC输入和输出；1个RS-422（RJ45）；1个千兆网口（RJ45）；2个USB接口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内置文件播放：支持2个背景音频文件播放；支持2个DDR视音频一体文件播放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图文、键控、特效：2组外键，可配置为色键、亮键、线性键；6个内键，支持图片或图片串；2个DVE键控（开窗效果）；支持叠化、划像等多种转场特效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内置调音台：16×1通道调音台，支持对内嵌音频、模拟音频、AES音频、DDR文件进行调音、混音，每通道最多8路音轨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信号处理：内嵌帧同步发生器并支持对外输出；支持音频自动延迟；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录制及存储：支持1路高码录制（Mpeg2），支持1路流媒体录制（H.264），本机支持2个热插拔SSD槽位，录制内容可存储到热插拔SSD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推流：支持1路H.264推流发布，可推多个地址</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多画面监看：17英寸专业高清显示屏监看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控制和配置：7英寸触摸屏，支持辅助控制和配置操作；支持通过本机按键、视频特技推杆、音频推子进行视频切换、图文叠加、音频混音等操作</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电源：标配冗余电源（电源1：AC 110-220 V，50-60 Hz；电源2：DC 12V，标配交流转+12V适配器）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★高标清切换台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4K UHD ( 12G 模式或4X3G模式 ) 及高清3G信号格式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要求1级M/E及以上4K 12G视频切换台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12个直切键带源名显示的控制面板（机架式）；带有1M/E的特技推杆，带有LED设置菜单触摸屏；A/B母线按键可根据需要设置不同的颜色；一些特殊按键可定义成多重功能。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输入4K 12G信号路数8路，最大要求支持10路。每一路输入要求均带有幁同步功能；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输出路数至少8路，且带有2路独立的HDMI输出(用于大屏幕显示).；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特有的MELite功能可以使1ME主机最多完成12G 1.5ME功能。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可随意指定AUX母线输出，AUX母线上可叠加键信号或者DVE，完成真正意义上的制作多套节目（Multi-Program）；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4K模式下，每级ME带有2个键通道，均是全功能键，除此以外，还应带有至少1个额外的键可叠加到ME上或AUX母线上，以完成特殊效果和功能的直播要求；（HD模式下，每级ME有8个键控器，4个标准键控器，4个浮动键控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切换台应带有2.5维或3维数字特技功能，标配即可支持1个独立通道的数字特技；最大支持4通道的DVE。</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静幁幁存通道可存储至少400幁以上动态视频图像用于完成CG-wipe等转场特技；</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2通道独立的画中画功能，可同时输出不同组合的分割画面；</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确保直播安全。主机和控制面板均配备主备电源。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视频矩阵</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支持完全独立的32条母线对数字信号的输出切换，内部20bit处理，一体化结构外置冗余适配器电源，安全可靠高质量、高稳定性，确保播出切换的安全可靠</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接口采用自适应处理，可以实现/4K/UltraHD/HD/SD SDI 在一台设备中混插混切的功能，具有极高的适应性。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备所有输入信号的再同步功能，因此可为各路输入信号自动进行重新定时，以确保矩阵各交叉点之间纯净无瑕疵的信号切换。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切换采用场消隐切换处理，确保信号能够无闪烁、静音切换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采用信号处理主机与控制面板分离结构，可方便灵活的实现远程控制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单台主机可以通过内部权限控制系统实现最多3个遥控面板分别控制独立的单挑或多条输出母线，确保播出系统的安全可靠和多用户的操作环境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 通信控制方式采用RS232与RS422，方便可靠、节约系统成本</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机身采用超薄合金材质结构，内部冗余双电源设计，将美观与实用完美的结合</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硬盘录像机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广播级硬盘录机，1U机架式设计；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配有12G-SDI和HDMI 2.0接口，可连接所有SD、HD以及高达2160p60的Ultra HD格式；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SDI视频输入：1；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SDI视频输出：2；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SDI速率：270Mb、1.5G、3G、6G、12G；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HDMI视频输入：HDMI 2.0 A类接口，支持Ultra HD 4K 10bit 60p，采样率4:2:2；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HDMI视频输出：HDMI 2.0 A类接口，支持Ultra HD 4K 10bit 60p，采样率4:2:2；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存储介质：2x2.5英寸硬盘插槽，2xSD卡插槽，支持双卡槽不间断录制；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外部传输：1 x USB-C 3.1 Gen 2扩展端口，支持外接硬盘录制，支持网络摄像头输出；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可以播放ProRes 4444文件，用于专业的Ultra HD填充和键信号；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支持的编解码器：支持ProRes、DNxHD、DNxHR、H.265、H.264。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硬盘</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1TB固态硬盘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3.字幕机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★高清字幕机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支持1路USB3.0输入，一对Key&amp;Fill信号输出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USB连接电脑支持字幕、图像、序列、视频等实时输入，实时输出FILL和KEY信号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内部视频处理 4:2:2 10bit</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配套字幕制作软件，提供各种模板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通过快捷键提示控制CG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滚动CG（速度控制从1到10）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频道切换效果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各种图像格式支持（jpg，gif，png，bmp）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支持顺序（标志动画插入和序列效果的TGA格式文件）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支持影片剪辑（WMV，AVI，MP4）和尺寸裁剪</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工作站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电脑主机(六核i5-11400F 16G 256G+1T 2G独显 三年上门)23.8英寸整机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4.监视系统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电视墙大屏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屏幕对角线尺寸：55"；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★分辨率：3840×2160；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视角上下左右均达到178°；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亮度620cd/㎡；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对比度6000:1；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动态对比度55000；1；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★兼容HDR兼容，包括HDR10、HLG、Dolby Vision；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支持4096 x 2160p (24,50,60Hz), 3840 x 2160p (24,25,30,50,60Hz), 1080p (30,50,60,100,120Hz), 1080/24p, 1080i (50,60Hz), 720p (30,50,60Hz), 720/24p, 576p, 480p；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响应时间不超过8毫秒；</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不少于4路HDMI接口；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17英寸4K监视器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屏幕尺寸：17.3英寸, 屏幕宽高比：16:9, 分辨率：3840×2160, 色深：16.7M，视角：178°H×178°V，亮度400nit，对比度1000:1;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2路 12G-SDI 视频输入与环出 (向下兼容 6G/3G/HD/SD-SDI);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2路 3G/HD/SD-SDI视频输入，2路环通输出；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12G-SDI 单链路 4K SDI 信号最大支持 4096x2160 60p 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SQD 和 2SI 格式 4K 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 HDMI 2.0 输入和 1路 SDI SFP+ 光纤模块接口输入;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支持多种画面显示模式: 4K 模式/四画分模式/高清单画面模式;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四画分模式支持SDI/HDMI 不同格式&amp;频率信号同时混合显示;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四画分模式（边界框线/窗口可选）;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Payload ID 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支持色彩空间和EOTF曲线自动识别, 匹配(REC709/Rec2020);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多种色空间选择 (REC709/EBU/DCI-P3 D65/DCI-P3/REC2020/Bypass);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HDR: PQ (ST2084), HLG (1.0,1.1, 1.2, 1.3, 1.4, 1.5);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支持多种摄像机Log 曲线: SONY S-log1/2/3, ARRI Log-C, Canon C-log1/2/3, Panasonic V-log/log(softroll);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多种 Gamma 选择: Gamma2.0, 2.2, 2.4, 2.6;</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支持4K HDR波形图，矢量图，支持标记/Box控制调节功能;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3D LUT 色彩校正支持 ColourSpace 和 Calman 校色软件;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支持加载用户自定义 3D LUT 表功能(用户1/用户2);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S1-S8 8个可选场景设置;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支持水平镜像，辅助聚焦，伪色彩，斑马纹;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SDR/HDR 对比功能, 暗部细节查看功能;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支持全扫描，过扫描，全蓝/黑白模式;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16通道嵌入式音频表;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静态和动态 UMD/IMD 显示(支持TSL3.1/4.0协议);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607/608 CC 隐藏字幕功能;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按键锁定功能，画面静帧功能;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支持通过USB/网口进行软件升级和导入LUT表;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GPI(四画分模式下窗口可选/添加框线);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铝合金机壳，内置扬声器;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DC 12V 和220V双电源输入;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多画面处理器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支持4路SD/HD/3G-SDI自适应输入，第1路同时支持CVBS自适应，支持1路HDMI输入，支持2声道模拟音频输入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支持1路HDMI多画面输出，支持1920×1080或3840×2160分辨率显示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支持1路HD/3G-SDI多画面输出，内容与HDMI输出相同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支持2声道模拟监听音频输出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支持10个GPI/O，1个以太网口，2个RS-422串口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支持多种显示元素，支持TSL4.0协议，支持NTP自动授时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支持对视音频信号和设备错误进行报警，支持日志记录</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冗余电源（DC 12V），机箱1RU高，1/3RU宽，可3个一组上机架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演播室返送大屏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屏幕对角线尺寸：55"；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★分辨率：3840×2160；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视角上下左右均达到178°；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亮度620cd/㎡；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对比度6000:1；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动态对比度55000；1；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★兼容HDR兼容，包括HDR10、HLG、Dolby Vision；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支持4096 x 2160p (24,50,60Hz), 3840 x 2160p (24,25,30,50,60Hz), 1080p (30,50,60,100,120Hz), 1080/24p, 1080i (50,60Hz), 720p (30,50,60Hz), 720/24p, 576p, 480p；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响应时间不超过8毫秒；</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不少于4路HDMI接口；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SDI转HDMI转换器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电视支架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电视支架</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5.通话系统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通话主站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设备工作在400-470MHz频段，设备支持DFH自动跳频功能，可自动避开干扰信道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设备采用GFSK调制模式，同一个场地可支持8套无线语音通话同时使用，互不干扰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设备接收灵敏度-107dBm,可视条件下，实现稳定传输1500米以上高质量全双工语音通话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设备支持8K音频采样率16bits精度，音频失真度小于2%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一个无线主机最多同时支持10路全双工语音通话，包括4路无线子机，1路主机，1路外接音频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主机支持分组通话，在同频道内实现任意分组，主机可选择其中一组或几组通话，实现部门联合，提高沟通效率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设备采用专业DSP音频处理芯片，可实现11路音频混音与降噪功能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无线主机最大功耗6W，无线子机最大功耗40mW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无线主机支持110-240V的AC电源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无线主机具备TALLY 信号输入接口，支持各种导播台的TALLY信号输入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无线主机具备MUTE功能，可关闭主机麦克风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无线主机具备配对按钮，可实现无线主机与无线子机的32位通信密码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无线主机支持3芯XLR接口鹅颈麦，4芯XLR接口专业通话耳机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无线主机具备AUDIO IN、AUDIO OUT 4线音频接口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无线主机标配吸盘式延伸天线，实现主机与天线分离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无线子机可实现快速回连</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无线子机采用CNC金属外壳，坚固耐用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无线子机采用单天线设计，确保移动使用稳定通话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无线子机专业小卡农六芯耳机接口，防脱拉设计；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无线子机可保持常CALL状态，无需按键即可随时通话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无线子机具备MUTE功能，可关闭子机麦克风，避免环境噪音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无线子机1.4吋LCD显示屏，方便设定频道、背景声抑制、机身编号、组号、场景声等级设置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无线子机编号可连接电脑重置编号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无线子机支持内置锂电池 3.7V容量5000mAh。持续通话时间 8小时以上，待机15天以上</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无线子机具备双色TALLY灯（红，绿），兼容各类导播台TALLY信号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2000米传输距离，亮度十级可调，具有¼接口，支持热靴、绑带多种固定方式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专业单边通话耳机，包耳式设计，有效隔绝环境噪音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通话耳机采用专业降噪麦克风，可实现降低环境噪音功能</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无线通话1拖4, 配置6个无线tally灯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6.同步系统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同步信号发生器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1．不大于1RU机箱、19英寸宽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2．冗余式双电源配置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3．前面板有LCD显示单元、功能指示灯和控制按键，便于用户操控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4．具有高精度的基准信号发生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5．提供不少于15路黑场同步(Black Burst)输出，2路标准彩条输出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6．所有信号均可为NTSC/525或PAL/625制式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7．至少一路1KHz立体声音频测试信号输出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7.时钟、提词器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子钟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3寸标准子钟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专业提词器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1.自带镜像功能，无须用特殊显示器，使用更加方便。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2.控制灵活，可用键盘，手柄控制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3．可双播音员使用，每个播音员可设置不同颜色区别。</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4．支持windows各种系统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5．采用高反光率专业玻璃，清晰度更高，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4．另有双屏液晶功能提词器,一个屏幕对字幕进行操作,另一个屏幕可以实时对返回拍摄结果进行监视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5．可根据要求加无线遥控功能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6．画面平滑，无抖动．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7.无线控制，小巧方便，灵活，不受墙等障碍物阻挡，距离50米．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８.★19英寸16:10宽屏高清专业提词器液晶显示，最新防眩光高亮显示技术，提词器整体结构采用一体化结构设计，最大程度减少提词器对三脚架的压力，结构牢固、精巧轻便、与摄像机随动，拆卸方便。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9、采用滑道接口对提词器重心进行调节，配可调节配重。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10、软件功能: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(1)系统支持windows系统。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(2)系统要求字色、底色256色任意搭配，男女播音员可分别选择不同的背景色和字色方便男女播音员选择自己的播音词,字体和字的大小任意选择，可选多种角色，以区分男角女角或更多播音角色.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(3)文稿录入、编辑方便，操作简单，自动完成排版。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分别采用监视器和高分辨率的彩显，清晰度高，字迹清晰。可台内外联网。可与文稿摄像方式联用，组成二合一型。适用于各电视台演播室的录、直播节目需要。文稿字迹明亮清晰，支持自定义不同角色的字号/字体/颜色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(7)任意设置大小、颜色，一目了然，易于把握节奏；重点语句可通过颜色标明.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(8)信息栏、更新时间、演播速度等方便实用。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(9)控制方式灵活多样，键盘、鼠标、控制手柄均可，字幕速度变化范围可随意调节，前后跳段翻页方便自如；播音稿的行进速度可由播音员自己通过手柄控制，可单、双人控制。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(10)采用多层宽带介质分光膜（硬膜）玻璃，厚度为2mm，光损失率在3%以下.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(11)彩色液晶平板显示器。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(12)★软件解决双屏正像问题，使播音员和技术区操作更方便直观。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(13)★MOS协议。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(14)具有按段检索功能，并能实时修改，具有快速翻段搜索功能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(15)具有主备倒换功能（选配）：双机播出内容显示一致，可快速进行切换，直播必备。（功能模块选加，计算机采用工控机或服务器）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(16)通过选装可以支持多种语言显示：中文、韩语、蒙古文、藏语、维语、英文、法文、西班牙语、俄语、阿拉伯语、葡萄牙语。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8.音频系统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12路模拟调音台</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12通道，最多6个话筒，12个线路输入 (4个单声道 + 4个立体声)，2编组母线 ，1立体声母线，“D-PRE”话放，带有倒向晶体管电路，单声道输入通道上的PAD开关 ，+48V幻象供电，XLR平衡输出，金属机身。</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无线领夹话筒套装</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单通道接收机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60MHz-UHF调谐带宽，特设有三个频段：DE2（470-530 MHz）、EF1（590-650 MHz）和FG1（650-700 MHz）。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发射器具有一键切换频点功能，切换到备用频率（在发射机和接收机上同时切换）。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设有频率扫描和红外线同步功能，以及自动静噪功能。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发射器和接收器均设有O L E D 显示屏。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设有天线幻象电源，地线连接开关，输出端子同时备有平衡及非平衡输出。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手持式发射器可兼容2个不同的话筒收音头进行替换。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在手持发射机和盒式发射机上均设有两种输出功率：高输出 30mW ;低输出 10mW。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腰包发射器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盒式发射机可手动切换到备用频率，并且接收机上同时切换。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支持红外对频功能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盒式发射器提供金属机体，并可切换10/30 mW射频功率输出高通滤波不低于125Hz, 12dB/octave</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带宽不低于100MHz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频率间隔不大于25kHz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调制方式：FM调频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电池寿命不低于：高输出 8小时 ; 低输出 9小时 (碱性电池)</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不低于：高输出 9小时 ; 低输出 9.5小时 (Ni-MH 充电电池) 清晰的话音质量，提供清晰而准确的收音。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适合在演讲、教学、舞台及电视演出等应用。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领夹咪头为米黄色(肤色) 型号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超小型的不显眼设计(5mm外径)，适合于需要隐藏话筒的需畏。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cH型螺旋式4针连接器，能牢固连接到盒式无线发射机使用。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播音话筒</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声学工作原理: 压力梯度传感器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 20Hz- -20KHz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灵敏度:-32db 20 mV/Pa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指向性：超心形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负载阻抗: 1500ohm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灵敏度(CCIR 468- -3) 22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灵敏度(DIN/IEC 651) : 14dB- 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S/N比(CCIR 468-3) : 69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S/N比(DIN/IEC 651) : 78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最大声压级(THD小于0.5%) : 138 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供应电压: DC12-48V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电流: 3.2 mA</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话筒连接: XLF3F</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监听耳机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封闭式监听耳机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类别：密闭动圈型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单元直径：Ø40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磁体：钕磁铁 / CCAW (铜包铝线) 音圈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频率响应：15 ~ 22,000Hz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最大输入功率：1,300 mW 于 1kHz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灵敏度：96 dB/mW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阻抗：47 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重量：220 g (不包含导线及插头)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导线：3.0 m 左边出口</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有源监听音箱</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类型：双分频有源监听音箱 低音单元：玻璃纤维复合材料 高音单元：丝膜软球顶高音单元  频率响应：35HZ-35KHZ  最大峰值声压：104db  放大器类型：AB类 输出功率：85W（高音35W 低音50W）输入阻抗：10KΩ  电源指示灯：蓝色（有信号状态）红色（长时间静音）输入接口：RCA/TRS/XLR 箱体结构：木质高密度板 导向孔：后向圆形 箱体颜色：黑色 规格：高25cm x宽18.1cm x深度19.9cm 单只净重：3.6kg</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9.视频周边系统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机箱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标准19英寸机架安装，2U高度机箱，12个槽位。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外置冗余电源，提高电源寿命，减少障率，方便系统维护。</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要求适配周边板卡，留有空余，同功能板卡分散机箱配置，冗余电源，要求支持SNMP监控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包括：交流备份电源、网管控制卡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智能温控风扇,机箱内温度达到一定温度时,风扇才启动。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侧进风风道设计，保证安全散热。</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铝合金材质，重量极轻，散热好。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单通道视分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高清视分，支持SD/HD/3G -SDI，1分6</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带均衡，时钟恢复，带掉电直通</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高清视分接口板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双通道视分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高清视分，支持SD/HD/3G -SDI，1分12或双1分6</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带均衡，时钟恢复，带掉电直通</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高清视分接口板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音频嵌入器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高清模拟嵌入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1路HD信号输入，2路模拟音频输入，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2路HD输出，带时钟恢复输出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音频增益可调</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板卡自带LED指示灯</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高清模拟嵌入接口板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模拟音分1分8,或双1分4，出厂默认1分8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模拟音分接口板</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★交叉转换器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上/下/交叉/扫描转换器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支持多种视音频信号接口（CVBS,AES/EBU,SDI,VGA,复合视频,模拟音频,HDMI）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支持音视频加嵌解嵌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支持输入信号格式转换后输出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 OSD 菜单设置输出视频信号格式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可输出视频彩条信号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支持显示音频电平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 5 英寸 LCD 触摸屏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支持输入信号监测，监测 SDI 信号矢量图，波形图和显示线缆长度的等功能</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HDMI转换</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HDMI/SDI交叉转换器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支持HDMI转SDI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支持SDI转HDMI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具有1路SDI输入，1路HDMI输入，1路REF输入，2路模拟音频输入，1路HDMI输出，1路SDI输出，2路模拟音频输出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具有同步输入，支持帧同步功能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支持格式转换，具有DIP开关，可以设置输出信号格式，输出分辨率范围从480i到1080p60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支持画幅比变换控制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支持音频加嵌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支持音频延时调整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支持音频增益调整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便携式转换器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3G/HD-SDI转HDMI转换器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内置2.7英寸LCD液晶屏，液晶屏亮度可调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1路SDI输入，1路SDI环出，1路HDMI输出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支持SDI眼图测量功能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支持格式转换，支持上/下/交叉转换，输出信号分辨率支持480i到1080p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通过DIP开关设置输出信号格式，无需菜单，简单快捷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运行功率不高于3W</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线材</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线材、接头一批（ADC、百通、Neutrik等）（批）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安装件辅材（批）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11.机柜与控制台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电视墙壁挂安装</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监看电视壁挂支架及隐藏线槽装饰等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机柜</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19"标准机柜，机架可安装设备深度，1000mm，接地铜排、绑线排、机柜后门、立式电源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★内嵌式控制台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4U内嵌式控制台基本单元（含所有配件1套），采用钢木结构，桌面上具有4U内嵌式机柜，台面下具有不低于4U 19寸机柜，带前后门，钢板厚度不低于1mm. 工位数量满足现场使用需求</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具体款式需由中标方提供样品图供甲方确认。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19"标准机柜安装件1批（含托架、绑线杆、平托板、盲板、滑轨托板等）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 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安装调试</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设备安装调试及培训</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四、60平米3机位高清演播室2号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★高清摄录一体机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肩扛式摄录一体机 专业摄像机 （含16倍镜头）；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★成像器：3片2/3英寸全高清 CMOS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有效像素：1920 (H) x 1080 (V)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镜头卡口：2/3型卡口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光学系统：F1.4 棱镜系统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CC滤镜：有4种不同的色温档位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★ND滤镜(可内置光学滤波片）：1：Clear，2：1/4ND，3：1/16ND，4：1/64ND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镜头色散补偿、校正功能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★可通过选件升级为4K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支持16个区的色彩矩阵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支持预记录8秒以上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支持伽玛曲线8条以上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支持慢动作和快动作功能：1080p帧频从1fps到60fps可调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最低照度优于0.013lux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不少于6个自定义按钮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侧面板液晶屏：彩色液晶屏，分辨率960x540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接口：具备2路SDI 输出和1路SDI输入；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★信噪比：60 dB 以上</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灵敏度：（2000 lx，89.9% 反射率）F13以上（1920 x 1080/50i 模式）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A/D数模转换：14bit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水平分辨率：1,000 电视线或更多（1920 x 1080i 模式）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记录媒体：存储卡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记录卡槽：标准记录卡槽两个或以上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多种视频格式和多种记录码率：高标清兼容、可多种记录格式切换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视频输出：BNC*2（HD\SD SDI)、BNC*1（复合）、HDMI A型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音频输入：CH1\CH2\XLR3\无线插槽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高质量 XAVC Long GOP 格式录制 50p 和 59.94p；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带有 Content Browser Mobile™ 的内置无线模块；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提供同步录制功能，可让人放心制作，在两个 SxS 卡上可实现同步录制；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摄录一体机的右侧内嵌 RJ-45 以太网 100B-T 接口，提供稳健和快速的网络连接；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可使用应用程序通过手机或平板电脑轻松完成 Wi-Fi 设置和操作：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重量约 3.6 kg；</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含摄像机托板，2张128GB存储卡，2块电池1个充电器，一套三脚架，机头灯，无线麦克风，uv保护镜，便携箱</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五、60平米高清演播室灯光（2套）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LED聚光灯</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额定功率 215W；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采用标准色温光源，色温  5600 ± 200，显色指数 Ra ≧ 95（连续光谱）；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具有旋钮调焦，发光角度 15-55°；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光通量：8800lm（最散）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光效：40lm/W（最散）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峰值光强：11400 cd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功率因数：0.98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透镜直径：190mm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具有智能降温系统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失去控制信号后最后场景保持功能，保证直播安全；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无风扇散热；</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有直观的拨号控制旋钮和数码液晶屏，显示 DMX 地址、LED 的运行温度、亮度值、显示模式和控制模式；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灯内置 RDM 模块精确监测灯具整体性能和状态，地址码和运行时间能实时显示，方便保养；</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交错式通风口无杂散光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LED平板柔光灯</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光源：280颗LED均匀排列，额定功率200W；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色温：5600K ±200K，显色指数Ra≧93（连续光谱）；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调光：DMX512信号，亮度调节0 - 100%；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光通量：9900lm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光效：48lm/W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光束角：90°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功率因数：0.98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发光面：450mm*280mm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灯体：灯体采用优质铝型材与金属板材相结合结构，表面喷黑色环氧树脂高压静电粉末，整体结构可任意拼接。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柔光板：德国柔光板，光输出柔和、均匀、无红外线、紫外线、无眩光、不刺眼。</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遮扉：4页遮扉；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模式：“现场模式”保证现场直播时灯光保持常亮，光源不被中断；“安全模式”保护LED 灯远离不寻常过热，自动调节散热管理系统的功能；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场景：最后场景保持功能，失去控制信号后能保持最后状态不变，保证直播安全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显示：有直观的拨号控制旋钮和数码液晶屏，显示DMX 地址、LED 的运行温度、亮度值、显示模式、控制模式、运行时间；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散热：无风扇散热</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选配附件:30°、45°、60°束光网</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恒力铰链吊杆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1.要求升降平稳，无滑落现象，收回时杆部较短。负荷在5－10kg范围可调，采用磨擦片阻尼与回力簧结构，升降范围在500mm－3800mm之间，灯具在吊杆伸缩范围内可停止在任何位置上，无上缩下伸现像，定位准确。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2.恒力铰链吊杆上的电缆与灯具电缆采用接插件方式连接，方便拆卸、调整灯位。</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3.采用阻燃三芯电源电缆，电缆铜芯截面为 ≥1.5 mm²。</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灯具号码牌</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灯具信号接插件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五芯 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灯具电源接插件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16A 国标 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杆控杆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1.伸长不小于4米；</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2.采用铝合金材质，两节伸缩设计，设锁紧装置确保操作方便安全。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墙面插座箱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1.选用优质钢板(板厚≥1.2mm)制成；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2.箱体配连接支架；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3.箱体配配2套16A三芯接插件（或防尘防溅接插件），1套5芯卡龙头。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数字调光台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1·输入电压：电源：AC90-240V/50-60Hz  ·额定功率：60W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2·采用功能强大的ARM系统：不易档机，不易损坏系统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3·内置一个7寸电容触摸屏，全中文显示，全触摸操作。快捷触屏操控，可触摸屏和键盘同时操作；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4·2个DMX 512输出端口，1024个DMX通道。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5·支持三种灯具类型模式：（电脑灯，LED灯，调光器）可一键快速切换，现场应用。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6·开机即用:无需灯库直接操作, 并内置快速制作灯库功能（有无说明书，现场做灯库）让你可以随时在控台上编灯库；并支持使用R20灯库。（可存储200个灯库）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7·支持手写式命名做标记，内容易记，易找；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8·手绘快速编程与布局灯具;强大的CMY/RGB调色板功能。让你更加便捷。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9·走灯程序有四种运行模式: 循环模式,手动触发模式,音乐触发模式,播放器触发模式；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10·播放器模式下声光同步控制: 该模式可实现控台与MH-Player播放器的音视频文件双向同步控制；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11·音乐触发模式下：外部音频输入声控走灯。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12·控台内置时间码功能，可以很方便编辑灯光秀。</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13·100个走灯程序或场景,同时运行20个场景或程序,最多输出20个图形;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14·气氛程序键可让您即兴输出渲染气氛的程序; 可让你更快速的走灯程序或者场景。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15·200个可编辑分组功能,可实现快速选灯与选属性; 80个可编辑内置素材。</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15．内置图形: 有30个可自主编辑图形和20个内置图形;每个图形都会生成4种输出模式(即绘图方向)。内置灯光流水效果程序,可实现流水跑灯效果；</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信号</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放大器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电源：AC110V-60Hz / AC220V-50HZ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国际通用的DMX512协议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可支持512个通道数据实时传送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两组1进4出或一组1进8出经电气隔离的信号分配输出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输入XLR-3-M, 输出XLR-3-F</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接口类型：RS-485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输入对输出的电器隔离耐压＞AC300V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尺寸：484*45*140mm   “19”1U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她的每路输出和输入都采用模块式设计，用户可在不用打开机箱的情况下单独更换任何一路输出或输入模块，这样更加方便用户的现场应急维修处理，该特性为现场应用又增加了一层安全保险；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两种工作模式自由切换：单组1路输入8路输出模式和双组1路输入4路输出模式；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 每路输出与输入均有独立的电源供电与光电隔离措施，实现了在电气上的完全隔离；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4）每个模块配有电源与信号指示合一的高亮度蓝光指示灯，随时指示每个模块的工作状态；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5）内部电源采用变压器稳压供电，更耐用，干扰更小；</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6）银色金属3芯或5芯卡侬座更结实耐用。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直通柜</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1.直通柜输出12路×2Kw；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2.柜体采用优质钢板(板厚≥1.2mm)加工而成,表面喷塑处理；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3.直通柜设有进线总开关，下设≥24路分开关，开关采用知名品牌；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4.符合供电规范；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5.空气开关与演播室直通回路编号相对应；</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6.配底座。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配套机架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满足使用需求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阻燃电缆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1.所有电缆采用国内外专用影视阻燃型铜芯电缆，产品通过3C认证；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2.绝缘护套材料选用温度等级为90℃的阻燃热塑性弹性体复合物材料；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3.绝缘线芯识别：0.5mm²以下采用颜色循环标志，1.5 mm²以上采用数字标识，可根据用户要求标识排列；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4.产品抗电强度应通过2500 V，5分钟耐电压试验不击穿；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5.导电率高，导体直流电阻符合国家的相关要求；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6.产品具有良好的散热性和弯曲性，绝缘、护套材料抗老化性能优良；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7.灯光供电回路采用三芯铜芯电缆，演播室电缆线径不小于1.5mm²；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8.DMX512信号线采用影视屏蔽信号线，电缆线径不小于0.3mm²；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9.电缆规格、用量满足特殊照明灯具（含常规灯具及效果灯具并考虑今后灯具的增加）的连接要求。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电缆桥架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1.采用冷轧钢板，表面做热镀锌处理;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2.300mm以下（含300mm）宽的厚度为1.5mm，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100mm以下（含100mm）宽的厚度为1.0mm；</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3.抗腐蚀力强,设置接地装置，实际用量与规格满足设计配置。</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固定挂灯网架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1.网格规格："田”字型，间距600mm，网架材料采用直径不小于46 mm钢管；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2.演播室固定挂灯网架全部为焊接结构，上表面须在一个平面上。要求总高度差不大于5mm；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3.固定挂灯网架距地面高度为4-5.5米；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4.演播室仅灯光设备要求固定挂灯网架净承重≥80kg/平米；</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5.钢材表面应做黑色防锈处理。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附属材料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所有附属材料满足工程需求。</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施工安装调试费用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施工安装调试费用</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六、演播室大屏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1.300平米演播厅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全彩小间距LED显示屏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屏幕尺寸≥6.6mX2.7m ，总面积≥17.82㎡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像素间距≤1.875mm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 像素密度（点/㎡）≥284444点/㎡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箱体支持X/Y/Z 六向调节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 箱体平整度：≤0.1mm，箱体间缝隙≤0.1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 模组供电：模组采用4.5-5.0VDC 供电，搭配定制3C 电源，具备FPC 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 支持双卡双环路备份，支持双电源备份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电路板设计：采用多层PCB 设计，一体化驱动控制，PCB 表面沉金处理，采用抗消隐设计，无“毛毛虫”“鬼影”跟随现象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 模块级校正：支持模块校正和数据存储及回读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 重量（kg/㎡）：≤25Kg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 自动gamma 矫正技术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 像素失控率≤0.000001，无常亮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 屏体散热:箱体采用压铸铝合金材质，箱体背板为一次性整体压铸成型，全金属自然散热结构，无风扇，波浪形散热片，无孔，防尘设计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 模组安装方式：模组采用磁悬浮安装方式，受结构影响小，平整度有保证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 接插件：模组和驱动之间采用浮动式接插件，具有嵌合纠偏功能，使连接更稳定</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 维护方式：电源、模组、接收卡，HUB 卡全前维护，支持热插拔</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 支持屏体拼缝亮线、暗线校正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 显示亮度600-800nits，支持配套软件0-100%无极调节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 色温可调范围：2000k-10000k可调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 对比度：≥10000:1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 视角：水平视角≥160°，垂直视角≥160°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 刷新频率≥3840HZ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 换帧频率：50&amp;60HZ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 低亮高灰：100%亮度16bit灰度，70%亮度16bit灰度，50%亮度16bit灰度，20%亮度15bit灰度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 模组亮度均匀性≥98%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26. 峰值功耗≤600W/㎡、平均功耗≤200W/㎡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27. NTSC 色域覆盖率≥120%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28. 产品防尘等级满足IP5X 防护等级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29. 盐雾试验：样品放置5%盐溶液，35℃的试验空间48H，样品表面无起泡、裂纹、锈蚀等现象，符合盐雾10 级要求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30. 故障智能自诊断及排查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 消除重影和拖影：LED显示屏正常工作时显示画面无重影和拖影现象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32. 显示效果无失真：LED显示屏正常工作时显示画面无几何失真和非线性失真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33. HDR：搭配HDR系统卡，可实现即高动态范围图像显示屏效果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34. 振动试验：振动频率10-55Hz-10Hz，振动辐度0.35MM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35. 无排线连接：模块与控制卡用硬连接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36.低蓝光辐射限值：辐射持续时间不能少于0.01ms，也不能大于8h，曝辐限值在8h以内，其有效辐射的曝辐限值为30J.m-2；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37.为了保证系统整体的稳定性；处理器、显示屏幕、屏幕控制系统、配电系统必须为同一厂商、同一品牌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控制软件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为提高整体设备的稳定性，处理器、显示屏幕、屏控系统必须为同一厂商、同一品牌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1.可对显示屏开关方式、自动开关屏、分辨率设置、亮度调节进行设置。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2.可实现视频处理器的增加修改删除等操作。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3.可实现PLC配置，包括通讯设置、通道设置、参数设置以及PLC列表等。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4.可以实现对视频源的配置、配置项包括视频源类型，多视频处理器参数，在视频源上截取的有效区域，视频矩阵总体参数以及视频源的增加、删除、 修改、测试等。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5.可实现对场景的编辑、发布、修改、增加、删除。</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6.可实现对预案的编辑、发布、修改、增加、删除。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LED控制器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为提高整体设备的稳定性，处理器、显示屏幕、屏控系统必须为同一厂商、同一品牌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1.最大带载分辨率 2048×1152 或 1920×1200；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2.DVI 视频输出，用于级联或监视；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3.至少满足一路 DVI视频输入；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4.至少满足四个网口输出；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5.主备信号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6.19英寸标准机架式安装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★视频拼接处理器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输入：4路HDMI，4路SDI，1路4K60hz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输出：4路DVI满足大屏点对点显示。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带信号预监功能。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1、输入或输出板卡可在工作状态下进行热插拔操作；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2、输入视频分辨率最大支持3840×2160；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3、可通过客户端软件预览接入的视频图像，并将预览的视频图像通过视频输出接口同步输出显示；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4、可对接入的多路视频进行多窗口显示，窗口大小可调，可进行画面漫游、缩放、叠加、裁剪、局部放大和偏移校正操作，可对视频切换，视频切换时没有明显黑场；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5、两路AC220V电源供电，当其中一个电源模块发生故障时，产品能正常工作；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6、可对输入输出接口的视频分辨率进行设置；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7、可按设定的顺序轮训显示输入的视频图像，并可通过客户端软件设置切换的时间和顺序，对输入的视频图像进行字符叠加操作；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8、可控制不同分辨率的显示屏输出显示，设置不同管理权限的用户，可进行用户添加、删除、权限配置操作；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9、设备电源插头、引入端与外壳裸露金属部件之间，能承受45Hz～65Hz交流电压的抗电强度试验，历时1min无击穿和飞弧现象；</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10、设备电源插头、电源引入端与外壳裸露金属部件之间的绝缘电阻，经相对湿热度为91%～95%，温度为40℃、48h的受潮预处理后，加强绝缘的设备不小于5MΩ。；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接收卡</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1.单卡支持不少于256*256像素点；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2.单卡支持不少于32组RGB信号并行输出；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3.支持 1~1/32扫之间的任意扫描类型，支持 595 等串行译码扫描；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4.支持常规芯片、PWM 芯片等主流 LED 驱动芯片；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5.支持高灰阶高刷新率；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6.支持亮色度逐点校正；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7.支持智能模组，其功能包括存储管理校正系数、灯板信息、模组参数等信息；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8.EMC设计，有效降低电磁辐射。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配电系统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1.不低于20KW的标准配电柜(PLC)；</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2.采用可编程的存储器，用来在内部存储执行逻辑运算、顺序控制、定时、计数和算术运算等操作的指令，并通过数字式或模拟式的输人和输出，控制各种类型的机械或生产过程。功能满足可设置定时开关。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3.提供LED显示屏所需的配电设备，负责配电系统的安装、连接及调试，并根据现场的配电情况合理配置和安放配电设备。</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带PLC远程控制系统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屏体支架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1、安装支架、结构件并安装调试</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2、支架及LED显示屏安装时，严格按照方案实施，并据现场实际情况按照采购方要求进行适当调节，确保合理衔接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2.60平米演播厅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全彩小间距LED显示屏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屏幕尺寸≥5.6mX2.7m ，总面积≥15.12㎡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 像素间距≤1.875mm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 像素密度（点/㎡）≥284444点/㎡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箱体支持X/Y/Z 六向调节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 箱体平整度：≤0.1mm，箱体间缝隙≤0.1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 模组供电：模组采用4.5-5.0VDC 供电，搭配定制3C 电源，具备FPC 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 支持双卡双环路备份，支持双电源备份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电路板设计：采用多层PCB 设计，一体化驱动控制，PCB 表面沉金处理，采用抗消隐设计，无“毛毛虫”“鬼影”跟随现象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 模块级校正：支持模块校正和数据存储及回读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 重量（kg/㎡）：≤25Kg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 自动gamma 矫正技术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 像素失控率≤0.000001，无常亮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 屏体散热:箱体采用压铸铝合金材质，箱体背板为一次性整体压铸成型，全金属自然散热结构，无风扇，波浪形散热片，无孔，防尘设计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 模组安装方式：模组采用磁悬浮安装方式，受结构影响小，平整度有保证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 接插件：模组和驱动之间采用浮动式接插件，具有嵌合纠偏功能，使连接更稳定</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 维护方式：电源、模组、接收卡，HUB 卡全前维护，支持热插拔</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 支持屏体拼缝亮线、暗线校正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 显示亮度600-800nits，支持配套软件0-100%无极调节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 色温可调范围：2000k-10000k可调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 对比度：≥10000:1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 视角：水平视角≥160°，垂直视角≥160°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 刷新频率≥3840HZ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 换帧频率：50&amp;60HZ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 低亮高灰：100%亮度16bit灰度，70%亮度16bit灰度，50%亮度16bit灰度，20%亮度15bit灰度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25. 模组亮度均匀性≥98%</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26. 峰值功耗≤600W/㎡、平均功耗≤200W/㎡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27. NTSC 色域覆盖率≥120%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28. 产品防尘等级满足IP5X 防护等级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29. 盐雾试验：样品放置5%盐溶液，35℃的试验空间48H，样品表面无起泡、裂纹、锈蚀等现象，符合盐雾10 级要求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30. 故障智能自诊断及排查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31. 消除重影和拖影：LED显示屏正常工作时显示画面无重影和拖影现象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32. 显示效果无失真：LED显示屏正常工作时显示画面无几何失真和非线性失真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33. HDR：搭配HDR系统卡，可实现即高动态范围图像显示屏效果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34. 振动试验：振动频率10-55Hz-10Hz，振动辐度0.35MM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35. 无排线连接：模块与控制卡用硬连接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36.低蓝光辐射限值：辐射持续时间不能少于0.01ms，也不能大于8h，曝辐限值在8h以内，其有效辐射的曝辐限值为30J.m-2</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37.为了保证系统整体的稳定性；处理器、显示屏幕、屏幕控制系统、配电系统必须为同一厂商、同一品牌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控制软件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为提高整体设备的稳定性，处理器、显示屏幕、屏控系统必须为同一厂商、同一品牌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1.可对显示屏开关方式、自动开关屏、分辨率设置、亮度调节进行设置。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2.可实现视频处理器的增加修改删除等操作。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3.可实现PLC配置，包括通讯设置、通道设置、参数设置以及PLC列表等。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4.可以实现对视频源的配置、配置项包括视频源类型，多视频处理器参数，在视频源上截取的有效区域，视频矩阵总体参数以及视频源的增加、删除、 修改、测试等。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5.可实现对场景的编辑、发布、修改、增加、删除。</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6.可实现对预案的编辑、发布、修改、增加、删除。</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LED控制器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为提高整体设备的稳定性，处理器、显示屏幕、屏控系统必须为同一厂商、同一品牌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1.最大带载分辨率 2048×1152 或 1920×1200；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2.DVI 视频输出，用于级联或监视；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3.至少满足一路 DVI视频输入；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4.至少满足四个网口输出；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5.主备信号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6.19英寸标准机架式安装</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★视频拼接处理器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输入：4路HDMI，4路SDI，1路4K60hz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输出：4路DVI满足大屏点对点显示。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带信号预监功能。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1、输入或输出板卡可在工作状态下进行热插拔操作；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2、输入视频分辨率最大支持3840×2160；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3、可通过客户端软件预览接入的视频图像，并将预览的视频图像通过视频输出接口同步输出显示；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4、可对接入的多路视频进行多窗口显示，窗口大小可调，可进行画面漫游、缩放、叠加、裁剪、局部放大和偏移校正操作，可对视频切换，视频切换时没有明显黑场；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5、两路AC220V电源供电，当其中一个电源模块发生故障时，产品能正常工作；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6、可对输入输出接口的视频分辨率进行设置；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7、可按设定的顺序轮训显示输入的视频图像，并可通过客户端软件设置切换的时间和顺序，对输入的视频图像进行字符叠加操作；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8、可控制不同分辨率的显示屏输出显示，设置不同管理权限的用户，可进行用户添加、删除、权限配置操作；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9、设备电源插头、引入端与外壳裸露金属部件之间，能承受45Hz～65Hz交流电压的抗电强度试验，历时1min无击穿和飞弧现象；</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10、设备电源插头、电源引入端与外壳裸露金属部件之间的绝缘电阻，经相对湿热度为91%～95%，温度为40℃、48h的受潮预处理后，加强绝缘的设备不小于5MΩ。；</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接收卡</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1.单卡支持不少于256*256像素点；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2.单卡支持不少于32组RGB信号并行输出；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3.支持 1~1/32扫之间的任意扫描类型，支持 595 等串行译码扫描；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4.支持常规芯片、PWM 芯片等主流 LED 驱动芯片；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5.支持高灰阶高刷新率；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6.支持亮色度逐点校正；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7.支持智能模组，其功能包括存储管理校正系数、灯板信息、模组参数等信息；</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8.EMC设计，有效降低电磁辐射。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配电系统</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1.不低于20KW的标准配电柜(PLC)；</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2.采用可编程的存储器，用来在内部存储执行逻辑运算、顺序控制、定时、计数和算术运算等操作的指令，并通过数字式或模拟式的输人和输出，控制各种类型的机械或生产过程。功能满足可设置定时开关。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3.提供LED显示屏所需的配电设备，负责配电系统的安装、连接及调试，并根据现场的配电情况合理配置和安放配电设备。</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带PLC远程控制系统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屏体支架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1、安装支架、结构件并安装调试</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2、支架及LED显示屏安装时，严格按照方案实施，并据现场实际情况按照采购方要求进行适当调节，确保合理衔接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99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合计</w:t>
            </w:r>
          </w:p>
        </w:tc>
        <w:tc>
          <w:tcPr>
            <w:tcW w:w="1023"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名称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主要功能/参数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第二部分 全媒体录音间系统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一、录音间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数字音频输入及输出；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16路单声道麦克风输入；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路线路输入；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66 路输入混音；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个 ViSi Connect™ 可选卡插槽，用于 64 x 64 路输入/输出扩展；</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可自由分配的推子和跳接线；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每路总线的每路输入均提供前/后选择；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AES 输入和输出；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全局模式编码器；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每路总线均提供 GEQ；</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 路子组/辅助总线；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 FX 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路矩阵总线；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LR 和 C 混音总线；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路立体声 Lexicon 效果引擎；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输入和输出均提供延时；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个静音组；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可自由分配的插入回路；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内置哈曼 HiQnet；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彩色触摸屏界面。</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专业大振膜电容话筒；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频率响应：20至20,000Hz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极性模式：心形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阻抗：150Ω (实际140Ω)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灵敏度（在1kHz，开路电压）：-37 dBV/Pa，1帕斯卡=94 dB SPL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最大声压级（1kHz，1%THD）：1000Ω负载：133 dB (147 dB, Pad on)，2500 Ω负载：138 dB (152 dB, Pad on)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信噪比（参考1kHz时94dB声压级）：84.5dB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动态范围（在1kHz）：1000Ω负载：123dB，2500Ω负载：128分贝</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共模抑制（20Hz至20kHz）：&gt; 50dB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削波电平（20Hz-20kHz，1%THD）：1000Ω负载：1 dBV，2500Ω负载：7 dBV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自身噪音（典型，等效声压级，A级加权）：9.5 dB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连接器：三针专业音频（XLR），公头</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三节话筒桌面支架 ，最高可承载1.3KG；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4个外置弹簧；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悬臂紧固旋纽；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上部两节管，下部三节管，增加稳定性；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可用于水平和垂直安装方式；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含5m电缆；</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含底座。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监听耳机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半开放头戴式监听耳机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频率响应：不劣于15Hz-25kHz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产品阻抗：55ohms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灵敏度：不劣于104dB SPL/V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最大输入功率：200mW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电缆长度（m）： 3 &amp; 5</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音频接口类型:立体声插头 – 3.5mm (1/8") 加 6.3 mm (1/4") 螺口式转接器 </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监听音箱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5"两分频全频有源监听音箱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频响范围：不劣于54Hz - 30kHz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高音单元：1" 半球形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低音单元：5“ 锥面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LFHF分频输出功率：70W、45W、25W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LEVEL控制器：（＋4dB/中央感应档位）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EQ：HIGHTRIM开关（HF范围+/-2dB）,ROOM CONTROL（房间控制）开关（500Hz下0/-2/-4dB）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类型：低音反射型</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上网电脑</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处理器：NewCorei7-10700(2.9G/12M/8核)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内存：16G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硬盘：1T(SATA)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支持DVDRW/NO FDD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配备USB抗菌键盘、USB Optical抗菌鼠标、24寸显示器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正版Windows操作系统。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★录制工作站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1、工作站主要配置如下：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处理器：NewCorei7-10700(2.9G/12M/8核)；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内存：8G；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硬盘：1T(SATA)；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支持DVDR、NO FDD；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配备USB抗菌键盘、USB Optical抗菌鼠标、24寸显示器；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搭载正版Windows操作系统；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★2、提供广播级音频卡，参数如下：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支持一对平衡模拟立体声输入，一路平衡的AES/EBU数字立体声输入；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一对平衡模拟立体声输出，一路平衡的AES/EBU数字立体声输出；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具备PCI-E接口；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具备24-bit/192kHz 模数/数模转换器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支持LTC和interboard同步输入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 dBu 最大模拟信号电平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3波段参数EQ和最大化</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★3、配套软件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配备录制软件、编排站软件、管理站软件、广告站软件，提供与台内制播库节目和排单数据互通的文字说明和数据读取的软件截图。</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播出软件要求为自主研发产品，并广泛应用于国家级、省市级及地区电台，具有软著证书。</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录制桌</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根据实际情况定制录制桌，要求为环保材质，含2把椅子</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二、网络直播间（四套）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★数字直播调音台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数字直播调音台，具备以下参数：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★1、专业级网络化数字播出调音台，双电源供电；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2、所有推子输入模块、主控模块、音频接口模块与DSP核心模块可根据应用场合和空间布局要求放置。上述每个模块在投标文件中提供相关技术说明；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★3、控制面为模块化结构，配置16个输入物理马达推子，桌面嵌入式安装；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调音台具备原厂表桥功能；具备原厂多点触控彩色触摸屏表桥，所有的触摸屏显示的内容可被用户自定义，可显示每通道输入电平表、输出电平表、相位表、计时器、均衡和动态调整曲线等，可显示系统内部温度、湿度、取样频率和同步数据监测信息，并具备报警提示。触摸屏上可以自定义功能操作按键。触摸屏操作界面支持中文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每套调音台的输入输出的总数量配置：9路话筒/线路输入，9路立体声耳机输出/模拟线路输出，10路数字AES/EBU输入、8路数字AES/EBU输出、16路平衡模拟线路输入、18路平衡模拟线路输出。支持AES67协议，配置64ch*64chAOIP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调音台内置对讲功能，配置原厂导播对讲单元，用于主持人与导播间双向对讲；对讲单元通过网线方式与调音台DSP进行连接，对讲信号不占用调音台输入输出接口。导播对讲单元可被用户自定义，可作为调音台控制面使用，实现对调音台的操作，监控调音台工作状态、显示电平表、遥控调音台推子等。导播对讲单元操作界面支持中文显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8、调音台支持镜像遥控功能，可通过浏览器对调音台所有的推子、按键、旋钮、触摸屏进行完全的镜像遥控；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9、调音台内无PC、无硬盘；冷启动至有音频信号输出，时间不超过20秒。正常运行状态所有功能无需外接计算机支持；</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★10、投标时提供原厂商或中国区总代理（提供原厂商盖章的总代证明文件）盖章的针对本项目的授权书和原厂质保函。</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数字调音台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数字音频输入及输出；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16路单声道麦克风输入；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路线路输入；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66 路输入混音；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 个 ViSi Connect™ 可选卡插槽，用于 64 x 64 路输入/输出扩展；</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可自由分配的推子和跳接线；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每路总线的每路输入均提供前/后选择；</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AES 输入和输出；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全局模式编码器；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每路总线均提供 GEQ；</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 路子组/辅助总线；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 FX 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 路矩阵总线；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LR 和 C 混音总线；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路立体声 Lexicon 效果引擎；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输入和输出均提供延时；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 个静音组；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可自由分配的插入回路；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内置哈曼 HiQnet；</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彩色触摸屏界面。</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★直播工作站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1、工作站主要配置如下：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处理器：NewCorei7-10700(2.9G/12M/8核)；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内存：8G；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硬盘：1T(SATA)；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支持DVDR、NO FDD；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配备USB抗菌键盘、USB Optical抗菌鼠标、24寸显示器；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搭载正版Windows操作系统；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★2、提供广播级音频卡，参数如下：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支持一对平衡模拟立体声输入，一路平衡的AES/EBU数字立体声输入；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一对平衡模拟立体声输出，一路平衡的AES/EBU数字立体声输出；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具备PCI-E接口；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具备24-bit/192kHz 模数/数模转换器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支持LTC和interboard同步输入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+24 dBu 最大模拟信号电平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3波段参数EQ和最大化</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★3、配套软件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配备自动化播出软件，提供与台内制播库节目和排单数据互通的文字说明和数据读取的软件截图。</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播出软件要求为自主研发产品，并广泛应用于国家级、省市级及地区电台，具有软著证书。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主播话筒</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专业动圈播音话筒（含防震架）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频率响应：45至20,000赫兹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指向性：心形</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阻抗：150 欧姆平衡</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嘉宾话筒</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心形会议话筒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指向性：心形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频率响应：70-16500Hz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阻抗：100ohms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信噪比：66 dB, 1 kHz at 1 Pa</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灵敏度：-37.5dB(13.8mV) re 1V at 1 Pa</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话筒混音器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4通道自动话筒混音器，主要内容如下：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1、快速、无噪音选择话筒，自动根据背景噪音的变化进行调整；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2、激活其他话筒时自动进行增益调整——NOMA（衰减话筒的数量）；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3、锁定最后一个话筒功能可以维持环境噪音；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4、可调节每个通道的低频衰减和高频滤波；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5、通道激活和衰减指示灯；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6、主动平衡话筒电平XLR输入和主动平衡话筒/线路电平XLR输出；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7、带手动电平控制的辅助电平输入；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8、带有电平控制的前面板耳机输出；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9、带有可选阈值和LED指示灯的峰值响应输出限幅器；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10、可连接多达400个话筒；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11、技术规格：</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频率响应：50Hz-20KHz；</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阻抗输入：10kΩ。</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组合支架</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万向伸缩话筒架+显示器支架，可以同时挂2台显示器</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主播监听耳机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半开放头戴式监听耳机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频率响应：不劣于15Hz-25kHz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产品阻抗：55ohms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灵敏度：不劣于104dB SPL/V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最大输入功率：200mW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电缆长度（m）： 3 &amp; 5</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 xml:space="preserve">音频接口类型:立体声插头 – 3.5mm (1/8") 加 6.3 mm (1/4") 螺口式转接器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嘉宾监听耳机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封闭式头戴式监听耳机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频响范围：16Hz-20kHz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产品阻抗：32ohms</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灵敏度：112dB SPL/V</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耳机分配放大器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1U16路输出耳机分配器</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直播间监听音箱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5"两分频全频有源监听音箱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频响范围：不劣于54Hz - 30kHz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高音单元：1" 半球形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低音单元：5“ 锥面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LFHF分频输出功率：70W、45W、25W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LEVEL控制器：（＋4dB/中央感应档位）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EQ：HIGHTRIM开关（HF范围+/-2dB）,ROOM CONTROL（房间控制）开关（500Hz下0/-2/-4dB）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类型：低音反射型</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导播间监听音箱</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5"两分频全频有源监听音箱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频响范围：不劣于54Hz - 30kHz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高音单元：1" 半球形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低音单元：5“ 锥面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LFHF分频输出功率：70W、45W、25W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LEVEL控制器：（＋4dB/中央感应档位）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EQ：HIGHTRIM开关（HF范围+/-2dB）,ROOM CONTROL（房间控制）开关（500Hz下0/-2/-4dB）</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类型：低音反射型</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固态播放机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1、采用1U机架设计，配备LCD显示屏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★2、配备有1 路立体声模拟与1路数字立体声输入输出通道，1路监听输出口，1个网络接口，GPIO接口。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3、不少于3个标准USB接口</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★4、可实现在线编单、离线编单、定时编单以及在线控制等多种操作，录音完成后，可对录音文件进行复制、移动、删除、播放等操作。</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★数字广播延时器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1、1U机架式广播数字音频延时器；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2、高清同步微精延迟模式；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3、最大80秒的延时保护；</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4、USB远程控制；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★5、在延时重建时，按PANIC键可以进行WAV文件播放；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★6、一路24位AES/EBU数字输入输出，可选不同字时钟同步；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★7、一路24位模拟XLR输入输出；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8、用户自定义DUMP长度分割；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9、SNEENE键可以进行瞬间编辑；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10、远程连接，可实现遥控；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11、RS-232输入输出；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12、可编辑的输入输出；</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13、远程选择提供16个双级光隔离输入、16个集电极开路输出</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电话耦合器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提供四路电话接入，采用微电脑芯片及电子开关技术，各路控制相互独立，切入切出操作方便灵活</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上网电脑</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处理器：NewCorei7-10700(2.9G/12M/8核)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内存：16G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硬盘：1T(SATA)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支持DVDRW/NO FDD</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配备USB抗菌键盘、USB Optical抗菌鼠标、24寸显示器</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正版Windows操作系统。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直播桌</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根据客户需求设计直播桌，含2把主持人椅子，4把嘉宾椅子。</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导播桌</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根据客户需求设计导播桌，含2把导播椅子。</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★导播切换台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硬件配置：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视频输入：4路SDI/HD-SDI/3G-SDI输入；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视频输出：1路SDI/HD SDI输出，1路HDMI输出，1路HDMI 2路DP分屏输出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音频输入：1路卡侬（兼容6.5mm）输入，2路3.5mm line in（板卡）输入，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音频输出：1路6.5mm line out 左右声道输出，1路3.5mm line out 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CPU:i7-11700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显卡：丽台P2000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内存：DDR4 8G*2 2666</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硬盘：512G</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支持12路输入通道，可混合SDI/HD-SDI/3G-SDI输入，网络流媒体信号（RTMP、HLS、HDL、UDP、HTTP、MMS），本地图片素材，本地视频素材，本地音频素材输入；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支持PGM信号以及网络流本地录制,支持PGM清流录制和带包装录制，支持MP4、flv、mkv、ts四种不同的封装格式；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支持任意通道录制和音频录制；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支持通过DVI/VGA/HDMI/DP外接显示器做MultiView监视，支持单画面、四分屏、十分屏、十三分屏、十六分屏监视，监视窗口布局与监视内容可调；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支持物理信号输出和网络直播均延时播出，紧急情况能切到安全画面，保证播出安全，延时时间可调，安全画面可选任意通道信号；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每通道VU监视和增益调节，支持dBVU制式，每通道音频可以单独调音和开关，支持锁定一路音频作为输出，支持素材通道独占音频输出，支持音频跟随切换通道；支持各通道音频独立监听；支持左右声道平衡设置，支持单声道转立体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支持32个特技切换，切换时间可实时修改；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支持素材通道切换时的自动播出功能。可设置素材循环播放，列表播放，有效避免人工切换失误，支持素材播放时长的正倒计时切换，播放速率可调，可加速播放和减速播放；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支持推模式与拉模式的高标清流媒体发布，最高支持1920*1080高清H.264+AAC编码的高清流媒体发布，支持100Kbs—30000Kbs多码率、160*120—1920*1080多分辨率、25/50/30/60多帧率流媒体发布设置；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支持硬件编码和软件编码录制设置；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支持CPU、内存、网络使用率、磁盘空间实时监测，支持异常情况报警；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支持简单文本字幕，快速输入或从文本文件导入，一键上/下键；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支持四个角标上键，角标位置可调。支持时钟显示，时钟字体、样式和位置可调，支持多CG页在PGM和PVW自由切换；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支持通道独立音频选择；支持通道独立绑定调音组；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★支持帧同步功能，可将手机移动直播台的推流信号和SRT信号做同步处理，保证通过利用多台手机移动直播台拉入的信号可以同步切换;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★调音编组功能，可以配置多路音频跟随一路视频，或一路音频跟随多路视频，可用于机位不同，为不同画面配备多路音频，也可用于不同场景的多路音频编组;</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直播打点，对接云平台中的拆条功能，导播可以在直播时标记精彩画面，小编可在云端根据标记点快速拆条，支持预设标签和自定义标签，支持快捷键快速标记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★支持对CG页进行编辑，编辑后可实时生效，支持图文实时包装系统CG模板导入，内置CG模板（不低于40套），支持对已载入CG执行复制、粘贴、位置移动、重命名等操作；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支持T杆跟随操作，启用后CG自动跟随T杆和“自动”切换操作进行切换；</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★支持NVI协议推流，实现局域网环境下低延时的直播推流；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支持画中画，提供多种画中画样式，画中画画面大小、位置可调，可对画中画画面进行裁剪，支持提前预设不限数量的画中画样式；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支持接入外置导播键盘；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支持四种不同的系统操作日志记录类型，根据类型的不同，可以对严重系统错误消息、普通系统操作消息、系统警告和错误消息进行有选择性的记录；</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★支持直播数据一体化同步云平台；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支持将操作设置存入配置，方便下次启动程序时调用，支持通道输入内容、DDR的相关设置，通道PGM、PVW状态，输出设置，包装设置、系统设置、调音台设置、画中画设置、转场特效设置存入配置。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支持通用抠蓝、抠绿；支持一键吸色抠像；不限抠像源，支持摄像机、网络流、视频媒体文件、图片文件等蓝绿抠像；通过抠像可将物体从背景中分离出来，被抠像物体边缘连续完整、无杂色。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★支持双机热备，两台设备互为主备，主机异常时，备机能够自动接管主机推流任务，支持手动切换主备角色；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★支持模板市场，在软件界面内可以直接预览模板市场内CG模板效果。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支持直播数据一体化同步云平台；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支持SRT直播，实现对SRT直播类型自动进行预判加载，基于SRT类型直播智能自动进行SRT协议直播推流；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支持SRT caller\listener模式，实现在IP段内SRT设备的监听和状态获取；</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支持设置listener的监听端口、缓冲时间的设置；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支持通道加载SRT信号源，并可以通过SRT源列表知晓设备号、设备状态；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支持自定义通过caller模式添加SRT源；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支持NDI输入、输出，支持对接NDI编码器，支持检测同一局域网内的NDI流，包括vmix、obs、vlc、NDI编码器等，也支持被其他NDI设备检测到；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支持对接云端内容库，一体机端可调用媒资内容库资源；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支持添加超千张图片到素材列表，可设置图片循环播放，列表播放；</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支持实时图文包装系统软件编辑包装；</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★导播切换台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广播级8讯道数字高清导播切换、字幕、虚拟演播室制作、直播发布、录制系统。采用先进的CPU+GPU+FPGA协同运算的硬件架构，提供4路SDI信号输入、4路HDMI输入、2路IP流信号输入（最大可配8路）、2路SDI输出、4路色键器、无限层字幕图文包装共2路、支持Ref信号1路输入；采用17寸液晶便携上翻机箱，方便航空箱运输和携带。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机箱：宝狮机箱/控制面板/400W电源/USB转DB9线/USB加密狗连接线/音频接口/音频线材/3.5寸硬盘支架/航空箱/外包装纸箱。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CPU： Core i7-9700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操作系统：Win10；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内存：8G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显卡：QUADRO P2200；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系统硬盘：  250GB SSD；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素材硬盘：2TB/7200RPM/SATA3；</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HDMI采集卡：M.2 4路HDMI采集卡（含线材）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视频卡：RedBridge6B-AIO-4I2O-DIN V1.2-RH</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视频线： DIN-BNC/20CM-RH；</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鼠标：USB口/黑色/RH；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云套餐：观看流量1TB/云存储100G/年/云转码1套/视频云APP ios和Android不限制个/服务有效期1年。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全能机-服务器版软件。</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高清全景摄像机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传感器:1/2.8英寸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有效像素：207万，16:9</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视频信号：1920*1080P 60/50/30/25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视角：6.3（窄角）72.5（广角）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光圈系数：F1.5-F3.0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视频输出：HDMI SDI RJ45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镜头：5-98mm镜头</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镜头角度：3.2-50.8度视角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同步方式：内同步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光圈：自动/手动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聚焦：自动/手动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数字变倍：10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镜头光学变倍：12倍光学变焦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视频接口：HDMI 3G-SDI LAN</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视频压缩格式：H.264/H.265</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网络协议：RTMP RTSP ONVIF GB/T28181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场景预设：支持</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遥控器：红外遥控</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高清特写摄像头</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300万像素</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视频分辨率1920*1080 FULL HD 1080P；</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视频帧率PAL:1080P25帧；NTSC:1080P30帧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视频接口:1路HD-SDI高清数字接口 ,1路CVBS模拟视频信号；</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镜头可选：2.8-12MM 或 5-50MM</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液晶电视机</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屏幕尺寸：55英寸</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屏幕分辨率：超高清4K</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HDMI接口：4*HDMI</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含液晶电视机移动推车ProPre T80*1</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补光灯</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定制灯光系统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★智能音频切换器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★1U机架式设备,冗余电源；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★模块化设计,支持8路音源的智能切换,无需人工值守；</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★可预设主备音源的8个优先级切换顺序,当主信号故障时,自动切换到下一个正常备用信号；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★支持AES3数字立体声、模拟立体声、内置MP3补乐、AoIP(Dante)网络音频等多种音源混合输入；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★至少支持1路AES3数字立体声输出、1路模拟立体声输出，2路AOIP(Dante)输出，可设置同源输出，断电第1路音源直通输出；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★支持AoIP，所有的输入信号可以加入到网络矩阵，并和其他进入网络矩阵的信号一样，进行统一的电平和相位监测；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★配置冗余网口，采用AoIP(Dante)协议,AoIP网络音频信号和监测信号同网口传输；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音频切换器具有强大的DSP处理功能，可以对每一路输入输出信号进行EQ\压限\混音\电平调节\相位校正\信号发生器\等处理功能；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★总控系统智能控制软件能够通过设备DSP功能，对输出信号的电平和相位进行在线调整；</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★具有按键保护罩，防止误按，提供产品图片；</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★数字音频处理器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广播级专业数字音频处理器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★具备模拟/数字（AES/EBU）信号输⼊输出及调频复合信号输出；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配置LCD显示屏和全时的LED表头可进行设置、调整和编程；具有多组LED电平指标表可以实时显示电平工作状态，LED表头实时显示在使用的处理结构（双频段或五频段）；</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可以对左、右声道信号和复合基带信号提供全面的过冲限幅处理；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内置的、可关闭的MPX功率控制器可以在两种模式下工作；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采用双核DSP芯片技术；</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★具有三个独立的遥控端口-GPI接点闭合控制，RS232串口，以太网端口；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立体声编码器集成⾳频处理可以消除过冲问题；</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★立体声编码器提供两路输出，输出电平可独立控制；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在音频输出之前配置15kHz低通滤波器；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★输入输出接口：1路模拟立体声输入/输出，1路AES/EBU输入/输出；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总系统失真：≤0.01％THD（旁路模式，去加重）20 Hz-15 kHz带宽，抗混叠削波器的采样率为 256 kHz，可以防⽌任何“数字削波”现象；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频率响应（旁通模式）：±0.10 dB，2.0 Hz - 15kHz.标准50μs或75μs预加重；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信噪比：≥90dB未加权（旁路模式，去加重，20 Hz-15 kHz带宽，参考100％调制）；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线性串扰：≤-80dB；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非线性串扰：≤-80dB；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38kHz抑制：≥70dB（参考基准10%调制）；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76kHz与边带抑制：≥80dB（参考基准10%调制）；</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左右信号分离度：&gt;57dB，20Hz-15kHz。</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合计</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名称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主要功能/参数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9018"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第三部分 非线性编辑系统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★高清（新闻）上载/工作站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主机：专业图形工作站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CPU：INTEL Xeon 4210R 2.4GHz（十核）×2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1.内存：64GB 内存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3.系统硬盘：1TB SSD全固态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4.数据硬盘：4TB SATA×2，RAID0.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5.其它：集成声卡、集成千兆网卡、DVD-ROM、标准键盘、鼠标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6.电源：1125瓦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7."I/O卡：4K系列广播级超高清数字I/O卡，支持UHD超高清I/O接口卡，4K模式下支持3G-SDIx4一入一出；高清模式下支持3G-SDI 4进4出，8个3G-SDI接口（MinBNC）,16通道SDI嵌入音频，1个同步接口（黑场或三电平，miniBNC)色域空间支持BT.2020,REC 709，REC601颜色格式支持10-bit YUV4：2：2，10-bit YV12，音频采精度支持16/20/24bit,采样率48KHz.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8.视频输入：4K模式下支持3G-SDI×4一入一出；高清模式下支持3G-SDI 4进4出，8个3G-SDI接口（MiniBNC），16通道SDI嵌入音频，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1个同步接口（黑场或三电平，miniBNC）色域空间支持BT.2020，REC 709，REC 601，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颜色格式支持10-bit YUV 4:2:2，10-bit YV12，音频采精度支持16/20/24bit，采样率48KHz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9.显卡：Nvidia 8GB 高性能PCI-E显卡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10.万兆网卡：10Gb单口光纤服务器网卡，含1个SFP+多模模块万兆单口光纤以太网卡，多模LC接口。拥有高速缓存访问功能，可有效缩短应用程序响应时间。含1个多模SFP+模块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11.配件：监听耳机立体声头戴监听耳机或音箱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12.加密狗：</w:t>
            </w:r>
            <w:r>
              <w:rPr>
                <w:rFonts w:hint="eastAsia" w:ascii="宋体" w:hAnsi="宋体" w:eastAsia="宋体" w:cs="宋体"/>
                <w:i w:val="0"/>
                <w:iCs w:val="0"/>
                <w:color w:val="0000FF"/>
                <w:kern w:val="0"/>
                <w:sz w:val="24"/>
                <w:szCs w:val="24"/>
                <w:u w:val="none"/>
                <w:lang w:val="en-US" w:eastAsia="zh-CN"/>
              </w:rPr>
              <w:t>配专业接口线缆和专业节目编辑软件套装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13.显示器：32"宽屏液晶显示器 ×1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14.Microsoft Windows 10 Pro 64位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融合媒体生产业务系统MCH数据库中间件客户端软件授权License融合媒体生产业务系统内容扫描客户端软件、提供通过私有云、内网专线传输等外部系统内容的接入，实现文件分析、入库对接、隔离防护以及数据库缓存的目的授权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利旧：数据服务器平台系统：操作系统：CentOS 64bit版，基RedHat Linux企业版的完全开放版本，高安全性、高稳定性，支持虚拟化Docker</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驳原有系统共用存储空间管理，保持原系统架构不变，融合媒体平台分布式计算服务软件包，提供各种计算任务的服务，完全对称的分布式计算架构。包括：分布式检索引擎、智能处理引擎、分布式工作流引擎、业务组件执行器、媒体处理引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利旧：MCH数据接口服务器 ：融合媒体平台数据接口服务软件包。提供各种数据、业务访问的API接口，包含业务API、业务数据访问API以及通用数据访问API。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在现有硬件基础上进行软件升级，加固定制文件化送播数据库接口软件，能满足维汉语新闻节目和素材库的访问到播出。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16.4K-UHD高清非编软件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17.4K-UHD上下载软件模块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18.4K-UHD文件介质上下载软件模块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19.4K-UHD字幕编辑软件模块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20.4K-UHD实时上下变换软件模块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21.4K-UHD专业图像特技软件模块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22.4K-UHD专业字幕特技软件模块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23.4K-UHD节目审查软件模块</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★要求：该扩容的非编工作站必须和台里现有制作网系统及媒资和硬盘播出系统无缝兼容，能实现工程文件级的互联互通及交互共享，提供投标的软件著作权证书（复印件加盖原厂公章）</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★高清（新闻）无卡工作站</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1.主机：专业图形工作站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2.CPU：INTEL Xeon  4210R 2.4GHz（十核）×2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 xml:space="preserve">3.内存：64GB 内存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4.系统硬盘：1TBG SSD全固态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5.数据硬盘：4TB SATA ×2，RAID0；</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6.其它：集成声卡、集成千兆网卡、DVD-ROM、标准键盘、鼠标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7.电源：1125瓦</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8.显卡：Nvidia 8GB 高性能PCI-E显卡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9.万兆网卡：10Gb单口光纤服务器网卡，含1个SFP+多模模块万兆单口光纤以太网卡，多模LC接口。拥有高速缓存访问功能，可有效缩短应用程序响应时间。含1个多模SFP+模块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10.配件：监听音箱</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11.加密狗：精编宏狗（NOVA10）+USB延长线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12.显示器：32"宽屏液晶显示器 ×1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13.Microsoft Windows 10 Pro 64位</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14.融合媒体生产业务系统MCH数据库中间件客户端软件授权License</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★15.融合媒体生产业务系统内容扫描客户端软件、提供通过私有云、内网专线传输等外部系统内容的接入，实现文件分析、入库对接、隔离防护以及数据库缓存的目的授权模块.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利旧：数据服务器平台系统：操作系统：CentOS 64bit版，基RedHat Linux企业版的完全开放版本，高安全性、高稳定性，支持虚拟化Docker</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驳原有系统共用存储空间管理，保持原系统架构不变，融合媒体平台分布式计算服务软件包，提供各种计算任务的服务，完全对称的分布式计算架构。包括：分布式检索引擎、智能处理引擎、分布式工作流引擎、业务组件执行器、媒体处理引擎</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利旧：MCH数据接口服务器 ：融合媒体平台数据接口服务软件包。提供各种数据、业务访问的API接口，包含业务API、业务数据访问API以及通用数据访问API。</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在现有硬件基础上进行软件升级，加固定制文件化送播数据库接口软件，能满足维汉语新闻节目和素材库的访问到播出。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16.4K-UHD高清非编软件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17.4K-UHD上下载软件模块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18.4K-UHD文件介质上下载软件模块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19.4K-UHD字幕编辑软件模块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20.4K-UHD实时上下变换软件模块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21.4K-UHD专业图像特技软件模块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22.4K-UHD专业字幕特技软件模块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23.4K-UHD节目审查软件模块</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★要求：该扩容的非编工作站必须和台里现有制作网系统及媒资和硬盘播出系统无缝兼容，能实现工程文件级的互联互通及交互共享，提供投标的软件著作权证书（复印件加盖原厂公章）</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99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合计</w:t>
            </w:r>
          </w:p>
        </w:tc>
        <w:tc>
          <w:tcPr>
            <w:tcW w:w="1023"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名称</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主要功能/参数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数量</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系统集成</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系统集成：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拆迁原有技术机房和播控中心机房所有机柜设备以及各功能室设备，迁移到新融媒中心大楼新机房及新规划用房，保证设备安全无损坏，重新设计和集成安装所有系统设备，并做优化和升级，搬迁完调试各个业务，保证所有业务正常运行，其中包含综合布线所需的光缆、电缆、网线、视音频线、交换机、模块等其它辅材及设备。</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包括：</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1、台里原有网络安全3级等保系统设备搬迁；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2、台里原有媒资系统设备搬迁；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3、台里原有广播总控系统设备搬迁；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4、台里原有高清电视制作网系统设备搬迁含原有非编制作系统设备约40台搬迁；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5、台里原有新闻演播室系统设备搬迁含三星拼装背景屏迁移；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6、台里高清硬盘播系统搬迁，广播电视监播系统搬迁，安全播出监控系统搬迁；</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7、台里原有办公电脑网络迁移及新楼办公局域网搭建，线路及信息点安装（至少新增8个办公交换机、2个制作网光交换机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8、融媒中心大楼新增WIFI覆盖及WIFI系统安装（包含管理主机和至少20AP节点）。</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批</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bCs/>
          <w:sz w:val="28"/>
          <w:szCs w:val="28"/>
        </w:rPr>
      </w:pPr>
      <w:r>
        <w:rPr>
          <w:rFonts w:hint="eastAsia"/>
          <w:b/>
          <w:bCs/>
          <w:sz w:val="28"/>
          <w:szCs w:val="28"/>
        </w:rPr>
        <w:t>备注：</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eastAsia="宋体"/>
          <w:b/>
          <w:bCs/>
          <w:color w:val="auto"/>
          <w:sz w:val="24"/>
          <w:szCs w:val="24"/>
          <w:lang w:val="en-US" w:eastAsia="zh-CN"/>
        </w:rPr>
      </w:pPr>
      <w:r>
        <w:rPr>
          <w:rFonts w:hint="eastAsia"/>
          <w:b/>
          <w:bCs/>
          <w:color w:val="auto"/>
          <w:sz w:val="24"/>
          <w:szCs w:val="24"/>
        </w:rPr>
        <w:t>1.货物需求一览表及技术规格中</w:t>
      </w:r>
      <w:r>
        <w:rPr>
          <w:rFonts w:hint="eastAsia"/>
          <w:b/>
          <w:bCs/>
          <w:color w:val="auto"/>
          <w:sz w:val="24"/>
          <w:szCs w:val="24"/>
          <w:lang w:val="en-US" w:eastAsia="zh-CN"/>
        </w:rPr>
        <w:t>所提供的参数</w:t>
      </w:r>
      <w:r>
        <w:rPr>
          <w:rFonts w:hint="eastAsia"/>
          <w:b/>
          <w:bCs/>
          <w:color w:val="auto"/>
          <w:sz w:val="24"/>
          <w:szCs w:val="24"/>
        </w:rPr>
        <w:t>不指向任何品牌和型号，如指向某一品牌和型号，品牌仅供参考，此参数不作为</w:t>
      </w:r>
      <w:r>
        <w:rPr>
          <w:rFonts w:hint="eastAsia"/>
          <w:b/>
          <w:bCs/>
          <w:color w:val="auto"/>
          <w:sz w:val="24"/>
          <w:szCs w:val="24"/>
          <w:lang w:val="en-US" w:eastAsia="zh-CN"/>
        </w:rPr>
        <w:t>投标人</w:t>
      </w:r>
      <w:r>
        <w:rPr>
          <w:rFonts w:hint="eastAsia"/>
          <w:b/>
          <w:bCs/>
          <w:color w:val="auto"/>
          <w:sz w:val="24"/>
          <w:szCs w:val="24"/>
        </w:rPr>
        <w:t>所投产品品牌和型号</w:t>
      </w:r>
      <w:r>
        <w:rPr>
          <w:rFonts w:hint="eastAsia"/>
          <w:b/>
          <w:bCs/>
          <w:color w:val="auto"/>
          <w:sz w:val="24"/>
          <w:szCs w:val="24"/>
          <w:lang w:eastAsia="zh-CN"/>
        </w:rPr>
        <w:t>的</w:t>
      </w:r>
      <w:r>
        <w:rPr>
          <w:rFonts w:hint="eastAsia"/>
          <w:b/>
          <w:bCs/>
          <w:color w:val="auto"/>
          <w:sz w:val="24"/>
          <w:szCs w:val="24"/>
        </w:rPr>
        <w:t>限制</w:t>
      </w:r>
      <w:r>
        <w:rPr>
          <w:rFonts w:hint="eastAsia"/>
          <w:b/>
          <w:bCs/>
          <w:color w:val="auto"/>
          <w:sz w:val="24"/>
          <w:szCs w:val="24"/>
          <w:lang w:eastAsia="zh-CN"/>
        </w:rPr>
        <w:t>，</w:t>
      </w:r>
      <w:r>
        <w:rPr>
          <w:rFonts w:hint="eastAsia"/>
          <w:b/>
          <w:bCs/>
          <w:color w:val="auto"/>
          <w:sz w:val="24"/>
          <w:szCs w:val="24"/>
          <w:lang w:val="en-US" w:eastAsia="zh-CN"/>
        </w:rPr>
        <w:t>投标人</w:t>
      </w:r>
      <w:r>
        <w:rPr>
          <w:rFonts w:hint="eastAsia"/>
          <w:b/>
          <w:bCs/>
          <w:color w:val="auto"/>
          <w:sz w:val="24"/>
          <w:szCs w:val="24"/>
        </w:rPr>
        <w:t>所投产品的品牌和型号</w:t>
      </w:r>
      <w:r>
        <w:rPr>
          <w:rFonts w:hint="eastAsia"/>
          <w:b/>
          <w:bCs/>
          <w:color w:val="auto"/>
          <w:sz w:val="24"/>
          <w:szCs w:val="24"/>
          <w:lang w:val="en-US" w:eastAsia="zh-CN"/>
        </w:rPr>
        <w:t>要满足</w:t>
      </w:r>
      <w:r>
        <w:rPr>
          <w:rFonts w:hint="eastAsia"/>
          <w:b/>
          <w:bCs/>
          <w:color w:val="auto"/>
          <w:sz w:val="24"/>
          <w:szCs w:val="24"/>
        </w:rPr>
        <w:t>货物需求一览表及技术规格中</w:t>
      </w:r>
      <w:r>
        <w:rPr>
          <w:rFonts w:hint="eastAsia"/>
          <w:b/>
          <w:bCs/>
          <w:color w:val="auto"/>
          <w:sz w:val="24"/>
          <w:szCs w:val="24"/>
          <w:lang w:val="en-US" w:eastAsia="zh-CN"/>
        </w:rPr>
        <w:t>所提供的参数。</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b/>
          <w:bCs/>
          <w:color w:val="auto"/>
          <w:sz w:val="24"/>
          <w:szCs w:val="24"/>
        </w:rPr>
      </w:pPr>
      <w:r>
        <w:rPr>
          <w:rFonts w:hint="eastAsia"/>
          <w:b/>
          <w:bCs/>
          <w:color w:val="auto"/>
          <w:sz w:val="24"/>
          <w:szCs w:val="24"/>
        </w:rPr>
        <w:t>2.货物需求一览表及技术规格中</w:t>
      </w:r>
      <w:r>
        <w:rPr>
          <w:rFonts w:hint="eastAsia"/>
          <w:b/>
          <w:bCs/>
          <w:color w:val="auto"/>
          <w:sz w:val="24"/>
          <w:szCs w:val="24"/>
          <w:lang w:val="en-US" w:eastAsia="zh-CN"/>
        </w:rPr>
        <w:t>所有参数不得出现缺项，</w:t>
      </w:r>
      <w:r>
        <w:rPr>
          <w:rFonts w:hint="eastAsia"/>
          <w:b/>
          <w:bCs/>
          <w:color w:val="auto"/>
          <w:sz w:val="24"/>
          <w:szCs w:val="24"/>
        </w:rPr>
        <w:t>如投标</w:t>
      </w:r>
      <w:r>
        <w:rPr>
          <w:rFonts w:hint="eastAsia"/>
          <w:b/>
          <w:bCs/>
          <w:color w:val="auto"/>
          <w:sz w:val="24"/>
          <w:szCs w:val="24"/>
          <w:lang w:val="en-US" w:eastAsia="zh-CN"/>
        </w:rPr>
        <w:t>人</w:t>
      </w:r>
      <w:r>
        <w:rPr>
          <w:rFonts w:hint="eastAsia"/>
          <w:b/>
          <w:bCs/>
          <w:color w:val="auto"/>
          <w:sz w:val="24"/>
          <w:szCs w:val="24"/>
        </w:rPr>
        <w:t>所投产品出</w:t>
      </w:r>
      <w:r>
        <w:rPr>
          <w:rFonts w:hint="eastAsia"/>
          <w:b/>
          <w:bCs/>
          <w:color w:val="auto"/>
          <w:sz w:val="24"/>
          <w:szCs w:val="24"/>
          <w:lang w:val="en-US" w:eastAsia="zh-CN"/>
        </w:rPr>
        <w:t>现缺项</w:t>
      </w:r>
      <w:r>
        <w:rPr>
          <w:rFonts w:hint="eastAsia"/>
          <w:b/>
          <w:bCs/>
          <w:color w:val="auto"/>
          <w:sz w:val="24"/>
          <w:szCs w:val="24"/>
        </w:rPr>
        <w:t>则直接按废标处理。</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b/>
          <w:bCs/>
          <w:color w:val="auto"/>
          <w:sz w:val="24"/>
          <w:szCs w:val="24"/>
        </w:rPr>
      </w:pPr>
      <w:r>
        <w:rPr>
          <w:rFonts w:hint="eastAsia"/>
          <w:b/>
          <w:bCs/>
          <w:color w:val="auto"/>
          <w:sz w:val="24"/>
          <w:szCs w:val="24"/>
        </w:rPr>
        <w:t>3.</w:t>
      </w:r>
      <w:r>
        <w:rPr>
          <w:rFonts w:hint="eastAsia"/>
          <w:b/>
          <w:bCs/>
          <w:color w:val="auto"/>
          <w:sz w:val="24"/>
          <w:szCs w:val="24"/>
          <w:lang w:val="en-US" w:eastAsia="zh-CN"/>
        </w:rPr>
        <w:t>投标人</w:t>
      </w:r>
      <w:r>
        <w:rPr>
          <w:rFonts w:hint="eastAsia"/>
          <w:b/>
          <w:bCs/>
          <w:color w:val="auto"/>
          <w:sz w:val="24"/>
          <w:szCs w:val="24"/>
        </w:rPr>
        <w:t>需保证供货设备为原厂正品行货，如采购人对产品来源提出疑义，有权利要求</w:t>
      </w:r>
      <w:r>
        <w:rPr>
          <w:rFonts w:hint="eastAsia"/>
          <w:b/>
          <w:bCs/>
          <w:color w:val="auto"/>
          <w:sz w:val="24"/>
          <w:szCs w:val="24"/>
          <w:lang w:val="en-US" w:eastAsia="zh-CN"/>
        </w:rPr>
        <w:t>投标人</w:t>
      </w:r>
      <w:r>
        <w:rPr>
          <w:rFonts w:hint="eastAsia"/>
          <w:b/>
          <w:bCs/>
          <w:color w:val="auto"/>
          <w:sz w:val="24"/>
          <w:szCs w:val="24"/>
        </w:rPr>
        <w:t>提供厂家出具的正品货源证明。</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b w:val="0"/>
          <w:bCs w:val="0"/>
          <w:color w:val="auto"/>
          <w:sz w:val="24"/>
          <w:szCs w:val="24"/>
          <w:lang w:val="en-US"/>
        </w:rPr>
      </w:pPr>
      <w:r>
        <w:rPr>
          <w:rFonts w:hint="eastAsia"/>
          <w:b w:val="0"/>
          <w:bCs w:val="0"/>
          <w:color w:val="auto"/>
          <w:sz w:val="24"/>
          <w:szCs w:val="24"/>
          <w:lang w:val="en-US" w:eastAsia="zh-CN"/>
        </w:rPr>
        <w:t>4.投标人可根据本项目提供有效期内的证书或证明文件（ISO9001质量管理体系认证、ISO27001信息安全管理体系认定证书、ISO20000信息技术服务管理体系认证证书、ISO14001环境管理体系认证证书、ISO45001职业健康安全管理体系认证证书、涉密信息系统集成乙级资质等资质作为企业实力的有效证明。</w:t>
      </w:r>
    </w:p>
    <w:p>
      <w:pPr>
        <w:spacing w:line="440" w:lineRule="exact"/>
        <w:jc w:val="left"/>
        <w:rPr>
          <w:rFonts w:hint="default" w:ascii="宋体" w:hAnsi="宋体" w:cs="宋体"/>
          <w:b/>
          <w:bCs/>
          <w:color w:val="auto"/>
          <w:sz w:val="24"/>
          <w:lang w:val="en-US" w:eastAsia="zh-CN"/>
        </w:rPr>
      </w:pPr>
      <w:r>
        <w:rPr>
          <w:rFonts w:hint="eastAsia" w:ascii="宋体" w:hAnsi="宋体" w:cs="宋体"/>
          <w:b/>
          <w:bCs/>
          <w:color w:val="auto"/>
          <w:sz w:val="24"/>
          <w:lang w:val="en-US" w:eastAsia="zh-CN"/>
        </w:rPr>
        <w:t>注：以上带星号★的参数均为产品最高要求标准，可产生负偏离。</w:t>
      </w:r>
    </w:p>
    <w:p>
      <w:pPr>
        <w:spacing w:line="440" w:lineRule="exact"/>
        <w:jc w:val="left"/>
        <w:rPr>
          <w:rFonts w:hint="eastAsia" w:ascii="宋体" w:hAnsi="宋体" w:eastAsia="宋体" w:cs="宋体"/>
          <w:b/>
          <w:bCs/>
          <w:color w:val="auto"/>
          <w:sz w:val="24"/>
        </w:rPr>
      </w:pPr>
    </w:p>
    <w:p>
      <w:pPr>
        <w:spacing w:line="440" w:lineRule="exact"/>
        <w:jc w:val="left"/>
        <w:rPr>
          <w:rFonts w:hint="eastAsia" w:ascii="宋体" w:hAnsi="宋体" w:eastAsia="宋体" w:cs="宋体"/>
          <w:b/>
          <w:bCs/>
          <w:color w:val="auto"/>
          <w:sz w:val="24"/>
        </w:rPr>
      </w:pPr>
    </w:p>
    <w:p>
      <w:pPr>
        <w:spacing w:line="440" w:lineRule="exact"/>
        <w:jc w:val="left"/>
        <w:rPr>
          <w:rFonts w:hint="eastAsia" w:ascii="宋体" w:hAnsi="宋体" w:eastAsia="宋体" w:cs="宋体"/>
          <w:b/>
          <w:bCs/>
          <w:color w:val="auto"/>
          <w:sz w:val="24"/>
        </w:rPr>
      </w:pPr>
    </w:p>
    <w:p>
      <w:pPr>
        <w:pageBreakBefore w:val="0"/>
        <w:widowControl w:val="0"/>
        <w:kinsoku/>
        <w:wordWrap/>
        <w:topLinePunct w:val="0"/>
        <w:autoSpaceDE/>
        <w:autoSpaceDN/>
        <w:bidi w:val="0"/>
        <w:adjustRightInd/>
        <w:snapToGrid/>
        <w:spacing w:line="360" w:lineRule="auto"/>
        <w:jc w:val="left"/>
        <w:rPr>
          <w:rFonts w:hint="eastAsia" w:ascii="宋体" w:hAnsi="宋体" w:eastAsia="宋体" w:cs="宋体"/>
          <w:b/>
          <w:bCs/>
          <w:color w:val="auto"/>
          <w:sz w:val="24"/>
        </w:rPr>
      </w:pPr>
      <w:r>
        <w:rPr>
          <w:rFonts w:hint="eastAsia" w:ascii="宋体" w:hAnsi="宋体" w:eastAsia="宋体" w:cs="宋体"/>
          <w:b/>
          <w:bCs/>
          <w:color w:val="auto"/>
          <w:sz w:val="24"/>
        </w:rPr>
        <w:t>项目商务要求</w:t>
      </w:r>
    </w:p>
    <w:p>
      <w:pPr>
        <w:pageBreakBefore w:val="0"/>
        <w:widowControl w:val="0"/>
        <w:kinsoku/>
        <w:wordWrap/>
        <w:topLinePunct w:val="0"/>
        <w:autoSpaceDE/>
        <w:autoSpaceDN/>
        <w:bidi w:val="0"/>
        <w:adjustRightInd/>
        <w:snapToGrid/>
        <w:spacing w:line="360" w:lineRule="auto"/>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（一）实施（交货）时间</w:t>
      </w:r>
    </w:p>
    <w:p>
      <w:pPr>
        <w:pageBreakBefore w:val="0"/>
        <w:widowControl w:val="0"/>
        <w:kinsoku/>
        <w:wordWrap/>
        <w:topLinePunct w:val="0"/>
        <w:autoSpaceDE/>
        <w:autoSpaceDN/>
        <w:bidi w:val="0"/>
        <w:adjustRightInd/>
        <w:snapToGrid/>
        <w:spacing w:line="360" w:lineRule="auto"/>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业主方通知后，30日内完成供货、供货后70日内完成安装、调试等。（具体以最终签订合同为准）</w:t>
      </w:r>
    </w:p>
    <w:p>
      <w:pPr>
        <w:pageBreakBefore w:val="0"/>
        <w:widowControl w:val="0"/>
        <w:kinsoku/>
        <w:wordWrap/>
        <w:topLinePunct w:val="0"/>
        <w:autoSpaceDE/>
        <w:autoSpaceDN/>
        <w:bidi w:val="0"/>
        <w:adjustRightInd/>
        <w:snapToGrid/>
        <w:spacing w:line="360" w:lineRule="auto"/>
        <w:ind w:firstLine="442" w:firstLineChars="200"/>
        <w:jc w:val="left"/>
        <w:rPr>
          <w:rFonts w:hint="default"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rPr>
        <w:t>（二）实施（交货）地点</w:t>
      </w:r>
      <w:r>
        <w:rPr>
          <w:rFonts w:hint="eastAsia" w:ascii="宋体" w:hAnsi="宋体" w:eastAsia="宋体" w:cs="宋体"/>
          <w:b/>
          <w:bCs/>
          <w:color w:val="auto"/>
          <w:kern w:val="0"/>
          <w:sz w:val="22"/>
          <w:szCs w:val="22"/>
          <w:lang w:val="en-US" w:eastAsia="zh-CN"/>
        </w:rPr>
        <w:t>及实施方案</w:t>
      </w:r>
    </w:p>
    <w:p>
      <w:pPr>
        <w:pageBreakBefore w:val="0"/>
        <w:widowControl w:val="0"/>
        <w:kinsoku/>
        <w:wordWrap/>
        <w:topLinePunct w:val="0"/>
        <w:autoSpaceDE/>
        <w:autoSpaceDN/>
        <w:bidi w:val="0"/>
        <w:adjustRightInd/>
        <w:snapToGrid/>
        <w:spacing w:line="360" w:lineRule="auto"/>
        <w:jc w:val="left"/>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b/>
          <w:bCs/>
          <w:color w:val="auto"/>
          <w:kern w:val="0"/>
          <w:sz w:val="22"/>
          <w:szCs w:val="22"/>
        </w:rPr>
        <w:t>实施（交货）地点：</w:t>
      </w:r>
      <w:r>
        <w:rPr>
          <w:rFonts w:hint="eastAsia" w:ascii="宋体" w:hAnsi="宋体" w:eastAsia="宋体" w:cs="宋体"/>
          <w:i w:val="0"/>
          <w:iCs w:val="0"/>
          <w:color w:val="auto"/>
          <w:kern w:val="0"/>
          <w:sz w:val="22"/>
          <w:szCs w:val="22"/>
          <w:u w:val="none"/>
          <w:lang w:val="en-US" w:eastAsia="zh-CN"/>
        </w:rPr>
        <w:t>甲方指定地点</w:t>
      </w:r>
    </w:p>
    <w:p>
      <w:pPr>
        <w:pageBreakBefore w:val="0"/>
        <w:widowControl w:val="0"/>
        <w:kinsoku/>
        <w:wordWrap/>
        <w:topLinePunct w:val="0"/>
        <w:autoSpaceDE/>
        <w:autoSpaceDN/>
        <w:bidi w:val="0"/>
        <w:adjustRightInd/>
        <w:snapToGrid/>
        <w:spacing w:line="360" w:lineRule="auto"/>
        <w:jc w:val="left"/>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b/>
          <w:bCs/>
          <w:color w:val="auto"/>
          <w:kern w:val="2"/>
          <w:sz w:val="22"/>
          <w:szCs w:val="22"/>
          <w:lang w:val="en-US" w:eastAsia="zh-CN" w:bidi="ar-SA"/>
        </w:rPr>
        <w:t>实施方案</w:t>
      </w:r>
      <w:r>
        <w:rPr>
          <w:rFonts w:hint="eastAsia" w:ascii="宋体" w:hAnsi="宋体" w:cs="宋体"/>
          <w:b/>
          <w:bCs/>
          <w:color w:val="auto"/>
          <w:kern w:val="2"/>
          <w:sz w:val="22"/>
          <w:szCs w:val="22"/>
          <w:lang w:val="en-US" w:eastAsia="zh-CN" w:bidi="ar-SA"/>
        </w:rPr>
        <w:t>要求</w:t>
      </w:r>
      <w:r>
        <w:rPr>
          <w:rFonts w:hint="eastAsia" w:ascii="宋体" w:hAnsi="宋体" w:eastAsia="宋体" w:cs="宋体"/>
          <w:color w:val="auto"/>
          <w:kern w:val="2"/>
          <w:sz w:val="22"/>
          <w:szCs w:val="22"/>
          <w:lang w:val="en-US" w:eastAsia="zh-CN" w:bidi="ar-SA"/>
        </w:rPr>
        <w:t>：</w:t>
      </w:r>
      <w:r>
        <w:rPr>
          <w:rFonts w:hint="eastAsia" w:ascii="宋体" w:hAnsi="宋体" w:eastAsia="宋体" w:cs="宋体"/>
          <w:i w:val="0"/>
          <w:iCs w:val="0"/>
          <w:color w:val="auto"/>
          <w:kern w:val="0"/>
          <w:sz w:val="22"/>
          <w:szCs w:val="22"/>
          <w:u w:val="none"/>
          <w:lang w:val="en-US" w:eastAsia="zh-CN"/>
        </w:rPr>
        <w:t>投标人应对本项目的实施方案（包含供货能力、保障措施、突发情况应对等内容）、安装及调试方案（包含安装计划、安装准备、工期保障措施、成品保护、调试方案等）作出完整方案。</w:t>
      </w:r>
    </w:p>
    <w:p>
      <w:pPr>
        <w:pageBreakBefore w:val="0"/>
        <w:widowControl w:val="0"/>
        <w:kinsoku/>
        <w:wordWrap/>
        <w:topLinePunct w:val="0"/>
        <w:autoSpaceDE/>
        <w:autoSpaceDN/>
        <w:bidi w:val="0"/>
        <w:adjustRightInd/>
        <w:snapToGrid/>
        <w:spacing w:line="360" w:lineRule="auto"/>
        <w:jc w:val="left"/>
        <w:rPr>
          <w:rFonts w:hint="eastAsia" w:ascii="宋体" w:hAnsi="宋体" w:eastAsia="宋体" w:cs="宋体"/>
          <w:b w:val="0"/>
          <w:bCs/>
          <w:i w:val="0"/>
          <w:iCs w:val="0"/>
          <w:color w:val="auto"/>
          <w:kern w:val="0"/>
          <w:sz w:val="22"/>
          <w:szCs w:val="22"/>
          <w:u w:val="none"/>
          <w:lang w:val="en-US" w:eastAsia="zh-CN"/>
        </w:rPr>
      </w:pPr>
      <w:r>
        <w:rPr>
          <w:rFonts w:hint="eastAsia" w:ascii="宋体" w:hAnsi="宋体" w:cs="宋体"/>
          <w:b/>
          <w:bCs/>
          <w:i w:val="0"/>
          <w:iCs w:val="0"/>
          <w:color w:val="auto"/>
          <w:kern w:val="0"/>
          <w:sz w:val="22"/>
          <w:szCs w:val="22"/>
          <w:u w:val="none"/>
          <w:lang w:val="en-US" w:eastAsia="zh-CN"/>
        </w:rPr>
        <w:t>实施人员要求：</w:t>
      </w:r>
      <w:r>
        <w:rPr>
          <w:rFonts w:hint="eastAsia" w:ascii="宋体" w:hAnsi="宋体" w:cs="宋体"/>
          <w:b w:val="0"/>
          <w:bCs/>
          <w:i w:val="0"/>
          <w:iCs w:val="0"/>
          <w:color w:val="auto"/>
          <w:kern w:val="0"/>
          <w:sz w:val="22"/>
          <w:szCs w:val="22"/>
          <w:u w:val="none"/>
          <w:lang w:val="en-US" w:eastAsia="zh-CN"/>
        </w:rPr>
        <w:t>对本项目</w:t>
      </w:r>
      <w:r>
        <w:rPr>
          <w:rFonts w:hint="eastAsia" w:ascii="宋体" w:hAnsi="宋体" w:eastAsia="宋体" w:cs="宋体"/>
          <w:b w:val="0"/>
          <w:bCs/>
          <w:i w:val="0"/>
          <w:iCs w:val="0"/>
          <w:color w:val="auto"/>
          <w:kern w:val="0"/>
          <w:sz w:val="22"/>
          <w:szCs w:val="22"/>
          <w:u w:val="none"/>
          <w:lang w:val="en-US" w:eastAsia="zh-CN"/>
        </w:rPr>
        <w:t>拟投入的服务团队管理人员至少一名（需具有高级信息系统项目管理师证书）、其他拟投入工作人员需提供人员相应职称证书，以上人员均需提供本单位社保缴纳证明及实施经验的证明文件。</w:t>
      </w:r>
    </w:p>
    <w:p>
      <w:pPr>
        <w:pStyle w:val="57"/>
        <w:spacing w:line="360" w:lineRule="auto"/>
        <w:ind w:left="0" w:leftChars="0" w:firstLine="0" w:firstLineChars="0"/>
        <w:rPr>
          <w:rFonts w:hint="default"/>
          <w:color w:val="auto"/>
          <w:lang w:val="en-US" w:eastAsia="zh-CN"/>
        </w:rPr>
      </w:pPr>
      <w:r>
        <w:rPr>
          <w:rFonts w:hint="eastAsia" w:ascii="宋体" w:hAnsi="宋体" w:eastAsia="宋体" w:cs="宋体"/>
          <w:b/>
          <w:bCs/>
          <w:color w:val="auto"/>
          <w:kern w:val="0"/>
          <w:sz w:val="22"/>
          <w:szCs w:val="22"/>
          <w:lang w:val="en-US" w:eastAsia="zh-CN" w:bidi="ar-SA"/>
        </w:rPr>
        <w:t>现场勘查</w:t>
      </w:r>
      <w:r>
        <w:rPr>
          <w:rFonts w:hint="eastAsia" w:ascii="宋体" w:hAnsi="宋体" w:cs="宋体"/>
          <w:b/>
          <w:bCs/>
          <w:color w:val="auto"/>
          <w:kern w:val="0"/>
          <w:sz w:val="22"/>
          <w:szCs w:val="22"/>
          <w:lang w:val="en-US" w:eastAsia="zh-CN" w:bidi="ar-SA"/>
        </w:rPr>
        <w:t>：</w:t>
      </w:r>
      <w:r>
        <w:rPr>
          <w:rFonts w:hint="eastAsia" w:ascii="宋体" w:hAnsi="宋体" w:eastAsia="宋体" w:cs="宋体"/>
          <w:color w:val="auto"/>
          <w:kern w:val="0"/>
          <w:sz w:val="22"/>
          <w:szCs w:val="22"/>
          <w:lang w:val="en-US" w:eastAsia="zh-CN" w:bidi="ar-SA"/>
        </w:rPr>
        <w:t>由于本项目实施涉及范围广，对安装场地设备架设点位要求严格，投标人应在开标前对工程施工现场与周边环境自行进行踏勘。不踏勘现场，产生的一切后果自负。</w:t>
      </w:r>
    </w:p>
    <w:p>
      <w:pPr>
        <w:pageBreakBefore w:val="0"/>
        <w:widowControl w:val="0"/>
        <w:kinsoku/>
        <w:wordWrap/>
        <w:topLinePunct w:val="0"/>
        <w:autoSpaceDE/>
        <w:autoSpaceDN/>
        <w:bidi w:val="0"/>
        <w:adjustRightInd/>
        <w:snapToGrid/>
        <w:spacing w:line="360" w:lineRule="auto"/>
        <w:rPr>
          <w:rFonts w:hint="eastAsia" w:ascii="宋体" w:hAnsi="宋体" w:eastAsia="宋体" w:cs="宋体"/>
          <w:color w:val="auto"/>
          <w:kern w:val="0"/>
          <w:sz w:val="22"/>
          <w:szCs w:val="22"/>
          <w:lang w:val="en-US" w:eastAsia="zh-CN" w:bidi="ar-SA"/>
        </w:rPr>
      </w:pPr>
      <w:r>
        <w:rPr>
          <w:rFonts w:hint="eastAsia" w:ascii="宋体" w:hAnsi="宋体" w:eastAsia="宋体" w:cs="宋体"/>
          <w:b/>
          <w:i w:val="0"/>
          <w:iCs w:val="0"/>
          <w:color w:val="auto"/>
          <w:kern w:val="0"/>
          <w:sz w:val="22"/>
          <w:szCs w:val="22"/>
          <w:u w:val="none"/>
          <w:lang w:val="en-US" w:eastAsia="zh-CN" w:bidi="ar-SA"/>
        </w:rPr>
        <w:t>设计要求：</w:t>
      </w:r>
      <w:r>
        <w:rPr>
          <w:rFonts w:hint="eastAsia" w:ascii="宋体" w:hAnsi="宋体" w:eastAsia="宋体" w:cs="宋体"/>
          <w:color w:val="auto"/>
          <w:kern w:val="0"/>
          <w:sz w:val="22"/>
          <w:szCs w:val="22"/>
          <w:lang w:val="en-US" w:eastAsia="zh-CN" w:bidi="ar-SA"/>
        </w:rPr>
        <w:t>根据踏勘结果，</w:t>
      </w:r>
      <w:r>
        <w:rPr>
          <w:rFonts w:hint="eastAsia" w:ascii="宋体" w:hAnsi="宋体" w:cs="宋体"/>
          <w:color w:val="auto"/>
          <w:kern w:val="0"/>
          <w:sz w:val="22"/>
          <w:szCs w:val="22"/>
          <w:lang w:val="en-US" w:eastAsia="zh-CN" w:bidi="ar-SA"/>
        </w:rPr>
        <w:t>投标文件中需体现</w:t>
      </w:r>
      <w:r>
        <w:rPr>
          <w:rFonts w:hint="eastAsia" w:ascii="宋体" w:hAnsi="宋体" w:eastAsia="宋体" w:cs="宋体"/>
          <w:color w:val="auto"/>
          <w:kern w:val="0"/>
          <w:sz w:val="22"/>
          <w:szCs w:val="22"/>
          <w:lang w:val="en-US" w:eastAsia="zh-CN" w:bidi="ar-SA"/>
        </w:rPr>
        <w:t>对本项目实施的项目地点各演播室各景区效果图、各摄像机镜头构图、灯光布局图、导播间效果图、设备间效果图、视音频系统CAD图纸、操作台布局图、机柜布局图、扩声系统CAD图纸等。</w:t>
      </w:r>
    </w:p>
    <w:p>
      <w:pPr>
        <w:pStyle w:val="57"/>
        <w:spacing w:line="360" w:lineRule="auto"/>
        <w:ind w:left="0" w:leftChars="0" w:firstLine="0" w:firstLineChars="0"/>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bidi="ar-SA"/>
        </w:rPr>
        <w:t>培训要求</w:t>
      </w:r>
      <w:r>
        <w:rPr>
          <w:rFonts w:hint="eastAsia" w:ascii="宋体" w:hAnsi="宋体" w:cs="宋体"/>
          <w:b/>
          <w:bCs/>
          <w:color w:val="auto"/>
          <w:kern w:val="0"/>
          <w:sz w:val="22"/>
          <w:szCs w:val="22"/>
          <w:lang w:val="en-US" w:eastAsia="zh-CN" w:bidi="ar-SA"/>
        </w:rPr>
        <w:t>：</w:t>
      </w:r>
    </w:p>
    <w:p>
      <w:pPr>
        <w:pStyle w:val="57"/>
        <w:spacing w:line="360" w:lineRule="auto"/>
        <w:ind w:left="425" w:firstLine="0" w:firstLineChars="0"/>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（1）培训方案中应该包含设备使用培训计划、培训方式等内容。</w:t>
      </w:r>
    </w:p>
    <w:p>
      <w:pPr>
        <w:pStyle w:val="57"/>
        <w:spacing w:line="360" w:lineRule="auto"/>
        <w:ind w:left="425" w:firstLine="0" w:firstLineChars="0"/>
        <w:rPr>
          <w:rFonts w:hint="default"/>
          <w:color w:val="auto"/>
          <w:lang w:val="en-US" w:eastAsia="zh-CN"/>
        </w:rPr>
      </w:pPr>
      <w:r>
        <w:rPr>
          <w:rFonts w:hint="eastAsia" w:ascii="宋体" w:hAnsi="宋体" w:eastAsia="宋体" w:cs="宋体"/>
          <w:color w:val="auto"/>
          <w:kern w:val="0"/>
          <w:sz w:val="22"/>
          <w:szCs w:val="22"/>
          <w:lang w:val="en-US" w:eastAsia="zh-CN" w:bidi="ar-SA"/>
        </w:rPr>
        <w:t>（2）</w:t>
      </w:r>
      <w:r>
        <w:rPr>
          <w:rFonts w:hint="eastAsia" w:ascii="宋体" w:hAnsi="宋体" w:eastAsia="宋体" w:cs="宋体"/>
          <w:color w:val="auto"/>
          <w:kern w:val="0"/>
          <w:sz w:val="22"/>
          <w:szCs w:val="22"/>
          <w:lang w:val="en-GB" w:eastAsia="zh-CN" w:bidi="ar-SA"/>
        </w:rPr>
        <w:t>集中授课：主要培训对象为领导、系统管理员和业务技术人员，进行集中授课培训。集中授课针对培训对象的不同，设置不同培训内容，进行分批次专项培训。</w:t>
      </w:r>
    </w:p>
    <w:p>
      <w:pPr>
        <w:pageBreakBefore w:val="0"/>
        <w:widowControl w:val="0"/>
        <w:kinsoku/>
        <w:wordWrap/>
        <w:topLinePunct w:val="0"/>
        <w:autoSpaceDE/>
        <w:autoSpaceDN/>
        <w:bidi w:val="0"/>
        <w:adjustRightInd/>
        <w:snapToGrid/>
        <w:spacing w:line="360" w:lineRule="auto"/>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（三）报价要求</w:t>
      </w:r>
    </w:p>
    <w:p>
      <w:pPr>
        <w:pageBreakBefore w:val="0"/>
        <w:widowControl w:val="0"/>
        <w:kinsoku/>
        <w:wordWrap/>
        <w:topLinePunct w:val="0"/>
        <w:autoSpaceDE/>
        <w:autoSpaceDN/>
        <w:bidi w:val="0"/>
        <w:adjustRightInd/>
        <w:snapToGrid/>
        <w:spacing w:line="360" w:lineRule="auto"/>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本次报价为人民币报价，投标报价应包括：货物本身价格、包装费、运输费用、二次搬运费、装卸费、专业工具、运输、安装调试费用、</w:t>
      </w:r>
      <w:r>
        <w:rPr>
          <w:rFonts w:hint="eastAsia" w:ascii="宋体" w:hAnsi="宋体" w:eastAsia="宋体" w:cs="宋体"/>
          <w:b/>
          <w:bCs/>
          <w:color w:val="auto"/>
          <w:kern w:val="0"/>
          <w:sz w:val="22"/>
          <w:szCs w:val="22"/>
          <w:lang w:eastAsia="zh-CN"/>
        </w:rPr>
        <w:t>使用</w:t>
      </w:r>
      <w:r>
        <w:rPr>
          <w:rFonts w:hint="eastAsia" w:ascii="宋体" w:hAnsi="宋体" w:eastAsia="宋体" w:cs="宋体"/>
          <w:b/>
          <w:bCs/>
          <w:color w:val="auto"/>
          <w:kern w:val="0"/>
          <w:sz w:val="22"/>
          <w:szCs w:val="22"/>
        </w:rPr>
        <w:t>人员技术培训培训费用、损耗、保险费用、税金费用、自检费、人工费、其他配件费及验收合格前和质保期内发生的一切费用、应当提供的伴随服务/售后服务费用</w:t>
      </w:r>
      <w:r>
        <w:rPr>
          <w:rFonts w:hint="eastAsia" w:ascii="宋体" w:hAnsi="宋体" w:eastAsia="宋体" w:cs="宋体"/>
          <w:b/>
          <w:bCs/>
          <w:color w:val="auto"/>
          <w:kern w:val="0"/>
          <w:sz w:val="22"/>
          <w:szCs w:val="22"/>
          <w:lang w:eastAsia="zh-CN"/>
        </w:rPr>
        <w:t>等</w:t>
      </w:r>
      <w:r>
        <w:rPr>
          <w:rFonts w:hint="eastAsia" w:ascii="宋体" w:hAnsi="宋体" w:eastAsia="宋体" w:cs="宋体"/>
          <w:b/>
          <w:bCs/>
          <w:color w:val="auto"/>
          <w:kern w:val="0"/>
          <w:sz w:val="22"/>
          <w:szCs w:val="22"/>
        </w:rPr>
        <w:t>。</w:t>
      </w:r>
    </w:p>
    <w:p>
      <w:pPr>
        <w:pageBreakBefore w:val="0"/>
        <w:widowControl w:val="0"/>
        <w:kinsoku/>
        <w:wordWrap/>
        <w:topLinePunct w:val="0"/>
        <w:autoSpaceDE/>
        <w:autoSpaceDN/>
        <w:bidi w:val="0"/>
        <w:adjustRightInd/>
        <w:snapToGrid/>
        <w:spacing w:line="360" w:lineRule="auto"/>
        <w:ind w:firstLine="442" w:firstLineChars="2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（四）质保要求</w:t>
      </w:r>
    </w:p>
    <w:p>
      <w:pPr>
        <w:pageBreakBefore w:val="0"/>
        <w:widowControl w:val="0"/>
        <w:kinsoku/>
        <w:wordWrap/>
        <w:overflowPunct w:val="0"/>
        <w:topLinePunct w:val="0"/>
        <w:autoSpaceDE/>
        <w:autoSpaceDN/>
        <w:bidi w:val="0"/>
        <w:adjustRightInd/>
        <w:snapToGrid/>
        <w:spacing w:line="360" w:lineRule="auto"/>
        <w:ind w:firstLine="442" w:firstLineChars="200"/>
        <w:rPr>
          <w:rFonts w:hint="default"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1、质保期</w:t>
      </w:r>
      <w:r>
        <w:rPr>
          <w:rFonts w:hint="eastAsia" w:ascii="宋体" w:hAnsi="宋体" w:cs="宋体"/>
          <w:b/>
          <w:bCs/>
          <w:color w:val="auto"/>
          <w:sz w:val="22"/>
          <w:szCs w:val="22"/>
          <w:lang w:val="en-US" w:eastAsia="zh-CN"/>
        </w:rPr>
        <w:t>：</w:t>
      </w:r>
      <w:r>
        <w:rPr>
          <w:rFonts w:hint="eastAsia" w:ascii="宋体" w:hAnsi="宋体" w:eastAsia="宋体" w:cs="宋体"/>
          <w:b/>
          <w:bCs/>
          <w:color w:val="auto"/>
          <w:sz w:val="22"/>
          <w:szCs w:val="22"/>
          <w:lang w:val="en-US" w:eastAsia="zh-CN"/>
        </w:rPr>
        <w:t>一年</w:t>
      </w:r>
    </w:p>
    <w:p>
      <w:pPr>
        <w:overflowPunct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、乙方对合同项下的各类产品</w:t>
      </w:r>
      <w:r>
        <w:rPr>
          <w:rFonts w:hint="eastAsia" w:ascii="宋体" w:hAnsi="宋体" w:eastAsia="宋体" w:cs="宋体"/>
          <w:color w:val="auto"/>
          <w:sz w:val="22"/>
          <w:szCs w:val="22"/>
          <w:lang w:eastAsia="zh-CN"/>
        </w:rPr>
        <w:t>根据国家质量标准要求</w:t>
      </w:r>
      <w:r>
        <w:rPr>
          <w:rFonts w:hint="eastAsia" w:ascii="宋体" w:hAnsi="宋体" w:eastAsia="宋体" w:cs="宋体"/>
          <w:color w:val="auto"/>
          <w:sz w:val="22"/>
          <w:szCs w:val="22"/>
        </w:rPr>
        <w:t>质保，质保期限自验收合格双方签字时算起。在</w:t>
      </w:r>
      <w:r>
        <w:rPr>
          <w:rFonts w:hint="eastAsia" w:ascii="宋体" w:hAnsi="宋体" w:eastAsia="宋体" w:cs="宋体"/>
          <w:color w:val="auto"/>
          <w:sz w:val="22"/>
          <w:szCs w:val="22"/>
          <w:lang w:eastAsia="zh-CN"/>
        </w:rPr>
        <w:t>质保期</w:t>
      </w:r>
      <w:r>
        <w:rPr>
          <w:rFonts w:hint="eastAsia" w:ascii="宋体" w:hAnsi="宋体" w:eastAsia="宋体" w:cs="宋体"/>
          <w:color w:val="auto"/>
          <w:sz w:val="22"/>
          <w:szCs w:val="22"/>
        </w:rPr>
        <w:t>内，乙方需提供免费</w:t>
      </w:r>
      <w:r>
        <w:rPr>
          <w:rFonts w:hint="eastAsia" w:ascii="宋体" w:hAnsi="宋体" w:eastAsia="宋体" w:cs="宋体"/>
          <w:color w:val="auto"/>
          <w:sz w:val="22"/>
          <w:szCs w:val="22"/>
          <w:lang w:eastAsia="zh-CN"/>
        </w:rPr>
        <w:t>退换货服务</w:t>
      </w:r>
      <w:r>
        <w:rPr>
          <w:rFonts w:hint="eastAsia" w:ascii="宋体" w:hAnsi="宋体" w:eastAsia="宋体" w:cs="宋体"/>
          <w:color w:val="auto"/>
          <w:sz w:val="22"/>
          <w:szCs w:val="22"/>
        </w:rPr>
        <w:t>。</w:t>
      </w:r>
    </w:p>
    <w:p>
      <w:pPr>
        <w:overflowPunct w:val="0"/>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、乙方应保证所提供的货物是</w:t>
      </w:r>
      <w:r>
        <w:rPr>
          <w:rFonts w:hint="eastAsia" w:ascii="宋体" w:hAnsi="宋体" w:eastAsia="宋体" w:cs="宋体"/>
          <w:color w:val="auto"/>
          <w:sz w:val="22"/>
          <w:szCs w:val="22"/>
          <w:lang w:eastAsia="zh-CN"/>
        </w:rPr>
        <w:t>保质期内</w:t>
      </w:r>
      <w:r>
        <w:rPr>
          <w:rFonts w:hint="eastAsia" w:ascii="宋体" w:hAnsi="宋体" w:eastAsia="宋体" w:cs="宋体"/>
          <w:color w:val="auto"/>
          <w:sz w:val="22"/>
          <w:szCs w:val="22"/>
        </w:rPr>
        <w:t>，并完全符合国家标准和行业的相关标准</w:t>
      </w:r>
      <w:r>
        <w:rPr>
          <w:rFonts w:hint="eastAsia" w:ascii="宋体" w:hAnsi="宋体" w:eastAsia="宋体" w:cs="宋体"/>
          <w:color w:val="auto"/>
          <w:sz w:val="22"/>
          <w:szCs w:val="22"/>
          <w:lang w:eastAsia="zh-CN"/>
        </w:rPr>
        <w:t>的</w:t>
      </w:r>
      <w:r>
        <w:rPr>
          <w:rFonts w:hint="eastAsia" w:ascii="宋体" w:hAnsi="宋体" w:eastAsia="宋体" w:cs="宋体"/>
          <w:color w:val="auto"/>
          <w:sz w:val="22"/>
          <w:szCs w:val="22"/>
        </w:rPr>
        <w:t>。</w:t>
      </w:r>
      <w:r>
        <w:rPr>
          <w:rFonts w:hint="eastAsia" w:ascii="宋体" w:hAnsi="宋体" w:eastAsia="宋体" w:cs="宋体"/>
          <w:color w:val="auto"/>
          <w:sz w:val="22"/>
          <w:szCs w:val="22"/>
          <w:shd w:val="clear" w:color="auto" w:fill="auto"/>
          <w:lang w:val="en-US" w:eastAsia="zh-CN"/>
        </w:rPr>
        <w:t>乙方</w:t>
      </w:r>
      <w:r>
        <w:rPr>
          <w:rFonts w:hint="eastAsia" w:ascii="宋体" w:hAnsi="宋体" w:eastAsia="宋体" w:cs="宋体"/>
          <w:color w:val="auto"/>
          <w:sz w:val="22"/>
          <w:szCs w:val="22"/>
          <w:shd w:val="clear" w:color="auto" w:fill="auto"/>
        </w:rPr>
        <w:t>在交货后，必须提供免费上门设备培训服务。</w:t>
      </w:r>
      <w:r>
        <w:rPr>
          <w:rFonts w:hint="eastAsia" w:ascii="宋体" w:hAnsi="宋体" w:eastAsia="宋体" w:cs="宋体"/>
          <w:b/>
          <w:bCs/>
          <w:color w:val="auto"/>
          <w:sz w:val="22"/>
          <w:szCs w:val="22"/>
          <w:shd w:val="clear" w:color="auto" w:fill="auto"/>
        </w:rPr>
        <w:t>验收合格后</w:t>
      </w:r>
      <w:r>
        <w:rPr>
          <w:rFonts w:hint="eastAsia" w:ascii="宋体" w:hAnsi="宋体" w:eastAsia="宋体" w:cs="宋体"/>
          <w:b/>
          <w:bCs/>
          <w:color w:val="auto"/>
          <w:sz w:val="22"/>
          <w:szCs w:val="22"/>
          <w:shd w:val="clear" w:color="auto" w:fill="auto"/>
          <w:lang w:val="en-US" w:eastAsia="zh-CN"/>
        </w:rPr>
        <w:t>质保期</w:t>
      </w:r>
      <w:r>
        <w:rPr>
          <w:rFonts w:hint="eastAsia" w:ascii="宋体" w:hAnsi="宋体" w:eastAsia="宋体" w:cs="宋体"/>
          <w:b/>
          <w:bCs/>
          <w:color w:val="auto"/>
          <w:sz w:val="22"/>
          <w:szCs w:val="22"/>
          <w:shd w:val="clear" w:color="auto" w:fill="auto"/>
        </w:rPr>
        <w:t>内，必须免费提供上门设备巡检服务。</w:t>
      </w:r>
    </w:p>
    <w:p>
      <w:pPr>
        <w:spacing w:line="4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（五）售后服务、理赔、质量技术及验收保证的承诺</w:t>
      </w:r>
    </w:p>
    <w:p>
      <w:pPr>
        <w:spacing w:line="44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1、产品质量：在合同期内，甲方正常使用乙方所供产品而出现质量问题时，乙方负责。产品使用：甲方在使用乙方所供产品中出现问题需乙方解决时，乙方应无偿解决（退换货）。</w:t>
      </w:r>
    </w:p>
    <w:p>
      <w:pPr>
        <w:spacing w:line="44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2、验收</w:t>
      </w:r>
    </w:p>
    <w:p>
      <w:pPr>
        <w:spacing w:line="44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①、货物到达现场后，供应商应在使用单位人员在场情况下当面共同清点、检查，作出检查记录，双方签字确认。</w:t>
      </w:r>
    </w:p>
    <w:p>
      <w:pPr>
        <w:spacing w:line="440" w:lineRule="exact"/>
        <w:ind w:firstLine="440" w:firstLineChars="20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color w:val="auto"/>
          <w:kern w:val="0"/>
          <w:sz w:val="22"/>
          <w:szCs w:val="22"/>
          <w:highlight w:val="none"/>
        </w:rPr>
        <w:t>②</w:t>
      </w:r>
      <w:r>
        <w:rPr>
          <w:rFonts w:hint="eastAsia" w:ascii="宋体" w:hAnsi="宋体" w:eastAsia="宋体" w:cs="宋体"/>
          <w:b/>
          <w:bCs/>
          <w:color w:val="auto"/>
          <w:kern w:val="0"/>
          <w:sz w:val="22"/>
          <w:szCs w:val="22"/>
          <w:highlight w:val="none"/>
        </w:rPr>
        <w:t>、货物验收时，供应商向采购人提供所有</w:t>
      </w:r>
      <w:r>
        <w:rPr>
          <w:rFonts w:hint="eastAsia" w:ascii="宋体" w:hAnsi="宋体" w:eastAsia="宋体" w:cs="宋体"/>
          <w:b/>
          <w:bCs/>
          <w:color w:val="auto"/>
          <w:kern w:val="0"/>
          <w:sz w:val="22"/>
          <w:szCs w:val="22"/>
          <w:highlight w:val="none"/>
          <w:lang w:eastAsia="zh-CN"/>
        </w:rPr>
        <w:t>产品</w:t>
      </w:r>
      <w:r>
        <w:rPr>
          <w:rFonts w:hint="eastAsia" w:ascii="宋体" w:hAnsi="宋体" w:eastAsia="宋体" w:cs="宋体"/>
          <w:b/>
          <w:bCs/>
          <w:color w:val="auto"/>
          <w:kern w:val="0"/>
          <w:sz w:val="22"/>
          <w:szCs w:val="22"/>
          <w:highlight w:val="none"/>
        </w:rPr>
        <w:t>的生产厂家出具的出厂合格证、厂家资格证件、</w:t>
      </w:r>
      <w:r>
        <w:rPr>
          <w:rFonts w:hint="eastAsia" w:ascii="宋体" w:hAnsi="宋体" w:eastAsia="宋体" w:cs="宋体"/>
          <w:b/>
          <w:bCs/>
          <w:color w:val="auto"/>
          <w:kern w:val="0"/>
          <w:sz w:val="22"/>
          <w:szCs w:val="22"/>
          <w:highlight w:val="none"/>
          <w:lang w:eastAsia="zh-CN"/>
        </w:rPr>
        <w:t>第三方出具的产品检测报告原件、使用</w:t>
      </w:r>
      <w:r>
        <w:rPr>
          <w:rFonts w:hint="eastAsia" w:ascii="宋体" w:hAnsi="宋体" w:eastAsia="宋体" w:cs="宋体"/>
          <w:b/>
          <w:bCs/>
          <w:color w:val="auto"/>
          <w:kern w:val="0"/>
          <w:sz w:val="22"/>
          <w:szCs w:val="22"/>
          <w:highlight w:val="none"/>
        </w:rPr>
        <w:t>手册等，否则甲方不予以验收</w:t>
      </w:r>
      <w:r>
        <w:rPr>
          <w:rFonts w:hint="eastAsia" w:ascii="宋体" w:hAnsi="宋体" w:eastAsia="宋体" w:cs="宋体"/>
          <w:b/>
          <w:bCs/>
          <w:color w:val="auto"/>
          <w:kern w:val="0"/>
          <w:sz w:val="22"/>
          <w:szCs w:val="22"/>
          <w:highlight w:val="none"/>
          <w:lang w:eastAsia="zh-CN"/>
        </w:rPr>
        <w:t>。</w:t>
      </w:r>
    </w:p>
    <w:p>
      <w:pPr>
        <w:spacing w:line="44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w:t>
      </w:r>
      <w:r>
        <w:rPr>
          <w:rFonts w:hint="eastAsia" w:ascii="宋体" w:hAnsi="宋体" w:eastAsia="宋体" w:cs="宋体"/>
          <w:b/>
          <w:bCs/>
          <w:color w:val="auto"/>
          <w:kern w:val="0"/>
          <w:sz w:val="22"/>
          <w:szCs w:val="22"/>
        </w:rPr>
        <w:t>售后服务</w:t>
      </w:r>
    </w:p>
    <w:p>
      <w:pPr>
        <w:spacing w:line="5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①、凡乙方所售产品，在</w:t>
      </w:r>
      <w:r>
        <w:rPr>
          <w:rFonts w:hint="eastAsia" w:ascii="宋体" w:hAnsi="宋体" w:eastAsia="宋体" w:cs="宋体"/>
          <w:color w:val="auto"/>
          <w:kern w:val="0"/>
          <w:sz w:val="22"/>
          <w:szCs w:val="22"/>
          <w:lang w:eastAsia="zh-CN"/>
        </w:rPr>
        <w:t>质保期</w:t>
      </w:r>
      <w:r>
        <w:rPr>
          <w:rFonts w:hint="eastAsia" w:ascii="宋体" w:hAnsi="宋体" w:eastAsia="宋体" w:cs="宋体"/>
          <w:color w:val="auto"/>
          <w:kern w:val="0"/>
          <w:sz w:val="22"/>
          <w:szCs w:val="22"/>
        </w:rPr>
        <w:t>之内</w:t>
      </w:r>
      <w:r>
        <w:rPr>
          <w:rFonts w:hint="eastAsia" w:ascii="宋体" w:hAnsi="宋体" w:eastAsia="宋体" w:cs="宋体"/>
          <w:color w:val="auto"/>
          <w:kern w:val="0"/>
          <w:sz w:val="22"/>
          <w:szCs w:val="22"/>
          <w:lang w:eastAsia="zh-CN"/>
        </w:rPr>
        <w:t>出现产品质量问题，免费提供退换货服务，并承担产品质量问题带来的后果</w:t>
      </w:r>
      <w:r>
        <w:rPr>
          <w:rFonts w:hint="eastAsia" w:ascii="宋体" w:hAnsi="宋体" w:eastAsia="宋体" w:cs="宋体"/>
          <w:color w:val="auto"/>
          <w:kern w:val="0"/>
          <w:sz w:val="22"/>
          <w:szCs w:val="22"/>
        </w:rPr>
        <w:t>。</w:t>
      </w:r>
    </w:p>
    <w:p>
      <w:pPr>
        <w:spacing w:line="50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②、在</w:t>
      </w:r>
      <w:r>
        <w:rPr>
          <w:rFonts w:hint="eastAsia" w:ascii="宋体" w:hAnsi="宋体" w:eastAsia="宋体" w:cs="宋体"/>
          <w:color w:val="auto"/>
          <w:kern w:val="0"/>
          <w:sz w:val="22"/>
          <w:szCs w:val="22"/>
          <w:lang w:eastAsia="zh-CN"/>
        </w:rPr>
        <w:t>质保期</w:t>
      </w:r>
      <w:r>
        <w:rPr>
          <w:rFonts w:hint="eastAsia" w:ascii="宋体" w:hAnsi="宋体" w:eastAsia="宋体" w:cs="宋体"/>
          <w:color w:val="auto"/>
          <w:kern w:val="0"/>
          <w:sz w:val="22"/>
          <w:szCs w:val="22"/>
        </w:rPr>
        <w:t>外，提供</w:t>
      </w:r>
      <w:r>
        <w:rPr>
          <w:rFonts w:hint="eastAsia" w:ascii="宋体" w:hAnsi="宋体" w:eastAsia="宋体" w:cs="宋体"/>
          <w:color w:val="auto"/>
          <w:kern w:val="0"/>
          <w:sz w:val="22"/>
          <w:szCs w:val="22"/>
          <w:lang w:eastAsia="zh-CN"/>
        </w:rPr>
        <w:t>产品</w:t>
      </w:r>
      <w:r>
        <w:rPr>
          <w:rFonts w:hint="eastAsia" w:ascii="宋体" w:hAnsi="宋体" w:eastAsia="宋体" w:cs="宋体"/>
          <w:color w:val="auto"/>
          <w:kern w:val="0"/>
          <w:sz w:val="22"/>
          <w:szCs w:val="22"/>
        </w:rPr>
        <w:t>（只计取成本费）。</w:t>
      </w:r>
    </w:p>
    <w:p>
      <w:pPr>
        <w:spacing w:line="500" w:lineRule="exact"/>
        <w:ind w:firstLine="440" w:firstLineChars="200"/>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③、</w:t>
      </w:r>
      <w:r>
        <w:rPr>
          <w:rFonts w:hint="eastAsia" w:ascii="宋体" w:hAnsi="宋体" w:eastAsia="宋体" w:cs="宋体"/>
          <w:color w:val="auto"/>
          <w:kern w:val="0"/>
          <w:sz w:val="22"/>
          <w:szCs w:val="22"/>
          <w:lang w:eastAsia="zh-CN"/>
        </w:rPr>
        <w:t>质保期内提供相应的产品使用技术指导，并排专职技术人员对产品使用人员进行产品使用培训。</w:t>
      </w:r>
    </w:p>
    <w:p>
      <w:pPr>
        <w:spacing w:line="500" w:lineRule="exact"/>
        <w:ind w:firstLine="440" w:firstLineChars="200"/>
        <w:rPr>
          <w:rFonts w:hint="eastAsia" w:ascii="宋体" w:hAnsi="宋体" w:eastAsia="宋体" w:cs="宋体"/>
          <w:color w:val="auto"/>
          <w:kern w:val="0"/>
          <w:sz w:val="22"/>
          <w:szCs w:val="22"/>
          <w:highlight w:val="yellow"/>
          <w:lang w:eastAsia="zh-CN"/>
        </w:rPr>
      </w:pPr>
      <w:r>
        <w:rPr>
          <w:rFonts w:hint="eastAsia" w:ascii="宋体" w:hAnsi="宋体" w:eastAsia="宋体" w:cs="宋体"/>
          <w:color w:val="auto"/>
          <w:kern w:val="0"/>
          <w:sz w:val="22"/>
          <w:szCs w:val="22"/>
          <w:lang w:eastAsia="zh-CN"/>
        </w:rPr>
        <w:t>④、凡所售产品在使用后，乙方需定时进行回访排查，保证产品使用效果，并根据使用效果提出建设性意见。</w:t>
      </w:r>
    </w:p>
    <w:p>
      <w:pPr>
        <w:spacing w:line="440" w:lineRule="exact"/>
        <w:ind w:firstLine="440" w:firstLineChars="20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、甲方正常使用乙方所供产品出现</w:t>
      </w:r>
      <w:r>
        <w:rPr>
          <w:rFonts w:hint="eastAsia" w:ascii="宋体" w:hAnsi="宋体" w:eastAsia="宋体" w:cs="宋体"/>
          <w:color w:val="auto"/>
          <w:kern w:val="0"/>
          <w:sz w:val="22"/>
          <w:szCs w:val="22"/>
          <w:lang w:eastAsia="zh-CN"/>
        </w:rPr>
        <w:t>技术问题</w:t>
      </w:r>
      <w:r>
        <w:rPr>
          <w:rFonts w:hint="eastAsia" w:ascii="宋体" w:hAnsi="宋体" w:eastAsia="宋体" w:cs="宋体"/>
          <w:color w:val="auto"/>
          <w:kern w:val="0"/>
          <w:sz w:val="22"/>
          <w:szCs w:val="22"/>
        </w:rPr>
        <w:t>时，乙方须在1小时内响应，</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小时内到达现场进行处理，一般12小时内解决问题，重大</w:t>
      </w:r>
      <w:r>
        <w:rPr>
          <w:rFonts w:hint="eastAsia" w:ascii="宋体" w:hAnsi="宋体" w:eastAsia="宋体" w:cs="宋体"/>
          <w:color w:val="auto"/>
          <w:kern w:val="0"/>
          <w:sz w:val="22"/>
          <w:szCs w:val="22"/>
          <w:lang w:eastAsia="zh-CN"/>
        </w:rPr>
        <w:t>问题</w:t>
      </w:r>
      <w:r>
        <w:rPr>
          <w:rFonts w:hint="eastAsia" w:ascii="宋体" w:hAnsi="宋体" w:eastAsia="宋体" w:cs="宋体"/>
          <w:color w:val="auto"/>
          <w:kern w:val="0"/>
          <w:sz w:val="22"/>
          <w:szCs w:val="22"/>
        </w:rPr>
        <w:t>48小时内</w:t>
      </w:r>
      <w:r>
        <w:rPr>
          <w:rFonts w:hint="eastAsia" w:ascii="宋体" w:hAnsi="宋体" w:eastAsia="宋体" w:cs="宋体"/>
          <w:color w:val="auto"/>
          <w:kern w:val="0"/>
          <w:sz w:val="22"/>
          <w:szCs w:val="22"/>
          <w:lang w:eastAsia="zh-CN"/>
        </w:rPr>
        <w:t>解决</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eastAsia="zh-CN"/>
        </w:rPr>
        <w:t>（需参考投标人维修质保点距离供货点是否能在</w:t>
      </w:r>
      <w:r>
        <w:rPr>
          <w:rFonts w:hint="eastAsia" w:ascii="宋体" w:hAnsi="宋体" w:eastAsia="宋体" w:cs="宋体"/>
          <w:color w:val="auto"/>
          <w:kern w:val="0"/>
          <w:sz w:val="22"/>
          <w:szCs w:val="22"/>
          <w:lang w:val="en-US" w:eastAsia="zh-CN"/>
        </w:rPr>
        <w:t>4小时内到达</w:t>
      </w:r>
      <w:r>
        <w:rPr>
          <w:rFonts w:hint="eastAsia" w:ascii="宋体" w:hAnsi="宋体" w:eastAsia="宋体" w:cs="宋体"/>
          <w:color w:val="auto"/>
          <w:kern w:val="0"/>
          <w:sz w:val="22"/>
          <w:szCs w:val="22"/>
          <w:lang w:eastAsia="zh-CN"/>
        </w:rPr>
        <w:t>）</w:t>
      </w:r>
    </w:p>
    <w:p>
      <w:pPr>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、投标人设有健全的售后服务机构网点，终端售后服务机构网点有明细以便监督（包括至少有1名技术人员电话、地址、联系人等）。</w:t>
      </w:r>
    </w:p>
    <w:p>
      <w:pPr>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、供应商提供的货物未达到招标文件规定要求，且对采购人造成损失的，由供应商承担一切责任，并赔偿所造成的损失。</w:t>
      </w:r>
    </w:p>
    <w:p>
      <w:pPr>
        <w:spacing w:line="440" w:lineRule="exact"/>
        <w:ind w:firstLine="442" w:firstLineChars="200"/>
        <w:jc w:val="left"/>
        <w:rPr>
          <w:rFonts w:hint="eastAsia" w:ascii="宋体" w:hAnsi="宋体" w:eastAsia="宋体" w:cs="宋体"/>
          <w:snapToGrid/>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rPr>
        <w:t>（六）付款方式</w:t>
      </w:r>
    </w:p>
    <w:p>
      <w:pPr>
        <w:pStyle w:val="20"/>
        <w:rPr>
          <w:rFonts w:hint="eastAsia" w:ascii="宋体" w:hAnsi="宋体" w:eastAsia="宋体" w:cs="宋体"/>
          <w:snapToGrid/>
          <w:color w:val="auto"/>
          <w:kern w:val="0"/>
          <w:sz w:val="22"/>
          <w:szCs w:val="22"/>
          <w:highlight w:val="none"/>
          <w:lang w:val="en-US" w:eastAsia="zh-CN" w:bidi="ar-SA"/>
        </w:rPr>
      </w:pPr>
      <w:r>
        <w:rPr>
          <w:rFonts w:hint="eastAsia" w:ascii="宋体" w:hAnsi="宋体" w:eastAsia="宋体" w:cs="宋体"/>
          <w:snapToGrid/>
          <w:color w:val="auto"/>
          <w:kern w:val="0"/>
          <w:sz w:val="22"/>
          <w:szCs w:val="22"/>
          <w:highlight w:val="none"/>
          <w:lang w:val="en-US" w:eastAsia="zh-CN" w:bidi="ar-SA"/>
        </w:rPr>
        <w:t>第一次付款：合同生效后7个工作日内日，甲方支付合同总额</w:t>
      </w:r>
      <w:r>
        <w:rPr>
          <w:rFonts w:hint="eastAsia" w:hAnsi="宋体" w:cs="宋体"/>
          <w:snapToGrid/>
          <w:color w:val="auto"/>
          <w:kern w:val="0"/>
          <w:sz w:val="22"/>
          <w:szCs w:val="22"/>
          <w:highlight w:val="none"/>
          <w:lang w:val="en-US" w:eastAsia="zh-CN" w:bidi="ar-SA"/>
        </w:rPr>
        <w:t>25</w:t>
      </w:r>
      <w:r>
        <w:rPr>
          <w:rFonts w:hint="eastAsia" w:ascii="宋体" w:hAnsi="宋体" w:eastAsia="宋体" w:cs="宋体"/>
          <w:snapToGrid/>
          <w:color w:val="auto"/>
          <w:kern w:val="0"/>
          <w:sz w:val="22"/>
          <w:szCs w:val="22"/>
          <w:highlight w:val="none"/>
          <w:lang w:val="en-US" w:eastAsia="zh-CN" w:bidi="ar-SA"/>
        </w:rPr>
        <w:t xml:space="preserve">%    </w:t>
      </w:r>
    </w:p>
    <w:p>
      <w:pPr>
        <w:pStyle w:val="20"/>
        <w:rPr>
          <w:rFonts w:hint="eastAsia" w:ascii="宋体" w:hAnsi="宋体" w:eastAsia="宋体" w:cs="宋体"/>
          <w:snapToGrid/>
          <w:color w:val="auto"/>
          <w:kern w:val="0"/>
          <w:sz w:val="22"/>
          <w:szCs w:val="22"/>
          <w:highlight w:val="none"/>
          <w:lang w:val="en-US" w:eastAsia="zh-CN" w:bidi="ar-SA"/>
        </w:rPr>
      </w:pPr>
      <w:r>
        <w:rPr>
          <w:rFonts w:hint="eastAsia" w:ascii="宋体" w:hAnsi="宋体" w:eastAsia="宋体" w:cs="宋体"/>
          <w:snapToGrid/>
          <w:color w:val="auto"/>
          <w:kern w:val="0"/>
          <w:sz w:val="22"/>
          <w:szCs w:val="22"/>
          <w:highlight w:val="none"/>
          <w:lang w:val="en-US" w:eastAsia="zh-CN" w:bidi="ar-SA"/>
        </w:rPr>
        <w:t>第二次付款：合同内所有硬件设备、软件全部安装调试完毕且初验合格后通过甲方组织的验收后的7个工作日内日，支付合同总金额的</w:t>
      </w:r>
      <w:r>
        <w:rPr>
          <w:rFonts w:hint="eastAsia" w:hAnsi="宋体" w:cs="宋体"/>
          <w:snapToGrid/>
          <w:color w:val="auto"/>
          <w:kern w:val="0"/>
          <w:sz w:val="22"/>
          <w:szCs w:val="22"/>
          <w:highlight w:val="none"/>
          <w:lang w:val="en-US" w:eastAsia="zh-CN" w:bidi="ar-SA"/>
        </w:rPr>
        <w:t>3</w:t>
      </w:r>
      <w:r>
        <w:rPr>
          <w:rFonts w:hint="eastAsia" w:ascii="宋体" w:hAnsi="宋体" w:eastAsia="宋体" w:cs="宋体"/>
          <w:snapToGrid/>
          <w:color w:val="auto"/>
          <w:kern w:val="0"/>
          <w:sz w:val="22"/>
          <w:szCs w:val="22"/>
          <w:highlight w:val="none"/>
          <w:lang w:val="en-US" w:eastAsia="zh-CN" w:bidi="ar-SA"/>
        </w:rPr>
        <w:t>0%。</w:t>
      </w:r>
    </w:p>
    <w:p>
      <w:pPr>
        <w:pStyle w:val="20"/>
        <w:rPr>
          <w:rFonts w:hint="eastAsia" w:ascii="宋体" w:hAnsi="宋体" w:eastAsia="宋体" w:cs="宋体"/>
          <w:snapToGrid/>
          <w:color w:val="auto"/>
          <w:kern w:val="0"/>
          <w:sz w:val="22"/>
          <w:szCs w:val="22"/>
          <w:highlight w:val="none"/>
          <w:lang w:val="en-US" w:eastAsia="zh-CN" w:bidi="ar-SA"/>
        </w:rPr>
      </w:pPr>
      <w:r>
        <w:rPr>
          <w:rFonts w:hint="eastAsia" w:ascii="宋体" w:hAnsi="宋体" w:eastAsia="宋体" w:cs="宋体"/>
          <w:snapToGrid/>
          <w:color w:val="auto"/>
          <w:kern w:val="0"/>
          <w:sz w:val="22"/>
          <w:szCs w:val="22"/>
          <w:highlight w:val="none"/>
          <w:lang w:val="en-US" w:eastAsia="zh-CN" w:bidi="ar-SA"/>
        </w:rPr>
        <w:t>第三次付款：合同内所有硬件设备、软件全部安装调试完毕且最终验收合格后通过甲方组织的验收后的7个工作日内日，支付合同总金额的</w:t>
      </w:r>
      <w:r>
        <w:rPr>
          <w:rFonts w:hint="eastAsia" w:hAnsi="宋体" w:cs="宋体"/>
          <w:snapToGrid/>
          <w:color w:val="auto"/>
          <w:kern w:val="0"/>
          <w:sz w:val="22"/>
          <w:szCs w:val="22"/>
          <w:highlight w:val="none"/>
          <w:lang w:val="en-US" w:eastAsia="zh-CN" w:bidi="ar-SA"/>
        </w:rPr>
        <w:t>45</w:t>
      </w:r>
      <w:r>
        <w:rPr>
          <w:rFonts w:hint="eastAsia" w:ascii="宋体" w:hAnsi="宋体" w:eastAsia="宋体" w:cs="宋体"/>
          <w:snapToGrid/>
          <w:color w:val="auto"/>
          <w:kern w:val="0"/>
          <w:sz w:val="22"/>
          <w:szCs w:val="22"/>
          <w:highlight w:val="none"/>
          <w:lang w:val="en-US" w:eastAsia="zh-CN" w:bidi="ar-SA"/>
        </w:rPr>
        <w:t>%。</w:t>
      </w:r>
    </w:p>
    <w:p>
      <w:pPr>
        <w:pStyle w:val="20"/>
        <w:rPr>
          <w:rFonts w:hint="eastAsia" w:ascii="宋体" w:hAnsi="宋体" w:eastAsia="宋体" w:cs="宋体"/>
          <w:snapToGrid/>
          <w:color w:val="auto"/>
          <w:kern w:val="0"/>
          <w:sz w:val="22"/>
          <w:szCs w:val="22"/>
          <w:highlight w:val="none"/>
          <w:lang w:val="en-US" w:eastAsia="zh-CN" w:bidi="ar-SA"/>
        </w:rPr>
      </w:pPr>
      <w:r>
        <w:rPr>
          <w:rFonts w:hint="eastAsia" w:ascii="宋体" w:hAnsi="宋体" w:eastAsia="宋体" w:cs="宋体"/>
          <w:snapToGrid/>
          <w:color w:val="auto"/>
          <w:kern w:val="0"/>
          <w:sz w:val="22"/>
          <w:szCs w:val="22"/>
          <w:highlight w:val="none"/>
          <w:lang w:val="en-US" w:eastAsia="zh-CN" w:bidi="ar-SA"/>
        </w:rPr>
        <w:t>最终以实际发生的数量为依据进行结算。（具体付款方式以最终签订的合同为准）</w:t>
      </w:r>
    </w:p>
    <w:p>
      <w:pPr>
        <w:spacing w:line="440" w:lineRule="exact"/>
        <w:ind w:firstLine="442" w:firstLineChars="200"/>
        <w:jc w:val="left"/>
        <w:rPr>
          <w:rFonts w:hint="eastAsia" w:ascii="宋体" w:hAnsi="宋体" w:eastAsia="宋体" w:cs="宋体"/>
          <w:b/>
          <w:bCs/>
          <w:color w:val="auto"/>
          <w:kern w:val="0"/>
          <w:sz w:val="22"/>
          <w:szCs w:val="22"/>
          <w:highlight w:val="none"/>
        </w:rPr>
      </w:pPr>
      <w:bookmarkStart w:id="476" w:name="_Toc267320052"/>
      <w:bookmarkStart w:id="477" w:name="_Toc340225294"/>
      <w:r>
        <w:rPr>
          <w:rFonts w:hint="eastAsia" w:ascii="宋体" w:hAnsi="宋体" w:eastAsia="宋体" w:cs="宋体"/>
          <w:b/>
          <w:bCs/>
          <w:color w:val="auto"/>
          <w:kern w:val="0"/>
          <w:sz w:val="22"/>
          <w:szCs w:val="22"/>
          <w:highlight w:val="none"/>
        </w:rPr>
        <w:t>（七）知识产权</w:t>
      </w:r>
      <w:bookmarkEnd w:id="476"/>
      <w:bookmarkEnd w:id="477"/>
    </w:p>
    <w:p>
      <w:pPr>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442" w:firstLineChars="200"/>
        <w:jc w:val="left"/>
        <w:rPr>
          <w:rFonts w:hint="eastAsia" w:ascii="宋体" w:hAnsi="宋体" w:eastAsia="宋体" w:cs="宋体"/>
          <w:b/>
          <w:bCs/>
          <w:color w:val="auto"/>
          <w:kern w:val="0"/>
          <w:sz w:val="22"/>
          <w:szCs w:val="22"/>
          <w:highlight w:val="none"/>
        </w:rPr>
      </w:pPr>
      <w:bookmarkStart w:id="478" w:name="_Toc340225296"/>
      <w:bookmarkStart w:id="479" w:name="_Toc267320054"/>
      <w:r>
        <w:rPr>
          <w:rFonts w:hint="eastAsia" w:ascii="宋体" w:hAnsi="宋体" w:eastAsia="宋体" w:cs="宋体"/>
          <w:b/>
          <w:bCs/>
          <w:color w:val="auto"/>
          <w:kern w:val="0"/>
          <w:sz w:val="22"/>
          <w:szCs w:val="22"/>
          <w:highlight w:val="none"/>
        </w:rPr>
        <w:t>（八）其他</w:t>
      </w:r>
      <w:bookmarkEnd w:id="478"/>
      <w:bookmarkEnd w:id="479"/>
    </w:p>
    <w:p>
      <w:pPr>
        <w:spacing w:line="44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1、投标人必须在投标文件中对以上条款和服务承诺明确列出，承诺内容必须达到本篇及招标文件其他条款的要求。</w:t>
      </w:r>
    </w:p>
    <w:p>
      <w:pPr>
        <w:spacing w:line="240" w:lineRule="atLeas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2、其他未尽事宜由供需双方在采购合同中详细约定。</w:t>
      </w:r>
    </w:p>
    <w:p>
      <w:pPr>
        <w:rPr>
          <w:lang w:val="en-US" w:eastAsia="zh-CN"/>
        </w:rPr>
        <w:sectPr>
          <w:pgSz w:w="11906" w:h="16838"/>
          <w:pgMar w:top="1440" w:right="1486" w:bottom="1440" w:left="1800" w:header="851" w:footer="992" w:gutter="0"/>
          <w:pgNumType w:fmt="decimal"/>
          <w:cols w:space="425" w:num="1"/>
          <w:docGrid w:type="lines" w:linePitch="312" w:charSpace="0"/>
        </w:sectPr>
      </w:pPr>
    </w:p>
    <w:p>
      <w:pPr>
        <w:pStyle w:val="24"/>
        <w:pageBreakBefore/>
        <w:rPr>
          <w:color w:val="auto"/>
        </w:rPr>
      </w:pPr>
      <w:r>
        <w:rPr>
          <w:rFonts w:hint="eastAsia"/>
          <w:color w:val="auto"/>
        </w:rPr>
        <w:t>第6章  评标方法和标准</w:t>
      </w:r>
      <w:bookmarkEnd w:id="461"/>
      <w:bookmarkEnd w:id="462"/>
      <w:bookmarkEnd w:id="463"/>
      <w:bookmarkEnd w:id="464"/>
      <w:bookmarkEnd w:id="465"/>
      <w:bookmarkEnd w:id="466"/>
      <w:bookmarkEnd w:id="467"/>
      <w:bookmarkEnd w:id="468"/>
      <w:bookmarkEnd w:id="469"/>
    </w:p>
    <w:bookmarkEnd w:id="470"/>
    <w:p>
      <w:pPr>
        <w:pStyle w:val="10"/>
        <w:snapToGrid w:val="0"/>
        <w:spacing w:before="0" w:line="400" w:lineRule="exact"/>
        <w:ind w:firstLine="540" w:firstLineChars="225"/>
        <w:textAlignment w:val="baseline"/>
        <w:rPr>
          <w:rFonts w:ascii="微软雅黑" w:hAnsi="微软雅黑" w:eastAsia="微软雅黑" w:cs="微软雅黑"/>
          <w:color w:val="auto"/>
        </w:rPr>
      </w:pPr>
      <w:r>
        <w:rPr>
          <w:rFonts w:hint="eastAsia" w:ascii="微软雅黑" w:hAnsi="微软雅黑" w:eastAsia="微软雅黑" w:cs="微软雅黑"/>
          <w:color w:val="auto"/>
        </w:rPr>
        <w:t>本项目将按照招标文件第一章投标人须知中“五 开标及评标”、“六 确定中标”及本章的规定评标。</w:t>
      </w:r>
    </w:p>
    <w:p>
      <w:pPr>
        <w:pStyle w:val="15"/>
        <w:jc w:val="center"/>
        <w:rPr>
          <w:rFonts w:hint="eastAsia"/>
          <w:i w:val="0"/>
          <w:iCs/>
          <w:color w:val="auto"/>
          <w:sz w:val="28"/>
        </w:rPr>
      </w:pPr>
      <w:r>
        <w:rPr>
          <w:rFonts w:hint="eastAsia"/>
          <w:i w:val="0"/>
          <w:iCs/>
          <w:color w:val="auto"/>
          <w:sz w:val="28"/>
        </w:rPr>
        <w:t>（内容要包括</w:t>
      </w:r>
      <w:r>
        <w:rPr>
          <w:rFonts w:hint="eastAsia"/>
          <w:b/>
          <w:bCs/>
          <w:i w:val="0"/>
          <w:iCs/>
          <w:color w:val="auto"/>
          <w:sz w:val="28"/>
        </w:rPr>
        <w:t>投标无效</w:t>
      </w:r>
      <w:r>
        <w:rPr>
          <w:rFonts w:hint="eastAsia"/>
          <w:i w:val="0"/>
          <w:iCs/>
          <w:color w:val="auto"/>
          <w:sz w:val="28"/>
        </w:rPr>
        <w:t>界定和详细评标标准）</w:t>
      </w:r>
    </w:p>
    <w:p>
      <w:pPr>
        <w:pStyle w:val="15"/>
        <w:rPr>
          <w:color w:val="auto"/>
        </w:rPr>
      </w:pPr>
      <w:bookmarkStart w:id="480" w:name="_Toc20716"/>
      <w:bookmarkStart w:id="481" w:name="_Toc10194"/>
      <w:bookmarkStart w:id="482" w:name="_Toc3540"/>
    </w:p>
    <w:p>
      <w:pPr>
        <w:pStyle w:val="10"/>
        <w:numPr>
          <w:ilvl w:val="0"/>
          <w:numId w:val="13"/>
        </w:numPr>
        <w:spacing w:before="0" w:line="360" w:lineRule="auto"/>
        <w:ind w:left="635" w:leftChars="281" w:hanging="45" w:hangingChars="16"/>
        <w:jc w:val="center"/>
        <w:rPr>
          <w:rFonts w:hint="eastAsia"/>
          <w:color w:val="auto"/>
        </w:rPr>
      </w:pPr>
      <w:bookmarkStart w:id="483" w:name="_Toc14596"/>
      <w:r>
        <w:rPr>
          <w:rFonts w:hint="eastAsia"/>
          <w:b/>
          <w:bCs/>
          <w:color w:val="auto"/>
          <w:sz w:val="28"/>
          <w:szCs w:val="28"/>
        </w:rPr>
        <w:t>开标</w:t>
      </w:r>
    </w:p>
    <w:p>
      <w:pPr>
        <w:pStyle w:val="10"/>
        <w:numPr>
          <w:ilvl w:val="0"/>
          <w:numId w:val="14"/>
        </w:numPr>
        <w:spacing w:before="0" w:line="360" w:lineRule="auto"/>
        <w:ind w:leftChars="265" w:right="0" w:rightChars="0"/>
        <w:rPr>
          <w:rFonts w:hint="eastAsia"/>
          <w:color w:val="auto"/>
        </w:rPr>
      </w:pPr>
      <w:r>
        <w:rPr>
          <w:rFonts w:hint="eastAsia"/>
          <w:color w:val="auto"/>
        </w:rPr>
        <w:t xml:space="preserve">采购人和采购代理机构将按投标人须知资料表中规定的开标时间和地点组织公开开标并邀请所有投标人代表参加。投标人不足 3 家的，不得开标。 </w:t>
      </w:r>
    </w:p>
    <w:p>
      <w:pPr>
        <w:pStyle w:val="10"/>
        <w:numPr>
          <w:ilvl w:val="0"/>
          <w:numId w:val="14"/>
        </w:numPr>
        <w:spacing w:before="0" w:line="360" w:lineRule="auto"/>
        <w:ind w:leftChars="265" w:right="0" w:rightChars="0"/>
        <w:rPr>
          <w:rFonts w:hint="eastAsia"/>
        </w:rPr>
      </w:pPr>
      <w:r>
        <w:rPr>
          <w:rFonts w:hint="eastAsia"/>
          <w:color w:val="auto"/>
        </w:rPr>
        <w:t>开标时</w:t>
      </w:r>
      <w:r>
        <w:rPr>
          <w:rFonts w:hint="eastAsia"/>
        </w:rPr>
        <w:t>，由采购人或采购代理机构当众拆封投标文件第一部分，宣读投标人名称、投标价格及招标文件规定的内容。对于投标人在投标截止期前递交的投标声明，在开标时当众宣读，评标时有效。未宣读投标价格、价格折扣等实质内容，评标时不予承认。</w:t>
      </w:r>
    </w:p>
    <w:p>
      <w:pPr>
        <w:pStyle w:val="10"/>
        <w:numPr>
          <w:ilvl w:val="0"/>
          <w:numId w:val="14"/>
        </w:numPr>
        <w:spacing w:before="0" w:line="360" w:lineRule="auto"/>
        <w:ind w:leftChars="265" w:right="0" w:rightChars="0"/>
        <w:rPr>
          <w:rFonts w:hint="eastAsia"/>
        </w:rPr>
      </w:pPr>
      <w:r>
        <w:rPr>
          <w:rFonts w:hint="eastAsia"/>
        </w:rPr>
        <w:t xml:space="preserve">采购人或采购代理机构将对开标过程进行记录，由参加开标的各投标人代表和相关工作人员签字确认，并存档备查。 </w:t>
      </w:r>
    </w:p>
    <w:p>
      <w:pPr>
        <w:pStyle w:val="10"/>
        <w:numPr>
          <w:ilvl w:val="0"/>
          <w:numId w:val="14"/>
        </w:numPr>
        <w:spacing w:before="0" w:line="360" w:lineRule="auto"/>
        <w:ind w:leftChars="265" w:right="0" w:rightChars="0"/>
        <w:rPr>
          <w:rFonts w:hint="eastAsia"/>
        </w:rPr>
      </w:pPr>
      <w:r>
        <w:rPr>
          <w:rFonts w:hint="eastAsia"/>
        </w:rPr>
        <w:t>投标人代表对开标过程和开标记录有疑义，以及认为采购人、采购代理机构相关工作人员有需要回避的情形的，应当场提出询问或者回避申请。</w:t>
      </w:r>
    </w:p>
    <w:p>
      <w:pPr>
        <w:pStyle w:val="10"/>
        <w:numPr>
          <w:ilvl w:val="0"/>
          <w:numId w:val="14"/>
        </w:numPr>
        <w:spacing w:before="0" w:line="360" w:lineRule="auto"/>
        <w:ind w:leftChars="265" w:right="0" w:rightChars="0"/>
        <w:rPr>
          <w:rFonts w:hint="eastAsia"/>
        </w:rPr>
      </w:pPr>
      <w:r>
        <w:rPr>
          <w:rFonts w:hint="eastAsia"/>
        </w:rPr>
        <w:t xml:space="preserve">投标人未参加开标的，视同认可开标结果。 </w:t>
      </w:r>
    </w:p>
    <w:p>
      <w:pPr>
        <w:pStyle w:val="10"/>
        <w:numPr>
          <w:ilvl w:val="0"/>
          <w:numId w:val="13"/>
        </w:numPr>
        <w:spacing w:before="0" w:line="360" w:lineRule="auto"/>
        <w:ind w:left="635" w:leftChars="281" w:right="0" w:rightChars="0" w:hanging="45" w:hangingChars="16"/>
        <w:jc w:val="center"/>
        <w:rPr>
          <w:rFonts w:hint="eastAsia"/>
        </w:rPr>
      </w:pPr>
      <w:r>
        <w:rPr>
          <w:rFonts w:hint="eastAsia"/>
          <w:b/>
          <w:bCs/>
          <w:sz w:val="28"/>
          <w:szCs w:val="28"/>
        </w:rPr>
        <w:t>评标</w:t>
      </w:r>
      <w:r>
        <w:rPr>
          <w:rFonts w:hint="eastAsia"/>
        </w:rPr>
        <w:t xml:space="preserve"> </w:t>
      </w:r>
    </w:p>
    <w:p>
      <w:pPr>
        <w:pStyle w:val="10"/>
        <w:numPr>
          <w:ilvl w:val="0"/>
          <w:numId w:val="0"/>
        </w:numPr>
        <w:spacing w:before="0" w:line="360" w:lineRule="auto"/>
        <w:ind w:leftChars="265" w:right="0" w:rightChars="0"/>
        <w:jc w:val="both"/>
        <w:rPr>
          <w:rFonts w:hint="eastAsia"/>
          <w:b/>
          <w:bCs/>
        </w:rPr>
      </w:pPr>
      <w:r>
        <w:rPr>
          <w:rFonts w:hint="eastAsia"/>
          <w:b/>
          <w:bCs/>
        </w:rPr>
        <w:t xml:space="preserve">2.1 评审标准 </w:t>
      </w:r>
    </w:p>
    <w:p>
      <w:pPr>
        <w:pStyle w:val="10"/>
        <w:numPr>
          <w:ilvl w:val="0"/>
          <w:numId w:val="0"/>
        </w:numPr>
        <w:spacing w:before="0" w:line="360" w:lineRule="auto"/>
        <w:ind w:leftChars="265" w:right="0" w:rightChars="0"/>
        <w:jc w:val="both"/>
        <w:rPr>
          <w:rFonts w:hint="eastAsia"/>
          <w:color w:val="auto"/>
        </w:rPr>
      </w:pPr>
      <w:r>
        <w:rPr>
          <w:rFonts w:hint="eastAsia"/>
        </w:rPr>
        <w:t>1、评标工作严格执行《中华人民共和国政府采购法》、《政府采购货物和服务招标投标管理办法》</w:t>
      </w:r>
      <w:r>
        <w:rPr>
          <w:rFonts w:hint="eastAsia"/>
          <w:lang w:eastAsia="zh-CN"/>
        </w:rPr>
        <w:t>、</w:t>
      </w:r>
      <w:r>
        <w:rPr>
          <w:rFonts w:hint="eastAsia"/>
        </w:rPr>
        <w:t>中华人民共和国财政部令第87号《政府采购货物和服务招标投标</w:t>
      </w:r>
      <w:r>
        <w:rPr>
          <w:rFonts w:hint="eastAsia"/>
          <w:color w:val="auto"/>
        </w:rPr>
        <w:t xml:space="preserve">管理办法》以及国家和地方颁布的有关法令、法规。 </w:t>
      </w:r>
    </w:p>
    <w:p>
      <w:pPr>
        <w:pStyle w:val="10"/>
        <w:numPr>
          <w:ilvl w:val="0"/>
          <w:numId w:val="0"/>
        </w:numPr>
        <w:spacing w:before="0" w:line="360" w:lineRule="auto"/>
        <w:ind w:leftChars="265" w:right="0" w:rightChars="0"/>
        <w:jc w:val="both"/>
        <w:rPr>
          <w:rFonts w:hint="eastAsia"/>
          <w:color w:val="auto"/>
        </w:rPr>
      </w:pPr>
      <w:r>
        <w:rPr>
          <w:rFonts w:hint="eastAsia"/>
          <w:color w:val="auto"/>
        </w:rPr>
        <w:t xml:space="preserve">2、评标的依据是招标文件的采购需求、符合性评审、综合评分表及其补充通知、投标人的投标文件及其澄清文件以及本评标办法。 </w:t>
      </w:r>
    </w:p>
    <w:p>
      <w:pPr>
        <w:pStyle w:val="10"/>
        <w:numPr>
          <w:ilvl w:val="0"/>
          <w:numId w:val="0"/>
        </w:numPr>
        <w:spacing w:before="0" w:line="360" w:lineRule="auto"/>
        <w:ind w:leftChars="265" w:right="0" w:rightChars="0"/>
        <w:jc w:val="both"/>
        <w:rPr>
          <w:rFonts w:hint="eastAsia" w:eastAsia="宋体"/>
          <w:color w:val="auto"/>
          <w:lang w:val="en-US" w:eastAsia="zh-CN"/>
        </w:rPr>
      </w:pPr>
      <w:r>
        <w:rPr>
          <w:rFonts w:hint="eastAsia"/>
          <w:color w:val="auto"/>
        </w:rPr>
        <w:t>3、本次评标采用综合评分法，总分 100 分，其中报价得分 30 分、商务</w:t>
      </w:r>
      <w:r>
        <w:rPr>
          <w:rFonts w:hint="eastAsia"/>
          <w:color w:val="auto"/>
          <w:lang w:val="en-US" w:eastAsia="zh-CN"/>
        </w:rPr>
        <w:t>技术</w:t>
      </w:r>
      <w:r>
        <w:rPr>
          <w:rFonts w:hint="eastAsia"/>
          <w:color w:val="auto"/>
        </w:rPr>
        <w:t xml:space="preserve">得分 </w:t>
      </w:r>
      <w:r>
        <w:rPr>
          <w:rFonts w:hint="eastAsia"/>
          <w:color w:val="auto"/>
          <w:lang w:val="en-US" w:eastAsia="zh-CN"/>
        </w:rPr>
        <w:t>70</w:t>
      </w:r>
      <w:r>
        <w:rPr>
          <w:rFonts w:hint="eastAsia"/>
          <w:color w:val="auto"/>
        </w:rPr>
        <w:t xml:space="preserve"> 分</w:t>
      </w:r>
      <w:r>
        <w:rPr>
          <w:rFonts w:hint="eastAsia"/>
          <w:color w:val="auto"/>
          <w:lang w:eastAsia="zh-CN"/>
        </w:rPr>
        <w:t>。</w:t>
      </w:r>
    </w:p>
    <w:p>
      <w:pPr>
        <w:pStyle w:val="10"/>
        <w:numPr>
          <w:ilvl w:val="0"/>
          <w:numId w:val="0"/>
        </w:numPr>
        <w:spacing w:before="0" w:line="360" w:lineRule="auto"/>
        <w:ind w:leftChars="265" w:right="0" w:rightChars="0"/>
        <w:jc w:val="both"/>
        <w:rPr>
          <w:rFonts w:hint="eastAsia"/>
        </w:rPr>
      </w:pPr>
      <w:r>
        <w:rPr>
          <w:rFonts w:hint="eastAsia"/>
          <w:color w:val="auto"/>
        </w:rPr>
        <w:t>2.2 评标</w:t>
      </w:r>
      <w:r>
        <w:rPr>
          <w:rFonts w:hint="eastAsia"/>
        </w:rPr>
        <w:t>委员会的组成：</w:t>
      </w:r>
    </w:p>
    <w:p>
      <w:pPr>
        <w:pStyle w:val="10"/>
        <w:numPr>
          <w:ilvl w:val="0"/>
          <w:numId w:val="0"/>
        </w:numPr>
        <w:spacing w:before="0" w:line="360" w:lineRule="auto"/>
        <w:ind w:leftChars="265" w:right="0" w:rightChars="0"/>
        <w:jc w:val="both"/>
        <w:rPr>
          <w:rFonts w:hint="eastAsia"/>
          <w:b/>
          <w:bCs/>
        </w:rPr>
      </w:pPr>
      <w:r>
        <w:rPr>
          <w:rFonts w:hint="eastAsia"/>
          <w:b/>
          <w:bCs/>
        </w:rPr>
        <w:t xml:space="preserve">本项目评标委员会成员 </w:t>
      </w:r>
      <w:r>
        <w:rPr>
          <w:rFonts w:hint="eastAsia"/>
          <w:b/>
          <w:bCs/>
          <w:lang w:val="en-US" w:eastAsia="zh-CN"/>
        </w:rPr>
        <w:t>5</w:t>
      </w:r>
      <w:r>
        <w:rPr>
          <w:rFonts w:hint="eastAsia"/>
          <w:b/>
          <w:bCs/>
        </w:rPr>
        <w:t xml:space="preserve"> 名（由政采云专家库随机抽取 </w:t>
      </w:r>
      <w:r>
        <w:rPr>
          <w:rFonts w:hint="eastAsia"/>
          <w:b/>
          <w:bCs/>
          <w:lang w:val="en-US" w:eastAsia="zh-CN"/>
        </w:rPr>
        <w:t>4</w:t>
      </w:r>
      <w:r>
        <w:rPr>
          <w:rFonts w:hint="eastAsia"/>
          <w:b/>
          <w:bCs/>
        </w:rPr>
        <w:t xml:space="preserve"> 名，采购人委派 </w:t>
      </w:r>
      <w:r>
        <w:rPr>
          <w:rFonts w:hint="eastAsia"/>
          <w:b/>
          <w:bCs/>
          <w:lang w:val="en-US" w:eastAsia="zh-CN"/>
        </w:rPr>
        <w:t>1</w:t>
      </w:r>
      <w:r>
        <w:rPr>
          <w:rFonts w:hint="eastAsia"/>
          <w:b/>
          <w:bCs/>
        </w:rPr>
        <w:t xml:space="preserve"> 名）。 </w:t>
      </w:r>
    </w:p>
    <w:p>
      <w:pPr>
        <w:pStyle w:val="10"/>
        <w:numPr>
          <w:ilvl w:val="0"/>
          <w:numId w:val="0"/>
        </w:numPr>
        <w:spacing w:before="0" w:line="360" w:lineRule="auto"/>
        <w:ind w:leftChars="265" w:right="0" w:rightChars="0"/>
        <w:jc w:val="both"/>
        <w:rPr>
          <w:rFonts w:hint="eastAsia"/>
          <w:b/>
          <w:bCs/>
        </w:rPr>
      </w:pPr>
      <w:r>
        <w:rPr>
          <w:rFonts w:hint="eastAsia"/>
          <w:b/>
          <w:bCs/>
        </w:rPr>
        <w:t xml:space="preserve">2.3 评标纪律、回避及保密 </w:t>
      </w:r>
    </w:p>
    <w:p>
      <w:pPr>
        <w:pStyle w:val="10"/>
        <w:numPr>
          <w:ilvl w:val="0"/>
          <w:numId w:val="0"/>
        </w:numPr>
        <w:spacing w:before="0" w:line="360" w:lineRule="auto"/>
        <w:ind w:leftChars="265" w:right="0" w:rightChars="0"/>
        <w:jc w:val="both"/>
        <w:rPr>
          <w:rFonts w:hint="eastAsia"/>
        </w:rPr>
      </w:pPr>
      <w:r>
        <w:rPr>
          <w:rFonts w:hint="eastAsia"/>
        </w:rPr>
        <w:t xml:space="preserve">2.3.1 评标纪律 </w:t>
      </w:r>
    </w:p>
    <w:p>
      <w:pPr>
        <w:pStyle w:val="10"/>
        <w:numPr>
          <w:ilvl w:val="0"/>
          <w:numId w:val="0"/>
        </w:numPr>
        <w:spacing w:before="0" w:line="360" w:lineRule="auto"/>
        <w:ind w:leftChars="265" w:right="0" w:rightChars="0"/>
        <w:jc w:val="both"/>
        <w:rPr>
          <w:rFonts w:hint="eastAsia"/>
        </w:rPr>
      </w:pPr>
      <w:r>
        <w:rPr>
          <w:rFonts w:hint="eastAsia"/>
        </w:rPr>
        <w:t>1、评委出席评标活动，应主动提交身份证明，自觉接受有关工作人员的 核验和监督。</w:t>
      </w:r>
    </w:p>
    <w:p>
      <w:pPr>
        <w:pStyle w:val="10"/>
        <w:numPr>
          <w:ilvl w:val="0"/>
          <w:numId w:val="0"/>
        </w:numPr>
        <w:spacing w:before="0" w:line="360" w:lineRule="auto"/>
        <w:ind w:leftChars="265" w:right="0" w:rightChars="0"/>
        <w:jc w:val="both"/>
        <w:rPr>
          <w:rFonts w:hint="eastAsia"/>
        </w:rPr>
      </w:pPr>
      <w:r>
        <w:rPr>
          <w:rFonts w:hint="eastAsia"/>
        </w:rPr>
        <w:t>2、评委不得迟到早退，也不得转托他人参加，以确保评标时间和质量。</w:t>
      </w:r>
    </w:p>
    <w:p>
      <w:pPr>
        <w:pStyle w:val="10"/>
        <w:numPr>
          <w:ilvl w:val="0"/>
          <w:numId w:val="0"/>
        </w:numPr>
        <w:spacing w:before="0" w:line="360" w:lineRule="auto"/>
        <w:ind w:leftChars="265" w:right="0" w:rightChars="0"/>
        <w:jc w:val="both"/>
        <w:rPr>
          <w:rFonts w:hint="eastAsia"/>
        </w:rPr>
      </w:pPr>
      <w:r>
        <w:rPr>
          <w:rFonts w:hint="eastAsia"/>
        </w:rPr>
        <w:t>3、评委进入评标区域后，应主动将各种通讯工具存放在统一的保管箱内。</w:t>
      </w:r>
    </w:p>
    <w:p>
      <w:pPr>
        <w:pStyle w:val="10"/>
        <w:numPr>
          <w:ilvl w:val="0"/>
          <w:numId w:val="0"/>
        </w:numPr>
        <w:spacing w:before="0" w:line="360" w:lineRule="auto"/>
        <w:ind w:leftChars="265" w:right="0" w:rightChars="0"/>
        <w:jc w:val="both"/>
        <w:rPr>
          <w:rFonts w:hint="eastAsia"/>
        </w:rPr>
      </w:pPr>
      <w:r>
        <w:rPr>
          <w:rFonts w:hint="eastAsia"/>
        </w:rPr>
        <w:t xml:space="preserve">4、与投标人有利害关系的评标委员会成员，应主动提出回避申请。 </w:t>
      </w:r>
    </w:p>
    <w:p>
      <w:pPr>
        <w:pStyle w:val="10"/>
        <w:numPr>
          <w:ilvl w:val="0"/>
          <w:numId w:val="0"/>
        </w:numPr>
        <w:spacing w:before="0" w:line="360" w:lineRule="auto"/>
        <w:ind w:leftChars="265" w:right="0" w:rightChars="0"/>
        <w:jc w:val="both"/>
        <w:rPr>
          <w:rFonts w:hint="eastAsia"/>
        </w:rPr>
      </w:pPr>
      <w:r>
        <w:rPr>
          <w:rFonts w:hint="eastAsia"/>
        </w:rPr>
        <w:t xml:space="preserve">5、评委在评标过程中，要遵守职业道德，正确行使评审权，严格按国家 法律、法规和招标文件的规定，客观公正地对每份投标文件进行独立评审，提出评审意见。 </w:t>
      </w:r>
    </w:p>
    <w:p>
      <w:pPr>
        <w:pStyle w:val="10"/>
        <w:spacing w:before="0" w:line="360" w:lineRule="auto"/>
        <w:ind w:left="628" w:leftChars="281" w:hanging="38" w:hangingChars="16"/>
        <w:rPr>
          <w:rFonts w:hint="eastAsia"/>
        </w:rPr>
      </w:pPr>
      <w:r>
        <w:rPr>
          <w:rFonts w:hint="eastAsia"/>
        </w:rPr>
        <w:t xml:space="preserve">6、中标结果确定前，评委或相关人员不得透露评标人员、评审资料、评 审结果、对投标文件的评审和比较、中标候选人的推荐情况以及与评标活动有 关的其他情况。 </w:t>
      </w:r>
    </w:p>
    <w:p>
      <w:pPr>
        <w:pStyle w:val="10"/>
        <w:spacing w:before="0" w:line="360" w:lineRule="auto"/>
        <w:ind w:left="628" w:leftChars="281" w:hanging="38" w:hangingChars="16"/>
        <w:rPr>
          <w:rFonts w:hint="eastAsia"/>
        </w:rPr>
      </w:pPr>
      <w:r>
        <w:rPr>
          <w:rFonts w:hint="eastAsia"/>
        </w:rPr>
        <w:t xml:space="preserve">7、评委必须在指定的评标室参加评标，在评审过程中未经招标人和监管人员同意，不得擅自离开评标区域。 </w:t>
      </w:r>
    </w:p>
    <w:p>
      <w:pPr>
        <w:pStyle w:val="10"/>
        <w:spacing w:before="0" w:line="360" w:lineRule="auto"/>
        <w:ind w:left="629" w:leftChars="281" w:hanging="39" w:hangingChars="16"/>
        <w:rPr>
          <w:rFonts w:hint="eastAsia"/>
          <w:b/>
          <w:bCs/>
        </w:rPr>
      </w:pPr>
      <w:r>
        <w:rPr>
          <w:rFonts w:hint="eastAsia"/>
          <w:b/>
          <w:bCs/>
        </w:rPr>
        <w:t xml:space="preserve">2.3.2 评审专家与参加采购活动的供应商存在下列利害关系之一的,应当回避: </w:t>
      </w:r>
    </w:p>
    <w:p>
      <w:pPr>
        <w:pStyle w:val="10"/>
        <w:spacing w:before="0" w:line="360" w:lineRule="auto"/>
        <w:ind w:left="628" w:leftChars="281" w:hanging="38" w:hangingChars="16"/>
        <w:rPr>
          <w:rFonts w:hint="eastAsia"/>
        </w:rPr>
      </w:pPr>
      <w:r>
        <w:rPr>
          <w:rFonts w:hint="eastAsia"/>
        </w:rPr>
        <w:t xml:space="preserve">(一)参加采购活动前三年内,与供应商存在劳动关系,或者担任过供应商的董事、监事,或者是供应商的控股股东或实际控制人; </w:t>
      </w:r>
    </w:p>
    <w:p>
      <w:pPr>
        <w:pStyle w:val="10"/>
        <w:spacing w:before="0" w:line="360" w:lineRule="auto"/>
        <w:ind w:left="628" w:leftChars="281" w:hanging="38" w:hangingChars="16"/>
        <w:rPr>
          <w:rFonts w:hint="eastAsia"/>
        </w:rPr>
      </w:pPr>
      <w:r>
        <w:rPr>
          <w:rFonts w:hint="eastAsia"/>
        </w:rPr>
        <w:t xml:space="preserve">(二)与供应商的法定代表人或者负责人有夫妻、直系血亲、三代以内旁系血亲或者近姻亲关系; </w:t>
      </w:r>
    </w:p>
    <w:p>
      <w:pPr>
        <w:pStyle w:val="10"/>
        <w:spacing w:before="0" w:line="360" w:lineRule="auto"/>
        <w:ind w:left="628" w:leftChars="281" w:hanging="38" w:hangingChars="16"/>
        <w:rPr>
          <w:rFonts w:hint="eastAsia"/>
        </w:rPr>
      </w:pPr>
      <w:r>
        <w:rPr>
          <w:rFonts w:hint="eastAsia"/>
        </w:rPr>
        <w:t xml:space="preserve">(三)与供应商有其他可能影响政府采购活动公平、公正进行的关系。评审专家发现本人与参加采购活动的供应商有利害关系的,应当主动提出回避。采购人或者采购代理机构发现评审专家与参加采购活动的供应商 有利害关系的,应当要求其回避。 除技术复杂、专业性强的采购项目,通过随机方式难以确定合适评审 专家的,经主管预算单位同意,采购人可以自行选定相应专业领域的评审专家的情形外,评审专家对本单位的政府采购项目只能作为采购人代表参与评审活动。各级财政部门政府采购监督管理工作人员,不得作为评审专家参与政府采购项目的评审活动。 </w:t>
      </w:r>
    </w:p>
    <w:p>
      <w:pPr>
        <w:pStyle w:val="10"/>
        <w:spacing w:before="0" w:line="360" w:lineRule="auto"/>
        <w:ind w:left="628" w:leftChars="281" w:hanging="38" w:hangingChars="16"/>
        <w:rPr>
          <w:rFonts w:hint="eastAsia"/>
        </w:rPr>
      </w:pPr>
      <w:r>
        <w:rPr>
          <w:rFonts w:hint="eastAsia"/>
        </w:rPr>
        <w:t xml:space="preserve">2.3.3 保密：开标后，凡是属于审查、澄清、评价和比较的有关资料以及中标建议等评标委员会成员或参与评标的有关工作人员均不得向投标人或其他无关的人员透露。评审专家应当严格遵守评审工作纪律,按照客观、公正、审慎的原则,根 据采购文件规定的评审程序、评审方法和评审标准进行独立评审。应当配合答 复供应商的询问、质疑和投诉等事项,不得泄露评审文件、评审情况和在评审过程中获悉的商业秘密。 </w:t>
      </w:r>
    </w:p>
    <w:p>
      <w:pPr>
        <w:pStyle w:val="10"/>
        <w:spacing w:before="0" w:line="360" w:lineRule="auto"/>
        <w:ind w:left="629" w:leftChars="281" w:hanging="39" w:hangingChars="16"/>
        <w:rPr>
          <w:rFonts w:hint="eastAsia"/>
          <w:b/>
          <w:bCs/>
        </w:rPr>
      </w:pPr>
      <w:r>
        <w:rPr>
          <w:rFonts w:hint="eastAsia"/>
          <w:b/>
          <w:bCs/>
        </w:rPr>
        <w:t xml:space="preserve">2.4 评审 </w:t>
      </w:r>
    </w:p>
    <w:p>
      <w:pPr>
        <w:pStyle w:val="10"/>
        <w:spacing w:before="0" w:line="360" w:lineRule="auto"/>
        <w:ind w:left="628" w:leftChars="281" w:hanging="38" w:hangingChars="16"/>
        <w:rPr>
          <w:rFonts w:hint="eastAsia"/>
        </w:rPr>
      </w:pPr>
      <w:r>
        <w:rPr>
          <w:rFonts w:hint="eastAsia"/>
        </w:rPr>
        <w:t>2.4.1.招标机构将按照《中华人民共和国政府采购法》、《政府采购货物和服务招标投标管理办法》</w:t>
      </w:r>
      <w:r>
        <w:rPr>
          <w:rFonts w:hint="eastAsia"/>
          <w:lang w:eastAsia="zh-CN"/>
        </w:rPr>
        <w:t>、</w:t>
      </w:r>
      <w:r>
        <w:rPr>
          <w:rFonts w:hint="eastAsia"/>
        </w:rPr>
        <w:t xml:space="preserve">中华人民共和国财政部令第87号《政府采购货物和服务招标投标管理办法》以及国家和地方颁布的有关法令、法规并在招标领导小组的领导下组建评标委员会。评标委员会依法根据招标文件的规定对投标文件进行评审、质疑、评价和比较，向采购人推荐中标候选人。 </w:t>
      </w:r>
    </w:p>
    <w:p>
      <w:pPr>
        <w:pStyle w:val="10"/>
        <w:spacing w:before="0" w:line="360" w:lineRule="auto"/>
        <w:ind w:left="629" w:leftChars="281" w:hanging="39" w:hangingChars="16"/>
        <w:rPr>
          <w:rFonts w:hint="eastAsia"/>
          <w:b/>
          <w:bCs/>
        </w:rPr>
      </w:pPr>
      <w:r>
        <w:rPr>
          <w:rFonts w:hint="eastAsia"/>
          <w:b/>
          <w:bCs/>
        </w:rPr>
        <w:t xml:space="preserve">特别说明：为保证本项目服务质量，良好的售后服务；最低报价不作为中标的唯一依据。 </w:t>
      </w:r>
    </w:p>
    <w:p>
      <w:pPr>
        <w:pStyle w:val="10"/>
        <w:spacing w:before="0" w:line="360" w:lineRule="auto"/>
        <w:ind w:left="629" w:leftChars="281" w:hanging="39" w:hangingChars="16"/>
        <w:rPr>
          <w:rFonts w:hint="eastAsia"/>
          <w:b/>
          <w:bCs/>
        </w:rPr>
      </w:pPr>
      <w:r>
        <w:rPr>
          <w:rFonts w:hint="eastAsia"/>
          <w:b/>
          <w:bCs/>
        </w:rPr>
        <w:t>2.4.2、对投标文件的评估和比较</w:t>
      </w:r>
    </w:p>
    <w:p>
      <w:pPr>
        <w:pStyle w:val="10"/>
        <w:spacing w:before="0" w:line="360" w:lineRule="auto"/>
        <w:ind w:left="629" w:leftChars="281" w:hanging="39" w:hangingChars="16"/>
        <w:rPr>
          <w:rFonts w:hint="eastAsia"/>
          <w:b/>
          <w:bCs/>
        </w:rPr>
      </w:pPr>
      <w:r>
        <w:rPr>
          <w:rFonts w:hint="eastAsia"/>
          <w:b/>
          <w:bCs/>
        </w:rPr>
        <w:t>1.</w:t>
      </w:r>
      <w:r>
        <w:rPr>
          <w:rFonts w:hint="eastAsia"/>
          <w:b/>
          <w:bCs/>
          <w:lang w:val="en-US" w:eastAsia="zh-CN"/>
        </w:rPr>
        <w:t>根据招标文件</w:t>
      </w:r>
      <w:r>
        <w:rPr>
          <w:rFonts w:hint="eastAsia"/>
          <w:b/>
          <w:bCs/>
        </w:rPr>
        <w:t>对实质性响应的投标文件进行评估和比较。</w:t>
      </w:r>
    </w:p>
    <w:p>
      <w:pPr>
        <w:pStyle w:val="10"/>
        <w:spacing w:before="0" w:line="360" w:lineRule="auto"/>
        <w:ind w:left="628" w:leftChars="281" w:hanging="38" w:hangingChars="16"/>
        <w:rPr>
          <w:rFonts w:hint="eastAsia"/>
        </w:rPr>
      </w:pPr>
      <w:r>
        <w:rPr>
          <w:rFonts w:hint="eastAsia"/>
        </w:rPr>
        <w:t xml:space="preserve">2.除考虑投标价格外，还应考虑以下因素： </w:t>
      </w:r>
    </w:p>
    <w:p>
      <w:pPr>
        <w:pStyle w:val="10"/>
        <w:spacing w:before="0" w:line="360" w:lineRule="auto"/>
        <w:ind w:left="628" w:leftChars="281" w:hanging="38" w:hangingChars="16"/>
        <w:rPr>
          <w:rFonts w:hint="eastAsia"/>
        </w:rPr>
      </w:pPr>
      <w:r>
        <w:rPr>
          <w:rFonts w:hint="eastAsia"/>
        </w:rPr>
        <w:t>1)供货、安装服务期及付款方式；</w:t>
      </w:r>
    </w:p>
    <w:p>
      <w:pPr>
        <w:pStyle w:val="10"/>
        <w:spacing w:before="0" w:line="360" w:lineRule="auto"/>
        <w:ind w:left="628" w:leftChars="281" w:hanging="38" w:hangingChars="16"/>
        <w:rPr>
          <w:rFonts w:hint="eastAsia"/>
        </w:rPr>
      </w:pPr>
      <w:r>
        <w:rPr>
          <w:rFonts w:hint="eastAsia"/>
        </w:rPr>
        <w:t>2)供货、安装服务能力；</w:t>
      </w:r>
    </w:p>
    <w:p>
      <w:pPr>
        <w:pStyle w:val="10"/>
        <w:spacing w:before="0" w:line="360" w:lineRule="auto"/>
        <w:ind w:left="628" w:leftChars="281" w:hanging="38" w:hangingChars="16"/>
        <w:rPr>
          <w:rFonts w:hint="eastAsia"/>
        </w:rPr>
      </w:pPr>
      <w:r>
        <w:rPr>
          <w:rFonts w:hint="eastAsia"/>
        </w:rPr>
        <w:t>3)产品的质量和适用性；</w:t>
      </w:r>
    </w:p>
    <w:p>
      <w:pPr>
        <w:pStyle w:val="10"/>
        <w:spacing w:before="0" w:line="360" w:lineRule="auto"/>
        <w:ind w:left="628" w:leftChars="281" w:hanging="38" w:hangingChars="16"/>
        <w:rPr>
          <w:rFonts w:hint="eastAsia"/>
        </w:rPr>
      </w:pPr>
      <w:r>
        <w:rPr>
          <w:rFonts w:hint="eastAsia"/>
        </w:rPr>
        <w:t>4) 配套供货、安装服务设备的安全性；</w:t>
      </w:r>
    </w:p>
    <w:p>
      <w:pPr>
        <w:pStyle w:val="10"/>
        <w:spacing w:before="0" w:line="360" w:lineRule="auto"/>
        <w:ind w:left="628" w:leftChars="281" w:hanging="38" w:hangingChars="16"/>
        <w:rPr>
          <w:rFonts w:hint="eastAsia"/>
        </w:rPr>
      </w:pPr>
      <w:r>
        <w:rPr>
          <w:rFonts w:hint="eastAsia"/>
        </w:rPr>
        <w:t>5)提供供货、安装服务的能力；</w:t>
      </w:r>
    </w:p>
    <w:p>
      <w:pPr>
        <w:pStyle w:val="10"/>
        <w:spacing w:before="0" w:line="360" w:lineRule="auto"/>
        <w:ind w:left="628" w:leftChars="281" w:hanging="38" w:hangingChars="16"/>
        <w:rPr>
          <w:rFonts w:hint="eastAsia"/>
        </w:rPr>
      </w:pPr>
      <w:r>
        <w:rPr>
          <w:rFonts w:hint="eastAsia"/>
        </w:rPr>
        <w:t>6)零备件、专用工具及相关服务的费用；</w:t>
      </w:r>
    </w:p>
    <w:p>
      <w:pPr>
        <w:pStyle w:val="10"/>
        <w:spacing w:before="0" w:line="360" w:lineRule="auto"/>
        <w:ind w:left="628" w:leftChars="281" w:hanging="38" w:hangingChars="16"/>
        <w:rPr>
          <w:rFonts w:hint="eastAsia"/>
        </w:rPr>
      </w:pPr>
      <w:r>
        <w:rPr>
          <w:rFonts w:hint="eastAsia"/>
        </w:rPr>
        <w:t>7)招标文件中所要求的有关服务的费用；</w:t>
      </w:r>
    </w:p>
    <w:p>
      <w:pPr>
        <w:pStyle w:val="10"/>
        <w:spacing w:before="0" w:line="360" w:lineRule="auto"/>
        <w:ind w:left="628" w:leftChars="281" w:hanging="38" w:hangingChars="16"/>
        <w:rPr>
          <w:rFonts w:hint="eastAsia"/>
        </w:rPr>
      </w:pPr>
      <w:r>
        <w:rPr>
          <w:rFonts w:hint="eastAsia"/>
        </w:rPr>
        <w:t>8)发货到最终目的地的内陆运输、保险及其他费用。</w:t>
      </w:r>
    </w:p>
    <w:p>
      <w:pPr>
        <w:pStyle w:val="10"/>
        <w:spacing w:before="0" w:line="360" w:lineRule="auto"/>
        <w:ind w:left="628" w:leftChars="281" w:hanging="38" w:hangingChars="16"/>
        <w:rPr>
          <w:rFonts w:hint="eastAsia"/>
        </w:rPr>
      </w:pPr>
      <w:r>
        <w:rPr>
          <w:rFonts w:hint="eastAsia"/>
        </w:rPr>
        <w:t xml:space="preserve">其他特殊因素（如节能、安全和环保等）。 </w:t>
      </w:r>
    </w:p>
    <w:p>
      <w:pPr>
        <w:pStyle w:val="10"/>
        <w:spacing w:before="0" w:line="360" w:lineRule="auto"/>
        <w:ind w:left="629" w:leftChars="281" w:hanging="39" w:hangingChars="16"/>
        <w:rPr>
          <w:rFonts w:hint="eastAsia"/>
          <w:b/>
          <w:bCs/>
        </w:rPr>
      </w:pPr>
      <w:r>
        <w:rPr>
          <w:rFonts w:hint="eastAsia"/>
          <w:b/>
          <w:bCs/>
        </w:rPr>
        <w:t>2.4.3 符合性评审（详见符合性评审表）</w:t>
      </w:r>
    </w:p>
    <w:p>
      <w:pPr>
        <w:pStyle w:val="10"/>
        <w:tabs>
          <w:tab w:val="left" w:pos="0"/>
          <w:tab w:val="clear" w:pos="567"/>
        </w:tabs>
        <w:spacing w:before="0" w:line="360" w:lineRule="auto"/>
        <w:ind w:left="0" w:leftChars="0" w:hanging="6" w:firstLineChars="0"/>
        <w:rPr>
          <w:rFonts w:hint="eastAsia"/>
        </w:rPr>
      </w:pPr>
      <w:r>
        <w:rPr>
          <w:rFonts w:hint="eastAsia"/>
        </w:rPr>
        <w:t>1、评标委员会可以要求投标人对投标文件中含义不明确、对同类问题表述不一致或者有明显文字和计算错误的内容作必要的澄清、说明或补正。澄清、说明或补正应以书面方式进行,并不得超出投标文件的范围或者改变投标文件的实质性内容。投标文件中的大写金额和小写金额不一致的以大写金额为准；总价金额与单价金额不一致的，以单价计算出的总价金额为准。</w:t>
      </w:r>
    </w:p>
    <w:p>
      <w:pPr>
        <w:pStyle w:val="10"/>
        <w:spacing w:before="0" w:line="360" w:lineRule="auto"/>
        <w:rPr>
          <w:rFonts w:hint="eastAsia"/>
        </w:rPr>
      </w:pPr>
      <w:r>
        <w:rPr>
          <w:rFonts w:hint="eastAsia"/>
        </w:rPr>
        <w:t>2、投标人在投标报价中应该对其报价进行全面分析。在评标过程中，评标委员会发现投标人的报价明显低于其他投标报价，评标委员会认定该投标人以低于成本报价竞标，其投标应作无效投标处理。</w:t>
      </w:r>
    </w:p>
    <w:p>
      <w:pPr>
        <w:pStyle w:val="10"/>
        <w:spacing w:before="0" w:line="360" w:lineRule="auto"/>
        <w:rPr>
          <w:rFonts w:hint="eastAsia"/>
        </w:rPr>
      </w:pPr>
      <w:r>
        <w:rPr>
          <w:rFonts w:hint="eastAsia"/>
        </w:rPr>
        <w:t>3、投标最低报价</w:t>
      </w:r>
      <w:r>
        <w:rPr>
          <w:rFonts w:hint="eastAsia"/>
          <w:lang w:eastAsia="zh-CN"/>
        </w:rPr>
        <w:t>，</w:t>
      </w:r>
      <w:r>
        <w:rPr>
          <w:rFonts w:hint="eastAsia"/>
        </w:rPr>
        <w:t>不作为是否中标的依据。</w:t>
      </w:r>
    </w:p>
    <w:p>
      <w:pPr>
        <w:pStyle w:val="10"/>
        <w:spacing w:before="0" w:line="360" w:lineRule="auto"/>
        <w:rPr>
          <w:rFonts w:hint="eastAsia"/>
        </w:rPr>
      </w:pPr>
      <w:r>
        <w:rPr>
          <w:rFonts w:hint="eastAsia"/>
        </w:rPr>
        <w:t>4、招标方不接受不符合国家相关规定的投标报价或优惠方案。</w:t>
      </w:r>
    </w:p>
    <w:p>
      <w:pPr>
        <w:pStyle w:val="10"/>
        <w:spacing w:before="0" w:line="360" w:lineRule="auto"/>
        <w:rPr>
          <w:rFonts w:hint="eastAsia"/>
        </w:rPr>
      </w:pPr>
      <w:r>
        <w:rPr>
          <w:rFonts w:hint="eastAsia"/>
        </w:rPr>
        <w:t>5、在评标过程中，评标委员会发现投标人以他人名义投标、串标、以行贿手段谋取中标或者以其他弄虚作假方式投标的，该投标人的投标将作无效投 标处理。</w:t>
      </w:r>
    </w:p>
    <w:p>
      <w:pPr>
        <w:pStyle w:val="10"/>
        <w:spacing w:before="0" w:line="360" w:lineRule="auto"/>
        <w:rPr>
          <w:rFonts w:hint="eastAsia"/>
        </w:rPr>
      </w:pPr>
      <w:r>
        <w:rPr>
          <w:rFonts w:hint="eastAsia"/>
        </w:rPr>
        <w:t>6、投标人的资格条件不符合国家有关规定和招标文件要求的，或者拒不 按照要求对投标文件进行澄清、说明或补正的，评标委员会应将其投标作无效 投标处理。</w:t>
      </w:r>
    </w:p>
    <w:p>
      <w:pPr>
        <w:pStyle w:val="10"/>
        <w:spacing w:before="0" w:line="360" w:lineRule="auto"/>
        <w:rPr>
          <w:rFonts w:hint="eastAsia"/>
        </w:rPr>
      </w:pPr>
      <w:r>
        <w:rPr>
          <w:rFonts w:hint="eastAsia"/>
        </w:rPr>
        <w:t>7、评标委员会应当审查所有有效投标文件是否对招标文件提出的所有实 质性要求和条件做出响应。未能在实质上响应的投标，应作无效投标处理。</w:t>
      </w:r>
    </w:p>
    <w:p>
      <w:pPr>
        <w:pStyle w:val="10"/>
        <w:spacing w:before="0" w:line="360" w:lineRule="auto"/>
        <w:rPr>
          <w:rFonts w:hint="eastAsia"/>
        </w:rPr>
      </w:pPr>
      <w:r>
        <w:rPr>
          <w:rFonts w:hint="eastAsia"/>
        </w:rPr>
        <w:t>8、投标人不得误导、干扰评标委员会的评标活动，否则其投标将作无效投标处理。</w:t>
      </w:r>
    </w:p>
    <w:p>
      <w:pPr>
        <w:pStyle w:val="10"/>
        <w:spacing w:before="0" w:line="360" w:lineRule="auto"/>
        <w:rPr>
          <w:rFonts w:hint="eastAsia"/>
        </w:rPr>
      </w:pPr>
      <w:r>
        <w:rPr>
          <w:rFonts w:hint="eastAsia"/>
        </w:rPr>
        <w:t>9、评标委员会应当根据招标文件，审查并逐项列出投标文件的全部投标偏差。投标偏差分为重大偏差和细微偏差。</w:t>
      </w:r>
    </w:p>
    <w:p>
      <w:pPr>
        <w:pStyle w:val="10"/>
        <w:spacing w:before="0" w:line="360" w:lineRule="auto"/>
        <w:rPr>
          <w:rFonts w:hint="eastAsia"/>
        </w:rPr>
      </w:pPr>
      <w:r>
        <w:rPr>
          <w:rFonts w:hint="eastAsia"/>
        </w:rPr>
        <w:t xml:space="preserve">10、评标委员会将确定每一投标人是否对投标文件的要求做出了实质性响应，而没有重大偏离。实质性响应的投标是指符合招标文件的所有条款、条件和规定且没有重大偏离和保留的投标。重大偏离或保留系指影响到招标文件规定的服务范围和质量，或限制了采购人的权利和投标人的义务，而纠正这些偏离将影响到其他提交实质性响应的投标人的公平竞争地位。 </w:t>
      </w:r>
    </w:p>
    <w:p>
      <w:pPr>
        <w:pStyle w:val="10"/>
        <w:spacing w:before="0" w:line="360" w:lineRule="auto"/>
        <w:rPr>
          <w:rFonts w:hint="eastAsia"/>
        </w:rPr>
      </w:pPr>
      <w:r>
        <w:rPr>
          <w:rFonts w:hint="eastAsia"/>
        </w:rPr>
        <w:t>11、下列情况属于重大偏差：</w:t>
      </w:r>
    </w:p>
    <w:p>
      <w:pPr>
        <w:pStyle w:val="10"/>
        <w:spacing w:before="0" w:line="360" w:lineRule="auto"/>
        <w:rPr>
          <w:rFonts w:hint="eastAsia"/>
        </w:rPr>
      </w:pPr>
      <w:r>
        <w:rPr>
          <w:rFonts w:hint="eastAsia"/>
        </w:rPr>
        <w:t>1.投标文件没有投标人授权代表签字和加盖公章的；</w:t>
      </w:r>
    </w:p>
    <w:p>
      <w:pPr>
        <w:pStyle w:val="10"/>
        <w:spacing w:before="0" w:line="360" w:lineRule="auto"/>
        <w:rPr>
          <w:rFonts w:hint="eastAsia"/>
        </w:rPr>
      </w:pPr>
      <w:r>
        <w:rPr>
          <w:rFonts w:hint="eastAsia"/>
        </w:rPr>
        <w:t>2.投标文件中附有招标人不能接受的条件的；</w:t>
      </w:r>
    </w:p>
    <w:p>
      <w:pPr>
        <w:pStyle w:val="10"/>
        <w:spacing w:before="0" w:line="360" w:lineRule="auto"/>
        <w:rPr>
          <w:rFonts w:hint="eastAsia"/>
        </w:rPr>
      </w:pPr>
      <w:r>
        <w:rPr>
          <w:rFonts w:hint="eastAsia"/>
        </w:rPr>
        <w:t>3.不符合招标文件中规定的其他实质性要求的。投标文件有上述情形之一的，为未能对招标文件做出实质性响应的投标，将作无效投标处理。</w:t>
      </w:r>
    </w:p>
    <w:p>
      <w:pPr>
        <w:pStyle w:val="10"/>
        <w:spacing w:before="0" w:line="360" w:lineRule="auto"/>
        <w:rPr>
          <w:rFonts w:hint="eastAsia"/>
        </w:rPr>
      </w:pPr>
      <w:r>
        <w:rPr>
          <w:rFonts w:hint="eastAsia"/>
        </w:rPr>
        <w:t xml:space="preserve">12、细微偏差是指投标实质上响应了招标文件要求，但在个别地方提供了不完整 的技术信息和数据等情况，并且补正这些遗漏或不完整不会对其他投标人造成不公平的结果。细微偏差不影响投标文件的有效性。评标委员会应当要求存在细小偏差的投标人在评标结束前以书面形式予以补正。拒绝补正的，在详细评审时可以对细微偏差作不利于该投标人的量化。 </w:t>
      </w:r>
    </w:p>
    <w:p>
      <w:pPr>
        <w:pStyle w:val="10"/>
        <w:spacing w:before="0" w:line="360" w:lineRule="auto"/>
        <w:rPr>
          <w:rFonts w:hint="eastAsia"/>
        </w:rPr>
      </w:pPr>
      <w:r>
        <w:rPr>
          <w:rFonts w:hint="eastAsia"/>
        </w:rPr>
        <w:t xml:space="preserve">13、对投标文件响应性的审查 </w:t>
      </w:r>
    </w:p>
    <w:p>
      <w:pPr>
        <w:pStyle w:val="10"/>
        <w:spacing w:before="0" w:line="360" w:lineRule="auto"/>
        <w:ind w:left="628" w:leftChars="281" w:hanging="38" w:hangingChars="16"/>
        <w:rPr>
          <w:rFonts w:hint="eastAsia"/>
        </w:rPr>
      </w:pPr>
      <w:r>
        <w:rPr>
          <w:rFonts w:hint="eastAsia"/>
        </w:rPr>
        <w:t>1.开标后，评标委员会将对投标文件进行审查，检查投标文件是否完整，是否出现计算性错误，投标文件正本是否由投标代表按规定签名，是否满足招 标文件的格式要求，是否提供投标保证金。</w:t>
      </w:r>
    </w:p>
    <w:p>
      <w:pPr>
        <w:pStyle w:val="10"/>
        <w:spacing w:before="0" w:line="360" w:lineRule="auto"/>
        <w:ind w:left="628" w:leftChars="281" w:hanging="38" w:hangingChars="16"/>
        <w:rPr>
          <w:rFonts w:hint="eastAsia"/>
        </w:rPr>
      </w:pPr>
      <w:r>
        <w:rPr>
          <w:rFonts w:hint="eastAsia"/>
        </w:rPr>
        <w:t>2.评标委员会判断投标文件的实质性响应仅基于投标文件本身而不靠外部证据。</w:t>
      </w:r>
    </w:p>
    <w:p>
      <w:pPr>
        <w:pStyle w:val="10"/>
        <w:spacing w:before="0" w:line="360" w:lineRule="auto"/>
        <w:ind w:left="629" w:leftChars="281" w:hanging="39" w:hangingChars="16"/>
        <w:rPr>
          <w:rFonts w:hint="eastAsia"/>
        </w:rPr>
      </w:pPr>
      <w:r>
        <w:rPr>
          <w:rFonts w:hint="eastAsia"/>
          <w:b/>
          <w:bCs/>
        </w:rPr>
        <w:t>3.评标委员会将拒绝被确定为非实质性响应的投标。</w:t>
      </w:r>
      <w:r>
        <w:rPr>
          <w:rFonts w:hint="eastAsia"/>
        </w:rPr>
        <w:t>投标人不能通过修正或撤消不符合之处而使其投标成为实质性响应的投标。</w:t>
      </w:r>
    </w:p>
    <w:p>
      <w:pPr>
        <w:pStyle w:val="10"/>
        <w:spacing w:before="0" w:line="360" w:lineRule="auto"/>
        <w:ind w:left="629" w:leftChars="281" w:hanging="39" w:hangingChars="16"/>
        <w:rPr>
          <w:rFonts w:hint="eastAsia"/>
          <w:b/>
          <w:bCs/>
        </w:rPr>
      </w:pPr>
      <w:r>
        <w:rPr>
          <w:rFonts w:hint="eastAsia"/>
          <w:b/>
          <w:bCs/>
        </w:rPr>
        <w:t>2.5 投标文件的澄清</w:t>
      </w:r>
    </w:p>
    <w:p>
      <w:pPr>
        <w:pStyle w:val="10"/>
        <w:spacing w:before="0" w:line="360" w:lineRule="auto"/>
        <w:ind w:left="628" w:leftChars="281" w:hanging="38" w:hangingChars="16"/>
        <w:rPr>
          <w:rFonts w:hint="eastAsia"/>
        </w:rPr>
      </w:pPr>
      <w:r>
        <w:rPr>
          <w:rFonts w:hint="eastAsia"/>
        </w:rPr>
        <w:t xml:space="preserve">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2、重要澄清的答复应是书面的，澄清答复不得对投标的价格、技术指标和参数等内容进行实质性修改。澄清文件须由投标人法定代表人或法人授权代表签字或加盖投标人公章并作为投标文件的组成部分。 </w:t>
      </w:r>
    </w:p>
    <w:p>
      <w:pPr>
        <w:pStyle w:val="10"/>
        <w:spacing w:before="0" w:line="360" w:lineRule="auto"/>
        <w:ind w:left="629" w:leftChars="281" w:hanging="39" w:hangingChars="16"/>
        <w:rPr>
          <w:rFonts w:hint="eastAsia"/>
          <w:b/>
          <w:bCs/>
        </w:rPr>
      </w:pPr>
      <w:r>
        <w:rPr>
          <w:rFonts w:hint="eastAsia"/>
          <w:b/>
          <w:bCs/>
        </w:rPr>
        <w:t>2.6、详细评审（详见综合评分法评分标准表）</w:t>
      </w:r>
    </w:p>
    <w:p>
      <w:pPr>
        <w:pStyle w:val="10"/>
        <w:spacing w:before="0" w:line="360" w:lineRule="auto"/>
        <w:ind w:left="628" w:leftChars="281" w:hanging="38" w:hangingChars="16"/>
        <w:rPr>
          <w:rFonts w:hint="eastAsia"/>
        </w:rPr>
      </w:pPr>
      <w:r>
        <w:rPr>
          <w:rFonts w:hint="eastAsia"/>
        </w:rPr>
        <w:t>1、经符合性评审合格的投标文件，评标委员会应当根据招标文件确定的评标标准和方法，对其技术和商务部分作进一步的评审和比较。</w:t>
      </w:r>
    </w:p>
    <w:p>
      <w:pPr>
        <w:pStyle w:val="10"/>
        <w:spacing w:before="0" w:line="360" w:lineRule="auto"/>
        <w:ind w:left="628" w:leftChars="281" w:hanging="38" w:hangingChars="16"/>
        <w:rPr>
          <w:rFonts w:hint="eastAsia"/>
        </w:rPr>
      </w:pPr>
      <w:r>
        <w:rPr>
          <w:rFonts w:hint="eastAsia"/>
        </w:rPr>
        <w:t>2、根据国务院《政府采购法实施条例》的规定，本项目可使用的评标方法为：综合评分法，是指投标文件满足招标文件全部实质性要求且按照评审因素的量化指标评审得分最高的供应商为中标候选人的评标方法。</w:t>
      </w:r>
    </w:p>
    <w:p>
      <w:pPr>
        <w:pStyle w:val="10"/>
        <w:spacing w:before="0" w:line="360" w:lineRule="auto"/>
        <w:ind w:left="628" w:leftChars="281" w:hanging="38" w:hangingChars="16"/>
        <w:rPr>
          <w:rFonts w:hint="eastAsia"/>
        </w:rPr>
      </w:pPr>
      <w:r>
        <w:rPr>
          <w:rFonts w:hint="eastAsia"/>
        </w:rPr>
        <w:t>3.本项目依据投标须知中规定的评标办法进行评标，即综合评分法。</w:t>
      </w:r>
    </w:p>
    <w:p>
      <w:pPr>
        <w:pStyle w:val="10"/>
        <w:spacing w:before="0" w:line="360" w:lineRule="auto"/>
        <w:ind w:left="629" w:leftChars="281" w:hanging="39" w:hangingChars="16"/>
        <w:rPr>
          <w:rFonts w:hint="eastAsia"/>
        </w:rPr>
      </w:pPr>
      <w:r>
        <w:rPr>
          <w:rFonts w:hint="eastAsia"/>
          <w:b/>
          <w:bCs/>
          <w:lang w:val="en-US" w:eastAsia="zh-CN"/>
        </w:rPr>
        <w:t>本次评标以通过资格、符合等进入评分的潜在投标单位的报价分及技术商务综合分数高低推选前三名中标候选人。</w:t>
      </w:r>
      <w:r>
        <w:rPr>
          <w:rFonts w:hint="eastAsia"/>
        </w:rPr>
        <w:t xml:space="preserve"> </w:t>
      </w:r>
    </w:p>
    <w:p>
      <w:pPr>
        <w:pStyle w:val="10"/>
        <w:spacing w:before="0" w:line="360" w:lineRule="auto"/>
        <w:ind w:left="635" w:leftChars="281" w:hanging="45" w:hangingChars="16"/>
        <w:jc w:val="center"/>
        <w:rPr>
          <w:rFonts w:hint="eastAsia"/>
          <w:b/>
          <w:bCs/>
          <w:sz w:val="28"/>
          <w:szCs w:val="28"/>
        </w:rPr>
      </w:pPr>
      <w:r>
        <w:rPr>
          <w:rFonts w:hint="eastAsia"/>
          <w:b/>
          <w:bCs/>
          <w:sz w:val="28"/>
          <w:szCs w:val="28"/>
        </w:rPr>
        <w:t>三、定标</w:t>
      </w:r>
    </w:p>
    <w:p>
      <w:pPr>
        <w:pStyle w:val="10"/>
        <w:tabs>
          <w:tab w:val="left" w:pos="420"/>
        </w:tabs>
        <w:spacing w:before="0" w:line="360" w:lineRule="auto"/>
        <w:ind w:left="624" w:leftChars="279" w:hanging="38" w:hangingChars="16"/>
        <w:rPr>
          <w:rFonts w:hint="eastAsia"/>
        </w:rPr>
      </w:pPr>
      <w:r>
        <w:rPr>
          <w:rFonts w:hint="eastAsia"/>
        </w:rPr>
        <w:t>一般情况：采购人根据评标委员会推荐的前三名候选人中，依序选择中标供应商。评标完成后，评标委员会将拟定书面评标报告提交给采购人。评标报告应当载明投标人的投标项目、所作的任何修正、对商业偏差的调整、对技术偏差的调整、对各评审因素的评估以及对每一投标的最终评审结果。采购人自收到评标报告5个工作日内按评分高低确定中标人。中标候选人并列式时的处理方式：采用综合评标法，则：评审得分相同的且投标报价不同的，按投标报价低的中标；评审得分相同且投标报价相同的，随机抽取决定。</w:t>
      </w:r>
    </w:p>
    <w:p>
      <w:pPr>
        <w:pStyle w:val="10"/>
        <w:spacing w:before="0" w:line="360" w:lineRule="auto"/>
        <w:ind w:left="420" w:leftChars="200" w:firstLine="436" w:firstLineChars="182"/>
        <w:rPr>
          <w:rFonts w:hint="eastAsia"/>
        </w:rPr>
      </w:pPr>
      <w:r>
        <w:rPr>
          <w:rFonts w:hint="eastAsia"/>
        </w:rPr>
        <w:t>投标人所投产品如被列入财政部与国家主管部门颁发的节能产品目录或环境标志产品目录或无线局域网产品目录，应提供相关证明，在评标时予以优先采购，具体优惠措施为：</w:t>
      </w:r>
    </w:p>
    <w:p>
      <w:pPr>
        <w:pStyle w:val="33"/>
        <w:rPr>
          <w:rFonts w:hint="eastAsia"/>
        </w:rPr>
      </w:pPr>
    </w:p>
    <w:p>
      <w:pPr>
        <w:pStyle w:val="10"/>
        <w:spacing w:before="0" w:line="360" w:lineRule="auto"/>
        <w:ind w:left="420" w:leftChars="200" w:firstLine="436" w:firstLineChars="182"/>
        <w:rPr>
          <w:rFonts w:hint="eastAsia"/>
        </w:rPr>
      </w:pPr>
      <w:r>
        <w:rPr>
          <w:rFonts w:hint="eastAsia"/>
        </w:rPr>
        <w:t>1）.如采购人所采购产品为政府强制采购的节能产品，投标人所投产品的品牌 及型号必须为清单中有效期内产品并提供证明文件，否则其投标将被认定为投标无效。</w:t>
      </w:r>
    </w:p>
    <w:p>
      <w:pPr>
        <w:pStyle w:val="10"/>
        <w:spacing w:before="0" w:line="360" w:lineRule="auto"/>
        <w:ind w:left="420" w:leftChars="200" w:firstLine="436" w:firstLineChars="182"/>
        <w:rPr>
          <w:rFonts w:hint="eastAsia"/>
        </w:rPr>
      </w:pPr>
      <w:r>
        <w:rPr>
          <w:rFonts w:hint="eastAsia"/>
        </w:rPr>
        <w:t xml:space="preserve">2）.对创新产品或创新性企业的优惠措施为：无 </w:t>
      </w:r>
    </w:p>
    <w:p>
      <w:pPr>
        <w:pStyle w:val="10"/>
        <w:spacing w:before="0" w:line="360" w:lineRule="auto"/>
        <w:ind w:left="420" w:leftChars="200" w:firstLine="439" w:firstLineChars="182"/>
        <w:rPr>
          <w:rFonts w:hint="eastAsia"/>
        </w:rPr>
      </w:pPr>
      <w:r>
        <w:rPr>
          <w:rFonts w:hint="eastAsia"/>
          <w:b/>
          <w:bCs/>
        </w:rPr>
        <w:t>3）.同品牌处理办法：</w:t>
      </w:r>
      <w:r>
        <w:rPr>
          <w:rFonts w:hint="eastAsia"/>
        </w:rPr>
        <w:t xml:space="preserve"> 如采用综合评标法，则：依据财政部公布第87号令 《政府采购货物和服务招 标投标管理办法》第三十一条：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pStyle w:val="10"/>
        <w:spacing w:before="0" w:line="360" w:lineRule="auto"/>
        <w:ind w:left="635" w:leftChars="281" w:hanging="45" w:hangingChars="16"/>
        <w:jc w:val="center"/>
        <w:rPr>
          <w:rFonts w:hint="eastAsia"/>
        </w:rPr>
      </w:pPr>
      <w:r>
        <w:rPr>
          <w:rFonts w:hint="eastAsia"/>
          <w:b/>
          <w:bCs/>
          <w:sz w:val="28"/>
          <w:szCs w:val="28"/>
        </w:rPr>
        <w:t>四、无效投标及废标情况</w:t>
      </w:r>
    </w:p>
    <w:p>
      <w:pPr>
        <w:pStyle w:val="10"/>
        <w:spacing w:before="0" w:line="360" w:lineRule="auto"/>
        <w:ind w:left="628" w:leftChars="281" w:hanging="38" w:hangingChars="16"/>
        <w:rPr>
          <w:rFonts w:hint="eastAsia"/>
        </w:rPr>
      </w:pPr>
      <w:r>
        <w:rPr>
          <w:rFonts w:hint="eastAsia"/>
        </w:rPr>
        <w:t>2.7.1 如发现下列情况之一的</w:t>
      </w:r>
      <w:r>
        <w:rPr>
          <w:rFonts w:hint="eastAsia"/>
          <w:lang w:eastAsia="zh-CN"/>
        </w:rPr>
        <w:t>，</w:t>
      </w:r>
      <w:r>
        <w:rPr>
          <w:rFonts w:hint="eastAsia"/>
        </w:rPr>
        <w:t xml:space="preserve">其投标将被认定为投标无效：（以下情形应当在招标文件中规定，并以醒目的方式标明） </w:t>
      </w:r>
    </w:p>
    <w:p>
      <w:pPr>
        <w:pStyle w:val="10"/>
        <w:spacing w:before="0" w:line="360" w:lineRule="auto"/>
        <w:ind w:left="629" w:leftChars="281" w:hanging="39" w:hangingChars="16"/>
        <w:rPr>
          <w:rFonts w:hint="eastAsia"/>
          <w:b/>
          <w:bCs/>
        </w:rPr>
      </w:pPr>
      <w:r>
        <w:rPr>
          <w:rFonts w:hint="eastAsia"/>
          <w:b/>
          <w:bCs/>
        </w:rPr>
        <w:t xml:space="preserve">(1) 未按招标文件规定的形式和金额提交投标保证金的； </w:t>
      </w:r>
    </w:p>
    <w:p>
      <w:pPr>
        <w:pStyle w:val="10"/>
        <w:spacing w:before="0" w:line="360" w:lineRule="auto"/>
        <w:ind w:left="629" w:leftChars="281" w:hanging="39" w:hangingChars="16"/>
        <w:rPr>
          <w:rFonts w:hint="eastAsia"/>
          <w:b/>
          <w:bCs/>
        </w:rPr>
      </w:pPr>
      <w:r>
        <w:rPr>
          <w:rFonts w:hint="eastAsia"/>
          <w:b/>
          <w:bCs/>
        </w:rPr>
        <w:t xml:space="preserve">(2) 未按照招标文件规定要求签署、盖章的； </w:t>
      </w:r>
    </w:p>
    <w:p>
      <w:pPr>
        <w:pStyle w:val="10"/>
        <w:numPr>
          <w:ilvl w:val="0"/>
          <w:numId w:val="15"/>
        </w:numPr>
        <w:spacing w:before="0" w:line="360" w:lineRule="auto"/>
        <w:ind w:left="629" w:leftChars="281" w:hanging="39" w:hangingChars="16"/>
        <w:rPr>
          <w:rFonts w:hint="eastAsia"/>
          <w:b/>
          <w:bCs/>
        </w:rPr>
      </w:pPr>
      <w:r>
        <w:rPr>
          <w:rFonts w:hint="eastAsia"/>
          <w:b/>
          <w:bCs/>
        </w:rPr>
        <w:t xml:space="preserve">未满足招标文件中技术条款的实质性要求； </w:t>
      </w:r>
    </w:p>
    <w:p>
      <w:pPr>
        <w:pStyle w:val="10"/>
        <w:numPr>
          <w:ilvl w:val="0"/>
          <w:numId w:val="15"/>
        </w:numPr>
        <w:spacing w:before="0" w:line="360" w:lineRule="auto"/>
        <w:ind w:left="629" w:leftChars="281" w:hanging="39" w:hangingChars="16"/>
        <w:rPr>
          <w:rFonts w:hint="eastAsia"/>
          <w:b/>
          <w:bCs/>
        </w:rPr>
      </w:pPr>
      <w:r>
        <w:rPr>
          <w:rFonts w:hint="eastAsia"/>
          <w:b/>
          <w:bCs/>
        </w:rPr>
        <w:t xml:space="preserve">与其他投标人串通投标，或者与招标人串通投标； </w:t>
      </w:r>
    </w:p>
    <w:p>
      <w:pPr>
        <w:pStyle w:val="10"/>
        <w:numPr>
          <w:ilvl w:val="0"/>
          <w:numId w:val="15"/>
        </w:numPr>
        <w:spacing w:before="0" w:line="360" w:lineRule="auto"/>
        <w:ind w:left="629" w:leftChars="281" w:hanging="39" w:hangingChars="16"/>
        <w:rPr>
          <w:rFonts w:hint="eastAsia"/>
          <w:b/>
          <w:bCs/>
        </w:rPr>
      </w:pPr>
      <w:r>
        <w:rPr>
          <w:rFonts w:hint="eastAsia"/>
          <w:b/>
          <w:bCs/>
        </w:rPr>
        <w:t xml:space="preserve">属于招标文件规定的其他投标无效情形； </w:t>
      </w:r>
    </w:p>
    <w:p>
      <w:pPr>
        <w:pStyle w:val="10"/>
        <w:numPr>
          <w:ilvl w:val="0"/>
          <w:numId w:val="15"/>
        </w:numPr>
        <w:spacing w:before="0" w:line="360" w:lineRule="auto"/>
        <w:ind w:left="629" w:leftChars="281" w:hanging="39" w:hangingChars="16"/>
        <w:rPr>
          <w:rFonts w:hint="eastAsia"/>
          <w:b/>
          <w:bCs/>
        </w:rPr>
      </w:pPr>
      <w:r>
        <w:rPr>
          <w:rFonts w:hint="eastAsia"/>
          <w:b/>
          <w:bCs/>
        </w:rPr>
        <w:t xml:space="preserve">评标委员会认为投标人的报价明显低于其他通过符合性检查投标人的报价，有可能影响履约的，且投标人未按照规定证明其报价合理性的； </w:t>
      </w:r>
    </w:p>
    <w:p>
      <w:pPr>
        <w:pStyle w:val="10"/>
        <w:numPr>
          <w:ilvl w:val="0"/>
          <w:numId w:val="15"/>
        </w:numPr>
        <w:spacing w:before="0" w:line="360" w:lineRule="auto"/>
        <w:ind w:left="629" w:leftChars="281" w:hanging="39" w:hangingChars="16"/>
        <w:rPr>
          <w:rFonts w:hint="eastAsia"/>
          <w:b/>
          <w:bCs/>
        </w:rPr>
      </w:pPr>
      <w:r>
        <w:rPr>
          <w:rFonts w:hint="eastAsia"/>
          <w:b/>
          <w:bCs/>
        </w:rPr>
        <w:t xml:space="preserve">投标文件含有采购人不能接受的附加条件的； </w:t>
      </w:r>
    </w:p>
    <w:p>
      <w:pPr>
        <w:pStyle w:val="10"/>
        <w:numPr>
          <w:ilvl w:val="0"/>
          <w:numId w:val="15"/>
        </w:numPr>
        <w:spacing w:before="0" w:line="360" w:lineRule="auto"/>
        <w:ind w:left="629" w:leftChars="281" w:hanging="39" w:hangingChars="16"/>
        <w:rPr>
          <w:rFonts w:hint="eastAsia"/>
          <w:b/>
          <w:bCs/>
        </w:rPr>
      </w:pPr>
      <w:r>
        <w:rPr>
          <w:rFonts w:hint="eastAsia"/>
          <w:b/>
          <w:bCs/>
        </w:rPr>
        <w:t xml:space="preserve">不符合法规和招标文件中规定的其他实质性要求的。 </w:t>
      </w:r>
    </w:p>
    <w:p>
      <w:pPr>
        <w:pStyle w:val="10"/>
        <w:numPr>
          <w:ilvl w:val="0"/>
          <w:numId w:val="0"/>
        </w:numPr>
        <w:spacing w:before="0" w:line="360" w:lineRule="auto"/>
        <w:ind w:leftChars="265" w:right="0" w:rightChars="0"/>
        <w:rPr>
          <w:rFonts w:hint="eastAsia"/>
        </w:rPr>
      </w:pPr>
      <w:r>
        <w:rPr>
          <w:rFonts w:hint="eastAsia"/>
        </w:rPr>
        <w:t xml:space="preserve">2.7.2 有下列情形之一的，视为投标人串通投标，其投标无效： </w:t>
      </w:r>
    </w:p>
    <w:p>
      <w:pPr>
        <w:pStyle w:val="10"/>
        <w:spacing w:before="0" w:line="360" w:lineRule="auto"/>
        <w:ind w:left="629" w:leftChars="281" w:hanging="39" w:hangingChars="16"/>
        <w:rPr>
          <w:rFonts w:hint="eastAsia"/>
          <w:b/>
          <w:bCs/>
        </w:rPr>
      </w:pPr>
      <w:r>
        <w:rPr>
          <w:rFonts w:hint="eastAsia"/>
          <w:b/>
          <w:bCs/>
        </w:rPr>
        <w:t xml:space="preserve">(1) 不同投标人的投标文件由同一单位或者个人编制； </w:t>
      </w:r>
    </w:p>
    <w:p>
      <w:pPr>
        <w:pStyle w:val="10"/>
        <w:spacing w:before="0" w:line="360" w:lineRule="auto"/>
        <w:ind w:left="629" w:leftChars="281" w:hanging="39" w:hangingChars="16"/>
        <w:rPr>
          <w:rFonts w:hint="eastAsia"/>
          <w:b/>
          <w:bCs/>
        </w:rPr>
      </w:pPr>
      <w:r>
        <w:rPr>
          <w:rFonts w:hint="eastAsia"/>
          <w:b/>
          <w:bCs/>
        </w:rPr>
        <w:t xml:space="preserve">(2) 不同投标人委托同一单位或者个人办理投标事宜； </w:t>
      </w:r>
    </w:p>
    <w:p>
      <w:pPr>
        <w:pStyle w:val="10"/>
        <w:spacing w:before="0" w:line="360" w:lineRule="auto"/>
        <w:ind w:left="629" w:leftChars="281" w:hanging="39" w:hangingChars="16"/>
        <w:rPr>
          <w:rFonts w:hint="eastAsia"/>
          <w:b/>
          <w:bCs/>
        </w:rPr>
      </w:pPr>
      <w:r>
        <w:rPr>
          <w:rFonts w:hint="eastAsia"/>
          <w:b/>
          <w:bCs/>
        </w:rPr>
        <w:t xml:space="preserve">(3) 不同投标人的投标文件载明的项目管理成员或者联系人员为同一人； </w:t>
      </w:r>
    </w:p>
    <w:p>
      <w:pPr>
        <w:pStyle w:val="10"/>
        <w:spacing w:before="0" w:line="360" w:lineRule="auto"/>
        <w:ind w:left="629" w:leftChars="281" w:hanging="39" w:hangingChars="16"/>
        <w:rPr>
          <w:rFonts w:hint="eastAsia"/>
          <w:b/>
          <w:bCs/>
        </w:rPr>
      </w:pPr>
      <w:r>
        <w:rPr>
          <w:rFonts w:hint="eastAsia"/>
          <w:b/>
          <w:bCs/>
        </w:rPr>
        <w:t xml:space="preserve">(4) 不同投标人的投标文件异常一致或者投标报价呈规律性差异； </w:t>
      </w:r>
    </w:p>
    <w:p>
      <w:pPr>
        <w:pStyle w:val="10"/>
        <w:spacing w:before="0" w:line="360" w:lineRule="auto"/>
        <w:ind w:left="629" w:leftChars="281" w:hanging="39" w:hangingChars="16"/>
        <w:rPr>
          <w:rFonts w:hint="eastAsia"/>
          <w:b/>
          <w:bCs/>
        </w:rPr>
      </w:pPr>
      <w:r>
        <w:rPr>
          <w:rFonts w:hint="eastAsia"/>
          <w:b/>
          <w:bCs/>
        </w:rPr>
        <w:t xml:space="preserve">(5) 不同投标人的投标文件相互混装； </w:t>
      </w:r>
    </w:p>
    <w:p>
      <w:pPr>
        <w:pStyle w:val="10"/>
        <w:spacing w:before="0" w:line="360" w:lineRule="auto"/>
        <w:ind w:left="629" w:leftChars="281" w:hanging="39" w:hangingChars="16"/>
        <w:rPr>
          <w:rFonts w:hint="eastAsia"/>
        </w:rPr>
      </w:pPr>
      <w:r>
        <w:rPr>
          <w:rFonts w:hint="eastAsia"/>
          <w:b/>
          <w:bCs/>
        </w:rPr>
        <w:t>(6) 不同投标人的投标保证金从同一单位或者个人的账户转出。</w:t>
      </w:r>
      <w:r>
        <w:rPr>
          <w:rFonts w:hint="eastAsia"/>
        </w:rPr>
        <w:t xml:space="preserve"> </w:t>
      </w:r>
    </w:p>
    <w:p>
      <w:pPr>
        <w:pStyle w:val="10"/>
        <w:spacing w:before="0" w:line="360" w:lineRule="auto"/>
        <w:ind w:left="628" w:leftChars="281" w:hanging="38" w:hangingChars="16"/>
        <w:rPr>
          <w:rFonts w:hint="eastAsia"/>
        </w:rPr>
      </w:pPr>
      <w:r>
        <w:rPr>
          <w:rFonts w:hint="eastAsia"/>
        </w:rPr>
        <w:t xml:space="preserve">2.7.3 开标时属于下列情况之一的，将作为无效投标处理（实质性要求）: </w:t>
      </w:r>
    </w:p>
    <w:p>
      <w:pPr>
        <w:pStyle w:val="10"/>
        <w:spacing w:before="0" w:line="360" w:lineRule="auto"/>
        <w:ind w:left="629" w:leftChars="281" w:hanging="39" w:hangingChars="16"/>
        <w:rPr>
          <w:rFonts w:hint="eastAsia"/>
          <w:b/>
          <w:bCs/>
        </w:rPr>
      </w:pPr>
      <w:r>
        <w:rPr>
          <w:rFonts w:hint="eastAsia"/>
          <w:b/>
          <w:bCs/>
        </w:rPr>
        <w:t xml:space="preserve">（1）单独提交的“开标一览表”未按格式要求签字、盖章，或提供复印件的 （招标文件另有规定的除外）； </w:t>
      </w:r>
    </w:p>
    <w:p>
      <w:pPr>
        <w:pStyle w:val="10"/>
        <w:spacing w:before="0" w:line="360" w:lineRule="auto"/>
        <w:ind w:left="629" w:leftChars="281" w:hanging="39" w:hangingChars="16"/>
        <w:rPr>
          <w:rFonts w:hint="eastAsia"/>
        </w:rPr>
      </w:pPr>
      <w:r>
        <w:rPr>
          <w:rFonts w:hint="eastAsia"/>
          <w:b/>
          <w:bCs/>
        </w:rPr>
        <w:t>（2）没有提供“开标一览表”的。</w:t>
      </w:r>
      <w:r>
        <w:rPr>
          <w:rFonts w:hint="eastAsia"/>
        </w:rPr>
        <w:t xml:space="preserve"> </w:t>
      </w:r>
    </w:p>
    <w:p>
      <w:pPr>
        <w:pStyle w:val="10"/>
        <w:spacing w:before="0" w:line="360" w:lineRule="auto"/>
        <w:ind w:left="628" w:leftChars="281" w:hanging="38" w:hangingChars="16"/>
        <w:rPr>
          <w:rFonts w:hint="eastAsia"/>
        </w:rPr>
      </w:pPr>
      <w:r>
        <w:rPr>
          <w:rFonts w:hint="eastAsia"/>
        </w:rPr>
        <w:t xml:space="preserve">2.7.4 投标人未派代表参加开标的，视同认可开标结果。 </w:t>
      </w:r>
    </w:p>
    <w:p>
      <w:pPr>
        <w:pStyle w:val="10"/>
        <w:spacing w:before="0" w:line="360" w:lineRule="auto"/>
        <w:ind w:left="628" w:leftChars="281" w:hanging="38" w:hangingChars="16"/>
        <w:rPr>
          <w:rFonts w:hint="eastAsia"/>
        </w:rPr>
      </w:pPr>
      <w:r>
        <w:rPr>
          <w:rFonts w:hint="eastAsia"/>
        </w:rPr>
        <w:t xml:space="preserve">2.7.5 废标出现下列情形之一，将导致项目废标： </w:t>
      </w:r>
    </w:p>
    <w:p>
      <w:pPr>
        <w:pStyle w:val="10"/>
        <w:spacing w:before="0" w:line="360" w:lineRule="auto"/>
        <w:ind w:left="629" w:leftChars="281" w:hanging="39" w:hangingChars="16"/>
        <w:rPr>
          <w:rFonts w:hint="eastAsia"/>
          <w:b/>
          <w:bCs/>
        </w:rPr>
      </w:pPr>
      <w:r>
        <w:rPr>
          <w:rFonts w:hint="eastAsia"/>
          <w:b/>
          <w:bCs/>
        </w:rPr>
        <w:t xml:space="preserve">（1）符合专业条件的供应商或者对招标文件做实质性响应的供应商不足三家； </w:t>
      </w:r>
    </w:p>
    <w:p>
      <w:pPr>
        <w:pStyle w:val="10"/>
        <w:spacing w:before="0" w:line="360" w:lineRule="auto"/>
        <w:ind w:left="629" w:leftChars="281" w:hanging="39" w:hangingChars="16"/>
        <w:rPr>
          <w:rFonts w:hint="eastAsia"/>
          <w:b/>
          <w:bCs/>
        </w:rPr>
      </w:pPr>
      <w:r>
        <w:rPr>
          <w:rFonts w:hint="eastAsia"/>
          <w:b/>
          <w:bCs/>
        </w:rPr>
        <w:t xml:space="preserve">（2）出现影响采购公正的违法、违规行为的； </w:t>
      </w:r>
    </w:p>
    <w:p>
      <w:pPr>
        <w:pStyle w:val="10"/>
        <w:spacing w:before="0" w:line="360" w:lineRule="auto"/>
        <w:ind w:left="629" w:leftChars="281" w:hanging="39" w:hangingChars="16"/>
        <w:rPr>
          <w:rFonts w:hint="eastAsia"/>
          <w:b/>
          <w:bCs/>
        </w:rPr>
      </w:pPr>
      <w:r>
        <w:rPr>
          <w:rFonts w:hint="eastAsia"/>
          <w:b/>
          <w:bCs/>
        </w:rPr>
        <w:t xml:space="preserve">（3）投标人的报价均超过了采购预算，采购人不能支付的； </w:t>
      </w:r>
    </w:p>
    <w:p>
      <w:pPr>
        <w:pStyle w:val="10"/>
        <w:spacing w:before="0" w:line="360" w:lineRule="auto"/>
        <w:ind w:left="629" w:leftChars="281" w:hanging="39" w:hangingChars="16"/>
        <w:rPr>
          <w:rFonts w:hint="eastAsia"/>
          <w:b/>
          <w:bCs/>
          <w:sz w:val="32"/>
          <w:szCs w:val="32"/>
        </w:rPr>
      </w:pPr>
      <w:r>
        <w:rPr>
          <w:rFonts w:hint="eastAsia"/>
          <w:b/>
          <w:bCs/>
        </w:rPr>
        <w:t xml:space="preserve">（4）因重大变故，采购任务取消的。 </w:t>
      </w:r>
    </w:p>
    <w:p>
      <w:pPr>
        <w:pStyle w:val="10"/>
        <w:numPr>
          <w:ilvl w:val="0"/>
          <w:numId w:val="16"/>
        </w:numPr>
        <w:spacing w:before="0" w:line="360" w:lineRule="auto"/>
        <w:ind w:left="635" w:leftChars="281" w:hanging="45" w:hangingChars="16"/>
        <w:jc w:val="center"/>
        <w:rPr>
          <w:rFonts w:hint="eastAsia"/>
          <w:b/>
          <w:bCs/>
          <w:sz w:val="28"/>
          <w:szCs w:val="28"/>
        </w:rPr>
      </w:pPr>
      <w:r>
        <w:rPr>
          <w:rFonts w:hint="eastAsia"/>
          <w:b/>
          <w:bCs/>
          <w:sz w:val="28"/>
          <w:szCs w:val="28"/>
        </w:rPr>
        <w:t>落实中小企业政策</w:t>
      </w:r>
    </w:p>
    <w:p>
      <w:pPr>
        <w:pStyle w:val="10"/>
        <w:keepNext w:val="0"/>
        <w:keepLines w:val="0"/>
        <w:pageBreakBefore w:val="0"/>
        <w:widowControl w:val="0"/>
        <w:kinsoku/>
        <w:wordWrap/>
        <w:overflowPunct/>
        <w:topLinePunct w:val="0"/>
        <w:autoSpaceDE/>
        <w:autoSpaceDN/>
        <w:bidi w:val="0"/>
        <w:adjustRightInd/>
        <w:snapToGrid/>
        <w:spacing w:before="0" w:line="360" w:lineRule="auto"/>
        <w:ind w:left="829" w:leftChars="395" w:firstLine="441" w:firstLineChars="183"/>
        <w:textAlignment w:val="auto"/>
        <w:rPr>
          <w:rFonts w:hint="default"/>
          <w:b/>
          <w:bCs/>
          <w:lang w:val="en-US" w:eastAsia="zh-CN"/>
        </w:rPr>
      </w:pPr>
      <w:r>
        <w:rPr>
          <w:rFonts w:hint="eastAsia"/>
          <w:b/>
          <w:bCs/>
          <w:lang w:val="en-US" w:eastAsia="zh-CN"/>
        </w:rPr>
        <w:t>本项目专门面向中小企业，落实《政府采购促进中小企业发展暂行办法》（财库[2020]46号文）等政策，潜在投标企业属于中小微企业的，需在投标文件中提供“中小企业声明函”，对于符合条件的投标企业将落实以下政策：</w:t>
      </w:r>
    </w:p>
    <w:p>
      <w:pPr>
        <w:pStyle w:val="10"/>
        <w:keepNext w:val="0"/>
        <w:keepLines w:val="0"/>
        <w:pageBreakBefore w:val="0"/>
        <w:widowControl w:val="0"/>
        <w:kinsoku/>
        <w:wordWrap/>
        <w:overflowPunct/>
        <w:topLinePunct w:val="0"/>
        <w:autoSpaceDE/>
        <w:autoSpaceDN/>
        <w:bidi w:val="0"/>
        <w:adjustRightInd/>
        <w:snapToGrid/>
        <w:spacing w:before="0" w:line="360" w:lineRule="auto"/>
        <w:ind w:left="628" w:leftChars="281" w:hanging="38" w:hangingChars="16"/>
        <w:textAlignment w:val="auto"/>
        <w:rPr>
          <w:rFonts w:hint="eastAsia"/>
        </w:rPr>
      </w:pPr>
      <w:r>
        <w:rPr>
          <w:rFonts w:hint="eastAsia"/>
          <w:lang w:val="en-US" w:eastAsia="zh-CN"/>
        </w:rPr>
        <w:t>1</w:t>
      </w:r>
      <w:r>
        <w:rPr>
          <w:rFonts w:hint="eastAsia"/>
        </w:rPr>
        <w:t>、根据《政府采购促进中小企业发展管理办法》（财库〔2020〕46 号）</w:t>
      </w:r>
      <w:r>
        <w:rPr>
          <w:rFonts w:hint="eastAsia"/>
          <w:sz w:val="22"/>
          <w:szCs w:val="22"/>
        </w:rPr>
        <w:t>、《财 政</w:t>
      </w:r>
      <w:r>
        <w:rPr>
          <w:rFonts w:hint="eastAsia"/>
        </w:rPr>
        <w:t>部 司法部关于政府采购支持监狱企业发展有关问题的通知》（财库〔2014〕 68 号）和《三部门联合发布关于促进残疾人就业政府采购政策的通知》（财 库〔2017〕141 号）的规定，对满足价格扣除条件且在投标文件中提交了《投标人企业类型声明函》、《残疾人福利性单位声明函》或省级以上监狱管理局、戒毒管理局（含新疆生产建设兵团）出具的属于监狱企业的证明文件的投标人，</w:t>
      </w:r>
      <w:r>
        <w:rPr>
          <w:rFonts w:hint="eastAsia"/>
          <w:b/>
          <w:bCs/>
        </w:rPr>
        <w:t>其投标报价扣除 10 %后参与评审。</w:t>
      </w:r>
      <w:r>
        <w:rPr>
          <w:rFonts w:hint="eastAsia"/>
        </w:rPr>
        <w:t>对于同时属于小微企业、监狱企业或残疾人福利性单位的，不重复进行投标报价扣除。</w:t>
      </w:r>
    </w:p>
    <w:p>
      <w:pPr>
        <w:pStyle w:val="10"/>
        <w:keepNext w:val="0"/>
        <w:keepLines w:val="0"/>
        <w:pageBreakBefore w:val="0"/>
        <w:widowControl w:val="0"/>
        <w:kinsoku/>
        <w:wordWrap/>
        <w:overflowPunct/>
        <w:topLinePunct w:val="0"/>
        <w:autoSpaceDE/>
        <w:autoSpaceDN/>
        <w:bidi w:val="0"/>
        <w:adjustRightInd/>
        <w:snapToGrid/>
        <w:spacing w:before="0" w:line="360" w:lineRule="auto"/>
        <w:ind w:left="628" w:leftChars="281" w:hanging="38" w:hangingChars="16"/>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2、投标人所投产品如被列入财政部与国家主管部门颁发的节能产品目录或环境标志产品目录或无线局域网产品目录，应提供相关证明，在评标时予以优先采购，具体优惠措施为：同等条件下优先选择《财政部 国家发展改革委关于调整公布第二十三期节能产品政府采购清单的通知》（财库〔2018〕17号）、《财政部 环境保护部关于调整公布第二十一期环境标志产品政府采购清单的通知》（财库〔2018〕19号）目录内的产品（须提供节能、环保认证证书复印件加盖公章）。         </w:t>
      </w:r>
    </w:p>
    <w:p>
      <w:pPr>
        <w:pStyle w:val="10"/>
        <w:keepNext w:val="0"/>
        <w:keepLines w:val="0"/>
        <w:pageBreakBefore w:val="0"/>
        <w:widowControl w:val="0"/>
        <w:kinsoku/>
        <w:wordWrap/>
        <w:overflowPunct/>
        <w:topLinePunct w:val="0"/>
        <w:autoSpaceDE/>
        <w:autoSpaceDN/>
        <w:bidi w:val="0"/>
        <w:adjustRightInd/>
        <w:snapToGrid/>
        <w:spacing w:before="0" w:line="360" w:lineRule="auto"/>
        <w:ind w:left="628" w:leftChars="281" w:hanging="38" w:hangingChars="16"/>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3、如采购人所采购产品为政府强制采购的节能产品，投标人所投产品的品牌及型号必须为清单中有效期内产品并提供证明文件，否则其投标将被认定为投标无效</w:t>
      </w:r>
    </w:p>
    <w:p>
      <w:pPr>
        <w:pStyle w:val="10"/>
        <w:keepNext w:val="0"/>
        <w:keepLines w:val="0"/>
        <w:pageBreakBefore w:val="0"/>
        <w:widowControl w:val="0"/>
        <w:kinsoku/>
        <w:wordWrap/>
        <w:overflowPunct/>
        <w:topLinePunct w:val="0"/>
        <w:autoSpaceDE/>
        <w:autoSpaceDN/>
        <w:bidi w:val="0"/>
        <w:adjustRightInd/>
        <w:snapToGrid/>
        <w:spacing w:before="0" w:line="360" w:lineRule="auto"/>
        <w:ind w:left="629" w:leftChars="281" w:hanging="39" w:hangingChars="16"/>
        <w:textAlignment w:val="auto"/>
        <w:rPr>
          <w:rFonts w:hint="eastAsia" w:ascii="宋体" w:hAnsi="Times New Roman" w:eastAsia="宋体" w:cs="Times New Roman"/>
          <w:b/>
          <w:kern w:val="0"/>
          <w:sz w:val="28"/>
          <w:szCs w:val="20"/>
          <w:lang w:val="en-US" w:eastAsia="zh-CN" w:bidi="ar-SA"/>
        </w:rPr>
      </w:pPr>
      <w:r>
        <w:rPr>
          <w:rFonts w:hint="eastAsia"/>
          <w:b/>
          <w:bCs/>
          <w:lang w:val="en-US" w:eastAsia="zh-CN"/>
        </w:rPr>
        <w:t>投标企业如果未提供或提供虚假的“中小企业声明函”，投标企业将承担由此造成的一切不利后果。</w:t>
      </w:r>
      <w:r>
        <w:rPr>
          <w:rFonts w:hint="eastAsia" w:ascii="宋体" w:hAnsi="Times New Roman" w:eastAsia="宋体" w:cs="Times New Roman"/>
          <w:b/>
          <w:kern w:val="0"/>
          <w:sz w:val="28"/>
          <w:szCs w:val="20"/>
          <w:lang w:val="en-US" w:eastAsia="zh-CN" w:bidi="ar-SA"/>
        </w:rPr>
        <w:br w:type="page"/>
      </w:r>
    </w:p>
    <w:p>
      <w:pPr>
        <w:spacing w:line="340" w:lineRule="exact"/>
        <w:ind w:firstLine="2811" w:firstLineChars="1000"/>
        <w:outlineLvl w:val="1"/>
        <w:rPr>
          <w:rFonts w:hint="eastAsia" w:ascii="宋体" w:hAnsi="Times New Roman" w:eastAsia="宋体" w:cs="Times New Roman"/>
          <w:b/>
          <w:kern w:val="0"/>
          <w:sz w:val="28"/>
          <w:szCs w:val="20"/>
          <w:lang w:val="en-US" w:eastAsia="zh-CN" w:bidi="ar-SA"/>
        </w:rPr>
      </w:pPr>
      <w:r>
        <w:rPr>
          <w:rFonts w:hint="eastAsia" w:ascii="宋体" w:hAnsi="Times New Roman" w:eastAsia="宋体" w:cs="Times New Roman"/>
          <w:b/>
          <w:kern w:val="0"/>
          <w:sz w:val="28"/>
          <w:szCs w:val="20"/>
          <w:lang w:val="en-US" w:eastAsia="zh-CN" w:bidi="ar-SA"/>
        </w:rPr>
        <w:t>初步评审—资格性审查表</w:t>
      </w:r>
      <w:bookmarkEnd w:id="480"/>
      <w:bookmarkEnd w:id="481"/>
      <w:bookmarkEnd w:id="482"/>
      <w:bookmarkEnd w:id="483"/>
    </w:p>
    <w:tbl>
      <w:tblPr>
        <w:tblStyle w:val="27"/>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635"/>
        <w:gridCol w:w="6566"/>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8061" w:type="dxa"/>
            <w:gridSpan w:val="3"/>
          </w:tcPr>
          <w:p>
            <w:pPr>
              <w:pStyle w:val="48"/>
              <w:tabs>
                <w:tab w:val="left" w:pos="3382"/>
              </w:tabs>
              <w:spacing w:before="30" w:line="301" w:lineRule="exact"/>
              <w:ind w:left="8"/>
              <w:jc w:val="center"/>
              <w:rPr>
                <w:rFonts w:hint="eastAsia" w:ascii="宋体" w:eastAsia="宋体"/>
                <w:b w:val="0"/>
                <w:bCs/>
                <w:sz w:val="24"/>
              </w:rPr>
            </w:pPr>
            <w:bookmarkStart w:id="484" w:name="_Toc27246"/>
            <w:bookmarkStart w:id="485" w:name="_Toc20256"/>
            <w:bookmarkStart w:id="486" w:name="_Toc273"/>
            <w:r>
              <w:rPr>
                <w:rFonts w:hint="eastAsia" w:ascii="宋体" w:eastAsia="宋体"/>
                <w:b w:val="0"/>
                <w:bCs/>
                <w:sz w:val="24"/>
              </w:rPr>
              <w:t>评审因素</w:t>
            </w:r>
          </w:p>
        </w:tc>
        <w:tc>
          <w:tcPr>
            <w:tcW w:w="699" w:type="dxa"/>
          </w:tcPr>
          <w:p>
            <w:pPr>
              <w:pStyle w:val="48"/>
              <w:jc w:val="center"/>
              <w:rPr>
                <w:rFonts w:hint="default" w:ascii="Times New Roman" w:eastAsia="仿宋"/>
                <w:b w:val="0"/>
                <w:bCs/>
                <w:sz w:val="24"/>
                <w:lang w:val="en-US" w:eastAsia="zh-CN"/>
              </w:rPr>
            </w:pPr>
            <w:r>
              <w:rPr>
                <w:rFonts w:hint="eastAsia" w:ascii="Times New Roman"/>
                <w:b w:val="0"/>
                <w:bCs/>
                <w:sz w:val="24"/>
                <w:lang w:val="en-US" w:eastAsia="zh-CN"/>
              </w:rPr>
              <w:t>投标单位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860" w:type="dxa"/>
            <w:vMerge w:val="restart"/>
          </w:tcPr>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rPr>
                <w:rFonts w:ascii="宋体"/>
                <w:sz w:val="24"/>
              </w:rPr>
            </w:pPr>
          </w:p>
          <w:p>
            <w:pPr>
              <w:pStyle w:val="48"/>
              <w:spacing w:before="2"/>
              <w:rPr>
                <w:rFonts w:ascii="宋体"/>
                <w:sz w:val="20"/>
              </w:rPr>
            </w:pPr>
          </w:p>
          <w:p>
            <w:pPr>
              <w:pStyle w:val="48"/>
              <w:spacing w:line="242" w:lineRule="auto"/>
              <w:ind w:left="188" w:right="179"/>
              <w:rPr>
                <w:rFonts w:hint="eastAsia" w:ascii="宋体" w:eastAsia="宋体"/>
                <w:sz w:val="24"/>
              </w:rPr>
            </w:pPr>
            <w:r>
              <w:rPr>
                <w:rFonts w:hint="eastAsia" w:ascii="宋体" w:eastAsia="宋体"/>
                <w:sz w:val="24"/>
              </w:rPr>
              <w:t>资格审查</w:t>
            </w:r>
          </w:p>
        </w:tc>
        <w:tc>
          <w:tcPr>
            <w:tcW w:w="635" w:type="dxa"/>
            <w:vAlign w:val="center"/>
          </w:tcPr>
          <w:p>
            <w:pPr>
              <w:pStyle w:val="48"/>
              <w:spacing w:before="175"/>
              <w:jc w:val="center"/>
              <w:rPr>
                <w:rFonts w:ascii="宋体"/>
                <w:sz w:val="24"/>
              </w:rPr>
            </w:pPr>
            <w:r>
              <w:rPr>
                <w:rFonts w:ascii="宋体"/>
                <w:sz w:val="24"/>
              </w:rPr>
              <w:t>1</w:t>
            </w:r>
          </w:p>
        </w:tc>
        <w:tc>
          <w:tcPr>
            <w:tcW w:w="6566" w:type="dxa"/>
          </w:tcPr>
          <w:p>
            <w:pPr>
              <w:pStyle w:val="48"/>
              <w:spacing w:before="17" w:line="242" w:lineRule="auto"/>
              <w:ind w:left="15" w:right="3"/>
              <w:rPr>
                <w:sz w:val="24"/>
              </w:rPr>
            </w:pPr>
            <w:r>
              <w:rPr>
                <w:rFonts w:hint="eastAsia"/>
                <w:sz w:val="24"/>
              </w:rPr>
              <w:t>合格有效的三证合一的营业执照（三证合一）副本或电子营业执照打印件（需加盖公章）</w:t>
            </w:r>
          </w:p>
        </w:tc>
        <w:tc>
          <w:tcPr>
            <w:tcW w:w="699" w:type="dxa"/>
          </w:tcPr>
          <w:p>
            <w:pPr>
              <w:pStyle w:val="4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860" w:type="dxa"/>
            <w:vMerge w:val="continue"/>
            <w:tcBorders>
              <w:top w:val="nil"/>
            </w:tcBorders>
          </w:tcPr>
          <w:p>
            <w:pPr>
              <w:rPr>
                <w:rFonts w:hint="eastAsia" w:ascii="宋体" w:hAnsi="宋体" w:eastAsia="宋体" w:cs="宋体"/>
                <w:kern w:val="2"/>
                <w:sz w:val="24"/>
                <w:szCs w:val="24"/>
                <w:lang w:val="zh-CN" w:eastAsia="zh-CN" w:bidi="zh-CN"/>
              </w:rPr>
            </w:pPr>
          </w:p>
        </w:tc>
        <w:tc>
          <w:tcPr>
            <w:tcW w:w="635" w:type="dxa"/>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2</w:t>
            </w:r>
          </w:p>
        </w:tc>
        <w:tc>
          <w:tcPr>
            <w:tcW w:w="6566" w:type="dxa"/>
          </w:tcPr>
          <w:p>
            <w:pPr>
              <w:pStyle w:val="48"/>
              <w:spacing w:before="175"/>
              <w:ind w:left="0" w:leftChars="0" w:firstLine="0" w:firstLineChars="0"/>
              <w:jc w:val="left"/>
              <w:rPr>
                <w:rFonts w:hint="eastAsia" w:ascii="宋体" w:hAnsi="宋体" w:eastAsia="宋体" w:cs="宋体"/>
                <w:kern w:val="2"/>
                <w:sz w:val="24"/>
                <w:szCs w:val="24"/>
                <w:lang w:val="zh-CN" w:eastAsia="zh-CN" w:bidi="zh-CN"/>
              </w:rPr>
            </w:pPr>
            <w:r>
              <w:rPr>
                <w:rFonts w:hint="eastAsia" w:cs="宋体"/>
                <w:kern w:val="2"/>
                <w:sz w:val="24"/>
                <w:szCs w:val="24"/>
                <w:lang w:val="zh-CN" w:eastAsia="zh-CN" w:bidi="zh-CN"/>
              </w:rPr>
              <w:t>法定代表人（负责人）资格证明书及授权书、被授权人身份证；(法定代表人投标需提供法定代表人身份证及法定代表人代表资格证明书)</w:t>
            </w:r>
          </w:p>
        </w:tc>
        <w:tc>
          <w:tcPr>
            <w:tcW w:w="699" w:type="dxa"/>
          </w:tcPr>
          <w:p>
            <w:pPr>
              <w:pStyle w:val="48"/>
              <w:rPr>
                <w:rFonts w:hint="eastAsia" w:ascii="宋体" w:hAnsi="宋体" w:eastAsia="宋体" w:cs="宋体"/>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860" w:type="dxa"/>
            <w:vMerge w:val="continue"/>
            <w:tcBorders>
              <w:top w:val="nil"/>
            </w:tcBorders>
          </w:tcPr>
          <w:p>
            <w:pPr>
              <w:rPr>
                <w:sz w:val="2"/>
                <w:szCs w:val="2"/>
              </w:rPr>
            </w:pPr>
          </w:p>
        </w:tc>
        <w:tc>
          <w:tcPr>
            <w:tcW w:w="635" w:type="dxa"/>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3</w:t>
            </w:r>
          </w:p>
        </w:tc>
        <w:tc>
          <w:tcPr>
            <w:tcW w:w="6566" w:type="dxa"/>
          </w:tcPr>
          <w:p>
            <w:pPr>
              <w:pStyle w:val="48"/>
              <w:spacing w:before="175"/>
              <w:ind w:left="0" w:leftChars="0" w:firstLine="0" w:firstLineChars="0"/>
              <w:jc w:val="both"/>
              <w:rPr>
                <w:rFonts w:ascii="宋体" w:hAnsi="宋体" w:eastAsia="宋体" w:cs="宋体"/>
                <w:sz w:val="24"/>
              </w:rPr>
            </w:pPr>
            <w:r>
              <w:rPr>
                <w:rFonts w:hint="eastAsia" w:ascii="宋体" w:hAnsi="宋体" w:eastAsia="宋体" w:cs="宋体"/>
                <w:sz w:val="24"/>
              </w:rPr>
              <w:t>近三个月依法缴纳税收的证明（完税证明或税务部门出具的其他证明，税种非社会保险类）</w:t>
            </w:r>
          </w:p>
        </w:tc>
        <w:tc>
          <w:tcPr>
            <w:tcW w:w="699" w:type="dxa"/>
          </w:tcPr>
          <w:p>
            <w:pPr>
              <w:pStyle w:val="4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0" w:type="dxa"/>
            <w:vMerge w:val="continue"/>
            <w:tcBorders>
              <w:top w:val="nil"/>
            </w:tcBorders>
          </w:tcPr>
          <w:p>
            <w:pPr>
              <w:rPr>
                <w:sz w:val="2"/>
                <w:szCs w:val="2"/>
              </w:rPr>
            </w:pPr>
          </w:p>
        </w:tc>
        <w:tc>
          <w:tcPr>
            <w:tcW w:w="635" w:type="dxa"/>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4</w:t>
            </w:r>
          </w:p>
        </w:tc>
        <w:tc>
          <w:tcPr>
            <w:tcW w:w="6566" w:type="dxa"/>
          </w:tcPr>
          <w:p>
            <w:pPr>
              <w:pStyle w:val="48"/>
              <w:spacing w:before="16" w:line="242" w:lineRule="auto"/>
              <w:ind w:left="15" w:right="3"/>
              <w:rPr>
                <w:sz w:val="24"/>
              </w:rPr>
            </w:pPr>
            <w:r>
              <w:rPr>
                <w:rFonts w:hint="eastAsia"/>
                <w:sz w:val="24"/>
              </w:rPr>
              <w:t>近六个月依法缴纳社会保障金的缴费和银行转帐汇款单证明。</w:t>
            </w:r>
          </w:p>
        </w:tc>
        <w:tc>
          <w:tcPr>
            <w:tcW w:w="699" w:type="dxa"/>
          </w:tcPr>
          <w:p>
            <w:pPr>
              <w:pStyle w:val="4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860" w:type="dxa"/>
            <w:vMerge w:val="continue"/>
            <w:tcBorders>
              <w:top w:val="nil"/>
            </w:tcBorders>
          </w:tcPr>
          <w:p>
            <w:pPr>
              <w:rPr>
                <w:sz w:val="2"/>
                <w:szCs w:val="2"/>
              </w:rPr>
            </w:pPr>
          </w:p>
        </w:tc>
        <w:tc>
          <w:tcPr>
            <w:tcW w:w="635" w:type="dxa"/>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5</w:t>
            </w:r>
          </w:p>
        </w:tc>
        <w:tc>
          <w:tcPr>
            <w:tcW w:w="6566" w:type="dxa"/>
          </w:tcPr>
          <w:p>
            <w:pPr>
              <w:pStyle w:val="48"/>
              <w:spacing w:before="52" w:line="242" w:lineRule="auto"/>
              <w:ind w:left="15" w:right="3"/>
              <w:rPr>
                <w:sz w:val="24"/>
              </w:rPr>
            </w:pPr>
            <w:r>
              <w:rPr>
                <w:rFonts w:hint="eastAsia"/>
                <w:sz w:val="24"/>
              </w:rPr>
              <w:t>良好的商业信誉和健全的财务会计制度证明材料（会2021年度财务审计报告书影印件；新办企业需提供银行资信证明）</w:t>
            </w:r>
          </w:p>
        </w:tc>
        <w:tc>
          <w:tcPr>
            <w:tcW w:w="699" w:type="dxa"/>
            <w:tcBorders>
              <w:bottom w:val="single" w:color="auto" w:sz="4" w:space="0"/>
            </w:tcBorders>
          </w:tcPr>
          <w:p>
            <w:pPr>
              <w:pStyle w:val="48"/>
              <w:spacing w:line="305" w:lineRule="exact"/>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860" w:type="dxa"/>
            <w:vMerge w:val="continue"/>
            <w:tcBorders>
              <w:top w:val="nil"/>
            </w:tcBorders>
          </w:tcPr>
          <w:p>
            <w:pPr>
              <w:rPr>
                <w:sz w:val="2"/>
                <w:szCs w:val="2"/>
              </w:rPr>
            </w:pPr>
          </w:p>
        </w:tc>
        <w:tc>
          <w:tcPr>
            <w:tcW w:w="635" w:type="dxa"/>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6</w:t>
            </w:r>
          </w:p>
        </w:tc>
        <w:tc>
          <w:tcPr>
            <w:tcW w:w="6566" w:type="dxa"/>
            <w:tcBorders>
              <w:bottom w:val="single" w:color="auto" w:sz="4" w:space="0"/>
            </w:tcBorders>
          </w:tcPr>
          <w:p>
            <w:pPr>
              <w:pStyle w:val="48"/>
              <w:spacing w:before="30" w:line="242" w:lineRule="auto"/>
              <w:ind w:left="15" w:right="3"/>
              <w:rPr>
                <w:sz w:val="24"/>
              </w:rPr>
            </w:pPr>
            <w:r>
              <w:rPr>
                <w:rFonts w:hint="eastAsia"/>
                <w:sz w:val="24"/>
              </w:rPr>
              <w:t>参加政府采购活动前3年内在经营活动中没有重大违法记录的书面声明及投标单位（供应商）提供针对本次采购项目《反商业贿赂承诺书》（格式自拟）</w:t>
            </w:r>
          </w:p>
        </w:tc>
        <w:tc>
          <w:tcPr>
            <w:tcW w:w="699" w:type="dxa"/>
            <w:tcBorders>
              <w:top w:val="single" w:color="auto" w:sz="4" w:space="0"/>
              <w:bottom w:val="nil"/>
              <w:right w:val="single" w:color="auto" w:sz="4" w:space="0"/>
            </w:tcBorders>
          </w:tcPr>
          <w:p>
            <w:pPr>
              <w:pStyle w:val="48"/>
              <w:ind w:left="-13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60" w:type="dxa"/>
            <w:vMerge w:val="continue"/>
            <w:tcBorders>
              <w:top w:val="nil"/>
            </w:tcBorders>
          </w:tcPr>
          <w:p>
            <w:pPr>
              <w:rPr>
                <w:sz w:val="2"/>
                <w:szCs w:val="2"/>
              </w:rPr>
            </w:pPr>
          </w:p>
        </w:tc>
        <w:tc>
          <w:tcPr>
            <w:tcW w:w="635" w:type="dxa"/>
            <w:tcBorders>
              <w:right w:val="single" w:color="auto" w:sz="4" w:space="0"/>
            </w:tcBorders>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7</w:t>
            </w:r>
          </w:p>
        </w:tc>
        <w:tc>
          <w:tcPr>
            <w:tcW w:w="6566" w:type="dxa"/>
            <w:tcBorders>
              <w:top w:val="single" w:color="auto" w:sz="4" w:space="0"/>
              <w:left w:val="single" w:color="auto" w:sz="4" w:space="0"/>
            </w:tcBorders>
          </w:tcPr>
          <w:p>
            <w:pPr>
              <w:tabs>
                <w:tab w:val="left" w:pos="1800"/>
                <w:tab w:val="left" w:pos="5580"/>
              </w:tabs>
              <w:snapToGrid w:val="0"/>
              <w:spacing w:line="240" w:lineRule="auto"/>
              <w:ind w:right="36" w:rightChars="0"/>
              <w:jc w:val="left"/>
              <w:textAlignment w:val="baseline"/>
              <w:rPr>
                <w:sz w:val="24"/>
              </w:rPr>
            </w:pPr>
            <w:r>
              <w:rPr>
                <w:rFonts w:hint="eastAsia" w:ascii="宋体" w:hAnsi="宋体" w:cs="宋体"/>
                <w:kern w:val="2"/>
                <w:sz w:val="24"/>
                <w:szCs w:val="24"/>
                <w:lang w:val="zh-CN" w:eastAsia="zh-CN" w:bidi="zh-CN"/>
              </w:rPr>
              <w:t>“信用中国”网站和中国政府采购网、国家企业信用信息公示系统无违法违规行为的查询纪录（投标人存在不良信用记录的或被列入失信被执行人、重大税收违法案件当事人名单的，其投标将被认定为投标无效）（以采购代理机构于投标截止日当天在信用中国”网站和中国政府采购网、国家企业信用信息公示系统网站查询结果为准）；</w:t>
            </w:r>
            <w:r>
              <w:rPr>
                <w:rFonts w:hint="eastAsia" w:ascii="宋体" w:hAnsi="宋体" w:eastAsia="宋体" w:cs="宋体"/>
                <w:kern w:val="2"/>
                <w:sz w:val="24"/>
                <w:szCs w:val="24"/>
                <w:lang w:val="zh-CN" w:eastAsia="zh-CN" w:bidi="zh-CN"/>
              </w:rPr>
              <w:t>府采购网(www.ccgp.gov.cn)查询结果为准；</w:t>
            </w:r>
          </w:p>
        </w:tc>
        <w:tc>
          <w:tcPr>
            <w:tcW w:w="699" w:type="dxa"/>
            <w:vMerge w:val="restart"/>
            <w:tcBorders>
              <w:top w:val="nil"/>
              <w:right w:val="single" w:color="auto" w:sz="4" w:space="0"/>
            </w:tcBorders>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860" w:type="dxa"/>
            <w:vMerge w:val="continue"/>
            <w:tcBorders>
              <w:top w:val="nil"/>
            </w:tcBorders>
          </w:tcPr>
          <w:p>
            <w:pPr>
              <w:rPr>
                <w:sz w:val="2"/>
                <w:szCs w:val="2"/>
              </w:rPr>
            </w:pPr>
          </w:p>
        </w:tc>
        <w:tc>
          <w:tcPr>
            <w:tcW w:w="635" w:type="dxa"/>
            <w:tcBorders>
              <w:right w:val="single" w:color="auto" w:sz="4" w:space="0"/>
            </w:tcBorders>
          </w:tcPr>
          <w:p>
            <w:pPr>
              <w:pStyle w:val="48"/>
              <w:spacing w:before="175"/>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8</w:t>
            </w:r>
          </w:p>
        </w:tc>
        <w:tc>
          <w:tcPr>
            <w:tcW w:w="6566" w:type="dxa"/>
            <w:tcBorders>
              <w:left w:val="single" w:color="auto" w:sz="4" w:space="0"/>
            </w:tcBorders>
          </w:tcPr>
          <w:p>
            <w:pPr>
              <w:pStyle w:val="48"/>
              <w:spacing w:before="12" w:line="310" w:lineRule="atLeast"/>
              <w:ind w:left="15" w:right="3"/>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缴纳投标保证金凭证复印件加盖公章</w:t>
            </w:r>
          </w:p>
        </w:tc>
        <w:tc>
          <w:tcPr>
            <w:tcW w:w="699" w:type="dxa"/>
            <w:vMerge w:val="continue"/>
            <w:tcBorders>
              <w:right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860" w:type="dxa"/>
            <w:vMerge w:val="continue"/>
            <w:tcBorders>
              <w:top w:val="nil"/>
            </w:tcBorders>
          </w:tcPr>
          <w:p>
            <w:pPr>
              <w:rPr>
                <w:sz w:val="2"/>
                <w:szCs w:val="2"/>
              </w:rPr>
            </w:pPr>
          </w:p>
        </w:tc>
        <w:tc>
          <w:tcPr>
            <w:tcW w:w="635" w:type="dxa"/>
            <w:tcBorders>
              <w:right w:val="single" w:color="auto" w:sz="4" w:space="0"/>
            </w:tcBorders>
          </w:tcPr>
          <w:p>
            <w:pPr>
              <w:pStyle w:val="48"/>
              <w:spacing w:before="175"/>
              <w:jc w:val="center"/>
              <w:rPr>
                <w:rFonts w:hint="eastAsia" w:ascii="宋体" w:hAnsi="宋体" w:eastAsia="宋体" w:cs="宋体"/>
                <w:kern w:val="2"/>
                <w:sz w:val="24"/>
                <w:szCs w:val="24"/>
                <w:lang w:val="zh-CN" w:eastAsia="zh-CN" w:bidi="zh-CN"/>
              </w:rPr>
            </w:pPr>
          </w:p>
        </w:tc>
        <w:tc>
          <w:tcPr>
            <w:tcW w:w="6566" w:type="dxa"/>
            <w:tcBorders>
              <w:left w:val="single" w:color="auto" w:sz="4" w:space="0"/>
              <w:bottom w:val="single" w:color="auto" w:sz="4" w:space="0"/>
            </w:tcBorders>
          </w:tcPr>
          <w:p>
            <w:pPr>
              <w:spacing w:line="320" w:lineRule="exact"/>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结论：是否通过评审</w:t>
            </w:r>
          </w:p>
          <w:p>
            <w:pPr>
              <w:pStyle w:val="48"/>
              <w:spacing w:before="171"/>
              <w:ind w:left="15"/>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未通过初步评审的，为无效投标。</w:t>
            </w:r>
          </w:p>
        </w:tc>
        <w:tc>
          <w:tcPr>
            <w:tcW w:w="699" w:type="dxa"/>
            <w:vMerge w:val="continue"/>
            <w:tcBorders>
              <w:top w:val="nil"/>
              <w:bottom w:val="single" w:color="auto" w:sz="4" w:space="0"/>
              <w:right w:val="single" w:color="auto" w:sz="4" w:space="0"/>
            </w:tcBorders>
          </w:tcPr>
          <w:p>
            <w:pPr>
              <w:rPr>
                <w:sz w:val="2"/>
                <w:szCs w:val="2"/>
              </w:rPr>
            </w:pPr>
          </w:p>
        </w:tc>
      </w:tr>
    </w:tbl>
    <w:p>
      <w:pPr>
        <w:snapToGrid w:val="0"/>
        <w:spacing w:line="300" w:lineRule="auto"/>
        <w:textAlignment w:val="baseline"/>
        <w:rPr>
          <w:rFonts w:ascii="宋体" w:hAnsi="宋体" w:cs="宋体"/>
          <w:sz w:val="20"/>
          <w:szCs w:val="21"/>
        </w:rPr>
      </w:pPr>
      <w:r>
        <w:rPr>
          <w:rFonts w:hint="eastAsia" w:ascii="宋体" w:hAnsi="宋体" w:cs="宋体"/>
          <w:szCs w:val="21"/>
        </w:rPr>
        <w:t>说明：（1）上述各项中用“√”表示通过，“×”表示不通过；</w:t>
      </w:r>
    </w:p>
    <w:p>
      <w:pPr>
        <w:snapToGrid w:val="0"/>
        <w:spacing w:line="300" w:lineRule="auto"/>
        <w:textAlignment w:val="baseline"/>
        <w:rPr>
          <w:rFonts w:ascii="宋体" w:hAnsi="宋体" w:cs="宋体"/>
          <w:sz w:val="20"/>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napToGrid w:val="0"/>
        <w:spacing w:line="300" w:lineRule="auto"/>
        <w:ind w:left="60"/>
        <w:textAlignment w:val="baseline"/>
        <w:rPr>
          <w:rFonts w:ascii="宋体" w:hAnsi="宋体" w:cs="宋体"/>
          <w:szCs w:val="21"/>
        </w:rPr>
      </w:pPr>
      <w:r>
        <w:rPr>
          <w:rFonts w:hint="eastAsia" w:ascii="宋体" w:hAnsi="宋体" w:cs="宋体"/>
          <w:szCs w:val="21"/>
        </w:rPr>
        <w:t>（3）投标文件最终合格与否，以所有评委的评审意见中少数服从多数为原则定论。</w:t>
      </w:r>
    </w:p>
    <w:p>
      <w:pPr>
        <w:snapToGrid w:val="0"/>
        <w:spacing w:line="300" w:lineRule="auto"/>
        <w:ind w:left="60"/>
        <w:textAlignment w:val="baseline"/>
        <w:rPr>
          <w:rFonts w:hAnsi="宋体" w:cs="宋体"/>
          <w:b/>
          <w:bCs/>
          <w:sz w:val="20"/>
          <w:szCs w:val="21"/>
        </w:rPr>
      </w:pPr>
      <w:r>
        <w:rPr>
          <w:rFonts w:hint="eastAsia" w:ascii="宋体" w:hAnsi="宋体" w:cs="宋体"/>
          <w:b/>
          <w:bCs/>
          <w:szCs w:val="21"/>
        </w:rPr>
        <w:t>未通过资格审查的投标人不进入评标；通过资格审查的投标人少于不足三家的，不得评标。</w:t>
      </w:r>
    </w:p>
    <w:p>
      <w:pPr>
        <w:widowControl/>
        <w:jc w:val="left"/>
        <w:rPr>
          <w:rFonts w:ascii="宋体" w:hAnsi="Courier New"/>
          <w:szCs w:val="20"/>
        </w:rPr>
      </w:pPr>
    </w:p>
    <w:p>
      <w:pPr>
        <w:pStyle w:val="6"/>
        <w:snapToGrid w:val="0"/>
        <w:spacing w:before="0" w:after="0" w:line="360" w:lineRule="auto"/>
        <w:jc w:val="center"/>
        <w:rPr>
          <w:rFonts w:hint="eastAsia"/>
        </w:rPr>
      </w:pPr>
    </w:p>
    <w:p>
      <w:pPr>
        <w:rPr>
          <w:rFonts w:hint="eastAsia"/>
        </w:rPr>
      </w:pPr>
    </w:p>
    <w:p>
      <w:pPr>
        <w:pStyle w:val="6"/>
        <w:snapToGrid w:val="0"/>
        <w:spacing w:before="0" w:after="0" w:line="360" w:lineRule="auto"/>
        <w:jc w:val="center"/>
      </w:pPr>
      <w:r>
        <w:rPr>
          <w:rFonts w:hint="eastAsia"/>
        </w:rPr>
        <w:t>初步评审—符合性审查表</w:t>
      </w:r>
      <w:bookmarkEnd w:id="484"/>
      <w:bookmarkEnd w:id="485"/>
      <w:bookmarkEnd w:id="486"/>
    </w:p>
    <w:tbl>
      <w:tblPr>
        <w:tblStyle w:val="27"/>
        <w:tblpPr w:leftFromText="180" w:rightFromText="180" w:vertAnchor="text" w:horzAnchor="page" w:tblpXSpec="center" w:tblpY="262"/>
        <w:tblOverlap w:val="never"/>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80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573" w:type="dxa"/>
            <w:gridSpan w:val="2"/>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评审内容</w:t>
            </w:r>
          </w:p>
        </w:tc>
        <w:tc>
          <w:tcPr>
            <w:tcW w:w="104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 w:type="dxa"/>
            <w:vAlign w:val="center"/>
          </w:tcPr>
          <w:p>
            <w:pPr>
              <w:snapToGrid w:val="0"/>
              <w:spacing w:line="300" w:lineRule="auto"/>
              <w:jc w:val="center"/>
              <w:textAlignment w:val="baseline"/>
              <w:rPr>
                <w:rFonts w:ascii="宋体" w:hAnsi="宋体" w:cs="宋体"/>
                <w:sz w:val="20"/>
                <w:szCs w:val="21"/>
              </w:rPr>
            </w:pPr>
            <w:r>
              <w:rPr>
                <w:rFonts w:hint="eastAsia" w:ascii="宋体" w:hAnsi="宋体" w:cs="宋体"/>
                <w:szCs w:val="21"/>
              </w:rPr>
              <w:t>序号</w:t>
            </w:r>
          </w:p>
        </w:tc>
        <w:tc>
          <w:tcPr>
            <w:tcW w:w="6807" w:type="dxa"/>
            <w:vAlign w:val="center"/>
          </w:tcPr>
          <w:p>
            <w:pPr>
              <w:snapToGrid w:val="0"/>
              <w:spacing w:line="300" w:lineRule="auto"/>
              <w:textAlignment w:val="baseline"/>
              <w:rPr>
                <w:rFonts w:ascii="宋体" w:hAnsi="宋体" w:cs="宋体"/>
                <w:spacing w:val="-2"/>
                <w:sz w:val="20"/>
                <w:szCs w:val="21"/>
              </w:rPr>
            </w:pPr>
          </w:p>
        </w:tc>
        <w:tc>
          <w:tcPr>
            <w:tcW w:w="104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1</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各投标单位投标报价未高于预算金额；</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2</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评标委员会认为投标人的报价无明显低于其他通过符合性审查投标人的报价的，投标人的报价不存在异常一致并成规律性的，其报价合理；</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3</w:t>
            </w:r>
          </w:p>
        </w:tc>
        <w:tc>
          <w:tcPr>
            <w:tcW w:w="6807" w:type="dxa"/>
            <w:vAlign w:val="bottom"/>
          </w:tcPr>
          <w:p>
            <w:pPr>
              <w:snapToGrid w:val="0"/>
              <w:spacing w:line="300" w:lineRule="auto"/>
              <w:jc w:val="left"/>
              <w:textAlignment w:val="baseline"/>
              <w:rPr>
                <w:rFonts w:hint="default" w:ascii="宋体" w:hAnsi="宋体" w:eastAsia="宋体" w:cs="宋体"/>
                <w:spacing w:val="-2"/>
                <w:sz w:val="20"/>
                <w:szCs w:val="21"/>
                <w:lang w:val="en-US" w:eastAsia="zh-CN"/>
              </w:rPr>
            </w:pPr>
            <w:r>
              <w:rPr>
                <w:rFonts w:hint="eastAsia" w:ascii="宋体" w:hAnsi="宋体" w:cs="宋体"/>
                <w:spacing w:val="-2"/>
                <w:sz w:val="20"/>
                <w:szCs w:val="21"/>
                <w:lang w:val="en-US" w:eastAsia="zh-CN"/>
              </w:rPr>
              <w:t>对招标文件规定的招标内容全部作出响应；</w:t>
            </w:r>
          </w:p>
        </w:tc>
        <w:tc>
          <w:tcPr>
            <w:tcW w:w="1046" w:type="dxa"/>
            <w:vAlign w:val="center"/>
          </w:tcPr>
          <w:p>
            <w:pPr>
              <w:snapToGrid w:val="0"/>
              <w:spacing w:line="300" w:lineRule="auto"/>
              <w:textAlignment w:val="baseline"/>
              <w:rPr>
                <w:rFonts w:ascii="宋体" w:hAnsi="宋体" w:cs="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4</w:t>
            </w:r>
          </w:p>
        </w:tc>
        <w:tc>
          <w:tcPr>
            <w:tcW w:w="6807"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投标文件按照招标文件的规定编制、密封、标记及签署盖章的，法定代表人或其授权代表签字（章）和加盖投标单位公章的（投标文件正本的印章和签字不能为复印件）；</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5</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 w:val="20"/>
                <w:szCs w:val="21"/>
              </w:rPr>
              <w:t>响应文件载明的服务需求、服务标准等，符合招标文件要求的（可参考服务说明一览表）</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6</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服务期满足招标文件规定的；</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7</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按招标文件规定的格式填写，内容全或关键字迹清晰、数量等齐全的；</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66" w:type="dxa"/>
            <w:vAlign w:val="center"/>
          </w:tcPr>
          <w:p>
            <w:pPr>
              <w:snapToGrid w:val="0"/>
              <w:spacing w:line="300" w:lineRule="auto"/>
              <w:jc w:val="center"/>
              <w:textAlignment w:val="baseline"/>
              <w:rPr>
                <w:rFonts w:ascii="宋体" w:hAnsi="宋体" w:cs="宋体"/>
                <w:spacing w:val="-2"/>
                <w:sz w:val="20"/>
                <w:szCs w:val="21"/>
              </w:rPr>
            </w:pPr>
            <w:r>
              <w:rPr>
                <w:rFonts w:hint="eastAsia" w:ascii="宋体" w:hAnsi="宋体" w:cs="宋体"/>
                <w:spacing w:val="-2"/>
                <w:szCs w:val="21"/>
              </w:rPr>
              <w:t>8</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投标文件中具有采购人不能接收的附加条件的；</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6" w:type="dxa"/>
            <w:vAlign w:val="center"/>
          </w:tcPr>
          <w:p>
            <w:pPr>
              <w:snapToGrid w:val="0"/>
              <w:spacing w:line="300" w:lineRule="auto"/>
              <w:jc w:val="center"/>
              <w:textAlignment w:val="baseline"/>
              <w:rPr>
                <w:rFonts w:hint="eastAsia" w:ascii="宋体" w:hAnsi="宋体" w:eastAsia="宋体" w:cs="宋体"/>
                <w:spacing w:val="-2"/>
                <w:sz w:val="20"/>
                <w:szCs w:val="21"/>
                <w:lang w:eastAsia="zh-CN"/>
              </w:rPr>
            </w:pPr>
            <w:r>
              <w:rPr>
                <w:rFonts w:hint="eastAsia" w:ascii="宋体" w:hAnsi="宋体" w:cs="宋体"/>
                <w:spacing w:val="-2"/>
                <w:szCs w:val="21"/>
                <w:lang w:val="en-US" w:eastAsia="zh-CN"/>
              </w:rPr>
              <w:t>9</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不同投标人的投标文件没有错漏一致的情况；</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6" w:type="dxa"/>
            <w:vAlign w:val="center"/>
          </w:tcPr>
          <w:p>
            <w:pPr>
              <w:snapToGrid w:val="0"/>
              <w:spacing w:line="300" w:lineRule="auto"/>
              <w:jc w:val="center"/>
              <w:textAlignment w:val="baseline"/>
              <w:rPr>
                <w:rFonts w:hint="default" w:ascii="宋体" w:hAnsi="宋体" w:eastAsia="宋体" w:cs="宋体"/>
                <w:spacing w:val="-2"/>
                <w:sz w:val="20"/>
                <w:szCs w:val="21"/>
                <w:lang w:val="en-US" w:eastAsia="zh-CN"/>
              </w:rPr>
            </w:pPr>
            <w:r>
              <w:rPr>
                <w:rFonts w:hint="eastAsia" w:ascii="宋体" w:hAnsi="宋体" w:cs="宋体"/>
                <w:spacing w:val="-2"/>
                <w:szCs w:val="21"/>
                <w:lang w:val="en-US" w:eastAsia="zh-CN"/>
              </w:rPr>
              <w:t>10</w:t>
            </w:r>
          </w:p>
        </w:tc>
        <w:tc>
          <w:tcPr>
            <w:tcW w:w="6807" w:type="dxa"/>
            <w:vAlign w:val="bottom"/>
          </w:tcPr>
          <w:p>
            <w:pPr>
              <w:snapToGrid w:val="0"/>
              <w:spacing w:line="300" w:lineRule="auto"/>
              <w:jc w:val="left"/>
              <w:textAlignment w:val="baseline"/>
              <w:rPr>
                <w:rFonts w:ascii="宋体" w:hAnsi="宋体" w:cs="宋体"/>
                <w:spacing w:val="-2"/>
                <w:sz w:val="20"/>
                <w:szCs w:val="21"/>
              </w:rPr>
            </w:pPr>
            <w:r>
              <w:rPr>
                <w:rFonts w:hint="eastAsia" w:ascii="宋体" w:hAnsi="宋体" w:cs="宋体"/>
                <w:spacing w:val="-2"/>
                <w:szCs w:val="21"/>
              </w:rPr>
              <w:t>投标人附有详细地址、联系人、电话标明的；</w:t>
            </w:r>
          </w:p>
        </w:tc>
        <w:tc>
          <w:tcPr>
            <w:tcW w:w="1046" w:type="dxa"/>
            <w:vAlign w:val="center"/>
          </w:tcPr>
          <w:p>
            <w:pPr>
              <w:snapToGrid w:val="0"/>
              <w:spacing w:line="300" w:lineRule="auto"/>
              <w:textAlignment w:val="baseline"/>
              <w:rPr>
                <w:rFonts w:ascii="宋体" w:hAnsi="宋体" w:cs="宋体"/>
                <w:spacing w:val="-2"/>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3" w:type="dxa"/>
            <w:gridSpan w:val="2"/>
            <w:vAlign w:val="center"/>
          </w:tcPr>
          <w:p>
            <w:pPr>
              <w:snapToGrid w:val="0"/>
              <w:spacing w:line="400" w:lineRule="exact"/>
              <w:ind w:firstLine="424" w:firstLineChars="180"/>
              <w:textAlignment w:val="baseline"/>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046" w:type="dxa"/>
            <w:vAlign w:val="center"/>
          </w:tcPr>
          <w:p>
            <w:pPr>
              <w:snapToGrid w:val="0"/>
              <w:spacing w:line="300" w:lineRule="auto"/>
              <w:ind w:firstLine="352" w:firstLineChars="180"/>
              <w:textAlignment w:val="baseline"/>
              <w:rPr>
                <w:rFonts w:ascii="宋体" w:hAnsi="宋体" w:cs="宋体"/>
                <w:spacing w:val="-2"/>
                <w:sz w:val="20"/>
                <w:szCs w:val="21"/>
              </w:rPr>
            </w:pPr>
          </w:p>
        </w:tc>
      </w:tr>
    </w:tbl>
    <w:p>
      <w:pPr>
        <w:snapToGrid w:val="0"/>
        <w:spacing w:line="300" w:lineRule="auto"/>
        <w:ind w:left="60"/>
        <w:textAlignment w:val="baseline"/>
        <w:rPr>
          <w:rFonts w:ascii="宋体" w:hAnsi="宋体" w:cs="宋体"/>
          <w:sz w:val="20"/>
          <w:szCs w:val="21"/>
        </w:rPr>
      </w:pPr>
      <w:r>
        <w:rPr>
          <w:rFonts w:hint="eastAsia" w:ascii="宋体" w:hAnsi="宋体" w:cs="宋体"/>
          <w:szCs w:val="21"/>
        </w:rPr>
        <w:t>说明：</w:t>
      </w:r>
    </w:p>
    <w:p>
      <w:pPr>
        <w:snapToGrid w:val="0"/>
        <w:spacing w:line="300" w:lineRule="auto"/>
        <w:ind w:left="60"/>
        <w:textAlignment w:val="baseline"/>
        <w:rPr>
          <w:rFonts w:ascii="宋体" w:hAnsi="宋体" w:cs="宋体"/>
          <w:sz w:val="20"/>
          <w:szCs w:val="21"/>
        </w:rPr>
      </w:pPr>
      <w:r>
        <w:rPr>
          <w:rFonts w:hint="eastAsia" w:ascii="宋体" w:hAnsi="宋体" w:cs="宋体"/>
          <w:szCs w:val="21"/>
        </w:rPr>
        <w:t>（1）上述各项中用“√”表示合格，“×”表示不合格；</w:t>
      </w:r>
    </w:p>
    <w:p>
      <w:pPr>
        <w:snapToGrid w:val="0"/>
        <w:spacing w:line="300" w:lineRule="auto"/>
        <w:ind w:left="689" w:leftChars="28" w:hanging="630" w:hangingChars="300"/>
        <w:textAlignment w:val="baseline"/>
        <w:rPr>
          <w:rFonts w:ascii="宋体" w:hAnsi="宋体" w:cs="宋体"/>
          <w:sz w:val="20"/>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pStyle w:val="2"/>
        <w:snapToGrid w:val="0"/>
        <w:spacing w:line="300" w:lineRule="auto"/>
        <w:ind w:firstLine="0"/>
        <w:jc w:val="both"/>
        <w:textAlignment w:val="baseline"/>
        <w:rPr>
          <w:rFonts w:hAnsi="宋体" w:cs="宋体"/>
          <w:sz w:val="21"/>
          <w:szCs w:val="21"/>
        </w:rPr>
      </w:pPr>
      <w:r>
        <w:rPr>
          <w:rFonts w:hint="eastAsia" w:hAnsi="宋体" w:cs="宋体"/>
          <w:sz w:val="21"/>
          <w:szCs w:val="21"/>
        </w:rPr>
        <w:t>（3）投标文件最终合格与否，以所有评委的评审意见中少数服从多数为原则定论。</w:t>
      </w:r>
    </w:p>
    <w:p>
      <w:pPr>
        <w:snapToGrid w:val="0"/>
        <w:spacing w:line="240" w:lineRule="atLeast"/>
        <w:textAlignment w:val="baseline"/>
        <w:rPr>
          <w:rFonts w:hint="eastAsia" w:ascii="宋体" w:hAnsi="宋体" w:cs="宋体"/>
          <w:b/>
          <w:bCs/>
          <w:szCs w:val="21"/>
          <w:lang w:eastAsia="zh-CN"/>
        </w:rPr>
      </w:pPr>
      <w:r>
        <w:rPr>
          <w:rFonts w:hint="eastAsia" w:ascii="宋体" w:hAnsi="宋体" w:cs="宋体"/>
          <w:b/>
          <w:bCs/>
          <w:szCs w:val="21"/>
        </w:rPr>
        <w:t>未通过资格审查的投标人不进入评标；通过资格审查的投标人少于不足三家的，不得评标</w:t>
      </w:r>
      <w:r>
        <w:rPr>
          <w:rFonts w:hint="eastAsia" w:ascii="宋体" w:hAnsi="宋体" w:cs="宋体"/>
          <w:b/>
          <w:bCs/>
          <w:szCs w:val="21"/>
          <w:lang w:eastAsia="zh-CN"/>
        </w:rPr>
        <w:t>。</w:t>
      </w:r>
    </w:p>
    <w:p>
      <w:pPr>
        <w:pStyle w:val="20"/>
        <w:rPr>
          <w:rFonts w:hint="eastAsia"/>
          <w:lang w:eastAsia="zh-CN"/>
        </w:rPr>
      </w:pPr>
    </w:p>
    <w:p>
      <w:pPr>
        <w:rPr>
          <w:rFonts w:hint="eastAsia" w:ascii="仿宋" w:hAnsi="仿宋" w:eastAsia="仿宋" w:cs="仿宋"/>
          <w:b/>
          <w:color w:val="auto"/>
          <w:sz w:val="36"/>
          <w:szCs w:val="36"/>
          <w:highlight w:val="none"/>
        </w:rPr>
      </w:pPr>
      <w:bookmarkStart w:id="487" w:name="_Toc12642"/>
      <w:r>
        <w:rPr>
          <w:rFonts w:hint="eastAsia" w:ascii="仿宋" w:hAnsi="仿宋" w:eastAsia="仿宋" w:cs="仿宋"/>
          <w:b/>
          <w:color w:val="auto"/>
          <w:sz w:val="36"/>
          <w:szCs w:val="36"/>
          <w:highlight w:val="none"/>
        </w:rPr>
        <w:br w:type="page"/>
      </w:r>
    </w:p>
    <w:p>
      <w:pPr>
        <w:spacing w:line="360" w:lineRule="auto"/>
        <w:jc w:val="center"/>
        <w:outlineLvl w:val="0"/>
        <w:rPr>
          <w:rFonts w:hint="eastAsia" w:ascii="宋体" w:hAnsi="宋体" w:cs="宋体"/>
          <w:b/>
          <w:bCs/>
          <w:szCs w:val="21"/>
        </w:rPr>
      </w:pPr>
      <w:r>
        <w:rPr>
          <w:rFonts w:hint="eastAsia" w:ascii="仿宋" w:hAnsi="仿宋" w:eastAsia="仿宋" w:cs="仿宋"/>
          <w:b/>
          <w:color w:val="auto"/>
          <w:sz w:val="36"/>
          <w:szCs w:val="36"/>
          <w:highlight w:val="none"/>
        </w:rPr>
        <w:t>综合评分法评分标准</w:t>
      </w:r>
      <w:bookmarkEnd w:id="487"/>
    </w:p>
    <w:tbl>
      <w:tblPr>
        <w:tblStyle w:val="28"/>
        <w:tblW w:w="9778"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991"/>
        <w:gridCol w:w="880"/>
        <w:gridCol w:w="513"/>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83" w:type="dxa"/>
            <w:vAlign w:val="center"/>
          </w:tcPr>
          <w:p>
            <w:pPr>
              <w:keepNext w:val="0"/>
              <w:keepLines w:val="0"/>
              <w:widowControl/>
              <w:suppressLineNumbers w:val="0"/>
              <w:jc w:val="center"/>
              <w:textAlignment w:val="center"/>
              <w:rPr>
                <w:rFonts w:ascii="新宋体" w:hAnsi="新宋体" w:eastAsia="新宋体" w:cs="新宋体"/>
                <w:i w:val="0"/>
                <w:iCs w:val="0"/>
                <w:color w:val="auto"/>
                <w:kern w:val="2"/>
                <w:sz w:val="22"/>
                <w:szCs w:val="22"/>
                <w:u w:val="none"/>
                <w:lang w:val="en-US" w:eastAsia="zh-CN" w:bidi="ar-SA"/>
              </w:rPr>
            </w:pPr>
            <w:r>
              <w:rPr>
                <w:rFonts w:hint="eastAsia" w:ascii="新宋体" w:hAnsi="新宋体" w:eastAsia="新宋体" w:cs="新宋体"/>
                <w:i w:val="0"/>
                <w:iCs w:val="0"/>
                <w:color w:val="auto"/>
                <w:kern w:val="0"/>
                <w:sz w:val="22"/>
                <w:szCs w:val="22"/>
                <w:u w:val="none"/>
                <w:lang w:val="en-US" w:eastAsia="zh-CN"/>
              </w:rPr>
              <w:t>序号</w:t>
            </w:r>
          </w:p>
        </w:tc>
        <w:tc>
          <w:tcPr>
            <w:tcW w:w="991"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u w:val="none"/>
                <w:lang w:val="en-US" w:eastAsia="zh-CN" w:bidi="ar-SA"/>
              </w:rPr>
            </w:pPr>
            <w:r>
              <w:rPr>
                <w:rFonts w:hint="eastAsia" w:ascii="新宋体" w:hAnsi="新宋体" w:eastAsia="新宋体" w:cs="新宋体"/>
                <w:i w:val="0"/>
                <w:iCs w:val="0"/>
                <w:color w:val="auto"/>
                <w:kern w:val="0"/>
                <w:sz w:val="22"/>
                <w:szCs w:val="22"/>
                <w:u w:val="none"/>
                <w:lang w:val="en-US" w:eastAsia="zh-CN"/>
              </w:rPr>
              <w:t>评审条款及分值</w:t>
            </w:r>
          </w:p>
        </w:tc>
        <w:tc>
          <w:tcPr>
            <w:tcW w:w="880"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u w:val="none"/>
                <w:lang w:val="en-US" w:eastAsia="zh-CN" w:bidi="ar-SA"/>
              </w:rPr>
            </w:pPr>
            <w:r>
              <w:rPr>
                <w:rFonts w:hint="eastAsia" w:ascii="新宋体" w:hAnsi="新宋体" w:eastAsia="新宋体" w:cs="新宋体"/>
                <w:i w:val="0"/>
                <w:iCs w:val="0"/>
                <w:color w:val="auto"/>
                <w:kern w:val="0"/>
                <w:sz w:val="22"/>
                <w:szCs w:val="22"/>
                <w:u w:val="none"/>
                <w:lang w:val="en-US" w:eastAsia="zh-CN"/>
              </w:rPr>
              <w:t>评审项目</w:t>
            </w:r>
          </w:p>
        </w:tc>
        <w:tc>
          <w:tcPr>
            <w:tcW w:w="513"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u w:val="none"/>
                <w:lang w:val="en-US" w:eastAsia="zh-CN" w:bidi="ar-SA"/>
              </w:rPr>
            </w:pPr>
            <w:r>
              <w:rPr>
                <w:rFonts w:hint="eastAsia" w:ascii="新宋体" w:hAnsi="新宋体" w:eastAsia="新宋体" w:cs="新宋体"/>
                <w:i w:val="0"/>
                <w:iCs w:val="0"/>
                <w:color w:val="auto"/>
                <w:kern w:val="0"/>
                <w:sz w:val="22"/>
                <w:szCs w:val="22"/>
                <w:u w:val="none"/>
                <w:lang w:val="en-US" w:eastAsia="zh-CN"/>
              </w:rPr>
              <w:t>分值</w:t>
            </w:r>
          </w:p>
        </w:tc>
        <w:tc>
          <w:tcPr>
            <w:tcW w:w="6611"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2"/>
                <w:sz w:val="22"/>
                <w:szCs w:val="22"/>
                <w:u w:val="none"/>
                <w:lang w:val="en-US" w:eastAsia="zh-CN" w:bidi="ar-SA"/>
              </w:rPr>
            </w:pPr>
            <w:r>
              <w:rPr>
                <w:rFonts w:hint="eastAsia" w:ascii="新宋体" w:hAnsi="新宋体" w:eastAsia="新宋体" w:cs="新宋体"/>
                <w:i w:val="0"/>
                <w:iCs w:val="0"/>
                <w:color w:val="auto"/>
                <w:kern w:val="0"/>
                <w:sz w:val="22"/>
                <w:szCs w:val="22"/>
                <w:u w:val="none"/>
                <w:lang w:val="en-US" w:eastAsia="zh-CN"/>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78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w:t>
            </w:r>
          </w:p>
        </w:tc>
        <w:tc>
          <w:tcPr>
            <w:tcW w:w="99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投标报价</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（30）</w:t>
            </w: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价格</w:t>
            </w:r>
          </w:p>
        </w:tc>
        <w:tc>
          <w:tcPr>
            <w:tcW w:w="51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30</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各供应商的价格得分的计算公式：采用低价优先法计算，即满足磋商文件要求且投标价格最低的投标报价为评标基准价，其价格分为满分。其他投标供应商的价格分统一按照下列公式计算：</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投标报价得分=(评标基准价／投标报价)×价格权值×100。计算分数时四舍五入取小数点后两位,分数最高不超过30分。</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rPr>
              <w:t>注：1.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投标文件中提交了《投标供应商企业类型声明函》或省级以上监狱管理局、戒毒管理局（含新疆生产建设兵团）、中小企业出具的属于监狱企业的证明文件的投标供应商实行10 %价格扣除制度，用扣除后的价格参与价格因素评审。同时属于小微企业、监狱企业或残疾人福利性单位的，不重复进行投标报价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78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w:t>
            </w:r>
          </w:p>
        </w:tc>
        <w:tc>
          <w:tcPr>
            <w:tcW w:w="99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商务部分</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w:t>
            </w:r>
            <w:r>
              <w:rPr>
                <w:rFonts w:hint="eastAsia" w:ascii="宋体" w:hAnsi="宋体" w:cs="宋体"/>
                <w:i w:val="0"/>
                <w:iCs w:val="0"/>
                <w:color w:val="auto"/>
                <w:kern w:val="0"/>
                <w:sz w:val="22"/>
                <w:szCs w:val="22"/>
                <w:u w:val="none"/>
                <w:lang w:val="en-US" w:eastAsia="zh-CN"/>
              </w:rPr>
              <w:t>2</w:t>
            </w:r>
            <w:r>
              <w:rPr>
                <w:rFonts w:hint="eastAsia" w:ascii="宋体" w:hAnsi="宋体" w:eastAsia="宋体" w:cs="宋体"/>
                <w:i w:val="0"/>
                <w:iCs w:val="0"/>
                <w:color w:val="auto"/>
                <w:kern w:val="0"/>
                <w:sz w:val="22"/>
                <w:szCs w:val="22"/>
                <w:u w:val="none"/>
                <w:lang w:val="en-US" w:eastAsia="zh-CN"/>
              </w:rPr>
              <w:t>）</w:t>
            </w: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投标人综合实力</w:t>
            </w:r>
          </w:p>
        </w:tc>
        <w:tc>
          <w:tcPr>
            <w:tcW w:w="51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6</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投标企业资质情况：依据各投标人资质情况，投标人提供有效期内的证书或证明文件（ISO9001质量管理体系认证、ISO27001信息安全管理体系认定证书、ISO20000信息技术服务管理体系认证证书、ISO14001环境管理体系认证证书、ISO45001职业健康安全管理体系认证证书、涉密信息系统集成</w:t>
            </w:r>
            <w:r>
              <w:rPr>
                <w:rFonts w:hint="eastAsia" w:ascii="宋体" w:hAnsi="宋体" w:cs="宋体"/>
                <w:i w:val="0"/>
                <w:iCs w:val="0"/>
                <w:color w:val="auto"/>
                <w:kern w:val="0"/>
                <w:sz w:val="22"/>
                <w:szCs w:val="22"/>
                <w:highlight w:val="none"/>
                <w:u w:val="none"/>
                <w:lang w:val="en-US" w:eastAsia="zh-CN"/>
              </w:rPr>
              <w:t>乙级</w:t>
            </w:r>
            <w:r>
              <w:rPr>
                <w:rFonts w:hint="eastAsia" w:ascii="宋体" w:hAnsi="宋体" w:eastAsia="宋体" w:cs="宋体"/>
                <w:i w:val="0"/>
                <w:iCs w:val="0"/>
                <w:color w:val="auto"/>
                <w:kern w:val="0"/>
                <w:sz w:val="22"/>
                <w:szCs w:val="22"/>
                <w:highlight w:val="none"/>
                <w:u w:val="none"/>
                <w:lang w:val="en-US" w:eastAsia="zh-CN"/>
              </w:rPr>
              <w:t>资质</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以提供的复印件（应加盖投标人公章）为准，每提供一个得</w:t>
            </w:r>
            <w:r>
              <w:rPr>
                <w:rFonts w:hint="eastAsia" w:ascii="宋体" w:hAnsi="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highlight w:val="none"/>
                <w:u w:val="none"/>
                <w:lang w:val="en-US" w:eastAsia="zh-CN"/>
              </w:rPr>
              <w:t>分，最高的</w:t>
            </w:r>
            <w:r>
              <w:rPr>
                <w:rFonts w:hint="eastAsia" w:ascii="宋体" w:hAnsi="宋体" w:cs="宋体"/>
                <w:i w:val="0"/>
                <w:iCs w:val="0"/>
                <w:color w:val="auto"/>
                <w:kern w:val="0"/>
                <w:sz w:val="22"/>
                <w:szCs w:val="22"/>
                <w:highlight w:val="none"/>
                <w:u w:val="none"/>
                <w:lang w:val="en-US" w:eastAsia="zh-CN"/>
              </w:rPr>
              <w:t>6</w:t>
            </w:r>
            <w:r>
              <w:rPr>
                <w:rFonts w:hint="eastAsia" w:ascii="宋体" w:hAnsi="宋体" w:eastAsia="宋体" w:cs="宋体"/>
                <w:i w:val="0"/>
                <w:iCs w:val="0"/>
                <w:color w:val="auto"/>
                <w:kern w:val="0"/>
                <w:sz w:val="22"/>
                <w:szCs w:val="22"/>
                <w:highlight w:val="none"/>
                <w:u w:val="none"/>
                <w:lang w:val="en-US" w:eastAsia="zh-CN"/>
              </w:rPr>
              <w:t>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注：响应文件中须提供认证证书扫描件以及全国认证认可信息公共服务平台网站证书信息查询截图。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3" w:type="dxa"/>
            <w:vMerge w:val="continue"/>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991" w:type="dxa"/>
            <w:vMerge w:val="continue"/>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业绩</w:t>
            </w:r>
          </w:p>
        </w:tc>
        <w:tc>
          <w:tcPr>
            <w:tcW w:w="51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6</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投标人</w:t>
            </w:r>
            <w:r>
              <w:rPr>
                <w:rFonts w:hint="eastAsia" w:ascii="宋体" w:hAnsi="宋体" w:cs="宋体"/>
                <w:i w:val="0"/>
                <w:iCs w:val="0"/>
                <w:color w:val="auto"/>
                <w:kern w:val="0"/>
                <w:sz w:val="22"/>
                <w:szCs w:val="22"/>
                <w:highlight w:val="none"/>
                <w:u w:val="none"/>
                <w:lang w:val="en-US" w:eastAsia="zh-CN"/>
              </w:rPr>
              <w:t>近三年</w:t>
            </w:r>
            <w:r>
              <w:rPr>
                <w:rFonts w:hint="eastAsia" w:ascii="宋体" w:hAnsi="宋体" w:eastAsia="宋体" w:cs="宋体"/>
                <w:i w:val="0"/>
                <w:iCs w:val="0"/>
                <w:color w:val="auto"/>
                <w:kern w:val="0"/>
                <w:sz w:val="22"/>
                <w:szCs w:val="22"/>
                <w:highlight w:val="none"/>
                <w:u w:val="none"/>
                <w:lang w:val="en-US" w:eastAsia="zh-CN"/>
              </w:rPr>
              <w:t>具有</w:t>
            </w:r>
            <w:r>
              <w:rPr>
                <w:rFonts w:hint="eastAsia" w:ascii="宋体" w:hAnsi="宋体" w:cs="宋体"/>
                <w:i w:val="0"/>
                <w:iCs w:val="0"/>
                <w:color w:val="auto"/>
                <w:kern w:val="0"/>
                <w:sz w:val="22"/>
                <w:szCs w:val="22"/>
                <w:highlight w:val="none"/>
                <w:u w:val="none"/>
                <w:lang w:val="en-US" w:eastAsia="zh-CN"/>
              </w:rPr>
              <w:t>类似</w:t>
            </w:r>
            <w:r>
              <w:rPr>
                <w:rFonts w:hint="eastAsia" w:ascii="宋体" w:hAnsi="宋体" w:eastAsia="宋体" w:cs="宋体"/>
                <w:i w:val="0"/>
                <w:iCs w:val="0"/>
                <w:color w:val="auto"/>
                <w:kern w:val="0"/>
                <w:sz w:val="22"/>
                <w:szCs w:val="22"/>
                <w:highlight w:val="none"/>
                <w:u w:val="none"/>
                <w:lang w:val="en-US" w:eastAsia="zh-CN"/>
              </w:rPr>
              <w:t>业绩的，每提供1个有效的业绩得</w:t>
            </w:r>
            <w:r>
              <w:rPr>
                <w:rFonts w:hint="eastAsia" w:ascii="宋体" w:hAnsi="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分，本项最高得</w:t>
            </w:r>
            <w:r>
              <w:rPr>
                <w:rFonts w:hint="eastAsia" w:ascii="宋体" w:hAnsi="宋体" w:cs="宋体"/>
                <w:i w:val="0"/>
                <w:iCs w:val="0"/>
                <w:color w:val="auto"/>
                <w:kern w:val="0"/>
                <w:sz w:val="22"/>
                <w:szCs w:val="22"/>
                <w:highlight w:val="none"/>
                <w:u w:val="none"/>
                <w:lang w:val="en-US" w:eastAsia="zh-CN"/>
              </w:rPr>
              <w:t>6</w:t>
            </w:r>
            <w:r>
              <w:rPr>
                <w:rFonts w:hint="eastAsia" w:ascii="宋体" w:hAnsi="宋体" w:eastAsia="宋体" w:cs="宋体"/>
                <w:i w:val="0"/>
                <w:iCs w:val="0"/>
                <w:color w:val="auto"/>
                <w:kern w:val="0"/>
                <w:sz w:val="22"/>
                <w:szCs w:val="22"/>
                <w:highlight w:val="none"/>
                <w:u w:val="none"/>
                <w:lang w:val="en-US" w:eastAsia="zh-CN"/>
              </w:rPr>
              <w:t>分。</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（注：业绩需提供项目中标成交通知书或项目合同等证明文件，提供的证明文件需内容清楚完整）。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8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w:t>
            </w:r>
          </w:p>
        </w:tc>
        <w:tc>
          <w:tcPr>
            <w:tcW w:w="99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技术部分</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49</w:t>
            </w:r>
            <w:r>
              <w:rPr>
                <w:rFonts w:hint="eastAsia" w:ascii="宋体" w:hAnsi="宋体" w:eastAsia="宋体" w:cs="宋体"/>
                <w:i w:val="0"/>
                <w:iCs w:val="0"/>
                <w:color w:val="auto"/>
                <w:kern w:val="0"/>
                <w:sz w:val="22"/>
                <w:szCs w:val="22"/>
                <w:u w:val="none"/>
                <w:lang w:val="en-US" w:eastAsia="zh-CN"/>
              </w:rPr>
              <w:t>）</w:t>
            </w: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技术参数</w:t>
            </w:r>
          </w:p>
        </w:tc>
        <w:tc>
          <w:tcPr>
            <w:tcW w:w="51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35</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根据产品指标配置是否能合理的、满足用户招标需求等综合情况进行评判。</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主要技术参数及技术性能要求：完全满足招标文件要求者得</w:t>
            </w:r>
            <w:r>
              <w:rPr>
                <w:rFonts w:hint="eastAsia" w:ascii="宋体" w:hAnsi="宋体" w:cs="宋体"/>
                <w:i w:val="0"/>
                <w:iCs w:val="0"/>
                <w:color w:val="auto"/>
                <w:kern w:val="0"/>
                <w:sz w:val="22"/>
                <w:szCs w:val="22"/>
                <w:u w:val="none"/>
                <w:lang w:val="en-US" w:eastAsia="zh-CN"/>
              </w:rPr>
              <w:t>30</w:t>
            </w:r>
            <w:r>
              <w:rPr>
                <w:rFonts w:hint="eastAsia" w:ascii="宋体" w:hAnsi="宋体" w:eastAsia="宋体" w:cs="宋体"/>
                <w:i w:val="0"/>
                <w:iCs w:val="0"/>
                <w:color w:val="auto"/>
                <w:kern w:val="0"/>
                <w:sz w:val="22"/>
                <w:szCs w:val="22"/>
                <w:u w:val="none"/>
                <w:lang w:val="en-US" w:eastAsia="zh-CN"/>
              </w:rPr>
              <w:t>分；</w:t>
            </w:r>
            <w:r>
              <w:rPr>
                <w:rFonts w:hint="eastAsia" w:ascii="宋体" w:hAnsi="宋体" w:eastAsia="宋体" w:cs="宋体"/>
                <w:b/>
                <w:bCs/>
                <w:i w:val="0"/>
                <w:iCs w:val="0"/>
                <w:color w:val="auto"/>
                <w:kern w:val="0"/>
                <w:sz w:val="22"/>
                <w:szCs w:val="22"/>
                <w:u w:val="none"/>
                <w:lang w:val="en-US" w:eastAsia="zh-CN"/>
              </w:rPr>
              <w:t>带★参数</w:t>
            </w:r>
            <w:r>
              <w:rPr>
                <w:rFonts w:hint="eastAsia" w:ascii="宋体" w:hAnsi="宋体" w:cs="宋体"/>
                <w:b/>
                <w:bCs/>
                <w:i w:val="0"/>
                <w:iCs w:val="0"/>
                <w:color w:val="auto"/>
                <w:kern w:val="0"/>
                <w:sz w:val="22"/>
                <w:szCs w:val="22"/>
                <w:u w:val="none"/>
                <w:lang w:val="en-US" w:eastAsia="zh-CN"/>
              </w:rPr>
              <w:t>为核心产品，</w:t>
            </w:r>
            <w:r>
              <w:rPr>
                <w:rFonts w:hint="eastAsia" w:ascii="宋体" w:hAnsi="宋体" w:eastAsia="宋体" w:cs="宋体"/>
                <w:b/>
                <w:bCs/>
                <w:i w:val="0"/>
                <w:iCs w:val="0"/>
                <w:color w:val="auto"/>
                <w:kern w:val="0"/>
                <w:sz w:val="22"/>
                <w:szCs w:val="22"/>
                <w:u w:val="none"/>
                <w:lang w:val="en-US" w:eastAsia="zh-CN"/>
              </w:rPr>
              <w:t>每有一项负偏离扣</w:t>
            </w:r>
            <w:r>
              <w:rPr>
                <w:rFonts w:hint="eastAsia" w:ascii="宋体" w:hAnsi="宋体" w:cs="宋体"/>
                <w:b/>
                <w:bCs/>
                <w:i w:val="0"/>
                <w:iCs w:val="0"/>
                <w:color w:val="auto"/>
                <w:kern w:val="0"/>
                <w:sz w:val="22"/>
                <w:szCs w:val="22"/>
                <w:u w:val="none"/>
                <w:lang w:val="en-US" w:eastAsia="zh-CN"/>
              </w:rPr>
              <w:t>1</w:t>
            </w:r>
            <w:r>
              <w:rPr>
                <w:rFonts w:hint="eastAsia" w:ascii="宋体" w:hAnsi="宋体" w:eastAsia="宋体" w:cs="宋体"/>
                <w:b/>
                <w:bCs/>
                <w:i w:val="0"/>
                <w:iCs w:val="0"/>
                <w:color w:val="auto"/>
                <w:kern w:val="0"/>
                <w:sz w:val="22"/>
                <w:szCs w:val="22"/>
                <w:u w:val="none"/>
                <w:lang w:val="en-US" w:eastAsia="zh-CN"/>
              </w:rPr>
              <w:t>分，其余参数每有一项负偏离扣</w:t>
            </w:r>
            <w:r>
              <w:rPr>
                <w:rFonts w:hint="eastAsia" w:ascii="宋体" w:hAnsi="宋体" w:cs="宋体"/>
                <w:b/>
                <w:bCs/>
                <w:i w:val="0"/>
                <w:iCs w:val="0"/>
                <w:color w:val="auto"/>
                <w:kern w:val="0"/>
                <w:sz w:val="22"/>
                <w:szCs w:val="22"/>
                <w:u w:val="none"/>
                <w:lang w:val="en-US" w:eastAsia="zh-CN"/>
              </w:rPr>
              <w:t>0.5</w:t>
            </w:r>
            <w:r>
              <w:rPr>
                <w:rFonts w:hint="eastAsia" w:ascii="宋体" w:hAnsi="宋体" w:eastAsia="宋体" w:cs="宋体"/>
                <w:b/>
                <w:bCs/>
                <w:i w:val="0"/>
                <w:iCs w:val="0"/>
                <w:color w:val="auto"/>
                <w:kern w:val="0"/>
                <w:sz w:val="22"/>
                <w:szCs w:val="22"/>
                <w:u w:val="none"/>
                <w:lang w:val="en-US" w:eastAsia="zh-CN"/>
              </w:rPr>
              <w:t>分，扣完为止。</w:t>
            </w:r>
          </w:p>
          <w:p>
            <w:pPr>
              <w:keepNext w:val="0"/>
              <w:keepLines w:val="0"/>
              <w:widowControl/>
              <w:numPr>
                <w:ilvl w:val="0"/>
                <w:numId w:val="17"/>
              </w:numPr>
              <w:suppressLineNumbers w:val="0"/>
              <w:jc w:val="left"/>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带★参数需提供厂家有效证明资料（产品检测报告或产品彩页或说明书，产品彩页中需体现设备详细参数，产品检测报告需与投标产品型号一致。）一项得1分，未提供的不得分。最多得5分。</w:t>
            </w:r>
          </w:p>
          <w:p>
            <w:pPr>
              <w:keepNext w:val="0"/>
              <w:keepLines w:val="0"/>
              <w:widowControl/>
              <w:numPr>
                <w:ilvl w:val="0"/>
                <w:numId w:val="17"/>
              </w:numPr>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rPr>
              <w:t>如投标文件参数有缺项，则按废标处理</w:t>
            </w:r>
            <w:r>
              <w:rPr>
                <w:rFonts w:hint="eastAsia" w:ascii="宋体" w:hAnsi="宋体" w:cs="宋体"/>
                <w:b/>
                <w:bCs/>
                <w:i w:val="0"/>
                <w:iCs w:val="0"/>
                <w:color w:val="auto"/>
                <w:kern w:val="0"/>
                <w:sz w:val="22"/>
                <w:szCs w:val="22"/>
                <w:u w:val="none"/>
                <w:lang w:val="en-US" w:eastAsia="zh-CN"/>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rPr>
              <w:t>本项最高得</w:t>
            </w:r>
            <w:r>
              <w:rPr>
                <w:rFonts w:hint="eastAsia" w:ascii="宋体" w:hAnsi="宋体" w:cs="宋体"/>
                <w:b w:val="0"/>
                <w:bCs w:val="0"/>
                <w:i w:val="0"/>
                <w:iCs w:val="0"/>
                <w:color w:val="auto"/>
                <w:kern w:val="0"/>
                <w:sz w:val="22"/>
                <w:szCs w:val="22"/>
                <w:u w:val="none"/>
                <w:lang w:val="en-US" w:eastAsia="zh-CN"/>
              </w:rPr>
              <w:t>35</w:t>
            </w:r>
            <w:r>
              <w:rPr>
                <w:rFonts w:hint="eastAsia" w:ascii="宋体" w:hAnsi="宋体" w:eastAsia="宋体" w:cs="宋体"/>
                <w:b w:val="0"/>
                <w:bCs w:val="0"/>
                <w:i w:val="0"/>
                <w:iCs w:val="0"/>
                <w:color w:val="auto"/>
                <w:kern w:val="0"/>
                <w:sz w:val="22"/>
                <w:szCs w:val="22"/>
                <w:u w:val="none"/>
                <w:lang w:val="en-US" w:eastAsia="zh-CN"/>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8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991"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实施方案</w:t>
            </w:r>
          </w:p>
        </w:tc>
        <w:tc>
          <w:tcPr>
            <w:tcW w:w="51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结合本项目特点，根据投标人编制的实施方案（包含供货能力、保障措施、突发情况应对等内容）、安装及调试方案（包含安装计划、安装准备、工期保障措施、成品保护、调试方案等）等进行综合评审，</w:t>
            </w:r>
            <w:r>
              <w:rPr>
                <w:rFonts w:hint="default" w:ascii="宋体" w:hAnsi="宋体" w:eastAsia="宋体" w:cs="宋体"/>
                <w:i w:val="0"/>
                <w:iCs w:val="0"/>
                <w:color w:val="auto"/>
                <w:kern w:val="0"/>
                <w:sz w:val="22"/>
                <w:szCs w:val="22"/>
                <w:u w:val="none"/>
                <w:lang w:val="en-US" w:eastAsia="zh-CN"/>
              </w:rPr>
              <w:t>方案内容详细完整、科学合理、切实可行得</w:t>
            </w:r>
            <w:r>
              <w:rPr>
                <w:rFonts w:hint="eastAsia" w:ascii="宋体" w:hAnsi="宋体" w:cs="宋体"/>
                <w:i w:val="0"/>
                <w:iCs w:val="0"/>
                <w:color w:val="auto"/>
                <w:kern w:val="0"/>
                <w:sz w:val="22"/>
                <w:szCs w:val="22"/>
                <w:u w:val="none"/>
                <w:lang w:val="en-US" w:eastAsia="zh-CN"/>
              </w:rPr>
              <w:t>5</w:t>
            </w:r>
            <w:r>
              <w:rPr>
                <w:rFonts w:hint="default" w:ascii="宋体" w:hAnsi="宋体" w:eastAsia="宋体" w:cs="宋体"/>
                <w:i w:val="0"/>
                <w:iCs w:val="0"/>
                <w:color w:val="auto"/>
                <w:kern w:val="0"/>
                <w:sz w:val="22"/>
                <w:szCs w:val="22"/>
                <w:u w:val="none"/>
                <w:lang w:val="en-US" w:eastAsia="zh-CN"/>
              </w:rPr>
              <w:t>分；方案内容较详细、实施性较强得</w:t>
            </w:r>
            <w:r>
              <w:rPr>
                <w:rFonts w:hint="eastAsia" w:ascii="宋体" w:hAnsi="宋体" w:cs="宋体"/>
                <w:i w:val="0"/>
                <w:iCs w:val="0"/>
                <w:color w:val="auto"/>
                <w:kern w:val="0"/>
                <w:sz w:val="22"/>
                <w:szCs w:val="22"/>
                <w:u w:val="none"/>
                <w:lang w:val="en-US" w:eastAsia="zh-CN"/>
              </w:rPr>
              <w:t>3</w:t>
            </w:r>
            <w:r>
              <w:rPr>
                <w:rFonts w:hint="default" w:ascii="宋体" w:hAnsi="宋体" w:eastAsia="宋体" w:cs="宋体"/>
                <w:i w:val="0"/>
                <w:iCs w:val="0"/>
                <w:color w:val="auto"/>
                <w:kern w:val="0"/>
                <w:sz w:val="22"/>
                <w:szCs w:val="22"/>
                <w:u w:val="none"/>
                <w:lang w:val="en-US" w:eastAsia="zh-CN"/>
              </w:rPr>
              <w:t>分；方案内容一般，缺乏针对性得</w:t>
            </w:r>
            <w:r>
              <w:rPr>
                <w:rFonts w:hint="eastAsia" w:ascii="宋体" w:hAnsi="宋体" w:eastAsia="宋体" w:cs="宋体"/>
                <w:i w:val="0"/>
                <w:iCs w:val="0"/>
                <w:color w:val="auto"/>
                <w:kern w:val="0"/>
                <w:sz w:val="22"/>
                <w:szCs w:val="22"/>
                <w:u w:val="none"/>
                <w:lang w:val="en-US" w:eastAsia="zh-CN"/>
              </w:rPr>
              <w:t>1</w:t>
            </w:r>
            <w:r>
              <w:rPr>
                <w:rFonts w:hint="default" w:ascii="宋体" w:hAnsi="宋体" w:eastAsia="宋体" w:cs="宋体"/>
                <w:i w:val="0"/>
                <w:iCs w:val="0"/>
                <w:color w:val="auto"/>
                <w:kern w:val="0"/>
                <w:sz w:val="22"/>
                <w:szCs w:val="22"/>
                <w:u w:val="none"/>
                <w:lang w:val="en-US" w:eastAsia="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8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991"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技术方案 </w:t>
            </w:r>
          </w:p>
        </w:tc>
        <w:tc>
          <w:tcPr>
            <w:tcW w:w="51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投标人有</w:t>
            </w:r>
            <w:r>
              <w:rPr>
                <w:rFonts w:hint="eastAsia" w:ascii="宋体" w:hAnsi="宋体" w:eastAsia="宋体" w:cs="宋体"/>
                <w:i w:val="0"/>
                <w:iCs w:val="0"/>
                <w:color w:val="auto"/>
                <w:kern w:val="0"/>
                <w:sz w:val="22"/>
                <w:szCs w:val="22"/>
                <w:u w:val="none"/>
                <w:lang w:val="en-US" w:eastAsia="zh-Hans"/>
              </w:rPr>
              <w:t>完备</w:t>
            </w:r>
            <w:r>
              <w:rPr>
                <w:rFonts w:hint="eastAsia" w:ascii="宋体" w:hAnsi="宋体" w:eastAsia="宋体" w:cs="宋体"/>
                <w:i w:val="0"/>
                <w:iCs w:val="0"/>
                <w:color w:val="auto"/>
                <w:kern w:val="0"/>
                <w:sz w:val="22"/>
                <w:szCs w:val="22"/>
                <w:u w:val="none"/>
                <w:lang w:val="en-US" w:eastAsia="zh-CN"/>
              </w:rPr>
              <w:t>的设计方案，包括</w:t>
            </w:r>
            <w:r>
              <w:rPr>
                <w:rFonts w:hint="eastAsia" w:ascii="宋体" w:hAnsi="宋体" w:eastAsia="宋体" w:cs="宋体"/>
                <w:i w:val="0"/>
                <w:iCs w:val="0"/>
                <w:color w:val="auto"/>
                <w:kern w:val="0"/>
                <w:sz w:val="22"/>
                <w:szCs w:val="22"/>
                <w:u w:val="none"/>
                <w:lang w:val="en-US" w:eastAsia="zh-Hans"/>
              </w:rPr>
              <w:t>：演播室各景区效果图、各摄像机镜头构图、灯光布局图、导播间效果图、设备间效果图、视音频系统CAD图纸、操作台布局图、机柜布局图、扩声系统CAD图纸</w:t>
            </w:r>
            <w:r>
              <w:rPr>
                <w:rFonts w:hint="eastAsia" w:ascii="宋体" w:hAnsi="宋体" w:eastAsia="宋体" w:cs="宋体"/>
                <w:i w:val="0"/>
                <w:iCs w:val="0"/>
                <w:color w:val="auto"/>
                <w:kern w:val="0"/>
                <w:sz w:val="22"/>
                <w:szCs w:val="22"/>
                <w:u w:val="none"/>
                <w:lang w:val="en-US" w:eastAsia="zh-CN"/>
              </w:rPr>
              <w:t>等</w:t>
            </w:r>
            <w:r>
              <w:rPr>
                <w:rFonts w:hint="eastAsia" w:ascii="宋体" w:hAnsi="宋体" w:eastAsia="宋体" w:cs="宋体"/>
                <w:i w:val="0"/>
                <w:iCs w:val="0"/>
                <w:color w:val="auto"/>
                <w:kern w:val="0"/>
                <w:sz w:val="22"/>
                <w:szCs w:val="22"/>
                <w:u w:val="none"/>
                <w:lang w:val="en-US" w:eastAsia="zh-Hans"/>
              </w:rPr>
              <w:t>。</w:t>
            </w:r>
            <w:r>
              <w:rPr>
                <w:rFonts w:hint="eastAsia" w:ascii="宋体" w:hAnsi="宋体" w:eastAsia="宋体" w:cs="宋体"/>
                <w:i w:val="0"/>
                <w:iCs w:val="0"/>
                <w:color w:val="auto"/>
                <w:kern w:val="0"/>
                <w:sz w:val="22"/>
                <w:szCs w:val="22"/>
                <w:u w:val="none"/>
                <w:lang w:val="en-US" w:eastAsia="zh-CN"/>
              </w:rPr>
              <w:t>全部提供且</w:t>
            </w:r>
            <w:r>
              <w:rPr>
                <w:rFonts w:hint="eastAsia" w:ascii="宋体" w:hAnsi="宋体" w:eastAsia="宋体" w:cs="宋体"/>
                <w:i w:val="0"/>
                <w:iCs w:val="0"/>
                <w:color w:val="auto"/>
                <w:kern w:val="0"/>
                <w:sz w:val="22"/>
                <w:szCs w:val="22"/>
                <w:u w:val="none"/>
                <w:lang w:val="en-US" w:eastAsia="zh-Hans"/>
              </w:rPr>
              <w:t>明确体现信号输入/输出信号走向的，</w:t>
            </w:r>
            <w:r>
              <w:rPr>
                <w:rFonts w:hint="eastAsia" w:ascii="宋体" w:hAnsi="宋体" w:eastAsia="宋体" w:cs="宋体"/>
                <w:i w:val="0"/>
                <w:iCs w:val="0"/>
                <w:color w:val="auto"/>
                <w:kern w:val="0"/>
                <w:sz w:val="22"/>
                <w:szCs w:val="22"/>
                <w:u w:val="none"/>
                <w:lang w:val="en-US" w:eastAsia="zh-CN"/>
              </w:rPr>
              <w:t>得</w:t>
            </w:r>
            <w:r>
              <w:rPr>
                <w:rFonts w:hint="eastAsia" w:ascii="宋体" w:hAnsi="宋体" w:cs="宋体"/>
                <w:i w:val="0"/>
                <w:iCs w:val="0"/>
                <w:color w:val="auto"/>
                <w:kern w:val="0"/>
                <w:sz w:val="22"/>
                <w:szCs w:val="22"/>
                <w:u w:val="none"/>
                <w:lang w:val="en-US" w:eastAsia="zh-CN"/>
              </w:rPr>
              <w:t>5</w:t>
            </w:r>
            <w:r>
              <w:rPr>
                <w:rFonts w:hint="eastAsia" w:ascii="宋体" w:hAnsi="宋体" w:eastAsia="宋体" w:cs="宋体"/>
                <w:i w:val="0"/>
                <w:iCs w:val="0"/>
                <w:color w:val="auto"/>
                <w:kern w:val="0"/>
                <w:sz w:val="22"/>
                <w:szCs w:val="22"/>
                <w:u w:val="none"/>
                <w:lang w:val="en-US" w:eastAsia="zh-CN"/>
              </w:rPr>
              <w:t>分，部分提供得</w:t>
            </w:r>
            <w:r>
              <w:rPr>
                <w:rFonts w:hint="eastAsia" w:ascii="宋体" w:hAnsi="宋体" w:cs="宋体"/>
                <w:i w:val="0"/>
                <w:iCs w:val="0"/>
                <w:color w:val="auto"/>
                <w:kern w:val="0"/>
                <w:sz w:val="22"/>
                <w:szCs w:val="22"/>
                <w:u w:val="none"/>
                <w:lang w:val="en-US" w:eastAsia="zh-CN"/>
              </w:rPr>
              <w:t>3</w:t>
            </w:r>
            <w:r>
              <w:rPr>
                <w:rFonts w:hint="eastAsia" w:ascii="宋体" w:hAnsi="宋体" w:eastAsia="宋体" w:cs="宋体"/>
                <w:i w:val="0"/>
                <w:iCs w:val="0"/>
                <w:color w:val="auto"/>
                <w:kern w:val="0"/>
                <w:sz w:val="22"/>
                <w:szCs w:val="22"/>
                <w:u w:val="none"/>
                <w:lang w:val="en-US" w:eastAsia="zh-CN"/>
              </w:rPr>
              <w:t>分，</w:t>
            </w:r>
            <w:r>
              <w:rPr>
                <w:rFonts w:hint="eastAsia" w:ascii="宋体" w:hAnsi="宋体" w:eastAsia="宋体" w:cs="宋体"/>
                <w:i w:val="0"/>
                <w:iCs w:val="0"/>
                <w:color w:val="auto"/>
                <w:kern w:val="0"/>
                <w:sz w:val="22"/>
                <w:szCs w:val="22"/>
                <w:u w:val="none"/>
                <w:lang w:val="en-US" w:eastAsia="zh-Hans"/>
              </w:rPr>
              <w:t>未</w:t>
            </w:r>
            <w:r>
              <w:rPr>
                <w:rFonts w:hint="eastAsia" w:ascii="宋体" w:hAnsi="宋体" w:eastAsia="宋体" w:cs="宋体"/>
                <w:i w:val="0"/>
                <w:iCs w:val="0"/>
                <w:color w:val="auto"/>
                <w:kern w:val="0"/>
                <w:sz w:val="22"/>
                <w:szCs w:val="22"/>
                <w:u w:val="none"/>
                <w:lang w:val="en-US" w:eastAsia="zh-CN"/>
              </w:rPr>
              <w:t>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78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991"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项目服务团队</w:t>
            </w:r>
          </w:p>
        </w:tc>
        <w:tc>
          <w:tcPr>
            <w:tcW w:w="51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投标人拟投入项目管理人员中同时具有高级信息系统项目管理师证书的</w:t>
            </w:r>
            <w:r>
              <w:rPr>
                <w:rFonts w:hint="eastAsia" w:ascii="宋体" w:hAnsi="宋体" w:eastAsia="宋体" w:cs="宋体"/>
                <w:i w:val="0"/>
                <w:iCs w:val="0"/>
                <w:color w:val="auto"/>
                <w:kern w:val="0"/>
                <w:sz w:val="22"/>
                <w:szCs w:val="22"/>
                <w:u w:val="none"/>
                <w:lang w:val="en-US" w:eastAsia="zh-CN"/>
              </w:rPr>
              <w:t>，每有1人得</w:t>
            </w:r>
            <w:r>
              <w:rPr>
                <w:rFonts w:hint="eastAsia" w:ascii="宋体" w:hAnsi="宋体" w:cs="宋体"/>
                <w:i w:val="0"/>
                <w:iCs w:val="0"/>
                <w:color w:val="auto"/>
                <w:kern w:val="0"/>
                <w:sz w:val="22"/>
                <w:szCs w:val="22"/>
                <w:u w:val="none"/>
                <w:lang w:val="en-US" w:eastAsia="zh-CN"/>
              </w:rPr>
              <w:t>2</w:t>
            </w:r>
            <w:r>
              <w:rPr>
                <w:rFonts w:hint="eastAsia" w:ascii="宋体" w:hAnsi="宋体" w:eastAsia="宋体" w:cs="宋体"/>
                <w:i w:val="0"/>
                <w:iCs w:val="0"/>
                <w:color w:val="auto"/>
                <w:kern w:val="0"/>
                <w:sz w:val="22"/>
                <w:szCs w:val="22"/>
                <w:u w:val="none"/>
                <w:lang w:val="en-US" w:eastAsia="zh-CN"/>
              </w:rPr>
              <w:t>分，最高</w:t>
            </w:r>
            <w:r>
              <w:rPr>
                <w:rFonts w:hint="eastAsia" w:ascii="宋体" w:hAnsi="宋体" w:cs="宋体"/>
                <w:i w:val="0"/>
                <w:iCs w:val="0"/>
                <w:color w:val="auto"/>
                <w:kern w:val="0"/>
                <w:sz w:val="22"/>
                <w:szCs w:val="22"/>
                <w:u w:val="none"/>
                <w:lang w:val="en-US" w:eastAsia="zh-CN"/>
              </w:rPr>
              <w:t>4</w:t>
            </w:r>
            <w:r>
              <w:rPr>
                <w:rFonts w:hint="eastAsia" w:ascii="宋体" w:hAnsi="宋体" w:eastAsia="宋体" w:cs="宋体"/>
                <w:i w:val="0"/>
                <w:iCs w:val="0"/>
                <w:color w:val="auto"/>
                <w:kern w:val="0"/>
                <w:sz w:val="22"/>
                <w:szCs w:val="22"/>
                <w:u w:val="none"/>
                <w:lang w:val="en-US" w:eastAsia="zh-CN"/>
              </w:rPr>
              <w:t>分。 注：以上人员需提供近3个月以内任意一个月的投标人单位缴纳的社保及证书扫描件（提供复印件证明），并具有近3年内同类项目（同类项目为业绩情况要求的同类项目）实施经验的证明文件（有使用方盖章的能够证明该人员参与本项目实施的验收类文档），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783"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4</w:t>
            </w:r>
          </w:p>
        </w:tc>
        <w:tc>
          <w:tcPr>
            <w:tcW w:w="99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售后服务</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7</w:t>
            </w:r>
            <w:r>
              <w:rPr>
                <w:rFonts w:hint="eastAsia" w:ascii="宋体" w:hAnsi="宋体" w:eastAsia="宋体" w:cs="宋体"/>
                <w:i w:val="0"/>
                <w:iCs w:val="0"/>
                <w:color w:val="auto"/>
                <w:kern w:val="0"/>
                <w:sz w:val="22"/>
                <w:szCs w:val="22"/>
                <w:u w:val="none"/>
                <w:lang w:val="en-US" w:eastAsia="zh-CN"/>
              </w:rPr>
              <w:t>）</w:t>
            </w: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培训方案</w:t>
            </w:r>
          </w:p>
        </w:tc>
        <w:tc>
          <w:tcPr>
            <w:tcW w:w="51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4</w:t>
            </w:r>
          </w:p>
        </w:tc>
        <w:tc>
          <w:tcPr>
            <w:tcW w:w="6611" w:type="dxa"/>
            <w:vAlign w:val="center"/>
          </w:tcPr>
          <w:p>
            <w:pPr>
              <w:pStyle w:val="5"/>
              <w:bidi w:val="0"/>
              <w:jc w:val="left"/>
              <w:rPr>
                <w:rFonts w:hint="eastAsia"/>
                <w:color w:val="auto"/>
                <w:lang w:val="en-US" w:eastAsia="zh-CN"/>
              </w:rPr>
            </w:pPr>
            <w:r>
              <w:rPr>
                <w:rFonts w:hint="eastAsia" w:ascii="宋体" w:hAnsi="宋体" w:eastAsia="宋体" w:cs="宋体"/>
                <w:b w:val="0"/>
                <w:i w:val="0"/>
                <w:iCs w:val="0"/>
                <w:color w:val="auto"/>
                <w:kern w:val="0"/>
                <w:sz w:val="22"/>
                <w:szCs w:val="22"/>
                <w:u w:val="none"/>
                <w:lang w:val="en-US" w:eastAsia="zh-CN" w:bidi="ar-SA"/>
              </w:rPr>
              <w:t>根据各投标人针对本项目的人员分配方案及培训计划（包括但不限于人员分配、培训 计划、相关法律法规及政策培训等）。 方案内容完整详尽，且不限于上述所要求内容的计（4分）； 方案内容无缺漏，对上述所要求内容描述符合招标文件的计（2分）； 不符合上述两种情形的不计分。本项满分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3"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991"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p>
        </w:tc>
        <w:tc>
          <w:tcPr>
            <w:tcW w:w="8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售后服务方案</w:t>
            </w:r>
          </w:p>
        </w:tc>
        <w:tc>
          <w:tcPr>
            <w:tcW w:w="51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3</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提供针对本项目的售后服务方案，方案内容完整详细，人员配备合理、售后服务响应及时得</w:t>
            </w:r>
            <w:r>
              <w:rPr>
                <w:rFonts w:hint="eastAsia" w:ascii="宋体" w:hAnsi="宋体" w:cs="宋体"/>
                <w:i w:val="0"/>
                <w:iCs w:val="0"/>
                <w:color w:val="auto"/>
                <w:kern w:val="2"/>
                <w:sz w:val="22"/>
                <w:szCs w:val="22"/>
                <w:u w:val="none"/>
                <w:lang w:val="en-US" w:eastAsia="zh-CN" w:bidi="ar-SA"/>
              </w:rPr>
              <w:t>3</w:t>
            </w:r>
            <w:r>
              <w:rPr>
                <w:rFonts w:hint="eastAsia" w:ascii="宋体" w:hAnsi="宋体" w:eastAsia="宋体" w:cs="宋体"/>
                <w:i w:val="0"/>
                <w:iCs w:val="0"/>
                <w:color w:val="auto"/>
                <w:kern w:val="2"/>
                <w:sz w:val="22"/>
                <w:szCs w:val="22"/>
                <w:u w:val="none"/>
                <w:lang w:val="en-US" w:eastAsia="zh-CN" w:bidi="ar-SA"/>
              </w:rPr>
              <w:t>分；方案内容较完整详细，服务响应较及时得</w:t>
            </w:r>
            <w:r>
              <w:rPr>
                <w:rFonts w:hint="eastAsia" w:ascii="宋体" w:hAnsi="宋体" w:cs="宋体"/>
                <w:i w:val="0"/>
                <w:iCs w:val="0"/>
                <w:color w:val="auto"/>
                <w:kern w:val="2"/>
                <w:sz w:val="22"/>
                <w:szCs w:val="22"/>
                <w:u w:val="none"/>
                <w:lang w:val="en-US" w:eastAsia="zh-CN" w:bidi="ar-SA"/>
              </w:rPr>
              <w:t>2</w:t>
            </w:r>
            <w:r>
              <w:rPr>
                <w:rFonts w:hint="eastAsia" w:ascii="宋体" w:hAnsi="宋体" w:eastAsia="宋体" w:cs="宋体"/>
                <w:i w:val="0"/>
                <w:iCs w:val="0"/>
                <w:color w:val="auto"/>
                <w:kern w:val="2"/>
                <w:sz w:val="22"/>
                <w:szCs w:val="22"/>
                <w:u w:val="none"/>
                <w:lang w:val="en-US" w:eastAsia="zh-CN" w:bidi="ar-SA"/>
              </w:rPr>
              <w:t>分；方案内容一般得</w:t>
            </w:r>
            <w:r>
              <w:rPr>
                <w:rFonts w:hint="eastAsia" w:ascii="宋体" w:hAnsi="宋体" w:cs="宋体"/>
                <w:i w:val="0"/>
                <w:iCs w:val="0"/>
                <w:color w:val="auto"/>
                <w:kern w:val="2"/>
                <w:sz w:val="22"/>
                <w:szCs w:val="22"/>
                <w:u w:val="none"/>
                <w:lang w:val="en-US" w:eastAsia="zh-CN" w:bidi="ar-SA"/>
              </w:rPr>
              <w:t>1</w:t>
            </w:r>
            <w:r>
              <w:rPr>
                <w:rFonts w:hint="eastAsia" w:ascii="宋体" w:hAnsi="宋体" w:eastAsia="宋体" w:cs="宋体"/>
                <w:i w:val="0"/>
                <w:iCs w:val="0"/>
                <w:color w:val="auto"/>
                <w:kern w:val="2"/>
                <w:sz w:val="22"/>
                <w:szCs w:val="22"/>
                <w:u w:val="none"/>
                <w:lang w:val="en-US" w:eastAsia="zh-CN" w:bidi="ar-SA"/>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8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w:t>
            </w:r>
          </w:p>
        </w:tc>
        <w:tc>
          <w:tcPr>
            <w:tcW w:w="99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标书制作</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2</w:t>
            </w:r>
            <w:r>
              <w:rPr>
                <w:rFonts w:hint="eastAsia" w:ascii="宋体" w:hAnsi="宋体" w:eastAsia="宋体" w:cs="宋体"/>
                <w:i w:val="0"/>
                <w:iCs w:val="0"/>
                <w:color w:val="auto"/>
                <w:kern w:val="0"/>
                <w:sz w:val="22"/>
                <w:szCs w:val="22"/>
                <w:u w:val="none"/>
                <w:lang w:val="en-US" w:eastAsia="zh-CN"/>
              </w:rPr>
              <w:t>）</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投标文件质量</w:t>
            </w:r>
          </w:p>
        </w:tc>
        <w:tc>
          <w:tcPr>
            <w:tcW w:w="513"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w:t>
            </w:r>
          </w:p>
        </w:tc>
        <w:tc>
          <w:tcPr>
            <w:tcW w:w="661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根据投标文件标函编制内容完整、齐全、叙述严谨；投标文件无涂改、错 页、漏页现象；投标文件内容不得重复性、反复性出现资料，出现以上错误每处扣 0.</w:t>
            </w:r>
            <w:r>
              <w:rPr>
                <w:rFonts w:hint="eastAsia" w:ascii="宋体" w:hAnsi="宋体" w:cs="宋体"/>
                <w:i w:val="0"/>
                <w:iCs w:val="0"/>
                <w:color w:val="auto"/>
                <w:kern w:val="0"/>
                <w:sz w:val="22"/>
                <w:szCs w:val="22"/>
                <w:u w:val="none"/>
                <w:lang w:val="en-US" w:eastAsia="zh-CN"/>
              </w:rPr>
              <w:t>5</w:t>
            </w:r>
            <w:r>
              <w:rPr>
                <w:rFonts w:hint="eastAsia" w:ascii="宋体" w:hAnsi="宋体" w:eastAsia="宋体" w:cs="宋体"/>
                <w:i w:val="0"/>
                <w:iCs w:val="0"/>
                <w:color w:val="auto"/>
                <w:kern w:val="0"/>
                <w:sz w:val="22"/>
                <w:szCs w:val="22"/>
                <w:u w:val="none"/>
                <w:lang w:val="en-US" w:eastAsia="zh-CN"/>
              </w:rPr>
              <w:t xml:space="preserve"> 分，扣完为止。</w:t>
            </w:r>
          </w:p>
        </w:tc>
      </w:tr>
    </w:tbl>
    <w:p>
      <w:pPr>
        <w:tabs>
          <w:tab w:val="left" w:pos="2880"/>
        </w:tabs>
        <w:spacing w:line="400" w:lineRule="exact"/>
        <w:jc w:val="left"/>
        <w:rPr>
          <w:rFonts w:hint="eastAsia" w:ascii="宋体" w:hAnsi="宋体" w:eastAsia="宋体" w:cs="宋体"/>
          <w:b/>
          <w:color w:val="auto"/>
          <w:sz w:val="22"/>
          <w:szCs w:val="22"/>
        </w:rPr>
      </w:pPr>
      <w:r>
        <w:rPr>
          <w:rFonts w:hint="eastAsia" w:ascii="宋体" w:hAnsi="宋体" w:eastAsia="宋体" w:cs="宋体"/>
          <w:b/>
          <w:bCs/>
          <w:color w:val="auto"/>
          <w:kern w:val="0"/>
          <w:sz w:val="22"/>
          <w:szCs w:val="22"/>
        </w:rPr>
        <w:t>注：请各单位根据评审内容做出有效响应；</w:t>
      </w:r>
      <w:bookmarkStart w:id="488" w:name="_Hlk67400847"/>
      <w:r>
        <w:rPr>
          <w:rFonts w:hint="eastAsia" w:ascii="宋体" w:hAnsi="宋体" w:eastAsia="宋体" w:cs="宋体"/>
          <w:b/>
          <w:bCs/>
          <w:color w:val="auto"/>
          <w:kern w:val="0"/>
          <w:sz w:val="22"/>
          <w:szCs w:val="22"/>
        </w:rPr>
        <w:t>中标单位人员进场时，</w:t>
      </w:r>
      <w:bookmarkEnd w:id="488"/>
      <w:r>
        <w:rPr>
          <w:rFonts w:hint="eastAsia" w:ascii="宋体" w:hAnsi="宋体" w:eastAsia="宋体" w:cs="宋体"/>
          <w:b/>
          <w:bCs/>
          <w:color w:val="auto"/>
          <w:kern w:val="0"/>
          <w:sz w:val="22"/>
          <w:szCs w:val="22"/>
        </w:rPr>
        <w:t>须提供7天内的有效核酸检测报告、大数据行程以及相关证明材料以备采购人核验，如未能提供上述资料的，视为自动放弃本项目的中标资格。如提供虚假资料中标的，将依法承担相应责任。</w:t>
      </w:r>
    </w:p>
    <w:p>
      <w:pPr>
        <w:tabs>
          <w:tab w:val="left" w:pos="2880"/>
        </w:tabs>
        <w:spacing w:line="400" w:lineRule="exact"/>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详细评分表（满分100分）</w:t>
      </w:r>
    </w:p>
    <w:p>
      <w:pPr>
        <w:tabs>
          <w:tab w:val="left" w:pos="2880"/>
        </w:tabs>
        <w:spacing w:line="400" w:lineRule="exact"/>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评审完毕，评标委员会根据汇总各</w:t>
      </w:r>
    </w:p>
    <w:p>
      <w:pPr>
        <w:tabs>
          <w:tab w:val="left" w:pos="2880"/>
        </w:tabs>
        <w:spacing w:line="400" w:lineRule="exact"/>
        <w:jc w:val="left"/>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rPr>
        <w:t>投标企业的综合得分，按照得分高低序，取前三名作为中标候选人推荐给招标人。如果投标人的得分相同，投标价格低者排在前。</w:t>
      </w:r>
      <w:r>
        <w:rPr>
          <w:rFonts w:hint="eastAsia" w:ascii="宋体" w:hAnsi="宋体" w:eastAsia="宋体" w:cs="宋体"/>
          <w:b/>
          <w:bCs/>
          <w:color w:val="auto"/>
          <w:kern w:val="0"/>
          <w:sz w:val="22"/>
          <w:szCs w:val="22"/>
          <w:lang w:val="en-US" w:eastAsia="zh-CN"/>
        </w:rPr>
        <w:t>计算公式的计算结果值在小数点后均保留两位小数，后余位数四舍五入计。</w:t>
      </w:r>
    </w:p>
    <w:p>
      <w:pPr>
        <w:rPr>
          <w:rFonts w:hint="eastAsia" w:asciiTheme="minorEastAsia" w:hAnsiTheme="minorEastAsia" w:eastAsiaTheme="minorEastAsia" w:cstheme="minorEastAsia"/>
          <w:b/>
          <w:bCs w:val="0"/>
          <w:snapToGrid w:val="0"/>
          <w:kern w:val="0"/>
          <w:sz w:val="20"/>
          <w:szCs w:val="20"/>
          <w:lang w:val="en-US" w:eastAsia="zh-CN" w:bidi="ar-SA"/>
        </w:rPr>
      </w:pPr>
      <w:r>
        <w:rPr>
          <w:rFonts w:hint="eastAsia" w:asciiTheme="minorEastAsia" w:hAnsiTheme="minorEastAsia" w:eastAsiaTheme="minorEastAsia" w:cstheme="minorEastAsia"/>
          <w:b/>
          <w:bCs w:val="0"/>
          <w:snapToGrid w:val="0"/>
          <w:kern w:val="0"/>
          <w:sz w:val="20"/>
          <w:szCs w:val="20"/>
          <w:lang w:val="en-US" w:eastAsia="zh-CN" w:bidi="ar-SA"/>
        </w:rPr>
        <w:br w:type="page"/>
      </w:r>
    </w:p>
    <w:p>
      <w:pPr>
        <w:pStyle w:val="2"/>
        <w:ind w:firstLine="0"/>
        <w:rPr>
          <w:rFonts w:hAnsi="宋体" w:cs="宋体"/>
          <w:b/>
          <w:bCs/>
          <w:szCs w:val="21"/>
        </w:rPr>
      </w:pPr>
    </w:p>
    <w:p>
      <w:pPr>
        <w:rPr>
          <w:rFonts w:hAnsi="宋体" w:cs="宋体"/>
          <w:b/>
          <w:bCs/>
          <w:szCs w:val="21"/>
        </w:rPr>
      </w:pPr>
    </w:p>
    <w:p>
      <w:pPr>
        <w:pStyle w:val="34"/>
        <w:rPr>
          <w:rFonts w:hAnsi="宋体" w:cs="宋体"/>
          <w:b/>
          <w:bCs/>
          <w:szCs w:val="21"/>
        </w:rPr>
      </w:pPr>
    </w:p>
    <w:p>
      <w:pPr>
        <w:pStyle w:val="34"/>
        <w:rPr>
          <w:rFonts w:hAnsi="宋体" w:cs="宋体"/>
          <w:b/>
          <w:bCs/>
          <w:szCs w:val="21"/>
        </w:rPr>
      </w:pPr>
    </w:p>
    <w:p>
      <w:pPr>
        <w:pStyle w:val="34"/>
        <w:rPr>
          <w:rFonts w:hAnsi="宋体" w:cs="宋体"/>
          <w:b/>
          <w:bCs/>
          <w:szCs w:val="21"/>
        </w:rPr>
      </w:pPr>
    </w:p>
    <w:p>
      <w:pPr>
        <w:pStyle w:val="34"/>
        <w:rPr>
          <w:rFonts w:hAnsi="宋体" w:cs="宋体"/>
          <w:b/>
          <w:bCs/>
          <w:szCs w:val="21"/>
        </w:rPr>
      </w:pPr>
    </w:p>
    <w:p>
      <w:pPr>
        <w:snapToGrid w:val="0"/>
        <w:spacing w:line="240" w:lineRule="atLeast"/>
        <w:jc w:val="center"/>
        <w:textAlignment w:val="baseline"/>
        <w:rPr>
          <w:rFonts w:hint="eastAsia" w:ascii="宋体" w:hAnsi="宋体" w:cs="宋体"/>
          <w:b/>
          <w:sz w:val="44"/>
          <w:szCs w:val="44"/>
        </w:rPr>
      </w:pPr>
    </w:p>
    <w:p>
      <w:pPr>
        <w:snapToGrid w:val="0"/>
        <w:spacing w:line="240" w:lineRule="atLeast"/>
        <w:jc w:val="center"/>
        <w:textAlignment w:val="baseline"/>
        <w:rPr>
          <w:rFonts w:hint="eastAsia" w:ascii="宋体" w:hAnsi="宋体" w:cs="宋体"/>
          <w:b/>
          <w:sz w:val="44"/>
          <w:szCs w:val="44"/>
        </w:rPr>
      </w:pPr>
    </w:p>
    <w:p>
      <w:pPr>
        <w:snapToGrid w:val="0"/>
        <w:spacing w:line="240" w:lineRule="atLeast"/>
        <w:jc w:val="center"/>
        <w:textAlignment w:val="baseline"/>
        <w:rPr>
          <w:rFonts w:hint="eastAsia" w:ascii="宋体" w:hAnsi="宋体" w:cs="宋体"/>
          <w:b/>
          <w:sz w:val="44"/>
          <w:szCs w:val="44"/>
        </w:rPr>
      </w:pPr>
    </w:p>
    <w:p>
      <w:pPr>
        <w:snapToGrid w:val="0"/>
        <w:spacing w:line="240" w:lineRule="atLeast"/>
        <w:jc w:val="center"/>
        <w:textAlignment w:val="baseline"/>
        <w:rPr>
          <w:rFonts w:ascii="宋体" w:hAnsi="宋体" w:cs="宋体"/>
          <w:b/>
          <w:sz w:val="44"/>
          <w:szCs w:val="44"/>
        </w:rPr>
      </w:pPr>
      <w:r>
        <w:rPr>
          <w:rFonts w:hint="eastAsia" w:ascii="宋体" w:hAnsi="宋体" w:cs="宋体"/>
          <w:b/>
          <w:sz w:val="44"/>
          <w:szCs w:val="44"/>
        </w:rPr>
        <w:t>招 标 文 件</w:t>
      </w:r>
    </w:p>
    <w:p>
      <w:pPr>
        <w:pStyle w:val="2"/>
        <w:rPr>
          <w:rFonts w:hAnsi="宋体" w:cs="宋体"/>
          <w:b/>
          <w:sz w:val="44"/>
          <w:szCs w:val="44"/>
        </w:rPr>
      </w:pPr>
    </w:p>
    <w:p>
      <w:pPr>
        <w:pStyle w:val="2"/>
        <w:ind w:firstLine="0"/>
        <w:rPr>
          <w:rFonts w:hAnsi="宋体" w:cs="宋体"/>
          <w:b/>
          <w:sz w:val="44"/>
          <w:szCs w:val="44"/>
        </w:rPr>
      </w:pPr>
    </w:p>
    <w:p>
      <w:pPr>
        <w:pStyle w:val="2"/>
        <w:ind w:firstLine="0"/>
        <w:rPr>
          <w:rFonts w:hAnsi="宋体" w:cs="宋体"/>
          <w:b/>
          <w:sz w:val="44"/>
          <w:szCs w:val="44"/>
        </w:rPr>
      </w:pPr>
    </w:p>
    <w:p>
      <w:pPr>
        <w:pStyle w:val="2"/>
        <w:ind w:firstLine="0"/>
        <w:rPr>
          <w:rFonts w:hAnsi="宋体" w:cs="宋体"/>
          <w:b/>
          <w:sz w:val="44"/>
          <w:szCs w:val="44"/>
        </w:rPr>
      </w:pPr>
    </w:p>
    <w:p>
      <w:pPr>
        <w:tabs>
          <w:tab w:val="left" w:pos="6525"/>
        </w:tabs>
        <w:spacing w:line="360" w:lineRule="auto"/>
        <w:ind w:left="1807" w:hanging="1807" w:hangingChars="500"/>
        <w:textAlignment w:val="baseline"/>
        <w:rPr>
          <w:rFonts w:hint="eastAsia" w:ascii="宋体" w:hAnsi="宋体" w:cs="宋体"/>
          <w:b/>
          <w:sz w:val="36"/>
          <w:szCs w:val="36"/>
          <w:u w:val="single"/>
          <w:lang w:eastAsia="zh-CN"/>
        </w:rPr>
      </w:pPr>
      <w:r>
        <w:rPr>
          <w:rFonts w:hint="eastAsia" w:ascii="宋体" w:hAnsi="宋体" w:cs="宋体"/>
          <w:b/>
          <w:sz w:val="36"/>
          <w:szCs w:val="36"/>
        </w:rPr>
        <w:t>项目名称</w:t>
      </w:r>
      <w:r>
        <w:rPr>
          <w:rFonts w:hint="eastAsia" w:hAnsi="宋体" w:cs="宋体"/>
          <w:b/>
          <w:sz w:val="40"/>
          <w:szCs w:val="40"/>
        </w:rPr>
        <w:t>：</w:t>
      </w:r>
      <w:r>
        <w:rPr>
          <w:rFonts w:hint="eastAsia" w:ascii="宋体" w:hAnsi="宋体" w:cs="宋体"/>
          <w:b/>
          <w:sz w:val="36"/>
          <w:szCs w:val="36"/>
          <w:u w:val="single"/>
          <w:lang w:eastAsia="zh-CN"/>
        </w:rPr>
        <w:t>喀什广播电视台广电融合提升设备项目（二次）</w:t>
      </w:r>
    </w:p>
    <w:p>
      <w:pPr>
        <w:pStyle w:val="25"/>
      </w:pPr>
    </w:p>
    <w:p>
      <w:pPr>
        <w:tabs>
          <w:tab w:val="right" w:pos="8279"/>
        </w:tabs>
        <w:snapToGrid w:val="0"/>
        <w:spacing w:line="240" w:lineRule="atLeast"/>
        <w:textAlignment w:val="baseline"/>
        <w:rPr>
          <w:rFonts w:hint="default" w:ascii="宋体" w:hAnsi="宋体" w:cs="宋体"/>
          <w:b/>
          <w:sz w:val="36"/>
          <w:szCs w:val="36"/>
          <w:u w:val="single"/>
          <w:lang w:val="en-US"/>
        </w:rPr>
      </w:pPr>
      <w:bookmarkStart w:id="489" w:name="_Toc13284_WPSOffice_Level2"/>
      <w:r>
        <w:rPr>
          <w:rFonts w:hint="eastAsia" w:ascii="宋体" w:hAnsi="宋体" w:cs="宋体"/>
          <w:b/>
          <w:sz w:val="36"/>
          <w:szCs w:val="36"/>
        </w:rPr>
        <w:t>项目编号：</w:t>
      </w:r>
      <w:bookmarkEnd w:id="489"/>
      <w:r>
        <w:rPr>
          <w:rFonts w:hint="eastAsia" w:ascii="宋体" w:hAnsi="宋体" w:cs="宋体"/>
          <w:b/>
          <w:sz w:val="36"/>
          <w:szCs w:val="36"/>
          <w:u w:val="single"/>
          <w:lang w:eastAsia="zh-CN"/>
        </w:rPr>
        <w:t>CQYQ-KS-(CG)-2022-006</w:t>
      </w:r>
      <w:r>
        <w:rPr>
          <w:rFonts w:hint="eastAsia" w:ascii="宋体" w:hAnsi="宋体" w:cs="宋体"/>
          <w:b/>
          <w:sz w:val="36"/>
          <w:szCs w:val="36"/>
          <w:u w:val="single"/>
          <w:lang w:val="en-US" w:eastAsia="zh-CN"/>
        </w:rPr>
        <w:t xml:space="preserve">             </w:t>
      </w:r>
    </w:p>
    <w:p>
      <w:pPr>
        <w:pStyle w:val="2"/>
        <w:rPr>
          <w:rFonts w:hAnsi="宋体" w:cs="宋体"/>
          <w:b/>
          <w:sz w:val="36"/>
          <w:szCs w:val="36"/>
        </w:rPr>
      </w:pPr>
    </w:p>
    <w:p>
      <w:pPr>
        <w:tabs>
          <w:tab w:val="right" w:pos="8279"/>
        </w:tabs>
        <w:rPr>
          <w:rFonts w:hAnsi="宋体" w:cs="宋体"/>
          <w:b/>
          <w:sz w:val="36"/>
          <w:szCs w:val="36"/>
        </w:rPr>
      </w:pPr>
    </w:p>
    <w:p>
      <w:pPr>
        <w:tabs>
          <w:tab w:val="right" w:pos="8279"/>
        </w:tabs>
        <w:rPr>
          <w:rFonts w:hint="default"/>
          <w:sz w:val="20"/>
          <w:szCs w:val="22"/>
          <w:u w:val="single"/>
          <w:lang w:val="en-US"/>
        </w:rPr>
      </w:pPr>
      <w:r>
        <w:rPr>
          <w:rFonts w:hint="eastAsia" w:hAnsi="宋体" w:cs="宋体"/>
          <w:b/>
          <w:sz w:val="36"/>
          <w:szCs w:val="36"/>
        </w:rPr>
        <w:t>采购单位：</w:t>
      </w:r>
      <w:r>
        <w:rPr>
          <w:rFonts w:hint="eastAsia" w:hAnsi="宋体" w:cs="宋体"/>
          <w:b/>
          <w:sz w:val="36"/>
          <w:szCs w:val="36"/>
          <w:u w:val="single"/>
          <w:lang w:eastAsia="zh-CN"/>
        </w:rPr>
        <w:t>喀什广播电视台</w:t>
      </w:r>
      <w:r>
        <w:rPr>
          <w:rFonts w:hint="eastAsia" w:hAnsi="宋体" w:cs="宋体"/>
          <w:b/>
          <w:sz w:val="36"/>
          <w:szCs w:val="36"/>
          <w:u w:val="single"/>
          <w:lang w:val="en-US" w:eastAsia="zh-CN"/>
        </w:rPr>
        <w:t xml:space="preserve">                    </w:t>
      </w:r>
    </w:p>
    <w:p>
      <w:pPr>
        <w:snapToGrid w:val="0"/>
        <w:spacing w:line="240" w:lineRule="atLeast"/>
        <w:jc w:val="center"/>
        <w:textAlignment w:val="baseline"/>
        <w:rPr>
          <w:rFonts w:ascii="宋体" w:hAnsi="宋体" w:cs="宋体"/>
          <w:b/>
          <w:sz w:val="36"/>
          <w:szCs w:val="36"/>
        </w:rPr>
      </w:pPr>
    </w:p>
    <w:p>
      <w:pPr>
        <w:snapToGrid w:val="0"/>
        <w:spacing w:line="240" w:lineRule="atLeast"/>
        <w:jc w:val="center"/>
        <w:textAlignment w:val="baseline"/>
        <w:rPr>
          <w:rFonts w:ascii="宋体" w:hAnsi="宋体" w:cs="宋体"/>
          <w:b/>
          <w:sz w:val="40"/>
          <w:szCs w:val="40"/>
        </w:rPr>
      </w:pPr>
    </w:p>
    <w:p>
      <w:pPr>
        <w:snapToGrid w:val="0"/>
        <w:spacing w:line="240" w:lineRule="atLeast"/>
        <w:jc w:val="center"/>
        <w:textAlignment w:val="baseline"/>
        <w:rPr>
          <w:rFonts w:ascii="宋体" w:hAnsi="宋体" w:cs="宋体"/>
          <w:b/>
          <w:sz w:val="40"/>
          <w:szCs w:val="40"/>
        </w:rPr>
      </w:pPr>
    </w:p>
    <w:p>
      <w:pPr>
        <w:snapToGrid w:val="0"/>
        <w:spacing w:line="240" w:lineRule="atLeast"/>
        <w:jc w:val="center"/>
        <w:textAlignment w:val="baseline"/>
        <w:rPr>
          <w:rFonts w:ascii="宋体" w:hAnsi="宋体" w:cs="宋体"/>
          <w:b/>
          <w:sz w:val="40"/>
          <w:szCs w:val="40"/>
        </w:rPr>
      </w:pPr>
    </w:p>
    <w:p>
      <w:pPr>
        <w:snapToGrid w:val="0"/>
        <w:spacing w:line="240" w:lineRule="atLeast"/>
        <w:jc w:val="center"/>
        <w:textAlignment w:val="baseline"/>
        <w:rPr>
          <w:rFonts w:ascii="宋体" w:hAnsi="宋体" w:cs="宋体"/>
          <w:b/>
          <w:sz w:val="40"/>
          <w:szCs w:val="40"/>
        </w:rPr>
      </w:pPr>
    </w:p>
    <w:p>
      <w:pPr>
        <w:snapToGrid w:val="0"/>
        <w:spacing w:line="240" w:lineRule="atLeast"/>
        <w:ind w:firstLine="803" w:firstLineChars="200"/>
        <w:jc w:val="center"/>
        <w:textAlignment w:val="baseline"/>
        <w:rPr>
          <w:rFonts w:ascii="宋体" w:hAnsi="宋体" w:cs="宋体"/>
          <w:b/>
          <w:sz w:val="40"/>
          <w:szCs w:val="40"/>
        </w:rPr>
      </w:pPr>
      <w:r>
        <w:rPr>
          <w:rFonts w:hint="eastAsia" w:ascii="宋体" w:hAnsi="宋体" w:cs="宋体"/>
          <w:b/>
          <w:sz w:val="40"/>
          <w:szCs w:val="40"/>
        </w:rPr>
        <w:t>第 三 册</w:t>
      </w:r>
    </w:p>
    <w:p>
      <w:pPr>
        <w:widowControl/>
        <w:jc w:val="left"/>
        <w:rPr>
          <w:rFonts w:ascii="宋体" w:hAnsi="宋体" w:cs="宋体"/>
          <w:b/>
          <w:sz w:val="32"/>
        </w:rPr>
      </w:pPr>
      <w:r>
        <w:rPr>
          <w:rFonts w:ascii="宋体" w:hAnsi="宋体" w:cs="宋体"/>
          <w:b/>
          <w:sz w:val="32"/>
        </w:rPr>
        <w:br w:type="page"/>
      </w:r>
    </w:p>
    <w:p>
      <w:pPr>
        <w:pStyle w:val="4"/>
        <w:tabs>
          <w:tab w:val="left" w:pos="0"/>
        </w:tabs>
        <w:snapToGrid w:val="0"/>
        <w:spacing w:before="0" w:after="0" w:line="240" w:lineRule="atLeast"/>
        <w:textAlignment w:val="baseline"/>
        <w:rPr>
          <w:rFonts w:hAnsi="宋体" w:cs="宋体"/>
          <w:sz w:val="48"/>
          <w:szCs w:val="48"/>
        </w:rPr>
      </w:pPr>
      <w:bookmarkStart w:id="490" w:name="_Toc6865"/>
      <w:bookmarkStart w:id="491" w:name="_Toc28085"/>
      <w:bookmarkStart w:id="492" w:name="_Toc515647833"/>
      <w:bookmarkStart w:id="493" w:name="_Toc4796"/>
      <w:bookmarkStart w:id="494" w:name="_Toc23204"/>
      <w:bookmarkStart w:id="495" w:name="_Toc12793"/>
      <w:r>
        <w:rPr>
          <w:rFonts w:hint="eastAsia" w:hAnsi="宋体" w:cs="宋体"/>
          <w:sz w:val="48"/>
          <w:szCs w:val="48"/>
        </w:rPr>
        <w:t>第7章 政府采购合同</w:t>
      </w:r>
      <w:bookmarkEnd w:id="490"/>
      <w:bookmarkEnd w:id="491"/>
      <w:bookmarkEnd w:id="492"/>
      <w:bookmarkEnd w:id="493"/>
      <w:bookmarkEnd w:id="494"/>
      <w:bookmarkEnd w:id="495"/>
      <w:bookmarkStart w:id="496" w:name="_Hlt487972895"/>
      <w:bookmarkEnd w:id="496"/>
    </w:p>
    <w:p>
      <w:pPr>
        <w:pStyle w:val="15"/>
        <w:rPr>
          <w:kern w:val="44"/>
        </w:rPr>
      </w:pPr>
    </w:p>
    <w:p>
      <w:pPr>
        <w:snapToGrid w:val="0"/>
        <w:textAlignment w:val="baseline"/>
        <w:rPr>
          <w:rFonts w:ascii="宋体" w:hAnsi="宋体" w:cs="宋体"/>
          <w:sz w:val="24"/>
          <w:u w:val="single"/>
        </w:rPr>
      </w:pPr>
      <w:r>
        <w:rPr>
          <w:rFonts w:hint="eastAsia" w:ascii="宋体" w:hAnsi="宋体" w:cs="宋体"/>
          <w:sz w:val="24"/>
        </w:rPr>
        <w:t>合同编号：</w:t>
      </w:r>
    </w:p>
    <w:p>
      <w:pPr>
        <w:snapToGrid w:val="0"/>
        <w:spacing w:line="480" w:lineRule="auto"/>
        <w:jc w:val="center"/>
        <w:textAlignment w:val="baseline"/>
        <w:rPr>
          <w:rFonts w:ascii="宋体" w:hAnsi="宋体" w:cs="宋体"/>
          <w:b/>
          <w:sz w:val="28"/>
          <w:szCs w:val="28"/>
        </w:rPr>
      </w:pPr>
    </w:p>
    <w:p>
      <w:pPr>
        <w:snapToGrid w:val="0"/>
        <w:spacing w:line="480" w:lineRule="auto"/>
        <w:jc w:val="center"/>
        <w:textAlignment w:val="baseline"/>
        <w:rPr>
          <w:rFonts w:ascii="宋体" w:hAnsi="宋体" w:cs="宋体"/>
          <w:b/>
          <w:sz w:val="44"/>
          <w:szCs w:val="44"/>
        </w:rPr>
      </w:pPr>
      <w:bookmarkStart w:id="497" w:name="_Toc25479"/>
      <w:r>
        <w:rPr>
          <w:rFonts w:hint="eastAsia" w:ascii="宋体" w:hAnsi="宋体" w:cs="宋体"/>
          <w:b/>
          <w:sz w:val="44"/>
          <w:szCs w:val="44"/>
        </w:rPr>
        <w:t>政府采购合同参考范本</w:t>
      </w:r>
      <w:bookmarkEnd w:id="497"/>
    </w:p>
    <w:p>
      <w:pPr>
        <w:snapToGrid w:val="0"/>
        <w:spacing w:line="480" w:lineRule="auto"/>
        <w:jc w:val="center"/>
        <w:textAlignment w:val="baseline"/>
        <w:rPr>
          <w:rFonts w:ascii="宋体" w:hAnsi="宋体" w:cs="宋体"/>
          <w:b/>
          <w:sz w:val="24"/>
        </w:rPr>
      </w:pPr>
      <w:bookmarkStart w:id="498" w:name="_Toc26415"/>
      <w:r>
        <w:rPr>
          <w:rFonts w:hint="eastAsia" w:ascii="宋体" w:hAnsi="宋体" w:cs="宋体"/>
          <w:b/>
          <w:sz w:val="24"/>
        </w:rPr>
        <w:t>（服务类）</w:t>
      </w:r>
      <w:bookmarkEnd w:id="498"/>
    </w:p>
    <w:p>
      <w:pPr>
        <w:pStyle w:val="43"/>
        <w:snapToGrid w:val="0"/>
        <w:ind w:firstLine="0"/>
        <w:textAlignment w:val="baseline"/>
        <w:rPr>
          <w:rFonts w:hAnsi="宋体" w:cs="宋体"/>
          <w:szCs w:val="24"/>
        </w:rPr>
      </w:pPr>
    </w:p>
    <w:p>
      <w:pPr>
        <w:pStyle w:val="43"/>
        <w:snapToGrid w:val="0"/>
        <w:ind w:firstLine="0"/>
        <w:textAlignment w:val="baseline"/>
        <w:rPr>
          <w:rFonts w:hAnsi="宋体" w:cs="宋体"/>
          <w:szCs w:val="24"/>
        </w:rPr>
      </w:pPr>
    </w:p>
    <w:p>
      <w:pPr>
        <w:pStyle w:val="43"/>
        <w:snapToGrid w:val="0"/>
        <w:ind w:firstLine="0"/>
        <w:textAlignment w:val="baseline"/>
        <w:rPr>
          <w:rFonts w:hAnsi="宋体" w:cs="宋体"/>
          <w:szCs w:val="24"/>
        </w:rPr>
      </w:pPr>
    </w:p>
    <w:p>
      <w:pPr>
        <w:pStyle w:val="43"/>
        <w:snapToGrid w:val="0"/>
        <w:ind w:firstLine="0"/>
        <w:jc w:val="center"/>
        <w:textAlignment w:val="baseline"/>
        <w:rPr>
          <w:rFonts w:hAnsi="宋体" w:cs="宋体"/>
          <w:b/>
          <w:szCs w:val="24"/>
        </w:rPr>
      </w:pPr>
      <w:bookmarkStart w:id="499" w:name="_Toc16686"/>
      <w:r>
        <w:rPr>
          <w:rFonts w:hint="eastAsia" w:hAnsi="宋体" w:cs="宋体"/>
          <w:b/>
          <w:szCs w:val="24"/>
        </w:rPr>
        <w:t>第一部分 合同书</w:t>
      </w:r>
      <w:bookmarkEnd w:id="499"/>
    </w:p>
    <w:p>
      <w:pPr>
        <w:pStyle w:val="43"/>
        <w:snapToGrid w:val="0"/>
        <w:ind w:firstLine="0"/>
        <w:textAlignment w:val="baseline"/>
        <w:rPr>
          <w:rFonts w:hAnsi="宋体" w:cs="宋体"/>
          <w:szCs w:val="24"/>
        </w:rPr>
      </w:pPr>
    </w:p>
    <w:p>
      <w:pPr>
        <w:pStyle w:val="43"/>
        <w:snapToGrid w:val="0"/>
        <w:ind w:firstLine="0"/>
        <w:textAlignment w:val="baseline"/>
        <w:rPr>
          <w:rFonts w:hAnsi="宋体" w:cs="宋体"/>
          <w:szCs w:val="24"/>
        </w:rPr>
      </w:pPr>
    </w:p>
    <w:p>
      <w:pPr>
        <w:snapToGrid w:val="0"/>
        <w:spacing w:before="120" w:line="22" w:lineRule="atLeast"/>
        <w:textAlignment w:val="baseline"/>
        <w:rPr>
          <w:rFonts w:ascii="宋体" w:hAnsi="宋体" w:cs="宋体"/>
          <w:sz w:val="24"/>
        </w:rPr>
      </w:pPr>
    </w:p>
    <w:p>
      <w:pPr>
        <w:snapToGrid w:val="0"/>
        <w:spacing w:before="120" w:line="22" w:lineRule="atLeast"/>
        <w:ind w:left="960"/>
        <w:textAlignment w:val="baseline"/>
        <w:rPr>
          <w:rFonts w:ascii="宋体" w:hAnsi="宋体" w:cs="宋体"/>
          <w:sz w:val="24"/>
        </w:rPr>
      </w:pPr>
      <w:r>
        <w:rPr>
          <w:rFonts w:hint="eastAsia" w:ascii="宋体" w:hAnsi="宋体" w:cs="宋体"/>
          <w:sz w:val="24"/>
        </w:rPr>
        <w:t>项目名称：</w:t>
      </w:r>
    </w:p>
    <w:p>
      <w:pPr>
        <w:pStyle w:val="44"/>
        <w:snapToGrid w:val="0"/>
        <w:spacing w:before="120" w:line="22" w:lineRule="atLeast"/>
        <w:textAlignment w:val="baseline"/>
        <w:rPr>
          <w:rFonts w:ascii="宋体" w:hAnsi="宋体" w:eastAsia="宋体" w:cs="宋体"/>
          <w:szCs w:val="24"/>
        </w:rPr>
      </w:pPr>
    </w:p>
    <w:p>
      <w:pPr>
        <w:pStyle w:val="44"/>
        <w:snapToGrid w:val="0"/>
        <w:spacing w:before="120" w:line="22" w:lineRule="atLeast"/>
        <w:textAlignment w:val="baseline"/>
        <w:rPr>
          <w:rFonts w:ascii="宋体" w:hAnsi="宋体" w:eastAsia="宋体" w:cs="宋体"/>
          <w:szCs w:val="24"/>
        </w:rPr>
      </w:pPr>
    </w:p>
    <w:p>
      <w:pPr>
        <w:snapToGrid w:val="0"/>
        <w:textAlignment w:val="baseline"/>
        <w:rPr>
          <w:rFonts w:ascii="宋体" w:hAnsi="宋体" w:cs="宋体"/>
          <w:sz w:val="20"/>
        </w:rPr>
      </w:pPr>
    </w:p>
    <w:p>
      <w:pPr>
        <w:snapToGrid w:val="0"/>
        <w:spacing w:before="120" w:line="22" w:lineRule="atLeast"/>
        <w:ind w:left="960"/>
        <w:textAlignment w:val="baseline"/>
        <w:rPr>
          <w:rFonts w:ascii="宋体" w:hAnsi="宋体" w:cs="宋体"/>
          <w:sz w:val="24"/>
          <w:u w:val="single"/>
        </w:rPr>
      </w:pPr>
      <w:r>
        <w:rPr>
          <w:rFonts w:hint="eastAsia" w:ascii="宋体" w:hAnsi="宋体" w:cs="宋体"/>
          <w:sz w:val="24"/>
        </w:rPr>
        <w:t>甲方：</w:t>
      </w:r>
    </w:p>
    <w:p>
      <w:pPr>
        <w:snapToGrid w:val="0"/>
        <w:spacing w:before="120" w:line="22" w:lineRule="atLeast"/>
        <w:textAlignment w:val="baseline"/>
        <w:rPr>
          <w:rFonts w:ascii="宋体" w:hAnsi="宋体" w:cs="宋体"/>
          <w:sz w:val="24"/>
        </w:rPr>
      </w:pPr>
    </w:p>
    <w:p>
      <w:pPr>
        <w:snapToGrid w:val="0"/>
        <w:spacing w:before="120" w:line="22" w:lineRule="atLeast"/>
        <w:ind w:left="960"/>
        <w:textAlignment w:val="baseline"/>
        <w:rPr>
          <w:rFonts w:ascii="宋体" w:hAnsi="宋体" w:cs="宋体"/>
          <w:sz w:val="24"/>
          <w:u w:val="single"/>
        </w:rPr>
      </w:pPr>
      <w:r>
        <w:rPr>
          <w:rFonts w:hint="eastAsia" w:ascii="宋体" w:hAnsi="宋体" w:cs="宋体"/>
          <w:sz w:val="24"/>
        </w:rPr>
        <w:t>乙方：</w:t>
      </w:r>
    </w:p>
    <w:p>
      <w:pPr>
        <w:snapToGrid w:val="0"/>
        <w:spacing w:before="120" w:line="22" w:lineRule="atLeast"/>
        <w:textAlignment w:val="baseline"/>
        <w:rPr>
          <w:rFonts w:ascii="宋体" w:hAnsi="宋体" w:cs="宋体"/>
          <w:sz w:val="24"/>
        </w:rPr>
      </w:pPr>
    </w:p>
    <w:p>
      <w:pPr>
        <w:snapToGrid w:val="0"/>
        <w:spacing w:before="120" w:line="22" w:lineRule="atLeast"/>
        <w:ind w:firstLine="960" w:firstLineChars="400"/>
        <w:textAlignment w:val="baseline"/>
        <w:rPr>
          <w:rFonts w:ascii="宋体" w:hAnsi="宋体" w:cs="宋体"/>
          <w:sz w:val="24"/>
          <w:u w:val="single"/>
        </w:rPr>
      </w:pPr>
      <w:r>
        <w:rPr>
          <w:rFonts w:hint="eastAsia" w:ascii="宋体" w:hAnsi="宋体" w:cs="宋体"/>
          <w:sz w:val="24"/>
        </w:rPr>
        <w:t>签订地：</w:t>
      </w:r>
    </w:p>
    <w:p>
      <w:pPr>
        <w:snapToGrid w:val="0"/>
        <w:spacing w:before="120" w:line="22" w:lineRule="atLeast"/>
        <w:textAlignment w:val="baseline"/>
        <w:rPr>
          <w:rFonts w:ascii="宋体" w:hAnsi="宋体" w:cs="宋体"/>
          <w:sz w:val="24"/>
        </w:rPr>
      </w:pPr>
    </w:p>
    <w:p>
      <w:pPr>
        <w:snapToGrid w:val="0"/>
        <w:spacing w:before="120" w:line="22" w:lineRule="atLeast"/>
        <w:ind w:firstLine="960" w:firstLineChars="400"/>
        <w:textAlignment w:val="baseline"/>
        <w:rPr>
          <w:rFonts w:ascii="宋体" w:hAnsi="宋体" w:cs="宋体"/>
          <w:sz w:val="24"/>
          <w:u w:val="single"/>
        </w:rPr>
      </w:pPr>
      <w:r>
        <w:rPr>
          <w:rFonts w:hint="eastAsia" w:ascii="宋体" w:hAnsi="宋体" w:cs="宋体"/>
          <w:sz w:val="24"/>
        </w:rPr>
        <w:t>签订日期：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600" w:lineRule="exact"/>
        <w:ind w:firstLine="640"/>
        <w:jc w:val="center"/>
        <w:textAlignment w:val="baseline"/>
        <w:rPr>
          <w:rFonts w:ascii="宋体" w:hAnsi="宋体" w:cs="宋体"/>
          <w:sz w:val="24"/>
        </w:rPr>
        <w:sectPr>
          <w:headerReference r:id="rId12" w:type="default"/>
          <w:footerReference r:id="rId13" w:type="default"/>
          <w:pgSz w:w="11907" w:h="16840"/>
          <w:pgMar w:top="1474" w:right="1473" w:bottom="1474" w:left="1194" w:header="851" w:footer="851" w:gutter="0"/>
          <w:pgNumType w:fmt="decimal"/>
          <w:cols w:space="720" w:num="1"/>
          <w:docGrid w:linePitch="462" w:charSpace="0"/>
        </w:sectPr>
      </w:pP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lang w:val="zh-CN"/>
        </w:rPr>
        <w:t>年月日</w:t>
      </w:r>
      <w:r>
        <w:rPr>
          <w:rFonts w:hint="eastAsia" w:ascii="宋体" w:hAnsi="宋体" w:cs="宋体"/>
          <w:szCs w:val="21"/>
        </w:rPr>
        <w:t>，</w:t>
      </w:r>
      <w:r>
        <w:rPr>
          <w:rFonts w:hint="eastAsia" w:ascii="宋体" w:hAnsi="宋体" w:cs="宋体"/>
          <w:szCs w:val="21"/>
          <w:u w:val="single"/>
        </w:rPr>
        <w:t xml:space="preserve">   （采购人名称）   </w:t>
      </w:r>
      <w:r>
        <w:rPr>
          <w:rFonts w:hint="eastAsia" w:ascii="宋体" w:hAnsi="宋体" w:cs="宋体"/>
          <w:szCs w:val="21"/>
        </w:rPr>
        <w:t>以</w:t>
      </w:r>
      <w:r>
        <w:rPr>
          <w:rFonts w:hint="eastAsia" w:ascii="宋体" w:hAnsi="宋体" w:cs="宋体"/>
          <w:szCs w:val="21"/>
          <w:u w:val="single"/>
        </w:rPr>
        <w:t xml:space="preserve">   （政府采购方式）  </w:t>
      </w:r>
      <w:r>
        <w:rPr>
          <w:rFonts w:hint="eastAsia" w:ascii="宋体" w:hAnsi="宋体" w:cs="宋体"/>
          <w:szCs w:val="21"/>
        </w:rPr>
        <w:t>对</w:t>
      </w:r>
      <w:r>
        <w:rPr>
          <w:rFonts w:hint="eastAsia" w:ascii="宋体" w:hAnsi="宋体" w:cs="宋体"/>
          <w:szCs w:val="21"/>
          <w:u w:val="single"/>
        </w:rPr>
        <w:t xml:space="preserve">   （同前页项目名称）   </w:t>
      </w:r>
      <w:r>
        <w:rPr>
          <w:rFonts w:hint="eastAsia" w:ascii="宋体" w:hAnsi="宋体" w:cs="宋体"/>
          <w:szCs w:val="21"/>
        </w:rPr>
        <w:t>项目进行了采购。经</w:t>
      </w:r>
      <w:r>
        <w:rPr>
          <w:rFonts w:hint="eastAsia" w:ascii="宋体" w:hAnsi="宋体" w:cs="宋体"/>
          <w:szCs w:val="21"/>
          <w:u w:val="single"/>
        </w:rPr>
        <w:t xml:space="preserve">   （相关评定主体名称）   </w:t>
      </w:r>
      <w:r>
        <w:rPr>
          <w:rFonts w:hint="eastAsia" w:ascii="宋体" w:hAnsi="宋体" w:cs="宋体"/>
          <w:szCs w:val="21"/>
        </w:rPr>
        <w:t>评定，</w:t>
      </w:r>
      <w:r>
        <w:rPr>
          <w:rFonts w:hint="eastAsia" w:ascii="宋体" w:hAnsi="宋体" w:cs="宋体"/>
          <w:szCs w:val="21"/>
          <w:u w:val="single"/>
        </w:rPr>
        <w:t xml:space="preserve">   （中标投标单位名称）</w:t>
      </w:r>
      <w:r>
        <w:rPr>
          <w:rFonts w:hint="eastAsia" w:ascii="宋体" w:hAnsi="宋体" w:cs="宋体"/>
          <w:szCs w:val="21"/>
        </w:rPr>
        <w:t>为该项目中标投标单位。现于中标通知书发出之日起三十日内，按照采购文件确定的事项签订本合同。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lang w:val="zh-CN"/>
        </w:rPr>
        <w:t>根据《中华人民共和国民法典》、《中华人民共和国政府采购法》等相关法律法规之规定，按照平等、自愿、公平和诚实信用的原则，经</w:t>
      </w:r>
      <w:r>
        <w:rPr>
          <w:rFonts w:hint="eastAsia" w:ascii="宋体" w:hAnsi="宋体" w:cs="宋体"/>
          <w:szCs w:val="21"/>
          <w:u w:val="single"/>
        </w:rPr>
        <w:t xml:space="preserve">   （采购人名称）   </w:t>
      </w:r>
      <w:r>
        <w:rPr>
          <w:rFonts w:hint="eastAsia" w:ascii="宋体" w:hAnsi="宋体" w:cs="宋体"/>
          <w:szCs w:val="21"/>
          <w:lang w:val="zh-CN"/>
        </w:rPr>
        <w:t>(以下简称：甲方)和</w:t>
      </w:r>
      <w:r>
        <w:rPr>
          <w:rFonts w:hint="eastAsia" w:ascii="宋体" w:hAnsi="宋体" w:cs="宋体"/>
          <w:szCs w:val="21"/>
          <w:u w:val="single"/>
        </w:rPr>
        <w:t xml:space="preserve">   （中标投标单位名称）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napToGrid w:val="0"/>
        <w:spacing w:line="288" w:lineRule="auto"/>
        <w:ind w:firstLine="422" w:firstLineChars="200"/>
        <w:textAlignment w:val="baseline"/>
        <w:rPr>
          <w:rFonts w:ascii="宋体" w:hAnsi="宋体" w:cs="宋体"/>
          <w:b/>
          <w:sz w:val="20"/>
          <w:szCs w:val="21"/>
        </w:rPr>
      </w:pPr>
      <w:bookmarkStart w:id="500" w:name="_Toc2232"/>
      <w:bookmarkStart w:id="501" w:name="_Toc7624"/>
      <w:bookmarkStart w:id="502" w:name="_Toc14971"/>
      <w:bookmarkStart w:id="503" w:name="_Toc24059"/>
      <w:bookmarkStart w:id="504" w:name="_Toc3029"/>
      <w:r>
        <w:rPr>
          <w:rFonts w:hint="eastAsia" w:ascii="宋体" w:hAnsi="宋体" w:cs="宋体"/>
          <w:b/>
          <w:szCs w:val="21"/>
        </w:rPr>
        <w:t>1.1 合同组成部分</w:t>
      </w:r>
      <w:bookmarkEnd w:id="500"/>
      <w:bookmarkEnd w:id="501"/>
      <w:bookmarkEnd w:id="502"/>
      <w:bookmarkEnd w:id="503"/>
      <w:bookmarkEnd w:id="50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1.1.1 本合同及其补充合同、变更协议；</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1.1.2 中标通知书；</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1.1.3 投标文件（含澄清或者说明文件）；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1.1.4 招标文件（含澄清或者修改文件）；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1.1.5 其他相关采购文件。</w:t>
      </w:r>
    </w:p>
    <w:p>
      <w:pPr>
        <w:snapToGrid w:val="0"/>
        <w:spacing w:line="288" w:lineRule="auto"/>
        <w:ind w:firstLine="422" w:firstLineChars="200"/>
        <w:textAlignment w:val="baseline"/>
        <w:rPr>
          <w:rFonts w:ascii="宋体" w:hAnsi="宋体" w:cs="宋体"/>
          <w:b/>
          <w:sz w:val="20"/>
          <w:szCs w:val="21"/>
        </w:rPr>
      </w:pPr>
      <w:bookmarkStart w:id="505" w:name="_Toc27126"/>
      <w:bookmarkStart w:id="506" w:name="_Toc21295"/>
      <w:bookmarkStart w:id="507" w:name="_Toc25788"/>
      <w:bookmarkStart w:id="508" w:name="_Toc24300"/>
      <w:bookmarkStart w:id="509" w:name="_Toc22059"/>
      <w:r>
        <w:rPr>
          <w:rFonts w:hint="eastAsia" w:ascii="宋体" w:hAnsi="宋体" w:cs="宋体"/>
          <w:b/>
          <w:szCs w:val="21"/>
        </w:rPr>
        <w:t>1.2 货物</w:t>
      </w:r>
      <w:bookmarkEnd w:id="505"/>
      <w:bookmarkEnd w:id="506"/>
      <w:bookmarkEnd w:id="507"/>
      <w:bookmarkEnd w:id="508"/>
      <w:bookmarkEnd w:id="509"/>
    </w:p>
    <w:p>
      <w:pPr>
        <w:snapToGrid w:val="0"/>
        <w:spacing w:line="288" w:lineRule="auto"/>
        <w:ind w:firstLine="420" w:firstLineChars="200"/>
        <w:textAlignment w:val="baseline"/>
        <w:rPr>
          <w:rFonts w:ascii="宋体" w:hAnsi="宋体" w:cs="宋体"/>
          <w:sz w:val="20"/>
          <w:szCs w:val="21"/>
          <w:u w:val="single"/>
        </w:rPr>
      </w:pPr>
      <w:r>
        <w:rPr>
          <w:rFonts w:hint="eastAsia" w:ascii="宋体" w:hAnsi="宋体" w:cs="宋体"/>
          <w:szCs w:val="21"/>
        </w:rPr>
        <w:t>1.2.1 货物名称：；</w:t>
      </w:r>
    </w:p>
    <w:p>
      <w:pPr>
        <w:snapToGrid w:val="0"/>
        <w:spacing w:line="288" w:lineRule="auto"/>
        <w:ind w:firstLine="420" w:firstLineChars="200"/>
        <w:textAlignment w:val="baseline"/>
        <w:rPr>
          <w:rFonts w:ascii="宋体" w:hAnsi="宋体" w:cs="宋体"/>
          <w:sz w:val="20"/>
          <w:szCs w:val="21"/>
          <w:u w:val="single"/>
        </w:rPr>
      </w:pPr>
      <w:r>
        <w:rPr>
          <w:rFonts w:hint="eastAsia" w:ascii="宋体" w:hAnsi="宋体" w:cs="宋体"/>
          <w:szCs w:val="21"/>
        </w:rPr>
        <w:t>1.2.2 货物数量：；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1.2.3 货物质量：</w:t>
      </w:r>
      <w:r>
        <w:rPr>
          <w:rFonts w:hint="eastAsia" w:ascii="宋体" w:hAnsi="宋体" w:cs="宋体"/>
          <w:szCs w:val="21"/>
          <w:u w:val="single"/>
        </w:rPr>
        <w:t xml:space="preserve">　　　　　　　　　                      　      </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10" w:name="_Toc21631"/>
      <w:bookmarkStart w:id="511" w:name="_Toc21512"/>
      <w:bookmarkStart w:id="512" w:name="_Toc21551"/>
      <w:bookmarkStart w:id="513" w:name="_Toc23292"/>
      <w:bookmarkStart w:id="514" w:name="_Toc9608"/>
      <w:r>
        <w:rPr>
          <w:rFonts w:hint="eastAsia" w:ascii="宋体" w:hAnsi="宋体" w:cs="宋体"/>
          <w:b/>
          <w:szCs w:val="21"/>
        </w:rPr>
        <w:t>1.3 价款</w:t>
      </w:r>
      <w:bookmarkEnd w:id="510"/>
      <w:bookmarkEnd w:id="511"/>
      <w:bookmarkEnd w:id="512"/>
      <w:bookmarkEnd w:id="513"/>
      <w:bookmarkEnd w:id="51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本合同总价为：￥元（大写：元人民币）。</w:t>
      </w:r>
    </w:p>
    <w:p>
      <w:pPr>
        <w:snapToGrid w:val="0"/>
        <w:spacing w:line="288" w:lineRule="auto"/>
        <w:ind w:firstLine="420" w:firstLineChars="200"/>
        <w:textAlignment w:val="baseline"/>
        <w:rPr>
          <w:rFonts w:ascii="宋体" w:hAnsi="宋体" w:cs="宋体"/>
          <w:sz w:val="20"/>
          <w:szCs w:val="21"/>
          <w:u w:val="single"/>
        </w:rPr>
      </w:pPr>
      <w:r>
        <w:rPr>
          <w:rFonts w:hint="eastAsia" w:ascii="宋体" w:hAnsi="宋体" w:cs="宋体"/>
          <w:szCs w:val="21"/>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5"/>
              <w:snapToGrid w:val="0"/>
              <w:spacing w:line="288" w:lineRule="auto"/>
              <w:jc w:val="center"/>
              <w:textAlignment w:val="baseline"/>
              <w:rPr>
                <w:rFonts w:hAnsi="宋体" w:cs="宋体"/>
                <w:kern w:val="2"/>
                <w:sz w:val="21"/>
                <w:szCs w:val="21"/>
              </w:rPr>
            </w:pPr>
            <w:r>
              <w:rPr>
                <w:rFonts w:hint="eastAsia" w:hAnsi="宋体" w:cs="宋体"/>
                <w:kern w:val="2"/>
                <w:sz w:val="21"/>
                <w:szCs w:val="21"/>
              </w:rPr>
              <w:t>序号</w:t>
            </w:r>
          </w:p>
        </w:tc>
        <w:tc>
          <w:tcPr>
            <w:tcW w:w="3738" w:type="dxa"/>
            <w:vAlign w:val="center"/>
          </w:tcPr>
          <w:p>
            <w:pPr>
              <w:pStyle w:val="45"/>
              <w:snapToGrid w:val="0"/>
              <w:spacing w:line="288" w:lineRule="auto"/>
              <w:ind w:firstLine="200"/>
              <w:jc w:val="center"/>
              <w:textAlignment w:val="baseline"/>
              <w:rPr>
                <w:rFonts w:hAnsi="宋体" w:cs="宋体"/>
                <w:kern w:val="2"/>
                <w:sz w:val="21"/>
                <w:szCs w:val="21"/>
              </w:rPr>
            </w:pPr>
            <w:r>
              <w:rPr>
                <w:rFonts w:hint="eastAsia" w:hAnsi="宋体" w:cs="宋体"/>
                <w:kern w:val="2"/>
                <w:sz w:val="21"/>
                <w:szCs w:val="21"/>
              </w:rPr>
              <w:t>分项名称</w:t>
            </w:r>
          </w:p>
        </w:tc>
        <w:tc>
          <w:tcPr>
            <w:tcW w:w="2803" w:type="dxa"/>
            <w:vAlign w:val="center"/>
          </w:tcPr>
          <w:p>
            <w:pPr>
              <w:pStyle w:val="45"/>
              <w:snapToGrid w:val="0"/>
              <w:spacing w:line="288" w:lineRule="auto"/>
              <w:jc w:val="center"/>
              <w:textAlignment w:val="baseline"/>
              <w:rPr>
                <w:rFonts w:hAnsi="宋体" w:cs="宋体"/>
                <w:kern w:val="2"/>
                <w:sz w:val="21"/>
                <w:szCs w:val="21"/>
              </w:rPr>
            </w:pPr>
            <w:r>
              <w:rPr>
                <w:rFonts w:hint="eastAsia" w:hAnsi="宋体" w:cs="宋体"/>
                <w:kern w:val="2"/>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5"/>
              <w:snapToGrid w:val="0"/>
              <w:spacing w:line="288" w:lineRule="auto"/>
              <w:ind w:firstLine="200"/>
              <w:jc w:val="center"/>
              <w:textAlignment w:val="baseline"/>
              <w:rPr>
                <w:rFonts w:hAnsi="宋体" w:cs="宋体"/>
                <w:kern w:val="2"/>
                <w:sz w:val="21"/>
                <w:szCs w:val="21"/>
              </w:rPr>
            </w:pPr>
          </w:p>
        </w:tc>
        <w:tc>
          <w:tcPr>
            <w:tcW w:w="3738" w:type="dxa"/>
            <w:vAlign w:val="center"/>
          </w:tcPr>
          <w:p>
            <w:pPr>
              <w:pStyle w:val="45"/>
              <w:snapToGrid w:val="0"/>
              <w:spacing w:line="288" w:lineRule="auto"/>
              <w:ind w:firstLine="200"/>
              <w:jc w:val="center"/>
              <w:textAlignment w:val="baseline"/>
              <w:rPr>
                <w:rFonts w:hAnsi="宋体" w:cs="宋体"/>
                <w:kern w:val="2"/>
                <w:sz w:val="21"/>
                <w:szCs w:val="21"/>
              </w:rPr>
            </w:pPr>
          </w:p>
        </w:tc>
        <w:tc>
          <w:tcPr>
            <w:tcW w:w="2803" w:type="dxa"/>
            <w:vAlign w:val="center"/>
          </w:tcPr>
          <w:p>
            <w:pPr>
              <w:pStyle w:val="45"/>
              <w:snapToGrid w:val="0"/>
              <w:spacing w:line="288" w:lineRule="auto"/>
              <w:ind w:firstLine="200"/>
              <w:jc w:val="center"/>
              <w:textAlignment w:val="baseline"/>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5"/>
              <w:snapToGrid w:val="0"/>
              <w:spacing w:line="288" w:lineRule="auto"/>
              <w:ind w:firstLine="200"/>
              <w:jc w:val="center"/>
              <w:textAlignment w:val="baseline"/>
              <w:rPr>
                <w:rFonts w:hAnsi="宋体" w:cs="宋体"/>
                <w:kern w:val="2"/>
                <w:sz w:val="21"/>
                <w:szCs w:val="21"/>
              </w:rPr>
            </w:pPr>
          </w:p>
        </w:tc>
        <w:tc>
          <w:tcPr>
            <w:tcW w:w="3738" w:type="dxa"/>
            <w:vAlign w:val="center"/>
          </w:tcPr>
          <w:p>
            <w:pPr>
              <w:pStyle w:val="45"/>
              <w:snapToGrid w:val="0"/>
              <w:spacing w:line="288" w:lineRule="auto"/>
              <w:ind w:firstLine="200"/>
              <w:jc w:val="center"/>
              <w:textAlignment w:val="baseline"/>
              <w:rPr>
                <w:rFonts w:hAnsi="宋体" w:cs="宋体"/>
                <w:kern w:val="2"/>
                <w:sz w:val="21"/>
                <w:szCs w:val="21"/>
              </w:rPr>
            </w:pPr>
          </w:p>
        </w:tc>
        <w:tc>
          <w:tcPr>
            <w:tcW w:w="2803" w:type="dxa"/>
            <w:vAlign w:val="center"/>
          </w:tcPr>
          <w:p>
            <w:pPr>
              <w:pStyle w:val="45"/>
              <w:snapToGrid w:val="0"/>
              <w:spacing w:line="288" w:lineRule="auto"/>
              <w:ind w:firstLine="200"/>
              <w:jc w:val="center"/>
              <w:textAlignment w:val="baseline"/>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5"/>
              <w:snapToGrid w:val="0"/>
              <w:spacing w:line="288" w:lineRule="auto"/>
              <w:ind w:firstLine="200"/>
              <w:jc w:val="center"/>
              <w:textAlignment w:val="baseline"/>
              <w:rPr>
                <w:rFonts w:hAnsi="宋体" w:cs="宋体"/>
                <w:kern w:val="2"/>
                <w:sz w:val="21"/>
                <w:szCs w:val="21"/>
              </w:rPr>
            </w:pPr>
            <w:r>
              <w:rPr>
                <w:rFonts w:hint="eastAsia" w:hAnsi="宋体" w:cs="宋体"/>
                <w:kern w:val="2"/>
                <w:sz w:val="21"/>
                <w:szCs w:val="21"/>
              </w:rPr>
              <w:t>总价</w:t>
            </w:r>
          </w:p>
        </w:tc>
        <w:tc>
          <w:tcPr>
            <w:tcW w:w="2803" w:type="dxa"/>
            <w:vAlign w:val="center"/>
          </w:tcPr>
          <w:p>
            <w:pPr>
              <w:pStyle w:val="45"/>
              <w:snapToGrid w:val="0"/>
              <w:spacing w:line="288" w:lineRule="auto"/>
              <w:ind w:firstLine="200"/>
              <w:jc w:val="center"/>
              <w:textAlignment w:val="baseline"/>
              <w:rPr>
                <w:rFonts w:hAnsi="宋体" w:cs="宋体"/>
                <w:kern w:val="2"/>
                <w:sz w:val="21"/>
                <w:szCs w:val="21"/>
              </w:rPr>
            </w:pPr>
          </w:p>
        </w:tc>
      </w:tr>
    </w:tbl>
    <w:p>
      <w:pPr>
        <w:snapToGrid w:val="0"/>
        <w:spacing w:line="288" w:lineRule="auto"/>
        <w:ind w:firstLine="422" w:firstLineChars="200"/>
        <w:textAlignment w:val="baseline"/>
        <w:rPr>
          <w:rFonts w:ascii="宋体" w:hAnsi="宋体" w:cs="宋体"/>
          <w:b/>
          <w:sz w:val="20"/>
          <w:szCs w:val="21"/>
        </w:rPr>
      </w:pPr>
      <w:bookmarkStart w:id="515" w:name="_Toc4249"/>
      <w:bookmarkStart w:id="516" w:name="_Toc28823"/>
      <w:bookmarkStart w:id="517" w:name="_Toc22618"/>
      <w:bookmarkStart w:id="518" w:name="_Toc10340"/>
      <w:bookmarkStart w:id="519" w:name="_Toc1814"/>
      <w:r>
        <w:rPr>
          <w:rFonts w:hint="eastAsia" w:ascii="宋体" w:hAnsi="宋体" w:cs="宋体"/>
          <w:b/>
          <w:szCs w:val="21"/>
        </w:rPr>
        <w:t>1.4 付款方式和发票开具方式</w:t>
      </w:r>
      <w:bookmarkEnd w:id="515"/>
      <w:bookmarkEnd w:id="516"/>
      <w:bookmarkEnd w:id="517"/>
      <w:bookmarkEnd w:id="518"/>
      <w:bookmarkEnd w:id="519"/>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1.4.1 付款方式：；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1.4.2 发票开具方式：。</w:t>
      </w:r>
    </w:p>
    <w:p>
      <w:pPr>
        <w:snapToGrid w:val="0"/>
        <w:spacing w:line="288" w:lineRule="auto"/>
        <w:ind w:firstLine="422" w:firstLineChars="200"/>
        <w:textAlignment w:val="baseline"/>
        <w:rPr>
          <w:rFonts w:ascii="宋体" w:hAnsi="宋体" w:cs="宋体"/>
          <w:b/>
          <w:sz w:val="20"/>
          <w:szCs w:val="21"/>
        </w:rPr>
      </w:pPr>
      <w:bookmarkStart w:id="520" w:name="_Toc2846"/>
      <w:bookmarkStart w:id="521" w:name="_Toc19304"/>
      <w:bookmarkStart w:id="522" w:name="_Toc32071"/>
      <w:bookmarkStart w:id="523" w:name="_Toc22368"/>
      <w:bookmarkStart w:id="524" w:name="_Toc32163"/>
      <w:r>
        <w:rPr>
          <w:rFonts w:hint="eastAsia" w:ascii="宋体" w:hAnsi="宋体" w:cs="宋体"/>
          <w:b/>
          <w:szCs w:val="21"/>
        </w:rPr>
        <w:t>1.5 货物交付期限、地点和方式</w:t>
      </w:r>
      <w:bookmarkEnd w:id="520"/>
      <w:bookmarkEnd w:id="521"/>
      <w:bookmarkEnd w:id="522"/>
      <w:bookmarkEnd w:id="523"/>
      <w:bookmarkEnd w:id="524"/>
    </w:p>
    <w:p>
      <w:pPr>
        <w:snapToGrid w:val="0"/>
        <w:spacing w:line="288" w:lineRule="auto"/>
        <w:ind w:firstLine="420" w:firstLineChars="200"/>
        <w:textAlignment w:val="baseline"/>
        <w:rPr>
          <w:rFonts w:ascii="宋体" w:hAnsi="宋体" w:cs="宋体"/>
          <w:sz w:val="20"/>
          <w:szCs w:val="21"/>
          <w:u w:val="single"/>
        </w:rPr>
      </w:pPr>
      <w:r>
        <w:rPr>
          <w:rFonts w:hint="eastAsia" w:ascii="宋体" w:hAnsi="宋体" w:cs="宋体"/>
          <w:szCs w:val="21"/>
        </w:rPr>
        <w:t>1.5.1 交付期限：；</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1.5.2 交付地点：；</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25" w:name="_Toc19554"/>
      <w:bookmarkStart w:id="526" w:name="_Toc27250"/>
      <w:bookmarkStart w:id="527" w:name="_Toc32452"/>
      <w:bookmarkStart w:id="528" w:name="_Toc21423"/>
      <w:bookmarkStart w:id="529" w:name="_Toc18319"/>
      <w:r>
        <w:rPr>
          <w:rFonts w:hint="eastAsia" w:ascii="宋体" w:hAnsi="宋体" w:cs="宋体"/>
          <w:b/>
          <w:szCs w:val="21"/>
        </w:rPr>
        <w:t>1.6 违约责任</w:t>
      </w:r>
      <w:bookmarkEnd w:id="525"/>
      <w:bookmarkEnd w:id="526"/>
      <w:bookmarkEnd w:id="527"/>
      <w:bookmarkEnd w:id="528"/>
      <w:bookmarkEnd w:id="529"/>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288" w:lineRule="auto"/>
        <w:ind w:firstLine="422" w:firstLineChars="200"/>
        <w:textAlignment w:val="baseline"/>
        <w:rPr>
          <w:rFonts w:ascii="宋体" w:hAnsi="宋体" w:cs="宋体"/>
          <w:b/>
          <w:sz w:val="20"/>
          <w:szCs w:val="21"/>
        </w:rPr>
      </w:pPr>
      <w:bookmarkStart w:id="530" w:name="_Toc20804"/>
      <w:bookmarkStart w:id="531" w:name="_Toc28375"/>
      <w:bookmarkStart w:id="532" w:name="_Toc7914"/>
      <w:bookmarkStart w:id="533" w:name="_Toc15583"/>
      <w:bookmarkStart w:id="534" w:name="_Toc16021"/>
      <w:r>
        <w:rPr>
          <w:rFonts w:hint="eastAsia" w:ascii="宋体" w:hAnsi="宋体" w:cs="宋体"/>
          <w:b/>
          <w:szCs w:val="21"/>
        </w:rPr>
        <w:t>1.7 合同争议的解决</w:t>
      </w:r>
      <w:bookmarkEnd w:id="530"/>
      <w:bookmarkEnd w:id="531"/>
      <w:bookmarkEnd w:id="532"/>
      <w:bookmarkEnd w:id="533"/>
      <w:bookmarkEnd w:id="53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本合同履行过程中发生的任何争议，双方当事人均可通过和解或者调解解决；不愿和解、调解或者和解、调解不成的，可以选择下列第种方式解决：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1.7.1 将争议提交仲裁委员会依申请仲裁时其现行有效的仲裁规则裁决；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napToGrid w:val="0"/>
        <w:spacing w:line="288" w:lineRule="auto"/>
        <w:ind w:firstLine="422" w:firstLineChars="200"/>
        <w:textAlignment w:val="baseline"/>
        <w:rPr>
          <w:rFonts w:ascii="宋体" w:hAnsi="宋体" w:cs="宋体"/>
          <w:b/>
          <w:sz w:val="20"/>
          <w:szCs w:val="21"/>
        </w:rPr>
      </w:pPr>
      <w:bookmarkStart w:id="535" w:name="_Toc11271"/>
      <w:bookmarkStart w:id="536" w:name="_Toc11173"/>
      <w:bookmarkStart w:id="537" w:name="_Toc7245"/>
      <w:bookmarkStart w:id="538" w:name="_Toc15322"/>
      <w:bookmarkStart w:id="539" w:name="_Toc3283"/>
      <w:r>
        <w:rPr>
          <w:rFonts w:hint="eastAsia" w:ascii="宋体" w:hAnsi="宋体" w:cs="宋体"/>
          <w:b/>
          <w:szCs w:val="21"/>
        </w:rPr>
        <w:t>1.8 合同生效</w:t>
      </w:r>
      <w:bookmarkEnd w:id="535"/>
      <w:bookmarkEnd w:id="536"/>
      <w:bookmarkEnd w:id="537"/>
      <w:bookmarkEnd w:id="538"/>
      <w:bookmarkEnd w:id="539"/>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本合同自双方当事人盖章或者签字时生效。</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统一社会信用代码：                        统一社会信用代码或身份证号码：</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住所：                                   住所：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法定代表人或                             法定代表人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授权代表（签字）：                        或授权代表（签字）: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联系人：                                 联系人：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约定送达地址：                           约定送达地址：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邮政编码：                               邮政编码：</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电话:                                    电话: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传真:                                    传真:</w:t>
      </w:r>
    </w:p>
    <w:p>
      <w:pPr>
        <w:snapToGrid w:val="0"/>
        <w:spacing w:line="288" w:lineRule="auto"/>
        <w:textAlignment w:val="baseline"/>
        <w:rPr>
          <w:rFonts w:ascii="宋体" w:hAnsi="宋体" w:cs="宋体"/>
          <w:sz w:val="20"/>
          <w:szCs w:val="21"/>
        </w:rPr>
      </w:pPr>
      <w:r>
        <w:rPr>
          <w:rFonts w:hint="eastAsia" w:ascii="宋体" w:hAnsi="宋体" w:cs="宋体"/>
          <w:szCs w:val="21"/>
          <w:lang w:val="zh-CN"/>
        </w:rPr>
        <w:t>电子邮箱：                               电子邮箱：</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开户银行：                               开户银行： </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开户名称：                               开户名称： </w:t>
      </w:r>
    </w:p>
    <w:p>
      <w:pPr>
        <w:snapToGrid w:val="0"/>
        <w:spacing w:line="288" w:lineRule="auto"/>
        <w:textAlignment w:val="baseline"/>
        <w:rPr>
          <w:rFonts w:ascii="宋体" w:hAnsi="宋体" w:cs="宋体"/>
          <w:sz w:val="20"/>
          <w:szCs w:val="21"/>
        </w:rPr>
      </w:pPr>
      <w:r>
        <w:rPr>
          <w:rFonts w:hint="eastAsia" w:ascii="宋体" w:hAnsi="宋体" w:cs="宋体"/>
          <w:szCs w:val="21"/>
        </w:rPr>
        <w:t>开户账号：开户账号：</w:t>
      </w:r>
    </w:p>
    <w:p>
      <w:pPr>
        <w:widowControl/>
        <w:jc w:val="left"/>
        <w:rPr>
          <w:rFonts w:ascii="宋体" w:hAnsi="宋体" w:cs="宋体"/>
          <w:b/>
          <w:sz w:val="20"/>
          <w:szCs w:val="21"/>
        </w:rPr>
      </w:pPr>
      <w:bookmarkStart w:id="540" w:name="_Toc331685783"/>
      <w:r>
        <w:rPr>
          <w:rFonts w:ascii="宋体" w:hAnsi="宋体" w:cs="宋体"/>
          <w:b/>
          <w:sz w:val="20"/>
          <w:szCs w:val="21"/>
        </w:rPr>
        <w:br w:type="page"/>
      </w:r>
    </w:p>
    <w:p>
      <w:pPr>
        <w:pStyle w:val="43"/>
        <w:snapToGrid w:val="0"/>
        <w:spacing w:line="288" w:lineRule="auto"/>
        <w:ind w:firstLine="200"/>
        <w:jc w:val="center"/>
        <w:textAlignment w:val="baseline"/>
        <w:rPr>
          <w:rFonts w:hAnsi="宋体" w:cs="宋体"/>
          <w:b/>
          <w:sz w:val="28"/>
          <w:szCs w:val="28"/>
        </w:rPr>
      </w:pPr>
      <w:bookmarkStart w:id="541" w:name="_Toc26917"/>
      <w:r>
        <w:rPr>
          <w:rFonts w:hint="eastAsia" w:hAnsi="宋体" w:cs="宋体"/>
          <w:b/>
          <w:sz w:val="28"/>
          <w:szCs w:val="28"/>
        </w:rPr>
        <w:t>第二部分 合同一般条款</w:t>
      </w:r>
      <w:bookmarkEnd w:id="540"/>
      <w:bookmarkEnd w:id="541"/>
    </w:p>
    <w:p>
      <w:pPr>
        <w:snapToGrid w:val="0"/>
        <w:spacing w:line="288" w:lineRule="auto"/>
        <w:ind w:firstLine="422" w:firstLineChars="200"/>
        <w:textAlignment w:val="baseline"/>
        <w:rPr>
          <w:rFonts w:ascii="宋体" w:hAnsi="宋体" w:cs="宋体"/>
          <w:b/>
          <w:sz w:val="20"/>
          <w:szCs w:val="21"/>
        </w:rPr>
      </w:pPr>
      <w:bookmarkStart w:id="542" w:name="_Ref467379195"/>
      <w:bookmarkStart w:id="543" w:name="_Ref467379094"/>
      <w:bookmarkStart w:id="544" w:name="_Toc259093669"/>
      <w:bookmarkStart w:id="545" w:name="_Toc19614"/>
      <w:bookmarkStart w:id="546" w:name="_Toc16917"/>
      <w:bookmarkStart w:id="547" w:name="_Ref467379225"/>
      <w:bookmarkStart w:id="548" w:name="_Ref467378463"/>
      <w:bookmarkStart w:id="549" w:name="_Toc487900349"/>
      <w:bookmarkStart w:id="550" w:name="_Ref467379101"/>
      <w:bookmarkStart w:id="551" w:name="_Ref467379205"/>
      <w:bookmarkStart w:id="552" w:name="_Toc25626"/>
      <w:bookmarkStart w:id="553" w:name="_Ref467378404"/>
      <w:bookmarkStart w:id="554" w:name="_Toc279701240"/>
      <w:bookmarkStart w:id="555" w:name="_Toc15624"/>
      <w:bookmarkStart w:id="556" w:name="_Toc28763"/>
      <w:bookmarkStart w:id="557" w:name="_Ref467379214"/>
      <w:bookmarkStart w:id="558" w:name="_Ref467379109"/>
      <w:bookmarkStart w:id="559" w:name="_Ref467378499"/>
      <w:r>
        <w:rPr>
          <w:rFonts w:hint="eastAsia" w:ascii="宋体" w:hAnsi="宋体" w:cs="宋体"/>
          <w:b/>
          <w:szCs w:val="21"/>
        </w:rPr>
        <w:t>2.1 定义</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本合同中的下列词语应按以下内容进行解释：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 “合同”系指采购人和中标投标单位签订的载明双方当事人所达成的协议，并包括所有的附件、附录和构成合同的其他文件。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2.1.2 “合同价”系指根据合同约定，中标投标单位在完全履行合同义务后，采购人应支付给中标投标单位的价格。</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 “货物”系指中标投标单位根据合同约定应向采购人交付的一切各种形态和种类的物品，包括原材料、燃料、设备、机械、仪表、备件、计算机软件、产品等，并包括工具、手册等其他相关资料。</w:t>
      </w:r>
    </w:p>
    <w:p>
      <w:pPr>
        <w:snapToGrid w:val="0"/>
        <w:spacing w:line="288" w:lineRule="auto"/>
        <w:ind w:firstLine="420" w:firstLineChars="200"/>
        <w:textAlignment w:val="baseline"/>
        <w:rPr>
          <w:rFonts w:ascii="宋体" w:hAnsi="宋体" w:cs="宋体"/>
          <w:sz w:val="20"/>
          <w:szCs w:val="21"/>
        </w:rPr>
      </w:pPr>
      <w:bookmarkStart w:id="560" w:name="_Ref467378840"/>
      <w:r>
        <w:rPr>
          <w:rFonts w:hint="eastAsia" w:ascii="宋体" w:hAnsi="宋体" w:cs="宋体"/>
          <w:szCs w:val="21"/>
        </w:rPr>
        <w:t>2.1.4 “甲方”系指与中标投标单位签署合同的采购人</w:t>
      </w:r>
      <w:bookmarkEnd w:id="560"/>
      <w:r>
        <w:rPr>
          <w:rFonts w:hint="eastAsia" w:ascii="宋体" w:hAnsi="宋体" w:cs="宋体"/>
          <w:szCs w:val="21"/>
        </w:rPr>
        <w:t>；采购人委托采购代理机构代表其与乙方签订合同的，采购人的授权委托书作为合同附件。</w:t>
      </w:r>
    </w:p>
    <w:p>
      <w:pPr>
        <w:snapToGrid w:val="0"/>
        <w:spacing w:line="288" w:lineRule="auto"/>
        <w:ind w:firstLine="420" w:firstLineChars="200"/>
        <w:textAlignment w:val="baseline"/>
        <w:rPr>
          <w:rFonts w:ascii="宋体" w:hAnsi="宋体" w:cs="宋体"/>
          <w:sz w:val="20"/>
          <w:szCs w:val="21"/>
        </w:rPr>
      </w:pPr>
      <w:bookmarkStart w:id="561" w:name="_Ref467379400"/>
      <w:r>
        <w:rPr>
          <w:rFonts w:hint="eastAsia" w:ascii="宋体" w:hAnsi="宋体" w:cs="宋体"/>
          <w:szCs w:val="21"/>
        </w:rPr>
        <w:t>2.1.5 “乙方”系指根据合同约定交付货物的中标</w:t>
      </w:r>
      <w:bookmarkEnd w:id="561"/>
      <w:r>
        <w:rPr>
          <w:rFonts w:hint="eastAsia" w:ascii="宋体" w:hAnsi="宋体" w:cs="宋体"/>
          <w:szCs w:val="21"/>
        </w:rPr>
        <w:t>投标单位；两个以上的自然人、法人或者其他组织组成一个联合体，以一个投标单位的身份共同参加政府采购的，联合体各方均应为乙方或者与乙方相同地位的合同当事人，并就合同约定的事项对甲方承担连带责任。</w:t>
      </w:r>
    </w:p>
    <w:p>
      <w:pPr>
        <w:snapToGrid w:val="0"/>
        <w:spacing w:line="288" w:lineRule="auto"/>
        <w:ind w:firstLine="420" w:firstLineChars="200"/>
        <w:textAlignment w:val="baseline"/>
        <w:rPr>
          <w:rFonts w:ascii="宋体" w:hAnsi="宋体" w:cs="宋体"/>
          <w:sz w:val="20"/>
          <w:szCs w:val="21"/>
        </w:rPr>
      </w:pPr>
      <w:bookmarkStart w:id="562" w:name="_Ref467379436"/>
      <w:r>
        <w:rPr>
          <w:rFonts w:hint="eastAsia" w:ascii="宋体" w:hAnsi="宋体" w:cs="宋体"/>
          <w:szCs w:val="21"/>
        </w:rPr>
        <w:t>2.1.6 “现场”系指合同约定货物将要运至或者安装的地点。</w:t>
      </w:r>
      <w:bookmarkEnd w:id="562"/>
    </w:p>
    <w:p>
      <w:pPr>
        <w:snapToGrid w:val="0"/>
        <w:spacing w:line="288" w:lineRule="auto"/>
        <w:ind w:firstLine="422" w:firstLineChars="200"/>
        <w:textAlignment w:val="baseline"/>
        <w:rPr>
          <w:rFonts w:ascii="宋体" w:hAnsi="宋体" w:cs="宋体"/>
          <w:b/>
          <w:sz w:val="20"/>
          <w:szCs w:val="21"/>
        </w:rPr>
      </w:pPr>
      <w:bookmarkStart w:id="563" w:name="_Toc17522"/>
      <w:bookmarkStart w:id="564" w:name="_Toc32504"/>
      <w:bookmarkStart w:id="565" w:name="_Toc1368"/>
      <w:bookmarkStart w:id="566" w:name="_Toc27635"/>
      <w:bookmarkStart w:id="567" w:name="_Toc279701241"/>
      <w:bookmarkStart w:id="568" w:name="_Toc13336"/>
      <w:bookmarkStart w:id="569" w:name="_Toc259093670"/>
      <w:bookmarkStart w:id="570" w:name="_Toc487900350"/>
      <w:r>
        <w:rPr>
          <w:rFonts w:hint="eastAsia" w:ascii="宋体" w:hAnsi="宋体" w:cs="宋体"/>
          <w:b/>
          <w:szCs w:val="21"/>
        </w:rPr>
        <w:t>2.2 技术规范</w:t>
      </w:r>
      <w:bookmarkEnd w:id="563"/>
      <w:bookmarkEnd w:id="564"/>
      <w:bookmarkEnd w:id="565"/>
      <w:bookmarkEnd w:id="566"/>
      <w:bookmarkEnd w:id="567"/>
      <w:bookmarkEnd w:id="568"/>
      <w:bookmarkEnd w:id="569"/>
      <w:bookmarkEnd w:id="570"/>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288" w:lineRule="auto"/>
        <w:ind w:firstLine="422" w:firstLineChars="200"/>
        <w:textAlignment w:val="baseline"/>
        <w:rPr>
          <w:rFonts w:ascii="宋体" w:hAnsi="宋体" w:cs="宋体"/>
          <w:b/>
          <w:sz w:val="20"/>
          <w:szCs w:val="21"/>
        </w:rPr>
      </w:pPr>
      <w:bookmarkStart w:id="571" w:name="_Toc487900351"/>
      <w:bookmarkStart w:id="572" w:name="_Toc279701242"/>
      <w:bookmarkStart w:id="573" w:name="_Toc27853"/>
      <w:bookmarkStart w:id="574" w:name="_Toc21840"/>
      <w:bookmarkStart w:id="575" w:name="_Toc28530"/>
      <w:bookmarkStart w:id="576" w:name="_Toc259093671"/>
      <w:bookmarkStart w:id="577" w:name="_Toc9829"/>
      <w:bookmarkStart w:id="578" w:name="_Toc31634"/>
      <w:r>
        <w:rPr>
          <w:rFonts w:hint="eastAsia" w:ascii="宋体" w:hAnsi="宋体" w:cs="宋体"/>
          <w:b/>
          <w:szCs w:val="21"/>
        </w:rPr>
        <w:t>2.3 知识产权</w:t>
      </w:r>
      <w:bookmarkEnd w:id="571"/>
      <w:bookmarkEnd w:id="572"/>
      <w:bookmarkEnd w:id="573"/>
      <w:bookmarkEnd w:id="574"/>
      <w:bookmarkEnd w:id="575"/>
      <w:bookmarkEnd w:id="576"/>
      <w:bookmarkEnd w:id="577"/>
      <w:bookmarkEnd w:id="57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79" w:name="_Toc29149"/>
      <w:bookmarkStart w:id="580" w:name="_Toc31539"/>
      <w:bookmarkStart w:id="581" w:name="_Toc8118"/>
      <w:bookmarkStart w:id="582" w:name="_Toc11932"/>
      <w:bookmarkStart w:id="583" w:name="_Toc4194"/>
      <w:r>
        <w:rPr>
          <w:rFonts w:hint="eastAsia" w:ascii="宋体" w:hAnsi="宋体" w:cs="宋体"/>
          <w:b/>
          <w:szCs w:val="21"/>
        </w:rPr>
        <w:t>2.4 包装和装运</w:t>
      </w:r>
      <w:bookmarkEnd w:id="579"/>
      <w:bookmarkEnd w:id="580"/>
      <w:bookmarkEnd w:id="581"/>
      <w:bookmarkEnd w:id="582"/>
      <w:bookmarkEnd w:id="58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84" w:name="_Ref467378591"/>
      <w:bookmarkStart w:id="585" w:name="_Ref467379527"/>
      <w:bookmarkStart w:id="586" w:name="_Toc279701245"/>
      <w:bookmarkStart w:id="587" w:name="_Ref467379542"/>
      <w:bookmarkStart w:id="588" w:name="_Ref467379536"/>
      <w:bookmarkStart w:id="589" w:name="_Toc487900354"/>
      <w:bookmarkStart w:id="590" w:name="_Toc259093674"/>
      <w:bookmarkStart w:id="591" w:name="_Ref467378541"/>
      <w:bookmarkStart w:id="592" w:name="_Toc20849"/>
      <w:bookmarkStart w:id="593" w:name="_Toc19074"/>
      <w:bookmarkStart w:id="594" w:name="_Toc26182"/>
      <w:bookmarkStart w:id="595" w:name="_Toc53"/>
      <w:bookmarkStart w:id="596" w:name="_Toc30272"/>
      <w:r>
        <w:rPr>
          <w:rFonts w:hint="eastAsia" w:ascii="宋体" w:hAnsi="宋体" w:cs="宋体"/>
          <w:b/>
          <w:szCs w:val="21"/>
        </w:rPr>
        <w:t>2.</w:t>
      </w:r>
      <w:bookmarkEnd w:id="584"/>
      <w:bookmarkEnd w:id="585"/>
      <w:bookmarkEnd w:id="586"/>
      <w:bookmarkEnd w:id="587"/>
      <w:bookmarkEnd w:id="588"/>
      <w:bookmarkEnd w:id="589"/>
      <w:bookmarkEnd w:id="590"/>
      <w:bookmarkEnd w:id="591"/>
      <w:r>
        <w:rPr>
          <w:rFonts w:hint="eastAsia" w:ascii="宋体" w:hAnsi="宋体" w:cs="宋体"/>
          <w:b/>
          <w:szCs w:val="21"/>
        </w:rPr>
        <w:t>5 履约检查和问题反馈</w:t>
      </w:r>
      <w:bookmarkEnd w:id="592"/>
      <w:bookmarkEnd w:id="593"/>
      <w:bookmarkEnd w:id="594"/>
      <w:bookmarkEnd w:id="595"/>
      <w:bookmarkEnd w:id="596"/>
    </w:p>
    <w:p>
      <w:pPr>
        <w:snapToGrid w:val="0"/>
        <w:spacing w:line="288" w:lineRule="auto"/>
        <w:ind w:firstLine="420" w:firstLineChars="200"/>
        <w:textAlignment w:val="baseline"/>
        <w:rPr>
          <w:rFonts w:ascii="宋体" w:hAnsi="宋体" w:cs="宋体"/>
          <w:sz w:val="20"/>
          <w:szCs w:val="21"/>
        </w:rPr>
      </w:pPr>
      <w:bookmarkStart w:id="597" w:name="_Ref467379657"/>
      <w:r>
        <w:rPr>
          <w:rFonts w:hint="eastAsia" w:ascii="宋体" w:hAnsi="宋体" w:cs="宋体"/>
          <w:szCs w:val="21"/>
        </w:rPr>
        <w:t>2.5.1</w:t>
      </w:r>
      <w:bookmarkEnd w:id="597"/>
      <w:bookmarkStart w:id="598" w:name="_Toc186431854"/>
      <w:bookmarkStart w:id="599" w:name="_Ref467379793"/>
      <w:bookmarkStart w:id="600" w:name="_Toc487900357"/>
      <w:bookmarkStart w:id="601" w:name="_Toc279701247"/>
      <w:bookmarkStart w:id="602" w:name="_Ref467379807"/>
      <w:bookmarkStart w:id="603" w:name="_Toc259093676"/>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598"/>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04" w:name="_Toc12716"/>
      <w:bookmarkStart w:id="605" w:name="_Toc28451"/>
      <w:bookmarkStart w:id="606" w:name="_Toc19219"/>
      <w:bookmarkStart w:id="607" w:name="_Toc7836"/>
      <w:bookmarkStart w:id="608" w:name="_Toc9493"/>
      <w:r>
        <w:rPr>
          <w:rFonts w:hint="eastAsia" w:ascii="宋体" w:hAnsi="宋体" w:cs="宋体"/>
          <w:b/>
          <w:szCs w:val="21"/>
        </w:rPr>
        <w:t>2.6 结算方式和付款条件</w:t>
      </w:r>
      <w:bookmarkEnd w:id="599"/>
      <w:bookmarkEnd w:id="600"/>
      <w:bookmarkEnd w:id="601"/>
      <w:bookmarkEnd w:id="602"/>
      <w:bookmarkEnd w:id="603"/>
      <w:bookmarkEnd w:id="604"/>
      <w:bookmarkEnd w:id="605"/>
      <w:bookmarkEnd w:id="606"/>
      <w:bookmarkEnd w:id="607"/>
      <w:bookmarkEnd w:id="60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09" w:name="_Toc259093677"/>
      <w:bookmarkStart w:id="610" w:name="_Ref467379923"/>
      <w:bookmarkStart w:id="611" w:name="_Toc487900358"/>
      <w:bookmarkStart w:id="612" w:name="_Toc279701248"/>
      <w:bookmarkStart w:id="613" w:name="_Ref467379852"/>
      <w:bookmarkStart w:id="614" w:name="_Ref467379863"/>
      <w:bookmarkStart w:id="615" w:name="_Toc16110"/>
      <w:bookmarkStart w:id="616" w:name="_Toc3225"/>
      <w:bookmarkStart w:id="617" w:name="_Toc30762"/>
      <w:bookmarkStart w:id="618" w:name="_Toc774"/>
      <w:bookmarkStart w:id="619" w:name="_Toc21683"/>
      <w:r>
        <w:rPr>
          <w:rFonts w:hint="eastAsia" w:ascii="宋体" w:hAnsi="宋体" w:cs="宋体"/>
          <w:b/>
          <w:szCs w:val="21"/>
        </w:rPr>
        <w:t>2.7 技术资料</w:t>
      </w:r>
      <w:bookmarkEnd w:id="609"/>
      <w:bookmarkEnd w:id="610"/>
      <w:bookmarkEnd w:id="611"/>
      <w:bookmarkEnd w:id="612"/>
      <w:bookmarkEnd w:id="613"/>
      <w:bookmarkEnd w:id="614"/>
      <w:r>
        <w:rPr>
          <w:rFonts w:hint="eastAsia" w:ascii="宋体" w:hAnsi="宋体" w:cs="宋体"/>
          <w:b/>
          <w:szCs w:val="21"/>
        </w:rPr>
        <w:t>和保密义务</w:t>
      </w:r>
      <w:bookmarkEnd w:id="615"/>
      <w:bookmarkEnd w:id="616"/>
      <w:bookmarkEnd w:id="617"/>
      <w:bookmarkEnd w:id="618"/>
      <w:bookmarkEnd w:id="619"/>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2.7.1 乙方有权依据合同约定和项目需要，向甲方了解有关情况，调阅有关资料等，甲方应予积极配合；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2.7.2 乙方有义务妥善保管和保护由甲方提供的前款信息和资料等；</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288" w:lineRule="auto"/>
        <w:ind w:firstLine="422" w:firstLineChars="200"/>
        <w:textAlignment w:val="baseline"/>
        <w:rPr>
          <w:rFonts w:ascii="宋体" w:hAnsi="宋体" w:cs="宋体"/>
          <w:b/>
          <w:sz w:val="20"/>
          <w:szCs w:val="21"/>
        </w:rPr>
      </w:pPr>
      <w:bookmarkStart w:id="620" w:name="_Toc22739"/>
      <w:bookmarkStart w:id="621" w:name="_Toc7860"/>
      <w:bookmarkStart w:id="622" w:name="_Toc32075"/>
      <w:r>
        <w:rPr>
          <w:rFonts w:hint="eastAsia" w:ascii="宋体" w:hAnsi="宋体" w:cs="宋体"/>
          <w:b/>
          <w:szCs w:val="21"/>
        </w:rPr>
        <w:t>2.8 质量保证</w:t>
      </w:r>
      <w:bookmarkEnd w:id="620"/>
      <w:bookmarkEnd w:id="621"/>
      <w:bookmarkEnd w:id="62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2.8.1 乙方应建立和完善履行合同的内部质量保证体系，并提供相关内部规章制度给甲方，以便甲方进行监督检查；</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napToGrid w:val="0"/>
        <w:spacing w:line="288" w:lineRule="auto"/>
        <w:ind w:firstLine="422" w:firstLineChars="200"/>
        <w:textAlignment w:val="baseline"/>
        <w:rPr>
          <w:rFonts w:ascii="宋体" w:hAnsi="宋体" w:cs="宋体"/>
          <w:b/>
          <w:sz w:val="20"/>
          <w:szCs w:val="21"/>
        </w:rPr>
      </w:pPr>
      <w:bookmarkStart w:id="623" w:name="_Toc17244"/>
      <w:bookmarkStart w:id="624" w:name="_Toc7516"/>
      <w:bookmarkStart w:id="625" w:name="_Toc26265"/>
      <w:bookmarkStart w:id="626" w:name="_Toc279701252"/>
      <w:bookmarkStart w:id="627" w:name="_Toc487900362"/>
      <w:bookmarkStart w:id="628" w:name="_Toc259093681"/>
      <w:r>
        <w:rPr>
          <w:rFonts w:hint="eastAsia" w:ascii="宋体" w:hAnsi="宋体" w:cs="宋体"/>
          <w:b/>
          <w:szCs w:val="21"/>
        </w:rPr>
        <w:t>2.9 货物的风险负担</w:t>
      </w:r>
      <w:bookmarkEnd w:id="623"/>
      <w:bookmarkEnd w:id="624"/>
      <w:bookmarkEnd w:id="625"/>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29" w:name="_Toc14055"/>
      <w:bookmarkStart w:id="630" w:name="_Toc9502"/>
      <w:bookmarkStart w:id="631" w:name="_Toc21348"/>
      <w:r>
        <w:rPr>
          <w:rFonts w:hint="eastAsia" w:ascii="宋体" w:hAnsi="宋体" w:cs="宋体"/>
          <w:b/>
          <w:szCs w:val="21"/>
        </w:rPr>
        <w:t>2.10 延迟交货</w:t>
      </w:r>
      <w:bookmarkEnd w:id="626"/>
      <w:bookmarkEnd w:id="627"/>
      <w:bookmarkEnd w:id="628"/>
      <w:bookmarkEnd w:id="629"/>
      <w:bookmarkEnd w:id="630"/>
      <w:bookmarkEnd w:id="63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288" w:lineRule="auto"/>
        <w:ind w:firstLine="422" w:firstLineChars="200"/>
        <w:textAlignment w:val="baseline"/>
        <w:rPr>
          <w:rFonts w:ascii="宋体" w:hAnsi="宋体" w:cs="宋体"/>
          <w:b/>
          <w:sz w:val="20"/>
          <w:szCs w:val="21"/>
        </w:rPr>
      </w:pPr>
      <w:bookmarkStart w:id="632" w:name="_Toc16594"/>
      <w:bookmarkStart w:id="633" w:name="_Toc20270"/>
      <w:bookmarkStart w:id="634" w:name="_Toc7502"/>
      <w:r>
        <w:rPr>
          <w:rFonts w:hint="eastAsia" w:ascii="宋体" w:hAnsi="宋体" w:cs="宋体"/>
          <w:b/>
          <w:szCs w:val="21"/>
        </w:rPr>
        <w:t>2.11 合同变更</w:t>
      </w:r>
      <w:bookmarkEnd w:id="632"/>
      <w:bookmarkEnd w:id="633"/>
      <w:bookmarkEnd w:id="63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635" w:name="_Toc279701259"/>
      <w:bookmarkStart w:id="636" w:name="_Toc259093688"/>
      <w:bookmarkStart w:id="637" w:name="_Toc487900369"/>
    </w:p>
    <w:p>
      <w:pPr>
        <w:snapToGrid w:val="0"/>
        <w:spacing w:line="288" w:lineRule="auto"/>
        <w:ind w:firstLine="422" w:firstLineChars="200"/>
        <w:textAlignment w:val="baseline"/>
        <w:rPr>
          <w:rFonts w:ascii="宋体" w:hAnsi="宋体" w:cs="宋体"/>
          <w:b/>
          <w:sz w:val="20"/>
          <w:szCs w:val="21"/>
        </w:rPr>
      </w:pPr>
      <w:bookmarkStart w:id="638" w:name="_Toc15237"/>
      <w:bookmarkStart w:id="639" w:name="_Toc10366"/>
      <w:bookmarkStart w:id="640" w:name="_Toc24915"/>
      <w:bookmarkStart w:id="641" w:name="_Toc22955"/>
      <w:bookmarkStart w:id="642" w:name="_Toc15018"/>
      <w:r>
        <w:rPr>
          <w:rFonts w:hint="eastAsia" w:ascii="宋体" w:hAnsi="宋体" w:cs="宋体"/>
          <w:b/>
          <w:szCs w:val="21"/>
        </w:rPr>
        <w:t>2.12 合同转让</w:t>
      </w:r>
      <w:bookmarkEnd w:id="635"/>
      <w:bookmarkEnd w:id="636"/>
      <w:bookmarkEnd w:id="637"/>
      <w:r>
        <w:rPr>
          <w:rFonts w:hint="eastAsia" w:ascii="宋体" w:hAnsi="宋体" w:cs="宋体"/>
          <w:b/>
          <w:szCs w:val="21"/>
        </w:rPr>
        <w:t>和分包</w:t>
      </w:r>
      <w:bookmarkEnd w:id="638"/>
      <w:bookmarkEnd w:id="639"/>
      <w:bookmarkEnd w:id="640"/>
      <w:bookmarkEnd w:id="641"/>
      <w:bookmarkEnd w:id="64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单位就分包项目向甲方承担连带责任。</w:t>
      </w:r>
    </w:p>
    <w:p>
      <w:pPr>
        <w:snapToGrid w:val="0"/>
        <w:spacing w:line="288" w:lineRule="auto"/>
        <w:ind w:firstLine="422" w:firstLineChars="200"/>
        <w:textAlignment w:val="baseline"/>
        <w:rPr>
          <w:rFonts w:ascii="宋体" w:hAnsi="宋体" w:cs="宋体"/>
          <w:b/>
          <w:sz w:val="20"/>
          <w:szCs w:val="21"/>
        </w:rPr>
      </w:pPr>
      <w:bookmarkStart w:id="643" w:name="_Toc29866"/>
      <w:bookmarkStart w:id="644" w:name="_Toc30296"/>
      <w:bookmarkStart w:id="645" w:name="_Toc13566"/>
      <w:bookmarkStart w:id="646" w:name="_Toc14066"/>
      <w:bookmarkStart w:id="647" w:name="_Toc16508"/>
      <w:r>
        <w:rPr>
          <w:rFonts w:hint="eastAsia" w:ascii="宋体" w:hAnsi="宋体" w:cs="宋体"/>
          <w:b/>
          <w:szCs w:val="21"/>
        </w:rPr>
        <w:t>2.13 不可抗力</w:t>
      </w:r>
      <w:bookmarkEnd w:id="643"/>
      <w:bookmarkEnd w:id="644"/>
      <w:bookmarkEnd w:id="645"/>
      <w:bookmarkEnd w:id="646"/>
      <w:bookmarkEnd w:id="64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2.13.2 因不可抗力致使不能实现合同目的的，当事人可以解除合同；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napToGrid w:val="0"/>
        <w:spacing w:line="288" w:lineRule="auto"/>
        <w:ind w:firstLine="422" w:firstLineChars="200"/>
        <w:textAlignment w:val="baseline"/>
        <w:rPr>
          <w:rFonts w:ascii="宋体" w:hAnsi="宋体" w:cs="宋体"/>
          <w:b/>
          <w:sz w:val="20"/>
          <w:szCs w:val="21"/>
        </w:rPr>
      </w:pPr>
      <w:bookmarkStart w:id="648" w:name="_Toc8095"/>
      <w:bookmarkStart w:id="649" w:name="_Toc6969"/>
      <w:bookmarkStart w:id="650" w:name="_Toc689"/>
      <w:bookmarkStart w:id="651" w:name="_Toc279701255"/>
      <w:bookmarkStart w:id="652" w:name="_Toc487900365"/>
      <w:bookmarkStart w:id="653" w:name="_Toc30676"/>
      <w:bookmarkStart w:id="654" w:name="_Toc17985"/>
      <w:bookmarkStart w:id="655" w:name="_Toc259093684"/>
      <w:r>
        <w:rPr>
          <w:rFonts w:hint="eastAsia" w:ascii="宋体" w:hAnsi="宋体" w:cs="宋体"/>
          <w:b/>
          <w:szCs w:val="21"/>
        </w:rPr>
        <w:t>2.14 税费</w:t>
      </w:r>
      <w:bookmarkEnd w:id="648"/>
      <w:bookmarkEnd w:id="649"/>
      <w:bookmarkEnd w:id="650"/>
      <w:bookmarkEnd w:id="651"/>
      <w:bookmarkEnd w:id="652"/>
      <w:bookmarkEnd w:id="653"/>
      <w:bookmarkEnd w:id="654"/>
      <w:bookmarkEnd w:id="65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与合同有关的一切税费，均按照中华人民共和国法律的相关规定。</w:t>
      </w:r>
    </w:p>
    <w:p>
      <w:pPr>
        <w:snapToGrid w:val="0"/>
        <w:spacing w:line="288" w:lineRule="auto"/>
        <w:ind w:firstLine="422" w:firstLineChars="200"/>
        <w:textAlignment w:val="baseline"/>
        <w:rPr>
          <w:rFonts w:ascii="宋体" w:hAnsi="宋体" w:cs="宋体"/>
          <w:b/>
          <w:sz w:val="20"/>
          <w:szCs w:val="21"/>
        </w:rPr>
      </w:pPr>
      <w:bookmarkStart w:id="656" w:name="_Toc12322"/>
      <w:bookmarkStart w:id="657" w:name="_Toc16959"/>
      <w:bookmarkStart w:id="658" w:name="_Toc7102"/>
      <w:bookmarkStart w:id="659" w:name="_Toc279701258"/>
      <w:bookmarkStart w:id="660" w:name="_Toc8298"/>
      <w:bookmarkStart w:id="661" w:name="_Toc259093687"/>
      <w:bookmarkStart w:id="662" w:name="_Toc19124"/>
      <w:bookmarkStart w:id="663" w:name="_Toc487900368"/>
      <w:r>
        <w:rPr>
          <w:rFonts w:hint="eastAsia" w:ascii="宋体" w:hAnsi="宋体" w:cs="宋体"/>
          <w:b/>
          <w:szCs w:val="21"/>
        </w:rPr>
        <w:t>2.15 乙方破产</w:t>
      </w:r>
      <w:bookmarkEnd w:id="656"/>
      <w:bookmarkEnd w:id="657"/>
      <w:bookmarkEnd w:id="658"/>
      <w:bookmarkEnd w:id="659"/>
      <w:bookmarkEnd w:id="660"/>
      <w:bookmarkEnd w:id="661"/>
      <w:bookmarkEnd w:id="662"/>
      <w:bookmarkEnd w:id="66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288" w:lineRule="auto"/>
        <w:ind w:firstLine="422" w:firstLineChars="200"/>
        <w:textAlignment w:val="baseline"/>
        <w:rPr>
          <w:rFonts w:ascii="宋体" w:hAnsi="宋体" w:cs="宋体"/>
          <w:b/>
          <w:sz w:val="20"/>
          <w:szCs w:val="21"/>
        </w:rPr>
      </w:pPr>
      <w:bookmarkStart w:id="664" w:name="_Toc6134"/>
      <w:bookmarkStart w:id="665" w:name="_Toc29927"/>
      <w:bookmarkStart w:id="666" w:name="_Toc29333"/>
      <w:bookmarkStart w:id="667" w:name="_Toc32318"/>
      <w:bookmarkStart w:id="668" w:name="_Toc15387"/>
      <w:r>
        <w:rPr>
          <w:rFonts w:hint="eastAsia" w:ascii="宋体" w:hAnsi="宋体" w:cs="宋体"/>
          <w:b/>
          <w:szCs w:val="21"/>
        </w:rPr>
        <w:t>2.16 合同中止、终止</w:t>
      </w:r>
      <w:bookmarkEnd w:id="664"/>
      <w:bookmarkEnd w:id="665"/>
      <w:bookmarkEnd w:id="666"/>
      <w:bookmarkEnd w:id="667"/>
      <w:bookmarkEnd w:id="66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2.16.1 双方当事人不得擅自中止或者终止合同；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napToGrid w:val="0"/>
        <w:spacing w:line="288" w:lineRule="auto"/>
        <w:ind w:firstLine="422" w:firstLineChars="200"/>
        <w:textAlignment w:val="baseline"/>
        <w:rPr>
          <w:rFonts w:ascii="宋体" w:hAnsi="宋体" w:cs="宋体"/>
          <w:b/>
          <w:sz w:val="20"/>
          <w:szCs w:val="21"/>
        </w:rPr>
      </w:pPr>
      <w:bookmarkStart w:id="669" w:name="_Toc1125"/>
      <w:bookmarkStart w:id="670" w:name="_Toc14753"/>
      <w:bookmarkStart w:id="671" w:name="_Toc14563"/>
      <w:bookmarkStart w:id="672" w:name="_Toc6596"/>
      <w:bookmarkStart w:id="673" w:name="_Toc21354"/>
      <w:r>
        <w:rPr>
          <w:rFonts w:hint="eastAsia" w:ascii="宋体" w:hAnsi="宋体" w:cs="宋体"/>
          <w:b/>
          <w:szCs w:val="21"/>
        </w:rPr>
        <w:t>2.17 检验和验收</w:t>
      </w:r>
      <w:bookmarkEnd w:id="669"/>
      <w:bookmarkEnd w:id="670"/>
      <w:bookmarkEnd w:id="671"/>
      <w:bookmarkEnd w:id="672"/>
      <w:bookmarkEnd w:id="673"/>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p>
      <w:pPr>
        <w:snapToGrid w:val="0"/>
        <w:spacing w:line="288" w:lineRule="auto"/>
        <w:ind w:firstLine="422" w:firstLineChars="200"/>
        <w:textAlignment w:val="baseline"/>
        <w:rPr>
          <w:rFonts w:ascii="宋体" w:hAnsi="宋体" w:cs="宋体"/>
          <w:b/>
          <w:sz w:val="20"/>
          <w:szCs w:val="21"/>
        </w:rPr>
      </w:pPr>
      <w:bookmarkStart w:id="674" w:name="_Toc487900371"/>
      <w:bookmarkStart w:id="675" w:name="_Toc279701261"/>
      <w:bookmarkStart w:id="676" w:name="_Toc259093690"/>
      <w:bookmarkStart w:id="677" w:name="_Toc31617"/>
      <w:bookmarkStart w:id="678" w:name="_Toc11284"/>
      <w:bookmarkStart w:id="679" w:name="_Toc25182"/>
      <w:bookmarkStart w:id="680" w:name="_Toc19604"/>
      <w:bookmarkStart w:id="681" w:name="_Toc16956"/>
      <w:r>
        <w:rPr>
          <w:rFonts w:hint="eastAsia" w:ascii="宋体" w:hAnsi="宋体" w:cs="宋体"/>
          <w:b/>
          <w:szCs w:val="21"/>
        </w:rPr>
        <w:t>2.18 通知</w:t>
      </w:r>
      <w:bookmarkEnd w:id="674"/>
      <w:bookmarkEnd w:id="675"/>
      <w:bookmarkEnd w:id="676"/>
      <w:r>
        <w:rPr>
          <w:rFonts w:hint="eastAsia" w:ascii="宋体" w:hAnsi="宋体" w:cs="宋体"/>
          <w:b/>
          <w:szCs w:val="21"/>
        </w:rPr>
        <w:t>和送达</w:t>
      </w:r>
      <w:bookmarkEnd w:id="677"/>
      <w:bookmarkEnd w:id="678"/>
      <w:bookmarkEnd w:id="679"/>
      <w:bookmarkEnd w:id="680"/>
      <w:bookmarkEnd w:id="681"/>
    </w:p>
    <w:p>
      <w:pPr>
        <w:snapToGrid w:val="0"/>
        <w:spacing w:line="288" w:lineRule="auto"/>
        <w:ind w:firstLine="420" w:firstLineChars="200"/>
        <w:textAlignment w:val="baseline"/>
        <w:rPr>
          <w:rFonts w:ascii="宋体" w:hAnsi="宋体" w:cs="宋体"/>
          <w:sz w:val="20"/>
          <w:szCs w:val="21"/>
        </w:rPr>
      </w:pPr>
      <w:bookmarkStart w:id="682" w:name="_Toc3135"/>
      <w:bookmarkStart w:id="683" w:name="_Toc6698"/>
      <w:bookmarkStart w:id="684" w:name="_Toc259093691"/>
      <w:bookmarkStart w:id="685" w:name="_Toc487900372"/>
      <w:bookmarkStart w:id="686" w:name="_Toc279701262"/>
      <w:r>
        <w:rPr>
          <w:rFonts w:hint="eastAsia" w:ascii="宋体" w:hAnsi="宋体" w:cs="宋体"/>
          <w:szCs w:val="21"/>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82"/>
      <w:bookmarkEnd w:id="683"/>
    </w:p>
    <w:p>
      <w:pPr>
        <w:snapToGrid w:val="0"/>
        <w:spacing w:line="288" w:lineRule="auto"/>
        <w:ind w:firstLine="420" w:firstLineChars="200"/>
        <w:textAlignment w:val="baseline"/>
        <w:rPr>
          <w:rFonts w:ascii="宋体" w:hAnsi="宋体" w:cs="宋体"/>
          <w:sz w:val="20"/>
          <w:szCs w:val="21"/>
        </w:rPr>
      </w:pPr>
      <w:bookmarkStart w:id="687" w:name="_Toc23128"/>
      <w:bookmarkStart w:id="688" w:name="_Toc23294"/>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87"/>
      <w:bookmarkEnd w:id="688"/>
    </w:p>
    <w:p>
      <w:pPr>
        <w:snapToGrid w:val="0"/>
        <w:spacing w:line="288" w:lineRule="auto"/>
        <w:ind w:firstLine="422" w:firstLineChars="200"/>
        <w:textAlignment w:val="baseline"/>
        <w:rPr>
          <w:rFonts w:ascii="宋体" w:hAnsi="宋体" w:cs="宋体"/>
          <w:b/>
          <w:sz w:val="20"/>
          <w:szCs w:val="21"/>
        </w:rPr>
      </w:pPr>
      <w:bookmarkStart w:id="689" w:name="_Toc30599"/>
      <w:bookmarkStart w:id="690" w:name="_Toc27191"/>
      <w:bookmarkStart w:id="691" w:name="_Toc4355"/>
      <w:bookmarkStart w:id="692" w:name="_Toc18540"/>
      <w:bookmarkStart w:id="693" w:name="_Toc12711"/>
      <w:r>
        <w:rPr>
          <w:rFonts w:hint="eastAsia" w:ascii="宋体" w:hAnsi="宋体" w:cs="宋体"/>
          <w:b/>
          <w:szCs w:val="21"/>
        </w:rPr>
        <w:t>2.19 计量单位</w:t>
      </w:r>
      <w:bookmarkEnd w:id="684"/>
      <w:bookmarkEnd w:id="685"/>
      <w:bookmarkEnd w:id="686"/>
      <w:bookmarkEnd w:id="689"/>
      <w:bookmarkEnd w:id="690"/>
      <w:bookmarkEnd w:id="691"/>
      <w:bookmarkEnd w:id="692"/>
      <w:bookmarkEnd w:id="69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除技术规范中另有规定外,合同的计量单位均使用国家法定计量单位。</w:t>
      </w:r>
    </w:p>
    <w:p>
      <w:pPr>
        <w:snapToGrid w:val="0"/>
        <w:spacing w:line="288" w:lineRule="auto"/>
        <w:ind w:firstLine="422" w:firstLineChars="200"/>
        <w:textAlignment w:val="baseline"/>
        <w:rPr>
          <w:rFonts w:ascii="宋体" w:hAnsi="宋体" w:cs="宋体"/>
          <w:b/>
          <w:sz w:val="20"/>
          <w:szCs w:val="21"/>
        </w:rPr>
      </w:pPr>
      <w:bookmarkStart w:id="694" w:name="_Toc4041"/>
      <w:bookmarkStart w:id="695" w:name="_Toc24306"/>
      <w:bookmarkStart w:id="696" w:name="_Toc487900373"/>
      <w:bookmarkStart w:id="697" w:name="_Toc279701263"/>
      <w:bookmarkStart w:id="698" w:name="_Toc18567"/>
      <w:bookmarkStart w:id="699" w:name="_Toc259093692"/>
      <w:bookmarkStart w:id="700" w:name="_Toc10330"/>
      <w:bookmarkStart w:id="701" w:name="_Toc12773"/>
      <w:r>
        <w:rPr>
          <w:rFonts w:hint="eastAsia" w:ascii="宋体" w:hAnsi="宋体" w:cs="宋体"/>
          <w:b/>
          <w:szCs w:val="21"/>
        </w:rPr>
        <w:t>2.20 合同使用的文字和适用的法律</w:t>
      </w:r>
      <w:bookmarkEnd w:id="694"/>
      <w:bookmarkEnd w:id="695"/>
      <w:bookmarkEnd w:id="696"/>
      <w:bookmarkEnd w:id="697"/>
      <w:bookmarkEnd w:id="698"/>
      <w:bookmarkEnd w:id="699"/>
      <w:bookmarkEnd w:id="700"/>
      <w:bookmarkEnd w:id="70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2.20.1 合同使用汉语书就、变更和解释；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2.20.2 合同适用</w:t>
      </w:r>
      <w:r>
        <w:rPr>
          <w:rFonts w:hint="eastAsia" w:ascii="宋体" w:hAnsi="宋体" w:cs="宋体"/>
          <w:szCs w:val="21"/>
          <w:lang w:val="en-US" w:eastAsia="zh-CN"/>
        </w:rPr>
        <w:t xml:space="preserve">                                                  </w:t>
      </w:r>
      <w:r>
        <w:rPr>
          <w:rFonts w:hint="eastAsia" w:ascii="宋体" w:hAnsi="宋体" w:cs="宋体"/>
          <w:szCs w:val="21"/>
        </w:rPr>
        <w:t>法律。</w:t>
      </w:r>
    </w:p>
    <w:p>
      <w:pPr>
        <w:snapToGrid w:val="0"/>
        <w:spacing w:line="288" w:lineRule="auto"/>
        <w:ind w:firstLine="422" w:firstLineChars="200"/>
        <w:textAlignment w:val="baseline"/>
        <w:rPr>
          <w:rFonts w:ascii="宋体" w:hAnsi="宋体" w:cs="宋体"/>
          <w:b/>
          <w:sz w:val="20"/>
          <w:szCs w:val="21"/>
        </w:rPr>
      </w:pPr>
      <w:bookmarkStart w:id="702" w:name="_Toc24038"/>
      <w:bookmarkStart w:id="703" w:name="_Toc259093693"/>
      <w:bookmarkStart w:id="704" w:name="_Toc3148"/>
      <w:bookmarkStart w:id="705" w:name="_Toc16673"/>
      <w:bookmarkStart w:id="706" w:name="_Toc5859"/>
      <w:bookmarkStart w:id="707" w:name="_Toc12004"/>
      <w:bookmarkStart w:id="708" w:name="_Toc279701264"/>
      <w:r>
        <w:rPr>
          <w:rFonts w:hint="eastAsia" w:ascii="宋体" w:hAnsi="宋体" w:cs="宋体"/>
          <w:b/>
          <w:szCs w:val="21"/>
        </w:rPr>
        <w:t>2.21 履约保证金</w:t>
      </w:r>
      <w:bookmarkEnd w:id="702"/>
      <w:bookmarkEnd w:id="703"/>
      <w:bookmarkEnd w:id="704"/>
      <w:bookmarkEnd w:id="705"/>
      <w:bookmarkEnd w:id="706"/>
      <w:bookmarkEnd w:id="707"/>
      <w:bookmarkEnd w:id="70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约定期间内或者货物质量保证期内不予退还或者应完全有效，前述约定期间届满或者货物质量保证期届满之日起个工作日内，甲方应将履约保证金退还乙方；</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288" w:lineRule="auto"/>
        <w:ind w:firstLine="422" w:firstLineChars="200"/>
        <w:textAlignment w:val="baseline"/>
        <w:rPr>
          <w:rFonts w:ascii="宋体" w:hAnsi="宋体" w:cs="宋体"/>
          <w:b/>
          <w:sz w:val="20"/>
          <w:szCs w:val="21"/>
        </w:rPr>
      </w:pPr>
      <w:bookmarkStart w:id="709" w:name="_Toc6885"/>
      <w:bookmarkStart w:id="710" w:name="_Toc14001"/>
      <w:bookmarkStart w:id="711" w:name="_Toc15173"/>
      <w:bookmarkStart w:id="712" w:name="_Toc22600"/>
      <w:bookmarkStart w:id="713" w:name="_Toc19890"/>
      <w:r>
        <w:rPr>
          <w:rFonts w:hint="eastAsia" w:ascii="宋体" w:hAnsi="宋体" w:cs="宋体"/>
          <w:b/>
          <w:szCs w:val="21"/>
        </w:rPr>
        <w:t>2.22 合同份数</w:t>
      </w:r>
      <w:bookmarkEnd w:id="709"/>
      <w:bookmarkEnd w:id="710"/>
      <w:bookmarkEnd w:id="711"/>
      <w:bookmarkEnd w:id="712"/>
      <w:bookmarkEnd w:id="713"/>
    </w:p>
    <w:p>
      <w:pPr>
        <w:snapToGrid w:val="0"/>
        <w:spacing w:line="288" w:lineRule="auto"/>
        <w:ind w:firstLine="420" w:firstLineChars="200"/>
        <w:textAlignment w:val="baseline"/>
        <w:rPr>
          <w:rFonts w:ascii="宋体" w:hAnsi="宋体" w:cs="宋体"/>
          <w:szCs w:val="21"/>
        </w:rPr>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bookmarkStart w:id="714" w:name="_Toc331685784"/>
      <w:bookmarkStart w:id="715" w:name="_Toc7774"/>
    </w:p>
    <w:p>
      <w:pPr>
        <w:snapToGrid w:val="0"/>
        <w:spacing w:line="288" w:lineRule="auto"/>
        <w:ind w:firstLine="422" w:firstLineChars="200"/>
        <w:textAlignment w:val="baseline"/>
        <w:rPr>
          <w:rFonts w:ascii="宋体" w:hAnsi="宋体" w:cs="宋体"/>
          <w:szCs w:val="21"/>
        </w:rPr>
      </w:pPr>
      <w:r>
        <w:rPr>
          <w:rFonts w:hint="eastAsia" w:ascii="宋体" w:hAnsi="宋体" w:cs="宋体"/>
          <w:b/>
          <w:szCs w:val="21"/>
        </w:rPr>
        <w:t>2</w:t>
      </w:r>
      <w:r>
        <w:rPr>
          <w:rFonts w:ascii="宋体" w:hAnsi="宋体" w:cs="宋体"/>
          <w:b/>
          <w:szCs w:val="21"/>
        </w:rPr>
        <w:t xml:space="preserve">.23 </w:t>
      </w:r>
      <w:r>
        <w:rPr>
          <w:rFonts w:hint="eastAsia" w:ascii="宋体" w:hAnsi="宋体" w:cs="宋体"/>
          <w:b/>
          <w:szCs w:val="21"/>
        </w:rPr>
        <w:t>建设要求</w:t>
      </w:r>
    </w:p>
    <w:p>
      <w:pPr>
        <w:snapToGrid w:val="0"/>
        <w:spacing w:line="360" w:lineRule="auto"/>
        <w:ind w:firstLine="420" w:firstLineChars="200"/>
        <w:textAlignment w:val="baseline"/>
        <w:rPr>
          <w:color w:val="FF0000"/>
          <w:highlight w:val="none"/>
        </w:rPr>
      </w:pPr>
      <w:r>
        <w:rPr>
          <w:color w:val="FF0000"/>
          <w:highlight w:val="none"/>
        </w:rPr>
        <w:br w:type="page"/>
      </w:r>
    </w:p>
    <w:p>
      <w:pPr>
        <w:snapToGrid w:val="0"/>
        <w:spacing w:line="288" w:lineRule="auto"/>
        <w:ind w:firstLine="562" w:firstLineChars="200"/>
        <w:textAlignment w:val="baseline"/>
        <w:rPr>
          <w:rFonts w:hAnsi="宋体" w:cs="宋体"/>
          <w:b/>
          <w:sz w:val="28"/>
          <w:szCs w:val="28"/>
        </w:rPr>
      </w:pPr>
    </w:p>
    <w:p>
      <w:pPr>
        <w:pStyle w:val="43"/>
        <w:snapToGrid w:val="0"/>
        <w:spacing w:line="560" w:lineRule="exact"/>
        <w:ind w:firstLine="0"/>
        <w:jc w:val="center"/>
        <w:textAlignment w:val="baseline"/>
        <w:rPr>
          <w:rFonts w:hAnsi="宋体" w:cs="宋体"/>
          <w:b/>
          <w:sz w:val="28"/>
          <w:szCs w:val="28"/>
        </w:rPr>
      </w:pPr>
      <w:r>
        <w:rPr>
          <w:rFonts w:hint="eastAsia" w:hAnsi="宋体" w:cs="宋体"/>
          <w:b/>
          <w:sz w:val="28"/>
          <w:szCs w:val="28"/>
        </w:rPr>
        <w:t>第三部分  合同专用条款</w:t>
      </w:r>
      <w:bookmarkEnd w:id="714"/>
      <w:bookmarkEnd w:id="715"/>
    </w:p>
    <w:p>
      <w:pPr>
        <w:snapToGrid w:val="0"/>
        <w:spacing w:line="560" w:lineRule="exact"/>
        <w:ind w:firstLine="420" w:firstLineChars="200"/>
        <w:textAlignment w:val="baseline"/>
        <w:rPr>
          <w:rFonts w:ascii="宋体" w:hAnsi="宋体" w:cs="宋体"/>
          <w:sz w:val="20"/>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条款号</w:t>
            </w:r>
          </w:p>
        </w:tc>
        <w:tc>
          <w:tcPr>
            <w:tcW w:w="7633" w:type="dxa"/>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bl>
    <w:p>
      <w:pPr>
        <w:pStyle w:val="2"/>
        <w:snapToGrid w:val="0"/>
        <w:spacing w:line="240" w:lineRule="atLeast"/>
        <w:ind w:firstLine="0"/>
        <w:textAlignment w:val="baseline"/>
        <w:rPr>
          <w:rFonts w:hAnsi="宋体" w:cs="宋体"/>
          <w:sz w:val="28"/>
        </w:rPr>
      </w:pPr>
    </w:p>
    <w:p>
      <w:pPr>
        <w:snapToGrid w:val="0"/>
        <w:textAlignment w:val="baseline"/>
        <w:rPr>
          <w:sz w:val="20"/>
        </w:rPr>
      </w:pPr>
    </w:p>
    <w:sectPr>
      <w:footerReference r:id="rId14"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p>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149</w:t>
                    </w:r>
                    <w:r>
                      <w:fldChar w:fldCharType="end"/>
                    </w:r>
                    <w:r>
                      <w:t xml:space="preserve"> 页</w:t>
                    </w:r>
                  </w:p>
                </w:txbxContent>
              </v:textbox>
            </v:shape>
          </w:pict>
        </mc:Fallback>
      </mc:AlternateContent>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tabs>
        <w:tab w:val="left" w:pos="2379"/>
        <w:tab w:val="clear" w:pos="4153"/>
      </w:tabs>
      <w:jc w:val="left"/>
      <w:rPr>
        <w:u w:val="none"/>
      </w:rPr>
    </w:pPr>
    <w:r>
      <w:rPr>
        <w:rFonts w:hint="eastAsia" w:ascii="黑体" w:hAnsi="宋体" w:eastAsia="黑体"/>
        <w:b/>
        <w:sz w:val="96"/>
        <w:szCs w:val="96"/>
        <w:lang w:eastAsia="zh-CN"/>
      </w:rPr>
      <w:drawing>
        <wp:inline distT="0" distB="0" distL="114300" distR="114300">
          <wp:extent cx="547370" cy="473710"/>
          <wp:effectExtent l="0" t="0" r="5080" b="2540"/>
          <wp:docPr id="6" name="图片 1" descr="QQ图片2019061316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90613164836"/>
                  <pic:cNvPicPr>
                    <a:picLocks noChangeAspect="1"/>
                  </pic:cNvPicPr>
                </pic:nvPicPr>
                <pic:blipFill>
                  <a:blip r:embed="rId1"/>
                  <a:stretch>
                    <a:fillRect/>
                  </a:stretch>
                </pic:blipFill>
                <pic:spPr>
                  <a:xfrm>
                    <a:off x="0" y="0"/>
                    <a:ext cx="547370" cy="473710"/>
                  </a:xfrm>
                  <a:prstGeom prst="rect">
                    <a:avLst/>
                  </a:prstGeom>
                  <a:noFill/>
                  <a:ln>
                    <a:noFill/>
                  </a:ln>
                </pic:spPr>
              </pic:pic>
            </a:graphicData>
          </a:graphic>
        </wp:inline>
      </w:drawing>
    </w:r>
    <w:r>
      <w:rPr>
        <w:rFonts w:hint="eastAsia" w:ascii="宋体" w:hAnsi="宋体" w:cs="宋体"/>
        <w:b/>
        <w:sz w:val="28"/>
        <w:u w:val="none"/>
        <w:lang w:eastAsia="zh-CN"/>
      </w:rPr>
      <w:t>重庆渝强工程项目管理有限公司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rFonts w:hint="eastAsia" w:ascii="黑体" w:hAnsi="宋体" w:eastAsia="黑体"/>
        <w:b/>
        <w:sz w:val="96"/>
        <w:szCs w:val="96"/>
        <w:lang w:eastAsia="zh-CN"/>
      </w:rPr>
      <w:drawing>
        <wp:inline distT="0" distB="0" distL="114300" distR="114300">
          <wp:extent cx="547370" cy="473710"/>
          <wp:effectExtent l="0" t="0" r="5080" b="2540"/>
          <wp:docPr id="8" name="图片 1" descr="QQ图片2019061316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QQ图片20190613164836"/>
                  <pic:cNvPicPr>
                    <a:picLocks noChangeAspect="1"/>
                  </pic:cNvPicPr>
                </pic:nvPicPr>
                <pic:blipFill>
                  <a:blip r:embed="rId1"/>
                  <a:stretch>
                    <a:fillRect/>
                  </a:stretch>
                </pic:blipFill>
                <pic:spPr>
                  <a:xfrm>
                    <a:off x="0" y="0"/>
                    <a:ext cx="547370" cy="473710"/>
                  </a:xfrm>
                  <a:prstGeom prst="rect">
                    <a:avLst/>
                  </a:prstGeom>
                  <a:noFill/>
                  <a:ln>
                    <a:noFill/>
                  </a:ln>
                </pic:spPr>
              </pic:pic>
            </a:graphicData>
          </a:graphic>
        </wp:inline>
      </w:drawing>
    </w:r>
    <w:r>
      <w:rPr>
        <w:rFonts w:hint="eastAsia" w:ascii="宋体" w:hAnsi="宋体" w:cs="宋体"/>
        <w:b/>
        <w:sz w:val="28"/>
        <w:u w:val="none"/>
        <w:lang w:eastAsia="zh-CN"/>
      </w:rPr>
      <w:t>重庆渝强工程项目管理有限公司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rFonts w:hint="eastAsia" w:ascii="黑体" w:hAnsi="宋体" w:eastAsia="黑体"/>
        <w:b/>
        <w:sz w:val="96"/>
        <w:szCs w:val="96"/>
        <w:lang w:eastAsia="zh-CN"/>
      </w:rPr>
      <w:drawing>
        <wp:inline distT="0" distB="0" distL="114300" distR="114300">
          <wp:extent cx="547370" cy="473710"/>
          <wp:effectExtent l="0" t="0" r="5080" b="2540"/>
          <wp:docPr id="9" name="图片 1" descr="QQ图片2019061316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90613164836"/>
                  <pic:cNvPicPr>
                    <a:picLocks noChangeAspect="1"/>
                  </pic:cNvPicPr>
                </pic:nvPicPr>
                <pic:blipFill>
                  <a:blip r:embed="rId1"/>
                  <a:stretch>
                    <a:fillRect/>
                  </a:stretch>
                </pic:blipFill>
                <pic:spPr>
                  <a:xfrm>
                    <a:off x="0" y="0"/>
                    <a:ext cx="547370" cy="473710"/>
                  </a:xfrm>
                  <a:prstGeom prst="rect">
                    <a:avLst/>
                  </a:prstGeom>
                  <a:noFill/>
                  <a:ln>
                    <a:noFill/>
                  </a:ln>
                </pic:spPr>
              </pic:pic>
            </a:graphicData>
          </a:graphic>
        </wp:inline>
      </w:drawing>
    </w:r>
    <w:r>
      <w:rPr>
        <w:rFonts w:hint="eastAsia" w:ascii="宋体" w:hAnsi="宋体" w:cs="宋体"/>
        <w:b/>
        <w:sz w:val="28"/>
        <w:u w:val="none"/>
        <w:lang w:eastAsia="zh-CN"/>
      </w:rPr>
      <w:t>重庆渝强工程项目管理有限公司</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rFonts w:hint="eastAsia" w:ascii="黑体" w:hAnsi="宋体" w:eastAsia="黑体"/>
        <w:b/>
        <w:sz w:val="96"/>
        <w:szCs w:val="96"/>
        <w:lang w:eastAsia="zh-CN"/>
      </w:rPr>
      <w:drawing>
        <wp:inline distT="0" distB="0" distL="114300" distR="114300">
          <wp:extent cx="547370" cy="473710"/>
          <wp:effectExtent l="0" t="0" r="5080" b="2540"/>
          <wp:docPr id="10" name="图片 1" descr="QQ图片2019061316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图片20190613164836"/>
                  <pic:cNvPicPr>
                    <a:picLocks noChangeAspect="1"/>
                  </pic:cNvPicPr>
                </pic:nvPicPr>
                <pic:blipFill>
                  <a:blip r:embed="rId1"/>
                  <a:stretch>
                    <a:fillRect/>
                  </a:stretch>
                </pic:blipFill>
                <pic:spPr>
                  <a:xfrm>
                    <a:off x="0" y="0"/>
                    <a:ext cx="547370" cy="473710"/>
                  </a:xfrm>
                  <a:prstGeom prst="rect">
                    <a:avLst/>
                  </a:prstGeom>
                  <a:noFill/>
                  <a:ln>
                    <a:noFill/>
                  </a:ln>
                </pic:spPr>
              </pic:pic>
            </a:graphicData>
          </a:graphic>
        </wp:inline>
      </w:drawing>
    </w:r>
    <w:r>
      <w:rPr>
        <w:rFonts w:hint="eastAsia" w:ascii="宋体" w:hAnsi="宋体" w:cs="宋体"/>
        <w:b/>
        <w:sz w:val="28"/>
        <w:u w:val="none"/>
        <w:lang w:eastAsia="zh-CN"/>
      </w:rPr>
      <w:t>重庆渝强工程项目管理有限公司</w:t>
    </w:r>
  </w:p>
  <w:p>
    <w:pPr>
      <w:pStyle w:val="18"/>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rFonts w:hint="eastAsia" w:ascii="黑体" w:hAnsi="宋体" w:eastAsia="黑体"/>
        <w:b/>
        <w:sz w:val="96"/>
        <w:szCs w:val="96"/>
        <w:lang w:eastAsia="zh-CN"/>
      </w:rPr>
      <w:drawing>
        <wp:inline distT="0" distB="0" distL="114300" distR="114300">
          <wp:extent cx="547370" cy="473710"/>
          <wp:effectExtent l="0" t="0" r="5080" b="2540"/>
          <wp:docPr id="11" name="图片 1" descr="QQ图片2019061316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QQ图片20190613164836"/>
                  <pic:cNvPicPr>
                    <a:picLocks noChangeAspect="1"/>
                  </pic:cNvPicPr>
                </pic:nvPicPr>
                <pic:blipFill>
                  <a:blip r:embed="rId1"/>
                  <a:stretch>
                    <a:fillRect/>
                  </a:stretch>
                </pic:blipFill>
                <pic:spPr>
                  <a:xfrm>
                    <a:off x="0" y="0"/>
                    <a:ext cx="547370" cy="473710"/>
                  </a:xfrm>
                  <a:prstGeom prst="rect">
                    <a:avLst/>
                  </a:prstGeom>
                  <a:noFill/>
                  <a:ln>
                    <a:noFill/>
                  </a:ln>
                </pic:spPr>
              </pic:pic>
            </a:graphicData>
          </a:graphic>
        </wp:inline>
      </w:drawing>
    </w:r>
    <w:r>
      <w:rPr>
        <w:rFonts w:hint="eastAsia" w:ascii="宋体" w:hAnsi="宋体" w:cs="宋体"/>
        <w:b/>
        <w:sz w:val="28"/>
        <w:u w:val="none"/>
        <w:lang w:eastAsia="zh-CN"/>
      </w:rPr>
      <w:t>重庆渝强工程项目管理有限公司</w:t>
    </w:r>
  </w:p>
  <w:p>
    <w:pPr>
      <w:pStyle w:val="18"/>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33px;height:31px" o:bullet="t">
        <v:imagedata r:id="rId1" o:title=""/>
      </v:shape>
    </w:pict>
  </w:numPicBullet>
  <w:abstractNum w:abstractNumId="0">
    <w:nsid w:val="8394470B"/>
    <w:multiLevelType w:val="singleLevel"/>
    <w:tmpl w:val="8394470B"/>
    <w:lvl w:ilvl="0" w:tentative="0">
      <w:start w:val="1"/>
      <w:numFmt w:val="decimal"/>
      <w:pStyle w:val="13"/>
      <w:lvlText w:val="%1."/>
      <w:lvlJc w:val="left"/>
      <w:pPr>
        <w:tabs>
          <w:tab w:val="left" w:pos="1200"/>
        </w:tabs>
        <w:ind w:left="1200" w:hanging="360"/>
      </w:pPr>
    </w:lvl>
  </w:abstractNum>
  <w:abstractNum w:abstractNumId="1">
    <w:nsid w:val="9A78435C"/>
    <w:multiLevelType w:val="singleLevel"/>
    <w:tmpl w:val="9A78435C"/>
    <w:lvl w:ilvl="0" w:tentative="0">
      <w:start w:val="3"/>
      <w:numFmt w:val="decimal"/>
      <w:suff w:val="space"/>
      <w:lvlText w:val="(%1)"/>
      <w:lvlJc w:val="left"/>
    </w:lvl>
  </w:abstractNum>
  <w:abstractNum w:abstractNumId="2">
    <w:nsid w:val="B1478D62"/>
    <w:multiLevelType w:val="singleLevel"/>
    <w:tmpl w:val="B1478D62"/>
    <w:lvl w:ilvl="0" w:tentative="0">
      <w:start w:val="1"/>
      <w:numFmt w:val="decimal"/>
      <w:lvlText w:val="%1."/>
      <w:lvlJc w:val="left"/>
      <w:pPr>
        <w:tabs>
          <w:tab w:val="left" w:pos="312"/>
        </w:tabs>
      </w:pPr>
    </w:lvl>
  </w:abstractNum>
  <w:abstractNum w:abstractNumId="3">
    <w:nsid w:val="BAFD2164"/>
    <w:multiLevelType w:val="singleLevel"/>
    <w:tmpl w:val="BAFD2164"/>
    <w:lvl w:ilvl="0" w:tentative="0">
      <w:start w:val="2"/>
      <w:numFmt w:val="chineseCounting"/>
      <w:suff w:val="nothing"/>
      <w:lvlText w:val="%1、"/>
      <w:lvlJc w:val="left"/>
      <w:rPr>
        <w:rFonts w:hint="eastAsia"/>
      </w:rPr>
    </w:lvl>
  </w:abstractNum>
  <w:abstractNum w:abstractNumId="4">
    <w:nsid w:val="E932E888"/>
    <w:multiLevelType w:val="singleLevel"/>
    <w:tmpl w:val="E932E888"/>
    <w:lvl w:ilvl="0" w:tentative="0">
      <w:start w:val="1"/>
      <w:numFmt w:val="decimal"/>
      <w:suff w:val="nothing"/>
      <w:lvlText w:val="%1、"/>
      <w:lvlJc w:val="left"/>
    </w:lvl>
  </w:abstractNum>
  <w:abstractNum w:abstractNumId="5">
    <w:nsid w:val="F4429AFF"/>
    <w:multiLevelType w:val="singleLevel"/>
    <w:tmpl w:val="F4429AFF"/>
    <w:lvl w:ilvl="0" w:tentative="0">
      <w:start w:val="5"/>
      <w:numFmt w:val="chineseCounting"/>
      <w:suff w:val="nothing"/>
      <w:lvlText w:val="%1、"/>
      <w:lvlJc w:val="left"/>
      <w:rPr>
        <w:rFonts w:hint="eastAsia"/>
      </w:rPr>
    </w:lvl>
  </w:abstractNum>
  <w:abstractNum w:abstractNumId="6">
    <w:nsid w:val="F6E0681C"/>
    <w:multiLevelType w:val="singleLevel"/>
    <w:tmpl w:val="F6E0681C"/>
    <w:lvl w:ilvl="0" w:tentative="0">
      <w:start w:val="1"/>
      <w:numFmt w:val="decimal"/>
      <w:suff w:val="nothing"/>
      <w:lvlText w:val="%1、"/>
      <w:lvlJc w:val="left"/>
    </w:lvl>
  </w:abstractNum>
  <w:abstractNum w:abstractNumId="7">
    <w:nsid w:val="00000000"/>
    <w:multiLevelType w:val="multilevel"/>
    <w:tmpl w:val="0000000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00000002"/>
    <w:multiLevelType w:val="multilevel"/>
    <w:tmpl w:val="00000002"/>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00000006"/>
    <w:multiLevelType w:val="multilevel"/>
    <w:tmpl w:val="00000006"/>
    <w:lvl w:ilvl="0" w:tentative="0">
      <w:start w:val="1"/>
      <w:numFmt w:val="decimal"/>
      <w:lvlText w:val="（%1）"/>
      <w:lvlJc w:val="left"/>
      <w:pPr>
        <w:tabs>
          <w:tab w:val="left" w:pos="1571"/>
        </w:tabs>
        <w:ind w:left="1720"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0891B800"/>
    <w:multiLevelType w:val="singleLevel"/>
    <w:tmpl w:val="0891B800"/>
    <w:lvl w:ilvl="0" w:tentative="0">
      <w:start w:val="1"/>
      <w:numFmt w:val="chineseCounting"/>
      <w:suff w:val="nothing"/>
      <w:lvlText w:val="%1、"/>
      <w:lvlJc w:val="left"/>
      <w:rPr>
        <w:rFonts w:hint="eastAsia"/>
      </w:rPr>
    </w:lvl>
  </w:abstractNum>
  <w:abstractNum w:abstractNumId="13">
    <w:nsid w:val="2BF57F37"/>
    <w:multiLevelType w:val="multilevel"/>
    <w:tmpl w:val="2BF57F37"/>
    <w:lvl w:ilvl="0" w:tentative="0">
      <w:start w:val="1"/>
      <w:numFmt w:val="chineseCountingThousand"/>
      <w:suff w:val="space"/>
      <w:lvlText w:val="第%1章"/>
      <w:lvlJc w:val="left"/>
      <w:pPr>
        <w:ind w:left="0" w:firstLine="0"/>
      </w:pPr>
      <w:rPr>
        <w:rFonts w:hint="eastAsia" w:ascii="Arial Unicode MS" w:hAnsi="Arial Unicode MS" w:eastAsia="宋体"/>
        <w:b/>
        <w:i w:val="0"/>
        <w:sz w:val="44"/>
      </w:rPr>
    </w:lvl>
    <w:lvl w:ilvl="1" w:tentative="0">
      <w:start w:val="1"/>
      <w:numFmt w:val="decimal"/>
      <w:pStyle w:val="54"/>
      <w:isLgl/>
      <w:suff w:val="space"/>
      <w:lvlText w:val="%1.%2"/>
      <w:lvlJc w:val="left"/>
      <w:pPr>
        <w:ind w:left="0" w:firstLine="0"/>
      </w:pPr>
      <w:rPr>
        <w:rFonts w:hint="eastAsia" w:ascii="Arial Unicode MS" w:hAnsi="Arial Unicode MS" w:eastAsia="宋体"/>
        <w:b w:val="0"/>
        <w:i w:val="0"/>
        <w:sz w:val="24"/>
      </w:rPr>
    </w:lvl>
    <w:lvl w:ilvl="2" w:tentative="0">
      <w:start w:val="1"/>
      <w:numFmt w:val="decimal"/>
      <w:isLgl/>
      <w:suff w:val="space"/>
      <w:lvlText w:val="%1.%2.%3"/>
      <w:lvlJc w:val="left"/>
      <w:pPr>
        <w:ind w:left="852" w:firstLine="0"/>
      </w:pPr>
      <w:rPr>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eastAsia" w:ascii="Arial Unicode MS" w:hAnsi="Arial Unicode MS" w:eastAsia="宋体"/>
        <w:b w:val="0"/>
        <w:i w:val="0"/>
        <w:sz w:val="24"/>
      </w:rPr>
    </w:lvl>
    <w:lvl w:ilvl="4" w:tentative="0">
      <w:start w:val="1"/>
      <w:numFmt w:val="decimal"/>
      <w:isLgl/>
      <w:suff w:val="space"/>
      <w:lvlText w:val="%1.%2.%3.%4.%5"/>
      <w:lvlJc w:val="left"/>
      <w:pPr>
        <w:ind w:left="0" w:firstLine="0"/>
      </w:pPr>
      <w:rPr>
        <w:rFonts w:hint="eastAsia" w:ascii="Arial Unicode MS" w:hAnsi="Arial Unicode MS" w:eastAsia="宋体"/>
        <w:b w:val="0"/>
        <w:i w:val="0"/>
        <w:sz w:val="24"/>
      </w:rPr>
    </w:lvl>
    <w:lvl w:ilvl="5" w:tentative="0">
      <w:start w:val="1"/>
      <w:numFmt w:val="decimal"/>
      <w:isLgl/>
      <w:suff w:val="space"/>
      <w:lvlText w:val="%1.%2.%3.%4.%5.%6"/>
      <w:lvlJc w:val="left"/>
      <w:pPr>
        <w:ind w:left="0" w:firstLine="0"/>
      </w:pPr>
      <w:rPr>
        <w:rFonts w:hint="eastAsia" w:ascii="Arial Unicode MS" w:hAnsi="Arial Unicode MS" w:eastAsia="宋体"/>
        <w:b w:val="0"/>
        <w:i w:val="0"/>
        <w:sz w:val="24"/>
      </w:rPr>
    </w:lvl>
    <w:lvl w:ilvl="6" w:tentative="0">
      <w:start w:val="1"/>
      <w:numFmt w:val="decimal"/>
      <w:isLgl/>
      <w:suff w:val="space"/>
      <w:lvlText w:val="%1.%2.%3.%4.%5.%6.%7"/>
      <w:lvlJc w:val="left"/>
      <w:pPr>
        <w:ind w:left="0" w:firstLine="0"/>
      </w:pPr>
      <w:rPr>
        <w:rFonts w:hint="eastAsia" w:ascii="Arial Unicode MS" w:hAnsi="Arial Unicode MS" w:eastAsia="宋体"/>
        <w:b w:val="0"/>
        <w:i w:val="0"/>
        <w:sz w:val="24"/>
      </w:rPr>
    </w:lvl>
    <w:lvl w:ilvl="7" w:tentative="0">
      <w:start w:val="1"/>
      <w:numFmt w:val="decimal"/>
      <w:isLgl/>
      <w:suff w:val="space"/>
      <w:lvlText w:val="%1.%2.%3.%4.%5.%6.%7.%8"/>
      <w:lvlJc w:val="left"/>
      <w:pPr>
        <w:ind w:left="0" w:firstLine="0"/>
      </w:pPr>
      <w:rPr>
        <w:rFonts w:hint="eastAsia" w:ascii="Arial Unicode MS" w:hAnsi="Arial Unicode MS" w:eastAsia="宋体"/>
        <w:b w:val="0"/>
        <w:i w:val="0"/>
        <w:sz w:val="24"/>
      </w:rPr>
    </w:lvl>
    <w:lvl w:ilvl="8" w:tentative="0">
      <w:start w:val="1"/>
      <w:numFmt w:val="decimal"/>
      <w:isLgl/>
      <w:suff w:val="space"/>
      <w:lvlText w:val="%1.%2.%3.%4.%5.%6.%7.%8.%9"/>
      <w:lvlJc w:val="left"/>
      <w:pPr>
        <w:ind w:left="0" w:firstLine="0"/>
      </w:pPr>
      <w:rPr>
        <w:rFonts w:hint="eastAsia" w:ascii="Arial Unicode MS" w:hAnsi="Arial Unicode MS" w:eastAsia="宋体"/>
        <w:b w:val="0"/>
        <w:i w:val="0"/>
        <w:sz w:val="24"/>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E3A585E"/>
    <w:multiLevelType w:val="multilevel"/>
    <w:tmpl w:val="4E3A585E"/>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6">
    <w:nsid w:val="77266D5F"/>
    <w:multiLevelType w:val="singleLevel"/>
    <w:tmpl w:val="77266D5F"/>
    <w:lvl w:ilvl="0" w:tentative="0">
      <w:start w:val="5"/>
      <w:numFmt w:val="decimal"/>
      <w:suff w:val="space"/>
      <w:lvlText w:val="第%1章"/>
      <w:lvlJc w:val="left"/>
    </w:lvl>
  </w:abstractNum>
  <w:num w:numId="1">
    <w:abstractNumId w:val="0"/>
  </w:num>
  <w:num w:numId="2">
    <w:abstractNumId w:val="14"/>
  </w:num>
  <w:num w:numId="3">
    <w:abstractNumId w:val="13"/>
  </w:num>
  <w:num w:numId="4">
    <w:abstractNumId w:val="10"/>
  </w:num>
  <w:num w:numId="5">
    <w:abstractNumId w:val="11"/>
  </w:num>
  <w:num w:numId="6">
    <w:abstractNumId w:val="8"/>
  </w:num>
  <w:num w:numId="7">
    <w:abstractNumId w:val="9"/>
  </w:num>
  <w:num w:numId="8">
    <w:abstractNumId w:val="6"/>
  </w:num>
  <w:num w:numId="9">
    <w:abstractNumId w:val="15"/>
  </w:num>
  <w:num w:numId="10">
    <w:abstractNumId w:val="3"/>
  </w:num>
  <w:num w:numId="11">
    <w:abstractNumId w:val="16"/>
  </w:num>
  <w:num w:numId="12">
    <w:abstractNumId w:val="7"/>
  </w:num>
  <w:num w:numId="13">
    <w:abstractNumId w:val="12"/>
  </w:num>
  <w:num w:numId="14">
    <w:abstractNumId w:val="4"/>
  </w:num>
  <w:num w:numId="15">
    <w:abstractNumId w:val="1"/>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ZWFjMjMyOTZjYWEzYzQ2MjQ0MTBjYzMzYTJlMTQifQ=="/>
  </w:docVars>
  <w:rsids>
    <w:rsidRoot w:val="2B766714"/>
    <w:rsid w:val="00082CC5"/>
    <w:rsid w:val="0009257D"/>
    <w:rsid w:val="000A4C41"/>
    <w:rsid w:val="000D1F0F"/>
    <w:rsid w:val="000E4CDE"/>
    <w:rsid w:val="000F5D13"/>
    <w:rsid w:val="00134139"/>
    <w:rsid w:val="001508B1"/>
    <w:rsid w:val="00154221"/>
    <w:rsid w:val="00163B31"/>
    <w:rsid w:val="00197C72"/>
    <w:rsid w:val="001B5ACB"/>
    <w:rsid w:val="00240A03"/>
    <w:rsid w:val="0025212E"/>
    <w:rsid w:val="00267102"/>
    <w:rsid w:val="00273C39"/>
    <w:rsid w:val="002D1B69"/>
    <w:rsid w:val="002E0E7A"/>
    <w:rsid w:val="002F1DE3"/>
    <w:rsid w:val="002F2A8C"/>
    <w:rsid w:val="0031767F"/>
    <w:rsid w:val="003315CE"/>
    <w:rsid w:val="003417AD"/>
    <w:rsid w:val="00347E28"/>
    <w:rsid w:val="003A3C9A"/>
    <w:rsid w:val="003A6A20"/>
    <w:rsid w:val="003D70B7"/>
    <w:rsid w:val="00440FAE"/>
    <w:rsid w:val="004570E3"/>
    <w:rsid w:val="004824D5"/>
    <w:rsid w:val="004C5056"/>
    <w:rsid w:val="004E279A"/>
    <w:rsid w:val="004E6650"/>
    <w:rsid w:val="004F2200"/>
    <w:rsid w:val="00516878"/>
    <w:rsid w:val="00524899"/>
    <w:rsid w:val="00535E16"/>
    <w:rsid w:val="00544AC2"/>
    <w:rsid w:val="00557608"/>
    <w:rsid w:val="00570968"/>
    <w:rsid w:val="005A2809"/>
    <w:rsid w:val="005A4588"/>
    <w:rsid w:val="005B720D"/>
    <w:rsid w:val="005C75E1"/>
    <w:rsid w:val="005F4459"/>
    <w:rsid w:val="005F51A4"/>
    <w:rsid w:val="0062373C"/>
    <w:rsid w:val="006555A8"/>
    <w:rsid w:val="006A6D9A"/>
    <w:rsid w:val="006D0F34"/>
    <w:rsid w:val="00705174"/>
    <w:rsid w:val="0071072F"/>
    <w:rsid w:val="007315E2"/>
    <w:rsid w:val="0073510D"/>
    <w:rsid w:val="00750B5D"/>
    <w:rsid w:val="0076601B"/>
    <w:rsid w:val="00770688"/>
    <w:rsid w:val="007A0BD6"/>
    <w:rsid w:val="007A1BCF"/>
    <w:rsid w:val="007C6FE5"/>
    <w:rsid w:val="007E0395"/>
    <w:rsid w:val="007E39CA"/>
    <w:rsid w:val="00805AF2"/>
    <w:rsid w:val="00827889"/>
    <w:rsid w:val="0084358C"/>
    <w:rsid w:val="00846B2D"/>
    <w:rsid w:val="00864185"/>
    <w:rsid w:val="00897DB8"/>
    <w:rsid w:val="008D1CBE"/>
    <w:rsid w:val="008E42A6"/>
    <w:rsid w:val="009417FB"/>
    <w:rsid w:val="00944411"/>
    <w:rsid w:val="009616B6"/>
    <w:rsid w:val="0096269C"/>
    <w:rsid w:val="009629C3"/>
    <w:rsid w:val="00980649"/>
    <w:rsid w:val="00991EE6"/>
    <w:rsid w:val="009C0BAB"/>
    <w:rsid w:val="009D1A34"/>
    <w:rsid w:val="00A161A4"/>
    <w:rsid w:val="00A22450"/>
    <w:rsid w:val="00A33435"/>
    <w:rsid w:val="00A44D82"/>
    <w:rsid w:val="00A66774"/>
    <w:rsid w:val="00AB22F2"/>
    <w:rsid w:val="00AB6E15"/>
    <w:rsid w:val="00AC0C98"/>
    <w:rsid w:val="00B24DB3"/>
    <w:rsid w:val="00B336AB"/>
    <w:rsid w:val="00B420C3"/>
    <w:rsid w:val="00B44E73"/>
    <w:rsid w:val="00BA01DB"/>
    <w:rsid w:val="00C12D06"/>
    <w:rsid w:val="00C15737"/>
    <w:rsid w:val="00C16D4D"/>
    <w:rsid w:val="00C3299B"/>
    <w:rsid w:val="00C64CAE"/>
    <w:rsid w:val="00C703B4"/>
    <w:rsid w:val="00C758F2"/>
    <w:rsid w:val="00CA2F56"/>
    <w:rsid w:val="00CE1695"/>
    <w:rsid w:val="00D14278"/>
    <w:rsid w:val="00D16C57"/>
    <w:rsid w:val="00D4269F"/>
    <w:rsid w:val="00D6591D"/>
    <w:rsid w:val="00D72492"/>
    <w:rsid w:val="00D9096D"/>
    <w:rsid w:val="00DB7DD6"/>
    <w:rsid w:val="00DC6011"/>
    <w:rsid w:val="00E25903"/>
    <w:rsid w:val="00E44983"/>
    <w:rsid w:val="00EE24C8"/>
    <w:rsid w:val="00EE4512"/>
    <w:rsid w:val="00F25C2E"/>
    <w:rsid w:val="00F51968"/>
    <w:rsid w:val="00F53821"/>
    <w:rsid w:val="00FB1937"/>
    <w:rsid w:val="00FC0E1C"/>
    <w:rsid w:val="00FC71FA"/>
    <w:rsid w:val="00FE4037"/>
    <w:rsid w:val="011451E5"/>
    <w:rsid w:val="011B5806"/>
    <w:rsid w:val="01260E98"/>
    <w:rsid w:val="0173449E"/>
    <w:rsid w:val="017E294C"/>
    <w:rsid w:val="018B437B"/>
    <w:rsid w:val="01907716"/>
    <w:rsid w:val="01B27D79"/>
    <w:rsid w:val="01BC000C"/>
    <w:rsid w:val="01E054EB"/>
    <w:rsid w:val="01E356E4"/>
    <w:rsid w:val="01E5639D"/>
    <w:rsid w:val="01F108FA"/>
    <w:rsid w:val="021E0B6B"/>
    <w:rsid w:val="0227136C"/>
    <w:rsid w:val="023733BA"/>
    <w:rsid w:val="02666DDC"/>
    <w:rsid w:val="026F68CD"/>
    <w:rsid w:val="02A71A24"/>
    <w:rsid w:val="02A809FB"/>
    <w:rsid w:val="02A8503A"/>
    <w:rsid w:val="02B838C4"/>
    <w:rsid w:val="02BD6A56"/>
    <w:rsid w:val="02C75660"/>
    <w:rsid w:val="02CC5F75"/>
    <w:rsid w:val="02D325AC"/>
    <w:rsid w:val="02DB27CA"/>
    <w:rsid w:val="02E3395E"/>
    <w:rsid w:val="032D784A"/>
    <w:rsid w:val="03334C86"/>
    <w:rsid w:val="0372561C"/>
    <w:rsid w:val="03AD78ED"/>
    <w:rsid w:val="03C70F9B"/>
    <w:rsid w:val="03D3032B"/>
    <w:rsid w:val="03D80D6B"/>
    <w:rsid w:val="04142570"/>
    <w:rsid w:val="04160078"/>
    <w:rsid w:val="041E2B93"/>
    <w:rsid w:val="043A15A5"/>
    <w:rsid w:val="046A30EB"/>
    <w:rsid w:val="04706253"/>
    <w:rsid w:val="04A27427"/>
    <w:rsid w:val="04FC1A4C"/>
    <w:rsid w:val="056C2F2A"/>
    <w:rsid w:val="05793C8D"/>
    <w:rsid w:val="058A1461"/>
    <w:rsid w:val="05BD5540"/>
    <w:rsid w:val="05DD08BF"/>
    <w:rsid w:val="05F80BBB"/>
    <w:rsid w:val="061B1A77"/>
    <w:rsid w:val="0623504E"/>
    <w:rsid w:val="0626358E"/>
    <w:rsid w:val="06316315"/>
    <w:rsid w:val="063444C9"/>
    <w:rsid w:val="065D3220"/>
    <w:rsid w:val="068964A2"/>
    <w:rsid w:val="06A4197A"/>
    <w:rsid w:val="06B05E6C"/>
    <w:rsid w:val="06DE18AF"/>
    <w:rsid w:val="071640EA"/>
    <w:rsid w:val="07235EBB"/>
    <w:rsid w:val="07270DBE"/>
    <w:rsid w:val="07286E0B"/>
    <w:rsid w:val="073D11BB"/>
    <w:rsid w:val="074309F6"/>
    <w:rsid w:val="07640E6F"/>
    <w:rsid w:val="07685F76"/>
    <w:rsid w:val="07AD7EF2"/>
    <w:rsid w:val="07CC2505"/>
    <w:rsid w:val="07CD70DE"/>
    <w:rsid w:val="07D40196"/>
    <w:rsid w:val="07D41F0B"/>
    <w:rsid w:val="081603DE"/>
    <w:rsid w:val="08193221"/>
    <w:rsid w:val="087545B4"/>
    <w:rsid w:val="08840C31"/>
    <w:rsid w:val="089A06F3"/>
    <w:rsid w:val="08B313DE"/>
    <w:rsid w:val="08B83077"/>
    <w:rsid w:val="08CC2F90"/>
    <w:rsid w:val="08CE309F"/>
    <w:rsid w:val="08D22C3F"/>
    <w:rsid w:val="08F52CAE"/>
    <w:rsid w:val="09101F05"/>
    <w:rsid w:val="09267E71"/>
    <w:rsid w:val="09302083"/>
    <w:rsid w:val="096D3DB7"/>
    <w:rsid w:val="09725F09"/>
    <w:rsid w:val="097D5A5F"/>
    <w:rsid w:val="09850485"/>
    <w:rsid w:val="098A7B3C"/>
    <w:rsid w:val="099B21E1"/>
    <w:rsid w:val="09B74019"/>
    <w:rsid w:val="09E3095D"/>
    <w:rsid w:val="09E70EAA"/>
    <w:rsid w:val="0A407AC5"/>
    <w:rsid w:val="0A467ECA"/>
    <w:rsid w:val="0A4B32DE"/>
    <w:rsid w:val="0A852BA5"/>
    <w:rsid w:val="0A891044"/>
    <w:rsid w:val="0A9B61EF"/>
    <w:rsid w:val="0ADE32D0"/>
    <w:rsid w:val="0AE46AC4"/>
    <w:rsid w:val="0B1B1D5D"/>
    <w:rsid w:val="0B1B54BA"/>
    <w:rsid w:val="0B2300E8"/>
    <w:rsid w:val="0B2564EC"/>
    <w:rsid w:val="0B2D66F1"/>
    <w:rsid w:val="0B4326D7"/>
    <w:rsid w:val="0B46278F"/>
    <w:rsid w:val="0B6364DA"/>
    <w:rsid w:val="0B8A7145"/>
    <w:rsid w:val="0B8E420A"/>
    <w:rsid w:val="0B92517F"/>
    <w:rsid w:val="0BA41B6F"/>
    <w:rsid w:val="0BA437AE"/>
    <w:rsid w:val="0BA97FE0"/>
    <w:rsid w:val="0BB71988"/>
    <w:rsid w:val="0BC14546"/>
    <w:rsid w:val="0BE02E7E"/>
    <w:rsid w:val="0C1431E4"/>
    <w:rsid w:val="0C230B0A"/>
    <w:rsid w:val="0C577970"/>
    <w:rsid w:val="0C882180"/>
    <w:rsid w:val="0C9716BF"/>
    <w:rsid w:val="0CC84222"/>
    <w:rsid w:val="0CD868B5"/>
    <w:rsid w:val="0CDC2263"/>
    <w:rsid w:val="0CE25D0A"/>
    <w:rsid w:val="0CFC6222"/>
    <w:rsid w:val="0D1A718C"/>
    <w:rsid w:val="0D2B43ED"/>
    <w:rsid w:val="0D5230BF"/>
    <w:rsid w:val="0D60017B"/>
    <w:rsid w:val="0DAE19C1"/>
    <w:rsid w:val="0DC04466"/>
    <w:rsid w:val="0DF171E8"/>
    <w:rsid w:val="0DF537F1"/>
    <w:rsid w:val="0DFC0F0C"/>
    <w:rsid w:val="0DFC6F11"/>
    <w:rsid w:val="0E332673"/>
    <w:rsid w:val="0E43752E"/>
    <w:rsid w:val="0E6E3B77"/>
    <w:rsid w:val="0E7E7C3E"/>
    <w:rsid w:val="0E8D7BCF"/>
    <w:rsid w:val="0E970D50"/>
    <w:rsid w:val="0EA60B88"/>
    <w:rsid w:val="0EBD6594"/>
    <w:rsid w:val="0EEF23BD"/>
    <w:rsid w:val="0EFE7C26"/>
    <w:rsid w:val="0F023581"/>
    <w:rsid w:val="0F3A2644"/>
    <w:rsid w:val="0F453F26"/>
    <w:rsid w:val="0F531210"/>
    <w:rsid w:val="0F551E1C"/>
    <w:rsid w:val="0F574D50"/>
    <w:rsid w:val="0F7828E5"/>
    <w:rsid w:val="0F890836"/>
    <w:rsid w:val="0F9D0B33"/>
    <w:rsid w:val="0FFC48BC"/>
    <w:rsid w:val="10006E41"/>
    <w:rsid w:val="101831FE"/>
    <w:rsid w:val="10186699"/>
    <w:rsid w:val="104472CC"/>
    <w:rsid w:val="104A10AB"/>
    <w:rsid w:val="104E39A2"/>
    <w:rsid w:val="107E6DB2"/>
    <w:rsid w:val="108466FD"/>
    <w:rsid w:val="10906FCC"/>
    <w:rsid w:val="1097590F"/>
    <w:rsid w:val="10A83139"/>
    <w:rsid w:val="10E635B3"/>
    <w:rsid w:val="11037883"/>
    <w:rsid w:val="110558A7"/>
    <w:rsid w:val="110A4754"/>
    <w:rsid w:val="11132BF8"/>
    <w:rsid w:val="11167D8E"/>
    <w:rsid w:val="11187D0C"/>
    <w:rsid w:val="113E4E7F"/>
    <w:rsid w:val="11616B5B"/>
    <w:rsid w:val="117A0CCD"/>
    <w:rsid w:val="117F67C0"/>
    <w:rsid w:val="11A44F61"/>
    <w:rsid w:val="11CF3C3A"/>
    <w:rsid w:val="11D52640"/>
    <w:rsid w:val="11F15DE8"/>
    <w:rsid w:val="122354D6"/>
    <w:rsid w:val="12343CF4"/>
    <w:rsid w:val="125454AF"/>
    <w:rsid w:val="1256384E"/>
    <w:rsid w:val="125B7F12"/>
    <w:rsid w:val="1263714C"/>
    <w:rsid w:val="126943D7"/>
    <w:rsid w:val="126D575A"/>
    <w:rsid w:val="12F5427F"/>
    <w:rsid w:val="12FC640C"/>
    <w:rsid w:val="13004BC9"/>
    <w:rsid w:val="133B03B9"/>
    <w:rsid w:val="135B444E"/>
    <w:rsid w:val="136A106C"/>
    <w:rsid w:val="13765E80"/>
    <w:rsid w:val="13784C7F"/>
    <w:rsid w:val="13922E01"/>
    <w:rsid w:val="13AF7782"/>
    <w:rsid w:val="141D6E9E"/>
    <w:rsid w:val="142337EE"/>
    <w:rsid w:val="14353DBB"/>
    <w:rsid w:val="14407686"/>
    <w:rsid w:val="14424E12"/>
    <w:rsid w:val="144E11D5"/>
    <w:rsid w:val="14536EEE"/>
    <w:rsid w:val="1476601F"/>
    <w:rsid w:val="147A532B"/>
    <w:rsid w:val="1484058D"/>
    <w:rsid w:val="1488541C"/>
    <w:rsid w:val="149208C7"/>
    <w:rsid w:val="14940629"/>
    <w:rsid w:val="14A50354"/>
    <w:rsid w:val="14C04132"/>
    <w:rsid w:val="14CC5597"/>
    <w:rsid w:val="14E57746"/>
    <w:rsid w:val="15266D48"/>
    <w:rsid w:val="152F3EEE"/>
    <w:rsid w:val="153822EB"/>
    <w:rsid w:val="15896422"/>
    <w:rsid w:val="159F73B4"/>
    <w:rsid w:val="15E243D7"/>
    <w:rsid w:val="15EB6866"/>
    <w:rsid w:val="160307E7"/>
    <w:rsid w:val="161A5383"/>
    <w:rsid w:val="16377990"/>
    <w:rsid w:val="168A6AF7"/>
    <w:rsid w:val="16A42EF2"/>
    <w:rsid w:val="16E76E8A"/>
    <w:rsid w:val="16F26F07"/>
    <w:rsid w:val="16FA006C"/>
    <w:rsid w:val="1711193B"/>
    <w:rsid w:val="17126B54"/>
    <w:rsid w:val="17356C1E"/>
    <w:rsid w:val="17752A11"/>
    <w:rsid w:val="17B65DF6"/>
    <w:rsid w:val="17C04692"/>
    <w:rsid w:val="17F737DD"/>
    <w:rsid w:val="17FD4B9D"/>
    <w:rsid w:val="183A346B"/>
    <w:rsid w:val="183F65FE"/>
    <w:rsid w:val="1846739F"/>
    <w:rsid w:val="184F7FD1"/>
    <w:rsid w:val="185C01F8"/>
    <w:rsid w:val="186B70D0"/>
    <w:rsid w:val="1873050E"/>
    <w:rsid w:val="18A11E42"/>
    <w:rsid w:val="18E16723"/>
    <w:rsid w:val="192744B0"/>
    <w:rsid w:val="19515F6C"/>
    <w:rsid w:val="1967041A"/>
    <w:rsid w:val="19753BBA"/>
    <w:rsid w:val="19D8299C"/>
    <w:rsid w:val="19F33B45"/>
    <w:rsid w:val="1A572145"/>
    <w:rsid w:val="1A59308F"/>
    <w:rsid w:val="1A5C0A77"/>
    <w:rsid w:val="1A9B0ECB"/>
    <w:rsid w:val="1AF07821"/>
    <w:rsid w:val="1AFA7FEA"/>
    <w:rsid w:val="1B1B599A"/>
    <w:rsid w:val="1B1D5AC2"/>
    <w:rsid w:val="1B2F5B3A"/>
    <w:rsid w:val="1B4F1C65"/>
    <w:rsid w:val="1B7F7374"/>
    <w:rsid w:val="1B821AF4"/>
    <w:rsid w:val="1BBD0E72"/>
    <w:rsid w:val="1BC91F9D"/>
    <w:rsid w:val="1BCC4229"/>
    <w:rsid w:val="1BDC525F"/>
    <w:rsid w:val="1BF40E8D"/>
    <w:rsid w:val="1C0E6153"/>
    <w:rsid w:val="1C8D3112"/>
    <w:rsid w:val="1CCC1449"/>
    <w:rsid w:val="1CD63E20"/>
    <w:rsid w:val="1CD81CFE"/>
    <w:rsid w:val="1CD97524"/>
    <w:rsid w:val="1D696B1C"/>
    <w:rsid w:val="1DA17BF8"/>
    <w:rsid w:val="1DA67191"/>
    <w:rsid w:val="1DC57394"/>
    <w:rsid w:val="1E0E0118"/>
    <w:rsid w:val="1E1D6F6B"/>
    <w:rsid w:val="1E3B4183"/>
    <w:rsid w:val="1E5971C8"/>
    <w:rsid w:val="1E615491"/>
    <w:rsid w:val="1E6900DD"/>
    <w:rsid w:val="1E846355"/>
    <w:rsid w:val="1E892D3B"/>
    <w:rsid w:val="1E8D2FC4"/>
    <w:rsid w:val="1EA152C1"/>
    <w:rsid w:val="1EB261AD"/>
    <w:rsid w:val="1ED207E2"/>
    <w:rsid w:val="1EF9209E"/>
    <w:rsid w:val="1EF973CF"/>
    <w:rsid w:val="1F0719A4"/>
    <w:rsid w:val="1F075914"/>
    <w:rsid w:val="1F0A507D"/>
    <w:rsid w:val="1F1C47C9"/>
    <w:rsid w:val="1F2345B0"/>
    <w:rsid w:val="1F644EA6"/>
    <w:rsid w:val="1F770DE5"/>
    <w:rsid w:val="1F8871CC"/>
    <w:rsid w:val="1FB42AA4"/>
    <w:rsid w:val="1FBD19F2"/>
    <w:rsid w:val="1FCA1817"/>
    <w:rsid w:val="1FCB6E1E"/>
    <w:rsid w:val="20085431"/>
    <w:rsid w:val="20D70921"/>
    <w:rsid w:val="20E7681E"/>
    <w:rsid w:val="20F02896"/>
    <w:rsid w:val="210C16A4"/>
    <w:rsid w:val="211A4735"/>
    <w:rsid w:val="213B6191"/>
    <w:rsid w:val="2141638E"/>
    <w:rsid w:val="214746D6"/>
    <w:rsid w:val="214A2A39"/>
    <w:rsid w:val="219F7764"/>
    <w:rsid w:val="21C2005C"/>
    <w:rsid w:val="21CB5418"/>
    <w:rsid w:val="21E37747"/>
    <w:rsid w:val="21EF6DD2"/>
    <w:rsid w:val="220D0B16"/>
    <w:rsid w:val="22440F35"/>
    <w:rsid w:val="225738BE"/>
    <w:rsid w:val="227F4939"/>
    <w:rsid w:val="22A1112C"/>
    <w:rsid w:val="22CD786A"/>
    <w:rsid w:val="22E64CF4"/>
    <w:rsid w:val="231921B3"/>
    <w:rsid w:val="232C5531"/>
    <w:rsid w:val="23421E97"/>
    <w:rsid w:val="234747B2"/>
    <w:rsid w:val="23A56C30"/>
    <w:rsid w:val="240B7B36"/>
    <w:rsid w:val="241C73D4"/>
    <w:rsid w:val="244A27D5"/>
    <w:rsid w:val="24741376"/>
    <w:rsid w:val="249236B5"/>
    <w:rsid w:val="24960BB6"/>
    <w:rsid w:val="24AC3C23"/>
    <w:rsid w:val="24B24245"/>
    <w:rsid w:val="24BA19C6"/>
    <w:rsid w:val="24CA684E"/>
    <w:rsid w:val="24DB4201"/>
    <w:rsid w:val="24E20E4A"/>
    <w:rsid w:val="24E673FF"/>
    <w:rsid w:val="252D7380"/>
    <w:rsid w:val="252F6A07"/>
    <w:rsid w:val="253F1FD5"/>
    <w:rsid w:val="25607D20"/>
    <w:rsid w:val="25626093"/>
    <w:rsid w:val="25AB6CA3"/>
    <w:rsid w:val="25C33384"/>
    <w:rsid w:val="25C75A9D"/>
    <w:rsid w:val="25E0463D"/>
    <w:rsid w:val="26086535"/>
    <w:rsid w:val="260D2D84"/>
    <w:rsid w:val="2619288C"/>
    <w:rsid w:val="265350EC"/>
    <w:rsid w:val="265815BE"/>
    <w:rsid w:val="2682288E"/>
    <w:rsid w:val="26926357"/>
    <w:rsid w:val="2699427E"/>
    <w:rsid w:val="26BD1B0F"/>
    <w:rsid w:val="26C81735"/>
    <w:rsid w:val="26D84638"/>
    <w:rsid w:val="26D95516"/>
    <w:rsid w:val="27032EEE"/>
    <w:rsid w:val="27203DF2"/>
    <w:rsid w:val="277D26C2"/>
    <w:rsid w:val="277E27B4"/>
    <w:rsid w:val="279635CB"/>
    <w:rsid w:val="27A16501"/>
    <w:rsid w:val="27B51862"/>
    <w:rsid w:val="27CB45FD"/>
    <w:rsid w:val="27E32439"/>
    <w:rsid w:val="27F34ED7"/>
    <w:rsid w:val="28222004"/>
    <w:rsid w:val="283546CC"/>
    <w:rsid w:val="2839486C"/>
    <w:rsid w:val="283B0E5F"/>
    <w:rsid w:val="283C0E1E"/>
    <w:rsid w:val="286A6A84"/>
    <w:rsid w:val="28712F8F"/>
    <w:rsid w:val="287907B0"/>
    <w:rsid w:val="2899686A"/>
    <w:rsid w:val="28A1291B"/>
    <w:rsid w:val="28AE0D1D"/>
    <w:rsid w:val="28C274D3"/>
    <w:rsid w:val="29171A85"/>
    <w:rsid w:val="292A0305"/>
    <w:rsid w:val="29425D8E"/>
    <w:rsid w:val="295B12F8"/>
    <w:rsid w:val="295F48A8"/>
    <w:rsid w:val="296B4121"/>
    <w:rsid w:val="296C7B6E"/>
    <w:rsid w:val="29775DDA"/>
    <w:rsid w:val="29815CFB"/>
    <w:rsid w:val="29D57F0A"/>
    <w:rsid w:val="29D778A2"/>
    <w:rsid w:val="29E47EB3"/>
    <w:rsid w:val="2A1A4274"/>
    <w:rsid w:val="2A4B0622"/>
    <w:rsid w:val="2A4B3BE9"/>
    <w:rsid w:val="2A4C4B0A"/>
    <w:rsid w:val="2A862824"/>
    <w:rsid w:val="2A864D44"/>
    <w:rsid w:val="2A9B00BA"/>
    <w:rsid w:val="2AA1116B"/>
    <w:rsid w:val="2AA3380A"/>
    <w:rsid w:val="2ABA31F9"/>
    <w:rsid w:val="2ABB0590"/>
    <w:rsid w:val="2AEA4B61"/>
    <w:rsid w:val="2B0932AC"/>
    <w:rsid w:val="2B452B88"/>
    <w:rsid w:val="2B4A1CD3"/>
    <w:rsid w:val="2B577D2F"/>
    <w:rsid w:val="2B5A3F83"/>
    <w:rsid w:val="2B766714"/>
    <w:rsid w:val="2B7B3F2F"/>
    <w:rsid w:val="2B90477C"/>
    <w:rsid w:val="2B9A7E28"/>
    <w:rsid w:val="2BA306AF"/>
    <w:rsid w:val="2BC808A2"/>
    <w:rsid w:val="2BD5419E"/>
    <w:rsid w:val="2BF0461A"/>
    <w:rsid w:val="2C0C6899"/>
    <w:rsid w:val="2C0D3152"/>
    <w:rsid w:val="2C4049A6"/>
    <w:rsid w:val="2C494452"/>
    <w:rsid w:val="2C572516"/>
    <w:rsid w:val="2C5D31C9"/>
    <w:rsid w:val="2C6A4463"/>
    <w:rsid w:val="2C7E3C95"/>
    <w:rsid w:val="2C8C20E3"/>
    <w:rsid w:val="2C985275"/>
    <w:rsid w:val="2CBC25E2"/>
    <w:rsid w:val="2CD00D59"/>
    <w:rsid w:val="2CED3D2A"/>
    <w:rsid w:val="2D082811"/>
    <w:rsid w:val="2D094721"/>
    <w:rsid w:val="2D367A07"/>
    <w:rsid w:val="2D373682"/>
    <w:rsid w:val="2D4C502E"/>
    <w:rsid w:val="2D5C77D1"/>
    <w:rsid w:val="2D6A01DB"/>
    <w:rsid w:val="2D745720"/>
    <w:rsid w:val="2D8F7C25"/>
    <w:rsid w:val="2D952E49"/>
    <w:rsid w:val="2D9C612B"/>
    <w:rsid w:val="2DE735DA"/>
    <w:rsid w:val="2DEB1F94"/>
    <w:rsid w:val="2E0254A7"/>
    <w:rsid w:val="2E267853"/>
    <w:rsid w:val="2E314E22"/>
    <w:rsid w:val="2E7312F8"/>
    <w:rsid w:val="2EF109C2"/>
    <w:rsid w:val="2EFB296D"/>
    <w:rsid w:val="2F3B2BE6"/>
    <w:rsid w:val="2F584A6F"/>
    <w:rsid w:val="2FA06E94"/>
    <w:rsid w:val="2FB9522F"/>
    <w:rsid w:val="2FB95C78"/>
    <w:rsid w:val="2FBE7A47"/>
    <w:rsid w:val="2FBF595D"/>
    <w:rsid w:val="2FC31CA5"/>
    <w:rsid w:val="2FC910FF"/>
    <w:rsid w:val="2FCF6CA1"/>
    <w:rsid w:val="2FED29FE"/>
    <w:rsid w:val="300A6BA7"/>
    <w:rsid w:val="301D0210"/>
    <w:rsid w:val="30222DF9"/>
    <w:rsid w:val="30263DF0"/>
    <w:rsid w:val="302B393D"/>
    <w:rsid w:val="304B7C54"/>
    <w:rsid w:val="305B3C00"/>
    <w:rsid w:val="30B529C6"/>
    <w:rsid w:val="30BA7E6B"/>
    <w:rsid w:val="30C16F57"/>
    <w:rsid w:val="30D23279"/>
    <w:rsid w:val="30DF4DD5"/>
    <w:rsid w:val="30EA17A6"/>
    <w:rsid w:val="30EE4C7F"/>
    <w:rsid w:val="30F10937"/>
    <w:rsid w:val="30F30691"/>
    <w:rsid w:val="311854CB"/>
    <w:rsid w:val="31217A91"/>
    <w:rsid w:val="31314C13"/>
    <w:rsid w:val="31626931"/>
    <w:rsid w:val="31647A1E"/>
    <w:rsid w:val="316A4564"/>
    <w:rsid w:val="31783282"/>
    <w:rsid w:val="31876613"/>
    <w:rsid w:val="31954881"/>
    <w:rsid w:val="31994BEB"/>
    <w:rsid w:val="319B4D5D"/>
    <w:rsid w:val="31AD5801"/>
    <w:rsid w:val="31B614E7"/>
    <w:rsid w:val="31C3303A"/>
    <w:rsid w:val="31D43CC9"/>
    <w:rsid w:val="31DA4B4B"/>
    <w:rsid w:val="31E05C76"/>
    <w:rsid w:val="31E8357B"/>
    <w:rsid w:val="31EB7C7C"/>
    <w:rsid w:val="31FB66B5"/>
    <w:rsid w:val="32451751"/>
    <w:rsid w:val="326276D3"/>
    <w:rsid w:val="3277683F"/>
    <w:rsid w:val="328F15E0"/>
    <w:rsid w:val="32B51D63"/>
    <w:rsid w:val="32D05490"/>
    <w:rsid w:val="32E47071"/>
    <w:rsid w:val="332D1F34"/>
    <w:rsid w:val="33300A2D"/>
    <w:rsid w:val="33311738"/>
    <w:rsid w:val="333C6E60"/>
    <w:rsid w:val="333F2DE3"/>
    <w:rsid w:val="336052F6"/>
    <w:rsid w:val="33D47319"/>
    <w:rsid w:val="340736AB"/>
    <w:rsid w:val="340B713D"/>
    <w:rsid w:val="342904EF"/>
    <w:rsid w:val="34674244"/>
    <w:rsid w:val="34B022B0"/>
    <w:rsid w:val="34B61BCD"/>
    <w:rsid w:val="34CF0E1D"/>
    <w:rsid w:val="34D321A9"/>
    <w:rsid w:val="34DE798D"/>
    <w:rsid w:val="353F4BF9"/>
    <w:rsid w:val="355A301A"/>
    <w:rsid w:val="35661A48"/>
    <w:rsid w:val="35680BE9"/>
    <w:rsid w:val="35696B3D"/>
    <w:rsid w:val="358466A6"/>
    <w:rsid w:val="3591728F"/>
    <w:rsid w:val="35A9077E"/>
    <w:rsid w:val="35C23C58"/>
    <w:rsid w:val="35CB3F9B"/>
    <w:rsid w:val="35D42001"/>
    <w:rsid w:val="35E32391"/>
    <w:rsid w:val="35FA7094"/>
    <w:rsid w:val="35FD3C12"/>
    <w:rsid w:val="360435BC"/>
    <w:rsid w:val="36224A1E"/>
    <w:rsid w:val="36744223"/>
    <w:rsid w:val="36A4372D"/>
    <w:rsid w:val="36C83148"/>
    <w:rsid w:val="377C1237"/>
    <w:rsid w:val="37852C8D"/>
    <w:rsid w:val="378C5B80"/>
    <w:rsid w:val="378F18C0"/>
    <w:rsid w:val="37B0139C"/>
    <w:rsid w:val="37DC1CD5"/>
    <w:rsid w:val="37E702E9"/>
    <w:rsid w:val="37F47A05"/>
    <w:rsid w:val="38023763"/>
    <w:rsid w:val="38031252"/>
    <w:rsid w:val="382C1023"/>
    <w:rsid w:val="3852678F"/>
    <w:rsid w:val="386D4383"/>
    <w:rsid w:val="387666F7"/>
    <w:rsid w:val="389238C4"/>
    <w:rsid w:val="38991FD6"/>
    <w:rsid w:val="389A6D29"/>
    <w:rsid w:val="389C058A"/>
    <w:rsid w:val="38C72437"/>
    <w:rsid w:val="38D12B76"/>
    <w:rsid w:val="390C2146"/>
    <w:rsid w:val="39203819"/>
    <w:rsid w:val="3927331A"/>
    <w:rsid w:val="392D3446"/>
    <w:rsid w:val="393E05BE"/>
    <w:rsid w:val="394439B3"/>
    <w:rsid w:val="39677524"/>
    <w:rsid w:val="39953A95"/>
    <w:rsid w:val="399C19B7"/>
    <w:rsid w:val="39AC403B"/>
    <w:rsid w:val="39B77DFC"/>
    <w:rsid w:val="3A0D4267"/>
    <w:rsid w:val="3A1F3BAF"/>
    <w:rsid w:val="3A26500E"/>
    <w:rsid w:val="3A4B3B01"/>
    <w:rsid w:val="3A5C0A0C"/>
    <w:rsid w:val="3A5C248B"/>
    <w:rsid w:val="3A924C21"/>
    <w:rsid w:val="3A9F2259"/>
    <w:rsid w:val="3AA1038B"/>
    <w:rsid w:val="3AA15FB4"/>
    <w:rsid w:val="3AB54911"/>
    <w:rsid w:val="3AEC290A"/>
    <w:rsid w:val="3B251552"/>
    <w:rsid w:val="3B2977F3"/>
    <w:rsid w:val="3B485EE4"/>
    <w:rsid w:val="3BD734CA"/>
    <w:rsid w:val="3BEA11E3"/>
    <w:rsid w:val="3BF17D01"/>
    <w:rsid w:val="3C004CF3"/>
    <w:rsid w:val="3C150701"/>
    <w:rsid w:val="3C3F3FD0"/>
    <w:rsid w:val="3C440A0A"/>
    <w:rsid w:val="3C8D2095"/>
    <w:rsid w:val="3C97441D"/>
    <w:rsid w:val="3CA56B3A"/>
    <w:rsid w:val="3CAB4D29"/>
    <w:rsid w:val="3CB546DB"/>
    <w:rsid w:val="3D1678DB"/>
    <w:rsid w:val="3D6117F7"/>
    <w:rsid w:val="3D6C2902"/>
    <w:rsid w:val="3D6F16B3"/>
    <w:rsid w:val="3D91189E"/>
    <w:rsid w:val="3DA4295E"/>
    <w:rsid w:val="3DC9111D"/>
    <w:rsid w:val="3DD03F3A"/>
    <w:rsid w:val="3DEB647A"/>
    <w:rsid w:val="3DF84065"/>
    <w:rsid w:val="3E0D50C0"/>
    <w:rsid w:val="3E333D55"/>
    <w:rsid w:val="3EA55263"/>
    <w:rsid w:val="3EA71AD6"/>
    <w:rsid w:val="3EA86381"/>
    <w:rsid w:val="3EAB73FA"/>
    <w:rsid w:val="3EB428AA"/>
    <w:rsid w:val="3EB71E58"/>
    <w:rsid w:val="3EBF2D48"/>
    <w:rsid w:val="3EBF3A32"/>
    <w:rsid w:val="3EC86EA0"/>
    <w:rsid w:val="3F1F768A"/>
    <w:rsid w:val="3F5E4A37"/>
    <w:rsid w:val="3F6433B4"/>
    <w:rsid w:val="3F7D57BE"/>
    <w:rsid w:val="3F892FBC"/>
    <w:rsid w:val="3F8E5134"/>
    <w:rsid w:val="3FCC0A09"/>
    <w:rsid w:val="3FE26B88"/>
    <w:rsid w:val="3FEA6882"/>
    <w:rsid w:val="3FF3376D"/>
    <w:rsid w:val="3FF46F4D"/>
    <w:rsid w:val="40211926"/>
    <w:rsid w:val="40540B63"/>
    <w:rsid w:val="40734BD5"/>
    <w:rsid w:val="40767B74"/>
    <w:rsid w:val="40801522"/>
    <w:rsid w:val="40906DD3"/>
    <w:rsid w:val="40A417E3"/>
    <w:rsid w:val="40A853F3"/>
    <w:rsid w:val="40D308BA"/>
    <w:rsid w:val="40D62817"/>
    <w:rsid w:val="40F47203"/>
    <w:rsid w:val="40FE080B"/>
    <w:rsid w:val="40FE3DF5"/>
    <w:rsid w:val="414E51D9"/>
    <w:rsid w:val="415211CF"/>
    <w:rsid w:val="415E1B20"/>
    <w:rsid w:val="417418A1"/>
    <w:rsid w:val="420F1217"/>
    <w:rsid w:val="42133306"/>
    <w:rsid w:val="42213106"/>
    <w:rsid w:val="422266F2"/>
    <w:rsid w:val="42300271"/>
    <w:rsid w:val="42435D33"/>
    <w:rsid w:val="427602B3"/>
    <w:rsid w:val="4294658E"/>
    <w:rsid w:val="42DD7474"/>
    <w:rsid w:val="42E20EB4"/>
    <w:rsid w:val="430B2031"/>
    <w:rsid w:val="431F6E55"/>
    <w:rsid w:val="43315212"/>
    <w:rsid w:val="433F5C62"/>
    <w:rsid w:val="434679B9"/>
    <w:rsid w:val="434C4380"/>
    <w:rsid w:val="43F3462F"/>
    <w:rsid w:val="43F912C5"/>
    <w:rsid w:val="44056D49"/>
    <w:rsid w:val="4408393A"/>
    <w:rsid w:val="442266E8"/>
    <w:rsid w:val="446B27C7"/>
    <w:rsid w:val="447C1441"/>
    <w:rsid w:val="44BC7119"/>
    <w:rsid w:val="44C24358"/>
    <w:rsid w:val="44C36A6E"/>
    <w:rsid w:val="44E84A8C"/>
    <w:rsid w:val="44F071BC"/>
    <w:rsid w:val="44FD6B9D"/>
    <w:rsid w:val="454A3815"/>
    <w:rsid w:val="456813EC"/>
    <w:rsid w:val="456930D1"/>
    <w:rsid w:val="45763CB9"/>
    <w:rsid w:val="45911B8A"/>
    <w:rsid w:val="45A861AB"/>
    <w:rsid w:val="45F413A8"/>
    <w:rsid w:val="46193A8D"/>
    <w:rsid w:val="461E1BE3"/>
    <w:rsid w:val="464B44DA"/>
    <w:rsid w:val="46880B30"/>
    <w:rsid w:val="46AA062E"/>
    <w:rsid w:val="46C06371"/>
    <w:rsid w:val="46E72381"/>
    <w:rsid w:val="46F449C8"/>
    <w:rsid w:val="46FF38E5"/>
    <w:rsid w:val="474D674C"/>
    <w:rsid w:val="47806E00"/>
    <w:rsid w:val="47A41B3E"/>
    <w:rsid w:val="47BC00CD"/>
    <w:rsid w:val="47E15EA2"/>
    <w:rsid w:val="47E63F80"/>
    <w:rsid w:val="47F13BB2"/>
    <w:rsid w:val="48097210"/>
    <w:rsid w:val="48231A03"/>
    <w:rsid w:val="4852411A"/>
    <w:rsid w:val="48663E3E"/>
    <w:rsid w:val="486F3910"/>
    <w:rsid w:val="48733E40"/>
    <w:rsid w:val="48932389"/>
    <w:rsid w:val="489E3C82"/>
    <w:rsid w:val="48A3020C"/>
    <w:rsid w:val="48AC43A9"/>
    <w:rsid w:val="4904006A"/>
    <w:rsid w:val="49153362"/>
    <w:rsid w:val="492B69B4"/>
    <w:rsid w:val="49424A08"/>
    <w:rsid w:val="49730F71"/>
    <w:rsid w:val="49B578A5"/>
    <w:rsid w:val="49DA63A1"/>
    <w:rsid w:val="49E20597"/>
    <w:rsid w:val="49F06898"/>
    <w:rsid w:val="4A2049CD"/>
    <w:rsid w:val="4A366DC5"/>
    <w:rsid w:val="4A582B49"/>
    <w:rsid w:val="4A7407EC"/>
    <w:rsid w:val="4A8C3A82"/>
    <w:rsid w:val="4A9668C4"/>
    <w:rsid w:val="4A9E7269"/>
    <w:rsid w:val="4AAA548E"/>
    <w:rsid w:val="4AAB3DB2"/>
    <w:rsid w:val="4ABF6325"/>
    <w:rsid w:val="4AC932D3"/>
    <w:rsid w:val="4AD95E60"/>
    <w:rsid w:val="4AF940FC"/>
    <w:rsid w:val="4B1E30C0"/>
    <w:rsid w:val="4B317BDC"/>
    <w:rsid w:val="4B447840"/>
    <w:rsid w:val="4BAC777F"/>
    <w:rsid w:val="4BCB060A"/>
    <w:rsid w:val="4BE00E43"/>
    <w:rsid w:val="4C1B2792"/>
    <w:rsid w:val="4C3276C5"/>
    <w:rsid w:val="4C551213"/>
    <w:rsid w:val="4C640CD2"/>
    <w:rsid w:val="4C8E2FF0"/>
    <w:rsid w:val="4CBD2709"/>
    <w:rsid w:val="4CC507E7"/>
    <w:rsid w:val="4CC81880"/>
    <w:rsid w:val="4CFF2296"/>
    <w:rsid w:val="4D055765"/>
    <w:rsid w:val="4D251E4A"/>
    <w:rsid w:val="4D2E3C5A"/>
    <w:rsid w:val="4D352664"/>
    <w:rsid w:val="4D5A74D4"/>
    <w:rsid w:val="4D5C3049"/>
    <w:rsid w:val="4D6037DC"/>
    <w:rsid w:val="4D8B7EA2"/>
    <w:rsid w:val="4D9969C0"/>
    <w:rsid w:val="4DA8655A"/>
    <w:rsid w:val="4DA94C8D"/>
    <w:rsid w:val="4DE32736"/>
    <w:rsid w:val="4E1B5D18"/>
    <w:rsid w:val="4E1E08A7"/>
    <w:rsid w:val="4E3378E4"/>
    <w:rsid w:val="4E471BE8"/>
    <w:rsid w:val="4E5124B7"/>
    <w:rsid w:val="4E5C3283"/>
    <w:rsid w:val="4E714654"/>
    <w:rsid w:val="4E9E2167"/>
    <w:rsid w:val="4EB04B85"/>
    <w:rsid w:val="4EB9057B"/>
    <w:rsid w:val="4EBE7F2F"/>
    <w:rsid w:val="4ECA7D48"/>
    <w:rsid w:val="4EE316F1"/>
    <w:rsid w:val="4F0358E1"/>
    <w:rsid w:val="4F2C1A06"/>
    <w:rsid w:val="4F310701"/>
    <w:rsid w:val="4F4D04F5"/>
    <w:rsid w:val="4FA73DBF"/>
    <w:rsid w:val="4FAF35CD"/>
    <w:rsid w:val="4FB12918"/>
    <w:rsid w:val="4FC97761"/>
    <w:rsid w:val="4FE5703B"/>
    <w:rsid w:val="50196632"/>
    <w:rsid w:val="501E4EDB"/>
    <w:rsid w:val="50204934"/>
    <w:rsid w:val="50884796"/>
    <w:rsid w:val="50AD16F6"/>
    <w:rsid w:val="50B96180"/>
    <w:rsid w:val="50EF76FD"/>
    <w:rsid w:val="510D412B"/>
    <w:rsid w:val="51285EA3"/>
    <w:rsid w:val="51367ED2"/>
    <w:rsid w:val="516160B6"/>
    <w:rsid w:val="51842D6A"/>
    <w:rsid w:val="519A53BA"/>
    <w:rsid w:val="519E5EAE"/>
    <w:rsid w:val="51A670EF"/>
    <w:rsid w:val="51BE2843"/>
    <w:rsid w:val="51C51CA6"/>
    <w:rsid w:val="51DA011C"/>
    <w:rsid w:val="51DA7B71"/>
    <w:rsid w:val="51E86776"/>
    <w:rsid w:val="51FC3FEF"/>
    <w:rsid w:val="51FF1135"/>
    <w:rsid w:val="52193F11"/>
    <w:rsid w:val="52374C78"/>
    <w:rsid w:val="523D4258"/>
    <w:rsid w:val="524D4986"/>
    <w:rsid w:val="527074BA"/>
    <w:rsid w:val="52896D1D"/>
    <w:rsid w:val="528F6F86"/>
    <w:rsid w:val="52A93C9A"/>
    <w:rsid w:val="52C6213C"/>
    <w:rsid w:val="52D32C2C"/>
    <w:rsid w:val="52EA7FCF"/>
    <w:rsid w:val="52FF3E83"/>
    <w:rsid w:val="53051A30"/>
    <w:rsid w:val="531B3AAB"/>
    <w:rsid w:val="5356497D"/>
    <w:rsid w:val="537A3496"/>
    <w:rsid w:val="5385101B"/>
    <w:rsid w:val="5398302D"/>
    <w:rsid w:val="53BC07BB"/>
    <w:rsid w:val="53D413E7"/>
    <w:rsid w:val="53E2646E"/>
    <w:rsid w:val="53E46D61"/>
    <w:rsid w:val="54332E5D"/>
    <w:rsid w:val="545611B2"/>
    <w:rsid w:val="546F0A08"/>
    <w:rsid w:val="548C6B32"/>
    <w:rsid w:val="549C27AA"/>
    <w:rsid w:val="549D719E"/>
    <w:rsid w:val="54A96A5D"/>
    <w:rsid w:val="54C37DC8"/>
    <w:rsid w:val="54C6369A"/>
    <w:rsid w:val="54D8782C"/>
    <w:rsid w:val="54F2105A"/>
    <w:rsid w:val="55197C6D"/>
    <w:rsid w:val="552372DA"/>
    <w:rsid w:val="552D0E1B"/>
    <w:rsid w:val="554E658A"/>
    <w:rsid w:val="555A3408"/>
    <w:rsid w:val="557E7A7B"/>
    <w:rsid w:val="55BF0BC1"/>
    <w:rsid w:val="55E4182C"/>
    <w:rsid w:val="56191C96"/>
    <w:rsid w:val="56415C09"/>
    <w:rsid w:val="564B6056"/>
    <w:rsid w:val="56813C9D"/>
    <w:rsid w:val="569057C0"/>
    <w:rsid w:val="569A631C"/>
    <w:rsid w:val="56AA3395"/>
    <w:rsid w:val="56B03639"/>
    <w:rsid w:val="56B45854"/>
    <w:rsid w:val="56CD2D1E"/>
    <w:rsid w:val="571B6923"/>
    <w:rsid w:val="5721105B"/>
    <w:rsid w:val="57347BEB"/>
    <w:rsid w:val="5751508A"/>
    <w:rsid w:val="575A7FFA"/>
    <w:rsid w:val="575B6230"/>
    <w:rsid w:val="57746094"/>
    <w:rsid w:val="57A82D07"/>
    <w:rsid w:val="57AA43DA"/>
    <w:rsid w:val="57B63E23"/>
    <w:rsid w:val="57C739B1"/>
    <w:rsid w:val="57C8775F"/>
    <w:rsid w:val="57D87719"/>
    <w:rsid w:val="57F87DC0"/>
    <w:rsid w:val="58034740"/>
    <w:rsid w:val="582329D9"/>
    <w:rsid w:val="58270F7D"/>
    <w:rsid w:val="582809AC"/>
    <w:rsid w:val="58524CDD"/>
    <w:rsid w:val="588029DD"/>
    <w:rsid w:val="58AD3D3A"/>
    <w:rsid w:val="58D2311B"/>
    <w:rsid w:val="590A52AF"/>
    <w:rsid w:val="591C0029"/>
    <w:rsid w:val="591F1C1C"/>
    <w:rsid w:val="5921412A"/>
    <w:rsid w:val="5923298A"/>
    <w:rsid w:val="59427E3D"/>
    <w:rsid w:val="594C6FAF"/>
    <w:rsid w:val="599E558B"/>
    <w:rsid w:val="59C44996"/>
    <w:rsid w:val="59D82EBE"/>
    <w:rsid w:val="59ED670A"/>
    <w:rsid w:val="5A1744FF"/>
    <w:rsid w:val="5A19792C"/>
    <w:rsid w:val="5A1F317D"/>
    <w:rsid w:val="5A4E0416"/>
    <w:rsid w:val="5A513026"/>
    <w:rsid w:val="5A572DE5"/>
    <w:rsid w:val="5A5B7538"/>
    <w:rsid w:val="5A7D2A4C"/>
    <w:rsid w:val="5AD375E1"/>
    <w:rsid w:val="5AF1716C"/>
    <w:rsid w:val="5B042E02"/>
    <w:rsid w:val="5B1569FE"/>
    <w:rsid w:val="5B206BCD"/>
    <w:rsid w:val="5B6D17B8"/>
    <w:rsid w:val="5BBB1BF0"/>
    <w:rsid w:val="5BBC6B27"/>
    <w:rsid w:val="5BCC76B3"/>
    <w:rsid w:val="5BF410C3"/>
    <w:rsid w:val="5BF600D2"/>
    <w:rsid w:val="5BFA4F18"/>
    <w:rsid w:val="5C4E3653"/>
    <w:rsid w:val="5C565B72"/>
    <w:rsid w:val="5C6A69FD"/>
    <w:rsid w:val="5CA73DB1"/>
    <w:rsid w:val="5CAE60FF"/>
    <w:rsid w:val="5D190255"/>
    <w:rsid w:val="5D2235DC"/>
    <w:rsid w:val="5D431D2B"/>
    <w:rsid w:val="5D5E7BC3"/>
    <w:rsid w:val="5D816727"/>
    <w:rsid w:val="5D8D2438"/>
    <w:rsid w:val="5D917CBF"/>
    <w:rsid w:val="5DCE3208"/>
    <w:rsid w:val="5DDE4228"/>
    <w:rsid w:val="5DF62326"/>
    <w:rsid w:val="5E055233"/>
    <w:rsid w:val="5E20206C"/>
    <w:rsid w:val="5E241222"/>
    <w:rsid w:val="5E331DA4"/>
    <w:rsid w:val="5E531827"/>
    <w:rsid w:val="5E6E44ED"/>
    <w:rsid w:val="5E877F0C"/>
    <w:rsid w:val="5E9B238B"/>
    <w:rsid w:val="5E9E0C4C"/>
    <w:rsid w:val="5EAA258B"/>
    <w:rsid w:val="5EB56C59"/>
    <w:rsid w:val="5ECB033B"/>
    <w:rsid w:val="5ECE711C"/>
    <w:rsid w:val="5ED36F30"/>
    <w:rsid w:val="5F1630F3"/>
    <w:rsid w:val="5F4562FB"/>
    <w:rsid w:val="5F4E04E5"/>
    <w:rsid w:val="5F675037"/>
    <w:rsid w:val="5F715BD8"/>
    <w:rsid w:val="5F8B732C"/>
    <w:rsid w:val="5F950A44"/>
    <w:rsid w:val="5F9534C8"/>
    <w:rsid w:val="5F9C231B"/>
    <w:rsid w:val="5FCB6008"/>
    <w:rsid w:val="5FD25D4C"/>
    <w:rsid w:val="5FDC0ACB"/>
    <w:rsid w:val="5FE2630A"/>
    <w:rsid w:val="5FE642C0"/>
    <w:rsid w:val="5FEE533A"/>
    <w:rsid w:val="5FF02169"/>
    <w:rsid w:val="60021E13"/>
    <w:rsid w:val="600F5742"/>
    <w:rsid w:val="601E5E9F"/>
    <w:rsid w:val="60424013"/>
    <w:rsid w:val="60465CF9"/>
    <w:rsid w:val="608D6CC4"/>
    <w:rsid w:val="60CE4002"/>
    <w:rsid w:val="60E7023C"/>
    <w:rsid w:val="60F76CCE"/>
    <w:rsid w:val="60FB6FFA"/>
    <w:rsid w:val="60FF4339"/>
    <w:rsid w:val="610126D6"/>
    <w:rsid w:val="610213CC"/>
    <w:rsid w:val="615C48E9"/>
    <w:rsid w:val="61707D2B"/>
    <w:rsid w:val="61757DD5"/>
    <w:rsid w:val="619D496C"/>
    <w:rsid w:val="61AE2DCC"/>
    <w:rsid w:val="623C1F16"/>
    <w:rsid w:val="62407D60"/>
    <w:rsid w:val="625A7842"/>
    <w:rsid w:val="62771A6F"/>
    <w:rsid w:val="62791F66"/>
    <w:rsid w:val="62E05CBD"/>
    <w:rsid w:val="62E32838"/>
    <w:rsid w:val="62E36967"/>
    <w:rsid w:val="63022CE0"/>
    <w:rsid w:val="633E75DD"/>
    <w:rsid w:val="635C0A6E"/>
    <w:rsid w:val="6369105F"/>
    <w:rsid w:val="63923AC8"/>
    <w:rsid w:val="63A86EA4"/>
    <w:rsid w:val="63B267E7"/>
    <w:rsid w:val="63E7398B"/>
    <w:rsid w:val="64041AB6"/>
    <w:rsid w:val="645014C4"/>
    <w:rsid w:val="646A52F4"/>
    <w:rsid w:val="64A9610B"/>
    <w:rsid w:val="64B34317"/>
    <w:rsid w:val="64B87F6D"/>
    <w:rsid w:val="64BA572C"/>
    <w:rsid w:val="64F4144F"/>
    <w:rsid w:val="65040772"/>
    <w:rsid w:val="650A312E"/>
    <w:rsid w:val="65196C56"/>
    <w:rsid w:val="651B358E"/>
    <w:rsid w:val="6526446F"/>
    <w:rsid w:val="655A40B6"/>
    <w:rsid w:val="657B399A"/>
    <w:rsid w:val="657D06C0"/>
    <w:rsid w:val="65EB0BBA"/>
    <w:rsid w:val="65F5672C"/>
    <w:rsid w:val="660D00E0"/>
    <w:rsid w:val="66474BAE"/>
    <w:rsid w:val="66685C42"/>
    <w:rsid w:val="668A09CB"/>
    <w:rsid w:val="668F645C"/>
    <w:rsid w:val="66D770D4"/>
    <w:rsid w:val="66EF7DB3"/>
    <w:rsid w:val="67153B1E"/>
    <w:rsid w:val="676152F4"/>
    <w:rsid w:val="67662E28"/>
    <w:rsid w:val="67860CE6"/>
    <w:rsid w:val="678E1E36"/>
    <w:rsid w:val="67C35BD3"/>
    <w:rsid w:val="67DC0581"/>
    <w:rsid w:val="67DC63E1"/>
    <w:rsid w:val="67E21AAE"/>
    <w:rsid w:val="67F42BA2"/>
    <w:rsid w:val="68324E76"/>
    <w:rsid w:val="686700C4"/>
    <w:rsid w:val="68747269"/>
    <w:rsid w:val="68BE147A"/>
    <w:rsid w:val="68CC4BB1"/>
    <w:rsid w:val="68DC3670"/>
    <w:rsid w:val="68E343DC"/>
    <w:rsid w:val="68E62A51"/>
    <w:rsid w:val="68F628AF"/>
    <w:rsid w:val="68FB4A78"/>
    <w:rsid w:val="6909606F"/>
    <w:rsid w:val="692A1012"/>
    <w:rsid w:val="69317784"/>
    <w:rsid w:val="694E79A3"/>
    <w:rsid w:val="69715E72"/>
    <w:rsid w:val="69AE17BF"/>
    <w:rsid w:val="69CA52CC"/>
    <w:rsid w:val="6A0665BA"/>
    <w:rsid w:val="6A2F5DDA"/>
    <w:rsid w:val="6A4A79AB"/>
    <w:rsid w:val="6A536EE8"/>
    <w:rsid w:val="6A765247"/>
    <w:rsid w:val="6AA162E3"/>
    <w:rsid w:val="6AC53393"/>
    <w:rsid w:val="6AD73CCC"/>
    <w:rsid w:val="6ADB13C7"/>
    <w:rsid w:val="6AF77571"/>
    <w:rsid w:val="6B05583C"/>
    <w:rsid w:val="6B1C00FB"/>
    <w:rsid w:val="6B234353"/>
    <w:rsid w:val="6B2C7B64"/>
    <w:rsid w:val="6B3C1F38"/>
    <w:rsid w:val="6B454FC1"/>
    <w:rsid w:val="6B4F026B"/>
    <w:rsid w:val="6B66477C"/>
    <w:rsid w:val="6B665392"/>
    <w:rsid w:val="6B671090"/>
    <w:rsid w:val="6B9C2BD1"/>
    <w:rsid w:val="6BAF2C85"/>
    <w:rsid w:val="6BC425B4"/>
    <w:rsid w:val="6BFB7BA7"/>
    <w:rsid w:val="6C1D7BEB"/>
    <w:rsid w:val="6C232A79"/>
    <w:rsid w:val="6C574B41"/>
    <w:rsid w:val="6C6729A2"/>
    <w:rsid w:val="6C712FEB"/>
    <w:rsid w:val="6C7D05CD"/>
    <w:rsid w:val="6CEB7A3C"/>
    <w:rsid w:val="6D0C0788"/>
    <w:rsid w:val="6D194EAF"/>
    <w:rsid w:val="6D2C55F6"/>
    <w:rsid w:val="6D687512"/>
    <w:rsid w:val="6D746525"/>
    <w:rsid w:val="6D886F5B"/>
    <w:rsid w:val="6D984DD9"/>
    <w:rsid w:val="6DBB76BC"/>
    <w:rsid w:val="6DC33145"/>
    <w:rsid w:val="6DD40D5F"/>
    <w:rsid w:val="6DDD5733"/>
    <w:rsid w:val="6DEE390E"/>
    <w:rsid w:val="6DFF1C9E"/>
    <w:rsid w:val="6E3E6590"/>
    <w:rsid w:val="6E590FA5"/>
    <w:rsid w:val="6E6E5D8C"/>
    <w:rsid w:val="6E9D7A45"/>
    <w:rsid w:val="6EAD03D0"/>
    <w:rsid w:val="6EBC193D"/>
    <w:rsid w:val="6EBD2CB9"/>
    <w:rsid w:val="6ECF2FDB"/>
    <w:rsid w:val="6ED46A44"/>
    <w:rsid w:val="6EE144D6"/>
    <w:rsid w:val="6EE95692"/>
    <w:rsid w:val="6F0703B0"/>
    <w:rsid w:val="6F1141A6"/>
    <w:rsid w:val="6F5046B2"/>
    <w:rsid w:val="6F6A0876"/>
    <w:rsid w:val="6F8F0459"/>
    <w:rsid w:val="7001163F"/>
    <w:rsid w:val="700D318F"/>
    <w:rsid w:val="70227527"/>
    <w:rsid w:val="70271203"/>
    <w:rsid w:val="707A37E5"/>
    <w:rsid w:val="707F347B"/>
    <w:rsid w:val="70A16244"/>
    <w:rsid w:val="70B77CB7"/>
    <w:rsid w:val="70C45AEA"/>
    <w:rsid w:val="70FD2249"/>
    <w:rsid w:val="710E0A1D"/>
    <w:rsid w:val="71175061"/>
    <w:rsid w:val="711C6362"/>
    <w:rsid w:val="71313D96"/>
    <w:rsid w:val="717034EF"/>
    <w:rsid w:val="71922834"/>
    <w:rsid w:val="71A84E71"/>
    <w:rsid w:val="71EA12F1"/>
    <w:rsid w:val="720138A6"/>
    <w:rsid w:val="722A46AC"/>
    <w:rsid w:val="729C5726"/>
    <w:rsid w:val="72A110B4"/>
    <w:rsid w:val="72C32387"/>
    <w:rsid w:val="72DF3F93"/>
    <w:rsid w:val="72EF092A"/>
    <w:rsid w:val="73155688"/>
    <w:rsid w:val="73465773"/>
    <w:rsid w:val="735B4FC5"/>
    <w:rsid w:val="73B70144"/>
    <w:rsid w:val="73B83D01"/>
    <w:rsid w:val="73E91DAF"/>
    <w:rsid w:val="73FA2B26"/>
    <w:rsid w:val="74031E06"/>
    <w:rsid w:val="74344D09"/>
    <w:rsid w:val="745E3968"/>
    <w:rsid w:val="74B07EF2"/>
    <w:rsid w:val="74B258F9"/>
    <w:rsid w:val="74C06ECB"/>
    <w:rsid w:val="74DD6D69"/>
    <w:rsid w:val="74EC44B9"/>
    <w:rsid w:val="75066A17"/>
    <w:rsid w:val="75292D41"/>
    <w:rsid w:val="753616A3"/>
    <w:rsid w:val="755D3276"/>
    <w:rsid w:val="75B56A23"/>
    <w:rsid w:val="75F92B55"/>
    <w:rsid w:val="75FC0491"/>
    <w:rsid w:val="760026C9"/>
    <w:rsid w:val="760651AD"/>
    <w:rsid w:val="761F339B"/>
    <w:rsid w:val="762C4C09"/>
    <w:rsid w:val="76451D0C"/>
    <w:rsid w:val="76BC6714"/>
    <w:rsid w:val="76D12C79"/>
    <w:rsid w:val="77187F13"/>
    <w:rsid w:val="772D1287"/>
    <w:rsid w:val="773B1615"/>
    <w:rsid w:val="777C2549"/>
    <w:rsid w:val="77A07DE8"/>
    <w:rsid w:val="77A87A9C"/>
    <w:rsid w:val="77E42A1A"/>
    <w:rsid w:val="77FD68CA"/>
    <w:rsid w:val="78017263"/>
    <w:rsid w:val="781D3B2E"/>
    <w:rsid w:val="786D5F4A"/>
    <w:rsid w:val="789C2B68"/>
    <w:rsid w:val="78C338C8"/>
    <w:rsid w:val="78CF2069"/>
    <w:rsid w:val="78FB3DB2"/>
    <w:rsid w:val="7911747C"/>
    <w:rsid w:val="79321CCC"/>
    <w:rsid w:val="794C7D62"/>
    <w:rsid w:val="796E641D"/>
    <w:rsid w:val="79845518"/>
    <w:rsid w:val="79876FEC"/>
    <w:rsid w:val="79A406BE"/>
    <w:rsid w:val="79B7342D"/>
    <w:rsid w:val="79EE0E19"/>
    <w:rsid w:val="79F40DB8"/>
    <w:rsid w:val="79FC447F"/>
    <w:rsid w:val="7A033C68"/>
    <w:rsid w:val="7A177072"/>
    <w:rsid w:val="7A2A1342"/>
    <w:rsid w:val="7A402B91"/>
    <w:rsid w:val="7A453E27"/>
    <w:rsid w:val="7A4669AF"/>
    <w:rsid w:val="7A62296D"/>
    <w:rsid w:val="7ACC3BC5"/>
    <w:rsid w:val="7AD33EBE"/>
    <w:rsid w:val="7AEA3497"/>
    <w:rsid w:val="7AEB7B22"/>
    <w:rsid w:val="7AED10D1"/>
    <w:rsid w:val="7B2B32AA"/>
    <w:rsid w:val="7B5322E8"/>
    <w:rsid w:val="7B564EC8"/>
    <w:rsid w:val="7B5B7083"/>
    <w:rsid w:val="7B615669"/>
    <w:rsid w:val="7B7E515A"/>
    <w:rsid w:val="7C0A4B6F"/>
    <w:rsid w:val="7C281B0E"/>
    <w:rsid w:val="7C38122D"/>
    <w:rsid w:val="7C574A96"/>
    <w:rsid w:val="7C766CE8"/>
    <w:rsid w:val="7C781E32"/>
    <w:rsid w:val="7C8A6D2A"/>
    <w:rsid w:val="7C942BD1"/>
    <w:rsid w:val="7CB17AA3"/>
    <w:rsid w:val="7CF64BB3"/>
    <w:rsid w:val="7CFC5143"/>
    <w:rsid w:val="7D1A3A11"/>
    <w:rsid w:val="7D1C0894"/>
    <w:rsid w:val="7D216817"/>
    <w:rsid w:val="7D3C6DC0"/>
    <w:rsid w:val="7D6F6163"/>
    <w:rsid w:val="7DA1661D"/>
    <w:rsid w:val="7DA257AC"/>
    <w:rsid w:val="7DA6349B"/>
    <w:rsid w:val="7DAE423F"/>
    <w:rsid w:val="7DAF71A9"/>
    <w:rsid w:val="7DB525A3"/>
    <w:rsid w:val="7DC32BAB"/>
    <w:rsid w:val="7E175980"/>
    <w:rsid w:val="7E1A3F8B"/>
    <w:rsid w:val="7E1F5146"/>
    <w:rsid w:val="7E2310FE"/>
    <w:rsid w:val="7E3C5213"/>
    <w:rsid w:val="7E507943"/>
    <w:rsid w:val="7E547A1B"/>
    <w:rsid w:val="7E8C684A"/>
    <w:rsid w:val="7EA131CA"/>
    <w:rsid w:val="7EA764FC"/>
    <w:rsid w:val="7EBB30DD"/>
    <w:rsid w:val="7EBE751D"/>
    <w:rsid w:val="7EC53390"/>
    <w:rsid w:val="7F1E649C"/>
    <w:rsid w:val="7F337CBB"/>
    <w:rsid w:val="7F6A253F"/>
    <w:rsid w:val="7F737554"/>
    <w:rsid w:val="7FD835C4"/>
    <w:rsid w:val="7FF42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0"/>
    <w:pPr>
      <w:keepNext/>
      <w:keepLines/>
      <w:autoSpaceDE w:val="0"/>
      <w:autoSpaceDN w:val="0"/>
      <w:adjustRightInd w:val="0"/>
      <w:spacing w:before="360" w:after="24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qFormat/>
    <w:uiPriority w:val="0"/>
    <w:pPr>
      <w:keepNext/>
      <w:keepLines/>
      <w:autoSpaceDE w:val="0"/>
      <w:autoSpaceDN w:val="0"/>
      <w:adjustRightInd w:val="0"/>
      <w:spacing w:before="600" w:after="360"/>
      <w:jc w:val="center"/>
      <w:outlineLvl w:val="2"/>
    </w:pPr>
    <w:rPr>
      <w:rFonts w:ascii="宋体" w:hAnsi="Times New Roman"/>
      <w:b/>
      <w:kern w:val="0"/>
      <w:sz w:val="28"/>
      <w:szCs w:val="20"/>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kern w:val="0"/>
      <w:sz w:val="24"/>
      <w:szCs w:val="20"/>
    </w:rPr>
  </w:style>
  <w:style w:type="paragraph" w:styleId="3">
    <w:name w:val="toa heading"/>
    <w:basedOn w:val="1"/>
    <w:next w:val="1"/>
    <w:qFormat/>
    <w:uiPriority w:val="0"/>
    <w:pPr>
      <w:widowControl/>
      <w:spacing w:before="120"/>
      <w:ind w:firstLine="3584"/>
    </w:pPr>
  </w:style>
  <w:style w:type="paragraph" w:styleId="8">
    <w:name w:val="Document Map"/>
    <w:basedOn w:val="1"/>
    <w:link w:val="51"/>
    <w:qFormat/>
    <w:uiPriority w:val="0"/>
    <w:rPr>
      <w:rFonts w:ascii="宋体"/>
      <w:sz w:val="18"/>
      <w:szCs w:val="18"/>
    </w:rPr>
  </w:style>
  <w:style w:type="paragraph" w:styleId="9">
    <w:name w:val="annotation text"/>
    <w:basedOn w:val="1"/>
    <w:link w:val="60"/>
    <w:qFormat/>
    <w:uiPriority w:val="0"/>
    <w:pPr>
      <w:jc w:val="left"/>
    </w:pPr>
  </w:style>
  <w:style w:type="paragraph" w:styleId="10">
    <w:name w:val="Body Text"/>
    <w:basedOn w:val="1"/>
    <w:next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envelope return"/>
    <w:basedOn w:val="1"/>
    <w:qFormat/>
    <w:uiPriority w:val="0"/>
    <w:pPr>
      <w:snapToGrid w:val="0"/>
    </w:pPr>
    <w:rPr>
      <w:rFonts w:ascii="Arial" w:hAnsi="Arial"/>
    </w:rPr>
  </w:style>
  <w:style w:type="paragraph" w:styleId="13">
    <w:name w:val="List Number 3"/>
    <w:basedOn w:val="1"/>
    <w:qFormat/>
    <w:uiPriority w:val="0"/>
    <w:pPr>
      <w:numPr>
        <w:ilvl w:val="0"/>
        <w:numId w:val="1"/>
      </w:numPr>
    </w:pPr>
  </w:style>
  <w:style w:type="paragraph" w:styleId="14">
    <w:name w:val="toc 3"/>
    <w:basedOn w:val="1"/>
    <w:next w:val="1"/>
    <w:qFormat/>
    <w:uiPriority w:val="0"/>
    <w:pPr>
      <w:ind w:left="840" w:leftChars="400"/>
    </w:pPr>
  </w:style>
  <w:style w:type="paragraph" w:styleId="15">
    <w:name w:val="Plain Text"/>
    <w:basedOn w:val="1"/>
    <w:link w:val="62"/>
    <w:qFormat/>
    <w:uiPriority w:val="0"/>
    <w:rPr>
      <w:rFonts w:ascii="宋体" w:hAnsi="Courier New"/>
      <w:szCs w:val="20"/>
    </w:rPr>
  </w:style>
  <w:style w:type="paragraph" w:styleId="16">
    <w:name w:val="Balloon Text"/>
    <w:basedOn w:val="1"/>
    <w:link w:val="52"/>
    <w:qFormat/>
    <w:uiPriority w:val="0"/>
    <w:rPr>
      <w:sz w:val="18"/>
      <w:szCs w:val="18"/>
    </w:rPr>
  </w:style>
  <w:style w:type="paragraph" w:styleId="17">
    <w:name w:val="footer"/>
    <w:basedOn w:val="1"/>
    <w:link w:val="63"/>
    <w:qFormat/>
    <w:uiPriority w:val="99"/>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header"/>
    <w:basedOn w:val="1"/>
    <w:link w:val="6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0"/>
    <w:rPr>
      <w:rFonts w:ascii="Times New Roman" w:hAnsi="Times New Roman"/>
    </w:rPr>
  </w:style>
  <w:style w:type="paragraph" w:styleId="20">
    <w:name w:val="List"/>
    <w:basedOn w:val="1"/>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21">
    <w:name w:val="footnote text"/>
    <w:basedOn w:val="1"/>
    <w:qFormat/>
    <w:uiPriority w:val="0"/>
    <w:pPr>
      <w:snapToGrid w:val="0"/>
      <w:jc w:val="left"/>
    </w:pPr>
    <w:rPr>
      <w:rFonts w:ascii="Times New Roman" w:hAnsi="Times New Roman"/>
      <w:sz w:val="18"/>
    </w:rPr>
  </w:style>
  <w:style w:type="paragraph" w:styleId="22">
    <w:name w:val="toc 2"/>
    <w:basedOn w:val="1"/>
    <w:next w:val="1"/>
    <w:qFormat/>
    <w:uiPriority w:val="0"/>
    <w:pPr>
      <w:ind w:left="420" w:leftChars="200"/>
    </w:pPr>
    <w:rPr>
      <w:rFonts w:ascii="Times New Roman" w:hAnsi="Times New Roman"/>
    </w:rPr>
  </w:style>
  <w:style w:type="paragraph" w:styleId="23">
    <w:name w:val="Normal (Web)"/>
    <w:basedOn w:val="1"/>
    <w:qFormat/>
    <w:uiPriority w:val="0"/>
    <w:pPr>
      <w:spacing w:beforeAutospacing="1" w:afterAutospacing="1"/>
      <w:jc w:val="left"/>
    </w:pPr>
    <w:rPr>
      <w:kern w:val="0"/>
      <w:sz w:val="24"/>
    </w:rPr>
  </w:style>
  <w:style w:type="paragraph" w:styleId="24">
    <w:name w:val="Title"/>
    <w:basedOn w:val="1"/>
    <w:next w:val="1"/>
    <w:link w:val="53"/>
    <w:qFormat/>
    <w:uiPriority w:val="0"/>
    <w:pPr>
      <w:spacing w:before="360" w:after="180"/>
      <w:jc w:val="center"/>
      <w:outlineLvl w:val="0"/>
    </w:pPr>
    <w:rPr>
      <w:rFonts w:asciiTheme="majorHAnsi" w:hAnsiTheme="majorHAnsi" w:cstheme="majorBidi"/>
      <w:b/>
      <w:bCs/>
      <w:sz w:val="44"/>
      <w:szCs w:val="32"/>
    </w:rPr>
  </w:style>
  <w:style w:type="paragraph" w:styleId="25">
    <w:name w:val="Body Text First Indent"/>
    <w:basedOn w:val="10"/>
    <w:unhideWhenUsed/>
    <w:qFormat/>
    <w:uiPriority w:val="99"/>
    <w:pPr>
      <w:ind w:firstLine="420" w:firstLineChars="100"/>
    </w:pPr>
    <w:rPr>
      <w:rFonts w:ascii="Calibri" w:hAnsi="Calibri"/>
    </w:rPr>
  </w:style>
  <w:style w:type="paragraph" w:styleId="26">
    <w:name w:val="Body Text First Indent 2"/>
    <w:basedOn w:val="11"/>
    <w:qFormat/>
    <w:uiPriority w:val="0"/>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rPr>
      <w:rFonts w:ascii="Times New Roman" w:hAnsi="Times New Roman" w:eastAsia="宋体" w:cs="Times New Roman"/>
    </w:rPr>
  </w:style>
  <w:style w:type="character" w:styleId="32">
    <w:name w:val="annotation reference"/>
    <w:basedOn w:val="29"/>
    <w:qFormat/>
    <w:uiPriority w:val="0"/>
    <w:rPr>
      <w:sz w:val="21"/>
      <w:szCs w:val="21"/>
    </w:rPr>
  </w:style>
  <w:style w:type="paragraph" w:customStyle="1" w:styleId="33">
    <w:name w:val="Default"/>
    <w:next w:val="1"/>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4">
    <w:name w:val="1.正文"/>
    <w:qFormat/>
    <w:uiPriority w:val="0"/>
    <w:pPr>
      <w:widowControl w:val="0"/>
      <w:adjustRightInd w:val="0"/>
      <w:spacing w:line="360" w:lineRule="auto"/>
      <w:ind w:firstLine="397"/>
      <w:jc w:val="both"/>
    </w:pPr>
    <w:rPr>
      <w:rFonts w:ascii="宋体" w:hAnsi="Times New Roman" w:eastAsia="宋体" w:cs="Times New Roman"/>
      <w:sz w:val="24"/>
      <w:lang w:val="en-US" w:eastAsia="zh-CN" w:bidi="ar-SA"/>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BodyText"/>
    <w:basedOn w:val="1"/>
    <w:qFormat/>
    <w:uiPriority w:val="0"/>
    <w:pPr>
      <w:spacing w:after="120"/>
    </w:pPr>
  </w:style>
  <w:style w:type="character" w:customStyle="1" w:styleId="38">
    <w:name w:val="标题 1 字符"/>
    <w:link w:val="4"/>
    <w:qFormat/>
    <w:uiPriority w:val="9"/>
    <w:rPr>
      <w:rFonts w:ascii="宋体" w:hAnsi="Calibri"/>
      <w:b/>
      <w:kern w:val="44"/>
      <w:sz w:val="32"/>
    </w:rPr>
  </w:style>
  <w:style w:type="paragraph" w:styleId="39">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40">
    <w:name w:val="NormalCharacter"/>
    <w:semiHidden/>
    <w:qFormat/>
    <w:uiPriority w:val="0"/>
    <w:rPr>
      <w:rFonts w:ascii="Calibri" w:hAnsi="Calibri" w:eastAsia="宋体" w:cs="Times New Roman"/>
      <w:kern w:val="2"/>
      <w:sz w:val="21"/>
      <w:szCs w:val="24"/>
      <w:lang w:val="en-US" w:eastAsia="zh-CN" w:bidi="ar-SA"/>
    </w:rPr>
  </w:style>
  <w:style w:type="paragraph" w:customStyle="1" w:styleId="41">
    <w:name w:val="图例"/>
    <w:basedOn w:val="1"/>
    <w:qFormat/>
    <w:uiPriority w:val="0"/>
    <w:pPr>
      <w:spacing w:line="360" w:lineRule="auto"/>
      <w:jc w:val="center"/>
    </w:pPr>
    <w:rPr>
      <w:rFonts w:eastAsia="仿宋_GB2312"/>
      <w:b/>
      <w:sz w:val="24"/>
    </w:rPr>
  </w:style>
  <w:style w:type="paragraph" w:customStyle="1" w:styleId="42">
    <w:name w:val="列出段落1"/>
    <w:basedOn w:val="1"/>
    <w:qFormat/>
    <w:uiPriority w:val="0"/>
    <w:pPr>
      <w:ind w:firstLine="420" w:firstLineChars="200"/>
    </w:pPr>
  </w:style>
  <w:style w:type="paragraph" w:customStyle="1" w:styleId="4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4">
    <w:name w:val="索引 11"/>
    <w:basedOn w:val="1"/>
    <w:next w:val="1"/>
    <w:qFormat/>
    <w:uiPriority w:val="0"/>
    <w:pPr>
      <w:spacing w:line="360" w:lineRule="auto"/>
    </w:pPr>
    <w:rPr>
      <w:rFonts w:ascii="仿宋_GB2312" w:hAnsi="Times New Roman" w:eastAsia="仿宋_GB2312"/>
      <w:sz w:val="24"/>
      <w:szCs w:val="20"/>
    </w:rPr>
  </w:style>
  <w:style w:type="paragraph" w:customStyle="1" w:styleId="45">
    <w:name w:val="纯文本1"/>
    <w:basedOn w:val="1"/>
    <w:qFormat/>
    <w:uiPriority w:val="0"/>
    <w:rPr>
      <w:rFonts w:ascii="宋体" w:hAnsi="Courier New"/>
      <w:kern w:val="0"/>
      <w:sz w:val="20"/>
      <w:szCs w:val="20"/>
    </w:rPr>
  </w:style>
  <w:style w:type="paragraph" w:customStyle="1" w:styleId="46">
    <w:name w:val="HtmlNormal"/>
    <w:basedOn w:val="1"/>
    <w:qFormat/>
    <w:uiPriority w:val="0"/>
    <w:pPr>
      <w:widowControl/>
      <w:jc w:val="left"/>
      <w:textAlignment w:val="baseline"/>
    </w:pPr>
    <w:rPr>
      <w:rFonts w:ascii="宋体" w:hAnsi="宋体"/>
      <w:kern w:val="0"/>
      <w:sz w:val="24"/>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Table Paragraph"/>
    <w:basedOn w:val="1"/>
    <w:qFormat/>
    <w:uiPriority w:val="1"/>
    <w:pPr>
      <w:ind w:left="113"/>
    </w:pPr>
    <w:rPr>
      <w:rFonts w:ascii="宋体" w:hAnsi="宋体" w:cs="宋体"/>
      <w:lang w:val="zh-CN" w:bidi="zh-CN"/>
    </w:rPr>
  </w:style>
  <w:style w:type="paragraph" w:customStyle="1" w:styleId="4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50">
    <w:name w:val="正文首行缩进两字符"/>
    <w:basedOn w:val="1"/>
    <w:qFormat/>
    <w:uiPriority w:val="0"/>
    <w:pPr>
      <w:spacing w:line="360" w:lineRule="auto"/>
      <w:ind w:firstLine="200" w:firstLineChars="200"/>
    </w:pPr>
  </w:style>
  <w:style w:type="character" w:customStyle="1" w:styleId="51">
    <w:name w:val="文档结构图 字符"/>
    <w:basedOn w:val="29"/>
    <w:link w:val="8"/>
    <w:qFormat/>
    <w:uiPriority w:val="0"/>
    <w:rPr>
      <w:rFonts w:ascii="宋体" w:hAnsi="Calibri"/>
      <w:kern w:val="2"/>
      <w:sz w:val="18"/>
      <w:szCs w:val="18"/>
    </w:rPr>
  </w:style>
  <w:style w:type="character" w:customStyle="1" w:styleId="52">
    <w:name w:val="批注框文本 字符"/>
    <w:basedOn w:val="29"/>
    <w:link w:val="16"/>
    <w:qFormat/>
    <w:uiPriority w:val="0"/>
    <w:rPr>
      <w:rFonts w:ascii="Calibri" w:hAnsi="Calibri"/>
      <w:kern w:val="2"/>
      <w:sz w:val="18"/>
      <w:szCs w:val="18"/>
    </w:rPr>
  </w:style>
  <w:style w:type="character" w:customStyle="1" w:styleId="53">
    <w:name w:val="标题 字符"/>
    <w:basedOn w:val="29"/>
    <w:link w:val="24"/>
    <w:qFormat/>
    <w:uiPriority w:val="0"/>
    <w:rPr>
      <w:rFonts w:asciiTheme="majorHAnsi" w:hAnsiTheme="majorHAnsi" w:cstheme="majorBidi"/>
      <w:b/>
      <w:bCs/>
      <w:kern w:val="2"/>
      <w:sz w:val="44"/>
      <w:szCs w:val="32"/>
    </w:rPr>
  </w:style>
  <w:style w:type="paragraph" w:customStyle="1" w:styleId="54">
    <w:name w:val="【2级标题】"/>
    <w:basedOn w:val="5"/>
    <w:next w:val="1"/>
    <w:qFormat/>
    <w:uiPriority w:val="0"/>
    <w:pPr>
      <w:numPr>
        <w:ilvl w:val="1"/>
        <w:numId w:val="3"/>
      </w:numPr>
      <w:tabs>
        <w:tab w:val="left" w:pos="360"/>
      </w:tabs>
      <w:spacing w:before="320" w:after="160" w:line="240" w:lineRule="auto"/>
    </w:pPr>
    <w:rPr>
      <w:rFonts w:ascii="Cambria" w:hAnsi="Cambria" w:eastAsia="仿宋"/>
      <w:kern w:val="2"/>
      <w:sz w:val="36"/>
    </w:rPr>
  </w:style>
  <w:style w:type="paragraph" w:customStyle="1" w:styleId="55">
    <w:name w:val="_标题1"/>
    <w:basedOn w:val="4"/>
    <w:next w:val="56"/>
    <w:qFormat/>
    <w:uiPriority w:val="0"/>
    <w:pPr>
      <w:pageBreakBefore/>
      <w:tabs>
        <w:tab w:val="left" w:pos="900"/>
      </w:tabs>
      <w:spacing w:beforeLines="100" w:afterLines="100" w:line="240" w:lineRule="auto"/>
      <w:ind w:left="567" w:hanging="567"/>
    </w:pPr>
    <w:rPr>
      <w:rFonts w:ascii="Arial" w:hAnsi="Arial" w:eastAsia="微软雅黑"/>
      <w:b w:val="0"/>
      <w:szCs w:val="36"/>
    </w:rPr>
  </w:style>
  <w:style w:type="paragraph" w:customStyle="1" w:styleId="56">
    <w:name w:val="_正文段落"/>
    <w:basedOn w:val="1"/>
    <w:qFormat/>
    <w:uiPriority w:val="0"/>
    <w:pPr>
      <w:spacing w:line="360" w:lineRule="auto"/>
      <w:ind w:firstLine="200"/>
    </w:pPr>
    <w:rPr>
      <w:rFonts w:ascii="Times New Roman" w:hAnsi="Times New Roman" w:eastAsia="Times New Roman"/>
      <w:szCs w:val="20"/>
      <w:lang w:val="zh-CN" w:eastAsia="en-US"/>
    </w:rPr>
  </w:style>
  <w:style w:type="paragraph" w:styleId="57">
    <w:name w:val="List Paragraph"/>
    <w:basedOn w:val="1"/>
    <w:link w:val="59"/>
    <w:qFormat/>
    <w:uiPriority w:val="34"/>
    <w:pPr>
      <w:ind w:firstLine="420" w:firstLineChars="200"/>
    </w:pPr>
    <w:rPr>
      <w:rFonts w:ascii="Arial" w:hAnsi="Arial"/>
      <w:szCs w:val="20"/>
    </w:rPr>
  </w:style>
  <w:style w:type="paragraph" w:customStyle="1" w:styleId="58">
    <w:name w:val="列表段落1"/>
    <w:basedOn w:val="1"/>
    <w:qFormat/>
    <w:uiPriority w:val="0"/>
    <w:pPr>
      <w:spacing w:line="360" w:lineRule="auto"/>
      <w:ind w:firstLine="420" w:firstLineChars="200"/>
    </w:pPr>
    <w:rPr>
      <w:rFonts w:eastAsiaTheme="minorEastAsia" w:cstheme="minorBidi"/>
      <w:szCs w:val="22"/>
    </w:rPr>
  </w:style>
  <w:style w:type="character" w:customStyle="1" w:styleId="59">
    <w:name w:val="列表段落 字符"/>
    <w:link w:val="57"/>
    <w:qFormat/>
    <w:uiPriority w:val="0"/>
    <w:rPr>
      <w:rFonts w:ascii="Arial" w:hAnsi="Arial"/>
      <w:kern w:val="2"/>
      <w:sz w:val="21"/>
    </w:rPr>
  </w:style>
  <w:style w:type="character" w:customStyle="1" w:styleId="60">
    <w:name w:val="批注文字 字符"/>
    <w:basedOn w:val="29"/>
    <w:link w:val="9"/>
    <w:qFormat/>
    <w:uiPriority w:val="0"/>
    <w:rPr>
      <w:rFonts w:ascii="Calibri" w:hAnsi="Calibri"/>
      <w:kern w:val="2"/>
      <w:sz w:val="21"/>
      <w:szCs w:val="24"/>
    </w:rPr>
  </w:style>
  <w:style w:type="paragraph" w:customStyle="1" w:styleId="61">
    <w:name w:val="Default Text"/>
    <w:basedOn w:val="1"/>
    <w:qFormat/>
    <w:uiPriority w:val="0"/>
    <w:pPr>
      <w:autoSpaceDE w:val="0"/>
      <w:autoSpaceDN w:val="0"/>
      <w:adjustRightInd w:val="0"/>
      <w:jc w:val="left"/>
    </w:pPr>
    <w:rPr>
      <w:color w:val="000000"/>
      <w:sz w:val="24"/>
    </w:rPr>
  </w:style>
  <w:style w:type="character" w:customStyle="1" w:styleId="62">
    <w:name w:val="纯文本 字符"/>
    <w:link w:val="15"/>
    <w:qFormat/>
    <w:uiPriority w:val="0"/>
    <w:rPr>
      <w:rFonts w:ascii="宋体" w:hAnsi="Courier New"/>
      <w:kern w:val="2"/>
      <w:sz w:val="21"/>
    </w:rPr>
  </w:style>
  <w:style w:type="character" w:customStyle="1" w:styleId="63">
    <w:name w:val="页脚 字符"/>
    <w:link w:val="17"/>
    <w:qFormat/>
    <w:uiPriority w:val="99"/>
    <w:rPr>
      <w:rFonts w:ascii="宋体"/>
      <w:sz w:val="18"/>
    </w:rPr>
  </w:style>
  <w:style w:type="character" w:customStyle="1" w:styleId="64">
    <w:name w:val="页眉 字符"/>
    <w:link w:val="18"/>
    <w:qFormat/>
    <w:uiPriority w:val="0"/>
    <w:rPr>
      <w:kern w:val="2"/>
      <w:sz w:val="18"/>
      <w:szCs w:val="18"/>
    </w:rPr>
  </w:style>
  <w:style w:type="paragraph" w:customStyle="1" w:styleId="65">
    <w:name w:val="方案正文"/>
    <w:qFormat/>
    <w:uiPriority w:val="0"/>
    <w:pPr>
      <w:adjustRightInd w:val="0"/>
      <w:snapToGrid w:val="0"/>
      <w:spacing w:before="468" w:beforeLines="150" w:after="156" w:afterLines="50" w:line="360" w:lineRule="auto"/>
      <w:ind w:firstLine="480" w:firstLineChars="200"/>
    </w:pPr>
    <w:rPr>
      <w:rFonts w:ascii="宋体" w:hAnsi="宋体" w:eastAsia="宋体" w:cs="宋体"/>
      <w:kern w:val="2"/>
      <w:sz w:val="24"/>
      <w:szCs w:val="28"/>
      <w:lang w:val="en-US" w:eastAsia="zh-CN" w:bidi="ar-SA"/>
    </w:rPr>
  </w:style>
  <w:style w:type="paragraph" w:customStyle="1" w:styleId="6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7">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68">
    <w:name w:val="表格文字"/>
    <w:basedOn w:val="1"/>
    <w:qFormat/>
    <w:uiPriority w:val="0"/>
    <w:pPr>
      <w:spacing w:before="25" w:after="25"/>
      <w:jc w:val="left"/>
    </w:pPr>
    <w:rPr>
      <w:bCs/>
      <w:spacing w:val="10"/>
      <w:kern w:val="0"/>
      <w:sz w:val="24"/>
      <w:szCs w:val="20"/>
    </w:rPr>
  </w:style>
  <w:style w:type="paragraph" w:customStyle="1" w:styleId="6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70">
    <w:name w:val="正文_0_1"/>
    <w:basedOn w:val="71"/>
    <w:qFormat/>
    <w:uiPriority w:val="0"/>
    <w:pPr>
      <w:widowControl w:val="0"/>
      <w:jc w:val="both"/>
    </w:pPr>
    <w:rPr>
      <w:kern w:val="2"/>
      <w:sz w:val="21"/>
      <w:szCs w:val="24"/>
      <w:lang w:val="en-US" w:eastAsia="zh-CN" w:bidi="ar-SA"/>
    </w:rPr>
  </w:style>
  <w:style w:type="paragraph" w:customStyle="1" w:styleId="71">
    <w:name w:val="正文_1"/>
    <w:basedOn w:val="72"/>
    <w:next w:val="72"/>
    <w:qFormat/>
    <w:uiPriority w:val="0"/>
    <w:pPr>
      <w:widowControl w:val="0"/>
      <w:jc w:val="both"/>
    </w:pPr>
    <w:rPr>
      <w:kern w:val="2"/>
      <w:sz w:val="21"/>
      <w:szCs w:val="22"/>
      <w:lang w:val="en-US" w:eastAsia="zh-CN" w:bidi="ar-SA"/>
    </w:rPr>
  </w:style>
  <w:style w:type="paragraph" w:customStyle="1" w:styleId="72">
    <w:name w:val="正文_2"/>
    <w:basedOn w:val="73"/>
    <w:next w:val="76"/>
    <w:qFormat/>
    <w:uiPriority w:val="0"/>
    <w:pPr>
      <w:widowControl w:val="0"/>
      <w:jc w:val="both"/>
    </w:pPr>
    <w:rPr>
      <w:kern w:val="2"/>
      <w:sz w:val="21"/>
      <w:szCs w:val="22"/>
      <w:lang w:val="en-US" w:eastAsia="zh-CN" w:bidi="ar-SA"/>
    </w:rPr>
  </w:style>
  <w:style w:type="paragraph" w:customStyle="1" w:styleId="73">
    <w:name w:val="正文_4"/>
    <w:basedOn w:val="74"/>
    <w:next w:val="75"/>
    <w:qFormat/>
    <w:uiPriority w:val="0"/>
    <w:pPr>
      <w:widowControl w:val="0"/>
      <w:jc w:val="both"/>
    </w:pPr>
    <w:rPr>
      <w:kern w:val="2"/>
      <w:sz w:val="21"/>
      <w:szCs w:val="22"/>
      <w:lang w:val="en-US" w:eastAsia="zh-CN" w:bidi="ar-SA"/>
    </w:rPr>
  </w:style>
  <w:style w:type="paragraph" w:customStyle="1" w:styleId="7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首行缩进_0"/>
    <w:basedOn w:val="76"/>
    <w:unhideWhenUsed/>
    <w:qFormat/>
    <w:uiPriority w:val="99"/>
    <w:pPr>
      <w:ind w:firstLine="420" w:firstLineChars="100"/>
    </w:pPr>
    <w:rPr>
      <w:szCs w:val="22"/>
    </w:rPr>
  </w:style>
  <w:style w:type="paragraph" w:customStyle="1" w:styleId="76">
    <w:name w:val="正文文本_1"/>
    <w:basedOn w:val="77"/>
    <w:unhideWhenUsed/>
    <w:qFormat/>
    <w:uiPriority w:val="0"/>
    <w:pPr>
      <w:spacing w:after="120"/>
    </w:pPr>
    <w:rPr>
      <w:rFonts w:ascii="Calibri" w:hAnsi="Calibri"/>
    </w:rPr>
  </w:style>
  <w:style w:type="paragraph" w:customStyle="1" w:styleId="77">
    <w:name w:val="正文_1_0"/>
    <w:basedOn w:val="78"/>
    <w:next w:val="80"/>
    <w:qFormat/>
    <w:uiPriority w:val="0"/>
    <w:pPr>
      <w:widowControl w:val="0"/>
      <w:jc w:val="both"/>
    </w:pPr>
    <w:rPr>
      <w:rFonts w:ascii="Calibri" w:hAnsi="Calibri"/>
      <w:kern w:val="2"/>
      <w:sz w:val="21"/>
      <w:szCs w:val="22"/>
      <w:lang w:val="en-US" w:eastAsia="zh-CN" w:bidi="ar-SA"/>
    </w:rPr>
  </w:style>
  <w:style w:type="paragraph" w:customStyle="1" w:styleId="78">
    <w:name w:val="Normal"/>
    <w:next w:val="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Footnote Text"/>
    <w:basedOn w:val="78"/>
    <w:qFormat/>
    <w:uiPriority w:val="0"/>
    <w:pPr>
      <w:snapToGrid w:val="0"/>
      <w:jc w:val="left"/>
    </w:pPr>
    <w:rPr>
      <w:sz w:val="18"/>
      <w:szCs w:val="18"/>
    </w:rPr>
  </w:style>
  <w:style w:type="paragraph" w:customStyle="1" w:styleId="80">
    <w:name w:val="正文首行缩进 2_0"/>
    <w:basedOn w:val="81"/>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81">
    <w:name w:val="正文文本缩进_1"/>
    <w:basedOn w:val="82"/>
    <w:unhideWhenUsed/>
    <w:qFormat/>
    <w:uiPriority w:val="0"/>
    <w:pPr>
      <w:ind w:firstLine="830" w:firstLineChars="352"/>
    </w:pPr>
    <w:rPr>
      <w:rFonts w:ascii="仿宋_GB2312" w:hAnsi="Calibri" w:eastAsia="仿宋_GB2312"/>
      <w:sz w:val="32"/>
      <w:szCs w:val="20"/>
    </w:rPr>
  </w:style>
  <w:style w:type="paragraph" w:customStyle="1" w:styleId="82">
    <w:name w:val="正文_5_0"/>
    <w:next w:val="2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148</Pages>
  <Words>84913</Words>
  <Characters>98220</Characters>
  <Lines>437</Lines>
  <Paragraphs>123</Paragraphs>
  <TotalTime>1</TotalTime>
  <ScaleCrop>false</ScaleCrop>
  <LinksUpToDate>false</LinksUpToDate>
  <CharactersWithSpaces>103732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2021-08-05T03:37:00Z</dcterms:created>
  <dc:creator>WPS_1542621076</dc:creator>
  <cp:lastModifiedBy>C孟姣18195954929</cp:lastModifiedBy>
  <cp:lastPrinted>2022-09-16T03:45:00Z</cp:lastPrinted>
  <dcterms:modified xsi:type="dcterms:W3CDTF">2022-09-16T08:42:20Z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F89D688BDB4F40E8A480E6476B20BC68</vt:lpwstr>
  </property>
</Properties>
</file>