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 w:firstLine="546" w:firstLineChars="17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  <w:lang w:val="en-US" w:eastAsia="zh-CN"/>
        </w:rPr>
        <w:t>奇台县五马场乡半截泉村人居环境整治道路路灯项目</w:t>
      </w:r>
    </w:p>
    <w:p>
      <w:pPr>
        <w:ind w:left="1" w:firstLine="546" w:firstLineChars="17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  <w:lang w:val="en-US" w:eastAsia="zh-CN"/>
        </w:rPr>
        <w:t>竞争性磋商采购公告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新疆新华远景工程造价咨询有限公司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受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奇台县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五马场哈萨克族乡人民政府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的委托，就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奇台县五马场乡半截泉村人居环境整治道路路灯项目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进行竞争性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磋商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采购，欢迎符合相关资质条件的供应商前来报名参与投标。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奇台县五马场乡半截泉村人居环境整治道路路灯项目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  <w:t>项目编号：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XHYJ-QTCG202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-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129</w:t>
      </w:r>
    </w:p>
    <w:p>
      <w:pPr>
        <w:keepNext w:val="0"/>
        <w:keepLines w:val="0"/>
        <w:pageBreakBefore w:val="0"/>
        <w:widowControl w:val="0"/>
        <w:tabs>
          <w:tab w:val="left" w:pos="5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、资金来源：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昌吉州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总工会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驻奇台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县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五马场乡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半截泉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村“访惠聚”工作队资金</w:t>
      </w:r>
    </w:p>
    <w:p>
      <w:pPr>
        <w:tabs>
          <w:tab w:val="left" w:pos="591"/>
        </w:tabs>
        <w:spacing w:line="560" w:lineRule="exact"/>
        <w:ind w:firstLine="562" w:firstLineChars="200"/>
        <w:textAlignment w:val="baseline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、预算价格: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450000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元</w:t>
      </w:r>
    </w:p>
    <w:p>
      <w:pPr>
        <w:ind w:firstLine="562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五、付款方式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: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合同签订后支付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0%的货款，项目完工完成验收后支付至97%，质保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期结束后付清剩余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、投标人资质要求：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1、投标人必须是符合《中华人民共和国政府采购法》第二十二条的合格供应商（1、具有独立承担民事责任的能力；2、具有良好的商业信誉和健全的财务会计制度；3、具有履行合同所必需的设备和专业技术能力；4、有依法缴纳税收和社会保障资金的良好记录；5、参加政府采购活动前三年内，在经营活动中没有重大违法记录；6、法律、行政法规规定的其他条件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8" w:firstLineChars="196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2、(1)投标人须具备有效的资质证书，且满足本项目资质要求：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市政公用工程施工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总承包叁级（含叁级）以上资质的施工企业；（2）投标人须具备有效的安全生产许可证；（3）项目负责人要求应具备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市政公用工程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专业贰级（含贰级）以上注册建造师资格。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8" w:firstLineChars="196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3、疆外企业提供疆外企业进疆备案登记。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8" w:firstLineChars="196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4、投标企业需具有本地化服务能力。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8" w:firstLineChars="196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5、本项目不接受联合体投标 。</w:t>
      </w:r>
    </w:p>
    <w:p>
      <w:pPr>
        <w:spacing w:line="560" w:lineRule="exact"/>
        <w:ind w:firstLine="548" w:firstLineChars="196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其他要求：凡拟参加本项目投标的投标人，经查询被“信用中国”网站（www.creditchina.gov.cn）列入失信被执行人、重大税收违法案件当事人名单，及中国政府采购网（www.ccgp.gov.cn）列入政府采购严重违法失信行为记录名单的（至本项目开始报名之时止，经查询尚在处罚期内的），将拒绝其参加本次投标活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采购内容及数量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需采购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太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阳能路灯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150套。（具体内容及参数详见招标文件）</w:t>
      </w:r>
    </w:p>
    <w:p>
      <w:pPr>
        <w:ind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八、质保及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售后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服务要求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项目完工以后，乙方负责太阳能路灯整体质保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在期间如有非人为因素造成路灯不亮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，乙方负责调试及更换。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 xml:space="preserve">         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九、交货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期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自合同签订后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25日内完成供货、安装及验收工作。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、报名起截止时间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日---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日下午19: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止，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每日上午10：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0－13：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下午1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0－19：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（北京时间）。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（节假日除外）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地点：奇台县双创大厦5楼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十一、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报名须知：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招标文件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300元/份（售后不退）</w:t>
      </w:r>
    </w:p>
    <w:p>
      <w:pPr>
        <w:ind w:firstLine="560" w:firstLineChars="200"/>
        <w:rPr>
          <w:rStyle w:val="9"/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Style w:val="9"/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fldChar w:fldCharType="begin"/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instrText xml:space="preserve"> HYPERLINK "mailto:投标单位报名请将1、公司工商营业执照副本原件(营业执照需包含本次采购项目的专业技术能力和相应营业范围；2、法人代表授权书、被委托人的身份证件原件3、中国政府采购网(www.ccgp.gov.cn)和\“信用中国\”网站（www.creditchina.gov.cn）信用记录截图（以上资料加盖公章的复印件）扫描成PDF格式，电子版发送至招标代理机构邮箱（893673931@qq.com）并致电0994-7229636予以确认，资料未按要求提供不予受理。" </w:instrTex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u w:val="single"/>
          <w:lang w:val="en-US" w:eastAsia="zh-CN" w:bidi="ar-SA"/>
        </w:rPr>
        <w:t>投标单位报名请携带1、有效的三证合一营业执照原件（需有相应的经营范围）、投标人须具备有效的资质证书，且满足本项目资质要求：</w: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市政公用工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  <w:lang w:val="en-US" w:eastAsia="zh-CN"/>
        </w:rPr>
        <w:t>程施工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u w:val="single"/>
          <w:lang w:val="en-US" w:eastAsia="zh-CN" w:bidi="ar-SA"/>
        </w:rPr>
        <w:t>总承包叁级（含叁级）以上资质的施工企业、投标人须具备有效的安全生产许可证，以上资料提供（原件）或者可扫描二维码的复印件加盖公章）2、注册建造师（市政公用工程专业贰级（含贰级）以上）证书及安考证（原件）或者网上可查询到的电子证照复印件加盖公章），建造师在职单位近半年的社保明细证明（原件）；疆外企业提供疆外企业进疆备案登记册（原件）3、法人代表授权书、被委托人的身份证件原件4、中国政府采购网(www.ccgp.gov.cn)、“信用中国”网站（www.creditchina.gov.cn）信用记录截图（日期必须在发布公告日期之后）（携带以上资料复印件两份到奇台县双创大厦五楼拷贝招标文件（须自带U盘)。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fldChar w:fldCharType="end"/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     2、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发布媒介:新疆政府采购网（http://www.ccgp-xinjiang.gov.cn/home.html）。</w:t>
      </w:r>
    </w:p>
    <w:p>
      <w:pPr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投标文件递交截止时间：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上午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前（北京时间）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shd w:val="clear" w:color="auto" w:fill="FFFFFF"/>
          <w:lang w:eastAsia="zh-CN"/>
        </w:rPr>
        <w:t>十三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shd w:val="clear" w:color="auto" w:fill="FFFFFF"/>
          <w:lang w:eastAsia="zh-CN"/>
        </w:rPr>
        <w:t>招标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文件的取得地点：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奇台县双创大厦5楼</w:t>
      </w:r>
      <w:bookmarkStart w:id="0" w:name="_GoBack"/>
      <w:bookmarkEnd w:id="0"/>
    </w:p>
    <w:p>
      <w:pPr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十四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、开标时间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上午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、开标地点：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奇台县双创大厦5楼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采购人：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 xml:space="preserve"> 奇台县五马场哈萨克族乡人民政府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马所长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15809942035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招标机构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新疆新华远景工程造价咨询有限公司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招标机构地址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奇台县双创大厦5楼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葛工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0994-7229636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520" w:firstLineChars="9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26D03E"/>
    <w:multiLevelType w:val="multilevel"/>
    <w:tmpl w:val="9026D03E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FullWidth"/>
      <w:pStyle w:val="5"/>
      <w:lvlText w:val="%1.%2"/>
      <w:lvlJc w:val="left"/>
      <w:pPr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lvlText w:val="%1.%2.%3 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C220A"/>
    <w:rsid w:val="008267E2"/>
    <w:rsid w:val="00B6583E"/>
    <w:rsid w:val="00CD1B76"/>
    <w:rsid w:val="00CE2CEB"/>
    <w:rsid w:val="00FA6B9C"/>
    <w:rsid w:val="010B0C1D"/>
    <w:rsid w:val="015825D0"/>
    <w:rsid w:val="029B6B81"/>
    <w:rsid w:val="02B32658"/>
    <w:rsid w:val="02B80DC8"/>
    <w:rsid w:val="02CA4025"/>
    <w:rsid w:val="02DA18B5"/>
    <w:rsid w:val="02DA5BD5"/>
    <w:rsid w:val="032D709A"/>
    <w:rsid w:val="066227F1"/>
    <w:rsid w:val="06EA11FE"/>
    <w:rsid w:val="07740741"/>
    <w:rsid w:val="078F7CDF"/>
    <w:rsid w:val="079E2D3B"/>
    <w:rsid w:val="0841493C"/>
    <w:rsid w:val="08A1741D"/>
    <w:rsid w:val="09016190"/>
    <w:rsid w:val="09055E89"/>
    <w:rsid w:val="0A682522"/>
    <w:rsid w:val="0ABF3C16"/>
    <w:rsid w:val="0D5D10FB"/>
    <w:rsid w:val="0DFB66BA"/>
    <w:rsid w:val="0E6616B7"/>
    <w:rsid w:val="0E814859"/>
    <w:rsid w:val="0EDA7103"/>
    <w:rsid w:val="0EDF4A9F"/>
    <w:rsid w:val="0EED04DC"/>
    <w:rsid w:val="0F263A16"/>
    <w:rsid w:val="1257100D"/>
    <w:rsid w:val="139E6D87"/>
    <w:rsid w:val="13E91BFA"/>
    <w:rsid w:val="13F33191"/>
    <w:rsid w:val="14A208D9"/>
    <w:rsid w:val="15F82971"/>
    <w:rsid w:val="1759034D"/>
    <w:rsid w:val="18210788"/>
    <w:rsid w:val="18537E52"/>
    <w:rsid w:val="186A7010"/>
    <w:rsid w:val="186B71E6"/>
    <w:rsid w:val="19E62171"/>
    <w:rsid w:val="1A6D0BF6"/>
    <w:rsid w:val="1A8F00DD"/>
    <w:rsid w:val="1AAE3A27"/>
    <w:rsid w:val="1AD07608"/>
    <w:rsid w:val="1B3377C9"/>
    <w:rsid w:val="1C0A605D"/>
    <w:rsid w:val="1C183DA8"/>
    <w:rsid w:val="1C4817DB"/>
    <w:rsid w:val="1D37721E"/>
    <w:rsid w:val="1EFB56CB"/>
    <w:rsid w:val="20DD2462"/>
    <w:rsid w:val="215906B8"/>
    <w:rsid w:val="21A24537"/>
    <w:rsid w:val="22716B49"/>
    <w:rsid w:val="22C34693"/>
    <w:rsid w:val="230C220A"/>
    <w:rsid w:val="230D5E88"/>
    <w:rsid w:val="2321690D"/>
    <w:rsid w:val="23A937E6"/>
    <w:rsid w:val="23F51E18"/>
    <w:rsid w:val="24326CFD"/>
    <w:rsid w:val="259F1096"/>
    <w:rsid w:val="260C1243"/>
    <w:rsid w:val="26AF7F78"/>
    <w:rsid w:val="26D432B2"/>
    <w:rsid w:val="27BA5DE1"/>
    <w:rsid w:val="280706C8"/>
    <w:rsid w:val="28287A12"/>
    <w:rsid w:val="294C7DE1"/>
    <w:rsid w:val="29577ACB"/>
    <w:rsid w:val="2AEE2932"/>
    <w:rsid w:val="2D0B00B0"/>
    <w:rsid w:val="2D1726F9"/>
    <w:rsid w:val="2D4D6B85"/>
    <w:rsid w:val="2DD77274"/>
    <w:rsid w:val="2E852431"/>
    <w:rsid w:val="2EB129E9"/>
    <w:rsid w:val="2F5527C5"/>
    <w:rsid w:val="2FA72755"/>
    <w:rsid w:val="30153252"/>
    <w:rsid w:val="31C8667F"/>
    <w:rsid w:val="34024275"/>
    <w:rsid w:val="34215026"/>
    <w:rsid w:val="34552488"/>
    <w:rsid w:val="34F52A80"/>
    <w:rsid w:val="351F2DE4"/>
    <w:rsid w:val="35973D02"/>
    <w:rsid w:val="35DF3A11"/>
    <w:rsid w:val="35FC3F88"/>
    <w:rsid w:val="386004DD"/>
    <w:rsid w:val="387215C3"/>
    <w:rsid w:val="38FC10AC"/>
    <w:rsid w:val="395B4365"/>
    <w:rsid w:val="398D1FE2"/>
    <w:rsid w:val="3ADE2ECF"/>
    <w:rsid w:val="3BE940E0"/>
    <w:rsid w:val="3C320FF0"/>
    <w:rsid w:val="3C8068D5"/>
    <w:rsid w:val="3DDB1552"/>
    <w:rsid w:val="3E616A28"/>
    <w:rsid w:val="3EA22BCE"/>
    <w:rsid w:val="3EBD76C0"/>
    <w:rsid w:val="3EC31A63"/>
    <w:rsid w:val="3EE54FA8"/>
    <w:rsid w:val="413810D2"/>
    <w:rsid w:val="413B1A41"/>
    <w:rsid w:val="41511324"/>
    <w:rsid w:val="41D57EC1"/>
    <w:rsid w:val="426075EA"/>
    <w:rsid w:val="432E2F98"/>
    <w:rsid w:val="43FB32A4"/>
    <w:rsid w:val="447B1CAF"/>
    <w:rsid w:val="44C4166D"/>
    <w:rsid w:val="468D4A50"/>
    <w:rsid w:val="47E57BA3"/>
    <w:rsid w:val="47ED61AC"/>
    <w:rsid w:val="496E15A5"/>
    <w:rsid w:val="49CD11D1"/>
    <w:rsid w:val="49D87704"/>
    <w:rsid w:val="49E55B86"/>
    <w:rsid w:val="4A270B87"/>
    <w:rsid w:val="4ABC3FAB"/>
    <w:rsid w:val="4ACA16A0"/>
    <w:rsid w:val="4B9C1966"/>
    <w:rsid w:val="4BC66B0D"/>
    <w:rsid w:val="4C080CA5"/>
    <w:rsid w:val="4C1D3923"/>
    <w:rsid w:val="4CD756DF"/>
    <w:rsid w:val="4CFD673A"/>
    <w:rsid w:val="50237DB3"/>
    <w:rsid w:val="50994196"/>
    <w:rsid w:val="519B66EE"/>
    <w:rsid w:val="51EB7F15"/>
    <w:rsid w:val="52597C2C"/>
    <w:rsid w:val="52700BF0"/>
    <w:rsid w:val="539C491D"/>
    <w:rsid w:val="53BE61C8"/>
    <w:rsid w:val="54D24184"/>
    <w:rsid w:val="551F38A0"/>
    <w:rsid w:val="55A20D40"/>
    <w:rsid w:val="568B028C"/>
    <w:rsid w:val="56C25FC8"/>
    <w:rsid w:val="56E97754"/>
    <w:rsid w:val="57347429"/>
    <w:rsid w:val="57410772"/>
    <w:rsid w:val="57A857EB"/>
    <w:rsid w:val="5867197F"/>
    <w:rsid w:val="5A3F2E70"/>
    <w:rsid w:val="5A8142F6"/>
    <w:rsid w:val="5BB826E2"/>
    <w:rsid w:val="5BC12663"/>
    <w:rsid w:val="5BC85F49"/>
    <w:rsid w:val="5C787D01"/>
    <w:rsid w:val="5CCA18B5"/>
    <w:rsid w:val="5ED45A6C"/>
    <w:rsid w:val="5F191DE0"/>
    <w:rsid w:val="5F406451"/>
    <w:rsid w:val="5FC87E4F"/>
    <w:rsid w:val="603F4E39"/>
    <w:rsid w:val="61B9237F"/>
    <w:rsid w:val="61D20875"/>
    <w:rsid w:val="62CF38AE"/>
    <w:rsid w:val="630F72DE"/>
    <w:rsid w:val="634A5F1E"/>
    <w:rsid w:val="634D11B5"/>
    <w:rsid w:val="63F773C7"/>
    <w:rsid w:val="6400352E"/>
    <w:rsid w:val="64597A05"/>
    <w:rsid w:val="647A3A84"/>
    <w:rsid w:val="6655201C"/>
    <w:rsid w:val="66A06CD6"/>
    <w:rsid w:val="66B261F4"/>
    <w:rsid w:val="66D71272"/>
    <w:rsid w:val="66E20B98"/>
    <w:rsid w:val="67883512"/>
    <w:rsid w:val="68671284"/>
    <w:rsid w:val="69163A95"/>
    <w:rsid w:val="69B72C19"/>
    <w:rsid w:val="69E326C5"/>
    <w:rsid w:val="6A6C48D6"/>
    <w:rsid w:val="6BE40032"/>
    <w:rsid w:val="6C571C4E"/>
    <w:rsid w:val="6C7A7A98"/>
    <w:rsid w:val="6C9C616D"/>
    <w:rsid w:val="6D7557E6"/>
    <w:rsid w:val="6D876BEA"/>
    <w:rsid w:val="6DAB3E99"/>
    <w:rsid w:val="6DAC70FD"/>
    <w:rsid w:val="6DD84C64"/>
    <w:rsid w:val="6E29363B"/>
    <w:rsid w:val="6EA14278"/>
    <w:rsid w:val="6EAA5D6A"/>
    <w:rsid w:val="6F251D84"/>
    <w:rsid w:val="709D04E4"/>
    <w:rsid w:val="71EB0225"/>
    <w:rsid w:val="71F61302"/>
    <w:rsid w:val="74A214AC"/>
    <w:rsid w:val="74A50026"/>
    <w:rsid w:val="761E186A"/>
    <w:rsid w:val="76946059"/>
    <w:rsid w:val="769C4DB2"/>
    <w:rsid w:val="76BD3195"/>
    <w:rsid w:val="76DE3899"/>
    <w:rsid w:val="77B9603A"/>
    <w:rsid w:val="78450DDC"/>
    <w:rsid w:val="78AC7661"/>
    <w:rsid w:val="78BE1117"/>
    <w:rsid w:val="78E91B78"/>
    <w:rsid w:val="792E52DB"/>
    <w:rsid w:val="79521FBF"/>
    <w:rsid w:val="798237E3"/>
    <w:rsid w:val="79844F71"/>
    <w:rsid w:val="79E904E7"/>
    <w:rsid w:val="7A722D23"/>
    <w:rsid w:val="7B835E04"/>
    <w:rsid w:val="7C320C40"/>
    <w:rsid w:val="7C877131"/>
    <w:rsid w:val="7D002832"/>
    <w:rsid w:val="7E9A12FD"/>
    <w:rsid w:val="7F4330DD"/>
    <w:rsid w:val="7F61166D"/>
    <w:rsid w:val="7F793389"/>
    <w:rsid w:val="7FD9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720"/>
      </w:tabs>
      <w:spacing w:line="360" w:lineRule="auto"/>
      <w:ind w:left="0" w:firstLine="482" w:firstLineChars="200"/>
      <w:outlineLvl w:val="1"/>
    </w:pPr>
    <w:rPr>
      <w:rFonts w:ascii="Arial" w:hAnsi="Arial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4"/>
      <w:szCs w:val="24"/>
    </w:rPr>
  </w:style>
  <w:style w:type="paragraph" w:styleId="3">
    <w:name w:val="Body Text 2"/>
    <w:basedOn w:val="1"/>
    <w:unhideWhenUsed/>
    <w:qFormat/>
    <w:uiPriority w:val="99"/>
    <w:rPr>
      <w:sz w:val="2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No Spacing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2019-10-29T03:46:00Z</dcterms:created>
  <dc:creator>飞雪轻舞</dc:creator>
  <cp:lastModifiedBy>Administrator</cp:lastModifiedBy>
  <dcterms:modified xsi:type="dcterms:W3CDTF">2022-10-24T01:30:15Z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E4B0E3A1E89645498EADC964B27E815D</vt:lpwstr>
  </property>
</Properties>
</file>