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0" w:type="auto"/>
        <w:tblInd w:w="0" w:type="dxa"/>
        <w:tblLayout w:type="fixed"/>
        <w:tblCellMar>
          <w:top w:w="0" w:type="dxa"/>
          <w:left w:w="0" w:type="dxa"/>
          <w:bottom w:w="0" w:type="dxa"/>
          <w:right w:w="0" w:type="dxa"/>
        </w:tblCellMar>
      </w:tblPr>
      <w:tblGrid>
        <w:gridCol w:w="855"/>
        <w:gridCol w:w="4601"/>
      </w:tblGrid>
      <w:tr>
        <w:tblPrEx>
          <w:tblCellMar>
            <w:top w:w="0" w:type="dxa"/>
            <w:left w:w="0" w:type="dxa"/>
            <w:bottom w:w="0" w:type="dxa"/>
            <w:right w:w="0" w:type="dxa"/>
          </w:tblCellMar>
        </w:tblPrEx>
        <w:trPr>
          <w:trHeight w:val="355" w:hRule="atLeast"/>
        </w:trPr>
        <w:tc>
          <w:tcPr>
            <w:tcW w:w="855" w:type="dxa"/>
            <w:vMerge w:val="restart"/>
          </w:tcPr>
          <w:p>
            <w:pPr>
              <w:pStyle w:val="33"/>
              <w:jc w:val="center"/>
              <w:rPr>
                <w:rFonts w:ascii="宋体" w:hAnsi="宋体" w:eastAsia="宋体" w:cs="宋体"/>
                <w:color w:val="auto"/>
                <w:sz w:val="16"/>
                <w:szCs w:val="20"/>
                <w:highlight w:val="none"/>
              </w:rPr>
            </w:pPr>
            <w:r>
              <w:rPr>
                <w:rFonts w:hint="eastAsia" w:ascii="宋体" w:hAnsi="宋体" w:eastAsia="宋体" w:cs="宋体"/>
                <w:color w:val="auto"/>
                <w:sz w:val="16"/>
                <w:szCs w:val="20"/>
                <w:highlight w:val="none"/>
                <w:lang w:val="en-US" w:bidi="ar-SA"/>
              </w:rPr>
              <w:drawing>
                <wp:anchor distT="0" distB="0" distL="114300" distR="114300" simplePos="0" relativeHeight="251662336" behindDoc="0" locked="0" layoutInCell="1" allowOverlap="1">
                  <wp:simplePos x="0" y="0"/>
                  <wp:positionH relativeFrom="column">
                    <wp:posOffset>0</wp:posOffset>
                  </wp:positionH>
                  <wp:positionV relativeFrom="paragraph">
                    <wp:posOffset>95250</wp:posOffset>
                  </wp:positionV>
                  <wp:extent cx="540385" cy="316230"/>
                  <wp:effectExtent l="0" t="0" r="12065" b="7620"/>
                  <wp:wrapNone/>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11"/>
                          <a:stretch>
                            <a:fillRect/>
                          </a:stretch>
                        </pic:blipFill>
                        <pic:spPr>
                          <a:xfrm>
                            <a:off x="0" y="0"/>
                            <a:ext cx="540385" cy="316230"/>
                          </a:xfrm>
                          <a:prstGeom prst="rect">
                            <a:avLst/>
                          </a:prstGeom>
                        </pic:spPr>
                      </pic:pic>
                    </a:graphicData>
                  </a:graphic>
                </wp:anchor>
              </w:drawing>
            </w:r>
          </w:p>
        </w:tc>
        <w:tc>
          <w:tcPr>
            <w:tcW w:w="4601" w:type="dxa"/>
          </w:tcPr>
          <w:p>
            <w:pPr>
              <w:pStyle w:val="33"/>
              <w:spacing w:before="23"/>
              <w:ind w:left="44" w:right="141"/>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新疆华恒惠欣工程项目管理有限责任公司</w:t>
            </w:r>
          </w:p>
        </w:tc>
      </w:tr>
      <w:tr>
        <w:tblPrEx>
          <w:tblCellMar>
            <w:top w:w="0" w:type="dxa"/>
            <w:left w:w="0" w:type="dxa"/>
            <w:bottom w:w="0" w:type="dxa"/>
            <w:right w:w="0" w:type="dxa"/>
          </w:tblCellMar>
        </w:tblPrEx>
        <w:trPr>
          <w:trHeight w:val="231" w:hRule="atLeast"/>
        </w:trPr>
        <w:tc>
          <w:tcPr>
            <w:tcW w:w="855" w:type="dxa"/>
            <w:vMerge w:val="continue"/>
            <w:tcBorders>
              <w:top w:val="nil"/>
            </w:tcBorders>
          </w:tcPr>
          <w:p>
            <w:pPr>
              <w:rPr>
                <w:color w:val="auto"/>
                <w:sz w:val="2"/>
                <w:szCs w:val="2"/>
                <w:highlight w:val="none"/>
              </w:rPr>
            </w:pPr>
          </w:p>
        </w:tc>
        <w:tc>
          <w:tcPr>
            <w:tcW w:w="4601" w:type="dxa"/>
          </w:tcPr>
          <w:p>
            <w:pPr>
              <w:pStyle w:val="33"/>
              <w:spacing w:before="10" w:line="200" w:lineRule="exact"/>
              <w:ind w:left="134" w:right="141"/>
              <w:jc w:val="center"/>
              <w:rPr>
                <w:rFonts w:ascii="宋体" w:hAnsi="宋体" w:eastAsia="宋体" w:cs="宋体"/>
                <w:b/>
                <w:color w:val="auto"/>
                <w:sz w:val="15"/>
                <w:szCs w:val="20"/>
                <w:highlight w:val="none"/>
                <w:lang w:val="en-US"/>
              </w:rPr>
            </w:pPr>
            <w:r>
              <w:rPr>
                <w:rFonts w:hint="eastAsia" w:ascii="宋体" w:hAnsi="宋体" w:eastAsia="宋体" w:cs="宋体"/>
                <w:b/>
                <w:color w:val="auto"/>
                <w:sz w:val="15"/>
                <w:szCs w:val="20"/>
                <w:highlight w:val="none"/>
                <w:lang w:val="en-US"/>
              </w:rPr>
              <w:t>Xinjiang huaheng huixin engineering project management co., ltd</w:t>
            </w:r>
          </w:p>
        </w:tc>
      </w:tr>
    </w:tbl>
    <w:p>
      <w:pPr>
        <w:pStyle w:val="14"/>
        <w:rPr>
          <w:color w:val="auto"/>
          <w:sz w:val="16"/>
          <w:szCs w:val="21"/>
          <w:highlight w:val="none"/>
          <w:lang w:val="en-US"/>
        </w:rPr>
      </w:pPr>
    </w:p>
    <w:p>
      <w:pPr>
        <w:pStyle w:val="14"/>
        <w:spacing w:before="1"/>
        <w:rPr>
          <w:b/>
          <w:color w:val="auto"/>
          <w:sz w:val="96"/>
          <w:highlight w:val="none"/>
          <w:lang w:val="en-US"/>
        </w:rPr>
      </w:pPr>
    </w:p>
    <w:p>
      <w:pPr>
        <w:pStyle w:val="15"/>
        <w:rPr>
          <w:rFonts w:ascii="宋体" w:hAnsi="宋体" w:eastAsia="宋体" w:cs="宋体"/>
          <w:b/>
          <w:color w:val="auto"/>
          <w:sz w:val="96"/>
          <w:szCs w:val="24"/>
          <w:highlight w:val="none"/>
        </w:rPr>
      </w:pPr>
    </w:p>
    <w:p>
      <w:pPr>
        <w:spacing w:before="1"/>
        <w:ind w:right="70"/>
        <w:jc w:val="center"/>
        <w:outlineLvl w:val="9"/>
        <w:rPr>
          <w:rFonts w:ascii="宋体" w:hAnsi="宋体" w:eastAsia="宋体" w:cs="宋体"/>
          <w:color w:val="auto"/>
          <w:sz w:val="112"/>
          <w:szCs w:val="112"/>
          <w:highlight w:val="none"/>
        </w:rPr>
      </w:pPr>
      <w:r>
        <w:rPr>
          <w:rFonts w:hint="eastAsia" w:ascii="宋体" w:hAnsi="宋体" w:eastAsia="宋体" w:cs="宋体"/>
          <w:bCs w:val="0"/>
          <w:color w:val="auto"/>
          <w:sz w:val="112"/>
          <w:szCs w:val="112"/>
          <w:highlight w:val="none"/>
          <w:lang w:val="en-US"/>
        </w:rPr>
        <w:t>招 标 文 件</w:t>
      </w:r>
    </w:p>
    <w:p>
      <w:pPr>
        <w:spacing w:before="1" w:line="364" w:lineRule="auto"/>
        <w:ind w:right="1127"/>
        <w:jc w:val="both"/>
        <w:outlineLvl w:val="9"/>
        <w:rPr>
          <w:rFonts w:ascii="宋体" w:hAnsi="宋体" w:eastAsia="宋体" w:cs="宋体"/>
          <w:color w:val="auto"/>
          <w:sz w:val="28"/>
          <w:szCs w:val="28"/>
          <w:highlight w:val="none"/>
        </w:rPr>
      </w:pPr>
    </w:p>
    <w:p>
      <w:pPr>
        <w:spacing w:before="212"/>
        <w:ind w:left="1964" w:leftChars="254" w:hanging="1405" w:hangingChars="500"/>
        <w:rPr>
          <w:b/>
          <w:color w:val="auto"/>
          <w:sz w:val="28"/>
          <w:szCs w:val="28"/>
          <w:highlight w:val="none"/>
        </w:rPr>
      </w:pPr>
      <w:r>
        <w:rPr>
          <w:rFonts w:hint="eastAsia"/>
          <w:b/>
          <w:color w:val="auto"/>
          <w:sz w:val="28"/>
          <w:szCs w:val="28"/>
          <w:highlight w:val="none"/>
        </w:rPr>
        <w:t>项目名称：自治区质检院第三批检测设备能力提升采购项目（国产部分）</w:t>
      </w:r>
    </w:p>
    <w:p>
      <w:pPr>
        <w:spacing w:before="212"/>
        <w:ind w:left="1964" w:leftChars="254" w:hanging="1405" w:hangingChars="500"/>
        <w:rPr>
          <w:b/>
          <w:color w:val="auto"/>
          <w:sz w:val="28"/>
          <w:szCs w:val="28"/>
          <w:highlight w:val="none"/>
        </w:rPr>
      </w:pPr>
      <w:r>
        <w:rPr>
          <w:rFonts w:hint="eastAsia"/>
          <w:b/>
          <w:color w:val="auto"/>
          <w:sz w:val="28"/>
          <w:szCs w:val="28"/>
          <w:highlight w:val="none"/>
        </w:rPr>
        <w:t>项目编号：Hhhx-2220-Zjy002</w:t>
      </w:r>
    </w:p>
    <w:p>
      <w:pPr>
        <w:spacing w:before="212"/>
        <w:ind w:left="1964" w:leftChars="254" w:hanging="1405" w:hangingChars="500"/>
        <w:rPr>
          <w:b/>
          <w:color w:val="auto"/>
          <w:sz w:val="28"/>
          <w:szCs w:val="28"/>
          <w:highlight w:val="none"/>
          <w:lang w:val="en-US"/>
        </w:rPr>
      </w:pPr>
    </w:p>
    <w:p>
      <w:pPr>
        <w:pStyle w:val="2"/>
        <w:ind w:firstLine="440"/>
        <w:rPr>
          <w:color w:val="auto"/>
          <w:highlight w:val="none"/>
          <w:lang w:val="en-US"/>
        </w:rPr>
      </w:pPr>
    </w:p>
    <w:p>
      <w:pPr>
        <w:rPr>
          <w:b/>
          <w:color w:val="auto"/>
          <w:sz w:val="28"/>
          <w:szCs w:val="28"/>
          <w:highlight w:val="none"/>
        </w:rPr>
      </w:pPr>
    </w:p>
    <w:p>
      <w:pPr>
        <w:rPr>
          <w:b/>
          <w:color w:val="auto"/>
          <w:sz w:val="28"/>
          <w:szCs w:val="28"/>
          <w:highlight w:val="none"/>
        </w:rPr>
      </w:pPr>
    </w:p>
    <w:p>
      <w:pPr>
        <w:pStyle w:val="15"/>
        <w:rPr>
          <w:rFonts w:ascii="宋体" w:hAnsi="宋体" w:eastAsia="宋体" w:cs="宋体"/>
          <w:b/>
          <w:color w:val="auto"/>
          <w:sz w:val="28"/>
          <w:szCs w:val="28"/>
          <w:highlight w:val="none"/>
        </w:rPr>
      </w:pPr>
    </w:p>
    <w:p>
      <w:pPr>
        <w:pStyle w:val="15"/>
        <w:rPr>
          <w:rFonts w:ascii="宋体" w:hAnsi="宋体" w:eastAsia="宋体" w:cs="宋体"/>
          <w:b/>
          <w:color w:val="auto"/>
          <w:sz w:val="28"/>
          <w:szCs w:val="28"/>
          <w:highlight w:val="none"/>
        </w:rPr>
      </w:pPr>
    </w:p>
    <w:p>
      <w:pPr>
        <w:pStyle w:val="15"/>
        <w:rPr>
          <w:rFonts w:ascii="宋体" w:hAnsi="宋体" w:eastAsia="宋体" w:cs="宋体"/>
          <w:b/>
          <w:color w:val="auto"/>
          <w:sz w:val="28"/>
          <w:szCs w:val="28"/>
          <w:highlight w:val="none"/>
        </w:rPr>
      </w:pPr>
    </w:p>
    <w:p>
      <w:pPr>
        <w:pStyle w:val="15"/>
        <w:rPr>
          <w:rFonts w:ascii="宋体" w:hAnsi="宋体" w:eastAsia="宋体" w:cs="宋体"/>
          <w:b/>
          <w:color w:val="auto"/>
          <w:sz w:val="28"/>
          <w:szCs w:val="28"/>
          <w:highlight w:val="none"/>
        </w:rPr>
      </w:pPr>
    </w:p>
    <w:p>
      <w:pPr>
        <w:pStyle w:val="15"/>
        <w:rPr>
          <w:rFonts w:ascii="宋体" w:hAnsi="宋体" w:eastAsia="宋体" w:cs="宋体"/>
          <w:b/>
          <w:color w:val="auto"/>
          <w:sz w:val="28"/>
          <w:szCs w:val="28"/>
          <w:highlight w:val="none"/>
        </w:rPr>
      </w:pPr>
    </w:p>
    <w:p>
      <w:pPr>
        <w:pStyle w:val="15"/>
        <w:rPr>
          <w:rFonts w:ascii="宋体" w:hAnsi="宋体" w:eastAsia="宋体" w:cs="宋体"/>
          <w:b/>
          <w:color w:val="auto"/>
          <w:sz w:val="28"/>
          <w:szCs w:val="28"/>
          <w:highlight w:val="none"/>
        </w:rPr>
      </w:pPr>
    </w:p>
    <w:p>
      <w:pPr>
        <w:pStyle w:val="15"/>
        <w:rPr>
          <w:rFonts w:ascii="宋体" w:hAnsi="宋体" w:eastAsia="宋体" w:cs="宋体"/>
          <w:b/>
          <w:color w:val="auto"/>
          <w:sz w:val="28"/>
          <w:szCs w:val="28"/>
          <w:highlight w:val="none"/>
        </w:rPr>
      </w:pPr>
    </w:p>
    <w:p>
      <w:pPr>
        <w:pStyle w:val="15"/>
        <w:rPr>
          <w:rFonts w:ascii="宋体" w:hAnsi="宋体" w:eastAsia="宋体" w:cs="宋体"/>
          <w:b/>
          <w:color w:val="auto"/>
          <w:sz w:val="28"/>
          <w:szCs w:val="28"/>
          <w:highlight w:val="none"/>
        </w:rPr>
      </w:pPr>
    </w:p>
    <w:p>
      <w:pPr>
        <w:rPr>
          <w:b/>
          <w:color w:val="auto"/>
          <w:sz w:val="28"/>
          <w:szCs w:val="28"/>
          <w:highlight w:val="none"/>
        </w:rPr>
      </w:pPr>
    </w:p>
    <w:p>
      <w:pPr>
        <w:spacing w:line="480" w:lineRule="auto"/>
        <w:jc w:val="center"/>
        <w:rPr>
          <w:b/>
          <w:color w:val="auto"/>
          <w:sz w:val="28"/>
          <w:szCs w:val="28"/>
          <w:highlight w:val="none"/>
        </w:rPr>
      </w:pPr>
      <w:r>
        <w:rPr>
          <w:rFonts w:hint="eastAsia"/>
          <w:b/>
          <w:color w:val="auto"/>
          <w:sz w:val="28"/>
          <w:szCs w:val="28"/>
          <w:highlight w:val="none"/>
        </w:rPr>
        <w:t>采购人：</w:t>
      </w:r>
      <w:r>
        <w:rPr>
          <w:rFonts w:hint="eastAsia"/>
          <w:b/>
          <w:color w:val="auto"/>
          <w:sz w:val="28"/>
          <w:szCs w:val="28"/>
          <w:highlight w:val="none"/>
          <w:u w:val="single"/>
        </w:rPr>
        <w:t>新疆维吾尔自治区产品质量监督检验研究院</w:t>
      </w:r>
      <w:r>
        <w:rPr>
          <w:rFonts w:hint="eastAsia"/>
          <w:b/>
          <w:color w:val="auto"/>
          <w:sz w:val="28"/>
          <w:szCs w:val="28"/>
          <w:highlight w:val="none"/>
        </w:rPr>
        <w:t>（</w:t>
      </w:r>
      <w:r>
        <w:rPr>
          <w:rFonts w:hint="eastAsia"/>
          <w:b/>
          <w:color w:val="auto"/>
          <w:sz w:val="28"/>
          <w:szCs w:val="28"/>
          <w:highlight w:val="none"/>
          <w:lang w:val="en-US"/>
        </w:rPr>
        <w:t>盖章</w:t>
      </w:r>
      <w:r>
        <w:rPr>
          <w:rFonts w:hint="eastAsia"/>
          <w:b/>
          <w:color w:val="auto"/>
          <w:sz w:val="28"/>
          <w:szCs w:val="28"/>
          <w:highlight w:val="none"/>
        </w:rPr>
        <w:t>）</w:t>
      </w:r>
    </w:p>
    <w:p>
      <w:pPr>
        <w:spacing w:line="480" w:lineRule="auto"/>
        <w:jc w:val="center"/>
        <w:rPr>
          <w:b/>
          <w:color w:val="auto"/>
          <w:sz w:val="28"/>
          <w:szCs w:val="28"/>
          <w:highlight w:val="none"/>
        </w:rPr>
      </w:pPr>
      <w:r>
        <w:rPr>
          <w:rFonts w:hint="eastAsia"/>
          <w:b/>
          <w:color w:val="auto"/>
          <w:sz w:val="28"/>
          <w:szCs w:val="28"/>
          <w:highlight w:val="none"/>
        </w:rPr>
        <w:t>采购代理机构：</w:t>
      </w:r>
      <w:r>
        <w:rPr>
          <w:rFonts w:hint="eastAsia"/>
          <w:b/>
          <w:color w:val="auto"/>
          <w:sz w:val="28"/>
          <w:szCs w:val="28"/>
          <w:highlight w:val="none"/>
          <w:u w:val="single"/>
        </w:rPr>
        <w:t>新疆华恒惠欣工程项目管理有限责任公司</w:t>
      </w:r>
      <w:r>
        <w:rPr>
          <w:rFonts w:hint="eastAsia"/>
          <w:b/>
          <w:color w:val="auto"/>
          <w:sz w:val="28"/>
          <w:szCs w:val="28"/>
          <w:highlight w:val="none"/>
        </w:rPr>
        <w:t>（</w:t>
      </w:r>
      <w:r>
        <w:rPr>
          <w:rFonts w:hint="eastAsia"/>
          <w:b/>
          <w:color w:val="auto"/>
          <w:sz w:val="28"/>
          <w:szCs w:val="28"/>
          <w:highlight w:val="none"/>
          <w:lang w:val="en-US"/>
        </w:rPr>
        <w:t>盖章</w:t>
      </w:r>
      <w:r>
        <w:rPr>
          <w:rFonts w:hint="eastAsia"/>
          <w:b/>
          <w:color w:val="auto"/>
          <w:sz w:val="28"/>
          <w:szCs w:val="28"/>
          <w:highlight w:val="none"/>
        </w:rPr>
        <w:t>）</w:t>
      </w:r>
    </w:p>
    <w:p>
      <w:pPr>
        <w:spacing w:line="480" w:lineRule="auto"/>
        <w:jc w:val="center"/>
        <w:rPr>
          <w:color w:val="auto"/>
          <w:sz w:val="20"/>
          <w:szCs w:val="20"/>
          <w:highlight w:val="none"/>
        </w:rPr>
      </w:pPr>
      <w:r>
        <w:rPr>
          <w:rFonts w:hint="eastAsia"/>
          <w:b/>
          <w:color w:val="auto"/>
          <w:sz w:val="28"/>
          <w:szCs w:val="28"/>
          <w:highlight w:val="none"/>
        </w:rPr>
        <w:t>二〇二</w:t>
      </w:r>
      <w:r>
        <w:rPr>
          <w:rFonts w:hint="eastAsia"/>
          <w:b/>
          <w:color w:val="auto"/>
          <w:sz w:val="28"/>
          <w:szCs w:val="28"/>
          <w:highlight w:val="none"/>
          <w:lang w:val="en-US"/>
        </w:rPr>
        <w:t>二</w:t>
      </w:r>
      <w:r>
        <w:rPr>
          <w:rFonts w:hint="eastAsia"/>
          <w:b/>
          <w:color w:val="auto"/>
          <w:sz w:val="28"/>
          <w:szCs w:val="28"/>
          <w:highlight w:val="none"/>
        </w:rPr>
        <w:t>年</w:t>
      </w:r>
      <w:r>
        <w:rPr>
          <w:rFonts w:hint="eastAsia"/>
          <w:b/>
          <w:color w:val="auto"/>
          <w:sz w:val="28"/>
          <w:szCs w:val="28"/>
          <w:highlight w:val="none"/>
          <w:lang w:val="en-US"/>
        </w:rPr>
        <w:t>十</w:t>
      </w:r>
      <w:r>
        <w:rPr>
          <w:rFonts w:hint="eastAsia"/>
          <w:b/>
          <w:color w:val="auto"/>
          <w:sz w:val="28"/>
          <w:szCs w:val="28"/>
          <w:highlight w:val="none"/>
        </w:rPr>
        <w:t>月</w:t>
      </w:r>
    </w:p>
    <w:p>
      <w:pPr>
        <w:rPr>
          <w:color w:val="auto"/>
          <w:sz w:val="20"/>
          <w:szCs w:val="20"/>
          <w:highlight w:val="none"/>
        </w:rPr>
      </w:pPr>
      <w:r>
        <w:rPr>
          <w:rFonts w:hint="eastAsia"/>
          <w:color w:val="auto"/>
          <w:sz w:val="20"/>
          <w:szCs w:val="20"/>
          <w:highlight w:val="none"/>
        </w:rPr>
        <w:br w:type="page"/>
      </w:r>
    </w:p>
    <w:p>
      <w:pPr>
        <w:pStyle w:val="2"/>
        <w:ind w:firstLine="400"/>
        <w:rPr>
          <w:color w:val="auto"/>
          <w:sz w:val="20"/>
          <w:szCs w:val="20"/>
          <w:highlight w:val="none"/>
        </w:rPr>
        <w:sectPr>
          <w:type w:val="continuous"/>
          <w:pgSz w:w="11910" w:h="16840"/>
          <w:pgMar w:top="1440" w:right="1080" w:bottom="1440" w:left="1080" w:header="850" w:footer="998" w:gutter="0"/>
          <w:cols w:space="720" w:num="1"/>
        </w:sectPr>
      </w:pPr>
    </w:p>
    <w:sdt>
      <w:sdtPr>
        <w:rPr>
          <w:b/>
          <w:bCs/>
          <w:color w:val="auto"/>
          <w:sz w:val="32"/>
          <w:szCs w:val="32"/>
          <w:highlight w:val="none"/>
        </w:rPr>
        <w:id w:val="147455001"/>
        <w15:color w:val="DBDBDB"/>
        <w:docPartObj>
          <w:docPartGallery w:val="Table of Contents"/>
          <w:docPartUnique/>
        </w:docPartObj>
      </w:sdtPr>
      <w:sdtEndPr>
        <w:rPr>
          <w:rFonts w:hint="eastAsia"/>
          <w:b/>
          <w:bCs/>
          <w:color w:val="auto"/>
          <w:sz w:val="36"/>
          <w:szCs w:val="28"/>
          <w:highlight w:val="none"/>
        </w:rPr>
      </w:sdtEndPr>
      <w:sdtContent>
        <w:p>
          <w:pPr>
            <w:jc w:val="center"/>
            <w:rPr>
              <w:b/>
              <w:bCs/>
              <w:color w:val="auto"/>
              <w:sz w:val="32"/>
              <w:szCs w:val="32"/>
              <w:highlight w:val="none"/>
            </w:rPr>
          </w:pPr>
          <w:r>
            <w:rPr>
              <w:b/>
              <w:bCs/>
              <w:color w:val="auto"/>
              <w:sz w:val="32"/>
              <w:szCs w:val="32"/>
              <w:highlight w:val="none"/>
            </w:rPr>
            <w:t>目录</w:t>
          </w:r>
        </w:p>
        <w:p>
          <w:pPr>
            <w:pStyle w:val="18"/>
            <w:tabs>
              <w:tab w:val="right" w:leader="dot" w:pos="9750"/>
            </w:tabs>
            <w:ind w:left="0"/>
            <w:jc w:val="both"/>
            <w:rPr>
              <w:color w:val="auto"/>
              <w:highlight w:val="none"/>
            </w:rPr>
          </w:pPr>
          <w:r>
            <w:rPr>
              <w:rFonts w:hint="eastAsia"/>
              <w:color w:val="auto"/>
              <w:sz w:val="28"/>
              <w:szCs w:val="28"/>
              <w:highlight w:val="none"/>
            </w:rPr>
            <w:fldChar w:fldCharType="begin"/>
          </w:r>
          <w:r>
            <w:rPr>
              <w:rFonts w:hint="eastAsia"/>
              <w:color w:val="auto"/>
              <w:sz w:val="28"/>
              <w:szCs w:val="28"/>
              <w:highlight w:val="none"/>
            </w:rPr>
            <w:instrText xml:space="preserve">TOC \o "1-3" \h \u </w:instrText>
          </w:r>
          <w:r>
            <w:rPr>
              <w:rFonts w:hint="eastAsia"/>
              <w:color w:val="auto"/>
              <w:sz w:val="28"/>
              <w:szCs w:val="28"/>
              <w:highlight w:val="none"/>
            </w:rPr>
            <w:fldChar w:fldCharType="separate"/>
          </w:r>
          <w:r>
            <w:rPr>
              <w:color w:val="auto"/>
              <w:highlight w:val="none"/>
            </w:rPr>
            <w:fldChar w:fldCharType="begin"/>
          </w:r>
          <w:r>
            <w:rPr>
              <w:color w:val="auto"/>
              <w:highlight w:val="none"/>
            </w:rPr>
            <w:instrText xml:space="preserve"> HYPERLINK \l "_Toc18879" </w:instrText>
          </w:r>
          <w:r>
            <w:rPr>
              <w:color w:val="auto"/>
              <w:highlight w:val="none"/>
            </w:rPr>
            <w:fldChar w:fldCharType="separate"/>
          </w:r>
          <w:r>
            <w:rPr>
              <w:rFonts w:hint="eastAsia"/>
              <w:color w:val="auto"/>
              <w:highlight w:val="none"/>
            </w:rPr>
            <w:t>第一章</w:t>
          </w:r>
          <w:r>
            <w:rPr>
              <w:rFonts w:hint="eastAsia"/>
              <w:color w:val="auto"/>
              <w:highlight w:val="none"/>
              <w:lang w:val="en-US"/>
            </w:rPr>
            <w:t xml:space="preserve"> </w:t>
          </w:r>
          <w:r>
            <w:rPr>
              <w:rFonts w:hint="eastAsia"/>
              <w:color w:val="auto"/>
              <w:highlight w:val="none"/>
            </w:rPr>
            <w:t>投标邀请</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_Toc18879 \h </w:instrText>
          </w:r>
          <w:r>
            <w:rPr>
              <w:rFonts w:hint="eastAsia"/>
              <w:color w:val="auto"/>
              <w:highlight w:val="none"/>
            </w:rPr>
            <w:fldChar w:fldCharType="separate"/>
          </w:r>
          <w:r>
            <w:rPr>
              <w:rFonts w:hint="eastAsia"/>
              <w:color w:val="auto"/>
              <w:highlight w:val="none"/>
            </w:rPr>
            <w:t>- 1 -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0"/>
            <w:jc w:val="both"/>
            <w:rPr>
              <w:color w:val="auto"/>
              <w:highlight w:val="none"/>
            </w:rPr>
          </w:pPr>
          <w:r>
            <w:rPr>
              <w:color w:val="auto"/>
              <w:highlight w:val="none"/>
            </w:rPr>
            <w:fldChar w:fldCharType="begin"/>
          </w:r>
          <w:r>
            <w:rPr>
              <w:color w:val="auto"/>
              <w:highlight w:val="none"/>
            </w:rPr>
            <w:instrText xml:space="preserve"> HYPERLINK \l "_Toc30131" </w:instrText>
          </w:r>
          <w:r>
            <w:rPr>
              <w:color w:val="auto"/>
              <w:highlight w:val="none"/>
            </w:rPr>
            <w:fldChar w:fldCharType="separate"/>
          </w:r>
          <w:r>
            <w:rPr>
              <w:rFonts w:hint="eastAsia"/>
              <w:color w:val="auto"/>
              <w:highlight w:val="none"/>
            </w:rPr>
            <w:t>第二章</w:t>
          </w:r>
          <w:r>
            <w:rPr>
              <w:rFonts w:hint="eastAsia"/>
              <w:color w:val="auto"/>
              <w:highlight w:val="none"/>
              <w:lang w:val="en-US"/>
            </w:rPr>
            <w:t xml:space="preserve"> </w:t>
          </w:r>
          <w:r>
            <w:rPr>
              <w:rFonts w:hint="eastAsia"/>
              <w:color w:val="auto"/>
              <w:highlight w:val="none"/>
            </w:rPr>
            <w:t>投标人须知前附表和投标人须知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_Toc30131 \h </w:instrText>
          </w:r>
          <w:r>
            <w:rPr>
              <w:rFonts w:hint="eastAsia"/>
              <w:color w:val="auto"/>
              <w:highlight w:val="none"/>
            </w:rPr>
            <w:fldChar w:fldCharType="separate"/>
          </w:r>
          <w:r>
            <w:rPr>
              <w:rFonts w:hint="eastAsia"/>
              <w:color w:val="auto"/>
              <w:highlight w:val="none"/>
            </w:rPr>
            <w:t>- 4 -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"_Toc10587" </w:instrText>
          </w:r>
          <w:r>
            <w:rPr>
              <w:color w:val="auto"/>
              <w:highlight w:val="none"/>
            </w:rPr>
            <w:fldChar w:fldCharType="separate"/>
          </w:r>
          <w:r>
            <w:rPr>
              <w:rFonts w:hint="eastAsia"/>
              <w:color w:val="auto"/>
              <w:highlight w:val="none"/>
            </w:rPr>
            <w:t>投标人须知前附表</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_Toc10587 \h </w:instrText>
          </w:r>
          <w:r>
            <w:rPr>
              <w:rFonts w:hint="eastAsia"/>
              <w:color w:val="auto"/>
              <w:highlight w:val="none"/>
            </w:rPr>
            <w:fldChar w:fldCharType="separate"/>
          </w:r>
          <w:r>
            <w:rPr>
              <w:rFonts w:hint="eastAsia"/>
              <w:color w:val="auto"/>
              <w:highlight w:val="none"/>
            </w:rPr>
            <w:t>- 4 -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"_Toc16645" </w:instrText>
          </w:r>
          <w:r>
            <w:rPr>
              <w:color w:val="auto"/>
              <w:highlight w:val="none"/>
            </w:rPr>
            <w:fldChar w:fldCharType="separate"/>
          </w:r>
          <w:r>
            <w:rPr>
              <w:rFonts w:hint="eastAsia"/>
              <w:color w:val="auto"/>
              <w:highlight w:val="none"/>
            </w:rPr>
            <w:t>投标人须知</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_Toc16645 \h </w:instrText>
          </w:r>
          <w:r>
            <w:rPr>
              <w:rFonts w:hint="eastAsia"/>
              <w:color w:val="auto"/>
              <w:highlight w:val="none"/>
            </w:rPr>
            <w:fldChar w:fldCharType="separate"/>
          </w:r>
          <w:r>
            <w:rPr>
              <w:rFonts w:hint="eastAsia"/>
              <w:color w:val="auto"/>
              <w:highlight w:val="none"/>
            </w:rPr>
            <w:t>- 11 -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"_Toc5777" </w:instrText>
          </w:r>
          <w:r>
            <w:rPr>
              <w:color w:val="auto"/>
              <w:highlight w:val="none"/>
            </w:rPr>
            <w:fldChar w:fldCharType="separate"/>
          </w:r>
          <w:r>
            <w:rPr>
              <w:rFonts w:hint="eastAsia"/>
              <w:color w:val="auto"/>
              <w:highlight w:val="none"/>
            </w:rPr>
            <w:t>一、说 明</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_Toc5777 \h </w:instrText>
          </w:r>
          <w:r>
            <w:rPr>
              <w:rFonts w:hint="eastAsia"/>
              <w:color w:val="auto"/>
              <w:highlight w:val="none"/>
            </w:rPr>
            <w:fldChar w:fldCharType="separate"/>
          </w:r>
          <w:r>
            <w:rPr>
              <w:rFonts w:hint="eastAsia"/>
              <w:color w:val="auto"/>
              <w:highlight w:val="none"/>
            </w:rPr>
            <w:t>- 11 -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"_Toc25348" </w:instrText>
          </w:r>
          <w:r>
            <w:rPr>
              <w:color w:val="auto"/>
              <w:highlight w:val="none"/>
            </w:rPr>
            <w:fldChar w:fldCharType="separate"/>
          </w:r>
          <w:r>
            <w:rPr>
              <w:rFonts w:hint="eastAsia"/>
              <w:color w:val="auto"/>
              <w:highlight w:val="none"/>
            </w:rPr>
            <w:t>二、招标文件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_Toc25348 \h </w:instrText>
          </w:r>
          <w:r>
            <w:rPr>
              <w:rFonts w:hint="eastAsia"/>
              <w:color w:val="auto"/>
              <w:highlight w:val="none"/>
            </w:rPr>
            <w:fldChar w:fldCharType="separate"/>
          </w:r>
          <w:r>
            <w:rPr>
              <w:rFonts w:hint="eastAsia"/>
              <w:color w:val="auto"/>
              <w:highlight w:val="none"/>
            </w:rPr>
            <w:t>- 14 -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"_Toc28251" </w:instrText>
          </w:r>
          <w:r>
            <w:rPr>
              <w:color w:val="auto"/>
              <w:highlight w:val="none"/>
            </w:rPr>
            <w:fldChar w:fldCharType="separate"/>
          </w:r>
          <w:r>
            <w:rPr>
              <w:rFonts w:hint="eastAsia"/>
              <w:color w:val="auto"/>
              <w:highlight w:val="none"/>
            </w:rPr>
            <w:t>三、投标文件的编制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_Toc28251 \h </w:instrText>
          </w:r>
          <w:r>
            <w:rPr>
              <w:rFonts w:hint="eastAsia"/>
              <w:color w:val="auto"/>
              <w:highlight w:val="none"/>
            </w:rPr>
            <w:fldChar w:fldCharType="separate"/>
          </w:r>
          <w:r>
            <w:rPr>
              <w:rFonts w:hint="eastAsia"/>
              <w:color w:val="auto"/>
              <w:highlight w:val="none"/>
            </w:rPr>
            <w:t>- 16 -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"_Toc12916" </w:instrText>
          </w:r>
          <w:r>
            <w:rPr>
              <w:color w:val="auto"/>
              <w:highlight w:val="none"/>
            </w:rPr>
            <w:fldChar w:fldCharType="separate"/>
          </w:r>
          <w:r>
            <w:rPr>
              <w:rFonts w:hint="eastAsia"/>
              <w:color w:val="auto"/>
              <w:highlight w:val="none"/>
            </w:rPr>
            <w:t>四、投标文件的递交</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_Toc12916 \h </w:instrText>
          </w:r>
          <w:r>
            <w:rPr>
              <w:rFonts w:hint="eastAsia"/>
              <w:color w:val="auto"/>
              <w:highlight w:val="none"/>
            </w:rPr>
            <w:fldChar w:fldCharType="separate"/>
          </w:r>
          <w:r>
            <w:rPr>
              <w:rFonts w:hint="eastAsia"/>
              <w:color w:val="auto"/>
              <w:highlight w:val="none"/>
            </w:rPr>
            <w:t>- 18 -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"_Toc19260" </w:instrText>
          </w:r>
          <w:r>
            <w:rPr>
              <w:color w:val="auto"/>
              <w:highlight w:val="none"/>
            </w:rPr>
            <w:fldChar w:fldCharType="separate"/>
          </w:r>
          <w:r>
            <w:rPr>
              <w:rFonts w:hint="eastAsia"/>
              <w:color w:val="auto"/>
              <w:highlight w:val="none"/>
            </w:rPr>
            <w:t>五、开标与评标</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_Toc19260 \h </w:instrText>
          </w:r>
          <w:r>
            <w:rPr>
              <w:rFonts w:hint="eastAsia"/>
              <w:color w:val="auto"/>
              <w:highlight w:val="none"/>
            </w:rPr>
            <w:fldChar w:fldCharType="separate"/>
          </w:r>
          <w:r>
            <w:rPr>
              <w:rFonts w:hint="eastAsia"/>
              <w:color w:val="auto"/>
              <w:highlight w:val="none"/>
            </w:rPr>
            <w:t>- 19 -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"_Toc19292" </w:instrText>
          </w:r>
          <w:r>
            <w:rPr>
              <w:color w:val="auto"/>
              <w:highlight w:val="none"/>
            </w:rPr>
            <w:fldChar w:fldCharType="separate"/>
          </w:r>
          <w:r>
            <w:rPr>
              <w:rFonts w:hint="eastAsia"/>
              <w:color w:val="auto"/>
              <w:highlight w:val="none"/>
            </w:rPr>
            <w:t>六、授予合同</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_Toc19292 \h </w:instrText>
          </w:r>
          <w:r>
            <w:rPr>
              <w:rFonts w:hint="eastAsia"/>
              <w:color w:val="auto"/>
              <w:highlight w:val="none"/>
            </w:rPr>
            <w:fldChar w:fldCharType="separate"/>
          </w:r>
          <w:r>
            <w:rPr>
              <w:rFonts w:hint="eastAsia"/>
              <w:color w:val="auto"/>
              <w:highlight w:val="none"/>
            </w:rPr>
            <w:t>- 30 -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"_Toc16003" </w:instrText>
          </w:r>
          <w:r>
            <w:rPr>
              <w:color w:val="auto"/>
              <w:highlight w:val="none"/>
            </w:rPr>
            <w:fldChar w:fldCharType="separate"/>
          </w:r>
          <w:r>
            <w:rPr>
              <w:rFonts w:hint="eastAsia"/>
              <w:color w:val="auto"/>
              <w:highlight w:val="none"/>
              <w:lang w:val="en-US"/>
            </w:rPr>
            <w:t>七、验收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_Toc16003 \h </w:instrText>
          </w:r>
          <w:r>
            <w:rPr>
              <w:rFonts w:hint="eastAsia"/>
              <w:color w:val="auto"/>
              <w:highlight w:val="none"/>
            </w:rPr>
            <w:fldChar w:fldCharType="separate"/>
          </w:r>
          <w:r>
            <w:rPr>
              <w:rFonts w:hint="eastAsia"/>
              <w:color w:val="auto"/>
              <w:highlight w:val="none"/>
            </w:rPr>
            <w:t>- 34 -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"_Toc20902" </w:instrText>
          </w:r>
          <w:r>
            <w:rPr>
              <w:color w:val="auto"/>
              <w:highlight w:val="none"/>
            </w:rPr>
            <w:fldChar w:fldCharType="separate"/>
          </w:r>
          <w:r>
            <w:rPr>
              <w:rFonts w:hint="eastAsia"/>
              <w:color w:val="auto"/>
              <w:highlight w:val="none"/>
              <w:lang w:val="en-US"/>
            </w:rPr>
            <w:t>八</w:t>
          </w:r>
          <w:r>
            <w:rPr>
              <w:rFonts w:hint="eastAsia"/>
              <w:color w:val="auto"/>
              <w:highlight w:val="none"/>
            </w:rPr>
            <w:t>、其他</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_Toc20902 \h </w:instrText>
          </w:r>
          <w:r>
            <w:rPr>
              <w:rFonts w:hint="eastAsia"/>
              <w:color w:val="auto"/>
              <w:highlight w:val="none"/>
            </w:rPr>
            <w:fldChar w:fldCharType="separate"/>
          </w:r>
          <w:r>
            <w:rPr>
              <w:rFonts w:hint="eastAsia"/>
              <w:color w:val="auto"/>
              <w:highlight w:val="none"/>
            </w:rPr>
            <w:t>- 34 -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0"/>
            <w:jc w:val="both"/>
            <w:rPr>
              <w:color w:val="auto"/>
              <w:highlight w:val="none"/>
            </w:rPr>
          </w:pPr>
          <w:r>
            <w:rPr>
              <w:color w:val="auto"/>
              <w:highlight w:val="none"/>
            </w:rPr>
            <w:fldChar w:fldCharType="begin"/>
          </w:r>
          <w:r>
            <w:rPr>
              <w:color w:val="auto"/>
              <w:highlight w:val="none"/>
            </w:rPr>
            <w:instrText xml:space="preserve"> HYPERLINK \l "_Toc15591" </w:instrText>
          </w:r>
          <w:r>
            <w:rPr>
              <w:color w:val="auto"/>
              <w:highlight w:val="none"/>
            </w:rPr>
            <w:fldChar w:fldCharType="separate"/>
          </w:r>
          <w:r>
            <w:rPr>
              <w:rFonts w:hint="eastAsia"/>
              <w:color w:val="auto"/>
              <w:highlight w:val="none"/>
            </w:rPr>
            <w:t>第</w:t>
          </w:r>
          <w:r>
            <w:rPr>
              <w:rFonts w:hint="eastAsia"/>
              <w:color w:val="auto"/>
              <w:highlight w:val="none"/>
              <w:lang w:val="en-US"/>
            </w:rPr>
            <w:t>三</w:t>
          </w:r>
          <w:r>
            <w:rPr>
              <w:rFonts w:hint="eastAsia"/>
              <w:color w:val="auto"/>
              <w:highlight w:val="none"/>
            </w:rPr>
            <w:t>章</w:t>
          </w:r>
          <w:r>
            <w:rPr>
              <w:rFonts w:hint="eastAsia"/>
              <w:color w:val="auto"/>
              <w:highlight w:val="none"/>
              <w:lang w:val="en-US"/>
            </w:rPr>
            <w:t xml:space="preserve"> 采购需求</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_Toc15591 \h </w:instrText>
          </w:r>
          <w:r>
            <w:rPr>
              <w:rFonts w:hint="eastAsia"/>
              <w:color w:val="auto"/>
              <w:highlight w:val="none"/>
            </w:rPr>
            <w:fldChar w:fldCharType="separate"/>
          </w:r>
          <w:r>
            <w:rPr>
              <w:rFonts w:hint="eastAsia"/>
              <w:color w:val="auto"/>
              <w:highlight w:val="none"/>
            </w:rPr>
            <w:t>- 36 -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0"/>
            <w:jc w:val="both"/>
            <w:rPr>
              <w:color w:val="auto"/>
              <w:highlight w:val="none"/>
            </w:rPr>
          </w:pPr>
          <w:r>
            <w:rPr>
              <w:color w:val="auto"/>
              <w:highlight w:val="none"/>
            </w:rPr>
            <w:fldChar w:fldCharType="begin"/>
          </w:r>
          <w:r>
            <w:rPr>
              <w:color w:val="auto"/>
              <w:highlight w:val="none"/>
            </w:rPr>
            <w:instrText xml:space="preserve"> HYPERLINK \l "_Toc3546" </w:instrText>
          </w:r>
          <w:r>
            <w:rPr>
              <w:color w:val="auto"/>
              <w:highlight w:val="none"/>
            </w:rPr>
            <w:fldChar w:fldCharType="separate"/>
          </w:r>
          <w:r>
            <w:rPr>
              <w:rFonts w:hint="eastAsia"/>
              <w:color w:val="auto"/>
              <w:highlight w:val="none"/>
            </w:rPr>
            <w:t>第</w:t>
          </w:r>
          <w:r>
            <w:rPr>
              <w:rFonts w:hint="eastAsia"/>
              <w:color w:val="auto"/>
              <w:highlight w:val="none"/>
              <w:lang w:val="en-US"/>
            </w:rPr>
            <w:t>四</w:t>
          </w:r>
          <w:r>
            <w:rPr>
              <w:rFonts w:hint="eastAsia"/>
              <w:color w:val="auto"/>
              <w:highlight w:val="none"/>
            </w:rPr>
            <w:t>章</w:t>
          </w:r>
          <w:r>
            <w:rPr>
              <w:rFonts w:hint="eastAsia"/>
              <w:color w:val="auto"/>
              <w:highlight w:val="none"/>
              <w:lang w:val="en-US"/>
            </w:rPr>
            <w:t xml:space="preserve"> </w:t>
          </w:r>
          <w:r>
            <w:rPr>
              <w:rFonts w:hint="eastAsia"/>
              <w:color w:val="auto"/>
              <w:highlight w:val="none"/>
            </w:rPr>
            <w:t>评标方法和评标标准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_Toc3546 \h </w:instrText>
          </w:r>
          <w:r>
            <w:rPr>
              <w:rFonts w:hint="eastAsia"/>
              <w:color w:val="auto"/>
              <w:highlight w:val="none"/>
            </w:rPr>
            <w:fldChar w:fldCharType="separate"/>
          </w:r>
          <w:r>
            <w:rPr>
              <w:rFonts w:hint="eastAsia"/>
              <w:color w:val="auto"/>
              <w:highlight w:val="none"/>
            </w:rPr>
            <w:t>- 58 -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"_Toc8398" </w:instrText>
          </w:r>
          <w:r>
            <w:rPr>
              <w:color w:val="auto"/>
              <w:highlight w:val="none"/>
            </w:rPr>
            <w:fldChar w:fldCharType="separate"/>
          </w:r>
          <w:r>
            <w:rPr>
              <w:rFonts w:hint="eastAsia"/>
              <w:color w:val="auto"/>
              <w:highlight w:val="none"/>
            </w:rPr>
            <w:t>一、评标方法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_Toc8398 \h </w:instrText>
          </w:r>
          <w:r>
            <w:rPr>
              <w:rFonts w:hint="eastAsia"/>
              <w:color w:val="auto"/>
              <w:highlight w:val="none"/>
            </w:rPr>
            <w:fldChar w:fldCharType="separate"/>
          </w:r>
          <w:r>
            <w:rPr>
              <w:rFonts w:hint="eastAsia"/>
              <w:color w:val="auto"/>
              <w:highlight w:val="none"/>
            </w:rPr>
            <w:t>- 58 -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"_Toc23742" </w:instrText>
          </w:r>
          <w:r>
            <w:rPr>
              <w:color w:val="auto"/>
              <w:highlight w:val="none"/>
            </w:rPr>
            <w:fldChar w:fldCharType="separate"/>
          </w:r>
          <w:r>
            <w:rPr>
              <w:rFonts w:hint="eastAsia"/>
              <w:color w:val="auto"/>
              <w:highlight w:val="none"/>
            </w:rPr>
            <w:t>二、评标程序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_Toc23742 \h </w:instrText>
          </w:r>
          <w:r>
            <w:rPr>
              <w:rFonts w:hint="eastAsia"/>
              <w:color w:val="auto"/>
              <w:highlight w:val="none"/>
            </w:rPr>
            <w:fldChar w:fldCharType="separate"/>
          </w:r>
          <w:r>
            <w:rPr>
              <w:rFonts w:hint="eastAsia"/>
              <w:color w:val="auto"/>
              <w:highlight w:val="none"/>
            </w:rPr>
            <w:t>- 59 -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"_Toc30712" </w:instrText>
          </w:r>
          <w:r>
            <w:rPr>
              <w:color w:val="auto"/>
              <w:highlight w:val="none"/>
            </w:rPr>
            <w:fldChar w:fldCharType="separate"/>
          </w:r>
          <w:r>
            <w:rPr>
              <w:rFonts w:hint="eastAsia"/>
              <w:color w:val="auto"/>
              <w:highlight w:val="none"/>
              <w:lang w:val="en-US"/>
            </w:rPr>
            <w:t>三</w:t>
          </w:r>
          <w:r>
            <w:rPr>
              <w:rFonts w:hint="eastAsia"/>
              <w:color w:val="auto"/>
              <w:highlight w:val="none"/>
            </w:rPr>
            <w:t>、评标中的落实政府采购政策具体办法</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_Toc30712 \h </w:instrText>
          </w:r>
          <w:r>
            <w:rPr>
              <w:rFonts w:hint="eastAsia"/>
              <w:color w:val="auto"/>
              <w:highlight w:val="none"/>
            </w:rPr>
            <w:fldChar w:fldCharType="separate"/>
          </w:r>
          <w:r>
            <w:rPr>
              <w:rFonts w:hint="eastAsia"/>
              <w:color w:val="auto"/>
              <w:highlight w:val="none"/>
            </w:rPr>
            <w:t>- 64 -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"_Toc28891" </w:instrText>
          </w:r>
          <w:r>
            <w:rPr>
              <w:color w:val="auto"/>
              <w:highlight w:val="none"/>
            </w:rPr>
            <w:fldChar w:fldCharType="separate"/>
          </w:r>
          <w:r>
            <w:rPr>
              <w:rFonts w:hint="eastAsia"/>
              <w:color w:val="auto"/>
              <w:highlight w:val="none"/>
              <w:lang w:val="en-US"/>
            </w:rPr>
            <w:t>四、评标标准</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_Toc28891 \h </w:instrText>
          </w:r>
          <w:r>
            <w:rPr>
              <w:rFonts w:hint="eastAsia"/>
              <w:color w:val="auto"/>
              <w:highlight w:val="none"/>
            </w:rPr>
            <w:fldChar w:fldCharType="separate"/>
          </w:r>
          <w:r>
            <w:rPr>
              <w:rFonts w:hint="eastAsia"/>
              <w:color w:val="auto"/>
              <w:highlight w:val="none"/>
            </w:rPr>
            <w:t>- 66 -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0"/>
            <w:jc w:val="both"/>
            <w:rPr>
              <w:color w:val="auto"/>
              <w:highlight w:val="none"/>
            </w:rPr>
          </w:pPr>
          <w:r>
            <w:rPr>
              <w:color w:val="auto"/>
              <w:highlight w:val="none"/>
            </w:rPr>
            <w:fldChar w:fldCharType="begin"/>
          </w:r>
          <w:r>
            <w:rPr>
              <w:color w:val="auto"/>
              <w:highlight w:val="none"/>
            </w:rPr>
            <w:instrText xml:space="preserve"> HYPERLINK \l "_Toc16237" </w:instrText>
          </w:r>
          <w:r>
            <w:rPr>
              <w:color w:val="auto"/>
              <w:highlight w:val="none"/>
            </w:rPr>
            <w:fldChar w:fldCharType="separate"/>
          </w:r>
          <w:r>
            <w:rPr>
              <w:rFonts w:hint="eastAsia"/>
              <w:color w:val="auto"/>
              <w:highlight w:val="none"/>
            </w:rPr>
            <w:t>第五章</w:t>
          </w:r>
          <w:r>
            <w:rPr>
              <w:rFonts w:hint="eastAsia"/>
              <w:color w:val="auto"/>
              <w:highlight w:val="none"/>
              <w:lang w:val="en-US"/>
            </w:rPr>
            <w:t xml:space="preserve"> </w:t>
          </w:r>
          <w:r>
            <w:rPr>
              <w:rFonts w:hint="eastAsia"/>
              <w:color w:val="auto"/>
              <w:highlight w:val="none"/>
            </w:rPr>
            <w:t>拟签订的合同文本</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_Toc16237 \h </w:instrText>
          </w:r>
          <w:r>
            <w:rPr>
              <w:rFonts w:hint="eastAsia"/>
              <w:color w:val="auto"/>
              <w:highlight w:val="none"/>
            </w:rPr>
            <w:fldChar w:fldCharType="separate"/>
          </w:r>
          <w:r>
            <w:rPr>
              <w:rFonts w:hint="eastAsia"/>
              <w:color w:val="auto"/>
              <w:highlight w:val="none"/>
            </w:rPr>
            <w:t>- 69 -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0"/>
            <w:jc w:val="both"/>
            <w:rPr>
              <w:color w:val="auto"/>
              <w:highlight w:val="none"/>
            </w:rPr>
          </w:pPr>
          <w:r>
            <w:rPr>
              <w:color w:val="auto"/>
              <w:highlight w:val="none"/>
            </w:rPr>
            <w:fldChar w:fldCharType="begin"/>
          </w:r>
          <w:r>
            <w:rPr>
              <w:color w:val="auto"/>
              <w:highlight w:val="none"/>
            </w:rPr>
            <w:instrText xml:space="preserve"> HYPERLINK \l "_Toc7476" </w:instrText>
          </w:r>
          <w:r>
            <w:rPr>
              <w:color w:val="auto"/>
              <w:highlight w:val="none"/>
            </w:rPr>
            <w:fldChar w:fldCharType="separate"/>
          </w:r>
          <w:r>
            <w:rPr>
              <w:rFonts w:hint="eastAsia"/>
              <w:color w:val="auto"/>
              <w:highlight w:val="none"/>
            </w:rPr>
            <w:t>第六章</w:t>
          </w:r>
          <w:r>
            <w:rPr>
              <w:rFonts w:hint="eastAsia"/>
              <w:color w:val="auto"/>
              <w:highlight w:val="none"/>
              <w:lang w:val="en-US"/>
            </w:rPr>
            <w:t xml:space="preserve"> </w:t>
          </w:r>
          <w:r>
            <w:rPr>
              <w:rFonts w:hint="eastAsia"/>
              <w:color w:val="auto"/>
              <w:highlight w:val="none"/>
            </w:rPr>
            <w:t>投标文件格式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_Toc7476 \h </w:instrText>
          </w:r>
          <w:r>
            <w:rPr>
              <w:rFonts w:hint="eastAsia"/>
              <w:color w:val="auto"/>
              <w:highlight w:val="none"/>
            </w:rPr>
            <w:fldChar w:fldCharType="separate"/>
          </w:r>
          <w:r>
            <w:rPr>
              <w:rFonts w:hint="eastAsia"/>
              <w:color w:val="auto"/>
              <w:highlight w:val="none"/>
            </w:rPr>
            <w:t>- 74 -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"_Toc2007" </w:instrText>
          </w:r>
          <w:r>
            <w:rPr>
              <w:color w:val="auto"/>
              <w:highlight w:val="none"/>
            </w:rPr>
            <w:fldChar w:fldCharType="separate"/>
          </w:r>
          <w:r>
            <w:rPr>
              <w:rFonts w:hint="eastAsia"/>
              <w:color w:val="auto"/>
              <w:highlight w:val="none"/>
              <w:lang w:val="en-US"/>
            </w:rPr>
            <w:t>投标</w:t>
          </w:r>
          <w:r>
            <w:rPr>
              <w:rFonts w:hint="eastAsia"/>
              <w:color w:val="auto"/>
              <w:highlight w:val="none"/>
            </w:rPr>
            <w:t>文件封面建议格式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_Toc2007 \h </w:instrText>
          </w:r>
          <w:r>
            <w:rPr>
              <w:rFonts w:hint="eastAsia"/>
              <w:color w:val="auto"/>
              <w:highlight w:val="none"/>
            </w:rPr>
            <w:fldChar w:fldCharType="separate"/>
          </w:r>
          <w:r>
            <w:rPr>
              <w:rFonts w:hint="eastAsia"/>
              <w:color w:val="auto"/>
              <w:highlight w:val="none"/>
            </w:rPr>
            <w:t>- 75 -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"_Toc23222" </w:instrText>
          </w:r>
          <w:r>
            <w:rPr>
              <w:color w:val="auto"/>
              <w:highlight w:val="none"/>
            </w:rPr>
            <w:fldChar w:fldCharType="separate"/>
          </w:r>
          <w:r>
            <w:rPr>
              <w:rFonts w:hint="eastAsia"/>
              <w:bCs/>
              <w:color w:val="auto"/>
              <w:highlight w:val="none"/>
            </w:rPr>
            <w:t>第</w:t>
          </w:r>
          <w:r>
            <w:rPr>
              <w:rFonts w:hint="eastAsia"/>
              <w:bCs/>
              <w:color w:val="auto"/>
              <w:highlight w:val="none"/>
              <w:lang w:val="en-US"/>
            </w:rPr>
            <w:t>一</w:t>
          </w:r>
          <w:r>
            <w:rPr>
              <w:rFonts w:hint="eastAsia"/>
              <w:bCs/>
              <w:color w:val="auto"/>
              <w:highlight w:val="none"/>
            </w:rPr>
            <w:t>节 商务</w:t>
          </w:r>
          <w:r>
            <w:rPr>
              <w:rFonts w:hint="eastAsia"/>
              <w:bCs/>
              <w:color w:val="auto"/>
              <w:highlight w:val="none"/>
              <w:lang w:val="en-US"/>
            </w:rPr>
            <w:t>技术</w:t>
          </w:r>
          <w:r>
            <w:rPr>
              <w:rFonts w:hint="eastAsia"/>
              <w:bCs/>
              <w:color w:val="auto"/>
              <w:highlight w:val="none"/>
            </w:rPr>
            <w:t>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_Toc23222 \h </w:instrText>
          </w:r>
          <w:r>
            <w:rPr>
              <w:rFonts w:hint="eastAsia"/>
              <w:color w:val="auto"/>
              <w:highlight w:val="none"/>
            </w:rPr>
            <w:fldChar w:fldCharType="separate"/>
          </w:r>
          <w:r>
            <w:rPr>
              <w:rFonts w:hint="eastAsia"/>
              <w:color w:val="auto"/>
              <w:highlight w:val="none"/>
            </w:rPr>
            <w:t>- 77 -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"_Toc3506" </w:instrText>
          </w:r>
          <w:r>
            <w:rPr>
              <w:color w:val="auto"/>
              <w:highlight w:val="none"/>
            </w:rPr>
            <w:fldChar w:fldCharType="separate"/>
          </w:r>
          <w:r>
            <w:rPr>
              <w:rFonts w:hint="eastAsia"/>
              <w:color w:val="auto"/>
              <w:highlight w:val="none"/>
            </w:rPr>
            <w:t>附件 1 投标函格式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_Toc3506 \h </w:instrText>
          </w:r>
          <w:r>
            <w:rPr>
              <w:rFonts w:hint="eastAsia"/>
              <w:color w:val="auto"/>
              <w:highlight w:val="none"/>
            </w:rPr>
            <w:fldChar w:fldCharType="separate"/>
          </w:r>
          <w:r>
            <w:rPr>
              <w:rFonts w:hint="eastAsia"/>
              <w:color w:val="auto"/>
              <w:highlight w:val="none"/>
            </w:rPr>
            <w:t>- 77 -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"_Toc1577"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2</w:t>
          </w:r>
          <w:r>
            <w:rPr>
              <w:rFonts w:hint="eastAsia"/>
              <w:color w:val="auto"/>
              <w:highlight w:val="none"/>
            </w:rPr>
            <w:t xml:space="preserve"> 技术服务需求偏离表格式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_Toc1577 \h </w:instrText>
          </w:r>
          <w:r>
            <w:rPr>
              <w:rFonts w:hint="eastAsia"/>
              <w:color w:val="auto"/>
              <w:highlight w:val="none"/>
            </w:rPr>
            <w:fldChar w:fldCharType="separate"/>
          </w:r>
          <w:r>
            <w:rPr>
              <w:rFonts w:hint="eastAsia"/>
              <w:color w:val="auto"/>
              <w:highlight w:val="none"/>
            </w:rPr>
            <w:t>- 79 -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"_Toc27637"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3</w:t>
          </w:r>
          <w:r>
            <w:rPr>
              <w:rFonts w:hint="eastAsia"/>
              <w:color w:val="auto"/>
              <w:highlight w:val="none"/>
            </w:rPr>
            <w:t xml:space="preserve"> 商务条款偏离表格式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_Toc27637 \h </w:instrText>
          </w:r>
          <w:r>
            <w:rPr>
              <w:rFonts w:hint="eastAsia"/>
              <w:color w:val="auto"/>
              <w:highlight w:val="none"/>
            </w:rPr>
            <w:fldChar w:fldCharType="separate"/>
          </w:r>
          <w:r>
            <w:rPr>
              <w:rFonts w:hint="eastAsia"/>
              <w:color w:val="auto"/>
              <w:highlight w:val="none"/>
            </w:rPr>
            <w:t>- 80 -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"_Toc682"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4</w:t>
          </w:r>
          <w:r>
            <w:rPr>
              <w:rFonts w:hint="eastAsia"/>
              <w:color w:val="auto"/>
              <w:highlight w:val="none"/>
            </w:rPr>
            <w:t xml:space="preserve"> 法定代表人授权书格式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_Toc682 \h </w:instrText>
          </w:r>
          <w:r>
            <w:rPr>
              <w:rFonts w:hint="eastAsia"/>
              <w:color w:val="auto"/>
              <w:highlight w:val="none"/>
            </w:rPr>
            <w:fldChar w:fldCharType="separate"/>
          </w:r>
          <w:r>
            <w:rPr>
              <w:rFonts w:hint="eastAsia"/>
              <w:color w:val="auto"/>
              <w:highlight w:val="none"/>
            </w:rPr>
            <w:t>- 81 -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"_Toc1324"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5</w:t>
          </w:r>
          <w:r>
            <w:rPr>
              <w:rFonts w:hint="eastAsia"/>
              <w:color w:val="auto"/>
              <w:highlight w:val="none"/>
            </w:rPr>
            <w:t xml:space="preserve"> 投标保证金承诺函格式</w:t>
          </w:r>
          <w:r>
            <w:rPr>
              <w:rFonts w:hint="eastAsia"/>
              <w:color w:val="auto"/>
              <w:highlight w:val="none"/>
              <w:lang w:val="en-US"/>
            </w:rPr>
            <w:t>和退还保证金说明函</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_Toc1324 \h </w:instrText>
          </w:r>
          <w:r>
            <w:rPr>
              <w:rFonts w:hint="eastAsia"/>
              <w:color w:val="auto"/>
              <w:highlight w:val="none"/>
            </w:rPr>
            <w:fldChar w:fldCharType="separate"/>
          </w:r>
          <w:r>
            <w:rPr>
              <w:rFonts w:hint="eastAsia"/>
              <w:color w:val="auto"/>
              <w:highlight w:val="none"/>
            </w:rPr>
            <w:t>- 82 -</w:t>
          </w:r>
          <w:r>
            <w:rPr>
              <w:rFonts w:hint="eastAsia"/>
              <w:color w:val="auto"/>
              <w:highlight w:val="none"/>
            </w:rPr>
            <w:fldChar w:fldCharType="end"/>
          </w:r>
          <w:r>
            <w:rPr>
              <w:rFonts w:hint="eastAsia"/>
              <w:color w:val="auto"/>
              <w:highlight w:val="none"/>
            </w:rPr>
            <w:fldChar w:fldCharType="end"/>
          </w:r>
        </w:p>
        <w:p>
          <w:pPr>
            <w:pStyle w:val="18"/>
            <w:tabs>
              <w:tab w:val="right" w:pos="3600"/>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"_Toc3319"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 xml:space="preserve">6 </w:t>
          </w:r>
          <w:r>
            <w:rPr>
              <w:rFonts w:hint="eastAsia"/>
              <w:color w:val="auto"/>
              <w:highlight w:val="none"/>
            </w:rPr>
            <w:t>代理服务费承诺函格式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_Toc3319 \h </w:instrText>
          </w:r>
          <w:r>
            <w:rPr>
              <w:rFonts w:hint="eastAsia"/>
              <w:color w:val="auto"/>
              <w:highlight w:val="none"/>
            </w:rPr>
            <w:fldChar w:fldCharType="separate"/>
          </w:r>
          <w:r>
            <w:rPr>
              <w:rFonts w:hint="eastAsia"/>
              <w:color w:val="auto"/>
              <w:highlight w:val="none"/>
            </w:rPr>
            <w:t>- 84 -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"_Toc24078"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7</w:t>
          </w:r>
          <w:r>
            <w:rPr>
              <w:rFonts w:hint="eastAsia"/>
              <w:color w:val="auto"/>
              <w:highlight w:val="none"/>
            </w:rPr>
            <w:t xml:space="preserve"> 投标人情况表建议格式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_Toc24078 \h </w:instrText>
          </w:r>
          <w:r>
            <w:rPr>
              <w:rFonts w:hint="eastAsia"/>
              <w:color w:val="auto"/>
              <w:highlight w:val="none"/>
            </w:rPr>
            <w:fldChar w:fldCharType="separate"/>
          </w:r>
          <w:r>
            <w:rPr>
              <w:rFonts w:hint="eastAsia"/>
              <w:color w:val="auto"/>
              <w:highlight w:val="none"/>
            </w:rPr>
            <w:t>- 86 -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"_Toc11796"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8</w:t>
          </w:r>
          <w:r>
            <w:rPr>
              <w:rFonts w:hint="eastAsia"/>
              <w:color w:val="auto"/>
              <w:highlight w:val="none"/>
            </w:rPr>
            <w:t xml:space="preserve"> 详细的技术服务响应</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_Toc11796 \h </w:instrText>
          </w:r>
          <w:r>
            <w:rPr>
              <w:rFonts w:hint="eastAsia"/>
              <w:color w:val="auto"/>
              <w:highlight w:val="none"/>
            </w:rPr>
            <w:fldChar w:fldCharType="separate"/>
          </w:r>
          <w:r>
            <w:rPr>
              <w:rFonts w:hint="eastAsia"/>
              <w:color w:val="auto"/>
              <w:highlight w:val="none"/>
            </w:rPr>
            <w:t>- 87 -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"_Toc15892"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9</w:t>
          </w:r>
          <w:r>
            <w:rPr>
              <w:rFonts w:hint="eastAsia"/>
              <w:color w:val="auto"/>
              <w:highlight w:val="none"/>
            </w:rPr>
            <w:t xml:space="preserve"> 其他商务技术文件材料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_Toc15892 \h </w:instrText>
          </w:r>
          <w:r>
            <w:rPr>
              <w:rFonts w:hint="eastAsia"/>
              <w:color w:val="auto"/>
              <w:highlight w:val="none"/>
            </w:rPr>
            <w:fldChar w:fldCharType="separate"/>
          </w:r>
          <w:r>
            <w:rPr>
              <w:rFonts w:hint="eastAsia"/>
              <w:color w:val="auto"/>
              <w:highlight w:val="none"/>
            </w:rPr>
            <w:t>- 90 -</w:t>
          </w:r>
          <w:r>
            <w:rPr>
              <w:rFonts w:hint="eastAsia"/>
              <w:color w:val="auto"/>
              <w:highlight w:val="none"/>
            </w:rPr>
            <w:fldChar w:fldCharType="end"/>
          </w:r>
          <w:r>
            <w:rPr>
              <w:rFonts w:hint="eastAsia"/>
              <w:color w:val="auto"/>
              <w:highlight w:val="none"/>
            </w:rPr>
            <w:fldChar w:fldCharType="end"/>
          </w:r>
        </w:p>
        <w:p>
          <w:pPr>
            <w:pStyle w:val="24"/>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"_Toc28685" </w:instrText>
          </w:r>
          <w:r>
            <w:rPr>
              <w:color w:val="auto"/>
              <w:highlight w:val="none"/>
            </w:rPr>
            <w:fldChar w:fldCharType="separate"/>
          </w:r>
          <w:r>
            <w:rPr>
              <w:rFonts w:hint="eastAsia"/>
              <w:bCs/>
              <w:color w:val="auto"/>
              <w:highlight w:val="none"/>
            </w:rPr>
            <w:t>第</w:t>
          </w:r>
          <w:r>
            <w:rPr>
              <w:rFonts w:hint="eastAsia"/>
              <w:bCs/>
              <w:color w:val="auto"/>
              <w:highlight w:val="none"/>
              <w:lang w:val="en-US"/>
            </w:rPr>
            <w:t>二</w:t>
          </w:r>
          <w:r>
            <w:rPr>
              <w:rFonts w:hint="eastAsia"/>
              <w:bCs/>
              <w:color w:val="auto"/>
              <w:highlight w:val="none"/>
            </w:rPr>
            <w:t>节 报价文件格式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_Toc28685 \h </w:instrText>
          </w:r>
          <w:r>
            <w:rPr>
              <w:rFonts w:hint="eastAsia"/>
              <w:color w:val="auto"/>
              <w:highlight w:val="none"/>
            </w:rPr>
            <w:fldChar w:fldCharType="separate"/>
          </w:r>
          <w:r>
            <w:rPr>
              <w:rFonts w:hint="eastAsia"/>
              <w:color w:val="auto"/>
              <w:highlight w:val="none"/>
            </w:rPr>
            <w:t>- 91 -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"_Toc19883"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1</w:t>
          </w:r>
          <w:r>
            <w:rPr>
              <w:rFonts w:hint="eastAsia"/>
              <w:color w:val="auto"/>
              <w:highlight w:val="none"/>
            </w:rPr>
            <w:t xml:space="preserve"> 开标一览表格式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_Toc19883 \h </w:instrText>
          </w:r>
          <w:r>
            <w:rPr>
              <w:rFonts w:hint="eastAsia"/>
              <w:color w:val="auto"/>
              <w:highlight w:val="none"/>
            </w:rPr>
            <w:fldChar w:fldCharType="separate"/>
          </w:r>
          <w:r>
            <w:rPr>
              <w:rFonts w:hint="eastAsia"/>
              <w:color w:val="auto"/>
              <w:highlight w:val="none"/>
            </w:rPr>
            <w:t>- 91 -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"_Toc19941" </w:instrText>
          </w:r>
          <w:r>
            <w:rPr>
              <w:color w:val="auto"/>
              <w:highlight w:val="none"/>
            </w:rPr>
            <w:fldChar w:fldCharType="separate"/>
          </w:r>
          <w:r>
            <w:rPr>
              <w:rFonts w:hint="eastAsia"/>
              <w:color w:val="auto"/>
              <w:highlight w:val="none"/>
            </w:rPr>
            <w:t xml:space="preserve">附件 </w:t>
          </w:r>
          <w:r>
            <w:rPr>
              <w:rFonts w:hint="eastAsia"/>
              <w:color w:val="auto"/>
              <w:highlight w:val="none"/>
              <w:lang w:val="en-US"/>
            </w:rPr>
            <w:t>2</w:t>
          </w:r>
          <w:r>
            <w:rPr>
              <w:rFonts w:hint="eastAsia"/>
              <w:color w:val="auto"/>
              <w:highlight w:val="none"/>
            </w:rPr>
            <w:t xml:space="preserve"> 投标分项报价表格式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_Toc19941 \h </w:instrText>
          </w:r>
          <w:r>
            <w:rPr>
              <w:rFonts w:hint="eastAsia"/>
              <w:color w:val="auto"/>
              <w:highlight w:val="none"/>
            </w:rPr>
            <w:fldChar w:fldCharType="separate"/>
          </w:r>
          <w:r>
            <w:rPr>
              <w:rFonts w:hint="eastAsia"/>
              <w:color w:val="auto"/>
              <w:highlight w:val="none"/>
            </w:rPr>
            <w:t>- 92 -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"_Toc26343" </w:instrText>
          </w:r>
          <w:r>
            <w:rPr>
              <w:color w:val="auto"/>
              <w:highlight w:val="none"/>
            </w:rPr>
            <w:fldChar w:fldCharType="separate"/>
          </w:r>
          <w:r>
            <w:rPr>
              <w:rFonts w:hint="eastAsia"/>
              <w:bCs/>
              <w:color w:val="auto"/>
              <w:highlight w:val="none"/>
            </w:rPr>
            <w:t>第</w:t>
          </w:r>
          <w:r>
            <w:rPr>
              <w:rFonts w:hint="eastAsia"/>
              <w:bCs/>
              <w:color w:val="auto"/>
              <w:highlight w:val="none"/>
              <w:lang w:val="en-US"/>
            </w:rPr>
            <w:t>三</w:t>
          </w:r>
          <w:r>
            <w:rPr>
              <w:rFonts w:hint="eastAsia"/>
              <w:bCs/>
              <w:color w:val="auto"/>
              <w:highlight w:val="none"/>
            </w:rPr>
            <w:t xml:space="preserve">节 </w:t>
          </w:r>
          <w:r>
            <w:rPr>
              <w:rFonts w:hint="eastAsia"/>
              <w:bCs/>
              <w:color w:val="auto"/>
              <w:highlight w:val="none"/>
              <w:lang w:val="en-US"/>
            </w:rPr>
            <w:t>政府采购政策的证明文件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_Toc26343 \h </w:instrText>
          </w:r>
          <w:r>
            <w:rPr>
              <w:rFonts w:hint="eastAsia"/>
              <w:color w:val="auto"/>
              <w:highlight w:val="none"/>
            </w:rPr>
            <w:fldChar w:fldCharType="separate"/>
          </w:r>
          <w:r>
            <w:rPr>
              <w:rFonts w:hint="eastAsia"/>
              <w:color w:val="auto"/>
              <w:highlight w:val="none"/>
            </w:rPr>
            <w:t>- 93 -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"_Toc24570" </w:instrText>
          </w:r>
          <w:r>
            <w:rPr>
              <w:color w:val="auto"/>
              <w:highlight w:val="none"/>
            </w:rPr>
            <w:fldChar w:fldCharType="separate"/>
          </w:r>
          <w:r>
            <w:rPr>
              <w:rFonts w:hint="eastAsia"/>
              <w:color w:val="auto"/>
              <w:highlight w:val="none"/>
              <w:lang w:val="en-US"/>
            </w:rPr>
            <w:t>附件 1 中小企业声明函（货物）</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_Toc24570 \h </w:instrText>
          </w:r>
          <w:r>
            <w:rPr>
              <w:rFonts w:hint="eastAsia"/>
              <w:color w:val="auto"/>
              <w:highlight w:val="none"/>
            </w:rPr>
            <w:fldChar w:fldCharType="separate"/>
          </w:r>
          <w:r>
            <w:rPr>
              <w:rFonts w:hint="eastAsia"/>
              <w:color w:val="auto"/>
              <w:highlight w:val="none"/>
            </w:rPr>
            <w:t>- 93 -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"_Toc13546" </w:instrText>
          </w:r>
          <w:r>
            <w:rPr>
              <w:color w:val="auto"/>
              <w:highlight w:val="none"/>
            </w:rPr>
            <w:fldChar w:fldCharType="separate"/>
          </w:r>
          <w:r>
            <w:rPr>
              <w:rFonts w:hint="eastAsia"/>
              <w:color w:val="auto"/>
              <w:highlight w:val="none"/>
              <w:lang w:val="en-US"/>
            </w:rPr>
            <w:t>附件 2 残疾人福利性单位声明函</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_Toc13546 \h </w:instrText>
          </w:r>
          <w:r>
            <w:rPr>
              <w:rFonts w:hint="eastAsia"/>
              <w:color w:val="auto"/>
              <w:highlight w:val="none"/>
            </w:rPr>
            <w:fldChar w:fldCharType="separate"/>
          </w:r>
          <w:r>
            <w:rPr>
              <w:rFonts w:hint="eastAsia"/>
              <w:color w:val="auto"/>
              <w:highlight w:val="none"/>
            </w:rPr>
            <w:t>- 94 -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"_Toc4180" </w:instrText>
          </w:r>
          <w:r>
            <w:rPr>
              <w:color w:val="auto"/>
              <w:highlight w:val="none"/>
            </w:rPr>
            <w:fldChar w:fldCharType="separate"/>
          </w:r>
          <w:r>
            <w:rPr>
              <w:rFonts w:hint="eastAsia"/>
              <w:color w:val="auto"/>
              <w:highlight w:val="none"/>
              <w:lang w:val="en-US"/>
            </w:rPr>
            <w:t>附件 3 监狱企业证明材料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_Toc4180 \h </w:instrText>
          </w:r>
          <w:r>
            <w:rPr>
              <w:rFonts w:hint="eastAsia"/>
              <w:color w:val="auto"/>
              <w:highlight w:val="none"/>
            </w:rPr>
            <w:fldChar w:fldCharType="separate"/>
          </w:r>
          <w:r>
            <w:rPr>
              <w:rFonts w:hint="eastAsia"/>
              <w:color w:val="auto"/>
              <w:highlight w:val="none"/>
            </w:rPr>
            <w:t>- 95 -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"_Toc24405" </w:instrText>
          </w:r>
          <w:r>
            <w:rPr>
              <w:color w:val="auto"/>
              <w:highlight w:val="none"/>
            </w:rPr>
            <w:fldChar w:fldCharType="separate"/>
          </w:r>
          <w:r>
            <w:rPr>
              <w:rFonts w:hint="eastAsia"/>
              <w:color w:val="auto"/>
              <w:highlight w:val="none"/>
              <w:lang w:val="en-US"/>
            </w:rPr>
            <w:t>附件 4 节能、环境标志产品证明材料（符合填写）</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_Toc24405 \h </w:instrText>
          </w:r>
          <w:r>
            <w:rPr>
              <w:rFonts w:hint="eastAsia"/>
              <w:color w:val="auto"/>
              <w:highlight w:val="none"/>
            </w:rPr>
            <w:fldChar w:fldCharType="separate"/>
          </w:r>
          <w:r>
            <w:rPr>
              <w:rFonts w:hint="eastAsia"/>
              <w:color w:val="auto"/>
              <w:highlight w:val="none"/>
            </w:rPr>
            <w:t>- 96 -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440" w:leftChars="200"/>
            <w:jc w:val="both"/>
            <w:rPr>
              <w:color w:val="auto"/>
              <w:highlight w:val="none"/>
            </w:rPr>
          </w:pPr>
          <w:r>
            <w:rPr>
              <w:color w:val="auto"/>
              <w:highlight w:val="none"/>
            </w:rPr>
            <w:fldChar w:fldCharType="begin"/>
          </w:r>
          <w:r>
            <w:rPr>
              <w:color w:val="auto"/>
              <w:highlight w:val="none"/>
            </w:rPr>
            <w:instrText xml:space="preserve"> HYPERLINK \l "_Toc16071" </w:instrText>
          </w:r>
          <w:r>
            <w:rPr>
              <w:color w:val="auto"/>
              <w:highlight w:val="none"/>
            </w:rPr>
            <w:fldChar w:fldCharType="separate"/>
          </w:r>
          <w:r>
            <w:rPr>
              <w:rFonts w:hint="eastAsia"/>
              <w:bCs/>
              <w:color w:val="auto"/>
              <w:highlight w:val="none"/>
            </w:rPr>
            <w:t>第</w:t>
          </w:r>
          <w:r>
            <w:rPr>
              <w:rFonts w:hint="eastAsia"/>
              <w:bCs/>
              <w:color w:val="auto"/>
              <w:highlight w:val="none"/>
              <w:lang w:val="en-US"/>
            </w:rPr>
            <w:t>四</w:t>
          </w:r>
          <w:r>
            <w:rPr>
              <w:rFonts w:hint="eastAsia"/>
              <w:bCs/>
              <w:color w:val="auto"/>
              <w:highlight w:val="none"/>
            </w:rPr>
            <w:t>节 资格证明文件格式</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_Toc16071 \h </w:instrText>
          </w:r>
          <w:r>
            <w:rPr>
              <w:rFonts w:hint="eastAsia"/>
              <w:color w:val="auto"/>
              <w:highlight w:val="none"/>
            </w:rPr>
            <w:fldChar w:fldCharType="separate"/>
          </w:r>
          <w:r>
            <w:rPr>
              <w:rFonts w:hint="eastAsia"/>
              <w:color w:val="auto"/>
              <w:highlight w:val="none"/>
            </w:rPr>
            <w:t>- 97 -</w:t>
          </w:r>
          <w:r>
            <w:rPr>
              <w:rFonts w:hint="eastAsia"/>
              <w:color w:val="auto"/>
              <w:highlight w:val="none"/>
            </w:rPr>
            <w:fldChar w:fldCharType="end"/>
          </w:r>
          <w:r>
            <w:rPr>
              <w:rFonts w:hint="eastAsia"/>
              <w:color w:val="auto"/>
              <w:highlight w:val="none"/>
            </w:rPr>
            <w:fldChar w:fldCharType="end"/>
          </w:r>
        </w:p>
        <w:p>
          <w:pPr>
            <w:pStyle w:val="18"/>
            <w:tabs>
              <w:tab w:val="right" w:leader="dot" w:pos="9750"/>
            </w:tabs>
            <w:ind w:left="880" w:leftChars="400"/>
            <w:jc w:val="both"/>
            <w:rPr>
              <w:color w:val="auto"/>
              <w:highlight w:val="none"/>
            </w:rPr>
          </w:pPr>
          <w:r>
            <w:rPr>
              <w:color w:val="auto"/>
              <w:highlight w:val="none"/>
            </w:rPr>
            <w:fldChar w:fldCharType="begin"/>
          </w:r>
          <w:r>
            <w:rPr>
              <w:color w:val="auto"/>
              <w:highlight w:val="none"/>
            </w:rPr>
            <w:instrText xml:space="preserve"> HYPERLINK \l "_Toc10881" </w:instrText>
          </w:r>
          <w:r>
            <w:rPr>
              <w:color w:val="auto"/>
              <w:highlight w:val="none"/>
            </w:rPr>
            <w:fldChar w:fldCharType="separate"/>
          </w:r>
          <w:r>
            <w:rPr>
              <w:rFonts w:hint="eastAsia"/>
              <w:color w:val="auto"/>
              <w:highlight w:val="none"/>
              <w:lang w:val="en-US"/>
            </w:rPr>
            <w:t>附件 1 资格、资信证明文件</w:t>
          </w:r>
          <w:r>
            <w:rPr>
              <w:rFonts w:hint="eastAsia"/>
              <w:color w:val="auto"/>
              <w:highlight w:val="none"/>
            </w:rPr>
            <w:tab/>
          </w:r>
          <w:r>
            <w:rPr>
              <w:rFonts w:hint="eastAsia"/>
              <w:color w:val="auto"/>
              <w:highlight w:val="none"/>
            </w:rPr>
            <w:fldChar w:fldCharType="begin"/>
          </w:r>
          <w:r>
            <w:rPr>
              <w:rFonts w:hint="eastAsia"/>
              <w:color w:val="auto"/>
              <w:highlight w:val="none"/>
            </w:rPr>
            <w:instrText xml:space="preserve"> PAGEREF _Toc10881 \h </w:instrText>
          </w:r>
          <w:r>
            <w:rPr>
              <w:rFonts w:hint="eastAsia"/>
              <w:color w:val="auto"/>
              <w:highlight w:val="none"/>
            </w:rPr>
            <w:fldChar w:fldCharType="separate"/>
          </w:r>
          <w:r>
            <w:rPr>
              <w:rFonts w:hint="eastAsia"/>
              <w:color w:val="auto"/>
              <w:highlight w:val="none"/>
            </w:rPr>
            <w:t>- 97 -</w:t>
          </w:r>
          <w:r>
            <w:rPr>
              <w:rFonts w:hint="eastAsia"/>
              <w:color w:val="auto"/>
              <w:highlight w:val="none"/>
            </w:rPr>
            <w:fldChar w:fldCharType="end"/>
          </w:r>
          <w:r>
            <w:rPr>
              <w:rFonts w:hint="eastAsia"/>
              <w:color w:val="auto"/>
              <w:highlight w:val="none"/>
            </w:rPr>
            <w:fldChar w:fldCharType="end"/>
          </w:r>
        </w:p>
        <w:p>
          <w:pPr>
            <w:pStyle w:val="6"/>
            <w:tabs>
              <w:tab w:val="left" w:pos="1164"/>
            </w:tabs>
            <w:spacing w:before="39"/>
            <w:ind w:right="115"/>
            <w:rPr>
              <w:rFonts w:ascii="宋体" w:hAnsi="宋体" w:eastAsia="宋体" w:cs="宋体"/>
              <w:color w:val="auto"/>
              <w:sz w:val="28"/>
              <w:szCs w:val="28"/>
              <w:highlight w:val="none"/>
            </w:rPr>
            <w:sectPr>
              <w:headerReference r:id="rId3" w:type="default"/>
              <w:footerReference r:id="rId4" w:type="default"/>
              <w:pgSz w:w="11910" w:h="16840"/>
              <w:pgMar w:top="1440" w:right="1080" w:bottom="1440" w:left="1080" w:header="850" w:footer="998" w:gutter="0"/>
              <w:cols w:space="720" w:num="1"/>
            </w:sectPr>
          </w:pPr>
          <w:r>
            <w:rPr>
              <w:rFonts w:hint="eastAsia" w:ascii="宋体" w:hAnsi="宋体" w:eastAsia="宋体" w:cs="宋体"/>
              <w:color w:val="auto"/>
              <w:szCs w:val="28"/>
              <w:highlight w:val="none"/>
            </w:rPr>
            <w:fldChar w:fldCharType="end"/>
          </w:r>
        </w:p>
      </w:sdtContent>
    </w:sdt>
    <w:p>
      <w:pPr>
        <w:pStyle w:val="5"/>
        <w:tabs>
          <w:tab w:val="left" w:pos="1164"/>
        </w:tabs>
        <w:spacing w:before="39" w:line="240" w:lineRule="auto"/>
        <w:ind w:right="115"/>
        <w:outlineLvl w:val="0"/>
        <w:rPr>
          <w:rFonts w:ascii="宋体" w:hAnsi="宋体" w:eastAsia="宋体" w:cs="宋体"/>
          <w:b/>
          <w:bCs/>
          <w:color w:val="auto"/>
          <w:sz w:val="32"/>
          <w:szCs w:val="32"/>
          <w:highlight w:val="none"/>
        </w:rPr>
      </w:pPr>
      <w:bookmarkStart w:id="0" w:name="_Toc18879"/>
      <w:r>
        <w:rPr>
          <w:rFonts w:hint="eastAsia" w:ascii="宋体" w:hAnsi="宋体" w:eastAsia="宋体" w:cs="宋体"/>
          <w:b/>
          <w:bCs/>
          <w:color w:val="auto"/>
          <w:sz w:val="32"/>
          <w:szCs w:val="32"/>
          <w:highlight w:val="none"/>
        </w:rPr>
        <w:t>第一章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投标邀请</w:t>
      </w:r>
      <w:bookmarkEnd w:id="0"/>
    </w:p>
    <w:p>
      <w:pPr>
        <w:jc w:val="center"/>
        <w:rPr>
          <w:b/>
          <w:bCs/>
          <w:color w:val="auto"/>
          <w:sz w:val="28"/>
          <w:szCs w:val="28"/>
          <w:highlight w:val="none"/>
        </w:rPr>
      </w:pPr>
      <w:bookmarkStart w:id="1" w:name="_bookmark1"/>
      <w:bookmarkEnd w:id="1"/>
      <w:r>
        <w:rPr>
          <w:rFonts w:hint="eastAsia"/>
          <w:b/>
          <w:bCs/>
          <w:color w:val="auto"/>
          <w:sz w:val="28"/>
          <w:szCs w:val="28"/>
          <w:highlight w:val="none"/>
        </w:rPr>
        <w:t>自治区质检院第三批检测设备能力提升采购项目（国产部分）公开招标公告</w:t>
      </w:r>
    </w:p>
    <w:p>
      <w:pPr>
        <w:widowControl/>
        <w:pBdr>
          <w:top w:val="single" w:color="auto" w:sz="4" w:space="0"/>
          <w:left w:val="single" w:color="auto" w:sz="4" w:space="0"/>
          <w:bottom w:val="single" w:color="auto" w:sz="4" w:space="0"/>
          <w:right w:val="single" w:color="auto" w:sz="4" w:space="0"/>
        </w:pBdr>
        <w:autoSpaceDE/>
        <w:autoSpaceDN/>
        <w:spacing w:before="75" w:after="75"/>
        <w:rPr>
          <w:color w:val="auto"/>
          <w:sz w:val="21"/>
          <w:szCs w:val="21"/>
          <w:highlight w:val="none"/>
        </w:rPr>
      </w:pPr>
      <w:r>
        <w:rPr>
          <w:rFonts w:hint="eastAsia"/>
          <w:color w:val="auto"/>
          <w:sz w:val="21"/>
          <w:szCs w:val="21"/>
          <w:highlight w:val="none"/>
        </w:rPr>
        <w:t>项目概况</w:t>
      </w:r>
    </w:p>
    <w:p>
      <w:pPr>
        <w:widowControl/>
        <w:pBdr>
          <w:top w:val="single" w:color="auto" w:sz="4" w:space="0"/>
          <w:left w:val="single" w:color="auto" w:sz="4" w:space="0"/>
          <w:bottom w:val="single" w:color="auto" w:sz="4" w:space="0"/>
          <w:right w:val="single" w:color="auto" w:sz="4" w:space="0"/>
        </w:pBdr>
        <w:autoSpaceDE/>
        <w:autoSpaceDN/>
        <w:spacing w:before="75" w:after="75"/>
        <w:ind w:firstLine="420" w:firstLineChars="200"/>
        <w:rPr>
          <w:color w:val="auto"/>
          <w:sz w:val="21"/>
          <w:szCs w:val="21"/>
          <w:highlight w:val="none"/>
        </w:rPr>
      </w:pPr>
      <w:r>
        <w:rPr>
          <w:rFonts w:hint="eastAsia"/>
          <w:color w:val="auto"/>
          <w:sz w:val="21"/>
          <w:szCs w:val="21"/>
          <w:highlight w:val="none"/>
        </w:rPr>
        <w:t>自治区质检院第三批检测设备能力提升采购项目（国产部分）招标项目的潜在投标人应在</w:t>
      </w:r>
      <w:r>
        <w:rPr>
          <w:rFonts w:hint="eastAsia"/>
          <w:color w:val="auto"/>
          <w:sz w:val="21"/>
          <w:szCs w:val="21"/>
          <w:highlight w:val="none"/>
          <w:lang w:val="en-US"/>
        </w:rPr>
        <w:t>邮箱</w:t>
      </w:r>
      <w:r>
        <w:rPr>
          <w:rFonts w:hint="eastAsia"/>
          <w:color w:val="auto"/>
          <w:sz w:val="21"/>
          <w:szCs w:val="21"/>
          <w:highlight w:val="none"/>
        </w:rPr>
        <w:t>获取招标文件，并于2022年</w:t>
      </w:r>
      <w:r>
        <w:rPr>
          <w:rFonts w:hint="eastAsia"/>
          <w:color w:val="auto"/>
          <w:sz w:val="21"/>
          <w:szCs w:val="21"/>
          <w:highlight w:val="none"/>
          <w:lang w:val="en-US"/>
        </w:rPr>
        <w:t>11</w:t>
      </w:r>
      <w:r>
        <w:rPr>
          <w:rFonts w:hint="eastAsia"/>
          <w:color w:val="auto"/>
          <w:sz w:val="21"/>
          <w:szCs w:val="21"/>
          <w:highlight w:val="none"/>
        </w:rPr>
        <w:t>月</w:t>
      </w:r>
      <w:r>
        <w:rPr>
          <w:rFonts w:hint="eastAsia"/>
          <w:color w:val="auto"/>
          <w:sz w:val="21"/>
          <w:szCs w:val="21"/>
          <w:highlight w:val="none"/>
          <w:lang w:val="en-US" w:eastAsia="zh-CN"/>
        </w:rPr>
        <w:t>07</w:t>
      </w:r>
      <w:r>
        <w:rPr>
          <w:rFonts w:hint="eastAsia"/>
          <w:color w:val="auto"/>
          <w:sz w:val="21"/>
          <w:szCs w:val="21"/>
          <w:highlight w:val="none"/>
        </w:rPr>
        <w:t>日 11:00（北京时间）前递交投标文件。</w:t>
      </w:r>
    </w:p>
    <w:p>
      <w:pPr>
        <w:widowControl/>
        <w:autoSpaceDE/>
        <w:autoSpaceDN/>
        <w:spacing w:before="75" w:after="75"/>
        <w:rPr>
          <w:b/>
          <w:bCs/>
          <w:color w:val="auto"/>
          <w:sz w:val="21"/>
          <w:szCs w:val="21"/>
          <w:highlight w:val="none"/>
        </w:rPr>
      </w:pPr>
      <w:r>
        <w:rPr>
          <w:rFonts w:hint="eastAsia"/>
          <w:b/>
          <w:bCs/>
          <w:color w:val="auto"/>
          <w:sz w:val="21"/>
          <w:szCs w:val="21"/>
          <w:highlight w:val="none"/>
        </w:rPr>
        <w:t>一、项目基本情况</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项目编号：Hhhx-2220-Zjy002</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项目名称：</w:t>
      </w:r>
      <w:r>
        <w:rPr>
          <w:rFonts w:hint="eastAsia"/>
          <w:color w:val="auto"/>
          <w:sz w:val="21"/>
          <w:szCs w:val="21"/>
          <w:highlight w:val="none"/>
          <w:lang w:val="en-US"/>
        </w:rPr>
        <w:t>自治区质检院第三批检测设备能力提升采购项目（国产部分）</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预算金额（元）：1707</w:t>
      </w:r>
      <w:r>
        <w:rPr>
          <w:rFonts w:hint="eastAsia"/>
          <w:color w:val="auto"/>
          <w:sz w:val="21"/>
          <w:szCs w:val="21"/>
          <w:highlight w:val="none"/>
          <w:lang w:val="en-US"/>
        </w:rPr>
        <w:t>000</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最高限价（元）：5530</w:t>
      </w:r>
      <w:r>
        <w:rPr>
          <w:rFonts w:hint="eastAsia"/>
          <w:color w:val="auto"/>
          <w:sz w:val="21"/>
          <w:szCs w:val="21"/>
          <w:highlight w:val="none"/>
          <w:lang w:val="en-US"/>
        </w:rPr>
        <w:t>00，669000，485000，</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采购需求：</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标项一</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标项名称：第三批能力提升检测设备采购项目</w:t>
      </w:r>
      <w:r>
        <w:rPr>
          <w:rFonts w:hint="eastAsia"/>
          <w:color w:val="auto"/>
          <w:sz w:val="21"/>
          <w:szCs w:val="21"/>
          <w:highlight w:val="none"/>
          <w:lang w:val="en-US"/>
        </w:rPr>
        <w:t>-标项1</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数量：</w:t>
      </w:r>
      <w:r>
        <w:rPr>
          <w:rFonts w:hint="eastAsia"/>
          <w:color w:val="auto"/>
          <w:sz w:val="21"/>
          <w:szCs w:val="21"/>
          <w:highlight w:val="none"/>
          <w:lang w:val="en-US"/>
        </w:rPr>
        <w:t>1批</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预算金额（元）:5530</w:t>
      </w:r>
      <w:r>
        <w:rPr>
          <w:rFonts w:hint="eastAsia"/>
          <w:color w:val="auto"/>
          <w:sz w:val="21"/>
          <w:szCs w:val="21"/>
          <w:highlight w:val="none"/>
          <w:lang w:val="en-US"/>
        </w:rPr>
        <w:t>00</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简要规格描述或项目基本概况介绍、用途：300kV周向X射线机、300kV定向X射线机、250kV定向X射线机、250kV定向X射线机、数字式超声波探伤仪、磁粉探伤机的设备采购项目，</w:t>
      </w:r>
      <w:r>
        <w:rPr>
          <w:rFonts w:hint="eastAsia"/>
          <w:color w:val="auto"/>
          <w:sz w:val="21"/>
          <w:szCs w:val="21"/>
          <w:highlight w:val="none"/>
          <w:lang w:val="en-US"/>
        </w:rPr>
        <w:t>具体参数</w:t>
      </w:r>
      <w:r>
        <w:rPr>
          <w:rFonts w:hint="eastAsia"/>
          <w:color w:val="auto"/>
          <w:sz w:val="21"/>
          <w:szCs w:val="21"/>
          <w:highlight w:val="none"/>
        </w:rPr>
        <w:t>详见招标文件。</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备注：</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标项</w:t>
      </w:r>
      <w:r>
        <w:rPr>
          <w:rFonts w:hint="eastAsia"/>
          <w:color w:val="auto"/>
          <w:sz w:val="21"/>
          <w:szCs w:val="21"/>
          <w:highlight w:val="none"/>
          <w:lang w:val="en-US"/>
        </w:rPr>
        <w:t>二</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标项名称：第三批能力提升检测设备采购项目</w:t>
      </w:r>
      <w:r>
        <w:rPr>
          <w:rFonts w:hint="eastAsia"/>
          <w:color w:val="auto"/>
          <w:sz w:val="21"/>
          <w:szCs w:val="21"/>
          <w:highlight w:val="none"/>
          <w:lang w:val="en-US"/>
        </w:rPr>
        <w:t>-标项2</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数量：</w:t>
      </w:r>
      <w:r>
        <w:rPr>
          <w:rFonts w:hint="eastAsia"/>
          <w:color w:val="auto"/>
          <w:sz w:val="21"/>
          <w:szCs w:val="21"/>
          <w:highlight w:val="none"/>
          <w:lang w:val="en-US"/>
        </w:rPr>
        <w:t>1批</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预算金额（元）:</w:t>
      </w:r>
      <w:r>
        <w:rPr>
          <w:rFonts w:hint="eastAsia"/>
          <w:color w:val="auto"/>
          <w:sz w:val="21"/>
          <w:szCs w:val="21"/>
          <w:highlight w:val="none"/>
          <w:lang w:val="en-US"/>
        </w:rPr>
        <w:t>669000</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简要规格描述或项目基本概况介绍、用途：大流量高压力供水系统、室内栓压力损失及减压、稳压试验装置、软管卷盘射程试验装置、消防水枪喷射性能试验装置、成套卡具堵头、数显薄膜测厚仪、精密直径围尺、数显压力表的设备采购项目，</w:t>
      </w:r>
      <w:r>
        <w:rPr>
          <w:rFonts w:hint="eastAsia"/>
          <w:color w:val="auto"/>
          <w:sz w:val="21"/>
          <w:szCs w:val="21"/>
          <w:highlight w:val="none"/>
          <w:lang w:val="en-US"/>
        </w:rPr>
        <w:t>具体参数</w:t>
      </w:r>
      <w:r>
        <w:rPr>
          <w:rFonts w:hint="eastAsia"/>
          <w:color w:val="auto"/>
          <w:sz w:val="21"/>
          <w:szCs w:val="21"/>
          <w:highlight w:val="none"/>
        </w:rPr>
        <w:t>详见招标文件。</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备注：</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标项</w:t>
      </w:r>
      <w:r>
        <w:rPr>
          <w:rFonts w:hint="eastAsia"/>
          <w:color w:val="auto"/>
          <w:sz w:val="21"/>
          <w:szCs w:val="21"/>
          <w:highlight w:val="none"/>
          <w:lang w:val="en-US"/>
        </w:rPr>
        <w:t>三</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标项名称：第三批能力提升检测设备采购项目</w:t>
      </w:r>
      <w:r>
        <w:rPr>
          <w:rFonts w:hint="eastAsia"/>
          <w:color w:val="auto"/>
          <w:sz w:val="21"/>
          <w:szCs w:val="21"/>
          <w:highlight w:val="none"/>
          <w:lang w:val="en-US"/>
        </w:rPr>
        <w:t>-标项3</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数量：</w:t>
      </w:r>
      <w:r>
        <w:rPr>
          <w:rFonts w:hint="eastAsia"/>
          <w:color w:val="auto"/>
          <w:sz w:val="21"/>
          <w:szCs w:val="21"/>
          <w:highlight w:val="none"/>
          <w:lang w:val="en-US"/>
        </w:rPr>
        <w:t>1批</w:t>
      </w:r>
    </w:p>
    <w:p>
      <w:pPr>
        <w:widowControl/>
        <w:autoSpaceDE/>
        <w:autoSpaceDN/>
        <w:spacing w:before="75" w:after="75"/>
        <w:ind w:left="220" w:leftChars="100" w:firstLine="420" w:firstLineChars="200"/>
        <w:rPr>
          <w:color w:val="auto"/>
          <w:sz w:val="21"/>
          <w:szCs w:val="21"/>
          <w:highlight w:val="none"/>
          <w:lang w:val="en-US"/>
        </w:rPr>
      </w:pPr>
      <w:r>
        <w:rPr>
          <w:rFonts w:hint="eastAsia"/>
          <w:color w:val="auto"/>
          <w:sz w:val="21"/>
          <w:szCs w:val="21"/>
          <w:highlight w:val="none"/>
        </w:rPr>
        <w:t>预算金额（元）:</w:t>
      </w:r>
      <w:r>
        <w:rPr>
          <w:rFonts w:hint="eastAsia"/>
          <w:color w:val="auto"/>
          <w:sz w:val="21"/>
          <w:szCs w:val="21"/>
          <w:highlight w:val="none"/>
          <w:lang w:val="en-US"/>
        </w:rPr>
        <w:t>485000</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简要规格描述或项目基本概况介绍、用途：单根绝缘电线电缆垂直燃烧试验装置、数显深度计、恒温水浴锅、恒温恒压供水系统的设备采购项目，</w:t>
      </w:r>
      <w:r>
        <w:rPr>
          <w:rFonts w:hint="eastAsia"/>
          <w:color w:val="auto"/>
          <w:sz w:val="21"/>
          <w:szCs w:val="21"/>
          <w:highlight w:val="none"/>
          <w:lang w:val="en-US"/>
        </w:rPr>
        <w:t>具体参数</w:t>
      </w:r>
      <w:r>
        <w:rPr>
          <w:rFonts w:hint="eastAsia"/>
          <w:color w:val="auto"/>
          <w:sz w:val="21"/>
          <w:szCs w:val="21"/>
          <w:highlight w:val="none"/>
        </w:rPr>
        <w:t>详见招标文件。</w:t>
      </w:r>
    </w:p>
    <w:p>
      <w:pPr>
        <w:widowControl/>
        <w:autoSpaceDE/>
        <w:autoSpaceDN/>
        <w:spacing w:before="75" w:after="75"/>
        <w:ind w:left="220" w:leftChars="100" w:firstLine="420" w:firstLineChars="200"/>
        <w:rPr>
          <w:color w:val="auto"/>
          <w:sz w:val="21"/>
          <w:szCs w:val="21"/>
          <w:highlight w:val="none"/>
        </w:rPr>
      </w:pPr>
      <w:r>
        <w:rPr>
          <w:rFonts w:hint="eastAsia"/>
          <w:color w:val="auto"/>
          <w:sz w:val="21"/>
          <w:szCs w:val="21"/>
          <w:highlight w:val="none"/>
        </w:rPr>
        <w:t>备注：</w:t>
      </w:r>
    </w:p>
    <w:p>
      <w:pPr>
        <w:pStyle w:val="2"/>
        <w:ind w:firstLine="440"/>
        <w:rPr>
          <w:color w:val="auto"/>
          <w:highlight w:val="none"/>
        </w:rPr>
      </w:pP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合同履行期限：标项 1、2、</w:t>
      </w:r>
      <w:r>
        <w:rPr>
          <w:rFonts w:hint="eastAsia"/>
          <w:color w:val="auto"/>
          <w:sz w:val="21"/>
          <w:szCs w:val="21"/>
          <w:highlight w:val="none"/>
          <w:lang w:val="en-US"/>
        </w:rPr>
        <w:t>3</w:t>
      </w:r>
      <w:r>
        <w:rPr>
          <w:rFonts w:hint="eastAsia"/>
          <w:color w:val="auto"/>
          <w:sz w:val="21"/>
          <w:szCs w:val="21"/>
          <w:highlight w:val="none"/>
          <w:lang w:val="en-US" w:eastAsia="zh-CN"/>
        </w:rPr>
        <w:t>：</w:t>
      </w:r>
      <w:r>
        <w:rPr>
          <w:rFonts w:hint="eastAsia"/>
          <w:color w:val="auto"/>
          <w:sz w:val="21"/>
          <w:szCs w:val="21"/>
          <w:highlight w:val="none"/>
          <w:lang w:bidi="ar"/>
        </w:rPr>
        <w:t>详见招标文件。</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本项目（否）接受联合体投标。</w:t>
      </w:r>
    </w:p>
    <w:p>
      <w:pPr>
        <w:widowControl/>
        <w:autoSpaceDE/>
        <w:autoSpaceDN/>
        <w:spacing w:before="75" w:after="75"/>
        <w:rPr>
          <w:b/>
          <w:bCs/>
          <w:color w:val="auto"/>
          <w:sz w:val="21"/>
          <w:szCs w:val="21"/>
          <w:highlight w:val="none"/>
        </w:rPr>
      </w:pPr>
      <w:r>
        <w:rPr>
          <w:rFonts w:hint="eastAsia"/>
          <w:b/>
          <w:bCs/>
          <w:color w:val="auto"/>
          <w:sz w:val="21"/>
          <w:szCs w:val="21"/>
          <w:highlight w:val="none"/>
        </w:rPr>
        <w:t>二、申请人的资格要求：</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1.满足《中华人民共和国政府采购法》第二十二条规定；</w:t>
      </w:r>
    </w:p>
    <w:p>
      <w:pPr>
        <w:widowControl/>
        <w:autoSpaceDE/>
        <w:autoSpaceDN/>
        <w:spacing w:before="75" w:after="75"/>
        <w:ind w:firstLine="420" w:firstLineChars="200"/>
        <w:rPr>
          <w:rFonts w:hint="eastAsia" w:eastAsia="宋体"/>
          <w:color w:val="auto"/>
          <w:sz w:val="21"/>
          <w:szCs w:val="21"/>
          <w:highlight w:val="none"/>
          <w:lang w:eastAsia="zh-CN"/>
        </w:rPr>
      </w:pPr>
      <w:r>
        <w:rPr>
          <w:rFonts w:hint="eastAsia"/>
          <w:color w:val="auto"/>
          <w:sz w:val="21"/>
          <w:szCs w:val="21"/>
          <w:highlight w:val="none"/>
        </w:rPr>
        <w:t>2.落实政府采购政策需满足的资格要求：标项 1、2、</w:t>
      </w:r>
      <w:r>
        <w:rPr>
          <w:rFonts w:hint="eastAsia"/>
          <w:color w:val="auto"/>
          <w:sz w:val="21"/>
          <w:szCs w:val="21"/>
          <w:highlight w:val="none"/>
          <w:lang w:val="en-US"/>
        </w:rPr>
        <w:t>3</w:t>
      </w:r>
      <w:r>
        <w:rPr>
          <w:rFonts w:hint="eastAsia"/>
          <w:color w:val="auto"/>
          <w:sz w:val="21"/>
          <w:szCs w:val="21"/>
          <w:highlight w:val="none"/>
          <w:lang w:val="en-US" w:eastAsia="zh-CN"/>
        </w:rPr>
        <w:t>：</w:t>
      </w:r>
      <w:r>
        <w:rPr>
          <w:rFonts w:hint="eastAsia"/>
          <w:color w:val="auto"/>
          <w:sz w:val="21"/>
          <w:szCs w:val="21"/>
          <w:highlight w:val="none"/>
          <w:lang w:val="en-US"/>
        </w:rPr>
        <w:t>供应商为中小企业</w:t>
      </w:r>
      <w:r>
        <w:rPr>
          <w:rFonts w:hint="eastAsia"/>
          <w:color w:val="auto"/>
          <w:sz w:val="21"/>
          <w:szCs w:val="21"/>
          <w:highlight w:val="none"/>
          <w:lang w:val="en-US" w:eastAsia="zh-CN"/>
        </w:rPr>
        <w:t>。</w:t>
      </w:r>
    </w:p>
    <w:p>
      <w:pPr>
        <w:widowControl/>
        <w:spacing w:line="300" w:lineRule="atLeast"/>
        <w:ind w:firstLine="420"/>
        <w:rPr>
          <w:rFonts w:hint="eastAsia" w:eastAsia="宋体"/>
          <w:color w:val="auto"/>
          <w:sz w:val="21"/>
          <w:szCs w:val="21"/>
          <w:highlight w:val="none"/>
          <w:lang w:eastAsia="zh-CN"/>
        </w:rPr>
      </w:pPr>
      <w:r>
        <w:rPr>
          <w:rFonts w:hint="eastAsia"/>
          <w:color w:val="auto"/>
          <w:sz w:val="21"/>
          <w:szCs w:val="21"/>
          <w:highlight w:val="none"/>
        </w:rPr>
        <w:t>3.本项目的特定资格要求：标项 1、2、</w:t>
      </w:r>
      <w:r>
        <w:rPr>
          <w:rFonts w:hint="eastAsia"/>
          <w:color w:val="auto"/>
          <w:sz w:val="21"/>
          <w:szCs w:val="21"/>
          <w:highlight w:val="none"/>
          <w:lang w:val="en-US"/>
        </w:rPr>
        <w:t>3</w:t>
      </w:r>
      <w:r>
        <w:rPr>
          <w:rFonts w:hint="eastAsia"/>
          <w:color w:val="auto"/>
          <w:sz w:val="21"/>
          <w:szCs w:val="21"/>
          <w:highlight w:val="none"/>
          <w:lang w:val="en-US" w:eastAsia="zh-CN"/>
        </w:rPr>
        <w:t>：</w:t>
      </w:r>
    </w:p>
    <w:p>
      <w:pPr>
        <w:widowControl/>
        <w:wordWrap w:val="0"/>
        <w:autoSpaceDE/>
        <w:autoSpaceDN/>
        <w:spacing w:before="75" w:after="75"/>
        <w:ind w:firstLine="420" w:firstLineChars="200"/>
        <w:rPr>
          <w:rFonts w:hint="eastAsia" w:eastAsia="宋体"/>
          <w:color w:val="auto"/>
          <w:sz w:val="21"/>
          <w:szCs w:val="21"/>
          <w:highlight w:val="none"/>
          <w:lang w:eastAsia="zh-CN"/>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w:t>
      </w:r>
      <w:r>
        <w:rPr>
          <w:rFonts w:hint="eastAsia"/>
          <w:color w:val="auto"/>
          <w:sz w:val="21"/>
          <w:szCs w:val="21"/>
          <w:highlight w:val="none"/>
          <w:shd w:val="clear" w:color="auto" w:fill="FFFFFF"/>
          <w:lang w:val="en-US"/>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供应商需提供相关证明资料）</w:t>
      </w:r>
      <w:r>
        <w:rPr>
          <w:rFonts w:hint="eastAsia"/>
          <w:color w:val="auto"/>
          <w:sz w:val="21"/>
          <w:szCs w:val="21"/>
          <w:highlight w:val="none"/>
          <w:shd w:val="clear" w:color="auto" w:fill="FFFFFF"/>
          <w:lang w:val="en-US" w:eastAsia="zh-CN"/>
        </w:rPr>
        <w:t>。</w:t>
      </w:r>
    </w:p>
    <w:p>
      <w:pPr>
        <w:widowControl/>
        <w:autoSpaceDE/>
        <w:autoSpaceDN/>
        <w:spacing w:before="75" w:after="75"/>
        <w:ind w:firstLine="420" w:firstLineChars="200"/>
        <w:rPr>
          <w:rFonts w:hint="eastAsia" w:eastAsia="宋体"/>
          <w:color w:val="auto"/>
          <w:sz w:val="21"/>
          <w:szCs w:val="21"/>
          <w:highlight w:val="none"/>
          <w:lang w:eastAsia="zh-CN"/>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）单位负责人为同一人或者存在直接控股、管理关系的不同供应商，不得参加同一合同项下的政府采购活动</w:t>
      </w:r>
      <w:r>
        <w:rPr>
          <w:rFonts w:hint="eastAsia"/>
          <w:color w:val="auto"/>
          <w:sz w:val="21"/>
          <w:szCs w:val="21"/>
          <w:highlight w:val="none"/>
          <w:lang w:eastAsia="zh-CN"/>
        </w:rPr>
        <w:t>。</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）本项目不接受进口产品投标。</w:t>
      </w:r>
    </w:p>
    <w:p>
      <w:pPr>
        <w:widowControl/>
        <w:autoSpaceDE/>
        <w:autoSpaceDN/>
        <w:spacing w:before="75" w:after="75"/>
        <w:rPr>
          <w:b/>
          <w:bCs/>
          <w:color w:val="auto"/>
          <w:sz w:val="21"/>
          <w:szCs w:val="21"/>
          <w:highlight w:val="none"/>
        </w:rPr>
      </w:pPr>
      <w:r>
        <w:rPr>
          <w:rFonts w:hint="eastAsia"/>
          <w:b/>
          <w:bCs/>
          <w:color w:val="auto"/>
          <w:sz w:val="21"/>
          <w:szCs w:val="21"/>
          <w:highlight w:val="none"/>
        </w:rPr>
        <w:t>三、获取招标文件</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时间：202</w:t>
      </w:r>
      <w:r>
        <w:rPr>
          <w:rFonts w:hint="eastAsia"/>
          <w:color w:val="auto"/>
          <w:sz w:val="21"/>
          <w:szCs w:val="21"/>
          <w:highlight w:val="none"/>
          <w:lang w:val="en-US"/>
        </w:rPr>
        <w:t>2</w:t>
      </w:r>
      <w:r>
        <w:rPr>
          <w:rFonts w:hint="eastAsia"/>
          <w:color w:val="auto"/>
          <w:sz w:val="21"/>
          <w:szCs w:val="21"/>
          <w:highlight w:val="none"/>
        </w:rPr>
        <w:t>年</w:t>
      </w:r>
      <w:r>
        <w:rPr>
          <w:rFonts w:hint="eastAsia"/>
          <w:color w:val="auto"/>
          <w:sz w:val="21"/>
          <w:szCs w:val="21"/>
          <w:highlight w:val="none"/>
          <w:lang w:val="en-US"/>
        </w:rPr>
        <w:t>10</w:t>
      </w:r>
      <w:r>
        <w:rPr>
          <w:rFonts w:hint="eastAsia"/>
          <w:color w:val="auto"/>
          <w:sz w:val="21"/>
          <w:szCs w:val="21"/>
          <w:highlight w:val="none"/>
        </w:rPr>
        <w:t>月</w:t>
      </w:r>
      <w:r>
        <w:rPr>
          <w:rFonts w:hint="eastAsia"/>
          <w:color w:val="auto"/>
          <w:sz w:val="21"/>
          <w:szCs w:val="21"/>
          <w:highlight w:val="none"/>
          <w:lang w:val="en-US" w:eastAsia="zh-CN"/>
        </w:rPr>
        <w:t>17</w:t>
      </w:r>
      <w:r>
        <w:rPr>
          <w:rFonts w:hint="eastAsia"/>
          <w:color w:val="auto"/>
          <w:sz w:val="21"/>
          <w:szCs w:val="21"/>
          <w:highlight w:val="none"/>
        </w:rPr>
        <w:t>日至 202</w:t>
      </w:r>
      <w:r>
        <w:rPr>
          <w:rFonts w:hint="eastAsia"/>
          <w:color w:val="auto"/>
          <w:sz w:val="21"/>
          <w:szCs w:val="21"/>
          <w:highlight w:val="none"/>
          <w:lang w:val="en-US"/>
        </w:rPr>
        <w:t>2</w:t>
      </w:r>
      <w:r>
        <w:rPr>
          <w:rFonts w:hint="eastAsia"/>
          <w:color w:val="auto"/>
          <w:sz w:val="21"/>
          <w:szCs w:val="21"/>
          <w:highlight w:val="none"/>
        </w:rPr>
        <w:t>年</w:t>
      </w:r>
      <w:r>
        <w:rPr>
          <w:rFonts w:hint="eastAsia"/>
          <w:color w:val="auto"/>
          <w:sz w:val="21"/>
          <w:szCs w:val="21"/>
          <w:highlight w:val="none"/>
          <w:lang w:val="en-US"/>
        </w:rPr>
        <w:t>10</w:t>
      </w:r>
      <w:r>
        <w:rPr>
          <w:rFonts w:hint="eastAsia"/>
          <w:color w:val="auto"/>
          <w:sz w:val="21"/>
          <w:szCs w:val="21"/>
          <w:highlight w:val="none"/>
        </w:rPr>
        <w:t>月</w:t>
      </w:r>
      <w:r>
        <w:rPr>
          <w:rFonts w:hint="eastAsia"/>
          <w:color w:val="auto"/>
          <w:sz w:val="21"/>
          <w:szCs w:val="21"/>
          <w:highlight w:val="none"/>
          <w:lang w:val="en-US" w:eastAsia="zh-CN"/>
        </w:rPr>
        <w:t>24</w:t>
      </w:r>
      <w:r>
        <w:rPr>
          <w:rFonts w:hint="eastAsia"/>
          <w:color w:val="auto"/>
          <w:sz w:val="21"/>
          <w:szCs w:val="21"/>
          <w:highlight w:val="none"/>
        </w:rPr>
        <w:t>日，每天上午</w:t>
      </w:r>
      <w:r>
        <w:rPr>
          <w:rFonts w:hint="eastAsia"/>
          <w:color w:val="auto"/>
          <w:sz w:val="21"/>
          <w:szCs w:val="21"/>
          <w:highlight w:val="none"/>
          <w:lang w:val="en-US"/>
        </w:rPr>
        <w:t>10</w:t>
      </w:r>
      <w:r>
        <w:rPr>
          <w:rFonts w:hint="eastAsia"/>
          <w:color w:val="auto"/>
          <w:sz w:val="21"/>
          <w:szCs w:val="21"/>
          <w:highlight w:val="none"/>
        </w:rPr>
        <w:t>:</w:t>
      </w:r>
      <w:r>
        <w:rPr>
          <w:rFonts w:hint="eastAsia"/>
          <w:color w:val="auto"/>
          <w:sz w:val="21"/>
          <w:szCs w:val="21"/>
          <w:highlight w:val="none"/>
          <w:lang w:val="en-US"/>
        </w:rPr>
        <w:t>0</w:t>
      </w:r>
      <w:r>
        <w:rPr>
          <w:rFonts w:hint="eastAsia"/>
          <w:color w:val="auto"/>
          <w:sz w:val="21"/>
          <w:szCs w:val="21"/>
          <w:highlight w:val="none"/>
        </w:rPr>
        <w:t>0至1</w:t>
      </w:r>
      <w:r>
        <w:rPr>
          <w:rFonts w:hint="eastAsia"/>
          <w:color w:val="auto"/>
          <w:sz w:val="21"/>
          <w:szCs w:val="21"/>
          <w:highlight w:val="none"/>
          <w:lang w:val="en-US"/>
        </w:rPr>
        <w:t>4</w:t>
      </w:r>
      <w:r>
        <w:rPr>
          <w:rFonts w:hint="eastAsia"/>
          <w:color w:val="auto"/>
          <w:sz w:val="21"/>
          <w:szCs w:val="21"/>
          <w:highlight w:val="none"/>
        </w:rPr>
        <w:t>:00，下午1</w:t>
      </w:r>
      <w:r>
        <w:rPr>
          <w:rFonts w:hint="eastAsia"/>
          <w:color w:val="auto"/>
          <w:sz w:val="21"/>
          <w:szCs w:val="21"/>
          <w:highlight w:val="none"/>
          <w:lang w:val="en-US"/>
        </w:rPr>
        <w:t>5</w:t>
      </w:r>
      <w:r>
        <w:rPr>
          <w:rFonts w:hint="eastAsia"/>
          <w:color w:val="auto"/>
          <w:sz w:val="21"/>
          <w:szCs w:val="21"/>
          <w:highlight w:val="none"/>
        </w:rPr>
        <w:t>:00至1</w:t>
      </w:r>
      <w:r>
        <w:rPr>
          <w:rFonts w:hint="eastAsia"/>
          <w:color w:val="auto"/>
          <w:sz w:val="21"/>
          <w:szCs w:val="21"/>
          <w:highlight w:val="none"/>
          <w:lang w:val="en-US"/>
        </w:rPr>
        <w:t>9</w:t>
      </w:r>
      <w:r>
        <w:rPr>
          <w:rFonts w:hint="eastAsia"/>
          <w:color w:val="auto"/>
          <w:sz w:val="21"/>
          <w:szCs w:val="21"/>
          <w:highlight w:val="none"/>
        </w:rPr>
        <w:t>:</w:t>
      </w:r>
      <w:r>
        <w:rPr>
          <w:rFonts w:hint="eastAsia"/>
          <w:color w:val="auto"/>
          <w:sz w:val="21"/>
          <w:szCs w:val="21"/>
          <w:highlight w:val="none"/>
          <w:lang w:val="en-US"/>
        </w:rPr>
        <w:t>0</w:t>
      </w:r>
      <w:r>
        <w:rPr>
          <w:rFonts w:hint="eastAsia"/>
          <w:color w:val="auto"/>
          <w:sz w:val="21"/>
          <w:szCs w:val="21"/>
          <w:highlight w:val="none"/>
        </w:rPr>
        <w:t>0。（北京时间，法定节假日除外）</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地点：</w:t>
      </w:r>
      <w:r>
        <w:rPr>
          <w:rFonts w:hint="eastAsia"/>
          <w:color w:val="auto"/>
          <w:szCs w:val="21"/>
          <w:highlight w:val="none"/>
        </w:rPr>
        <w:t>政采云平台（https://login.zcygov.cn/user-login/#/login）</w:t>
      </w:r>
    </w:p>
    <w:p>
      <w:pPr>
        <w:widowControl/>
        <w:autoSpaceDE/>
        <w:autoSpaceDN/>
        <w:spacing w:before="75" w:after="75"/>
        <w:ind w:firstLine="420" w:firstLineChars="200"/>
        <w:rPr>
          <w:color w:val="auto"/>
          <w:sz w:val="21"/>
          <w:szCs w:val="21"/>
          <w:highlight w:val="none"/>
          <w:lang w:val="en-US"/>
        </w:rPr>
      </w:pPr>
      <w:r>
        <w:rPr>
          <w:rFonts w:hint="eastAsia"/>
          <w:color w:val="auto"/>
          <w:sz w:val="21"/>
          <w:szCs w:val="21"/>
          <w:highlight w:val="none"/>
        </w:rPr>
        <w:t>方式：</w:t>
      </w:r>
      <w:r>
        <w:rPr>
          <w:rFonts w:hint="eastAsia"/>
          <w:color w:val="auto"/>
          <w:szCs w:val="21"/>
          <w:highlight w:val="none"/>
        </w:rPr>
        <w:t>供应商登陆政采云平台http://www.zcygov.cn/，在线申请获取采购文件</w:t>
      </w:r>
      <w:r>
        <w:rPr>
          <w:rFonts w:hint="eastAsia"/>
          <w:color w:val="auto"/>
          <w:szCs w:val="21"/>
          <w:highlight w:val="none"/>
          <w:lang w:eastAsia="zh-CN"/>
        </w:rPr>
        <w:t>。</w:t>
      </w:r>
      <w:r>
        <w:rPr>
          <w:rFonts w:hint="eastAsia"/>
          <w:color w:val="auto"/>
          <w:szCs w:val="21"/>
          <w:highlight w:val="none"/>
        </w:rPr>
        <w:t>（登录政府采购云平台 → 项目采购 → 获取采购文件 → 申请，审核通过后可下载招标文件，如有操作性问题，可与政采云在线客服进行咨询，咨询电话：400-881-7190）</w:t>
      </w:r>
      <w:r>
        <w:rPr>
          <w:rFonts w:hint="eastAsia"/>
          <w:color w:val="auto"/>
          <w:szCs w:val="21"/>
          <w:highlight w:val="none"/>
          <w:lang w:val="en-US"/>
        </w:rPr>
        <w:t>获取采购文件时，需上传</w:t>
      </w:r>
      <w:r>
        <w:rPr>
          <w:rFonts w:hint="eastAsia"/>
          <w:color w:val="auto"/>
          <w:szCs w:val="21"/>
          <w:highlight w:val="none"/>
        </w:rPr>
        <w:t>《中小企业声明函》（</w:t>
      </w:r>
      <w:r>
        <w:rPr>
          <w:rFonts w:hint="eastAsia"/>
          <w:color w:val="auto"/>
          <w:szCs w:val="21"/>
          <w:highlight w:val="none"/>
          <w:lang w:val="en-US"/>
        </w:rPr>
        <w:t>详见附件，所属行业：</w:t>
      </w:r>
      <w:r>
        <w:rPr>
          <w:rFonts w:hint="eastAsia"/>
          <w:color w:val="auto"/>
          <w:sz w:val="21"/>
          <w:szCs w:val="21"/>
          <w:highlight w:val="none"/>
          <w:lang w:val="en-US" w:bidi="ar"/>
        </w:rPr>
        <w:t>工业（制造业）</w:t>
      </w:r>
      <w:r>
        <w:rPr>
          <w:rFonts w:hint="eastAsia"/>
          <w:color w:val="auto"/>
          <w:szCs w:val="21"/>
          <w:highlight w:val="none"/>
        </w:rPr>
        <w:t>）</w:t>
      </w:r>
      <w:r>
        <w:rPr>
          <w:rFonts w:hint="eastAsia"/>
          <w:color w:val="auto"/>
          <w:szCs w:val="21"/>
          <w:highlight w:val="none"/>
          <w:lang w:val="en-US"/>
        </w:rPr>
        <w:t>或其他视为中小企业或小型、微型企业证明材料</w:t>
      </w:r>
      <w:r>
        <w:rPr>
          <w:rFonts w:hint="eastAsia"/>
          <w:color w:val="auto"/>
          <w:szCs w:val="21"/>
          <w:highlight w:val="none"/>
        </w:rPr>
        <w:t>，</w:t>
      </w:r>
      <w:r>
        <w:rPr>
          <w:rFonts w:hint="eastAsia"/>
          <w:color w:val="auto"/>
          <w:szCs w:val="21"/>
          <w:highlight w:val="none"/>
          <w:lang w:val="en-US"/>
        </w:rPr>
        <w:t>否则审核不通过</w:t>
      </w:r>
      <w:r>
        <w:rPr>
          <w:rFonts w:hint="eastAsia"/>
          <w:color w:val="auto"/>
          <w:szCs w:val="21"/>
          <w:highlight w:val="none"/>
        </w:rPr>
        <w:t>。</w:t>
      </w:r>
    </w:p>
    <w:p>
      <w:pPr>
        <w:widowControl/>
        <w:autoSpaceDE/>
        <w:autoSpaceDN/>
        <w:spacing w:before="75" w:after="75"/>
        <w:ind w:firstLine="420" w:firstLineChars="200"/>
        <w:rPr>
          <w:rFonts w:hint="eastAsia" w:eastAsia="宋体"/>
          <w:color w:val="auto"/>
          <w:sz w:val="21"/>
          <w:szCs w:val="21"/>
          <w:highlight w:val="none"/>
          <w:lang w:val="en-US" w:eastAsia="zh-CN"/>
        </w:rPr>
      </w:pPr>
      <w:r>
        <w:rPr>
          <w:rFonts w:hint="eastAsia"/>
          <w:color w:val="auto"/>
          <w:sz w:val="21"/>
          <w:szCs w:val="21"/>
          <w:highlight w:val="none"/>
        </w:rPr>
        <w:t>售价</w:t>
      </w:r>
      <w:r>
        <w:rPr>
          <w:rFonts w:hint="eastAsia"/>
          <w:color w:val="auto"/>
          <w:sz w:val="21"/>
          <w:szCs w:val="21"/>
          <w:highlight w:val="none"/>
          <w:lang w:val="en-US"/>
        </w:rPr>
        <w:t>：</w:t>
      </w:r>
      <w:r>
        <w:rPr>
          <w:rFonts w:hint="eastAsia"/>
          <w:color w:val="auto"/>
          <w:sz w:val="21"/>
          <w:szCs w:val="21"/>
          <w:highlight w:val="none"/>
          <w:lang w:val="en-US" w:eastAsia="zh-CN"/>
        </w:rPr>
        <w:t>0</w:t>
      </w:r>
    </w:p>
    <w:p>
      <w:pPr>
        <w:widowControl/>
        <w:autoSpaceDE/>
        <w:autoSpaceDN/>
        <w:spacing w:before="75" w:after="75"/>
        <w:rPr>
          <w:b/>
          <w:bCs/>
          <w:color w:val="auto"/>
          <w:sz w:val="21"/>
          <w:szCs w:val="21"/>
          <w:highlight w:val="none"/>
        </w:rPr>
      </w:pPr>
      <w:r>
        <w:rPr>
          <w:rFonts w:hint="eastAsia"/>
          <w:b/>
          <w:bCs/>
          <w:color w:val="auto"/>
          <w:sz w:val="21"/>
          <w:szCs w:val="21"/>
          <w:highlight w:val="none"/>
        </w:rPr>
        <w:t>四、提交投标文件截止时间、开标时间和地点</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提交投标文件截止时间：202</w:t>
      </w:r>
      <w:r>
        <w:rPr>
          <w:rFonts w:hint="eastAsia"/>
          <w:color w:val="auto"/>
          <w:sz w:val="21"/>
          <w:szCs w:val="21"/>
          <w:highlight w:val="none"/>
          <w:lang w:val="en-US"/>
        </w:rPr>
        <w:t>2</w:t>
      </w:r>
      <w:r>
        <w:rPr>
          <w:rFonts w:hint="eastAsia"/>
          <w:color w:val="auto"/>
          <w:sz w:val="21"/>
          <w:szCs w:val="21"/>
          <w:highlight w:val="none"/>
        </w:rPr>
        <w:t>年</w:t>
      </w:r>
      <w:r>
        <w:rPr>
          <w:rFonts w:hint="eastAsia"/>
          <w:color w:val="auto"/>
          <w:sz w:val="21"/>
          <w:szCs w:val="21"/>
          <w:highlight w:val="none"/>
          <w:lang w:val="en-US"/>
        </w:rPr>
        <w:t>11</w:t>
      </w:r>
      <w:r>
        <w:rPr>
          <w:rFonts w:hint="eastAsia"/>
          <w:color w:val="auto"/>
          <w:sz w:val="21"/>
          <w:szCs w:val="21"/>
          <w:highlight w:val="none"/>
        </w:rPr>
        <w:t>月</w:t>
      </w:r>
      <w:r>
        <w:rPr>
          <w:rFonts w:hint="eastAsia"/>
          <w:color w:val="auto"/>
          <w:sz w:val="21"/>
          <w:szCs w:val="21"/>
          <w:highlight w:val="none"/>
          <w:lang w:val="en-US" w:eastAsia="zh-CN"/>
        </w:rPr>
        <w:t>07</w:t>
      </w:r>
      <w:r>
        <w:rPr>
          <w:rFonts w:hint="eastAsia"/>
          <w:color w:val="auto"/>
          <w:sz w:val="21"/>
          <w:szCs w:val="21"/>
          <w:highlight w:val="none"/>
        </w:rPr>
        <w:t xml:space="preserve">日 </w:t>
      </w:r>
      <w:r>
        <w:rPr>
          <w:rFonts w:hint="eastAsia"/>
          <w:color w:val="auto"/>
          <w:sz w:val="21"/>
          <w:szCs w:val="21"/>
          <w:highlight w:val="none"/>
          <w:lang w:val="en-US"/>
        </w:rPr>
        <w:t>11</w:t>
      </w:r>
      <w:r>
        <w:rPr>
          <w:rFonts w:hint="eastAsia"/>
          <w:color w:val="auto"/>
          <w:sz w:val="21"/>
          <w:szCs w:val="21"/>
          <w:highlight w:val="none"/>
        </w:rPr>
        <w:t>点</w:t>
      </w:r>
      <w:r>
        <w:rPr>
          <w:rFonts w:hint="eastAsia"/>
          <w:color w:val="auto"/>
          <w:sz w:val="21"/>
          <w:szCs w:val="21"/>
          <w:highlight w:val="none"/>
          <w:lang w:val="en-US"/>
        </w:rPr>
        <w:t>0</w:t>
      </w:r>
      <w:r>
        <w:rPr>
          <w:rFonts w:hint="eastAsia"/>
          <w:color w:val="auto"/>
          <w:sz w:val="21"/>
          <w:szCs w:val="21"/>
          <w:highlight w:val="none"/>
        </w:rPr>
        <w:t>0分（北京时间）</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投标地点：</w:t>
      </w:r>
      <w:r>
        <w:rPr>
          <w:rFonts w:hint="eastAsia"/>
          <w:color w:val="auto"/>
          <w:szCs w:val="21"/>
          <w:highlight w:val="none"/>
        </w:rPr>
        <w:t>政采云平台</w:t>
      </w:r>
      <w:r>
        <w:rPr>
          <w:rFonts w:hint="eastAsia"/>
          <w:color w:val="auto"/>
          <w:sz w:val="21"/>
          <w:szCs w:val="21"/>
          <w:highlight w:val="none"/>
        </w:rPr>
        <w:t>https://www.zcygov.cn/在线递交</w:t>
      </w:r>
      <w:r>
        <w:rPr>
          <w:rFonts w:hint="eastAsia"/>
          <w:color w:val="auto"/>
          <w:sz w:val="21"/>
          <w:szCs w:val="21"/>
          <w:highlight w:val="none"/>
          <w:lang w:val="en-US"/>
        </w:rPr>
        <w:t>投标</w:t>
      </w:r>
      <w:r>
        <w:rPr>
          <w:rFonts w:hint="eastAsia"/>
          <w:color w:val="auto"/>
          <w:sz w:val="21"/>
          <w:szCs w:val="21"/>
          <w:highlight w:val="none"/>
        </w:rPr>
        <w:t>文件</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开标时间：202</w:t>
      </w:r>
      <w:r>
        <w:rPr>
          <w:rFonts w:hint="eastAsia"/>
          <w:color w:val="auto"/>
          <w:sz w:val="21"/>
          <w:szCs w:val="21"/>
          <w:highlight w:val="none"/>
          <w:lang w:val="en-US"/>
        </w:rPr>
        <w:t>2</w:t>
      </w:r>
      <w:r>
        <w:rPr>
          <w:rFonts w:hint="eastAsia"/>
          <w:color w:val="auto"/>
          <w:sz w:val="21"/>
          <w:szCs w:val="21"/>
          <w:highlight w:val="none"/>
        </w:rPr>
        <w:t>年</w:t>
      </w:r>
      <w:r>
        <w:rPr>
          <w:rFonts w:hint="eastAsia"/>
          <w:color w:val="auto"/>
          <w:sz w:val="21"/>
          <w:szCs w:val="21"/>
          <w:highlight w:val="none"/>
          <w:lang w:val="en-US"/>
        </w:rPr>
        <w:t>11</w:t>
      </w:r>
      <w:r>
        <w:rPr>
          <w:rFonts w:hint="eastAsia"/>
          <w:color w:val="auto"/>
          <w:sz w:val="21"/>
          <w:szCs w:val="21"/>
          <w:highlight w:val="none"/>
        </w:rPr>
        <w:t>月</w:t>
      </w:r>
      <w:r>
        <w:rPr>
          <w:rFonts w:hint="eastAsia"/>
          <w:color w:val="auto"/>
          <w:sz w:val="21"/>
          <w:szCs w:val="21"/>
          <w:highlight w:val="none"/>
          <w:lang w:val="en-US" w:eastAsia="zh-CN"/>
        </w:rPr>
        <w:t>07</w:t>
      </w:r>
      <w:r>
        <w:rPr>
          <w:rFonts w:hint="eastAsia"/>
          <w:color w:val="auto"/>
          <w:sz w:val="21"/>
          <w:szCs w:val="21"/>
          <w:highlight w:val="none"/>
        </w:rPr>
        <w:t xml:space="preserve">日 </w:t>
      </w:r>
      <w:r>
        <w:rPr>
          <w:rFonts w:hint="eastAsia"/>
          <w:color w:val="auto"/>
          <w:sz w:val="21"/>
          <w:szCs w:val="21"/>
          <w:highlight w:val="none"/>
          <w:lang w:val="en-US"/>
        </w:rPr>
        <w:t>11</w:t>
      </w:r>
      <w:r>
        <w:rPr>
          <w:rFonts w:hint="eastAsia"/>
          <w:color w:val="auto"/>
          <w:sz w:val="21"/>
          <w:szCs w:val="21"/>
          <w:highlight w:val="none"/>
        </w:rPr>
        <w:t>点</w:t>
      </w:r>
      <w:r>
        <w:rPr>
          <w:rFonts w:hint="eastAsia"/>
          <w:color w:val="auto"/>
          <w:sz w:val="21"/>
          <w:szCs w:val="21"/>
          <w:highlight w:val="none"/>
          <w:lang w:val="en-US"/>
        </w:rPr>
        <w:t>0</w:t>
      </w:r>
      <w:r>
        <w:rPr>
          <w:rFonts w:hint="eastAsia"/>
          <w:color w:val="auto"/>
          <w:sz w:val="21"/>
          <w:szCs w:val="21"/>
          <w:highlight w:val="none"/>
        </w:rPr>
        <w:t>0分（北京时间）</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lang w:val="en-US"/>
        </w:rPr>
        <w:t>开标</w:t>
      </w:r>
      <w:r>
        <w:rPr>
          <w:rFonts w:hint="eastAsia"/>
          <w:color w:val="auto"/>
          <w:sz w:val="21"/>
          <w:szCs w:val="21"/>
          <w:highlight w:val="none"/>
        </w:rPr>
        <w:t>地点：政采云平台https://www.zcygov.cn/不见面开标大厅远程参加开标活动</w:t>
      </w:r>
    </w:p>
    <w:p>
      <w:pPr>
        <w:widowControl/>
        <w:autoSpaceDE/>
        <w:autoSpaceDN/>
        <w:spacing w:before="75" w:after="75"/>
        <w:rPr>
          <w:b/>
          <w:bCs/>
          <w:color w:val="auto"/>
          <w:sz w:val="21"/>
          <w:szCs w:val="21"/>
          <w:highlight w:val="none"/>
        </w:rPr>
      </w:pPr>
      <w:r>
        <w:rPr>
          <w:rFonts w:hint="eastAsia"/>
          <w:b/>
          <w:bCs/>
          <w:color w:val="auto"/>
          <w:sz w:val="21"/>
          <w:szCs w:val="21"/>
          <w:highlight w:val="none"/>
        </w:rPr>
        <w:t>五、公告期限</w:t>
      </w:r>
    </w:p>
    <w:p>
      <w:pPr>
        <w:widowControl/>
        <w:autoSpaceDE/>
        <w:autoSpaceDN/>
        <w:spacing w:before="75" w:after="75"/>
        <w:ind w:firstLine="420" w:firstLineChars="200"/>
        <w:rPr>
          <w:color w:val="auto"/>
          <w:sz w:val="21"/>
          <w:szCs w:val="21"/>
          <w:highlight w:val="none"/>
        </w:rPr>
      </w:pPr>
      <w:r>
        <w:rPr>
          <w:rFonts w:hint="eastAsia"/>
          <w:color w:val="auto"/>
          <w:sz w:val="21"/>
          <w:szCs w:val="21"/>
          <w:highlight w:val="none"/>
        </w:rPr>
        <w:t>自本公告发布之日起5个工作日。</w:t>
      </w:r>
    </w:p>
    <w:p>
      <w:pPr>
        <w:widowControl/>
        <w:autoSpaceDE/>
        <w:autoSpaceDN/>
        <w:spacing w:before="75" w:after="75"/>
        <w:rPr>
          <w:b/>
          <w:bCs/>
          <w:color w:val="auto"/>
          <w:sz w:val="21"/>
          <w:szCs w:val="21"/>
          <w:highlight w:val="none"/>
        </w:rPr>
      </w:pPr>
      <w:r>
        <w:rPr>
          <w:rFonts w:hint="eastAsia"/>
          <w:b/>
          <w:bCs/>
          <w:color w:val="auto"/>
          <w:sz w:val="21"/>
          <w:szCs w:val="21"/>
          <w:highlight w:val="none"/>
        </w:rPr>
        <w:t>六、其他补充事宜</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1、本项目专门面向中小企业采购，非中型企业或小型、微型企业的将被拒绝。（1）供应商提供的货物应符合《政府采购促进中小企业发展管理办法》(财库〔2020〕46号)第四条规定的情形，且应当提供《政府采购促进中小企业发展管理办法》(财库〔2020〕46号)规定的《中小企业声明函》。（2）供应商为监 狱企业的视同小型和微型企业，可不提供以上第1材料，但应当提供由省级以上监 狱管理局、戒毒管理局(含新疆生产建设兵团)出具的属于监 狱企业的证明文件。（3）供应商为残疾人福利性单位的视同小型和微型企业，可不提供以上第1点材料，但应当提供《残疾人福利性单位声明函》。</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2、本项目实行电子招投标响应，供应商须登录政采云平台申请获取采购文件，并需要使用CA锁，登录政采云电子投标客户端制作投标文件，若供应商参与投标,自行承担与投标有关的一切费用。</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3、各供应商应在开标前确保是新疆维吾尔自治区政府采购网正式注册入库的供应商，并完成CA数字证书申领。因未注册入库、未办理CA数字证书等原因造成无法投标或投标失败等后果的由供应商自行承担。</w:t>
      </w:r>
      <w:bookmarkStart w:id="130" w:name="_GoBack"/>
      <w:bookmarkEnd w:id="130"/>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4、供应商可前往新疆政府采购网（http://www.ccgp-xinjiang.gov.cn/）下载专区，下载政采云电子投标客户端，安装完成后，可通过账号密码或CA登录客户端进行响应文件制作。在使用政采云电子投标客户端时，建议使用WIN7及以上操作系统。若对项目采购电子交易系统操作有疑问，可登录“政采云”平台（https://login.zcygov.cn/），点击右侧咨询小采，获取采小蜜智能服务管家帮助，或拨打政采云服务热线400-881-7190获取热线服务帮助。</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5、供应商在开标时须携带制作加密电子投标文件所使用的CA锁，电脑须提前配置好浏览器（建议使用360浏览器或谷歌浏览器），以便开标时在线解密。</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6、投标供应商应当在投标截止时间前，将生成的“电子加密投标文件”上传递交至“政府采购云平台”，投标截止时间以后上传递交的投标文件将被“政府采购云平台”拒收。</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7、依据《关于印发中小企业划型标准规定的通知》（工信部联企业〔2011〕300 号），本项目采购标的所属行业为：工业（制造业）</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8、若因疫情原因供应商无法完整提供获取文件资料的，需出具情况说明；情况说明无法加盖公司公章、法人章的，均需由本单位法人签字。</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9、其他内容详见采购文件。</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10、监督电话：</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自治区质检院纪委举报电话：0991-3191260/13579955566</w:t>
      </w:r>
    </w:p>
    <w:p>
      <w:pPr>
        <w:widowControl/>
        <w:autoSpaceDE/>
        <w:autoSpaceDN/>
        <w:spacing w:before="75" w:after="75"/>
        <w:ind w:firstLine="420" w:firstLineChars="200"/>
        <w:rPr>
          <w:rFonts w:hint="eastAsia"/>
          <w:color w:val="auto"/>
          <w:sz w:val="21"/>
          <w:szCs w:val="21"/>
          <w:highlight w:val="none"/>
          <w:lang w:val="en-US"/>
        </w:rPr>
      </w:pPr>
      <w:r>
        <w:rPr>
          <w:rFonts w:hint="eastAsia"/>
          <w:color w:val="auto"/>
          <w:sz w:val="21"/>
          <w:szCs w:val="21"/>
          <w:highlight w:val="none"/>
          <w:lang w:val="en-US"/>
        </w:rPr>
        <w:t>驻局纪检组举报电话：0991-2841556</w:t>
      </w:r>
    </w:p>
    <w:p>
      <w:pPr>
        <w:widowControl/>
        <w:autoSpaceDE/>
        <w:autoSpaceDN/>
        <w:spacing w:before="75" w:after="75"/>
        <w:ind w:firstLine="420" w:firstLineChars="200"/>
        <w:rPr>
          <w:rFonts w:ascii="黑体" w:hAnsi="黑体" w:eastAsia="黑体" w:cs="黑体"/>
          <w:color w:val="auto"/>
          <w:sz w:val="21"/>
          <w:szCs w:val="21"/>
          <w:highlight w:val="none"/>
          <w:shd w:val="clear" w:color="auto" w:fill="FFFFFF"/>
        </w:rPr>
      </w:pPr>
      <w:r>
        <w:rPr>
          <w:rFonts w:hint="eastAsia" w:ascii="黑体" w:hAnsi="黑体" w:eastAsia="黑体" w:cs="黑体"/>
          <w:color w:val="auto"/>
          <w:sz w:val="21"/>
          <w:szCs w:val="21"/>
          <w:highlight w:val="none"/>
          <w:shd w:val="clear" w:color="auto" w:fill="FFFFFF"/>
          <w:lang w:val="en-US"/>
        </w:rPr>
        <w:t>特别提示：</w:t>
      </w:r>
    </w:p>
    <w:p>
      <w:pPr>
        <w:widowControl/>
        <w:ind w:firstLine="420" w:firstLineChars="200"/>
        <w:textAlignment w:val="baseline"/>
        <w:rPr>
          <w:rFonts w:ascii="黑体" w:hAnsi="黑体" w:eastAsia="黑体" w:cs="黑体"/>
          <w:color w:val="auto"/>
          <w:sz w:val="21"/>
          <w:szCs w:val="21"/>
          <w:highlight w:val="none"/>
          <w:shd w:val="clear" w:color="auto" w:fill="FFFFFF"/>
        </w:rPr>
      </w:pPr>
      <w:r>
        <w:rPr>
          <w:rFonts w:hint="eastAsia" w:ascii="黑体" w:hAnsi="黑体" w:eastAsia="黑体" w:cs="黑体"/>
          <w:color w:val="auto"/>
          <w:sz w:val="21"/>
          <w:szCs w:val="21"/>
          <w:highlight w:val="none"/>
          <w:shd w:val="clear" w:color="auto" w:fill="FFFFFF"/>
          <w:lang w:val="en-US"/>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widowControl/>
        <w:ind w:firstLine="420" w:firstLineChars="200"/>
        <w:textAlignment w:val="baseline"/>
        <w:rPr>
          <w:rFonts w:ascii="黑体" w:hAnsi="黑体" w:eastAsia="黑体" w:cs="黑体"/>
          <w:color w:val="auto"/>
          <w:sz w:val="21"/>
          <w:szCs w:val="21"/>
          <w:highlight w:val="none"/>
          <w:shd w:val="clear" w:color="auto" w:fill="FFFFFF"/>
        </w:rPr>
      </w:pPr>
      <w:r>
        <w:rPr>
          <w:rFonts w:hint="eastAsia" w:ascii="黑体" w:hAnsi="黑体" w:eastAsia="黑体" w:cs="黑体"/>
          <w:color w:val="auto"/>
          <w:sz w:val="21"/>
          <w:szCs w:val="21"/>
          <w:highlight w:val="none"/>
          <w:shd w:val="clear" w:color="auto" w:fill="FFFFFF"/>
          <w:lang w:val="en-US"/>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widowControl/>
        <w:ind w:firstLine="420" w:firstLineChars="200"/>
        <w:textAlignment w:val="baseline"/>
        <w:rPr>
          <w:rFonts w:ascii="黑体" w:hAnsi="黑体" w:eastAsia="黑体" w:cs="黑体"/>
          <w:color w:val="auto"/>
          <w:highlight w:val="none"/>
        </w:rPr>
      </w:pPr>
      <w:r>
        <w:rPr>
          <w:rFonts w:hint="eastAsia" w:ascii="黑体" w:hAnsi="黑体" w:eastAsia="黑体" w:cs="黑体"/>
          <w:color w:val="auto"/>
          <w:sz w:val="21"/>
          <w:szCs w:val="21"/>
          <w:highlight w:val="none"/>
          <w:shd w:val="clear" w:color="auto" w:fill="FFFFFF"/>
          <w:lang w:val="en-US"/>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r>
        <w:rPr>
          <w:rFonts w:hint="eastAsia" w:ascii="黑体" w:hAnsi="黑体" w:eastAsia="黑体" w:cs="黑体"/>
          <w:color w:val="auto"/>
          <w:sz w:val="24"/>
          <w:szCs w:val="24"/>
          <w:highlight w:val="none"/>
          <w:lang w:val="en-US" w:bidi="ar"/>
        </w:rPr>
        <w:t xml:space="preserve"> </w:t>
      </w:r>
    </w:p>
    <w:p>
      <w:pPr>
        <w:widowControl/>
        <w:autoSpaceDE/>
        <w:autoSpaceDN/>
        <w:spacing w:before="75" w:after="75"/>
        <w:rPr>
          <w:b/>
          <w:bCs/>
          <w:color w:val="auto"/>
          <w:sz w:val="21"/>
          <w:szCs w:val="21"/>
          <w:highlight w:val="none"/>
        </w:rPr>
      </w:pPr>
      <w:r>
        <w:rPr>
          <w:rFonts w:hint="eastAsia"/>
          <w:b/>
          <w:bCs/>
          <w:color w:val="auto"/>
          <w:sz w:val="21"/>
          <w:szCs w:val="21"/>
          <w:highlight w:val="none"/>
        </w:rPr>
        <w:t>七、对本次招标提出询问，请按以下方式联系。</w:t>
      </w:r>
    </w:p>
    <w:p>
      <w:pPr>
        <w:widowControl/>
        <w:spacing w:before="75" w:after="75"/>
        <w:rPr>
          <w:bCs/>
          <w:color w:val="auto"/>
          <w:sz w:val="21"/>
          <w:szCs w:val="21"/>
          <w:highlight w:val="none"/>
        </w:rPr>
      </w:pPr>
      <w:r>
        <w:rPr>
          <w:rFonts w:hint="eastAsia"/>
          <w:bCs/>
          <w:color w:val="auto"/>
          <w:sz w:val="21"/>
          <w:szCs w:val="21"/>
          <w:highlight w:val="none"/>
        </w:rPr>
        <w:t>1.采购人信息</w:t>
      </w:r>
    </w:p>
    <w:p>
      <w:pPr>
        <w:widowControl/>
        <w:spacing w:before="75" w:after="75"/>
        <w:rPr>
          <w:bCs/>
          <w:color w:val="auto"/>
          <w:sz w:val="21"/>
          <w:szCs w:val="21"/>
          <w:highlight w:val="none"/>
        </w:rPr>
      </w:pPr>
      <w:r>
        <w:rPr>
          <w:rFonts w:hint="eastAsia"/>
          <w:bCs/>
          <w:color w:val="auto"/>
          <w:sz w:val="21"/>
          <w:szCs w:val="21"/>
          <w:highlight w:val="none"/>
        </w:rPr>
        <w:t>名 称：新疆维吾尔自治区产品质量监督检验研究院</w:t>
      </w:r>
    </w:p>
    <w:p>
      <w:pPr>
        <w:widowControl/>
        <w:spacing w:before="75" w:after="75"/>
        <w:rPr>
          <w:bCs/>
          <w:color w:val="auto"/>
          <w:sz w:val="21"/>
          <w:szCs w:val="21"/>
          <w:highlight w:val="none"/>
        </w:rPr>
      </w:pPr>
      <w:r>
        <w:rPr>
          <w:rFonts w:hint="eastAsia"/>
          <w:bCs/>
          <w:color w:val="auto"/>
          <w:sz w:val="21"/>
          <w:szCs w:val="21"/>
          <w:highlight w:val="none"/>
        </w:rPr>
        <w:t>地 址：乌鲁木齐市新市区河北东路188号</w:t>
      </w:r>
    </w:p>
    <w:p>
      <w:pPr>
        <w:widowControl/>
        <w:spacing w:before="75" w:after="75"/>
        <w:rPr>
          <w:bCs/>
          <w:color w:val="auto"/>
          <w:sz w:val="21"/>
          <w:szCs w:val="21"/>
          <w:highlight w:val="none"/>
        </w:rPr>
      </w:pPr>
      <w:r>
        <w:rPr>
          <w:rFonts w:hint="eastAsia"/>
          <w:bCs/>
          <w:color w:val="auto"/>
          <w:sz w:val="21"/>
          <w:szCs w:val="21"/>
          <w:highlight w:val="none"/>
        </w:rPr>
        <w:t>联系方式：</w:t>
      </w:r>
      <w:r>
        <w:rPr>
          <w:bCs/>
          <w:color w:val="auto"/>
          <w:sz w:val="21"/>
          <w:szCs w:val="21"/>
          <w:highlight w:val="none"/>
        </w:rPr>
        <w:t>13579888171</w:t>
      </w:r>
    </w:p>
    <w:p>
      <w:pPr>
        <w:widowControl/>
        <w:spacing w:before="75" w:after="75"/>
        <w:rPr>
          <w:bCs/>
          <w:color w:val="auto"/>
          <w:sz w:val="21"/>
          <w:szCs w:val="21"/>
          <w:highlight w:val="none"/>
        </w:rPr>
      </w:pPr>
      <w:r>
        <w:rPr>
          <w:rFonts w:hint="eastAsia"/>
          <w:bCs/>
          <w:color w:val="auto"/>
          <w:sz w:val="21"/>
          <w:szCs w:val="21"/>
          <w:highlight w:val="none"/>
        </w:rPr>
        <w:t>2.采购代理机构信息</w:t>
      </w:r>
    </w:p>
    <w:p>
      <w:pPr>
        <w:widowControl/>
        <w:spacing w:before="75" w:after="75"/>
        <w:rPr>
          <w:bCs/>
          <w:color w:val="auto"/>
          <w:sz w:val="21"/>
          <w:szCs w:val="21"/>
          <w:highlight w:val="none"/>
        </w:rPr>
      </w:pPr>
      <w:r>
        <w:rPr>
          <w:rFonts w:hint="eastAsia"/>
          <w:bCs/>
          <w:color w:val="auto"/>
          <w:sz w:val="21"/>
          <w:szCs w:val="21"/>
          <w:highlight w:val="none"/>
        </w:rPr>
        <w:t>名 称：新疆华恒惠欣工程项目管理有限责任公司</w:t>
      </w:r>
    </w:p>
    <w:p>
      <w:pPr>
        <w:widowControl/>
        <w:spacing w:before="75" w:after="75"/>
        <w:rPr>
          <w:bCs/>
          <w:color w:val="auto"/>
          <w:sz w:val="21"/>
          <w:szCs w:val="21"/>
          <w:highlight w:val="none"/>
        </w:rPr>
      </w:pPr>
      <w:r>
        <w:rPr>
          <w:rFonts w:hint="eastAsia"/>
          <w:bCs/>
          <w:color w:val="auto"/>
          <w:sz w:val="21"/>
          <w:szCs w:val="21"/>
          <w:highlight w:val="none"/>
        </w:rPr>
        <w:t>地 址：乌鲁木齐市经济技术开发区上海路浦东街三号</w:t>
      </w:r>
    </w:p>
    <w:p>
      <w:pPr>
        <w:widowControl/>
        <w:spacing w:before="75" w:after="75"/>
        <w:rPr>
          <w:bCs/>
          <w:color w:val="auto"/>
          <w:sz w:val="21"/>
          <w:szCs w:val="21"/>
          <w:highlight w:val="none"/>
        </w:rPr>
      </w:pPr>
      <w:r>
        <w:rPr>
          <w:rFonts w:hint="eastAsia"/>
          <w:bCs/>
          <w:color w:val="auto"/>
          <w:sz w:val="21"/>
          <w:szCs w:val="21"/>
          <w:highlight w:val="none"/>
        </w:rPr>
        <w:t>联系方式：18130912292</w:t>
      </w:r>
    </w:p>
    <w:p>
      <w:pPr>
        <w:widowControl/>
        <w:spacing w:before="75" w:after="75"/>
        <w:rPr>
          <w:bCs/>
          <w:color w:val="auto"/>
          <w:sz w:val="21"/>
          <w:szCs w:val="21"/>
          <w:highlight w:val="none"/>
        </w:rPr>
      </w:pPr>
      <w:r>
        <w:rPr>
          <w:rFonts w:hint="eastAsia"/>
          <w:bCs/>
          <w:color w:val="auto"/>
          <w:sz w:val="21"/>
          <w:szCs w:val="21"/>
          <w:highlight w:val="none"/>
        </w:rPr>
        <w:t>3.项目联系方式</w:t>
      </w:r>
    </w:p>
    <w:p>
      <w:pPr>
        <w:widowControl/>
        <w:spacing w:before="75" w:after="75"/>
        <w:rPr>
          <w:bCs/>
          <w:color w:val="auto"/>
          <w:sz w:val="21"/>
          <w:szCs w:val="21"/>
          <w:highlight w:val="none"/>
        </w:rPr>
      </w:pPr>
      <w:r>
        <w:rPr>
          <w:rFonts w:hint="eastAsia"/>
          <w:bCs/>
          <w:color w:val="auto"/>
          <w:sz w:val="21"/>
          <w:szCs w:val="21"/>
          <w:highlight w:val="none"/>
        </w:rPr>
        <w:t>项目联系人：冯工</w:t>
      </w:r>
    </w:p>
    <w:p>
      <w:pPr>
        <w:widowControl/>
        <w:spacing w:before="75" w:after="75"/>
        <w:rPr>
          <w:bCs/>
          <w:color w:val="auto"/>
          <w:sz w:val="21"/>
          <w:szCs w:val="21"/>
          <w:highlight w:val="none"/>
        </w:rPr>
      </w:pPr>
      <w:r>
        <w:rPr>
          <w:rFonts w:hint="eastAsia"/>
          <w:bCs/>
          <w:color w:val="auto"/>
          <w:sz w:val="21"/>
          <w:szCs w:val="21"/>
          <w:highlight w:val="none"/>
        </w:rPr>
        <w:t>电 话：18130912292</w:t>
      </w:r>
    </w:p>
    <w:p>
      <w:pPr>
        <w:widowControl/>
        <w:spacing w:before="75" w:after="75"/>
        <w:jc w:val="right"/>
        <w:rPr>
          <w:color w:val="auto"/>
          <w:sz w:val="21"/>
          <w:szCs w:val="21"/>
          <w:highlight w:val="none"/>
        </w:rPr>
      </w:pPr>
      <w:r>
        <w:rPr>
          <w:rFonts w:hint="eastAsia"/>
          <w:color w:val="auto"/>
          <w:sz w:val="21"/>
          <w:szCs w:val="21"/>
          <w:highlight w:val="none"/>
          <w:lang w:val="en-US"/>
        </w:rPr>
        <w:t>新疆华恒惠欣工程项目管理有限责任公司</w:t>
      </w:r>
    </w:p>
    <w:p>
      <w:pPr>
        <w:wordWrap w:val="0"/>
        <w:jc w:val="right"/>
        <w:rPr>
          <w:color w:val="auto"/>
          <w:sz w:val="20"/>
          <w:szCs w:val="20"/>
          <w:highlight w:val="none"/>
          <w:lang w:val="en-US"/>
        </w:rPr>
      </w:pPr>
      <w:r>
        <w:rPr>
          <w:rFonts w:hint="eastAsia"/>
          <w:color w:val="auto"/>
          <w:sz w:val="21"/>
          <w:szCs w:val="21"/>
          <w:highlight w:val="none"/>
          <w:lang w:val="en-US"/>
        </w:rPr>
        <w:t>2022年10月</w:t>
      </w:r>
      <w:r>
        <w:rPr>
          <w:rFonts w:hint="eastAsia"/>
          <w:color w:val="auto"/>
          <w:sz w:val="21"/>
          <w:szCs w:val="21"/>
          <w:highlight w:val="none"/>
          <w:lang w:val="en-US" w:eastAsia="zh-CN"/>
        </w:rPr>
        <w:t>17</w:t>
      </w:r>
      <w:r>
        <w:rPr>
          <w:rFonts w:hint="eastAsia"/>
          <w:color w:val="auto"/>
          <w:sz w:val="21"/>
          <w:szCs w:val="21"/>
          <w:highlight w:val="none"/>
          <w:lang w:val="en-US"/>
        </w:rPr>
        <w:t xml:space="preserve">日           </w:t>
      </w:r>
    </w:p>
    <w:p>
      <w:pPr>
        <w:rPr>
          <w:color w:val="auto"/>
          <w:sz w:val="20"/>
          <w:szCs w:val="20"/>
          <w:highlight w:val="none"/>
        </w:rPr>
      </w:pPr>
      <w:r>
        <w:rPr>
          <w:rFonts w:hint="eastAsia"/>
          <w:color w:val="auto"/>
          <w:sz w:val="20"/>
          <w:szCs w:val="20"/>
          <w:highlight w:val="none"/>
        </w:rPr>
        <w:br w:type="page"/>
      </w:r>
    </w:p>
    <w:p>
      <w:pPr>
        <w:pStyle w:val="5"/>
        <w:tabs>
          <w:tab w:val="left" w:pos="1163"/>
        </w:tabs>
        <w:spacing w:line="240" w:lineRule="auto"/>
        <w:ind w:right="125"/>
        <w:outlineLvl w:val="0"/>
        <w:rPr>
          <w:rFonts w:ascii="宋体" w:hAnsi="宋体" w:eastAsia="宋体" w:cs="宋体"/>
          <w:b/>
          <w:bCs/>
          <w:color w:val="auto"/>
          <w:sz w:val="32"/>
          <w:szCs w:val="32"/>
          <w:highlight w:val="none"/>
        </w:rPr>
      </w:pPr>
      <w:bookmarkStart w:id="2" w:name="_Toc30131"/>
      <w:r>
        <w:rPr>
          <w:rFonts w:hint="eastAsia" w:ascii="宋体" w:hAnsi="宋体" w:eastAsia="宋体" w:cs="宋体"/>
          <w:b/>
          <w:bCs/>
          <w:color w:val="auto"/>
          <w:sz w:val="32"/>
          <w:szCs w:val="32"/>
          <w:highlight w:val="none"/>
        </w:rPr>
        <w:t>第二章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投标人须知前附表和投标人须知</w:t>
      </w:r>
      <w:bookmarkEnd w:id="2"/>
    </w:p>
    <w:p>
      <w:pPr>
        <w:pStyle w:val="6"/>
        <w:keepNext w:val="0"/>
        <w:keepLines w:val="0"/>
        <w:pageBreakBefore w:val="0"/>
        <w:widowControl w:val="0"/>
        <w:kinsoku/>
        <w:wordWrap/>
        <w:overflowPunct/>
        <w:topLinePunct w:val="0"/>
        <w:autoSpaceDE w:val="0"/>
        <w:autoSpaceDN w:val="0"/>
        <w:bidi w:val="0"/>
        <w:adjustRightInd/>
        <w:snapToGrid/>
        <w:spacing w:before="0"/>
        <w:ind w:right="0"/>
        <w:textAlignment w:val="auto"/>
        <w:rPr>
          <w:rFonts w:ascii="宋体" w:hAnsi="宋体" w:eastAsia="宋体" w:cs="宋体"/>
          <w:color w:val="auto"/>
          <w:sz w:val="28"/>
          <w:szCs w:val="28"/>
          <w:highlight w:val="none"/>
        </w:rPr>
      </w:pPr>
      <w:bookmarkStart w:id="3" w:name="_Toc10587"/>
      <w:r>
        <w:rPr>
          <w:rFonts w:hint="eastAsia" w:ascii="宋体" w:hAnsi="宋体" w:eastAsia="宋体" w:cs="宋体"/>
          <w:color w:val="auto"/>
          <w:sz w:val="28"/>
          <w:szCs w:val="28"/>
          <w:highlight w:val="none"/>
        </w:rPr>
        <w:t>投标人须知前附表</w:t>
      </w:r>
      <w:bookmarkEnd w:id="3"/>
    </w:p>
    <w:p>
      <w:pPr>
        <w:pStyle w:val="14"/>
        <w:spacing w:before="215" w:line="302" w:lineRule="auto"/>
        <w:ind w:left="228" w:right="341" w:firstLine="480"/>
        <w:rPr>
          <w:color w:val="auto"/>
          <w:sz w:val="21"/>
          <w:szCs w:val="21"/>
          <w:highlight w:val="none"/>
        </w:rPr>
      </w:pPr>
      <w:r>
        <w:rPr>
          <w:rFonts w:hint="eastAsia"/>
          <w:color w:val="auto"/>
          <w:sz w:val="21"/>
          <w:szCs w:val="21"/>
          <w:highlight w:val="none"/>
        </w:rPr>
        <w:t>投标人须知前附表是对投标人须知的具体说明、补充和修改，表格中的“对应条款号” 是对应投标人须知中的条款编号，如与投标人须知有矛盾，应以本表为准。</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885"/>
        <w:gridCol w:w="7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b/>
                <w:color w:val="auto"/>
                <w:sz w:val="21"/>
                <w:szCs w:val="21"/>
                <w:highlight w:val="none"/>
                <w:lang w:val="en-US" w:bidi="ar"/>
              </w:rPr>
              <w:t>序号及内容</w:t>
            </w:r>
          </w:p>
        </w:tc>
        <w:tc>
          <w:tcPr>
            <w:tcW w:w="885" w:type="dxa"/>
            <w:vAlign w:val="center"/>
          </w:tcPr>
          <w:p>
            <w:pPr>
              <w:widowControl/>
              <w:jc w:val="center"/>
              <w:rPr>
                <w:color w:val="auto"/>
                <w:sz w:val="21"/>
                <w:szCs w:val="21"/>
                <w:highlight w:val="none"/>
              </w:rPr>
            </w:pPr>
            <w:r>
              <w:rPr>
                <w:rFonts w:hint="eastAsia"/>
                <w:b/>
                <w:color w:val="auto"/>
                <w:sz w:val="21"/>
                <w:szCs w:val="21"/>
                <w:highlight w:val="none"/>
                <w:lang w:val="en-US" w:bidi="ar"/>
              </w:rPr>
              <w:t>对应条款号</w:t>
            </w:r>
          </w:p>
        </w:tc>
        <w:tc>
          <w:tcPr>
            <w:tcW w:w="7623" w:type="dxa"/>
            <w:vAlign w:val="center"/>
          </w:tcPr>
          <w:p>
            <w:pPr>
              <w:widowControl/>
              <w:jc w:val="center"/>
              <w:rPr>
                <w:color w:val="auto"/>
                <w:sz w:val="21"/>
                <w:szCs w:val="21"/>
                <w:highlight w:val="none"/>
              </w:rPr>
            </w:pPr>
            <w:r>
              <w:rPr>
                <w:rFonts w:hint="eastAsia"/>
                <w:b/>
                <w:color w:val="auto"/>
                <w:sz w:val="21"/>
                <w:szCs w:val="21"/>
                <w:highlight w:val="none"/>
                <w:lang w:val="en-US" w:bidi="ar"/>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color w:val="auto"/>
                <w:sz w:val="21"/>
                <w:szCs w:val="21"/>
                <w:highlight w:val="none"/>
                <w:lang w:val="en-US" w:bidi="ar"/>
              </w:rPr>
              <w:t>一、说明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1.项目概述</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1.1</w:t>
            </w:r>
          </w:p>
        </w:tc>
        <w:tc>
          <w:tcPr>
            <w:tcW w:w="7623" w:type="dxa"/>
            <w:vAlign w:val="center"/>
          </w:tcPr>
          <w:p>
            <w:pPr>
              <w:widowControl/>
              <w:jc w:val="both"/>
              <w:rPr>
                <w:color w:val="auto"/>
                <w:sz w:val="21"/>
                <w:szCs w:val="21"/>
                <w:highlight w:val="none"/>
                <w:lang w:val="en-US"/>
              </w:rPr>
            </w:pPr>
            <w:r>
              <w:rPr>
                <w:rFonts w:hint="eastAsia"/>
                <w:color w:val="auto"/>
                <w:sz w:val="21"/>
                <w:szCs w:val="21"/>
                <w:highlight w:val="none"/>
                <w:lang w:val="en-US"/>
              </w:rPr>
              <w:t>1、项目名称：</w:t>
            </w:r>
            <w:r>
              <w:rPr>
                <w:rFonts w:hint="eastAsia"/>
                <w:color w:val="auto"/>
                <w:sz w:val="21"/>
                <w:szCs w:val="21"/>
                <w:highlight w:val="none"/>
              </w:rPr>
              <w:t>自治区质检院第三批检测设备能力提升采购项目（国产部分）</w:t>
            </w:r>
          </w:p>
          <w:p>
            <w:pPr>
              <w:widowControl/>
              <w:jc w:val="both"/>
              <w:rPr>
                <w:color w:val="auto"/>
                <w:sz w:val="21"/>
                <w:szCs w:val="21"/>
                <w:highlight w:val="none"/>
                <w:lang w:val="en-US"/>
              </w:rPr>
            </w:pPr>
            <w:r>
              <w:rPr>
                <w:rFonts w:hint="eastAsia"/>
                <w:color w:val="auto"/>
                <w:sz w:val="21"/>
                <w:szCs w:val="21"/>
                <w:highlight w:val="none"/>
                <w:lang w:val="en-US"/>
              </w:rPr>
              <w:t>2、项目编号：</w:t>
            </w:r>
            <w:r>
              <w:rPr>
                <w:rFonts w:hint="eastAsia"/>
                <w:color w:val="auto"/>
                <w:sz w:val="21"/>
                <w:szCs w:val="21"/>
                <w:highlight w:val="none"/>
              </w:rPr>
              <w:t>Hhhx-2220-Zjy002</w:t>
            </w:r>
          </w:p>
          <w:p>
            <w:pPr>
              <w:widowControl/>
              <w:jc w:val="both"/>
              <w:rPr>
                <w:color w:val="auto"/>
                <w:sz w:val="21"/>
                <w:szCs w:val="21"/>
                <w:highlight w:val="none"/>
                <w:lang w:val="en-US"/>
              </w:rPr>
            </w:pPr>
            <w:r>
              <w:rPr>
                <w:rFonts w:hint="eastAsia"/>
                <w:color w:val="auto"/>
                <w:sz w:val="21"/>
                <w:szCs w:val="21"/>
                <w:highlight w:val="none"/>
                <w:lang w:val="en-US"/>
              </w:rPr>
              <w:t>3、招标范围：本次</w:t>
            </w:r>
            <w:r>
              <w:rPr>
                <w:rFonts w:hint="eastAsia"/>
                <w:color w:val="auto"/>
                <w:sz w:val="21"/>
                <w:szCs w:val="21"/>
                <w:highlight w:val="none"/>
              </w:rPr>
              <w:t>自治区质检院第三批检测设备能力提升采购项目（国产部分）</w:t>
            </w:r>
            <w:r>
              <w:rPr>
                <w:rFonts w:hint="eastAsia"/>
                <w:color w:val="auto"/>
                <w:sz w:val="21"/>
                <w:szCs w:val="21"/>
                <w:highlight w:val="none"/>
                <w:lang w:val="en-US"/>
              </w:rPr>
              <w:t>，共3个</w:t>
            </w:r>
            <w:r>
              <w:rPr>
                <w:rFonts w:hint="eastAsia"/>
                <w:color w:val="auto"/>
                <w:sz w:val="21"/>
                <w:szCs w:val="21"/>
                <w:highlight w:val="none"/>
                <w:lang w:val="en-US" w:eastAsia="zh-CN"/>
              </w:rPr>
              <w:t>标项</w:t>
            </w:r>
            <w:r>
              <w:rPr>
                <w:rFonts w:hint="eastAsia"/>
                <w:color w:val="auto"/>
                <w:sz w:val="21"/>
                <w:szCs w:val="21"/>
                <w:highlight w:val="none"/>
                <w:lang w:val="en-US"/>
              </w:rPr>
              <w:t>，具体详见采购清单：</w:t>
            </w:r>
          </w:p>
          <w:p>
            <w:pPr>
              <w:widowControl/>
              <w:jc w:val="both"/>
              <w:rPr>
                <w:color w:val="auto"/>
                <w:sz w:val="21"/>
                <w:szCs w:val="21"/>
                <w:highlight w:val="none"/>
              </w:rPr>
            </w:pPr>
            <w:r>
              <w:rPr>
                <w:rFonts w:hint="eastAsia"/>
                <w:color w:val="auto"/>
                <w:sz w:val="21"/>
                <w:szCs w:val="21"/>
                <w:highlight w:val="none"/>
                <w:lang w:val="en-US"/>
              </w:rPr>
              <w:t>标项1：</w:t>
            </w:r>
            <w:r>
              <w:rPr>
                <w:rFonts w:hint="eastAsia"/>
                <w:color w:val="auto"/>
                <w:sz w:val="21"/>
                <w:szCs w:val="21"/>
                <w:highlight w:val="none"/>
              </w:rPr>
              <w:t>用途：300kV周向X射线机、300kV定向X射线机、250kV定向X射线机、250kV定向X射线机、数字式超声波探伤仪（为核心产品）、磁粉探伤机；</w:t>
            </w:r>
          </w:p>
          <w:p>
            <w:pPr>
              <w:pStyle w:val="2"/>
              <w:ind w:firstLine="0" w:firstLineChars="0"/>
              <w:jc w:val="both"/>
              <w:rPr>
                <w:color w:val="auto"/>
                <w:sz w:val="21"/>
                <w:szCs w:val="21"/>
                <w:highlight w:val="none"/>
                <w:lang w:val="en-US"/>
              </w:rPr>
            </w:pPr>
            <w:r>
              <w:rPr>
                <w:rFonts w:hint="eastAsia"/>
                <w:color w:val="auto"/>
                <w:sz w:val="21"/>
                <w:szCs w:val="21"/>
                <w:highlight w:val="none"/>
                <w:lang w:val="en-US"/>
              </w:rPr>
              <w:t>标项2：</w:t>
            </w:r>
            <w:r>
              <w:rPr>
                <w:rFonts w:hint="eastAsia"/>
                <w:color w:val="auto"/>
                <w:sz w:val="21"/>
                <w:szCs w:val="21"/>
                <w:highlight w:val="none"/>
              </w:rPr>
              <w:t>大流量高压力供水系统（为核心产品）、室内栓压力损失及减压、稳压试验装置、软管卷盘射程试验装置、消防水枪喷射性能试验装置、成套卡具堵头、数显薄膜测厚仪、精密直径围尺、数显压力表；</w:t>
            </w:r>
          </w:p>
          <w:p>
            <w:pPr>
              <w:pStyle w:val="2"/>
              <w:ind w:firstLine="0" w:firstLineChars="0"/>
              <w:jc w:val="both"/>
              <w:rPr>
                <w:color w:val="auto"/>
                <w:sz w:val="21"/>
                <w:szCs w:val="21"/>
                <w:highlight w:val="none"/>
                <w:lang w:val="en-US"/>
              </w:rPr>
            </w:pPr>
            <w:r>
              <w:rPr>
                <w:rFonts w:hint="eastAsia"/>
                <w:color w:val="auto"/>
                <w:sz w:val="21"/>
                <w:szCs w:val="21"/>
                <w:highlight w:val="none"/>
                <w:lang w:val="en-US"/>
              </w:rPr>
              <w:t>标项3：</w:t>
            </w:r>
            <w:r>
              <w:rPr>
                <w:rFonts w:hint="eastAsia"/>
                <w:color w:val="auto"/>
                <w:sz w:val="21"/>
                <w:szCs w:val="21"/>
                <w:highlight w:val="none"/>
              </w:rPr>
              <w:t>单根绝缘电线电缆垂直燃烧试验装置、数显深度计、恒温水浴锅、恒温恒压供水系统（为核心产品）；</w:t>
            </w:r>
          </w:p>
          <w:p>
            <w:pPr>
              <w:widowControl/>
              <w:jc w:val="both"/>
              <w:rPr>
                <w:color w:val="auto"/>
                <w:sz w:val="21"/>
                <w:szCs w:val="21"/>
                <w:highlight w:val="none"/>
                <w:lang w:val="en-US"/>
              </w:rPr>
            </w:pPr>
            <w:r>
              <w:rPr>
                <w:rFonts w:hint="eastAsia"/>
                <w:color w:val="auto"/>
                <w:sz w:val="21"/>
                <w:szCs w:val="21"/>
                <w:highlight w:val="none"/>
                <w:lang w:val="en-US"/>
              </w:rPr>
              <w:t>4、项目地点：采购人指定地点</w:t>
            </w:r>
          </w:p>
          <w:p>
            <w:pPr>
              <w:widowControl/>
              <w:jc w:val="both"/>
              <w:rPr>
                <w:color w:val="auto"/>
                <w:sz w:val="21"/>
                <w:szCs w:val="21"/>
                <w:highlight w:val="none"/>
                <w:lang w:val="en-US"/>
              </w:rPr>
            </w:pPr>
            <w:r>
              <w:rPr>
                <w:rFonts w:hint="eastAsia"/>
                <w:color w:val="auto"/>
                <w:sz w:val="21"/>
                <w:szCs w:val="21"/>
                <w:highlight w:val="none"/>
                <w:lang w:val="en-US"/>
              </w:rPr>
              <w:t>5、招标方式：公开招标</w:t>
            </w:r>
          </w:p>
          <w:p>
            <w:pPr>
              <w:widowControl/>
              <w:jc w:val="both"/>
              <w:rPr>
                <w:color w:val="auto"/>
                <w:sz w:val="21"/>
                <w:szCs w:val="21"/>
                <w:highlight w:val="none"/>
                <w:lang w:val="en-US"/>
              </w:rPr>
            </w:pPr>
            <w:r>
              <w:rPr>
                <w:rFonts w:hint="eastAsia"/>
                <w:color w:val="auto"/>
                <w:sz w:val="21"/>
                <w:szCs w:val="21"/>
                <w:highlight w:val="none"/>
                <w:lang w:val="en-US"/>
              </w:rPr>
              <w:t>6、交货期：</w:t>
            </w:r>
            <w:r>
              <w:rPr>
                <w:rFonts w:hint="eastAsia"/>
                <w:color w:val="auto"/>
                <w:sz w:val="21"/>
                <w:szCs w:val="21"/>
                <w:highlight w:val="none"/>
                <w:lang w:val="en-US" w:bidi="ar"/>
              </w:rPr>
              <w:t>合同签订后30个日历日</w:t>
            </w:r>
            <w:r>
              <w:rPr>
                <w:rFonts w:hint="eastAsia"/>
                <w:color w:val="auto"/>
                <w:sz w:val="21"/>
                <w:szCs w:val="21"/>
                <w:highlight w:val="none"/>
                <w:lang w:val="en-US"/>
              </w:rPr>
              <w:t>。</w:t>
            </w:r>
          </w:p>
          <w:p>
            <w:pPr>
              <w:widowControl/>
              <w:jc w:val="both"/>
              <w:rPr>
                <w:color w:val="auto"/>
                <w:sz w:val="21"/>
                <w:szCs w:val="21"/>
                <w:highlight w:val="none"/>
                <w:lang w:val="en-US"/>
              </w:rPr>
            </w:pPr>
            <w:r>
              <w:rPr>
                <w:rFonts w:hint="eastAsia"/>
                <w:color w:val="auto"/>
                <w:sz w:val="21"/>
                <w:szCs w:val="21"/>
                <w:highlight w:val="none"/>
                <w:lang w:val="en-US"/>
              </w:rPr>
              <w:t>7、</w:t>
            </w:r>
            <w:r>
              <w:rPr>
                <w:rFonts w:hint="eastAsia"/>
                <w:color w:val="auto"/>
                <w:sz w:val="21"/>
                <w:szCs w:val="21"/>
                <w:highlight w:val="none"/>
              </w:rPr>
              <w:t>资金来源及比例：自筹资金。</w:t>
            </w:r>
          </w:p>
          <w:p>
            <w:pPr>
              <w:widowControl/>
              <w:jc w:val="both"/>
              <w:rPr>
                <w:color w:val="auto"/>
                <w:sz w:val="21"/>
                <w:szCs w:val="21"/>
                <w:highlight w:val="none"/>
                <w:lang w:val="en-US"/>
              </w:rPr>
            </w:pPr>
            <w:r>
              <w:rPr>
                <w:rFonts w:hint="eastAsia"/>
                <w:color w:val="auto"/>
                <w:sz w:val="21"/>
                <w:szCs w:val="21"/>
                <w:highlight w:val="none"/>
                <w:lang w:val="en-US"/>
              </w:rPr>
              <w:t>8、资金落实情况：已落实</w:t>
            </w:r>
          </w:p>
          <w:p>
            <w:pPr>
              <w:widowControl/>
              <w:jc w:val="both"/>
              <w:rPr>
                <w:color w:val="auto"/>
                <w:highlight w:val="none"/>
                <w:lang w:val="en-US"/>
              </w:rPr>
            </w:pPr>
            <w:r>
              <w:rPr>
                <w:rFonts w:hint="eastAsia"/>
                <w:color w:val="auto"/>
                <w:highlight w:val="none"/>
                <w:lang w:val="en-US"/>
              </w:rPr>
              <w:t>9、采购人</w:t>
            </w:r>
          </w:p>
          <w:p>
            <w:pPr>
              <w:widowControl/>
              <w:jc w:val="both"/>
              <w:rPr>
                <w:color w:val="auto"/>
                <w:highlight w:val="none"/>
                <w:lang w:val="en-US"/>
              </w:rPr>
            </w:pPr>
            <w:r>
              <w:rPr>
                <w:rFonts w:hint="eastAsia"/>
                <w:color w:val="auto"/>
                <w:highlight w:val="none"/>
                <w:lang w:val="en-US"/>
              </w:rPr>
              <w:t>名称：新疆维吾尔自治区产品质量监督检验研究院</w:t>
            </w:r>
          </w:p>
          <w:p>
            <w:pPr>
              <w:widowControl/>
              <w:jc w:val="both"/>
              <w:rPr>
                <w:color w:val="auto"/>
                <w:highlight w:val="none"/>
                <w:lang w:val="en-US"/>
              </w:rPr>
            </w:pPr>
            <w:r>
              <w:rPr>
                <w:rFonts w:hint="eastAsia"/>
                <w:color w:val="auto"/>
                <w:highlight w:val="none"/>
                <w:lang w:val="en-US"/>
              </w:rPr>
              <w:t>地址：乌鲁木齐市新市区河北东路188号</w:t>
            </w:r>
          </w:p>
          <w:p>
            <w:pPr>
              <w:widowControl/>
              <w:jc w:val="both"/>
              <w:rPr>
                <w:color w:val="auto"/>
                <w:highlight w:val="none"/>
                <w:lang w:val="en-US"/>
              </w:rPr>
            </w:pPr>
            <w:r>
              <w:rPr>
                <w:rFonts w:hint="eastAsia"/>
                <w:color w:val="auto"/>
                <w:highlight w:val="none"/>
                <w:lang w:val="en-US"/>
              </w:rPr>
              <w:t>联系人：</w:t>
            </w:r>
            <w:r>
              <w:rPr>
                <w:rFonts w:hint="eastAsia"/>
                <w:color w:val="auto"/>
                <w:highlight w:val="none"/>
                <w:lang w:val="en-US" w:eastAsia="zh-CN"/>
              </w:rPr>
              <w:t>刘</w:t>
            </w:r>
            <w:r>
              <w:rPr>
                <w:rFonts w:hint="eastAsia"/>
                <w:color w:val="auto"/>
                <w:highlight w:val="none"/>
                <w:lang w:val="en-US"/>
              </w:rPr>
              <w:t>老师</w:t>
            </w:r>
          </w:p>
          <w:p>
            <w:pPr>
              <w:widowControl/>
              <w:jc w:val="both"/>
              <w:rPr>
                <w:color w:val="auto"/>
                <w:highlight w:val="none"/>
                <w:lang w:val="en-US"/>
              </w:rPr>
            </w:pPr>
            <w:r>
              <w:rPr>
                <w:rFonts w:hint="eastAsia"/>
                <w:color w:val="auto"/>
                <w:highlight w:val="none"/>
                <w:lang w:val="en-US"/>
              </w:rPr>
              <w:t>电话：</w:t>
            </w:r>
            <w:r>
              <w:rPr>
                <w:bCs/>
                <w:color w:val="auto"/>
                <w:sz w:val="21"/>
                <w:szCs w:val="21"/>
                <w:highlight w:val="none"/>
              </w:rPr>
              <w:t>13579888171</w:t>
            </w:r>
          </w:p>
          <w:p>
            <w:pPr>
              <w:widowControl/>
              <w:jc w:val="both"/>
              <w:rPr>
                <w:color w:val="auto"/>
                <w:highlight w:val="none"/>
                <w:lang w:val="en-US"/>
              </w:rPr>
            </w:pPr>
            <w:r>
              <w:rPr>
                <w:rFonts w:hint="eastAsia"/>
                <w:color w:val="auto"/>
                <w:highlight w:val="none"/>
                <w:lang w:val="en-US"/>
              </w:rPr>
              <w:t>10、采购代理机构</w:t>
            </w:r>
          </w:p>
          <w:p>
            <w:pPr>
              <w:widowControl/>
              <w:jc w:val="both"/>
              <w:rPr>
                <w:color w:val="auto"/>
                <w:highlight w:val="none"/>
                <w:lang w:val="en-US"/>
              </w:rPr>
            </w:pPr>
            <w:r>
              <w:rPr>
                <w:rFonts w:hint="eastAsia"/>
                <w:color w:val="auto"/>
                <w:highlight w:val="none"/>
                <w:lang w:val="en-US"/>
              </w:rPr>
              <w:t>名称：新疆华恒惠欣工程项目管理有限责任公司</w:t>
            </w:r>
          </w:p>
          <w:p>
            <w:pPr>
              <w:widowControl/>
              <w:jc w:val="both"/>
              <w:rPr>
                <w:color w:val="auto"/>
                <w:highlight w:val="none"/>
                <w:lang w:val="en-US"/>
              </w:rPr>
            </w:pPr>
            <w:r>
              <w:rPr>
                <w:rFonts w:hint="eastAsia"/>
                <w:color w:val="auto"/>
                <w:highlight w:val="none"/>
                <w:lang w:val="en-US"/>
              </w:rPr>
              <w:t>地址：乌鲁木齐市经济技术开发区上海路浦东街三号</w:t>
            </w:r>
          </w:p>
          <w:p>
            <w:pPr>
              <w:widowControl/>
              <w:jc w:val="both"/>
              <w:rPr>
                <w:color w:val="auto"/>
                <w:highlight w:val="none"/>
                <w:lang w:val="en-US"/>
              </w:rPr>
            </w:pPr>
            <w:r>
              <w:rPr>
                <w:rFonts w:hint="eastAsia"/>
                <w:color w:val="auto"/>
                <w:highlight w:val="none"/>
                <w:lang w:val="en-US"/>
              </w:rPr>
              <w:t>联系人：冯工</w:t>
            </w:r>
          </w:p>
          <w:p>
            <w:pPr>
              <w:widowControl/>
              <w:jc w:val="both"/>
              <w:rPr>
                <w:color w:val="auto"/>
                <w:highlight w:val="none"/>
                <w:lang w:val="en-US"/>
              </w:rPr>
            </w:pPr>
            <w:r>
              <w:rPr>
                <w:rFonts w:hint="eastAsia"/>
                <w:color w:val="auto"/>
                <w:highlight w:val="none"/>
                <w:lang w:val="en-US"/>
              </w:rPr>
              <w:t>电话：18016893069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2.采购项目的属性</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1.2</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货物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3.采购标的对应的中小企业划分标准所属行业</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1.3</w:t>
            </w:r>
          </w:p>
        </w:tc>
        <w:tc>
          <w:tcPr>
            <w:tcW w:w="7623" w:type="dxa"/>
            <w:vAlign w:val="center"/>
          </w:tcPr>
          <w:p>
            <w:pPr>
              <w:jc w:val="both"/>
              <w:rPr>
                <w:color w:val="auto"/>
                <w:sz w:val="21"/>
                <w:szCs w:val="21"/>
                <w:highlight w:val="none"/>
              </w:rPr>
            </w:pPr>
            <w:r>
              <w:rPr>
                <w:rFonts w:hint="eastAsia"/>
                <w:bCs/>
                <w:color w:val="auto"/>
                <w:sz w:val="21"/>
                <w:szCs w:val="21"/>
                <w:highlight w:val="none"/>
                <w:lang w:val="en-US"/>
              </w:rPr>
              <w:t>依据《关于印发中小企业划型标准规定的通知》（工信部联企业〔2011〕300 号），本项目采购标的所属行业为：</w:t>
            </w:r>
            <w:r>
              <w:rPr>
                <w:rFonts w:hint="eastAsia"/>
                <w:color w:val="auto"/>
                <w:sz w:val="21"/>
                <w:szCs w:val="21"/>
                <w:highlight w:val="none"/>
                <w:lang w:val="en-US" w:bidi="ar"/>
              </w:rPr>
              <w:t>工业（制造业）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4.投标人资格要求</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3.2</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 xml:space="preserve">1、满足《中华人民共和国政府采购法》第二十二条的规定，包括： </w:t>
            </w:r>
          </w:p>
          <w:p>
            <w:pPr>
              <w:widowControl/>
              <w:jc w:val="both"/>
              <w:rPr>
                <w:color w:val="auto"/>
                <w:sz w:val="21"/>
                <w:szCs w:val="21"/>
                <w:highlight w:val="none"/>
              </w:rPr>
            </w:pPr>
            <w:r>
              <w:rPr>
                <w:rFonts w:hint="eastAsia"/>
                <w:color w:val="auto"/>
                <w:sz w:val="21"/>
                <w:szCs w:val="21"/>
                <w:highlight w:val="none"/>
                <w:lang w:val="en-US" w:bidi="ar"/>
              </w:rPr>
              <w:t xml:space="preserve">（1）具有独立承担民事责任的能力； </w:t>
            </w:r>
          </w:p>
          <w:p>
            <w:pPr>
              <w:widowControl/>
              <w:jc w:val="both"/>
              <w:rPr>
                <w:color w:val="auto"/>
                <w:sz w:val="21"/>
                <w:szCs w:val="21"/>
                <w:highlight w:val="none"/>
              </w:rPr>
            </w:pPr>
            <w:r>
              <w:rPr>
                <w:rFonts w:hint="eastAsia"/>
                <w:color w:val="auto"/>
                <w:sz w:val="21"/>
                <w:szCs w:val="21"/>
                <w:highlight w:val="none"/>
                <w:lang w:val="en-US" w:bidi="ar"/>
              </w:rPr>
              <w:t xml:space="preserve">（2）具有良好的商业信誉和健全的财务会计制度； </w:t>
            </w:r>
          </w:p>
          <w:p>
            <w:pPr>
              <w:widowControl/>
              <w:jc w:val="both"/>
              <w:rPr>
                <w:color w:val="auto"/>
                <w:sz w:val="21"/>
                <w:szCs w:val="21"/>
                <w:highlight w:val="none"/>
              </w:rPr>
            </w:pPr>
            <w:r>
              <w:rPr>
                <w:rFonts w:hint="eastAsia"/>
                <w:color w:val="auto"/>
                <w:sz w:val="21"/>
                <w:szCs w:val="21"/>
                <w:highlight w:val="none"/>
                <w:lang w:val="en-US" w:bidi="ar"/>
              </w:rPr>
              <w:t xml:space="preserve">（3）具有履行合同所必需的设备和专业技术能力； </w:t>
            </w:r>
          </w:p>
          <w:p>
            <w:pPr>
              <w:widowControl/>
              <w:jc w:val="both"/>
              <w:rPr>
                <w:color w:val="auto"/>
                <w:sz w:val="21"/>
                <w:szCs w:val="21"/>
                <w:highlight w:val="none"/>
              </w:rPr>
            </w:pPr>
            <w:r>
              <w:rPr>
                <w:rFonts w:hint="eastAsia"/>
                <w:color w:val="auto"/>
                <w:sz w:val="21"/>
                <w:szCs w:val="21"/>
                <w:highlight w:val="none"/>
                <w:lang w:val="en-US" w:bidi="ar"/>
              </w:rPr>
              <w:t xml:space="preserve">（4）有依法缴纳税收和社会保障资金的良好记录； </w:t>
            </w:r>
          </w:p>
          <w:p>
            <w:pPr>
              <w:widowControl/>
              <w:jc w:val="both"/>
              <w:rPr>
                <w:color w:val="auto"/>
                <w:sz w:val="21"/>
                <w:szCs w:val="21"/>
                <w:highlight w:val="none"/>
              </w:rPr>
            </w:pPr>
            <w:r>
              <w:rPr>
                <w:rFonts w:hint="eastAsia"/>
                <w:color w:val="auto"/>
                <w:sz w:val="21"/>
                <w:szCs w:val="21"/>
                <w:highlight w:val="none"/>
                <w:lang w:val="en-US" w:bidi="ar"/>
              </w:rPr>
              <w:t xml:space="preserve">（5）参加此采购活动前三年内，在经营活动中没有重大违法记录； </w:t>
            </w:r>
          </w:p>
          <w:p>
            <w:pPr>
              <w:widowControl/>
              <w:jc w:val="both"/>
              <w:rPr>
                <w:color w:val="auto"/>
                <w:sz w:val="21"/>
                <w:szCs w:val="21"/>
                <w:highlight w:val="none"/>
              </w:rPr>
            </w:pPr>
            <w:r>
              <w:rPr>
                <w:rFonts w:hint="eastAsia"/>
                <w:color w:val="auto"/>
                <w:sz w:val="21"/>
                <w:szCs w:val="21"/>
                <w:highlight w:val="none"/>
                <w:lang w:val="en-US" w:bidi="ar"/>
              </w:rPr>
              <w:t xml:space="preserve">（6）法律、行政法规规定的其他条件。 </w:t>
            </w:r>
          </w:p>
          <w:p>
            <w:pPr>
              <w:widowControl/>
              <w:jc w:val="both"/>
              <w:rPr>
                <w:color w:val="auto"/>
                <w:sz w:val="21"/>
                <w:szCs w:val="21"/>
                <w:highlight w:val="none"/>
                <w:lang w:val="en-US" w:bidi="ar"/>
              </w:rPr>
            </w:pPr>
            <w:r>
              <w:rPr>
                <w:rFonts w:hint="eastAsia"/>
                <w:color w:val="auto"/>
                <w:sz w:val="21"/>
                <w:szCs w:val="21"/>
                <w:highlight w:val="none"/>
                <w:lang w:val="en-US" w:bidi="ar"/>
              </w:rPr>
              <w:t>2、落实政府采购政策需满足的资格要求：</w:t>
            </w:r>
          </w:p>
          <w:p>
            <w:pPr>
              <w:widowControl/>
              <w:jc w:val="both"/>
              <w:rPr>
                <w:color w:val="auto"/>
                <w:sz w:val="21"/>
                <w:szCs w:val="21"/>
                <w:highlight w:val="none"/>
              </w:rPr>
            </w:pPr>
            <w:r>
              <w:rPr>
                <w:rFonts w:hint="eastAsia"/>
                <w:color w:val="auto"/>
                <w:sz w:val="21"/>
                <w:szCs w:val="21"/>
                <w:highlight w:val="none"/>
              </w:rPr>
              <w:t>本项目专门面向中</w:t>
            </w:r>
            <w:r>
              <w:rPr>
                <w:rFonts w:hint="eastAsia"/>
                <w:color w:val="auto"/>
                <w:sz w:val="21"/>
                <w:szCs w:val="21"/>
                <w:highlight w:val="none"/>
                <w:lang w:val="en-US"/>
              </w:rPr>
              <w:t>小</w:t>
            </w:r>
            <w:r>
              <w:rPr>
                <w:rFonts w:hint="eastAsia"/>
                <w:color w:val="auto"/>
                <w:sz w:val="21"/>
                <w:szCs w:val="21"/>
                <w:highlight w:val="none"/>
              </w:rPr>
              <w:t>企业</w:t>
            </w:r>
            <w:r>
              <w:rPr>
                <w:rFonts w:hint="eastAsia"/>
                <w:color w:val="auto"/>
                <w:sz w:val="21"/>
                <w:szCs w:val="21"/>
                <w:highlight w:val="none"/>
                <w:lang w:val="en-US"/>
              </w:rPr>
              <w:t>采购</w:t>
            </w:r>
            <w:r>
              <w:rPr>
                <w:rFonts w:hint="eastAsia"/>
                <w:color w:val="auto"/>
                <w:sz w:val="21"/>
                <w:szCs w:val="21"/>
                <w:highlight w:val="none"/>
              </w:rPr>
              <w:t>，非中</w:t>
            </w:r>
            <w:r>
              <w:rPr>
                <w:rFonts w:hint="eastAsia"/>
                <w:color w:val="auto"/>
                <w:sz w:val="21"/>
                <w:szCs w:val="21"/>
                <w:highlight w:val="none"/>
                <w:lang w:val="en-US"/>
              </w:rPr>
              <w:t>型</w:t>
            </w:r>
            <w:r>
              <w:rPr>
                <w:rFonts w:hint="eastAsia"/>
                <w:color w:val="auto"/>
                <w:sz w:val="21"/>
                <w:szCs w:val="21"/>
                <w:highlight w:val="none"/>
              </w:rPr>
              <w:t>企业或小型、微型企业的将被拒绝。（</w:t>
            </w:r>
            <w:r>
              <w:rPr>
                <w:rFonts w:hint="eastAsia"/>
                <w:color w:val="auto"/>
                <w:sz w:val="21"/>
                <w:szCs w:val="21"/>
                <w:highlight w:val="none"/>
                <w:lang w:val="en-US"/>
              </w:rPr>
              <w:t>1</w:t>
            </w:r>
            <w:r>
              <w:rPr>
                <w:rFonts w:hint="eastAsia"/>
                <w:color w:val="auto"/>
                <w:sz w:val="21"/>
                <w:szCs w:val="21"/>
                <w:highlight w:val="none"/>
              </w:rPr>
              <w:t>）供应商提供的</w:t>
            </w:r>
            <w:r>
              <w:rPr>
                <w:rFonts w:hint="eastAsia"/>
                <w:color w:val="auto"/>
                <w:sz w:val="21"/>
                <w:szCs w:val="21"/>
                <w:highlight w:val="none"/>
                <w:lang w:val="en-US"/>
              </w:rPr>
              <w:t>货物</w:t>
            </w:r>
            <w:r>
              <w:rPr>
                <w:rFonts w:hint="eastAsia"/>
                <w:color w:val="auto"/>
                <w:sz w:val="21"/>
                <w:szCs w:val="21"/>
                <w:highlight w:val="none"/>
              </w:rPr>
              <w:t>应符合《政府采购促进中小企业发展管理办法》(财库〔2020〕46号)第四条规定的情形，且应当提供《政府采购促进中小企业发展管理办法》(财库〔2020〕46号)规定的《中小企业声明函》。（</w:t>
            </w:r>
            <w:r>
              <w:rPr>
                <w:rFonts w:hint="eastAsia"/>
                <w:color w:val="auto"/>
                <w:sz w:val="21"/>
                <w:szCs w:val="21"/>
                <w:highlight w:val="none"/>
                <w:lang w:val="en-US"/>
              </w:rPr>
              <w:t>2</w:t>
            </w:r>
            <w:r>
              <w:rPr>
                <w:rFonts w:hint="eastAsia"/>
                <w:color w:val="auto"/>
                <w:sz w:val="21"/>
                <w:szCs w:val="21"/>
                <w:highlight w:val="none"/>
              </w:rPr>
              <w:t>）供应商为监狱企业的视同小型和微型企业，可不提供以上第1材料，但应当提供由省级以上监狱管理局、戒毒管理局(含新疆生产建设兵团)出具的属于监狱企业的证明文件。（</w:t>
            </w:r>
            <w:r>
              <w:rPr>
                <w:rFonts w:hint="eastAsia"/>
                <w:color w:val="auto"/>
                <w:sz w:val="21"/>
                <w:szCs w:val="21"/>
                <w:highlight w:val="none"/>
                <w:lang w:val="en-US"/>
              </w:rPr>
              <w:t>3</w:t>
            </w:r>
            <w:r>
              <w:rPr>
                <w:rFonts w:hint="eastAsia"/>
                <w:color w:val="auto"/>
                <w:sz w:val="21"/>
                <w:szCs w:val="21"/>
                <w:highlight w:val="none"/>
              </w:rPr>
              <w:t>）供应商为残疾人福利性单位的视同小型和微型企业，可不提供以上第1点材料，但应当提供《残疾人福利性单位声明函》。</w:t>
            </w:r>
          </w:p>
          <w:p>
            <w:pPr>
              <w:widowControl/>
              <w:jc w:val="both"/>
              <w:rPr>
                <w:color w:val="auto"/>
                <w:sz w:val="21"/>
                <w:szCs w:val="21"/>
                <w:highlight w:val="none"/>
              </w:rPr>
            </w:pPr>
            <w:r>
              <w:rPr>
                <w:rFonts w:hint="eastAsia"/>
                <w:color w:val="auto"/>
                <w:sz w:val="21"/>
                <w:szCs w:val="21"/>
                <w:highlight w:val="none"/>
                <w:lang w:val="en-US" w:bidi="ar"/>
              </w:rPr>
              <w:t xml:space="preserve">3、本项目的特定资格要求： </w:t>
            </w:r>
          </w:p>
          <w:p>
            <w:pPr>
              <w:widowControl/>
              <w:jc w:val="both"/>
              <w:rPr>
                <w:color w:val="auto"/>
                <w:sz w:val="21"/>
                <w:szCs w:val="21"/>
                <w:highlight w:val="none"/>
              </w:rPr>
            </w:pPr>
            <w:r>
              <w:rPr>
                <w:rFonts w:hint="eastAsia"/>
                <w:color w:val="auto"/>
                <w:sz w:val="21"/>
                <w:szCs w:val="21"/>
                <w:highlight w:val="none"/>
              </w:rPr>
              <w:t>（1）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供应商需提供相关证明资料）；</w:t>
            </w:r>
          </w:p>
          <w:p>
            <w:pPr>
              <w:widowControl/>
              <w:jc w:val="both"/>
              <w:rPr>
                <w:color w:val="auto"/>
                <w:sz w:val="21"/>
                <w:szCs w:val="21"/>
                <w:highlight w:val="none"/>
              </w:rPr>
            </w:pPr>
            <w:r>
              <w:rPr>
                <w:rFonts w:hint="eastAsia"/>
                <w:color w:val="auto"/>
                <w:sz w:val="21"/>
                <w:szCs w:val="21"/>
                <w:highlight w:val="none"/>
              </w:rPr>
              <w:t>（2）单位负责人为同一人或者存在直接控股、管理关系的不同供应商，不得参加同一合同项下的政府采购活动；</w:t>
            </w:r>
          </w:p>
          <w:p>
            <w:pPr>
              <w:widowControl/>
              <w:jc w:val="both"/>
              <w:rPr>
                <w:color w:val="auto"/>
                <w:sz w:val="21"/>
                <w:szCs w:val="21"/>
                <w:highlight w:val="none"/>
              </w:rPr>
            </w:pPr>
            <w:r>
              <w:rPr>
                <w:rFonts w:hint="eastAsia"/>
                <w:color w:val="auto"/>
                <w:sz w:val="21"/>
                <w:szCs w:val="21"/>
                <w:highlight w:val="none"/>
              </w:rPr>
              <w:t>（3）本项目不接受进口产品投标。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5.对联合体投标的具体要求</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3.3</w:t>
            </w:r>
          </w:p>
        </w:tc>
        <w:tc>
          <w:tcPr>
            <w:tcW w:w="7623" w:type="dxa"/>
            <w:vAlign w:val="center"/>
          </w:tcPr>
          <w:p>
            <w:pPr>
              <w:widowControl/>
              <w:jc w:val="both"/>
              <w:rPr>
                <w:color w:val="auto"/>
                <w:sz w:val="21"/>
                <w:szCs w:val="21"/>
                <w:highlight w:val="none"/>
              </w:rPr>
            </w:pPr>
            <w:r>
              <w:rPr>
                <w:rFonts w:hint="eastAsia"/>
                <w:b/>
                <w:bCs/>
                <w:color w:val="auto"/>
                <w:sz w:val="21"/>
                <w:szCs w:val="21"/>
                <w:highlight w:val="none"/>
              </w:rPr>
              <w:t>□</w:t>
            </w:r>
            <w:r>
              <w:rPr>
                <w:rFonts w:hint="eastAsia"/>
                <w:color w:val="auto"/>
                <w:sz w:val="21"/>
                <w:szCs w:val="21"/>
                <w:highlight w:val="none"/>
              </w:rPr>
              <w:t>接受</w:t>
            </w:r>
            <w:r>
              <w:rPr>
                <w:rFonts w:hint="eastAsia"/>
                <w:b/>
                <w:bCs/>
                <w:color w:val="auto"/>
                <w:sz w:val="21"/>
                <w:szCs w:val="21"/>
                <w:highlight w:val="none"/>
              </w:rPr>
              <w:t>√</w:t>
            </w:r>
            <w:r>
              <w:rPr>
                <w:rFonts w:hint="eastAsia"/>
                <w:color w:val="auto"/>
                <w:sz w:val="21"/>
                <w:szCs w:val="21"/>
                <w:highlight w:val="none"/>
              </w:rPr>
              <w:t>不接受</w:t>
            </w:r>
          </w:p>
          <w:p>
            <w:pPr>
              <w:widowControl/>
              <w:jc w:val="both"/>
              <w:rPr>
                <w:color w:val="auto"/>
                <w:sz w:val="20"/>
                <w:szCs w:val="20"/>
                <w:highlight w:val="none"/>
                <w:lang w:val="en-US"/>
              </w:rPr>
            </w:pPr>
            <w:r>
              <w:rPr>
                <w:rFonts w:hint="eastAsia"/>
                <w:color w:val="auto"/>
                <w:sz w:val="21"/>
                <w:szCs w:val="21"/>
                <w:highlight w:val="none"/>
                <w:lang w:val="en-US" w:bidi="ar"/>
              </w:rPr>
              <w:t>对联合体各方的要求：无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6.是否允许采购进口产品</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4.1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本项目</w:t>
            </w:r>
            <w:r>
              <w:rPr>
                <w:rFonts w:hint="eastAsia"/>
                <w:b/>
                <w:color w:val="auto"/>
                <w:sz w:val="21"/>
                <w:szCs w:val="21"/>
                <w:highlight w:val="none"/>
                <w:lang w:val="en-US" w:bidi="ar"/>
              </w:rPr>
              <w:t>不允许</w:t>
            </w:r>
            <w:r>
              <w:rPr>
                <w:rFonts w:hint="eastAsia"/>
                <w:color w:val="auto"/>
                <w:sz w:val="21"/>
                <w:szCs w:val="21"/>
                <w:highlight w:val="none"/>
                <w:lang w:val="en-US" w:bidi="ar"/>
              </w:rPr>
              <w:t>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color w:val="auto"/>
                <w:sz w:val="21"/>
                <w:szCs w:val="21"/>
                <w:highlight w:val="none"/>
                <w:lang w:val="en-US" w:bidi="ar"/>
              </w:rPr>
              <w:t>二、招标文件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7.现场踏勘</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9.3</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不组织</w:t>
            </w:r>
          </w:p>
          <w:p>
            <w:pPr>
              <w:adjustRightInd w:val="0"/>
              <w:jc w:val="both"/>
              <w:rPr>
                <w:b/>
                <w:bCs/>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组织</w:t>
            </w:r>
          </w:p>
          <w:p>
            <w:pPr>
              <w:widowControl/>
              <w:jc w:val="both"/>
              <w:rPr>
                <w:color w:val="auto"/>
                <w:sz w:val="21"/>
                <w:szCs w:val="21"/>
                <w:highlight w:val="none"/>
              </w:rPr>
            </w:pPr>
            <w:r>
              <w:rPr>
                <w:rFonts w:hint="eastAsia"/>
                <w:color w:val="auto"/>
                <w:sz w:val="21"/>
                <w:szCs w:val="21"/>
                <w:highlight w:val="none"/>
                <w:lang w:val="en-US" w:bidi="ar"/>
              </w:rPr>
              <w:t>现场踏勘</w:t>
            </w:r>
            <w:r>
              <w:rPr>
                <w:rFonts w:hint="eastAsia"/>
                <w:color w:val="auto"/>
                <w:sz w:val="21"/>
                <w:szCs w:val="21"/>
                <w:highlight w:val="none"/>
              </w:rPr>
              <w:t>时间：/</w:t>
            </w:r>
          </w:p>
          <w:p>
            <w:pPr>
              <w:widowControl/>
              <w:jc w:val="both"/>
              <w:rPr>
                <w:color w:val="auto"/>
                <w:sz w:val="21"/>
                <w:szCs w:val="21"/>
                <w:highlight w:val="none"/>
              </w:rPr>
            </w:pPr>
            <w:r>
              <w:rPr>
                <w:rFonts w:hint="eastAsia"/>
                <w:color w:val="auto"/>
                <w:sz w:val="21"/>
                <w:szCs w:val="21"/>
                <w:highlight w:val="none"/>
                <w:lang w:val="en-US" w:bidi="ar"/>
              </w:rPr>
              <w:t>现场踏勘</w:t>
            </w:r>
            <w:r>
              <w:rPr>
                <w:rFonts w:hint="eastAsia"/>
                <w:color w:val="auto"/>
                <w:sz w:val="21"/>
                <w:szCs w:val="21"/>
                <w:highlight w:val="none"/>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8.标前会</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9.4</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不召开</w:t>
            </w:r>
          </w:p>
          <w:p>
            <w:pPr>
              <w:adjustRightInd w:val="0"/>
              <w:jc w:val="both"/>
              <w:rPr>
                <w:b/>
                <w:bCs/>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召开</w:t>
            </w:r>
          </w:p>
          <w:p>
            <w:pPr>
              <w:widowControl/>
              <w:jc w:val="both"/>
              <w:rPr>
                <w:color w:val="auto"/>
                <w:sz w:val="21"/>
                <w:szCs w:val="21"/>
                <w:highlight w:val="none"/>
              </w:rPr>
            </w:pPr>
            <w:r>
              <w:rPr>
                <w:rFonts w:hint="eastAsia"/>
                <w:color w:val="auto"/>
                <w:sz w:val="21"/>
                <w:szCs w:val="21"/>
                <w:highlight w:val="none"/>
              </w:rPr>
              <w:t>召开开标前答疑会时间：/</w:t>
            </w:r>
          </w:p>
          <w:p>
            <w:pPr>
              <w:widowControl/>
              <w:jc w:val="both"/>
              <w:rPr>
                <w:color w:val="auto"/>
                <w:sz w:val="21"/>
                <w:szCs w:val="21"/>
                <w:highlight w:val="none"/>
              </w:rPr>
            </w:pPr>
            <w:r>
              <w:rPr>
                <w:rFonts w:hint="eastAsia"/>
                <w:color w:val="auto"/>
                <w:sz w:val="21"/>
                <w:szCs w:val="21"/>
                <w:highlight w:val="none"/>
              </w:rPr>
              <w:t>召开开标前答疑会地点：/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9</w:t>
            </w:r>
            <w:r>
              <w:rPr>
                <w:rFonts w:hint="eastAsia"/>
                <w:color w:val="auto"/>
                <w:sz w:val="21"/>
                <w:szCs w:val="21"/>
                <w:highlight w:val="none"/>
              </w:rPr>
              <w:t>支持中小企业发展</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10.1</w:t>
            </w:r>
          </w:p>
        </w:tc>
        <w:tc>
          <w:tcPr>
            <w:tcW w:w="7623" w:type="dxa"/>
            <w:vAlign w:val="center"/>
          </w:tcPr>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1.是否为专门面向中小企业采购：是</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2.是否为本项目面向中小企业采购预留份额：否，本标项专门面向中小微企业采购。</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3.符合要求的中小型和微型企业扣除比例：否，本标项专门面向中小微企业采购不再进行价格扣除。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rPr>
              <w:t>10</w:t>
            </w:r>
            <w:r>
              <w:rPr>
                <w:rFonts w:hint="eastAsia"/>
                <w:color w:val="auto"/>
                <w:sz w:val="21"/>
                <w:szCs w:val="21"/>
                <w:highlight w:val="none"/>
              </w:rPr>
              <w:t>政府采购支持中小企业融资</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10.1</w:t>
            </w:r>
          </w:p>
        </w:tc>
        <w:tc>
          <w:tcPr>
            <w:tcW w:w="7623" w:type="dxa"/>
            <w:vMerge w:val="restart"/>
            <w:vAlign w:val="center"/>
          </w:tcPr>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中小企业在融资、投标保证、履约保证等方面有需求的，可查询当地政府采购管理部门相关政策，通过专业化的担保途径解决。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rPr>
              <w:t>11</w:t>
            </w:r>
            <w:r>
              <w:rPr>
                <w:rFonts w:hint="eastAsia"/>
                <w:color w:val="auto"/>
                <w:sz w:val="21"/>
                <w:szCs w:val="21"/>
                <w:highlight w:val="none"/>
              </w:rPr>
              <w:t>政府采购信用担保</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10.1</w:t>
            </w:r>
          </w:p>
        </w:tc>
        <w:tc>
          <w:tcPr>
            <w:tcW w:w="7623" w:type="dxa"/>
            <w:vMerge w:val="continue"/>
            <w:vAlign w:val="center"/>
          </w:tcPr>
          <w:p>
            <w:pPr>
              <w:widowControl/>
              <w:jc w:val="both"/>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rPr>
              <w:t>12</w:t>
            </w:r>
            <w:r>
              <w:rPr>
                <w:rFonts w:hint="eastAsia"/>
                <w:color w:val="auto"/>
                <w:sz w:val="21"/>
                <w:szCs w:val="21"/>
                <w:highlight w:val="none"/>
              </w:rPr>
              <w:t>政府采购促进残疾人就业、</w:t>
            </w:r>
            <w:r>
              <w:rPr>
                <w:rFonts w:hint="eastAsia"/>
                <w:color w:val="auto"/>
                <w:sz w:val="21"/>
                <w:szCs w:val="21"/>
                <w:highlight w:val="none"/>
                <w:lang w:val="en-US"/>
              </w:rPr>
              <w:t>政府采购支持监狱企业发展</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10.1</w:t>
            </w:r>
          </w:p>
        </w:tc>
        <w:tc>
          <w:tcPr>
            <w:tcW w:w="7623" w:type="dxa"/>
            <w:vAlign w:val="center"/>
          </w:tcPr>
          <w:p>
            <w:pPr>
              <w:spacing w:line="300" w:lineRule="exact"/>
              <w:jc w:val="both"/>
              <w:rPr>
                <w:b/>
                <w:bCs/>
                <w:color w:val="auto"/>
                <w:kern w:val="2"/>
                <w:sz w:val="21"/>
                <w:szCs w:val="21"/>
                <w:highlight w:val="none"/>
                <w:lang w:val="en-US" w:bidi="ar-SA"/>
              </w:rPr>
            </w:pPr>
            <w:r>
              <w:rPr>
                <w:rFonts w:hint="eastAsia"/>
                <w:color w:val="auto"/>
                <w:kern w:val="2"/>
                <w:sz w:val="21"/>
                <w:szCs w:val="21"/>
                <w:highlight w:val="none"/>
                <w:lang w:val="en-US" w:bidi="ar-SA"/>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b/>
                <w:bCs/>
                <w:color w:val="auto"/>
                <w:kern w:val="2"/>
                <w:sz w:val="21"/>
                <w:szCs w:val="21"/>
                <w:highlight w:val="none"/>
                <w:lang w:val="en-US" w:bidi="ar-SA"/>
              </w:rPr>
              <w:t>本标项专门面向中小微企业采购不再进行价格扣除。</w:t>
            </w:r>
          </w:p>
          <w:p>
            <w:pPr>
              <w:pStyle w:val="26"/>
              <w:ind w:firstLine="0" w:firstLineChars="0"/>
              <w:jc w:val="both"/>
              <w:rPr>
                <w:color w:val="auto"/>
                <w:sz w:val="21"/>
                <w:szCs w:val="21"/>
                <w:highlight w:val="none"/>
              </w:rPr>
            </w:pPr>
            <w:r>
              <w:rPr>
                <w:rFonts w:hint="eastAsia"/>
                <w:color w:val="auto"/>
                <w:kern w:val="2"/>
                <w:sz w:val="21"/>
                <w:szCs w:val="21"/>
                <w:highlight w:val="none"/>
                <w:lang w:val="en-US"/>
              </w:rPr>
              <w:t>2.</w:t>
            </w:r>
            <w:r>
              <w:rPr>
                <w:rFonts w:hint="eastAsia"/>
                <w:color w:val="auto"/>
                <w:sz w:val="21"/>
                <w:szCs w:val="21"/>
                <w:highlight w:val="none"/>
                <w:lang w:val="en-US" w:bidi="ar"/>
              </w:rPr>
              <w:t>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b/>
                <w:bCs/>
                <w:color w:val="auto"/>
                <w:kern w:val="2"/>
                <w:sz w:val="21"/>
                <w:szCs w:val="21"/>
                <w:highlight w:val="none"/>
                <w:lang w:val="en-US" w:bidi="ar-SA"/>
              </w:rPr>
              <w:t>本标项专门面向中小微企业采购不再进行价格扣除。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color w:val="auto"/>
                <w:sz w:val="21"/>
                <w:szCs w:val="21"/>
                <w:highlight w:val="none"/>
                <w:lang w:val="en-US" w:bidi="ar"/>
              </w:rPr>
              <w:t>三、投标文件的编制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rPr>
            </w:pPr>
            <w:r>
              <w:rPr>
                <w:rFonts w:hint="eastAsia"/>
                <w:color w:val="auto"/>
                <w:sz w:val="21"/>
                <w:szCs w:val="21"/>
                <w:highlight w:val="none"/>
                <w:lang w:val="en-US" w:bidi="ar"/>
              </w:rPr>
              <w:t>13.资格、资信证明部分构成</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12.1</w:t>
            </w:r>
          </w:p>
        </w:tc>
        <w:tc>
          <w:tcPr>
            <w:tcW w:w="7623" w:type="dxa"/>
            <w:vAlign w:val="center"/>
          </w:tcPr>
          <w:p>
            <w:pPr>
              <w:widowControl/>
              <w:jc w:val="both"/>
              <w:rPr>
                <w:color w:val="auto"/>
                <w:sz w:val="21"/>
                <w:szCs w:val="21"/>
                <w:highlight w:val="none"/>
              </w:rPr>
            </w:pPr>
            <w:r>
              <w:rPr>
                <w:rFonts w:hint="eastAsia"/>
                <w:b/>
                <w:color w:val="auto"/>
                <w:sz w:val="21"/>
                <w:szCs w:val="21"/>
                <w:highlight w:val="none"/>
                <w:lang w:val="en-US" w:bidi="ar"/>
              </w:rPr>
              <w:t>基本资格、资信证明文件：</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（1）法人或者其他组织的有效营业执照等证明文件，</w:t>
            </w:r>
            <w:r>
              <w:rPr>
                <w:rFonts w:hint="eastAsia"/>
                <w:b/>
                <w:bCs/>
                <w:color w:val="auto"/>
                <w:sz w:val="21"/>
                <w:szCs w:val="21"/>
                <w:highlight w:val="none"/>
                <w:lang w:val="en-US" w:bidi="ar"/>
              </w:rPr>
              <w:t>其中：</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投标人是企业（包括合伙企业）的，应提供其在工商部门注册的有效“营业执照”复印件；</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投标人是事业单位的，应提供其有效的“事业单位法人证书”复印件；</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投标人是非企业专业服务机构的，应提供其有效的“执业许可证”复印件；</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投标人是民办非企业单位的，应提供其有效的登记证书复印件；</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投标人是个体工商户的，应提供其有效的“营业执照”复印件；</w:t>
            </w:r>
          </w:p>
          <w:p>
            <w:pPr>
              <w:widowControl/>
              <w:autoSpaceDE/>
              <w:autoSpaceDN/>
              <w:jc w:val="both"/>
              <w:rPr>
                <w:color w:val="auto"/>
                <w:kern w:val="2"/>
                <w:sz w:val="21"/>
                <w:szCs w:val="21"/>
                <w:highlight w:val="none"/>
                <w:lang w:val="en-US" w:bidi="ar-SA"/>
              </w:rPr>
            </w:pPr>
            <w:r>
              <w:rPr>
                <w:rFonts w:hint="eastAsia"/>
                <w:color w:val="auto"/>
                <w:sz w:val="21"/>
                <w:szCs w:val="21"/>
                <w:highlight w:val="none"/>
                <w:lang w:val="en-US" w:bidi="ar"/>
              </w:rPr>
              <w:t>投标人是自然人的，应提供其有效的自然人身份证明复印件；</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（2）财务状况报告：</w:t>
            </w:r>
          </w:p>
          <w:p>
            <w:pPr>
              <w:widowControl/>
              <w:autoSpaceDE/>
              <w:autoSpaceDN/>
              <w:ind w:firstLine="420" w:firstLineChars="200"/>
              <w:jc w:val="both"/>
              <w:rPr>
                <w:color w:val="auto"/>
                <w:kern w:val="2"/>
                <w:sz w:val="21"/>
                <w:szCs w:val="21"/>
                <w:highlight w:val="none"/>
                <w:lang w:val="en-US" w:bidi="ar-SA"/>
              </w:rPr>
            </w:pPr>
            <w:r>
              <w:rPr>
                <w:rFonts w:hint="eastAsia"/>
                <w:color w:val="auto"/>
                <w:sz w:val="21"/>
                <w:szCs w:val="21"/>
                <w:highlight w:val="none"/>
                <w:lang w:val="en-US" w:bidi="ar"/>
              </w:rPr>
              <w:t>近一年由会计师事务所出具财务审计报告或提供由开标日前三个月内投标人开户银行出具的资信证明；新成立公司提供银行出具的有效期内的资信证明；其他组织和自然人，没有经审计的财务报告，提供银行出具的资信证明。</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（3）依法缴纳税收的相关材料：</w:t>
            </w:r>
          </w:p>
          <w:p>
            <w:pPr>
              <w:widowControl/>
              <w:autoSpaceDE/>
              <w:autoSpaceDN/>
              <w:ind w:firstLine="210" w:firstLineChars="100"/>
              <w:jc w:val="both"/>
              <w:rPr>
                <w:color w:val="auto"/>
                <w:sz w:val="21"/>
                <w:szCs w:val="21"/>
                <w:highlight w:val="none"/>
                <w:lang w:val="en-US" w:bidi="ar"/>
              </w:rPr>
            </w:pPr>
            <w:r>
              <w:rPr>
                <w:rFonts w:hint="eastAsia"/>
                <w:color w:val="auto"/>
                <w:sz w:val="21"/>
                <w:szCs w:val="21"/>
                <w:highlight w:val="none"/>
                <w:lang w:val="en-US" w:bidi="ar"/>
              </w:rPr>
              <w:t>开标日前6个月内任意一月缴纳税收的凭证复印件；</w:t>
            </w:r>
          </w:p>
          <w:p>
            <w:pPr>
              <w:widowControl/>
              <w:autoSpaceDE/>
              <w:autoSpaceDN/>
              <w:ind w:firstLine="210" w:firstLineChars="100"/>
              <w:jc w:val="both"/>
              <w:rPr>
                <w:color w:val="auto"/>
                <w:sz w:val="21"/>
                <w:szCs w:val="21"/>
                <w:highlight w:val="none"/>
                <w:lang w:val="en-US" w:bidi="ar"/>
              </w:rPr>
            </w:pPr>
            <w:r>
              <w:rPr>
                <w:rFonts w:hint="eastAsia"/>
                <w:color w:val="auto"/>
                <w:sz w:val="21"/>
                <w:szCs w:val="21"/>
                <w:highlight w:val="none"/>
                <w:lang w:val="en-US" w:bidi="ar"/>
              </w:rPr>
              <w:t>缴纳凭证复印件须清晰可辨，并能显示出税种种类，单位代扣代缴的个人所得税不能作为单位纳税的凭证；</w:t>
            </w:r>
          </w:p>
          <w:p>
            <w:pPr>
              <w:widowControl/>
              <w:autoSpaceDE/>
              <w:autoSpaceDN/>
              <w:ind w:firstLine="420" w:firstLineChars="200"/>
              <w:jc w:val="both"/>
              <w:rPr>
                <w:color w:val="auto"/>
                <w:sz w:val="21"/>
                <w:szCs w:val="21"/>
                <w:highlight w:val="none"/>
                <w:lang w:val="en-US" w:bidi="ar"/>
              </w:rPr>
            </w:pPr>
            <w:r>
              <w:rPr>
                <w:rFonts w:hint="eastAsia"/>
                <w:color w:val="auto"/>
                <w:sz w:val="21"/>
                <w:szCs w:val="21"/>
                <w:highlight w:val="none"/>
                <w:lang w:val="en-US" w:bidi="ar"/>
              </w:rPr>
              <w:t>依法免税的投标人，应提供相应文件证明其依法免税。</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（4）依法缴纳社会保障资金的相关材料：</w:t>
            </w:r>
          </w:p>
          <w:p>
            <w:pPr>
              <w:widowControl/>
              <w:autoSpaceDE/>
              <w:autoSpaceDN/>
              <w:ind w:firstLine="420" w:firstLineChars="200"/>
              <w:jc w:val="both"/>
              <w:rPr>
                <w:color w:val="auto"/>
                <w:sz w:val="21"/>
                <w:szCs w:val="21"/>
                <w:highlight w:val="none"/>
                <w:lang w:val="en-US" w:bidi="ar"/>
              </w:rPr>
            </w:pPr>
            <w:r>
              <w:rPr>
                <w:rFonts w:hint="eastAsia"/>
                <w:color w:val="auto"/>
                <w:sz w:val="21"/>
                <w:szCs w:val="21"/>
                <w:highlight w:val="none"/>
                <w:lang w:val="en-US" w:bidi="ar"/>
              </w:rPr>
              <w:t>开标日前6个月内（至少提供1个月）缴纳社会保险的凭据（专用收据或社会保险缴纳清单）；投标人为其他组织或自然人的，也需要按此项规定提供缴纳税收的凭据和缴纳社会保险的凭据。</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（5）具备履行合同所必需的设备和专业技术能力的说明函</w:t>
            </w:r>
            <w:r>
              <w:rPr>
                <w:rFonts w:hint="eastAsia"/>
                <w:color w:val="auto"/>
                <w:sz w:val="21"/>
                <w:szCs w:val="21"/>
                <w:highlight w:val="none"/>
                <w:lang w:val="en-US" w:bidi="ar"/>
              </w:rPr>
              <w:t>（投标人自行出具，格式自拟，加盖公章）</w:t>
            </w:r>
          </w:p>
          <w:p>
            <w:pPr>
              <w:autoSpaceDE/>
              <w:autoSpaceDN/>
              <w:jc w:val="both"/>
              <w:rPr>
                <w:b/>
                <w:bCs/>
                <w:color w:val="auto"/>
                <w:kern w:val="2"/>
                <w:sz w:val="21"/>
                <w:szCs w:val="21"/>
                <w:highlight w:val="none"/>
                <w:lang w:val="en-US" w:bidi="ar-SA"/>
              </w:rPr>
            </w:pPr>
            <w:r>
              <w:rPr>
                <w:rFonts w:hint="eastAsia"/>
                <w:b/>
                <w:bCs/>
                <w:color w:val="auto"/>
                <w:kern w:val="2"/>
                <w:sz w:val="21"/>
                <w:szCs w:val="21"/>
                <w:highlight w:val="none"/>
                <w:lang w:val="en-US" w:bidi="ar-SA"/>
              </w:rPr>
              <w:t>（6）信用查询</w:t>
            </w:r>
          </w:p>
          <w:p>
            <w:pPr>
              <w:widowControl/>
              <w:wordWrap w:val="0"/>
              <w:autoSpaceDE/>
              <w:autoSpaceDN/>
              <w:ind w:firstLine="420" w:firstLineChars="200"/>
              <w:jc w:val="both"/>
              <w:rPr>
                <w:color w:val="auto"/>
                <w:kern w:val="2"/>
                <w:sz w:val="21"/>
                <w:szCs w:val="21"/>
                <w:highlight w:val="none"/>
                <w:lang w:val="en-US" w:bidi="ar-SA"/>
              </w:rPr>
            </w:pPr>
            <w:r>
              <w:rPr>
                <w:rFonts w:hint="eastAsia"/>
                <w:color w:val="auto"/>
                <w:sz w:val="21"/>
                <w:szCs w:val="21"/>
                <w:highlight w:val="none"/>
                <w:shd w:val="clear" w:color="auto" w:fill="FFFFFF"/>
                <w:lang w:val="en-US"/>
              </w:rPr>
              <w:t>投标人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投标人需提供相关证明资料）；</w:t>
            </w:r>
          </w:p>
          <w:p>
            <w:pPr>
              <w:widowControl/>
              <w:autoSpaceDE/>
              <w:autoSpaceDN/>
              <w:jc w:val="both"/>
              <w:rPr>
                <w:color w:val="auto"/>
                <w:kern w:val="2"/>
                <w:sz w:val="21"/>
                <w:szCs w:val="21"/>
                <w:highlight w:val="none"/>
                <w:lang w:val="en-US" w:bidi="ar-SA"/>
              </w:rPr>
            </w:pPr>
            <w:r>
              <w:rPr>
                <w:rFonts w:hint="eastAsia"/>
                <w:b/>
                <w:color w:val="auto"/>
                <w:sz w:val="21"/>
                <w:szCs w:val="21"/>
                <w:highlight w:val="none"/>
                <w:lang w:val="en-US" w:bidi="ar"/>
              </w:rPr>
              <w:t>（7）投标人须提供投标单位（投标人）参加政府采购活动前3年内在经营活动中没有重大违法记录的书面声明</w:t>
            </w:r>
            <w:r>
              <w:rPr>
                <w:rFonts w:hint="eastAsia"/>
                <w:color w:val="auto"/>
                <w:sz w:val="21"/>
                <w:szCs w:val="21"/>
                <w:highlight w:val="none"/>
                <w:lang w:val="en-US" w:bidi="ar"/>
              </w:rPr>
              <w:t>；</w:t>
            </w:r>
          </w:p>
          <w:p>
            <w:pPr>
              <w:widowControl/>
              <w:jc w:val="both"/>
              <w:rPr>
                <w:color w:val="auto"/>
                <w:sz w:val="21"/>
                <w:szCs w:val="21"/>
                <w:highlight w:val="none"/>
                <w:lang w:val="en-US" w:bidi="ar"/>
              </w:rPr>
            </w:pPr>
            <w:r>
              <w:rPr>
                <w:rFonts w:hint="eastAsia"/>
                <w:b/>
                <w:color w:val="auto"/>
                <w:sz w:val="21"/>
                <w:szCs w:val="21"/>
                <w:highlight w:val="none"/>
                <w:lang w:val="en-US" w:bidi="ar"/>
              </w:rPr>
              <w:t>（8）投标人针对投标人限制行为的声明</w:t>
            </w:r>
            <w:r>
              <w:rPr>
                <w:rFonts w:hint="eastAsia"/>
                <w:color w:val="auto"/>
                <w:sz w:val="21"/>
                <w:szCs w:val="21"/>
                <w:highlight w:val="none"/>
                <w:lang w:val="en-US" w:bidi="ar"/>
              </w:rPr>
              <w:t>；</w:t>
            </w:r>
          </w:p>
          <w:p>
            <w:pPr>
              <w:widowControl/>
              <w:jc w:val="both"/>
              <w:rPr>
                <w:color w:val="auto"/>
                <w:sz w:val="21"/>
                <w:szCs w:val="21"/>
                <w:highlight w:val="none"/>
              </w:rPr>
            </w:pPr>
            <w:r>
              <w:rPr>
                <w:rFonts w:hint="eastAsia"/>
                <w:b/>
                <w:color w:val="auto"/>
                <w:sz w:val="21"/>
                <w:szCs w:val="21"/>
                <w:highlight w:val="none"/>
                <w:lang w:val="en-US" w:bidi="ar"/>
              </w:rPr>
              <w:t>本表内所有内容未注明提供原件的，均可提供复印件。除以上内容外，其他投标文件纸质材料均应编入投标文件。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14.商务技术部分构成</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12.1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*1.投标函（格式见第六章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附件 1）；</w:t>
            </w:r>
          </w:p>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2</w:t>
            </w:r>
            <w:r>
              <w:rPr>
                <w:rFonts w:hint="eastAsia"/>
                <w:color w:val="auto"/>
                <w:sz w:val="21"/>
                <w:szCs w:val="21"/>
                <w:highlight w:val="none"/>
                <w:lang w:val="en-US" w:bidi="ar"/>
              </w:rPr>
              <w:t>.技术服务需求偏离表（格式见第六章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2</w:t>
            </w:r>
            <w:r>
              <w:rPr>
                <w:rFonts w:hint="eastAsia"/>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3</w:t>
            </w:r>
            <w:r>
              <w:rPr>
                <w:rFonts w:hint="eastAsia"/>
                <w:color w:val="auto"/>
                <w:sz w:val="21"/>
                <w:szCs w:val="21"/>
                <w:highlight w:val="none"/>
                <w:lang w:val="en-US" w:bidi="ar"/>
              </w:rPr>
              <w:t>.商务条款偏离表（格式见第六章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3</w:t>
            </w:r>
            <w:r>
              <w:rPr>
                <w:rFonts w:hint="eastAsia"/>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4</w:t>
            </w:r>
            <w:r>
              <w:rPr>
                <w:rFonts w:hint="eastAsia"/>
                <w:color w:val="auto"/>
                <w:sz w:val="21"/>
                <w:szCs w:val="21"/>
                <w:highlight w:val="none"/>
                <w:lang w:val="en-US" w:bidi="ar"/>
              </w:rPr>
              <w:t>.法定代表人授权书（格式见第六章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4</w:t>
            </w:r>
            <w:r>
              <w:rPr>
                <w:rFonts w:hint="eastAsia"/>
                <w:color w:val="auto"/>
                <w:sz w:val="21"/>
                <w:szCs w:val="21"/>
                <w:highlight w:val="none"/>
                <w:lang w:val="en-US" w:bidi="ar"/>
              </w:rPr>
              <w:t>） 或 法定代表人身份证明复印件（加注“*”的投标文件构成其他文件均由法定代表人在相应位置直接签署时，则无需提供法定代表人授权书，此情况下应提供法定代表人身份证明复印件）；</w:t>
            </w:r>
          </w:p>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5</w:t>
            </w:r>
            <w:r>
              <w:rPr>
                <w:rFonts w:hint="eastAsia"/>
                <w:color w:val="auto"/>
                <w:sz w:val="21"/>
                <w:szCs w:val="21"/>
                <w:highlight w:val="none"/>
                <w:lang w:val="en-US" w:bidi="ar"/>
              </w:rPr>
              <w:t>.投标保证金承诺函（格式见第六章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5</w:t>
            </w:r>
            <w:r>
              <w:rPr>
                <w:rFonts w:hint="eastAsia"/>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6</w:t>
            </w:r>
            <w:r>
              <w:rPr>
                <w:rFonts w:hint="eastAsia"/>
                <w:color w:val="auto"/>
                <w:sz w:val="21"/>
                <w:szCs w:val="21"/>
                <w:highlight w:val="none"/>
                <w:lang w:val="en-US" w:bidi="ar"/>
              </w:rPr>
              <w:t>.代理服务费承诺函（格式见第六章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6</w:t>
            </w:r>
            <w:r>
              <w:rPr>
                <w:rFonts w:hint="eastAsia"/>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eastAsia="zh-CN" w:bidi="ar"/>
              </w:rPr>
              <w:t>7</w:t>
            </w:r>
            <w:r>
              <w:rPr>
                <w:rFonts w:hint="eastAsia"/>
                <w:color w:val="auto"/>
                <w:sz w:val="21"/>
                <w:szCs w:val="21"/>
                <w:highlight w:val="none"/>
                <w:lang w:val="en-US" w:bidi="ar"/>
              </w:rPr>
              <w:t>.投标人情况表（建议格式见第六章</w:t>
            </w:r>
            <w:r>
              <w:rPr>
                <w:rFonts w:hint="eastAsia"/>
                <w:color w:val="auto"/>
                <w:sz w:val="21"/>
                <w:szCs w:val="21"/>
                <w:highlight w:val="none"/>
                <w:lang w:val="en-US" w:eastAsia="zh-CN" w:bidi="ar"/>
              </w:rPr>
              <w:t>商务技术文件格式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7</w:t>
            </w:r>
            <w:r>
              <w:rPr>
                <w:rFonts w:hint="eastAsia"/>
                <w:color w:val="auto"/>
                <w:sz w:val="21"/>
                <w:szCs w:val="21"/>
                <w:highlight w:val="none"/>
                <w:lang w:val="en-US" w:bidi="ar"/>
              </w:rPr>
              <w:t>）；</w:t>
            </w:r>
          </w:p>
          <w:p>
            <w:pPr>
              <w:widowControl/>
              <w:jc w:val="both"/>
              <w:rPr>
                <w:color w:val="auto"/>
                <w:sz w:val="21"/>
                <w:szCs w:val="21"/>
                <w:highlight w:val="none"/>
              </w:rPr>
            </w:pPr>
            <w:r>
              <w:rPr>
                <w:rFonts w:hint="eastAsia"/>
                <w:color w:val="auto"/>
                <w:sz w:val="21"/>
                <w:szCs w:val="21"/>
                <w:highlight w:val="none"/>
                <w:lang w:val="en-US" w:eastAsia="zh-CN" w:bidi="ar"/>
              </w:rPr>
              <w:t>8</w:t>
            </w:r>
            <w:r>
              <w:rPr>
                <w:rFonts w:hint="eastAsia"/>
                <w:color w:val="auto"/>
                <w:sz w:val="21"/>
                <w:szCs w:val="21"/>
                <w:highlight w:val="none"/>
                <w:lang w:val="en-US" w:bidi="ar"/>
              </w:rPr>
              <w:t>.详细的技术服务响应方案（按照详细技术响应的相关要求编写）；</w:t>
            </w:r>
          </w:p>
          <w:p>
            <w:pPr>
              <w:widowControl/>
              <w:jc w:val="both"/>
              <w:rPr>
                <w:color w:val="auto"/>
                <w:sz w:val="21"/>
                <w:szCs w:val="21"/>
                <w:highlight w:val="none"/>
              </w:rPr>
            </w:pPr>
            <w:r>
              <w:rPr>
                <w:rFonts w:hint="eastAsia"/>
                <w:color w:val="auto"/>
                <w:sz w:val="21"/>
                <w:szCs w:val="21"/>
                <w:highlight w:val="none"/>
                <w:lang w:val="en-US" w:eastAsia="zh-CN" w:bidi="ar"/>
              </w:rPr>
              <w:t>9</w:t>
            </w:r>
            <w:r>
              <w:rPr>
                <w:rFonts w:hint="eastAsia"/>
                <w:color w:val="auto"/>
                <w:sz w:val="21"/>
                <w:szCs w:val="21"/>
                <w:highlight w:val="none"/>
                <w:lang w:val="en-US" w:bidi="ar"/>
              </w:rPr>
              <w:t>.评标标准中提及的相关评审证明材料以及投标人认为需要提供的其他材料。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15报价部分构成</w:t>
            </w:r>
          </w:p>
        </w:tc>
        <w:tc>
          <w:tcPr>
            <w:tcW w:w="885" w:type="dxa"/>
            <w:vAlign w:val="center"/>
          </w:tcPr>
          <w:p>
            <w:pPr>
              <w:widowControl/>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w:t>
            </w:r>
            <w:r>
              <w:rPr>
                <w:rFonts w:hint="eastAsia"/>
                <w:color w:val="auto"/>
                <w:sz w:val="21"/>
                <w:szCs w:val="21"/>
                <w:highlight w:val="none"/>
                <w:lang w:val="en-US" w:eastAsia="zh-CN" w:bidi="ar"/>
              </w:rPr>
              <w:t>1</w:t>
            </w:r>
            <w:r>
              <w:rPr>
                <w:rFonts w:hint="eastAsia"/>
                <w:color w:val="auto"/>
                <w:sz w:val="21"/>
                <w:szCs w:val="21"/>
                <w:highlight w:val="none"/>
                <w:lang w:val="en-US" w:bidi="ar"/>
              </w:rPr>
              <w:t>.开标一览表（格式见第六章</w:t>
            </w:r>
            <w:r>
              <w:rPr>
                <w:rFonts w:hint="eastAsia"/>
                <w:color w:val="auto"/>
                <w:sz w:val="21"/>
                <w:szCs w:val="21"/>
                <w:highlight w:val="none"/>
                <w:lang w:val="en-US" w:eastAsia="zh-CN" w:bidi="ar"/>
              </w:rPr>
              <w:t>报价文件格式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1</w:t>
            </w:r>
            <w:r>
              <w:rPr>
                <w:rFonts w:hint="eastAsia"/>
                <w:color w:val="auto"/>
                <w:sz w:val="21"/>
                <w:szCs w:val="21"/>
                <w:highlight w:val="none"/>
                <w:lang w:val="en-US" w:bidi="ar"/>
              </w:rPr>
              <w:t>）；</w:t>
            </w:r>
          </w:p>
          <w:p>
            <w:pPr>
              <w:widowControl/>
              <w:jc w:val="both"/>
              <w:rPr>
                <w:rFonts w:hint="eastAsia"/>
                <w:color w:val="auto"/>
                <w:sz w:val="21"/>
                <w:szCs w:val="21"/>
                <w:highlight w:val="none"/>
                <w:lang w:val="en-US" w:bidi="ar"/>
              </w:rPr>
            </w:pPr>
            <w:r>
              <w:rPr>
                <w:rFonts w:hint="eastAsia"/>
                <w:color w:val="auto"/>
                <w:sz w:val="21"/>
                <w:szCs w:val="21"/>
                <w:highlight w:val="none"/>
                <w:lang w:val="en-US" w:bidi="ar"/>
              </w:rPr>
              <w:t>*</w:t>
            </w:r>
            <w:r>
              <w:rPr>
                <w:rFonts w:hint="eastAsia"/>
                <w:color w:val="auto"/>
                <w:sz w:val="21"/>
                <w:szCs w:val="21"/>
                <w:highlight w:val="none"/>
                <w:lang w:val="en-US" w:eastAsia="zh-CN" w:bidi="ar"/>
              </w:rPr>
              <w:t>2</w:t>
            </w:r>
            <w:r>
              <w:rPr>
                <w:rFonts w:hint="eastAsia"/>
                <w:color w:val="auto"/>
                <w:sz w:val="21"/>
                <w:szCs w:val="21"/>
                <w:highlight w:val="none"/>
                <w:lang w:val="en-US" w:bidi="ar"/>
              </w:rPr>
              <w:t>.投标分项报价表（格式见第六章</w:t>
            </w:r>
            <w:r>
              <w:rPr>
                <w:rFonts w:hint="eastAsia"/>
                <w:color w:val="auto"/>
                <w:sz w:val="21"/>
                <w:szCs w:val="21"/>
                <w:highlight w:val="none"/>
                <w:lang w:val="en-US" w:eastAsia="zh-CN" w:bidi="ar"/>
              </w:rPr>
              <w:t>报价文件格式</w:t>
            </w:r>
            <w:r>
              <w:rPr>
                <w:rFonts w:hint="eastAsia"/>
                <w:color w:val="auto"/>
                <w:sz w:val="21"/>
                <w:szCs w:val="21"/>
                <w:highlight w:val="none"/>
                <w:lang w:val="en-US" w:bidi="ar"/>
              </w:rPr>
              <w:t xml:space="preserve">附件 </w:t>
            </w:r>
            <w:r>
              <w:rPr>
                <w:rFonts w:hint="eastAsia"/>
                <w:color w:val="auto"/>
                <w:sz w:val="21"/>
                <w:szCs w:val="21"/>
                <w:highlight w:val="none"/>
                <w:lang w:val="en-US" w:eastAsia="zh-CN" w:bidi="ar"/>
              </w:rPr>
              <w:t>2</w:t>
            </w:r>
            <w:r>
              <w:rPr>
                <w:rFonts w:hint="eastAsia"/>
                <w:color w:val="auto"/>
                <w:sz w:val="21"/>
                <w:szCs w:val="21"/>
                <w:highlight w:val="none"/>
                <w:lang w:val="en-US"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1</w:t>
            </w:r>
            <w:r>
              <w:rPr>
                <w:rFonts w:hint="eastAsia"/>
                <w:color w:val="auto"/>
                <w:sz w:val="21"/>
                <w:szCs w:val="21"/>
                <w:highlight w:val="none"/>
                <w:lang w:val="en-US" w:eastAsia="zh-CN" w:bidi="ar"/>
              </w:rPr>
              <w:t>6</w:t>
            </w:r>
            <w:r>
              <w:rPr>
                <w:rFonts w:hint="eastAsia"/>
                <w:color w:val="auto"/>
                <w:sz w:val="21"/>
                <w:szCs w:val="21"/>
                <w:highlight w:val="none"/>
                <w:lang w:val="en-US" w:bidi="ar"/>
              </w:rPr>
              <w:t>.投标文件内容其他要求或注意事项</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12.2</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 xml:space="preserve">1、货物及服务主要技术指标和性能的详细说明，应提供详细技术支持材料。技术支持材料形式为以下几种中的一种： </w:t>
            </w:r>
          </w:p>
          <w:p>
            <w:pPr>
              <w:widowControl/>
              <w:jc w:val="both"/>
              <w:rPr>
                <w:color w:val="auto"/>
                <w:sz w:val="21"/>
                <w:szCs w:val="21"/>
                <w:highlight w:val="none"/>
              </w:rPr>
            </w:pPr>
            <w:r>
              <w:rPr>
                <w:rFonts w:hint="eastAsia"/>
                <w:color w:val="auto"/>
                <w:sz w:val="21"/>
                <w:szCs w:val="21"/>
                <w:highlight w:val="none"/>
                <w:lang w:val="en-US" w:bidi="ar"/>
              </w:rPr>
              <w:t xml:space="preserve">①第三方机构出具的检测报告 或 </w:t>
            </w:r>
          </w:p>
          <w:p>
            <w:pPr>
              <w:widowControl/>
              <w:jc w:val="both"/>
              <w:rPr>
                <w:color w:val="auto"/>
                <w:sz w:val="21"/>
                <w:szCs w:val="21"/>
                <w:highlight w:val="none"/>
              </w:rPr>
            </w:pPr>
            <w:r>
              <w:rPr>
                <w:rFonts w:hint="eastAsia"/>
                <w:color w:val="auto"/>
                <w:sz w:val="21"/>
                <w:szCs w:val="21"/>
                <w:highlight w:val="none"/>
                <w:lang w:val="en-US" w:bidi="ar"/>
              </w:rPr>
              <w:t xml:space="preserve">②投标产品制造商公开发布的印刷资料（或网页资料） 或 </w:t>
            </w:r>
          </w:p>
          <w:p>
            <w:pPr>
              <w:widowControl/>
              <w:jc w:val="both"/>
              <w:rPr>
                <w:color w:val="auto"/>
                <w:sz w:val="21"/>
                <w:szCs w:val="21"/>
                <w:highlight w:val="none"/>
              </w:rPr>
            </w:pPr>
            <w:r>
              <w:rPr>
                <w:rFonts w:hint="eastAsia"/>
                <w:color w:val="auto"/>
                <w:sz w:val="21"/>
                <w:szCs w:val="21"/>
                <w:highlight w:val="none"/>
                <w:lang w:val="en-US" w:bidi="ar"/>
              </w:rPr>
              <w:t xml:space="preserve">③产品技术手册/说明书 或 </w:t>
            </w:r>
          </w:p>
          <w:p>
            <w:pPr>
              <w:widowControl/>
              <w:jc w:val="both"/>
              <w:rPr>
                <w:color w:val="auto"/>
                <w:sz w:val="21"/>
                <w:szCs w:val="21"/>
                <w:highlight w:val="none"/>
              </w:rPr>
            </w:pPr>
            <w:r>
              <w:rPr>
                <w:rFonts w:hint="eastAsia"/>
                <w:color w:val="auto"/>
                <w:sz w:val="21"/>
                <w:szCs w:val="21"/>
                <w:highlight w:val="none"/>
                <w:lang w:val="en-US" w:bidi="ar"/>
              </w:rPr>
              <w:t xml:space="preserve">④产品制造商出具的技术参数承诺（加盖制造商公章） 或 </w:t>
            </w:r>
          </w:p>
          <w:p>
            <w:pPr>
              <w:widowControl/>
              <w:jc w:val="both"/>
              <w:rPr>
                <w:color w:val="auto"/>
                <w:sz w:val="21"/>
                <w:szCs w:val="21"/>
                <w:highlight w:val="none"/>
              </w:rPr>
            </w:pPr>
            <w:r>
              <w:rPr>
                <w:rFonts w:hint="eastAsia"/>
                <w:color w:val="auto"/>
                <w:sz w:val="21"/>
                <w:szCs w:val="21"/>
                <w:highlight w:val="none"/>
                <w:lang w:val="en-US" w:bidi="ar"/>
              </w:rPr>
              <w:t xml:space="preserve">⑤招标文件规定认可的其他形式。 </w:t>
            </w:r>
          </w:p>
          <w:p>
            <w:pPr>
              <w:widowControl/>
              <w:jc w:val="both"/>
              <w:rPr>
                <w:color w:val="auto"/>
                <w:sz w:val="21"/>
                <w:szCs w:val="21"/>
                <w:highlight w:val="none"/>
              </w:rPr>
            </w:pPr>
            <w:r>
              <w:rPr>
                <w:rFonts w:hint="eastAsia"/>
                <w:color w:val="auto"/>
                <w:sz w:val="21"/>
                <w:szCs w:val="21"/>
                <w:highlight w:val="none"/>
                <w:lang w:val="en-US" w:bidi="ar"/>
              </w:rPr>
              <w:t xml:space="preserve">投标人提供的多种技术支持材料内容出现矛盾的，按照从①至⑤的优先顺序进行认定（①为最优先）。 </w:t>
            </w:r>
          </w:p>
          <w:p>
            <w:pPr>
              <w:widowControl/>
              <w:jc w:val="both"/>
              <w:rPr>
                <w:color w:val="auto"/>
                <w:sz w:val="21"/>
                <w:szCs w:val="21"/>
                <w:highlight w:val="none"/>
              </w:rPr>
            </w:pPr>
            <w:r>
              <w:rPr>
                <w:rFonts w:hint="eastAsia"/>
                <w:color w:val="auto"/>
                <w:sz w:val="21"/>
                <w:szCs w:val="21"/>
                <w:highlight w:val="none"/>
                <w:lang w:val="en-US" w:bidi="ar"/>
              </w:rPr>
              <w:t>2、对照招标文件技术要求，说明所提供货物和服务已对采购人的技术要求逐项作出了明确响应，并申明与技术要求条文的偏差和例外。在填写技术服务需求偏离表时，对于可以用量化形式表示的条款，投标人应量化明确应答；对于非量化的条款投标人应以功能或性能描述应答，指出所提供的货物和服务是否满足，投标人应提供明确的说明文件及证明文件在投标文件中的页码索引，未提供索引或索引错误的后果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1</w:t>
            </w:r>
            <w:r>
              <w:rPr>
                <w:rFonts w:hint="eastAsia"/>
                <w:color w:val="auto"/>
                <w:sz w:val="21"/>
                <w:szCs w:val="21"/>
                <w:highlight w:val="none"/>
                <w:lang w:val="en-US" w:eastAsia="zh-CN" w:bidi="ar"/>
              </w:rPr>
              <w:t>7</w:t>
            </w:r>
            <w:r>
              <w:rPr>
                <w:rFonts w:hint="eastAsia"/>
                <w:color w:val="auto"/>
                <w:sz w:val="21"/>
                <w:szCs w:val="21"/>
                <w:highlight w:val="none"/>
                <w:lang w:val="en-US" w:bidi="ar"/>
              </w:rPr>
              <w:t>.投标文件编制要求</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13.1</w:t>
            </w:r>
          </w:p>
        </w:tc>
        <w:tc>
          <w:tcPr>
            <w:tcW w:w="7623" w:type="dxa"/>
            <w:vAlign w:val="center"/>
          </w:tcPr>
          <w:p>
            <w:pPr>
              <w:widowControl/>
              <w:jc w:val="both"/>
              <w:rPr>
                <w:color w:val="auto"/>
                <w:sz w:val="20"/>
                <w:szCs w:val="20"/>
                <w:highlight w:val="none"/>
              </w:rPr>
            </w:pPr>
            <w:r>
              <w:rPr>
                <w:rFonts w:hint="eastAsia"/>
                <w:color w:val="auto"/>
                <w:sz w:val="21"/>
                <w:szCs w:val="21"/>
                <w:highlight w:val="none"/>
                <w:lang w:val="en-US" w:bidi="ar"/>
              </w:rPr>
              <w:t>响应文件应按资格证明文件、商务技术文件分别编制，资格证明文件分别生产电子文件，商务文件和技术文件按顺序合并生成电子文件。</w:t>
            </w:r>
            <w:r>
              <w:rPr>
                <w:rFonts w:hint="eastAsia"/>
                <w:b/>
                <w:bCs/>
                <w:color w:val="auto"/>
                <w:sz w:val="21"/>
                <w:szCs w:val="21"/>
                <w:highlight w:val="none"/>
                <w:lang w:val="en-US" w:bidi="ar"/>
              </w:rPr>
              <w:t>电子版响应文件制作请咨询政采云平台。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restart"/>
            <w:vAlign w:val="center"/>
          </w:tcPr>
          <w:p>
            <w:pPr>
              <w:widowControl/>
              <w:jc w:val="center"/>
              <w:rPr>
                <w:color w:val="auto"/>
                <w:sz w:val="21"/>
                <w:szCs w:val="21"/>
                <w:highlight w:val="none"/>
              </w:rPr>
            </w:pPr>
            <w:r>
              <w:rPr>
                <w:rFonts w:hint="eastAsia"/>
                <w:color w:val="auto"/>
                <w:sz w:val="21"/>
                <w:szCs w:val="21"/>
                <w:highlight w:val="none"/>
                <w:lang w:val="en-US" w:bidi="ar"/>
              </w:rPr>
              <w:t>1</w:t>
            </w:r>
            <w:r>
              <w:rPr>
                <w:rFonts w:hint="eastAsia"/>
                <w:color w:val="auto"/>
                <w:sz w:val="21"/>
                <w:szCs w:val="21"/>
                <w:highlight w:val="none"/>
                <w:lang w:val="en-US" w:eastAsia="zh-CN" w:bidi="ar"/>
              </w:rPr>
              <w:t>8</w:t>
            </w:r>
            <w:r>
              <w:rPr>
                <w:rFonts w:hint="eastAsia"/>
                <w:color w:val="auto"/>
                <w:sz w:val="21"/>
                <w:szCs w:val="21"/>
                <w:highlight w:val="none"/>
                <w:lang w:val="en-US" w:bidi="ar"/>
              </w:rPr>
              <w:t>.投标报价</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14.1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开标一览表具体格式见“附件 2”</w:t>
            </w:r>
          </w:p>
          <w:p>
            <w:pPr>
              <w:widowControl/>
              <w:jc w:val="both"/>
              <w:rPr>
                <w:color w:val="auto"/>
                <w:sz w:val="21"/>
                <w:szCs w:val="21"/>
                <w:highlight w:val="none"/>
              </w:rPr>
            </w:pPr>
            <w:r>
              <w:rPr>
                <w:rFonts w:hint="eastAsia"/>
                <w:color w:val="auto"/>
                <w:sz w:val="21"/>
                <w:szCs w:val="21"/>
                <w:highlight w:val="none"/>
                <w:lang w:val="en-US" w:bidi="ar"/>
              </w:rPr>
              <w:t>报价方式：</w:t>
            </w:r>
            <w:r>
              <w:rPr>
                <w:rFonts w:hint="eastAsia"/>
                <w:b/>
                <w:color w:val="auto"/>
                <w:sz w:val="21"/>
                <w:szCs w:val="21"/>
                <w:highlight w:val="none"/>
                <w:lang w:val="en-US" w:bidi="ar"/>
              </w:rPr>
              <w:t>项目现场完税价。</w:t>
            </w:r>
          </w:p>
          <w:p>
            <w:pPr>
              <w:widowControl/>
              <w:jc w:val="both"/>
              <w:rPr>
                <w:color w:val="auto"/>
                <w:sz w:val="21"/>
                <w:szCs w:val="21"/>
                <w:highlight w:val="none"/>
              </w:rPr>
            </w:pPr>
            <w:r>
              <w:rPr>
                <w:rFonts w:hint="eastAsia"/>
                <w:color w:val="auto"/>
                <w:sz w:val="21"/>
                <w:szCs w:val="21"/>
                <w:highlight w:val="none"/>
                <w:lang w:val="en-US" w:bidi="ar"/>
              </w:rPr>
              <w:t>采购人就本合同约定内容将不再支付投标报价以外的费用。因投标发生的费用缺漏项将是投标人的风险，投标人将无条件给予补充完备，且投标价不变，否则其</w:t>
            </w:r>
            <w:r>
              <w:rPr>
                <w:rFonts w:hint="eastAsia"/>
                <w:b/>
                <w:color w:val="auto"/>
                <w:sz w:val="21"/>
                <w:szCs w:val="21"/>
                <w:highlight w:val="none"/>
                <w:lang w:val="en-US" w:bidi="ar"/>
              </w:rPr>
              <w:t>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Merge w:val="continue"/>
            <w:vAlign w:val="center"/>
          </w:tcPr>
          <w:p>
            <w:pPr>
              <w:pStyle w:val="14"/>
              <w:jc w:val="center"/>
              <w:rPr>
                <w:color w:val="auto"/>
                <w:sz w:val="21"/>
                <w:szCs w:val="21"/>
                <w:highlight w:val="none"/>
              </w:rPr>
            </w:pP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14.1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报价币种及单位：人民币元，币种及单位不符合该要求的投标将被否决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1</w:t>
            </w:r>
            <w:r>
              <w:rPr>
                <w:rFonts w:hint="eastAsia"/>
                <w:color w:val="auto"/>
                <w:sz w:val="21"/>
                <w:szCs w:val="21"/>
                <w:highlight w:val="none"/>
                <w:lang w:val="en-US" w:eastAsia="zh-CN" w:bidi="ar"/>
              </w:rPr>
              <w:t>9</w:t>
            </w:r>
            <w:r>
              <w:rPr>
                <w:rFonts w:hint="eastAsia"/>
                <w:color w:val="auto"/>
                <w:sz w:val="21"/>
                <w:szCs w:val="21"/>
                <w:highlight w:val="none"/>
                <w:lang w:val="en-US" w:bidi="ar"/>
              </w:rPr>
              <w:t>.最高限价</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14.5</w:t>
            </w:r>
          </w:p>
        </w:tc>
        <w:tc>
          <w:tcPr>
            <w:tcW w:w="7623" w:type="dxa"/>
            <w:vAlign w:val="center"/>
          </w:tcPr>
          <w:p>
            <w:pPr>
              <w:widowControl/>
              <w:jc w:val="both"/>
              <w:rPr>
                <w:color w:val="auto"/>
                <w:sz w:val="21"/>
                <w:szCs w:val="21"/>
                <w:highlight w:val="none"/>
                <w:lang w:val="en-US"/>
              </w:rPr>
            </w:pPr>
            <w:r>
              <w:rPr>
                <w:rFonts w:hint="eastAsia"/>
                <w:color w:val="auto"/>
                <w:sz w:val="21"/>
                <w:szCs w:val="21"/>
                <w:highlight w:val="none"/>
                <w:lang w:val="en-US" w:bidi="ar"/>
              </w:rPr>
              <w:t>最高限价（最高投标限价）：</w:t>
            </w:r>
            <w:r>
              <w:rPr>
                <w:rFonts w:hint="eastAsia"/>
                <w:color w:val="auto"/>
                <w:sz w:val="21"/>
                <w:szCs w:val="21"/>
                <w:highlight w:val="none"/>
                <w:lang w:val="en-US"/>
              </w:rPr>
              <w:t>标项1：</w:t>
            </w:r>
            <w:r>
              <w:rPr>
                <w:rFonts w:hint="eastAsia"/>
                <w:color w:val="auto"/>
                <w:sz w:val="21"/>
                <w:szCs w:val="21"/>
                <w:highlight w:val="none"/>
              </w:rPr>
              <w:t>5530</w:t>
            </w:r>
            <w:r>
              <w:rPr>
                <w:rFonts w:hint="eastAsia"/>
                <w:color w:val="auto"/>
                <w:sz w:val="21"/>
                <w:szCs w:val="21"/>
                <w:highlight w:val="none"/>
                <w:lang w:val="en-US"/>
              </w:rPr>
              <w:t>00元；标项2：669000元；标项3：485000元；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eastAsia="zh-CN" w:bidi="ar"/>
              </w:rPr>
              <w:t>20</w:t>
            </w:r>
            <w:r>
              <w:rPr>
                <w:rFonts w:hint="eastAsia"/>
                <w:color w:val="auto"/>
                <w:sz w:val="21"/>
                <w:szCs w:val="21"/>
                <w:highlight w:val="none"/>
                <w:lang w:val="en-US" w:bidi="ar"/>
              </w:rPr>
              <w:t>.投标有效期</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15.1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自投标截止时间之日起 60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2</w:t>
            </w:r>
            <w:r>
              <w:rPr>
                <w:rFonts w:hint="eastAsia"/>
                <w:color w:val="auto"/>
                <w:sz w:val="21"/>
                <w:szCs w:val="21"/>
                <w:highlight w:val="none"/>
                <w:lang w:val="en-US" w:eastAsia="zh-CN" w:bidi="ar"/>
              </w:rPr>
              <w:t>1</w:t>
            </w:r>
            <w:r>
              <w:rPr>
                <w:rFonts w:hint="eastAsia"/>
                <w:color w:val="auto"/>
                <w:sz w:val="21"/>
                <w:szCs w:val="21"/>
                <w:highlight w:val="none"/>
                <w:lang w:val="en-US" w:bidi="ar"/>
              </w:rPr>
              <w:t>.投标保证金</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15.2</w:t>
            </w:r>
          </w:p>
        </w:tc>
        <w:tc>
          <w:tcPr>
            <w:tcW w:w="7623" w:type="dxa"/>
            <w:vAlign w:val="center"/>
          </w:tcPr>
          <w:p>
            <w:pPr>
              <w:widowControl/>
              <w:jc w:val="both"/>
              <w:rPr>
                <w:color w:val="auto"/>
                <w:sz w:val="21"/>
                <w:szCs w:val="21"/>
                <w:highlight w:val="none"/>
                <w:lang w:val="en-US" w:bidi="ar"/>
              </w:rPr>
            </w:pPr>
            <w:r>
              <w:rPr>
                <w:rFonts w:hint="eastAsia"/>
                <w:color w:val="auto"/>
                <w:sz w:val="21"/>
                <w:szCs w:val="21"/>
                <w:highlight w:val="none"/>
                <w:lang w:val="en-US" w:bidi="ar"/>
              </w:rPr>
              <w:t>投标保证金金额：</w:t>
            </w:r>
            <w:r>
              <w:rPr>
                <w:rFonts w:hint="eastAsia"/>
                <w:color w:val="auto"/>
                <w:sz w:val="21"/>
                <w:szCs w:val="21"/>
                <w:highlight w:val="none"/>
                <w:lang w:val="en-US"/>
              </w:rPr>
              <w:t>标项1：</w:t>
            </w:r>
            <w:r>
              <w:rPr>
                <w:rFonts w:hint="eastAsia"/>
                <w:color w:val="auto"/>
                <w:sz w:val="21"/>
                <w:szCs w:val="21"/>
                <w:highlight w:val="none"/>
                <w:lang w:val="en-US" w:bidi="ar"/>
              </w:rPr>
              <w:t>人民币 11000 元（壹万壹仟元整）</w:t>
            </w:r>
          </w:p>
          <w:p>
            <w:pPr>
              <w:pStyle w:val="2"/>
              <w:jc w:val="both"/>
              <w:rPr>
                <w:color w:val="auto"/>
                <w:sz w:val="21"/>
                <w:szCs w:val="21"/>
                <w:highlight w:val="none"/>
                <w:lang w:val="en-US" w:bidi="ar"/>
              </w:rPr>
            </w:pPr>
            <w:r>
              <w:rPr>
                <w:rFonts w:hint="eastAsia"/>
                <w:color w:val="auto"/>
                <w:sz w:val="21"/>
                <w:szCs w:val="21"/>
                <w:highlight w:val="none"/>
                <w:lang w:val="en-US" w:bidi="ar"/>
              </w:rPr>
              <w:t xml:space="preserve">            </w:t>
            </w:r>
            <w:r>
              <w:rPr>
                <w:rFonts w:hint="eastAsia"/>
                <w:color w:val="auto"/>
                <w:sz w:val="21"/>
                <w:szCs w:val="21"/>
                <w:highlight w:val="none"/>
                <w:lang w:val="en-US"/>
              </w:rPr>
              <w:t>标项2：</w:t>
            </w:r>
            <w:r>
              <w:rPr>
                <w:rFonts w:hint="eastAsia"/>
                <w:color w:val="auto"/>
                <w:sz w:val="21"/>
                <w:szCs w:val="21"/>
                <w:highlight w:val="none"/>
                <w:lang w:val="en-US" w:bidi="ar"/>
              </w:rPr>
              <w:t>人民币 13000 元（壹万叁仟元整）</w:t>
            </w:r>
          </w:p>
          <w:p>
            <w:pPr>
              <w:pStyle w:val="2"/>
              <w:jc w:val="both"/>
              <w:rPr>
                <w:color w:val="auto"/>
                <w:sz w:val="21"/>
                <w:szCs w:val="21"/>
                <w:highlight w:val="none"/>
                <w:lang w:val="en-US" w:bidi="ar"/>
              </w:rPr>
            </w:pPr>
            <w:r>
              <w:rPr>
                <w:rFonts w:hint="eastAsia"/>
                <w:color w:val="auto"/>
                <w:sz w:val="21"/>
                <w:szCs w:val="21"/>
                <w:highlight w:val="none"/>
                <w:lang w:val="en-US" w:bidi="ar"/>
              </w:rPr>
              <w:t xml:space="preserve">            </w:t>
            </w:r>
            <w:r>
              <w:rPr>
                <w:rFonts w:hint="eastAsia"/>
                <w:color w:val="auto"/>
                <w:sz w:val="21"/>
                <w:szCs w:val="21"/>
                <w:highlight w:val="none"/>
                <w:lang w:val="en-US"/>
              </w:rPr>
              <w:t>标项3：</w:t>
            </w:r>
            <w:r>
              <w:rPr>
                <w:rFonts w:hint="eastAsia"/>
                <w:color w:val="auto"/>
                <w:sz w:val="21"/>
                <w:szCs w:val="21"/>
                <w:highlight w:val="none"/>
                <w:lang w:val="en-US" w:bidi="ar"/>
              </w:rPr>
              <w:t>人民币 9700 元（玖仟柒佰元整）</w:t>
            </w:r>
          </w:p>
          <w:p>
            <w:pPr>
              <w:widowControl/>
              <w:jc w:val="both"/>
              <w:rPr>
                <w:color w:val="auto"/>
                <w:sz w:val="21"/>
                <w:szCs w:val="21"/>
                <w:highlight w:val="none"/>
                <w:lang w:val="en-US" w:bidi="ar"/>
              </w:rPr>
            </w:pPr>
            <w:r>
              <w:rPr>
                <w:rFonts w:hint="eastAsia"/>
                <w:color w:val="auto"/>
                <w:sz w:val="21"/>
                <w:szCs w:val="21"/>
                <w:highlight w:val="none"/>
                <w:lang w:val="en-US" w:bidi="ar"/>
              </w:rPr>
              <w:t>投标保证金形式：支票、汇票、本票、网上银行支付、金融机构或担保机构出具的保函等非现金形式</w:t>
            </w:r>
          </w:p>
          <w:p>
            <w:pPr>
              <w:widowControl/>
              <w:jc w:val="both"/>
              <w:rPr>
                <w:color w:val="auto"/>
                <w:sz w:val="21"/>
                <w:szCs w:val="21"/>
                <w:highlight w:val="none"/>
                <w:lang w:val="en-US" w:bidi="ar"/>
              </w:rPr>
            </w:pPr>
            <w:r>
              <w:rPr>
                <w:rFonts w:hint="eastAsia"/>
                <w:color w:val="auto"/>
                <w:sz w:val="21"/>
                <w:szCs w:val="21"/>
                <w:highlight w:val="none"/>
                <w:lang w:val="en-US" w:bidi="ar"/>
              </w:rPr>
              <w:t>投标保证金提交截止时间：投标人应在提交投标文件截止时间前按采购文件规定的金额、形式等，将投标保证金交到保证金收款账户（采用电汇或网上银行支付的，须在提交投标文件截止时间前到账，并注明</w:t>
            </w:r>
            <w:r>
              <w:rPr>
                <w:rFonts w:hint="eastAsia"/>
                <w:b/>
                <w:bCs/>
                <w:color w:val="auto"/>
                <w:sz w:val="21"/>
                <w:szCs w:val="21"/>
                <w:highlight w:val="none"/>
                <w:lang w:val="en-US" w:bidi="ar"/>
              </w:rPr>
              <w:t>“交质检院</w:t>
            </w:r>
            <w:r>
              <w:rPr>
                <w:rFonts w:hint="eastAsia"/>
                <w:color w:val="auto"/>
                <w:sz w:val="21"/>
                <w:szCs w:val="21"/>
                <w:highlight w:val="none"/>
              </w:rPr>
              <w:t>第三批检测设备采购</w:t>
            </w:r>
            <w:r>
              <w:rPr>
                <w:rFonts w:hint="eastAsia"/>
                <w:color w:val="auto"/>
                <w:sz w:val="21"/>
                <w:szCs w:val="21"/>
                <w:highlight w:val="none"/>
                <w:lang w:val="en-US"/>
              </w:rPr>
              <w:t>标项1（标项2、标项3）</w:t>
            </w:r>
            <w:r>
              <w:rPr>
                <w:rFonts w:hint="eastAsia"/>
                <w:b/>
                <w:bCs/>
                <w:color w:val="auto"/>
                <w:sz w:val="21"/>
                <w:szCs w:val="21"/>
                <w:highlight w:val="none"/>
                <w:lang w:val="en-US" w:bidi="ar"/>
              </w:rPr>
              <w:t>投标保证金”</w:t>
            </w:r>
            <w:r>
              <w:rPr>
                <w:rFonts w:hint="eastAsia"/>
                <w:color w:val="auto"/>
                <w:sz w:val="21"/>
                <w:szCs w:val="21"/>
                <w:highlight w:val="none"/>
                <w:lang w:val="en-US" w:bidi="ar"/>
              </w:rPr>
              <w:t>）</w:t>
            </w:r>
          </w:p>
          <w:p>
            <w:pPr>
              <w:widowControl/>
              <w:jc w:val="both"/>
              <w:rPr>
                <w:color w:val="auto"/>
                <w:sz w:val="21"/>
                <w:szCs w:val="21"/>
                <w:highlight w:val="none"/>
                <w:lang w:val="en-US" w:bidi="ar"/>
              </w:rPr>
            </w:pPr>
            <w:r>
              <w:rPr>
                <w:rFonts w:hint="eastAsia"/>
                <w:color w:val="auto"/>
                <w:sz w:val="21"/>
                <w:szCs w:val="21"/>
                <w:highlight w:val="none"/>
                <w:lang w:val="en-US" w:bidi="ar"/>
              </w:rPr>
              <w:t>投标保证金银行账号：</w:t>
            </w:r>
          </w:p>
          <w:p>
            <w:pPr>
              <w:widowControl/>
              <w:jc w:val="both"/>
              <w:rPr>
                <w:color w:val="auto"/>
                <w:sz w:val="21"/>
                <w:szCs w:val="21"/>
                <w:highlight w:val="none"/>
                <w:lang w:val="en-US" w:bidi="ar"/>
              </w:rPr>
            </w:pPr>
            <w:r>
              <w:rPr>
                <w:rFonts w:hint="eastAsia"/>
                <w:color w:val="auto"/>
                <w:sz w:val="21"/>
                <w:szCs w:val="21"/>
                <w:highlight w:val="none"/>
                <w:lang w:val="en-US" w:bidi="ar"/>
              </w:rPr>
              <w:t>开户名称：新疆华恒惠欣工程项目管理有限责任公司</w:t>
            </w:r>
          </w:p>
          <w:p>
            <w:pPr>
              <w:widowControl/>
              <w:jc w:val="both"/>
              <w:rPr>
                <w:color w:val="auto"/>
                <w:sz w:val="21"/>
                <w:szCs w:val="21"/>
                <w:highlight w:val="none"/>
                <w:lang w:val="en-US" w:bidi="ar"/>
              </w:rPr>
            </w:pPr>
            <w:r>
              <w:rPr>
                <w:rFonts w:hint="eastAsia"/>
                <w:color w:val="auto"/>
                <w:sz w:val="21"/>
                <w:szCs w:val="21"/>
                <w:highlight w:val="none"/>
                <w:lang w:val="en-US" w:bidi="ar"/>
              </w:rPr>
              <w:t>账号：632815927</w:t>
            </w:r>
          </w:p>
          <w:p>
            <w:pPr>
              <w:widowControl/>
              <w:jc w:val="both"/>
              <w:rPr>
                <w:color w:val="auto"/>
                <w:sz w:val="21"/>
                <w:szCs w:val="21"/>
                <w:highlight w:val="none"/>
                <w:lang w:val="en-US" w:bidi="ar"/>
              </w:rPr>
            </w:pPr>
            <w:r>
              <w:rPr>
                <w:rFonts w:hint="eastAsia"/>
                <w:color w:val="auto"/>
                <w:sz w:val="21"/>
                <w:szCs w:val="21"/>
                <w:highlight w:val="none"/>
                <w:lang w:val="en-US" w:bidi="ar"/>
              </w:rPr>
              <w:t>开户银行：中国民生银行乌鲁木齐分行营业部</w:t>
            </w:r>
          </w:p>
          <w:p>
            <w:pPr>
              <w:widowControl/>
              <w:jc w:val="both"/>
              <w:rPr>
                <w:color w:val="auto"/>
                <w:sz w:val="21"/>
                <w:szCs w:val="21"/>
                <w:highlight w:val="none"/>
                <w:lang w:val="en-US" w:bidi="ar"/>
              </w:rPr>
            </w:pPr>
            <w:r>
              <w:rPr>
                <w:rFonts w:hint="eastAsia"/>
                <w:color w:val="auto"/>
                <w:sz w:val="21"/>
                <w:szCs w:val="21"/>
                <w:highlight w:val="none"/>
                <w:lang w:val="en-US" w:bidi="ar"/>
              </w:rPr>
              <w:t>行号：305881088014</w:t>
            </w:r>
          </w:p>
          <w:p>
            <w:pPr>
              <w:widowControl/>
              <w:jc w:val="both"/>
              <w:rPr>
                <w:color w:val="auto"/>
                <w:sz w:val="20"/>
                <w:szCs w:val="20"/>
                <w:highlight w:val="none"/>
              </w:rPr>
            </w:pPr>
            <w:r>
              <w:rPr>
                <w:rFonts w:hint="eastAsia"/>
                <w:color w:val="auto"/>
                <w:sz w:val="21"/>
                <w:szCs w:val="21"/>
                <w:highlight w:val="none"/>
                <w:lang w:val="en-US" w:bidi="ar"/>
              </w:rPr>
              <w:t>（汇款时，请输入开户银行全称，以避免出现汇款不成功）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color w:val="auto"/>
                <w:sz w:val="21"/>
                <w:szCs w:val="21"/>
                <w:highlight w:val="none"/>
                <w:lang w:val="en-US" w:bidi="ar"/>
              </w:rPr>
              <w:t>四、投标文件的递交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2</w:t>
            </w:r>
            <w:r>
              <w:rPr>
                <w:rFonts w:hint="eastAsia"/>
                <w:color w:val="auto"/>
                <w:sz w:val="21"/>
                <w:szCs w:val="21"/>
                <w:highlight w:val="none"/>
                <w:lang w:val="en-US" w:eastAsia="zh-CN" w:bidi="ar"/>
              </w:rPr>
              <w:t>2</w:t>
            </w:r>
            <w:r>
              <w:rPr>
                <w:rFonts w:hint="eastAsia"/>
                <w:color w:val="auto"/>
                <w:sz w:val="21"/>
                <w:szCs w:val="21"/>
                <w:highlight w:val="none"/>
                <w:lang w:val="en-US" w:bidi="ar"/>
              </w:rPr>
              <w:t>.备份投标文件</w:t>
            </w:r>
          </w:p>
        </w:tc>
        <w:tc>
          <w:tcPr>
            <w:tcW w:w="885" w:type="dxa"/>
            <w:vAlign w:val="center"/>
          </w:tcPr>
          <w:p>
            <w:pPr>
              <w:widowControl/>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16.4</w:t>
            </w:r>
          </w:p>
        </w:tc>
        <w:tc>
          <w:tcPr>
            <w:tcW w:w="7623" w:type="dxa"/>
            <w:vAlign w:val="center"/>
          </w:tcPr>
          <w:p>
            <w:pPr>
              <w:widowControl/>
              <w:autoSpaceDE/>
              <w:autoSpaceDN/>
              <w:jc w:val="both"/>
              <w:rPr>
                <w:rFonts w:ascii="Times New Roman" w:hAnsi="Times New Roman" w:cs="Times New Roman"/>
                <w:color w:val="auto"/>
                <w:kern w:val="2"/>
                <w:sz w:val="21"/>
                <w:szCs w:val="24"/>
                <w:highlight w:val="none"/>
                <w:lang w:val="en-US" w:bidi="ar-SA"/>
              </w:rPr>
            </w:pPr>
            <w:r>
              <w:rPr>
                <w:rFonts w:hint="eastAsia" w:ascii="Times New Roman" w:hAnsi="Times New Roman" w:cs="Times New Roman"/>
                <w:color w:val="auto"/>
                <w:kern w:val="2"/>
                <w:sz w:val="21"/>
                <w:szCs w:val="24"/>
                <w:highlight w:val="none"/>
                <w:lang w:val="en-US" w:bidi="ar-SA"/>
              </w:rPr>
              <w:t>中标供应商在领取中标通知书时须向代理机构提供纸质版投标文件正本1份，副本2份（归档资料备用），并标明正本副本字样，副本可为正本复印件。</w:t>
            </w:r>
          </w:p>
          <w:p>
            <w:pPr>
              <w:widowControl/>
              <w:autoSpaceDE/>
              <w:autoSpaceDN/>
              <w:jc w:val="both"/>
              <w:rPr>
                <w:rFonts w:ascii="Times New Roman" w:hAnsi="Times New Roman" w:cs="Times New Roman"/>
                <w:color w:val="auto"/>
                <w:kern w:val="2"/>
                <w:sz w:val="21"/>
                <w:szCs w:val="24"/>
                <w:highlight w:val="none"/>
                <w:lang w:val="en-US" w:bidi="ar-SA"/>
              </w:rPr>
            </w:pPr>
            <w:r>
              <w:rPr>
                <w:rFonts w:hint="eastAsia" w:ascii="Times New Roman" w:hAnsi="Times New Roman" w:cs="Times New Roman"/>
                <w:color w:val="auto"/>
                <w:kern w:val="2"/>
                <w:sz w:val="21"/>
                <w:szCs w:val="24"/>
                <w:highlight w:val="none"/>
                <w:lang w:val="en-US" w:bidi="ar-SA"/>
              </w:rPr>
              <w:t>注：纸质版投标文件必须与不见面开标系统上传的电子版固化投标文件相同，正本纸质投标文件需有单位鲜章（彩色打印）。</w:t>
            </w:r>
          </w:p>
          <w:p>
            <w:pPr>
              <w:widowControl/>
              <w:autoSpaceDE/>
              <w:autoSpaceDN/>
              <w:jc w:val="both"/>
              <w:rPr>
                <w:rFonts w:ascii="Times New Roman" w:hAnsi="Times New Roman" w:cs="Times New Roman"/>
                <w:color w:val="auto"/>
                <w:kern w:val="2"/>
                <w:sz w:val="21"/>
                <w:szCs w:val="24"/>
                <w:highlight w:val="none"/>
                <w:lang w:val="en-US" w:bidi="ar-SA"/>
              </w:rPr>
            </w:pPr>
            <w:r>
              <w:rPr>
                <w:rFonts w:hint="eastAsia" w:ascii="Times New Roman" w:hAnsi="Times New Roman" w:cs="Times New Roman"/>
                <w:color w:val="auto"/>
                <w:kern w:val="2"/>
                <w:sz w:val="21"/>
                <w:szCs w:val="24"/>
                <w:highlight w:val="none"/>
                <w:lang w:val="en-US" w:bidi="ar-SA"/>
              </w:rPr>
              <w:t>提交方式：现场提交或邮寄</w:t>
            </w:r>
          </w:p>
          <w:p>
            <w:pPr>
              <w:widowControl/>
              <w:jc w:val="both"/>
              <w:rPr>
                <w:color w:val="auto"/>
                <w:sz w:val="21"/>
                <w:szCs w:val="21"/>
                <w:highlight w:val="none"/>
              </w:rPr>
            </w:pPr>
            <w:r>
              <w:rPr>
                <w:rFonts w:hint="eastAsia" w:ascii="Times New Roman" w:hAnsi="Times New Roman" w:cs="Times New Roman"/>
                <w:color w:val="auto"/>
                <w:kern w:val="2"/>
                <w:sz w:val="21"/>
                <w:szCs w:val="20"/>
                <w:highlight w:val="none"/>
                <w:lang w:val="en-US" w:bidi="ar-SA"/>
              </w:rPr>
              <w:t>提交份数：正本一份，副本二份（归档资料备用）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w:t>
            </w:r>
            <w:r>
              <w:rPr>
                <w:rFonts w:hint="eastAsia"/>
                <w:color w:val="auto"/>
                <w:sz w:val="21"/>
                <w:szCs w:val="21"/>
                <w:highlight w:val="none"/>
                <w:lang w:val="en-US" w:eastAsia="zh-CN" w:bidi="ar"/>
              </w:rPr>
              <w:t>3</w:t>
            </w:r>
            <w:r>
              <w:rPr>
                <w:rFonts w:hint="eastAsia"/>
                <w:color w:val="auto"/>
                <w:sz w:val="21"/>
                <w:szCs w:val="21"/>
                <w:highlight w:val="none"/>
                <w:lang w:val="en-US" w:bidi="ar"/>
              </w:rPr>
              <w:t>.</w:t>
            </w:r>
            <w:r>
              <w:rPr>
                <w:rFonts w:hint="eastAsia"/>
                <w:color w:val="auto"/>
                <w:sz w:val="21"/>
                <w:szCs w:val="21"/>
                <w:highlight w:val="none"/>
              </w:rPr>
              <w:t>样品</w:t>
            </w:r>
          </w:p>
        </w:tc>
        <w:tc>
          <w:tcPr>
            <w:tcW w:w="885" w:type="dxa"/>
            <w:vAlign w:val="center"/>
          </w:tcPr>
          <w:p>
            <w:pPr>
              <w:widowControl/>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bidi="ar"/>
              </w:rPr>
              <w:t>17</w:t>
            </w:r>
          </w:p>
        </w:tc>
        <w:tc>
          <w:tcPr>
            <w:tcW w:w="7623" w:type="dxa"/>
            <w:vAlign w:val="center"/>
          </w:tcPr>
          <w:p>
            <w:pPr>
              <w:adjustRightInd w:val="0"/>
              <w:spacing w:line="340" w:lineRule="exact"/>
              <w:jc w:val="both"/>
              <w:rPr>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无</w:t>
            </w:r>
          </w:p>
          <w:p>
            <w:pPr>
              <w:adjustRightInd w:val="0"/>
              <w:spacing w:line="340" w:lineRule="exact"/>
              <w:jc w:val="both"/>
              <w:rPr>
                <w:color w:val="auto"/>
                <w:sz w:val="21"/>
                <w:szCs w:val="21"/>
                <w:highlight w:val="none"/>
                <w:lang w:val="en-US" w:bidi="ar"/>
              </w:rPr>
            </w:pPr>
            <w:r>
              <w:rPr>
                <w:rFonts w:hint="eastAsia"/>
                <w:color w:val="auto"/>
                <w:kern w:val="2"/>
                <w:sz w:val="21"/>
                <w:szCs w:val="21"/>
                <w:highlight w:val="none"/>
                <w:lang w:val="en-US" w:bidi="ar-SA"/>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w:t>
            </w:r>
            <w:r>
              <w:rPr>
                <w:rFonts w:hint="eastAsia"/>
                <w:color w:val="auto"/>
                <w:sz w:val="21"/>
                <w:szCs w:val="21"/>
                <w:highlight w:val="none"/>
                <w:lang w:val="en-US" w:eastAsia="zh-CN" w:bidi="ar"/>
              </w:rPr>
              <w:t>4</w:t>
            </w:r>
            <w:r>
              <w:rPr>
                <w:rFonts w:hint="eastAsia"/>
                <w:color w:val="auto"/>
                <w:sz w:val="21"/>
                <w:szCs w:val="21"/>
                <w:highlight w:val="none"/>
                <w:lang w:val="en-US" w:bidi="ar"/>
              </w:rPr>
              <w:t>.投标文件提交地点及截止时间</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18.1</w:t>
            </w:r>
          </w:p>
        </w:tc>
        <w:tc>
          <w:tcPr>
            <w:tcW w:w="7623" w:type="dxa"/>
            <w:vAlign w:val="center"/>
          </w:tcPr>
          <w:p>
            <w:pPr>
              <w:adjustRightInd w:val="0"/>
              <w:snapToGrid w:val="0"/>
              <w:jc w:val="both"/>
              <w:rPr>
                <w:color w:val="auto"/>
                <w:sz w:val="21"/>
                <w:szCs w:val="21"/>
                <w:highlight w:val="none"/>
                <w:lang w:val="en-US"/>
              </w:rPr>
            </w:pPr>
            <w:r>
              <w:rPr>
                <w:rFonts w:hint="eastAsia"/>
                <w:color w:val="auto"/>
                <w:sz w:val="21"/>
                <w:szCs w:val="21"/>
                <w:highlight w:val="none"/>
              </w:rPr>
              <w:t>提交地点：</w:t>
            </w:r>
            <w:r>
              <w:rPr>
                <w:rFonts w:hint="eastAsia"/>
                <w:color w:val="auto"/>
                <w:sz w:val="21"/>
                <w:szCs w:val="21"/>
                <w:highlight w:val="none"/>
                <w:lang w:val="en-US"/>
              </w:rPr>
              <w:t>详见“第一章 投标邀请”</w:t>
            </w:r>
          </w:p>
          <w:p>
            <w:pPr>
              <w:adjustRightInd w:val="0"/>
              <w:snapToGrid w:val="0"/>
              <w:jc w:val="both"/>
              <w:rPr>
                <w:color w:val="auto"/>
                <w:sz w:val="20"/>
                <w:szCs w:val="20"/>
                <w:highlight w:val="none"/>
              </w:rPr>
            </w:pPr>
            <w:r>
              <w:rPr>
                <w:rFonts w:hint="eastAsia"/>
                <w:color w:val="auto"/>
                <w:sz w:val="21"/>
                <w:szCs w:val="21"/>
                <w:highlight w:val="none"/>
              </w:rPr>
              <w:t>投标截止时间：</w:t>
            </w:r>
            <w:r>
              <w:rPr>
                <w:rFonts w:hint="eastAsia"/>
                <w:color w:val="auto"/>
                <w:sz w:val="21"/>
                <w:szCs w:val="21"/>
                <w:highlight w:val="none"/>
                <w:lang w:val="en-US"/>
              </w:rPr>
              <w:t>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color w:val="auto"/>
                <w:sz w:val="21"/>
                <w:szCs w:val="21"/>
                <w:highlight w:val="none"/>
                <w:lang w:val="en-US" w:bidi="ar"/>
              </w:rPr>
              <w:t>五、开标与评标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adjustRightInd w:val="0"/>
              <w:spacing w:line="320" w:lineRule="exact"/>
              <w:jc w:val="center"/>
              <w:rPr>
                <w:color w:val="auto"/>
                <w:kern w:val="2"/>
                <w:sz w:val="21"/>
                <w:szCs w:val="21"/>
                <w:highlight w:val="none"/>
                <w:lang w:val="en-US" w:bidi="ar-SA"/>
              </w:rPr>
            </w:pPr>
            <w:r>
              <w:rPr>
                <w:rFonts w:hint="eastAsia"/>
                <w:color w:val="auto"/>
                <w:kern w:val="2"/>
                <w:sz w:val="21"/>
                <w:szCs w:val="21"/>
                <w:highlight w:val="none"/>
                <w:lang w:val="en-US" w:bidi="ar-SA"/>
              </w:rPr>
              <w:t>2</w:t>
            </w:r>
            <w:r>
              <w:rPr>
                <w:rFonts w:hint="eastAsia"/>
                <w:color w:val="auto"/>
                <w:kern w:val="2"/>
                <w:sz w:val="21"/>
                <w:szCs w:val="21"/>
                <w:highlight w:val="none"/>
                <w:lang w:val="en-US" w:eastAsia="zh-CN" w:bidi="ar-SA"/>
              </w:rPr>
              <w:t>5</w:t>
            </w:r>
            <w:r>
              <w:rPr>
                <w:rFonts w:hint="eastAsia"/>
                <w:color w:val="auto"/>
                <w:kern w:val="2"/>
                <w:sz w:val="21"/>
                <w:szCs w:val="21"/>
                <w:highlight w:val="none"/>
                <w:lang w:val="en-US" w:bidi="ar-SA"/>
              </w:rPr>
              <w:t>.开标时间和地点</w:t>
            </w:r>
          </w:p>
        </w:tc>
        <w:tc>
          <w:tcPr>
            <w:tcW w:w="885" w:type="dxa"/>
            <w:vAlign w:val="center"/>
          </w:tcPr>
          <w:p>
            <w:pPr>
              <w:pStyle w:val="14"/>
              <w:jc w:val="center"/>
              <w:rPr>
                <w:color w:val="auto"/>
                <w:sz w:val="21"/>
                <w:szCs w:val="21"/>
                <w:highlight w:val="none"/>
                <w:lang w:val="en-US"/>
              </w:rPr>
            </w:pPr>
            <w:r>
              <w:rPr>
                <w:rFonts w:hint="eastAsia"/>
                <w:color w:val="auto"/>
                <w:sz w:val="21"/>
                <w:szCs w:val="21"/>
                <w:highlight w:val="none"/>
                <w:lang w:val="en-US"/>
              </w:rPr>
              <w:t>20.1</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开标时间：详见“第一章 投标邀请”</w:t>
            </w:r>
          </w:p>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开标地点：详见“第一章 投标邀请”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adjustRightInd w:val="0"/>
              <w:spacing w:line="320" w:lineRule="exact"/>
              <w:jc w:val="center"/>
              <w:rPr>
                <w:color w:val="auto"/>
                <w:kern w:val="2"/>
                <w:sz w:val="21"/>
                <w:szCs w:val="21"/>
                <w:highlight w:val="none"/>
                <w:lang w:val="en-US" w:bidi="ar-SA"/>
              </w:rPr>
            </w:pPr>
            <w:r>
              <w:rPr>
                <w:rFonts w:hint="eastAsia"/>
                <w:color w:val="auto"/>
                <w:kern w:val="2"/>
                <w:sz w:val="21"/>
                <w:szCs w:val="21"/>
                <w:highlight w:val="none"/>
                <w:lang w:val="en-US" w:bidi="ar-SA"/>
              </w:rPr>
              <w:t>2</w:t>
            </w:r>
            <w:r>
              <w:rPr>
                <w:rFonts w:hint="eastAsia"/>
                <w:color w:val="auto"/>
                <w:kern w:val="2"/>
                <w:sz w:val="21"/>
                <w:szCs w:val="21"/>
                <w:highlight w:val="none"/>
                <w:lang w:val="en-US" w:eastAsia="zh-CN" w:bidi="ar-SA"/>
              </w:rPr>
              <w:t>6</w:t>
            </w:r>
            <w:r>
              <w:rPr>
                <w:rFonts w:hint="eastAsia"/>
                <w:color w:val="auto"/>
                <w:kern w:val="2"/>
                <w:sz w:val="21"/>
                <w:szCs w:val="21"/>
                <w:highlight w:val="none"/>
                <w:lang w:val="en-US" w:bidi="ar-SA"/>
              </w:rPr>
              <w:t>.评标委员会组成</w:t>
            </w:r>
          </w:p>
        </w:tc>
        <w:tc>
          <w:tcPr>
            <w:tcW w:w="885" w:type="dxa"/>
            <w:vAlign w:val="center"/>
          </w:tcPr>
          <w:p>
            <w:pPr>
              <w:pStyle w:val="14"/>
              <w:jc w:val="center"/>
              <w:rPr>
                <w:color w:val="auto"/>
                <w:sz w:val="21"/>
                <w:szCs w:val="21"/>
                <w:highlight w:val="none"/>
                <w:lang w:val="en-US"/>
              </w:rPr>
            </w:pPr>
            <w:r>
              <w:rPr>
                <w:rFonts w:hint="eastAsia"/>
                <w:color w:val="auto"/>
                <w:sz w:val="21"/>
                <w:szCs w:val="21"/>
                <w:highlight w:val="none"/>
                <w:lang w:val="en-US"/>
              </w:rPr>
              <w:t>21.3</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评标委员会构成：5人，业主代表1人，专家4人。</w:t>
            </w:r>
          </w:p>
          <w:p>
            <w:pPr>
              <w:adjustRightInd w:val="0"/>
              <w:spacing w:line="320" w:lineRule="exact"/>
              <w:jc w:val="both"/>
              <w:rPr>
                <w:b/>
                <w:color w:val="auto"/>
                <w:sz w:val="21"/>
                <w:szCs w:val="21"/>
                <w:highlight w:val="none"/>
                <w:lang w:val="en-US" w:bidi="ar"/>
              </w:rPr>
            </w:pPr>
            <w:r>
              <w:rPr>
                <w:rFonts w:hint="eastAsia"/>
                <w:color w:val="auto"/>
                <w:kern w:val="2"/>
                <w:sz w:val="21"/>
                <w:szCs w:val="21"/>
                <w:highlight w:val="none"/>
                <w:lang w:val="en-US" w:bidi="ar-SA"/>
              </w:rPr>
              <w:t>评标专家确定方式：随机抽取。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adjustRightInd w:val="0"/>
              <w:spacing w:line="460" w:lineRule="exact"/>
              <w:jc w:val="center"/>
              <w:rPr>
                <w:color w:val="auto"/>
                <w:kern w:val="2"/>
                <w:sz w:val="21"/>
                <w:szCs w:val="21"/>
                <w:highlight w:val="none"/>
                <w:lang w:val="en-US" w:bidi="ar-SA"/>
              </w:rPr>
            </w:pPr>
            <w:r>
              <w:rPr>
                <w:rFonts w:hint="eastAsia"/>
                <w:color w:val="auto"/>
                <w:kern w:val="2"/>
                <w:sz w:val="21"/>
                <w:szCs w:val="21"/>
                <w:highlight w:val="none"/>
                <w:lang w:val="en-US" w:bidi="ar-SA"/>
              </w:rPr>
              <w:t>2</w:t>
            </w:r>
            <w:r>
              <w:rPr>
                <w:rFonts w:hint="eastAsia"/>
                <w:color w:val="auto"/>
                <w:kern w:val="2"/>
                <w:sz w:val="21"/>
                <w:szCs w:val="21"/>
                <w:highlight w:val="none"/>
                <w:lang w:val="en-US" w:eastAsia="zh-CN" w:bidi="ar-SA"/>
              </w:rPr>
              <w:t>7</w:t>
            </w:r>
            <w:r>
              <w:rPr>
                <w:rFonts w:hint="eastAsia"/>
                <w:color w:val="auto"/>
                <w:kern w:val="2"/>
                <w:sz w:val="21"/>
                <w:szCs w:val="21"/>
                <w:highlight w:val="none"/>
                <w:lang w:val="en-US" w:bidi="ar-SA"/>
              </w:rPr>
              <w:t>.评标办法</w:t>
            </w:r>
          </w:p>
        </w:tc>
        <w:tc>
          <w:tcPr>
            <w:tcW w:w="885" w:type="dxa"/>
            <w:vAlign w:val="center"/>
          </w:tcPr>
          <w:p>
            <w:pPr>
              <w:pStyle w:val="14"/>
              <w:jc w:val="center"/>
              <w:rPr>
                <w:color w:val="auto"/>
                <w:sz w:val="21"/>
                <w:szCs w:val="21"/>
                <w:highlight w:val="none"/>
                <w:lang w:val="en-US"/>
              </w:rPr>
            </w:pPr>
            <w:r>
              <w:rPr>
                <w:rFonts w:hint="eastAsia"/>
                <w:color w:val="auto"/>
                <w:sz w:val="21"/>
                <w:szCs w:val="21"/>
                <w:highlight w:val="none"/>
                <w:lang w:val="en-US"/>
              </w:rPr>
              <w:t>22.1</w:t>
            </w:r>
          </w:p>
        </w:tc>
        <w:tc>
          <w:tcPr>
            <w:tcW w:w="7623" w:type="dxa"/>
            <w:vAlign w:val="center"/>
          </w:tcPr>
          <w:p>
            <w:pPr>
              <w:adjustRightInd w:val="0"/>
              <w:spacing w:line="340" w:lineRule="exact"/>
              <w:jc w:val="both"/>
              <w:rPr>
                <w:color w:val="auto"/>
                <w:kern w:val="2"/>
                <w:sz w:val="21"/>
                <w:szCs w:val="21"/>
                <w:highlight w:val="none"/>
                <w:lang w:val="en-US" w:bidi="ar-SA"/>
              </w:rPr>
            </w:pPr>
            <w:r>
              <w:rPr>
                <w:rFonts w:hint="eastAsia"/>
                <w:b/>
                <w:bCs/>
                <w:color w:val="auto"/>
                <w:kern w:val="2"/>
                <w:sz w:val="21"/>
                <w:szCs w:val="21"/>
                <w:highlight w:val="none"/>
                <w:lang w:val="en-US" w:bidi="ar-SA"/>
              </w:rPr>
              <w:t>√综合评分法</w:t>
            </w:r>
          </w:p>
          <w:p>
            <w:pPr>
              <w:adjustRightInd w:val="0"/>
              <w:spacing w:line="340" w:lineRule="exact"/>
              <w:jc w:val="both"/>
              <w:rPr>
                <w:b/>
                <w:color w:val="auto"/>
                <w:sz w:val="21"/>
                <w:szCs w:val="21"/>
                <w:highlight w:val="none"/>
                <w:lang w:val="en-US" w:bidi="ar"/>
              </w:rPr>
            </w:pPr>
            <w:r>
              <w:rPr>
                <w:rFonts w:hint="eastAsia"/>
                <w:b/>
                <w:bCs/>
                <w:color w:val="auto"/>
                <w:kern w:val="2"/>
                <w:sz w:val="21"/>
                <w:szCs w:val="21"/>
                <w:highlight w:val="none"/>
                <w:lang w:val="en-US" w:bidi="ar-SA"/>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rPr>
            </w:pPr>
            <w:r>
              <w:rPr>
                <w:rFonts w:hint="eastAsia"/>
                <w:color w:val="auto"/>
                <w:sz w:val="21"/>
                <w:szCs w:val="21"/>
                <w:highlight w:val="none"/>
                <w:lang w:val="en-US" w:bidi="ar"/>
              </w:rPr>
              <w:t>2</w:t>
            </w:r>
            <w:r>
              <w:rPr>
                <w:rFonts w:hint="eastAsia"/>
                <w:color w:val="auto"/>
                <w:sz w:val="21"/>
                <w:szCs w:val="21"/>
                <w:highlight w:val="none"/>
                <w:lang w:val="en-US" w:eastAsia="zh-CN" w:bidi="ar"/>
              </w:rPr>
              <w:t>8</w:t>
            </w:r>
            <w:r>
              <w:rPr>
                <w:rFonts w:hint="eastAsia"/>
                <w:color w:val="auto"/>
                <w:sz w:val="21"/>
                <w:szCs w:val="21"/>
                <w:highlight w:val="none"/>
                <w:lang w:val="en-US" w:bidi="ar"/>
              </w:rPr>
              <w:t>.其它无效投标情况</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22.2.3</w:t>
            </w:r>
          </w:p>
          <w:p>
            <w:pPr>
              <w:widowControl/>
              <w:jc w:val="center"/>
              <w:rPr>
                <w:color w:val="auto"/>
                <w:sz w:val="21"/>
                <w:szCs w:val="21"/>
                <w:highlight w:val="none"/>
                <w:lang w:val="en-US"/>
              </w:rPr>
            </w:pPr>
            <w:r>
              <w:rPr>
                <w:rFonts w:hint="eastAsia"/>
                <w:color w:val="auto"/>
                <w:sz w:val="21"/>
                <w:szCs w:val="21"/>
                <w:highlight w:val="none"/>
                <w:lang w:val="en-US"/>
              </w:rPr>
              <w:t>（2）</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 xml:space="preserve">1）货物招标时，投标分项报价表中对采购需求一览表中所列货物的缺项或数量缺少都将被视为未实质性响应招标文件； </w:t>
            </w:r>
          </w:p>
          <w:p>
            <w:pPr>
              <w:widowControl/>
              <w:jc w:val="both"/>
              <w:rPr>
                <w:b/>
                <w:bCs/>
                <w:color w:val="auto"/>
                <w:sz w:val="21"/>
                <w:szCs w:val="21"/>
                <w:highlight w:val="none"/>
              </w:rPr>
            </w:pPr>
            <w:r>
              <w:rPr>
                <w:rFonts w:hint="eastAsia"/>
                <w:color w:val="auto"/>
                <w:sz w:val="21"/>
                <w:szCs w:val="21"/>
                <w:highlight w:val="none"/>
                <w:lang w:val="en-US" w:bidi="ar"/>
              </w:rPr>
              <w:t>2）评标委员会认为投标人的报价明显低于其他通过符合性审查投标人的报价，有可能影响产品质量或者不能诚信履约的，在要求其在评标现场合理的时间内提供书面说明或相关证明材料后，投标人不能证明其报价合理性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w:t>
            </w:r>
            <w:r>
              <w:rPr>
                <w:rFonts w:hint="eastAsia"/>
                <w:color w:val="auto"/>
                <w:sz w:val="21"/>
                <w:szCs w:val="21"/>
                <w:highlight w:val="none"/>
                <w:lang w:val="en-US" w:eastAsia="zh-CN" w:bidi="ar"/>
              </w:rPr>
              <w:t>9</w:t>
            </w:r>
            <w:r>
              <w:rPr>
                <w:rFonts w:hint="eastAsia"/>
                <w:color w:val="auto"/>
                <w:sz w:val="21"/>
                <w:szCs w:val="21"/>
                <w:highlight w:val="none"/>
                <w:lang w:val="en-US" w:bidi="ar"/>
              </w:rPr>
              <w:t>.核心产品</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22.2.6</w:t>
            </w:r>
          </w:p>
        </w:tc>
        <w:tc>
          <w:tcPr>
            <w:tcW w:w="7623" w:type="dxa"/>
            <w:vAlign w:val="center"/>
          </w:tcPr>
          <w:p>
            <w:pPr>
              <w:widowControl/>
              <w:jc w:val="both"/>
              <w:rPr>
                <w:color w:val="auto"/>
                <w:sz w:val="20"/>
                <w:szCs w:val="20"/>
                <w:highlight w:val="none"/>
                <w:lang w:val="en-US"/>
              </w:rPr>
            </w:pPr>
            <w:r>
              <w:rPr>
                <w:rFonts w:hint="eastAsia"/>
                <w:color w:val="auto"/>
                <w:sz w:val="21"/>
                <w:szCs w:val="21"/>
                <w:highlight w:val="none"/>
                <w:lang w:val="en-US" w:bidi="ar"/>
              </w:rPr>
              <w:t>本项目核心产品：</w:t>
            </w:r>
            <w:r>
              <w:rPr>
                <w:rFonts w:hint="eastAsia"/>
                <w:color w:val="auto"/>
                <w:sz w:val="21"/>
                <w:szCs w:val="21"/>
                <w:highlight w:val="none"/>
                <w:lang w:val="en-US"/>
              </w:rPr>
              <w:t>标项1：</w:t>
            </w:r>
            <w:r>
              <w:rPr>
                <w:rFonts w:hint="eastAsia"/>
                <w:color w:val="auto"/>
                <w:sz w:val="21"/>
                <w:szCs w:val="21"/>
                <w:highlight w:val="none"/>
                <w:lang w:val="en-US" w:bidi="ar"/>
              </w:rPr>
              <w:t>数字式超声波探伤仪；</w:t>
            </w:r>
            <w:r>
              <w:rPr>
                <w:rFonts w:hint="eastAsia"/>
                <w:color w:val="auto"/>
                <w:sz w:val="21"/>
                <w:szCs w:val="21"/>
                <w:highlight w:val="none"/>
                <w:lang w:val="en-US"/>
              </w:rPr>
              <w:t>标项2：</w:t>
            </w:r>
            <w:r>
              <w:rPr>
                <w:rFonts w:hint="eastAsia"/>
                <w:color w:val="auto"/>
                <w:sz w:val="21"/>
                <w:szCs w:val="21"/>
                <w:highlight w:val="none"/>
                <w:lang w:val="en-US" w:bidi="ar"/>
              </w:rPr>
              <w:t>大流量高压力供水系统；</w:t>
            </w:r>
            <w:r>
              <w:rPr>
                <w:rFonts w:hint="eastAsia"/>
                <w:color w:val="auto"/>
                <w:sz w:val="21"/>
                <w:szCs w:val="21"/>
                <w:highlight w:val="none"/>
                <w:lang w:val="en-US"/>
              </w:rPr>
              <w:t>标项3：</w:t>
            </w:r>
            <w:r>
              <w:rPr>
                <w:rFonts w:hint="eastAsia"/>
                <w:color w:val="auto"/>
                <w:sz w:val="21"/>
                <w:szCs w:val="21"/>
                <w:highlight w:val="none"/>
                <w:lang w:val="en-US" w:bidi="ar"/>
              </w:rPr>
              <w:t>恒温恒压供水系统；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eastAsia="zh-CN" w:bidi="ar"/>
              </w:rPr>
              <w:t>30</w:t>
            </w:r>
            <w:r>
              <w:rPr>
                <w:rFonts w:hint="eastAsia"/>
                <w:color w:val="auto"/>
                <w:sz w:val="21"/>
                <w:szCs w:val="21"/>
                <w:highlight w:val="none"/>
                <w:lang w:val="en-US" w:bidi="ar"/>
              </w:rPr>
              <w:t>.提供相同品牌产品的不同投标人的中标候选人推荐原则</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23.1.5</w:t>
            </w:r>
          </w:p>
          <w:p>
            <w:pPr>
              <w:widowControl/>
              <w:jc w:val="center"/>
              <w:rPr>
                <w:color w:val="auto"/>
                <w:sz w:val="21"/>
                <w:szCs w:val="21"/>
                <w:highlight w:val="none"/>
                <w:lang w:val="en-US"/>
              </w:rPr>
            </w:pPr>
            <w:r>
              <w:rPr>
                <w:rFonts w:hint="eastAsia"/>
                <w:color w:val="auto"/>
                <w:sz w:val="21"/>
                <w:szCs w:val="21"/>
                <w:highlight w:val="none"/>
                <w:lang w:val="en-US"/>
              </w:rPr>
              <w:t>23.1.6</w:t>
            </w:r>
          </w:p>
        </w:tc>
        <w:tc>
          <w:tcPr>
            <w:tcW w:w="7623" w:type="dxa"/>
            <w:vAlign w:val="center"/>
          </w:tcPr>
          <w:p>
            <w:pPr>
              <w:widowControl/>
              <w:jc w:val="both"/>
              <w:rPr>
                <w:color w:val="auto"/>
                <w:sz w:val="21"/>
                <w:szCs w:val="21"/>
                <w:highlight w:val="none"/>
                <w:lang w:val="en-US"/>
              </w:rPr>
            </w:pPr>
            <w:r>
              <w:rPr>
                <w:rFonts w:hint="eastAsia"/>
                <w:color w:val="auto"/>
                <w:sz w:val="21"/>
                <w:szCs w:val="21"/>
                <w:highlight w:val="none"/>
                <w:lang w:val="en-US" w:bidi="ar"/>
              </w:rPr>
              <w:t>提供相同品牌产品的不同投标人的中标候选人推荐原则是综合得分最高的为第一中标候选人。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3</w:t>
            </w:r>
            <w:r>
              <w:rPr>
                <w:rFonts w:hint="eastAsia"/>
                <w:color w:val="auto"/>
                <w:sz w:val="21"/>
                <w:szCs w:val="21"/>
                <w:highlight w:val="none"/>
                <w:lang w:val="en-US" w:eastAsia="zh-CN" w:bidi="ar"/>
              </w:rPr>
              <w:t>1</w:t>
            </w:r>
            <w:r>
              <w:rPr>
                <w:rFonts w:hint="eastAsia"/>
                <w:color w:val="auto"/>
                <w:sz w:val="21"/>
                <w:szCs w:val="21"/>
                <w:highlight w:val="none"/>
                <w:lang w:val="en-US" w:bidi="ar"/>
              </w:rPr>
              <w:t>.兼投不兼中说明</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23.1.7</w:t>
            </w:r>
          </w:p>
        </w:tc>
        <w:tc>
          <w:tcPr>
            <w:tcW w:w="7623" w:type="dxa"/>
            <w:vAlign w:val="center"/>
          </w:tcPr>
          <w:p>
            <w:pPr>
              <w:widowControl/>
              <w:jc w:val="both"/>
              <w:rPr>
                <w:color w:val="auto"/>
                <w:sz w:val="21"/>
                <w:szCs w:val="21"/>
                <w:highlight w:val="none"/>
                <w:lang w:val="en-US" w:bidi="ar"/>
              </w:rPr>
            </w:pPr>
            <w:r>
              <w:rPr>
                <w:rFonts w:hint="eastAsia"/>
                <w:color w:val="auto"/>
                <w:sz w:val="21"/>
                <w:szCs w:val="21"/>
                <w:highlight w:val="none"/>
                <w:lang w:val="en-US" w:bidi="ar"/>
              </w:rPr>
              <w:t xml:space="preserve">是否兼投不兼中：（是☑ 否 □） </w:t>
            </w:r>
          </w:p>
          <w:p>
            <w:pPr>
              <w:widowControl/>
              <w:jc w:val="both"/>
              <w:rPr>
                <w:color w:val="auto"/>
                <w:sz w:val="21"/>
                <w:szCs w:val="21"/>
                <w:highlight w:val="none"/>
                <w:lang w:val="en-US" w:bidi="ar"/>
              </w:rPr>
            </w:pPr>
            <w:r>
              <w:rPr>
                <w:rFonts w:hint="eastAsia"/>
                <w:color w:val="auto"/>
                <w:sz w:val="21"/>
                <w:szCs w:val="21"/>
                <w:highlight w:val="none"/>
                <w:lang w:val="en-US" w:bidi="ar"/>
              </w:rPr>
              <w:t>如投标人对多个标项进行投标，只可以中标 1 个标项。</w:t>
            </w:r>
          </w:p>
          <w:p>
            <w:pPr>
              <w:widowControl/>
              <w:jc w:val="both"/>
              <w:rPr>
                <w:color w:val="auto"/>
                <w:sz w:val="21"/>
                <w:szCs w:val="21"/>
                <w:highlight w:val="none"/>
                <w:lang w:val="en-US" w:bidi="ar"/>
              </w:rPr>
            </w:pPr>
            <w:r>
              <w:rPr>
                <w:rFonts w:hint="eastAsia"/>
                <w:color w:val="auto"/>
                <w:sz w:val="21"/>
                <w:szCs w:val="21"/>
                <w:highlight w:val="none"/>
                <w:lang w:val="en-US" w:bidi="ar"/>
              </w:rPr>
              <w:t>兼投不兼中描述：本项目兼投不兼中，每个投标人最多只能被确定为1个标项的第一中标候选人。本项目按标项的顺序进行评审，依次按照评标总得分由高到低的顺序，每包组推荐三名中标候选人。同时对多标项投标的投标人，如投标人在前面标项已被评审为第一中标候选人，则评审委员会在评审后面标项时，已经作为第一中标候选人的不再作为其他标项的有效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adjustRightInd w:val="0"/>
              <w:spacing w:line="320" w:lineRule="exact"/>
              <w:jc w:val="center"/>
              <w:rPr>
                <w:color w:val="auto"/>
                <w:kern w:val="2"/>
                <w:sz w:val="21"/>
                <w:szCs w:val="21"/>
                <w:highlight w:val="none"/>
                <w:lang w:val="en-US" w:bidi="ar-SA"/>
              </w:rPr>
            </w:pPr>
            <w:r>
              <w:rPr>
                <w:rFonts w:hint="eastAsia"/>
                <w:color w:val="auto"/>
                <w:kern w:val="2"/>
                <w:sz w:val="21"/>
                <w:szCs w:val="21"/>
                <w:highlight w:val="none"/>
                <w:lang w:val="en-US" w:bidi="ar-SA"/>
              </w:rPr>
              <w:t>3</w:t>
            </w:r>
            <w:r>
              <w:rPr>
                <w:rFonts w:hint="eastAsia"/>
                <w:color w:val="auto"/>
                <w:kern w:val="2"/>
                <w:sz w:val="21"/>
                <w:szCs w:val="21"/>
                <w:highlight w:val="none"/>
                <w:lang w:val="en-US" w:eastAsia="zh-CN" w:bidi="ar-SA"/>
              </w:rPr>
              <w:t>2</w:t>
            </w:r>
            <w:r>
              <w:rPr>
                <w:rFonts w:hint="eastAsia"/>
                <w:color w:val="auto"/>
                <w:kern w:val="2"/>
                <w:sz w:val="21"/>
                <w:szCs w:val="21"/>
                <w:highlight w:val="none"/>
                <w:lang w:val="en-US" w:bidi="ar-SA"/>
              </w:rPr>
              <w:t>.推荐的中标候选人数量</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23.3</w:t>
            </w:r>
          </w:p>
        </w:tc>
        <w:tc>
          <w:tcPr>
            <w:tcW w:w="7623" w:type="dxa"/>
            <w:vAlign w:val="center"/>
          </w:tcPr>
          <w:p>
            <w:pPr>
              <w:adjustRightInd w:val="0"/>
              <w:spacing w:line="460" w:lineRule="exact"/>
              <w:jc w:val="both"/>
              <w:rPr>
                <w:b/>
                <w:color w:val="auto"/>
                <w:sz w:val="21"/>
                <w:szCs w:val="21"/>
                <w:highlight w:val="none"/>
                <w:lang w:val="en-US" w:bidi="ar"/>
              </w:rPr>
            </w:pPr>
            <w:r>
              <w:rPr>
                <w:rFonts w:hint="eastAsia"/>
                <w:color w:val="auto"/>
                <w:kern w:val="2"/>
                <w:sz w:val="21"/>
                <w:szCs w:val="21"/>
                <w:highlight w:val="none"/>
                <w:lang w:val="en-US" w:bidi="ar-SA"/>
              </w:rPr>
              <w:t>推荐的中标候选人数：3名。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bCs/>
                <w:color w:val="auto"/>
                <w:sz w:val="21"/>
                <w:szCs w:val="21"/>
                <w:highlight w:val="none"/>
                <w:lang w:val="en-US"/>
              </w:rPr>
              <w:t>六、授予合同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3</w:t>
            </w:r>
            <w:r>
              <w:rPr>
                <w:rFonts w:hint="eastAsia"/>
                <w:color w:val="auto"/>
                <w:sz w:val="21"/>
                <w:szCs w:val="21"/>
                <w:highlight w:val="none"/>
                <w:lang w:val="en-US" w:eastAsia="zh-CN" w:bidi="ar"/>
              </w:rPr>
              <w:t>3</w:t>
            </w:r>
            <w:r>
              <w:rPr>
                <w:rFonts w:hint="eastAsia"/>
                <w:color w:val="auto"/>
                <w:sz w:val="21"/>
                <w:szCs w:val="21"/>
                <w:highlight w:val="none"/>
                <w:lang w:val="en-US" w:bidi="ar"/>
              </w:rPr>
              <w:t>.定标主体</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28.1</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采购人确定中标人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3</w:t>
            </w:r>
            <w:r>
              <w:rPr>
                <w:rFonts w:hint="eastAsia"/>
                <w:color w:val="auto"/>
                <w:sz w:val="21"/>
                <w:szCs w:val="21"/>
                <w:highlight w:val="none"/>
                <w:lang w:val="en-US" w:eastAsia="zh-CN" w:bidi="ar"/>
              </w:rPr>
              <w:t>4</w:t>
            </w:r>
            <w:r>
              <w:rPr>
                <w:rFonts w:hint="eastAsia"/>
                <w:color w:val="auto"/>
                <w:sz w:val="21"/>
                <w:szCs w:val="21"/>
                <w:highlight w:val="none"/>
                <w:lang w:val="en-US" w:bidi="ar"/>
              </w:rPr>
              <w:t>.中标候选人并列的处理</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28.2</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中标候选人并列的，采购人将确定报价得分较高者为中标人。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rPr>
              <w:t>3</w:t>
            </w:r>
            <w:r>
              <w:rPr>
                <w:rFonts w:hint="eastAsia"/>
                <w:color w:val="auto"/>
                <w:sz w:val="21"/>
                <w:szCs w:val="21"/>
                <w:highlight w:val="none"/>
                <w:lang w:val="en-US" w:eastAsia="zh-CN"/>
              </w:rPr>
              <w:t>5</w:t>
            </w:r>
            <w:r>
              <w:rPr>
                <w:rFonts w:hint="eastAsia"/>
                <w:color w:val="auto"/>
                <w:sz w:val="21"/>
                <w:szCs w:val="21"/>
                <w:highlight w:val="none"/>
                <w:lang w:val="en-US"/>
              </w:rPr>
              <w:t>.</w:t>
            </w:r>
            <w:r>
              <w:rPr>
                <w:rFonts w:hint="eastAsia"/>
                <w:color w:val="auto"/>
                <w:sz w:val="21"/>
                <w:szCs w:val="21"/>
                <w:highlight w:val="none"/>
              </w:rPr>
              <w:t>财政部门指定的媒体</w:t>
            </w:r>
          </w:p>
        </w:tc>
        <w:tc>
          <w:tcPr>
            <w:tcW w:w="885"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29.1</w:t>
            </w:r>
          </w:p>
        </w:tc>
        <w:tc>
          <w:tcPr>
            <w:tcW w:w="7623" w:type="dxa"/>
            <w:vAlign w:val="center"/>
          </w:tcPr>
          <w:p>
            <w:pPr>
              <w:adjustRightInd w:val="0"/>
              <w:spacing w:line="320" w:lineRule="exact"/>
              <w:jc w:val="both"/>
              <w:rPr>
                <w:color w:val="auto"/>
                <w:sz w:val="21"/>
                <w:szCs w:val="21"/>
                <w:highlight w:val="none"/>
                <w:lang w:val="en-US" w:bidi="ar"/>
              </w:rPr>
            </w:pPr>
            <w:r>
              <w:rPr>
                <w:rFonts w:hint="eastAsia"/>
                <w:color w:val="auto"/>
                <w:kern w:val="2"/>
                <w:sz w:val="21"/>
                <w:szCs w:val="21"/>
                <w:highlight w:val="none"/>
                <w:lang w:val="en-US" w:bidi="ar-SA"/>
              </w:rPr>
              <w:t>新疆政府采购网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rPr>
            </w:pPr>
            <w:r>
              <w:rPr>
                <w:rFonts w:hint="eastAsia"/>
                <w:color w:val="auto"/>
                <w:sz w:val="21"/>
                <w:szCs w:val="21"/>
                <w:highlight w:val="none"/>
                <w:lang w:val="en-US" w:bidi="ar"/>
              </w:rPr>
              <w:t>3</w:t>
            </w:r>
            <w:r>
              <w:rPr>
                <w:rFonts w:hint="eastAsia"/>
                <w:color w:val="auto"/>
                <w:sz w:val="21"/>
                <w:szCs w:val="21"/>
                <w:highlight w:val="none"/>
                <w:lang w:val="en-US" w:eastAsia="zh-CN" w:bidi="ar"/>
              </w:rPr>
              <w:t>6</w:t>
            </w:r>
            <w:r>
              <w:rPr>
                <w:rFonts w:hint="eastAsia"/>
                <w:color w:val="auto"/>
                <w:sz w:val="21"/>
                <w:szCs w:val="21"/>
                <w:highlight w:val="none"/>
                <w:lang w:val="en-US" w:bidi="ar"/>
              </w:rPr>
              <w:t>.分包要求</w:t>
            </w:r>
          </w:p>
        </w:tc>
        <w:tc>
          <w:tcPr>
            <w:tcW w:w="885" w:type="dxa"/>
            <w:vAlign w:val="center"/>
          </w:tcPr>
          <w:p>
            <w:pPr>
              <w:widowControl/>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7623" w:type="dxa"/>
            <w:vAlign w:val="center"/>
          </w:tcPr>
          <w:p>
            <w:pPr>
              <w:widowControl/>
              <w:jc w:val="both"/>
              <w:rPr>
                <w:color w:val="auto"/>
                <w:sz w:val="21"/>
                <w:szCs w:val="21"/>
                <w:highlight w:val="none"/>
              </w:rPr>
            </w:pPr>
            <w:r>
              <w:rPr>
                <w:rFonts w:hint="eastAsia"/>
                <w:color w:val="auto"/>
                <w:sz w:val="21"/>
                <w:szCs w:val="21"/>
                <w:highlight w:val="none"/>
                <w:lang w:val="en-US" w:bidi="ar"/>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bCs/>
                <w:color w:val="auto"/>
                <w:sz w:val="21"/>
                <w:szCs w:val="21"/>
                <w:highlight w:val="none"/>
                <w:lang w:val="en-US"/>
              </w:rPr>
              <w:t>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rPr>
            </w:pPr>
            <w:r>
              <w:rPr>
                <w:rFonts w:hint="eastAsia"/>
                <w:color w:val="auto"/>
                <w:sz w:val="21"/>
                <w:szCs w:val="21"/>
                <w:highlight w:val="none"/>
                <w:lang w:val="en-US" w:bidi="ar"/>
              </w:rPr>
              <w:t>37.接收质疑方式及联系方式</w:t>
            </w:r>
          </w:p>
        </w:tc>
        <w:tc>
          <w:tcPr>
            <w:tcW w:w="885" w:type="dxa"/>
            <w:vAlign w:val="center"/>
          </w:tcPr>
          <w:p>
            <w:pPr>
              <w:widowControl/>
              <w:jc w:val="center"/>
              <w:rPr>
                <w:color w:val="auto"/>
                <w:sz w:val="21"/>
                <w:szCs w:val="21"/>
                <w:highlight w:val="none"/>
                <w:lang w:val="en-US"/>
              </w:rPr>
            </w:pPr>
            <w:r>
              <w:rPr>
                <w:rFonts w:hint="eastAsia"/>
                <w:color w:val="auto"/>
                <w:sz w:val="21"/>
                <w:szCs w:val="21"/>
                <w:highlight w:val="none"/>
                <w:lang w:val="en-US"/>
              </w:rPr>
              <w:t>34</w:t>
            </w:r>
          </w:p>
        </w:tc>
        <w:tc>
          <w:tcPr>
            <w:tcW w:w="7623" w:type="dxa"/>
            <w:vAlign w:val="center"/>
          </w:tcPr>
          <w:p>
            <w:pPr>
              <w:widowControl/>
              <w:jc w:val="both"/>
              <w:rPr>
                <w:color w:val="auto"/>
                <w:sz w:val="21"/>
                <w:szCs w:val="21"/>
                <w:highlight w:val="none"/>
                <w:lang w:val="en-US" w:bidi="ar"/>
              </w:rPr>
            </w:pPr>
            <w:r>
              <w:rPr>
                <w:rFonts w:hint="eastAsia"/>
                <w:color w:val="auto"/>
                <w:sz w:val="21"/>
                <w:szCs w:val="21"/>
                <w:highlight w:val="none"/>
                <w:lang w:val="en-US" w:bidi="ar"/>
              </w:rPr>
              <w:t>（1）质疑函及必要的证明材料应通过以下方式之一递交至采购代理机构：</w:t>
            </w:r>
          </w:p>
          <w:p>
            <w:pPr>
              <w:widowControl/>
              <w:jc w:val="both"/>
              <w:rPr>
                <w:color w:val="auto"/>
                <w:sz w:val="21"/>
                <w:szCs w:val="21"/>
                <w:highlight w:val="none"/>
                <w:lang w:val="en-US" w:bidi="ar"/>
              </w:rPr>
            </w:pPr>
            <w:r>
              <w:rPr>
                <w:rFonts w:hint="eastAsia"/>
                <w:color w:val="auto"/>
                <w:sz w:val="21"/>
                <w:szCs w:val="21"/>
                <w:highlight w:val="none"/>
                <w:lang w:val="en-US" w:bidi="ar"/>
              </w:rPr>
              <w:t>1）当面送达原件；</w:t>
            </w:r>
          </w:p>
          <w:p>
            <w:pPr>
              <w:widowControl/>
              <w:jc w:val="both"/>
              <w:rPr>
                <w:color w:val="auto"/>
                <w:sz w:val="21"/>
                <w:szCs w:val="21"/>
                <w:highlight w:val="none"/>
                <w:lang w:val="en-US" w:bidi="ar"/>
              </w:rPr>
            </w:pPr>
            <w:r>
              <w:rPr>
                <w:rFonts w:hint="eastAsia"/>
                <w:color w:val="auto"/>
                <w:sz w:val="21"/>
                <w:szCs w:val="21"/>
                <w:highlight w:val="none"/>
                <w:lang w:val="en-US" w:bidi="ar"/>
              </w:rPr>
              <w:t>2）信函邮寄、快递原件，采用此方式时，采购代理机构不受理逾期送达的质疑，投标人自行承担邮件误投、逾期或丢失的风险和责任；</w:t>
            </w:r>
          </w:p>
          <w:p>
            <w:pPr>
              <w:widowControl/>
              <w:jc w:val="both"/>
              <w:rPr>
                <w:color w:val="auto"/>
                <w:sz w:val="21"/>
                <w:szCs w:val="21"/>
                <w:highlight w:val="none"/>
                <w:lang w:val="en-US" w:bidi="ar"/>
              </w:rPr>
            </w:pPr>
            <w:r>
              <w:rPr>
                <w:rFonts w:hint="eastAsia"/>
                <w:color w:val="auto"/>
                <w:sz w:val="21"/>
                <w:szCs w:val="21"/>
                <w:highlight w:val="none"/>
                <w:lang w:val="en-US" w:bidi="ar"/>
              </w:rPr>
              <w:t xml:space="preserve">3）电子邮件将原件的扫描版发送至下列指定电子邮箱，采用此方式提出质疑的，投标人应在电子邮件发出后立即电话告知采购代理机构； </w:t>
            </w:r>
          </w:p>
          <w:p>
            <w:pPr>
              <w:widowControl/>
              <w:jc w:val="both"/>
              <w:rPr>
                <w:color w:val="auto"/>
                <w:sz w:val="21"/>
                <w:szCs w:val="21"/>
                <w:highlight w:val="none"/>
                <w:lang w:val="en-US" w:bidi="ar"/>
              </w:rPr>
            </w:pPr>
            <w:r>
              <w:rPr>
                <w:rFonts w:hint="eastAsia"/>
                <w:color w:val="auto"/>
                <w:sz w:val="21"/>
                <w:szCs w:val="21"/>
                <w:highlight w:val="none"/>
                <w:lang w:val="en-US" w:bidi="ar"/>
              </w:rPr>
              <w:t xml:space="preserve">（2）采购代理机构接收质疑函的联系方式如下： </w:t>
            </w:r>
          </w:p>
          <w:p>
            <w:pPr>
              <w:widowControl/>
              <w:jc w:val="both"/>
              <w:rPr>
                <w:color w:val="auto"/>
                <w:sz w:val="21"/>
                <w:szCs w:val="21"/>
                <w:highlight w:val="none"/>
                <w:lang w:val="en-US" w:bidi="ar"/>
              </w:rPr>
            </w:pPr>
            <w:r>
              <w:rPr>
                <w:rFonts w:hint="eastAsia"/>
                <w:color w:val="auto"/>
                <w:sz w:val="21"/>
                <w:szCs w:val="21"/>
                <w:highlight w:val="none"/>
                <w:lang w:val="en-US" w:bidi="ar"/>
              </w:rPr>
              <w:t>联系人：陆工</w:t>
            </w:r>
          </w:p>
          <w:p>
            <w:pPr>
              <w:widowControl/>
              <w:jc w:val="both"/>
              <w:rPr>
                <w:color w:val="auto"/>
                <w:sz w:val="21"/>
                <w:szCs w:val="21"/>
                <w:highlight w:val="none"/>
                <w:lang w:val="en-US" w:bidi="ar"/>
              </w:rPr>
            </w:pPr>
            <w:r>
              <w:rPr>
                <w:rFonts w:hint="eastAsia"/>
                <w:color w:val="auto"/>
                <w:sz w:val="21"/>
                <w:szCs w:val="21"/>
                <w:highlight w:val="none"/>
                <w:lang w:val="en-US" w:bidi="ar"/>
              </w:rPr>
              <w:t>电话：15299129605</w:t>
            </w:r>
          </w:p>
          <w:p>
            <w:pPr>
              <w:widowControl/>
              <w:jc w:val="both"/>
              <w:rPr>
                <w:color w:val="auto"/>
                <w:sz w:val="21"/>
                <w:szCs w:val="21"/>
                <w:highlight w:val="none"/>
                <w:lang w:val="en-US"/>
              </w:rPr>
            </w:pPr>
            <w:r>
              <w:rPr>
                <w:rFonts w:hint="eastAsia"/>
                <w:color w:val="auto"/>
                <w:sz w:val="21"/>
                <w:szCs w:val="21"/>
                <w:highlight w:val="none"/>
                <w:lang w:val="en-US" w:bidi="ar"/>
              </w:rPr>
              <w:t>邮箱：645709441@qq.com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rFonts w:hint="eastAsia"/>
                <w:color w:val="auto"/>
                <w:sz w:val="21"/>
                <w:szCs w:val="21"/>
                <w:highlight w:val="none"/>
                <w:lang w:val="en-US" w:bidi="ar"/>
              </w:rPr>
            </w:pPr>
            <w:r>
              <w:rPr>
                <w:rFonts w:hint="eastAsia"/>
                <w:color w:val="auto"/>
                <w:sz w:val="21"/>
                <w:szCs w:val="21"/>
                <w:highlight w:val="none"/>
                <w:lang w:val="en-US" w:bidi="ar"/>
              </w:rPr>
              <w:t>38.履约保证金</w:t>
            </w:r>
          </w:p>
        </w:tc>
        <w:tc>
          <w:tcPr>
            <w:tcW w:w="885" w:type="dxa"/>
            <w:vAlign w:val="center"/>
          </w:tcPr>
          <w:p>
            <w:pPr>
              <w:pStyle w:val="14"/>
              <w:jc w:val="center"/>
              <w:rPr>
                <w:rFonts w:hint="eastAsia"/>
                <w:color w:val="auto"/>
                <w:sz w:val="21"/>
                <w:szCs w:val="21"/>
                <w:highlight w:val="none"/>
                <w:lang w:val="en-US"/>
              </w:rPr>
            </w:pPr>
            <w:r>
              <w:rPr>
                <w:rFonts w:hint="eastAsia"/>
                <w:color w:val="auto"/>
                <w:sz w:val="21"/>
                <w:szCs w:val="21"/>
                <w:highlight w:val="none"/>
                <w:lang w:val="en-US"/>
              </w:rPr>
              <w:t>38</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履约保证金的金额：/%。</w:t>
            </w:r>
          </w:p>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履约保证金的形式：转账或银行保函</w:t>
            </w:r>
          </w:p>
          <w:p>
            <w:pPr>
              <w:widowControl/>
              <w:jc w:val="both"/>
              <w:rPr>
                <w:rFonts w:hint="eastAsia"/>
                <w:color w:val="auto"/>
                <w:sz w:val="21"/>
                <w:szCs w:val="21"/>
                <w:highlight w:val="none"/>
                <w:lang w:val="en-US" w:bidi="ar"/>
              </w:rPr>
            </w:pPr>
            <w:r>
              <w:rPr>
                <w:rFonts w:hint="eastAsia"/>
                <w:color w:val="auto"/>
                <w:sz w:val="21"/>
                <w:szCs w:val="21"/>
                <w:highlight w:val="none"/>
              </w:rPr>
              <w:t>履约保证金的缴纳方式：在收到中标通知书后，中标人须在</w:t>
            </w:r>
            <w:r>
              <w:rPr>
                <w:rFonts w:hint="eastAsia"/>
                <w:color w:val="auto"/>
                <w:sz w:val="21"/>
                <w:szCs w:val="21"/>
                <w:highlight w:val="none"/>
                <w:lang w:val="en-US"/>
              </w:rPr>
              <w:t>7</w:t>
            </w:r>
            <w:r>
              <w:rPr>
                <w:rFonts w:hint="eastAsia"/>
                <w:color w:val="auto"/>
                <w:sz w:val="21"/>
                <w:szCs w:val="21"/>
                <w:highlight w:val="none"/>
              </w:rPr>
              <w:t>个工作日内向招标人提交履约保证金，否则视为自动放弃中标资格。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3</w:t>
            </w:r>
            <w:r>
              <w:rPr>
                <w:rFonts w:hint="eastAsia"/>
                <w:color w:val="auto"/>
                <w:sz w:val="21"/>
                <w:szCs w:val="21"/>
                <w:highlight w:val="none"/>
                <w:lang w:val="en-US" w:eastAsia="zh-CN" w:bidi="ar"/>
              </w:rPr>
              <w:t>9</w:t>
            </w:r>
            <w:r>
              <w:rPr>
                <w:rFonts w:hint="eastAsia"/>
                <w:color w:val="auto"/>
                <w:sz w:val="21"/>
                <w:szCs w:val="21"/>
                <w:highlight w:val="none"/>
                <w:lang w:val="en-US" w:bidi="ar"/>
              </w:rPr>
              <w:t>.</w:t>
            </w:r>
            <w:r>
              <w:rPr>
                <w:rFonts w:hint="eastAsia"/>
                <w:color w:val="auto"/>
                <w:sz w:val="21"/>
                <w:szCs w:val="21"/>
                <w:highlight w:val="none"/>
              </w:rPr>
              <w:t>采购代理服务费金额、缴纳方式和时限</w:t>
            </w:r>
          </w:p>
        </w:tc>
        <w:tc>
          <w:tcPr>
            <w:tcW w:w="885" w:type="dxa"/>
            <w:vAlign w:val="center"/>
          </w:tcPr>
          <w:p>
            <w:pPr>
              <w:widowControl/>
              <w:jc w:val="center"/>
              <w:rPr>
                <w:rFonts w:hint="default" w:eastAsia="宋体"/>
                <w:color w:val="auto"/>
                <w:sz w:val="21"/>
                <w:szCs w:val="21"/>
                <w:highlight w:val="none"/>
                <w:lang w:val="en-US" w:eastAsia="zh-CN" w:bidi="ar"/>
              </w:rPr>
            </w:pPr>
            <w:r>
              <w:rPr>
                <w:rFonts w:hint="eastAsia"/>
                <w:color w:val="auto"/>
                <w:sz w:val="21"/>
                <w:szCs w:val="21"/>
                <w:highlight w:val="none"/>
                <w:lang w:val="en-US" w:eastAsia="zh-CN"/>
              </w:rPr>
              <w:t>39</w:t>
            </w:r>
          </w:p>
        </w:tc>
        <w:tc>
          <w:tcPr>
            <w:tcW w:w="7623" w:type="dxa"/>
            <w:vAlign w:val="center"/>
          </w:tcPr>
          <w:p>
            <w:pPr>
              <w:adjustRightInd w:val="0"/>
              <w:spacing w:line="320" w:lineRule="exact"/>
              <w:jc w:val="both"/>
              <w:rPr>
                <w:color w:val="auto"/>
                <w:kern w:val="2"/>
                <w:sz w:val="21"/>
                <w:szCs w:val="21"/>
                <w:highlight w:val="none"/>
                <w:lang w:val="en-US" w:bidi="ar-SA"/>
              </w:rPr>
            </w:pPr>
            <w:r>
              <w:rPr>
                <w:rFonts w:hint="eastAsia"/>
                <w:color w:val="auto"/>
                <w:kern w:val="2"/>
                <w:sz w:val="21"/>
                <w:szCs w:val="21"/>
                <w:highlight w:val="none"/>
                <w:lang w:val="en-US" w:bidi="ar-SA"/>
              </w:rPr>
              <w:t>采购代理服务费的计算与收取：中标人支付。</w:t>
            </w:r>
          </w:p>
          <w:p>
            <w:pPr>
              <w:pStyle w:val="33"/>
              <w:adjustRightInd w:val="0"/>
              <w:snapToGrid w:val="0"/>
              <w:spacing w:line="36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依据《中华人民共和国国家发展和改革委员会令》（第31号），执行《政府采购代理机构管理暂行办法》（财库[2018]2号）的规定。</w:t>
            </w:r>
            <w:r>
              <w:rPr>
                <w:rFonts w:hint="eastAsia" w:ascii="宋体" w:hAnsi="宋体" w:eastAsia="宋体" w:cs="宋体"/>
                <w:color w:val="auto"/>
                <w:sz w:val="21"/>
                <w:szCs w:val="21"/>
                <w:highlight w:val="none"/>
                <w:lang w:val="en-US"/>
              </w:rPr>
              <w:t>本项目采购代理服务收费</w:t>
            </w:r>
            <w:r>
              <w:rPr>
                <w:rFonts w:hint="eastAsia" w:ascii="宋体" w:hAnsi="宋体" w:eastAsia="宋体" w:cs="宋体"/>
                <w:color w:val="auto"/>
                <w:sz w:val="21"/>
                <w:szCs w:val="21"/>
                <w:highlight w:val="none"/>
              </w:rPr>
              <w:t>参照《依据国家发展计划委员会文件关于印发《招标代理服务费管理暂行办法》的通知》（计价格〔2002〕1980号）中招标代理服务收费标准收取。由</w:t>
            </w:r>
            <w:r>
              <w:rPr>
                <w:rFonts w:hint="eastAsia" w:ascii="宋体" w:hAnsi="宋体" w:eastAsia="宋体" w:cs="宋体"/>
                <w:color w:val="auto"/>
                <w:sz w:val="21"/>
                <w:szCs w:val="21"/>
                <w:highlight w:val="none"/>
                <w:lang w:val="en-US"/>
              </w:rPr>
              <w:t>中标人</w:t>
            </w:r>
            <w:r>
              <w:rPr>
                <w:rFonts w:hint="eastAsia" w:ascii="宋体" w:hAnsi="宋体" w:eastAsia="宋体" w:cs="宋体"/>
                <w:color w:val="auto"/>
                <w:sz w:val="21"/>
                <w:szCs w:val="21"/>
                <w:highlight w:val="none"/>
              </w:rPr>
              <w:t>在领取</w:t>
            </w:r>
            <w:r>
              <w:rPr>
                <w:rFonts w:hint="eastAsia" w:ascii="宋体" w:hAnsi="宋体" w:eastAsia="宋体" w:cs="宋体"/>
                <w:color w:val="auto"/>
                <w:sz w:val="21"/>
                <w:szCs w:val="21"/>
                <w:highlight w:val="none"/>
                <w:lang w:val="en-US"/>
              </w:rPr>
              <w:t>中标</w:t>
            </w:r>
            <w:r>
              <w:rPr>
                <w:rFonts w:hint="eastAsia" w:ascii="宋体" w:hAnsi="宋体" w:eastAsia="宋体" w:cs="宋体"/>
                <w:color w:val="auto"/>
                <w:sz w:val="21"/>
                <w:szCs w:val="21"/>
                <w:highlight w:val="none"/>
              </w:rPr>
              <w:t>通知书时一次性向代理机构支付。</w:t>
            </w:r>
          </w:p>
          <w:p>
            <w:pPr>
              <w:pStyle w:val="33"/>
              <w:adjustRightInd w:val="0"/>
              <w:snapToGrid w:val="0"/>
              <w:spacing w:line="360" w:lineRule="exact"/>
              <w:jc w:val="both"/>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注：采购代理服务收费按差额定率累进法计算，不足</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000元按</w:t>
            </w:r>
            <w:r>
              <w:rPr>
                <w:rFonts w:hint="eastAsia" w:ascii="宋体" w:hAnsi="宋体" w:eastAsia="宋体" w:cs="宋体"/>
                <w:color w:val="auto"/>
                <w:sz w:val="21"/>
                <w:szCs w:val="21"/>
                <w:highlight w:val="none"/>
                <w:lang w:val="en-US"/>
              </w:rPr>
              <w:t>4</w:t>
            </w:r>
            <w:r>
              <w:rPr>
                <w:rFonts w:hint="eastAsia" w:ascii="宋体" w:hAnsi="宋体" w:eastAsia="宋体" w:cs="宋体"/>
                <w:color w:val="auto"/>
                <w:sz w:val="21"/>
                <w:szCs w:val="21"/>
                <w:highlight w:val="none"/>
              </w:rPr>
              <w:t>000元收取。</w:t>
            </w:r>
          </w:p>
          <w:p>
            <w:pPr>
              <w:pStyle w:val="33"/>
              <w:adjustRightInd w:val="0"/>
              <w:snapToGrid w:val="0"/>
              <w:spacing w:line="360" w:lineRule="exact"/>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代理服务费银行账号：</w:t>
            </w:r>
          </w:p>
          <w:p>
            <w:pPr>
              <w:pStyle w:val="33"/>
              <w:adjustRightInd w:val="0"/>
              <w:snapToGrid w:val="0"/>
              <w:spacing w:line="360" w:lineRule="exact"/>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收款单位：</w:t>
            </w:r>
            <w:r>
              <w:rPr>
                <w:rFonts w:hint="eastAsia" w:ascii="宋体" w:hAnsi="宋体" w:eastAsia="宋体" w:cs="宋体"/>
                <w:color w:val="auto"/>
                <w:sz w:val="21"/>
                <w:szCs w:val="21"/>
                <w:highlight w:val="none"/>
                <w:lang w:val="en-US" w:bidi="ar"/>
              </w:rPr>
              <w:t>新疆华恒惠欣工程项目管理有限责任公司</w:t>
            </w:r>
            <w:r>
              <w:rPr>
                <w:rFonts w:hint="eastAsia" w:ascii="宋体" w:hAnsi="宋体" w:eastAsia="宋体" w:cs="宋体"/>
                <w:color w:val="auto"/>
                <w:sz w:val="21"/>
                <w:szCs w:val="21"/>
                <w:highlight w:val="none"/>
                <w:lang w:val="en-US"/>
              </w:rPr>
              <w:t xml:space="preserve"> </w:t>
            </w:r>
          </w:p>
          <w:p>
            <w:pPr>
              <w:pStyle w:val="33"/>
              <w:adjustRightInd w:val="0"/>
              <w:snapToGrid w:val="0"/>
              <w:spacing w:line="360" w:lineRule="exact"/>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银行账号：65050161665000001758</w:t>
            </w:r>
          </w:p>
          <w:p>
            <w:pPr>
              <w:pStyle w:val="33"/>
              <w:adjustRightInd w:val="0"/>
              <w:snapToGrid w:val="0"/>
              <w:spacing w:line="360" w:lineRule="exact"/>
              <w:jc w:val="both"/>
              <w:rPr>
                <w:rFonts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 xml:space="preserve">开 户 行：中国建设银行股份有限公司乌鲁木齐经济技术开发区支行  </w:t>
            </w:r>
          </w:p>
          <w:p>
            <w:pPr>
              <w:widowControl/>
              <w:jc w:val="both"/>
              <w:rPr>
                <w:color w:val="auto"/>
                <w:sz w:val="21"/>
                <w:szCs w:val="21"/>
                <w:highlight w:val="none"/>
                <w:lang w:val="en-US" w:bidi="ar"/>
              </w:rPr>
            </w:pPr>
            <w:r>
              <w:rPr>
                <w:rFonts w:hint="eastAsia"/>
                <w:color w:val="auto"/>
                <w:sz w:val="21"/>
                <w:szCs w:val="21"/>
                <w:highlight w:val="none"/>
                <w:lang w:val="en-US"/>
              </w:rPr>
              <w:t xml:space="preserve">开户行行号：105881000454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6" w:type="dxa"/>
            <w:gridSpan w:val="3"/>
            <w:vAlign w:val="center"/>
          </w:tcPr>
          <w:p>
            <w:pPr>
              <w:widowControl/>
              <w:jc w:val="center"/>
              <w:rPr>
                <w:color w:val="auto"/>
                <w:sz w:val="21"/>
                <w:szCs w:val="21"/>
                <w:highlight w:val="none"/>
              </w:rPr>
            </w:pPr>
            <w:r>
              <w:rPr>
                <w:rFonts w:hint="eastAsia"/>
                <w:b/>
                <w:bCs/>
                <w:color w:val="auto"/>
                <w:sz w:val="21"/>
                <w:szCs w:val="21"/>
                <w:highlight w:val="none"/>
                <w:lang w:val="en-US"/>
              </w:rPr>
              <w:t>补充条款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 w:type="dxa"/>
            <w:vAlign w:val="center"/>
          </w:tcPr>
          <w:p>
            <w:pPr>
              <w:pStyle w:val="14"/>
              <w:jc w:val="center"/>
              <w:rPr>
                <w:color w:val="auto"/>
                <w:sz w:val="21"/>
                <w:szCs w:val="21"/>
                <w:highlight w:val="none"/>
              </w:rPr>
            </w:pPr>
            <w:r>
              <w:rPr>
                <w:rFonts w:hint="eastAsia"/>
                <w:color w:val="auto"/>
                <w:sz w:val="21"/>
                <w:szCs w:val="21"/>
                <w:highlight w:val="none"/>
                <w:lang w:val="en-US" w:eastAsia="zh-CN"/>
              </w:rPr>
              <w:t>40</w:t>
            </w:r>
            <w:r>
              <w:rPr>
                <w:rFonts w:hint="eastAsia"/>
                <w:color w:val="auto"/>
                <w:sz w:val="21"/>
                <w:szCs w:val="21"/>
                <w:highlight w:val="none"/>
                <w:lang w:val="en-US"/>
              </w:rPr>
              <w:t>.</w:t>
            </w:r>
            <w:r>
              <w:rPr>
                <w:rFonts w:hint="eastAsia"/>
                <w:color w:val="auto"/>
                <w:sz w:val="21"/>
                <w:szCs w:val="21"/>
                <w:highlight w:val="none"/>
              </w:rPr>
              <w:t>解释权</w:t>
            </w:r>
          </w:p>
        </w:tc>
        <w:tc>
          <w:tcPr>
            <w:tcW w:w="885" w:type="dxa"/>
            <w:vAlign w:val="center"/>
          </w:tcPr>
          <w:p>
            <w:pPr>
              <w:pStyle w:val="14"/>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40.3</w:t>
            </w:r>
          </w:p>
        </w:tc>
        <w:tc>
          <w:tcPr>
            <w:tcW w:w="7623" w:type="dxa"/>
            <w:vAlign w:val="center"/>
          </w:tcPr>
          <w:p>
            <w:pPr>
              <w:pStyle w:val="14"/>
              <w:jc w:val="both"/>
              <w:rPr>
                <w:color w:val="auto"/>
                <w:sz w:val="21"/>
                <w:szCs w:val="21"/>
                <w:highlight w:val="none"/>
              </w:rPr>
            </w:pPr>
            <w:r>
              <w:rPr>
                <w:rFonts w:hint="eastAsia"/>
                <w:color w:val="auto"/>
                <w:sz w:val="21"/>
                <w:szCs w:val="21"/>
                <w:highlight w:val="none"/>
                <w:lang w:val="en-US"/>
              </w:rPr>
              <w:t xml:space="preserve">解释权：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 </w:t>
            </w:r>
          </w:p>
          <w:p>
            <w:pPr>
              <w:pStyle w:val="14"/>
              <w:jc w:val="both"/>
              <w:rPr>
                <w:color w:val="auto"/>
                <w:sz w:val="21"/>
                <w:szCs w:val="21"/>
                <w:highlight w:val="none"/>
              </w:rPr>
            </w:pPr>
            <w:r>
              <w:rPr>
                <w:rFonts w:hint="eastAsia"/>
                <w:color w:val="auto"/>
                <w:sz w:val="21"/>
                <w:szCs w:val="21"/>
                <w:highlight w:val="none"/>
                <w:lang w:val="en-US"/>
              </w:rPr>
              <w:t xml:space="preserve">法律责任： </w:t>
            </w:r>
          </w:p>
          <w:p>
            <w:pPr>
              <w:pStyle w:val="14"/>
              <w:jc w:val="both"/>
              <w:rPr>
                <w:color w:val="auto"/>
                <w:sz w:val="21"/>
                <w:szCs w:val="21"/>
                <w:highlight w:val="none"/>
                <w:lang w:val="en-US"/>
              </w:rPr>
            </w:pPr>
            <w:r>
              <w:rPr>
                <w:rFonts w:hint="eastAsia"/>
                <w:color w:val="auto"/>
                <w:sz w:val="21"/>
                <w:szCs w:val="21"/>
                <w:highlight w:val="none"/>
                <w:lang w:val="en-US"/>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pPr>
              <w:pStyle w:val="14"/>
              <w:jc w:val="both"/>
              <w:rPr>
                <w:color w:val="auto"/>
                <w:sz w:val="21"/>
                <w:szCs w:val="21"/>
                <w:highlight w:val="none"/>
              </w:rPr>
            </w:pPr>
            <w:r>
              <w:rPr>
                <w:rFonts w:hint="eastAsia"/>
                <w:color w:val="auto"/>
                <w:sz w:val="21"/>
                <w:szCs w:val="21"/>
                <w:highlight w:val="none"/>
                <w:lang w:val="en-US"/>
              </w:rPr>
              <w:t>2.本项目采购代理机构应严格按照“政采云”平台项目采购全流程电子化电子开评标规程执行项目采购活动，代理机构在“政采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458" w:type="dxa"/>
            <w:vAlign w:val="center"/>
          </w:tcPr>
          <w:p>
            <w:pPr>
              <w:pStyle w:val="14"/>
              <w:jc w:val="center"/>
              <w:rPr>
                <w:color w:val="auto"/>
                <w:sz w:val="21"/>
                <w:szCs w:val="21"/>
                <w:highlight w:val="none"/>
                <w:lang w:val="en-US"/>
              </w:rPr>
            </w:pPr>
            <w:r>
              <w:rPr>
                <w:rFonts w:hint="eastAsia"/>
                <w:color w:val="auto"/>
                <w:sz w:val="21"/>
                <w:szCs w:val="21"/>
                <w:highlight w:val="none"/>
                <w:lang w:val="en-US"/>
              </w:rPr>
              <w:t>4</w:t>
            </w:r>
            <w:r>
              <w:rPr>
                <w:rFonts w:hint="eastAsia"/>
                <w:color w:val="auto"/>
                <w:sz w:val="21"/>
                <w:szCs w:val="21"/>
                <w:highlight w:val="none"/>
                <w:lang w:val="en-US" w:eastAsia="zh-CN"/>
              </w:rPr>
              <w:t>1</w:t>
            </w:r>
            <w:r>
              <w:rPr>
                <w:rFonts w:hint="eastAsia"/>
                <w:color w:val="auto"/>
                <w:sz w:val="21"/>
                <w:szCs w:val="21"/>
                <w:highlight w:val="none"/>
                <w:lang w:val="en-US"/>
              </w:rPr>
              <w:t>.其他</w:t>
            </w:r>
          </w:p>
        </w:tc>
        <w:tc>
          <w:tcPr>
            <w:tcW w:w="885" w:type="dxa"/>
            <w:vAlign w:val="center"/>
          </w:tcPr>
          <w:p>
            <w:pPr>
              <w:pStyle w:val="14"/>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40.4</w:t>
            </w:r>
          </w:p>
        </w:tc>
        <w:tc>
          <w:tcPr>
            <w:tcW w:w="7623" w:type="dxa"/>
            <w:vAlign w:val="center"/>
          </w:tcPr>
          <w:p>
            <w:pPr>
              <w:pStyle w:val="14"/>
              <w:jc w:val="both"/>
              <w:rPr>
                <w:color w:val="auto"/>
                <w:sz w:val="21"/>
                <w:szCs w:val="21"/>
                <w:highlight w:val="none"/>
                <w:lang w:val="en-US"/>
              </w:rPr>
            </w:pPr>
            <w:r>
              <w:rPr>
                <w:rFonts w:hint="eastAsia"/>
                <w:color w:val="auto"/>
                <w:sz w:val="21"/>
                <w:szCs w:val="21"/>
                <w:highlight w:val="none"/>
                <w:lang w:val="en-US"/>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pPr>
              <w:pStyle w:val="14"/>
              <w:jc w:val="both"/>
              <w:rPr>
                <w:color w:val="auto"/>
                <w:sz w:val="21"/>
                <w:szCs w:val="21"/>
                <w:highlight w:val="none"/>
                <w:lang w:val="en-US"/>
              </w:rPr>
            </w:pPr>
            <w:r>
              <w:rPr>
                <w:rFonts w:hint="eastAsia"/>
                <w:color w:val="auto"/>
                <w:sz w:val="21"/>
                <w:szCs w:val="21"/>
                <w:highlight w:val="none"/>
                <w:lang w:val="en-US"/>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pPr>
              <w:pStyle w:val="14"/>
              <w:jc w:val="both"/>
              <w:rPr>
                <w:color w:val="auto"/>
                <w:sz w:val="21"/>
                <w:szCs w:val="21"/>
                <w:highlight w:val="none"/>
                <w:lang w:val="en-US"/>
              </w:rPr>
            </w:pPr>
            <w:r>
              <w:rPr>
                <w:rFonts w:hint="eastAsia"/>
                <w:color w:val="auto"/>
                <w:sz w:val="21"/>
                <w:szCs w:val="21"/>
                <w:highlight w:val="none"/>
                <w:lang w:val="en-US"/>
              </w:rPr>
              <w:t>3.本招标文件中描述投标人的“签字”是指投标人的法定代表人或者委托代理人亲自在文件规定签署处亲笔写上个人的名字的行为，私章、签字章、印鉴、影印等其他形式均不能代替亲笔签字。</w:t>
            </w:r>
          </w:p>
          <w:p>
            <w:pPr>
              <w:pStyle w:val="14"/>
              <w:jc w:val="both"/>
              <w:rPr>
                <w:color w:val="auto"/>
                <w:sz w:val="21"/>
                <w:szCs w:val="21"/>
                <w:highlight w:val="none"/>
                <w:lang w:val="en-US"/>
              </w:rPr>
            </w:pPr>
            <w:r>
              <w:rPr>
                <w:rFonts w:hint="eastAsia"/>
                <w:color w:val="auto"/>
                <w:sz w:val="21"/>
                <w:szCs w:val="21"/>
                <w:highlight w:val="none"/>
                <w:lang w:val="en-US"/>
              </w:rPr>
              <w:t>4.自然人投标的，招标文件规定盖公章处由自然人摁手指指印。</w:t>
            </w:r>
          </w:p>
          <w:p>
            <w:pPr>
              <w:pStyle w:val="14"/>
              <w:jc w:val="both"/>
              <w:rPr>
                <w:color w:val="auto"/>
                <w:sz w:val="21"/>
                <w:szCs w:val="21"/>
                <w:highlight w:val="none"/>
                <w:lang w:val="en-US"/>
              </w:rPr>
            </w:pPr>
            <w:r>
              <w:rPr>
                <w:rFonts w:hint="eastAsia"/>
                <w:color w:val="auto"/>
                <w:sz w:val="21"/>
                <w:szCs w:val="21"/>
                <w:highlight w:val="none"/>
                <w:lang w:val="en-US"/>
              </w:rPr>
              <w:t xml:space="preserve">5.本招标文件所称的“以上”“以下”“以内”“届满”，包括本数；所称 </w:t>
            </w:r>
          </w:p>
          <w:p>
            <w:pPr>
              <w:pStyle w:val="14"/>
              <w:jc w:val="both"/>
              <w:rPr>
                <w:color w:val="auto"/>
                <w:sz w:val="21"/>
                <w:szCs w:val="21"/>
                <w:highlight w:val="none"/>
                <w:lang w:val="en-US"/>
              </w:rPr>
            </w:pPr>
            <w:r>
              <w:rPr>
                <w:rFonts w:hint="eastAsia"/>
                <w:color w:val="auto"/>
                <w:sz w:val="21"/>
                <w:szCs w:val="21"/>
                <w:highlight w:val="none"/>
                <w:lang w:val="en-US"/>
              </w:rPr>
              <w:t>的“不满”“超过”“以外”，不包括本数。</w:t>
            </w:r>
          </w:p>
          <w:p>
            <w:pPr>
              <w:pStyle w:val="14"/>
              <w:jc w:val="both"/>
              <w:rPr>
                <w:color w:val="auto"/>
                <w:sz w:val="21"/>
                <w:szCs w:val="21"/>
                <w:highlight w:val="none"/>
              </w:rPr>
            </w:pPr>
            <w:r>
              <w:rPr>
                <w:rFonts w:hint="eastAsia"/>
                <w:color w:val="auto"/>
                <w:sz w:val="21"/>
                <w:szCs w:val="21"/>
                <w:highlight w:val="none"/>
              </w:rPr>
              <w:t>本表是对“投标人须知</w:t>
            </w:r>
            <w:r>
              <w:rPr>
                <w:rFonts w:hint="eastAsia"/>
                <w:color w:val="auto"/>
                <w:sz w:val="21"/>
                <w:szCs w:val="21"/>
                <w:highlight w:val="none"/>
                <w:lang w:val="en-US"/>
              </w:rPr>
              <w:t>正文</w:t>
            </w:r>
            <w:r>
              <w:rPr>
                <w:rFonts w:hint="eastAsia"/>
                <w:color w:val="auto"/>
                <w:sz w:val="21"/>
                <w:szCs w:val="21"/>
                <w:highlight w:val="none"/>
              </w:rPr>
              <w:t>”的具体补充和修改，如有矛盾，应以本表内容为准。</w:t>
            </w:r>
          </w:p>
        </w:tc>
      </w:tr>
    </w:tbl>
    <w:p>
      <w:pPr>
        <w:rPr>
          <w:color w:val="auto"/>
          <w:sz w:val="20"/>
          <w:szCs w:val="20"/>
          <w:highlight w:val="none"/>
        </w:rPr>
      </w:pPr>
      <w:r>
        <w:rPr>
          <w:rFonts w:hint="eastAsia"/>
          <w:color w:val="auto"/>
          <w:sz w:val="20"/>
          <w:szCs w:val="20"/>
          <w:highlight w:val="none"/>
        </w:rPr>
        <w:br w:type="page"/>
      </w:r>
    </w:p>
    <w:p>
      <w:pPr>
        <w:pStyle w:val="6"/>
        <w:spacing w:before="31" w:line="240" w:lineRule="auto"/>
        <w:ind w:right="70"/>
        <w:rPr>
          <w:rFonts w:ascii="宋体" w:hAnsi="宋体" w:eastAsia="宋体" w:cs="宋体"/>
          <w:color w:val="auto"/>
          <w:sz w:val="28"/>
          <w:szCs w:val="28"/>
          <w:highlight w:val="none"/>
        </w:rPr>
      </w:pPr>
      <w:bookmarkStart w:id="4" w:name="_bookmark20"/>
      <w:bookmarkEnd w:id="4"/>
      <w:bookmarkStart w:id="5" w:name="_bookmark26"/>
      <w:bookmarkEnd w:id="5"/>
      <w:bookmarkStart w:id="6" w:name="_bookmark21"/>
      <w:bookmarkEnd w:id="6"/>
      <w:bookmarkStart w:id="7" w:name="_bookmark24"/>
      <w:bookmarkEnd w:id="7"/>
      <w:bookmarkStart w:id="8" w:name="_bookmark28"/>
      <w:bookmarkEnd w:id="8"/>
      <w:bookmarkStart w:id="9" w:name="_bookmark22"/>
      <w:bookmarkEnd w:id="9"/>
      <w:bookmarkStart w:id="10" w:name="_bookmark25"/>
      <w:bookmarkEnd w:id="10"/>
      <w:bookmarkStart w:id="11" w:name="_bookmark10"/>
      <w:bookmarkEnd w:id="11"/>
      <w:bookmarkStart w:id="12" w:name="_bookmark9"/>
      <w:bookmarkEnd w:id="12"/>
      <w:bookmarkStart w:id="13" w:name="_bookmark2"/>
      <w:bookmarkEnd w:id="13"/>
      <w:bookmarkStart w:id="14" w:name="_bookmark8"/>
      <w:bookmarkEnd w:id="14"/>
      <w:bookmarkStart w:id="15" w:name="_bookmark19"/>
      <w:bookmarkEnd w:id="15"/>
      <w:bookmarkStart w:id="16" w:name="_bookmark23"/>
      <w:bookmarkEnd w:id="16"/>
      <w:bookmarkStart w:id="17" w:name="_Toc16645"/>
      <w:r>
        <w:rPr>
          <w:rFonts w:hint="eastAsia" w:ascii="宋体" w:hAnsi="宋体" w:eastAsia="宋体" w:cs="宋体"/>
          <w:color w:val="auto"/>
          <w:sz w:val="28"/>
          <w:szCs w:val="28"/>
          <w:highlight w:val="none"/>
        </w:rPr>
        <w:t>投标人须知</w:t>
      </w:r>
      <w:bookmarkEnd w:id="17"/>
      <w:bookmarkStart w:id="18" w:name="_bookmark29"/>
      <w:bookmarkEnd w:id="18"/>
    </w:p>
    <w:p>
      <w:pPr>
        <w:pStyle w:val="7"/>
        <w:spacing w:before="31" w:line="364" w:lineRule="auto"/>
        <w:ind w:right="70"/>
        <w:rPr>
          <w:rFonts w:ascii="宋体" w:hAnsi="宋体" w:eastAsia="宋体" w:cs="宋体"/>
          <w:color w:val="auto"/>
          <w:sz w:val="24"/>
          <w:szCs w:val="24"/>
          <w:highlight w:val="none"/>
        </w:rPr>
      </w:pPr>
      <w:bookmarkStart w:id="19" w:name="_Toc5777"/>
      <w:r>
        <w:rPr>
          <w:rFonts w:hint="eastAsia" w:ascii="宋体" w:hAnsi="宋体" w:eastAsia="宋体" w:cs="宋体"/>
          <w:color w:val="auto"/>
          <w:sz w:val="24"/>
          <w:szCs w:val="24"/>
          <w:highlight w:val="none"/>
        </w:rPr>
        <w:t>一、说 明</w:t>
      </w:r>
      <w:bookmarkEnd w:id="19"/>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1 </w:t>
      </w:r>
      <w:r>
        <w:rPr>
          <w:rFonts w:hint="eastAsia"/>
          <w:color w:val="auto"/>
          <w:sz w:val="21"/>
          <w:szCs w:val="21"/>
          <w:highlight w:val="none"/>
        </w:rPr>
        <w:t>概述</w:t>
      </w:r>
    </w:p>
    <w:p>
      <w:pPr>
        <w:pStyle w:val="32"/>
        <w:tabs>
          <w:tab w:val="left" w:pos="908"/>
        </w:tabs>
        <w:spacing w:before="0" w:line="360" w:lineRule="auto"/>
        <w:ind w:left="0" w:firstLine="420" w:firstLineChars="200"/>
        <w:rPr>
          <w:color w:val="auto"/>
          <w:sz w:val="21"/>
          <w:szCs w:val="21"/>
          <w:highlight w:val="none"/>
        </w:rPr>
      </w:pPr>
      <w:bookmarkStart w:id="20" w:name="_bookmark30"/>
      <w:bookmarkEnd w:id="20"/>
      <w:r>
        <w:rPr>
          <w:rFonts w:hint="eastAsia"/>
          <w:color w:val="auto"/>
          <w:sz w:val="21"/>
          <w:szCs w:val="21"/>
          <w:highlight w:val="none"/>
          <w:lang w:val="en-US"/>
        </w:rPr>
        <w:t xml:space="preserve">1.1 </w:t>
      </w:r>
      <w:r>
        <w:rPr>
          <w:rFonts w:hint="eastAsia"/>
          <w:color w:val="auto"/>
          <w:sz w:val="21"/>
          <w:szCs w:val="21"/>
          <w:highlight w:val="none"/>
        </w:rPr>
        <w:t>项目概述见《投标人须知前附表》。</w:t>
      </w:r>
    </w:p>
    <w:p>
      <w:pPr>
        <w:pStyle w:val="32"/>
        <w:tabs>
          <w:tab w:val="left" w:pos="907"/>
          <w:tab w:val="left" w:pos="908"/>
        </w:tabs>
        <w:spacing w:before="0" w:line="360" w:lineRule="auto"/>
        <w:ind w:left="0" w:firstLine="420" w:firstLineChars="200"/>
        <w:rPr>
          <w:color w:val="auto"/>
          <w:sz w:val="21"/>
          <w:szCs w:val="21"/>
          <w:highlight w:val="none"/>
        </w:rPr>
      </w:pPr>
      <w:bookmarkStart w:id="21" w:name="_bookmark31"/>
      <w:bookmarkEnd w:id="21"/>
      <w:r>
        <w:rPr>
          <w:rFonts w:hint="eastAsia"/>
          <w:color w:val="auto"/>
          <w:sz w:val="21"/>
          <w:szCs w:val="21"/>
          <w:highlight w:val="none"/>
          <w:lang w:val="en-US"/>
        </w:rPr>
        <w:t xml:space="preserve">1.2 </w:t>
      </w:r>
      <w:r>
        <w:rPr>
          <w:rFonts w:hint="eastAsia"/>
          <w:color w:val="auto"/>
          <w:sz w:val="21"/>
          <w:szCs w:val="21"/>
          <w:highlight w:val="none"/>
        </w:rPr>
        <w:t>按照《政府采购货物和服务招标投标管理办法》第七条规定，采购人确定本次采购项目的属性见《投标人须知前附表》。</w:t>
      </w:r>
    </w:p>
    <w:p>
      <w:pPr>
        <w:pStyle w:val="32"/>
        <w:tabs>
          <w:tab w:val="left" w:pos="907"/>
          <w:tab w:val="left" w:pos="908"/>
        </w:tabs>
        <w:spacing w:before="0" w:line="360" w:lineRule="auto"/>
        <w:ind w:left="0" w:firstLine="420" w:firstLineChars="200"/>
        <w:rPr>
          <w:color w:val="auto"/>
          <w:sz w:val="21"/>
          <w:szCs w:val="21"/>
          <w:highlight w:val="none"/>
        </w:rPr>
      </w:pPr>
      <w:bookmarkStart w:id="22" w:name="_bookmark32"/>
      <w:bookmarkEnd w:id="22"/>
      <w:r>
        <w:rPr>
          <w:rFonts w:hint="eastAsia"/>
          <w:color w:val="auto"/>
          <w:sz w:val="21"/>
          <w:szCs w:val="21"/>
          <w:highlight w:val="none"/>
          <w:lang w:val="en-US"/>
        </w:rPr>
        <w:t xml:space="preserve">1.3 </w:t>
      </w:r>
      <w:r>
        <w:rPr>
          <w:rFonts w:hint="eastAsia"/>
          <w:color w:val="auto"/>
          <w:sz w:val="21"/>
          <w:szCs w:val="21"/>
          <w:highlight w:val="none"/>
        </w:rPr>
        <w:t>按照《政府采购促进中小企业发展管理办法》第十二条规定，明确采购标的对应的中小企业划分标准所属行业详见《投标人须知前附表》。</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 定义</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 “采购人”是指依法进行政府采购的国家机关、事业单位、团体组织。采购人名称、地址、电话、联系人见《投标人须知前附表》。</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2.2 “采购代理机构”是指接受采购人委托，代理采购项目的集中采购机构和其他采购代理机构。采购代理机构名称、地址、电话、联系人见《投标人须知前附表》。</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2.3 “投标人”是指响应招标、参加投标竞争的法人、其他组织或者自然人。</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2.4 “货物”是指各种形态和种类的物品，包括原材料、燃料、设备、产品等，详见《政府采购品目分类目录》（财库[2013]189号）。</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2.5 “服务”系指按合同规定卖方须承担的运输、装卸、技术协助和交付使用后保修期内应履行的义务及售后服务等其他类似的义务。</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2.6 “卖方”系指提供合同货物和服务的经济实体。</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2.7 “买方”系指购买货物和服务的单位。</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2.8 “节能产品”或者“环保产品”是指财政部发布的《节能产品政府采购清单》或者《环境标志产品政府采购清单》的产品。</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2.9 “进口产品”是指通过中国海关报关验放进入中国境内且产自关境外的产品，详见《政府采购进口产品管理办法》（财库［2007］119 号文）、《关于政府采购进口产品管理有关问题的通知》（财办库［2008］248 号文）。</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2.10 偏离</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2.10.1 本条所称偏离为投标文件对招标文件的偏离，即不满足或不响应招标文件的要求。偏离分为对招标文件的实质性要求条款偏离和对招标文件的一般商务和技术条款偏离。</w:t>
      </w:r>
    </w:p>
    <w:p>
      <w:pPr>
        <w:pStyle w:val="35"/>
        <w:snapToGrid w:val="0"/>
        <w:spacing w:line="360" w:lineRule="auto"/>
        <w:ind w:firstLine="422" w:firstLineChars="200"/>
        <w:jc w:val="both"/>
        <w:rPr>
          <w:rFonts w:ascii="宋体" w:hAnsi="宋体" w:cs="宋体"/>
          <w:color w:val="auto"/>
          <w:sz w:val="21"/>
          <w:szCs w:val="21"/>
          <w:highlight w:val="none"/>
        </w:rPr>
      </w:pPr>
      <w:r>
        <w:rPr>
          <w:rFonts w:hint="eastAsia" w:ascii="宋体" w:hAnsi="宋体" w:cs="宋体"/>
          <w:b/>
          <w:bCs/>
          <w:color w:val="auto"/>
          <w:sz w:val="21"/>
          <w:szCs w:val="21"/>
          <w:highlight w:val="none"/>
        </w:rPr>
        <w:t>2.10.2 除法律、法规和规章规定外，招标文件中用“拒绝”、“不接受”、“无效”、“不得”等文字规定或标注“*”符号的条款为实质性要求条款（即重要条款），对其中任何一条的偏离，在评标时将其视为无效投标</w:t>
      </w:r>
      <w:r>
        <w:rPr>
          <w:rFonts w:hint="eastAsia" w:ascii="宋体" w:hAnsi="宋体" w:cs="宋体"/>
          <w:color w:val="auto"/>
          <w:sz w:val="21"/>
          <w:szCs w:val="21"/>
          <w:highlight w:val="none"/>
        </w:rPr>
        <w:t>。未用上述文字规定或符号标注的条款为非实质性要求条款（即一般条款）。</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 xml:space="preserve">11 </w:t>
      </w:r>
      <w:r>
        <w:rPr>
          <w:rFonts w:hint="eastAsia"/>
          <w:color w:val="auto"/>
          <w:spacing w:val="-13"/>
          <w:sz w:val="21"/>
          <w:szCs w:val="21"/>
          <w:highlight w:val="none"/>
        </w:rPr>
        <w:t>若采购人员及相关人员与投标人（即投标人）有下列利害关系之一的，应当回避：</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.1</w:t>
      </w:r>
      <w:r>
        <w:rPr>
          <w:rFonts w:hint="eastAsia"/>
          <w:color w:val="auto"/>
          <w:sz w:val="21"/>
          <w:szCs w:val="21"/>
          <w:highlight w:val="none"/>
          <w:lang w:val="en-US"/>
        </w:rPr>
        <w:t xml:space="preserve"> </w:t>
      </w:r>
      <w:r>
        <w:rPr>
          <w:rFonts w:hint="eastAsia"/>
          <w:color w:val="auto"/>
          <w:sz w:val="21"/>
          <w:szCs w:val="21"/>
          <w:highlight w:val="none"/>
        </w:rPr>
        <w:t>参加采购活动前3年内与投标人存在劳动关系；</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.2</w:t>
      </w:r>
      <w:r>
        <w:rPr>
          <w:rFonts w:hint="eastAsia"/>
          <w:color w:val="auto"/>
          <w:sz w:val="21"/>
          <w:szCs w:val="21"/>
          <w:highlight w:val="none"/>
          <w:lang w:val="en-US"/>
        </w:rPr>
        <w:t xml:space="preserve"> </w:t>
      </w:r>
      <w:r>
        <w:rPr>
          <w:rFonts w:hint="eastAsia"/>
          <w:color w:val="auto"/>
          <w:sz w:val="21"/>
          <w:szCs w:val="21"/>
          <w:highlight w:val="none"/>
        </w:rPr>
        <w:t>参加采购活动前3年内担任投标人的董事、监事；</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.3</w:t>
      </w:r>
      <w:r>
        <w:rPr>
          <w:rFonts w:hint="eastAsia"/>
          <w:color w:val="auto"/>
          <w:sz w:val="21"/>
          <w:szCs w:val="21"/>
          <w:highlight w:val="none"/>
          <w:lang w:val="en-US"/>
        </w:rPr>
        <w:t xml:space="preserve"> </w:t>
      </w:r>
      <w:r>
        <w:rPr>
          <w:rFonts w:hint="eastAsia"/>
          <w:color w:val="auto"/>
          <w:sz w:val="21"/>
          <w:szCs w:val="21"/>
          <w:highlight w:val="none"/>
        </w:rPr>
        <w:t>参加采购活动前3年内是投标人的控股股东或者实际控制人；</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.4</w:t>
      </w:r>
      <w:r>
        <w:rPr>
          <w:rFonts w:hint="eastAsia"/>
          <w:color w:val="auto"/>
          <w:sz w:val="21"/>
          <w:szCs w:val="21"/>
          <w:highlight w:val="none"/>
          <w:lang w:val="en-US"/>
        </w:rPr>
        <w:t xml:space="preserve"> </w:t>
      </w:r>
      <w:r>
        <w:rPr>
          <w:rFonts w:hint="eastAsia"/>
          <w:color w:val="auto"/>
          <w:sz w:val="21"/>
          <w:szCs w:val="21"/>
          <w:highlight w:val="none"/>
        </w:rPr>
        <w:t>与投标人的法定代表人或者负责人有夫妻、直系血亲、三代以内旁系血亲或者近姻亲关系；</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.5</w:t>
      </w:r>
      <w:r>
        <w:rPr>
          <w:rFonts w:hint="eastAsia"/>
          <w:color w:val="auto"/>
          <w:sz w:val="21"/>
          <w:szCs w:val="21"/>
          <w:highlight w:val="none"/>
          <w:lang w:val="en-US"/>
        </w:rPr>
        <w:t xml:space="preserve"> </w:t>
      </w:r>
      <w:r>
        <w:rPr>
          <w:rFonts w:hint="eastAsia"/>
          <w:color w:val="auto"/>
          <w:sz w:val="21"/>
          <w:szCs w:val="21"/>
          <w:highlight w:val="none"/>
        </w:rPr>
        <w:t>与投标人有其他可能影响政府采购活动公平、公正进行的关系；</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11</w:t>
      </w:r>
      <w:r>
        <w:rPr>
          <w:rFonts w:hint="eastAsia"/>
          <w:color w:val="auto"/>
          <w:sz w:val="21"/>
          <w:szCs w:val="21"/>
          <w:highlight w:val="none"/>
        </w:rPr>
        <w:t>.6</w:t>
      </w:r>
      <w:r>
        <w:rPr>
          <w:rFonts w:hint="eastAsia"/>
          <w:color w:val="auto"/>
          <w:sz w:val="21"/>
          <w:szCs w:val="21"/>
          <w:highlight w:val="none"/>
          <w:lang w:val="en-US"/>
        </w:rPr>
        <w:t xml:space="preserve"> </w:t>
      </w:r>
      <w:r>
        <w:rPr>
          <w:rFonts w:hint="eastAsia"/>
          <w:color w:val="auto"/>
          <w:sz w:val="21"/>
          <w:szCs w:val="21"/>
          <w:highlight w:val="none"/>
        </w:rPr>
        <w:t>投标人认为采购人员及相关人员与其他投标人有利害关系的，可以向采购人或者采购代理机构书面提出回避申请，并说明理由。采购人或者采购代理机构应当及时询问被申请回避人员，有利害关系的被申请回避人员应当回避。</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 xml:space="preserve">12 </w:t>
      </w:r>
      <w:r>
        <w:rPr>
          <w:rFonts w:hint="eastAsia"/>
          <w:color w:val="auto"/>
          <w:sz w:val="21"/>
          <w:szCs w:val="21"/>
          <w:highlight w:val="none"/>
        </w:rPr>
        <w:t>采购人或者采购代理机构有下列情形之一的，属于以不合理的条件对投标人（即投标人）实行差别待遇或者歧视待遇：</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.1</w:t>
      </w:r>
      <w:r>
        <w:rPr>
          <w:rFonts w:hint="eastAsia"/>
          <w:color w:val="auto"/>
          <w:sz w:val="21"/>
          <w:szCs w:val="21"/>
          <w:highlight w:val="none"/>
          <w:lang w:val="en-US"/>
        </w:rPr>
        <w:t xml:space="preserve"> </w:t>
      </w:r>
      <w:r>
        <w:rPr>
          <w:rFonts w:hint="eastAsia"/>
          <w:color w:val="auto"/>
          <w:sz w:val="21"/>
          <w:szCs w:val="21"/>
          <w:highlight w:val="none"/>
        </w:rPr>
        <w:t>就同一采购项目向投标人提供有差别的项目信息；</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.2</w:t>
      </w:r>
      <w:r>
        <w:rPr>
          <w:rFonts w:hint="eastAsia"/>
          <w:color w:val="auto"/>
          <w:sz w:val="21"/>
          <w:szCs w:val="21"/>
          <w:highlight w:val="none"/>
          <w:lang w:val="en-US"/>
        </w:rPr>
        <w:t xml:space="preserve"> </w:t>
      </w:r>
      <w:r>
        <w:rPr>
          <w:rFonts w:hint="eastAsia"/>
          <w:color w:val="auto"/>
          <w:sz w:val="21"/>
          <w:szCs w:val="21"/>
          <w:highlight w:val="none"/>
        </w:rPr>
        <w:t>设定的资格、技术、商务条件与采购项目的具体特点和实际需要不相适应或者与合同履行无关；</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.3</w:t>
      </w:r>
      <w:r>
        <w:rPr>
          <w:rFonts w:hint="eastAsia"/>
          <w:color w:val="auto"/>
          <w:sz w:val="21"/>
          <w:szCs w:val="21"/>
          <w:highlight w:val="none"/>
          <w:lang w:val="en-US"/>
        </w:rPr>
        <w:t xml:space="preserve"> </w:t>
      </w:r>
      <w:r>
        <w:rPr>
          <w:rFonts w:hint="eastAsia"/>
          <w:color w:val="auto"/>
          <w:sz w:val="21"/>
          <w:szCs w:val="21"/>
          <w:highlight w:val="none"/>
        </w:rPr>
        <w:t>采购需求中的技术、服务等要求指向特定投标人、特定产品；</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.4</w:t>
      </w:r>
      <w:r>
        <w:rPr>
          <w:rFonts w:hint="eastAsia"/>
          <w:color w:val="auto"/>
          <w:sz w:val="21"/>
          <w:szCs w:val="21"/>
          <w:highlight w:val="none"/>
          <w:lang w:val="en-US"/>
        </w:rPr>
        <w:t xml:space="preserve"> </w:t>
      </w:r>
      <w:r>
        <w:rPr>
          <w:rFonts w:hint="eastAsia"/>
          <w:color w:val="auto"/>
          <w:sz w:val="21"/>
          <w:szCs w:val="21"/>
          <w:highlight w:val="none"/>
        </w:rPr>
        <w:t>对投标人采取不同的资格审查或者评标标准；</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.5</w:t>
      </w:r>
      <w:r>
        <w:rPr>
          <w:rFonts w:hint="eastAsia"/>
          <w:color w:val="auto"/>
          <w:sz w:val="21"/>
          <w:szCs w:val="21"/>
          <w:highlight w:val="none"/>
          <w:lang w:val="en-US"/>
        </w:rPr>
        <w:t xml:space="preserve"> </w:t>
      </w:r>
      <w:r>
        <w:rPr>
          <w:rFonts w:hint="eastAsia"/>
          <w:color w:val="auto"/>
          <w:sz w:val="21"/>
          <w:szCs w:val="21"/>
          <w:highlight w:val="none"/>
        </w:rPr>
        <w:t>限定或者指定特定的专利、商标、品牌或者投标人；</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.6</w:t>
      </w:r>
      <w:r>
        <w:rPr>
          <w:rFonts w:hint="eastAsia"/>
          <w:color w:val="auto"/>
          <w:sz w:val="21"/>
          <w:szCs w:val="21"/>
          <w:highlight w:val="none"/>
          <w:lang w:val="en-US"/>
        </w:rPr>
        <w:t xml:space="preserve"> </w:t>
      </w:r>
      <w:r>
        <w:rPr>
          <w:rFonts w:hint="eastAsia"/>
          <w:color w:val="auto"/>
          <w:sz w:val="21"/>
          <w:szCs w:val="21"/>
          <w:highlight w:val="none"/>
        </w:rPr>
        <w:t>非法限定投标人的所有制形式、组织形式或者所在地；</w:t>
      </w:r>
    </w:p>
    <w:p>
      <w:pPr>
        <w:widowControl/>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12</w:t>
      </w:r>
      <w:r>
        <w:rPr>
          <w:rFonts w:hint="eastAsia"/>
          <w:color w:val="auto"/>
          <w:sz w:val="21"/>
          <w:szCs w:val="21"/>
          <w:highlight w:val="none"/>
        </w:rPr>
        <w:t>.7</w:t>
      </w:r>
      <w:r>
        <w:rPr>
          <w:rFonts w:hint="eastAsia"/>
          <w:color w:val="auto"/>
          <w:sz w:val="21"/>
          <w:szCs w:val="21"/>
          <w:highlight w:val="none"/>
          <w:lang w:val="en-US"/>
        </w:rPr>
        <w:t xml:space="preserve"> </w:t>
      </w:r>
      <w:r>
        <w:rPr>
          <w:rFonts w:hint="eastAsia"/>
          <w:color w:val="auto"/>
          <w:sz w:val="21"/>
          <w:szCs w:val="21"/>
          <w:highlight w:val="none"/>
        </w:rPr>
        <w:t>以其他不合理条件限制或者排斥潜在投标人。</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 特别说明</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2.13.1 投标人在本次招标活动中，必须遵循《中华人民共和国政府采购法》、《中华人民共和国政府采购法实施条例》、《政府采购货物和服务招标投标管理办法》（财政部令第84号）等相关法律、法规的规定。凡参加投标的投标人必须具有履行本招标文件规定的有关要求的能力，信誉良好；</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2.13.2 投标人参加投标所使用的资格、信誉、荣誉与相关认证等必须为投标人所拥有；</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2.13.3 投标人应仔细阅读招标文件的所有内容，按照招标文件的要求提交投标文件，并对所提供的全部资料的真实性承担法律责任；</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2.13.4 投标人在投标活动中提供任何虚假材料，其</w:t>
      </w:r>
      <w:r>
        <w:rPr>
          <w:rFonts w:hint="eastAsia" w:ascii="宋体" w:hAnsi="宋体" w:cs="宋体"/>
          <w:b/>
          <w:bCs/>
          <w:color w:val="auto"/>
          <w:sz w:val="21"/>
          <w:szCs w:val="21"/>
          <w:highlight w:val="none"/>
        </w:rPr>
        <w:t>投标无效</w:t>
      </w:r>
      <w:r>
        <w:rPr>
          <w:rFonts w:hint="eastAsia" w:ascii="宋体" w:hAnsi="宋体" w:cs="宋体"/>
          <w:color w:val="auto"/>
          <w:sz w:val="21"/>
          <w:szCs w:val="21"/>
          <w:highlight w:val="none"/>
        </w:rPr>
        <w:t>并承担相应法律责任。</w:t>
      </w:r>
    </w:p>
    <w:p>
      <w:pPr>
        <w:pStyle w:val="32"/>
        <w:tabs>
          <w:tab w:val="left" w:pos="907"/>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3 </w:t>
      </w:r>
      <w:r>
        <w:rPr>
          <w:rFonts w:hint="eastAsia"/>
          <w:color w:val="auto"/>
          <w:sz w:val="21"/>
          <w:szCs w:val="21"/>
          <w:highlight w:val="none"/>
        </w:rPr>
        <w:t>合格投标人</w:t>
      </w:r>
    </w:p>
    <w:p>
      <w:pPr>
        <w:pStyle w:val="32"/>
        <w:tabs>
          <w:tab w:val="left" w:pos="907"/>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3.1 </w:t>
      </w:r>
      <w:r>
        <w:rPr>
          <w:rFonts w:hint="eastAsia"/>
          <w:color w:val="auto"/>
          <w:sz w:val="21"/>
          <w:szCs w:val="21"/>
          <w:highlight w:val="none"/>
        </w:rPr>
        <w:t>“投标人”（也称为“申请人”）系指响应招标、参加本次投标竞争的法人、其他组织。</w:t>
      </w:r>
    </w:p>
    <w:p>
      <w:pPr>
        <w:pStyle w:val="32"/>
        <w:tabs>
          <w:tab w:val="left" w:pos="907"/>
          <w:tab w:val="left" w:pos="908"/>
        </w:tabs>
        <w:spacing w:before="0" w:line="360" w:lineRule="auto"/>
        <w:ind w:left="0" w:firstLine="420" w:firstLineChars="200"/>
        <w:rPr>
          <w:color w:val="auto"/>
          <w:sz w:val="21"/>
          <w:szCs w:val="21"/>
          <w:highlight w:val="none"/>
        </w:rPr>
      </w:pPr>
      <w:bookmarkStart w:id="23" w:name="_bookmark33"/>
      <w:bookmarkEnd w:id="23"/>
      <w:r>
        <w:rPr>
          <w:rFonts w:hint="eastAsia"/>
          <w:color w:val="auto"/>
          <w:sz w:val="21"/>
          <w:szCs w:val="21"/>
          <w:highlight w:val="none"/>
          <w:lang w:val="en-US"/>
        </w:rPr>
        <w:t xml:space="preserve">3.2 </w:t>
      </w:r>
      <w:r>
        <w:rPr>
          <w:rFonts w:hint="eastAsia"/>
          <w:color w:val="auto"/>
          <w:sz w:val="21"/>
          <w:szCs w:val="21"/>
          <w:highlight w:val="none"/>
        </w:rPr>
        <w:t>“合格的投标人”系指符合《投标人须知前附表》投标人资格要求的投标人。</w:t>
      </w:r>
    </w:p>
    <w:p>
      <w:pPr>
        <w:pStyle w:val="32"/>
        <w:tabs>
          <w:tab w:val="left" w:pos="908"/>
        </w:tabs>
        <w:spacing w:before="0" w:line="360" w:lineRule="auto"/>
        <w:ind w:left="0" w:firstLine="420" w:firstLineChars="200"/>
        <w:rPr>
          <w:color w:val="auto"/>
          <w:sz w:val="21"/>
          <w:szCs w:val="21"/>
          <w:highlight w:val="none"/>
          <w:lang w:val="en-US"/>
        </w:rPr>
      </w:pPr>
      <w:bookmarkStart w:id="24" w:name="_bookmark34"/>
      <w:bookmarkEnd w:id="24"/>
      <w:r>
        <w:rPr>
          <w:rFonts w:hint="eastAsia"/>
          <w:color w:val="auto"/>
          <w:sz w:val="21"/>
          <w:szCs w:val="21"/>
          <w:highlight w:val="none"/>
          <w:lang w:val="en-US"/>
        </w:rPr>
        <w:t xml:space="preserve">3.3 </w:t>
      </w:r>
      <w:r>
        <w:rPr>
          <w:rFonts w:hint="eastAsia"/>
          <w:b/>
          <w:color w:val="auto"/>
          <w:sz w:val="21"/>
          <w:szCs w:val="21"/>
          <w:highlight w:val="none"/>
        </w:rPr>
        <w:t>联合体投标</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3.3.1 </w:t>
      </w:r>
      <w:r>
        <w:rPr>
          <w:rFonts w:hint="eastAsia"/>
          <w:color w:val="auto"/>
          <w:sz w:val="21"/>
          <w:szCs w:val="21"/>
          <w:highlight w:val="none"/>
        </w:rPr>
        <w:t xml:space="preserve">对于本须知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3</w:t>
      </w:r>
      <w:r>
        <w:rPr>
          <w:rFonts w:hint="eastAsia"/>
          <w:color w:val="auto"/>
          <w:sz w:val="21"/>
          <w:szCs w:val="21"/>
          <w:highlight w:val="none"/>
        </w:rPr>
        <w:t xml:space="preserve">.2 </w:t>
      </w:r>
      <w:r>
        <w:rPr>
          <w:rFonts w:hint="eastAsia"/>
          <w:color w:val="auto"/>
          <w:sz w:val="21"/>
          <w:szCs w:val="21"/>
          <w:highlight w:val="none"/>
        </w:rPr>
        <w:fldChar w:fldCharType="end"/>
      </w:r>
      <w:r>
        <w:rPr>
          <w:rFonts w:hint="eastAsia"/>
          <w:color w:val="auto"/>
          <w:sz w:val="21"/>
          <w:szCs w:val="21"/>
          <w:highlight w:val="none"/>
        </w:rPr>
        <w:t>条中明确</w:t>
      </w:r>
      <w:r>
        <w:rPr>
          <w:rFonts w:hint="eastAsia"/>
          <w:b/>
          <w:color w:val="auto"/>
          <w:sz w:val="21"/>
          <w:szCs w:val="21"/>
          <w:highlight w:val="none"/>
        </w:rPr>
        <w:t>接受</w:t>
      </w:r>
      <w:r>
        <w:rPr>
          <w:rFonts w:hint="eastAsia"/>
          <w:color w:val="auto"/>
          <w:sz w:val="21"/>
          <w:szCs w:val="21"/>
          <w:highlight w:val="none"/>
        </w:rPr>
        <w:t xml:space="preserve">联合体投标的，对联合体的具体要求见《投标人须知前附表》；对于本须知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3</w:t>
      </w:r>
      <w:r>
        <w:rPr>
          <w:rFonts w:hint="eastAsia"/>
          <w:color w:val="auto"/>
          <w:sz w:val="21"/>
          <w:szCs w:val="21"/>
          <w:highlight w:val="none"/>
        </w:rPr>
        <w:t xml:space="preserve">.2 </w:t>
      </w:r>
      <w:r>
        <w:rPr>
          <w:rFonts w:hint="eastAsia"/>
          <w:color w:val="auto"/>
          <w:sz w:val="21"/>
          <w:szCs w:val="21"/>
          <w:highlight w:val="none"/>
        </w:rPr>
        <w:fldChar w:fldCharType="end"/>
      </w:r>
      <w:r>
        <w:rPr>
          <w:rFonts w:hint="eastAsia"/>
          <w:color w:val="auto"/>
          <w:sz w:val="21"/>
          <w:szCs w:val="21"/>
          <w:highlight w:val="none"/>
        </w:rPr>
        <w:t>条中明确</w:t>
      </w:r>
      <w:r>
        <w:rPr>
          <w:rFonts w:hint="eastAsia"/>
          <w:b/>
          <w:color w:val="auto"/>
          <w:sz w:val="21"/>
          <w:szCs w:val="21"/>
          <w:highlight w:val="none"/>
        </w:rPr>
        <w:t>不接受</w:t>
      </w:r>
      <w:r>
        <w:rPr>
          <w:rFonts w:hint="eastAsia"/>
          <w:color w:val="auto"/>
          <w:sz w:val="21"/>
          <w:szCs w:val="21"/>
          <w:highlight w:val="none"/>
        </w:rPr>
        <w:t>联合体投标的，联合体具体要求不适用。</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3.3.2</w:t>
      </w:r>
      <w:r>
        <w:rPr>
          <w:rFonts w:hint="eastAsia"/>
          <w:color w:val="auto"/>
          <w:sz w:val="21"/>
          <w:szCs w:val="21"/>
          <w:highlight w:val="none"/>
        </w:rPr>
        <w:t>联合体是指两个以上的法人或者其他组织可以组成一个联合体，以一个投标人的身份共同投标。投标人为联合体形式的，除应符合本须知</w:t>
      </w:r>
      <w:r>
        <w:rPr>
          <w:rFonts w:hint="eastAsia"/>
          <w:color w:val="auto"/>
          <w:sz w:val="21"/>
          <w:szCs w:val="21"/>
          <w:highlight w:val="none"/>
          <w:lang w:val="en-US"/>
        </w:rPr>
        <w:t xml:space="preserve"> </w:t>
      </w:r>
      <w:r>
        <w:rPr>
          <w:rFonts w:hint="eastAsia"/>
          <w:color w:val="auto"/>
          <w:sz w:val="21"/>
          <w:szCs w:val="21"/>
          <w:highlight w:val="none"/>
        </w:rPr>
        <w:t>3</w:t>
      </w:r>
      <w:r>
        <w:rPr>
          <w:rFonts w:hint="eastAsia"/>
          <w:color w:val="auto"/>
          <w:sz w:val="21"/>
          <w:szCs w:val="21"/>
          <w:highlight w:val="none"/>
          <w:lang w:val="en-US"/>
        </w:rPr>
        <w:t xml:space="preserve">.2 </w:t>
      </w:r>
      <w:r>
        <w:rPr>
          <w:rFonts w:hint="eastAsia"/>
          <w:color w:val="auto"/>
          <w:sz w:val="21"/>
          <w:szCs w:val="21"/>
          <w:highlight w:val="none"/>
        </w:rPr>
        <w:t>条规定外，还应遵守以下规定：</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3.3.2.1 联合体各方必须签订联合体协议书，明确联合体牵头人和各方的义务、工作、合同工作量比例；</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3.3.2.2 联合体各方均应当符合本须知 3.2 条规定的投标人基本资格条件；联合体中有同类资质的投标人按照联合体分工承担相同工作的，按照资质等级较低的投标人确定资质等级。</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3.3.2.3 除《投标人须知前附表》中另有规定，联合体各方中至少有一方应当符合本须知 3.2 条规定的投标人特定资格条件。</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3.3.3大中型企业和其他自然人、法人或者其他组织与小型、微型企业组成联合体，联合体协议中约定，小型、微型企业的协议合同金额占到联合体协议合同总金额30%以上的，可给予联合体2%的价格扣除。</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联合体各方均为小型、微型企业的，联合体视同为小型、微型企业享受扶持政策。</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组成联合体的大中型企业和其他自然人、法人或者其他组织，与小型、微型企业之间不得存在投资关系，并附协议书。</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3.3.4以联合体形式参加政府采购活动的，联合体各方不得再单独参加或者与其他投标人另外组成联合体参加同一合同项下的政府采购活动。</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3.4 投标人不得存在下列情形之一：</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3.4.1 与采购人、采购代理机构存在利害关系；</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3.4.2 受到刑事处罚，或者受到3万元以上的罚款、责令停产停业、在1至3年内禁止参加政府采购活动、暂扣或者吊销许可证、暂扣或者吊销执照等情形之一的行政处罚，或者存在财政部门认定的其他重大违法记录。</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3.5 投标人具有履行合同所必需的设备和专业技术能力，在人员、设备、资金等方面具有相应能力；投标人提供的产品必须是成熟产品；在项目地具有技术支持和后续服务等能力。</w:t>
      </w:r>
    </w:p>
    <w:p>
      <w:pPr>
        <w:pStyle w:val="35"/>
        <w:snapToGrid w:val="0"/>
        <w:spacing w:line="360" w:lineRule="auto"/>
        <w:ind w:firstLine="422" w:firstLineChars="200"/>
        <w:jc w:val="both"/>
        <w:rPr>
          <w:rFonts w:ascii="宋体" w:hAnsi="宋体" w:cs="宋体"/>
          <w:color w:val="auto"/>
          <w:sz w:val="21"/>
          <w:szCs w:val="21"/>
          <w:highlight w:val="none"/>
        </w:rPr>
      </w:pPr>
      <w:r>
        <w:rPr>
          <w:rFonts w:hint="eastAsia" w:ascii="宋体" w:hAnsi="宋体" w:cs="宋体"/>
          <w:b/>
          <w:bCs/>
          <w:color w:val="auto"/>
          <w:sz w:val="21"/>
          <w:szCs w:val="21"/>
          <w:highlight w:val="none"/>
        </w:rPr>
        <w:t>3.6 使用综合评分法的采购项目</w:t>
      </w:r>
      <w:r>
        <w:rPr>
          <w:rFonts w:hint="eastAsia" w:ascii="宋体" w:hAnsi="宋体" w:cs="宋体"/>
          <w:color w:val="auto"/>
          <w:sz w:val="21"/>
          <w:szCs w:val="21"/>
          <w:highlight w:val="none"/>
        </w:rPr>
        <w:t>，提供相同品牌产品且通过资格审查、符合性审查的不同投标人参加同一合同项下投标的，按一家投标人计算，评标后得分最高的同品牌投标人获得中标人推荐资格；评标得分相同的，由采购人或者采购人委托评标委员会按照招标文件规定的方式确定一个投标人获得中标人推荐资格，招标文件未规定的采取随机抽取方式确定，其他同品牌投标人不作为中标候选人。</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非单一产品采购项目，采购人应当根据采购项目技术构成、产品价格比重等合理确定核心产品，并在招标文件中载明。多家投标人提供的核心产品品牌相同的，同上处理。</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4 </w:t>
      </w:r>
      <w:r>
        <w:rPr>
          <w:rFonts w:hint="eastAsia"/>
          <w:color w:val="auto"/>
          <w:sz w:val="21"/>
          <w:szCs w:val="21"/>
          <w:highlight w:val="none"/>
        </w:rPr>
        <w:t>进口产品</w:t>
      </w:r>
    </w:p>
    <w:p>
      <w:pPr>
        <w:pStyle w:val="32"/>
        <w:tabs>
          <w:tab w:val="left" w:pos="908"/>
        </w:tabs>
        <w:spacing w:before="0" w:line="360" w:lineRule="auto"/>
        <w:ind w:left="0" w:firstLine="420" w:firstLineChars="200"/>
        <w:rPr>
          <w:color w:val="auto"/>
          <w:sz w:val="21"/>
          <w:szCs w:val="21"/>
          <w:highlight w:val="none"/>
        </w:rPr>
      </w:pPr>
      <w:bookmarkStart w:id="25" w:name="_bookmark35"/>
      <w:bookmarkEnd w:id="25"/>
      <w:r>
        <w:rPr>
          <w:rFonts w:hint="eastAsia"/>
          <w:color w:val="auto"/>
          <w:sz w:val="21"/>
          <w:szCs w:val="21"/>
          <w:highlight w:val="none"/>
          <w:lang w:val="en-US"/>
        </w:rPr>
        <w:t xml:space="preserve">4.1 </w:t>
      </w:r>
      <w:r>
        <w:rPr>
          <w:rFonts w:hint="eastAsia"/>
          <w:color w:val="auto"/>
          <w:sz w:val="21"/>
          <w:szCs w:val="21"/>
          <w:highlight w:val="none"/>
        </w:rPr>
        <w:t>本项目是否能够采购进口产品见《投标人须知前附表》。进口产品是指通过中国海关报关验放进入中国境内且产自关境外的产品，包括已经进入中国境内的进口产品。此处所述产品是指通过制造、加工或元部件装配，最终形成的产品。关于进口产品的相关规定依据《政府采购进口产品管理办法》（财库［2007］119 号文）、《关于政府采购进口产品管理有关问题的通知》（财办库［2008］248 号文）。</w:t>
      </w:r>
    </w:p>
    <w:p>
      <w:pPr>
        <w:pStyle w:val="32"/>
        <w:tabs>
          <w:tab w:val="left" w:pos="907"/>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 投标费用和知识产权</w:t>
      </w:r>
    </w:p>
    <w:p>
      <w:pPr>
        <w:pStyle w:val="32"/>
        <w:tabs>
          <w:tab w:val="left" w:pos="907"/>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5.1 投标人应承担其参加本招标活动自身所发生的费用。招标文件所提供的资料，是采购人现有的能被投标人利用的资料，采购人对投标人作出的任何推论、理解和结论均不负责任。</w:t>
      </w:r>
    </w:p>
    <w:p>
      <w:pPr>
        <w:pStyle w:val="32"/>
        <w:tabs>
          <w:tab w:val="left" w:pos="907"/>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5.2 投标人应保证，在中华人民共和国境内使用投标成果、服务或其任何一部分时，不会产生因第三方提出侵犯其专利权或其他知识产权而引起的法律和经济纠纷。如投标人不拥有相应的知识产权，则在报价中须包括合法获取该知识产权的相关费用。</w:t>
      </w:r>
    </w:p>
    <w:p>
      <w:pPr>
        <w:pStyle w:val="32"/>
        <w:tabs>
          <w:tab w:val="left" w:pos="907"/>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6 </w:t>
      </w:r>
      <w:r>
        <w:rPr>
          <w:rFonts w:hint="eastAsia"/>
          <w:color w:val="auto"/>
          <w:sz w:val="21"/>
          <w:szCs w:val="21"/>
          <w:highlight w:val="none"/>
        </w:rPr>
        <w:t>通知</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 xml:space="preserve">6.1 </w:t>
      </w:r>
      <w:r>
        <w:rPr>
          <w:rFonts w:hint="eastAsia"/>
          <w:color w:val="auto"/>
          <w:sz w:val="21"/>
          <w:szCs w:val="21"/>
          <w:highlight w:val="none"/>
        </w:rPr>
        <w:t>对与本项目有关的通知，采购代理机构将以书面形式（包括书面材料、信函、电子邮件、传真、中化商务电子招投标平台通知等，下同）或在本次招标公告刊登的媒体上发布公告的形式，向潜在投标人发出，电子邮箱、传真和手机号码以潜在投标人购买招标文件时的平台登记信息为准。收到通知的投标人应以立即予以回复确认。因信息登记有误、传真线路故障或其他任何意外情形，导致所发出的通知延迟送达或无法到达投标人，除非有适当的证据表明采购代理机构已经明知该项应当通知的事项并未实际有效到达且采购代理机构认为仍有条件和必要及时地再次补发通知而故意拖延或不予补发通知，采购代理机构不因此承担任何责任，有关的招标活动可以继续有效地进行。</w:t>
      </w:r>
    </w:p>
    <w:p>
      <w:pPr>
        <w:pStyle w:val="7"/>
        <w:spacing w:before="31"/>
        <w:ind w:right="113"/>
        <w:rPr>
          <w:rFonts w:ascii="宋体" w:hAnsi="宋体" w:eastAsia="宋体" w:cs="宋体"/>
          <w:color w:val="auto"/>
          <w:sz w:val="24"/>
          <w:szCs w:val="24"/>
          <w:highlight w:val="none"/>
        </w:rPr>
      </w:pPr>
      <w:bookmarkStart w:id="26" w:name="_bookmark36"/>
      <w:bookmarkEnd w:id="26"/>
      <w:bookmarkStart w:id="27" w:name="_Toc25348"/>
      <w:r>
        <w:rPr>
          <w:rFonts w:hint="eastAsia" w:ascii="宋体" w:hAnsi="宋体" w:eastAsia="宋体" w:cs="宋体"/>
          <w:color w:val="auto"/>
          <w:sz w:val="24"/>
          <w:szCs w:val="24"/>
          <w:highlight w:val="none"/>
        </w:rPr>
        <w:t>二、招标文件</w:t>
      </w:r>
      <w:bookmarkEnd w:id="27"/>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 招标文件构成</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7.1 “招标文件”以下六部分组成，包括： </w:t>
      </w:r>
    </w:p>
    <w:p>
      <w:pPr>
        <w:pStyle w:val="32"/>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第一章 投标邀请；</w:t>
      </w:r>
    </w:p>
    <w:p>
      <w:pPr>
        <w:pStyle w:val="32"/>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 xml:space="preserve">第二章 投标人须知前附表和投标人须知； </w:t>
      </w:r>
    </w:p>
    <w:p>
      <w:pPr>
        <w:pStyle w:val="32"/>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第三章 采购需求；</w:t>
      </w:r>
    </w:p>
    <w:p>
      <w:pPr>
        <w:pStyle w:val="32"/>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第四章 评标方法和评标标准；</w:t>
      </w:r>
    </w:p>
    <w:p>
      <w:pPr>
        <w:pStyle w:val="32"/>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 xml:space="preserve">第五章 拟签订的合同文本； </w:t>
      </w:r>
    </w:p>
    <w:p>
      <w:pPr>
        <w:pStyle w:val="32"/>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第六章 投标文件格式。</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8 对招标文件的询问</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8.1 任何已从投标邀请中规定渠道获取了招标文件并向采购代理机构进行了登记的潜在投标人（以下简称“获取了招标文件的潜在投标人”）对招标文件如有疑问，可通过投标邀请中载明的联系方式在投标截止时间以前向采购人或采购代理机构提出询问。采购人或采购代理机构将在收到询问后以适当形式予以答复，并在必要时将答复以澄清形式抄送并书面通知给每个获取了招标文件的潜在投标人（答复中不包括问题的来源）。如果获取了招标文件的潜在投标人认为招标文件的部分设置使自己的合法权益受到损害，请按本须知 </w:t>
      </w:r>
      <w:r>
        <w:rPr>
          <w:color w:val="auto"/>
          <w:highlight w:val="none"/>
        </w:rPr>
        <w:fldChar w:fldCharType="begin"/>
      </w:r>
      <w:r>
        <w:rPr>
          <w:color w:val="auto"/>
          <w:highlight w:val="none"/>
        </w:rPr>
        <w:instrText xml:space="preserve"> HYPERLINK \l "_bookmark63" </w:instrText>
      </w:r>
      <w:r>
        <w:rPr>
          <w:color w:val="auto"/>
          <w:highlight w:val="none"/>
        </w:rPr>
        <w:fldChar w:fldCharType="separate"/>
      </w:r>
      <w:r>
        <w:rPr>
          <w:rFonts w:hint="eastAsia"/>
          <w:color w:val="auto"/>
          <w:sz w:val="21"/>
          <w:szCs w:val="21"/>
          <w:highlight w:val="none"/>
          <w:lang w:val="en-US"/>
        </w:rPr>
        <w:t xml:space="preserve">34 </w:t>
      </w:r>
      <w:r>
        <w:rPr>
          <w:rFonts w:hint="eastAsia"/>
          <w:color w:val="auto"/>
          <w:sz w:val="21"/>
          <w:szCs w:val="21"/>
          <w:highlight w:val="none"/>
          <w:lang w:val="en-US"/>
        </w:rPr>
        <w:fldChar w:fldCharType="end"/>
      </w:r>
      <w:r>
        <w:rPr>
          <w:rFonts w:hint="eastAsia"/>
          <w:color w:val="auto"/>
          <w:sz w:val="21"/>
          <w:szCs w:val="21"/>
          <w:highlight w:val="none"/>
          <w:lang w:val="en-US"/>
        </w:rPr>
        <w:t>条规定提出质疑。</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9 招标文件的澄清和修改</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9.1 采购人、采购代理机构可以对已发出的招标文件进行必要的澄清或者修改。澄清或者修改将在本项目招标公告发布媒体上发布更正公告，并以书面形式通知所有获取招标文件的潜在投标人。澄清或者修改的内容可能影响投标文件编制的，将在投标截止时间至少 15 日前，以书面形式通知所有获取了招标文件的潜在投标人；不足 15 日的，将顺延提交投标文件的截止时间和开标时间。获取了招标文件的潜在投标人在收到上述通知后，应立即向采购代理机构回复确认，但是投标人的确认不作为其收到上述通知的唯一证据。</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9.2 招标文件的澄清或者修改的内容为招标文件的组成部分，并对所有获取了招标文件的潜在投标人具有约束力。</w:t>
      </w:r>
    </w:p>
    <w:p>
      <w:pPr>
        <w:pStyle w:val="32"/>
        <w:tabs>
          <w:tab w:val="left" w:pos="908"/>
        </w:tabs>
        <w:spacing w:before="0" w:line="360" w:lineRule="auto"/>
        <w:ind w:left="0" w:firstLine="420" w:firstLineChars="200"/>
        <w:rPr>
          <w:color w:val="auto"/>
          <w:sz w:val="21"/>
          <w:szCs w:val="21"/>
          <w:highlight w:val="none"/>
          <w:lang w:val="en-US"/>
        </w:rPr>
      </w:pPr>
      <w:bookmarkStart w:id="28" w:name="_bookmark37"/>
      <w:bookmarkEnd w:id="28"/>
      <w:r>
        <w:rPr>
          <w:rFonts w:hint="eastAsia"/>
          <w:color w:val="auto"/>
          <w:sz w:val="21"/>
          <w:szCs w:val="21"/>
          <w:highlight w:val="none"/>
          <w:lang w:val="en-US"/>
        </w:rPr>
        <w:t>9.3 采购人、采购代理机构将视情况确定是否有必要安排所有获取了招标文件的潜在投标人踏勘现场，相关要求见《投标人须知前附表》。</w:t>
      </w:r>
    </w:p>
    <w:p>
      <w:pPr>
        <w:pStyle w:val="32"/>
        <w:tabs>
          <w:tab w:val="left" w:pos="908"/>
        </w:tabs>
        <w:spacing w:before="0" w:line="360" w:lineRule="auto"/>
        <w:ind w:left="0" w:firstLine="420" w:firstLineChars="200"/>
        <w:rPr>
          <w:color w:val="auto"/>
          <w:sz w:val="21"/>
          <w:szCs w:val="21"/>
          <w:highlight w:val="none"/>
          <w:lang w:val="en-US"/>
        </w:rPr>
      </w:pPr>
      <w:bookmarkStart w:id="29" w:name="_bookmark38"/>
      <w:bookmarkEnd w:id="29"/>
      <w:r>
        <w:rPr>
          <w:rFonts w:hint="eastAsia"/>
          <w:color w:val="auto"/>
          <w:sz w:val="21"/>
          <w:szCs w:val="21"/>
          <w:highlight w:val="none"/>
          <w:lang w:val="en-US"/>
        </w:rPr>
        <w:t>9.4 采购人、采购代理机构将视情况确定是否有必要召开标前会，相关要求见《投标人须知前附表》。</w:t>
      </w:r>
    </w:p>
    <w:p>
      <w:pPr>
        <w:pStyle w:val="35"/>
        <w:snapToGrid w:val="0"/>
        <w:spacing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10 政府采购政策支持</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10.1促进中小企业、残疾人福利性单位、监狱企业政策落实</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（2）在政府采购活动中，供应商提供的货物、工程或者服务符合下列情形的，享受本办法规定的中小企业扶持政策：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（一）在货物采购项目中，货物由中小企业制造，即货物由中小企业生产且使用该中小企业商号或者注册商标；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（二）在工程采购项目中，工程由中小企业承建，即工程施工单位为中小企业；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（三）在服务采购项目中，服务由中小企业承接，即提供服务的人员为中小企业依照《中华人民共和国劳动合同法》订立劳动合同的从业人员。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在货物采购项目中，供应商提供的货物既有中小企业制造货物，也有大型企业制造货物的，不享受本办法规定的中小企业扶持政策。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以联合体形式参加政府采购活动，联合体各方均为中小企业的，联合体视同中小企业。其中，联合体各方均为小微企业的，联合体视同小微企业。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价格扣除比例或者价格分加分比例对小型企业和微型企业同等对待，不作区分。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（4）中小企业参加政府采购活动，应当出具《中小企业声明函》，否则不得享受相关中小企业扶持政策，《中小企业声明函》格式见投标文件格式。</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（6）根据《关于促进残疾人就业政府采购政策的通知》（财库〔2017〕141 号）规定， 供应商如符合该规定享受政府采购支持政策的残疾人福利性单位的条件，应提供《残疾人福利性单位声明函》，格式见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（一）安置的残疾人占本单位在职职工人数的比例不低于 25%（含 25%），并且安置的残疾人人数不少于 10 人（含 10 人）；</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（二）依法与安置的每位残疾人签订了一年以上（含一年）的劳动合同或服务协议；</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（三）为安置的每位残疾人按月足额缴纳了基本养老保险、基本医疗保险、失业保险、工伤保险和生育保险等社会保险费；</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（四）通过银行等金融机构向安置的每位残疾人，按月支付了不低于单位所在区县适用的经省级人民政府批准的月最低工资标准的工资；</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（五）提供本单位制造的货物、承担的工程或者服务（以下简称产品），或者提供其他残疾人福利性单位制造的货物（不包括使用非残疾人福利性单位注册商标的货物）。</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10.2鼓励节能、环保政策落实</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（2）鼓励环保政策：在性能、技术、服务等指标同等条件下，优先采购国家确定的认证</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机构出具的、处于有效期之内的环境标志产品认证证书标志产品。投标涉及上述产品的，投标人应提供带有投标产品型号的环境标志产品认证证书复印件作为证明。</w:t>
      </w:r>
    </w:p>
    <w:p>
      <w:pPr>
        <w:pStyle w:val="7"/>
        <w:spacing w:line="409" w:lineRule="exact"/>
        <w:ind w:right="119"/>
        <w:rPr>
          <w:rFonts w:ascii="宋体" w:hAnsi="宋体" w:eastAsia="宋体" w:cs="宋体"/>
          <w:color w:val="auto"/>
          <w:sz w:val="24"/>
          <w:szCs w:val="24"/>
          <w:highlight w:val="none"/>
        </w:rPr>
      </w:pPr>
      <w:bookmarkStart w:id="30" w:name="_bookmark39"/>
      <w:bookmarkEnd w:id="30"/>
      <w:bookmarkStart w:id="31" w:name="_Toc28251"/>
      <w:r>
        <w:rPr>
          <w:rFonts w:hint="eastAsia" w:ascii="宋体" w:hAnsi="宋体" w:eastAsia="宋体" w:cs="宋体"/>
          <w:color w:val="auto"/>
          <w:sz w:val="24"/>
          <w:szCs w:val="24"/>
          <w:highlight w:val="none"/>
        </w:rPr>
        <w:t>三、投标文件的编制</w:t>
      </w:r>
      <w:bookmarkEnd w:id="31"/>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11 投标文件的语言和计量单位</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11.1 投标人提交的投标文件（包括技术文件、电子投标文件和投标资料、图纸中的说明等）以及投标人与采购人或采购代理机构就有关投标的所有来往函电均应使用中文简体字。投标人提交的支持材料或已印刷的文献可以用另一种语言，但相应内容应附有中文翻译本，在解释投标文件时以中文翻译本为准，未附中文翻译本或翻译本中文内容明显与外文内容不一致的不利后果均由投标人自行承担。</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11.2 投标文件所使用的计量单位，应使用国家法定计量单位，但招标文件技术服务需求中已使用了法定之外计量单位的情况除外。</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12 投标文件构成</w:t>
      </w:r>
    </w:p>
    <w:p>
      <w:pPr>
        <w:pStyle w:val="32"/>
        <w:tabs>
          <w:tab w:val="left" w:pos="908"/>
        </w:tabs>
        <w:spacing w:before="0" w:line="360" w:lineRule="auto"/>
        <w:ind w:left="0" w:firstLine="420" w:firstLineChars="200"/>
        <w:rPr>
          <w:color w:val="auto"/>
          <w:sz w:val="21"/>
          <w:szCs w:val="21"/>
          <w:highlight w:val="none"/>
          <w:lang w:val="en-US"/>
        </w:rPr>
      </w:pPr>
      <w:bookmarkStart w:id="32" w:name="_bookmark40"/>
      <w:bookmarkEnd w:id="32"/>
      <w:r>
        <w:rPr>
          <w:rFonts w:hint="eastAsia"/>
          <w:color w:val="auto"/>
          <w:sz w:val="21"/>
          <w:szCs w:val="21"/>
          <w:highlight w:val="none"/>
          <w:lang w:val="en-US"/>
        </w:rPr>
        <w:t>12.1 投标人编写的投标文件应包括但不限于《投标人须知前附表》所列资格、资信证明部分</w:t>
      </w:r>
      <w:r>
        <w:rPr>
          <w:rFonts w:hint="eastAsia"/>
          <w:color w:val="auto"/>
          <w:sz w:val="21"/>
          <w:szCs w:val="21"/>
          <w:highlight w:val="none"/>
          <w:lang w:val="en-US" w:eastAsia="zh-CN"/>
        </w:rPr>
        <w:t>、</w:t>
      </w:r>
      <w:r>
        <w:rPr>
          <w:rFonts w:hint="eastAsia"/>
          <w:color w:val="auto"/>
          <w:sz w:val="21"/>
          <w:szCs w:val="21"/>
          <w:highlight w:val="none"/>
          <w:lang w:val="en-US"/>
        </w:rPr>
        <w:t>商务技术部分</w:t>
      </w:r>
      <w:r>
        <w:rPr>
          <w:rFonts w:hint="eastAsia"/>
          <w:color w:val="auto"/>
          <w:sz w:val="21"/>
          <w:szCs w:val="21"/>
          <w:highlight w:val="none"/>
          <w:lang w:val="en-US" w:eastAsia="zh-CN"/>
        </w:rPr>
        <w:t>和报价部分</w:t>
      </w:r>
      <w:r>
        <w:rPr>
          <w:rFonts w:hint="eastAsia"/>
          <w:color w:val="auto"/>
          <w:sz w:val="21"/>
          <w:szCs w:val="21"/>
          <w:highlight w:val="none"/>
          <w:lang w:val="en-US"/>
        </w:rPr>
        <w:t>中的内容。</w:t>
      </w:r>
    </w:p>
    <w:p>
      <w:pPr>
        <w:pStyle w:val="32"/>
        <w:tabs>
          <w:tab w:val="left" w:pos="908"/>
        </w:tabs>
        <w:spacing w:before="0" w:line="360" w:lineRule="auto"/>
        <w:ind w:left="0" w:firstLine="420" w:firstLineChars="200"/>
        <w:rPr>
          <w:color w:val="auto"/>
          <w:sz w:val="21"/>
          <w:szCs w:val="21"/>
          <w:highlight w:val="none"/>
          <w:lang w:val="en-US"/>
        </w:rPr>
      </w:pPr>
      <w:bookmarkStart w:id="33" w:name="_bookmark41"/>
      <w:bookmarkEnd w:id="33"/>
      <w:r>
        <w:rPr>
          <w:rFonts w:hint="eastAsia"/>
          <w:color w:val="auto"/>
          <w:sz w:val="21"/>
          <w:szCs w:val="21"/>
          <w:highlight w:val="none"/>
          <w:lang w:val="en-US"/>
        </w:rPr>
        <w:t>12.2 投标人编写的投标文件具体内容的其他要求或注意事项见《投标人须知前附表》。</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12.3 投标人应保证投标文件所提供的全部资料真实可靠，并接受评标委员会对其中任何资料进一步审查的要求。</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.投标文件的编制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.1 投标文件编制要求详见《投标人须知前附表》。投标人应按本招标文件规定的格式和顺序编制投标文件并标注页码，投标文件内容不完整、编排混乱导致投标文件被误读、漏读或者查找不到相关内容的，由此引发的后果由投标人承担。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.2 投标文件按照招标文件要求在规定位置进行签署、盖章。投标人的投标文件未按照招标文件要求签署、盖章的，其投标无效。骑缝盖公章不视为在规定位置盖章。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.3 为确保网上操作合法、有效和安全，投标人应当在投标截止时间前完成在“政采云”平台的身份认证，确保在电子投标过程中能够对相关数据电文进行加密和使用电子签名。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.4 投标文件中标注的投标人名称应与主体资格证明（如营业执照、事业单位法人证书、执业许可证、自然人身份证等）及公章一致，否则作无效投标处理。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.5 投标文件应避免涂改、行间插字或者删除，否则其投标无效。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 xml:space="preserve">.6 对招标文件的实质性要求和条件作出响应是指投标人必须对招标文件中标注为实质性要求和条件的服务内容及要求、商务条款及其它内容作出满足或者优于原要求和条件的承诺。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lang w:val="en-US" w:eastAsia="zh-CN"/>
        </w:rPr>
        <w:t>3</w:t>
      </w:r>
      <w:r>
        <w:rPr>
          <w:rFonts w:hint="eastAsia"/>
          <w:color w:val="auto"/>
          <w:sz w:val="21"/>
          <w:szCs w:val="21"/>
          <w:highlight w:val="none"/>
          <w:lang w:val="en-US"/>
        </w:rPr>
        <w:t>.7 本项目为全流程电子化项目，异常情况见“投标人须知正文”中开标程序。</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 投标报价</w:t>
      </w:r>
    </w:p>
    <w:p>
      <w:pPr>
        <w:pStyle w:val="32"/>
        <w:tabs>
          <w:tab w:val="left" w:pos="908"/>
        </w:tabs>
        <w:spacing w:before="0" w:line="360" w:lineRule="auto"/>
        <w:ind w:left="0" w:firstLine="420" w:firstLineChars="200"/>
        <w:rPr>
          <w:color w:val="auto"/>
          <w:sz w:val="21"/>
          <w:szCs w:val="21"/>
          <w:highlight w:val="none"/>
          <w:lang w:val="en-US"/>
        </w:rPr>
      </w:pPr>
      <w:bookmarkStart w:id="34" w:name="_bookmark43"/>
      <w:bookmarkEnd w:id="34"/>
      <w:r>
        <w:rPr>
          <w:rFonts w:hint="eastAsia"/>
          <w:color w:val="auto"/>
          <w:sz w:val="21"/>
          <w:szCs w:val="21"/>
          <w:highlight w:val="none"/>
          <w:lang w:val="en-US"/>
        </w:rPr>
        <w:t>14.1 报价方式详见《投标人须知前附表》。所有投标报价均以《投标人须知前附表》规定的币种和单位为计量单位。</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14.2 投标人必须对其参加的一个包件或多个包件内的所有货物和服务以包为单位进行报价，不得将几个包件合报一个价格，也不得将一个包件中的内容拆开报价。如果招标文件采购内容未注明分包件采购，即为全部需求内容是一个包件（即第 1 包件）。</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14.3 投标报价中不得包含招标文件要求以外的内容，否则，在评标时不予核减。投标报价中也不应缺漏招标文件所要求的内容。</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14.4 本次招标不接受可选择或可调整的投标和报价，投标人对每种货物或服务只允许有一个报价，任何有选择的或可调整的投标人案和报价将被视为无效投标。</w:t>
      </w:r>
    </w:p>
    <w:p>
      <w:pPr>
        <w:pStyle w:val="32"/>
        <w:tabs>
          <w:tab w:val="left" w:pos="908"/>
        </w:tabs>
        <w:spacing w:before="0" w:line="360" w:lineRule="auto"/>
        <w:ind w:left="0" w:firstLine="420" w:firstLineChars="200"/>
        <w:rPr>
          <w:color w:val="auto"/>
          <w:sz w:val="21"/>
          <w:szCs w:val="21"/>
          <w:highlight w:val="none"/>
          <w:lang w:val="en-US"/>
        </w:rPr>
      </w:pPr>
      <w:bookmarkStart w:id="35" w:name="_bookmark44"/>
      <w:bookmarkEnd w:id="35"/>
      <w:r>
        <w:rPr>
          <w:rFonts w:hint="eastAsia"/>
          <w:color w:val="auto"/>
          <w:sz w:val="21"/>
          <w:szCs w:val="21"/>
          <w:highlight w:val="none"/>
          <w:lang w:val="en-US"/>
        </w:rPr>
        <w:t>14.5 本次招标设定的最高投标限价见《投标人须知前附表》。</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15 投标有效期和投标保证金</w:t>
      </w:r>
    </w:p>
    <w:p>
      <w:pPr>
        <w:pStyle w:val="32"/>
        <w:tabs>
          <w:tab w:val="left" w:pos="908"/>
        </w:tabs>
        <w:spacing w:before="0" w:line="360" w:lineRule="auto"/>
        <w:ind w:left="0" w:firstLine="420" w:firstLineChars="200"/>
        <w:rPr>
          <w:color w:val="auto"/>
          <w:sz w:val="21"/>
          <w:szCs w:val="21"/>
          <w:highlight w:val="none"/>
          <w:lang w:val="en-US"/>
        </w:rPr>
      </w:pPr>
      <w:bookmarkStart w:id="36" w:name="_bookmark45"/>
      <w:bookmarkEnd w:id="36"/>
      <w:r>
        <w:rPr>
          <w:rFonts w:hint="eastAsia"/>
          <w:color w:val="auto"/>
          <w:sz w:val="21"/>
          <w:szCs w:val="21"/>
          <w:highlight w:val="none"/>
          <w:lang w:val="en-US"/>
        </w:rPr>
        <w:t>15.1 投标有效期见《投标人须知前附表》。投标有效期短于要求的投标文件将被视为无效投标。特殊情况下，在原投标有效期截止之前，采购代理机构可要求投标人延长投标有效期。这种要求与答复均应以书面形式提交。投标人可拒绝采购代理机构的这种要求，其投标保证金将予以退还，但其投标在原投标有效期期满后将不再有效。同意延长投标有效期的投标人将不会被要求和允许修正其投标，而只会被要求相应地延长其投标保证金的有效期。在这种情况下，在这种情况下，本须知内有关投标保证金的退还和不予退还的规定将在延长了的有效期内继续有效。</w:t>
      </w:r>
    </w:p>
    <w:p>
      <w:pPr>
        <w:pStyle w:val="32"/>
        <w:tabs>
          <w:tab w:val="left" w:pos="908"/>
        </w:tabs>
        <w:spacing w:before="0" w:line="360" w:lineRule="auto"/>
        <w:ind w:left="0" w:firstLine="420" w:firstLineChars="200"/>
        <w:rPr>
          <w:color w:val="auto"/>
          <w:sz w:val="21"/>
          <w:szCs w:val="21"/>
          <w:highlight w:val="none"/>
          <w:lang w:val="en-US"/>
        </w:rPr>
      </w:pPr>
      <w:bookmarkStart w:id="37" w:name="_bookmark46"/>
      <w:bookmarkEnd w:id="37"/>
      <w:r>
        <w:rPr>
          <w:rFonts w:hint="eastAsia"/>
          <w:color w:val="auto"/>
          <w:sz w:val="21"/>
          <w:szCs w:val="21"/>
          <w:highlight w:val="none"/>
          <w:lang w:val="en-US"/>
        </w:rPr>
        <w:t>15.2 投标保证金金额应满足《投标人须知前附表》的要求。投标保证金提交方式建议见《投标人须知前附表》，同时，接受法律法规规定可以使用的其他形式的投标保证金。以电汇形式提交投标保证金的，汇款底单或截图复印件作为凭证随投标文件一同提交；以其他形式提交投标保证金的，保证金原件随投标文件一同提交。</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15.3 采购代理机构自中标通知书发出之日起 5 个工作日内退还未中标人的投标保证金， 自政府采购合同签订之日起 5 个工作日内退还中标人的投标保证金。因投标人自身原因导致其投标保证金未能在规定时间内退还的，采购代理机构不承担任何责任。</w:t>
      </w:r>
    </w:p>
    <w:p>
      <w:pPr>
        <w:pStyle w:val="32"/>
        <w:tabs>
          <w:tab w:val="left" w:pos="908"/>
        </w:tabs>
        <w:spacing w:before="0" w:line="360" w:lineRule="auto"/>
        <w:ind w:left="0" w:firstLine="420" w:firstLineChars="200"/>
        <w:rPr>
          <w:color w:val="auto"/>
          <w:sz w:val="21"/>
          <w:szCs w:val="21"/>
          <w:highlight w:val="none"/>
          <w:lang w:val="en-US"/>
        </w:rPr>
      </w:pPr>
      <w:bookmarkStart w:id="38" w:name="_bookmark47"/>
      <w:bookmarkEnd w:id="38"/>
      <w:r>
        <w:rPr>
          <w:rFonts w:hint="eastAsia"/>
          <w:color w:val="auto"/>
          <w:sz w:val="21"/>
          <w:szCs w:val="21"/>
          <w:highlight w:val="none"/>
          <w:lang w:val="en-US"/>
        </w:rPr>
        <w:t>15.4 投标保证金是为了保护采购代理机构和采购人免遭因投标人的行为而蒙受损失。下列任一情况发生时，投标保证金将不退还投标人：</w:t>
      </w:r>
    </w:p>
    <w:p>
      <w:pPr>
        <w:adjustRightInd w:val="0"/>
        <w:snapToGrid w:val="0"/>
        <w:spacing w:line="360" w:lineRule="auto"/>
        <w:ind w:left="440" w:leftChars="200" w:firstLine="420" w:firstLineChars="200"/>
        <w:rPr>
          <w:color w:val="auto"/>
          <w:sz w:val="21"/>
          <w:szCs w:val="21"/>
          <w:highlight w:val="none"/>
        </w:rPr>
      </w:pPr>
      <w:bookmarkStart w:id="39" w:name="_bookmark48"/>
      <w:bookmarkEnd w:id="39"/>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）投标人在投标有效期内撤销投标文件的；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）中标后无正当理由不与采购人签订合同的；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）将中标项目转让给他人，或者在投标文件中未说明，且未经采购人同意，将中标项目转包或部分分包给他人的；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）中标人未按招标文件规定缴纳履约保证金的；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）拒绝履行合同义务的。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）投标人恶意串通，妨碍其他投标人的竞争行为，损害采购人或者其他投标人的合法权益的。</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7</w:t>
      </w:r>
      <w:r>
        <w:rPr>
          <w:rFonts w:hint="eastAsia"/>
          <w:color w:val="auto"/>
          <w:sz w:val="21"/>
          <w:szCs w:val="21"/>
          <w:highlight w:val="none"/>
        </w:rPr>
        <w:t>）投标人出现</w:t>
      </w:r>
      <w:r>
        <w:rPr>
          <w:rFonts w:hint="eastAsia"/>
          <w:color w:val="auto"/>
          <w:sz w:val="21"/>
          <w:szCs w:val="21"/>
          <w:highlight w:val="none"/>
          <w:lang w:val="en-US"/>
        </w:rPr>
        <w:t xml:space="preserve">本须知第 </w:t>
      </w:r>
      <w:r>
        <w:rPr>
          <w:color w:val="auto"/>
          <w:highlight w:val="none"/>
        </w:rPr>
        <w:fldChar w:fldCharType="begin"/>
      </w:r>
      <w:r>
        <w:rPr>
          <w:color w:val="auto"/>
          <w:highlight w:val="none"/>
        </w:rPr>
        <w:instrText xml:space="preserve"> HYPERLINK \l "_bookmark47" </w:instrText>
      </w:r>
      <w:r>
        <w:rPr>
          <w:color w:val="auto"/>
          <w:highlight w:val="none"/>
        </w:rPr>
        <w:fldChar w:fldCharType="separate"/>
      </w:r>
      <w:r>
        <w:rPr>
          <w:rFonts w:hint="eastAsia"/>
          <w:color w:val="auto"/>
          <w:sz w:val="21"/>
          <w:szCs w:val="21"/>
          <w:highlight w:val="none"/>
          <w:lang w:val="en-US"/>
        </w:rPr>
        <w:t xml:space="preserve">20.7 </w:t>
      </w:r>
      <w:r>
        <w:rPr>
          <w:rFonts w:hint="eastAsia"/>
          <w:color w:val="auto"/>
          <w:sz w:val="21"/>
          <w:szCs w:val="21"/>
          <w:highlight w:val="none"/>
          <w:lang w:val="en-US"/>
        </w:rPr>
        <w:fldChar w:fldCharType="end"/>
      </w:r>
      <w:r>
        <w:rPr>
          <w:rFonts w:hint="eastAsia"/>
          <w:color w:val="auto"/>
          <w:sz w:val="21"/>
          <w:szCs w:val="21"/>
          <w:highlight w:val="none"/>
          <w:lang w:val="en-US"/>
        </w:rPr>
        <w:t>条</w:t>
      </w:r>
      <w:r>
        <w:rPr>
          <w:rFonts w:hint="eastAsia"/>
          <w:color w:val="auto"/>
          <w:sz w:val="21"/>
          <w:szCs w:val="21"/>
          <w:highlight w:val="none"/>
        </w:rPr>
        <w:t>所述情形之一的，视为投标人串通投标，其投标无效。</w:t>
      </w:r>
    </w:p>
    <w:p>
      <w:pPr>
        <w:pStyle w:val="7"/>
        <w:spacing w:before="31"/>
        <w:ind w:right="119"/>
        <w:rPr>
          <w:rFonts w:ascii="宋体" w:hAnsi="宋体" w:eastAsia="宋体" w:cs="宋体"/>
          <w:color w:val="auto"/>
          <w:sz w:val="24"/>
          <w:szCs w:val="24"/>
          <w:highlight w:val="none"/>
        </w:rPr>
      </w:pPr>
      <w:bookmarkStart w:id="40" w:name="_Toc12916"/>
      <w:r>
        <w:rPr>
          <w:rFonts w:hint="eastAsia" w:ascii="宋体" w:hAnsi="宋体" w:eastAsia="宋体" w:cs="宋体"/>
          <w:color w:val="auto"/>
          <w:sz w:val="24"/>
          <w:szCs w:val="24"/>
          <w:highlight w:val="none"/>
        </w:rPr>
        <w:t>四、投标文件的递交</w:t>
      </w:r>
      <w:bookmarkEnd w:id="40"/>
    </w:p>
    <w:p>
      <w:pPr>
        <w:adjustRightInd w:val="0"/>
        <w:snapToGrid w:val="0"/>
        <w:spacing w:line="360" w:lineRule="auto"/>
        <w:ind w:firstLine="420" w:firstLineChars="200"/>
        <w:rPr>
          <w:color w:val="auto"/>
          <w:sz w:val="21"/>
          <w:szCs w:val="21"/>
          <w:highlight w:val="none"/>
          <w:lang w:val="en-US"/>
        </w:rPr>
      </w:pPr>
      <w:bookmarkStart w:id="41" w:name="_bookmark51"/>
      <w:bookmarkEnd w:id="41"/>
      <w:r>
        <w:rPr>
          <w:rFonts w:hint="eastAsia"/>
          <w:color w:val="auto"/>
          <w:sz w:val="21"/>
          <w:szCs w:val="21"/>
          <w:highlight w:val="none"/>
          <w:lang w:val="en-US"/>
        </w:rPr>
        <w:t xml:space="preserve">16.投标文件的提交 </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 xml:space="preserve">16.1 投标人必须在《投标人须知前附表》规定的投标文件接收时间和投标地点提交电子版投标文件。电子投标文件应在制作完成后，在投标截止时间前通过有效数字证书（CA 认证锁）进行电子签章、加密，然后通过网络将加密的电子投标文件递交至“新疆政采云平台”。 </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16.2 未在规定时间内提交或者未按照招标文件要求密封或者标记的电子投标文件，“政采云”平台将拒收。</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 xml:space="preserve">16.3 电子版投标文件提交方式见“招标公告”中“提交投标文件截止时间、开标时间和地点”。 </w:t>
      </w:r>
    </w:p>
    <w:p>
      <w:pPr>
        <w:adjustRightInd w:val="0"/>
        <w:snapToGrid w:val="0"/>
        <w:spacing w:line="360" w:lineRule="auto"/>
        <w:ind w:firstLine="420" w:firstLineChars="200"/>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16.4 </w:t>
      </w:r>
      <w:r>
        <w:rPr>
          <w:rFonts w:hint="eastAsia"/>
          <w:color w:val="auto"/>
          <w:sz w:val="21"/>
          <w:szCs w:val="21"/>
          <w:highlight w:val="none"/>
          <w:lang w:val="en-US"/>
        </w:rPr>
        <w:t>投标人必须在《投标人须知前附表》规定的</w:t>
      </w:r>
      <w:r>
        <w:rPr>
          <w:rFonts w:hint="eastAsia"/>
          <w:color w:val="auto"/>
          <w:sz w:val="21"/>
          <w:szCs w:val="21"/>
          <w:highlight w:val="none"/>
          <w:lang w:val="en-US" w:eastAsia="zh-CN"/>
        </w:rPr>
        <w:t>方式提交备份投标文件。</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17.样品递交</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如</w:t>
      </w:r>
      <w:r>
        <w:rPr>
          <w:rFonts w:hint="eastAsia"/>
          <w:color w:val="auto"/>
          <w:sz w:val="21"/>
          <w:szCs w:val="21"/>
          <w:highlight w:val="none"/>
          <w:lang w:val="en-US"/>
        </w:rPr>
        <w:t>《投标人须知前附表》</w:t>
      </w:r>
      <w:r>
        <w:rPr>
          <w:rFonts w:hint="eastAsia"/>
          <w:color w:val="auto"/>
          <w:sz w:val="21"/>
          <w:szCs w:val="21"/>
          <w:highlight w:val="none"/>
        </w:rPr>
        <w:t>中要求提供样品的，应按要求提供样品及相关资料。</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.1提供样品的包件，必须提供与投标型号相同的现场实样展示；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.2未提供样品的投标人，该包件投标将不进入样品评审，样品评审环节不得分。</w:t>
      </w:r>
      <w:r>
        <w:rPr>
          <w:rFonts w:hint="eastAsia"/>
          <w:b/>
          <w:color w:val="auto"/>
          <w:sz w:val="21"/>
          <w:szCs w:val="21"/>
          <w:highlight w:val="none"/>
        </w:rPr>
        <w:t>样品外醒目处必须用不干胶材料（自粘标签材料）粘贴并注明投标单位全称、</w:t>
      </w:r>
      <w:r>
        <w:rPr>
          <w:rFonts w:hint="eastAsia"/>
          <w:color w:val="auto"/>
          <w:sz w:val="21"/>
          <w:szCs w:val="21"/>
          <w:highlight w:val="none"/>
        </w:rPr>
        <w:t>器材（装备）名称、型号，并与投标样品清单相对应，不干胶材料大小小于4cm*4cm。</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.3样品按招标文件要求制作，材质、式样及规格、型号必须满足招标文件的实质性要求，并为检测合格的产品。中标后由采购人予以封存；未中标的投标样品由采购代理机构统一退还。</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.4样品提交要求：递交样品时需同时递交投标样品清单及U盘一套。U盘内容为电子版投标样品清单，格式为EXCEL或WORD。（样品清单表格自拟）样品清单须包含正面、背面、左侧面45度角清晰照片三张。</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.5采购人不对样品支付任何补偿。</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17</w:t>
      </w: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采购活动结束后，对于未中标人提供的样品，应当及时退还或者经未中标人同意后自行处理；对于中标人提供的样品，应当按照招标文件的规定进行保管、封存，并作为履约验收的参考。</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 投标截止时间及投标地点</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18.1 提交投标文件截止时间（即“投标截止时间”）见第一章投标邀请。</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18.2 投标文件须按照招标文件规定的时间上传，在投标截止时间以后上传的投标文件，采购代理机构应当拒收。</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18.3 采购代理机构可以依法酌情延长投标截止时间。在此情况下，采购人和投标人受投标截止时间制约的所有权利和义务均应延长至新的投标截止时间。</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19.投标文件的补充、修改、撤回与退回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19.1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政采云”平台将拒收。（补充、修改或者撤回方式见公告附件“电子投标文件制作与投送教程”）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19.2“政采云”平台收到投标文件，将妥善保存并即时向供应商发出确认回执通知。在投标截止时间前，除供应商补充、修改或者撤回投标文件外，任何单位和个人不得解密或提取投标文件。 </w:t>
      </w:r>
    </w:p>
    <w:p>
      <w:pPr>
        <w:pStyle w:val="32"/>
        <w:tabs>
          <w:tab w:val="left" w:pos="908"/>
        </w:tabs>
        <w:spacing w:before="0" w:line="360" w:lineRule="auto"/>
        <w:ind w:left="0" w:firstLine="420" w:firstLineChars="200"/>
        <w:rPr>
          <w:color w:val="auto"/>
          <w:highlight w:val="none"/>
        </w:rPr>
      </w:pPr>
      <w:r>
        <w:rPr>
          <w:rFonts w:hint="eastAsia"/>
          <w:color w:val="auto"/>
          <w:sz w:val="21"/>
          <w:szCs w:val="21"/>
          <w:highlight w:val="none"/>
          <w:lang w:val="en-US"/>
        </w:rPr>
        <w:t>19.3 在投标截止时间止提交电子版投标文件的投标人不足 3 家时，电子版投标文件由代理机构在“政采云”平台操作退回，除此之外采购人和采购代理机构对已提交的投标文件概不退回。</w:t>
      </w:r>
      <w:r>
        <w:rPr>
          <w:rFonts w:hint="eastAsia"/>
          <w:color w:val="auto"/>
          <w:sz w:val="21"/>
          <w:szCs w:val="21"/>
          <w:highlight w:val="none"/>
          <w:lang w:val="en-US" w:bidi="ar"/>
        </w:rPr>
        <w:t xml:space="preserve"> </w:t>
      </w:r>
    </w:p>
    <w:p>
      <w:pPr>
        <w:pStyle w:val="7"/>
        <w:spacing w:before="2"/>
        <w:ind w:right="113"/>
        <w:rPr>
          <w:rFonts w:ascii="宋体" w:hAnsi="宋体" w:eastAsia="宋体" w:cs="宋体"/>
          <w:color w:val="auto"/>
          <w:sz w:val="24"/>
          <w:szCs w:val="24"/>
          <w:highlight w:val="none"/>
        </w:rPr>
      </w:pPr>
      <w:bookmarkStart w:id="42" w:name="_Toc19260"/>
      <w:r>
        <w:rPr>
          <w:rFonts w:hint="eastAsia" w:ascii="宋体" w:hAnsi="宋体" w:eastAsia="宋体" w:cs="宋体"/>
          <w:color w:val="auto"/>
          <w:sz w:val="24"/>
          <w:szCs w:val="24"/>
          <w:highlight w:val="none"/>
        </w:rPr>
        <w:t>五、开标与评标</w:t>
      </w:r>
      <w:bookmarkEnd w:id="42"/>
    </w:p>
    <w:p>
      <w:pPr>
        <w:pStyle w:val="32"/>
        <w:tabs>
          <w:tab w:val="left" w:pos="908"/>
        </w:tabs>
        <w:spacing w:before="0" w:line="360" w:lineRule="auto"/>
        <w:ind w:left="0" w:firstLine="420" w:firstLineChars="200"/>
        <w:rPr>
          <w:color w:val="auto"/>
          <w:sz w:val="21"/>
          <w:szCs w:val="21"/>
          <w:highlight w:val="none"/>
          <w:lang w:val="en-US"/>
        </w:rPr>
      </w:pPr>
      <w:bookmarkStart w:id="43" w:name="_bookmark57"/>
      <w:bookmarkEnd w:id="43"/>
      <w:r>
        <w:rPr>
          <w:rFonts w:hint="eastAsia"/>
          <w:color w:val="auto"/>
          <w:sz w:val="21"/>
          <w:szCs w:val="21"/>
          <w:highlight w:val="none"/>
          <w:lang w:val="en-US"/>
        </w:rPr>
        <w:t>20.开标</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20.1开标时间和地点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20.1.1 开标时间及地点详见《投标人须知前附表》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20.1.2 如投标人成功解密投标文件，但未在“政采云”电子开标大厅参加开标的，视同认可开标过程和结果，由此产生的后果由投标人自行负责。 投标人不足 3 家的，不得开标。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20..2开标程序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20.2.1开标形式：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（1）开标的准备工作由采购代理机构负责落实，采购代理机构必须基于“政采云”平台选取评审专家，如采购代理机构未按规定选取专家的，视为本次开评标无效，应当重新采购；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采购代理机构将按照招标文件规定的时间通过“政采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20.2.2开标程序：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解密电子投标文件。“政采云”平台按开标时间自动提取所有投标文件。采购代理机构依托“政采云”平台向各投标人发出电子加密投标文件【开始解密】通知，由投标人按招标文件规定的时间内自行进行投标文件解密。投标人的法定代表人或其委托代理人须携带加密时所用的 CA 锁准时登录到“政采云”平台电子开标大厅签到并对电子投标文件解密。开标后 5 分钟投标人还未进行解密的，代理机构要通知投标人。通知后，投标文件仍未按时解密，或者投标人没预留联系方式或预留联系方式无效，导致代理机构无法联系到投标人进行解密的，均视为无效投标。</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（解密异常情况处理：详见本章电子交易活动的中止。）</w:t>
      </w:r>
    </w:p>
    <w:p>
      <w:pPr>
        <w:autoSpaceDE w:val="0"/>
        <w:autoSpaceDN w:val="0"/>
        <w:adjustRightInd w:val="0"/>
        <w:snapToGrid w:val="0"/>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（2）</w:t>
      </w:r>
      <w:r>
        <w:rPr>
          <w:rFonts w:hint="eastAsia" w:ascii="宋体" w:hAnsi="宋体" w:eastAsia="宋体" w:cs="宋体"/>
          <w:b/>
          <w:bCs/>
          <w:color w:val="auto"/>
          <w:kern w:val="0"/>
          <w:sz w:val="21"/>
          <w:szCs w:val="21"/>
          <w:highlight w:val="none"/>
          <w:lang w:val="en-US" w:eastAsia="zh-CN" w:bidi="zh-CN"/>
        </w:rPr>
        <w:t>电子唱标。</w:t>
      </w:r>
      <w:r>
        <w:rPr>
          <w:rFonts w:hint="eastAsia" w:ascii="宋体" w:hAnsi="宋体" w:eastAsia="宋体" w:cs="宋体"/>
          <w:color w:val="auto"/>
          <w:kern w:val="0"/>
          <w:sz w:val="21"/>
          <w:szCs w:val="21"/>
          <w:highlight w:val="none"/>
          <w:lang w:val="en-US" w:eastAsia="zh-CN" w:bidi="zh-CN"/>
        </w:rPr>
        <w:t xml:space="preserve">响应文件解密结束，各投标供应商报价均在“政采云”平台远程不见面开标大厅展示； </w:t>
      </w:r>
    </w:p>
    <w:p>
      <w:pPr>
        <w:autoSpaceDE w:val="0"/>
        <w:autoSpaceDN w:val="0"/>
        <w:adjustRightInd w:val="0"/>
        <w:snapToGrid w:val="0"/>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（3）</w:t>
      </w:r>
      <w:r>
        <w:rPr>
          <w:rFonts w:hint="eastAsia" w:ascii="宋体" w:hAnsi="宋体" w:eastAsia="宋体" w:cs="宋体"/>
          <w:b/>
          <w:bCs/>
          <w:color w:val="auto"/>
          <w:kern w:val="0"/>
          <w:sz w:val="21"/>
          <w:szCs w:val="21"/>
          <w:highlight w:val="none"/>
          <w:lang w:val="en-US" w:eastAsia="zh-CN" w:bidi="zh-CN"/>
        </w:rPr>
        <w:t>签署电子《政府采购活动现场确认声明书》。</w:t>
      </w:r>
      <w:r>
        <w:rPr>
          <w:rFonts w:hint="eastAsia" w:ascii="宋体" w:hAnsi="宋体" w:eastAsia="宋体" w:cs="宋体"/>
          <w:color w:val="auto"/>
          <w:kern w:val="0"/>
          <w:sz w:val="21"/>
          <w:szCs w:val="21"/>
          <w:highlight w:val="none"/>
          <w:lang w:val="en-US" w:eastAsia="zh-CN" w:bidi="zh-CN"/>
        </w:rPr>
        <w:t xml:space="preserve">通过邮件形式在远程不见面开标大厅发送各供应商签署电子《政府采购活动现场确认声明书》。 </w:t>
      </w:r>
    </w:p>
    <w:p>
      <w:pPr>
        <w:autoSpaceDE w:val="0"/>
        <w:autoSpaceDN w:val="0"/>
        <w:adjustRightInd w:val="0"/>
        <w:snapToGrid w:val="0"/>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 xml:space="preserve">（4）开标过程由采购代理机构如实记录，并电子留痕，由参加电子开标的各供应商代表对电子开标记录在开标记录公布后 15 分钟内进行当场校核及勘误，并线上确认，未确认的视同认可开标结果。 </w:t>
      </w:r>
    </w:p>
    <w:p>
      <w:pPr>
        <w:autoSpaceDE w:val="0"/>
        <w:autoSpaceDN w:val="0"/>
        <w:adjustRightInd w:val="0"/>
        <w:snapToGrid w:val="0"/>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 xml:space="preserve">（5）供应商代表对开标过程和开标记录有疑义，以及认为采购人、采购代理机构相关工作人员有需要回避的情形的，应当场提出在线询问或者回避申请。采购人、采购代理机构对供应商代表提出的询问或者回避申请应当及时处理。 </w:t>
      </w:r>
    </w:p>
    <w:p>
      <w:pPr>
        <w:autoSpaceDE w:val="0"/>
        <w:autoSpaceDN w:val="0"/>
        <w:adjustRightInd w:val="0"/>
        <w:snapToGrid w:val="0"/>
        <w:spacing w:before="0" w:after="0" w:line="360" w:lineRule="auto"/>
        <w:ind w:left="0" w:right="0" w:firstLine="420"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color w:val="auto"/>
          <w:kern w:val="0"/>
          <w:sz w:val="21"/>
          <w:szCs w:val="21"/>
          <w:highlight w:val="none"/>
          <w:lang w:val="en-US" w:eastAsia="zh-CN" w:bidi="zh-CN"/>
        </w:rPr>
        <w:t xml:space="preserve">（6）开标结束。 </w:t>
      </w:r>
    </w:p>
    <w:p>
      <w:pPr>
        <w:autoSpaceDE w:val="0"/>
        <w:autoSpaceDN w:val="0"/>
        <w:adjustRightInd w:val="0"/>
        <w:snapToGrid w:val="0"/>
        <w:spacing w:before="0" w:after="0" w:line="360" w:lineRule="auto"/>
        <w:ind w:left="0" w:right="0" w:firstLine="422" w:firstLineChars="200"/>
        <w:jc w:val="left"/>
        <w:rPr>
          <w:rFonts w:hint="eastAsia" w:ascii="宋体" w:hAnsi="宋体" w:eastAsia="宋体" w:cs="宋体"/>
          <w:color w:val="auto"/>
          <w:kern w:val="0"/>
          <w:sz w:val="21"/>
          <w:szCs w:val="21"/>
          <w:highlight w:val="none"/>
          <w:lang w:val="en-US" w:eastAsia="zh-CN" w:bidi="zh-CN"/>
        </w:rPr>
      </w:pPr>
      <w:r>
        <w:rPr>
          <w:rFonts w:hint="eastAsia" w:ascii="宋体" w:hAnsi="宋体" w:eastAsia="宋体" w:cs="宋体"/>
          <w:b/>
          <w:bCs/>
          <w:color w:val="auto"/>
          <w:kern w:val="0"/>
          <w:sz w:val="21"/>
          <w:szCs w:val="21"/>
          <w:highlight w:val="none"/>
          <w:lang w:val="en-US" w:eastAsia="zh-CN" w:bidi="zh-CN"/>
        </w:rPr>
        <w:t>特别说明：</w:t>
      </w:r>
      <w:r>
        <w:rPr>
          <w:rFonts w:hint="eastAsia" w:ascii="宋体" w:hAnsi="宋体" w:eastAsia="宋体" w:cs="宋体"/>
          <w:color w:val="auto"/>
          <w:kern w:val="0"/>
          <w:sz w:val="21"/>
          <w:szCs w:val="21"/>
          <w:highlight w:val="none"/>
          <w:lang w:val="en-US" w:eastAsia="zh-CN" w:bidi="zh-CN"/>
        </w:rPr>
        <w:t xml:space="preserve">如遇“政采云”平台电子化开标或评审程序调整的，按调整后执行。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公开招标数额标准以上的采购项目，投标截止时间后投标人不足3家或者通过资格审查或符合性审查的投标人不足3家的，除采购任务取消情形外，按照以下方式处理：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.1招标文件存在不合理条款或者招标程序不符合规定的，采购人、采购代理机构改正后依法重新招标；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.2招标文件没有不合理条款、招标程序符合规定，需要采用其他采购方式采购的，采购人应当依法报财政部门批准。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开标结束后，采购人或者采购代理机构应当依法对投标人的资格进行审查。</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如果资格审查合格的投标人不足3家，将不进行评标，采购人将依法重新组织招标或采用其他采购方式采购。</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20</w:t>
      </w: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投标人应当遵循公平竞争的原则，不得恶意串通，不得妨碍其他投标人的竞争行为，不得损害采购人或者其他投标人的合法权益。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在评标过程中发现投标人有上述情形的，评标委员会应当认定其</w:t>
      </w:r>
      <w:r>
        <w:rPr>
          <w:rFonts w:hint="eastAsia"/>
          <w:b/>
          <w:color w:val="auto"/>
          <w:sz w:val="21"/>
          <w:szCs w:val="21"/>
          <w:highlight w:val="none"/>
        </w:rPr>
        <w:t>投标无效</w:t>
      </w:r>
      <w:r>
        <w:rPr>
          <w:rFonts w:hint="eastAsia"/>
          <w:color w:val="auto"/>
          <w:sz w:val="21"/>
          <w:szCs w:val="21"/>
          <w:highlight w:val="none"/>
        </w:rPr>
        <w:t>，并书面报告本级财政部门。</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lang w:val="en-US"/>
        </w:rPr>
        <w:t>20</w:t>
      </w:r>
      <w:r>
        <w:rPr>
          <w:rFonts w:hint="eastAsia"/>
          <w:b/>
          <w:color w:val="auto"/>
          <w:sz w:val="21"/>
          <w:szCs w:val="21"/>
          <w:highlight w:val="none"/>
        </w:rPr>
        <w:t>.</w:t>
      </w:r>
      <w:r>
        <w:rPr>
          <w:rFonts w:hint="eastAsia"/>
          <w:b/>
          <w:color w:val="auto"/>
          <w:sz w:val="21"/>
          <w:szCs w:val="21"/>
          <w:highlight w:val="none"/>
          <w:lang w:val="en-US"/>
        </w:rPr>
        <w:t>6</w:t>
      </w:r>
      <w:r>
        <w:rPr>
          <w:rFonts w:hint="eastAsia"/>
          <w:b/>
          <w:color w:val="auto"/>
          <w:sz w:val="21"/>
          <w:szCs w:val="21"/>
          <w:highlight w:val="none"/>
        </w:rPr>
        <w:t>*有下列情形之一的，视为投标人串通投标，其投标无效，并对投标人依照《政府采购法》第七十七条的规定追究法律责任：</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（1）</w:t>
      </w:r>
      <w:r>
        <w:rPr>
          <w:rFonts w:hint="eastAsia"/>
          <w:color w:val="auto"/>
          <w:sz w:val="21"/>
          <w:szCs w:val="21"/>
          <w:highlight w:val="none"/>
        </w:rPr>
        <w:t>不同投标人的投标文件由同一单位或者个人编制；</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不同投标人委托同一单位或者个人办理投标事宜；</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（3）</w:t>
      </w:r>
      <w:r>
        <w:rPr>
          <w:rFonts w:hint="eastAsia"/>
          <w:color w:val="auto"/>
          <w:sz w:val="21"/>
          <w:szCs w:val="21"/>
          <w:highlight w:val="none"/>
        </w:rPr>
        <w:t>不同投标人的投标文件载明的项目管理成员或者联系人员为同一人；</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lang w:val="en-US"/>
        </w:rPr>
        <w:t>（4）</w:t>
      </w:r>
      <w:r>
        <w:rPr>
          <w:rFonts w:hint="eastAsia"/>
          <w:color w:val="auto"/>
          <w:sz w:val="21"/>
          <w:szCs w:val="21"/>
          <w:highlight w:val="none"/>
        </w:rPr>
        <w:t>不同投标人的投标文件异常一致或者投标报价呈规律性差异；</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）不同投标人的投标文件相互混装；</w:t>
      </w:r>
    </w:p>
    <w:p>
      <w:pPr>
        <w:adjustRightInd w:val="0"/>
        <w:snapToGrid w:val="0"/>
        <w:spacing w:line="360" w:lineRule="auto"/>
        <w:ind w:left="440" w:leftChars="200"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）不同投标人的投标保证金从同一单位或者个人的账户转出。</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21.评标委员会</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.1采购人或者采购代理机构负责组织评标工作，并履行下列职责：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.1.1核对评标专家身份和采购人代表授权函，对评标专家在政府采购活动中的职责履行情况予以记录，并及时将有关违法违规行为向财政部门报告；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.1.2宣布评标纪律；</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.1.3公布投标人名单，告知评标专家应当回避的情形；</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.1.4组织评标委员会推选评标组长，采购人代表不得担任组长；</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.1.5在评标期间采取必要的通讯管理措施，保证评标活动不受外界干扰；</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.1.6根据评标委员会的要求介绍政府采购相关政策法规、招标文件；</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.1.7维护评标秩序，监督评标委员会依照招标文件规定的评标程序、方法和标准进行独立评标，及时制止和纠正采购人代表、评标专家的倾向性言论或者违法违规行为；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 xml:space="preserve">.1.8核对评标结果，有本须知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22.11</w:t>
      </w:r>
      <w:r>
        <w:rPr>
          <w:rFonts w:hint="eastAsia"/>
          <w:color w:val="auto"/>
          <w:sz w:val="21"/>
          <w:szCs w:val="21"/>
          <w:highlight w:val="none"/>
        </w:rPr>
        <w:t xml:space="preserve"> </w:t>
      </w:r>
      <w:r>
        <w:rPr>
          <w:rFonts w:hint="eastAsia"/>
          <w:color w:val="auto"/>
          <w:sz w:val="21"/>
          <w:szCs w:val="21"/>
          <w:highlight w:val="none"/>
        </w:rPr>
        <w:fldChar w:fldCharType="end"/>
      </w:r>
      <w:r>
        <w:rPr>
          <w:rFonts w:hint="eastAsia"/>
          <w:color w:val="auto"/>
          <w:sz w:val="21"/>
          <w:szCs w:val="21"/>
          <w:highlight w:val="none"/>
        </w:rPr>
        <w:t>条规定情形的，要求评标委员会复核或者书面说明理由，评标委员会拒绝的，应予记录并向本级财政部门报告；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.1.9评标工作完成后，按照规定向评标专家支付劳务报酬和异地评标差旅费，不得向评标专家以外的其他人员支付评标劳务报酬；</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.1.10处理与评标有关的其他事项。</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采购人可以在评标前说明项目背景和采购需求，说明内容不得含有歧视性、倾向性意见，不得超出招标文件所述范围。说明应当提交书面材料，并随采购文件一并存档。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.2评标委员会负责具体评标事务，并独立履行下列职责：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.2.1审查、评价投标文件是否符合招标文件的商务、技术等实质性要求；</w:t>
      </w:r>
    </w:p>
    <w:p>
      <w:pPr>
        <w:adjustRightInd w:val="0"/>
        <w:snapToGrid w:val="0"/>
        <w:spacing w:line="360" w:lineRule="auto"/>
        <w:ind w:firstLine="420" w:firstLineChars="200"/>
        <w:rPr>
          <w:color w:val="auto"/>
          <w:sz w:val="21"/>
          <w:szCs w:val="21"/>
          <w:highlight w:val="none"/>
        </w:rPr>
      </w:pPr>
      <w:bookmarkStart w:id="44" w:name="OLE_LINK4"/>
      <w:r>
        <w:rPr>
          <w:rFonts w:hint="eastAsia"/>
          <w:color w:val="auto"/>
          <w:sz w:val="21"/>
          <w:szCs w:val="21"/>
          <w:highlight w:val="none"/>
          <w:lang w:val="en-US"/>
        </w:rPr>
        <w:t>21</w:t>
      </w:r>
      <w:r>
        <w:rPr>
          <w:rFonts w:hint="eastAsia"/>
          <w:color w:val="auto"/>
          <w:sz w:val="21"/>
          <w:szCs w:val="21"/>
          <w:highlight w:val="none"/>
        </w:rPr>
        <w:t>.2.</w:t>
      </w:r>
      <w:bookmarkEnd w:id="44"/>
      <w:r>
        <w:rPr>
          <w:rFonts w:hint="eastAsia"/>
          <w:color w:val="auto"/>
          <w:sz w:val="21"/>
          <w:szCs w:val="21"/>
          <w:highlight w:val="none"/>
        </w:rPr>
        <w:t>2要求投标人对投标文件有关事项作出澄清或者说明；</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.2.3对投标文件进行比较和评价；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.2.4确定中标候选人名单，或者根据采购人委托直接确定中标人；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.2.5向采购人、采购代理机构或者有关部门报告评标中发现的违法行为。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.3评标委员会由采购人代表和评标专家组成，成员人数应当为5人以上单数，其中评标专家不得少于成员总数的三分之二。评标委员会成员与投标人存在利害关系的，应当回避。</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.3.1采购项目符合下列情形之一的，评标委员会成员人数应当为7人以上单数：</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（1）采购预算金额在1000万元以上；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（2）技术复杂；</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（3）社会影响较大。</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3.2评标专家对本单位的采购项目只能作为采购人代表参与评标，对技术复杂、专业性强的采购项目，通过随机方式难以确定合适评标专家的，经主管预算单位同意，采购人可以自行选定相应专业领域的评标专家情形除外。采购代理机构工作人员不得参加由本机构代理的政府采购项目的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.3.3评标委员会成员名单在评标结果公告前应当保密。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.4采购人或者采购代理机构应当从省级以上财政部门设立的政府采购评标专家库中，通过随机方式抽取评标专家。</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对技术复杂、专业性强的采购项目，通过随机方式难以确定合适评标专家的，经主管预算单位同意，采购人可以自行选定相应专业领域的评标专家。</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5评标中因评标委员会成员缺席、回避或者健康等特殊原因导致评标委员会组成不符合《中华人民共和国政府采购法》、《中华人民共和国政府采购法实施条例》、《政府采购货物和服务招标投标管理办法》相关规定的，采购人或者采购代理机构应当依法补足后继续评标。被更换的评标委员会成员所作出的评标意见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无法及时补足评标委员会成员的，采购人或者采购代理机构应当停止评标活动，封存所有投标文件和开标、评标资料，依法重新组建评标委员会进行评标。原评标委员会所作出的评标意见无效。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采购人或者采购代理机构应当将变更、重新组建评标委员会的情况予以记录，并随采购文件一并存档。</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lang w:val="en-US"/>
        </w:rPr>
        <w:t>21</w:t>
      </w:r>
      <w:r>
        <w:rPr>
          <w:rFonts w:hint="eastAsia"/>
          <w:b/>
          <w:color w:val="auto"/>
          <w:sz w:val="21"/>
          <w:szCs w:val="21"/>
          <w:highlight w:val="none"/>
        </w:rPr>
        <w:t>.6采购人委派代表参加评标委员会的，应当向采购代理机构出具授权函，采购人代表不得担任评标委员会主任委员。除授权代表外，采购人可以委派纪检监察等相关人员进入评标现场，对评标工作实施监督，但不得超过２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.7评标委员会成员应认真执行《中华人民共和国政府采购法》、《中华人民共和国政府采购法实施条例》、《政府采购货物和服务招标投标管理办法》及相关法规规定，同时维护采购人与投标人的合法权益。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.8评标委员会及其成员不得有下列行为：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（1）确定参与评标至评标结束前私自接触投标人；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（2）接受投标人提出的与投标文件不一致的澄清或者说明，本招标文件投标须知正文第2</w:t>
      </w:r>
      <w:r>
        <w:rPr>
          <w:rFonts w:hint="eastAsia"/>
          <w:color w:val="auto"/>
          <w:sz w:val="21"/>
          <w:szCs w:val="21"/>
          <w:highlight w:val="none"/>
          <w:lang w:val="en-US"/>
        </w:rPr>
        <w:t>2</w:t>
      </w:r>
      <w:r>
        <w:rPr>
          <w:rFonts w:hint="eastAsia"/>
          <w:color w:val="auto"/>
          <w:sz w:val="21"/>
          <w:szCs w:val="21"/>
          <w:highlight w:val="none"/>
        </w:rPr>
        <w:t>.2条规定的情形除外；</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（3）违反评标纪律发表倾向性意见或者征询采购人的倾向性意见；</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（4）对需要专业判断的主观评标因素协商评分；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（5）在评标过程中擅离职守，影响评标程序正常进行的；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（6）记录、复制或者带走任何评标资料；</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（7）其他不遵守评标纪律的行为。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评标委员会成员有以上第1至5项行为之一的，其评标意见无效，并不得获取评标劳务报酬和报销异地评标差旅费。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21</w:t>
      </w:r>
      <w:r>
        <w:rPr>
          <w:rFonts w:hint="eastAsia"/>
          <w:color w:val="auto"/>
          <w:sz w:val="21"/>
          <w:szCs w:val="21"/>
          <w:highlight w:val="none"/>
        </w:rPr>
        <w:t>.9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.评标</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.1评标委员会按照第三章“评标方法</w:t>
      </w:r>
      <w:r>
        <w:rPr>
          <w:rFonts w:hint="eastAsia"/>
          <w:color w:val="auto"/>
          <w:sz w:val="21"/>
          <w:szCs w:val="21"/>
          <w:highlight w:val="none"/>
          <w:lang w:val="en-US"/>
        </w:rPr>
        <w:t>和评标</w:t>
      </w:r>
      <w:r>
        <w:rPr>
          <w:rFonts w:hint="eastAsia"/>
          <w:color w:val="auto"/>
          <w:sz w:val="21"/>
          <w:szCs w:val="21"/>
          <w:highlight w:val="none"/>
        </w:rPr>
        <w:t>标准”规定的评标方法、评标因素、标准和程序以及有关法律、法规及规章对投标文件进行评标，评标委员会应当对符合资格的投标人的投标文件进行符合性审查，以确定其是否满足招标文件的实质性要求。</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 投标文件的初步审查</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22.2.1 资格审查标准：详见</w:t>
      </w:r>
      <w:r>
        <w:rPr>
          <w:rFonts w:hint="eastAsia"/>
          <w:color w:val="auto"/>
          <w:sz w:val="21"/>
          <w:szCs w:val="21"/>
          <w:highlight w:val="none"/>
        </w:rPr>
        <w:t>第三章“评标方法</w:t>
      </w:r>
      <w:r>
        <w:rPr>
          <w:rFonts w:hint="eastAsia"/>
          <w:color w:val="auto"/>
          <w:sz w:val="21"/>
          <w:szCs w:val="21"/>
          <w:highlight w:val="none"/>
          <w:lang w:val="en-US"/>
        </w:rPr>
        <w:t>和评标</w:t>
      </w:r>
      <w:r>
        <w:rPr>
          <w:rFonts w:hint="eastAsia"/>
          <w:color w:val="auto"/>
          <w:sz w:val="21"/>
          <w:szCs w:val="21"/>
          <w:highlight w:val="none"/>
        </w:rPr>
        <w:t>标准”规定。</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22.2.2 符合性审查标准：详见</w:t>
      </w:r>
      <w:r>
        <w:rPr>
          <w:rFonts w:hint="eastAsia"/>
          <w:color w:val="auto"/>
          <w:sz w:val="21"/>
          <w:szCs w:val="21"/>
          <w:highlight w:val="none"/>
        </w:rPr>
        <w:t>第三章“评标方法</w:t>
      </w:r>
      <w:r>
        <w:rPr>
          <w:rFonts w:hint="eastAsia"/>
          <w:color w:val="auto"/>
          <w:sz w:val="21"/>
          <w:szCs w:val="21"/>
          <w:highlight w:val="none"/>
          <w:lang w:val="en-US"/>
        </w:rPr>
        <w:t>和评标</w:t>
      </w:r>
      <w:r>
        <w:rPr>
          <w:rFonts w:hint="eastAsia"/>
          <w:color w:val="auto"/>
          <w:sz w:val="21"/>
          <w:szCs w:val="21"/>
          <w:highlight w:val="none"/>
        </w:rPr>
        <w:t>标准”规定。</w:t>
      </w:r>
    </w:p>
    <w:p>
      <w:pPr>
        <w:pStyle w:val="32"/>
        <w:tabs>
          <w:tab w:val="left" w:pos="908"/>
        </w:tabs>
        <w:spacing w:before="0" w:line="360" w:lineRule="auto"/>
        <w:ind w:left="0" w:firstLine="420" w:firstLineChars="200"/>
        <w:rPr>
          <w:color w:val="auto"/>
          <w:sz w:val="21"/>
          <w:szCs w:val="21"/>
          <w:highlight w:val="none"/>
          <w:lang w:val="en-US"/>
        </w:rPr>
      </w:pPr>
      <w:bookmarkStart w:id="45" w:name="_bookmark52"/>
      <w:bookmarkEnd w:id="45"/>
      <w:r>
        <w:rPr>
          <w:rFonts w:hint="eastAsia"/>
          <w:color w:val="auto"/>
          <w:sz w:val="21"/>
          <w:szCs w:val="21"/>
          <w:highlight w:val="none"/>
          <w:lang w:val="en-US"/>
        </w:rPr>
        <w:t>22.2.3 在符合性审查时，如发现下列情况之一的，其</w:t>
      </w:r>
      <w:r>
        <w:rPr>
          <w:rFonts w:hint="eastAsia"/>
          <w:b/>
          <w:bCs/>
          <w:color w:val="auto"/>
          <w:sz w:val="21"/>
          <w:szCs w:val="21"/>
          <w:highlight w:val="none"/>
          <w:lang w:val="en-US"/>
        </w:rPr>
        <w:t>投标也将被否决</w:t>
      </w:r>
      <w:r>
        <w:rPr>
          <w:rFonts w:hint="eastAsia"/>
          <w:color w:val="auto"/>
          <w:sz w:val="21"/>
          <w:szCs w:val="21"/>
          <w:highlight w:val="none"/>
          <w:lang w:val="en-US"/>
        </w:rPr>
        <w:t>，为无效投标：</w:t>
      </w:r>
    </w:p>
    <w:p>
      <w:pPr>
        <w:pStyle w:val="32"/>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（1）投标文件含有采购人不能接受的附加条件的；</w:t>
      </w:r>
    </w:p>
    <w:p>
      <w:pPr>
        <w:pStyle w:val="32"/>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（2）出现《投标人须知前附表》列明的其他无效投标情况之一的；</w:t>
      </w:r>
    </w:p>
    <w:p>
      <w:pPr>
        <w:pStyle w:val="32"/>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（3）法律、法规规定的其他无效情形；</w:t>
      </w:r>
    </w:p>
    <w:p>
      <w:pPr>
        <w:pStyle w:val="32"/>
        <w:tabs>
          <w:tab w:val="left" w:pos="908"/>
        </w:tabs>
        <w:spacing w:before="0" w:line="360" w:lineRule="auto"/>
        <w:ind w:left="440" w:leftChars="200" w:firstLine="422" w:firstLineChars="200"/>
        <w:rPr>
          <w:b/>
          <w:bCs/>
          <w:color w:val="auto"/>
          <w:sz w:val="21"/>
          <w:szCs w:val="21"/>
          <w:highlight w:val="none"/>
          <w:lang w:val="en-US"/>
        </w:rPr>
      </w:pPr>
      <w:r>
        <w:rPr>
          <w:rFonts w:hint="eastAsia"/>
          <w:b/>
          <w:bCs/>
          <w:color w:val="auto"/>
          <w:sz w:val="21"/>
          <w:szCs w:val="21"/>
          <w:highlight w:val="none"/>
          <w:lang w:val="en-US"/>
        </w:rPr>
        <w:t>（4）投标文件符合招标文件中规定投标被否决的其他条款。</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22.2.4 评标委员会决定投标的响应性质根据投标本身的真实无误的内容，而不依据外部的证据，但投标有不真实不正确的内容时除外。</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22.2.5 投标文件报价出现前后不一致的，除《投标人须知前附表》另有规定外，按照下列规定修正：</w:t>
      </w:r>
    </w:p>
    <w:p>
      <w:pPr>
        <w:pStyle w:val="32"/>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（1）公开唱出的开标一览表投标总价与投标文件中相应内容不一致的，以公开唱出的开标一览表为准；</w:t>
      </w:r>
    </w:p>
    <w:p>
      <w:pPr>
        <w:pStyle w:val="32"/>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（2）公开唱出的开标一览表大写金额和小写金额不一致的，以大写金额为准；</w:t>
      </w:r>
    </w:p>
    <w:p>
      <w:pPr>
        <w:pStyle w:val="32"/>
        <w:tabs>
          <w:tab w:val="left" w:pos="908"/>
        </w:tabs>
        <w:spacing w:before="0" w:line="360" w:lineRule="auto"/>
        <w:ind w:left="440" w:leftChars="200" w:firstLine="420" w:firstLineChars="200"/>
        <w:rPr>
          <w:color w:val="auto"/>
          <w:sz w:val="21"/>
          <w:szCs w:val="21"/>
          <w:highlight w:val="none"/>
          <w:lang w:val="en-US"/>
        </w:rPr>
      </w:pPr>
      <w:r>
        <w:rPr>
          <w:rFonts w:hint="eastAsia"/>
          <w:color w:val="auto"/>
          <w:sz w:val="21"/>
          <w:szCs w:val="21"/>
          <w:highlight w:val="none"/>
          <w:lang w:val="en-US"/>
        </w:rPr>
        <w:t>（3）分项报价表中汇总金额与公开唱出的价格不一致，以公开唱出的开标一览表的总价为准，并修改单价。</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修正后的报价按照本须知 </w:t>
      </w:r>
      <w:r>
        <w:rPr>
          <w:color w:val="auto"/>
          <w:highlight w:val="none"/>
        </w:rPr>
        <w:fldChar w:fldCharType="begin"/>
      </w:r>
      <w:r>
        <w:rPr>
          <w:color w:val="auto"/>
          <w:highlight w:val="none"/>
        </w:rPr>
        <w:instrText xml:space="preserve"> HYPERLINK \l "_bookmark54" </w:instrText>
      </w:r>
      <w:r>
        <w:rPr>
          <w:color w:val="auto"/>
          <w:highlight w:val="none"/>
        </w:rPr>
        <w:fldChar w:fldCharType="separate"/>
      </w:r>
      <w:r>
        <w:rPr>
          <w:rFonts w:hint="eastAsia"/>
          <w:color w:val="auto"/>
          <w:sz w:val="21"/>
          <w:szCs w:val="21"/>
          <w:highlight w:val="none"/>
          <w:lang w:val="en-US"/>
        </w:rPr>
        <w:t xml:space="preserve">24 </w:t>
      </w:r>
      <w:r>
        <w:rPr>
          <w:rFonts w:hint="eastAsia"/>
          <w:color w:val="auto"/>
          <w:sz w:val="21"/>
          <w:szCs w:val="21"/>
          <w:highlight w:val="none"/>
          <w:lang w:val="en-US"/>
        </w:rPr>
        <w:fldChar w:fldCharType="end"/>
      </w:r>
      <w:r>
        <w:rPr>
          <w:rFonts w:hint="eastAsia"/>
          <w:color w:val="auto"/>
          <w:sz w:val="21"/>
          <w:szCs w:val="21"/>
          <w:highlight w:val="none"/>
          <w:lang w:val="en-US"/>
        </w:rPr>
        <w:t>条的规定经投标人确认后产生约束力，投标人不确认的， 其投标将被否决。</w:t>
      </w:r>
    </w:p>
    <w:p>
      <w:pPr>
        <w:pStyle w:val="32"/>
        <w:tabs>
          <w:tab w:val="left" w:pos="908"/>
        </w:tabs>
        <w:spacing w:before="0" w:line="360" w:lineRule="auto"/>
        <w:ind w:left="0" w:firstLine="420" w:firstLineChars="200"/>
        <w:rPr>
          <w:color w:val="auto"/>
          <w:sz w:val="21"/>
          <w:szCs w:val="21"/>
          <w:highlight w:val="none"/>
          <w:lang w:val="en-US"/>
        </w:rPr>
      </w:pPr>
      <w:bookmarkStart w:id="46" w:name="_bookmark53"/>
      <w:bookmarkEnd w:id="46"/>
      <w:r>
        <w:rPr>
          <w:rFonts w:hint="eastAsia"/>
          <w:color w:val="auto"/>
          <w:sz w:val="21"/>
          <w:szCs w:val="21"/>
          <w:highlight w:val="none"/>
          <w:lang w:val="en-US"/>
        </w:rPr>
        <w:t>22.2.6 提供相同品牌核心产品且通过资格审查、符合性审查的不同投标人参加同一合同项下投标的，按一家投标人计算。非单一产品采购项目，多家投标人提供的核心产品品牌相同的，视同为提供相同品牌产品，同样按一家投标人计算。核心产品见《投标人须知前附表》。</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对于投标文件中含义不明确、同类问题表述不一致或者有明显文字和计算错误的内容，评标委员会应当以书面形式要求投标人作出必要的澄清、说明或者补正。</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投标文件报价出现前后不一致的，除招标文件另有规定外，按照下列规定修正：</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.1投标文件中开标一览表（报价表）内容与投标文件中相应内容不一致的，以开标一览表（报价表）为准；</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.2大写金额和小写金额不一致的，以大写金额为准；</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.3单价金额小数点或者百分比有明显错位的，以开标一览表的总价为准，并修改单价；</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.4总价金额与按单价汇总金额不一致的，以单价金额计算结果为准。</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同时出现两种以上不一致的，按照前款规定的顺序修正。修正后的报价按照本招标文件</w:t>
      </w:r>
      <w:r>
        <w:rPr>
          <w:rFonts w:hint="eastAsia"/>
          <w:color w:val="auto"/>
          <w:sz w:val="21"/>
          <w:szCs w:val="21"/>
          <w:highlight w:val="none"/>
          <w:lang w:val="en-US"/>
        </w:rPr>
        <w:t xml:space="preserve">本须知 </w:t>
      </w: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.2</w:t>
      </w:r>
      <w:r>
        <w:rPr>
          <w:rFonts w:hint="eastAsia"/>
          <w:color w:val="auto"/>
          <w:sz w:val="21"/>
          <w:szCs w:val="21"/>
          <w:highlight w:val="none"/>
          <w:lang w:val="en-US"/>
        </w:rPr>
        <w:t xml:space="preserve"> 条</w:t>
      </w:r>
      <w:r>
        <w:rPr>
          <w:rFonts w:hint="eastAsia"/>
          <w:color w:val="auto"/>
          <w:sz w:val="21"/>
          <w:szCs w:val="21"/>
          <w:highlight w:val="none"/>
        </w:rPr>
        <w:t>的规定经投标人确认后产生约束力，*投标人拒绝确认的，其投标无效。</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5</w:t>
      </w:r>
      <w:r>
        <w:rPr>
          <w:rFonts w:hint="eastAsia"/>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6</w:t>
      </w:r>
      <w:r>
        <w:rPr>
          <w:rFonts w:hint="eastAsia"/>
          <w:color w:val="auto"/>
          <w:sz w:val="21"/>
          <w:szCs w:val="21"/>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7</w:t>
      </w:r>
      <w:r>
        <w:rPr>
          <w:rFonts w:hint="eastAsia"/>
          <w:color w:val="auto"/>
          <w:sz w:val="21"/>
          <w:szCs w:val="21"/>
          <w:highlight w:val="none"/>
        </w:rPr>
        <w:t>评标委员会应当按照招标文件中规定的评标方法和标准，对资格性审查、符合性审查合格的投标文件进行商务和技术评估，综合比较与评价。</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本项目评标方法为：综合评分法。</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.1综合评分法，是投标文件满足招标文件全部实质性要求，且按照评标因素的量化指标评标得分最高的投标人为中标候选人的评标方法。</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评标因素的设定与投标人所提供货物服务的质量相关，包括投标报价、技术或者服务水平、履约能力、售后服务等。资格条件不得作为评标因素。</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.2评标时，评标委员会各成员应当独立对每个投标人的投标文件进行评价，并汇总每个投标人的得分。</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.3评标过程中，不得去掉报价中的最高报价和最低报价。</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8</w:t>
      </w:r>
      <w:r>
        <w:rPr>
          <w:rFonts w:hint="eastAsia"/>
          <w:color w:val="auto"/>
          <w:sz w:val="21"/>
          <w:szCs w:val="21"/>
          <w:highlight w:val="none"/>
        </w:rPr>
        <w:t>.4因落实政府采购政策进行价格调整的，以调整后的价格计算评标基准价和投标报价。</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9</w:t>
      </w:r>
      <w:r>
        <w:rPr>
          <w:rFonts w:hint="eastAsia"/>
          <w:color w:val="auto"/>
          <w:sz w:val="21"/>
          <w:szCs w:val="21"/>
          <w:highlight w:val="none"/>
        </w:rPr>
        <w:t>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w:t>
      </w:r>
      <w:r>
        <w:rPr>
          <w:rFonts w:hint="eastAsia"/>
          <w:color w:val="auto"/>
          <w:sz w:val="21"/>
          <w:szCs w:val="21"/>
          <w:highlight w:val="none"/>
          <w:lang w:val="en-US"/>
        </w:rPr>
        <w:t>10</w:t>
      </w:r>
      <w:r>
        <w:rPr>
          <w:rFonts w:hint="eastAsia"/>
          <w:color w:val="auto"/>
          <w:sz w:val="21"/>
          <w:szCs w:val="21"/>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1</w:t>
      </w:r>
      <w:r>
        <w:rPr>
          <w:rFonts w:hint="eastAsia"/>
          <w:color w:val="auto"/>
          <w:sz w:val="21"/>
          <w:szCs w:val="21"/>
          <w:highlight w:val="none"/>
        </w:rPr>
        <w:t>评标结果汇总完成后，除下列情形外，任何人不得修改评标结果：</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（1）分值汇总计算错误的；</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（2）分项评分超出评分标准范围的；</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（3）评标委员会成员对客观评标因素评分不一致的；</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（4）经评标委员会认定评分畸高、畸低的。</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投标人对上述(1)～(4)项提出质疑的，采购人或者采购代理机构可以组织原评标委员会进行重新评标，重新评标改变评标结果的，应当书面报告本级财政部门。</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2</w:t>
      </w:r>
      <w:r>
        <w:rPr>
          <w:rFonts w:hint="eastAsia"/>
          <w:color w:val="auto"/>
          <w:sz w:val="21"/>
          <w:szCs w:val="21"/>
          <w:highlight w:val="none"/>
        </w:rPr>
        <w:t>评标委员会根据全体评标成员签字的原始评标记录和评标结果编写评标报告。评标报告应当包括以下内容：</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（1）招标公告刊登的媒体名称、开标日期和地点；</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（2）投标人名单和评标委员会成员名单；</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（3）评标方法和标准；</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（4）开标记录和评标情况及说明，包括无效投标人名单及原因；</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（5）评标结果，确定的中标候选人名单或者经采购人委托直接确定的中标人；</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（6）其他需要说明的情况，包括评标过程中投标人根据评标委员会要求进行的澄清、说明或者补正，评标委员会成员的更换等。</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3</w:t>
      </w:r>
      <w:r>
        <w:rPr>
          <w:rFonts w:hint="eastAsia"/>
          <w:color w:val="auto"/>
          <w:sz w:val="21"/>
          <w:szCs w:val="21"/>
          <w:highlight w:val="none"/>
        </w:rPr>
        <w:t>采购人、采购代理机构应当采取必要措施加强评标现场管理，与评标工作无关的人员不得进入评标现场，保证评标在严格保密的情况下进行。除采购人代表、评标现场组织人员外，采购人的其他工作人员以及与评标工作无关的人员不得进入评标现场。评标委员会成员及其他有关人员对评标情况以及在评标过程中获悉的国家秘密、商业秘密负有保密责任。</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4</w:t>
      </w:r>
      <w:r>
        <w:rPr>
          <w:rFonts w:hint="eastAsia"/>
          <w:color w:val="auto"/>
          <w:sz w:val="21"/>
          <w:szCs w:val="21"/>
          <w:highlight w:val="none"/>
        </w:rPr>
        <w:t>评标委员会或者其成员存在下列情形导致评标结果无效的，采购人、采购代理机构可以重新组建评标委员会进行评标，并书面报告本级财政部门，但采购合同已经履行的除外：</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（1）评标委员会组成不符合本招标文件规定的；</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 xml:space="preserve">（2）有《政府采购货物和服务招标投标管理办法》（财政部令第87号）第六十二条第一至五项（即：本须知 </w:t>
      </w:r>
      <w:r>
        <w:rPr>
          <w:color w:val="auto"/>
          <w:highlight w:val="none"/>
        </w:rPr>
        <w:fldChar w:fldCharType="begin"/>
      </w:r>
      <w:r>
        <w:rPr>
          <w:color w:val="auto"/>
          <w:highlight w:val="none"/>
        </w:rPr>
        <w:instrText xml:space="preserve"> HYPERLINK \l "_bookmark33" </w:instrText>
      </w:r>
      <w:r>
        <w:rPr>
          <w:color w:val="auto"/>
          <w:highlight w:val="none"/>
        </w:rPr>
        <w:fldChar w:fldCharType="separate"/>
      </w:r>
      <w:r>
        <w:rPr>
          <w:rFonts w:hint="eastAsia"/>
          <w:color w:val="auto"/>
          <w:sz w:val="21"/>
          <w:szCs w:val="21"/>
          <w:highlight w:val="none"/>
          <w:lang w:val="en-US"/>
        </w:rPr>
        <w:t>21.8</w:t>
      </w:r>
      <w:r>
        <w:rPr>
          <w:rFonts w:hint="eastAsia"/>
          <w:color w:val="auto"/>
          <w:sz w:val="21"/>
          <w:szCs w:val="21"/>
          <w:highlight w:val="none"/>
        </w:rPr>
        <w:t xml:space="preserve"> </w:t>
      </w:r>
      <w:r>
        <w:rPr>
          <w:rFonts w:hint="eastAsia"/>
          <w:color w:val="auto"/>
          <w:sz w:val="21"/>
          <w:szCs w:val="21"/>
          <w:highlight w:val="none"/>
        </w:rPr>
        <w:fldChar w:fldCharType="end"/>
      </w:r>
      <w:r>
        <w:rPr>
          <w:rFonts w:hint="eastAsia"/>
          <w:color w:val="auto"/>
          <w:sz w:val="21"/>
          <w:szCs w:val="21"/>
          <w:highlight w:val="none"/>
        </w:rPr>
        <w:t>条第（1）至（5）项）情形的；</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（3）评标委员会及其成员独立评标受到非法干预的；</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（4）有《政府采购法实施条例》第七十五条规定的违法行为的。</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有违法违规行为的原评标委员会成员不得参加重新组建的评标委员会。</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2</w:t>
      </w:r>
      <w:r>
        <w:rPr>
          <w:rFonts w:hint="eastAsia"/>
          <w:color w:val="auto"/>
          <w:sz w:val="21"/>
          <w:szCs w:val="21"/>
          <w:highlight w:val="none"/>
        </w:rPr>
        <w:t>.1</w:t>
      </w:r>
      <w:r>
        <w:rPr>
          <w:rFonts w:hint="eastAsia"/>
          <w:color w:val="auto"/>
          <w:sz w:val="21"/>
          <w:szCs w:val="21"/>
          <w:highlight w:val="none"/>
          <w:lang w:val="en-US"/>
        </w:rPr>
        <w:t>5</w:t>
      </w:r>
      <w:r>
        <w:rPr>
          <w:rFonts w:hint="eastAsia"/>
          <w:color w:val="auto"/>
          <w:sz w:val="21"/>
          <w:szCs w:val="21"/>
          <w:highlight w:val="none"/>
        </w:rPr>
        <w:t>评标委员会发现采购文件存在歧义、重大缺陷导致评标工作无法进行，或者采购文件内容违反国家有关规定的，要停止评标工作并向采购人或采购代理机构书面说明情况，采购人或采购代理机构应当修改采购文件后重新组织采购活动；发现投标人提供虚假材料、串通等违法违规行为的，要及时向采购人或采购代理机构报告。</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.确定中标人</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.1定标</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.1.1采购代理机构应当在评标结束后2个工作日内将评标报告送采购人。</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1.2采购人应当自收到评标报告之日起5个工作日内，在评标报告确定的中标候选人名单中按顺序确定中标人。中标候选人并列的，由采购人或者采购人委托评标委员会按照招标文件规定的方式确定中标人；招标文件未规定的，采取随机抽取的方式确定。</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1.3采购人应当确定排名第一的中标候选人为中标人。排名第一的中标候选人拒绝签订合同而放弃中标或因不可抗力提出不能履行合同，或者招标文件规定应当提交履约保证金而在规定的期限内未能提交的，采购人可以确定排名第二的中标候选人为中标人，以此类推。</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.1.4采购人在收到评标报告5个工作日内未按评标报告推荐的中标候选人顺序确定中标人，又不能说明合法理由的，视同按评标报告推荐的顺序确定排名第一的中标候选人为中标人。</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23.1.5</w:t>
      </w:r>
      <w:r>
        <w:rPr>
          <w:rFonts w:hint="eastAsia"/>
          <w:color w:val="auto"/>
          <w:sz w:val="21"/>
          <w:szCs w:val="21"/>
          <w:highlight w:val="none"/>
        </w:rPr>
        <w:t xml:space="preserve"> 采用最低评标价法的采购项目，提供相同品牌核心产品的不同投标人参加同一合同项下投标的，以其中通过资格审查、符合性审查且报价最低的参加评标；报价相同的，由采购人或者采购人委托评标委员会按照《投标人须知前附表》规定的方式确定一个参加评标的投标人，其他投标无效。</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lang w:val="en-US"/>
        </w:rPr>
        <w:t>23.1.6</w:t>
      </w:r>
      <w:r>
        <w:rPr>
          <w:rFonts w:hint="eastAsia"/>
          <w:color w:val="auto"/>
          <w:sz w:val="21"/>
          <w:szCs w:val="21"/>
          <w:highlight w:val="none"/>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评标委员会按照《投标人须知前附表》规定的方式确定一个投标人获得中标人推荐资格，其他同品牌投标人不作为中标候选人。</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23.1.7关于兼投不兼中要求：详见《投标人须知前附表》。</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.2中标结果公告</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.2.1采购人或者采购代理机构应当自中标人确定之日起2个工作日内，在省级以上财政部门指定的媒体上公告中标结果，招标文件应当随中标结果同时公告。</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2.2中标结果公告内容应当包括采购人及其委托的采购代理机构的名称、地址、联系方式，项目名称和项目编号，中标人名称、地址和中标金额，主要中标标的的名称、规格型号、数量、单价、服务要求，中标公告期限以及评标专家名单。</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.2.3中标公告期限为1个工作日。</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2.4在公告中标结果的同时，采购人或者采购代理机构应当向中标人发出中标通知书；对未通过资格审查的投标人，应当告知其未通过的原因；采用综合评分法评标的，还应当告知未中标人本人的评标得分与排序。</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.3采购人不保证将合同授予最低投标报价的投标人。</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.4在确定中标人前，招标采购单位不得与投标人就投标价格、投标方案等实质性内容进行谈判。</w:t>
      </w:r>
    </w:p>
    <w:p>
      <w:pPr>
        <w:pStyle w:val="32"/>
        <w:tabs>
          <w:tab w:val="left" w:pos="908"/>
        </w:tabs>
        <w:spacing w:before="0" w:line="360" w:lineRule="auto"/>
        <w:ind w:left="0"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3</w:t>
      </w:r>
      <w:r>
        <w:rPr>
          <w:rFonts w:hint="eastAsia"/>
          <w:color w:val="auto"/>
          <w:sz w:val="21"/>
          <w:szCs w:val="21"/>
          <w:highlight w:val="none"/>
        </w:rPr>
        <w:t>.5采购人有权在定标之前拒绝任何有不正当行为或扰乱正常招标工作的投标人，由此对投标人造成的损失不负任何责任，同时对此也不做任何解释。</w:t>
      </w:r>
    </w:p>
    <w:p>
      <w:pPr>
        <w:pStyle w:val="32"/>
        <w:tabs>
          <w:tab w:val="left" w:pos="908"/>
        </w:tabs>
        <w:spacing w:before="0" w:line="360" w:lineRule="auto"/>
        <w:ind w:left="0" w:firstLine="420" w:firstLineChars="200"/>
        <w:rPr>
          <w:color w:val="auto"/>
          <w:sz w:val="21"/>
          <w:szCs w:val="21"/>
          <w:highlight w:val="none"/>
          <w:lang w:val="en-US"/>
        </w:rPr>
      </w:pPr>
      <w:bookmarkStart w:id="47" w:name="_bookmark54"/>
      <w:bookmarkEnd w:id="47"/>
      <w:r>
        <w:rPr>
          <w:rFonts w:hint="eastAsia"/>
          <w:color w:val="auto"/>
          <w:sz w:val="21"/>
          <w:szCs w:val="21"/>
          <w:highlight w:val="none"/>
          <w:lang w:val="en-US"/>
        </w:rPr>
        <w:t>24 投标文件的澄清、说明或补正</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24.1 投标人不得主动对投标文件进行澄清、说明或补正，评标委员会也不接受投标人的主动澄清、说明或补正。</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24.2 在评标期间，对于投标文件中含义不明确、同类问题表述不一致或者有明显文字和计算错误的内容，评标委员会将以书面形式要求投标人作出必要的澄清、说明或者补正。</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24.3 投标人必须按照评标委员会要求的时间、地点提交澄清、说明或者补正，投标人的澄清、说明或者补正应当采用书面形式，并逐页加盖公章或者由法定代表人逐页签署或由被授权代表逐页签字。投标人的澄清、说明或者补正不得超出投标文件的范围或者改变投标文件的实质性内容。投标人拒不按照要求对投标文件进行澄清、说明或者补正的，视其放弃该项权利。评标委员会也不接受投标人超出投标文件的范围或者改变投标文件的实质性内容的澄清。</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25.招标终止</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2</w:t>
      </w:r>
      <w:r>
        <w:rPr>
          <w:rFonts w:hint="eastAsia"/>
          <w:b/>
          <w:color w:val="auto"/>
          <w:sz w:val="21"/>
          <w:szCs w:val="21"/>
          <w:highlight w:val="none"/>
          <w:lang w:val="en-US"/>
        </w:rPr>
        <w:t>5</w:t>
      </w:r>
      <w:r>
        <w:rPr>
          <w:rFonts w:hint="eastAsia"/>
          <w:b/>
          <w:color w:val="auto"/>
          <w:sz w:val="21"/>
          <w:szCs w:val="21"/>
          <w:highlight w:val="none"/>
        </w:rPr>
        <w:t>.1在招标采购中，出现下列情形之一的，应予废标：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（1）符合专业条件的投标人或者对招标文件作实质响应的投标人不足三家的；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（2）出现影响采购公正的违法、违规行为的；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（3）投标人的报价均超过了采购预算，采购人不能支付的；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（4）因重大变故，采购任务取消的。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废标后，采购人应当将废标理由通知所有投标人。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废标后，除采购任务取消情形外，应当重新组织招标；需要采取其他方式采购的，应当在采购活动开始前获得设区的市、自治州以上人民政府采购监督管理部门或者政府有关部门批准。</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2</w:t>
      </w:r>
      <w:r>
        <w:rPr>
          <w:rFonts w:hint="eastAsia"/>
          <w:b/>
          <w:color w:val="auto"/>
          <w:sz w:val="21"/>
          <w:szCs w:val="21"/>
          <w:highlight w:val="none"/>
          <w:lang w:val="en-US"/>
        </w:rPr>
        <w:t>5</w:t>
      </w:r>
      <w:r>
        <w:rPr>
          <w:rFonts w:hint="eastAsia"/>
          <w:b/>
          <w:color w:val="auto"/>
          <w:sz w:val="21"/>
          <w:szCs w:val="21"/>
          <w:highlight w:val="none"/>
        </w:rPr>
        <w:t>.2出现下列情形之一的，采购人或者采购代理机构应当终止招标采购活动，在财政部门指定的媒体上发布项目终止公告并说明原因，重新开展采购活动：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.2.1因情况变化，不再符合规定的招标采购方式适用情形的；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.2.2出现影响采购公正的违法、违规行为的；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.2.3已确定中标人但尚未签订政府采购合同的，中标结果无效，需从合格的中标候选人中另行确定中标人但没有合格的中标候选人的；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.2.4政府采购合同已签订但尚未履行的，撤销合同，需从合格的中标候选人中另行确定中标人但没有合格的中标候选人的；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5</w:t>
      </w:r>
      <w:r>
        <w:rPr>
          <w:rFonts w:hint="eastAsia"/>
          <w:color w:val="auto"/>
          <w:sz w:val="21"/>
          <w:szCs w:val="21"/>
          <w:highlight w:val="none"/>
        </w:rPr>
        <w:t>.2.5因重大变故，采购任务取消的。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6</w:t>
      </w:r>
      <w:r>
        <w:rPr>
          <w:rFonts w:hint="eastAsia"/>
          <w:color w:val="auto"/>
          <w:sz w:val="21"/>
          <w:szCs w:val="21"/>
          <w:highlight w:val="none"/>
        </w:rPr>
        <w:t>.重新评标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6</w:t>
      </w:r>
      <w:r>
        <w:rPr>
          <w:rFonts w:hint="eastAsia"/>
          <w:color w:val="auto"/>
          <w:sz w:val="21"/>
          <w:szCs w:val="21"/>
          <w:highlight w:val="none"/>
        </w:rPr>
        <w:t>.1除本须知</w:t>
      </w:r>
      <w:r>
        <w:rPr>
          <w:rFonts w:hint="eastAsia"/>
          <w:color w:val="auto"/>
          <w:sz w:val="21"/>
          <w:szCs w:val="21"/>
          <w:highlight w:val="none"/>
          <w:lang w:val="en-US"/>
        </w:rPr>
        <w:t xml:space="preserve"> 22.11 条</w:t>
      </w:r>
      <w:r>
        <w:rPr>
          <w:rFonts w:hint="eastAsia"/>
          <w:color w:val="auto"/>
          <w:sz w:val="21"/>
          <w:szCs w:val="21"/>
          <w:highlight w:val="none"/>
        </w:rPr>
        <w:t>所述情形外，采购人或者采购代理机构不能以任何理由组织重新评标。采购人、采购代理机构发现评标委员会未按照招标文件规定的评标标准进行评标的，应当重新开展采购活动，并同时书面报告本级财政部门。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.保密与纪律事项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.1评标委员会成员以及与评标工作有关的人员不得泄露评标情况以及评标过程中获悉的国家秘密、商业秘密。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过程保密是指评标开始后评标委员会对投标人资格审查开始至中标公告期结束、中标通知书发出等与项目相关所有的文字、评标委员会的对话、音视频等相关资料的保密，如与采购项目相关的采购人、采购代理机构、评标委员会及公共资源交易中心人员及其他相关人员泄密，从而导致评标结果出现不公正性，有关行政主管部门将根据《政府采购法》、《政府采购法实施条例》及相关法律法规规定将责任人提请上级行政主管部门追究其责任；构成犯罪的，将提请司法机关依法追究其刑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2投标人不得与采购人、采购代理机构、其他投标人恶意串通；不得向采购人、采购代理机构或者评标委员会成员行贿或者提供其他不正当利益；不得提供虚假材料谋取中标；不得以任何方式干扰、影响采购工作。</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.3有下列情形之一的，属于恶意串通，投标无效，并依照《政府采购法》第七十七条的规定追究法律责任：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（1）投标人直接或者间接从采购人、采购代理机构获得其他投标人的投标情况，并修改其投标文件的；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（2）投标人按照采购人或采购代理机构授意撤换、修改投标文件的；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（3）投标人之间协商技术方案、合同条款以及报价等投标文件实质性内容的；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（4）属于同一集团、协会、商会等组织成员的投标人按照该组织要求协同参加政府采购活动的；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（5）投标人之间事先约定由某一特定投标人中标的；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（6）投标人之间商定部分投标人放弃提交投标文件或者退出招标或者放弃中标的；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（7）投标人与采购人、采购代理机构以及评标委员会成员之间、投标人相互之间，为谋求特定投标人中标或者排斥其他投标人的其他串通行为的。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（8）法律、行政法规或规章规定的其他串通行为。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4投标人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（1）提供虚假材料谋取中标的；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（2）采取不正当手段诋毁、排挤其他投标人的；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（3）与采购人、其他投标人或者采购代理机构恶意串通的；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（4）向采购人、采购代理机构行贿或者提供其他不正当利益的；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（5）在招标采购过程中与采购人进行协商谈判的；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（6）拒绝有关部门监督检查或者提供虚假情况的。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投标人有上述第（1）至（5）项情形之一的，中标无效。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.5投标人有下列情形之一的，依照《政府采购法》第七十七条第一款的规定追究法律责任：</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（1）向评标委员会成员行贿或者提供其他不正当利益；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（2）中标后无正当理由拒不与采购人签订政府采购合同；</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（3）未按照采购文件确定的事项签订政府采购合同；</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（4）将政府采购合同转包；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（5）提供假冒伪劣产品；</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（6）擅自变更、中止或者终止政府采购合同。</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有上述第一项规定情形的，中标无效。评标阶段资格发生变化，投标人未依照《政府采购法实施条例》第二十一条的规定通知采购人和采购代理机构的，处以采购金额5‰的罚款，列入不良行为记录名单，中标无效。</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w:t>
      </w:r>
      <w:r>
        <w:rPr>
          <w:rFonts w:hint="eastAsia"/>
          <w:color w:val="auto"/>
          <w:sz w:val="21"/>
          <w:szCs w:val="21"/>
          <w:highlight w:val="none"/>
          <w:lang w:val="en-US"/>
        </w:rPr>
        <w:t>7</w:t>
      </w:r>
      <w:r>
        <w:rPr>
          <w:rFonts w:hint="eastAsia"/>
          <w:color w:val="auto"/>
          <w:sz w:val="21"/>
          <w:szCs w:val="21"/>
          <w:highlight w:val="none"/>
        </w:rPr>
        <w:t>.6</w:t>
      </w:r>
      <w:r>
        <w:rPr>
          <w:rFonts w:hint="eastAsia"/>
          <w:color w:val="auto"/>
          <w:sz w:val="21"/>
          <w:szCs w:val="21"/>
          <w:highlight w:val="none"/>
          <w:lang w:val="en-US"/>
        </w:rPr>
        <w:t xml:space="preserve"> </w:t>
      </w:r>
      <w:r>
        <w:rPr>
          <w:rFonts w:hint="eastAsia"/>
          <w:color w:val="auto"/>
          <w:sz w:val="21"/>
          <w:szCs w:val="21"/>
          <w:highlight w:val="none"/>
        </w:rPr>
        <w:t>投标人捏造事实、提供虚假材料或者以非法手段取得证明材料进行投诉的，由财政部门列入不良行为记录名单，禁止其1至3年内参加政府采购活动。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27.7 电子交易活动的中止。采购过程中出现以下情形，导致电子交易平台无法正常运行，或者无法保证电子交易的公平、公正和安全时，采购机构可中止电子交易活动：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（1）电子交易平台发生故障而无法登录访问的；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（2）电子交易平台应用或数据库出现错误，不能进行正常操作的；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（3）电子交易平台发现严重安全漏洞，有潜在泄密危险的；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（4）病毒发作导致不能进行正常操作的；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（5）其他无法保证电子交易的公平、公正和安全的情况。 </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lang w:val="en-US"/>
        </w:rPr>
        <w:t xml:space="preserve">27.8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 </w:t>
      </w:r>
    </w:p>
    <w:p>
      <w:pPr>
        <w:pStyle w:val="7"/>
        <w:spacing w:before="80"/>
        <w:ind w:right="113"/>
        <w:rPr>
          <w:rFonts w:ascii="宋体" w:hAnsi="宋体" w:eastAsia="宋体" w:cs="宋体"/>
          <w:color w:val="auto"/>
          <w:sz w:val="24"/>
          <w:szCs w:val="24"/>
          <w:highlight w:val="none"/>
        </w:rPr>
      </w:pPr>
      <w:bookmarkStart w:id="48" w:name="_Toc19292"/>
      <w:r>
        <w:rPr>
          <w:rFonts w:hint="eastAsia" w:ascii="宋体" w:hAnsi="宋体" w:eastAsia="宋体" w:cs="宋体"/>
          <w:color w:val="auto"/>
          <w:sz w:val="24"/>
          <w:szCs w:val="24"/>
          <w:highlight w:val="none"/>
        </w:rPr>
        <w:t>六、授予合同</w:t>
      </w:r>
      <w:bookmarkEnd w:id="48"/>
    </w:p>
    <w:p>
      <w:pPr>
        <w:pStyle w:val="32"/>
        <w:tabs>
          <w:tab w:val="left" w:pos="908"/>
        </w:tabs>
        <w:spacing w:before="0" w:line="360" w:lineRule="auto"/>
        <w:ind w:left="0" w:firstLine="420" w:firstLineChars="200"/>
        <w:rPr>
          <w:color w:val="auto"/>
          <w:sz w:val="21"/>
          <w:szCs w:val="21"/>
          <w:highlight w:val="none"/>
          <w:lang w:val="en-US"/>
        </w:rPr>
      </w:pPr>
      <w:bookmarkStart w:id="49" w:name="_bookmark62"/>
      <w:bookmarkEnd w:id="49"/>
      <w:r>
        <w:rPr>
          <w:rFonts w:hint="eastAsia"/>
          <w:color w:val="auto"/>
          <w:sz w:val="21"/>
          <w:szCs w:val="21"/>
          <w:highlight w:val="none"/>
          <w:lang w:val="en-US"/>
        </w:rPr>
        <w:t>28 中标人的确定及合同授予</w:t>
      </w:r>
    </w:p>
    <w:p>
      <w:pPr>
        <w:pStyle w:val="32"/>
        <w:tabs>
          <w:tab w:val="left" w:pos="908"/>
        </w:tabs>
        <w:spacing w:before="0" w:line="360" w:lineRule="auto"/>
        <w:ind w:left="0" w:firstLine="420" w:firstLineChars="200"/>
        <w:rPr>
          <w:color w:val="auto"/>
          <w:sz w:val="21"/>
          <w:szCs w:val="21"/>
          <w:highlight w:val="none"/>
          <w:lang w:val="en-US"/>
        </w:rPr>
      </w:pPr>
      <w:bookmarkStart w:id="50" w:name="_bookmark58"/>
      <w:bookmarkEnd w:id="50"/>
      <w:r>
        <w:rPr>
          <w:rFonts w:hint="eastAsia"/>
          <w:color w:val="auto"/>
          <w:sz w:val="21"/>
          <w:szCs w:val="21"/>
          <w:highlight w:val="none"/>
          <w:lang w:val="en-US"/>
        </w:rPr>
        <w:t>28.1 采购人将在评标报告确定的中标候选人名单中按顺序确定中标人，或者，采购人委托评标委员会直接确定的中标人，采用上述何种方式确定中标人详见《投标人须知前附表》。</w:t>
      </w:r>
    </w:p>
    <w:p>
      <w:pPr>
        <w:pStyle w:val="32"/>
        <w:tabs>
          <w:tab w:val="left" w:pos="908"/>
        </w:tabs>
        <w:spacing w:before="0" w:line="360" w:lineRule="auto"/>
        <w:ind w:left="0" w:firstLine="420" w:firstLineChars="200"/>
        <w:rPr>
          <w:color w:val="auto"/>
          <w:sz w:val="21"/>
          <w:szCs w:val="21"/>
          <w:highlight w:val="none"/>
          <w:lang w:val="en-US"/>
        </w:rPr>
      </w:pPr>
      <w:bookmarkStart w:id="51" w:name="_bookmark59"/>
      <w:bookmarkEnd w:id="51"/>
      <w:r>
        <w:rPr>
          <w:rFonts w:hint="eastAsia"/>
          <w:color w:val="auto"/>
          <w:sz w:val="21"/>
          <w:szCs w:val="21"/>
          <w:highlight w:val="none"/>
          <w:lang w:val="en-US"/>
        </w:rPr>
        <w:t>28.2 中标候选人并列的，由采购人或评标委员会按照《投标人须知前附表》规定的方式确定中标人；《投标人须知前附表》未规定的，采取随机抽取的方式确定。</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29.中标信息的公布</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29.1采购人或者采购代理机构应当自中标人确定之日起2个工作日内，发出中标通知书，并在省级以上人民政府财政部门指定的媒体上公告中标结果，招标文件随中标结果同时公告。</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29.2中标通知书对采购人和中标人具有同等法律效力。</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30.中标通知</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30.1中标人确定后，采购人或采购代理机构将以书面形式向中标人发出中标通知书。中标通知书对采购人和中标人具有同等法律效力。中标通知书发出后，采购人不得违法改变中标结果，中标人无正当理由不得放弃中标。</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30.2中标人在收到中标通知书后10日内，应按照投标须知前附表的规定，向采购人提交履约担保。联合体中标的，履约担保由联合体各方或联合体中牵头人的名义提交。</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30.3招标文件要求中标人提交履约保证金的，中标人应当以电汇、支票、汇票、本票或者金融机构、担保机构出具的保函等非现金形式提交。中标人没有按照规定提交履约担保的，视为放弃中标资格，其投标保证金不予退还。</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30.4中标人拒绝与采购人签订合同的，采购人可以按照评标报告推荐的中标候选人名单排序，确定下一候选人为中标人，也可以重新开展政府采购活动。</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31.签订合同</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31.1采购人应当自中标通知书发出之日起30日内，按照招标文件和中标人投标文件的规定，与中标人签订书面合同。所签订的合同不得对招标文件确定的事项和中标人投标文件作实质性修改。中标通知书是合同文件的组成部分。</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采购人不得向中标人提出任何不合理的要求作为签订合同的条件。</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31.2政府采购合同应当包括采购人与中标人的名称和住所、标的、数量、质量、价款或者报酬、履行期限及地点和方式、验收要求、违约责任、解决争议的方法等内容。</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31.3采购人与中标人应当根据合同的约定依法履行合同义务。</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政府采购合同的履行、违约责任和解决争议的方法等适用《中华人民共和国民法典》。</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31.4采购人应当及时对采购项目进行验收。采购人可以邀请参加本项目的其他投标人或者第三方机构参与验收。参与验收的投标人或者第三方机构的意见作为验收书的参考资料一并存档。</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31.5采购人应当加强对中标人的履约管理，并按照采购合同约定，及时向中标人支付采购资金。对于中标人违反采购合同约定的行为，采购人应当及时处理，依法追究其违约责任。</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31.6中标人应当按照合同约定履行义务。中标人不得向他人转让中标项目，也不得将中标项目分包后分别向他人转让。合同分包需在投标文件中予以说明，并需经采购人同意。否则，采购人有权取消中标人的中标资格。</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31.7中标人有下列情形之一的，责令限期改正，情节严重的，列入不良行为记录名单，在1至3年内禁止参加政府采购活动，并予以通报：</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31.7.1中标后无正当理由不与采购人签订合同的；</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31.7.2未按照招标文件确定的事项签订政府采购合同，或者与采购人另行订立背离合同实质性内容的协议的；</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31.7.3拒绝履行合同义务的；</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31.7.4违反法律、规章、规范性文件规定的。</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31.8政府采购合同的双方当事人不得擅自变更、中止或者终止合同。</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政府采购合同继续履行将损害国家利益和社会公共利益的，双方当事人应当变更、中止或者终止合同。有过错的一方应当承担赔偿责任，双方都有过错的，各自承担相应的责任。</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31.9采购人应当自政府采购合同签订之日起2个工作日内，将政府采购合同在省级以上人民政府财政部门指定的媒体上公告，但政府采购合同中涉及国家秘密、商业秘密的内容除外。</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32.政府采购合同履行中数量的变更</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32.1政府采购合同履行中，采购人需追加与合同标的相同的货物、工程或者服务的，在不改变合同其他条款的前提下，可以与中标人协商签订补充合同，但所有补充合同的采购金额不得超过原合同采购金额的10%。</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33.政府采购合同公告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采购人或者受托采购代理机构应当自政府采购合同签订之日起 2 个工作日内，将政府采购合同在以下媒体上发布“新疆政府采购网”上公告，但政府采购合同中涉及国家秘密、商业秘密的内容除外。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 询问、质疑和投诉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34.1 询问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34.1.1 供应商在开标前对政府采购活动事项有疑问的，可以向采购人或采购代理机构项目负责人提出询问。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34.1.2 采购人或采购人委托的采购代理机构自受理询问之日起 3 个工作日内对供应商依法提出的询问作出答复，但答复内容不得涉及商业秘密。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34.1.3 询问事项可能影响中标、成交结果的，采购人应当暂停签订合同，已经签订合同的，应当中止履行合同。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 质疑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34.2.1 供应商认为招标文件、采购过程或者中标结果使自己的合法权益受到损害的，必须在知道或者应知其权益受到损害之日起 7 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（1）潜在供应商依法获取公开招标文件后，认为采购文件使自己的权益受到损害的，应当在公开招标文件公告期限届满之日起 7 个工作日内提出质疑。委托代理协议无特殊约定的，对公开招标文件中采购需求（含资格要求、采购预算和评分办法）的质疑由采购人受理并负责答复；对公开招标文件中的采购执行程序的质疑由采购代理机构受理并负责答复。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（2）供应商认为采购过程使自己的权益受到损害的，应当在各采购程序环节结束之日起 7 个工作日内提出质疑。对采购过程中资格审查、符合性审查等具体评审情况的质疑应向采购人或代理机构提出，由采购人或代理机构受理并负责答复；对采购过程中采购执行程序的质疑由采购代理机构受理并负责答复。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（3）供应商认为中标或者成交结果使自己的权益受到损害的，应当在中标或者成交结果公告期限届满之日起 7 个工作日内提出质疑，由采购人受理并负责答复。</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34.2.2 供应商质疑实行实名制，其质疑应当有具体的质疑事项及事实根据，质疑应当坚持依法依规、诚实信用原则，不得进行虚假、恶意质疑。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34.2.3 质疑供应商可以委托代理人办理质疑事务。委托代理人应熟悉相关业务情况。代理人办理质疑事务时，除提交质疑书外，还应当提交质疑供应商的授权委托书和委托代理人身份证明复印件。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34.2.4 质疑供应商提起质疑应当符合下列条件：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（1）质疑供应商是参与所质疑项目采购活动的供应商（潜在供应商已依法获取可之一的采购文件的，可以对该采购文件质疑）；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（2）质疑函内容符合本章第 38.2.5 项的规定；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（3）在质疑有效期限内提起质疑；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（4）属于所质疑的采购人或采购人委托的采购代理机构组织的采购活动；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（5）同一质疑事项未经采购人或采购人委托的采购代理机构质疑处理；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（6）供应商对同一采购程序环节的质疑应当在质疑有效期内一次性提出；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（7）供应商提交质疑应当提交必要的证明材料，证明材料应以合法手段取得；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（8）财政部门规定的其他条件。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34.2.5 供应商提出质疑应当提交质疑函和必要的证明材料，针对同一采购程序环节的质疑必须在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法定质疑期内一次性提出。质疑函应当包括下列内容（质疑函格式后附）：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（1）供应商的姓名或者名称、地址、邮编、联系人及联系电话；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（2）质疑项目的名称、编号；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（3）具体、明确的质疑事项和与质疑事项相关的请求；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（4）事实依据（列明权益受到损害的事实和理由）；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（5）必要的法律依据；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（6）提出质疑的日期。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供应商为自然人的，应当由本人签字；供应商为法人或者其他组织的，应当由法定代表人、主要负责人，或者其委托代理人签字或者盖章，并加盖公章。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34.2.6 采购人或采购人委托的采购代理机构在收到质疑函后 7 个工作日内作出答复，并以书面形式通知质疑供应商及其他有关供应商。对不符合质疑条件的质疑，答复不予受理，并说明理由；对符合质疑条件的质疑，对质疑事项作出答复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34.2.7 采购人、采购代理机构认为供应商质疑不成立，或者成立但未对中标结果构成影响的，继续开展采购活动；认为供应商质疑成立且影响或者可能影响中标结果的，按照下列情况处理：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（一）对招标文件提出的质疑，依法通过澄清或者修改可以继续开展采购活动的，澄清或者修改招标文件后继续开展采购活动；否则应当修改招标文件后重新开展采购活动。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二）对采购过程、中标结果提出的质疑，合格供应商符合法定数量时，可以从合格的中标候选人中另行确定中标供应商的，应当依法另行确定中标供应商；否则应当重新开展采购活动。质疑答复导致中标结果改变的，采购人或者采购代理机构应当将有关情况书面报告本级财政部门。</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 投诉</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34.3.1 供应商认为采购文件、采购过程、中标和成交结果使自己的合法权益受到损害的，应当首先依法向采购人或采购人委托的采购代理机构提出质疑。对采购人、采购代理机构的答复不满意，或者采购人、采购代理机构未在规定期限内做出答复的，供应商可以在答复期满后 15 个工作日内向新疆政府采购监督管理部门提起投诉，投诉方式见《投标人须知前附表》。</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34.3.2 投诉人投诉时，应当提交投诉书，并按照被投诉采购人、采购代理机构和与投诉事项有关的供应商数量提供投诉书的副本。投诉书应当包括下列主要内容（如材料中有外文资料应同时附上对应的中文译本）：</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（1）投诉人和被投诉人的名称、地址、邮编、联系人及联系电话等；</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（2）质疑和质疑答复情况及相关证明材料；</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（3）具体、明确的投诉事项和与投诉事项相关的投诉请求；</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（4）事实依据；</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（5）法律依据；</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（6）提起投诉的日期。</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（7）附件材料：营业执照副本内页复印件（要求证件有效并清晰反映企业法人经营范围；近期连续 三个月依法缴纳税收和在职职工社会保障资金证明材料（复印件）。</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34.3.3 投诉人可以委托代理人办理投诉事务。委托代理人应熟悉相关业务情况。代理人办理投诉事务时，除提交投诉书外，还应当提交投诉人的授权委托书和委托代理人身份证明复印件。</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34.3.4 投诉人提起投诉应当符合下列条件：</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（1）投诉人是参与所投诉政府采购活动的供应商；</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（2）提起投诉前已依法进行质疑；</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（3）投诉书内容符合本章的规定；</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（4）在投诉有效期限内提起投诉；</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（5）属于新疆政府采购监督管理部门管辖；</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（6）同一投诉事项未经新疆政府采购监督管理部门投诉处理；</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（7）国务院财政部门规定的其他条件。</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34.3.5 新疆政府采购监督管理部门自受理投诉之日起 30 个工作日内，对投诉事项作出处理决定，并以书面形式通知投诉人、被投诉人及其他与投诉处理结果有利害关系的政府采购当事人。并将投诉结果在“新疆政府采购网”发布。</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34.3.6 新疆政府采购监督管理部门在处理投诉事项期间，可以视具体情况暂停采购活动。</w:t>
      </w:r>
    </w:p>
    <w:p>
      <w:pPr>
        <w:pStyle w:val="7"/>
        <w:spacing w:before="2"/>
        <w:ind w:right="113"/>
        <w:rPr>
          <w:rFonts w:ascii="宋体" w:hAnsi="宋体" w:eastAsia="宋体" w:cs="宋体"/>
          <w:color w:val="auto"/>
          <w:sz w:val="24"/>
          <w:szCs w:val="24"/>
          <w:highlight w:val="none"/>
        </w:rPr>
      </w:pPr>
      <w:bookmarkStart w:id="52" w:name="_Toc10970"/>
      <w:bookmarkStart w:id="53" w:name="_Toc16003"/>
      <w:r>
        <w:rPr>
          <w:rFonts w:hint="eastAsia" w:ascii="宋体" w:hAnsi="宋体" w:eastAsia="宋体" w:cs="宋体"/>
          <w:color w:val="auto"/>
          <w:sz w:val="24"/>
          <w:szCs w:val="24"/>
          <w:highlight w:val="none"/>
          <w:lang w:val="en-US"/>
        </w:rPr>
        <w:t>七、验收</w:t>
      </w:r>
      <w:bookmarkEnd w:id="52"/>
      <w:bookmarkEnd w:id="53"/>
      <w:r>
        <w:rPr>
          <w:rFonts w:hint="eastAsia" w:ascii="宋体" w:hAnsi="宋体" w:eastAsia="宋体" w:cs="宋体"/>
          <w:color w:val="auto"/>
          <w:sz w:val="24"/>
          <w:szCs w:val="24"/>
          <w:highlight w:val="none"/>
          <w:lang w:val="en-US"/>
        </w:rPr>
        <w:t xml:space="preserve">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35.验收 </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 xml:space="preserve">35.1 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 </w:t>
      </w:r>
    </w:p>
    <w:p>
      <w:pPr>
        <w:pStyle w:val="32"/>
        <w:tabs>
          <w:tab w:val="left" w:pos="908"/>
        </w:tabs>
        <w:spacing w:before="0" w:line="360" w:lineRule="auto"/>
        <w:ind w:left="0" w:firstLine="420" w:firstLineChars="200"/>
        <w:rPr>
          <w:color w:val="auto"/>
          <w:sz w:val="21"/>
          <w:szCs w:val="21"/>
          <w:highlight w:val="none"/>
          <w:lang w:val="en-US"/>
        </w:rPr>
      </w:pPr>
      <w:r>
        <w:rPr>
          <w:color w:val="auto"/>
          <w:sz w:val="21"/>
          <w:szCs w:val="21"/>
          <w:highlight w:val="none"/>
          <w:lang w:val="en-US"/>
        </w:rPr>
        <w:t>3</w:t>
      </w:r>
      <w:r>
        <w:rPr>
          <w:rFonts w:hint="eastAsia"/>
          <w:color w:val="auto"/>
          <w:sz w:val="21"/>
          <w:szCs w:val="21"/>
          <w:highlight w:val="none"/>
          <w:lang w:val="en-US"/>
        </w:rPr>
        <w:t>5</w:t>
      </w:r>
      <w:r>
        <w:rPr>
          <w:color w:val="auto"/>
          <w:sz w:val="21"/>
          <w:szCs w:val="21"/>
          <w:highlight w:val="none"/>
          <w:lang w:val="en-US"/>
        </w:rPr>
        <w:t xml:space="preserve">.2 </w:t>
      </w:r>
      <w:r>
        <w:rPr>
          <w:rFonts w:hint="eastAsia"/>
          <w:color w:val="auto"/>
          <w:sz w:val="21"/>
          <w:szCs w:val="21"/>
          <w:highlight w:val="none"/>
          <w:lang w:val="en-US"/>
        </w:rPr>
        <w:t xml:space="preserve">采购人可以邀请参加本项目的其他投标人或者第三方机构参与验收。参与验收的投标人或者第三方机构的意见作为验收书的参考资料一并存档。 </w:t>
      </w:r>
    </w:p>
    <w:p>
      <w:pPr>
        <w:pStyle w:val="32"/>
        <w:tabs>
          <w:tab w:val="left" w:pos="908"/>
        </w:tabs>
        <w:spacing w:before="0" w:line="360" w:lineRule="auto"/>
        <w:ind w:left="0" w:firstLine="420" w:firstLineChars="200"/>
        <w:rPr>
          <w:color w:val="auto"/>
          <w:sz w:val="21"/>
          <w:szCs w:val="21"/>
          <w:highlight w:val="none"/>
          <w:lang w:val="en-US"/>
        </w:rPr>
      </w:pPr>
      <w:r>
        <w:rPr>
          <w:color w:val="auto"/>
          <w:sz w:val="21"/>
          <w:szCs w:val="21"/>
          <w:highlight w:val="none"/>
          <w:lang w:val="en-US"/>
        </w:rPr>
        <w:t>3</w:t>
      </w:r>
      <w:r>
        <w:rPr>
          <w:rFonts w:hint="eastAsia"/>
          <w:color w:val="auto"/>
          <w:sz w:val="21"/>
          <w:szCs w:val="21"/>
          <w:highlight w:val="none"/>
          <w:lang w:val="en-US"/>
        </w:rPr>
        <w:t>5</w:t>
      </w:r>
      <w:r>
        <w:rPr>
          <w:color w:val="auto"/>
          <w:sz w:val="21"/>
          <w:szCs w:val="21"/>
          <w:highlight w:val="none"/>
          <w:lang w:val="en-US"/>
        </w:rPr>
        <w:t xml:space="preserve">.3 </w:t>
      </w:r>
      <w:r>
        <w:rPr>
          <w:rFonts w:hint="eastAsia"/>
          <w:color w:val="auto"/>
          <w:sz w:val="21"/>
          <w:szCs w:val="21"/>
          <w:highlight w:val="none"/>
          <w:lang w:val="en-US"/>
        </w:rPr>
        <w:t xml:space="preserve">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 </w:t>
      </w:r>
    </w:p>
    <w:p>
      <w:pPr>
        <w:pStyle w:val="32"/>
        <w:tabs>
          <w:tab w:val="left" w:pos="908"/>
        </w:tabs>
        <w:spacing w:before="0" w:line="360" w:lineRule="auto"/>
        <w:ind w:left="0" w:firstLine="420" w:firstLineChars="200"/>
        <w:rPr>
          <w:color w:val="auto"/>
          <w:sz w:val="21"/>
          <w:szCs w:val="21"/>
          <w:highlight w:val="none"/>
          <w:lang w:val="en-US"/>
        </w:rPr>
      </w:pPr>
      <w:r>
        <w:rPr>
          <w:color w:val="auto"/>
          <w:sz w:val="21"/>
          <w:szCs w:val="21"/>
          <w:highlight w:val="none"/>
          <w:lang w:val="en-US"/>
        </w:rPr>
        <w:t>3</w:t>
      </w:r>
      <w:r>
        <w:rPr>
          <w:rFonts w:hint="eastAsia"/>
          <w:color w:val="auto"/>
          <w:sz w:val="21"/>
          <w:szCs w:val="21"/>
          <w:highlight w:val="none"/>
          <w:lang w:val="en-US"/>
        </w:rPr>
        <w:t>5</w:t>
      </w:r>
      <w:r>
        <w:rPr>
          <w:color w:val="auto"/>
          <w:sz w:val="21"/>
          <w:szCs w:val="21"/>
          <w:highlight w:val="none"/>
          <w:lang w:val="en-US"/>
        </w:rPr>
        <w:t xml:space="preserve">.4 </w:t>
      </w:r>
      <w:r>
        <w:rPr>
          <w:rFonts w:hint="eastAsia"/>
          <w:color w:val="auto"/>
          <w:sz w:val="21"/>
          <w:szCs w:val="21"/>
          <w:highlight w:val="none"/>
          <w:lang w:val="en-US"/>
        </w:rPr>
        <w:t xml:space="preserve">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 </w:t>
      </w:r>
    </w:p>
    <w:p>
      <w:pPr>
        <w:pStyle w:val="7"/>
        <w:spacing w:before="2"/>
        <w:ind w:right="113"/>
        <w:rPr>
          <w:rFonts w:ascii="宋体" w:hAnsi="宋体" w:eastAsia="宋体" w:cs="宋体"/>
          <w:color w:val="auto"/>
          <w:sz w:val="24"/>
          <w:szCs w:val="24"/>
          <w:highlight w:val="none"/>
        </w:rPr>
      </w:pPr>
      <w:bookmarkStart w:id="54" w:name="_Toc25719"/>
      <w:bookmarkStart w:id="55" w:name="_Toc20902"/>
      <w:r>
        <w:rPr>
          <w:rFonts w:hint="eastAsia" w:ascii="宋体" w:hAnsi="宋体" w:eastAsia="宋体" w:cs="宋体"/>
          <w:color w:val="auto"/>
          <w:sz w:val="24"/>
          <w:szCs w:val="24"/>
          <w:highlight w:val="none"/>
          <w:lang w:val="en-US"/>
        </w:rPr>
        <w:t>八</w:t>
      </w:r>
      <w:r>
        <w:rPr>
          <w:rFonts w:hint="eastAsia" w:ascii="宋体" w:hAnsi="宋体" w:eastAsia="宋体" w:cs="宋体"/>
          <w:color w:val="auto"/>
          <w:sz w:val="24"/>
          <w:szCs w:val="24"/>
          <w:highlight w:val="none"/>
        </w:rPr>
        <w:t>、其他</w:t>
      </w:r>
      <w:bookmarkEnd w:id="54"/>
      <w:bookmarkEnd w:id="55"/>
    </w:p>
    <w:p>
      <w:pPr>
        <w:pStyle w:val="32"/>
        <w:tabs>
          <w:tab w:val="left" w:pos="908"/>
        </w:tabs>
        <w:spacing w:before="0" w:line="360" w:lineRule="auto"/>
        <w:ind w:left="0" w:firstLine="420" w:firstLineChars="200"/>
        <w:rPr>
          <w:color w:val="auto"/>
          <w:sz w:val="21"/>
          <w:szCs w:val="21"/>
          <w:highlight w:val="none"/>
          <w:lang w:val="en-US"/>
        </w:rPr>
      </w:pPr>
      <w:bookmarkStart w:id="56" w:name="_bookmark63"/>
      <w:bookmarkEnd w:id="56"/>
      <w:r>
        <w:rPr>
          <w:rFonts w:hint="eastAsia"/>
          <w:color w:val="auto"/>
          <w:sz w:val="21"/>
          <w:szCs w:val="21"/>
          <w:highlight w:val="none"/>
          <w:lang w:val="en-US"/>
        </w:rPr>
        <w:t>36 投标人的商业秘密</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36.1 投标人应在投标文件中将属于其商业秘密的内容进行明确标注，采购人、采购代理机构及其有关人员和评标委员会将对投标人的商业秘密进行保密。</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36.2 投标标的名称、规格型号、单价及合同金额等内容不得作为商业秘密。</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 保密条款</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37.1 除了投标人为投标所雇人员外，在未经采购人书面同意的情况下，投标人不得将本项目、与项目中相关的任何内容、资料（包括纸质和电子介质资料，下同）透露给任何人。否则，投标人必须承担因此给采购人造成的一切经济损失，采购人保留追究其法律责任的权利。投标人须在对外保密的前提下，对其从事本项目投标的雇佣人员提供有关情况，所提供的情况仅限于执行投标必不可少的范围内。</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37.2 除非执行合同需要，在事先未得到采购人书面同意的情况下，投标人不得使用本招标书中所提供的任何文件和资料。</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37.3 采购人对投标人提交的文件将给予保密，但无论中标与否，投标人的投标文件不予退还。</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 履约保证金</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38.1 第一成交候选人在收到成交公示结束后7个工作日内（签订合同前）向采购人缴纳采购人规定的履约保证金。否则视为自动放弃成交资格，由第二候选人成交，以此类推。</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38.2 履约保证金形式：转账或银行保函</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成交单位未按本文件规定缴纳履约保证金的，其保证金将不予退还。</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38.3 履约保证金缴纳账户信息：根据签订合同账户汇款。</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rPr>
        <w:t>38.4 履约保证金的退还：合同履约完成，质保期（一年）结束，无息退还履约保证金。成交单位未按照合同、法律法规、招标文件等相关规定履行责任，采购人有权扣除履约保证金，并解除合同，由此造成的一切损失，由成交单位自行承担。</w:t>
      </w: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39 采购代理服务费</w:t>
      </w:r>
    </w:p>
    <w:p>
      <w:pPr>
        <w:tabs>
          <w:tab w:val="left" w:pos="908"/>
        </w:tabs>
        <w:spacing w:line="360" w:lineRule="auto"/>
        <w:ind w:firstLine="420" w:firstLineChars="200"/>
        <w:rPr>
          <w:color w:val="auto"/>
          <w:sz w:val="21"/>
          <w:szCs w:val="21"/>
          <w:highlight w:val="none"/>
          <w:lang w:val="en-US"/>
        </w:rPr>
      </w:pPr>
      <w:bookmarkStart w:id="57" w:name="_bookmark61"/>
      <w:bookmarkEnd w:id="57"/>
      <w:r>
        <w:rPr>
          <w:rFonts w:hint="eastAsia"/>
          <w:color w:val="auto"/>
          <w:sz w:val="21"/>
          <w:szCs w:val="21"/>
          <w:highlight w:val="none"/>
          <w:lang w:val="en-US"/>
        </w:rPr>
        <w:t>代理服务收费标准及缴费账户详见《投标人须知前附表》，投标人为联合体的，可以由联合体中的一方或者多方共同交纳代理服务费。</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 xml:space="preserve"> 其他规定</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.1 采购人、采购代理机构应当建立真实完整的招标采购档案，妥善保存每项采购活动的采购文件。</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.2 本招标文件是根据《中华人民共和国政府采购法》、《中华人民共和国政府采购法实施条例》和《政府采购货物和服务招标投标管理办法》（财政部令第87号）的规定编制，解释权属采购人与采购代理机构。</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.3 本招标文件解释规则详见《投标人须知前附表》。</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.4 其他事项详见《投标人须知前附表》。</w:t>
      </w:r>
    </w:p>
    <w:p>
      <w:pPr>
        <w:pStyle w:val="32"/>
        <w:tabs>
          <w:tab w:val="left" w:pos="908"/>
        </w:tabs>
        <w:spacing w:before="0" w:line="360" w:lineRule="auto"/>
        <w:ind w:left="0" w:firstLine="420" w:firstLineChars="200"/>
        <w:rPr>
          <w:color w:val="auto"/>
          <w:sz w:val="21"/>
          <w:szCs w:val="21"/>
          <w:highlight w:val="none"/>
          <w:lang w:val="en-US"/>
        </w:rPr>
      </w:pPr>
      <w:r>
        <w:rPr>
          <w:rFonts w:hint="eastAsia"/>
          <w:color w:val="auto"/>
          <w:sz w:val="21"/>
          <w:szCs w:val="21"/>
          <w:highlight w:val="none"/>
          <w:lang w:val="en-US" w:eastAsia="zh-CN"/>
        </w:rPr>
        <w:t>40</w:t>
      </w:r>
      <w:r>
        <w:rPr>
          <w:rFonts w:hint="eastAsia"/>
          <w:color w:val="auto"/>
          <w:sz w:val="21"/>
          <w:szCs w:val="21"/>
          <w:highlight w:val="none"/>
          <w:lang w:val="en-US"/>
        </w:rPr>
        <w:t>.5 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以联合体形式参加政府采购活动，联合体各方均为中小企业的，联合体视同中小企业。其中，联合体各方均为小微企业的，联合体视同小微企业。 依据本文件规定享受扶持政策获得政府采购合同的，小微企业不得将合同分包给大中型企业，中型企业不得将合同分包给大型企业。</w:t>
      </w:r>
    </w:p>
    <w:p>
      <w:pPr>
        <w:pStyle w:val="32"/>
        <w:tabs>
          <w:tab w:val="left" w:pos="908"/>
        </w:tabs>
        <w:spacing w:before="0" w:line="360" w:lineRule="auto"/>
        <w:ind w:left="0" w:firstLine="420" w:firstLineChars="200"/>
        <w:rPr>
          <w:color w:val="auto"/>
          <w:sz w:val="21"/>
          <w:szCs w:val="21"/>
          <w:highlight w:val="none"/>
          <w:lang w:val="en-US"/>
        </w:rPr>
      </w:pPr>
    </w:p>
    <w:p>
      <w:pPr>
        <w:rPr>
          <w:color w:val="auto"/>
          <w:sz w:val="20"/>
          <w:szCs w:val="20"/>
          <w:highlight w:val="none"/>
        </w:rPr>
      </w:pPr>
      <w:bookmarkStart w:id="58" w:name="_bookmark65"/>
      <w:bookmarkEnd w:id="58"/>
      <w:r>
        <w:rPr>
          <w:rFonts w:hint="eastAsia"/>
          <w:color w:val="auto"/>
          <w:sz w:val="20"/>
          <w:szCs w:val="20"/>
          <w:highlight w:val="none"/>
        </w:rPr>
        <w:br w:type="page"/>
      </w:r>
    </w:p>
    <w:p>
      <w:pPr>
        <w:pStyle w:val="5"/>
        <w:tabs>
          <w:tab w:val="left" w:pos="1163"/>
        </w:tabs>
        <w:spacing w:line="240" w:lineRule="auto"/>
        <w:outlineLvl w:val="0"/>
        <w:rPr>
          <w:rFonts w:ascii="宋体" w:hAnsi="宋体" w:eastAsia="宋体" w:cs="宋体"/>
          <w:b/>
          <w:bCs/>
          <w:color w:val="auto"/>
          <w:sz w:val="32"/>
          <w:szCs w:val="32"/>
          <w:highlight w:val="none"/>
          <w:lang w:val="en-US"/>
        </w:rPr>
      </w:pPr>
      <w:bookmarkStart w:id="59" w:name="_Toc15591"/>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rPr>
        <w:t>三</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rPr>
        <w:t xml:space="preserve"> 采购需求</w:t>
      </w:r>
      <w:bookmarkEnd w:id="59"/>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说明：1、投标人须对以本项目为单位的供货进行响应，任何只对其中一部分内容进行的响应都被视为无效响应。</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2、注有“★”号的条款为重要技术条款，出现负偏离为无效响应。</w:t>
      </w:r>
    </w:p>
    <w:tbl>
      <w:tblPr>
        <w:tblStyle w:val="28"/>
        <w:tblW w:w="93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8"/>
        <w:gridCol w:w="2814"/>
        <w:gridCol w:w="1394"/>
        <w:gridCol w:w="2010"/>
        <w:gridCol w:w="19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208" w:type="dxa"/>
            <w:vAlign w:val="center"/>
          </w:tcPr>
          <w:p>
            <w:pPr>
              <w:widowControl/>
              <w:jc w:val="center"/>
              <w:textAlignment w:val="baseline"/>
              <w:rPr>
                <w:color w:val="auto"/>
                <w:kern w:val="2"/>
                <w:sz w:val="21"/>
                <w:szCs w:val="21"/>
                <w:highlight w:val="none"/>
                <w:lang w:val="en-US" w:bidi="ar-SA"/>
              </w:rPr>
            </w:pPr>
            <w:r>
              <w:rPr>
                <w:rFonts w:hint="eastAsia"/>
                <w:color w:val="auto"/>
                <w:sz w:val="21"/>
                <w:szCs w:val="21"/>
                <w:highlight w:val="none"/>
                <w:lang w:val="en-US"/>
              </w:rPr>
              <w:t>标项号</w:t>
            </w:r>
          </w:p>
        </w:tc>
        <w:tc>
          <w:tcPr>
            <w:tcW w:w="2814" w:type="dxa"/>
            <w:vAlign w:val="center"/>
          </w:tcPr>
          <w:p>
            <w:pPr>
              <w:widowControl/>
              <w:jc w:val="center"/>
              <w:textAlignment w:val="baseline"/>
              <w:rPr>
                <w:color w:val="auto"/>
                <w:kern w:val="2"/>
                <w:sz w:val="21"/>
                <w:szCs w:val="21"/>
                <w:highlight w:val="none"/>
                <w:lang w:val="en-US" w:bidi="ar-SA"/>
              </w:rPr>
            </w:pPr>
            <w:r>
              <w:rPr>
                <w:rFonts w:hint="eastAsia"/>
                <w:color w:val="auto"/>
                <w:sz w:val="21"/>
                <w:szCs w:val="21"/>
                <w:highlight w:val="none"/>
                <w:lang w:val="en-US"/>
              </w:rPr>
              <w:t>标项</w:t>
            </w:r>
            <w:r>
              <w:rPr>
                <w:rFonts w:hint="eastAsia"/>
                <w:color w:val="auto"/>
                <w:sz w:val="21"/>
                <w:szCs w:val="21"/>
                <w:highlight w:val="none"/>
              </w:rPr>
              <w:t>名称</w:t>
            </w:r>
          </w:p>
        </w:tc>
        <w:tc>
          <w:tcPr>
            <w:tcW w:w="1394"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数量</w:t>
            </w:r>
          </w:p>
        </w:tc>
        <w:tc>
          <w:tcPr>
            <w:tcW w:w="2010"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最高限价</w:t>
            </w:r>
          </w:p>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（人民币元）</w:t>
            </w:r>
          </w:p>
        </w:tc>
        <w:tc>
          <w:tcPr>
            <w:tcW w:w="196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供货期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20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2814"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rPr>
              <w:t>第三批能力提升检测设备采购项目</w:t>
            </w:r>
            <w:r>
              <w:rPr>
                <w:rFonts w:hint="eastAsia"/>
                <w:color w:val="auto"/>
                <w:sz w:val="21"/>
                <w:szCs w:val="21"/>
                <w:highlight w:val="none"/>
                <w:lang w:val="en-US"/>
              </w:rPr>
              <w:t>-标项1</w:t>
            </w:r>
          </w:p>
        </w:tc>
        <w:tc>
          <w:tcPr>
            <w:tcW w:w="1394"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rPr>
              <w:t>1批</w:t>
            </w:r>
          </w:p>
        </w:tc>
        <w:tc>
          <w:tcPr>
            <w:tcW w:w="2010"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rPr>
              <w:t>5530</w:t>
            </w:r>
            <w:r>
              <w:rPr>
                <w:rFonts w:hint="eastAsia"/>
                <w:color w:val="auto"/>
                <w:sz w:val="21"/>
                <w:szCs w:val="21"/>
                <w:highlight w:val="none"/>
                <w:lang w:val="en-US"/>
              </w:rPr>
              <w:t>00</w:t>
            </w:r>
          </w:p>
        </w:tc>
        <w:tc>
          <w:tcPr>
            <w:tcW w:w="1962"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合同签订后30个日历日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20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w:t>
            </w:r>
          </w:p>
        </w:tc>
        <w:tc>
          <w:tcPr>
            <w:tcW w:w="2814"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第三批能力提升检测设备采购项目</w:t>
            </w:r>
            <w:r>
              <w:rPr>
                <w:rFonts w:hint="eastAsia"/>
                <w:color w:val="auto"/>
                <w:sz w:val="21"/>
                <w:szCs w:val="21"/>
                <w:highlight w:val="none"/>
                <w:lang w:val="en-US"/>
              </w:rPr>
              <w:t>-标项2</w:t>
            </w:r>
          </w:p>
        </w:tc>
        <w:tc>
          <w:tcPr>
            <w:tcW w:w="1394"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rPr>
              <w:t>1批</w:t>
            </w:r>
          </w:p>
        </w:tc>
        <w:tc>
          <w:tcPr>
            <w:tcW w:w="2010"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rPr>
              <w:t>669000</w:t>
            </w:r>
          </w:p>
        </w:tc>
        <w:tc>
          <w:tcPr>
            <w:tcW w:w="1962"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合同签订后30个日历日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jc w:val="center"/>
        </w:trPr>
        <w:tc>
          <w:tcPr>
            <w:tcW w:w="120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w:t>
            </w:r>
          </w:p>
        </w:tc>
        <w:tc>
          <w:tcPr>
            <w:tcW w:w="2814"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rPr>
              <w:t>第三批能力提升检测设备采购项目</w:t>
            </w:r>
            <w:r>
              <w:rPr>
                <w:rFonts w:hint="eastAsia"/>
                <w:color w:val="auto"/>
                <w:sz w:val="21"/>
                <w:szCs w:val="21"/>
                <w:highlight w:val="none"/>
                <w:lang w:val="en-US"/>
              </w:rPr>
              <w:t>-标项3</w:t>
            </w:r>
          </w:p>
        </w:tc>
        <w:tc>
          <w:tcPr>
            <w:tcW w:w="1394" w:type="dxa"/>
            <w:vAlign w:val="center"/>
          </w:tcPr>
          <w:p>
            <w:pPr>
              <w:wordWrap w:val="0"/>
              <w:autoSpaceDE/>
              <w:autoSpaceDN/>
              <w:jc w:val="center"/>
              <w:rPr>
                <w:color w:val="auto"/>
                <w:sz w:val="21"/>
                <w:szCs w:val="21"/>
                <w:highlight w:val="none"/>
                <w:lang w:val="en-US"/>
              </w:rPr>
            </w:pPr>
            <w:r>
              <w:rPr>
                <w:rFonts w:hint="eastAsia"/>
                <w:color w:val="auto"/>
                <w:sz w:val="21"/>
                <w:szCs w:val="21"/>
                <w:highlight w:val="none"/>
                <w:lang w:val="en-US"/>
              </w:rPr>
              <w:t>1批</w:t>
            </w:r>
          </w:p>
        </w:tc>
        <w:tc>
          <w:tcPr>
            <w:tcW w:w="2010" w:type="dxa"/>
            <w:vAlign w:val="center"/>
          </w:tcPr>
          <w:p>
            <w:pPr>
              <w:wordWrap w:val="0"/>
              <w:autoSpaceDE/>
              <w:autoSpaceDN/>
              <w:jc w:val="center"/>
              <w:rPr>
                <w:color w:val="auto"/>
                <w:sz w:val="21"/>
                <w:szCs w:val="21"/>
                <w:highlight w:val="none"/>
              </w:rPr>
            </w:pPr>
            <w:r>
              <w:rPr>
                <w:rFonts w:hint="eastAsia"/>
                <w:color w:val="auto"/>
                <w:sz w:val="21"/>
                <w:szCs w:val="21"/>
                <w:highlight w:val="none"/>
                <w:lang w:val="en-US"/>
              </w:rPr>
              <w:t>485000</w:t>
            </w:r>
          </w:p>
        </w:tc>
        <w:tc>
          <w:tcPr>
            <w:tcW w:w="1962"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合同签订后30个日历日</w:t>
            </w:r>
          </w:p>
        </w:tc>
      </w:tr>
    </w:tbl>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注：1、投标人必须对本项目的全部内容进行投标报价，如有缺漏，将导致投标无效。</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2、开标时投标报价超过预算金额为投标无效。</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3、本项目为政府采购项目。</w:t>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一、采购标的需实现的功能或者目标，以及为落实政府采购政策需满足的要求：</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（一）采购标的需实现的功能或者目标</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本次招标采购是为</w:t>
      </w:r>
      <w:r>
        <w:rPr>
          <w:rFonts w:hint="eastAsia"/>
          <w:color w:val="auto"/>
          <w:sz w:val="21"/>
          <w:szCs w:val="21"/>
          <w:highlight w:val="none"/>
          <w:lang w:val="en-US"/>
        </w:rPr>
        <w:t>自治区质检院第三批检测设备能力提升采购项目（国产部分）</w:t>
      </w:r>
      <w:r>
        <w:rPr>
          <w:rFonts w:hint="eastAsia"/>
          <w:color w:val="auto"/>
          <w:kern w:val="2"/>
          <w:sz w:val="21"/>
          <w:szCs w:val="21"/>
          <w:highlight w:val="none"/>
          <w:lang w:val="en-US" w:bidi="ar-SA"/>
        </w:rPr>
        <w:t>，投标人应根据招标文件所提出的产品规格和服务要求，综合考虑商品的适用性，及性能价格比前来投标。投标人应以优良的商品、优良的服务和优惠的价格，充分显示自己的竞争实力。</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（二）为落实政府采购政策需满足的要求（专门面向中小企业采购或预留份额的情况不享受政策优惠扣除）</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1.促进中小企业发展政策：根据《政府采购促进中小企业发展管理办法》的通知（财库〔2020〕46号）规定，供应商应出具《中小企业声明函》，否则评标时不予认可。供应商应对提交的中小企业声明函的真实性负责，提交的中小企业声明函不真实的，应承担相应的法律责任。</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3.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4.鼓励节能政策：供应商所投产品如属于财政部、国家发展改革委发布的最新一期的《节能产品政府采购清单》中的产品，供应商需提供证明材料。《节能产品政府采购清单》可以在中国政府采购网（http：//www.ccgp.gov.cn/）上查阅下载。</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5.鼓励环保政策：供应商所投产品如属于财政部、环境保护部发布的最新一期的《环境标志产品政府采购清单》中的产品，供应商需提供证明材料。《环境标志产品政府采购清单》可以在中国政府采购网（http：//www.ccgp.gov.cn/）上查阅下载。</w:t>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二、采购标的需执行的国家相关标准、行业标准、地方标准或者其他标准、规范：</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投标产品及制造商应符合国家有关部门规定的相应技术法规及标准，如国家有关部门对投标产品或其制造商有强制性规定或要求的，投标产品或其制造商必须符合相应规定或要求，投标人须提供相关证明文件的复印件并加盖单位公章。</w:t>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三、采购标的的数量、采购项目交付或者实施的时间和地点：</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（一）采购标的内容（标注★品目为</w:t>
      </w:r>
      <w:r>
        <w:rPr>
          <w:rFonts w:hint="eastAsia"/>
          <w:b/>
          <w:bCs/>
          <w:color w:val="auto"/>
          <w:sz w:val="21"/>
          <w:szCs w:val="21"/>
          <w:highlight w:val="none"/>
          <w:lang w:val="en-US" w:bidi="ar"/>
        </w:rPr>
        <w:t>核心产品</w:t>
      </w:r>
      <w:r>
        <w:rPr>
          <w:rFonts w:hint="eastAsia"/>
          <w:b/>
          <w:bCs/>
          <w:color w:val="auto"/>
          <w:kern w:val="2"/>
          <w:sz w:val="21"/>
          <w:szCs w:val="21"/>
          <w:highlight w:val="none"/>
          <w:lang w:val="en-US" w:bidi="ar-SA"/>
        </w:rPr>
        <w:t>）</w:t>
      </w:r>
    </w:p>
    <w:tbl>
      <w:tblPr>
        <w:tblStyle w:val="28"/>
        <w:tblW w:w="1052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2234"/>
        <w:gridCol w:w="3286"/>
        <w:gridCol w:w="1078"/>
        <w:gridCol w:w="1402"/>
        <w:gridCol w:w="152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9" w:hRule="exact"/>
          <w:jc w:val="center"/>
        </w:trPr>
        <w:tc>
          <w:tcPr>
            <w:tcW w:w="995" w:type="dxa"/>
            <w:vAlign w:val="center"/>
          </w:tcPr>
          <w:p>
            <w:pPr>
              <w:widowControl/>
              <w:jc w:val="center"/>
              <w:textAlignment w:val="baseline"/>
              <w:rPr>
                <w:color w:val="auto"/>
                <w:kern w:val="2"/>
                <w:sz w:val="21"/>
                <w:szCs w:val="21"/>
                <w:highlight w:val="none"/>
                <w:lang w:val="en-US" w:bidi="ar-SA"/>
              </w:rPr>
            </w:pPr>
            <w:r>
              <w:rPr>
                <w:rFonts w:hint="eastAsia"/>
                <w:color w:val="auto"/>
                <w:sz w:val="21"/>
                <w:szCs w:val="21"/>
                <w:highlight w:val="none"/>
                <w:lang w:val="en-US"/>
              </w:rPr>
              <w:t>标项号</w:t>
            </w:r>
          </w:p>
        </w:tc>
        <w:tc>
          <w:tcPr>
            <w:tcW w:w="2234" w:type="dxa"/>
            <w:vAlign w:val="center"/>
          </w:tcPr>
          <w:p>
            <w:pPr>
              <w:widowControl/>
              <w:jc w:val="center"/>
              <w:textAlignment w:val="baseline"/>
              <w:rPr>
                <w:color w:val="auto"/>
                <w:kern w:val="2"/>
                <w:sz w:val="21"/>
                <w:szCs w:val="21"/>
                <w:highlight w:val="none"/>
                <w:lang w:val="en-US" w:bidi="ar-SA"/>
              </w:rPr>
            </w:pPr>
            <w:r>
              <w:rPr>
                <w:rFonts w:hint="eastAsia"/>
                <w:color w:val="auto"/>
                <w:sz w:val="21"/>
                <w:szCs w:val="21"/>
                <w:highlight w:val="none"/>
                <w:lang w:val="en-US"/>
              </w:rPr>
              <w:t>标项</w:t>
            </w:r>
            <w:r>
              <w:rPr>
                <w:rFonts w:hint="eastAsia"/>
                <w:color w:val="auto"/>
                <w:sz w:val="21"/>
                <w:szCs w:val="21"/>
                <w:highlight w:val="none"/>
              </w:rPr>
              <w:t>名称</w:t>
            </w: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品目名称</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数量</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*质保期</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*供货期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95" w:type="dxa"/>
            <w:vMerge w:val="restart"/>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2234" w:type="dxa"/>
            <w:vMerge w:val="restart"/>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rPr>
              <w:t>第三批能力提升检测设备采购项目</w:t>
            </w:r>
            <w:r>
              <w:rPr>
                <w:rFonts w:hint="eastAsia"/>
                <w:color w:val="auto"/>
                <w:sz w:val="21"/>
                <w:szCs w:val="21"/>
                <w:highlight w:val="none"/>
                <w:lang w:val="en-US"/>
              </w:rPr>
              <w:t>-标项1</w:t>
            </w:r>
          </w:p>
        </w:tc>
        <w:tc>
          <w:tcPr>
            <w:tcW w:w="3286" w:type="dxa"/>
            <w:vAlign w:val="center"/>
          </w:tcPr>
          <w:p>
            <w:pPr>
              <w:wordWrap w:val="0"/>
              <w:autoSpaceDE/>
              <w:autoSpaceDN/>
              <w:jc w:val="center"/>
              <w:rPr>
                <w:color w:val="auto"/>
                <w:kern w:val="2"/>
                <w:sz w:val="21"/>
                <w:szCs w:val="21"/>
                <w:highlight w:val="none"/>
                <w:lang w:val="en-US" w:bidi="ar-SA"/>
              </w:rPr>
            </w:pPr>
            <w:r>
              <w:rPr>
                <w:color w:val="auto"/>
                <w:kern w:val="2"/>
                <w:sz w:val="21"/>
                <w:szCs w:val="21"/>
                <w:highlight w:val="none"/>
                <w:lang w:val="en-US" w:bidi="ar-SA"/>
              </w:rPr>
              <w:t>300kV</w:t>
            </w:r>
            <w:r>
              <w:rPr>
                <w:rFonts w:hint="eastAsia"/>
                <w:color w:val="auto"/>
                <w:kern w:val="2"/>
                <w:sz w:val="21"/>
                <w:szCs w:val="21"/>
                <w:highlight w:val="none"/>
                <w:lang w:val="en-US" w:bidi="ar-SA"/>
              </w:rPr>
              <w:t>周向</w:t>
            </w:r>
            <w:r>
              <w:rPr>
                <w:color w:val="auto"/>
                <w:kern w:val="2"/>
                <w:sz w:val="21"/>
                <w:szCs w:val="21"/>
                <w:highlight w:val="none"/>
                <w:lang w:val="en-US" w:bidi="ar-SA"/>
              </w:rPr>
              <w:t>X</w:t>
            </w:r>
            <w:r>
              <w:rPr>
                <w:rFonts w:hint="eastAsia"/>
                <w:color w:val="auto"/>
                <w:kern w:val="2"/>
                <w:sz w:val="21"/>
                <w:szCs w:val="21"/>
                <w:highlight w:val="none"/>
                <w:lang w:val="en-US" w:bidi="ar-SA"/>
              </w:rPr>
              <w:t>射线机</w:t>
            </w:r>
          </w:p>
        </w:tc>
        <w:tc>
          <w:tcPr>
            <w:tcW w:w="1078" w:type="dxa"/>
            <w:vAlign w:val="center"/>
          </w:tcPr>
          <w:p>
            <w:pPr>
              <w:wordWrap w:val="0"/>
              <w:autoSpaceDE/>
              <w:autoSpaceDN/>
              <w:jc w:val="center"/>
              <w:rPr>
                <w:color w:val="auto"/>
                <w:kern w:val="2"/>
                <w:sz w:val="21"/>
                <w:szCs w:val="21"/>
                <w:highlight w:val="none"/>
                <w:lang w:val="en-US" w:bidi="ar-SA"/>
              </w:rPr>
            </w:pPr>
            <w:r>
              <w:rPr>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36个月</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color w:val="auto"/>
                <w:kern w:val="2"/>
                <w:sz w:val="21"/>
                <w:szCs w:val="21"/>
                <w:highlight w:val="none"/>
                <w:lang w:val="en-US" w:bidi="ar-SA"/>
              </w:rPr>
              <w:t>300kV</w:t>
            </w:r>
            <w:r>
              <w:rPr>
                <w:rFonts w:hint="eastAsia"/>
                <w:color w:val="auto"/>
                <w:kern w:val="2"/>
                <w:sz w:val="21"/>
                <w:szCs w:val="21"/>
                <w:highlight w:val="none"/>
                <w:lang w:val="en-US" w:bidi="ar-SA"/>
              </w:rPr>
              <w:t>定向</w:t>
            </w:r>
            <w:r>
              <w:rPr>
                <w:color w:val="auto"/>
                <w:kern w:val="2"/>
                <w:sz w:val="21"/>
                <w:szCs w:val="21"/>
                <w:highlight w:val="none"/>
                <w:lang w:val="en-US" w:bidi="ar-SA"/>
              </w:rPr>
              <w:t>X</w:t>
            </w:r>
            <w:r>
              <w:rPr>
                <w:rFonts w:hint="eastAsia"/>
                <w:color w:val="auto"/>
                <w:kern w:val="2"/>
                <w:sz w:val="21"/>
                <w:szCs w:val="21"/>
                <w:highlight w:val="none"/>
                <w:lang w:val="en-US" w:bidi="ar-SA"/>
              </w:rPr>
              <w:t>射线机</w:t>
            </w:r>
          </w:p>
        </w:tc>
        <w:tc>
          <w:tcPr>
            <w:tcW w:w="1078" w:type="dxa"/>
            <w:vAlign w:val="center"/>
          </w:tcPr>
          <w:p>
            <w:pPr>
              <w:wordWrap w:val="0"/>
              <w:autoSpaceDE/>
              <w:autoSpaceDN/>
              <w:jc w:val="center"/>
              <w:rPr>
                <w:color w:val="auto"/>
                <w:kern w:val="2"/>
                <w:sz w:val="21"/>
                <w:szCs w:val="21"/>
                <w:highlight w:val="none"/>
                <w:lang w:val="en-US" w:bidi="ar-SA"/>
              </w:rPr>
            </w:pPr>
            <w:r>
              <w:rPr>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36个月</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color w:val="auto"/>
                <w:kern w:val="2"/>
                <w:sz w:val="21"/>
                <w:szCs w:val="21"/>
                <w:highlight w:val="none"/>
                <w:lang w:val="en-US" w:bidi="ar-SA"/>
              </w:rPr>
              <w:t>250kV</w:t>
            </w:r>
            <w:r>
              <w:rPr>
                <w:rFonts w:hint="eastAsia"/>
                <w:color w:val="auto"/>
                <w:kern w:val="2"/>
                <w:sz w:val="21"/>
                <w:szCs w:val="21"/>
                <w:highlight w:val="none"/>
                <w:lang w:val="en-US" w:bidi="ar-SA"/>
              </w:rPr>
              <w:t>定向</w:t>
            </w:r>
            <w:r>
              <w:rPr>
                <w:color w:val="auto"/>
                <w:kern w:val="2"/>
                <w:sz w:val="21"/>
                <w:szCs w:val="21"/>
                <w:highlight w:val="none"/>
                <w:lang w:val="en-US" w:bidi="ar-SA"/>
              </w:rPr>
              <w:t>X</w:t>
            </w:r>
            <w:r>
              <w:rPr>
                <w:rFonts w:hint="eastAsia"/>
                <w:color w:val="auto"/>
                <w:kern w:val="2"/>
                <w:sz w:val="21"/>
                <w:szCs w:val="21"/>
                <w:highlight w:val="none"/>
                <w:lang w:val="en-US" w:bidi="ar-SA"/>
              </w:rPr>
              <w:t>射线机</w:t>
            </w:r>
          </w:p>
        </w:tc>
        <w:tc>
          <w:tcPr>
            <w:tcW w:w="1078" w:type="dxa"/>
            <w:vAlign w:val="center"/>
          </w:tcPr>
          <w:p>
            <w:pPr>
              <w:wordWrap w:val="0"/>
              <w:autoSpaceDE/>
              <w:autoSpaceDN/>
              <w:jc w:val="center"/>
              <w:rPr>
                <w:color w:val="auto"/>
                <w:kern w:val="2"/>
                <w:sz w:val="21"/>
                <w:szCs w:val="21"/>
                <w:highlight w:val="none"/>
                <w:lang w:val="en-US" w:bidi="ar-SA"/>
              </w:rPr>
            </w:pPr>
            <w:r>
              <w:rPr>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36个月</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color w:val="auto"/>
                <w:kern w:val="2"/>
                <w:sz w:val="21"/>
                <w:szCs w:val="21"/>
                <w:highlight w:val="none"/>
                <w:lang w:val="en-US" w:bidi="ar-SA"/>
              </w:rPr>
              <w:t>250kV</w:t>
            </w:r>
            <w:r>
              <w:rPr>
                <w:rFonts w:hint="eastAsia"/>
                <w:color w:val="auto"/>
                <w:kern w:val="2"/>
                <w:sz w:val="21"/>
                <w:szCs w:val="21"/>
                <w:highlight w:val="none"/>
                <w:lang w:val="en-US" w:bidi="ar-SA"/>
              </w:rPr>
              <w:t>定向</w:t>
            </w:r>
            <w:r>
              <w:rPr>
                <w:color w:val="auto"/>
                <w:kern w:val="2"/>
                <w:sz w:val="21"/>
                <w:szCs w:val="21"/>
                <w:highlight w:val="none"/>
                <w:lang w:val="en-US" w:bidi="ar-SA"/>
              </w:rPr>
              <w:t>X</w:t>
            </w:r>
            <w:r>
              <w:rPr>
                <w:rFonts w:hint="eastAsia"/>
                <w:color w:val="auto"/>
                <w:kern w:val="2"/>
                <w:sz w:val="21"/>
                <w:szCs w:val="21"/>
                <w:highlight w:val="none"/>
                <w:lang w:val="en-US" w:bidi="ar-SA"/>
              </w:rPr>
              <w:t>射线机</w:t>
            </w:r>
          </w:p>
        </w:tc>
        <w:tc>
          <w:tcPr>
            <w:tcW w:w="1078" w:type="dxa"/>
            <w:vAlign w:val="center"/>
          </w:tcPr>
          <w:p>
            <w:pPr>
              <w:wordWrap w:val="0"/>
              <w:autoSpaceDE/>
              <w:autoSpaceDN/>
              <w:jc w:val="center"/>
              <w:rPr>
                <w:color w:val="auto"/>
                <w:kern w:val="2"/>
                <w:sz w:val="21"/>
                <w:szCs w:val="21"/>
                <w:highlight w:val="none"/>
                <w:lang w:val="en-US" w:bidi="ar-SA"/>
              </w:rPr>
            </w:pPr>
            <w:r>
              <w:rPr>
                <w:color w:val="auto"/>
                <w:kern w:val="2"/>
                <w:sz w:val="21"/>
                <w:szCs w:val="21"/>
                <w:highlight w:val="none"/>
                <w:lang w:val="en-US" w:bidi="ar-SA"/>
              </w:rPr>
              <w:t>4</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36个月</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数字式超声波探伤仪</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36个月</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磁粉探伤机</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4</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36个月</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restart"/>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2</w:t>
            </w:r>
          </w:p>
        </w:tc>
        <w:tc>
          <w:tcPr>
            <w:tcW w:w="2234" w:type="dxa"/>
            <w:vMerge w:val="restart"/>
            <w:vAlign w:val="center"/>
          </w:tcPr>
          <w:p>
            <w:pPr>
              <w:wordWrap w:val="0"/>
              <w:autoSpaceDE/>
              <w:autoSpaceDN/>
              <w:jc w:val="center"/>
              <w:rPr>
                <w:color w:val="auto"/>
                <w:sz w:val="21"/>
                <w:szCs w:val="21"/>
                <w:highlight w:val="none"/>
              </w:rPr>
            </w:pPr>
            <w:r>
              <w:rPr>
                <w:rFonts w:hint="eastAsia"/>
                <w:color w:val="auto"/>
                <w:sz w:val="21"/>
                <w:szCs w:val="21"/>
                <w:highlight w:val="none"/>
              </w:rPr>
              <w:t>第三批能力提升检测设备采购项目</w:t>
            </w:r>
            <w:r>
              <w:rPr>
                <w:rFonts w:hint="eastAsia"/>
                <w:color w:val="auto"/>
                <w:sz w:val="21"/>
                <w:szCs w:val="21"/>
                <w:highlight w:val="none"/>
                <w:lang w:val="en-US"/>
              </w:rPr>
              <w:t>-标项2</w:t>
            </w:r>
          </w:p>
        </w:tc>
        <w:tc>
          <w:tcPr>
            <w:tcW w:w="3286" w:type="dxa"/>
            <w:vAlign w:val="center"/>
          </w:tcPr>
          <w:p>
            <w:pPr>
              <w:wordWrap w:val="0"/>
              <w:autoSpaceDE/>
              <w:autoSpaceDN/>
              <w:jc w:val="center"/>
              <w:rPr>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大流量高压力供水系统</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36个月</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室内栓压力损失及减压、稳压试验装置</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36个月</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软管卷盘射程试验装置</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36个月</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消防水枪喷射性能试验装置</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36个月</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成套卡具堵头</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3年</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数显薄膜测厚仪</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≥1年</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精密直径围尺</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≥1年</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数显压力表</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≥1年</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restart"/>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3</w:t>
            </w:r>
          </w:p>
        </w:tc>
        <w:tc>
          <w:tcPr>
            <w:tcW w:w="2234" w:type="dxa"/>
            <w:vMerge w:val="restart"/>
            <w:vAlign w:val="center"/>
          </w:tcPr>
          <w:p>
            <w:pPr>
              <w:wordWrap w:val="0"/>
              <w:autoSpaceDE/>
              <w:autoSpaceDN/>
              <w:jc w:val="center"/>
              <w:rPr>
                <w:color w:val="auto"/>
                <w:sz w:val="21"/>
                <w:szCs w:val="21"/>
                <w:highlight w:val="none"/>
                <w:lang w:val="en-US"/>
              </w:rPr>
            </w:pPr>
            <w:r>
              <w:rPr>
                <w:rFonts w:hint="eastAsia"/>
                <w:color w:val="auto"/>
                <w:sz w:val="21"/>
                <w:szCs w:val="21"/>
                <w:highlight w:val="none"/>
              </w:rPr>
              <w:t>第三批能力提升检测设备采购项目</w:t>
            </w:r>
            <w:r>
              <w:rPr>
                <w:rFonts w:hint="eastAsia"/>
                <w:color w:val="auto"/>
                <w:sz w:val="21"/>
                <w:szCs w:val="21"/>
                <w:highlight w:val="none"/>
                <w:lang w:val="en-US"/>
              </w:rPr>
              <w:t>-标项3</w:t>
            </w: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单根绝缘电线电缆垂直燃烧试验装置</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≥1年</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数显深度计</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≥1年</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恒温水浴锅</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≥1年</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995" w:type="dxa"/>
            <w:vMerge w:val="continue"/>
            <w:vAlign w:val="center"/>
          </w:tcPr>
          <w:p>
            <w:pPr>
              <w:wordWrap w:val="0"/>
              <w:autoSpaceDE/>
              <w:autoSpaceDN/>
              <w:jc w:val="center"/>
              <w:rPr>
                <w:color w:val="auto"/>
                <w:kern w:val="2"/>
                <w:sz w:val="21"/>
                <w:szCs w:val="21"/>
                <w:highlight w:val="none"/>
                <w:lang w:val="en-US" w:bidi="ar-SA"/>
              </w:rPr>
            </w:pPr>
          </w:p>
        </w:tc>
        <w:tc>
          <w:tcPr>
            <w:tcW w:w="2234" w:type="dxa"/>
            <w:vMerge w:val="continue"/>
            <w:vAlign w:val="center"/>
          </w:tcPr>
          <w:p>
            <w:pPr>
              <w:wordWrap w:val="0"/>
              <w:autoSpaceDE/>
              <w:autoSpaceDN/>
              <w:jc w:val="center"/>
              <w:rPr>
                <w:color w:val="auto"/>
                <w:sz w:val="21"/>
                <w:szCs w:val="21"/>
                <w:highlight w:val="none"/>
              </w:rPr>
            </w:pPr>
          </w:p>
        </w:tc>
        <w:tc>
          <w:tcPr>
            <w:tcW w:w="3286" w:type="dxa"/>
            <w:vAlign w:val="center"/>
          </w:tcPr>
          <w:p>
            <w:pPr>
              <w:wordWrap w:val="0"/>
              <w:autoSpaceDE/>
              <w:autoSpaceDN/>
              <w:jc w:val="center"/>
              <w:rPr>
                <w:color w:val="auto"/>
                <w:kern w:val="2"/>
                <w:sz w:val="21"/>
                <w:szCs w:val="21"/>
                <w:highlight w:val="none"/>
                <w:lang w:val="en-US" w:bidi="ar-SA"/>
              </w:rPr>
            </w:pP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恒温恒压供水系统</w:t>
            </w:r>
          </w:p>
        </w:tc>
        <w:tc>
          <w:tcPr>
            <w:tcW w:w="1078"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02" w:type="dxa"/>
            <w:vAlign w:val="center"/>
          </w:tcPr>
          <w:p>
            <w:pPr>
              <w:wordWrap w:val="0"/>
              <w:autoSpaceDE/>
              <w:autoSpaceDN/>
              <w:jc w:val="center"/>
              <w:rPr>
                <w:color w:val="auto"/>
                <w:kern w:val="2"/>
                <w:sz w:val="21"/>
                <w:szCs w:val="21"/>
                <w:highlight w:val="none"/>
                <w:lang w:val="en-US" w:bidi="ar-SA"/>
              </w:rPr>
            </w:pPr>
            <w:r>
              <w:rPr>
                <w:rFonts w:hint="eastAsia"/>
                <w:color w:val="auto"/>
                <w:kern w:val="2"/>
                <w:sz w:val="21"/>
                <w:szCs w:val="21"/>
                <w:highlight w:val="none"/>
                <w:lang w:val="en-US" w:bidi="ar-SA"/>
              </w:rPr>
              <w:t>≥1年</w:t>
            </w:r>
          </w:p>
        </w:tc>
        <w:tc>
          <w:tcPr>
            <w:tcW w:w="1527" w:type="dxa"/>
            <w:vAlign w:val="center"/>
          </w:tcPr>
          <w:p>
            <w:pPr>
              <w:wordWrap w:val="0"/>
              <w:autoSpaceDE/>
              <w:autoSpaceDN/>
              <w:jc w:val="center"/>
              <w:rPr>
                <w:color w:val="auto"/>
                <w:kern w:val="2"/>
                <w:sz w:val="21"/>
                <w:szCs w:val="21"/>
                <w:highlight w:val="none"/>
                <w:lang w:val="en-US" w:bidi="ar-SA"/>
              </w:rPr>
            </w:pPr>
            <w:r>
              <w:rPr>
                <w:rFonts w:hint="eastAsia"/>
                <w:color w:val="auto"/>
                <w:sz w:val="21"/>
                <w:szCs w:val="21"/>
                <w:highlight w:val="none"/>
                <w:lang w:val="en-US" w:bidi="ar"/>
              </w:rPr>
              <w:t>30个日历日</w:t>
            </w:r>
          </w:p>
        </w:tc>
      </w:tr>
    </w:tbl>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（二）采购项目交付或者实施的时间、地点和付款方式</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1.采购项目（标的）交货期：</w:t>
      </w:r>
      <w:r>
        <w:rPr>
          <w:rFonts w:hint="eastAsia"/>
          <w:color w:val="auto"/>
          <w:sz w:val="21"/>
          <w:szCs w:val="21"/>
          <w:highlight w:val="none"/>
          <w:lang w:val="en-US" w:bidi="ar"/>
        </w:rPr>
        <w:t>合同签订后30个日历日。</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2.采购项目（标的）交货地点：采购人指定地点</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3.★付款方式：合同签订后七日内支付给中标人合同总价30%的预付款。全部设备交货，且安装调试完毕后，由采购人和中标人双方共同组织验收且经采购人验收合格后一个月内，先由中标人提供向采购人出具合同总金额100%的正式发票（增值税专用发票），随后采购人出具付款手续，支付给中标人合同总金额65%的货款，按合同总金额的5%预留质量保证金。从全部设备验收合格之日起，1年后经再次复核并且产品均无质量问题，由采购人将质量保证金一次性支付给中标人。</w:t>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四、采购标的需满足的服务标准、期限、效率等要求：</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（一）采购招标的需满足的供货标准、效率要求</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1.投标人应有能力做好售后服务工作和提供技术保障。投标人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保修电话、固定电话）、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2.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 3 天内将这些资料免费寄给采购人。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3.投标人应在保证在接到采购人通知的一周内，自付费用在采购人指定所在地对设备进行安装、调试和试运行，直到该产品的技术指标完全符合合同要求为止。投标人技术人员的费用，如：差旅费、住宿费等应计入投标报价。投标人安装人员应自备必要的专用工具、量具及调试用的材料等。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4.投标人应负责投标货物质量保证期内的免费维修和配件供应，投标人售后服务维修机构应备有所购货物及时维修所需的关键零部件。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5.投标人应保证在质量保证期内提供投标货物专用的软件和相应数据库资料的免费升级服务。（如果有）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6.在合同执行期和质量保证期内，投标人应保证在收到要求提供维修服务的通知后 2 小时内给予反馈，24 小时内派合格的技术人员赴现场提供免费服务，解决问题。如不能按采购人要求的时间予以修复，投标人应保证免费提供同类备用设备，供采购人使用。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7.投标人需提供设备易损件及消耗品清单。</w:t>
      </w:r>
    </w:p>
    <w:p>
      <w:pPr>
        <w:wordWrap w:val="0"/>
        <w:autoSpaceDE/>
        <w:autoSpaceDN/>
        <w:spacing w:line="360" w:lineRule="auto"/>
        <w:ind w:firstLine="422" w:firstLineChars="200"/>
        <w:jc w:val="both"/>
        <w:rPr>
          <w:b/>
          <w:bCs/>
          <w:color w:val="auto"/>
          <w:kern w:val="2"/>
          <w:sz w:val="21"/>
          <w:szCs w:val="21"/>
          <w:highlight w:val="none"/>
          <w:lang w:val="en-US" w:bidi="ar-SA"/>
        </w:rPr>
      </w:pPr>
      <w:r>
        <w:rPr>
          <w:rFonts w:hint="eastAsia"/>
          <w:b/>
          <w:bCs/>
          <w:color w:val="auto"/>
          <w:kern w:val="2"/>
          <w:sz w:val="21"/>
          <w:szCs w:val="21"/>
          <w:highlight w:val="none"/>
          <w:lang w:val="en-US" w:bidi="ar-SA"/>
        </w:rPr>
        <w:t>（二）采购招标的需满足的供货期限要求</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1、质量保证期：以详细参数为准，保修范围应包括提供的所有设备（含第三方设备或配件）和安装调试服务。投标人要对所投产品的质量负有全部责任，需提供具体的质量保证措施方案。在保修期内应提供维修和技术咨询服务，矫正和免费更换有缺陷的设备或部件、排除系统出现的故障。质量保证期内，投标人应对由于设计、工艺或材料的缺陷而发生的任何不足或故障负责，费用由投标人负担。</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2、提供质量保证期（保修期）结束后的年度维保费用承诺，保修费用应含维保工时费、零配件费用和软件维护、升级费用，服务内容和细则与免费维保期相同。提供所有软件终身免费升级服务。</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3、投标人和制造商需要同时提供包含上述质量保证期（保修期）、年度维保费用及其他服务要求的承诺函并加盖单位公章。</w:t>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五、采购标的的验收标准：</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1.投标人应保证在发货前对货物的质量、规格、性能、数量和重量等进行准确而全面的检验，并出具一份证明货物符合合同规定的证书。该证书将作为提交付款单据的一部分，但有关质量、规格、性能、数量或重要的检验不应视为最终检验。投标人检验的结果和详细要求应在质量证书中加以说明。</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2.包装和运输</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（1）所有设备应包装后运输。其包装应适于运输并保证设备在运输过程中不得受任何形式的损坏。</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（2）每一个包装箱都应正确地贴上说明标签。</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（3）备件应当单独包装运输，包装应保证备件在 3 年内不受损坏。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（4）包装箱内应保证清洁，在包装内不应有制造过程的废物和其他杂物。</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３.验收方式、标准：</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（1）货物接收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设备运到采购人指定地点当日，由采购人和中标人双方按本合同要求共同验货。验货按中标人提供的《货物签收单》要求进行。验货合格后，双方共同签署《货物签收单》。</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（2）货物验收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1）开箱检验：</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采购人和中标人双方根据装箱单和产品的技术指标及性能共同验收，如发现有不合格产品、错漏、损坏部件或与本合同约定的技术要求和规格不符时，双方应在现场联合作记录，签署备忘录。中标人负责在10天内按本合同要求标准予以更换，确保不影响工作进展，并承担一切费用。</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2）安装验收：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工作须在签署《货物签收单》之日后30个自然日内完成，安装测试结果如不符或测试结果不能确认，中标人应在10个自然日内调整配置直至重新测试合格，如果仍然测试不通过，采购人有权停止验收、拒收设备并解除合同，由中标人承担违约责任。如因采购人或不可抗力原因导致未能进行安装验收，采购人须向中标人出具和签署相关证明。</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3）调试验收：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全部产品由中标人安装并调试正常后，中标人负责派出相关技术人员现场指导采购人对设备功能进行测试，由采购人和中标人双方按投标文件规定的型号、技术参数、数量、产地，并根据制造商签发的《产品合格证》、《出厂清单》、中标人向采购人提供包含验收方案、验收内容、验收标准（包括行业通行标准、厂方出厂标准、招标文件要求和中标人投标文件的承诺，并不低于国家有关部门最新颁布的标准及规范）、省级以上计量检定部门出具的检定/校准合格证书、验收人员等验收申请，进行现场验收，现场验收包括设备验收和数据验收，设备验收是完成了数据采集工作后，系统功能和性能达到试运行条件时，系统进入试运行阶段，在对试运行期间暴露的所有缺陷、问题和未实现的功能完全解决后，系统达到稳定运行，在稳定运行后对数据进行验收，当设备和数据都满足要求时申请现场验收。现场验收合格后采购人和中标人双方根据测试结果共同签署《产品安装调试报告及验收报告》，现场验收完成后，系统正式投入运行，进入质保期。如对结果有异议，验收十个工作日内以书面形式通知对方。</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4）最终验收：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系统在质保期期间没有出现任何重大缺陷，在质保期满时申请最终验收。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5）综合验收：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如果任何被检验的货物或服务不符合质量要求，采购人均可以拒绝接受，中标人应及时更换被拒绝的货物或重新提供服务，且不得影响采购人正常工作，费用由中标人承担，如因更换或重作导致中标人逾期交付货物的，中标人还应承担逾期交付的违约责任。本规定并不免除中标人在本合同项下的货物质量保证义务或其他义务。</w:t>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六、采购标的的其他技术、服务等要求：</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1.投标人须在投标文件中按照招标文件技术规格的要求提供技术应答的证明材料，如技术规格中无特殊要求，则应提交本条款规定的技术支持资料。其中 “技术支持资料”指生产厂家公开发布的印刷资料或制造厂家出具证明材料或制造商的官网截图（附截图的网址链接）或检测机构出具的检验报告。若投标人技术响应与技术支持资料（或证明材料）不一致，将以技术支持资料（或证明材料）为准；若技术支持资料（或证明材料）之间不一致，评审依据依次为检测报告、官网截图、印刷资料。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2.对于技术规格中标注“</w:t>
      </w:r>
      <w:r>
        <w:rPr>
          <w:rFonts w:hint="eastAsia"/>
          <w:b/>
          <w:bCs/>
          <w:color w:val="auto"/>
          <w:kern w:val="2"/>
          <w:sz w:val="21"/>
          <w:szCs w:val="21"/>
          <w:highlight w:val="none"/>
          <w:lang w:val="en-US" w:bidi="ar-SA"/>
        </w:rPr>
        <w:t>★</w:t>
      </w:r>
      <w:r>
        <w:rPr>
          <w:rFonts w:hint="eastAsia"/>
          <w:color w:val="auto"/>
          <w:kern w:val="2"/>
          <w:sz w:val="21"/>
          <w:szCs w:val="21"/>
          <w:highlight w:val="none"/>
          <w:lang w:val="en-US" w:bidi="ar-SA"/>
        </w:rPr>
        <w:t>”号的技术参数，投标人未提供投标产品技术支持资料（或证明材料）的，或提供的投标产品技术支持资料（或证明材料）未加盖投标人公章的，或提供的技术支持资料（或证明材料）无法证明技术响应满足招标文件要求的，或提供的技术支持材料（或证明材料）语言为外文，且未提供中文翻译文本的，或在技术偏离表中未标明/未标清支持材料所在页码及所在具体位置，导致评标委员会无法找到响应依据的，评标委员会可不予承认，并可认为该技术应答不符合招标文件要求。由此产生的评标风险，由投标人承担。</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3.投标人应对招标文件第三章采购需求中技术参数的内容给予逐条响应，以投标产品和服务所能达到的内容予以填写，而不应复制招标的技术要求作为响应内容，特别对有具体参数要求的指标，投标人必须提供所投产品的具体参数值，否则视为无效投标。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4.投标人所提供的部件之间及设备之间的连线或接插件均视为设备内部部件，应包含在相应的配置中。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5.工作条件：除了在技术规格中另有规定外，投标人提供的一切仪器、设备和系统，应符合下列条件：</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（1）仪器设备的插头要符合中国电工标准。如不符合，则应提供适合仪器插头的插座，必须要有接地。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 xml:space="preserve">（2）如果仪器设备需特殊的工作条件（如：水、电源、磁场强度、特殊温度、湿度、震动强度等），投标人应在有关投标文件中加以说明。 </w:t>
      </w:r>
    </w:p>
    <w:p>
      <w:pPr>
        <w:wordWrap w:val="0"/>
        <w:autoSpaceDE/>
        <w:autoSpaceDN/>
        <w:spacing w:line="360" w:lineRule="auto"/>
        <w:ind w:firstLine="420" w:firstLineChars="200"/>
        <w:jc w:val="both"/>
        <w:rPr>
          <w:color w:val="auto"/>
          <w:kern w:val="2"/>
          <w:sz w:val="21"/>
          <w:szCs w:val="21"/>
          <w:highlight w:val="none"/>
          <w:lang w:val="en-US" w:bidi="ar-SA"/>
        </w:rPr>
      </w:pPr>
      <w:r>
        <w:rPr>
          <w:rFonts w:hint="eastAsia"/>
          <w:color w:val="auto"/>
          <w:kern w:val="2"/>
          <w:sz w:val="21"/>
          <w:szCs w:val="21"/>
          <w:highlight w:val="none"/>
          <w:lang w:val="en-US" w:bidi="ar-SA"/>
        </w:rPr>
        <w:t>6.培训要求：培训是指涉及产品基本原理、安装、调试、操作使用和保养维修等有关内容的学习。投标人应保证在采购人指定交货地点对每包（品目）最终用户设备操作人员提供不少于 1 天的免费培训。投标人投标时应提供详细的培训方案。培训教员的差旅费、食宿费、培训教材等费用，应计入投标报价。</w:t>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七、需要满足的其他技术规格要求：</w:t>
      </w:r>
    </w:p>
    <w:p>
      <w:pPr>
        <w:autoSpaceDE/>
        <w:autoSpaceDN/>
        <w:jc w:val="both"/>
        <w:rPr>
          <w:b/>
          <w:bCs/>
          <w:color w:val="auto"/>
          <w:kern w:val="2"/>
          <w:sz w:val="21"/>
          <w:szCs w:val="21"/>
          <w:highlight w:val="none"/>
          <w:lang w:val="en-US" w:bidi="ar-SA"/>
        </w:rPr>
      </w:pPr>
      <w:r>
        <w:rPr>
          <w:rFonts w:hint="eastAsia"/>
          <w:b/>
          <w:bCs/>
          <w:color w:val="auto"/>
          <w:kern w:val="2"/>
          <w:sz w:val="21"/>
          <w:szCs w:val="21"/>
          <w:highlight w:val="none"/>
          <w:lang w:val="en-US" w:bidi="ar-SA"/>
        </w:rPr>
        <w:br w:type="page"/>
      </w:r>
    </w:p>
    <w:p>
      <w:pPr>
        <w:wordWrap w:val="0"/>
        <w:autoSpaceDE/>
        <w:autoSpaceDN/>
        <w:spacing w:line="360" w:lineRule="auto"/>
        <w:jc w:val="both"/>
        <w:rPr>
          <w:b/>
          <w:bCs/>
          <w:color w:val="auto"/>
          <w:kern w:val="2"/>
          <w:sz w:val="21"/>
          <w:szCs w:val="21"/>
          <w:highlight w:val="none"/>
          <w:lang w:val="en-US" w:bidi="ar-SA"/>
        </w:rPr>
      </w:pPr>
      <w:r>
        <w:rPr>
          <w:rFonts w:hint="eastAsia"/>
          <w:b/>
          <w:bCs/>
          <w:color w:val="auto"/>
          <w:kern w:val="2"/>
          <w:sz w:val="21"/>
          <w:szCs w:val="21"/>
          <w:highlight w:val="none"/>
          <w:lang w:val="en-US" w:bidi="ar-SA"/>
        </w:rPr>
        <w:t>标项1</w:t>
      </w:r>
    </w:p>
    <w:tbl>
      <w:tblPr>
        <w:tblStyle w:val="28"/>
        <w:tblW w:w="9723" w:type="dxa"/>
        <w:jc w:val="center"/>
        <w:tblLayout w:type="fixed"/>
        <w:tblCellMar>
          <w:top w:w="0" w:type="dxa"/>
          <w:left w:w="108" w:type="dxa"/>
          <w:bottom w:w="0" w:type="dxa"/>
          <w:right w:w="108" w:type="dxa"/>
        </w:tblCellMar>
      </w:tblPr>
      <w:tblGrid>
        <w:gridCol w:w="457"/>
        <w:gridCol w:w="1135"/>
        <w:gridCol w:w="6915"/>
        <w:gridCol w:w="777"/>
        <w:gridCol w:w="439"/>
      </w:tblGrid>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序号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设备名称</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主要技术参数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数量</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备注</w:t>
            </w:r>
          </w:p>
        </w:tc>
      </w:tr>
      <w:tr>
        <w:tblPrEx>
          <w:tblCellMar>
            <w:top w:w="0" w:type="dxa"/>
            <w:left w:w="108" w:type="dxa"/>
            <w:bottom w:w="0" w:type="dxa"/>
            <w:right w:w="108" w:type="dxa"/>
          </w:tblCellMar>
        </w:tblPrEx>
        <w:trPr>
          <w:trHeight w:val="79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kern w:val="2"/>
                <w:sz w:val="21"/>
                <w:szCs w:val="21"/>
                <w:highlight w:val="none"/>
                <w:lang w:val="en-US" w:bidi="ar-SA"/>
              </w:rPr>
            </w:pPr>
            <w:r>
              <w:rPr>
                <w:rFonts w:hint="eastAsia"/>
                <w:color w:val="auto"/>
                <w:sz w:val="21"/>
                <w:szCs w:val="21"/>
                <w:highlight w:val="none"/>
                <w:lang w:val="en-US"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kern w:val="2"/>
                <w:sz w:val="21"/>
                <w:szCs w:val="21"/>
                <w:highlight w:val="none"/>
                <w:lang w:val="en-US" w:bidi="ar-SA"/>
              </w:rPr>
            </w:pPr>
            <w:r>
              <w:rPr>
                <w:rFonts w:ascii="Times New Roman" w:hAnsi="Times New Roman" w:cs="Times New Roman"/>
                <w:color w:val="auto"/>
                <w:highlight w:val="none"/>
                <w:lang w:val="en-US" w:bidi="ar"/>
              </w:rPr>
              <w:t>300kV</w:t>
            </w:r>
            <w:r>
              <w:rPr>
                <w:rFonts w:hint="eastAsia"/>
                <w:color w:val="auto"/>
                <w:highlight w:val="none"/>
                <w:lang w:val="en-US" w:bidi="ar"/>
              </w:rPr>
              <w:t>周向</w:t>
            </w:r>
            <w:r>
              <w:rPr>
                <w:rFonts w:ascii="Times New Roman" w:hAnsi="Times New Roman" w:cs="Times New Roman"/>
                <w:color w:val="auto"/>
                <w:highlight w:val="none"/>
                <w:lang w:val="en-US" w:bidi="ar"/>
              </w:rPr>
              <w:t>X</w:t>
            </w:r>
            <w:r>
              <w:rPr>
                <w:rFonts w:hint="eastAsia"/>
                <w:color w:val="auto"/>
                <w:highlight w:val="none"/>
                <w:lang w:val="en-US" w:bidi="ar"/>
              </w:rPr>
              <w:t>射线机</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kern w:val="2"/>
                <w:sz w:val="21"/>
                <w:szCs w:val="21"/>
                <w:highlight w:val="none"/>
                <w:lang w:val="en-US" w:bidi="ar-SA"/>
              </w:rPr>
            </w:pPr>
            <w:r>
              <w:rPr>
                <w:rFonts w:hint="eastAsia"/>
                <w:color w:val="auto"/>
                <w:sz w:val="21"/>
                <w:szCs w:val="21"/>
                <w:highlight w:val="none"/>
                <w:lang w:val="en-US" w:bidi="ar"/>
              </w:rPr>
              <w:t>一、技术参数及性能描述要求</w:t>
            </w:r>
            <w:r>
              <w:rPr>
                <w:rFonts w:hint="eastAsia"/>
                <w:color w:val="auto"/>
                <w:sz w:val="21"/>
                <w:szCs w:val="21"/>
                <w:highlight w:val="none"/>
                <w:lang w:val="en-US" w:bidi="ar"/>
              </w:rPr>
              <w:br w:type="textWrapping"/>
            </w:r>
            <w:r>
              <w:rPr>
                <w:rFonts w:hint="eastAsia"/>
                <w:color w:val="auto"/>
                <w:sz w:val="21"/>
                <w:szCs w:val="21"/>
                <w:highlight w:val="none"/>
                <w:lang w:val="en-US" w:bidi="ar"/>
              </w:rPr>
              <w:t>仪器应符合 NB/T 47013.2-2015《承压设备无损检测第2部分:射线检测》、GB/T 37910.1-2019《焊缝无损检测射线检测验收等级 第1部分：钢、镍、钛及其合金》、GB/T3323.1-2019《焊缝无损检测射线检测第1部分：X和伽玛射线的胶片技术》等国家标准和行业标准要求。                                                                                                     1.主要技术参数：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1.1★输入功率：≤3.0KVA； 1.2输入电压范围AC：190V～250V  50HZ； 1.3输出电压范围：150KV～300KV；1.4 电压级差KV：1 KV；</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1.5 输出电流范围：2～5mA； 1.6焦点尺寸：1.0×2.5 ；1.7 ★辐射角度：360×30°；1.8 ★灵敏度：≤1.8%； 1.9 ★绝缘方式：SF6气体绝缘；1.10气体压力：0.35MPa～0.45MPa ； 1.11★控制器型号：中文语音控制器； 1.12 重量 发生器：不大于32Kg 控制器：不大于8Kg；1.13 穿透能力A3钢：40mm； 1.14 拍照条件：(材料A3钢底片天津3型焦距600mm 增感屏0.03mm铅箔曝光时间5分钟,显影条件20℃)  </w:t>
            </w:r>
            <w:r>
              <w:rPr>
                <w:rFonts w:hint="eastAsia"/>
                <w:color w:val="auto"/>
                <w:sz w:val="21"/>
                <w:szCs w:val="21"/>
                <w:highlight w:val="none"/>
                <w:lang w:val="en-US" w:bidi="ar"/>
              </w:rPr>
              <w:br w:type="textWrapping"/>
            </w:r>
            <w:r>
              <w:rPr>
                <w:rFonts w:hint="eastAsia"/>
                <w:color w:val="auto"/>
                <w:sz w:val="21"/>
                <w:szCs w:val="21"/>
                <w:highlight w:val="none"/>
                <w:lang w:val="en-US" w:bidi="ar"/>
              </w:rPr>
              <w:t>2.整机配置：</w:t>
            </w:r>
            <w:r>
              <w:rPr>
                <w:rFonts w:hint="eastAsia"/>
                <w:color w:val="auto"/>
                <w:sz w:val="21"/>
                <w:szCs w:val="21"/>
                <w:highlight w:val="none"/>
                <w:lang w:val="en-US" w:bidi="ar"/>
              </w:rPr>
              <w:br w:type="textWrapping"/>
            </w:r>
            <w:r>
              <w:rPr>
                <w:rFonts w:hint="eastAsia"/>
                <w:color w:val="auto"/>
                <w:sz w:val="21"/>
                <w:szCs w:val="21"/>
                <w:highlight w:val="none"/>
                <w:lang w:val="en-US" w:bidi="ar"/>
              </w:rPr>
              <w:t>2.1 300kV周向X射线机 1台；</w:t>
            </w:r>
            <w:r>
              <w:rPr>
                <w:rFonts w:hint="eastAsia"/>
                <w:color w:val="auto"/>
                <w:sz w:val="21"/>
                <w:szCs w:val="21"/>
                <w:highlight w:val="none"/>
                <w:lang w:val="en-US" w:bidi="ar"/>
              </w:rPr>
              <w:br w:type="textWrapping"/>
            </w:r>
            <w:r>
              <w:rPr>
                <w:rFonts w:hint="eastAsia"/>
                <w:color w:val="auto"/>
                <w:sz w:val="21"/>
                <w:szCs w:val="21"/>
                <w:highlight w:val="none"/>
                <w:lang w:val="en-US" w:bidi="ar"/>
              </w:rPr>
              <w:t>2.1.1 主机配置清单：</w:t>
            </w:r>
            <w:r>
              <w:rPr>
                <w:rFonts w:hint="eastAsia"/>
                <w:color w:val="auto"/>
                <w:sz w:val="21"/>
                <w:szCs w:val="21"/>
                <w:highlight w:val="none"/>
                <w:lang w:val="en-US" w:bidi="ar"/>
              </w:rPr>
              <w:br w:type="textWrapping"/>
            </w:r>
            <w:r>
              <w:rPr>
                <w:rFonts w:hint="eastAsia"/>
                <w:color w:val="auto"/>
                <w:sz w:val="21"/>
                <w:szCs w:val="21"/>
                <w:highlight w:val="none"/>
                <w:lang w:val="en-US" w:bidi="ar"/>
              </w:rPr>
              <w:t>2.1.1.1 发生器1台；</w:t>
            </w:r>
            <w:r>
              <w:rPr>
                <w:rFonts w:hint="eastAsia"/>
                <w:color w:val="auto"/>
                <w:sz w:val="21"/>
                <w:szCs w:val="21"/>
                <w:highlight w:val="none"/>
                <w:lang w:val="en-US" w:bidi="ar"/>
              </w:rPr>
              <w:br w:type="textWrapping"/>
            </w:r>
            <w:r>
              <w:rPr>
                <w:rFonts w:hint="eastAsia"/>
                <w:color w:val="auto"/>
                <w:sz w:val="21"/>
                <w:szCs w:val="21"/>
                <w:highlight w:val="none"/>
                <w:lang w:val="en-US" w:bidi="ar"/>
              </w:rPr>
              <w:t>2.1.1.2 控制器1台；</w:t>
            </w:r>
            <w:r>
              <w:rPr>
                <w:rFonts w:hint="eastAsia"/>
                <w:color w:val="auto"/>
                <w:sz w:val="21"/>
                <w:szCs w:val="21"/>
                <w:highlight w:val="none"/>
                <w:lang w:val="en-US" w:bidi="ar"/>
              </w:rPr>
              <w:br w:type="textWrapping"/>
            </w:r>
            <w:r>
              <w:rPr>
                <w:rFonts w:hint="eastAsia"/>
                <w:color w:val="auto"/>
                <w:sz w:val="21"/>
                <w:szCs w:val="21"/>
                <w:highlight w:val="none"/>
                <w:lang w:val="en-US" w:bidi="ar"/>
              </w:rPr>
              <w:t>2.1.1.3 连接电缆 1根；</w:t>
            </w:r>
            <w:r>
              <w:rPr>
                <w:rFonts w:hint="eastAsia"/>
                <w:color w:val="auto"/>
                <w:sz w:val="21"/>
                <w:szCs w:val="21"/>
                <w:highlight w:val="none"/>
                <w:lang w:val="en-US" w:bidi="ar"/>
              </w:rPr>
              <w:br w:type="textWrapping"/>
            </w:r>
            <w:r>
              <w:rPr>
                <w:rFonts w:hint="eastAsia"/>
                <w:color w:val="auto"/>
                <w:sz w:val="21"/>
                <w:szCs w:val="21"/>
                <w:highlight w:val="none"/>
                <w:lang w:val="en-US" w:bidi="ar"/>
              </w:rPr>
              <w:t>2.1.1.4 电源电缆 1根；</w:t>
            </w:r>
            <w:r>
              <w:rPr>
                <w:rFonts w:hint="eastAsia"/>
                <w:color w:val="auto"/>
                <w:sz w:val="21"/>
                <w:szCs w:val="21"/>
                <w:highlight w:val="none"/>
                <w:lang w:val="en-US" w:bidi="ar"/>
              </w:rPr>
              <w:br w:type="textWrapping"/>
            </w:r>
            <w:r>
              <w:rPr>
                <w:rFonts w:hint="eastAsia"/>
                <w:color w:val="auto"/>
                <w:sz w:val="21"/>
                <w:szCs w:val="21"/>
                <w:highlight w:val="none"/>
                <w:lang w:val="en-US" w:bidi="ar"/>
              </w:rPr>
              <w:t>2.1.1.5 中文说明书1本、中文操作视频1个 合格证1张、保修卡1张、装箱卡1张，防尘罩1个；</w:t>
            </w:r>
            <w:r>
              <w:rPr>
                <w:rFonts w:hint="eastAsia"/>
                <w:color w:val="auto"/>
                <w:sz w:val="21"/>
                <w:szCs w:val="21"/>
                <w:highlight w:val="none"/>
                <w:lang w:val="en-US" w:bidi="ar"/>
              </w:rPr>
              <w:br w:type="textWrapping"/>
            </w:r>
            <w:r>
              <w:rPr>
                <w:rFonts w:hint="eastAsia"/>
                <w:color w:val="auto"/>
                <w:sz w:val="21"/>
                <w:szCs w:val="21"/>
                <w:highlight w:val="none"/>
                <w:lang w:val="en-US" w:bidi="ar"/>
              </w:rPr>
              <w:t>2.2 射线警示灯 1套；</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2.3 观片灯  4台； </w:t>
            </w:r>
            <w:r>
              <w:rPr>
                <w:rFonts w:hint="eastAsia"/>
                <w:color w:val="auto"/>
                <w:sz w:val="21"/>
                <w:szCs w:val="21"/>
                <w:highlight w:val="none"/>
                <w:lang w:val="en-US" w:bidi="ar"/>
              </w:rPr>
              <w:br w:type="textWrapping"/>
            </w:r>
            <w:r>
              <w:rPr>
                <w:rFonts w:hint="eastAsia"/>
                <w:color w:val="auto"/>
                <w:sz w:val="21"/>
                <w:szCs w:val="21"/>
                <w:highlight w:val="none"/>
                <w:lang w:val="en-US" w:bidi="ar"/>
              </w:rPr>
              <w:t>2.3.1观片灯主要特点及技术参数：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2.3.1.1自动感应屏，放胶片时自动由低亮转换成高亮，无胶片时自动转低亮；</w:t>
            </w:r>
            <w:r>
              <w:rPr>
                <w:rFonts w:hint="eastAsia"/>
                <w:color w:val="auto"/>
                <w:sz w:val="21"/>
                <w:szCs w:val="21"/>
                <w:highlight w:val="none"/>
                <w:lang w:val="en-US" w:bidi="ar"/>
              </w:rPr>
              <w:br w:type="textWrapping"/>
            </w:r>
            <w:r>
              <w:rPr>
                <w:rFonts w:hint="eastAsia"/>
                <w:color w:val="auto"/>
                <w:sz w:val="21"/>
                <w:szCs w:val="21"/>
                <w:highlight w:val="none"/>
                <w:lang w:val="en-US" w:bidi="ar"/>
              </w:rPr>
              <w:t>2.3.1.2无级调光，亮度调整由30%-100%全亮, 设有常用和高亮切换开关，减轻眼疲劳，缺陷分辨率高；</w:t>
            </w:r>
            <w:r>
              <w:rPr>
                <w:rFonts w:hint="eastAsia"/>
                <w:color w:val="auto"/>
                <w:sz w:val="21"/>
                <w:szCs w:val="21"/>
                <w:highlight w:val="none"/>
                <w:lang w:val="en-US" w:bidi="ar"/>
              </w:rPr>
              <w:br w:type="textWrapping"/>
            </w:r>
            <w:r>
              <w:rPr>
                <w:rFonts w:hint="eastAsia"/>
                <w:color w:val="auto"/>
                <w:sz w:val="21"/>
                <w:szCs w:val="21"/>
                <w:highlight w:val="none"/>
                <w:lang w:val="en-US" w:bidi="ar"/>
              </w:rPr>
              <w:t>2.3.1.3 ★最高照度：400000 cd/㎡；</w:t>
            </w:r>
            <w:r>
              <w:rPr>
                <w:rFonts w:hint="eastAsia"/>
                <w:color w:val="auto"/>
                <w:sz w:val="21"/>
                <w:szCs w:val="21"/>
                <w:highlight w:val="none"/>
                <w:lang w:val="en-US" w:bidi="ar"/>
              </w:rPr>
              <w:br w:type="textWrapping"/>
            </w:r>
            <w:r>
              <w:rPr>
                <w:rFonts w:hint="eastAsia"/>
                <w:color w:val="auto"/>
                <w:sz w:val="21"/>
                <w:szCs w:val="21"/>
                <w:highlight w:val="none"/>
                <w:lang w:val="en-US" w:bidi="ar"/>
              </w:rPr>
              <w:t>2.3.1.4 ★观察底片黑度：0～5.0；</w:t>
            </w:r>
            <w:r>
              <w:rPr>
                <w:rFonts w:hint="eastAsia"/>
                <w:color w:val="auto"/>
                <w:sz w:val="21"/>
                <w:szCs w:val="21"/>
                <w:highlight w:val="none"/>
                <w:lang w:val="en-US" w:bidi="ar"/>
              </w:rPr>
              <w:br w:type="textWrapping"/>
            </w:r>
            <w:r>
              <w:rPr>
                <w:rFonts w:hint="eastAsia"/>
                <w:color w:val="auto"/>
                <w:sz w:val="21"/>
                <w:szCs w:val="21"/>
                <w:highlight w:val="none"/>
                <w:lang w:val="en-US" w:bidi="ar"/>
              </w:rPr>
              <w:t>2.3.1.5 观察屏面积：（200x60）mm；</w:t>
            </w:r>
            <w:r>
              <w:rPr>
                <w:rFonts w:hint="eastAsia"/>
                <w:color w:val="auto"/>
                <w:sz w:val="21"/>
                <w:szCs w:val="21"/>
                <w:highlight w:val="none"/>
                <w:lang w:val="en-US" w:bidi="ar"/>
              </w:rPr>
              <w:br w:type="textWrapping"/>
            </w:r>
            <w:r>
              <w:rPr>
                <w:rFonts w:hint="eastAsia"/>
                <w:color w:val="auto"/>
                <w:sz w:val="21"/>
                <w:szCs w:val="21"/>
                <w:highlight w:val="none"/>
                <w:lang w:val="en-US" w:bidi="ar"/>
              </w:rPr>
              <w:t>2.3.1.6 电源：47-63H/170-260VAC；</w:t>
            </w:r>
            <w:r>
              <w:rPr>
                <w:rFonts w:hint="eastAsia"/>
                <w:color w:val="auto"/>
                <w:sz w:val="21"/>
                <w:szCs w:val="21"/>
                <w:highlight w:val="none"/>
                <w:lang w:val="en-US" w:bidi="ar"/>
              </w:rPr>
              <w:br w:type="textWrapping"/>
            </w:r>
            <w:r>
              <w:rPr>
                <w:rFonts w:hint="eastAsia"/>
                <w:color w:val="auto"/>
                <w:sz w:val="21"/>
                <w:szCs w:val="21"/>
                <w:highlight w:val="none"/>
                <w:lang w:val="en-US" w:bidi="ar"/>
              </w:rPr>
              <w:t>2.3.1.7 功耗：3～48W可调，平均10W；</w:t>
            </w:r>
            <w:r>
              <w:rPr>
                <w:rFonts w:hint="eastAsia"/>
                <w:color w:val="auto"/>
                <w:sz w:val="21"/>
                <w:szCs w:val="21"/>
                <w:highlight w:val="none"/>
                <w:lang w:val="en-US" w:bidi="ar"/>
              </w:rPr>
              <w:br w:type="textWrapping"/>
            </w:r>
            <w:r>
              <w:rPr>
                <w:rFonts w:hint="eastAsia"/>
                <w:color w:val="auto"/>
                <w:sz w:val="21"/>
                <w:szCs w:val="21"/>
                <w:highlight w:val="none"/>
                <w:lang w:val="en-US" w:bidi="ar"/>
              </w:rPr>
              <w:t>2.3.1.8 重量：不大于1.1kg。</w:t>
            </w:r>
            <w:r>
              <w:rPr>
                <w:rFonts w:hint="eastAsia"/>
                <w:color w:val="auto"/>
                <w:sz w:val="21"/>
                <w:szCs w:val="21"/>
                <w:highlight w:val="none"/>
                <w:lang w:val="en-US" w:bidi="ar"/>
              </w:rPr>
              <w:br w:type="textWrapping"/>
            </w:r>
            <w:r>
              <w:rPr>
                <w:rFonts w:hint="eastAsia"/>
                <w:color w:val="auto"/>
                <w:sz w:val="21"/>
                <w:szCs w:val="21"/>
                <w:highlight w:val="none"/>
                <w:lang w:val="en-US" w:bidi="ar"/>
              </w:rPr>
              <w:t>2.3.2观片灯配置清单：</w:t>
            </w:r>
            <w:r>
              <w:rPr>
                <w:rFonts w:hint="eastAsia"/>
                <w:color w:val="auto"/>
                <w:sz w:val="21"/>
                <w:szCs w:val="21"/>
                <w:highlight w:val="none"/>
                <w:lang w:val="en-US" w:bidi="ar"/>
              </w:rPr>
              <w:br w:type="textWrapping"/>
            </w:r>
            <w:r>
              <w:rPr>
                <w:rFonts w:hint="eastAsia"/>
                <w:color w:val="auto"/>
                <w:sz w:val="21"/>
                <w:szCs w:val="21"/>
                <w:highlight w:val="none"/>
                <w:lang w:val="en-US" w:bidi="ar"/>
              </w:rPr>
              <w:t>2.3.2.1 观片灯 4台； 2.3.2.2 电源适配器 4个； 2.3.2.3 脚踏开关 4个；2.3.2.4 操作手册、合格证、保修卡 4份、铝合金仪器箱4个，装箱卡4张，防尘罩4个。</w:t>
            </w:r>
            <w:r>
              <w:rPr>
                <w:rFonts w:hint="eastAsia"/>
                <w:color w:val="auto"/>
                <w:sz w:val="21"/>
                <w:szCs w:val="21"/>
                <w:highlight w:val="none"/>
                <w:lang w:val="en-US" w:bidi="ar"/>
              </w:rPr>
              <w:br w:type="textWrapping"/>
            </w:r>
            <w:r>
              <w:rPr>
                <w:rFonts w:hint="eastAsia"/>
                <w:color w:val="auto"/>
                <w:sz w:val="21"/>
                <w:szCs w:val="21"/>
                <w:highlight w:val="none"/>
                <w:lang w:val="en-US" w:bidi="ar"/>
              </w:rPr>
              <w:t>二、安装培训 供方负责运输、吊运到需方的指定安装地，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常见故障的检查与排除。</w:t>
            </w:r>
            <w:r>
              <w:rPr>
                <w:rFonts w:hint="eastAsia"/>
                <w:color w:val="auto"/>
                <w:sz w:val="21"/>
                <w:szCs w:val="21"/>
                <w:highlight w:val="none"/>
                <w:lang w:val="en-US" w:bidi="ar"/>
              </w:rPr>
              <w:br w:type="textWrapping"/>
            </w:r>
            <w:r>
              <w:rPr>
                <w:rFonts w:hint="eastAsia"/>
                <w:color w:val="auto"/>
                <w:sz w:val="21"/>
                <w:szCs w:val="21"/>
                <w:highlight w:val="none"/>
                <w:lang w:val="en-US" w:bidi="ar"/>
              </w:rPr>
              <w:t>三、 带省级以上部门出具的检定合格证书（计量机构和检定/校准参数范围由使用方指定）；投标方必须提供所投产品由制造方提供含技术参数的印刷宣传彩页或原版含技术参数的使用说明书；所投产品软件终身不应加密，提供保证书。</w:t>
            </w:r>
            <w:r>
              <w:rPr>
                <w:rFonts w:hint="eastAsia"/>
                <w:color w:val="auto"/>
                <w:sz w:val="21"/>
                <w:szCs w:val="21"/>
                <w:highlight w:val="none"/>
                <w:lang w:val="en-US" w:bidi="ar"/>
              </w:rPr>
              <w:br w:type="textWrapping"/>
            </w:r>
            <w:r>
              <w:rPr>
                <w:rFonts w:hint="eastAsia"/>
                <w:color w:val="auto"/>
                <w:sz w:val="21"/>
                <w:szCs w:val="21"/>
                <w:highlight w:val="none"/>
                <w:lang w:val="en-US" w:bidi="ar"/>
              </w:rPr>
              <w:t>四、质保期及售后服务质保期为设备验收合格后36个月，保修期后设备维修人员的差旅费我方不承担。在使用过程中，如遇问题，4小时内响应并给出解决方案，12小时内到现场进行维修服务。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s="Times New Roman"/>
                <w:color w:val="auto"/>
                <w:highlight w:val="none"/>
                <w:lang w:val="en-US" w:bidi="ar"/>
              </w:rPr>
            </w:pPr>
            <w:r>
              <w:rPr>
                <w:rFonts w:ascii="Times New Roman" w:hAnsi="Times New Roman" w:cs="Times New Roman"/>
                <w:color w:val="auto"/>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autoSpaceDN/>
              <w:jc w:val="center"/>
              <w:rPr>
                <w:color w:val="auto"/>
                <w:kern w:val="2"/>
                <w:sz w:val="21"/>
                <w:szCs w:val="21"/>
                <w:highlight w:val="none"/>
                <w:lang w:val="en-US" w:bidi="ar-SA"/>
              </w:rPr>
            </w:pPr>
          </w:p>
        </w:tc>
      </w:tr>
      <w:tr>
        <w:tblPrEx>
          <w:tblCellMar>
            <w:top w:w="0" w:type="dxa"/>
            <w:left w:w="108" w:type="dxa"/>
            <w:bottom w:w="0" w:type="dxa"/>
            <w:right w:w="108" w:type="dxa"/>
          </w:tblCellMar>
        </w:tblPrEx>
        <w:trPr>
          <w:trHeight w:val="9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kern w:val="2"/>
                <w:sz w:val="21"/>
                <w:szCs w:val="21"/>
                <w:highlight w:val="none"/>
                <w:lang w:val="en-US" w:bidi="ar-SA"/>
              </w:rPr>
            </w:pPr>
            <w:r>
              <w:rPr>
                <w:rFonts w:hint="eastAsia"/>
                <w:color w:val="auto"/>
                <w:sz w:val="21"/>
                <w:szCs w:val="21"/>
                <w:highlight w:val="none"/>
                <w:lang w:val="en-US"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kern w:val="2"/>
                <w:sz w:val="21"/>
                <w:szCs w:val="21"/>
                <w:highlight w:val="none"/>
                <w:lang w:val="en-US" w:bidi="ar-SA"/>
              </w:rPr>
            </w:pPr>
            <w:r>
              <w:rPr>
                <w:rFonts w:ascii="Times New Roman" w:hAnsi="Times New Roman" w:cs="Times New Roman"/>
                <w:color w:val="auto"/>
                <w:highlight w:val="none"/>
                <w:lang w:val="en-US" w:bidi="ar"/>
              </w:rPr>
              <w:t>300kV</w:t>
            </w:r>
            <w:r>
              <w:rPr>
                <w:rFonts w:hint="eastAsia"/>
                <w:color w:val="auto"/>
                <w:highlight w:val="none"/>
                <w:lang w:val="en-US" w:bidi="ar"/>
              </w:rPr>
              <w:t>定向</w:t>
            </w:r>
            <w:r>
              <w:rPr>
                <w:rFonts w:ascii="Times New Roman" w:hAnsi="Times New Roman" w:cs="Times New Roman"/>
                <w:color w:val="auto"/>
                <w:highlight w:val="none"/>
                <w:lang w:val="en-US" w:bidi="ar"/>
              </w:rPr>
              <w:t>X</w:t>
            </w:r>
            <w:r>
              <w:rPr>
                <w:rFonts w:hint="eastAsia"/>
                <w:color w:val="auto"/>
                <w:highlight w:val="none"/>
                <w:lang w:val="en-US" w:bidi="ar"/>
              </w:rPr>
              <w:t>射线机</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kern w:val="2"/>
                <w:sz w:val="21"/>
                <w:szCs w:val="21"/>
                <w:highlight w:val="none"/>
                <w:lang w:val="en-US" w:bidi="ar-SA"/>
              </w:rPr>
            </w:pPr>
            <w:r>
              <w:rPr>
                <w:rFonts w:hint="eastAsia"/>
                <w:color w:val="auto"/>
                <w:sz w:val="21"/>
                <w:szCs w:val="21"/>
                <w:highlight w:val="none"/>
                <w:lang w:val="en-US" w:bidi="ar"/>
              </w:rPr>
              <w:t xml:space="preserve">一、技术参数及性能描述要求  </w:t>
            </w:r>
            <w:r>
              <w:rPr>
                <w:rFonts w:hint="eastAsia"/>
                <w:color w:val="auto"/>
                <w:sz w:val="21"/>
                <w:szCs w:val="21"/>
                <w:highlight w:val="none"/>
                <w:lang w:val="en-US" w:bidi="ar"/>
              </w:rPr>
              <w:br w:type="textWrapping"/>
            </w:r>
            <w:r>
              <w:rPr>
                <w:rFonts w:hint="eastAsia"/>
                <w:color w:val="auto"/>
                <w:sz w:val="21"/>
                <w:szCs w:val="21"/>
                <w:highlight w:val="none"/>
                <w:lang w:val="en-US" w:bidi="ar"/>
              </w:rPr>
              <w:t>仪器应符合 NB/T 47013.2-2015《承压设备无损检测第2部分:射线检测》、GB/T 37910.1-2019《焊缝无损检测射线检测验收等级 第1部分：钢、镍、钛及其合金》、GB/T3323.1-2019《焊缝无损检测射线检测第1部分：X和伽玛射线的胶片技术》等国家标准和行业标准要求。                                                                                  1.主要技术参数：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1.1★输入功率：≤3.0KVA；</w:t>
            </w:r>
            <w:r>
              <w:rPr>
                <w:rFonts w:hint="eastAsia"/>
                <w:color w:val="auto"/>
                <w:sz w:val="21"/>
                <w:szCs w:val="21"/>
                <w:highlight w:val="none"/>
                <w:lang w:val="en-US" w:bidi="ar"/>
              </w:rPr>
              <w:br w:type="textWrapping"/>
            </w:r>
            <w:r>
              <w:rPr>
                <w:rFonts w:hint="eastAsia"/>
                <w:color w:val="auto"/>
                <w:sz w:val="21"/>
                <w:szCs w:val="21"/>
                <w:highlight w:val="none"/>
                <w:lang w:val="en-US" w:bidi="ar"/>
              </w:rPr>
              <w:t>1.2输入电压范围AC：190V～250V  50HZ；</w:t>
            </w:r>
            <w:r>
              <w:rPr>
                <w:rFonts w:hint="eastAsia"/>
                <w:color w:val="auto"/>
                <w:sz w:val="21"/>
                <w:szCs w:val="21"/>
                <w:highlight w:val="none"/>
                <w:lang w:val="en-US" w:bidi="ar"/>
              </w:rPr>
              <w:br w:type="textWrapping"/>
            </w:r>
            <w:r>
              <w:rPr>
                <w:rFonts w:hint="eastAsia"/>
                <w:color w:val="auto"/>
                <w:sz w:val="21"/>
                <w:szCs w:val="21"/>
                <w:highlight w:val="none"/>
                <w:lang w:val="en-US" w:bidi="ar"/>
              </w:rPr>
              <w:t>1.3输出电压范围：150KV～300KV；</w:t>
            </w:r>
            <w:r>
              <w:rPr>
                <w:rFonts w:hint="eastAsia"/>
                <w:color w:val="auto"/>
                <w:sz w:val="21"/>
                <w:szCs w:val="21"/>
                <w:highlight w:val="none"/>
                <w:lang w:val="en-US" w:bidi="ar"/>
              </w:rPr>
              <w:br w:type="textWrapping"/>
            </w:r>
            <w:r>
              <w:rPr>
                <w:rFonts w:hint="eastAsia"/>
                <w:color w:val="auto"/>
                <w:sz w:val="21"/>
                <w:szCs w:val="21"/>
                <w:highlight w:val="none"/>
                <w:lang w:val="en-US" w:bidi="ar"/>
              </w:rPr>
              <w:t>1.4电压级差KV：1 KV；</w:t>
            </w:r>
            <w:r>
              <w:rPr>
                <w:rFonts w:hint="eastAsia"/>
                <w:color w:val="auto"/>
                <w:sz w:val="21"/>
                <w:szCs w:val="21"/>
                <w:highlight w:val="none"/>
                <w:lang w:val="en-US" w:bidi="ar"/>
              </w:rPr>
              <w:br w:type="textWrapping"/>
            </w:r>
            <w:r>
              <w:rPr>
                <w:rFonts w:hint="eastAsia"/>
                <w:color w:val="auto"/>
                <w:sz w:val="21"/>
                <w:szCs w:val="21"/>
                <w:highlight w:val="none"/>
                <w:lang w:val="en-US" w:bidi="ar"/>
              </w:rPr>
              <w:t>1.5输出电流范围：2～5mA；</w:t>
            </w:r>
            <w:r>
              <w:rPr>
                <w:rFonts w:hint="eastAsia"/>
                <w:color w:val="auto"/>
                <w:sz w:val="21"/>
                <w:szCs w:val="21"/>
                <w:highlight w:val="none"/>
                <w:lang w:val="en-US" w:bidi="ar"/>
              </w:rPr>
              <w:br w:type="textWrapping"/>
            </w:r>
            <w:r>
              <w:rPr>
                <w:rFonts w:hint="eastAsia"/>
                <w:color w:val="auto"/>
                <w:sz w:val="21"/>
                <w:szCs w:val="21"/>
                <w:highlight w:val="none"/>
                <w:lang w:val="en-US" w:bidi="ar"/>
              </w:rPr>
              <w:t>1.6焦点尺寸：2.5×2.5；</w:t>
            </w:r>
            <w:r>
              <w:rPr>
                <w:rFonts w:hint="eastAsia"/>
                <w:color w:val="auto"/>
                <w:sz w:val="21"/>
                <w:szCs w:val="21"/>
                <w:highlight w:val="none"/>
                <w:lang w:val="en-US" w:bidi="ar"/>
              </w:rPr>
              <w:br w:type="textWrapping"/>
            </w:r>
            <w:r>
              <w:rPr>
                <w:rFonts w:hint="eastAsia"/>
                <w:color w:val="auto"/>
                <w:sz w:val="21"/>
                <w:szCs w:val="21"/>
                <w:highlight w:val="none"/>
                <w:lang w:val="en-US" w:bidi="ar"/>
              </w:rPr>
              <w:t>1.7★辐射角度：40+5°；</w:t>
            </w:r>
            <w:r>
              <w:rPr>
                <w:rFonts w:hint="eastAsia"/>
                <w:color w:val="auto"/>
                <w:sz w:val="21"/>
                <w:szCs w:val="21"/>
                <w:highlight w:val="none"/>
                <w:lang w:val="en-US" w:bidi="ar"/>
              </w:rPr>
              <w:br w:type="textWrapping"/>
            </w:r>
            <w:r>
              <w:rPr>
                <w:rFonts w:hint="eastAsia"/>
                <w:color w:val="auto"/>
                <w:sz w:val="21"/>
                <w:szCs w:val="21"/>
                <w:highlight w:val="none"/>
                <w:lang w:val="en-US" w:bidi="ar"/>
              </w:rPr>
              <w:t>1.8★灵敏度：≤1.8% ；</w:t>
            </w:r>
            <w:r>
              <w:rPr>
                <w:rFonts w:hint="eastAsia"/>
                <w:color w:val="auto"/>
                <w:sz w:val="21"/>
                <w:szCs w:val="21"/>
                <w:highlight w:val="none"/>
                <w:lang w:val="en-US" w:bidi="ar"/>
              </w:rPr>
              <w:br w:type="textWrapping"/>
            </w:r>
            <w:r>
              <w:rPr>
                <w:rFonts w:hint="eastAsia"/>
                <w:color w:val="auto"/>
                <w:sz w:val="21"/>
                <w:szCs w:val="21"/>
                <w:highlight w:val="none"/>
                <w:lang w:val="en-US" w:bidi="ar"/>
              </w:rPr>
              <w:t>1.9★绝缘方式：SF6气体绝缘；</w:t>
            </w:r>
            <w:r>
              <w:rPr>
                <w:rFonts w:hint="eastAsia"/>
                <w:color w:val="auto"/>
                <w:sz w:val="21"/>
                <w:szCs w:val="21"/>
                <w:highlight w:val="none"/>
                <w:lang w:val="en-US" w:bidi="ar"/>
              </w:rPr>
              <w:br w:type="textWrapping"/>
            </w:r>
            <w:r>
              <w:rPr>
                <w:rFonts w:hint="eastAsia"/>
                <w:color w:val="auto"/>
                <w:sz w:val="21"/>
                <w:szCs w:val="21"/>
                <w:highlight w:val="none"/>
                <w:lang w:val="en-US" w:bidi="ar"/>
              </w:rPr>
              <w:t>1.10气体压力：0.35MPa～0.45MPa；</w:t>
            </w:r>
            <w:r>
              <w:rPr>
                <w:rFonts w:hint="eastAsia"/>
                <w:color w:val="auto"/>
                <w:sz w:val="21"/>
                <w:szCs w:val="21"/>
                <w:highlight w:val="none"/>
                <w:lang w:val="en-US" w:bidi="ar"/>
              </w:rPr>
              <w:br w:type="textWrapping"/>
            </w:r>
            <w:r>
              <w:rPr>
                <w:rFonts w:hint="eastAsia"/>
                <w:color w:val="auto"/>
                <w:sz w:val="21"/>
                <w:szCs w:val="21"/>
                <w:highlight w:val="none"/>
                <w:lang w:val="en-US" w:bidi="ar"/>
              </w:rPr>
              <w:t>1.11★控制器型号：中文语音控制器；</w:t>
            </w:r>
            <w:r>
              <w:rPr>
                <w:rFonts w:hint="eastAsia"/>
                <w:color w:val="auto"/>
                <w:sz w:val="21"/>
                <w:szCs w:val="21"/>
                <w:highlight w:val="none"/>
                <w:lang w:val="en-US" w:bidi="ar"/>
              </w:rPr>
              <w:br w:type="textWrapping"/>
            </w:r>
            <w:r>
              <w:rPr>
                <w:rFonts w:hint="eastAsia"/>
                <w:color w:val="auto"/>
                <w:sz w:val="21"/>
                <w:szCs w:val="21"/>
                <w:highlight w:val="none"/>
                <w:lang w:val="en-US" w:bidi="ar"/>
              </w:rPr>
              <w:t>1.12重量 发生器：不大于29Kg 控制器：不大于8Kg；</w:t>
            </w:r>
            <w:r>
              <w:rPr>
                <w:rFonts w:hint="eastAsia"/>
                <w:color w:val="auto"/>
                <w:sz w:val="21"/>
                <w:szCs w:val="21"/>
                <w:highlight w:val="none"/>
                <w:lang w:val="en-US" w:bidi="ar"/>
              </w:rPr>
              <w:br w:type="textWrapping"/>
            </w:r>
            <w:r>
              <w:rPr>
                <w:rFonts w:hint="eastAsia"/>
                <w:color w:val="auto"/>
                <w:sz w:val="21"/>
                <w:szCs w:val="21"/>
                <w:highlight w:val="none"/>
                <w:lang w:val="en-US" w:bidi="ar"/>
              </w:rPr>
              <w:t>1.13穿透能力A3钢：50mm；</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1.14拍照条件：(材料A3钢底片天津3型焦距600mm 增感屏0.03mm铅箔曝光时间5分钟,显影条件20℃) </w:t>
            </w:r>
            <w:r>
              <w:rPr>
                <w:rFonts w:hint="eastAsia"/>
                <w:color w:val="auto"/>
                <w:sz w:val="21"/>
                <w:szCs w:val="21"/>
                <w:highlight w:val="none"/>
                <w:lang w:val="en-US" w:bidi="ar"/>
              </w:rPr>
              <w:br w:type="textWrapping"/>
            </w:r>
            <w:r>
              <w:rPr>
                <w:rFonts w:hint="eastAsia"/>
                <w:color w:val="auto"/>
                <w:sz w:val="21"/>
                <w:szCs w:val="21"/>
                <w:highlight w:val="none"/>
                <w:lang w:val="en-US" w:bidi="ar"/>
              </w:rPr>
              <w:t>2.整机配置：</w:t>
            </w:r>
            <w:r>
              <w:rPr>
                <w:rFonts w:hint="eastAsia"/>
                <w:color w:val="auto"/>
                <w:sz w:val="21"/>
                <w:szCs w:val="21"/>
                <w:highlight w:val="none"/>
                <w:lang w:val="en-US" w:bidi="ar"/>
              </w:rPr>
              <w:br w:type="textWrapping"/>
            </w:r>
            <w:r>
              <w:rPr>
                <w:rFonts w:hint="eastAsia"/>
                <w:color w:val="auto"/>
                <w:sz w:val="21"/>
                <w:szCs w:val="21"/>
                <w:highlight w:val="none"/>
                <w:lang w:val="en-US" w:bidi="ar"/>
              </w:rPr>
              <w:t>2.1 300kV定向X射线机 1台；</w:t>
            </w:r>
            <w:r>
              <w:rPr>
                <w:rFonts w:hint="eastAsia"/>
                <w:color w:val="auto"/>
                <w:sz w:val="21"/>
                <w:szCs w:val="21"/>
                <w:highlight w:val="none"/>
                <w:lang w:val="en-US" w:bidi="ar"/>
              </w:rPr>
              <w:br w:type="textWrapping"/>
            </w:r>
            <w:r>
              <w:rPr>
                <w:rFonts w:hint="eastAsia"/>
                <w:color w:val="auto"/>
                <w:sz w:val="21"/>
                <w:szCs w:val="21"/>
                <w:highlight w:val="none"/>
                <w:lang w:val="en-US" w:bidi="ar"/>
              </w:rPr>
              <w:t>2.1.1 主机配置清单：</w:t>
            </w:r>
            <w:r>
              <w:rPr>
                <w:rFonts w:hint="eastAsia"/>
                <w:color w:val="auto"/>
                <w:sz w:val="21"/>
                <w:szCs w:val="21"/>
                <w:highlight w:val="none"/>
                <w:lang w:val="en-US" w:bidi="ar"/>
              </w:rPr>
              <w:br w:type="textWrapping"/>
            </w:r>
            <w:r>
              <w:rPr>
                <w:rFonts w:hint="eastAsia"/>
                <w:color w:val="auto"/>
                <w:sz w:val="21"/>
                <w:szCs w:val="21"/>
                <w:highlight w:val="none"/>
                <w:lang w:val="en-US" w:bidi="ar"/>
              </w:rPr>
              <w:t>2.1.1.1 发生器1台；2.1.1.2 控制器1台；2.1.1.3 连接电缆 1根；2.1.1.4 电源电缆 1根；</w:t>
            </w:r>
            <w:r>
              <w:rPr>
                <w:rFonts w:hint="eastAsia"/>
                <w:color w:val="auto"/>
                <w:sz w:val="21"/>
                <w:szCs w:val="21"/>
                <w:highlight w:val="none"/>
                <w:lang w:val="en-US" w:bidi="ar"/>
              </w:rPr>
              <w:br w:type="textWrapping"/>
            </w:r>
            <w:r>
              <w:rPr>
                <w:rFonts w:hint="eastAsia"/>
                <w:color w:val="auto"/>
                <w:sz w:val="21"/>
                <w:szCs w:val="21"/>
                <w:highlight w:val="none"/>
                <w:lang w:val="en-US" w:bidi="ar"/>
              </w:rPr>
              <w:t>2.1.1.5 中文说明书1本、中文操作视频1个 合格证1张、保修卡1张、装箱卡1张，防尘罩1个；</w:t>
            </w:r>
            <w:r>
              <w:rPr>
                <w:rFonts w:hint="eastAsia"/>
                <w:color w:val="auto"/>
                <w:sz w:val="21"/>
                <w:szCs w:val="21"/>
                <w:highlight w:val="none"/>
                <w:lang w:val="en-US" w:bidi="ar"/>
              </w:rPr>
              <w:br w:type="textWrapping"/>
            </w:r>
            <w:r>
              <w:rPr>
                <w:rFonts w:hint="eastAsia"/>
                <w:color w:val="auto"/>
                <w:sz w:val="21"/>
                <w:szCs w:val="21"/>
                <w:highlight w:val="none"/>
                <w:lang w:val="en-US" w:bidi="ar"/>
              </w:rPr>
              <w:t>2.2  射线梯形试块 1个；</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2.3  暗室红灯定时器 2个 </w:t>
            </w:r>
            <w:r>
              <w:rPr>
                <w:rFonts w:hint="eastAsia"/>
                <w:color w:val="auto"/>
                <w:sz w:val="21"/>
                <w:szCs w:val="21"/>
                <w:highlight w:val="none"/>
                <w:lang w:val="en-US" w:bidi="ar"/>
              </w:rPr>
              <w:br w:type="textWrapping"/>
            </w:r>
            <w:r>
              <w:rPr>
                <w:rFonts w:hint="eastAsia"/>
                <w:color w:val="auto"/>
                <w:sz w:val="21"/>
                <w:szCs w:val="21"/>
                <w:highlight w:val="none"/>
                <w:lang w:val="en-US" w:bidi="ar"/>
              </w:rPr>
              <w:t>2.3.1暗室红灯定时器主要技术参数：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2.3.1.1最大定时时间：99分59秒； 2.3.1.2额定电压：220V/50HZ； 2.3.1.3 额定功率：10W ；2.3.1.4 重量：不大于0.8Kg；</w:t>
            </w:r>
            <w:r>
              <w:rPr>
                <w:rFonts w:hint="eastAsia"/>
                <w:color w:val="auto"/>
                <w:sz w:val="21"/>
                <w:szCs w:val="21"/>
                <w:highlight w:val="none"/>
                <w:lang w:val="en-US" w:bidi="ar"/>
              </w:rPr>
              <w:br w:type="textWrapping"/>
            </w:r>
            <w:r>
              <w:rPr>
                <w:rFonts w:hint="eastAsia"/>
                <w:color w:val="auto"/>
                <w:sz w:val="21"/>
                <w:szCs w:val="21"/>
                <w:highlight w:val="none"/>
                <w:lang w:val="en-US" w:bidi="ar"/>
              </w:rPr>
              <w:t>2.3.1暗室红灯定时器配置清单：</w:t>
            </w:r>
            <w:r>
              <w:rPr>
                <w:rFonts w:hint="eastAsia"/>
                <w:color w:val="auto"/>
                <w:sz w:val="21"/>
                <w:szCs w:val="21"/>
                <w:highlight w:val="none"/>
                <w:lang w:val="en-US" w:bidi="ar"/>
              </w:rPr>
              <w:br w:type="textWrapping"/>
            </w:r>
            <w:r>
              <w:rPr>
                <w:rFonts w:hint="eastAsia"/>
                <w:color w:val="auto"/>
                <w:sz w:val="21"/>
                <w:szCs w:val="21"/>
                <w:highlight w:val="none"/>
                <w:lang w:val="en-US" w:bidi="ar"/>
              </w:rPr>
              <w:t>2.3.1.1暗室红灯定时器2台；2.3.1.2防尘罩、操作手册、合格证、保修卡2份。</w:t>
            </w:r>
            <w:r>
              <w:rPr>
                <w:rFonts w:hint="eastAsia"/>
                <w:color w:val="auto"/>
                <w:sz w:val="21"/>
                <w:szCs w:val="21"/>
                <w:highlight w:val="none"/>
                <w:lang w:val="en-US" w:bidi="ar"/>
              </w:rPr>
              <w:br w:type="textWrapping"/>
            </w:r>
            <w:r>
              <w:rPr>
                <w:rFonts w:hint="eastAsia"/>
                <w:color w:val="auto"/>
                <w:sz w:val="21"/>
                <w:szCs w:val="21"/>
                <w:highlight w:val="none"/>
                <w:lang w:val="en-US" w:bidi="ar"/>
              </w:rPr>
              <w:t>二、安装培训 供方负责运输、吊运到需方的指定安装地，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常见故障的检查与排除。</w:t>
            </w:r>
            <w:r>
              <w:rPr>
                <w:rFonts w:hint="eastAsia"/>
                <w:color w:val="auto"/>
                <w:sz w:val="21"/>
                <w:szCs w:val="21"/>
                <w:highlight w:val="none"/>
                <w:lang w:val="en-US" w:bidi="ar"/>
              </w:rPr>
              <w:br w:type="textWrapping"/>
            </w:r>
            <w:r>
              <w:rPr>
                <w:rFonts w:hint="eastAsia"/>
                <w:color w:val="auto"/>
                <w:sz w:val="21"/>
                <w:szCs w:val="21"/>
                <w:highlight w:val="none"/>
                <w:lang w:val="en-US" w:bidi="ar"/>
              </w:rPr>
              <w:t>三、 带省级以上部门出具的检定合格证书（计量机构和检定/校准参数范围由使用方指定）；投标方必须提供所投产品由制造方提供含技术参数的印刷宣传彩页或原版含技术参数的使用说明书；所投产品软件终身不应加密，提供保证书。</w:t>
            </w:r>
            <w:r>
              <w:rPr>
                <w:rFonts w:hint="eastAsia"/>
                <w:color w:val="auto"/>
                <w:sz w:val="21"/>
                <w:szCs w:val="21"/>
                <w:highlight w:val="none"/>
                <w:lang w:val="en-US" w:bidi="ar"/>
              </w:rPr>
              <w:br w:type="textWrapping"/>
            </w:r>
            <w:r>
              <w:rPr>
                <w:rFonts w:hint="eastAsia"/>
                <w:color w:val="auto"/>
                <w:sz w:val="21"/>
                <w:szCs w:val="21"/>
                <w:highlight w:val="none"/>
                <w:lang w:val="en-US" w:bidi="ar"/>
              </w:rPr>
              <w:t>四、质保期及售后服务质保期为设备验收合格后36个月，保修期后设备维修人员的差旅费我方不承担。在使用过程中，如遇问题，4小时内响应并给出解决方案，12小时内到现场进行维修服务。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s="Times New Roman"/>
                <w:color w:val="auto"/>
                <w:highlight w:val="none"/>
                <w:lang w:val="en-US" w:bidi="ar"/>
              </w:rPr>
            </w:pPr>
            <w:r>
              <w:rPr>
                <w:rFonts w:ascii="Times New Roman" w:hAnsi="Times New Roman" w:cs="Times New Roman"/>
                <w:color w:val="auto"/>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autoSpaceDN/>
              <w:jc w:val="center"/>
              <w:rPr>
                <w:color w:val="auto"/>
                <w:kern w:val="2"/>
                <w:sz w:val="21"/>
                <w:szCs w:val="21"/>
                <w:highlight w:val="none"/>
                <w:lang w:val="en-US" w:bidi="ar-SA"/>
              </w:rPr>
            </w:pPr>
          </w:p>
        </w:tc>
      </w:tr>
      <w:tr>
        <w:tblPrEx>
          <w:tblCellMar>
            <w:top w:w="0" w:type="dxa"/>
            <w:left w:w="108" w:type="dxa"/>
            <w:bottom w:w="0" w:type="dxa"/>
            <w:right w:w="108" w:type="dxa"/>
          </w:tblCellMar>
        </w:tblPrEx>
        <w:trPr>
          <w:trHeight w:val="9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kern w:val="2"/>
                <w:sz w:val="21"/>
                <w:szCs w:val="21"/>
                <w:highlight w:val="none"/>
                <w:lang w:val="en-US" w:bidi="ar-SA"/>
              </w:rPr>
            </w:pPr>
            <w:r>
              <w:rPr>
                <w:rFonts w:hint="eastAsia"/>
                <w:color w:val="auto"/>
                <w:sz w:val="21"/>
                <w:szCs w:val="21"/>
                <w:highlight w:val="none"/>
                <w:lang w:val="en-US" w:bidi="ar"/>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kern w:val="2"/>
                <w:sz w:val="21"/>
                <w:szCs w:val="21"/>
                <w:highlight w:val="none"/>
                <w:lang w:val="en-US" w:bidi="ar-SA"/>
              </w:rPr>
            </w:pPr>
            <w:r>
              <w:rPr>
                <w:rFonts w:ascii="Times New Roman" w:hAnsi="Times New Roman" w:cs="Times New Roman"/>
                <w:color w:val="auto"/>
                <w:highlight w:val="none"/>
                <w:lang w:val="en-US" w:bidi="ar"/>
              </w:rPr>
              <w:t>250kV</w:t>
            </w:r>
            <w:r>
              <w:rPr>
                <w:rFonts w:hint="eastAsia"/>
                <w:color w:val="auto"/>
                <w:highlight w:val="none"/>
                <w:lang w:val="en-US" w:bidi="ar"/>
              </w:rPr>
              <w:t>定向</w:t>
            </w:r>
            <w:r>
              <w:rPr>
                <w:rFonts w:ascii="Times New Roman" w:hAnsi="Times New Roman" w:cs="Times New Roman"/>
                <w:color w:val="auto"/>
                <w:highlight w:val="none"/>
                <w:lang w:val="en-US" w:bidi="ar"/>
              </w:rPr>
              <w:t>X</w:t>
            </w:r>
            <w:r>
              <w:rPr>
                <w:rFonts w:hint="eastAsia"/>
                <w:color w:val="auto"/>
                <w:highlight w:val="none"/>
                <w:lang w:val="en-US" w:bidi="ar"/>
              </w:rPr>
              <w:t>射线机</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kern w:val="2"/>
                <w:sz w:val="21"/>
                <w:szCs w:val="21"/>
                <w:highlight w:val="none"/>
                <w:lang w:val="en-US" w:bidi="ar-SA"/>
              </w:rPr>
            </w:pPr>
            <w:r>
              <w:rPr>
                <w:rFonts w:hint="eastAsia"/>
                <w:color w:val="auto"/>
                <w:sz w:val="21"/>
                <w:szCs w:val="21"/>
                <w:highlight w:val="none"/>
                <w:lang w:val="en-US" w:bidi="ar"/>
              </w:rPr>
              <w:t>一、技术参数及性能描述要求</w:t>
            </w:r>
            <w:r>
              <w:rPr>
                <w:rFonts w:hint="eastAsia"/>
                <w:color w:val="auto"/>
                <w:sz w:val="21"/>
                <w:szCs w:val="21"/>
                <w:highlight w:val="none"/>
                <w:lang w:val="en-US" w:bidi="ar"/>
              </w:rPr>
              <w:br w:type="textWrapping"/>
            </w:r>
            <w:r>
              <w:rPr>
                <w:rFonts w:hint="eastAsia"/>
                <w:color w:val="auto"/>
                <w:sz w:val="21"/>
                <w:szCs w:val="21"/>
                <w:highlight w:val="none"/>
                <w:lang w:val="en-US" w:bidi="ar"/>
              </w:rPr>
              <w:t>仪器应符合 NB/T 47013.2-2015《承压设备无损检测第2部分:射线检测》、GB/T 37910.1-2019《焊缝无损检测射线检测验收等级 第1部分：钢、镍、钛及其合金》、GB/T3323.1-2019《焊缝无损检测射线检测第1部分：X和伽玛射线的胶片技术》等国家标准和行业标准要求。                                                                                  1.主要技术参数：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1.1 ★输入功率：≤2.5KVA；</w:t>
            </w:r>
            <w:r>
              <w:rPr>
                <w:rFonts w:hint="eastAsia"/>
                <w:color w:val="auto"/>
                <w:sz w:val="21"/>
                <w:szCs w:val="21"/>
                <w:highlight w:val="none"/>
                <w:lang w:val="en-US" w:bidi="ar"/>
              </w:rPr>
              <w:br w:type="textWrapping"/>
            </w:r>
            <w:r>
              <w:rPr>
                <w:rFonts w:hint="eastAsia"/>
                <w:color w:val="auto"/>
                <w:sz w:val="21"/>
                <w:szCs w:val="21"/>
                <w:highlight w:val="none"/>
                <w:lang w:val="en-US" w:bidi="ar"/>
              </w:rPr>
              <w:t>1.2 输入电压范围AC：190V～250V  50HZ；1.3 输出电压范围：100KV～250KV；1.4 电压级差KV：1 KV；1.5 输出电流范围：2～5mA；</w:t>
            </w:r>
            <w:r>
              <w:rPr>
                <w:rFonts w:hint="eastAsia"/>
                <w:color w:val="auto"/>
                <w:sz w:val="21"/>
                <w:szCs w:val="21"/>
                <w:highlight w:val="none"/>
                <w:lang w:val="en-US" w:bidi="ar"/>
              </w:rPr>
              <w:br w:type="textWrapping"/>
            </w:r>
            <w:r>
              <w:rPr>
                <w:rFonts w:hint="eastAsia"/>
                <w:color w:val="auto"/>
                <w:sz w:val="21"/>
                <w:szCs w:val="21"/>
                <w:highlight w:val="none"/>
                <w:lang w:val="en-US" w:bidi="ar"/>
              </w:rPr>
              <w:t>1.6 焦点尺寸：2.0×2.0 ；</w:t>
            </w:r>
            <w:r>
              <w:rPr>
                <w:rFonts w:hint="eastAsia"/>
                <w:color w:val="auto"/>
                <w:sz w:val="21"/>
                <w:szCs w:val="21"/>
                <w:highlight w:val="none"/>
                <w:lang w:val="en-US" w:bidi="ar"/>
              </w:rPr>
              <w:br w:type="textWrapping"/>
            </w:r>
            <w:r>
              <w:rPr>
                <w:rFonts w:hint="eastAsia"/>
                <w:color w:val="auto"/>
                <w:sz w:val="21"/>
                <w:szCs w:val="21"/>
                <w:highlight w:val="none"/>
                <w:lang w:val="en-US" w:bidi="ar"/>
              </w:rPr>
              <w:t>1.7 ★辐射角度：40+5 °；</w:t>
            </w:r>
            <w:r>
              <w:rPr>
                <w:rFonts w:hint="eastAsia"/>
                <w:color w:val="auto"/>
                <w:sz w:val="21"/>
                <w:szCs w:val="21"/>
                <w:highlight w:val="none"/>
                <w:lang w:val="en-US" w:bidi="ar"/>
              </w:rPr>
              <w:br w:type="textWrapping"/>
            </w:r>
            <w:r>
              <w:rPr>
                <w:rFonts w:hint="eastAsia"/>
                <w:color w:val="auto"/>
                <w:sz w:val="21"/>
                <w:szCs w:val="21"/>
                <w:highlight w:val="none"/>
                <w:lang w:val="en-US" w:bidi="ar"/>
              </w:rPr>
              <w:t>1.8 ★灵敏度：≤1.8% ；</w:t>
            </w:r>
            <w:r>
              <w:rPr>
                <w:rFonts w:hint="eastAsia"/>
                <w:color w:val="auto"/>
                <w:sz w:val="21"/>
                <w:szCs w:val="21"/>
                <w:highlight w:val="none"/>
                <w:lang w:val="en-US" w:bidi="ar"/>
              </w:rPr>
              <w:br w:type="textWrapping"/>
            </w:r>
            <w:r>
              <w:rPr>
                <w:rFonts w:hint="eastAsia"/>
                <w:color w:val="auto"/>
                <w:sz w:val="21"/>
                <w:szCs w:val="21"/>
                <w:highlight w:val="none"/>
                <w:lang w:val="en-US" w:bidi="ar"/>
              </w:rPr>
              <w:t>1.9 ★绝缘方式：SF6气体绝缘；</w:t>
            </w:r>
            <w:r>
              <w:rPr>
                <w:rFonts w:hint="eastAsia"/>
                <w:color w:val="auto"/>
                <w:sz w:val="21"/>
                <w:szCs w:val="21"/>
                <w:highlight w:val="none"/>
                <w:lang w:val="en-US" w:bidi="ar"/>
              </w:rPr>
              <w:br w:type="textWrapping"/>
            </w:r>
            <w:r>
              <w:rPr>
                <w:rFonts w:hint="eastAsia"/>
                <w:color w:val="auto"/>
                <w:sz w:val="21"/>
                <w:szCs w:val="21"/>
                <w:highlight w:val="none"/>
                <w:lang w:val="en-US" w:bidi="ar"/>
              </w:rPr>
              <w:t>1.10 气体压力：0.35MPa～0.45MPa；</w:t>
            </w:r>
            <w:r>
              <w:rPr>
                <w:rFonts w:hint="eastAsia"/>
                <w:color w:val="auto"/>
                <w:sz w:val="21"/>
                <w:szCs w:val="21"/>
                <w:highlight w:val="none"/>
                <w:lang w:val="en-US" w:bidi="ar"/>
              </w:rPr>
              <w:br w:type="textWrapping"/>
            </w:r>
            <w:r>
              <w:rPr>
                <w:rFonts w:hint="eastAsia"/>
                <w:color w:val="auto"/>
                <w:sz w:val="21"/>
                <w:szCs w:val="21"/>
                <w:highlight w:val="none"/>
                <w:lang w:val="en-US" w:bidi="ar"/>
              </w:rPr>
              <w:t>1.11 ★控制器型号：中文语音控制器；</w:t>
            </w:r>
            <w:r>
              <w:rPr>
                <w:rFonts w:hint="eastAsia"/>
                <w:color w:val="auto"/>
                <w:sz w:val="21"/>
                <w:szCs w:val="21"/>
                <w:highlight w:val="none"/>
                <w:lang w:val="en-US" w:bidi="ar"/>
              </w:rPr>
              <w:br w:type="textWrapping"/>
            </w:r>
            <w:r>
              <w:rPr>
                <w:rFonts w:hint="eastAsia"/>
                <w:color w:val="auto"/>
                <w:sz w:val="21"/>
                <w:szCs w:val="21"/>
                <w:highlight w:val="none"/>
                <w:lang w:val="en-US" w:bidi="ar"/>
              </w:rPr>
              <w:t>1.12 重量 发生器：不大于22Kg 控制器：不大于8Kg；</w:t>
            </w:r>
            <w:r>
              <w:rPr>
                <w:rFonts w:hint="eastAsia"/>
                <w:color w:val="auto"/>
                <w:sz w:val="21"/>
                <w:szCs w:val="21"/>
                <w:highlight w:val="none"/>
                <w:lang w:val="en-US" w:bidi="ar"/>
              </w:rPr>
              <w:br w:type="textWrapping"/>
            </w:r>
            <w:r>
              <w:rPr>
                <w:rFonts w:hint="eastAsia"/>
                <w:color w:val="auto"/>
                <w:sz w:val="21"/>
                <w:szCs w:val="21"/>
                <w:highlight w:val="none"/>
                <w:lang w:val="en-US" w:bidi="ar"/>
              </w:rPr>
              <w:t>1.13 穿透能力A3钢：40mm；</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1.14 拍照条件：(材料A3钢底片天津3型焦距600mm 增感屏0.03mm铅箔曝光时间5分钟,显影条件20℃) </w:t>
            </w:r>
            <w:r>
              <w:rPr>
                <w:rFonts w:hint="eastAsia"/>
                <w:color w:val="auto"/>
                <w:sz w:val="21"/>
                <w:szCs w:val="21"/>
                <w:highlight w:val="none"/>
                <w:lang w:val="en-US" w:bidi="ar"/>
              </w:rPr>
              <w:br w:type="textWrapping"/>
            </w:r>
            <w:r>
              <w:rPr>
                <w:rFonts w:hint="eastAsia"/>
                <w:color w:val="auto"/>
                <w:sz w:val="21"/>
                <w:szCs w:val="21"/>
                <w:highlight w:val="none"/>
                <w:lang w:val="en-US" w:bidi="ar"/>
              </w:rPr>
              <w:t>2.整机配置：</w:t>
            </w:r>
            <w:r>
              <w:rPr>
                <w:rFonts w:hint="eastAsia"/>
                <w:color w:val="auto"/>
                <w:sz w:val="21"/>
                <w:szCs w:val="21"/>
                <w:highlight w:val="none"/>
                <w:lang w:val="en-US" w:bidi="ar"/>
              </w:rPr>
              <w:br w:type="textWrapping"/>
            </w:r>
            <w:r>
              <w:rPr>
                <w:rFonts w:hint="eastAsia"/>
                <w:color w:val="auto"/>
                <w:sz w:val="21"/>
                <w:szCs w:val="21"/>
                <w:highlight w:val="none"/>
                <w:lang w:val="en-US" w:bidi="ar"/>
              </w:rPr>
              <w:t>2.1 250kV定向X射线机 1台；</w:t>
            </w:r>
            <w:r>
              <w:rPr>
                <w:rFonts w:hint="eastAsia"/>
                <w:color w:val="auto"/>
                <w:sz w:val="21"/>
                <w:szCs w:val="21"/>
                <w:highlight w:val="none"/>
                <w:lang w:val="en-US" w:bidi="ar"/>
              </w:rPr>
              <w:br w:type="textWrapping"/>
            </w:r>
            <w:r>
              <w:rPr>
                <w:rFonts w:hint="eastAsia"/>
                <w:color w:val="auto"/>
                <w:sz w:val="21"/>
                <w:szCs w:val="21"/>
                <w:highlight w:val="none"/>
                <w:lang w:val="en-US" w:bidi="ar"/>
              </w:rPr>
              <w:t>2.1.1 主机配置清单：</w:t>
            </w:r>
            <w:r>
              <w:rPr>
                <w:rFonts w:hint="eastAsia"/>
                <w:color w:val="auto"/>
                <w:sz w:val="21"/>
                <w:szCs w:val="21"/>
                <w:highlight w:val="none"/>
                <w:lang w:val="en-US" w:bidi="ar"/>
              </w:rPr>
              <w:br w:type="textWrapping"/>
            </w:r>
            <w:r>
              <w:rPr>
                <w:rFonts w:hint="eastAsia"/>
                <w:color w:val="auto"/>
                <w:sz w:val="21"/>
                <w:szCs w:val="21"/>
                <w:highlight w:val="none"/>
                <w:lang w:val="en-US" w:bidi="ar"/>
              </w:rPr>
              <w:t>2.1.1.1 发生器1台；2.1.1.2 控制器1台；2.1.1.3 连接电缆 1根；2.1.1.4 电源电缆 1根； 2.1.1.5 中文说明书1本、中文操作视频1个 合格证1张、保修卡1张、装箱卡1张，防尘罩1个；</w:t>
            </w:r>
            <w:r>
              <w:rPr>
                <w:rFonts w:hint="eastAsia"/>
                <w:color w:val="auto"/>
                <w:sz w:val="21"/>
                <w:szCs w:val="21"/>
                <w:highlight w:val="none"/>
                <w:lang w:val="en-US" w:bidi="ar"/>
              </w:rPr>
              <w:br w:type="textWrapping"/>
            </w:r>
            <w:r>
              <w:rPr>
                <w:rFonts w:hint="eastAsia"/>
                <w:color w:val="auto"/>
                <w:sz w:val="21"/>
                <w:szCs w:val="21"/>
                <w:highlight w:val="none"/>
                <w:lang w:val="en-US" w:bidi="ar"/>
              </w:rPr>
              <w:t>2.2 射线报警仪 6台</w:t>
            </w:r>
            <w:r>
              <w:rPr>
                <w:rFonts w:hint="eastAsia"/>
                <w:color w:val="auto"/>
                <w:sz w:val="21"/>
                <w:szCs w:val="21"/>
                <w:highlight w:val="none"/>
                <w:lang w:val="en-US" w:bidi="ar"/>
              </w:rPr>
              <w:br w:type="textWrapping"/>
            </w:r>
            <w:r>
              <w:rPr>
                <w:rFonts w:hint="eastAsia"/>
                <w:color w:val="auto"/>
                <w:sz w:val="21"/>
                <w:szCs w:val="21"/>
                <w:highlight w:val="none"/>
                <w:lang w:val="en-US" w:bidi="ar"/>
              </w:rPr>
              <w:t>2.2.1 射线报警仪主要技术特点及参数</w:t>
            </w:r>
            <w:r>
              <w:rPr>
                <w:rFonts w:hint="eastAsia"/>
                <w:color w:val="auto"/>
                <w:sz w:val="21"/>
                <w:szCs w:val="21"/>
                <w:highlight w:val="none"/>
                <w:lang w:val="en-US" w:bidi="ar"/>
              </w:rPr>
              <w:br w:type="textWrapping"/>
            </w:r>
            <w:r>
              <w:rPr>
                <w:rFonts w:hint="eastAsia"/>
                <w:color w:val="auto"/>
                <w:sz w:val="21"/>
                <w:szCs w:val="21"/>
                <w:highlight w:val="none"/>
                <w:lang w:val="en-US" w:bidi="ar"/>
              </w:rPr>
              <w:t>2.2.1.1 ★探测射线：γ、X 和硬β射线；</w:t>
            </w:r>
            <w:r>
              <w:rPr>
                <w:rFonts w:hint="eastAsia"/>
                <w:color w:val="auto"/>
                <w:sz w:val="21"/>
                <w:szCs w:val="21"/>
                <w:highlight w:val="none"/>
                <w:lang w:val="en-US" w:bidi="ar"/>
              </w:rPr>
              <w:br w:type="textWrapping"/>
            </w:r>
            <w:r>
              <w:rPr>
                <w:rFonts w:hint="eastAsia"/>
                <w:color w:val="auto"/>
                <w:sz w:val="21"/>
                <w:szCs w:val="21"/>
                <w:highlight w:val="none"/>
                <w:lang w:val="en-US" w:bidi="ar"/>
              </w:rPr>
              <w:t>2.2.1.2 探测器：能量补偿GM管(盖格计数管)，低能响应特性好；</w:t>
            </w:r>
            <w:r>
              <w:rPr>
                <w:rFonts w:hint="eastAsia"/>
                <w:color w:val="auto"/>
                <w:sz w:val="21"/>
                <w:szCs w:val="21"/>
                <w:highlight w:val="none"/>
                <w:lang w:val="en-US" w:bidi="ar"/>
              </w:rPr>
              <w:br w:type="textWrapping"/>
            </w:r>
            <w:r>
              <w:rPr>
                <w:rFonts w:hint="eastAsia"/>
                <w:color w:val="auto"/>
                <w:sz w:val="21"/>
                <w:szCs w:val="21"/>
                <w:highlight w:val="none"/>
                <w:lang w:val="en-US" w:bidi="ar"/>
              </w:rPr>
              <w:t>2.2.1.3 ★测量范围：（1）剂量率：0.01～1000μSv/h；（2）累积剂量： 0.01μSv～500.0mSv；</w:t>
            </w:r>
            <w:r>
              <w:rPr>
                <w:rFonts w:hint="eastAsia"/>
                <w:color w:val="auto"/>
                <w:sz w:val="21"/>
                <w:szCs w:val="21"/>
                <w:highlight w:val="none"/>
                <w:lang w:val="en-US" w:bidi="ar"/>
              </w:rPr>
              <w:br w:type="textWrapping"/>
            </w:r>
            <w:r>
              <w:rPr>
                <w:rFonts w:hint="eastAsia"/>
                <w:color w:val="auto"/>
                <w:sz w:val="21"/>
                <w:szCs w:val="21"/>
                <w:highlight w:val="none"/>
                <w:lang w:val="en-US" w:bidi="ar"/>
              </w:rPr>
              <w:t>2.2.1.4 ★能量响应：50 keV～1.5 MeV；</w:t>
            </w:r>
            <w:r>
              <w:rPr>
                <w:rFonts w:hint="eastAsia"/>
                <w:color w:val="auto"/>
                <w:sz w:val="21"/>
                <w:szCs w:val="21"/>
                <w:highlight w:val="none"/>
                <w:lang w:val="en-US" w:bidi="ar"/>
              </w:rPr>
              <w:br w:type="textWrapping"/>
            </w:r>
            <w:r>
              <w:rPr>
                <w:rFonts w:hint="eastAsia"/>
                <w:color w:val="auto"/>
                <w:sz w:val="21"/>
                <w:szCs w:val="21"/>
                <w:highlight w:val="none"/>
                <w:lang w:val="en-US" w:bidi="ar"/>
              </w:rPr>
              <w:t>2.2.1.5 ★相对误差： ≤ ±15%；</w:t>
            </w:r>
            <w:r>
              <w:rPr>
                <w:rFonts w:hint="eastAsia"/>
                <w:color w:val="auto"/>
                <w:sz w:val="21"/>
                <w:szCs w:val="21"/>
                <w:highlight w:val="none"/>
                <w:lang w:val="en-US" w:bidi="ar"/>
              </w:rPr>
              <w:br w:type="textWrapping"/>
            </w:r>
            <w:r>
              <w:rPr>
                <w:rFonts w:hint="eastAsia"/>
                <w:color w:val="auto"/>
                <w:sz w:val="21"/>
                <w:szCs w:val="21"/>
                <w:highlight w:val="none"/>
                <w:lang w:val="en-US" w:bidi="ar"/>
              </w:rPr>
              <w:t>2.2.1.6 ★灵敏度：80 CPM /μSv/h (对于Co60)；</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2.2.2 射线报警仪配置清单: </w:t>
            </w:r>
            <w:r>
              <w:rPr>
                <w:rFonts w:hint="eastAsia"/>
                <w:color w:val="auto"/>
                <w:sz w:val="21"/>
                <w:szCs w:val="21"/>
                <w:highlight w:val="none"/>
                <w:lang w:val="en-US" w:bidi="ar"/>
              </w:rPr>
              <w:br w:type="textWrapping"/>
            </w:r>
            <w:r>
              <w:rPr>
                <w:rFonts w:hint="eastAsia"/>
                <w:color w:val="auto"/>
                <w:sz w:val="21"/>
                <w:szCs w:val="21"/>
                <w:highlight w:val="none"/>
                <w:lang w:val="en-US" w:bidi="ar"/>
              </w:rPr>
              <w:t>2.2.2.1 射线报警仪 6台；2.2.2.2 操作手册、合格证、保修卡 6份；铝合金仪器箱6个，装箱卡6张，防尘罩6个。</w:t>
            </w:r>
            <w:r>
              <w:rPr>
                <w:rFonts w:hint="eastAsia"/>
                <w:color w:val="auto"/>
                <w:sz w:val="21"/>
                <w:szCs w:val="21"/>
                <w:highlight w:val="none"/>
                <w:lang w:val="en-US" w:bidi="ar"/>
              </w:rPr>
              <w:br w:type="textWrapping"/>
            </w:r>
            <w:r>
              <w:rPr>
                <w:rFonts w:hint="eastAsia"/>
                <w:color w:val="auto"/>
                <w:sz w:val="21"/>
                <w:szCs w:val="21"/>
                <w:highlight w:val="none"/>
                <w:lang w:val="en-US" w:bidi="ar"/>
              </w:rPr>
              <w:t>二、安装培训 供方负责运输、吊运到需方的指定安装地，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常见故障的检查与排除。</w:t>
            </w:r>
            <w:r>
              <w:rPr>
                <w:rFonts w:hint="eastAsia"/>
                <w:color w:val="auto"/>
                <w:sz w:val="21"/>
                <w:szCs w:val="21"/>
                <w:highlight w:val="none"/>
                <w:lang w:val="en-US" w:bidi="ar"/>
              </w:rPr>
              <w:br w:type="textWrapping"/>
            </w:r>
            <w:r>
              <w:rPr>
                <w:rFonts w:hint="eastAsia"/>
                <w:color w:val="auto"/>
                <w:sz w:val="21"/>
                <w:szCs w:val="21"/>
                <w:highlight w:val="none"/>
                <w:lang w:val="en-US" w:bidi="ar"/>
              </w:rPr>
              <w:t>三、 带省级以上部门出具的检定合格证书（计量机构和检定/校准参数范围由使用方指定）；投标方必须提供所投产品由制造方提供含技术参数的印刷宣传彩页或原版含技术参数的使用说明书；所投产品软件终身不应加密，提供保证书。</w:t>
            </w:r>
            <w:r>
              <w:rPr>
                <w:rFonts w:hint="eastAsia"/>
                <w:color w:val="auto"/>
                <w:sz w:val="21"/>
                <w:szCs w:val="21"/>
                <w:highlight w:val="none"/>
                <w:lang w:val="en-US" w:bidi="ar"/>
              </w:rPr>
              <w:br w:type="textWrapping"/>
            </w:r>
            <w:r>
              <w:rPr>
                <w:rFonts w:hint="eastAsia"/>
                <w:color w:val="auto"/>
                <w:sz w:val="21"/>
                <w:szCs w:val="21"/>
                <w:highlight w:val="none"/>
                <w:lang w:val="en-US" w:bidi="ar"/>
              </w:rPr>
              <w:t>四、质保期及售后服务质保期为设备验收合格后36个月，保修期后设备维修人员的差旅费我方不承担。在使用过程中，如遇问题，4小时内响应并给出解决方案，12小时内到现场进行维修服务。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s="Times New Roman"/>
                <w:color w:val="auto"/>
                <w:highlight w:val="none"/>
                <w:lang w:val="en-US" w:bidi="ar"/>
              </w:rPr>
            </w:pPr>
            <w:r>
              <w:rPr>
                <w:rFonts w:ascii="Times New Roman" w:hAnsi="Times New Roman" w:cs="Times New Roman"/>
                <w:color w:val="auto"/>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autoSpaceDN/>
              <w:jc w:val="center"/>
              <w:rPr>
                <w:color w:val="auto"/>
                <w:kern w:val="2"/>
                <w:sz w:val="21"/>
                <w:szCs w:val="21"/>
                <w:highlight w:val="none"/>
                <w:lang w:val="en-US" w:bidi="ar-SA"/>
              </w:rPr>
            </w:pPr>
          </w:p>
        </w:tc>
      </w:tr>
      <w:tr>
        <w:tblPrEx>
          <w:tblCellMar>
            <w:top w:w="0" w:type="dxa"/>
            <w:left w:w="108" w:type="dxa"/>
            <w:bottom w:w="0" w:type="dxa"/>
            <w:right w:w="108" w:type="dxa"/>
          </w:tblCellMar>
        </w:tblPrEx>
        <w:trPr>
          <w:trHeight w:val="79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kern w:val="2"/>
                <w:sz w:val="21"/>
                <w:szCs w:val="21"/>
                <w:highlight w:val="none"/>
                <w:lang w:val="en-US" w:bidi="ar-SA"/>
              </w:rPr>
            </w:pPr>
            <w:r>
              <w:rPr>
                <w:rFonts w:hint="eastAsia"/>
                <w:color w:val="auto"/>
                <w:sz w:val="21"/>
                <w:szCs w:val="21"/>
                <w:highlight w:val="none"/>
                <w:lang w:val="en-US" w:bidi="ar"/>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kern w:val="2"/>
                <w:sz w:val="21"/>
                <w:szCs w:val="21"/>
                <w:highlight w:val="none"/>
                <w:lang w:val="en-US" w:bidi="ar-SA"/>
              </w:rPr>
            </w:pPr>
            <w:r>
              <w:rPr>
                <w:rFonts w:ascii="Times New Roman" w:hAnsi="Times New Roman" w:cs="Times New Roman"/>
                <w:color w:val="auto"/>
                <w:highlight w:val="none"/>
                <w:lang w:val="en-US" w:bidi="ar"/>
              </w:rPr>
              <w:t>250kV</w:t>
            </w:r>
            <w:r>
              <w:rPr>
                <w:rFonts w:hint="eastAsia"/>
                <w:color w:val="auto"/>
                <w:highlight w:val="none"/>
                <w:lang w:val="en-US" w:bidi="ar"/>
              </w:rPr>
              <w:t>定向</w:t>
            </w:r>
            <w:r>
              <w:rPr>
                <w:rFonts w:ascii="Times New Roman" w:hAnsi="Times New Roman" w:cs="Times New Roman"/>
                <w:color w:val="auto"/>
                <w:highlight w:val="none"/>
                <w:lang w:val="en-US" w:bidi="ar"/>
              </w:rPr>
              <w:t>X</w:t>
            </w:r>
            <w:r>
              <w:rPr>
                <w:rFonts w:hint="eastAsia"/>
                <w:color w:val="auto"/>
                <w:highlight w:val="none"/>
                <w:lang w:val="en-US" w:bidi="ar"/>
              </w:rPr>
              <w:t>射线机</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kern w:val="2"/>
                <w:sz w:val="21"/>
                <w:szCs w:val="21"/>
                <w:highlight w:val="none"/>
                <w:lang w:val="en-US" w:bidi="ar-SA"/>
              </w:rPr>
            </w:pPr>
            <w:r>
              <w:rPr>
                <w:rFonts w:hint="eastAsia"/>
                <w:color w:val="auto"/>
                <w:sz w:val="21"/>
                <w:szCs w:val="21"/>
                <w:highlight w:val="none"/>
                <w:lang w:val="en-US" w:bidi="ar"/>
              </w:rPr>
              <w:t xml:space="preserve">一、技术参数及性能描述要求  </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仪器应符合 NB/T 47013.2-2015《承压设备无损检测第2部分:射线检测》、GB/T 37910.1-2019《焊缝无损检测射线检测验收等级 第1部分：钢、镍、钛及其合金》、GB/T3323.1-2019《焊缝无损检测射线检测第1部分：X和伽玛射线的胶片技术》等国家标准和行业标准要求。                                                                                  </w:t>
            </w:r>
            <w:r>
              <w:rPr>
                <w:rFonts w:hint="eastAsia"/>
                <w:color w:val="auto"/>
                <w:sz w:val="21"/>
                <w:szCs w:val="21"/>
                <w:highlight w:val="none"/>
                <w:lang w:val="en-US" w:bidi="ar"/>
              </w:rPr>
              <w:br w:type="textWrapping"/>
            </w:r>
            <w:r>
              <w:rPr>
                <w:rFonts w:hint="eastAsia"/>
                <w:color w:val="auto"/>
                <w:sz w:val="21"/>
                <w:szCs w:val="21"/>
                <w:highlight w:val="none"/>
                <w:lang w:val="en-US" w:bidi="ar"/>
              </w:rPr>
              <w:t>1.主要技术参数：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1.1 ★输入功率：≤2.5KVA；1.2 输入电压范围AC：190V～250V  50HZ；1.3 输出电压范围：100KV～250KV；1.4 电压级差KV：1 KV ；1.5 输出电流范围：2～5mA；1.6 焦点尺寸2.0×2.0 ；1.7 ★辐射角度：40+5°；1.8 ★灵敏度：≤1.8%；1.9 ★绝缘方式：SF6气体绝缘；1.10 气体压力：0.35MPa～0.45MPa；1.11 ★控制器型号：中文语音控制器；1.12重量  发生器：不大于29Kg 控制器：不大于8Kg；1.13 穿透能力A3钢：40mm ；1.14 拍照条件：(材料A3钢底片天津3型焦距600mm 增感屏0.03mm铅箔曝光时间5分钟,显影条件20℃) </w:t>
            </w:r>
            <w:r>
              <w:rPr>
                <w:rFonts w:hint="eastAsia"/>
                <w:color w:val="auto"/>
                <w:sz w:val="21"/>
                <w:szCs w:val="21"/>
                <w:highlight w:val="none"/>
                <w:lang w:val="en-US" w:bidi="ar"/>
              </w:rPr>
              <w:br w:type="textWrapping"/>
            </w:r>
            <w:r>
              <w:rPr>
                <w:rFonts w:hint="eastAsia"/>
                <w:color w:val="auto"/>
                <w:sz w:val="21"/>
                <w:szCs w:val="21"/>
                <w:highlight w:val="none"/>
                <w:lang w:val="en-US" w:bidi="ar"/>
              </w:rPr>
              <w:t>2.整机配置：</w:t>
            </w:r>
            <w:r>
              <w:rPr>
                <w:rFonts w:hint="eastAsia"/>
                <w:color w:val="auto"/>
                <w:sz w:val="21"/>
                <w:szCs w:val="21"/>
                <w:highlight w:val="none"/>
                <w:lang w:val="en-US" w:bidi="ar"/>
              </w:rPr>
              <w:br w:type="textWrapping"/>
            </w:r>
            <w:r>
              <w:rPr>
                <w:rFonts w:hint="eastAsia"/>
                <w:color w:val="auto"/>
                <w:sz w:val="21"/>
                <w:szCs w:val="21"/>
                <w:highlight w:val="none"/>
                <w:lang w:val="en-US" w:bidi="ar"/>
              </w:rPr>
              <w:t>2.1 250kV定向X射线机 4台；</w:t>
            </w:r>
            <w:r>
              <w:rPr>
                <w:rFonts w:hint="eastAsia"/>
                <w:color w:val="auto"/>
                <w:sz w:val="21"/>
                <w:szCs w:val="21"/>
                <w:highlight w:val="none"/>
                <w:lang w:val="en-US" w:bidi="ar"/>
              </w:rPr>
              <w:br w:type="textWrapping"/>
            </w:r>
            <w:r>
              <w:rPr>
                <w:rFonts w:hint="eastAsia"/>
                <w:color w:val="auto"/>
                <w:sz w:val="21"/>
                <w:szCs w:val="21"/>
                <w:highlight w:val="none"/>
                <w:lang w:val="en-US" w:bidi="ar"/>
              </w:rPr>
              <w:t>2.1.1 主机配置清单：</w:t>
            </w:r>
            <w:r>
              <w:rPr>
                <w:rFonts w:hint="eastAsia"/>
                <w:color w:val="auto"/>
                <w:sz w:val="21"/>
                <w:szCs w:val="21"/>
                <w:highlight w:val="none"/>
                <w:lang w:val="en-US" w:bidi="ar"/>
              </w:rPr>
              <w:br w:type="textWrapping"/>
            </w:r>
            <w:r>
              <w:rPr>
                <w:rFonts w:hint="eastAsia"/>
                <w:color w:val="auto"/>
                <w:sz w:val="21"/>
                <w:szCs w:val="21"/>
                <w:highlight w:val="none"/>
                <w:lang w:val="en-US" w:bidi="ar"/>
              </w:rPr>
              <w:t>2.1.1.1 发生器4台；2.1.1.2 控制器4台；2.1.1.3 连接电缆 4根；2.1.1.4 电源电缆 4根；2.1.1.5 中文说明书4本、中文操作视频4个 合格证4张、保修卡4张、装箱卡4张，防尘罩4个；</w:t>
            </w:r>
            <w:r>
              <w:rPr>
                <w:rFonts w:hint="eastAsia"/>
                <w:color w:val="auto"/>
                <w:sz w:val="21"/>
                <w:szCs w:val="21"/>
                <w:highlight w:val="none"/>
                <w:lang w:val="en-US" w:bidi="ar"/>
              </w:rPr>
              <w:br w:type="textWrapping"/>
            </w:r>
            <w:r>
              <w:rPr>
                <w:rFonts w:hint="eastAsia"/>
                <w:color w:val="auto"/>
                <w:sz w:val="21"/>
                <w:szCs w:val="21"/>
                <w:highlight w:val="none"/>
                <w:lang w:val="en-US" w:bidi="ar"/>
              </w:rPr>
              <w:t>2.2 底片烘干箱 1个</w:t>
            </w:r>
            <w:r>
              <w:rPr>
                <w:rFonts w:hint="eastAsia"/>
                <w:color w:val="auto"/>
                <w:sz w:val="21"/>
                <w:szCs w:val="21"/>
                <w:highlight w:val="none"/>
                <w:lang w:val="en-US" w:bidi="ar"/>
              </w:rPr>
              <w:br w:type="textWrapping"/>
            </w:r>
            <w:r>
              <w:rPr>
                <w:rFonts w:hint="eastAsia"/>
                <w:color w:val="auto"/>
                <w:sz w:val="21"/>
                <w:szCs w:val="21"/>
                <w:highlight w:val="none"/>
                <w:lang w:val="en-US" w:bidi="ar"/>
              </w:rPr>
              <w:t>2.2.1 底片烘干箱主要技术参数：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2.2.1.1 一次性烘干数量：80张； 2.2.1.2 ★控温范围：室温+5℃～70℃； 2.2.1.3 ★温度波动：±1℃； 2.2.1.4 ★显示和给定允差：±2℃；2.2.1.5电源电压：AC220～240V/50～60Hz；2.2.1.6★电热器功率：600W★2；2.2.1.7电机功率：15W；2.2.1.8工作室尺寸：不大于（605mm★375mm★520mm）；2.2.1.9 整机重量：不大于54.5kg； </w:t>
            </w:r>
            <w:r>
              <w:rPr>
                <w:rFonts w:hint="eastAsia"/>
                <w:color w:val="auto"/>
                <w:sz w:val="21"/>
                <w:szCs w:val="21"/>
                <w:highlight w:val="none"/>
                <w:lang w:val="en-US" w:bidi="ar"/>
              </w:rPr>
              <w:br w:type="textWrapping"/>
            </w:r>
            <w:r>
              <w:rPr>
                <w:rFonts w:hint="eastAsia"/>
                <w:color w:val="auto"/>
                <w:sz w:val="21"/>
                <w:szCs w:val="21"/>
                <w:highlight w:val="none"/>
                <w:lang w:val="en-US" w:bidi="ar"/>
              </w:rPr>
              <w:t>2.2.2  底片烘干箱配置清单：</w:t>
            </w:r>
            <w:r>
              <w:rPr>
                <w:rFonts w:hint="eastAsia"/>
                <w:color w:val="auto"/>
                <w:sz w:val="21"/>
                <w:szCs w:val="21"/>
                <w:highlight w:val="none"/>
                <w:lang w:val="en-US" w:bidi="ar"/>
              </w:rPr>
              <w:br w:type="textWrapping"/>
            </w:r>
            <w:r>
              <w:rPr>
                <w:rFonts w:hint="eastAsia"/>
                <w:color w:val="auto"/>
                <w:sz w:val="21"/>
                <w:szCs w:val="21"/>
                <w:highlight w:val="none"/>
                <w:lang w:val="en-US" w:bidi="ar"/>
              </w:rPr>
              <w:t>2.2.2.1 烘干箱主机1台； 2.2.2.2 晾片架6个；2.2.2.3 10A保险丝5个；2.2.2.4防尘罩、操作手册、合格证、保修卡1份；2.2.2.5免熏蒸包装箱1个。 2.3 黑度计（含密度片） 1套</w:t>
            </w:r>
            <w:r>
              <w:rPr>
                <w:rFonts w:hint="eastAsia"/>
                <w:color w:val="auto"/>
                <w:sz w:val="21"/>
                <w:szCs w:val="21"/>
                <w:highlight w:val="none"/>
                <w:lang w:val="en-US" w:bidi="ar"/>
              </w:rPr>
              <w:br w:type="textWrapping"/>
            </w:r>
            <w:r>
              <w:rPr>
                <w:rFonts w:hint="eastAsia"/>
                <w:color w:val="auto"/>
                <w:sz w:val="21"/>
                <w:szCs w:val="21"/>
                <w:highlight w:val="none"/>
                <w:lang w:val="en-US" w:bidi="ar"/>
              </w:rPr>
              <w:t>2.3.1 黑度计主要技术参数：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2.3.1.1 显示方式：三位数显直读；2.3.1.2 ★测量范围：D=0.00～4.502.3.1.3 采样时间：0.8s；2.3.1.4 ★不确定度：0.00-3.99D≤0.02D，4.00D-5.00D≤0.04D；2.3.1.5 ★读数稳定性：±0.02； 2.3.1.6 光孔直径：2mm；2.3.1.7 电源规格：AC 220V(±10%)/50Hz；2.3.1.8 整机功耗：6W； 2.3.1.9 工作环境：温度：0℃～40℃，相对湿度≤85%；2.3.1.10 整机重量：1.5kg。 </w:t>
            </w:r>
            <w:r>
              <w:rPr>
                <w:rFonts w:hint="eastAsia"/>
                <w:color w:val="auto"/>
                <w:sz w:val="21"/>
                <w:szCs w:val="21"/>
                <w:highlight w:val="none"/>
                <w:lang w:val="en-US" w:bidi="ar"/>
              </w:rPr>
              <w:br w:type="textWrapping"/>
            </w:r>
            <w:r>
              <w:rPr>
                <w:rFonts w:hint="eastAsia"/>
                <w:color w:val="auto"/>
                <w:sz w:val="21"/>
                <w:szCs w:val="21"/>
                <w:highlight w:val="none"/>
                <w:lang w:val="en-US" w:bidi="ar"/>
              </w:rPr>
              <w:t>2.3.2黑度计配置清单：</w:t>
            </w:r>
            <w:r>
              <w:rPr>
                <w:rFonts w:hint="eastAsia"/>
                <w:color w:val="auto"/>
                <w:sz w:val="21"/>
                <w:szCs w:val="21"/>
                <w:highlight w:val="none"/>
                <w:lang w:val="en-US" w:bidi="ar"/>
              </w:rPr>
              <w:br w:type="textWrapping"/>
            </w:r>
            <w:r>
              <w:rPr>
                <w:rFonts w:hint="eastAsia"/>
                <w:color w:val="auto"/>
                <w:sz w:val="21"/>
                <w:szCs w:val="21"/>
                <w:highlight w:val="none"/>
                <w:lang w:val="en-US" w:bidi="ar"/>
              </w:rPr>
              <w:t>2.3.2.1 主机（带电源线）1台；2.3.2.2 密度片1份； 2.3.2.3 密度片校准证书1份；2.3.2.4 熔断器（2A）2支；2.3.2.5 防尘罩、操作手册、合格证、保修卡1份； 铝合金仪器箱1个。</w:t>
            </w:r>
            <w:r>
              <w:rPr>
                <w:rFonts w:hint="eastAsia"/>
                <w:color w:val="auto"/>
                <w:sz w:val="21"/>
                <w:szCs w:val="21"/>
                <w:highlight w:val="none"/>
                <w:lang w:val="en-US" w:bidi="ar"/>
              </w:rPr>
              <w:br w:type="textWrapping"/>
            </w:r>
            <w:r>
              <w:rPr>
                <w:rFonts w:hint="eastAsia"/>
                <w:color w:val="auto"/>
                <w:sz w:val="21"/>
                <w:szCs w:val="21"/>
                <w:highlight w:val="none"/>
                <w:lang w:val="en-US" w:bidi="ar"/>
              </w:rPr>
              <w:t>2.4射线材料；</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2.4.1 暗袋+增感屏80mm★360mm  30个；2.4.2 铅托板80mm★360mm★(3~5mm) 5副；2.4.3 洗片槽80mm★360mm  5个；2.4.4 洗片架80mm★360mm  100个；2.4.5 拉环磁铁  50个；2.4.6 射线用全套铅字 5套（包含搭接标记+年月日+中心标记+数字0~9+26个英文字母）  像质计 50个；2.4.7 评片尺 5把；2.4.8 切片刀A3 14★17   1把；2.5  铁质工作架（长度：4米 2层以上） 2个；2.6  不锈钢工作台（1.5m×2m） 1个。 </w:t>
            </w:r>
            <w:r>
              <w:rPr>
                <w:rFonts w:hint="eastAsia"/>
                <w:color w:val="auto"/>
                <w:sz w:val="21"/>
                <w:szCs w:val="21"/>
                <w:highlight w:val="none"/>
                <w:lang w:val="en-US" w:bidi="ar"/>
              </w:rPr>
              <w:br w:type="textWrapping"/>
            </w:r>
            <w:r>
              <w:rPr>
                <w:rFonts w:hint="eastAsia"/>
                <w:color w:val="auto"/>
                <w:sz w:val="21"/>
                <w:szCs w:val="21"/>
                <w:highlight w:val="none"/>
                <w:lang w:val="en-US" w:bidi="ar"/>
              </w:rPr>
              <w:t>二、安装培训 供方负责运输、吊运到需方的指定安装地，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常见故障的检查与排除。</w:t>
            </w:r>
            <w:r>
              <w:rPr>
                <w:rFonts w:hint="eastAsia"/>
                <w:color w:val="auto"/>
                <w:sz w:val="21"/>
                <w:szCs w:val="21"/>
                <w:highlight w:val="none"/>
                <w:lang w:val="en-US" w:bidi="ar"/>
              </w:rPr>
              <w:br w:type="textWrapping"/>
            </w:r>
            <w:r>
              <w:rPr>
                <w:rFonts w:hint="eastAsia"/>
                <w:color w:val="auto"/>
                <w:sz w:val="21"/>
                <w:szCs w:val="21"/>
                <w:highlight w:val="none"/>
                <w:lang w:val="en-US" w:bidi="ar"/>
              </w:rPr>
              <w:t>三、 带省级以上部门出具的检定合格证书（计量机构和检定/校准参数范围由使用方指定）；投标方必须提供所投产品由制造方提供含技术参数的印刷宣传彩页或原版含技术参数的使用说明书；所投产品软件终身不应加密，提供保证书。</w:t>
            </w:r>
            <w:r>
              <w:rPr>
                <w:rFonts w:hint="eastAsia"/>
                <w:color w:val="auto"/>
                <w:sz w:val="21"/>
                <w:szCs w:val="21"/>
                <w:highlight w:val="none"/>
                <w:lang w:val="en-US" w:bidi="ar"/>
              </w:rPr>
              <w:br w:type="textWrapping"/>
            </w:r>
            <w:r>
              <w:rPr>
                <w:rFonts w:hint="eastAsia"/>
                <w:color w:val="auto"/>
                <w:sz w:val="21"/>
                <w:szCs w:val="21"/>
                <w:highlight w:val="none"/>
                <w:lang w:val="en-US" w:bidi="ar"/>
              </w:rPr>
              <w:t>四、质保期及售后服务质保期为设备验收合格后36个月，保修期后设备维修人员的差旅费我方不承担。在使用过程中，如遇问题，4小时内响应并给出解决方案，12小时内到现场进行维修服务。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s="Times New Roman"/>
                <w:color w:val="auto"/>
                <w:highlight w:val="none"/>
                <w:lang w:val="en-US" w:bidi="ar"/>
              </w:rPr>
            </w:pPr>
            <w:r>
              <w:rPr>
                <w:rFonts w:ascii="Times New Roman" w:hAnsi="Times New Roman" w:cs="Times New Roman"/>
                <w:color w:val="auto"/>
                <w:highlight w:val="none"/>
                <w:lang w:val="en-US" w:bidi="ar"/>
              </w:rPr>
              <w:t>4</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autoSpaceDN/>
              <w:jc w:val="center"/>
              <w:rPr>
                <w:color w:val="auto"/>
                <w:kern w:val="2"/>
                <w:sz w:val="21"/>
                <w:szCs w:val="21"/>
                <w:highlight w:val="none"/>
                <w:lang w:val="en-US" w:bidi="ar-SA"/>
              </w:rPr>
            </w:pPr>
          </w:p>
        </w:tc>
      </w:tr>
      <w:tr>
        <w:tblPrEx>
          <w:tblCellMar>
            <w:top w:w="0" w:type="dxa"/>
            <w:left w:w="108" w:type="dxa"/>
            <w:bottom w:w="0" w:type="dxa"/>
            <w:right w:w="108" w:type="dxa"/>
          </w:tblCellMar>
        </w:tblPrEx>
        <w:trPr>
          <w:trHeight w:val="79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r>
              <w:rPr>
                <w:rFonts w:hint="eastAsia"/>
                <w:color w:val="auto"/>
                <w:sz w:val="21"/>
                <w:szCs w:val="21"/>
                <w:highlight w:val="none"/>
                <w:lang w:val="en-US"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kern w:val="2"/>
                <w:sz w:val="21"/>
                <w:szCs w:val="21"/>
                <w:highlight w:val="none"/>
                <w:lang w:val="en-US" w:bidi="ar-SA"/>
              </w:rPr>
            </w:pPr>
            <w:r>
              <w:rPr>
                <w:rFonts w:hint="eastAsia"/>
                <w:color w:val="auto"/>
                <w:sz w:val="21"/>
                <w:szCs w:val="21"/>
                <w:highlight w:val="none"/>
                <w:lang w:val="en-US" w:bidi="ar"/>
              </w:rPr>
              <w:t>数字式超声波探伤仪</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kern w:val="2"/>
                <w:sz w:val="21"/>
                <w:szCs w:val="21"/>
                <w:highlight w:val="none"/>
                <w:lang w:val="en-US" w:bidi="ar-SA"/>
              </w:rPr>
            </w:pPr>
            <w:r>
              <w:rPr>
                <w:rFonts w:hint="eastAsia"/>
                <w:color w:val="auto"/>
                <w:sz w:val="21"/>
                <w:szCs w:val="21"/>
                <w:highlight w:val="none"/>
                <w:lang w:val="en-US" w:bidi="ar"/>
              </w:rPr>
              <w:t xml:space="preserve">一、技术参数及性能描述要求  </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仪器应符合NB/T 47013.3-2015《承压设备无损检测 第3部分:超声检测》、GB/T 11345-2013《焊缝无损检测  超声检测  技术、检测等级和评定》、GB/T 5777-2008《无缝钢管超声波探伤检验方法》、GB/T 6402-2008《钢锻件超声检测方法》、JG/T203-2007《钢结构超声波探伤及质量分级》等国家标准和行业标准要求。  </w:t>
            </w:r>
            <w:r>
              <w:rPr>
                <w:rFonts w:hint="eastAsia"/>
                <w:color w:val="auto"/>
                <w:sz w:val="21"/>
                <w:szCs w:val="21"/>
                <w:highlight w:val="none"/>
                <w:lang w:val="en-US" w:bidi="ar"/>
              </w:rPr>
              <w:br w:type="textWrapping"/>
            </w:r>
            <w:r>
              <w:rPr>
                <w:rFonts w:hint="eastAsia"/>
                <w:color w:val="auto"/>
                <w:sz w:val="21"/>
                <w:szCs w:val="21"/>
                <w:highlight w:val="none"/>
                <w:lang w:val="en-US" w:bidi="ar"/>
              </w:rPr>
              <w:t>1.主要特点：</w:t>
            </w:r>
            <w:r>
              <w:rPr>
                <w:rFonts w:hint="eastAsia"/>
                <w:color w:val="auto"/>
                <w:sz w:val="21"/>
                <w:szCs w:val="21"/>
                <w:highlight w:val="none"/>
                <w:lang w:val="en-US" w:bidi="ar"/>
              </w:rPr>
              <w:br w:type="textWrapping"/>
            </w:r>
            <w:r>
              <w:rPr>
                <w:rFonts w:hint="eastAsia"/>
                <w:color w:val="auto"/>
                <w:sz w:val="21"/>
                <w:szCs w:val="21"/>
                <w:highlight w:val="none"/>
                <w:lang w:val="en-US" w:bidi="ar"/>
              </w:rPr>
              <w:t>1.1 400MHz 采样频率，波形还原度更高；1.2 GPS、GLONASS、GSM、网络、重力感应 5 重定位；1.3 通过手机 APP 实现远程实时定位；1.4 电阻式触摸屏，防油防水，触控灵敏；1.5 具有 B 扫、C 扫、TOFD、导波功能，可任意选配；1.6 检测辅助功能：频谱分析，裂纹测高，缺陷φ值自动计算，焊缝坡口形式，性能校验，距离补偿曲线；1.7  FTP 服务器功能：提供永久免费使用 FTP 服务器，上行和下行速度不低于 1MB/S，并提供移动端配套软件，可实时传输、查看、分析数据，远程实时更新设备软件；1.8 设备电气性能指标满足NB/T 47013.3标准要求，并具有中国特种设备检测研究院出具的检测设备性能测试证书B级。</w:t>
            </w:r>
            <w:r>
              <w:rPr>
                <w:rFonts w:hint="eastAsia"/>
                <w:color w:val="auto"/>
                <w:sz w:val="21"/>
                <w:szCs w:val="21"/>
                <w:highlight w:val="none"/>
                <w:lang w:val="en-US" w:bidi="ar"/>
              </w:rPr>
              <w:br w:type="textWrapping"/>
            </w:r>
            <w:r>
              <w:rPr>
                <w:rFonts w:hint="eastAsia"/>
                <w:color w:val="auto"/>
                <w:sz w:val="21"/>
                <w:szCs w:val="21"/>
                <w:highlight w:val="none"/>
                <w:lang w:val="en-US" w:bidi="ar"/>
              </w:rPr>
              <w:t>2.主要技术参数：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2.1 ★脉冲类型：负方波脉冲；2.2 发射脉冲电压：200V～400V；2.3 ★脉冲前沿：&lt;10 ns；2.4 ★脉冲宽度：5nS‐1185nS 连续可调；</w:t>
            </w:r>
            <w:r>
              <w:rPr>
                <w:rFonts w:hint="eastAsia"/>
                <w:color w:val="auto"/>
                <w:sz w:val="21"/>
                <w:szCs w:val="21"/>
                <w:highlight w:val="none"/>
                <w:lang w:val="en-US" w:bidi="ar"/>
              </w:rPr>
              <w:br w:type="textWrapping"/>
            </w:r>
            <w:r>
              <w:rPr>
                <w:rFonts w:hint="eastAsia"/>
                <w:color w:val="auto"/>
                <w:sz w:val="21"/>
                <w:szCs w:val="21"/>
                <w:highlight w:val="none"/>
                <w:lang w:val="en-US" w:bidi="ar"/>
              </w:rPr>
              <w:t>2.5 阻抗匹配：48Ω /500Ω可调；2.6 ★扫描范围：零界面入射～14000mm钢纵波 采样频率/位数：400MHz/10bits；2.7 采样深度：512；2.8 重复频率：15‐1000Hz 可调；2.9 检波方式：数字检波；2.10 ★衰减器精度：&lt;+1dB/12dB；2.11 增益范围：0dB ～ 120dB（0.1dB、2dB、6dB步进，全自动调节）；2.12 声速范围：300~20000 m/s；2.13 动态范围：≥30dB ；2.14 信号带宽：0.1MHz‐40MHz；2.15 ★垂直线性误差：≤3%；2.16 ★水平线性误差：≤0.1%；2.17 ★分辨力：&gt;40dB；2.18 灵敏度余量：&gt;60dB(深 200mmΦ2 平底孔)；2.19 波形显示方式：射频波，检波 (全波、负或正半波)；2.20 输出：WIFI，USB2.0，VGA；2.21 显屏：5.7" 高亮真彩色 640×480 日光可读 LCD，最大 A 扫尺寸 115.2×86.4 mm；2.22 控制：前板密封键盘，飞梭，触摸屏；2.23 电源、电压：电池 8.4V10Ah 连续工作 8 小时（锂电池供电）；2.24 环境温度：(‐10～40)℃；2.25 重量：不大于 1.25Kg 含电池</w:t>
            </w:r>
            <w:r>
              <w:rPr>
                <w:rFonts w:hint="eastAsia"/>
                <w:color w:val="auto"/>
                <w:sz w:val="21"/>
                <w:szCs w:val="21"/>
                <w:highlight w:val="none"/>
                <w:lang w:val="en-US" w:bidi="ar"/>
              </w:rPr>
              <w:br w:type="textWrapping"/>
            </w:r>
            <w:r>
              <w:rPr>
                <w:rFonts w:hint="eastAsia"/>
                <w:color w:val="auto"/>
                <w:sz w:val="21"/>
                <w:szCs w:val="21"/>
                <w:highlight w:val="none"/>
                <w:lang w:val="en-US" w:bidi="ar"/>
              </w:rPr>
              <w:t>3.整机配置：</w:t>
            </w:r>
            <w:r>
              <w:rPr>
                <w:rFonts w:hint="eastAsia"/>
                <w:color w:val="auto"/>
                <w:sz w:val="21"/>
                <w:szCs w:val="21"/>
                <w:highlight w:val="none"/>
                <w:lang w:val="en-US" w:bidi="ar"/>
              </w:rPr>
              <w:br w:type="textWrapping"/>
            </w:r>
            <w:r>
              <w:rPr>
                <w:rFonts w:hint="eastAsia"/>
                <w:color w:val="auto"/>
                <w:sz w:val="21"/>
                <w:szCs w:val="21"/>
                <w:highlight w:val="none"/>
                <w:lang w:val="en-US" w:bidi="ar"/>
              </w:rPr>
              <w:t>3.1 数字式超声波探伤仪 3台；</w:t>
            </w:r>
            <w:r>
              <w:rPr>
                <w:rFonts w:hint="eastAsia"/>
                <w:color w:val="auto"/>
                <w:sz w:val="21"/>
                <w:szCs w:val="21"/>
                <w:highlight w:val="none"/>
                <w:lang w:val="en-US" w:bidi="ar"/>
              </w:rPr>
              <w:br w:type="textWrapping"/>
            </w:r>
            <w:r>
              <w:rPr>
                <w:rFonts w:hint="eastAsia"/>
                <w:color w:val="auto"/>
                <w:sz w:val="21"/>
                <w:szCs w:val="21"/>
                <w:highlight w:val="none"/>
                <w:lang w:val="en-US" w:bidi="ar"/>
              </w:rPr>
              <w:t>3.1.1 主机配置清单：</w:t>
            </w:r>
            <w:r>
              <w:rPr>
                <w:rFonts w:hint="eastAsia"/>
                <w:color w:val="auto"/>
                <w:sz w:val="21"/>
                <w:szCs w:val="21"/>
                <w:highlight w:val="none"/>
                <w:lang w:val="en-US" w:bidi="ar"/>
              </w:rPr>
              <w:br w:type="textWrapping"/>
            </w:r>
            <w:r>
              <w:rPr>
                <w:rFonts w:hint="eastAsia"/>
                <w:color w:val="auto"/>
                <w:sz w:val="21"/>
                <w:szCs w:val="21"/>
                <w:highlight w:val="none"/>
                <w:lang w:val="en-US" w:bidi="ar"/>
              </w:rPr>
              <w:t>3.1.1.1  5P9x9K2.5探头3只；3.1.1.2  2.5P13x13K2探头3只3.1.1.3  2.5P13x13K2.5探头3只；3.1.1.4  5P6x6K3探头3只 3.1.1.5  探头线(Q9-Q9)  15根；3.1.1.6  探头线Q9-Q6  15根；3.1.1.7 电源适配器3个；3.1.1.8 座式充电器3个；3.1.1.9 锂电池6块3.1.1.10  电源线3根；3.1.1.11 便携作业带3套 ；3.1.1.12 通讯线、通讯驱动软件3套；3.1.1.13   仪器提箱3个3.1.1.14 中文说明书3本、中文操作视频3个 合格证3张、保修卡3张、装箱卡3张，防尘罩3个.</w:t>
            </w:r>
            <w:r>
              <w:rPr>
                <w:rFonts w:hint="eastAsia"/>
                <w:color w:val="auto"/>
                <w:sz w:val="21"/>
                <w:szCs w:val="21"/>
                <w:highlight w:val="none"/>
                <w:lang w:val="en-US" w:bidi="ar"/>
              </w:rPr>
              <w:br w:type="textWrapping"/>
            </w:r>
            <w:r>
              <w:rPr>
                <w:rFonts w:hint="eastAsia"/>
                <w:color w:val="auto"/>
                <w:sz w:val="21"/>
                <w:szCs w:val="21"/>
                <w:highlight w:val="none"/>
                <w:lang w:val="en-US" w:bidi="ar"/>
              </w:rPr>
              <w:t>3.2 超声波测厚仪  1台</w:t>
            </w:r>
            <w:r>
              <w:rPr>
                <w:rFonts w:hint="eastAsia"/>
                <w:color w:val="auto"/>
                <w:sz w:val="21"/>
                <w:szCs w:val="21"/>
                <w:highlight w:val="none"/>
                <w:lang w:val="en-US" w:bidi="ar"/>
              </w:rPr>
              <w:br w:type="textWrapping"/>
            </w:r>
            <w:r>
              <w:rPr>
                <w:rFonts w:hint="eastAsia"/>
                <w:color w:val="auto"/>
                <w:sz w:val="21"/>
                <w:szCs w:val="21"/>
                <w:highlight w:val="none"/>
                <w:lang w:val="en-US" w:bidi="ar"/>
              </w:rPr>
              <w:t>3.2.1 超声波测厚仪技术参数：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3.2.1.1 ★测量范围：0.63mm～500mm（钢，取决于探头）；3.2.1.2 ★分辨率：0.01mm；3.2.1.3 探头频率：1MHz～10MHz；3.2.1.3 显示方式：4 位半数字液晶显示，带背光；3.2.1.4 校准：对话式探头，自动校准；3.2.1.5 声速范围：1250～10000m/s；3.2.1.6 ★示值精度：±（0.5％H＋0.05）mm，H 为被测物实际厚度；3.2.1.7 扫描方式：每秒测量 16 个点，可以捕捉到最薄点；3.2.1.8 测量方式：双晶探头，脉冲回波；3.2.1.9 键盘：6 键防水、防油键盘；3.2.1.10 电源电压：3V（2 节 AA 碱性电池），连续使用时间达 200 小时，供电不足时，显示器会闪烁报警，直至自动关机；3.2.1.11整机重量：不大于300g。</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3.2.2 超声波测厚仪配置清单： </w:t>
            </w:r>
            <w:r>
              <w:rPr>
                <w:rFonts w:hint="eastAsia"/>
                <w:color w:val="auto"/>
                <w:sz w:val="21"/>
                <w:szCs w:val="21"/>
                <w:highlight w:val="none"/>
                <w:lang w:val="en-US" w:bidi="ar"/>
              </w:rPr>
              <w:br w:type="textWrapping"/>
            </w:r>
            <w:r>
              <w:rPr>
                <w:rFonts w:hint="eastAsia"/>
                <w:color w:val="auto"/>
                <w:sz w:val="21"/>
                <w:szCs w:val="21"/>
                <w:highlight w:val="none"/>
                <w:lang w:val="en-US" w:bidi="ar"/>
              </w:rPr>
              <w:t>3.2.2.1 超声波测厚仪主机1台； 3.2.2.2 标准探头1支；3.2.2.3 耦合剂3瓶； 3.2.2.4  AA碱性电池2节；3.2.2.5  铝合金仪器箱1个；3.2.2.6  防尘罩、操作手册、合格证、保修卡1份；</w:t>
            </w:r>
            <w:r>
              <w:rPr>
                <w:rFonts w:hint="eastAsia"/>
                <w:color w:val="auto"/>
                <w:sz w:val="21"/>
                <w:szCs w:val="21"/>
                <w:highlight w:val="none"/>
                <w:lang w:val="en-US" w:bidi="ar"/>
              </w:rPr>
              <w:br w:type="textWrapping"/>
            </w:r>
            <w:r>
              <w:rPr>
                <w:rFonts w:hint="eastAsia"/>
                <w:color w:val="auto"/>
                <w:sz w:val="21"/>
                <w:szCs w:val="21"/>
                <w:highlight w:val="none"/>
                <w:lang w:val="en-US" w:bidi="ar"/>
              </w:rPr>
              <w:t>3.3  超声波试块（CSK-IA、CSK-IIA-1、CSK-IIA-2、CSK-IB、RB-1、RB-2、RB-3、GS-1、GS-2、GS-3、GS-4、阶梯平底试块） 12块</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3.4 对比试块（1#、2#、3#） 3块 3.5 铁质工作架（长度：3米 2层以上） 1个 </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3.6不锈钢工作台（1.5m×2m） 1个 </w:t>
            </w:r>
            <w:r>
              <w:rPr>
                <w:rFonts w:hint="eastAsia"/>
                <w:color w:val="auto"/>
                <w:sz w:val="21"/>
                <w:szCs w:val="21"/>
                <w:highlight w:val="none"/>
                <w:lang w:val="en-US" w:bidi="ar"/>
              </w:rPr>
              <w:br w:type="textWrapping"/>
            </w:r>
            <w:r>
              <w:rPr>
                <w:rFonts w:hint="eastAsia"/>
                <w:color w:val="auto"/>
                <w:sz w:val="21"/>
                <w:szCs w:val="21"/>
                <w:highlight w:val="none"/>
                <w:lang w:val="en-US" w:bidi="ar"/>
              </w:rPr>
              <w:t>二、安装培训 供方负责运输、吊运到需方的指定安装地，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曲线建立与校正、常见故障的检查与排除。</w:t>
            </w:r>
            <w:r>
              <w:rPr>
                <w:rFonts w:hint="eastAsia"/>
                <w:color w:val="auto"/>
                <w:sz w:val="21"/>
                <w:szCs w:val="21"/>
                <w:highlight w:val="none"/>
                <w:lang w:val="en-US" w:bidi="ar"/>
              </w:rPr>
              <w:br w:type="textWrapping"/>
            </w:r>
            <w:r>
              <w:rPr>
                <w:rFonts w:hint="eastAsia"/>
                <w:color w:val="auto"/>
                <w:sz w:val="21"/>
                <w:szCs w:val="21"/>
                <w:highlight w:val="none"/>
                <w:lang w:val="en-US" w:bidi="ar"/>
              </w:rPr>
              <w:t>三、 带省级以上部门出具的检定合格证书（计量机构和检定/校准参数范围由使用方指定）；投标方必须提供所投产品由制造方提供含技术参数的印刷宣传彩页或原版含技术参数的使用说明书；所投产品软件终身不应加密，提供保证书。</w:t>
            </w:r>
            <w:r>
              <w:rPr>
                <w:rFonts w:hint="eastAsia"/>
                <w:color w:val="auto"/>
                <w:sz w:val="21"/>
                <w:szCs w:val="21"/>
                <w:highlight w:val="none"/>
                <w:lang w:val="en-US" w:bidi="ar"/>
              </w:rPr>
              <w:br w:type="textWrapping"/>
            </w:r>
            <w:r>
              <w:rPr>
                <w:rFonts w:hint="eastAsia"/>
                <w:color w:val="auto"/>
                <w:sz w:val="21"/>
                <w:szCs w:val="21"/>
                <w:highlight w:val="none"/>
                <w:lang w:val="en-US" w:bidi="ar"/>
              </w:rPr>
              <w:t>四、质保期及售后服务质保期为设备验收合格后36个月，保修期后设备维修人员的差旅费我方不承担。在使用过程中，如遇问题，4小时内响应并给出解决方案，12小时内到现场进行维修服务。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s="Times New Roman"/>
                <w:color w:val="auto"/>
                <w:highlight w:val="none"/>
                <w:lang w:val="en-US" w:bidi="ar"/>
              </w:rPr>
            </w:pPr>
            <w:r>
              <w:rPr>
                <w:rFonts w:hint="eastAsia" w:ascii="Times New Roman" w:hAnsi="Times New Roman" w:cs="Times New Roman"/>
                <w:color w:val="auto"/>
                <w:highlight w:val="none"/>
                <w:lang w:val="en-US" w:bidi="ar"/>
              </w:rPr>
              <w:t>3</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autoSpaceDN/>
              <w:jc w:val="center"/>
              <w:rPr>
                <w:color w:val="auto"/>
                <w:kern w:val="2"/>
                <w:sz w:val="21"/>
                <w:szCs w:val="21"/>
                <w:highlight w:val="none"/>
                <w:lang w:val="en-US" w:bidi="ar-SA"/>
              </w:rPr>
            </w:pPr>
          </w:p>
        </w:tc>
      </w:tr>
      <w:tr>
        <w:tblPrEx>
          <w:tblCellMar>
            <w:top w:w="0" w:type="dxa"/>
            <w:left w:w="108" w:type="dxa"/>
            <w:bottom w:w="0" w:type="dxa"/>
            <w:right w:w="108" w:type="dxa"/>
          </w:tblCellMar>
        </w:tblPrEx>
        <w:trPr>
          <w:trHeight w:val="79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r>
              <w:rPr>
                <w:rFonts w:hint="eastAsia"/>
                <w:color w:val="auto"/>
                <w:sz w:val="21"/>
                <w:szCs w:val="21"/>
                <w:highlight w:val="none"/>
                <w:lang w:val="en-US"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kern w:val="2"/>
                <w:sz w:val="21"/>
                <w:szCs w:val="21"/>
                <w:highlight w:val="none"/>
                <w:lang w:val="en-US" w:bidi="ar-SA"/>
              </w:rPr>
            </w:pPr>
            <w:r>
              <w:rPr>
                <w:rFonts w:hint="eastAsia"/>
                <w:color w:val="auto"/>
                <w:highlight w:val="none"/>
                <w:lang w:val="en-US" w:bidi="ar"/>
              </w:rPr>
              <w:t>磁粉探伤机</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kern w:val="2"/>
                <w:sz w:val="21"/>
                <w:szCs w:val="21"/>
                <w:highlight w:val="none"/>
                <w:lang w:val="en-US" w:bidi="ar-SA"/>
              </w:rPr>
            </w:pPr>
            <w:r>
              <w:rPr>
                <w:rFonts w:hint="eastAsia"/>
                <w:color w:val="auto"/>
                <w:sz w:val="21"/>
                <w:szCs w:val="21"/>
                <w:highlight w:val="none"/>
                <w:lang w:val="en-US" w:bidi="ar"/>
              </w:rPr>
              <w:t xml:space="preserve">一、技术参数及性能描述要求  </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仪器应符合GB/T 26951-2011《焊缝无损检测磁粉检测》  、GB/T 26952-2011《焊缝无损检测焊缝磁粉检测验收等级》、NB/T 47013.4-2015《承压设备无损检测第4部分:磁粉检测》等国家标准和行业标准要求。  </w:t>
            </w:r>
            <w:r>
              <w:rPr>
                <w:rFonts w:hint="eastAsia"/>
                <w:color w:val="auto"/>
                <w:sz w:val="21"/>
                <w:szCs w:val="21"/>
                <w:highlight w:val="none"/>
                <w:lang w:val="en-US" w:bidi="ar"/>
              </w:rPr>
              <w:br w:type="textWrapping"/>
            </w:r>
            <w:r>
              <w:rPr>
                <w:rFonts w:hint="eastAsia"/>
                <w:color w:val="auto"/>
                <w:sz w:val="21"/>
                <w:szCs w:val="21"/>
                <w:highlight w:val="none"/>
                <w:lang w:val="en-US" w:bidi="ar"/>
              </w:rPr>
              <w:t>1.充电式交流磁轭探伤仪</w:t>
            </w:r>
            <w:r>
              <w:rPr>
                <w:rFonts w:hint="eastAsia"/>
                <w:color w:val="auto"/>
                <w:sz w:val="21"/>
                <w:szCs w:val="21"/>
                <w:highlight w:val="none"/>
                <w:lang w:val="en-US" w:bidi="ar"/>
              </w:rPr>
              <w:br w:type="textWrapping"/>
            </w:r>
            <w:r>
              <w:rPr>
                <w:rFonts w:hint="eastAsia"/>
                <w:color w:val="auto"/>
                <w:sz w:val="21"/>
                <w:szCs w:val="21"/>
                <w:highlight w:val="none"/>
                <w:lang w:val="en-US" w:bidi="ar"/>
              </w:rPr>
              <w:t>1.1性能特点：</w:t>
            </w:r>
            <w:r>
              <w:rPr>
                <w:rFonts w:hint="eastAsia"/>
                <w:color w:val="auto"/>
                <w:sz w:val="21"/>
                <w:szCs w:val="21"/>
                <w:highlight w:val="none"/>
                <w:lang w:val="en-US" w:bidi="ar"/>
              </w:rPr>
              <w:br w:type="textWrapping"/>
            </w:r>
            <w:r>
              <w:rPr>
                <w:rFonts w:hint="eastAsia"/>
                <w:color w:val="auto"/>
                <w:sz w:val="21"/>
                <w:szCs w:val="21"/>
                <w:highlight w:val="none"/>
                <w:lang w:val="en-US" w:bidi="ar"/>
              </w:rPr>
              <w:t>1.1.1 仪器由微型磁轭探头和便携充电式交流磁能电源组成；</w:t>
            </w:r>
            <w:r>
              <w:rPr>
                <w:rFonts w:hint="eastAsia"/>
                <w:color w:val="auto"/>
                <w:sz w:val="21"/>
                <w:szCs w:val="21"/>
                <w:highlight w:val="none"/>
                <w:lang w:val="en-US" w:bidi="ar"/>
              </w:rPr>
              <w:br w:type="textWrapping"/>
            </w:r>
            <w:r>
              <w:rPr>
                <w:rFonts w:hint="eastAsia"/>
                <w:color w:val="auto"/>
                <w:sz w:val="21"/>
                <w:szCs w:val="21"/>
                <w:highlight w:val="none"/>
                <w:lang w:val="en-US" w:bidi="ar"/>
              </w:rPr>
              <w:t>1.1.2 仪器无需外接电源即可产生交流磁场, 保证检测灵敏度, 使磁粉探伤简单、方便、高效、安全；</w:t>
            </w:r>
            <w:r>
              <w:rPr>
                <w:rFonts w:hint="eastAsia"/>
                <w:color w:val="auto"/>
                <w:sz w:val="21"/>
                <w:szCs w:val="21"/>
                <w:highlight w:val="none"/>
                <w:lang w:val="en-US" w:bidi="ar"/>
              </w:rPr>
              <w:br w:type="textWrapping"/>
            </w:r>
            <w:r>
              <w:rPr>
                <w:rFonts w:hint="eastAsia"/>
                <w:color w:val="auto"/>
                <w:sz w:val="21"/>
                <w:szCs w:val="21"/>
                <w:highlight w:val="none"/>
                <w:lang w:val="en-US" w:bidi="ar"/>
              </w:rPr>
              <w:t>1.1.3 仪器集成有-逆变电磁场智能恒磁芯片，智能监测和动态调节电磁强度，使得电磁输出保持在最佳状态，保证了提升力和灵敏度不受电池电量的影响。保证检验质量；</w:t>
            </w:r>
            <w:r>
              <w:rPr>
                <w:rFonts w:hint="eastAsia"/>
                <w:color w:val="auto"/>
                <w:sz w:val="21"/>
                <w:szCs w:val="21"/>
                <w:highlight w:val="none"/>
                <w:lang w:val="en-US" w:bidi="ar"/>
              </w:rPr>
              <w:br w:type="textWrapping"/>
            </w:r>
            <w:r>
              <w:rPr>
                <w:rFonts w:hint="eastAsia"/>
                <w:color w:val="auto"/>
                <w:sz w:val="21"/>
                <w:szCs w:val="21"/>
                <w:highlight w:val="none"/>
                <w:lang w:val="en-US" w:bidi="ar"/>
              </w:rPr>
              <w:t>1.1.4 仪器仿人体工程学设计, 手感舒适；</w:t>
            </w:r>
            <w:r>
              <w:rPr>
                <w:rFonts w:hint="eastAsia"/>
                <w:color w:val="auto"/>
                <w:sz w:val="21"/>
                <w:szCs w:val="21"/>
                <w:highlight w:val="none"/>
                <w:lang w:val="en-US" w:bidi="ar"/>
              </w:rPr>
              <w:br w:type="textWrapping"/>
            </w:r>
            <w:r>
              <w:rPr>
                <w:rFonts w:hint="eastAsia"/>
                <w:color w:val="auto"/>
                <w:sz w:val="21"/>
                <w:szCs w:val="21"/>
                <w:highlight w:val="none"/>
                <w:lang w:val="en-US" w:bidi="ar"/>
              </w:rPr>
              <w:t>1.1.5 磁轭探头集成有高亮度 LED 白光源和紫外光源，既可进行普通磁粉探伤也可进行荧光磁粉探伤；</w:t>
            </w:r>
            <w:r>
              <w:rPr>
                <w:rFonts w:hint="eastAsia"/>
                <w:color w:val="auto"/>
                <w:sz w:val="21"/>
                <w:szCs w:val="21"/>
                <w:highlight w:val="none"/>
                <w:lang w:val="en-US" w:bidi="ar"/>
              </w:rPr>
              <w:br w:type="textWrapping"/>
            </w:r>
            <w:r>
              <w:rPr>
                <w:rFonts w:hint="eastAsia"/>
                <w:color w:val="auto"/>
                <w:sz w:val="21"/>
                <w:szCs w:val="21"/>
                <w:highlight w:val="none"/>
                <w:lang w:val="en-US" w:bidi="ar"/>
              </w:rPr>
              <w:t>1.1.6 智能多用开关，整机一健操作,既方便了使用,又减少了故障点；</w:t>
            </w:r>
            <w:r>
              <w:rPr>
                <w:rFonts w:hint="eastAsia"/>
                <w:color w:val="auto"/>
                <w:sz w:val="21"/>
                <w:szCs w:val="21"/>
                <w:highlight w:val="none"/>
                <w:lang w:val="en-US" w:bidi="ar"/>
              </w:rPr>
              <w:br w:type="textWrapping"/>
            </w:r>
            <w:r>
              <w:rPr>
                <w:rFonts w:hint="eastAsia"/>
                <w:color w:val="auto"/>
                <w:sz w:val="21"/>
                <w:szCs w:val="21"/>
                <w:highlight w:val="none"/>
                <w:lang w:val="en-US" w:bidi="ar"/>
              </w:rPr>
              <w:t>1.1.7 智能空载自动识别及控制功能, 免于仪器空载时过流过热烧坏；</w:t>
            </w:r>
            <w:r>
              <w:rPr>
                <w:rFonts w:hint="eastAsia"/>
                <w:color w:val="auto"/>
                <w:sz w:val="21"/>
                <w:szCs w:val="21"/>
                <w:highlight w:val="none"/>
                <w:lang w:val="en-US" w:bidi="ar"/>
              </w:rPr>
              <w:br w:type="textWrapping"/>
            </w:r>
            <w:r>
              <w:rPr>
                <w:rFonts w:hint="eastAsia"/>
                <w:color w:val="auto"/>
                <w:sz w:val="21"/>
                <w:szCs w:val="21"/>
                <w:highlight w:val="none"/>
                <w:lang w:val="en-US" w:bidi="ar"/>
              </w:rPr>
              <w:t>1.1.8 智能软启动、软停止功能, 缓冲仪器在频繁启动、停止时产生的电冲击, 防止电冲击对元器件造成损伤；</w:t>
            </w:r>
            <w:r>
              <w:rPr>
                <w:rFonts w:hint="eastAsia"/>
                <w:color w:val="auto"/>
                <w:sz w:val="21"/>
                <w:szCs w:val="21"/>
                <w:highlight w:val="none"/>
                <w:lang w:val="en-US" w:bidi="ar"/>
              </w:rPr>
              <w:br w:type="textWrapping"/>
            </w:r>
            <w:r>
              <w:rPr>
                <w:rFonts w:hint="eastAsia"/>
                <w:color w:val="auto"/>
                <w:sz w:val="21"/>
                <w:szCs w:val="21"/>
                <w:highlight w:val="none"/>
                <w:lang w:val="en-US" w:bidi="ar"/>
              </w:rPr>
              <w:t>1.1.9 电池运行自动监视保护器, 异常情况时, 及时切断电路, 防止出现意外；</w:t>
            </w:r>
            <w:r>
              <w:rPr>
                <w:rFonts w:hint="eastAsia"/>
                <w:color w:val="auto"/>
                <w:sz w:val="21"/>
                <w:szCs w:val="21"/>
                <w:highlight w:val="none"/>
                <w:lang w:val="en-US" w:bidi="ar"/>
              </w:rPr>
              <w:br w:type="textWrapping"/>
            </w:r>
            <w:r>
              <w:rPr>
                <w:rFonts w:hint="eastAsia"/>
                <w:color w:val="auto"/>
                <w:sz w:val="21"/>
                <w:szCs w:val="21"/>
                <w:highlight w:val="none"/>
                <w:lang w:val="en-US" w:bidi="ar"/>
              </w:rPr>
              <w:t>1.1.10 电量显示器指示, 实时显示电源电量；</w:t>
            </w:r>
            <w:r>
              <w:rPr>
                <w:rFonts w:hint="eastAsia"/>
                <w:color w:val="auto"/>
                <w:sz w:val="21"/>
                <w:szCs w:val="21"/>
                <w:highlight w:val="none"/>
                <w:lang w:val="en-US" w:bidi="ar"/>
              </w:rPr>
              <w:br w:type="textWrapping"/>
            </w:r>
            <w:r>
              <w:rPr>
                <w:rFonts w:hint="eastAsia"/>
                <w:color w:val="auto"/>
                <w:sz w:val="21"/>
                <w:szCs w:val="21"/>
                <w:highlight w:val="none"/>
                <w:lang w:val="en-US" w:bidi="ar"/>
              </w:rPr>
              <w:t>1.1.11 特制探头脚调节器, 使得探头脚调整方便、容易、快捷。l.插接件的防插错设计，防止操作失误造成仪器损坏；</w:t>
            </w:r>
            <w:r>
              <w:rPr>
                <w:rFonts w:hint="eastAsia"/>
                <w:color w:val="auto"/>
                <w:sz w:val="21"/>
                <w:szCs w:val="21"/>
                <w:highlight w:val="none"/>
                <w:lang w:val="en-US" w:bidi="ar"/>
              </w:rPr>
              <w:br w:type="textWrapping"/>
            </w:r>
            <w:r>
              <w:rPr>
                <w:rFonts w:hint="eastAsia"/>
                <w:color w:val="auto"/>
                <w:sz w:val="21"/>
                <w:szCs w:val="21"/>
                <w:highlight w:val="none"/>
                <w:lang w:val="en-US" w:bidi="ar"/>
              </w:rPr>
              <w:t>1.1.12 配有专用工作包, 干活更轻松, 更安全。</w:t>
            </w:r>
            <w:r>
              <w:rPr>
                <w:rFonts w:hint="eastAsia"/>
                <w:color w:val="auto"/>
                <w:sz w:val="21"/>
                <w:szCs w:val="21"/>
                <w:highlight w:val="none"/>
                <w:lang w:val="en-US" w:bidi="ar"/>
              </w:rPr>
              <w:br w:type="textWrapping"/>
            </w:r>
            <w:r>
              <w:rPr>
                <w:rFonts w:hint="eastAsia"/>
                <w:color w:val="auto"/>
                <w:sz w:val="21"/>
                <w:szCs w:val="21"/>
                <w:highlight w:val="none"/>
                <w:lang w:val="en-US" w:bidi="ar"/>
              </w:rPr>
              <w:t>1.2 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1.2.1 ★提升力（任何电量时）：＞70N；1.2.2 ★灵敏度（任何电量时）：A1-15/100 ；1.2.3 ★磁极间距：40～200mm；1.2.4 工作时间：16h；1.2.5 磁化电源重量：不大于1kg；1.2.6 磁轭重量：不大于1.6kg；1.2.7 ★工作暂载率：100%；1.2.8 ★白光强度：≥2000LUX；1.2.9 ★黑光辐照度：≥6000uW/cm 2； ；1.2.10 充电电源：100～240V/AC；1.2.11 充电时间：4～6h；1.2.12 专用充电器：16.8V/3A 。                                                                                                         1.2.13 标 准 配 置：                                                                                                   1.2.13.1 充电式交流磁轭探伤仪 3台； 1.2.13.2 磁轭探头 3个；1.2.13.3 磁能电源 3个；1.2.13.4 专用充电器 3个；1.2.13.5 专用工作包个正斜脚  3 对；1.2.13.6 探头脚调节器 3个；1.2.13.7 使用说明书 3份 合格证/保修卡3份 仪器箱3 个  防尘罩3份、操作手册3份；1.2.13.8 黑磁膏3盒；</w:t>
            </w:r>
            <w:r>
              <w:rPr>
                <w:rFonts w:hint="eastAsia"/>
                <w:color w:val="auto"/>
                <w:sz w:val="21"/>
                <w:szCs w:val="21"/>
                <w:highlight w:val="none"/>
                <w:lang w:val="en-US" w:bidi="ar"/>
              </w:rPr>
              <w:br w:type="textWrapping"/>
            </w:r>
            <w:r>
              <w:rPr>
                <w:rFonts w:hint="eastAsia"/>
                <w:color w:val="auto"/>
                <w:sz w:val="21"/>
                <w:szCs w:val="21"/>
                <w:highlight w:val="none"/>
                <w:lang w:val="en-US" w:bidi="ar"/>
              </w:rPr>
              <w:t>2.磁粉探伤机</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  2.1 性能特点及参数：</w:t>
            </w:r>
            <w:r>
              <w:rPr>
                <w:rFonts w:hint="eastAsia"/>
                <w:color w:val="auto"/>
                <w:sz w:val="21"/>
                <w:szCs w:val="21"/>
                <w:highlight w:val="none"/>
                <w:lang w:val="en-US" w:bidi="ar"/>
              </w:rPr>
              <w:br w:type="textWrapping"/>
            </w:r>
            <w:r>
              <w:rPr>
                <w:rFonts w:hint="eastAsia"/>
                <w:color w:val="auto"/>
                <w:sz w:val="21"/>
                <w:szCs w:val="21"/>
                <w:highlight w:val="none"/>
                <w:lang w:val="en-US" w:bidi="ar"/>
              </w:rPr>
              <w:t>2.1.1 ★提升力： 马蹄磁轭探头： AC≥4.5㎏ 电磁轭探头： AC≥4.5㎏ 旋转磁场探头： AC≥12㎏ 环形探头中心磁场：≥1800TA；</w:t>
            </w:r>
            <w:r>
              <w:rPr>
                <w:rFonts w:hint="eastAsia"/>
                <w:color w:val="auto"/>
                <w:sz w:val="21"/>
                <w:szCs w:val="21"/>
                <w:highlight w:val="none"/>
                <w:lang w:val="en-US" w:bidi="ar"/>
              </w:rPr>
              <w:br w:type="textWrapping"/>
            </w:r>
            <w:r>
              <w:rPr>
                <w:rFonts w:hint="eastAsia"/>
                <w:color w:val="auto"/>
                <w:sz w:val="21"/>
                <w:szCs w:val="21"/>
                <w:highlight w:val="none"/>
                <w:lang w:val="en-US" w:bidi="ar"/>
              </w:rPr>
              <w:t>2.1.2 ★探头极距 马蹄磁轭探头： 0～150mm 电磁轭探头： 0～225mm 旋转磁场探头 （80×80）mm环形探头内径：90mm ；</w:t>
            </w:r>
            <w:r>
              <w:rPr>
                <w:rFonts w:hint="eastAsia"/>
                <w:color w:val="auto"/>
                <w:sz w:val="21"/>
                <w:szCs w:val="21"/>
                <w:highlight w:val="none"/>
                <w:lang w:val="en-US" w:bidi="ar"/>
              </w:rPr>
              <w:br w:type="textWrapping"/>
            </w:r>
            <w:r>
              <w:rPr>
                <w:rFonts w:hint="eastAsia"/>
                <w:color w:val="auto"/>
                <w:sz w:val="21"/>
                <w:szCs w:val="21"/>
                <w:highlight w:val="none"/>
                <w:lang w:val="en-US" w:bidi="ar"/>
              </w:rPr>
              <w:t>2.1.3 主机重量不大于4.7kg ；2.1.4 电源电压：AC 220V/50HZ ；2.1.5 探头工作电压： AC  36V；2.1.6 探头工作电流： 12A ；</w:t>
            </w:r>
            <w:r>
              <w:rPr>
                <w:rFonts w:hint="eastAsia"/>
                <w:color w:val="auto"/>
                <w:sz w:val="21"/>
                <w:szCs w:val="21"/>
                <w:highlight w:val="none"/>
                <w:lang w:val="en-US" w:bidi="ar"/>
              </w:rPr>
              <w:br w:type="textWrapping"/>
            </w:r>
            <w:r>
              <w:rPr>
                <w:rFonts w:hint="eastAsia"/>
                <w:color w:val="auto"/>
                <w:sz w:val="21"/>
                <w:szCs w:val="21"/>
                <w:highlight w:val="none"/>
                <w:lang w:val="en-US" w:bidi="ar"/>
              </w:rPr>
              <w:t>2.1.7 ★灵敏度：可清晰完整地显示（15/100）A型标准试片上的刻槽；2.1.8 ★探头温升：≤60℃；2.1.9 ★工作节拍：(建议在长时间使用时)充磁时间≤3秒，间隙时间≥2秒；</w:t>
            </w:r>
            <w:r>
              <w:rPr>
                <w:rFonts w:hint="eastAsia"/>
                <w:color w:val="auto"/>
                <w:sz w:val="21"/>
                <w:szCs w:val="21"/>
                <w:highlight w:val="none"/>
                <w:lang w:val="en-US" w:bidi="ar"/>
              </w:rPr>
              <w:br w:type="textWrapping"/>
            </w:r>
            <w:r>
              <w:rPr>
                <w:rFonts w:hint="eastAsia"/>
                <w:color w:val="auto"/>
                <w:sz w:val="21"/>
                <w:szCs w:val="21"/>
                <w:highlight w:val="none"/>
                <w:lang w:val="en-US" w:bidi="ar"/>
              </w:rPr>
              <w:t>2.1.10 标 准 配 置：</w:t>
            </w:r>
            <w:r>
              <w:rPr>
                <w:rFonts w:hint="eastAsia"/>
                <w:color w:val="auto"/>
                <w:sz w:val="21"/>
                <w:szCs w:val="21"/>
                <w:highlight w:val="none"/>
                <w:lang w:val="en-US" w:bidi="ar"/>
              </w:rPr>
              <w:br w:type="textWrapping"/>
            </w:r>
            <w:r>
              <w:rPr>
                <w:rFonts w:hint="eastAsia"/>
                <w:color w:val="auto"/>
                <w:sz w:val="21"/>
                <w:szCs w:val="21"/>
                <w:highlight w:val="none"/>
                <w:lang w:val="en-US" w:bidi="ar"/>
              </w:rPr>
              <w:t>2.1.10.1 磁粉探伤机主机 1台；2.1.10.2 探头：A探头 1个 D探头 1个 E探头 1个 O探头1个；</w:t>
            </w:r>
            <w:r>
              <w:rPr>
                <w:rFonts w:hint="eastAsia"/>
                <w:color w:val="auto"/>
                <w:sz w:val="21"/>
                <w:szCs w:val="21"/>
                <w:highlight w:val="none"/>
                <w:lang w:val="en-US" w:bidi="ar"/>
              </w:rPr>
              <w:br w:type="textWrapping"/>
            </w:r>
            <w:r>
              <w:rPr>
                <w:rFonts w:hint="eastAsia"/>
                <w:color w:val="auto"/>
                <w:sz w:val="21"/>
                <w:szCs w:val="21"/>
                <w:highlight w:val="none"/>
                <w:lang w:val="en-US" w:bidi="ar"/>
              </w:rPr>
              <w:t>2.1.10.3 连接电缆 1条；2.1.10.4使用说明书 2份 合格证 1份 防尘罩1份 合格证/保修卡1份 仪器箱1个.</w:t>
            </w:r>
            <w:r>
              <w:rPr>
                <w:rFonts w:hint="eastAsia"/>
                <w:color w:val="auto"/>
                <w:sz w:val="21"/>
                <w:szCs w:val="21"/>
                <w:highlight w:val="none"/>
                <w:lang w:val="en-US" w:bidi="ar"/>
              </w:rPr>
              <w:br w:type="textWrapping"/>
            </w:r>
            <w:r>
              <w:rPr>
                <w:rFonts w:hint="eastAsia"/>
                <w:color w:val="auto"/>
                <w:sz w:val="21"/>
                <w:szCs w:val="21"/>
                <w:highlight w:val="none"/>
                <w:lang w:val="en-US" w:bidi="ar"/>
              </w:rPr>
              <w:t>3.整机配置：</w:t>
            </w:r>
            <w:r>
              <w:rPr>
                <w:rFonts w:hint="eastAsia"/>
                <w:color w:val="auto"/>
                <w:sz w:val="21"/>
                <w:szCs w:val="21"/>
                <w:highlight w:val="none"/>
                <w:lang w:val="en-US" w:bidi="ar"/>
              </w:rPr>
              <w:br w:type="textWrapping"/>
            </w:r>
            <w:r>
              <w:rPr>
                <w:rFonts w:hint="eastAsia"/>
                <w:color w:val="auto"/>
                <w:sz w:val="21"/>
                <w:szCs w:val="21"/>
                <w:highlight w:val="none"/>
                <w:lang w:val="en-US" w:bidi="ar"/>
              </w:rPr>
              <w:t>3.1 磁场指示器 1台；3.2 重力块（118N 45N） 2块；3.3 兆欧表1个；3.4 黑光灯 1个；3.5 黑光辐照计（UV-A单通道） 1个；</w:t>
            </w:r>
            <w:r>
              <w:rPr>
                <w:rFonts w:hint="eastAsia"/>
                <w:color w:val="auto"/>
                <w:sz w:val="21"/>
                <w:szCs w:val="21"/>
                <w:highlight w:val="none"/>
                <w:lang w:val="en-US" w:bidi="ar"/>
              </w:rPr>
              <w:br w:type="textWrapping"/>
            </w:r>
            <w:r>
              <w:rPr>
                <w:rFonts w:hint="eastAsia"/>
                <w:color w:val="auto"/>
                <w:sz w:val="21"/>
                <w:szCs w:val="21"/>
                <w:highlight w:val="none"/>
                <w:lang w:val="en-US" w:bidi="ar"/>
              </w:rPr>
              <w:t>3.5.1 黑光辐照计技术特点及参数：</w:t>
            </w:r>
            <w:r>
              <w:rPr>
                <w:rFonts w:hint="eastAsia"/>
                <w:color w:val="auto"/>
                <w:sz w:val="21"/>
                <w:szCs w:val="21"/>
                <w:highlight w:val="none"/>
                <w:lang w:val="en-US" w:bidi="ar"/>
              </w:rPr>
              <w:br w:type="textWrapping"/>
            </w:r>
            <w:r>
              <w:rPr>
                <w:rFonts w:hint="eastAsia"/>
                <w:color w:val="auto"/>
                <w:sz w:val="21"/>
                <w:szCs w:val="21"/>
                <w:highlight w:val="none"/>
                <w:lang w:val="en-US" w:bidi="ar"/>
              </w:rPr>
              <w:t>3.5.1.1光谱及角度特性经严格校正3.5.1.2 数字液晶显示，带背光；3.5.1.3 手动/自动量程切换；3.5.1.4 数字输出接口（USB，冗余供电）；3.5.1.5 低电量提醒；3.5.1.6 自动延时关机；3.5.1.7 有数字保持；3.5.1.8 轻触按键操作，蜂鸣提示；3.5.1.9 ★波长范围及峰值波长：λ：(375～475)nm；λP＝420nm；3.5.1.10 ★紫外带外区杂光：小于0.02% ；3.5.1.11 ★辐照度测量范围：(0.1～199.9×103) μW/cm2 ；3.5.1.12 ★相对示值误差：±10%（相对与NIM标准）；3.5.1.13 ★线性误差：±1% ；3.5.1.14 重量：不大于0.2kg；3.5.2 黑光辐照计配置：3.5.2.1 黑光辐照计主机 1台 3.5.2.2 使用说明书 1份 合格证 1份 防尘罩1份 合格证/保修卡1份；3.5.2.3 仪器箱1个。3.6 磁悬液浓度梨形沉淀管 1个；3.7 白光照度计 1个；</w:t>
            </w:r>
            <w:r>
              <w:rPr>
                <w:rFonts w:hint="eastAsia"/>
                <w:color w:val="auto"/>
                <w:sz w:val="21"/>
                <w:szCs w:val="21"/>
                <w:highlight w:val="none"/>
                <w:lang w:val="en-US" w:bidi="ar"/>
              </w:rPr>
              <w:br w:type="textWrapping"/>
            </w:r>
            <w:r>
              <w:rPr>
                <w:rFonts w:hint="eastAsia"/>
                <w:color w:val="auto"/>
                <w:sz w:val="21"/>
                <w:szCs w:val="21"/>
                <w:highlight w:val="none"/>
                <w:lang w:val="en-US" w:bidi="ar"/>
              </w:rPr>
              <w:t>3.7.1 白光照度计技术参数：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3.7.1.1 ★测量范围：200/2000/20000/200000 Lux；3.7.1.2★分辨率：0.1 Lux ；3.7.1.3 ★准确度： ±3% rdg ± 0.5% f.s.(＜10,000 lux) ±4% rdg ± 10dgts (＞10,000 lux)(以色温2856 K标准平面灯校正)；3.7.1.4 重复测试：±2%；3.7.1.5 温度特性：±0.1% /℃；3.7.1.6 操作及储存温湿度：操作及储存温湿度；3.7.1.7 重量：不大于250g。3.7.2 白光照度计配置：</w:t>
            </w:r>
            <w:r>
              <w:rPr>
                <w:rFonts w:hint="eastAsia"/>
                <w:color w:val="auto"/>
                <w:sz w:val="21"/>
                <w:szCs w:val="21"/>
                <w:highlight w:val="none"/>
                <w:lang w:val="en-US" w:bidi="ar"/>
              </w:rPr>
              <w:br w:type="textWrapping"/>
            </w:r>
            <w:r>
              <w:rPr>
                <w:rFonts w:hint="eastAsia"/>
                <w:color w:val="auto"/>
                <w:sz w:val="21"/>
                <w:szCs w:val="21"/>
                <w:highlight w:val="none"/>
                <w:lang w:val="en-US" w:bidi="ar"/>
              </w:rPr>
              <w:t>3.7.2.1 白光照度计主机 1台；3.7.2.2 使用说明书 1份 合格证 1份 防尘罩1份 合格证/保修卡1份；3.7.2.3 仪器箱1个.</w:t>
            </w:r>
            <w:r>
              <w:rPr>
                <w:rFonts w:hint="eastAsia"/>
                <w:color w:val="auto"/>
                <w:sz w:val="21"/>
                <w:szCs w:val="21"/>
                <w:highlight w:val="none"/>
                <w:lang w:val="en-US" w:bidi="ar"/>
              </w:rPr>
              <w:br w:type="textWrapping"/>
            </w:r>
            <w:r>
              <w:rPr>
                <w:rFonts w:hint="eastAsia"/>
                <w:color w:val="auto"/>
                <w:sz w:val="21"/>
                <w:szCs w:val="21"/>
                <w:highlight w:val="none"/>
                <w:lang w:val="en-US" w:bidi="ar"/>
              </w:rPr>
              <w:t>3.8 磁粉标准试片（A1型、C型、D型、M1型） 各1.块（共4块）；</w:t>
            </w:r>
            <w:r>
              <w:rPr>
                <w:rFonts w:hint="eastAsia"/>
                <w:color w:val="auto"/>
                <w:sz w:val="21"/>
                <w:szCs w:val="21"/>
                <w:highlight w:val="none"/>
                <w:lang w:val="en-US" w:bidi="ar"/>
              </w:rPr>
              <w:br w:type="textWrapping"/>
            </w:r>
            <w:r>
              <w:rPr>
                <w:rFonts w:hint="eastAsia"/>
                <w:color w:val="auto"/>
                <w:sz w:val="21"/>
                <w:szCs w:val="21"/>
                <w:highlight w:val="none"/>
                <w:lang w:val="en-US" w:bidi="ar"/>
              </w:rPr>
              <w:t>3.9 渗透标准试块（A型）4块 渗透对比试块（B3型）4块；</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3.10 铁质工作架（长度：3米 2层以上） 1个； </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3.11不锈钢工作台（1.5m×2m） 1个。 </w:t>
            </w:r>
            <w:r>
              <w:rPr>
                <w:rFonts w:hint="eastAsia"/>
                <w:color w:val="auto"/>
                <w:sz w:val="21"/>
                <w:szCs w:val="21"/>
                <w:highlight w:val="none"/>
                <w:lang w:val="en-US" w:bidi="ar"/>
              </w:rPr>
              <w:br w:type="textWrapping"/>
            </w:r>
            <w:r>
              <w:rPr>
                <w:rFonts w:hint="eastAsia"/>
                <w:color w:val="auto"/>
                <w:sz w:val="21"/>
                <w:szCs w:val="21"/>
                <w:highlight w:val="none"/>
                <w:lang w:val="en-US" w:bidi="ar"/>
              </w:rPr>
              <w:t>二、安装培训 供方负责运输、吊运到需方的指定安装地，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曲线建立与校正、常见故障的检查与排除。</w:t>
            </w:r>
            <w:r>
              <w:rPr>
                <w:rFonts w:hint="eastAsia"/>
                <w:color w:val="auto"/>
                <w:sz w:val="21"/>
                <w:szCs w:val="21"/>
                <w:highlight w:val="none"/>
                <w:lang w:val="en-US" w:bidi="ar"/>
              </w:rPr>
              <w:br w:type="textWrapping"/>
            </w:r>
            <w:r>
              <w:rPr>
                <w:rFonts w:hint="eastAsia"/>
                <w:color w:val="auto"/>
                <w:sz w:val="21"/>
                <w:szCs w:val="21"/>
                <w:highlight w:val="none"/>
                <w:lang w:val="en-US" w:bidi="ar"/>
              </w:rPr>
              <w:t>三、 带省级以上部门出具的检定合格证书（计量机构和检定/校准参数范围由使用方指定）；投标方必须提供所投产品由制造方提供含技术参数的印刷宣传彩页或原版含技术参数的使用说明书；所投产品软件终身不应加密，提供保证书。</w:t>
            </w:r>
            <w:r>
              <w:rPr>
                <w:rFonts w:hint="eastAsia"/>
                <w:color w:val="auto"/>
                <w:sz w:val="21"/>
                <w:szCs w:val="21"/>
                <w:highlight w:val="none"/>
                <w:lang w:val="en-US" w:bidi="ar"/>
              </w:rPr>
              <w:br w:type="textWrapping"/>
            </w:r>
            <w:r>
              <w:rPr>
                <w:rFonts w:hint="eastAsia"/>
                <w:color w:val="auto"/>
                <w:sz w:val="21"/>
                <w:szCs w:val="21"/>
                <w:highlight w:val="none"/>
                <w:lang w:val="en-US" w:bidi="ar"/>
              </w:rPr>
              <w:t>四、质保期及售后服务质保期为设备验收合格后36个月，保修期后设备维修人员的差旅费我方不承担。在使用过程中，如遇问题，4小时内响应并给出解决方案，12小时内到现场进行维修服务。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Times New Roman" w:hAnsi="Times New Roman" w:cs="Times New Roman"/>
                <w:color w:val="auto"/>
                <w:highlight w:val="none"/>
                <w:lang w:val="en-US" w:bidi="ar"/>
              </w:rPr>
            </w:pPr>
            <w:r>
              <w:rPr>
                <w:rFonts w:hint="eastAsia" w:ascii="Times New Roman" w:hAnsi="Times New Roman" w:cs="Times New Roman"/>
                <w:color w:val="auto"/>
                <w:highlight w:val="none"/>
                <w:lang w:val="en-US" w:bidi="ar"/>
              </w:rPr>
              <w:t>4</w:t>
            </w:r>
          </w:p>
        </w:tc>
        <w:tc>
          <w:tcPr>
            <w:tcW w:w="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autoSpaceDE/>
              <w:autoSpaceDN/>
              <w:jc w:val="center"/>
              <w:rPr>
                <w:color w:val="auto"/>
                <w:kern w:val="2"/>
                <w:sz w:val="21"/>
                <w:szCs w:val="21"/>
                <w:highlight w:val="none"/>
                <w:lang w:val="en-US" w:bidi="ar-SA"/>
              </w:rPr>
            </w:pPr>
          </w:p>
        </w:tc>
      </w:tr>
    </w:tbl>
    <w:p>
      <w:pPr>
        <w:autoSpaceDE/>
        <w:autoSpaceDN/>
        <w:jc w:val="both"/>
        <w:rPr>
          <w:color w:val="auto"/>
          <w:kern w:val="2"/>
          <w:sz w:val="21"/>
          <w:szCs w:val="21"/>
          <w:highlight w:val="none"/>
          <w:lang w:val="en-US" w:bidi="ar-SA"/>
        </w:rPr>
      </w:pPr>
    </w:p>
    <w:p>
      <w:pPr>
        <w:pStyle w:val="14"/>
        <w:rPr>
          <w:b/>
          <w:bCs/>
          <w:color w:val="auto"/>
          <w:kern w:val="2"/>
          <w:sz w:val="21"/>
          <w:szCs w:val="21"/>
          <w:highlight w:val="none"/>
          <w:lang w:val="en-US" w:bidi="ar-SA"/>
        </w:rPr>
      </w:pPr>
      <w:r>
        <w:rPr>
          <w:rFonts w:hint="eastAsia"/>
          <w:b/>
          <w:bCs/>
          <w:color w:val="auto"/>
          <w:kern w:val="2"/>
          <w:sz w:val="21"/>
          <w:szCs w:val="21"/>
          <w:highlight w:val="none"/>
          <w:lang w:val="en-US" w:bidi="ar-SA"/>
        </w:rPr>
        <w:t>标项2</w:t>
      </w:r>
    </w:p>
    <w:tbl>
      <w:tblPr>
        <w:tblStyle w:val="28"/>
        <w:tblW w:w="9723" w:type="dxa"/>
        <w:jc w:val="center"/>
        <w:tblLayout w:type="fixed"/>
        <w:tblCellMar>
          <w:top w:w="0" w:type="dxa"/>
          <w:left w:w="108" w:type="dxa"/>
          <w:bottom w:w="0" w:type="dxa"/>
          <w:right w:w="108" w:type="dxa"/>
        </w:tblCellMar>
      </w:tblPr>
      <w:tblGrid>
        <w:gridCol w:w="457"/>
        <w:gridCol w:w="1135"/>
        <w:gridCol w:w="6915"/>
        <w:gridCol w:w="777"/>
        <w:gridCol w:w="439"/>
      </w:tblGrid>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序号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设备名称</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主要技术参数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数量</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备注</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r>
              <w:rPr>
                <w:rFonts w:hint="eastAsia"/>
                <w:color w:val="auto"/>
                <w:sz w:val="21"/>
                <w:szCs w:val="21"/>
                <w:highlight w:val="none"/>
                <w:lang w:val="en-US"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大流量高压力供水系统</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sz w:val="21"/>
                <w:szCs w:val="21"/>
                <w:highlight w:val="none"/>
                <w:lang w:val="en-US" w:bidi="ar"/>
              </w:rPr>
            </w:pPr>
            <w:r>
              <w:rPr>
                <w:rFonts w:hint="eastAsia"/>
                <w:color w:val="auto"/>
                <w:sz w:val="21"/>
                <w:szCs w:val="21"/>
                <w:highlight w:val="none"/>
                <w:lang w:val="en-US" w:bidi="ar"/>
              </w:rPr>
              <w:t xml:space="preserve">一、技术参数及性能描述要求 </w:t>
            </w:r>
            <w:r>
              <w:rPr>
                <w:rFonts w:hint="eastAsia"/>
                <w:color w:val="auto"/>
                <w:sz w:val="21"/>
                <w:szCs w:val="21"/>
                <w:highlight w:val="none"/>
                <w:lang w:val="en-US" w:bidi="ar"/>
              </w:rPr>
              <w:br w:type="textWrapping"/>
            </w:r>
            <w:r>
              <w:rPr>
                <w:rFonts w:hint="eastAsia"/>
                <w:color w:val="auto"/>
                <w:sz w:val="21"/>
                <w:szCs w:val="21"/>
                <w:highlight w:val="none"/>
                <w:lang w:val="en-US" w:bidi="ar"/>
              </w:rPr>
              <w:t>仪器应符合适用于GB 8181-2005《消防水枪》、GB 3445-2018《室内消火栓》、GB15090-2005《消防软管卷盘》、GB 5135.1-2019《自动喷水灭火系统 第1部分:洒水喷头》等国家标准和行业标准要求,应用于测试室内消火栓测定压力损失、减压、减压稳压性能及流量项目，消防软管卷盘喷射试验，消防水枪喷射性能、流量测试、喷雾角与开花角的测量，洒水喷头水压密封和耐水压强度性能、流量系数等参数提供压力源。满足GB15090-2005《消防软管卷盘》第6.1节喷射测试的压力源要求。满足GB8181-2005《消防水枪》第6.1节喷射测试与流量测试的（低压水枪）压力源要求。满足GB4452-2011《室外消火栓》第6.11、6.12调压性能、减压稳压性能试验的压力源要求。符合GB3445-2018《室内消火栓》第6.12节压力损失和6.13节减压、减压稳压性能及流量试验的压力源要求。符合GB5135.1-2019《自动喷水灭火系统 第1部分:洒水喷头》第7.5节布水试验、第7.6节溅水盘上、下的喷水量试验压力源要求。</w:t>
            </w:r>
            <w:r>
              <w:rPr>
                <w:rFonts w:hint="eastAsia"/>
                <w:color w:val="auto"/>
                <w:sz w:val="21"/>
                <w:szCs w:val="21"/>
                <w:highlight w:val="none"/>
                <w:lang w:val="en-US" w:bidi="ar"/>
              </w:rPr>
              <w:br w:type="textWrapping"/>
            </w:r>
            <w:r>
              <w:rPr>
                <w:rFonts w:hint="eastAsia"/>
                <w:color w:val="auto"/>
                <w:sz w:val="21"/>
                <w:szCs w:val="21"/>
                <w:highlight w:val="none"/>
                <w:lang w:val="en-US" w:bidi="ar"/>
              </w:rPr>
              <w:t>1.主要性能特性：</w:t>
            </w:r>
            <w:r>
              <w:rPr>
                <w:rFonts w:hint="eastAsia"/>
                <w:color w:val="auto"/>
                <w:sz w:val="21"/>
                <w:szCs w:val="21"/>
                <w:highlight w:val="none"/>
                <w:lang w:val="en-US" w:bidi="ar"/>
              </w:rPr>
              <w:br w:type="textWrapping"/>
            </w:r>
            <w:r>
              <w:rPr>
                <w:rFonts w:hint="eastAsia"/>
                <w:color w:val="auto"/>
                <w:sz w:val="21"/>
                <w:szCs w:val="21"/>
                <w:highlight w:val="none"/>
                <w:lang w:val="en-US" w:bidi="ar"/>
              </w:rPr>
              <w:t>1.1采用高压力、大流量泵，满足大流量（8.33L/S），高压力（1.6MPa）要求；1.2采用计算机自动控制，可在计算机界面控制压力、流量等试验各程序，可自动控制、显示、记录压力、流量、差压、时间等参数；1.3自动采集试验数据，自动生成原始记录，自动生成格式化报告，无需实验人员手动输入数据，减少实验人员工作量，操作简单；1.4数据采集时间：计时精度 0.1s；数据传输记录及时准确，无传输延迟、无卡顿；1.5符合各类产品不同大小的流量需求，流量/压力调控能自动控制；1.6自动恒压，轻微渗漏时，能够自动补充恒定压力；1.7管路采用304#不锈钢制作，经久耐用；1.8整体设计合理，维修保养方便快捷。</w:t>
            </w:r>
            <w:r>
              <w:rPr>
                <w:rFonts w:hint="eastAsia"/>
                <w:color w:val="auto"/>
                <w:sz w:val="21"/>
                <w:szCs w:val="21"/>
                <w:highlight w:val="none"/>
                <w:lang w:val="en-US" w:bidi="ar"/>
              </w:rPr>
              <w:br w:type="textWrapping"/>
            </w:r>
            <w:r>
              <w:rPr>
                <w:rFonts w:hint="eastAsia"/>
                <w:color w:val="auto"/>
                <w:sz w:val="21"/>
                <w:szCs w:val="21"/>
                <w:highlight w:val="none"/>
                <w:lang w:val="en-US" w:bidi="ar"/>
              </w:rPr>
              <w:t>2、主要技术参数：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2.1主要配置：由储水罐、高压管路、流量测量与控制及计算机集成控制柜；2.2试验介质：水（厂家提供蓄水池规划建议）；2.3★压力采集精度：±0.05MPa；2.4★压力传感方式：电流变送器方式；2.5★变频器调频范围：0～50Hz；37KW变频调速；</w:t>
            </w:r>
            <w:r>
              <w:rPr>
                <w:rFonts w:hint="eastAsia"/>
                <w:color w:val="auto"/>
                <w:sz w:val="21"/>
                <w:szCs w:val="21"/>
                <w:highlight w:val="none"/>
                <w:lang w:val="en-US" w:bidi="ar"/>
              </w:rPr>
              <w:br w:type="textWrapping"/>
            </w:r>
            <w:r>
              <w:rPr>
                <w:rFonts w:hint="eastAsia"/>
                <w:color w:val="auto"/>
                <w:sz w:val="21"/>
                <w:szCs w:val="21"/>
                <w:highlight w:val="none"/>
                <w:lang w:val="en-US" w:bidi="ar"/>
              </w:rPr>
              <w:t>2.6高压供水系统：</w:t>
            </w:r>
            <w:r>
              <w:rPr>
                <w:rFonts w:hint="eastAsia"/>
                <w:color w:val="auto"/>
                <w:sz w:val="21"/>
                <w:szCs w:val="21"/>
                <w:highlight w:val="none"/>
                <w:lang w:val="en-US" w:bidi="ar"/>
              </w:rPr>
              <w:br w:type="textWrapping"/>
            </w:r>
            <w:r>
              <w:rPr>
                <w:rFonts w:hint="eastAsia"/>
                <w:color w:val="auto"/>
                <w:sz w:val="21"/>
                <w:szCs w:val="21"/>
                <w:highlight w:val="none"/>
                <w:lang w:val="en-US" w:bidi="ar"/>
              </w:rPr>
              <w:t>2.6.1系统组成：由截止阀、过滤阀、高压泵、止回阀、安全释放阀、液压传感器、调节阀以及管道组成；2.6.2 高压泵：2.6.2.1采用卧式的多级离心泵，型号为D46-30x7；2.6.2.2★压力：0~2.1Mpa；2.6.2.3★流量12.78L/S（46m3/h）；2.6.2.4功率：45kw；2.6.2.5出口尺寸：DN65 ；2.6.3过滤器：DN65，过滤网10~30目；2.6.4截止阀：DN65等;2.6.5止回阀：两个，防止压力回流；2.6.6安全释放阀:DN65 当压力超过试验值后而释放，起到安全保护作用；2.7电源：AC380V,功率：50KW。</w:t>
            </w:r>
            <w:r>
              <w:rPr>
                <w:rFonts w:hint="eastAsia"/>
                <w:color w:val="auto"/>
                <w:sz w:val="21"/>
                <w:szCs w:val="21"/>
                <w:highlight w:val="none"/>
                <w:lang w:val="en-US" w:bidi="ar"/>
              </w:rPr>
              <w:br w:type="textWrapping"/>
            </w:r>
            <w:r>
              <w:rPr>
                <w:rFonts w:hint="eastAsia"/>
                <w:color w:val="auto"/>
                <w:sz w:val="21"/>
                <w:szCs w:val="21"/>
                <w:highlight w:val="none"/>
                <w:lang w:val="en-US" w:bidi="ar"/>
              </w:rPr>
              <w:t>3、主机配件：</w:t>
            </w:r>
            <w:r>
              <w:rPr>
                <w:rFonts w:hint="eastAsia"/>
                <w:color w:val="auto"/>
                <w:sz w:val="21"/>
                <w:szCs w:val="21"/>
                <w:highlight w:val="none"/>
                <w:lang w:val="en-US" w:bidi="ar"/>
              </w:rPr>
              <w:br w:type="textWrapping"/>
            </w:r>
            <w:r>
              <w:rPr>
                <w:rFonts w:hint="eastAsia"/>
                <w:color w:val="auto"/>
                <w:sz w:val="21"/>
                <w:szCs w:val="21"/>
                <w:highlight w:val="none"/>
                <w:lang w:val="en-US" w:bidi="ar"/>
              </w:rPr>
              <w:t>2.1大流量高压力供水系统 1台；2.2满足设备要求电脑（键盘、鼠标、显示器、主机、打印机、系统软件） 1套； 2.3DVP-14SS211R PLC  1台；  2.4DVP 04AD-S 扩展模块 2套；2.5变频器 2个；2.6电控箱 1套；2.7离心水泵 2台；2.8安全阀 1个；2.9截止阀 3个；2.10止回阀 2个；2.11电磁流量计（DN50/65/80 输出4~20mA  承受压力6.3MPA 法兰式） 3个；2.12YW-131压力传感器 3个；2.13钢丝软管 1套；2.14管路系统 1套；2.15法兰密封垫（DN50 DN65）1套；2.16与大流量高压力供水系统匹配的工作台和椅子 1套；2.17中文说明书1本、中文操作视频1个 合格证1张、保修卡1张、装箱卡1张，防尘罩1个；2.18操作工具：扭剪扳手NKNJ （包含M16/20/22/24/27/70/30六个规格，设备数显分辨力不低于1Nm） 1套；2.19消防产品工作台及其配件 1套  技术参数：工作台：（1500×750×800）mm，材质：喷塑钢结构、镀锌钢板桌面钢质结构 台虎钳：规格：5寸  数量：2个 锉刀（圆锉刀、半圆锉刀、方锉刀、扁锉刀、三角锉刀） 规格：8寸、12寸 2套  榔头 2个  内外卡钳 2套 活动扳手（200×24）1把 铁皮剪刀 1把。</w:t>
            </w:r>
            <w:r>
              <w:rPr>
                <w:rFonts w:hint="eastAsia"/>
                <w:color w:val="auto"/>
                <w:sz w:val="21"/>
                <w:szCs w:val="21"/>
                <w:highlight w:val="none"/>
                <w:lang w:val="en-US" w:bidi="ar"/>
              </w:rPr>
              <w:br w:type="textWrapping"/>
            </w:r>
            <w:r>
              <w:rPr>
                <w:rFonts w:hint="eastAsia"/>
                <w:color w:val="auto"/>
                <w:sz w:val="21"/>
                <w:szCs w:val="21"/>
                <w:highlight w:val="none"/>
                <w:lang w:val="en-US" w:bidi="ar"/>
              </w:rPr>
              <w:t>二、安装培训 供方负责运输、吊运到需方的指定安装地，并由供方负责电路、水路系统连接管及插座和电线的建造和设备安装调试（使用方只提供房间内电源，电路、水路系统连接管及插座和电线等由供方负责），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试验中应注意的问题、常见故障的检查与排除。</w:t>
            </w:r>
            <w:r>
              <w:rPr>
                <w:rFonts w:hint="eastAsia"/>
                <w:color w:val="auto"/>
                <w:sz w:val="21"/>
                <w:szCs w:val="21"/>
                <w:highlight w:val="none"/>
                <w:lang w:val="en-US" w:bidi="ar"/>
              </w:rPr>
              <w:br w:type="textWrapping"/>
            </w:r>
            <w:r>
              <w:rPr>
                <w:rFonts w:hint="eastAsia"/>
                <w:color w:val="auto"/>
                <w:sz w:val="21"/>
                <w:szCs w:val="21"/>
                <w:highlight w:val="none"/>
                <w:lang w:val="en-US" w:bidi="ar"/>
              </w:rPr>
              <w:t>三、 带省级以上部门出具的检定合格证书（计量机构和检定/校准参数范围由使用方指定）；投标方必须提供所投产品由制造方提供含技术参数的印刷宣传彩页或原版含技术参数的使用说明书；所投产品软件终身不应加密，提供保证书。</w:t>
            </w:r>
          </w:p>
          <w:p>
            <w:pPr>
              <w:pStyle w:val="13"/>
              <w:ind w:firstLine="0"/>
              <w:rPr>
                <w:rFonts w:hint="eastAsia"/>
                <w:color w:val="auto"/>
                <w:sz w:val="21"/>
                <w:szCs w:val="21"/>
                <w:highlight w:val="none"/>
                <w:lang w:val="en-US" w:bidi="ar"/>
              </w:rPr>
            </w:pPr>
            <w:r>
              <w:rPr>
                <w:rFonts w:hint="eastAsia"/>
                <w:color w:val="auto"/>
                <w:sz w:val="21"/>
                <w:szCs w:val="21"/>
                <w:highlight w:val="none"/>
                <w:lang w:val="en-US" w:bidi="ar"/>
              </w:rPr>
              <w:t>四、质保期及售后服务质保期为设备验收合格后</w:t>
            </w:r>
            <w:r>
              <w:rPr>
                <w:color w:val="auto"/>
                <w:sz w:val="21"/>
                <w:szCs w:val="21"/>
                <w:highlight w:val="none"/>
                <w:lang w:val="en-US" w:bidi="ar"/>
              </w:rPr>
              <w:t>36个月，保修期后设备维修人员的差旅费我方不承担。在使用过程中，如遇问题，4小时内响应并给出解决方案，12小时内到现场进行维修服务。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r>
              <w:rPr>
                <w:rFonts w:hint="eastAsia"/>
                <w:color w:val="auto"/>
                <w:sz w:val="21"/>
                <w:szCs w:val="21"/>
                <w:highlight w:val="none"/>
                <w:lang w:val="en-US"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室内栓压力损失及减压、稳压试验装置</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sz w:val="21"/>
                <w:szCs w:val="21"/>
                <w:highlight w:val="none"/>
                <w:lang w:val="en-US" w:bidi="ar"/>
              </w:rPr>
            </w:pPr>
            <w:r>
              <w:rPr>
                <w:rFonts w:hint="eastAsia"/>
                <w:color w:val="auto"/>
                <w:sz w:val="21"/>
                <w:szCs w:val="21"/>
                <w:highlight w:val="none"/>
                <w:lang w:val="en-US" w:bidi="ar"/>
              </w:rPr>
              <w:t xml:space="preserve">一、技术参数及性能描述要求  </w:t>
            </w:r>
            <w:r>
              <w:rPr>
                <w:rFonts w:hint="eastAsia"/>
                <w:color w:val="auto"/>
                <w:sz w:val="21"/>
                <w:szCs w:val="21"/>
                <w:highlight w:val="none"/>
                <w:lang w:val="en-US" w:bidi="ar"/>
              </w:rPr>
              <w:br w:type="textWrapping"/>
            </w:r>
            <w:r>
              <w:rPr>
                <w:rFonts w:hint="eastAsia"/>
                <w:color w:val="auto"/>
                <w:sz w:val="21"/>
                <w:szCs w:val="21"/>
                <w:highlight w:val="none"/>
                <w:lang w:val="en-US" w:bidi="ar"/>
              </w:rPr>
              <w:t>仪器应符合适用于GB 3445-2018《室内消火栓》等国家标准和行业标准要求,应用于测试室内消火栓测定压力损失、减压、减压稳压性能等参数测试。</w:t>
            </w:r>
            <w:r>
              <w:rPr>
                <w:rFonts w:hint="eastAsia"/>
                <w:color w:val="auto"/>
                <w:sz w:val="21"/>
                <w:szCs w:val="21"/>
                <w:highlight w:val="none"/>
                <w:lang w:val="en-US" w:bidi="ar"/>
              </w:rPr>
              <w:br w:type="textWrapping"/>
            </w:r>
            <w:r>
              <w:rPr>
                <w:rFonts w:hint="eastAsia"/>
                <w:color w:val="auto"/>
                <w:sz w:val="21"/>
                <w:szCs w:val="21"/>
                <w:highlight w:val="none"/>
                <w:lang w:val="en-US" w:bidi="ar"/>
              </w:rPr>
              <w:t>1.适用范围：</w:t>
            </w:r>
            <w:r>
              <w:rPr>
                <w:rFonts w:hint="eastAsia"/>
                <w:color w:val="auto"/>
                <w:sz w:val="21"/>
                <w:szCs w:val="21"/>
                <w:highlight w:val="none"/>
                <w:lang w:val="en-US" w:bidi="ar"/>
              </w:rPr>
              <w:br w:type="textWrapping"/>
            </w:r>
            <w:r>
              <w:rPr>
                <w:rFonts w:hint="eastAsia"/>
                <w:color w:val="auto"/>
                <w:sz w:val="21"/>
                <w:szCs w:val="21"/>
                <w:highlight w:val="none"/>
                <w:lang w:val="en-US" w:bidi="ar"/>
              </w:rPr>
              <w:t>适用于公称通径50mm、65mm，公称压力1.6MPa，介质为水、泡沫混合液的室内消火栓；适用于GB3445-2018《室内消火栓》第5.12节，在进口流速为5m/s条件下，因水力摩阻而产生的压力损失不得超过0.02Mpa的试验；适用于GB3445-2018《室内消火栓》第5.13节减压型室内消火栓，其进气口压力与出气口压力允许误差为±0.02Mpa，且流量应大于5.0L/s的试验；需要与大流量高压力供水系统配合使用。符合标准GB3445-2018第5.12节、第6.12节；符合标准GB3445-2018第5.13节、第6.13节减压、减压稳压性能和流量试验。</w:t>
            </w:r>
            <w:r>
              <w:rPr>
                <w:rFonts w:hint="eastAsia"/>
                <w:color w:val="auto"/>
                <w:sz w:val="21"/>
                <w:szCs w:val="21"/>
                <w:highlight w:val="none"/>
                <w:lang w:val="en-US" w:bidi="ar"/>
              </w:rPr>
              <w:br w:type="textWrapping"/>
            </w:r>
            <w:r>
              <w:rPr>
                <w:rFonts w:hint="eastAsia"/>
                <w:color w:val="auto"/>
                <w:sz w:val="21"/>
                <w:szCs w:val="21"/>
                <w:highlight w:val="none"/>
                <w:lang w:val="en-US" w:bidi="ar"/>
              </w:rPr>
              <w:t>2.软件控制系统：</w:t>
            </w:r>
            <w:r>
              <w:rPr>
                <w:rFonts w:hint="eastAsia"/>
                <w:color w:val="auto"/>
                <w:sz w:val="21"/>
                <w:szCs w:val="21"/>
                <w:highlight w:val="none"/>
                <w:lang w:val="en-US" w:bidi="ar"/>
              </w:rPr>
              <w:br w:type="textWrapping"/>
            </w:r>
            <w:r>
              <w:rPr>
                <w:rFonts w:hint="eastAsia"/>
                <w:color w:val="auto"/>
                <w:sz w:val="21"/>
                <w:szCs w:val="21"/>
                <w:highlight w:val="none"/>
                <w:lang w:val="en-US" w:bidi="ar"/>
              </w:rPr>
              <w:t>2.1软件控制系统是和大流量高压力供水系统集成到一起，共用大流量高压力供水系统软件控制系统，不再需要单独设置软件控制系统，极大减少采购方的成本；</w:t>
            </w:r>
            <w:r>
              <w:rPr>
                <w:rFonts w:hint="eastAsia"/>
                <w:color w:val="auto"/>
                <w:sz w:val="21"/>
                <w:szCs w:val="21"/>
                <w:highlight w:val="none"/>
                <w:lang w:val="en-US" w:bidi="ar"/>
              </w:rPr>
              <w:br w:type="textWrapping"/>
            </w:r>
            <w:r>
              <w:rPr>
                <w:rFonts w:hint="eastAsia"/>
                <w:color w:val="auto"/>
                <w:sz w:val="21"/>
                <w:szCs w:val="21"/>
                <w:highlight w:val="none"/>
                <w:lang w:val="en-US" w:bidi="ar"/>
              </w:rPr>
              <w:t>2.2软件控制系统采用WINDOWS系统为工作平台，使用Labview软件编制软件系统，可在计算机界面控制压力、流量等试验各过程，可自动控制、显示、记录压力、流量、时间等参数；</w:t>
            </w:r>
            <w:r>
              <w:rPr>
                <w:rFonts w:hint="eastAsia"/>
                <w:color w:val="auto"/>
                <w:sz w:val="21"/>
                <w:szCs w:val="21"/>
                <w:highlight w:val="none"/>
                <w:lang w:val="en-US" w:bidi="ar"/>
              </w:rPr>
              <w:br w:type="textWrapping"/>
            </w:r>
            <w:r>
              <w:rPr>
                <w:rFonts w:hint="eastAsia"/>
                <w:color w:val="auto"/>
                <w:sz w:val="21"/>
                <w:szCs w:val="21"/>
                <w:highlight w:val="none"/>
                <w:lang w:val="en-US" w:bidi="ar"/>
              </w:rPr>
              <w:t>2.3软件控制系统自动采集试验数据，自动生成原始记录，自动生成格式化报告，无需实验人员手动输入数据，减少实验人员工作量，操作简单；</w:t>
            </w:r>
            <w:r>
              <w:rPr>
                <w:rFonts w:hint="eastAsia"/>
                <w:color w:val="auto"/>
                <w:sz w:val="21"/>
                <w:szCs w:val="21"/>
                <w:highlight w:val="none"/>
                <w:lang w:val="en-US" w:bidi="ar"/>
              </w:rPr>
              <w:br w:type="textWrapping"/>
            </w:r>
            <w:r>
              <w:rPr>
                <w:rFonts w:hint="eastAsia"/>
                <w:color w:val="auto"/>
                <w:sz w:val="21"/>
                <w:szCs w:val="21"/>
                <w:highlight w:val="none"/>
                <w:lang w:val="en-US" w:bidi="ar"/>
              </w:rPr>
              <w:t>2.4软件控制系统数据采集时间：计时精度 0.1s；数据传输记录及时准确，无传输延迟、无卡顿；</w:t>
            </w:r>
            <w:r>
              <w:rPr>
                <w:rFonts w:hint="eastAsia"/>
                <w:color w:val="auto"/>
                <w:sz w:val="21"/>
                <w:szCs w:val="21"/>
                <w:highlight w:val="none"/>
                <w:lang w:val="en-US" w:bidi="ar"/>
              </w:rPr>
              <w:br w:type="textWrapping"/>
            </w:r>
            <w:r>
              <w:rPr>
                <w:rFonts w:hint="eastAsia"/>
                <w:color w:val="auto"/>
                <w:sz w:val="21"/>
                <w:szCs w:val="21"/>
                <w:highlight w:val="none"/>
                <w:lang w:val="en-US" w:bidi="ar"/>
              </w:rPr>
              <w:t>2.5软件控制系统符合各类产品不同的流量需求，流量/压力调控能自动控制；</w:t>
            </w:r>
            <w:r>
              <w:rPr>
                <w:rFonts w:hint="eastAsia"/>
                <w:color w:val="auto"/>
                <w:sz w:val="21"/>
                <w:szCs w:val="21"/>
                <w:highlight w:val="none"/>
                <w:lang w:val="en-US" w:bidi="ar"/>
              </w:rPr>
              <w:br w:type="textWrapping"/>
            </w:r>
            <w:r>
              <w:rPr>
                <w:rFonts w:hint="eastAsia"/>
                <w:color w:val="auto"/>
                <w:sz w:val="21"/>
                <w:szCs w:val="21"/>
                <w:highlight w:val="none"/>
                <w:lang w:val="en-US" w:bidi="ar"/>
              </w:rPr>
              <w:t>3.主要性能特点：</w:t>
            </w:r>
            <w:r>
              <w:rPr>
                <w:rFonts w:hint="eastAsia"/>
                <w:color w:val="auto"/>
                <w:sz w:val="21"/>
                <w:szCs w:val="21"/>
                <w:highlight w:val="none"/>
                <w:lang w:val="en-US" w:bidi="ar"/>
              </w:rPr>
              <w:br w:type="textWrapping"/>
            </w:r>
            <w:r>
              <w:rPr>
                <w:rFonts w:hint="eastAsia"/>
                <w:color w:val="auto"/>
                <w:sz w:val="21"/>
                <w:szCs w:val="21"/>
                <w:highlight w:val="none"/>
                <w:lang w:val="en-US" w:bidi="ar"/>
              </w:rPr>
              <w:t>3.1严格按照国际标准进行设计，流量计、压力表等的位置依据标准设计；</w:t>
            </w:r>
            <w:r>
              <w:rPr>
                <w:rFonts w:hint="eastAsia"/>
                <w:color w:val="auto"/>
                <w:sz w:val="21"/>
                <w:szCs w:val="21"/>
                <w:highlight w:val="none"/>
                <w:lang w:val="en-US" w:bidi="ar"/>
              </w:rPr>
              <w:br w:type="textWrapping"/>
            </w:r>
            <w:r>
              <w:rPr>
                <w:rFonts w:hint="eastAsia"/>
                <w:color w:val="auto"/>
                <w:sz w:val="21"/>
                <w:szCs w:val="21"/>
                <w:highlight w:val="none"/>
                <w:lang w:val="en-US" w:bidi="ar"/>
              </w:rPr>
              <w:t>3.2软件控制系统自动采集试验数据，自动生成原始记录，自动生成格式化报告，无需实验人员手动输入数据，减少实验人员工作量，操作简单；</w:t>
            </w:r>
            <w:r>
              <w:rPr>
                <w:rFonts w:hint="eastAsia"/>
                <w:color w:val="auto"/>
                <w:sz w:val="21"/>
                <w:szCs w:val="21"/>
                <w:highlight w:val="none"/>
                <w:lang w:val="en-US" w:bidi="ar"/>
              </w:rPr>
              <w:br w:type="textWrapping"/>
            </w:r>
            <w:r>
              <w:rPr>
                <w:rFonts w:hint="eastAsia"/>
                <w:color w:val="auto"/>
                <w:sz w:val="21"/>
                <w:szCs w:val="21"/>
                <w:highlight w:val="none"/>
                <w:lang w:val="en-US" w:bidi="ar"/>
              </w:rPr>
              <w:t>3.3采用带有输出功能的流量计、压力表、差压变送器、栓后压力表等，将相关数据直接传送至软件控制系统，免除人工抄写数据的烦恼；</w:t>
            </w:r>
            <w:r>
              <w:rPr>
                <w:rFonts w:hint="eastAsia"/>
                <w:color w:val="auto"/>
                <w:sz w:val="21"/>
                <w:szCs w:val="21"/>
                <w:highlight w:val="none"/>
                <w:lang w:val="en-US" w:bidi="ar"/>
              </w:rPr>
              <w:br w:type="textWrapping"/>
            </w:r>
            <w:r>
              <w:rPr>
                <w:rFonts w:hint="eastAsia"/>
                <w:color w:val="auto"/>
                <w:sz w:val="21"/>
                <w:szCs w:val="21"/>
                <w:highlight w:val="none"/>
                <w:lang w:val="en-US" w:bidi="ar"/>
              </w:rPr>
              <w:t>3.4带有脚轮可以随意移动，方便进行位置调节。</w:t>
            </w:r>
            <w:r>
              <w:rPr>
                <w:rFonts w:hint="eastAsia"/>
                <w:color w:val="auto"/>
                <w:sz w:val="21"/>
                <w:szCs w:val="21"/>
                <w:highlight w:val="none"/>
                <w:lang w:val="en-US" w:bidi="ar"/>
              </w:rPr>
              <w:br w:type="textWrapping"/>
            </w:r>
            <w:r>
              <w:rPr>
                <w:rFonts w:hint="eastAsia"/>
                <w:color w:val="auto"/>
                <w:sz w:val="21"/>
                <w:szCs w:val="21"/>
                <w:highlight w:val="none"/>
                <w:lang w:val="en-US" w:bidi="ar"/>
              </w:rPr>
              <w:t>4.主要技术参数：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4.1仪器组成：由截止阀、节流阀、流量计、栓前压力表、差压变送器、栓后压力表、当量喷嘴直径为19mm的消防水枪以及管路组成；</w:t>
            </w:r>
            <w:r>
              <w:rPr>
                <w:rFonts w:hint="eastAsia"/>
                <w:color w:val="auto"/>
                <w:sz w:val="21"/>
                <w:szCs w:val="21"/>
                <w:highlight w:val="none"/>
                <w:lang w:val="en-US" w:bidi="ar"/>
              </w:rPr>
              <w:br w:type="textWrapping"/>
            </w:r>
            <w:r>
              <w:rPr>
                <w:rFonts w:hint="eastAsia"/>
                <w:color w:val="auto"/>
                <w:sz w:val="21"/>
                <w:szCs w:val="21"/>
                <w:highlight w:val="none"/>
                <w:lang w:val="en-US" w:bidi="ar"/>
              </w:rPr>
              <w:t>4.2★截止阀：DN65mm，压力为6.4MPa；</w:t>
            </w:r>
            <w:r>
              <w:rPr>
                <w:rFonts w:hint="eastAsia"/>
                <w:color w:val="auto"/>
                <w:sz w:val="21"/>
                <w:szCs w:val="21"/>
                <w:highlight w:val="none"/>
                <w:lang w:val="en-US" w:bidi="ar"/>
              </w:rPr>
              <w:br w:type="textWrapping"/>
            </w:r>
            <w:r>
              <w:rPr>
                <w:rFonts w:hint="eastAsia"/>
                <w:color w:val="auto"/>
                <w:sz w:val="21"/>
                <w:szCs w:val="21"/>
                <w:highlight w:val="none"/>
                <w:lang w:val="en-US" w:bidi="ar"/>
              </w:rPr>
              <w:t>4.3★节流阀：DN25mm，压力为1.6MPa ；</w:t>
            </w:r>
            <w:r>
              <w:rPr>
                <w:rFonts w:hint="eastAsia"/>
                <w:color w:val="auto"/>
                <w:sz w:val="21"/>
                <w:szCs w:val="21"/>
                <w:highlight w:val="none"/>
                <w:lang w:val="en-US" w:bidi="ar"/>
              </w:rPr>
              <w:br w:type="textWrapping"/>
            </w:r>
            <w:r>
              <w:rPr>
                <w:rFonts w:hint="eastAsia"/>
                <w:color w:val="auto"/>
                <w:sz w:val="21"/>
                <w:szCs w:val="21"/>
                <w:highlight w:val="none"/>
                <w:lang w:val="en-US" w:bidi="ar"/>
              </w:rPr>
              <w:t>4.4流量计：4.4.1★采用涡轮流量计；4.4.2规格：DN65口径；4.4.3连接方式：采用法兰连接；4.4.4材质：304不锈钢；4.4.5供电/输出：DC24V供电，脉冲输出；4.4.6★精度：0.5级；4.4.7★耐压：6.3MPa；4.4.8★流量范围：4-18m³/h；4.4.9介质：水。4.5★栓前后压力表：0~5.0MPa；4.6差压变送器：4.6.1★信号输出：电流4~20mA；</w:t>
            </w:r>
            <w:r>
              <w:rPr>
                <w:rFonts w:hint="eastAsia"/>
                <w:color w:val="auto"/>
                <w:sz w:val="21"/>
                <w:szCs w:val="21"/>
                <w:highlight w:val="none"/>
                <w:lang w:val="en-US" w:bidi="ar"/>
              </w:rPr>
              <w:br w:type="textWrapping"/>
            </w:r>
            <w:r>
              <w:rPr>
                <w:rFonts w:hint="eastAsia"/>
                <w:color w:val="auto"/>
                <w:sz w:val="21"/>
                <w:szCs w:val="21"/>
                <w:highlight w:val="none"/>
                <w:lang w:val="en-US" w:bidi="ar"/>
              </w:rPr>
              <w:t>4.6.2★接口：螺纹接口M20★1.5；4.6.3★压力范围：0~30kPa；4.6.4为电子直读式。</w:t>
            </w:r>
            <w:r>
              <w:rPr>
                <w:rFonts w:hint="eastAsia"/>
                <w:color w:val="auto"/>
                <w:sz w:val="21"/>
                <w:szCs w:val="21"/>
                <w:highlight w:val="none"/>
                <w:lang w:val="en-US" w:bidi="ar"/>
              </w:rPr>
              <w:br w:type="textWrapping"/>
            </w:r>
            <w:r>
              <w:rPr>
                <w:rFonts w:hint="eastAsia"/>
                <w:color w:val="auto"/>
                <w:sz w:val="21"/>
                <w:szCs w:val="21"/>
                <w:highlight w:val="none"/>
                <w:lang w:val="en-US" w:bidi="ar"/>
              </w:rPr>
              <w:t>5.主机配件：</w:t>
            </w:r>
            <w:r>
              <w:rPr>
                <w:rFonts w:hint="eastAsia"/>
                <w:color w:val="auto"/>
                <w:sz w:val="21"/>
                <w:szCs w:val="21"/>
                <w:highlight w:val="none"/>
                <w:lang w:val="en-US" w:bidi="ar"/>
              </w:rPr>
              <w:br w:type="textWrapping"/>
            </w:r>
            <w:r>
              <w:rPr>
                <w:rFonts w:hint="eastAsia"/>
                <w:color w:val="auto"/>
                <w:sz w:val="21"/>
                <w:szCs w:val="21"/>
                <w:highlight w:val="none"/>
                <w:lang w:val="en-US" w:bidi="ar"/>
              </w:rPr>
              <w:t>5.1室内栓压力损失及减压、稳压试验装置（主体管路、设备支架） 1台；5.2两端法兰金属软管 1件 ；5.3304不锈钢液压快速接头 4套；5.4DN65截止阀 1套；5.5数显压力表 2套；5.6SLDG电磁流量计 DN65  2.5MPA  1件；5.7差压计（HY3351 电压24V 量程0~600KPA 输出4~20mA） 1件；5.8球阀（DN25内丝 耐压7MPA） 1件；5.9DN65法兰橡胶垫圈 15件；5.10加厚款KY65水枪接口 3件；5.11 DN65，DN50 普通室内消防栓 3件；5.12 消防水带（DN65(2.5寸) 20M） 1件；5.13 与室内栓压力损失及减压、稳压试验装置匹配的工作台和椅子 1套 ；5.14 中文说明书1本、中文操作视频1个 合格证1张、保修卡1张、装箱卡1张，防尘罩1个；5.15 辅助设备操作工具：1套；5.16 铁质工作架（长度：3米 2层以上） 1个；</w:t>
            </w:r>
            <w:r>
              <w:rPr>
                <w:rFonts w:hint="eastAsia"/>
                <w:color w:val="auto"/>
                <w:sz w:val="21"/>
                <w:szCs w:val="21"/>
                <w:highlight w:val="none"/>
                <w:lang w:val="en-US" w:bidi="ar"/>
              </w:rPr>
              <w:br w:type="textWrapping"/>
            </w:r>
            <w:r>
              <w:rPr>
                <w:rFonts w:hint="eastAsia"/>
                <w:color w:val="auto"/>
                <w:sz w:val="21"/>
                <w:szCs w:val="21"/>
                <w:highlight w:val="none"/>
                <w:lang w:val="en-US" w:bidi="ar"/>
              </w:rPr>
              <w:t>5.17 不锈钢工作台（1.5m×2m） 1个。</w:t>
            </w:r>
            <w:r>
              <w:rPr>
                <w:rFonts w:hint="eastAsia"/>
                <w:color w:val="auto"/>
                <w:sz w:val="21"/>
                <w:szCs w:val="21"/>
                <w:highlight w:val="none"/>
                <w:lang w:val="en-US" w:bidi="ar"/>
              </w:rPr>
              <w:br w:type="textWrapping"/>
            </w:r>
            <w:r>
              <w:rPr>
                <w:rFonts w:hint="eastAsia"/>
                <w:color w:val="auto"/>
                <w:sz w:val="21"/>
                <w:szCs w:val="21"/>
                <w:highlight w:val="none"/>
                <w:lang w:val="en-US" w:bidi="ar"/>
              </w:rPr>
              <w:t>二、安装培训 供方负责运输、吊运到需方的指定安装地，并由供方负责电路、水路系统连接管及插座和电线的建造和设备安装调试（使用方只提供房间内电源，电路、水路系统连接管及插座和电线等由供方负责），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试验中应注意的问题、常见故障的检查与排除。</w:t>
            </w:r>
            <w:r>
              <w:rPr>
                <w:rFonts w:hint="eastAsia"/>
                <w:color w:val="auto"/>
                <w:sz w:val="21"/>
                <w:szCs w:val="21"/>
                <w:highlight w:val="none"/>
                <w:lang w:val="en-US" w:bidi="ar"/>
              </w:rPr>
              <w:br w:type="textWrapping"/>
            </w:r>
            <w:r>
              <w:rPr>
                <w:rFonts w:hint="eastAsia"/>
                <w:color w:val="auto"/>
                <w:sz w:val="21"/>
                <w:szCs w:val="21"/>
                <w:highlight w:val="none"/>
                <w:lang w:val="en-US" w:bidi="ar"/>
              </w:rPr>
              <w:t>三、 带省级以上部门出具的检定合格证书（计量机构和检定/校准参数范围由使用方指定）；投标方必须提供所投产品由制造方提供含技术参数的印刷宣传彩页或原版含技术参数的使用说明书；所投产品软件终身不应加密，提供保证书。</w:t>
            </w:r>
            <w:r>
              <w:rPr>
                <w:rFonts w:hint="eastAsia"/>
                <w:color w:val="auto"/>
                <w:sz w:val="21"/>
                <w:szCs w:val="21"/>
                <w:highlight w:val="none"/>
                <w:lang w:val="en-US" w:bidi="ar"/>
              </w:rPr>
              <w:br w:type="textWrapping"/>
            </w:r>
            <w:r>
              <w:rPr>
                <w:rFonts w:hint="eastAsia"/>
                <w:color w:val="auto"/>
                <w:sz w:val="21"/>
                <w:szCs w:val="21"/>
                <w:highlight w:val="none"/>
                <w:lang w:val="en-US" w:bidi="ar"/>
              </w:rPr>
              <w:t>四、质保期及售后服务质保期为设备验收合格后36个月，保修期后设备维修人员的差旅费我方不承担。在使用过程中，如遇问题，4小时内响应并给出解决方案，12小时内到现场进行维修服务。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r>
              <w:rPr>
                <w:rFonts w:hint="eastAsia"/>
                <w:color w:val="auto"/>
                <w:sz w:val="21"/>
                <w:szCs w:val="21"/>
                <w:highlight w:val="none"/>
                <w:lang w:val="en-US" w:bidi="ar"/>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软管卷盘射程试验装置</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sz w:val="21"/>
                <w:szCs w:val="21"/>
                <w:highlight w:val="none"/>
                <w:lang w:val="en-US" w:bidi="ar"/>
              </w:rPr>
            </w:pPr>
            <w:r>
              <w:rPr>
                <w:rFonts w:hint="eastAsia"/>
                <w:color w:val="auto"/>
                <w:sz w:val="21"/>
                <w:szCs w:val="21"/>
                <w:highlight w:val="none"/>
                <w:lang w:val="en-US" w:bidi="ar"/>
              </w:rPr>
              <w:t xml:space="preserve">一、技术参数及性能描述要求  </w:t>
            </w:r>
            <w:r>
              <w:rPr>
                <w:rFonts w:hint="eastAsia"/>
                <w:color w:val="auto"/>
                <w:sz w:val="21"/>
                <w:szCs w:val="21"/>
                <w:highlight w:val="none"/>
                <w:lang w:val="en-US" w:bidi="ar"/>
              </w:rPr>
              <w:br w:type="textWrapping"/>
            </w:r>
            <w:r>
              <w:rPr>
                <w:rFonts w:hint="eastAsia"/>
                <w:color w:val="auto"/>
                <w:sz w:val="21"/>
                <w:szCs w:val="21"/>
                <w:highlight w:val="none"/>
                <w:lang w:val="en-US" w:bidi="ar"/>
              </w:rPr>
              <w:t>仪器应符合适用于GB15090-2005《消防软管卷盘》等国家标准和行业标准要求,适用于消防软管卷盘喷射射程和流量测试,需与大流量高压力供水系统配合使用。</w:t>
            </w:r>
            <w:r>
              <w:rPr>
                <w:rFonts w:hint="eastAsia"/>
                <w:color w:val="auto"/>
                <w:sz w:val="21"/>
                <w:szCs w:val="21"/>
                <w:highlight w:val="none"/>
                <w:lang w:val="en-US" w:bidi="ar"/>
              </w:rPr>
              <w:br w:type="textWrapping"/>
            </w:r>
            <w:r>
              <w:rPr>
                <w:rFonts w:hint="eastAsia"/>
                <w:color w:val="auto"/>
                <w:sz w:val="21"/>
                <w:szCs w:val="21"/>
                <w:highlight w:val="none"/>
                <w:lang w:val="en-US" w:bidi="ar"/>
              </w:rPr>
              <w:t>1.适用范围：</w:t>
            </w:r>
            <w:r>
              <w:rPr>
                <w:rFonts w:hint="eastAsia"/>
                <w:color w:val="auto"/>
                <w:sz w:val="21"/>
                <w:szCs w:val="21"/>
                <w:highlight w:val="none"/>
                <w:lang w:val="en-US" w:bidi="ar"/>
              </w:rPr>
              <w:br w:type="textWrapping"/>
            </w:r>
            <w:r>
              <w:rPr>
                <w:rFonts w:hint="eastAsia"/>
                <w:color w:val="auto"/>
                <w:sz w:val="21"/>
                <w:szCs w:val="21"/>
                <w:highlight w:val="none"/>
                <w:lang w:val="en-US" w:bidi="ar"/>
              </w:rPr>
              <w:t>1.1适用于消防软管卷盘喷射射程和流量测试；</w:t>
            </w:r>
            <w:r>
              <w:rPr>
                <w:rFonts w:hint="eastAsia"/>
                <w:color w:val="auto"/>
                <w:sz w:val="21"/>
                <w:szCs w:val="21"/>
                <w:highlight w:val="none"/>
                <w:lang w:val="en-US" w:bidi="ar"/>
              </w:rPr>
              <w:br w:type="textWrapping"/>
            </w:r>
            <w:r>
              <w:rPr>
                <w:rFonts w:hint="eastAsia"/>
                <w:color w:val="auto"/>
                <w:sz w:val="21"/>
                <w:szCs w:val="21"/>
                <w:highlight w:val="none"/>
                <w:lang w:val="en-US" w:bidi="ar"/>
              </w:rPr>
              <w:t>1.2试验方法：试验在外界风速小于3m/S条件下，作顺风方向喷射。将软管展开，调节喷枪轴线使其仰角为30°±2°，喷枪口中心到地面高度为1m±0.05m，将喷枪偏离测量方向，按规定将软管进口压力调节到规定值并开始喷射。然后将喷枪口转向测量方向，测出灭火剂喷洒密集中心到喷枪口在地面投影的距离，即为软管卷盘的射程。1.3需要与“大流量高压力供水系统”配合使用；符合标准：符合GB15090-2005《消防软管卷盘》第6.1节“喷射试验”；</w:t>
            </w:r>
            <w:r>
              <w:rPr>
                <w:rFonts w:hint="eastAsia"/>
                <w:color w:val="auto"/>
                <w:sz w:val="21"/>
                <w:szCs w:val="21"/>
                <w:highlight w:val="none"/>
                <w:lang w:val="en-US" w:bidi="ar"/>
              </w:rPr>
              <w:br w:type="textWrapping"/>
            </w:r>
            <w:r>
              <w:rPr>
                <w:rFonts w:hint="eastAsia"/>
                <w:color w:val="auto"/>
                <w:sz w:val="21"/>
                <w:szCs w:val="21"/>
                <w:highlight w:val="none"/>
                <w:lang w:val="en-US" w:bidi="ar"/>
              </w:rPr>
              <w:t>2.软件控制系统：</w:t>
            </w:r>
            <w:r>
              <w:rPr>
                <w:rFonts w:hint="eastAsia"/>
                <w:color w:val="auto"/>
                <w:sz w:val="21"/>
                <w:szCs w:val="21"/>
                <w:highlight w:val="none"/>
                <w:lang w:val="en-US" w:bidi="ar"/>
              </w:rPr>
              <w:br w:type="textWrapping"/>
            </w:r>
            <w:r>
              <w:rPr>
                <w:rFonts w:hint="eastAsia"/>
                <w:color w:val="auto"/>
                <w:sz w:val="21"/>
                <w:szCs w:val="21"/>
                <w:highlight w:val="none"/>
                <w:lang w:val="en-US" w:bidi="ar"/>
              </w:rPr>
              <w:t>2.1软件控制系统是大流量高压力供水系统集成到一起，大流量高压力供水系统共用软件控制系统，不再需要单独设置软件控制系统，极大减少采购方的成本；2.2 软件控制系统采用WINDOWS系统为工作平台，使用Labview软件编制软件系统，可在计算机界面控制压力、流量等试验各过程，可自动控制、显示、记录压力、流量、时间等参数；</w:t>
            </w:r>
            <w:r>
              <w:rPr>
                <w:rFonts w:hint="eastAsia"/>
                <w:color w:val="auto"/>
                <w:sz w:val="21"/>
                <w:szCs w:val="21"/>
                <w:highlight w:val="none"/>
                <w:lang w:val="en-US" w:bidi="ar"/>
              </w:rPr>
              <w:br w:type="textWrapping"/>
            </w:r>
            <w:r>
              <w:rPr>
                <w:rFonts w:hint="eastAsia"/>
                <w:color w:val="auto"/>
                <w:sz w:val="21"/>
                <w:szCs w:val="21"/>
                <w:highlight w:val="none"/>
                <w:lang w:val="en-US" w:bidi="ar"/>
              </w:rPr>
              <w:t>2.3软件控制系统自动采集试验数据，自动生成原始记录，自动生成格式化报告，无需实验人员手动输入数据，减少实验人员工作量，操作简单；</w:t>
            </w:r>
            <w:r>
              <w:rPr>
                <w:rFonts w:hint="eastAsia"/>
                <w:color w:val="auto"/>
                <w:sz w:val="21"/>
                <w:szCs w:val="21"/>
                <w:highlight w:val="none"/>
                <w:lang w:val="en-US" w:bidi="ar"/>
              </w:rPr>
              <w:br w:type="textWrapping"/>
            </w:r>
            <w:r>
              <w:rPr>
                <w:rFonts w:hint="eastAsia"/>
                <w:color w:val="auto"/>
                <w:sz w:val="21"/>
                <w:szCs w:val="21"/>
                <w:highlight w:val="none"/>
                <w:lang w:val="en-US" w:bidi="ar"/>
              </w:rPr>
              <w:t>2.4软件控制系统数据采集时间：计时精度 0.1s；数据传输记录及时准确，无传输延迟、无卡顿；</w:t>
            </w:r>
            <w:r>
              <w:rPr>
                <w:rFonts w:hint="eastAsia"/>
                <w:color w:val="auto"/>
                <w:sz w:val="21"/>
                <w:szCs w:val="21"/>
                <w:highlight w:val="none"/>
                <w:lang w:val="en-US" w:bidi="ar"/>
              </w:rPr>
              <w:br w:type="textWrapping"/>
            </w:r>
            <w:r>
              <w:rPr>
                <w:rFonts w:hint="eastAsia"/>
                <w:color w:val="auto"/>
                <w:sz w:val="21"/>
                <w:szCs w:val="21"/>
                <w:highlight w:val="none"/>
                <w:lang w:val="en-US" w:bidi="ar"/>
              </w:rPr>
              <w:t>2.5软件控制系统符合各类产品不同的流量需求，流量/压力调控能自动控制；</w:t>
            </w:r>
            <w:r>
              <w:rPr>
                <w:rFonts w:hint="eastAsia"/>
                <w:color w:val="auto"/>
                <w:sz w:val="21"/>
                <w:szCs w:val="21"/>
                <w:highlight w:val="none"/>
                <w:lang w:val="en-US" w:bidi="ar"/>
              </w:rPr>
              <w:br w:type="textWrapping"/>
            </w:r>
            <w:r>
              <w:rPr>
                <w:rFonts w:hint="eastAsia"/>
                <w:color w:val="auto"/>
                <w:sz w:val="21"/>
                <w:szCs w:val="21"/>
                <w:highlight w:val="none"/>
                <w:lang w:val="en-US" w:bidi="ar"/>
              </w:rPr>
              <w:t>3.主要性能特点：</w:t>
            </w:r>
            <w:r>
              <w:rPr>
                <w:rFonts w:hint="eastAsia"/>
                <w:color w:val="auto"/>
                <w:sz w:val="21"/>
                <w:szCs w:val="21"/>
                <w:highlight w:val="none"/>
                <w:lang w:val="en-US" w:bidi="ar"/>
              </w:rPr>
              <w:br w:type="textWrapping"/>
            </w:r>
            <w:r>
              <w:rPr>
                <w:rFonts w:hint="eastAsia"/>
                <w:color w:val="auto"/>
                <w:sz w:val="21"/>
                <w:szCs w:val="21"/>
                <w:highlight w:val="none"/>
                <w:lang w:val="en-US" w:bidi="ar"/>
              </w:rPr>
              <w:t>3.1可调整喷枪喷射口高度；3.2可调整喷枪轴线与水平线的夹角(仰角)；3.3带有脚轮可以随意移动，方便喷射。3.4用流量计直接测量喷射流量，简单便捷易用。</w:t>
            </w:r>
            <w:r>
              <w:rPr>
                <w:rFonts w:hint="eastAsia"/>
                <w:color w:val="auto"/>
                <w:sz w:val="21"/>
                <w:szCs w:val="21"/>
                <w:highlight w:val="none"/>
                <w:lang w:val="en-US" w:bidi="ar"/>
              </w:rPr>
              <w:br w:type="textWrapping"/>
            </w:r>
            <w:r>
              <w:rPr>
                <w:rFonts w:hint="eastAsia"/>
                <w:color w:val="auto"/>
                <w:sz w:val="21"/>
                <w:szCs w:val="21"/>
                <w:highlight w:val="none"/>
                <w:lang w:val="en-US" w:bidi="ar"/>
              </w:rPr>
              <w:t>4.技术参数：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4.1喷射试验装置：</w:t>
            </w:r>
            <w:r>
              <w:rPr>
                <w:rFonts w:hint="eastAsia"/>
                <w:color w:val="auto"/>
                <w:sz w:val="21"/>
                <w:szCs w:val="21"/>
                <w:highlight w:val="none"/>
                <w:lang w:val="en-US" w:bidi="ar"/>
              </w:rPr>
              <w:br w:type="textWrapping"/>
            </w:r>
            <w:r>
              <w:rPr>
                <w:rFonts w:hint="eastAsia"/>
                <w:color w:val="auto"/>
                <w:sz w:val="21"/>
                <w:szCs w:val="21"/>
                <w:highlight w:val="none"/>
                <w:lang w:val="en-US" w:bidi="ar"/>
              </w:rPr>
              <w:t>4.1.1★喷射仰角：30°±2°；</w:t>
            </w:r>
            <w:r>
              <w:rPr>
                <w:rFonts w:hint="eastAsia"/>
                <w:color w:val="auto"/>
                <w:sz w:val="21"/>
                <w:szCs w:val="21"/>
                <w:highlight w:val="none"/>
                <w:lang w:val="en-US" w:bidi="ar"/>
              </w:rPr>
              <w:br w:type="textWrapping"/>
            </w:r>
            <w:r>
              <w:rPr>
                <w:rFonts w:hint="eastAsia"/>
                <w:color w:val="auto"/>
                <w:sz w:val="21"/>
                <w:szCs w:val="21"/>
                <w:highlight w:val="none"/>
                <w:lang w:val="en-US" w:bidi="ar"/>
              </w:rPr>
              <w:t>4.1.2★喷枪口中心到地面高度：1±0.05m；</w:t>
            </w:r>
            <w:r>
              <w:rPr>
                <w:rFonts w:hint="eastAsia"/>
                <w:color w:val="auto"/>
                <w:sz w:val="21"/>
                <w:szCs w:val="21"/>
                <w:highlight w:val="none"/>
                <w:lang w:val="en-US" w:bidi="ar"/>
              </w:rPr>
              <w:br w:type="textWrapping"/>
            </w:r>
            <w:r>
              <w:rPr>
                <w:rFonts w:hint="eastAsia"/>
                <w:color w:val="auto"/>
                <w:sz w:val="21"/>
                <w:szCs w:val="21"/>
                <w:highlight w:val="none"/>
                <w:lang w:val="en-US" w:bidi="ar"/>
              </w:rPr>
              <w:t>4.1.3★配有风速仪，测量室外风速小于3m/s，作顺风方向喷射试验；</w:t>
            </w:r>
            <w:r>
              <w:rPr>
                <w:rFonts w:hint="eastAsia"/>
                <w:color w:val="auto"/>
                <w:sz w:val="21"/>
                <w:szCs w:val="21"/>
                <w:highlight w:val="none"/>
                <w:lang w:val="en-US" w:bidi="ar"/>
              </w:rPr>
              <w:br w:type="textWrapping"/>
            </w:r>
            <w:r>
              <w:rPr>
                <w:rFonts w:hint="eastAsia"/>
                <w:color w:val="auto"/>
                <w:sz w:val="21"/>
                <w:szCs w:val="21"/>
                <w:highlight w:val="none"/>
                <w:lang w:val="en-US" w:bidi="ar"/>
              </w:rPr>
              <w:t>4.1.4喷射空间：设在室外，需具备15米长度的喷射空间；</w:t>
            </w:r>
            <w:r>
              <w:rPr>
                <w:rFonts w:hint="eastAsia"/>
                <w:color w:val="auto"/>
                <w:sz w:val="21"/>
                <w:szCs w:val="21"/>
                <w:highlight w:val="none"/>
                <w:lang w:val="en-US" w:bidi="ar"/>
              </w:rPr>
              <w:br w:type="textWrapping"/>
            </w:r>
            <w:r>
              <w:rPr>
                <w:rFonts w:hint="eastAsia"/>
                <w:color w:val="auto"/>
                <w:sz w:val="21"/>
                <w:szCs w:val="21"/>
                <w:highlight w:val="none"/>
                <w:lang w:val="en-US" w:bidi="ar"/>
              </w:rPr>
              <w:t>4.1.5喷射装置带有脚轮可以随意移动，方便喷射。</w:t>
            </w:r>
            <w:r>
              <w:rPr>
                <w:rFonts w:hint="eastAsia"/>
                <w:color w:val="auto"/>
                <w:sz w:val="21"/>
                <w:szCs w:val="21"/>
                <w:highlight w:val="none"/>
                <w:lang w:val="en-US" w:bidi="ar"/>
              </w:rPr>
              <w:br w:type="textWrapping"/>
            </w:r>
            <w:r>
              <w:rPr>
                <w:rFonts w:hint="eastAsia"/>
                <w:color w:val="auto"/>
                <w:sz w:val="21"/>
                <w:szCs w:val="21"/>
                <w:highlight w:val="none"/>
                <w:lang w:val="en-US" w:bidi="ar"/>
              </w:rPr>
              <w:t>4.2喷射流量测量：</w:t>
            </w:r>
            <w:r>
              <w:rPr>
                <w:rFonts w:hint="eastAsia"/>
                <w:color w:val="auto"/>
                <w:sz w:val="21"/>
                <w:szCs w:val="21"/>
                <w:highlight w:val="none"/>
                <w:lang w:val="en-US" w:bidi="ar"/>
              </w:rPr>
              <w:br w:type="textWrapping"/>
            </w:r>
            <w:r>
              <w:rPr>
                <w:rFonts w:hint="eastAsia"/>
                <w:color w:val="auto"/>
                <w:sz w:val="21"/>
                <w:szCs w:val="21"/>
                <w:highlight w:val="none"/>
                <w:lang w:val="en-US" w:bidi="ar"/>
              </w:rPr>
              <w:t>4.2.1用流量计直接测量喷射流量，通过软件系统直接得到数据；</w:t>
            </w:r>
            <w:r>
              <w:rPr>
                <w:rFonts w:hint="eastAsia"/>
                <w:color w:val="auto"/>
                <w:sz w:val="21"/>
                <w:szCs w:val="21"/>
                <w:highlight w:val="none"/>
                <w:lang w:val="en-US" w:bidi="ar"/>
              </w:rPr>
              <w:br w:type="textWrapping"/>
            </w:r>
            <w:r>
              <w:rPr>
                <w:rFonts w:hint="eastAsia"/>
                <w:color w:val="auto"/>
                <w:sz w:val="21"/>
                <w:szCs w:val="21"/>
                <w:highlight w:val="none"/>
                <w:lang w:val="en-US" w:bidi="ar"/>
              </w:rPr>
              <w:t>5.主机配件：</w:t>
            </w:r>
            <w:r>
              <w:rPr>
                <w:rFonts w:hint="eastAsia"/>
                <w:color w:val="auto"/>
                <w:sz w:val="21"/>
                <w:szCs w:val="21"/>
                <w:highlight w:val="none"/>
                <w:lang w:val="en-US" w:bidi="ar"/>
              </w:rPr>
              <w:br w:type="textWrapping"/>
            </w:r>
            <w:r>
              <w:rPr>
                <w:rFonts w:hint="eastAsia"/>
                <w:color w:val="auto"/>
                <w:sz w:val="21"/>
                <w:szCs w:val="21"/>
                <w:highlight w:val="none"/>
                <w:lang w:val="en-US" w:bidi="ar"/>
              </w:rPr>
              <w:t>5.1消防软管卷盘喷射试验装置 1台；5.2消防接头 2件；5.3 消防卷盘 1个；5.4 脚轮（3寸脚轮） 4套；5.5  50m钢卷尺 1个；5.6 磁性角度仪 1个；</w:t>
            </w:r>
            <w:r>
              <w:rPr>
                <w:rFonts w:hint="eastAsia"/>
                <w:color w:val="auto"/>
                <w:sz w:val="21"/>
                <w:szCs w:val="21"/>
                <w:highlight w:val="none"/>
                <w:lang w:val="en-US" w:bidi="ar"/>
              </w:rPr>
              <w:br w:type="textWrapping"/>
            </w:r>
            <w:r>
              <w:rPr>
                <w:rFonts w:hint="eastAsia"/>
                <w:color w:val="auto"/>
                <w:sz w:val="21"/>
                <w:szCs w:val="21"/>
                <w:highlight w:val="none"/>
                <w:lang w:val="en-US" w:bidi="ar"/>
              </w:rPr>
              <w:t>5.7 与消防软管卷盘喷射试验装置数显风速仪 1件；</w:t>
            </w:r>
            <w:r>
              <w:rPr>
                <w:rFonts w:hint="eastAsia"/>
                <w:color w:val="auto"/>
                <w:sz w:val="21"/>
                <w:szCs w:val="21"/>
                <w:highlight w:val="none"/>
                <w:lang w:val="en-US" w:bidi="ar"/>
              </w:rPr>
              <w:br w:type="textWrapping"/>
            </w:r>
            <w:r>
              <w:rPr>
                <w:rFonts w:hint="eastAsia"/>
                <w:color w:val="auto"/>
                <w:sz w:val="21"/>
                <w:szCs w:val="21"/>
                <w:highlight w:val="none"/>
                <w:lang w:val="en-US" w:bidi="ar"/>
              </w:rPr>
              <w:t>5.8 与消防软管卷盘喷射试验装置匹配的工作台和椅子 1套；</w:t>
            </w:r>
            <w:r>
              <w:rPr>
                <w:rFonts w:hint="eastAsia"/>
                <w:color w:val="auto"/>
                <w:sz w:val="21"/>
                <w:szCs w:val="21"/>
                <w:highlight w:val="none"/>
                <w:lang w:val="en-US" w:bidi="ar"/>
              </w:rPr>
              <w:br w:type="textWrapping"/>
            </w:r>
            <w:r>
              <w:rPr>
                <w:rFonts w:hint="eastAsia"/>
                <w:color w:val="auto"/>
                <w:sz w:val="21"/>
                <w:szCs w:val="21"/>
                <w:highlight w:val="none"/>
                <w:lang w:val="en-US" w:bidi="ar"/>
              </w:rPr>
              <w:t>5.9 中文说明书1本、中文操作视频1个 合格证1张、保修卡1张、装箱卡1张，防尘罩1个；</w:t>
            </w:r>
            <w:r>
              <w:rPr>
                <w:rFonts w:hint="eastAsia"/>
                <w:color w:val="auto"/>
                <w:sz w:val="21"/>
                <w:szCs w:val="21"/>
                <w:highlight w:val="none"/>
                <w:lang w:val="en-US" w:bidi="ar"/>
              </w:rPr>
              <w:br w:type="textWrapping"/>
            </w:r>
            <w:r>
              <w:rPr>
                <w:rFonts w:hint="eastAsia"/>
                <w:color w:val="auto"/>
                <w:sz w:val="21"/>
                <w:szCs w:val="21"/>
                <w:highlight w:val="none"/>
                <w:lang w:val="en-US" w:bidi="ar"/>
              </w:rPr>
              <w:t>5.10 辅助设备操作工具： 1套 。</w:t>
            </w:r>
            <w:r>
              <w:rPr>
                <w:rFonts w:hint="eastAsia"/>
                <w:color w:val="auto"/>
                <w:sz w:val="21"/>
                <w:szCs w:val="21"/>
                <w:highlight w:val="none"/>
                <w:lang w:val="en-US" w:bidi="ar"/>
              </w:rPr>
              <w:br w:type="textWrapping"/>
            </w:r>
            <w:r>
              <w:rPr>
                <w:rFonts w:hint="eastAsia"/>
                <w:color w:val="auto"/>
                <w:sz w:val="21"/>
                <w:szCs w:val="21"/>
                <w:highlight w:val="none"/>
                <w:lang w:val="en-US" w:bidi="ar"/>
              </w:rPr>
              <w:t>二、安装培训 供方负责运输、吊运到需方的指定安装地，并由供方负责电路、水路系统连接管及插座和电线的建造和设备安装调试（使用方只提供房间内电源，电路、水路系统连接管及插座和电线等由供方负责），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试验中应注意的问题、常见故障的检查与排除。</w:t>
            </w:r>
            <w:r>
              <w:rPr>
                <w:rFonts w:hint="eastAsia"/>
                <w:color w:val="auto"/>
                <w:sz w:val="21"/>
                <w:szCs w:val="21"/>
                <w:highlight w:val="none"/>
                <w:lang w:val="en-US" w:bidi="ar"/>
              </w:rPr>
              <w:br w:type="textWrapping"/>
            </w:r>
            <w:r>
              <w:rPr>
                <w:rFonts w:hint="eastAsia"/>
                <w:color w:val="auto"/>
                <w:sz w:val="21"/>
                <w:szCs w:val="21"/>
                <w:highlight w:val="none"/>
                <w:lang w:val="en-US" w:bidi="ar"/>
              </w:rPr>
              <w:t>三、 带省级以上部门出具的检定合格证书（计量机构和检定/校准参数范围由使用方指定）；投标方必须提供所投产品由制造方提供含技术参数的印刷宣传彩页或原版含技术参数的使用说明书；所投产品软件终身不应加密，提供保证书。</w:t>
            </w:r>
            <w:r>
              <w:rPr>
                <w:rFonts w:hint="eastAsia"/>
                <w:color w:val="auto"/>
                <w:sz w:val="21"/>
                <w:szCs w:val="21"/>
                <w:highlight w:val="none"/>
                <w:lang w:val="en-US" w:bidi="ar"/>
              </w:rPr>
              <w:br w:type="textWrapping"/>
            </w:r>
            <w:r>
              <w:rPr>
                <w:rFonts w:hint="eastAsia"/>
                <w:color w:val="auto"/>
                <w:sz w:val="21"/>
                <w:szCs w:val="21"/>
                <w:highlight w:val="none"/>
                <w:lang w:val="en-US" w:bidi="ar"/>
              </w:rPr>
              <w:t>四、质保期及售后服务质保期为设备验收合格后36个月，保修期后设备维修人员的差旅费我方不承担。在使用过程中，如遇问题，4小时内响应并给出解决方案，12小时内到现场进行维修服务。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r>
              <w:rPr>
                <w:rFonts w:hint="eastAsia"/>
                <w:color w:val="auto"/>
                <w:sz w:val="21"/>
                <w:szCs w:val="21"/>
                <w:highlight w:val="none"/>
                <w:lang w:val="en-US" w:bidi="ar"/>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消防水枪喷射性能试验装置</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sz w:val="21"/>
                <w:szCs w:val="21"/>
                <w:highlight w:val="none"/>
                <w:lang w:val="en-US" w:bidi="ar"/>
              </w:rPr>
            </w:pPr>
            <w:r>
              <w:rPr>
                <w:rFonts w:hint="eastAsia"/>
                <w:color w:val="auto"/>
                <w:sz w:val="21"/>
                <w:szCs w:val="21"/>
                <w:highlight w:val="none"/>
                <w:lang w:val="en-US" w:bidi="ar"/>
              </w:rPr>
              <w:t xml:space="preserve">一、技术参数及性能描述要求  </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仪器应符合适用于GB 8181-2005《消防水枪》等国家标准和行业标准要求,适用于消防水枪喷射性能中射程测试、流量测试、喷雾角与开花角的测量；需要与大流量高压力供水系统”配合使用。 </w:t>
            </w:r>
            <w:r>
              <w:rPr>
                <w:rFonts w:hint="eastAsia"/>
                <w:color w:val="auto"/>
                <w:sz w:val="21"/>
                <w:szCs w:val="21"/>
                <w:highlight w:val="none"/>
                <w:lang w:val="en-US" w:bidi="ar"/>
              </w:rPr>
              <w:br w:type="textWrapping"/>
            </w:r>
            <w:r>
              <w:rPr>
                <w:rFonts w:hint="eastAsia"/>
                <w:color w:val="auto"/>
                <w:sz w:val="21"/>
                <w:szCs w:val="21"/>
                <w:highlight w:val="none"/>
                <w:lang w:val="en-US" w:bidi="ar"/>
              </w:rPr>
              <w:t>1.适用范围：</w:t>
            </w:r>
            <w:r>
              <w:rPr>
                <w:rFonts w:hint="eastAsia"/>
                <w:color w:val="auto"/>
                <w:sz w:val="21"/>
                <w:szCs w:val="21"/>
                <w:highlight w:val="none"/>
                <w:lang w:val="en-US" w:bidi="ar"/>
              </w:rPr>
              <w:br w:type="textWrapping"/>
            </w:r>
            <w:r>
              <w:rPr>
                <w:rFonts w:hint="eastAsia"/>
                <w:color w:val="auto"/>
                <w:sz w:val="21"/>
                <w:szCs w:val="21"/>
                <w:highlight w:val="none"/>
                <w:lang w:val="en-US" w:bidi="ar"/>
              </w:rPr>
              <w:t>适用于消防水枪喷射性能中射程测试、流量测试、喷雾角与开花角的测量；含射程测试装置、流量测试设备、喷雾角与开花角的测量设备；需要与“大流量高压力供水系统”配合使用。符合GB8181-2005《消防水枪》第5.1节“基本参数”中相应的“射程”和“流量”标准要求、第5.2.2节“喷雾角与开花角”的标准要求；符合GB8181-2005《消防水枪》第6.1.2节“喷射测试”标准要求、第6.1.3节“流量测试” 标准要求、第6.1.4节“喷雾角与开花角的测量” 标准要求。</w:t>
            </w:r>
            <w:r>
              <w:rPr>
                <w:rFonts w:hint="eastAsia"/>
                <w:color w:val="auto"/>
                <w:sz w:val="21"/>
                <w:szCs w:val="21"/>
                <w:highlight w:val="none"/>
                <w:lang w:val="en-US" w:bidi="ar"/>
              </w:rPr>
              <w:br w:type="textWrapping"/>
            </w:r>
            <w:r>
              <w:rPr>
                <w:rFonts w:hint="eastAsia"/>
                <w:color w:val="auto"/>
                <w:sz w:val="21"/>
                <w:szCs w:val="21"/>
                <w:highlight w:val="none"/>
                <w:lang w:val="en-US" w:bidi="ar"/>
              </w:rPr>
              <w:t>2.软件控制系统：</w:t>
            </w:r>
            <w:r>
              <w:rPr>
                <w:rFonts w:hint="eastAsia"/>
                <w:color w:val="auto"/>
                <w:sz w:val="21"/>
                <w:szCs w:val="21"/>
                <w:highlight w:val="none"/>
                <w:lang w:val="en-US" w:bidi="ar"/>
              </w:rPr>
              <w:br w:type="textWrapping"/>
            </w:r>
            <w:r>
              <w:rPr>
                <w:rFonts w:hint="eastAsia"/>
                <w:color w:val="auto"/>
                <w:sz w:val="21"/>
                <w:szCs w:val="21"/>
                <w:highlight w:val="none"/>
                <w:lang w:val="en-US" w:bidi="ar"/>
              </w:rPr>
              <w:t>2.1软件控制系统是和大流量高压力供水系统集成到一起，共用大流量高压力供水系统软件控制系统，不再需要单独设置软件控制系统，极大减少采购方的成本；</w:t>
            </w:r>
            <w:r>
              <w:rPr>
                <w:rFonts w:hint="eastAsia"/>
                <w:color w:val="auto"/>
                <w:sz w:val="21"/>
                <w:szCs w:val="21"/>
                <w:highlight w:val="none"/>
                <w:lang w:val="en-US" w:bidi="ar"/>
              </w:rPr>
              <w:br w:type="textWrapping"/>
            </w:r>
            <w:r>
              <w:rPr>
                <w:rFonts w:hint="eastAsia"/>
                <w:color w:val="auto"/>
                <w:sz w:val="21"/>
                <w:szCs w:val="21"/>
                <w:highlight w:val="none"/>
                <w:lang w:val="en-US" w:bidi="ar"/>
              </w:rPr>
              <w:t>2.2软件控制系统采用WINDOWS系统为工作平台，使用美国NI公司的Labview软件编制软件系统，可在计算机界面控制压力、流量等试验各过程，可自动控制、显示、记录压力、流量、时间等参数；</w:t>
            </w:r>
            <w:r>
              <w:rPr>
                <w:rFonts w:hint="eastAsia"/>
                <w:color w:val="auto"/>
                <w:sz w:val="21"/>
                <w:szCs w:val="21"/>
                <w:highlight w:val="none"/>
                <w:lang w:val="en-US" w:bidi="ar"/>
              </w:rPr>
              <w:br w:type="textWrapping"/>
            </w:r>
            <w:r>
              <w:rPr>
                <w:rFonts w:hint="eastAsia"/>
                <w:color w:val="auto"/>
                <w:sz w:val="21"/>
                <w:szCs w:val="21"/>
                <w:highlight w:val="none"/>
                <w:lang w:val="en-US" w:bidi="ar"/>
              </w:rPr>
              <w:t>2.3软件控制系统自动采集试验数据，自动生成原始记录，自动生成格式化报告，无需实验人员手动输入数据，减少实验人员工作量，操作简单；</w:t>
            </w:r>
            <w:r>
              <w:rPr>
                <w:rFonts w:hint="eastAsia"/>
                <w:color w:val="auto"/>
                <w:sz w:val="21"/>
                <w:szCs w:val="21"/>
                <w:highlight w:val="none"/>
                <w:lang w:val="en-US" w:bidi="ar"/>
              </w:rPr>
              <w:br w:type="textWrapping"/>
            </w:r>
            <w:r>
              <w:rPr>
                <w:rFonts w:hint="eastAsia"/>
                <w:color w:val="auto"/>
                <w:sz w:val="21"/>
                <w:szCs w:val="21"/>
                <w:highlight w:val="none"/>
                <w:lang w:val="en-US" w:bidi="ar"/>
              </w:rPr>
              <w:t>2.4软件控制系统数据采集时间：计时精度 0.1s；数据传输记录及时准确，无传输延迟、无卡顿；</w:t>
            </w:r>
            <w:r>
              <w:rPr>
                <w:rFonts w:hint="eastAsia"/>
                <w:color w:val="auto"/>
                <w:sz w:val="21"/>
                <w:szCs w:val="21"/>
                <w:highlight w:val="none"/>
                <w:lang w:val="en-US" w:bidi="ar"/>
              </w:rPr>
              <w:br w:type="textWrapping"/>
            </w:r>
            <w:r>
              <w:rPr>
                <w:rFonts w:hint="eastAsia"/>
                <w:color w:val="auto"/>
                <w:sz w:val="21"/>
                <w:szCs w:val="21"/>
                <w:highlight w:val="none"/>
                <w:lang w:val="en-US" w:bidi="ar"/>
              </w:rPr>
              <w:t>2.5软件控制系统符合各类产品不同的流量需求，流量/压力调控能自动控制；</w:t>
            </w:r>
            <w:r>
              <w:rPr>
                <w:rFonts w:hint="eastAsia"/>
                <w:color w:val="auto"/>
                <w:sz w:val="21"/>
                <w:szCs w:val="21"/>
                <w:highlight w:val="none"/>
                <w:lang w:val="en-US" w:bidi="ar"/>
              </w:rPr>
              <w:br w:type="textWrapping"/>
            </w:r>
            <w:r>
              <w:rPr>
                <w:rFonts w:hint="eastAsia"/>
                <w:color w:val="auto"/>
                <w:sz w:val="21"/>
                <w:szCs w:val="21"/>
                <w:highlight w:val="none"/>
                <w:lang w:val="en-US" w:bidi="ar"/>
              </w:rPr>
              <w:t>3.主要性能特点：</w:t>
            </w:r>
            <w:r>
              <w:rPr>
                <w:rFonts w:hint="eastAsia"/>
                <w:color w:val="auto"/>
                <w:sz w:val="21"/>
                <w:szCs w:val="21"/>
                <w:highlight w:val="none"/>
                <w:lang w:val="en-US" w:bidi="ar"/>
              </w:rPr>
              <w:br w:type="textWrapping"/>
            </w:r>
            <w:r>
              <w:rPr>
                <w:rFonts w:hint="eastAsia"/>
                <w:color w:val="auto"/>
                <w:sz w:val="21"/>
                <w:szCs w:val="21"/>
                <w:highlight w:val="none"/>
                <w:lang w:val="en-US" w:bidi="ar"/>
              </w:rPr>
              <w:t>3.1可调整水枪喷射口高度；3.2可调整水枪轴线与水平线的夹角(仰角)；3.3带有脚轮可以随意移动，方便喷射；3.4用流量计直接测量消防水枪喷射流量，简单便捷易用。</w:t>
            </w:r>
            <w:r>
              <w:rPr>
                <w:rFonts w:hint="eastAsia"/>
                <w:color w:val="auto"/>
                <w:sz w:val="21"/>
                <w:szCs w:val="21"/>
                <w:highlight w:val="none"/>
                <w:lang w:val="en-US" w:bidi="ar"/>
              </w:rPr>
              <w:br w:type="textWrapping"/>
            </w:r>
            <w:r>
              <w:rPr>
                <w:rFonts w:hint="eastAsia"/>
                <w:color w:val="auto"/>
                <w:sz w:val="21"/>
                <w:szCs w:val="21"/>
                <w:highlight w:val="none"/>
                <w:lang w:val="en-US" w:bidi="ar"/>
              </w:rPr>
              <w:t>4.主要技术参数：</w:t>
            </w:r>
            <w:r>
              <w:rPr>
                <w:rFonts w:hint="eastAsia"/>
                <w:color w:val="auto"/>
                <w:sz w:val="21"/>
                <w:szCs w:val="21"/>
                <w:highlight w:val="none"/>
                <w:lang w:val="en-US" w:bidi="ar"/>
              </w:rPr>
              <w:br w:type="textWrapping"/>
            </w:r>
            <w:r>
              <w:rPr>
                <w:rFonts w:hint="eastAsia"/>
                <w:color w:val="auto"/>
                <w:sz w:val="21"/>
                <w:szCs w:val="21"/>
                <w:highlight w:val="none"/>
                <w:lang w:val="en-US" w:bidi="ar"/>
              </w:rPr>
              <w:t>4.1消防水枪喷射试验装置：4.1.1★喷射仰角：30°±1°；4.1.2★喷枪口中心到地面高度：1±0.01m；4.1.3★配有风速仪，测量室外风速小于2m/s，作顺风方向喷射试验；4.1.4喷射空间：设在室外，需具备38米长度的喷射空间；4.1.5喷射装置带有脚轮可以随意移动，方便喷射。</w:t>
            </w:r>
            <w:r>
              <w:rPr>
                <w:rFonts w:hint="eastAsia"/>
                <w:color w:val="auto"/>
                <w:sz w:val="21"/>
                <w:szCs w:val="21"/>
                <w:highlight w:val="none"/>
                <w:lang w:val="en-US" w:bidi="ar"/>
              </w:rPr>
              <w:br w:type="textWrapping"/>
            </w:r>
            <w:r>
              <w:rPr>
                <w:rFonts w:hint="eastAsia"/>
                <w:color w:val="auto"/>
                <w:sz w:val="21"/>
                <w:szCs w:val="21"/>
                <w:highlight w:val="none"/>
                <w:lang w:val="en-US" w:bidi="ar"/>
              </w:rPr>
              <w:t>4.2消防水枪喷射流量测量：</w:t>
            </w:r>
            <w:r>
              <w:rPr>
                <w:rFonts w:hint="eastAsia"/>
                <w:color w:val="auto"/>
                <w:sz w:val="21"/>
                <w:szCs w:val="21"/>
                <w:highlight w:val="none"/>
                <w:lang w:val="en-US" w:bidi="ar"/>
              </w:rPr>
              <w:br w:type="textWrapping"/>
            </w:r>
            <w:r>
              <w:rPr>
                <w:rFonts w:hint="eastAsia"/>
                <w:color w:val="auto"/>
                <w:sz w:val="21"/>
                <w:szCs w:val="21"/>
                <w:highlight w:val="none"/>
                <w:lang w:val="en-US" w:bidi="ar"/>
              </w:rPr>
              <w:t>4.2.1用流量计直接测量消防水枪喷射流量，通过软件系统直接得到数据；4.3角度尺：测量喷雾角与开花角：4.3.1★角度测量范围：0~360°4.3.2★单臂长200mm。</w:t>
            </w:r>
            <w:r>
              <w:rPr>
                <w:rFonts w:hint="eastAsia"/>
                <w:color w:val="auto"/>
                <w:sz w:val="21"/>
                <w:szCs w:val="21"/>
                <w:highlight w:val="none"/>
                <w:lang w:val="en-US" w:bidi="ar"/>
              </w:rPr>
              <w:br w:type="textWrapping"/>
            </w:r>
            <w:r>
              <w:rPr>
                <w:rFonts w:hint="eastAsia"/>
                <w:color w:val="auto"/>
                <w:sz w:val="21"/>
                <w:szCs w:val="21"/>
                <w:highlight w:val="none"/>
                <w:lang w:val="en-US" w:bidi="ar"/>
              </w:rPr>
              <w:t>5.主机配件：</w:t>
            </w:r>
            <w:r>
              <w:rPr>
                <w:rFonts w:hint="eastAsia"/>
                <w:color w:val="auto"/>
                <w:sz w:val="21"/>
                <w:szCs w:val="21"/>
                <w:highlight w:val="none"/>
                <w:lang w:val="en-US" w:bidi="ar"/>
              </w:rPr>
              <w:br w:type="textWrapping"/>
            </w:r>
            <w:r>
              <w:rPr>
                <w:rFonts w:hint="eastAsia"/>
                <w:color w:val="auto"/>
                <w:sz w:val="21"/>
                <w:szCs w:val="21"/>
                <w:highlight w:val="none"/>
                <w:lang w:val="en-US" w:bidi="ar"/>
              </w:rPr>
              <w:t>5.1消防水枪喷射性能试验装置 1台；5.2消防接口（黄铜材质）7件；5.3消防水带（DN65  20米） 2套；5.4消防卷盘 1套；5.5液压快插接头（304不锈钢材质） 3套；</w:t>
            </w:r>
            <w:r>
              <w:rPr>
                <w:rFonts w:hint="eastAsia"/>
                <w:color w:val="auto"/>
                <w:sz w:val="21"/>
                <w:szCs w:val="21"/>
                <w:highlight w:val="none"/>
                <w:lang w:val="en-US" w:bidi="ar"/>
              </w:rPr>
              <w:br w:type="textWrapping"/>
            </w:r>
            <w:r>
              <w:rPr>
                <w:rFonts w:hint="eastAsia"/>
                <w:color w:val="auto"/>
                <w:sz w:val="21"/>
                <w:szCs w:val="21"/>
                <w:highlight w:val="none"/>
                <w:lang w:val="en-US" w:bidi="ar"/>
              </w:rPr>
              <w:t>5.6脚轮（3寸） 4套；5.7消防变径接头（65★50 50★40） 4套；5.8高度调节装置 1套；5.9数显压力表 1套；5.10 304不锈钢材质角度尺 1套；5.11 50m钢卷尺 1个；5.12 磁性角度仪 1个 ；5.13 与消防软管卷盘喷射试验装置数显风速仪 1件；5.14 与消防水枪喷射性能试验装置匹配的工作台和椅子 1套5.15 中文说明书1本、中文操作视频1个 合格证1张、保修卡1张、装箱卡1张，防尘罩1个；5.16 辅助设备操作工具： 1套 。</w:t>
            </w:r>
            <w:r>
              <w:rPr>
                <w:rFonts w:hint="eastAsia"/>
                <w:color w:val="auto"/>
                <w:sz w:val="21"/>
                <w:szCs w:val="21"/>
                <w:highlight w:val="none"/>
                <w:lang w:val="en-US" w:bidi="ar"/>
              </w:rPr>
              <w:br w:type="textWrapping"/>
            </w:r>
            <w:r>
              <w:rPr>
                <w:rFonts w:hint="eastAsia"/>
                <w:color w:val="auto"/>
                <w:sz w:val="21"/>
                <w:szCs w:val="21"/>
                <w:highlight w:val="none"/>
                <w:lang w:val="en-US" w:bidi="ar"/>
              </w:rPr>
              <w:t>二、安装培训 供方负责运输、吊运到需方的指定安装地，并由供方负责电路、水路系统连接管及插座和电线的建造和设备安装调试（使用方只提供房间内电源，电路、水路系统连接管及插座和电线等由供方负责），免费派遣技术人员到现场进行安装调试。在设备安装、调试过程中，供方应及时派技术人员到现场免费进行指导安装和调试，并免费负责解决设备调试过程中出现的制造质量问题，直至设备无缺陷投入正常生产运行。设备交货后卖方必须根据需方要求安排由受过专业培训的工程师进行免费安装调试。安装调试时，由供货方现场对买方人员进行免费培训，并提供成套培训资料。培训内容包括仪器操作、使用维护、试验中应注意的问题、常见故障的检查与排除。</w:t>
            </w:r>
            <w:r>
              <w:rPr>
                <w:rFonts w:hint="eastAsia"/>
                <w:color w:val="auto"/>
                <w:sz w:val="21"/>
                <w:szCs w:val="21"/>
                <w:highlight w:val="none"/>
                <w:lang w:val="en-US" w:bidi="ar"/>
              </w:rPr>
              <w:br w:type="textWrapping"/>
            </w:r>
            <w:r>
              <w:rPr>
                <w:rFonts w:hint="eastAsia"/>
                <w:color w:val="auto"/>
                <w:sz w:val="21"/>
                <w:szCs w:val="21"/>
                <w:highlight w:val="none"/>
                <w:lang w:val="en-US" w:bidi="ar"/>
              </w:rPr>
              <w:t>三、 带省级以上部门出具的检定合格证书（计量机构和检定/校准参数范围由使用方指定）；投标方必须提供所投产品由制造方提供含技术参数的印刷宣传彩页或原版含技术参数的使用说明书；所投产品软件终身不应加密，提供保证书。</w:t>
            </w:r>
            <w:r>
              <w:rPr>
                <w:rFonts w:hint="eastAsia"/>
                <w:color w:val="auto"/>
                <w:sz w:val="21"/>
                <w:szCs w:val="21"/>
                <w:highlight w:val="none"/>
                <w:lang w:val="en-US" w:bidi="ar"/>
              </w:rPr>
              <w:br w:type="textWrapping"/>
            </w:r>
            <w:r>
              <w:rPr>
                <w:rFonts w:hint="eastAsia"/>
                <w:color w:val="auto"/>
                <w:sz w:val="21"/>
                <w:szCs w:val="21"/>
                <w:highlight w:val="none"/>
                <w:lang w:val="en-US" w:bidi="ar"/>
              </w:rPr>
              <w:t>四、质保期及售后服务质保期为设备验收合格后36个月，保修期后设备维修人员的差旅费我方不承担。在使用过程中，如遇问题，4小时内响应并给出解决方案，12小时内到现场进行维修服务。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r>
              <w:rPr>
                <w:rFonts w:hint="eastAsia"/>
                <w:color w:val="auto"/>
                <w:sz w:val="21"/>
                <w:szCs w:val="21"/>
                <w:highlight w:val="none"/>
                <w:lang w:val="en-US" w:bidi="ar"/>
              </w:rPr>
              <w:t>5</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成套卡具堵头</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both"/>
              <w:textAlignment w:val="center"/>
              <w:rPr>
                <w:color w:val="auto"/>
                <w:sz w:val="21"/>
                <w:szCs w:val="21"/>
                <w:highlight w:val="none"/>
                <w:lang w:val="en-US" w:bidi="ar"/>
              </w:rPr>
            </w:pPr>
            <w:r>
              <w:rPr>
                <w:rFonts w:hint="eastAsia"/>
                <w:color w:val="auto"/>
                <w:sz w:val="21"/>
                <w:szCs w:val="21"/>
                <w:highlight w:val="none"/>
                <w:lang w:val="en-US" w:bidi="ar"/>
              </w:rPr>
              <w:t xml:space="preserve">1、符合GB/T 6111-2018、GB/T 6111-2003、GB/T 15560-95、GB/T 18997.1-2003、GB/T 18997.2-2003、IS0 1167-2006、ASTM D1598-2004、ASTM D1599；    </w:t>
            </w:r>
            <w:r>
              <w:rPr>
                <w:rStyle w:val="42"/>
                <w:rFonts w:hint="default"/>
                <w:color w:val="auto"/>
                <w:sz w:val="21"/>
                <w:szCs w:val="21"/>
                <w:highlight w:val="none"/>
                <w:lang w:val="en-US" w:bidi="ar"/>
              </w:rPr>
              <w:t>★</w:t>
            </w:r>
            <w:r>
              <w:rPr>
                <w:rFonts w:hint="eastAsia"/>
                <w:color w:val="auto"/>
                <w:sz w:val="21"/>
                <w:szCs w:val="21"/>
                <w:highlight w:val="none"/>
                <w:lang w:val="en-US" w:bidi="ar"/>
              </w:rPr>
              <w:t>2、材质全部采用优质不锈钢材料，夹具零部件外表面不锈钢本色均匀一致，具有高强度耐腐蚀性；3、接口可与国内外外各个厂家压力主机和横温介质箱配套使用；  @4、每副卡具附带5套密封垫圈、快速接头、排气阀门、高压管以及附带连接件。5、堵具相对应装卸工具各两套；★6、每种规格堵具螺杆螺母两套；7、φ160三套、φ200三套、φ250三套、φ280二套、φ315三套。8、服务要求8.1交货地点：采购方指定的地点（详细收货地址由采购方另行提供）直到设备安装现场。</w:t>
            </w:r>
            <w:r>
              <w:rPr>
                <w:rFonts w:hint="eastAsia"/>
                <w:color w:val="auto"/>
                <w:sz w:val="21"/>
                <w:szCs w:val="21"/>
                <w:highlight w:val="none"/>
                <w:lang w:val="en-US" w:bidi="ar"/>
              </w:rPr>
              <w:br w:type="textWrapping"/>
            </w:r>
            <w:r>
              <w:rPr>
                <w:rFonts w:hint="eastAsia"/>
                <w:color w:val="auto"/>
                <w:sz w:val="21"/>
                <w:szCs w:val="21"/>
                <w:highlight w:val="none"/>
                <w:lang w:val="en-US" w:bidi="ar"/>
              </w:rPr>
              <w:t>运费、装卸搬运费由供方承担。8.1.1供方所提供设备必须进行包装，免收包装费，包装物不回收。</w:t>
            </w:r>
            <w:r>
              <w:rPr>
                <w:rFonts w:hint="eastAsia"/>
                <w:color w:val="auto"/>
                <w:sz w:val="21"/>
                <w:szCs w:val="21"/>
                <w:highlight w:val="none"/>
                <w:lang w:val="en-US" w:bidi="ar"/>
              </w:rPr>
              <w:br w:type="textWrapping"/>
            </w:r>
            <w:r>
              <w:rPr>
                <w:rFonts w:hint="eastAsia"/>
                <w:color w:val="auto"/>
                <w:sz w:val="21"/>
                <w:szCs w:val="21"/>
                <w:highlight w:val="none"/>
                <w:lang w:val="en-US" w:bidi="ar"/>
              </w:rPr>
              <w:t>8.1.2设备运输过程中的保险费用由供方承担，在运输过程中发生毁损、灭失均由供方承担完全责任。</w:t>
            </w:r>
            <w:r>
              <w:rPr>
                <w:rFonts w:hint="eastAsia"/>
                <w:color w:val="auto"/>
                <w:sz w:val="21"/>
                <w:szCs w:val="21"/>
                <w:highlight w:val="none"/>
                <w:lang w:val="en-US" w:bidi="ar"/>
              </w:rPr>
              <w:br w:type="textWrapping"/>
            </w:r>
            <w:r>
              <w:rPr>
                <w:rFonts w:hint="eastAsia"/>
                <w:color w:val="auto"/>
                <w:sz w:val="21"/>
                <w:szCs w:val="21"/>
                <w:highlight w:val="none"/>
                <w:lang w:val="en-US" w:bidi="ar"/>
              </w:rPr>
              <w:t>8.2交货期：</w:t>
            </w:r>
            <w:r>
              <w:rPr>
                <w:rFonts w:hint="eastAsia"/>
                <w:color w:val="auto"/>
                <w:sz w:val="21"/>
                <w:szCs w:val="21"/>
                <w:highlight w:val="none"/>
                <w:lang w:val="en-US" w:bidi="ar"/>
              </w:rPr>
              <w:br w:type="textWrapping"/>
            </w:r>
            <w:r>
              <w:rPr>
                <w:rFonts w:hint="eastAsia"/>
                <w:color w:val="auto"/>
                <w:sz w:val="21"/>
                <w:szCs w:val="21"/>
                <w:highlight w:val="none"/>
                <w:lang w:val="en-US" w:bidi="ar"/>
              </w:rPr>
              <w:t>保证提供的产品为全新原厂设备；合同签订后30天内到货。</w:t>
            </w:r>
            <w:r>
              <w:rPr>
                <w:rFonts w:hint="eastAsia"/>
                <w:color w:val="auto"/>
                <w:sz w:val="21"/>
                <w:szCs w:val="21"/>
                <w:highlight w:val="none"/>
                <w:lang w:val="en-US" w:bidi="ar"/>
              </w:rPr>
              <w:br w:type="textWrapping"/>
            </w:r>
            <w:r>
              <w:rPr>
                <w:rFonts w:hint="eastAsia"/>
                <w:color w:val="auto"/>
                <w:sz w:val="21"/>
                <w:szCs w:val="21"/>
                <w:highlight w:val="none"/>
                <w:lang w:val="en-US" w:bidi="ar"/>
              </w:rPr>
              <w:t>8.3售后服务：</w:t>
            </w:r>
            <w:r>
              <w:rPr>
                <w:rFonts w:hint="eastAsia"/>
                <w:color w:val="auto"/>
                <w:sz w:val="21"/>
                <w:szCs w:val="21"/>
                <w:highlight w:val="none"/>
                <w:lang w:val="en-US" w:bidi="ar"/>
              </w:rPr>
              <w:br w:type="textWrapping"/>
            </w:r>
            <w:r>
              <w:rPr>
                <w:rFonts w:hint="eastAsia"/>
                <w:color w:val="auto"/>
                <w:sz w:val="21"/>
                <w:szCs w:val="21"/>
                <w:highlight w:val="none"/>
                <w:lang w:val="en-US" w:bidi="ar"/>
              </w:rPr>
              <w:t>8.3.1提供该仪器的质量检验标准和验收方法。</w:t>
            </w:r>
            <w:r>
              <w:rPr>
                <w:rFonts w:hint="eastAsia"/>
                <w:color w:val="auto"/>
                <w:sz w:val="21"/>
                <w:szCs w:val="21"/>
                <w:highlight w:val="none"/>
                <w:lang w:val="en-US" w:bidi="ar"/>
              </w:rPr>
              <w:br w:type="textWrapping"/>
            </w:r>
            <w:r>
              <w:rPr>
                <w:rFonts w:hint="eastAsia"/>
                <w:color w:val="auto"/>
                <w:sz w:val="21"/>
                <w:szCs w:val="21"/>
                <w:highlight w:val="none"/>
                <w:lang w:val="en-US" w:bidi="ar"/>
              </w:rPr>
              <w:t>8.3.2技术资料：提供完整的操作使用手册及培训资料。所供货物的型号、规格、数量及生产厂家的产品检验证书、出厂检验报告、保修证明，并确认合格。</w:t>
            </w:r>
            <w:r>
              <w:rPr>
                <w:rFonts w:hint="eastAsia"/>
                <w:color w:val="auto"/>
                <w:sz w:val="21"/>
                <w:szCs w:val="21"/>
                <w:highlight w:val="none"/>
                <w:lang w:val="en-US" w:bidi="ar"/>
              </w:rPr>
              <w:br w:type="textWrapping"/>
            </w:r>
            <w:r>
              <w:rPr>
                <w:rFonts w:hint="eastAsia"/>
                <w:color w:val="auto"/>
                <w:sz w:val="21"/>
                <w:szCs w:val="21"/>
                <w:highlight w:val="none"/>
                <w:lang w:val="en-US" w:bidi="ar"/>
              </w:rPr>
              <w:t>8.3.3维修服务：提供3年质保期，保修期内维修所有费用由供货方承担，并且提供至少3次的耗材的更换，投标方应具有可靠的供货实力，在接到用户维修请求后，应能在一天内作出快速响应，并在三天内到达现场。保修期外，能更及时地为用户提供备品备件，保修期后的设备维修应先维修验收合格后再付维修款,设备维修人员的差旅费使用方不承担。</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r>
              <w:rPr>
                <w:rFonts w:hint="eastAsia"/>
                <w:color w:val="auto"/>
                <w:sz w:val="21"/>
                <w:szCs w:val="21"/>
                <w:highlight w:val="none"/>
                <w:lang w:val="en-US" w:bidi="ar"/>
              </w:rPr>
              <w:t>6</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数显薄膜测厚仪</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1"/>
                <w:szCs w:val="21"/>
                <w:highlight w:val="none"/>
                <w:lang w:val="en-US" w:bidi="ar"/>
              </w:rPr>
            </w:pPr>
            <w:r>
              <w:rPr>
                <w:rFonts w:hint="eastAsia"/>
                <w:color w:val="auto"/>
                <w:sz w:val="21"/>
                <w:szCs w:val="21"/>
                <w:highlight w:val="none"/>
                <w:lang w:val="en-US" w:bidi="ar"/>
              </w:rPr>
              <w:t>1、符合GB/T 6672-2001标准的要求；★2、测量范围：0-10mm；★3、精度：0. 001mm；4、喉深：30mm；5、带省级以上部门出具的检定合格证书（检定/校准参数范围由使用方指定）。3、</w:t>
            </w:r>
            <w:r>
              <w:rPr>
                <w:rFonts w:hint="eastAsia"/>
                <w:color w:val="auto"/>
                <w:kern w:val="2"/>
                <w:sz w:val="21"/>
                <w:szCs w:val="21"/>
                <w:highlight w:val="none"/>
                <w:lang w:val="en-US" w:bidi="ar-SA"/>
              </w:rPr>
              <w:t>质保期：≥</w:t>
            </w:r>
            <w:r>
              <w:rPr>
                <w:color w:val="auto"/>
                <w:kern w:val="2"/>
                <w:sz w:val="21"/>
                <w:szCs w:val="21"/>
                <w:highlight w:val="none"/>
                <w:lang w:val="en-US" w:bidi="ar-SA"/>
              </w:rPr>
              <w:t>1年，供货期：30个日历日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r>
              <w:rPr>
                <w:rFonts w:hint="eastAsia"/>
                <w:color w:val="auto"/>
                <w:sz w:val="21"/>
                <w:szCs w:val="21"/>
                <w:highlight w:val="none"/>
                <w:lang w:val="en-US" w:bidi="ar"/>
              </w:rPr>
              <w:t>7</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精密直径围尺</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1"/>
                <w:szCs w:val="21"/>
                <w:highlight w:val="none"/>
                <w:lang w:val="en-US" w:bidi="ar"/>
              </w:rPr>
            </w:pPr>
            <w:r>
              <w:rPr>
                <w:rFonts w:hint="eastAsia"/>
                <w:color w:val="auto"/>
                <w:sz w:val="21"/>
                <w:szCs w:val="21"/>
                <w:highlight w:val="none"/>
                <w:lang w:val="en-US" w:bidi="ar"/>
              </w:rPr>
              <w:t>1、符合GB/T 8806-2008标准的要求；★2、测量范围：9-1200mm；★3、精度：0. 01mm；4、带省级以上部门出具的检定合格证书（检定/校准参数范围由使用方指定）。5、</w:t>
            </w:r>
            <w:r>
              <w:rPr>
                <w:rFonts w:hint="eastAsia"/>
                <w:color w:val="auto"/>
                <w:kern w:val="2"/>
                <w:sz w:val="21"/>
                <w:szCs w:val="21"/>
                <w:highlight w:val="none"/>
                <w:lang w:val="en-US" w:bidi="ar-SA"/>
              </w:rPr>
              <w:t>质保期：≥</w:t>
            </w:r>
            <w:r>
              <w:rPr>
                <w:color w:val="auto"/>
                <w:kern w:val="2"/>
                <w:sz w:val="21"/>
                <w:szCs w:val="21"/>
                <w:highlight w:val="none"/>
                <w:lang w:val="en-US" w:bidi="ar-SA"/>
              </w:rPr>
              <w:t>1年，供货期：30个日历日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r>
              <w:rPr>
                <w:rFonts w:hint="eastAsia"/>
                <w:color w:val="auto"/>
                <w:sz w:val="21"/>
                <w:szCs w:val="21"/>
                <w:highlight w:val="none"/>
                <w:lang w:val="en-US" w:bidi="ar"/>
              </w:rPr>
              <w:t>8</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数显压力表</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1"/>
                <w:szCs w:val="21"/>
                <w:highlight w:val="none"/>
                <w:lang w:val="en-US" w:bidi="ar"/>
              </w:rPr>
            </w:pPr>
            <w:r>
              <w:rPr>
                <w:rFonts w:hint="eastAsia"/>
                <w:color w:val="auto"/>
                <w:sz w:val="21"/>
                <w:szCs w:val="21"/>
                <w:highlight w:val="none"/>
                <w:lang w:val="en-US" w:bidi="ar"/>
              </w:rPr>
              <w:t>1、★测量范围：0-15MPa；★2、精度：0.5级；★3、分辨率：0.01MPa；4、带省级以上部门出具的检定合格证书（检定/校准参数范围由使用方指定）。5、</w:t>
            </w:r>
            <w:r>
              <w:rPr>
                <w:rFonts w:hint="eastAsia"/>
                <w:color w:val="auto"/>
                <w:kern w:val="2"/>
                <w:sz w:val="21"/>
                <w:szCs w:val="21"/>
                <w:highlight w:val="none"/>
                <w:lang w:val="en-US" w:bidi="ar-SA"/>
              </w:rPr>
              <w:t>质保期：≥</w:t>
            </w:r>
            <w:r>
              <w:rPr>
                <w:color w:val="auto"/>
                <w:kern w:val="2"/>
                <w:sz w:val="21"/>
                <w:szCs w:val="21"/>
                <w:highlight w:val="none"/>
                <w:lang w:val="en-US" w:bidi="ar-SA"/>
              </w:rPr>
              <w:t>1年，供货期：30个日历日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color w:val="auto"/>
                <w:sz w:val="21"/>
                <w:szCs w:val="21"/>
                <w:highlight w:val="none"/>
                <w:lang w:val="en-US" w:bidi="ar"/>
              </w:rPr>
            </w:pPr>
          </w:p>
        </w:tc>
      </w:tr>
    </w:tbl>
    <w:p>
      <w:pPr>
        <w:rPr>
          <w:color w:val="auto"/>
          <w:highlight w:val="none"/>
          <w:lang w:val="en-US"/>
        </w:rPr>
      </w:pPr>
    </w:p>
    <w:p>
      <w:pPr>
        <w:pStyle w:val="14"/>
        <w:rPr>
          <w:b/>
          <w:bCs/>
          <w:color w:val="auto"/>
          <w:kern w:val="2"/>
          <w:sz w:val="21"/>
          <w:szCs w:val="21"/>
          <w:highlight w:val="none"/>
          <w:lang w:val="en-US" w:bidi="ar-SA"/>
        </w:rPr>
      </w:pPr>
      <w:r>
        <w:rPr>
          <w:rFonts w:hint="eastAsia"/>
          <w:b/>
          <w:bCs/>
          <w:color w:val="auto"/>
          <w:kern w:val="2"/>
          <w:sz w:val="21"/>
          <w:szCs w:val="21"/>
          <w:highlight w:val="none"/>
          <w:lang w:val="en-US" w:bidi="ar-SA"/>
        </w:rPr>
        <w:t>标项3</w:t>
      </w:r>
    </w:p>
    <w:tbl>
      <w:tblPr>
        <w:tblStyle w:val="28"/>
        <w:tblW w:w="9723" w:type="dxa"/>
        <w:jc w:val="center"/>
        <w:tblLayout w:type="fixed"/>
        <w:tblCellMar>
          <w:top w:w="0" w:type="dxa"/>
          <w:left w:w="108" w:type="dxa"/>
          <w:bottom w:w="0" w:type="dxa"/>
          <w:right w:w="108" w:type="dxa"/>
        </w:tblCellMar>
      </w:tblPr>
      <w:tblGrid>
        <w:gridCol w:w="457"/>
        <w:gridCol w:w="1135"/>
        <w:gridCol w:w="6915"/>
        <w:gridCol w:w="777"/>
        <w:gridCol w:w="439"/>
      </w:tblGrid>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序号</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设备名称</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主要技术参数</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数量</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kern w:val="2"/>
                <w:sz w:val="21"/>
                <w:szCs w:val="21"/>
                <w:highlight w:val="none"/>
                <w:lang w:val="en-US" w:bidi="ar-SA"/>
              </w:rPr>
            </w:pPr>
            <w:r>
              <w:rPr>
                <w:rFonts w:hint="eastAsia"/>
                <w:b/>
                <w:bCs/>
                <w:color w:val="auto"/>
                <w:sz w:val="21"/>
                <w:szCs w:val="21"/>
                <w:highlight w:val="none"/>
                <w:lang w:val="en-US" w:bidi="ar"/>
              </w:rPr>
              <w:t>备注</w:t>
            </w: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1</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单根绝缘电线电缆垂直燃烧试验装置</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1"/>
                <w:szCs w:val="21"/>
                <w:highlight w:val="none"/>
                <w:lang w:val="en-US" w:bidi="ar"/>
              </w:rPr>
            </w:pPr>
            <w:r>
              <w:rPr>
                <w:rStyle w:val="43"/>
                <w:rFonts w:hint="default"/>
                <w:color w:val="auto"/>
                <w:sz w:val="21"/>
                <w:szCs w:val="21"/>
                <w:highlight w:val="none"/>
                <w:lang w:val="en-US" w:bidi="ar"/>
              </w:rPr>
              <w:t>★1、符合标准：GB/T 18380.11-2022、GB/T 18380.21-2008、GB/T 18380.12-2022、GB/T 18380.22-2008试验要求；</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★2、装置组成：金属罩（高(1200±25) mm、宽(300±25) mm、深(450±25)mm,正面敞开、顶部和底部封闭的金属罩；</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★3、燃烧器：内径</w:t>
            </w:r>
            <w:r>
              <w:rPr>
                <w:rStyle w:val="44"/>
                <w:rFonts w:hint="eastAsia" w:ascii="宋体" w:hAnsi="宋体" w:cs="宋体"/>
                <w:color w:val="auto"/>
                <w:sz w:val="21"/>
                <w:szCs w:val="21"/>
                <w:highlight w:val="none"/>
                <w:lang w:val="en-US" w:bidi="ar"/>
              </w:rPr>
              <w:t>Φ</w:t>
            </w:r>
            <w:r>
              <w:rPr>
                <w:rStyle w:val="43"/>
                <w:rFonts w:hint="default"/>
                <w:color w:val="auto"/>
                <w:sz w:val="21"/>
                <w:szCs w:val="21"/>
                <w:highlight w:val="none"/>
                <w:lang w:val="en-US" w:bidi="ar"/>
              </w:rPr>
              <w:t>12mm±0.5mm（符合GB/T18380.11、GB/T5169.14）及内径</w:t>
            </w:r>
            <w:r>
              <w:rPr>
                <w:rStyle w:val="44"/>
                <w:rFonts w:hint="eastAsia" w:ascii="宋体" w:hAnsi="宋体" w:cs="宋体"/>
                <w:color w:val="auto"/>
                <w:sz w:val="21"/>
                <w:szCs w:val="21"/>
                <w:highlight w:val="none"/>
                <w:lang w:val="en-US" w:bidi="ar"/>
              </w:rPr>
              <w:t>Φ</w:t>
            </w:r>
            <w:r>
              <w:rPr>
                <w:rStyle w:val="43"/>
                <w:rFonts w:hint="default"/>
                <w:color w:val="auto"/>
                <w:sz w:val="21"/>
                <w:szCs w:val="21"/>
                <w:highlight w:val="none"/>
                <w:lang w:val="en-US" w:bidi="ar"/>
              </w:rPr>
              <w:t>.5mm±0.5mm（符合GB/T18380.21）本生灯各一个；</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4、火焰高度：可调。</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5、施焰时间: 0-999.9s±0.1s可调；</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6、持焰时间: 0-999.9s±0.1s，自动记录，手动暂停；</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7、流量计为质量流量计，精度高于±2%，量程：丙烷为1L,压缩空气为20L。流量压力：带双流量表及压力表（燃气及空气）。流量控制满足：当流量为965mL/min，通以纯度超过95%的技术级丙烷,当喷灯处于垂直位置,空气进口关闭的时候,喷灯产生光亮火焰，可调整燃气流量使光亮火焰的总长度为(125±25) mm；当丙烷流量为650 mL/min±10 mL/min，空气的体积流量为10.0 L/ min±0.3 L/min，蓝色焰心高度符合：46 mm</w:t>
            </w:r>
            <w:r>
              <w:rPr>
                <w:rStyle w:val="45"/>
                <w:rFonts w:hint="eastAsia" w:ascii="宋体" w:hAnsi="宋体" w:eastAsia="宋体" w:cs="宋体"/>
                <w:color w:val="auto"/>
                <w:sz w:val="21"/>
                <w:szCs w:val="21"/>
                <w:highlight w:val="none"/>
                <w:lang w:val="en-US" w:bidi="ar"/>
              </w:rPr>
              <w:t>～</w:t>
            </w:r>
            <w:r>
              <w:rPr>
                <w:rStyle w:val="43"/>
                <w:rFonts w:hint="default"/>
                <w:color w:val="auto"/>
                <w:sz w:val="21"/>
                <w:szCs w:val="21"/>
                <w:highlight w:val="none"/>
                <w:lang w:val="en-US" w:bidi="ar"/>
              </w:rPr>
              <w:t>78 mm、火焰总高度：148 mm～208 mm；</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8、温度测试范围：0～1000℃；</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★9、火焰强度要求：1kW燃烧喷灯，满足从100℃±5℃升到700℃±3℃的时间在46秒±6秒之内；500W燃烧喷灯，满足从100℃±2℃升到700℃±3℃的时间在54秒±2秒之内；</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10、测温热电偶：</w:t>
            </w:r>
            <w:r>
              <w:rPr>
                <w:rStyle w:val="44"/>
                <w:rFonts w:hint="eastAsia" w:ascii="宋体" w:hAnsi="宋体" w:cs="宋体"/>
                <w:color w:val="auto"/>
                <w:sz w:val="21"/>
                <w:szCs w:val="21"/>
                <w:highlight w:val="none"/>
                <w:lang w:val="en-US" w:bidi="ar"/>
              </w:rPr>
              <w:t>Φ</w:t>
            </w:r>
            <w:r>
              <w:rPr>
                <w:rStyle w:val="43"/>
                <w:rFonts w:hint="default"/>
                <w:color w:val="auto"/>
                <w:sz w:val="21"/>
                <w:szCs w:val="21"/>
                <w:highlight w:val="none"/>
                <w:lang w:val="en-US" w:bidi="ar"/>
              </w:rPr>
              <w:t>0.5mm进口铠装热电偶（K型）；</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11、试验过程：试验程序自动控制，独立抽风；</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12、箱体材料：不锈钢机箱</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13、试验时，满足人员站立操作设备；</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★14、配备：空压机、三组式精密过滤器（油水分离设备）；校准温度铜块和热电偶，GB/T18380.21试验用配重：0.25N(2个)、0.5N(4个)、1N(4个)、2N(4个)、4N(2个)。</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15.免费提供运输、卸货、安装（包括安装用辅材和线路改造连接辅材）、培训、计量服务。</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16、质保期：≥1年，供货期：30个日历日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0"/>
                <w:szCs w:val="20"/>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sz w:val="21"/>
                <w:szCs w:val="21"/>
                <w:highlight w:val="none"/>
                <w:lang w:val="en-US" w:bidi="ar"/>
              </w:rPr>
            </w:pP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2</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数显深度计</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1"/>
                <w:szCs w:val="21"/>
                <w:highlight w:val="none"/>
                <w:lang w:val="en-US" w:bidi="ar"/>
              </w:rPr>
            </w:pPr>
            <w:r>
              <w:rPr>
                <w:rFonts w:hint="eastAsia"/>
                <w:color w:val="auto"/>
                <w:sz w:val="21"/>
                <w:szCs w:val="21"/>
                <w:highlight w:val="none"/>
                <w:lang w:val="en-US" w:bidi="ar"/>
              </w:rPr>
              <w:br w:type="textWrapping"/>
            </w:r>
            <w:r>
              <w:rPr>
                <w:rFonts w:hint="eastAsia"/>
                <w:color w:val="auto"/>
                <w:sz w:val="21"/>
                <w:szCs w:val="21"/>
                <w:highlight w:val="none"/>
                <w:lang w:val="en-US" w:bidi="ar"/>
              </w:rPr>
              <w:t>★1、测量范围：≥10mm</w:t>
            </w:r>
            <w:r>
              <w:rPr>
                <w:rFonts w:hint="eastAsia"/>
                <w:color w:val="auto"/>
                <w:sz w:val="21"/>
                <w:szCs w:val="21"/>
                <w:highlight w:val="none"/>
                <w:lang w:val="en-US" w:bidi="ar"/>
              </w:rPr>
              <w:br w:type="textWrapping"/>
            </w:r>
            <w:r>
              <w:rPr>
                <w:rFonts w:hint="eastAsia"/>
                <w:color w:val="auto"/>
                <w:sz w:val="21"/>
                <w:szCs w:val="21"/>
                <w:highlight w:val="none"/>
                <w:lang w:val="en-US" w:bidi="ar"/>
              </w:rPr>
              <w:t>★2、精度：不低于±0.003mm</w:t>
            </w:r>
            <w:r>
              <w:rPr>
                <w:rFonts w:hint="eastAsia"/>
                <w:color w:val="auto"/>
                <w:sz w:val="21"/>
                <w:szCs w:val="21"/>
                <w:highlight w:val="none"/>
                <w:lang w:val="en-US" w:bidi="ar"/>
              </w:rPr>
              <w:br w:type="textWrapping"/>
            </w:r>
            <w:r>
              <w:rPr>
                <w:rFonts w:hint="eastAsia"/>
                <w:color w:val="auto"/>
                <w:sz w:val="21"/>
                <w:szCs w:val="21"/>
                <w:highlight w:val="none"/>
                <w:lang w:val="en-US" w:bidi="ar"/>
              </w:rPr>
              <w:t>★3、分度值：0.001mm</w:t>
            </w:r>
            <w:r>
              <w:rPr>
                <w:rFonts w:hint="eastAsia"/>
                <w:color w:val="auto"/>
                <w:sz w:val="21"/>
                <w:szCs w:val="21"/>
                <w:highlight w:val="none"/>
                <w:lang w:val="en-US" w:bidi="ar"/>
              </w:rPr>
              <w:br w:type="textWrapping"/>
            </w:r>
            <w:r>
              <w:rPr>
                <w:rFonts w:hint="eastAsia"/>
                <w:color w:val="auto"/>
                <w:sz w:val="21"/>
                <w:szCs w:val="21"/>
                <w:highlight w:val="none"/>
                <w:lang w:val="en-US" w:bidi="ar"/>
              </w:rPr>
              <w:t>★4、测头材质：针式金属测头，多种测头可换（至少两种）</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 5、免费提供运输、培训、计量服务。</w:t>
            </w:r>
            <w:r>
              <w:rPr>
                <w:rFonts w:hint="eastAsia"/>
                <w:color w:val="auto"/>
                <w:sz w:val="21"/>
                <w:szCs w:val="21"/>
                <w:highlight w:val="none"/>
                <w:lang w:val="en-US" w:bidi="ar"/>
              </w:rPr>
              <w:br w:type="textWrapping"/>
            </w:r>
            <w:r>
              <w:rPr>
                <w:rFonts w:hint="eastAsia"/>
                <w:color w:val="auto"/>
                <w:sz w:val="21"/>
                <w:szCs w:val="21"/>
                <w:highlight w:val="none"/>
                <w:lang w:val="en-US" w:bidi="ar"/>
              </w:rPr>
              <w:t>★6、满足GB 17761-2018整车标志编码刻字深度测量。</w:t>
            </w:r>
            <w:r>
              <w:rPr>
                <w:rFonts w:hint="eastAsia"/>
                <w:color w:val="auto"/>
                <w:sz w:val="21"/>
                <w:szCs w:val="21"/>
                <w:highlight w:val="none"/>
                <w:lang w:val="en-US" w:bidi="ar"/>
              </w:rPr>
              <w:br w:type="textWrapping"/>
            </w:r>
            <w:r>
              <w:rPr>
                <w:rFonts w:hint="eastAsia"/>
                <w:color w:val="auto"/>
                <w:sz w:val="21"/>
                <w:szCs w:val="21"/>
                <w:highlight w:val="none"/>
                <w:lang w:val="en-US" w:bidi="ar"/>
              </w:rPr>
              <w:t xml:space="preserve"> 7、质保期：≥1年，供货期：30个日历日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0"/>
                <w:szCs w:val="20"/>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sz w:val="21"/>
                <w:szCs w:val="21"/>
                <w:highlight w:val="none"/>
                <w:lang w:val="en-US" w:bidi="ar"/>
              </w:rPr>
            </w:pP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3</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恒温水浴锅</w:t>
            </w:r>
          </w:p>
        </w:tc>
        <w:tc>
          <w:tcPr>
            <w:tcW w:w="69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textAlignment w:val="center"/>
              <w:rPr>
                <w:color w:val="auto"/>
                <w:sz w:val="21"/>
                <w:szCs w:val="21"/>
                <w:highlight w:val="none"/>
                <w:lang w:val="en-US" w:bidi="ar"/>
              </w:rPr>
            </w:pPr>
            <w:r>
              <w:rPr>
                <w:rFonts w:hint="eastAsia"/>
                <w:color w:val="auto"/>
                <w:sz w:val="21"/>
                <w:szCs w:val="21"/>
                <w:highlight w:val="none"/>
                <w:lang w:val="en-US" w:bidi="ar"/>
              </w:rPr>
              <w:t xml:space="preserve">★1、满足标准：GB/T 2951.13-2008吸水试验用 </w:t>
            </w:r>
            <w:r>
              <w:rPr>
                <w:rFonts w:hint="eastAsia"/>
                <w:color w:val="auto"/>
                <w:sz w:val="21"/>
                <w:szCs w:val="21"/>
                <w:highlight w:val="none"/>
                <w:lang w:val="en-US" w:bidi="ar"/>
              </w:rPr>
              <w:br w:type="textWrapping"/>
            </w:r>
            <w:r>
              <w:rPr>
                <w:rFonts w:hint="eastAsia"/>
                <w:color w:val="auto"/>
                <w:sz w:val="21"/>
                <w:szCs w:val="21"/>
                <w:highlight w:val="none"/>
                <w:lang w:val="en-US" w:bidi="ar"/>
              </w:rPr>
              <w:t>★2、温度控制范围：室温＋10℃～+95℃，分辨力：0.1℃，精度±2℃</w:t>
            </w:r>
            <w:r>
              <w:rPr>
                <w:rFonts w:hint="eastAsia"/>
                <w:color w:val="auto"/>
                <w:sz w:val="21"/>
                <w:szCs w:val="21"/>
                <w:highlight w:val="none"/>
                <w:lang w:val="en-US" w:bidi="ar"/>
              </w:rPr>
              <w:br w:type="textWrapping"/>
            </w:r>
            <w:r>
              <w:rPr>
                <w:rFonts w:hint="eastAsia"/>
                <w:color w:val="auto"/>
                <w:sz w:val="21"/>
                <w:szCs w:val="21"/>
                <w:highlight w:val="none"/>
                <w:lang w:val="en-US" w:bidi="ar"/>
              </w:rPr>
              <w:t>3、工作室尺寸(长×宽×深)至少：400×300×300 (mm)</w:t>
            </w:r>
            <w:r>
              <w:rPr>
                <w:rFonts w:hint="eastAsia"/>
                <w:color w:val="auto"/>
                <w:sz w:val="21"/>
                <w:szCs w:val="21"/>
                <w:highlight w:val="none"/>
                <w:lang w:val="en-US" w:bidi="ar"/>
              </w:rPr>
              <w:br w:type="textWrapping"/>
            </w:r>
            <w:r>
              <w:rPr>
                <w:rFonts w:hint="eastAsia"/>
                <w:color w:val="auto"/>
                <w:sz w:val="21"/>
                <w:szCs w:val="21"/>
                <w:highlight w:val="none"/>
                <w:lang w:val="en-US" w:bidi="ar"/>
              </w:rPr>
              <w:t>4、外形尺寸（长×宽×高)不大于：800×550×550(mm)</w:t>
            </w:r>
            <w:r>
              <w:rPr>
                <w:rFonts w:hint="eastAsia"/>
                <w:color w:val="auto"/>
                <w:sz w:val="21"/>
                <w:szCs w:val="21"/>
                <w:highlight w:val="none"/>
                <w:lang w:val="en-US" w:bidi="ar"/>
              </w:rPr>
              <w:br w:type="textWrapping"/>
            </w:r>
            <w:r>
              <w:rPr>
                <w:rFonts w:hint="eastAsia"/>
                <w:color w:val="auto"/>
                <w:sz w:val="21"/>
                <w:szCs w:val="21"/>
                <w:highlight w:val="none"/>
                <w:lang w:val="en-US" w:bidi="ar"/>
              </w:rPr>
              <w:t>5、试验电源：AC220V50HZ</w:t>
            </w:r>
            <w:r>
              <w:rPr>
                <w:rFonts w:hint="eastAsia"/>
                <w:color w:val="auto"/>
                <w:sz w:val="21"/>
                <w:szCs w:val="21"/>
                <w:highlight w:val="none"/>
                <w:lang w:val="en-US" w:bidi="ar"/>
              </w:rPr>
              <w:br w:type="textWrapping"/>
            </w:r>
            <w:r>
              <w:rPr>
                <w:rFonts w:hint="eastAsia"/>
                <w:color w:val="auto"/>
                <w:sz w:val="21"/>
                <w:szCs w:val="21"/>
                <w:highlight w:val="none"/>
                <w:lang w:val="en-US" w:bidi="ar"/>
              </w:rPr>
              <w:t>6、功率：≥3.5KW</w:t>
            </w:r>
            <w:r>
              <w:rPr>
                <w:rFonts w:hint="eastAsia"/>
                <w:color w:val="auto"/>
                <w:sz w:val="21"/>
                <w:szCs w:val="21"/>
                <w:highlight w:val="none"/>
                <w:lang w:val="en-US" w:bidi="ar"/>
              </w:rPr>
              <w:br w:type="textWrapping"/>
            </w:r>
            <w:r>
              <w:rPr>
                <w:rFonts w:hint="eastAsia"/>
                <w:color w:val="auto"/>
                <w:sz w:val="21"/>
                <w:szCs w:val="21"/>
                <w:highlight w:val="none"/>
                <w:lang w:val="en-US" w:bidi="ar"/>
              </w:rPr>
              <w:t>★7、设置漏电及超温保护</w:t>
            </w:r>
            <w:r>
              <w:rPr>
                <w:rFonts w:hint="eastAsia"/>
                <w:color w:val="auto"/>
                <w:sz w:val="21"/>
                <w:szCs w:val="21"/>
                <w:highlight w:val="none"/>
                <w:lang w:val="en-US" w:bidi="ar"/>
              </w:rPr>
              <w:br w:type="textWrapping"/>
            </w:r>
            <w:r>
              <w:rPr>
                <w:rFonts w:hint="eastAsia"/>
                <w:color w:val="auto"/>
                <w:sz w:val="21"/>
                <w:szCs w:val="21"/>
                <w:highlight w:val="none"/>
                <w:lang w:val="en-US" w:bidi="ar"/>
              </w:rPr>
              <w:t>8、免费提供运输、安装（包括安装用辅材和线路改造连接辅材）、培训、计量服务。</w:t>
            </w:r>
            <w:r>
              <w:rPr>
                <w:rFonts w:hint="eastAsia"/>
                <w:color w:val="auto"/>
                <w:sz w:val="21"/>
                <w:szCs w:val="21"/>
                <w:highlight w:val="none"/>
                <w:lang w:val="en-US" w:bidi="ar"/>
              </w:rPr>
              <w:br w:type="textWrapping"/>
            </w:r>
            <w:r>
              <w:rPr>
                <w:rFonts w:hint="eastAsia"/>
                <w:color w:val="auto"/>
                <w:sz w:val="21"/>
                <w:szCs w:val="21"/>
                <w:highlight w:val="none"/>
                <w:lang w:val="en-US" w:bidi="ar"/>
              </w:rPr>
              <w:t>9、质保期：≥1年，供货期：30个日历日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0"/>
                <w:szCs w:val="20"/>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sz w:val="21"/>
                <w:szCs w:val="21"/>
                <w:highlight w:val="none"/>
                <w:lang w:val="en-US" w:bidi="ar"/>
              </w:rPr>
            </w:pPr>
          </w:p>
        </w:tc>
      </w:tr>
      <w:tr>
        <w:tblPrEx>
          <w:tblCellMar>
            <w:top w:w="0" w:type="dxa"/>
            <w:left w:w="108" w:type="dxa"/>
            <w:bottom w:w="0" w:type="dxa"/>
            <w:right w:w="108" w:type="dxa"/>
          </w:tblCellMar>
        </w:tblPrEx>
        <w:trPr>
          <w:trHeight w:val="81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4</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1"/>
                <w:szCs w:val="21"/>
                <w:highlight w:val="none"/>
                <w:lang w:val="en-US" w:bidi="ar"/>
              </w:rPr>
              <w:t>恒温恒压供水系统</w:t>
            </w:r>
          </w:p>
        </w:tc>
        <w:tc>
          <w:tcPr>
            <w:tcW w:w="6915" w:type="dxa"/>
            <w:tcBorders>
              <w:top w:val="single" w:color="000000" w:sz="4" w:space="0"/>
              <w:left w:val="single" w:color="000000" w:sz="4" w:space="0"/>
              <w:bottom w:val="single" w:color="000000" w:sz="4" w:space="0"/>
              <w:right w:val="single" w:color="000000" w:sz="4" w:space="0"/>
            </w:tcBorders>
            <w:shd w:val="clear" w:color="auto" w:fill="auto"/>
          </w:tcPr>
          <w:p>
            <w:pPr>
              <w:widowControl/>
              <w:textAlignment w:val="top"/>
              <w:rPr>
                <w:color w:val="auto"/>
                <w:sz w:val="21"/>
                <w:szCs w:val="21"/>
                <w:highlight w:val="none"/>
                <w:lang w:val="en-US" w:bidi="ar"/>
              </w:rPr>
            </w:pPr>
            <w:r>
              <w:rPr>
                <w:rStyle w:val="43"/>
                <w:rFonts w:hint="default"/>
                <w:color w:val="auto"/>
                <w:sz w:val="21"/>
                <w:szCs w:val="21"/>
                <w:highlight w:val="none"/>
                <w:lang w:val="en-US" w:bidi="ar"/>
              </w:rPr>
              <w:t>★1、供电系统：≥40kVA  3 相 4 线 +G</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2、电压：相0-300V连续可调  线0-520V连续可调</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★3、分辨率：0.1V</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4、频率可调范围：47</w:t>
            </w:r>
            <w:r>
              <w:rPr>
                <w:rStyle w:val="45"/>
                <w:rFonts w:hint="eastAsia" w:ascii="宋体" w:hAnsi="宋体" w:eastAsia="宋体" w:cs="宋体"/>
                <w:color w:val="auto"/>
                <w:sz w:val="21"/>
                <w:szCs w:val="21"/>
                <w:highlight w:val="none"/>
                <w:lang w:val="en-US" w:bidi="ar"/>
              </w:rPr>
              <w:t>-</w:t>
            </w:r>
            <w:r>
              <w:rPr>
                <w:rStyle w:val="43"/>
                <w:rFonts w:hint="default"/>
                <w:color w:val="auto"/>
                <w:sz w:val="21"/>
                <w:szCs w:val="21"/>
                <w:highlight w:val="none"/>
                <w:lang w:val="en-US" w:bidi="ar"/>
              </w:rPr>
              <w:t>63Hz 可调</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★5、软件：配有专业的上位机控制软件及RS232通讯接口，可选配RS485、GPIB、Ethernet通讯接口或模拟控制方</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★6、水温范围： 10-60℃可调，控温精度：±0.5℃。</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★7、水箱容量：≥1m³，水压100kPa-400kPa 可调，压力精度：±5kPa。</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8、水箱采用304不锈钢板制作，双层保温（厚度≥50mm）。</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★9、水箱安装液位传感器，自动（或人工）控制水箱内的储水量。</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10、加热系统：加热采用不锈钢电热管加热。</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11、制冷系统：制冷采用进口制冷机组，风冷式散热，性能可靠。</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★12、供水系统（流量控制系统）：采用多级水泵变频器供水，供水能力≥20L/min。</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★13、压力控制系统：采用压力传感器，控制精度为±0.02MPa，带表显和数字通讯接口，方便远程控制和数据采集。</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★14、电参数测量：至少两工位 单相及三相</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15、量程：电压0-600V、电流0-20A、精度±0.1%+量程的±0.05%。</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16、免费提供运输、卸货、安装（包括安装用辅材和线路改造连接辅材）、培训、计量服务。</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★17、符合GB4706.11-2008《家用和类似用途电器安全 快热式热水器的特殊要求》规定的恒温恒压全流程试验，适用多种类型样品，可接入落地式电锅炉</w:t>
            </w:r>
            <w:r>
              <w:rPr>
                <w:rStyle w:val="43"/>
                <w:rFonts w:hint="default"/>
                <w:color w:val="auto"/>
                <w:sz w:val="21"/>
                <w:szCs w:val="21"/>
                <w:highlight w:val="none"/>
                <w:lang w:val="en-US" w:bidi="ar"/>
              </w:rPr>
              <w:br w:type="textWrapping"/>
            </w:r>
            <w:r>
              <w:rPr>
                <w:rStyle w:val="43"/>
                <w:rFonts w:hint="default"/>
                <w:color w:val="auto"/>
                <w:sz w:val="21"/>
                <w:szCs w:val="21"/>
                <w:highlight w:val="none"/>
                <w:lang w:val="en-US" w:bidi="ar"/>
              </w:rPr>
              <w:t>18、质保期：≥1年，供货期：30个日历日（设备配置中有进口部件的除外，但此种情况整机供货期不超过90个日历日）</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color w:val="auto"/>
                <w:sz w:val="21"/>
                <w:szCs w:val="21"/>
                <w:highlight w:val="none"/>
                <w:lang w:val="en-US" w:bidi="ar"/>
              </w:rPr>
            </w:pPr>
            <w:r>
              <w:rPr>
                <w:rFonts w:hint="eastAsia"/>
                <w:color w:val="auto"/>
                <w:sz w:val="20"/>
                <w:szCs w:val="20"/>
                <w:highlight w:val="none"/>
                <w:lang w:val="en-US" w:bidi="ar"/>
              </w:rPr>
              <w:t>1</w:t>
            </w:r>
          </w:p>
        </w:tc>
        <w:tc>
          <w:tcPr>
            <w:tcW w:w="43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autoSpaceDE/>
              <w:autoSpaceDN/>
              <w:jc w:val="center"/>
              <w:textAlignment w:val="center"/>
              <w:rPr>
                <w:b/>
                <w:bCs/>
                <w:color w:val="auto"/>
                <w:sz w:val="21"/>
                <w:szCs w:val="21"/>
                <w:highlight w:val="none"/>
                <w:lang w:val="en-US" w:bidi="ar"/>
              </w:rPr>
            </w:pPr>
          </w:p>
        </w:tc>
      </w:tr>
    </w:tbl>
    <w:p>
      <w:pPr>
        <w:pStyle w:val="14"/>
        <w:rPr>
          <w:color w:val="auto"/>
          <w:highlight w:val="none"/>
          <w:lang w:val="en-US"/>
        </w:rPr>
      </w:pPr>
    </w:p>
    <w:p>
      <w:pPr>
        <w:autoSpaceDE/>
        <w:autoSpaceDN/>
        <w:jc w:val="both"/>
        <w:rPr>
          <w:b/>
          <w:bCs/>
          <w:color w:val="auto"/>
          <w:kern w:val="2"/>
          <w:sz w:val="21"/>
          <w:szCs w:val="21"/>
          <w:highlight w:val="none"/>
          <w:lang w:val="en-US" w:bidi="ar-SA"/>
        </w:rPr>
      </w:pPr>
      <w:r>
        <w:rPr>
          <w:rFonts w:hint="eastAsia"/>
          <w:b/>
          <w:bCs/>
          <w:color w:val="auto"/>
          <w:kern w:val="2"/>
          <w:sz w:val="21"/>
          <w:szCs w:val="21"/>
          <w:highlight w:val="none"/>
          <w:lang w:val="en-US" w:bidi="ar-SA"/>
        </w:rPr>
        <w:br w:type="page"/>
      </w:r>
    </w:p>
    <w:p>
      <w:pPr>
        <w:pStyle w:val="5"/>
        <w:tabs>
          <w:tab w:val="left" w:pos="1163"/>
        </w:tabs>
        <w:spacing w:line="240" w:lineRule="auto"/>
        <w:outlineLvl w:val="0"/>
        <w:rPr>
          <w:rFonts w:ascii="宋体" w:hAnsi="宋体" w:eastAsia="宋体" w:cs="宋体"/>
          <w:b/>
          <w:bCs/>
          <w:color w:val="auto"/>
          <w:sz w:val="32"/>
          <w:szCs w:val="32"/>
          <w:highlight w:val="none"/>
        </w:rPr>
      </w:pPr>
      <w:bookmarkStart w:id="60" w:name="_Toc3546"/>
      <w:r>
        <w:rPr>
          <w:rFonts w:hint="eastAsia" w:ascii="宋体" w:hAnsi="宋体" w:eastAsia="宋体" w:cs="宋体"/>
          <w:b/>
          <w:bCs/>
          <w:color w:val="auto"/>
          <w:sz w:val="32"/>
          <w:szCs w:val="32"/>
          <w:highlight w:val="none"/>
        </w:rPr>
        <w:t>第</w:t>
      </w:r>
      <w:r>
        <w:rPr>
          <w:rFonts w:hint="eastAsia" w:ascii="宋体" w:hAnsi="宋体" w:eastAsia="宋体" w:cs="宋体"/>
          <w:b/>
          <w:bCs/>
          <w:color w:val="auto"/>
          <w:sz w:val="32"/>
          <w:szCs w:val="32"/>
          <w:highlight w:val="none"/>
          <w:lang w:val="en-US"/>
        </w:rPr>
        <w:t>四</w:t>
      </w:r>
      <w:r>
        <w:rPr>
          <w:rFonts w:hint="eastAsia" w:ascii="宋体" w:hAnsi="宋体" w:eastAsia="宋体" w:cs="宋体"/>
          <w:b/>
          <w:bCs/>
          <w:color w:val="auto"/>
          <w:sz w:val="32"/>
          <w:szCs w:val="32"/>
          <w:highlight w:val="none"/>
        </w:rPr>
        <w:t>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评标方法和评标标准</w:t>
      </w:r>
      <w:bookmarkEnd w:id="60"/>
    </w:p>
    <w:p>
      <w:pPr>
        <w:pStyle w:val="6"/>
        <w:outlineLvl w:val="1"/>
        <w:rPr>
          <w:rFonts w:ascii="宋体" w:hAnsi="宋体" w:eastAsia="宋体" w:cs="宋体"/>
          <w:color w:val="auto"/>
          <w:sz w:val="28"/>
          <w:szCs w:val="28"/>
          <w:highlight w:val="none"/>
        </w:rPr>
      </w:pPr>
      <w:bookmarkStart w:id="61" w:name="_bookmark66"/>
      <w:bookmarkEnd w:id="61"/>
      <w:bookmarkStart w:id="62" w:name="_Toc8398"/>
      <w:r>
        <w:rPr>
          <w:rFonts w:hint="eastAsia" w:ascii="宋体" w:hAnsi="宋体" w:eastAsia="宋体" w:cs="宋体"/>
          <w:color w:val="auto"/>
          <w:sz w:val="28"/>
          <w:szCs w:val="28"/>
          <w:highlight w:val="none"/>
        </w:rPr>
        <w:t>一、评标方法</w:t>
      </w:r>
      <w:bookmarkEnd w:id="62"/>
    </w:p>
    <w:p>
      <w:pPr>
        <w:adjustRightInd w:val="0"/>
        <w:snapToGrid w:val="0"/>
        <w:spacing w:line="360" w:lineRule="auto"/>
        <w:rPr>
          <w:b/>
          <w:color w:val="auto"/>
          <w:sz w:val="21"/>
          <w:szCs w:val="21"/>
          <w:highlight w:val="none"/>
        </w:rPr>
      </w:pPr>
      <w:r>
        <w:rPr>
          <w:rFonts w:hint="eastAsia"/>
          <w:b/>
          <w:color w:val="auto"/>
          <w:sz w:val="21"/>
          <w:szCs w:val="21"/>
          <w:highlight w:val="none"/>
        </w:rPr>
        <w:t>1.评标委员会</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1.1评标由依法组建的评标委员会负责，其成员构成方式详见投标须知前附表。</w:t>
      </w:r>
    </w:p>
    <w:p>
      <w:pPr>
        <w:adjustRightInd w:val="0"/>
        <w:snapToGrid w:val="0"/>
        <w:spacing w:line="360" w:lineRule="auto"/>
        <w:rPr>
          <w:b/>
          <w:color w:val="auto"/>
          <w:sz w:val="21"/>
          <w:szCs w:val="21"/>
          <w:highlight w:val="none"/>
        </w:rPr>
      </w:pPr>
      <w:r>
        <w:rPr>
          <w:rFonts w:hint="eastAsia"/>
          <w:b/>
          <w:color w:val="auto"/>
          <w:sz w:val="21"/>
          <w:szCs w:val="21"/>
          <w:highlight w:val="none"/>
        </w:rPr>
        <w:t>2.评标方法</w:t>
      </w:r>
    </w:p>
    <w:p>
      <w:pPr>
        <w:adjustRightInd w:val="0"/>
        <w:snapToGrid w:val="0"/>
        <w:spacing w:line="360" w:lineRule="auto"/>
        <w:ind w:firstLine="422" w:firstLineChars="200"/>
        <w:rPr>
          <w:b/>
          <w:color w:val="auto"/>
          <w:sz w:val="21"/>
          <w:szCs w:val="21"/>
          <w:highlight w:val="none"/>
        </w:rPr>
      </w:pPr>
      <w:r>
        <w:rPr>
          <w:rFonts w:hint="eastAsia"/>
          <w:b/>
          <w:color w:val="auto"/>
          <w:sz w:val="21"/>
          <w:szCs w:val="21"/>
          <w:highlight w:val="none"/>
        </w:rPr>
        <w:t>2.1本项目评标方法为：综合评分法。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2.1.1综合评分法，是投标文件满足招标文件全部实质性要求，且按照评标因素的量化指标评标得分最高的投标人为中标候选人的评标方法。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评标因素的设定与投标人所提供货物服务的质量相关，包括投标报价、技术或者服务水平、履约能力、售后服务等。资格条件不得作为评标因素。</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2.1.2评标时，评标委员会各成员应当独立对每个投标人的投标文件进行评价，并汇总每个投标人的得分。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2.1.3评标过程中，不得去掉报价中的最高报价和最低报价。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2.1.4因落实政府采购政策进行价格调整的，以调整后的价格计算评标基准价和投标报价。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2.2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rPr>
          <w:b/>
          <w:color w:val="auto"/>
          <w:sz w:val="21"/>
          <w:szCs w:val="21"/>
          <w:highlight w:val="none"/>
        </w:rPr>
      </w:pPr>
      <w:r>
        <w:rPr>
          <w:rFonts w:hint="eastAsia"/>
          <w:b/>
          <w:color w:val="auto"/>
          <w:sz w:val="21"/>
          <w:szCs w:val="21"/>
          <w:highlight w:val="none"/>
        </w:rPr>
        <w:t>3.评标原则和评标纪律</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3.1评标委员会成员应当按照客观、公正、审慎的原则，根据招标文件规定的评标程序、评标方法和评标标准进行独立评标。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3.2评标委员会成员应当在评标报告上签字，对自己的评标意见承担法律责任。评标委员会成员对需要共同认定的事项存在争议的，应当按照少数服从多数的原则作出结论。持不同意见的评标委员会成员应当在评标报告上签署不同意见及理由，否则视为同意评标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3.3评标纪律</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3.3.1采购人委派代表参加评标委员会的，应当向采购代理机构出具授权函。除授权代表外，采购人可以委派纪检监察等相关人员进入评标现场，对评标工作实施监督，但不得超过２人。采购人需要在评标前介绍项目背景和技术需求的，应当事先提交书面介绍材料，介绍内容不得存在歧视性、倾向性意见，不得超出采购文件所述范围，书面介绍材料作为采购项目文件随其他文件一并存档。</w:t>
      </w:r>
      <w:r>
        <w:rPr>
          <w:rFonts w:hint="eastAsia"/>
          <w:b/>
          <w:color w:val="auto"/>
          <w:sz w:val="21"/>
          <w:szCs w:val="21"/>
          <w:highlight w:val="none"/>
        </w:rPr>
        <w:t>评标委员会应当推选组长，但采购人代表不得担任组长</w:t>
      </w:r>
      <w:r>
        <w:rPr>
          <w:rFonts w:hint="eastAsia"/>
          <w:color w:val="auto"/>
          <w:sz w:val="21"/>
          <w:szCs w:val="21"/>
          <w:highlight w:val="none"/>
        </w:rPr>
        <w:t>。</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3.3.2评标委员会成员要严格遵守评标时间，主动出具身份证明，遵守评标工作纪律和评标回避的相关规定。在评标工作开始前，将手机等通讯工具或相关电子设备交由采购人或采购代理机构统一保管，拒不上交的，采购人或采购代理机构可以拒绝其参加评标工作并向财政部门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3.3.3评标委员会成员和评标工作有关人员不得干预或者影响正常评标工作，不得明示或者暗示其倾向性、引导性意见，不得修改或细化采购文件确定的评标程序、评标方法、评标因素和评标标准，不得接受投标人主动提出的澄清和解释，不得征询采购人代表的倾向性意见，不得协商评分，不得记录、复制或带走任何评标资料。评标结果汇总完成后，采购人、采购代理机构和评标委员会均不得修改评标结果或者要求重新评标，但资格性检查认定错误、分值汇总计算错误、分项评分超出评分标准范围、客观分评分不一致、经评标委员会一致认定评分畸高、畸低的情形除外。出现上述除外情形的，评标委员会应当现场修改评标结果，并在评标报告中明确记载。</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3.3.4评标委员会成员不得私自泄露评标内容。评标过程应严格遵守保密制度。开标后，直到授予中标人合同止，凡是属于审查、澄清、评价和比较的有关资料以及授标建议等均不得向投标人或其他无关的人员透露。</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3.3.5采购人、采购代理机构要加强评标现场管理，与评标工作无关的人员不得进入评标现场。各级财政部门对评标活动相关各方违反评标工作纪律及要求的行为，将依法严肃处理。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3.4评标委员会成员应当履行的义务</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3.4.1评标委员会成员应根据政府采购法律法规和采购文件所载明的评标方法、标准进行评标，遵纪守法，客观、公正、廉洁地履行职责。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3.4.2评标委员会成员应熟悉和理解采购文件，认真阅读所有投标人的投标文件，对所有投标文件逐一进行资格性、符合性检查，按采购文件规定的评标方法和标准，进行比较和评价；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3.4.3对投标人的价格分等客观评分项的评分应当一致，对其他需要借助专业知识评判的主观评分项，应当严格按照评分细则公正评分。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3.4.4评标委员会如需要投标人对投标文件有关事项作出澄清的，应当给予投标人必要的反馈时间，但澄清事项不得超出投标文件的范围，不得实质性改变投标文件的内容，不得通过澄清等方式对投标人实行差别对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3.4.5评标委员会应对评分汇总情况进行复核，特别是对排名第一的、报价最低的投标或相应文件被认定为无效的情形进行重点复核，并根据评标结果推荐中标候选人，或者根据采购人委托协议规定直接确定中标人，起草并签署评标报告。</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3.4.6评标委员会应在采购项目招标失败时，出具招标文件是否存在不合理条款的论证意见，并协助采购人、采购代理机构、财政部门答复质疑或处理投诉事项。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3.4.7评标委员会应对评标过程和结果以及投标人的商业秘密保密。</w:t>
      </w:r>
    </w:p>
    <w:p>
      <w:pPr>
        <w:pStyle w:val="6"/>
        <w:outlineLvl w:val="1"/>
        <w:rPr>
          <w:rFonts w:ascii="宋体" w:hAnsi="宋体" w:eastAsia="宋体" w:cs="宋体"/>
          <w:color w:val="auto"/>
          <w:sz w:val="28"/>
          <w:szCs w:val="28"/>
          <w:highlight w:val="none"/>
        </w:rPr>
      </w:pPr>
      <w:bookmarkStart w:id="63" w:name="_Toc23742"/>
      <w:r>
        <w:rPr>
          <w:rFonts w:hint="eastAsia" w:ascii="宋体" w:hAnsi="宋体" w:eastAsia="宋体" w:cs="宋体"/>
          <w:color w:val="auto"/>
          <w:sz w:val="28"/>
          <w:szCs w:val="28"/>
          <w:highlight w:val="none"/>
        </w:rPr>
        <w:t>二、评标程序</w:t>
      </w:r>
      <w:bookmarkEnd w:id="63"/>
    </w:p>
    <w:p>
      <w:pPr>
        <w:adjustRightInd w:val="0"/>
        <w:snapToGrid w:val="0"/>
        <w:spacing w:line="360" w:lineRule="auto"/>
        <w:rPr>
          <w:b/>
          <w:color w:val="auto"/>
          <w:sz w:val="21"/>
          <w:szCs w:val="21"/>
          <w:highlight w:val="none"/>
        </w:rPr>
      </w:pPr>
      <w:r>
        <w:rPr>
          <w:rFonts w:hint="eastAsia"/>
          <w:b/>
          <w:color w:val="auto"/>
          <w:sz w:val="21"/>
          <w:szCs w:val="21"/>
          <w:highlight w:val="none"/>
        </w:rPr>
        <w:t>4．投标文件的初步评标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4.1初步评标分为资格性检查和符合性检查。</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4.1.1资格性检查</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根据法律法规和招标文件的规定，对投标文件中的资格证明文件、投标保证金等进行审查，以确定投标人是否具备投标资格。审查事项如下：</w:t>
      </w:r>
    </w:p>
    <w:p>
      <w:pPr>
        <w:pStyle w:val="13"/>
        <w:rPr>
          <w:rFonts w:hint="default" w:eastAsia="宋体"/>
          <w:b/>
          <w:bCs/>
          <w:color w:val="auto"/>
          <w:highlight w:val="none"/>
          <w:lang w:val="en-US" w:eastAsia="zh-CN"/>
        </w:rPr>
      </w:pPr>
      <w:r>
        <w:rPr>
          <w:rFonts w:hint="eastAsia"/>
          <w:b/>
          <w:bCs/>
          <w:color w:val="auto"/>
          <w:sz w:val="21"/>
          <w:szCs w:val="21"/>
          <w:highlight w:val="none"/>
          <w:lang w:val="en-US"/>
        </w:rPr>
        <w:t>标项1</w:t>
      </w:r>
      <w:r>
        <w:rPr>
          <w:rFonts w:hint="eastAsia"/>
          <w:b/>
          <w:bCs/>
          <w:color w:val="auto"/>
          <w:sz w:val="21"/>
          <w:szCs w:val="21"/>
          <w:highlight w:val="none"/>
          <w:lang w:val="en-US" w:eastAsia="zh-CN"/>
        </w:rPr>
        <w:t>、2、3</w:t>
      </w:r>
    </w:p>
    <w:p>
      <w:pPr>
        <w:snapToGrid w:val="0"/>
        <w:jc w:val="center"/>
        <w:rPr>
          <w:b/>
          <w:bCs/>
          <w:color w:val="auto"/>
          <w:sz w:val="21"/>
          <w:szCs w:val="21"/>
          <w:highlight w:val="none"/>
        </w:rPr>
      </w:pPr>
      <w:r>
        <w:rPr>
          <w:rFonts w:hint="eastAsia"/>
          <w:b/>
          <w:bCs/>
          <w:color w:val="auto"/>
          <w:sz w:val="21"/>
          <w:szCs w:val="21"/>
          <w:highlight w:val="none"/>
        </w:rPr>
        <w:t>资格性检查表</w:t>
      </w:r>
    </w:p>
    <w:tbl>
      <w:tblPr>
        <w:tblStyle w:val="28"/>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469"/>
        <w:gridCol w:w="2763"/>
        <w:gridCol w:w="6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636" w:type="dxa"/>
            <w:vAlign w:val="center"/>
          </w:tcPr>
          <w:p>
            <w:pPr>
              <w:jc w:val="center"/>
              <w:rPr>
                <w:color w:val="auto"/>
                <w:sz w:val="21"/>
                <w:szCs w:val="21"/>
                <w:highlight w:val="none"/>
              </w:rPr>
            </w:pPr>
            <w:r>
              <w:rPr>
                <w:rFonts w:hint="eastAsia"/>
                <w:color w:val="auto"/>
                <w:sz w:val="21"/>
                <w:szCs w:val="21"/>
                <w:highlight w:val="none"/>
              </w:rPr>
              <w:t>序号</w:t>
            </w:r>
          </w:p>
        </w:tc>
        <w:tc>
          <w:tcPr>
            <w:tcW w:w="3232" w:type="dxa"/>
            <w:gridSpan w:val="2"/>
            <w:vAlign w:val="center"/>
          </w:tcPr>
          <w:p>
            <w:pPr>
              <w:jc w:val="center"/>
              <w:rPr>
                <w:color w:val="auto"/>
                <w:sz w:val="21"/>
                <w:szCs w:val="21"/>
                <w:highlight w:val="none"/>
              </w:rPr>
            </w:pPr>
            <w:r>
              <w:rPr>
                <w:rFonts w:hint="eastAsia"/>
                <w:color w:val="auto"/>
                <w:sz w:val="21"/>
                <w:szCs w:val="21"/>
                <w:highlight w:val="none"/>
              </w:rPr>
              <w:t>检查因素</w:t>
            </w:r>
          </w:p>
        </w:tc>
        <w:tc>
          <w:tcPr>
            <w:tcW w:w="6021" w:type="dxa"/>
            <w:vAlign w:val="center"/>
          </w:tcPr>
          <w:p>
            <w:pPr>
              <w:jc w:val="center"/>
              <w:rPr>
                <w:color w:val="auto"/>
                <w:sz w:val="21"/>
                <w:szCs w:val="21"/>
                <w:highlight w:val="none"/>
              </w:rPr>
            </w:pPr>
            <w:r>
              <w:rPr>
                <w:rFonts w:hint="eastAsia"/>
                <w:color w:val="auto"/>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17" w:hRule="atLeast"/>
          <w:jc w:val="center"/>
        </w:trPr>
        <w:tc>
          <w:tcPr>
            <w:tcW w:w="636" w:type="dxa"/>
            <w:vMerge w:val="restart"/>
            <w:vAlign w:val="center"/>
          </w:tcPr>
          <w:p>
            <w:pPr>
              <w:jc w:val="center"/>
              <w:rPr>
                <w:color w:val="auto"/>
                <w:sz w:val="21"/>
                <w:szCs w:val="21"/>
                <w:highlight w:val="none"/>
              </w:rPr>
            </w:pPr>
            <w:r>
              <w:rPr>
                <w:rFonts w:hint="eastAsia"/>
                <w:color w:val="auto"/>
                <w:sz w:val="21"/>
                <w:szCs w:val="21"/>
                <w:highlight w:val="none"/>
              </w:rPr>
              <w:t>1</w:t>
            </w:r>
          </w:p>
        </w:tc>
        <w:tc>
          <w:tcPr>
            <w:tcW w:w="469" w:type="dxa"/>
            <w:vMerge w:val="restart"/>
            <w:vAlign w:val="center"/>
          </w:tcPr>
          <w:p>
            <w:pPr>
              <w:rPr>
                <w:color w:val="auto"/>
                <w:sz w:val="21"/>
                <w:szCs w:val="21"/>
                <w:highlight w:val="none"/>
              </w:rPr>
            </w:pPr>
            <w:r>
              <w:rPr>
                <w:rFonts w:hint="eastAsia"/>
                <w:color w:val="auto"/>
                <w:sz w:val="21"/>
                <w:szCs w:val="21"/>
                <w:highlight w:val="none"/>
              </w:rPr>
              <w:t>符合《中华人民共和国政府采购法》第二十二条规定</w:t>
            </w:r>
          </w:p>
        </w:tc>
        <w:tc>
          <w:tcPr>
            <w:tcW w:w="2763" w:type="dxa"/>
            <w:vAlign w:val="center"/>
          </w:tcPr>
          <w:p>
            <w:pPr>
              <w:jc w:val="center"/>
              <w:rPr>
                <w:color w:val="auto"/>
                <w:sz w:val="21"/>
                <w:szCs w:val="21"/>
                <w:highlight w:val="none"/>
              </w:rPr>
            </w:pPr>
            <w:r>
              <w:rPr>
                <w:rFonts w:hint="eastAsia"/>
                <w:color w:val="auto"/>
                <w:sz w:val="21"/>
                <w:szCs w:val="21"/>
                <w:highlight w:val="none"/>
              </w:rPr>
              <w:t>（1）具有独立承担民事责任的能力</w:t>
            </w:r>
          </w:p>
        </w:tc>
        <w:tc>
          <w:tcPr>
            <w:tcW w:w="6021" w:type="dxa"/>
            <w:vAlign w:val="center"/>
          </w:tcPr>
          <w:p>
            <w:pPr>
              <w:widowControl/>
              <w:rPr>
                <w:color w:val="auto"/>
                <w:sz w:val="21"/>
                <w:szCs w:val="21"/>
                <w:highlight w:val="none"/>
              </w:rPr>
            </w:pPr>
            <w:r>
              <w:rPr>
                <w:rFonts w:hint="eastAsia"/>
                <w:color w:val="auto"/>
                <w:sz w:val="21"/>
                <w:szCs w:val="21"/>
                <w:highlight w:val="none"/>
                <w:lang w:val="en-US" w:bidi="ar-SA"/>
              </w:rPr>
              <w:t>投标人是企业（包括合伙企业）的，应提供其在工商部门注册的有效“营业执照”；投标人是事业单位的，应提供其有效的“事业单位法人证书”；投标人是非企业专业服务机构的，应提供其有效的“执业许可证”；投标人是民办非企业单位的，应提供其有效的登记证书；投标人是个体工商户的，应提供其有效的“营业执照”；投标人是自然人的，应提供其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636" w:type="dxa"/>
            <w:vMerge w:val="continue"/>
            <w:vAlign w:val="center"/>
          </w:tcPr>
          <w:p>
            <w:pPr>
              <w:jc w:val="center"/>
              <w:rPr>
                <w:color w:val="auto"/>
                <w:sz w:val="21"/>
                <w:szCs w:val="21"/>
                <w:highlight w:val="none"/>
              </w:rPr>
            </w:pPr>
          </w:p>
        </w:tc>
        <w:tc>
          <w:tcPr>
            <w:tcW w:w="469" w:type="dxa"/>
            <w:vMerge w:val="continue"/>
            <w:vAlign w:val="center"/>
          </w:tcPr>
          <w:p>
            <w:pPr>
              <w:rPr>
                <w:color w:val="auto"/>
                <w:sz w:val="21"/>
                <w:szCs w:val="21"/>
                <w:highlight w:val="none"/>
              </w:rPr>
            </w:pPr>
          </w:p>
        </w:tc>
        <w:tc>
          <w:tcPr>
            <w:tcW w:w="2763" w:type="dxa"/>
            <w:vAlign w:val="center"/>
          </w:tcPr>
          <w:p>
            <w:pPr>
              <w:jc w:val="center"/>
              <w:rPr>
                <w:color w:val="auto"/>
                <w:sz w:val="21"/>
                <w:szCs w:val="21"/>
                <w:highlight w:val="none"/>
              </w:rPr>
            </w:pPr>
            <w:r>
              <w:rPr>
                <w:rFonts w:hint="eastAsia"/>
                <w:color w:val="auto"/>
                <w:sz w:val="21"/>
                <w:szCs w:val="21"/>
                <w:highlight w:val="none"/>
              </w:rPr>
              <w:t>（2）具有良好的商业信誉和健全的财务会计制度</w:t>
            </w:r>
          </w:p>
        </w:tc>
        <w:tc>
          <w:tcPr>
            <w:tcW w:w="6021" w:type="dxa"/>
            <w:vAlign w:val="center"/>
          </w:tcPr>
          <w:p>
            <w:pPr>
              <w:widowControl/>
              <w:rPr>
                <w:color w:val="auto"/>
                <w:kern w:val="2"/>
                <w:sz w:val="21"/>
                <w:szCs w:val="21"/>
                <w:highlight w:val="none"/>
                <w:lang w:val="en-US" w:bidi="ar-SA"/>
              </w:rPr>
            </w:pPr>
            <w:r>
              <w:rPr>
                <w:rFonts w:hint="eastAsia"/>
                <w:color w:val="auto"/>
                <w:kern w:val="2"/>
                <w:sz w:val="21"/>
                <w:szCs w:val="21"/>
                <w:highlight w:val="none"/>
                <w:lang w:val="en-US" w:bidi="ar-SA"/>
              </w:rPr>
              <w:t>提供由会计师事务所出具的上一年度财务审计报告或提供由开标日前三个月内投标人开户银行出具的资信证明；新成立公司提供银行出具的有效期内的资信证明；其他组织和自然人，没有经审计的财务报告，提供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636" w:type="dxa"/>
            <w:vMerge w:val="continue"/>
            <w:vAlign w:val="center"/>
          </w:tcPr>
          <w:p>
            <w:pPr>
              <w:jc w:val="center"/>
              <w:rPr>
                <w:color w:val="auto"/>
                <w:sz w:val="21"/>
                <w:szCs w:val="21"/>
                <w:highlight w:val="none"/>
              </w:rPr>
            </w:pPr>
          </w:p>
        </w:tc>
        <w:tc>
          <w:tcPr>
            <w:tcW w:w="469" w:type="dxa"/>
            <w:vMerge w:val="continue"/>
            <w:vAlign w:val="center"/>
          </w:tcPr>
          <w:p>
            <w:pPr>
              <w:rPr>
                <w:color w:val="auto"/>
                <w:sz w:val="21"/>
                <w:szCs w:val="21"/>
                <w:highlight w:val="none"/>
              </w:rPr>
            </w:pPr>
          </w:p>
        </w:tc>
        <w:tc>
          <w:tcPr>
            <w:tcW w:w="2763" w:type="dxa"/>
            <w:vAlign w:val="center"/>
          </w:tcPr>
          <w:p>
            <w:pPr>
              <w:jc w:val="center"/>
              <w:rPr>
                <w:color w:val="auto"/>
                <w:sz w:val="21"/>
                <w:szCs w:val="21"/>
                <w:highlight w:val="none"/>
              </w:rPr>
            </w:pPr>
            <w:r>
              <w:rPr>
                <w:rFonts w:hint="eastAsia"/>
                <w:color w:val="auto"/>
                <w:sz w:val="21"/>
                <w:szCs w:val="21"/>
                <w:highlight w:val="none"/>
              </w:rPr>
              <w:t>（3）具有履行合同所必需的设备和专业技术能力</w:t>
            </w:r>
          </w:p>
        </w:tc>
        <w:tc>
          <w:tcPr>
            <w:tcW w:w="6021" w:type="dxa"/>
            <w:vAlign w:val="center"/>
          </w:tcPr>
          <w:p>
            <w:pPr>
              <w:widowControl/>
              <w:rPr>
                <w:color w:val="auto"/>
                <w:kern w:val="2"/>
                <w:sz w:val="21"/>
                <w:szCs w:val="21"/>
                <w:highlight w:val="none"/>
                <w:lang w:val="en-US" w:bidi="ar-SA"/>
              </w:rPr>
            </w:pPr>
            <w:r>
              <w:rPr>
                <w:rFonts w:hint="eastAsia"/>
                <w:color w:val="auto"/>
                <w:kern w:val="2"/>
                <w:sz w:val="21"/>
                <w:szCs w:val="21"/>
                <w:highlight w:val="none"/>
                <w:lang w:val="en-US" w:bidi="ar-SA"/>
              </w:rPr>
              <w:t>具备履行合同所必需的设备和专业技术能力的说明函（投标人自行出具，格式自拟，加盖公章）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3" w:hRule="atLeast"/>
          <w:jc w:val="center"/>
        </w:trPr>
        <w:tc>
          <w:tcPr>
            <w:tcW w:w="636" w:type="dxa"/>
            <w:vMerge w:val="continue"/>
            <w:vAlign w:val="center"/>
          </w:tcPr>
          <w:p>
            <w:pPr>
              <w:jc w:val="center"/>
              <w:rPr>
                <w:color w:val="auto"/>
                <w:sz w:val="21"/>
                <w:szCs w:val="21"/>
                <w:highlight w:val="none"/>
              </w:rPr>
            </w:pPr>
          </w:p>
        </w:tc>
        <w:tc>
          <w:tcPr>
            <w:tcW w:w="469" w:type="dxa"/>
            <w:vMerge w:val="continue"/>
            <w:vAlign w:val="center"/>
          </w:tcPr>
          <w:p>
            <w:pPr>
              <w:rPr>
                <w:color w:val="auto"/>
                <w:sz w:val="21"/>
                <w:szCs w:val="21"/>
                <w:highlight w:val="none"/>
              </w:rPr>
            </w:pPr>
          </w:p>
        </w:tc>
        <w:tc>
          <w:tcPr>
            <w:tcW w:w="2763" w:type="dxa"/>
            <w:vAlign w:val="center"/>
          </w:tcPr>
          <w:p>
            <w:pPr>
              <w:jc w:val="center"/>
              <w:rPr>
                <w:color w:val="auto"/>
                <w:sz w:val="21"/>
                <w:szCs w:val="21"/>
                <w:highlight w:val="none"/>
              </w:rPr>
            </w:pPr>
            <w:r>
              <w:rPr>
                <w:rFonts w:hint="eastAsia"/>
                <w:color w:val="auto"/>
                <w:sz w:val="21"/>
                <w:szCs w:val="21"/>
                <w:highlight w:val="none"/>
              </w:rPr>
              <w:t>（4）有依法缴纳税收和社会保障资金的良好记录</w:t>
            </w:r>
          </w:p>
        </w:tc>
        <w:tc>
          <w:tcPr>
            <w:tcW w:w="6021" w:type="dxa"/>
            <w:vAlign w:val="center"/>
          </w:tcPr>
          <w:p>
            <w:pPr>
              <w:widowControl/>
              <w:rPr>
                <w:color w:val="auto"/>
                <w:kern w:val="2"/>
                <w:sz w:val="21"/>
                <w:szCs w:val="21"/>
                <w:highlight w:val="none"/>
                <w:lang w:val="en-US" w:bidi="ar-SA"/>
              </w:rPr>
            </w:pPr>
            <w:r>
              <w:rPr>
                <w:rFonts w:hint="eastAsia"/>
                <w:color w:val="auto"/>
                <w:kern w:val="2"/>
                <w:sz w:val="21"/>
                <w:szCs w:val="21"/>
                <w:highlight w:val="none"/>
                <w:lang w:val="en-US" w:bidi="ar-SA"/>
              </w:rPr>
              <w:t>1）依法缴纳税收的相关材料：</w:t>
            </w:r>
          </w:p>
          <w:p>
            <w:pPr>
              <w:widowControl/>
              <w:autoSpaceDE/>
              <w:autoSpaceDN/>
              <w:rPr>
                <w:color w:val="auto"/>
                <w:sz w:val="21"/>
                <w:szCs w:val="21"/>
                <w:highlight w:val="none"/>
                <w:lang w:val="en-US" w:bidi="ar"/>
              </w:rPr>
            </w:pPr>
            <w:r>
              <w:rPr>
                <w:rFonts w:hint="eastAsia"/>
                <w:color w:val="auto"/>
                <w:sz w:val="21"/>
                <w:szCs w:val="21"/>
                <w:highlight w:val="none"/>
                <w:lang w:val="en-US" w:bidi="ar"/>
              </w:rPr>
              <w:t>开标日前6个月内任意一月缴纳税收的凭证复印件；缴纳凭证复印件须清晰可辨，并能显示出税种种类，单位代扣代缴的个人所得税不能作为单位纳税的凭证；依法免税的投标人，应提供相应文件证明其依法免税；或者依法缴纳税收的承诺函。</w:t>
            </w:r>
          </w:p>
          <w:p>
            <w:pPr>
              <w:widowControl/>
              <w:rPr>
                <w:color w:val="auto"/>
                <w:kern w:val="2"/>
                <w:sz w:val="21"/>
                <w:szCs w:val="21"/>
                <w:highlight w:val="none"/>
                <w:lang w:val="en-US" w:bidi="ar-SA"/>
              </w:rPr>
            </w:pPr>
            <w:r>
              <w:rPr>
                <w:rFonts w:hint="eastAsia"/>
                <w:color w:val="auto"/>
                <w:kern w:val="2"/>
                <w:sz w:val="21"/>
                <w:szCs w:val="21"/>
                <w:highlight w:val="none"/>
                <w:lang w:val="en-US" w:bidi="ar-SA"/>
              </w:rPr>
              <w:t>2）依法缴纳社会保障资金的相关材料：</w:t>
            </w:r>
          </w:p>
          <w:p>
            <w:pPr>
              <w:widowControl/>
              <w:autoSpaceDE/>
              <w:autoSpaceDN/>
              <w:rPr>
                <w:color w:val="auto"/>
                <w:kern w:val="2"/>
                <w:sz w:val="21"/>
                <w:szCs w:val="21"/>
                <w:highlight w:val="none"/>
                <w:lang w:val="en-US" w:bidi="ar-SA"/>
              </w:rPr>
            </w:pPr>
            <w:r>
              <w:rPr>
                <w:rFonts w:hint="eastAsia"/>
                <w:color w:val="auto"/>
                <w:sz w:val="21"/>
                <w:szCs w:val="21"/>
                <w:highlight w:val="none"/>
                <w:lang w:val="en-US" w:bidi="ar"/>
              </w:rPr>
              <w:t>开标日前6个月内（至少提供1个月）缴纳社会保险的凭据（专用收据或社会保险缴纳清单）；投标人为其他组织或自然人的，也需要按此项规定提供缴纳税收的凭据和缴纳社会保险的凭据；或者投标人依法缴纳社会保障资金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0" w:hRule="atLeast"/>
          <w:jc w:val="center"/>
        </w:trPr>
        <w:tc>
          <w:tcPr>
            <w:tcW w:w="636" w:type="dxa"/>
            <w:vMerge w:val="continue"/>
            <w:vAlign w:val="center"/>
          </w:tcPr>
          <w:p>
            <w:pPr>
              <w:jc w:val="center"/>
              <w:rPr>
                <w:color w:val="auto"/>
                <w:sz w:val="21"/>
                <w:szCs w:val="21"/>
                <w:highlight w:val="none"/>
              </w:rPr>
            </w:pPr>
          </w:p>
        </w:tc>
        <w:tc>
          <w:tcPr>
            <w:tcW w:w="469" w:type="dxa"/>
            <w:vMerge w:val="continue"/>
            <w:vAlign w:val="center"/>
          </w:tcPr>
          <w:p>
            <w:pPr>
              <w:rPr>
                <w:color w:val="auto"/>
                <w:sz w:val="21"/>
                <w:szCs w:val="21"/>
                <w:highlight w:val="none"/>
              </w:rPr>
            </w:pPr>
          </w:p>
        </w:tc>
        <w:tc>
          <w:tcPr>
            <w:tcW w:w="2763" w:type="dxa"/>
            <w:vAlign w:val="center"/>
          </w:tcPr>
          <w:p>
            <w:pPr>
              <w:jc w:val="center"/>
              <w:rPr>
                <w:color w:val="auto"/>
                <w:sz w:val="21"/>
                <w:szCs w:val="21"/>
                <w:highlight w:val="none"/>
              </w:rPr>
            </w:pPr>
            <w:r>
              <w:rPr>
                <w:rFonts w:hint="eastAsia"/>
                <w:color w:val="auto"/>
                <w:sz w:val="21"/>
                <w:szCs w:val="21"/>
                <w:highlight w:val="none"/>
              </w:rPr>
              <w:t>（5）参加政府采购活动近3年内，在经营活动中没有重大违法记录</w:t>
            </w:r>
          </w:p>
        </w:tc>
        <w:tc>
          <w:tcPr>
            <w:tcW w:w="6021" w:type="dxa"/>
            <w:vAlign w:val="center"/>
          </w:tcPr>
          <w:p>
            <w:pPr>
              <w:rPr>
                <w:color w:val="auto"/>
                <w:kern w:val="2"/>
                <w:sz w:val="21"/>
                <w:szCs w:val="21"/>
                <w:highlight w:val="none"/>
                <w:lang w:val="en-US" w:bidi="ar-SA"/>
              </w:rPr>
            </w:pPr>
            <w:r>
              <w:rPr>
                <w:rFonts w:hint="eastAsia"/>
                <w:color w:val="auto"/>
                <w:kern w:val="2"/>
                <w:sz w:val="21"/>
                <w:szCs w:val="21"/>
                <w:highlight w:val="none"/>
                <w:lang w:val="en-US" w:bidi="ar-SA"/>
              </w:rPr>
              <w:t>投标人须提供投标人参加政府采购活动前3年内在经营活动中没有重大违法记录的书面声明（格式自拟）；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0" w:hRule="atLeast"/>
          <w:jc w:val="center"/>
        </w:trPr>
        <w:tc>
          <w:tcPr>
            <w:tcW w:w="636" w:type="dxa"/>
            <w:vAlign w:val="center"/>
          </w:tcPr>
          <w:p>
            <w:pPr>
              <w:jc w:val="center"/>
              <w:rPr>
                <w:color w:val="auto"/>
                <w:sz w:val="21"/>
                <w:szCs w:val="21"/>
                <w:highlight w:val="none"/>
                <w:lang w:val="en-US"/>
              </w:rPr>
            </w:pPr>
            <w:r>
              <w:rPr>
                <w:rFonts w:hint="eastAsia"/>
                <w:color w:val="auto"/>
                <w:sz w:val="21"/>
                <w:szCs w:val="21"/>
                <w:highlight w:val="none"/>
                <w:lang w:val="en-US"/>
              </w:rPr>
              <w:t>2</w:t>
            </w:r>
          </w:p>
        </w:tc>
        <w:tc>
          <w:tcPr>
            <w:tcW w:w="3232" w:type="dxa"/>
            <w:gridSpan w:val="2"/>
            <w:vAlign w:val="center"/>
          </w:tcPr>
          <w:p>
            <w:pPr>
              <w:jc w:val="center"/>
              <w:rPr>
                <w:color w:val="auto"/>
                <w:sz w:val="21"/>
                <w:szCs w:val="21"/>
                <w:highlight w:val="none"/>
              </w:rPr>
            </w:pPr>
            <w:r>
              <w:rPr>
                <w:rFonts w:hint="eastAsia"/>
                <w:color w:val="auto"/>
                <w:sz w:val="21"/>
                <w:szCs w:val="21"/>
                <w:highlight w:val="none"/>
              </w:rPr>
              <w:t>信用查询</w:t>
            </w:r>
          </w:p>
        </w:tc>
        <w:tc>
          <w:tcPr>
            <w:tcW w:w="6021" w:type="dxa"/>
            <w:vAlign w:val="center"/>
          </w:tcPr>
          <w:p>
            <w:pPr>
              <w:rPr>
                <w:color w:val="auto"/>
                <w:kern w:val="2"/>
                <w:sz w:val="21"/>
                <w:szCs w:val="21"/>
                <w:highlight w:val="none"/>
                <w:lang w:val="en-US" w:bidi="ar-SA"/>
              </w:rPr>
            </w:pPr>
            <w:r>
              <w:rPr>
                <w:rFonts w:hint="eastAsia"/>
                <w:color w:val="auto"/>
                <w:kern w:val="2"/>
                <w:sz w:val="21"/>
                <w:szCs w:val="21"/>
                <w:highlight w:val="none"/>
                <w:lang w:val="en-US" w:bidi="ar-SA"/>
              </w:rPr>
              <w:t>供应商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案件当事人（https://www.creditchina.gov.cn/xinyongfuwu/zhongdashuishouweifaanjian/）、政府采购严重违法失信行为（https://www.creditchina.gov.cn/xinyongfuwu/zhengfucaigouyanzhongweifashixinmingdan/）”未出现不良信用信息记录及其他国家行政机关列入限制行为的（以采购代理机构于递交投标文件截止日当天核查结果为准，如相关失信记录已失效，供应商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Align w:val="center"/>
          </w:tcPr>
          <w:p>
            <w:pPr>
              <w:jc w:val="center"/>
              <w:rPr>
                <w:color w:val="auto"/>
                <w:sz w:val="21"/>
                <w:szCs w:val="21"/>
                <w:highlight w:val="none"/>
                <w:lang w:val="en-US"/>
              </w:rPr>
            </w:pPr>
            <w:r>
              <w:rPr>
                <w:rFonts w:hint="eastAsia"/>
                <w:color w:val="auto"/>
                <w:sz w:val="21"/>
                <w:szCs w:val="21"/>
                <w:highlight w:val="none"/>
                <w:lang w:val="en-US"/>
              </w:rPr>
              <w:t>3</w:t>
            </w:r>
          </w:p>
        </w:tc>
        <w:tc>
          <w:tcPr>
            <w:tcW w:w="3232" w:type="dxa"/>
            <w:gridSpan w:val="2"/>
            <w:vAlign w:val="center"/>
          </w:tcPr>
          <w:p>
            <w:pPr>
              <w:jc w:val="center"/>
              <w:rPr>
                <w:color w:val="auto"/>
                <w:sz w:val="21"/>
                <w:szCs w:val="21"/>
                <w:highlight w:val="none"/>
                <w:lang w:val="en-US"/>
              </w:rPr>
            </w:pPr>
            <w:r>
              <w:rPr>
                <w:rFonts w:hint="eastAsia"/>
                <w:color w:val="auto"/>
                <w:sz w:val="21"/>
                <w:szCs w:val="21"/>
                <w:highlight w:val="none"/>
                <w:lang w:val="en-US"/>
              </w:rPr>
              <w:t>限制行为</w:t>
            </w:r>
          </w:p>
        </w:tc>
        <w:tc>
          <w:tcPr>
            <w:tcW w:w="6021" w:type="dxa"/>
            <w:vAlign w:val="center"/>
          </w:tcPr>
          <w:p>
            <w:pPr>
              <w:rPr>
                <w:color w:val="auto"/>
                <w:kern w:val="2"/>
                <w:sz w:val="21"/>
                <w:szCs w:val="21"/>
                <w:highlight w:val="none"/>
                <w:lang w:val="en-US" w:bidi="ar-SA"/>
              </w:rPr>
            </w:pPr>
            <w:r>
              <w:rPr>
                <w:rFonts w:hint="eastAsia"/>
                <w:color w:val="auto"/>
                <w:kern w:val="2"/>
                <w:sz w:val="21"/>
                <w:szCs w:val="21"/>
                <w:highlight w:val="none"/>
                <w:lang w:val="en-US" w:bidi="ar-SA"/>
              </w:rPr>
              <w:t>1.单位负责人为同一人或者存在直接控股、管理关系的不同投标人，不得参加同一合同项下的政府采购活动；</w:t>
            </w:r>
          </w:p>
          <w:p>
            <w:pPr>
              <w:rPr>
                <w:color w:val="auto"/>
                <w:kern w:val="2"/>
                <w:sz w:val="21"/>
                <w:szCs w:val="21"/>
                <w:highlight w:val="none"/>
                <w:lang w:val="en-US" w:bidi="ar-SA"/>
              </w:rPr>
            </w:pPr>
            <w:r>
              <w:rPr>
                <w:rFonts w:hint="eastAsia"/>
                <w:color w:val="auto"/>
                <w:kern w:val="2"/>
                <w:sz w:val="21"/>
                <w:szCs w:val="21"/>
                <w:highlight w:val="none"/>
                <w:lang w:val="en-US" w:bidi="ar-SA"/>
              </w:rPr>
              <w:t>2.</w:t>
            </w:r>
            <w:r>
              <w:rPr>
                <w:rFonts w:hint="eastAsia"/>
                <w:color w:val="auto"/>
                <w:kern w:val="2"/>
                <w:sz w:val="21"/>
                <w:szCs w:val="21"/>
                <w:highlight w:val="none"/>
                <w:lang w:bidi="ar-SA"/>
              </w:rPr>
              <w:t>本项目不接受进口产品投标。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36" w:type="dxa"/>
            <w:vAlign w:val="center"/>
          </w:tcPr>
          <w:p>
            <w:pPr>
              <w:jc w:val="center"/>
              <w:rPr>
                <w:color w:val="auto"/>
                <w:sz w:val="21"/>
                <w:szCs w:val="21"/>
                <w:highlight w:val="none"/>
                <w:lang w:val="en-US"/>
              </w:rPr>
            </w:pPr>
            <w:r>
              <w:rPr>
                <w:rFonts w:hint="eastAsia"/>
                <w:color w:val="auto"/>
                <w:sz w:val="21"/>
                <w:szCs w:val="21"/>
                <w:highlight w:val="none"/>
                <w:lang w:val="en-US"/>
              </w:rPr>
              <w:t>4</w:t>
            </w:r>
          </w:p>
        </w:tc>
        <w:tc>
          <w:tcPr>
            <w:tcW w:w="3232" w:type="dxa"/>
            <w:gridSpan w:val="2"/>
            <w:vAlign w:val="center"/>
          </w:tcPr>
          <w:p>
            <w:pPr>
              <w:jc w:val="center"/>
              <w:rPr>
                <w:color w:val="auto"/>
                <w:sz w:val="21"/>
                <w:szCs w:val="21"/>
                <w:highlight w:val="none"/>
                <w:lang w:val="en-US"/>
              </w:rPr>
            </w:pPr>
            <w:r>
              <w:rPr>
                <w:rFonts w:hint="eastAsia"/>
                <w:color w:val="auto"/>
                <w:sz w:val="21"/>
                <w:szCs w:val="21"/>
                <w:highlight w:val="none"/>
                <w:lang w:val="en-US" w:bidi="ar"/>
              </w:rPr>
              <w:t>政府采购政策资格要求</w:t>
            </w:r>
          </w:p>
        </w:tc>
        <w:tc>
          <w:tcPr>
            <w:tcW w:w="6021" w:type="dxa"/>
            <w:vAlign w:val="center"/>
          </w:tcPr>
          <w:p>
            <w:pPr>
              <w:rPr>
                <w:color w:val="auto"/>
                <w:kern w:val="2"/>
                <w:sz w:val="21"/>
                <w:szCs w:val="21"/>
                <w:highlight w:val="none"/>
                <w:lang w:val="en-US" w:bidi="ar-SA"/>
              </w:rPr>
            </w:pPr>
            <w:r>
              <w:rPr>
                <w:rFonts w:hint="eastAsia"/>
                <w:color w:val="auto"/>
                <w:sz w:val="21"/>
                <w:szCs w:val="21"/>
                <w:highlight w:val="none"/>
              </w:rPr>
              <w:t>本项目专门面向中</w:t>
            </w:r>
            <w:r>
              <w:rPr>
                <w:rFonts w:hint="eastAsia"/>
                <w:color w:val="auto"/>
                <w:sz w:val="21"/>
                <w:szCs w:val="21"/>
                <w:highlight w:val="none"/>
                <w:lang w:val="en-US"/>
              </w:rPr>
              <w:t>小</w:t>
            </w:r>
            <w:r>
              <w:rPr>
                <w:rFonts w:hint="eastAsia"/>
                <w:color w:val="auto"/>
                <w:sz w:val="21"/>
                <w:szCs w:val="21"/>
                <w:highlight w:val="none"/>
              </w:rPr>
              <w:t>企业</w:t>
            </w:r>
            <w:r>
              <w:rPr>
                <w:rFonts w:hint="eastAsia"/>
                <w:color w:val="auto"/>
                <w:sz w:val="21"/>
                <w:szCs w:val="21"/>
                <w:highlight w:val="none"/>
                <w:lang w:val="en-US"/>
              </w:rPr>
              <w:t>采购</w:t>
            </w:r>
            <w:r>
              <w:rPr>
                <w:rFonts w:hint="eastAsia"/>
                <w:color w:val="auto"/>
                <w:sz w:val="21"/>
                <w:szCs w:val="21"/>
                <w:highlight w:val="none"/>
              </w:rPr>
              <w:t>，非中</w:t>
            </w:r>
            <w:r>
              <w:rPr>
                <w:rFonts w:hint="eastAsia"/>
                <w:color w:val="auto"/>
                <w:sz w:val="21"/>
                <w:szCs w:val="21"/>
                <w:highlight w:val="none"/>
                <w:lang w:val="en-US"/>
              </w:rPr>
              <w:t>型</w:t>
            </w:r>
            <w:r>
              <w:rPr>
                <w:rFonts w:hint="eastAsia"/>
                <w:color w:val="auto"/>
                <w:sz w:val="21"/>
                <w:szCs w:val="21"/>
                <w:highlight w:val="none"/>
              </w:rPr>
              <w:t>企业或小型、微型企业的将被拒绝。</w:t>
            </w:r>
            <w:r>
              <w:rPr>
                <w:rFonts w:hint="eastAsia"/>
                <w:color w:val="auto"/>
                <w:kern w:val="2"/>
                <w:sz w:val="21"/>
                <w:szCs w:val="21"/>
                <w:highlight w:val="none"/>
                <w:lang w:val="en-US" w:bidi="ar-SA"/>
              </w:rPr>
              <w:t>提供《中小企业声明函》或其他视为中小企业或小型、微型企业证明材料。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 w:hRule="atLeast"/>
          <w:jc w:val="center"/>
        </w:trPr>
        <w:tc>
          <w:tcPr>
            <w:tcW w:w="636" w:type="dxa"/>
            <w:vAlign w:val="center"/>
          </w:tcPr>
          <w:p>
            <w:pPr>
              <w:jc w:val="center"/>
              <w:rPr>
                <w:color w:val="auto"/>
                <w:sz w:val="21"/>
                <w:szCs w:val="21"/>
                <w:highlight w:val="none"/>
                <w:lang w:val="en-US"/>
              </w:rPr>
            </w:pPr>
            <w:r>
              <w:rPr>
                <w:rFonts w:hint="eastAsia"/>
                <w:color w:val="auto"/>
                <w:sz w:val="21"/>
                <w:szCs w:val="21"/>
                <w:highlight w:val="none"/>
                <w:lang w:val="en-US"/>
              </w:rPr>
              <w:t>5</w:t>
            </w:r>
          </w:p>
        </w:tc>
        <w:tc>
          <w:tcPr>
            <w:tcW w:w="3232" w:type="dxa"/>
            <w:gridSpan w:val="2"/>
            <w:vAlign w:val="center"/>
          </w:tcPr>
          <w:p>
            <w:pPr>
              <w:jc w:val="center"/>
              <w:rPr>
                <w:color w:val="auto"/>
                <w:sz w:val="21"/>
                <w:szCs w:val="21"/>
                <w:highlight w:val="none"/>
              </w:rPr>
            </w:pPr>
            <w:r>
              <w:rPr>
                <w:rFonts w:hint="eastAsia"/>
                <w:color w:val="auto"/>
                <w:sz w:val="21"/>
                <w:szCs w:val="21"/>
                <w:highlight w:val="none"/>
              </w:rPr>
              <w:t>其他要求</w:t>
            </w:r>
          </w:p>
        </w:tc>
        <w:tc>
          <w:tcPr>
            <w:tcW w:w="6021" w:type="dxa"/>
            <w:vAlign w:val="center"/>
          </w:tcPr>
          <w:p>
            <w:pPr>
              <w:widowControl/>
              <w:rPr>
                <w:color w:val="auto"/>
                <w:sz w:val="21"/>
                <w:szCs w:val="21"/>
                <w:highlight w:val="none"/>
                <w:lang w:val="en-US" w:bidi="ar-SA"/>
              </w:rPr>
            </w:pPr>
            <w:r>
              <w:rPr>
                <w:rFonts w:hint="eastAsia"/>
                <w:color w:val="auto"/>
                <w:sz w:val="21"/>
                <w:szCs w:val="21"/>
                <w:highlight w:val="none"/>
                <w:lang w:val="en-US" w:bidi="ar-SA"/>
              </w:rPr>
              <w:t>/</w:t>
            </w:r>
          </w:p>
        </w:tc>
      </w:tr>
    </w:tbl>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4.1.2符合性检查</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4.1.2.1依据招标文件的规定，从投标文件的有效性、完整性和对招标文件的响应程度进行审查，以确定是否对招标文件的实质性要求做出响应。评标委员会评标投标文件的响应性质根据投标文件真实无误的内容，而不依据外部的证据，但投标文件有不真实、不正确的内容时除外。</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4.1.2.2投标人不得通过修正或撤销不符合要求的偏离从而使其投标成为实质上响应的投标。</w:t>
      </w:r>
    </w:p>
    <w:p>
      <w:pPr>
        <w:pStyle w:val="13"/>
        <w:rPr>
          <w:rFonts w:hint="default" w:eastAsia="宋体"/>
          <w:b/>
          <w:bCs/>
          <w:color w:val="auto"/>
          <w:highlight w:val="none"/>
          <w:lang w:val="en-US" w:eastAsia="zh-CN"/>
        </w:rPr>
      </w:pPr>
      <w:r>
        <w:rPr>
          <w:rFonts w:hint="eastAsia"/>
          <w:b/>
          <w:bCs/>
          <w:color w:val="auto"/>
          <w:sz w:val="21"/>
          <w:szCs w:val="21"/>
          <w:highlight w:val="none"/>
          <w:lang w:val="en-US"/>
        </w:rPr>
        <w:t>标项1</w:t>
      </w:r>
      <w:r>
        <w:rPr>
          <w:rFonts w:hint="eastAsia"/>
          <w:b/>
          <w:bCs/>
          <w:color w:val="auto"/>
          <w:sz w:val="21"/>
          <w:szCs w:val="21"/>
          <w:highlight w:val="none"/>
          <w:lang w:val="en-US" w:eastAsia="zh-CN"/>
        </w:rPr>
        <w:t>、2、3</w:t>
      </w:r>
    </w:p>
    <w:p>
      <w:pPr>
        <w:snapToGrid w:val="0"/>
        <w:spacing w:line="500" w:lineRule="exact"/>
        <w:jc w:val="center"/>
        <w:rPr>
          <w:b/>
          <w:bCs/>
          <w:color w:val="auto"/>
          <w:sz w:val="21"/>
          <w:szCs w:val="21"/>
          <w:highlight w:val="none"/>
        </w:rPr>
      </w:pPr>
      <w:r>
        <w:rPr>
          <w:rFonts w:hint="eastAsia"/>
          <w:b/>
          <w:bCs/>
          <w:color w:val="auto"/>
          <w:sz w:val="21"/>
          <w:szCs w:val="21"/>
          <w:highlight w:val="none"/>
        </w:rPr>
        <w:t>符合性检查表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4"/>
        <w:gridCol w:w="1946"/>
        <w:gridCol w:w="7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403" w:type="pct"/>
            <w:vAlign w:val="center"/>
          </w:tcPr>
          <w:p>
            <w:pPr>
              <w:widowControl/>
              <w:autoSpaceDE/>
              <w:autoSpaceDN/>
              <w:jc w:val="center"/>
              <w:rPr>
                <w:b/>
                <w:color w:val="auto"/>
                <w:sz w:val="21"/>
                <w:szCs w:val="21"/>
                <w:highlight w:val="none"/>
                <w:lang w:val="en-US" w:bidi="ar-SA"/>
              </w:rPr>
            </w:pPr>
            <w:r>
              <w:rPr>
                <w:rFonts w:hint="eastAsia"/>
                <w:b/>
                <w:color w:val="auto"/>
                <w:sz w:val="21"/>
                <w:szCs w:val="21"/>
                <w:highlight w:val="none"/>
                <w:lang w:val="en-US" w:bidi="ar-SA"/>
              </w:rPr>
              <w:t>序号</w:t>
            </w:r>
          </w:p>
        </w:tc>
        <w:tc>
          <w:tcPr>
            <w:tcW w:w="976" w:type="pct"/>
            <w:vAlign w:val="center"/>
          </w:tcPr>
          <w:p>
            <w:pPr>
              <w:widowControl/>
              <w:autoSpaceDE/>
              <w:autoSpaceDN/>
              <w:jc w:val="center"/>
              <w:rPr>
                <w:b/>
                <w:color w:val="auto"/>
                <w:sz w:val="21"/>
                <w:szCs w:val="21"/>
                <w:highlight w:val="none"/>
                <w:lang w:val="en-US" w:bidi="ar-SA"/>
              </w:rPr>
            </w:pPr>
            <w:r>
              <w:rPr>
                <w:rFonts w:hint="eastAsia"/>
                <w:b/>
                <w:color w:val="auto"/>
                <w:sz w:val="21"/>
                <w:szCs w:val="21"/>
                <w:highlight w:val="none"/>
                <w:lang w:val="en-US" w:bidi="ar-SA"/>
              </w:rPr>
              <w:t>审查因素</w:t>
            </w:r>
          </w:p>
        </w:tc>
        <w:tc>
          <w:tcPr>
            <w:tcW w:w="3619" w:type="pct"/>
            <w:vAlign w:val="center"/>
          </w:tcPr>
          <w:p>
            <w:pPr>
              <w:widowControl/>
              <w:autoSpaceDE/>
              <w:autoSpaceDN/>
              <w:jc w:val="center"/>
              <w:rPr>
                <w:b/>
                <w:color w:val="auto"/>
                <w:sz w:val="21"/>
                <w:szCs w:val="21"/>
                <w:highlight w:val="none"/>
                <w:lang w:val="en-US" w:bidi="ar-SA"/>
              </w:rPr>
            </w:pPr>
            <w:r>
              <w:rPr>
                <w:rFonts w:hint="eastAsia"/>
                <w:b/>
                <w:color w:val="auto"/>
                <w:sz w:val="21"/>
                <w:szCs w:val="21"/>
                <w:highlight w:val="none"/>
                <w:lang w:val="en-US" w:bidi="ar-SA"/>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1</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授权委托书</w:t>
            </w:r>
          </w:p>
        </w:tc>
        <w:tc>
          <w:tcPr>
            <w:tcW w:w="3619"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按招标文件要求提供授权委托书；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2</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响应完整性</w:t>
            </w:r>
          </w:p>
        </w:tc>
        <w:tc>
          <w:tcPr>
            <w:tcW w:w="3619" w:type="pct"/>
            <w:vAlign w:val="center"/>
          </w:tcPr>
          <w:p>
            <w:pPr>
              <w:widowControl/>
              <w:autoSpaceDE/>
              <w:autoSpaceDN/>
              <w:rPr>
                <w:color w:val="auto"/>
                <w:sz w:val="21"/>
                <w:szCs w:val="21"/>
                <w:highlight w:val="none"/>
                <w:lang w:val="en-US" w:bidi="ar-SA"/>
              </w:rPr>
            </w:pPr>
            <w:r>
              <w:rPr>
                <w:rFonts w:hint="eastAsia"/>
                <w:color w:val="auto"/>
                <w:kern w:val="2"/>
                <w:sz w:val="21"/>
                <w:szCs w:val="21"/>
                <w:highlight w:val="none"/>
                <w:lang w:val="en-US" w:bidi="ar-SA"/>
              </w:rPr>
              <w:t>未将一个标项中的内容拆开投标响应；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3</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投标报价</w:t>
            </w:r>
          </w:p>
        </w:tc>
        <w:tc>
          <w:tcPr>
            <w:tcW w:w="3619"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供应商</w:t>
            </w:r>
            <w:r>
              <w:rPr>
                <w:rFonts w:hint="eastAsia"/>
                <w:color w:val="auto"/>
                <w:sz w:val="21"/>
                <w:szCs w:val="21"/>
                <w:highlight w:val="none"/>
                <w:lang w:bidi="ar-SA"/>
              </w:rPr>
              <w:t>其报价未超过</w:t>
            </w:r>
            <w:r>
              <w:rPr>
                <w:rFonts w:hint="eastAsia"/>
                <w:color w:val="auto"/>
                <w:sz w:val="21"/>
                <w:szCs w:val="21"/>
                <w:highlight w:val="none"/>
                <w:lang w:val="en-US" w:bidi="ar-SA"/>
              </w:rPr>
              <w:t>最高限制单价；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4</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报价唯一性</w:t>
            </w:r>
          </w:p>
        </w:tc>
        <w:tc>
          <w:tcPr>
            <w:tcW w:w="3619"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投标文件未</w:t>
            </w:r>
            <w:r>
              <w:rPr>
                <w:rFonts w:hint="eastAsia"/>
                <w:color w:val="auto"/>
                <w:kern w:val="2"/>
                <w:sz w:val="21"/>
                <w:szCs w:val="21"/>
                <w:highlight w:val="none"/>
                <w:lang w:val="en-US" w:bidi="ar-SA"/>
              </w:rPr>
              <w:t>出现可选择性或可调整的报价（招标文件另有规定的除外）</w:t>
            </w:r>
            <w:r>
              <w:rPr>
                <w:rFonts w:hint="eastAsia"/>
                <w:color w:val="auto"/>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5</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投标有效期</w:t>
            </w:r>
          </w:p>
        </w:tc>
        <w:tc>
          <w:tcPr>
            <w:tcW w:w="3619"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投标文件中承诺的投标有效期满足招标文件中载明的投标有效期的；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6</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签署、盖章</w:t>
            </w:r>
          </w:p>
        </w:tc>
        <w:tc>
          <w:tcPr>
            <w:tcW w:w="3619"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按照招标文件要求签署、盖章的；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7</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投标保证金</w:t>
            </w:r>
          </w:p>
        </w:tc>
        <w:tc>
          <w:tcPr>
            <w:tcW w:w="3619"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bidi="ar-SA"/>
              </w:rPr>
              <w:t>按时、足额缴纳</w:t>
            </w:r>
            <w:r>
              <w:rPr>
                <w:rFonts w:hint="eastAsia"/>
                <w:color w:val="auto"/>
                <w:sz w:val="21"/>
                <w:szCs w:val="21"/>
                <w:highlight w:val="none"/>
                <w:lang w:val="en-US" w:bidi="ar-SA"/>
              </w:rPr>
              <w:t>投标</w:t>
            </w:r>
            <w:r>
              <w:rPr>
                <w:rFonts w:hint="eastAsia"/>
                <w:color w:val="auto"/>
                <w:sz w:val="21"/>
                <w:szCs w:val="21"/>
                <w:highlight w:val="none"/>
                <w:lang w:bidi="ar-SA"/>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8</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付款方式</w:t>
            </w:r>
          </w:p>
        </w:tc>
        <w:tc>
          <w:tcPr>
            <w:tcW w:w="3619" w:type="pct"/>
            <w:vAlign w:val="center"/>
          </w:tcPr>
          <w:p>
            <w:pPr>
              <w:widowControl/>
              <w:autoSpaceDE/>
              <w:autoSpaceDN/>
              <w:rPr>
                <w:color w:val="auto"/>
                <w:sz w:val="21"/>
                <w:szCs w:val="21"/>
                <w:highlight w:val="none"/>
                <w:lang w:bidi="ar-SA"/>
              </w:rPr>
            </w:pPr>
            <w:r>
              <w:rPr>
                <w:rFonts w:hint="eastAsia"/>
                <w:color w:val="auto"/>
                <w:sz w:val="21"/>
                <w:szCs w:val="21"/>
                <w:highlight w:val="none"/>
                <w:lang w:val="en-US" w:bidi="ar-SA"/>
              </w:rPr>
              <w:t>投标文件承诺的付款方式满足招标文件要求；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9</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★号条款响应</w:t>
            </w:r>
          </w:p>
        </w:tc>
        <w:tc>
          <w:tcPr>
            <w:tcW w:w="3619"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投标文件满足招标文件</w:t>
            </w:r>
            <w:r>
              <w:rPr>
                <w:rFonts w:hint="eastAsia"/>
                <w:color w:val="auto"/>
                <w:kern w:val="2"/>
                <w:sz w:val="21"/>
                <w:szCs w:val="21"/>
                <w:highlight w:val="none"/>
                <w:lang w:val="en-US" w:bidi="ar-SA"/>
              </w:rPr>
              <w:t>《采购需求》</w:t>
            </w:r>
            <w:r>
              <w:rPr>
                <w:rFonts w:hint="eastAsia"/>
                <w:color w:val="auto"/>
                <w:sz w:val="21"/>
                <w:szCs w:val="21"/>
                <w:highlight w:val="none"/>
                <w:lang w:val="en-US" w:bidi="ar-SA"/>
              </w:rPr>
              <w:t>中★号条款要求的；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10</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rPr>
              <w:t>交货期</w:t>
            </w:r>
          </w:p>
        </w:tc>
        <w:tc>
          <w:tcPr>
            <w:tcW w:w="3619" w:type="pct"/>
            <w:vAlign w:val="center"/>
          </w:tcPr>
          <w:p>
            <w:pPr>
              <w:widowControl/>
              <w:autoSpaceDE/>
              <w:autoSpaceDN/>
              <w:rPr>
                <w:color w:val="auto"/>
                <w:sz w:val="21"/>
                <w:szCs w:val="21"/>
                <w:highlight w:val="none"/>
                <w:lang w:val="en-US" w:bidi="ar-SA"/>
              </w:rPr>
            </w:pPr>
            <w:r>
              <w:rPr>
                <w:rFonts w:hint="eastAsia"/>
                <w:color w:val="auto"/>
                <w:sz w:val="21"/>
                <w:szCs w:val="21"/>
                <w:highlight w:val="none"/>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11</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报价合理性</w:t>
            </w:r>
          </w:p>
        </w:tc>
        <w:tc>
          <w:tcPr>
            <w:tcW w:w="3619"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报价合理，或</w:t>
            </w:r>
            <w:r>
              <w:rPr>
                <w:rFonts w:hint="eastAsia"/>
                <w:color w:val="auto"/>
                <w:kern w:val="2"/>
                <w:sz w:val="21"/>
                <w:szCs w:val="21"/>
                <w:highlight w:val="none"/>
                <w:lang w:val="en-US" w:bidi="ar-SA"/>
              </w:rPr>
              <w:t>供应商的报价明显低于其他通过符合性审查供应商的报价，有可能影响产品质量或者不能诚信履约的，能够应评标委员会要求在规定时间内证明其报价合理性的</w:t>
            </w:r>
            <w:r>
              <w:rPr>
                <w:rFonts w:hint="eastAsia"/>
                <w:color w:val="auto"/>
                <w:sz w:val="21"/>
                <w:szCs w:val="21"/>
                <w:highlight w:val="none"/>
                <w:lang w:val="en-US"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12</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公平竞争</w:t>
            </w:r>
          </w:p>
        </w:tc>
        <w:tc>
          <w:tcPr>
            <w:tcW w:w="3619" w:type="pct"/>
            <w:vAlign w:val="center"/>
          </w:tcPr>
          <w:p>
            <w:pPr>
              <w:widowControl/>
              <w:autoSpaceDE/>
              <w:autoSpaceDN/>
              <w:rPr>
                <w:color w:val="auto"/>
                <w:sz w:val="21"/>
                <w:szCs w:val="21"/>
                <w:highlight w:val="none"/>
                <w:lang w:val="en-US" w:bidi="ar-SA"/>
              </w:rPr>
            </w:pPr>
            <w:r>
              <w:rPr>
                <w:rFonts w:hint="eastAsia"/>
                <w:color w:val="auto"/>
                <w:kern w:val="2"/>
                <w:sz w:val="21"/>
                <w:szCs w:val="21"/>
                <w:highlight w:val="none"/>
                <w:lang w:val="en-US" w:bidi="ar-SA"/>
              </w:rPr>
              <w:t>供应商遵循公平竞争的原则，不存在恶意串通，妨碍其他供应商的竞争行为，不存在损害采购人或者其他供应商的合法权益情形的；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13</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附加条件</w:t>
            </w:r>
          </w:p>
        </w:tc>
        <w:tc>
          <w:tcPr>
            <w:tcW w:w="3619" w:type="pct"/>
            <w:vAlign w:val="center"/>
          </w:tcPr>
          <w:p>
            <w:pPr>
              <w:widowControl/>
              <w:autoSpaceDE/>
              <w:autoSpaceDN/>
              <w:rPr>
                <w:color w:val="auto"/>
                <w:sz w:val="21"/>
                <w:szCs w:val="21"/>
                <w:highlight w:val="none"/>
                <w:lang w:val="en-US" w:bidi="ar-SA"/>
              </w:rPr>
            </w:pPr>
            <w:r>
              <w:rPr>
                <w:rFonts w:hint="eastAsia"/>
                <w:color w:val="auto"/>
                <w:sz w:val="21"/>
                <w:szCs w:val="21"/>
                <w:highlight w:val="none"/>
                <w:lang w:val="en-US" w:bidi="ar-SA"/>
              </w:rPr>
              <w:t>投标文件未含有采购人不能接受的附加条件的；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403"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14</w:t>
            </w:r>
          </w:p>
        </w:tc>
        <w:tc>
          <w:tcPr>
            <w:tcW w:w="976" w:type="pct"/>
            <w:vAlign w:val="center"/>
          </w:tcPr>
          <w:p>
            <w:pPr>
              <w:widowControl/>
              <w:autoSpaceDE/>
              <w:autoSpaceDN/>
              <w:jc w:val="center"/>
              <w:rPr>
                <w:color w:val="auto"/>
                <w:sz w:val="21"/>
                <w:szCs w:val="21"/>
                <w:highlight w:val="none"/>
                <w:lang w:val="en-US" w:bidi="ar-SA"/>
              </w:rPr>
            </w:pPr>
            <w:r>
              <w:rPr>
                <w:rFonts w:hint="eastAsia"/>
                <w:color w:val="auto"/>
                <w:sz w:val="21"/>
                <w:szCs w:val="21"/>
                <w:highlight w:val="none"/>
                <w:lang w:val="en-US" w:bidi="ar-SA"/>
              </w:rPr>
              <w:t>其他无效情形</w:t>
            </w:r>
          </w:p>
        </w:tc>
        <w:tc>
          <w:tcPr>
            <w:tcW w:w="3619" w:type="pct"/>
            <w:vAlign w:val="center"/>
          </w:tcPr>
          <w:p>
            <w:pPr>
              <w:widowControl/>
              <w:autoSpaceDE/>
              <w:autoSpaceDN/>
              <w:rPr>
                <w:color w:val="auto"/>
                <w:sz w:val="21"/>
                <w:szCs w:val="21"/>
                <w:highlight w:val="none"/>
                <w:lang w:val="en-US" w:bidi="ar-SA"/>
              </w:rPr>
            </w:pPr>
            <w:r>
              <w:rPr>
                <w:rFonts w:hint="eastAsia"/>
                <w:color w:val="auto"/>
                <w:kern w:val="2"/>
                <w:sz w:val="21"/>
                <w:szCs w:val="21"/>
                <w:highlight w:val="none"/>
                <w:lang w:val="en-US" w:bidi="ar-SA"/>
              </w:rPr>
              <w:t>供应商、投标文件不存在不符合法律、法规和招标文件规定的其他无效情形。</w:t>
            </w:r>
          </w:p>
        </w:tc>
      </w:tr>
    </w:tbl>
    <w:p>
      <w:pPr>
        <w:adjustRightInd w:val="0"/>
        <w:snapToGrid w:val="0"/>
        <w:spacing w:line="360" w:lineRule="auto"/>
        <w:ind w:firstLine="420" w:firstLineChars="200"/>
        <w:rPr>
          <w:color w:val="auto"/>
          <w:sz w:val="21"/>
          <w:szCs w:val="21"/>
          <w:highlight w:val="none"/>
        </w:rPr>
      </w:pPr>
      <w:bookmarkStart w:id="64" w:name="_bookmark67"/>
      <w:bookmarkEnd w:id="64"/>
      <w:r>
        <w:rPr>
          <w:rFonts w:hint="eastAsia"/>
          <w:color w:val="auto"/>
          <w:sz w:val="21"/>
          <w:szCs w:val="21"/>
          <w:highlight w:val="none"/>
        </w:rPr>
        <w:t>4.2有下列情形之一时，评标委员会应予废标，并将理由通知所有投标人：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1</w:t>
      </w:r>
      <w:r>
        <w:rPr>
          <w:rFonts w:hint="eastAsia"/>
          <w:color w:val="auto"/>
          <w:sz w:val="21"/>
          <w:szCs w:val="21"/>
          <w:highlight w:val="none"/>
        </w:rPr>
        <w:t>）符合专业条件的投标人或者对招标文件作实质性响应的投标人不足三家的；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2</w:t>
      </w:r>
      <w:r>
        <w:rPr>
          <w:rFonts w:hint="eastAsia"/>
          <w:color w:val="auto"/>
          <w:sz w:val="21"/>
          <w:szCs w:val="21"/>
          <w:highlight w:val="none"/>
        </w:rPr>
        <w:t>）出现影响招标公正的违法、违规行为的；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3</w:t>
      </w:r>
      <w:r>
        <w:rPr>
          <w:rFonts w:hint="eastAsia"/>
          <w:color w:val="auto"/>
          <w:sz w:val="21"/>
          <w:szCs w:val="21"/>
          <w:highlight w:val="none"/>
        </w:rPr>
        <w:t>）投标人的报价均超过了采购预算，采购人不能支付的；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rPr>
        <w:t>4</w:t>
      </w:r>
      <w:r>
        <w:rPr>
          <w:rFonts w:hint="eastAsia"/>
          <w:color w:val="auto"/>
          <w:sz w:val="21"/>
          <w:szCs w:val="21"/>
          <w:highlight w:val="none"/>
        </w:rPr>
        <w:t>）因重大变故，采购任务取消的。</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lang w:val="en-US"/>
        </w:rPr>
        <w:t>（5）如发现有二份及以上投标文件的相互之间有相同或高度相似之处，且无合理解释的，经评标委员会半数以上成员认定有串通投标嫌疑的，其投标文件按无效投标处理，予以废除，不再对其进行评审，也不影响招标工作继续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4.3废标后，除采购任务取消情形外，招标采购单位应当重新组织招标。需要采取其他采购方式的，应当在采购活动开始前获得设区的市、自治州以上人民政府财政部门的批准。</w:t>
      </w:r>
    </w:p>
    <w:p>
      <w:pPr>
        <w:adjustRightInd w:val="0"/>
        <w:snapToGrid w:val="0"/>
        <w:spacing w:line="360" w:lineRule="auto"/>
        <w:rPr>
          <w:b/>
          <w:color w:val="auto"/>
          <w:sz w:val="21"/>
          <w:szCs w:val="21"/>
          <w:highlight w:val="none"/>
        </w:rPr>
      </w:pPr>
      <w:r>
        <w:rPr>
          <w:rFonts w:hint="eastAsia"/>
          <w:b/>
          <w:color w:val="auto"/>
          <w:sz w:val="21"/>
          <w:szCs w:val="21"/>
          <w:highlight w:val="none"/>
        </w:rPr>
        <w:t>5．澄清有关问题</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5.1对于投标文件中含义不明确、同类问题表述不一致或者有明显文字和计算错误的内容，评标委员会应当以书面形式要求投标人作出必要的澄清、说明或者补正。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投标人的澄清、说明或者补正应当采用书面形式，并加盖公章，或者由法定代表人或其授权的代表签字。投标人的澄清、说明或者补正不得超出投标文件的范围或者改变投标文件的实质性内容。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5.2投标人不得对下列内容进行澄清或补充：</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(1)投标报价、质量标准、合同履行期限等实质性内容。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(2)不满足投标人须知2.10</w:t>
      </w:r>
      <w:r>
        <w:rPr>
          <w:rFonts w:hint="eastAsia"/>
          <w:color w:val="auto"/>
          <w:sz w:val="21"/>
          <w:szCs w:val="21"/>
          <w:highlight w:val="none"/>
          <w:lang w:val="en-US"/>
        </w:rPr>
        <w:t>条</w:t>
      </w:r>
      <w:r>
        <w:rPr>
          <w:rFonts w:hint="eastAsia"/>
          <w:color w:val="auto"/>
          <w:sz w:val="21"/>
          <w:szCs w:val="21"/>
          <w:highlight w:val="none"/>
        </w:rPr>
        <w:t>规定的实质性要求的投标文件内容。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5.3投标文件报价出现前后不一致的，除招标文件另有规定外，按照下列规定修正：</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（1）投标文件中开标一览表（报价表）内容与投标文件中相应内容不一致的，以开标一览表（报价表）为准；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（2）大写金额和小写金额不一致的，以大写金额为准；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（3）单价金额小数点或者百分比有明显错位的，以开标一览表的总价为准，并修改单价；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（4）总价金额与按单价汇总金额不一致的，以单价金额计算结果为准。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同时出现两种以上不一致的，按照前款规定的顺序修正。修正后的报价按照本章5.1款的规定经投标人确认后产生约束力，▲</w:t>
      </w:r>
      <w:r>
        <w:rPr>
          <w:rFonts w:hint="eastAsia"/>
          <w:b/>
          <w:color w:val="auto"/>
          <w:sz w:val="21"/>
          <w:szCs w:val="21"/>
          <w:highlight w:val="none"/>
        </w:rPr>
        <w:t>投标人不确认或拒绝修正的，其投标无效</w:t>
      </w:r>
      <w:r>
        <w:rPr>
          <w:rFonts w:hint="eastAsia"/>
          <w:color w:val="auto"/>
          <w:sz w:val="21"/>
          <w:szCs w:val="21"/>
          <w:highlight w:val="none"/>
        </w:rPr>
        <w:t>。</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5.4投标人按照评标委员会要求提供的有效书面澄清材料，是投标文件的补充材料，成为其投标文件的组成部分。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5.5评标委员会认为投标人的报价明显低于其他通过符合性审查投标人的报价，有可能影响产品质量或者不能诚信履约的，应当要求其在评标现场合理的时间内提供书面说明，必要时提交相关证明材料；▲</w:t>
      </w:r>
      <w:r>
        <w:rPr>
          <w:rFonts w:hint="eastAsia"/>
          <w:b/>
          <w:color w:val="auto"/>
          <w:sz w:val="21"/>
          <w:szCs w:val="21"/>
          <w:highlight w:val="none"/>
        </w:rPr>
        <w:t>投标人规定的时间内不能证明其报价合理性的，评标委员会应当将其作为无效投标处理</w:t>
      </w:r>
      <w:r>
        <w:rPr>
          <w:rFonts w:hint="eastAsia"/>
          <w:color w:val="auto"/>
          <w:sz w:val="21"/>
          <w:szCs w:val="21"/>
          <w:highlight w:val="none"/>
        </w:rPr>
        <w:t>。</w:t>
      </w:r>
    </w:p>
    <w:p>
      <w:pPr>
        <w:adjustRightInd w:val="0"/>
        <w:snapToGrid w:val="0"/>
        <w:spacing w:line="360" w:lineRule="auto"/>
        <w:rPr>
          <w:b/>
          <w:color w:val="auto"/>
          <w:sz w:val="21"/>
          <w:szCs w:val="21"/>
          <w:highlight w:val="none"/>
        </w:rPr>
      </w:pPr>
      <w:r>
        <w:rPr>
          <w:rFonts w:hint="eastAsia"/>
          <w:b/>
          <w:color w:val="auto"/>
          <w:sz w:val="21"/>
          <w:szCs w:val="21"/>
          <w:highlight w:val="none"/>
        </w:rPr>
        <w:t>6．详细评标</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6.1评标委员会应按照招标文件中规定的评标方法、标准和评标因素，对资格性检查和符合性检查合格的投标文件进行商务和技术评估，综合比较与评价。</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adjustRightInd w:val="0"/>
        <w:snapToGrid w:val="0"/>
        <w:spacing w:line="360" w:lineRule="auto"/>
        <w:ind w:firstLine="420" w:firstLineChars="200"/>
        <w:rPr>
          <w:color w:val="auto"/>
          <w:sz w:val="20"/>
          <w:szCs w:val="20"/>
          <w:highlight w:val="none"/>
        </w:rPr>
      </w:pPr>
      <w:r>
        <w:rPr>
          <w:rFonts w:hint="eastAsia"/>
          <w:color w:val="auto"/>
          <w:sz w:val="21"/>
          <w:szCs w:val="21"/>
          <w:highlight w:val="none"/>
        </w:rPr>
        <w:t>非单一产品采购项目，采购人应当根据采购项目技术构成、产品价格比重等合理确定核心产品，并在招标文件中载明。多家投标人提供的核心产品品牌相同的，按前两款规定处理。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6.2评标时，评标委员会各成员应当独立对每个投标人的投标文件进行评价、评分，然后汇总每个投标人每项评分因素的得分。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6.3投标人在评标过程中，所进行的试图影响评标结果的不符合招标规则的活动，可能导致其被取消中标资格。</w:t>
      </w:r>
    </w:p>
    <w:p>
      <w:pPr>
        <w:adjustRightInd w:val="0"/>
        <w:snapToGrid w:val="0"/>
        <w:spacing w:line="360" w:lineRule="auto"/>
        <w:ind w:firstLine="420" w:firstLineChars="200"/>
        <w:rPr>
          <w:color w:val="auto"/>
          <w:sz w:val="21"/>
          <w:szCs w:val="21"/>
          <w:highlight w:val="none"/>
          <w:lang w:val="en-US"/>
        </w:rPr>
      </w:pPr>
      <w:r>
        <w:rPr>
          <w:rFonts w:hint="eastAsia"/>
          <w:color w:val="auto"/>
          <w:sz w:val="21"/>
          <w:szCs w:val="21"/>
          <w:highlight w:val="none"/>
        </w:rPr>
        <w:t>6.4评分标准：具体</w:t>
      </w:r>
      <w:r>
        <w:rPr>
          <w:rFonts w:hint="eastAsia"/>
          <w:color w:val="auto"/>
          <w:sz w:val="21"/>
          <w:szCs w:val="21"/>
          <w:highlight w:val="none"/>
          <w:lang w:val="en-US"/>
        </w:rPr>
        <w:t>见三、评标标准</w:t>
      </w:r>
    </w:p>
    <w:p>
      <w:pPr>
        <w:adjustRightInd w:val="0"/>
        <w:snapToGrid w:val="0"/>
        <w:spacing w:line="360" w:lineRule="auto"/>
        <w:rPr>
          <w:b/>
          <w:color w:val="auto"/>
          <w:sz w:val="21"/>
          <w:szCs w:val="21"/>
          <w:highlight w:val="none"/>
        </w:rPr>
      </w:pPr>
      <w:r>
        <w:rPr>
          <w:rFonts w:hint="eastAsia"/>
          <w:b/>
          <w:color w:val="auto"/>
          <w:sz w:val="21"/>
          <w:szCs w:val="21"/>
          <w:highlight w:val="none"/>
        </w:rPr>
        <w:t>7．推荐中标候选人名单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7.1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7.2评标结果汇总完成后，除下列情形外，任何人不得修改评标结果：</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(1)分值汇总计算错误的；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(2)分项评分超出评分标准范围的；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(3)评标委员会成员对客观评标因素评分不一致的；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(4)经评标委员会认定评分畸高、畸低的。</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投标人对上述（1)～(4)提出质疑的，采购人或者采购代理机构可以组织原评标委员会进行重新评标，重新评标改变评标结果的，应当书面报告本级财政部门。</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7.3评标委员会根据全体评标成员签字的原始评标记录和评标结果编写评标报告。评标报告应当包括以下内容：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（1）招标公告刊登的媒体名称、开标日期和地点；</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（2）投标人名单和评标委员会成员名单；</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（3）评标方法和标准；</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（4）开标记录和评标情况及说明，包括无效投标人名单及原因；</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（5）评标结果，确定的中标候选人名单或者经采购人委托直接确定的中标人；</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（6）其他需要说明的情况，包括评标过程中投标人根据评标委员会要求进行的澄清、说明或者补正，评标委员会成员的更换等。</w:t>
      </w:r>
    </w:p>
    <w:p>
      <w:pPr>
        <w:adjustRightInd w:val="0"/>
        <w:snapToGrid w:val="0"/>
        <w:spacing w:line="360" w:lineRule="auto"/>
        <w:ind w:firstLine="420" w:firstLineChars="200"/>
        <w:rPr>
          <w:color w:val="auto"/>
          <w:sz w:val="21"/>
          <w:szCs w:val="21"/>
          <w:highlight w:val="none"/>
        </w:rPr>
      </w:pPr>
      <w:r>
        <w:rPr>
          <w:rFonts w:hint="eastAsia"/>
          <w:color w:val="auto"/>
          <w:sz w:val="21"/>
          <w:szCs w:val="21"/>
          <w:highlight w:val="none"/>
        </w:rPr>
        <w:t>7.4本次招标采购推荐的中标候选人数量见投标须知前附表。</w:t>
      </w:r>
    </w:p>
    <w:p>
      <w:pPr>
        <w:pStyle w:val="6"/>
        <w:outlineLvl w:val="1"/>
        <w:rPr>
          <w:rFonts w:ascii="宋体" w:hAnsi="宋体" w:eastAsia="宋体" w:cs="宋体"/>
          <w:color w:val="auto"/>
          <w:sz w:val="28"/>
          <w:szCs w:val="28"/>
          <w:highlight w:val="none"/>
        </w:rPr>
      </w:pPr>
      <w:bookmarkStart w:id="65" w:name="_Toc30712"/>
      <w:r>
        <w:rPr>
          <w:rFonts w:hint="eastAsia" w:ascii="宋体" w:hAnsi="宋体" w:eastAsia="宋体" w:cs="宋体"/>
          <w:color w:val="auto"/>
          <w:sz w:val="28"/>
          <w:szCs w:val="28"/>
          <w:highlight w:val="none"/>
          <w:lang w:val="en-US"/>
        </w:rPr>
        <w:t>三</w:t>
      </w:r>
      <w:r>
        <w:rPr>
          <w:rFonts w:hint="eastAsia" w:ascii="宋体" w:hAnsi="宋体" w:eastAsia="宋体" w:cs="宋体"/>
          <w:color w:val="auto"/>
          <w:sz w:val="28"/>
          <w:szCs w:val="28"/>
          <w:highlight w:val="none"/>
        </w:rPr>
        <w:t>、评标中的落实政府采购政策具体办法</w:t>
      </w:r>
      <w:bookmarkEnd w:id="65"/>
    </w:p>
    <w:p>
      <w:pPr>
        <w:pStyle w:val="32"/>
        <w:tabs>
          <w:tab w:val="left" w:pos="908"/>
        </w:tabs>
        <w:spacing w:before="0"/>
        <w:ind w:left="0" w:firstLine="422" w:firstLineChars="200"/>
        <w:rPr>
          <w:b/>
          <w:bCs/>
          <w:color w:val="auto"/>
          <w:sz w:val="21"/>
          <w:szCs w:val="21"/>
          <w:highlight w:val="none"/>
          <w:lang w:val="en-US"/>
        </w:rPr>
      </w:pPr>
      <w:bookmarkStart w:id="66" w:name="_bookmark68"/>
      <w:bookmarkEnd w:id="66"/>
      <w:r>
        <w:rPr>
          <w:rFonts w:hint="eastAsia"/>
          <w:b/>
          <w:bCs/>
          <w:color w:val="auto"/>
          <w:sz w:val="21"/>
          <w:szCs w:val="21"/>
          <w:highlight w:val="none"/>
          <w:lang w:val="en-US"/>
        </w:rPr>
        <w:t>1、促进中小企业、残疾人福利性单位、监狱企业政策落实</w:t>
      </w:r>
    </w:p>
    <w:p>
      <w:pPr>
        <w:tabs>
          <w:tab w:val="left" w:pos="908"/>
        </w:tabs>
        <w:spacing w:line="360" w:lineRule="auto"/>
        <w:ind w:firstLine="420" w:firstLineChars="200"/>
        <w:rPr>
          <w:color w:val="auto"/>
          <w:kern w:val="2"/>
          <w:sz w:val="21"/>
          <w:szCs w:val="21"/>
          <w:highlight w:val="none"/>
          <w:lang w:val="en-US"/>
        </w:rPr>
      </w:pPr>
      <w:bookmarkStart w:id="67" w:name="_bookmark69"/>
      <w:bookmarkEnd w:id="67"/>
      <w:r>
        <w:rPr>
          <w:rFonts w:hint="eastAsia"/>
          <w:color w:val="auto"/>
          <w:kern w:val="2"/>
          <w:sz w:val="21"/>
          <w:szCs w:val="21"/>
          <w:highlight w:val="none"/>
          <w:lang w:val="en-US"/>
        </w:rPr>
        <w:t>（1）《政府采购促进中小企业发展管理办法》（财库[2020]46 号，以下简称“发展管理办法”）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（2）在政府采购活动中，供应商提供的货物、工程或者服务符合下列情形的，享受本办法规定的中小企业扶持政策：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（一）在货物采购项目中，货物由中小企业制造，即货物由中小企业生产且使用该中小企业商号或者注册商标；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（二）在工程采购项目中，工程由中小企业承建，即工程施工单位为中小企业；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（三）在服务采购项目中，服务由中小企业承接，即提供服务的人员为中小企业依照《中华人民共和国劳动合同法》订立劳动合同的从业人员。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在货物采购项目中，供应商提供的货物既有中小企业制造货物，也有大型企业制造货物的，不享受本办法规定的中小企业扶持政策。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以联合体形式参加政府采购活动，联合体各方均为中小企业的，联合体视同中小企业。其中，联合体各方均为小微企业的，联合体视同小微企业。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3）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 xml:space="preserve">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组成联合体或者接受分包的小微企业与联合体内其他企业、分包企业之间存在直接控股、管理关系的，不享受价格扣除优惠政策。 </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价格扣除比例或者价格分加分比例对小型企业和微型企业同等对待，不作区分。</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（4）中小企业参加政府采购活动，应当出具《中小企业声明函》，否则不得享受相关中小企业扶持政策，《中小企业声明函》格式见投标文件格式。</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（5）根据《关于政府采购支持监狱企业发展有关问题的通知》（财库[2014]68 号）的要求，监狱和戒毒企业（以下简称监狱企业）参加政府采购活动时，应当提供由省级以上监狱管理局、戒毒管理局（含新疆生产建设兵团）出具的属于监狱企业的证明文件。监狱企业视同小型、微型企业，享受招标文件规定的评审中价格扣除等促进中小企业发展的政府采购政策。</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（6）根据《关于促进残疾人就业政府采购政策的通知》（财库〔2017〕141 号）规定， 供应商如符合该规定享受政府采购支持政策的残疾人福利性单位的条件，应提供《残疾人福利性单位声明函》，格式见投标文件格式。残疾人福利性单位视同小型、微型企业，享受招标文件规定的评审中价格扣除等促进中小企业发展的政府采购政策。残疾人福利性单位属于小型、微型企业的，不重复享受政策。享受政府采购支持政策的残疾人福利性单位应当同时满足以下条件：</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（一）安置的残疾人占本单位在职职工人数的比例不低于 25%（含 25%），并且安置的残疾人人数不少于 10 人（含 10 人）；</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（二）依法与安置的每位残疾人签订了一年以上（含一年）的劳动合同或服务协议；</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（三）为安置的每位残疾人按月足额缴纳了基本养老保险、基本医疗保险、失业保险、工伤保险和生育保险等社会保险费；</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（四）通过银行等金融机构向安置的每位残疾人，按月支付了不低于单位所在区县适用的经省级人民政府批准的月最低工资标准的工资；</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（五）提供本单位制造的货物、承担的工程或者服务（以下简称产品），或者提供其他残疾人福利性单位制造的货物（不包括使用非残疾人福利性单位注册商标的货物）。</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（7）具体扣除比例说明：</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（一）对给予中小企业的扣除说明：</w:t>
      </w:r>
    </w:p>
    <w:p>
      <w:pPr>
        <w:tabs>
          <w:tab w:val="left" w:pos="908"/>
        </w:tabs>
        <w:spacing w:line="360" w:lineRule="auto"/>
        <w:ind w:firstLine="420" w:firstLineChars="200"/>
        <w:rPr>
          <w:color w:val="auto"/>
          <w:kern w:val="2"/>
          <w:sz w:val="21"/>
          <w:szCs w:val="21"/>
          <w:highlight w:val="none"/>
          <w:lang w:val="en-US"/>
        </w:rPr>
      </w:pPr>
      <w:r>
        <w:rPr>
          <w:color w:val="auto"/>
          <w:kern w:val="2"/>
          <w:sz w:val="21"/>
          <w:szCs w:val="21"/>
          <w:highlight w:val="none"/>
          <w:lang w:val="en-US"/>
        </w:rPr>
        <w:t>1.是否为专门面向中小企业采购：是</w:t>
      </w:r>
    </w:p>
    <w:p>
      <w:pPr>
        <w:tabs>
          <w:tab w:val="left" w:pos="908"/>
        </w:tabs>
        <w:spacing w:line="360" w:lineRule="auto"/>
        <w:ind w:firstLine="420" w:firstLineChars="200"/>
        <w:rPr>
          <w:color w:val="auto"/>
          <w:kern w:val="2"/>
          <w:sz w:val="21"/>
          <w:szCs w:val="21"/>
          <w:highlight w:val="none"/>
          <w:lang w:val="en-US"/>
        </w:rPr>
      </w:pPr>
      <w:r>
        <w:rPr>
          <w:color w:val="auto"/>
          <w:kern w:val="2"/>
          <w:sz w:val="21"/>
          <w:szCs w:val="21"/>
          <w:highlight w:val="none"/>
          <w:lang w:val="en-US"/>
        </w:rPr>
        <w:t>2.是否为本项目面向中小企业采购预留份额：否，本标项专门面向中小微企业采购。</w:t>
      </w:r>
    </w:p>
    <w:p>
      <w:pPr>
        <w:tabs>
          <w:tab w:val="left" w:pos="908"/>
        </w:tabs>
        <w:spacing w:line="360" w:lineRule="auto"/>
        <w:ind w:firstLine="420" w:firstLineChars="200"/>
        <w:rPr>
          <w:color w:val="auto"/>
          <w:kern w:val="2"/>
          <w:sz w:val="21"/>
          <w:szCs w:val="21"/>
          <w:highlight w:val="none"/>
          <w:lang w:val="en-US"/>
        </w:rPr>
      </w:pPr>
      <w:r>
        <w:rPr>
          <w:color w:val="auto"/>
          <w:kern w:val="2"/>
          <w:sz w:val="21"/>
          <w:szCs w:val="21"/>
          <w:highlight w:val="none"/>
          <w:lang w:val="en-US"/>
        </w:rPr>
        <w:t>3.符合要求的中小型和微型企业扣除比例：否，</w:t>
      </w:r>
      <w:r>
        <w:rPr>
          <w:b/>
          <w:bCs/>
          <w:color w:val="auto"/>
          <w:kern w:val="2"/>
          <w:sz w:val="21"/>
          <w:szCs w:val="21"/>
          <w:highlight w:val="none"/>
          <w:lang w:val="en-US"/>
        </w:rPr>
        <w:t>本标项专门面向中小微企业采购不再进行价格扣除。</w:t>
      </w:r>
    </w:p>
    <w:p>
      <w:pPr>
        <w:tabs>
          <w:tab w:val="left" w:pos="908"/>
        </w:tabs>
        <w:spacing w:line="360" w:lineRule="auto"/>
        <w:ind w:firstLine="420" w:firstLineChars="200"/>
        <w:rPr>
          <w:color w:val="auto"/>
          <w:kern w:val="2"/>
          <w:sz w:val="21"/>
          <w:szCs w:val="21"/>
          <w:highlight w:val="none"/>
          <w:lang w:val="en-US"/>
        </w:rPr>
      </w:pPr>
      <w:r>
        <w:rPr>
          <w:rFonts w:hint="eastAsia"/>
          <w:color w:val="auto"/>
          <w:kern w:val="2"/>
          <w:sz w:val="21"/>
          <w:szCs w:val="21"/>
          <w:highlight w:val="none"/>
          <w:lang w:val="en-US"/>
        </w:rPr>
        <w:t>4.政府采购项目价格和得分计算方法。</w:t>
      </w:r>
    </w:p>
    <w:p>
      <w:pPr>
        <w:tabs>
          <w:tab w:val="left" w:pos="908"/>
        </w:tabs>
        <w:spacing w:line="360" w:lineRule="auto"/>
        <w:ind w:firstLine="420" w:firstLineChars="200"/>
        <w:rPr>
          <w:color w:val="auto"/>
          <w:kern w:val="2"/>
          <w:sz w:val="21"/>
          <w:szCs w:val="21"/>
          <w:highlight w:val="none"/>
          <w:lang w:val="en-US"/>
        </w:rPr>
      </w:pPr>
      <w:r>
        <w:rPr>
          <w:color w:val="auto"/>
          <w:kern w:val="2"/>
          <w:sz w:val="21"/>
          <w:szCs w:val="21"/>
          <w:highlight w:val="none"/>
          <w:lang w:val="en-US"/>
        </w:rPr>
        <w:t>1</w:t>
      </w:r>
      <w:r>
        <w:rPr>
          <w:rFonts w:hint="eastAsia"/>
          <w:color w:val="auto"/>
          <w:kern w:val="2"/>
          <w:sz w:val="21"/>
          <w:szCs w:val="21"/>
          <w:highlight w:val="none"/>
          <w:lang w:val="en-US"/>
        </w:rPr>
        <w:t>）</w:t>
      </w:r>
      <w:r>
        <w:rPr>
          <w:color w:val="auto"/>
          <w:kern w:val="2"/>
          <w:sz w:val="21"/>
          <w:szCs w:val="21"/>
          <w:highlight w:val="none"/>
          <w:lang w:val="en-US"/>
        </w:rPr>
        <w:t>适用价格扣除方法政府采购项目价格及得分计算方法：</w:t>
      </w:r>
    </w:p>
    <w:p>
      <w:pPr>
        <w:tabs>
          <w:tab w:val="left" w:pos="908"/>
        </w:tabs>
        <w:spacing w:line="360" w:lineRule="auto"/>
        <w:ind w:firstLine="420" w:firstLineChars="200"/>
        <w:rPr>
          <w:color w:val="auto"/>
          <w:kern w:val="2"/>
          <w:sz w:val="21"/>
          <w:szCs w:val="21"/>
          <w:highlight w:val="none"/>
          <w:lang w:val="en-US"/>
        </w:rPr>
      </w:pPr>
      <w:r>
        <w:rPr>
          <w:color w:val="auto"/>
          <w:kern w:val="2"/>
          <w:sz w:val="21"/>
          <w:szCs w:val="21"/>
          <w:highlight w:val="none"/>
          <w:lang w:val="en-US"/>
        </w:rPr>
        <w:t>评标价格=投标报价-投标报价</w:t>
      </w:r>
      <w:r>
        <w:rPr>
          <w:rFonts w:hint="default" w:ascii="Arial" w:hAnsi="Arial" w:cs="Arial"/>
          <w:color w:val="auto"/>
          <w:kern w:val="2"/>
          <w:sz w:val="21"/>
          <w:szCs w:val="21"/>
          <w:highlight w:val="none"/>
          <w:lang w:val="en-US" w:eastAsia="zh-CN"/>
        </w:rPr>
        <w:t>×</w:t>
      </w:r>
      <w:r>
        <w:rPr>
          <w:color w:val="auto"/>
          <w:kern w:val="2"/>
          <w:sz w:val="21"/>
          <w:szCs w:val="21"/>
          <w:highlight w:val="none"/>
          <w:lang w:val="en-US"/>
        </w:rPr>
        <w:t>扣除比例；</w:t>
      </w:r>
    </w:p>
    <w:p>
      <w:pPr>
        <w:tabs>
          <w:tab w:val="left" w:pos="908"/>
        </w:tabs>
        <w:spacing w:line="360" w:lineRule="auto"/>
        <w:ind w:firstLine="420" w:firstLineChars="200"/>
        <w:rPr>
          <w:color w:val="auto"/>
          <w:kern w:val="2"/>
          <w:sz w:val="21"/>
          <w:szCs w:val="21"/>
          <w:highlight w:val="none"/>
          <w:lang w:val="en-US"/>
        </w:rPr>
      </w:pPr>
      <w:r>
        <w:rPr>
          <w:color w:val="auto"/>
          <w:kern w:val="2"/>
          <w:sz w:val="21"/>
          <w:szCs w:val="21"/>
          <w:highlight w:val="none"/>
          <w:lang w:val="en-US"/>
        </w:rPr>
        <w:t>投标报价得分=（评标基准价/评标价格）</w:t>
      </w:r>
      <w:r>
        <w:rPr>
          <w:rFonts w:hint="default" w:ascii="Arial" w:hAnsi="Arial" w:cs="Arial"/>
          <w:color w:val="auto"/>
          <w:kern w:val="2"/>
          <w:sz w:val="21"/>
          <w:szCs w:val="21"/>
          <w:highlight w:val="none"/>
          <w:lang w:val="en-US" w:eastAsia="zh-CN"/>
        </w:rPr>
        <w:t>×</w:t>
      </w:r>
      <w:r>
        <w:rPr>
          <w:color w:val="auto"/>
          <w:kern w:val="2"/>
          <w:sz w:val="21"/>
          <w:szCs w:val="21"/>
          <w:highlight w:val="none"/>
          <w:lang w:val="en-US"/>
        </w:rPr>
        <w:t>价格权值</w:t>
      </w:r>
      <w:r>
        <w:rPr>
          <w:rFonts w:hint="default" w:ascii="Arial" w:hAnsi="Arial" w:cs="Arial"/>
          <w:color w:val="auto"/>
          <w:kern w:val="2"/>
          <w:sz w:val="21"/>
          <w:szCs w:val="21"/>
          <w:highlight w:val="none"/>
          <w:lang w:val="en-US" w:eastAsia="zh-CN"/>
        </w:rPr>
        <w:t>×</w:t>
      </w:r>
      <w:r>
        <w:rPr>
          <w:color w:val="auto"/>
          <w:kern w:val="2"/>
          <w:sz w:val="21"/>
          <w:szCs w:val="21"/>
          <w:highlight w:val="none"/>
          <w:lang w:val="en-US"/>
        </w:rPr>
        <w:t>100</w:t>
      </w:r>
    </w:p>
    <w:p>
      <w:pPr>
        <w:tabs>
          <w:tab w:val="left" w:pos="908"/>
        </w:tabs>
        <w:spacing w:line="360" w:lineRule="auto"/>
        <w:ind w:firstLine="420" w:firstLineChars="200"/>
        <w:rPr>
          <w:color w:val="auto"/>
          <w:kern w:val="2"/>
          <w:sz w:val="21"/>
          <w:szCs w:val="21"/>
          <w:highlight w:val="none"/>
          <w:lang w:val="en-US"/>
        </w:rPr>
      </w:pPr>
      <w:r>
        <w:rPr>
          <w:color w:val="auto"/>
          <w:kern w:val="2"/>
          <w:sz w:val="21"/>
          <w:szCs w:val="21"/>
          <w:highlight w:val="none"/>
          <w:lang w:val="en-US"/>
        </w:rPr>
        <w:t>2</w:t>
      </w:r>
      <w:r>
        <w:rPr>
          <w:rFonts w:hint="eastAsia"/>
          <w:color w:val="auto"/>
          <w:kern w:val="2"/>
          <w:sz w:val="21"/>
          <w:szCs w:val="21"/>
          <w:highlight w:val="none"/>
          <w:lang w:val="en-US"/>
        </w:rPr>
        <w:t>）</w:t>
      </w:r>
      <w:r>
        <w:rPr>
          <w:color w:val="auto"/>
          <w:kern w:val="2"/>
          <w:sz w:val="21"/>
          <w:szCs w:val="21"/>
          <w:highlight w:val="none"/>
          <w:lang w:val="en-US"/>
        </w:rPr>
        <w:t>适用招标投标法的政府采购工程项目按照综合评估法（未采用低价优先法）计算基础价格得分后，按以下公式计算最终报价得分。</w:t>
      </w:r>
    </w:p>
    <w:p>
      <w:pPr>
        <w:tabs>
          <w:tab w:val="left" w:pos="908"/>
        </w:tabs>
        <w:spacing w:line="360" w:lineRule="auto"/>
        <w:ind w:firstLine="420" w:firstLineChars="200"/>
        <w:rPr>
          <w:color w:val="auto"/>
          <w:kern w:val="2"/>
          <w:sz w:val="21"/>
          <w:szCs w:val="21"/>
          <w:highlight w:val="none"/>
          <w:lang w:val="en-US"/>
        </w:rPr>
      </w:pPr>
      <w:r>
        <w:rPr>
          <w:color w:val="auto"/>
          <w:kern w:val="2"/>
          <w:sz w:val="21"/>
          <w:szCs w:val="21"/>
          <w:highlight w:val="none"/>
          <w:lang w:val="en-US"/>
        </w:rPr>
        <w:t>最终报价得分=基础价格得分+基础价格得分</w:t>
      </w:r>
      <w:r>
        <w:rPr>
          <w:rFonts w:hint="default" w:ascii="Arial" w:hAnsi="Arial" w:cs="Arial"/>
          <w:color w:val="auto"/>
          <w:kern w:val="2"/>
          <w:sz w:val="21"/>
          <w:szCs w:val="21"/>
          <w:highlight w:val="none"/>
          <w:lang w:val="en-US" w:eastAsia="zh-CN"/>
        </w:rPr>
        <w:t>×</w:t>
      </w:r>
      <w:r>
        <w:rPr>
          <w:color w:val="auto"/>
          <w:kern w:val="2"/>
          <w:sz w:val="21"/>
          <w:szCs w:val="21"/>
          <w:highlight w:val="none"/>
          <w:lang w:val="en-US"/>
        </w:rPr>
        <w:t>加分比例；</w:t>
      </w:r>
    </w:p>
    <w:p>
      <w:pPr>
        <w:spacing w:line="440" w:lineRule="exact"/>
        <w:ind w:firstLine="420" w:firstLineChars="200"/>
        <w:rPr>
          <w:color w:val="auto"/>
          <w:sz w:val="21"/>
          <w:szCs w:val="24"/>
          <w:highlight w:val="none"/>
          <w:lang w:val="en-US"/>
        </w:rPr>
      </w:pPr>
      <w:r>
        <w:rPr>
          <w:rFonts w:hint="eastAsia"/>
          <w:color w:val="auto"/>
          <w:sz w:val="21"/>
          <w:szCs w:val="24"/>
          <w:highlight w:val="none"/>
          <w:lang w:val="en-US"/>
        </w:rPr>
        <w:t>（二）对给予</w:t>
      </w:r>
      <w:r>
        <w:rPr>
          <w:rFonts w:hint="eastAsia"/>
          <w:color w:val="auto"/>
          <w:sz w:val="21"/>
          <w:szCs w:val="24"/>
          <w:highlight w:val="none"/>
        </w:rPr>
        <w:t>残疾人</w:t>
      </w:r>
      <w:r>
        <w:rPr>
          <w:rFonts w:hint="eastAsia"/>
          <w:color w:val="auto"/>
          <w:sz w:val="21"/>
          <w:szCs w:val="24"/>
          <w:highlight w:val="none"/>
          <w:lang w:val="en-US"/>
        </w:rPr>
        <w:t>企业</w:t>
      </w:r>
      <w:r>
        <w:rPr>
          <w:rFonts w:hint="eastAsia"/>
          <w:color w:val="auto"/>
          <w:sz w:val="21"/>
          <w:szCs w:val="24"/>
          <w:highlight w:val="none"/>
        </w:rPr>
        <w:t>、</w:t>
      </w:r>
      <w:r>
        <w:rPr>
          <w:rFonts w:hint="eastAsia"/>
          <w:color w:val="auto"/>
          <w:sz w:val="21"/>
          <w:szCs w:val="24"/>
          <w:highlight w:val="none"/>
          <w:lang w:val="en-US"/>
        </w:rPr>
        <w:t>监狱企业的扣除说明：</w:t>
      </w:r>
    </w:p>
    <w:p>
      <w:pPr>
        <w:spacing w:line="440" w:lineRule="exact"/>
        <w:ind w:firstLine="420" w:firstLineChars="200"/>
        <w:rPr>
          <w:color w:val="auto"/>
          <w:sz w:val="21"/>
          <w:szCs w:val="24"/>
          <w:highlight w:val="none"/>
          <w:lang w:val="en-US"/>
        </w:rPr>
      </w:pPr>
      <w:r>
        <w:rPr>
          <w:rFonts w:hint="eastAsia"/>
          <w:color w:val="auto"/>
          <w:sz w:val="21"/>
          <w:szCs w:val="24"/>
          <w:highlight w:val="none"/>
          <w:lang w:val="en-US"/>
        </w:rPr>
        <w:t>1.促进残疾人就业政府采购政策：根据《关于促进残疾人就业政府采购政策的通知》（财库〔2017〕141号）规定，符合条件的残疾人福利性单位在参加本项目政府采购活动时，应当提供《残疾人福利性单位声明函》，并对声明的真实性承担法律责任。中标、成交供应商为残疾人福利性单位的，采购代理机构将随成交结果同时公告其《残疾人福利性单位声明函》，接受社会监督。在政府采购活动中，残疾人福利性单位视同小型、微型企业，享受预留份额、评审中价格扣除等促进中小企业发展的政府采购政策。残疾人福利性单位视同小型、微型企业。不重复享受政策。</w:t>
      </w:r>
      <w:r>
        <w:rPr>
          <w:rFonts w:hint="eastAsia"/>
          <w:b/>
          <w:bCs/>
          <w:color w:val="auto"/>
          <w:sz w:val="21"/>
          <w:szCs w:val="24"/>
          <w:highlight w:val="none"/>
          <w:lang w:val="en-US"/>
        </w:rPr>
        <w:t>本标项专门面向中小微企业采购不再进行价格扣除。</w:t>
      </w:r>
    </w:p>
    <w:p>
      <w:pPr>
        <w:spacing w:line="440" w:lineRule="exact"/>
        <w:ind w:firstLine="420" w:firstLineChars="200"/>
        <w:rPr>
          <w:color w:val="auto"/>
          <w:sz w:val="21"/>
          <w:szCs w:val="24"/>
          <w:highlight w:val="none"/>
          <w:lang w:val="en-US"/>
        </w:rPr>
      </w:pPr>
      <w:r>
        <w:rPr>
          <w:rFonts w:hint="eastAsia"/>
          <w:color w:val="auto"/>
          <w:sz w:val="21"/>
          <w:szCs w:val="24"/>
          <w:highlight w:val="none"/>
          <w:lang w:val="en-US"/>
        </w:rPr>
        <w:t>2.监狱企业扶持政策：供应商如为监狱企业将视同为小型或微型企业，享受预留份额、评审中价格扣除等政府采购促进中小企业发展的政府采购政策。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b/>
          <w:bCs/>
          <w:color w:val="auto"/>
          <w:sz w:val="21"/>
          <w:szCs w:val="24"/>
          <w:highlight w:val="none"/>
          <w:lang w:val="en-US"/>
        </w:rPr>
        <w:t>本标项专门面向中小微企业采购不再进行价格扣除。</w:t>
      </w:r>
    </w:p>
    <w:p>
      <w:pPr>
        <w:pStyle w:val="32"/>
        <w:tabs>
          <w:tab w:val="left" w:pos="908"/>
        </w:tabs>
        <w:spacing w:before="0"/>
        <w:ind w:left="0" w:firstLine="422" w:firstLineChars="200"/>
        <w:rPr>
          <w:b/>
          <w:bCs/>
          <w:color w:val="auto"/>
          <w:sz w:val="21"/>
          <w:szCs w:val="21"/>
          <w:highlight w:val="none"/>
          <w:lang w:val="en-US"/>
        </w:rPr>
      </w:pPr>
      <w:r>
        <w:rPr>
          <w:rFonts w:hint="eastAsia"/>
          <w:b/>
          <w:bCs/>
          <w:color w:val="auto"/>
          <w:sz w:val="21"/>
          <w:szCs w:val="21"/>
          <w:highlight w:val="none"/>
          <w:lang w:val="en-US"/>
        </w:rPr>
        <w:t>2、鼓励节能、环保政策落实</w:t>
      </w:r>
    </w:p>
    <w:p>
      <w:pPr>
        <w:tabs>
          <w:tab w:val="left" w:pos="908"/>
        </w:tabs>
        <w:spacing w:line="360" w:lineRule="auto"/>
        <w:ind w:firstLine="420" w:firstLineChars="200"/>
        <w:rPr>
          <w:color w:val="auto"/>
          <w:sz w:val="21"/>
          <w:szCs w:val="21"/>
          <w:highlight w:val="none"/>
          <w:lang w:val="en-US"/>
        </w:rPr>
      </w:pPr>
      <w:bookmarkStart w:id="68" w:name="_bookmark70"/>
      <w:bookmarkEnd w:id="68"/>
      <w:r>
        <w:rPr>
          <w:rFonts w:hint="eastAsia"/>
          <w:color w:val="auto"/>
          <w:sz w:val="21"/>
          <w:szCs w:val="21"/>
          <w:highlight w:val="none"/>
          <w:lang w:val="en-US"/>
        </w:rPr>
        <w:t>（1）鼓励节能政策：在性能、技术、服务等指标同等条件下，优先采购国家确定的认证机构出具的、处于有效期之内的节能产品认证证书标志产品。投标涉及上述产品的，供应商应提供带有投标产品型号的节能产品认证证书复印件作为证明。</w:t>
      </w: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2）鼓励环保政策：在性能、技术、服务等指标同等条件下，优先采购国家确定的认证机构出具的、处于有效期之内的环境标志产品认证证书标志产品。投标涉及上述产品的，供应商应提供带有投标产品型号的环境标志产品认证证书复印件作为证明。</w:t>
      </w:r>
    </w:p>
    <w:p>
      <w:pPr>
        <w:pStyle w:val="6"/>
        <w:outlineLvl w:val="1"/>
        <w:rPr>
          <w:rFonts w:ascii="宋体" w:hAnsi="宋体" w:eastAsia="宋体" w:cs="宋体"/>
          <w:color w:val="auto"/>
          <w:sz w:val="28"/>
          <w:szCs w:val="28"/>
          <w:highlight w:val="none"/>
          <w:lang w:val="en-US"/>
        </w:rPr>
      </w:pPr>
      <w:bookmarkStart w:id="69" w:name="_Toc28891"/>
      <w:r>
        <w:rPr>
          <w:rFonts w:hint="eastAsia" w:ascii="宋体" w:hAnsi="宋体" w:eastAsia="宋体" w:cs="宋体"/>
          <w:color w:val="auto"/>
          <w:sz w:val="28"/>
          <w:szCs w:val="28"/>
          <w:highlight w:val="none"/>
          <w:lang w:val="en-US"/>
        </w:rPr>
        <w:t>四、评标标准</w:t>
      </w:r>
      <w:bookmarkEnd w:id="69"/>
    </w:p>
    <w:p>
      <w:pPr>
        <w:rPr>
          <w:b/>
          <w:bCs/>
          <w:color w:val="auto"/>
          <w:sz w:val="24"/>
          <w:szCs w:val="24"/>
          <w:highlight w:val="none"/>
          <w:lang w:val="en-US"/>
        </w:rPr>
      </w:pPr>
      <w:r>
        <w:rPr>
          <w:rFonts w:hint="eastAsia"/>
          <w:b/>
          <w:bCs/>
          <w:color w:val="auto"/>
          <w:sz w:val="24"/>
          <w:szCs w:val="24"/>
          <w:highlight w:val="none"/>
          <w:lang w:val="en-US"/>
        </w:rPr>
        <w:t>标项1、2、3</w:t>
      </w:r>
    </w:p>
    <w:p>
      <w:pPr>
        <w:jc w:val="center"/>
        <w:rPr>
          <w:color w:val="auto"/>
          <w:sz w:val="24"/>
          <w:szCs w:val="24"/>
          <w:highlight w:val="none"/>
        </w:rPr>
      </w:pPr>
      <w:r>
        <w:rPr>
          <w:rFonts w:hint="eastAsia"/>
          <w:b/>
          <w:bCs/>
          <w:color w:val="auto"/>
          <w:sz w:val="24"/>
          <w:szCs w:val="24"/>
          <w:highlight w:val="none"/>
        </w:rPr>
        <w:t>详细评标表（满分100分）</w:t>
      </w:r>
    </w:p>
    <w:tbl>
      <w:tblPr>
        <w:tblStyle w:val="28"/>
        <w:tblW w:w="9236"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4517"/>
        <w:gridCol w:w="4719"/>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46" w:hRule="atLeast"/>
          <w:jc w:val="center"/>
        </w:trPr>
        <w:tc>
          <w:tcPr>
            <w:tcW w:w="4517" w:type="dxa"/>
            <w:tcBorders>
              <w:bottom w:val="single" w:color="000000" w:sz="6" w:space="0"/>
              <w:right w:val="single" w:color="000000" w:sz="6" w:space="0"/>
            </w:tcBorders>
            <w:vAlign w:val="center"/>
          </w:tcPr>
          <w:p>
            <w:pPr>
              <w:spacing w:before="2"/>
              <w:jc w:val="center"/>
              <w:rPr>
                <w:b/>
                <w:color w:val="auto"/>
                <w:sz w:val="21"/>
                <w:szCs w:val="20"/>
                <w:highlight w:val="none"/>
              </w:rPr>
            </w:pPr>
            <w:r>
              <w:rPr>
                <w:rFonts w:hint="eastAsia"/>
                <w:b/>
                <w:color w:val="auto"/>
                <w:sz w:val="21"/>
                <w:szCs w:val="20"/>
                <w:highlight w:val="none"/>
              </w:rPr>
              <w:t>评分因素</w:t>
            </w:r>
          </w:p>
        </w:tc>
        <w:tc>
          <w:tcPr>
            <w:tcW w:w="4719" w:type="dxa"/>
            <w:tcBorders>
              <w:left w:val="single" w:color="000000" w:sz="6" w:space="0"/>
              <w:bottom w:val="single" w:color="000000" w:sz="6" w:space="0"/>
            </w:tcBorders>
            <w:vAlign w:val="center"/>
          </w:tcPr>
          <w:p>
            <w:pPr>
              <w:spacing w:before="2"/>
              <w:jc w:val="center"/>
              <w:rPr>
                <w:b/>
                <w:color w:val="auto"/>
                <w:sz w:val="21"/>
                <w:szCs w:val="20"/>
                <w:highlight w:val="none"/>
              </w:rPr>
            </w:pPr>
            <w:r>
              <w:rPr>
                <w:rFonts w:hint="eastAsia"/>
                <w:b/>
                <w:color w:val="auto"/>
                <w:sz w:val="21"/>
                <w:szCs w:val="20"/>
                <w:highlight w:val="none"/>
              </w:rPr>
              <w:t>分值分配</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投标报价</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30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商务部分</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lang w:val="en-US"/>
              </w:rPr>
              <w:t>20</w:t>
            </w:r>
            <w:r>
              <w:rPr>
                <w:rFonts w:hint="eastAsia"/>
                <w:color w:val="auto"/>
                <w:sz w:val="21"/>
                <w:szCs w:val="20"/>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jc w:val="center"/>
        </w:trPr>
        <w:tc>
          <w:tcPr>
            <w:tcW w:w="4517" w:type="dxa"/>
            <w:tcBorders>
              <w:top w:val="single" w:color="000000" w:sz="6" w:space="0"/>
              <w:bottom w:val="single" w:color="000000" w:sz="6" w:space="0"/>
              <w:right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rPr>
              <w:t>技术部分</w:t>
            </w:r>
          </w:p>
        </w:tc>
        <w:tc>
          <w:tcPr>
            <w:tcW w:w="4719" w:type="dxa"/>
            <w:tcBorders>
              <w:top w:val="single" w:color="000000" w:sz="6" w:space="0"/>
              <w:left w:val="single" w:color="000000" w:sz="6" w:space="0"/>
              <w:bottom w:val="single" w:color="000000" w:sz="6" w:space="0"/>
            </w:tcBorders>
            <w:vAlign w:val="center"/>
          </w:tcPr>
          <w:p>
            <w:pPr>
              <w:spacing w:before="2"/>
              <w:jc w:val="center"/>
              <w:rPr>
                <w:color w:val="auto"/>
                <w:sz w:val="21"/>
                <w:szCs w:val="20"/>
                <w:highlight w:val="none"/>
              </w:rPr>
            </w:pPr>
            <w:r>
              <w:rPr>
                <w:rFonts w:hint="eastAsia"/>
                <w:color w:val="auto"/>
                <w:sz w:val="21"/>
                <w:szCs w:val="20"/>
                <w:highlight w:val="none"/>
                <w:lang w:val="en-US"/>
              </w:rPr>
              <w:t>50</w:t>
            </w:r>
            <w:r>
              <w:rPr>
                <w:rFonts w:hint="eastAsia"/>
                <w:color w:val="auto"/>
                <w:sz w:val="21"/>
                <w:szCs w:val="20"/>
                <w:highlight w:val="none"/>
              </w:rPr>
              <w:t xml:space="preserve"> 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90" w:hRule="atLeast"/>
          <w:jc w:val="center"/>
        </w:trPr>
        <w:tc>
          <w:tcPr>
            <w:tcW w:w="4517" w:type="dxa"/>
            <w:tcBorders>
              <w:top w:val="single" w:color="000000" w:sz="6" w:space="0"/>
              <w:right w:val="single" w:color="000000" w:sz="6" w:space="0"/>
            </w:tcBorders>
            <w:vAlign w:val="center"/>
          </w:tcPr>
          <w:p>
            <w:pPr>
              <w:spacing w:before="5"/>
              <w:jc w:val="center"/>
              <w:rPr>
                <w:color w:val="auto"/>
                <w:sz w:val="21"/>
                <w:szCs w:val="20"/>
                <w:highlight w:val="none"/>
              </w:rPr>
            </w:pPr>
            <w:r>
              <w:rPr>
                <w:rFonts w:hint="eastAsia"/>
                <w:color w:val="auto"/>
                <w:sz w:val="21"/>
                <w:szCs w:val="20"/>
                <w:highlight w:val="none"/>
              </w:rPr>
              <w:t>合计</w:t>
            </w:r>
          </w:p>
        </w:tc>
        <w:tc>
          <w:tcPr>
            <w:tcW w:w="4719" w:type="dxa"/>
            <w:tcBorders>
              <w:top w:val="single" w:color="000000" w:sz="6" w:space="0"/>
              <w:left w:val="single" w:color="000000" w:sz="6" w:space="0"/>
            </w:tcBorders>
            <w:vAlign w:val="center"/>
          </w:tcPr>
          <w:p>
            <w:pPr>
              <w:spacing w:before="5"/>
              <w:jc w:val="center"/>
              <w:rPr>
                <w:color w:val="auto"/>
                <w:sz w:val="21"/>
                <w:szCs w:val="20"/>
                <w:highlight w:val="none"/>
              </w:rPr>
            </w:pPr>
            <w:r>
              <w:rPr>
                <w:rFonts w:hint="eastAsia"/>
                <w:color w:val="auto"/>
                <w:sz w:val="21"/>
                <w:szCs w:val="20"/>
                <w:highlight w:val="none"/>
              </w:rPr>
              <w:t>100 分</w:t>
            </w:r>
          </w:p>
        </w:tc>
      </w:tr>
    </w:tbl>
    <w:p>
      <w:pPr>
        <w:jc w:val="center"/>
        <w:rPr>
          <w:b/>
          <w:bCs/>
          <w:color w:val="auto"/>
          <w:sz w:val="24"/>
          <w:szCs w:val="24"/>
          <w:highlight w:val="none"/>
        </w:rPr>
      </w:pPr>
      <w:r>
        <w:rPr>
          <w:rFonts w:hint="eastAsia"/>
          <w:b/>
          <w:bCs/>
          <w:color w:val="auto"/>
          <w:sz w:val="24"/>
          <w:szCs w:val="24"/>
          <w:highlight w:val="none"/>
        </w:rPr>
        <w:t>评分细则</w:t>
      </w:r>
    </w:p>
    <w:p>
      <w:pPr>
        <w:jc w:val="center"/>
        <w:rPr>
          <w:b/>
          <w:bCs/>
          <w:color w:val="auto"/>
          <w:sz w:val="24"/>
          <w:szCs w:val="24"/>
          <w:highlight w:val="none"/>
        </w:rPr>
      </w:pPr>
      <w:r>
        <w:rPr>
          <w:rFonts w:hint="eastAsia"/>
          <w:b/>
          <w:bCs/>
          <w:color w:val="auto"/>
          <w:sz w:val="24"/>
          <w:szCs w:val="24"/>
          <w:highlight w:val="none"/>
          <w:lang w:val="en-US"/>
        </w:rPr>
        <w:t>投标价格部分30分</w:t>
      </w:r>
    </w:p>
    <w:tbl>
      <w:tblPr>
        <w:tblStyle w:val="29"/>
        <w:tblW w:w="9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469"/>
        <w:gridCol w:w="753"/>
        <w:gridCol w:w="6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91" w:type="dxa"/>
            <w:vAlign w:val="center"/>
          </w:tcPr>
          <w:p>
            <w:pPr>
              <w:adjustRightInd w:val="0"/>
              <w:jc w:val="center"/>
              <w:rPr>
                <w:b/>
                <w:bCs/>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69" w:type="dxa"/>
            <w:vAlign w:val="center"/>
          </w:tcPr>
          <w:p>
            <w:pPr>
              <w:adjustRightInd w:val="0"/>
              <w:jc w:val="center"/>
              <w:rPr>
                <w:b/>
                <w:bCs/>
                <w:color w:val="auto"/>
                <w:kern w:val="2"/>
                <w:sz w:val="21"/>
                <w:szCs w:val="21"/>
                <w:highlight w:val="none"/>
                <w:lang w:val="en-US" w:bidi="ar-SA"/>
              </w:rPr>
            </w:pPr>
            <w:r>
              <w:rPr>
                <w:rFonts w:hint="eastAsia"/>
                <w:b/>
                <w:bCs/>
                <w:color w:val="auto"/>
                <w:sz w:val="21"/>
                <w:szCs w:val="21"/>
                <w:highlight w:val="none"/>
                <w:lang w:val="en-US" w:bidi="ar-SA"/>
              </w:rPr>
              <w:t>评审内容</w:t>
            </w:r>
          </w:p>
        </w:tc>
        <w:tc>
          <w:tcPr>
            <w:tcW w:w="753" w:type="dxa"/>
            <w:vAlign w:val="center"/>
          </w:tcPr>
          <w:p>
            <w:pPr>
              <w:adjustRightInd w:val="0"/>
              <w:jc w:val="center"/>
              <w:rPr>
                <w:b/>
                <w:bCs/>
                <w:color w:val="auto"/>
                <w:kern w:val="2"/>
                <w:sz w:val="21"/>
                <w:szCs w:val="21"/>
                <w:highlight w:val="none"/>
                <w:lang w:val="en-US" w:bidi="ar-SA"/>
              </w:rPr>
            </w:pPr>
            <w:r>
              <w:rPr>
                <w:rFonts w:hint="eastAsia"/>
                <w:b/>
                <w:bCs/>
                <w:color w:val="auto"/>
                <w:kern w:val="2"/>
                <w:sz w:val="21"/>
                <w:szCs w:val="21"/>
                <w:highlight w:val="none"/>
                <w:lang w:val="en-US" w:bidi="ar-SA"/>
              </w:rPr>
              <w:t>分值</w:t>
            </w:r>
          </w:p>
        </w:tc>
        <w:tc>
          <w:tcPr>
            <w:tcW w:w="6809" w:type="dxa"/>
            <w:vAlign w:val="center"/>
          </w:tcPr>
          <w:p>
            <w:pPr>
              <w:adjustRightInd w:val="0"/>
              <w:jc w:val="center"/>
              <w:rPr>
                <w:b/>
                <w:bCs/>
                <w:color w:val="auto"/>
                <w:kern w:val="2"/>
                <w:sz w:val="21"/>
                <w:szCs w:val="21"/>
                <w:highlight w:val="none"/>
                <w:lang w:val="en-US" w:bidi="ar-SA"/>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69"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投标价格</w:t>
            </w:r>
          </w:p>
        </w:tc>
        <w:tc>
          <w:tcPr>
            <w:tcW w:w="753"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30分</w:t>
            </w:r>
          </w:p>
        </w:tc>
        <w:tc>
          <w:tcPr>
            <w:tcW w:w="6809" w:type="dxa"/>
            <w:vAlign w:val="center"/>
          </w:tcPr>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投标人的价格分统一按照下列公式计算：</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投标报价得分=（评标基准价／修正后投标报价）×30%×100</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备注：</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1.投标价格评分采用低价优先法计算；</w:t>
            </w:r>
          </w:p>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2.评标基准价：满足招标文件要求最低报价为评标基准价；</w:t>
            </w:r>
          </w:p>
        </w:tc>
      </w:tr>
    </w:tbl>
    <w:p>
      <w:pPr>
        <w:jc w:val="center"/>
        <w:rPr>
          <w:b/>
          <w:bCs/>
          <w:color w:val="auto"/>
          <w:sz w:val="24"/>
          <w:szCs w:val="24"/>
          <w:highlight w:val="none"/>
          <w:lang w:val="en-US"/>
        </w:rPr>
      </w:pPr>
      <w:r>
        <w:rPr>
          <w:rFonts w:hint="eastAsia"/>
          <w:b/>
          <w:bCs/>
          <w:color w:val="auto"/>
          <w:sz w:val="24"/>
          <w:szCs w:val="24"/>
          <w:highlight w:val="none"/>
          <w:lang w:val="en-US"/>
        </w:rPr>
        <w:t>商务部分</w:t>
      </w:r>
      <w:r>
        <w:rPr>
          <w:rFonts w:hint="eastAsia"/>
          <w:b/>
          <w:bCs/>
          <w:color w:val="auto"/>
          <w:sz w:val="24"/>
          <w:szCs w:val="24"/>
          <w:highlight w:val="none"/>
          <w:lang w:val="en-US" w:eastAsia="zh-CN"/>
        </w:rPr>
        <w:t>20</w:t>
      </w:r>
      <w:r>
        <w:rPr>
          <w:rFonts w:hint="eastAsia"/>
          <w:b/>
          <w:bCs/>
          <w:color w:val="auto"/>
          <w:sz w:val="24"/>
          <w:szCs w:val="24"/>
          <w:highlight w:val="none"/>
          <w:lang w:val="en-US"/>
        </w:rPr>
        <w:t>分</w:t>
      </w:r>
    </w:p>
    <w:tbl>
      <w:tblPr>
        <w:tblStyle w:val="2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469"/>
        <w:gridCol w:w="648"/>
        <w:gridCol w:w="6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91" w:type="dxa"/>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69" w:type="dxa"/>
            <w:vAlign w:val="center"/>
          </w:tcPr>
          <w:p>
            <w:pPr>
              <w:adjustRightInd w:val="0"/>
              <w:jc w:val="center"/>
              <w:rPr>
                <w:color w:val="auto"/>
                <w:sz w:val="21"/>
                <w:szCs w:val="21"/>
                <w:highlight w:val="none"/>
                <w:lang w:val="en-US" w:bidi="ar"/>
              </w:rPr>
            </w:pPr>
            <w:r>
              <w:rPr>
                <w:rFonts w:hint="eastAsia"/>
                <w:b/>
                <w:bCs/>
                <w:color w:val="auto"/>
                <w:sz w:val="21"/>
                <w:szCs w:val="21"/>
                <w:highlight w:val="none"/>
                <w:lang w:val="en-US" w:bidi="ar-SA"/>
              </w:rPr>
              <w:t>评审内容</w:t>
            </w:r>
          </w:p>
        </w:tc>
        <w:tc>
          <w:tcPr>
            <w:tcW w:w="648" w:type="dxa"/>
            <w:vAlign w:val="center"/>
          </w:tcPr>
          <w:p>
            <w:pPr>
              <w:adjustRightInd w:val="0"/>
              <w:jc w:val="center"/>
              <w:rPr>
                <w:color w:val="auto"/>
                <w:sz w:val="21"/>
                <w:szCs w:val="21"/>
                <w:highlight w:val="none"/>
                <w:lang w:val="en-US" w:bidi="ar"/>
              </w:rPr>
            </w:pPr>
            <w:r>
              <w:rPr>
                <w:rFonts w:hint="eastAsia"/>
                <w:b/>
                <w:bCs/>
                <w:color w:val="auto"/>
                <w:kern w:val="2"/>
                <w:sz w:val="21"/>
                <w:szCs w:val="21"/>
                <w:highlight w:val="none"/>
                <w:lang w:val="en-US" w:bidi="ar-SA"/>
              </w:rPr>
              <w:t>分值</w:t>
            </w:r>
          </w:p>
        </w:tc>
        <w:tc>
          <w:tcPr>
            <w:tcW w:w="6966" w:type="dxa"/>
            <w:vAlign w:val="center"/>
          </w:tcPr>
          <w:p>
            <w:pPr>
              <w:adjustRightInd w:val="0"/>
              <w:jc w:val="center"/>
              <w:rPr>
                <w:color w:val="auto"/>
                <w:sz w:val="21"/>
                <w:szCs w:val="21"/>
                <w:highlight w:val="none"/>
                <w:lang w:val="en-US" w:bidi="ar"/>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w:t>
            </w:r>
          </w:p>
        </w:tc>
        <w:tc>
          <w:tcPr>
            <w:tcW w:w="1469"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类似业绩</w:t>
            </w:r>
          </w:p>
        </w:tc>
        <w:tc>
          <w:tcPr>
            <w:tcW w:w="648"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5分</w:t>
            </w:r>
          </w:p>
        </w:tc>
        <w:tc>
          <w:tcPr>
            <w:tcW w:w="6966" w:type="dxa"/>
            <w:vAlign w:val="center"/>
          </w:tcPr>
          <w:p>
            <w:pPr>
              <w:adjustRightInd w:val="0"/>
              <w:jc w:val="both"/>
              <w:rPr>
                <w:color w:val="auto"/>
                <w:kern w:val="2"/>
                <w:sz w:val="21"/>
                <w:szCs w:val="21"/>
                <w:highlight w:val="none"/>
                <w:lang w:bidi="ar-SA"/>
              </w:rPr>
            </w:pPr>
            <w:r>
              <w:rPr>
                <w:rFonts w:hint="eastAsia"/>
                <w:color w:val="auto"/>
                <w:kern w:val="2"/>
                <w:sz w:val="21"/>
                <w:szCs w:val="21"/>
                <w:highlight w:val="none"/>
                <w:lang w:val="en-US" w:bidi="ar-SA"/>
              </w:rPr>
              <w:t>供应商应提供近三年（2019 年至 2022 年）同类产品（同类产品指：至少包含核心产品）的相关业绩证明资料（合同首页、金额页、合同双方盖章页）。（审核依据为证明资料复印件并加盖投标人单位公章）每提供一份有效的业绩得 1 分，满分为 5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w:t>
            </w:r>
          </w:p>
        </w:tc>
        <w:tc>
          <w:tcPr>
            <w:tcW w:w="1469"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产品认证</w:t>
            </w:r>
          </w:p>
        </w:tc>
        <w:tc>
          <w:tcPr>
            <w:tcW w:w="648"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2分</w:t>
            </w:r>
          </w:p>
        </w:tc>
        <w:tc>
          <w:tcPr>
            <w:tcW w:w="6966" w:type="dxa"/>
            <w:vAlign w:val="center"/>
          </w:tcPr>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供应商需提供设备厂家商务资质：3C认证证书，CE认证证书，ROHS认证证书，ISO9001体系认证证书，OHSAS18001体系认证证书；每提供一项认证加0.5分，最高得2分。未提供不得分。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3</w:t>
            </w:r>
          </w:p>
        </w:tc>
        <w:tc>
          <w:tcPr>
            <w:tcW w:w="1469"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产品授权</w:t>
            </w:r>
          </w:p>
        </w:tc>
        <w:tc>
          <w:tcPr>
            <w:tcW w:w="648"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2分</w:t>
            </w:r>
          </w:p>
        </w:tc>
        <w:tc>
          <w:tcPr>
            <w:tcW w:w="6966" w:type="dxa"/>
            <w:vAlign w:val="center"/>
          </w:tcPr>
          <w:p>
            <w:pPr>
              <w:adjustRightInd w:val="0"/>
              <w:jc w:val="both"/>
              <w:rPr>
                <w:color w:val="auto"/>
                <w:kern w:val="2"/>
                <w:sz w:val="21"/>
                <w:szCs w:val="21"/>
                <w:highlight w:val="none"/>
                <w:lang w:val="en-US" w:bidi="ar-SA"/>
              </w:rPr>
            </w:pPr>
            <w:r>
              <w:rPr>
                <w:rFonts w:hint="eastAsia"/>
                <w:color w:val="auto"/>
                <w:kern w:val="2"/>
                <w:sz w:val="21"/>
                <w:szCs w:val="21"/>
                <w:highlight w:val="none"/>
                <w:lang w:val="en-US" w:bidi="ar-SA"/>
              </w:rPr>
              <w:t>需提供生产厂家的授权及售后服务承诺证明，提供复印件加盖公章，计2分，未提供证明材料不得分；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restart"/>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4</w:t>
            </w:r>
          </w:p>
        </w:tc>
        <w:tc>
          <w:tcPr>
            <w:tcW w:w="1469" w:type="dxa"/>
            <w:vMerge w:val="restart"/>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对投标人培训方案、售后服务能力的评价及备品备件</w:t>
            </w:r>
          </w:p>
        </w:tc>
        <w:tc>
          <w:tcPr>
            <w:tcW w:w="648" w:type="dxa"/>
            <w:vMerge w:val="restart"/>
            <w:vAlign w:val="center"/>
          </w:tcPr>
          <w:p>
            <w:pPr>
              <w:widowControl/>
              <w:jc w:val="center"/>
              <w:rPr>
                <w:color w:val="auto"/>
                <w:sz w:val="21"/>
                <w:szCs w:val="21"/>
                <w:highlight w:val="none"/>
                <w:lang w:val="en-US" w:bidi="ar"/>
              </w:rPr>
            </w:pPr>
            <w:r>
              <w:rPr>
                <w:color w:val="auto"/>
                <w:sz w:val="21"/>
                <w:szCs w:val="21"/>
                <w:highlight w:val="none"/>
                <w:lang w:val="en-US" w:bidi="ar"/>
              </w:rPr>
              <w:t>10分</w:t>
            </w:r>
          </w:p>
        </w:tc>
        <w:tc>
          <w:tcPr>
            <w:tcW w:w="6966" w:type="dxa"/>
            <w:vAlign w:val="center"/>
          </w:tcPr>
          <w:p>
            <w:pPr>
              <w:widowControl/>
              <w:jc w:val="both"/>
              <w:rPr>
                <w:color w:val="auto"/>
                <w:sz w:val="21"/>
                <w:szCs w:val="21"/>
                <w:highlight w:val="none"/>
                <w:lang w:val="en-US" w:bidi="ar"/>
              </w:rPr>
            </w:pPr>
            <w:r>
              <w:rPr>
                <w:rFonts w:hint="eastAsia"/>
                <w:color w:val="auto"/>
                <w:sz w:val="21"/>
                <w:szCs w:val="21"/>
                <w:highlight w:val="none"/>
                <w:lang w:val="en-US" w:eastAsia="zh-CN" w:bidi="ar"/>
              </w:rPr>
              <w:t>（5分）</w:t>
            </w:r>
            <w:r>
              <w:rPr>
                <w:rFonts w:hint="eastAsia"/>
                <w:color w:val="auto"/>
                <w:sz w:val="21"/>
                <w:szCs w:val="21"/>
                <w:highlight w:val="none"/>
                <w:lang w:val="en-US" w:bidi="ar"/>
              </w:rPr>
              <w:t>1、在满足招标文件要求的质量保证期（保修期）前提下，对投标人提供的售后服务方案和措施、售后服务机构、培训方案进行评价，其中：</w:t>
            </w:r>
          </w:p>
          <w:p>
            <w:pPr>
              <w:widowControl/>
              <w:jc w:val="both"/>
              <w:rPr>
                <w:color w:val="auto"/>
                <w:sz w:val="21"/>
                <w:szCs w:val="21"/>
                <w:highlight w:val="none"/>
                <w:lang w:val="en-US" w:bidi="ar"/>
              </w:rPr>
            </w:pPr>
            <w:r>
              <w:rPr>
                <w:rFonts w:hint="eastAsia"/>
                <w:color w:val="auto"/>
                <w:sz w:val="21"/>
                <w:szCs w:val="21"/>
                <w:highlight w:val="none"/>
                <w:lang w:val="en-US" w:bidi="ar"/>
              </w:rPr>
              <w:t>1）培训方案具体且有针对性，能够保证操作人员熟练使用，售后服务方案和措施完整、维护响应时间方案具体且设立的售后服务机构能够完全满足招标文件要求的得5分；</w:t>
            </w:r>
          </w:p>
          <w:p>
            <w:pPr>
              <w:widowControl/>
              <w:jc w:val="both"/>
              <w:rPr>
                <w:color w:val="auto"/>
                <w:sz w:val="21"/>
                <w:szCs w:val="21"/>
                <w:highlight w:val="none"/>
                <w:lang w:val="en-US" w:bidi="ar"/>
              </w:rPr>
            </w:pPr>
            <w:r>
              <w:rPr>
                <w:rFonts w:hint="eastAsia"/>
                <w:color w:val="auto"/>
                <w:sz w:val="21"/>
                <w:szCs w:val="21"/>
                <w:highlight w:val="none"/>
                <w:lang w:val="en-US" w:bidi="ar"/>
              </w:rPr>
              <w:t>2）培训方案、售后服务方案措施和维护响应时间方案基本具体或设立的售后服务机构满足招标文件要求的得3分；</w:t>
            </w:r>
          </w:p>
          <w:p>
            <w:pPr>
              <w:widowControl/>
              <w:jc w:val="both"/>
              <w:rPr>
                <w:color w:val="auto"/>
                <w:sz w:val="21"/>
                <w:szCs w:val="21"/>
                <w:highlight w:val="none"/>
                <w:lang w:val="en-US" w:bidi="ar"/>
              </w:rPr>
            </w:pPr>
            <w:r>
              <w:rPr>
                <w:rFonts w:hint="eastAsia"/>
                <w:color w:val="auto"/>
                <w:sz w:val="21"/>
                <w:szCs w:val="21"/>
                <w:highlight w:val="none"/>
                <w:lang w:val="en-US" w:bidi="ar"/>
              </w:rPr>
              <w:t>3）培训方案、售后服务方案措施和维护响应时间方案不够具体或设立的售后服务机构基本满足招标文件要求的得1分；</w:t>
            </w:r>
          </w:p>
          <w:p>
            <w:pPr>
              <w:widowControl/>
              <w:jc w:val="both"/>
              <w:rPr>
                <w:color w:val="auto"/>
                <w:sz w:val="21"/>
                <w:szCs w:val="21"/>
                <w:highlight w:val="none"/>
                <w:lang w:val="en-US" w:bidi="ar"/>
              </w:rPr>
            </w:pPr>
            <w:r>
              <w:rPr>
                <w:rFonts w:hint="eastAsia"/>
                <w:color w:val="auto"/>
                <w:sz w:val="21"/>
                <w:szCs w:val="21"/>
                <w:highlight w:val="none"/>
                <w:lang w:val="en-US" w:bidi="ar"/>
              </w:rPr>
              <w:t>4）未提供培训方案、售后服务方案措施和维护响应时间方案或没有售后服务机构的得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vAlign w:val="center"/>
          </w:tcPr>
          <w:p>
            <w:pPr>
              <w:widowControl/>
              <w:jc w:val="center"/>
              <w:rPr>
                <w:color w:val="auto"/>
                <w:sz w:val="21"/>
                <w:szCs w:val="21"/>
                <w:highlight w:val="none"/>
                <w:lang w:val="en-US" w:bidi="ar"/>
              </w:rPr>
            </w:pPr>
          </w:p>
        </w:tc>
        <w:tc>
          <w:tcPr>
            <w:tcW w:w="1469" w:type="dxa"/>
            <w:vMerge w:val="continue"/>
            <w:vAlign w:val="center"/>
          </w:tcPr>
          <w:p>
            <w:pPr>
              <w:widowControl/>
              <w:jc w:val="center"/>
              <w:rPr>
                <w:color w:val="auto"/>
                <w:sz w:val="21"/>
                <w:szCs w:val="21"/>
                <w:highlight w:val="none"/>
                <w:lang w:val="en-US" w:bidi="ar"/>
              </w:rPr>
            </w:pPr>
          </w:p>
        </w:tc>
        <w:tc>
          <w:tcPr>
            <w:tcW w:w="648" w:type="dxa"/>
            <w:vMerge w:val="continue"/>
            <w:vAlign w:val="center"/>
          </w:tcPr>
          <w:p>
            <w:pPr>
              <w:widowControl/>
              <w:jc w:val="center"/>
              <w:rPr>
                <w:color w:val="auto"/>
                <w:sz w:val="21"/>
                <w:szCs w:val="21"/>
                <w:highlight w:val="none"/>
                <w:lang w:val="en-US" w:bidi="ar"/>
              </w:rPr>
            </w:pPr>
          </w:p>
        </w:tc>
        <w:tc>
          <w:tcPr>
            <w:tcW w:w="6966" w:type="dxa"/>
            <w:vAlign w:val="center"/>
          </w:tcPr>
          <w:p>
            <w:pPr>
              <w:widowControl/>
              <w:jc w:val="both"/>
              <w:rPr>
                <w:color w:val="auto"/>
                <w:sz w:val="21"/>
                <w:szCs w:val="21"/>
                <w:highlight w:val="none"/>
                <w:lang w:val="en-US" w:bidi="ar"/>
              </w:rPr>
            </w:pPr>
            <w:r>
              <w:rPr>
                <w:rFonts w:hint="eastAsia"/>
                <w:color w:val="auto"/>
                <w:sz w:val="21"/>
                <w:szCs w:val="21"/>
                <w:highlight w:val="none"/>
                <w:lang w:val="en-US" w:eastAsia="zh-CN" w:bidi="ar"/>
              </w:rPr>
              <w:t>（1分）</w:t>
            </w:r>
            <w:r>
              <w:rPr>
                <w:rFonts w:hint="eastAsia"/>
                <w:color w:val="auto"/>
                <w:sz w:val="21"/>
                <w:szCs w:val="21"/>
                <w:highlight w:val="none"/>
                <w:lang w:val="en-US" w:bidi="ar"/>
              </w:rPr>
              <w:t>2、质保期结束后，响应的年度维保费用低于合同金额 5%（含）的得 1 分；质保期结束后，响应的年度维保费用低于合同金额 7%（含）的得 0.5 分；质保期结束后，响应的年度维保费用高于合同金额7%（不含）的得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vAlign w:val="center"/>
          </w:tcPr>
          <w:p>
            <w:pPr>
              <w:widowControl/>
              <w:jc w:val="center"/>
              <w:rPr>
                <w:color w:val="auto"/>
                <w:sz w:val="21"/>
                <w:szCs w:val="21"/>
                <w:highlight w:val="none"/>
                <w:lang w:val="en-US" w:bidi="ar"/>
              </w:rPr>
            </w:pPr>
          </w:p>
        </w:tc>
        <w:tc>
          <w:tcPr>
            <w:tcW w:w="1469" w:type="dxa"/>
            <w:vMerge w:val="continue"/>
            <w:vAlign w:val="center"/>
          </w:tcPr>
          <w:p>
            <w:pPr>
              <w:widowControl/>
              <w:jc w:val="center"/>
              <w:rPr>
                <w:color w:val="auto"/>
                <w:sz w:val="21"/>
                <w:szCs w:val="21"/>
                <w:highlight w:val="none"/>
                <w:lang w:val="en-US" w:bidi="ar"/>
              </w:rPr>
            </w:pPr>
          </w:p>
        </w:tc>
        <w:tc>
          <w:tcPr>
            <w:tcW w:w="648" w:type="dxa"/>
            <w:vMerge w:val="continue"/>
            <w:vAlign w:val="center"/>
          </w:tcPr>
          <w:p>
            <w:pPr>
              <w:widowControl/>
              <w:jc w:val="center"/>
              <w:rPr>
                <w:color w:val="auto"/>
                <w:sz w:val="21"/>
                <w:szCs w:val="21"/>
                <w:highlight w:val="none"/>
                <w:lang w:val="en-US" w:bidi="ar"/>
              </w:rPr>
            </w:pPr>
          </w:p>
        </w:tc>
        <w:tc>
          <w:tcPr>
            <w:tcW w:w="6966" w:type="dxa"/>
            <w:vAlign w:val="center"/>
          </w:tcPr>
          <w:p>
            <w:pPr>
              <w:widowControl/>
              <w:jc w:val="both"/>
              <w:rPr>
                <w:color w:val="auto"/>
                <w:sz w:val="21"/>
                <w:szCs w:val="21"/>
                <w:highlight w:val="none"/>
                <w:lang w:val="en-US" w:bidi="ar"/>
              </w:rPr>
            </w:pPr>
            <w:r>
              <w:rPr>
                <w:rFonts w:hint="eastAsia"/>
                <w:color w:val="auto"/>
                <w:sz w:val="21"/>
                <w:szCs w:val="21"/>
                <w:highlight w:val="none"/>
                <w:lang w:val="en-US" w:eastAsia="zh-CN" w:bidi="ar"/>
              </w:rPr>
              <w:t>（1分）</w:t>
            </w:r>
            <w:r>
              <w:rPr>
                <w:rFonts w:hint="eastAsia"/>
                <w:color w:val="auto"/>
                <w:sz w:val="21"/>
                <w:szCs w:val="21"/>
                <w:highlight w:val="none"/>
                <w:lang w:val="en-US" w:bidi="ar"/>
              </w:rPr>
              <w:t>3、投标人提供的整机（该包全部品目）（含第三方设备或配件）质量保证期（保修期）在招标文件要求的基础上每多一年加 0.5 分，最多得 1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Merge w:val="continue"/>
            <w:vAlign w:val="center"/>
          </w:tcPr>
          <w:p>
            <w:pPr>
              <w:widowControl/>
              <w:jc w:val="center"/>
              <w:rPr>
                <w:color w:val="auto"/>
                <w:sz w:val="21"/>
                <w:szCs w:val="21"/>
                <w:highlight w:val="none"/>
                <w:lang w:val="en-US" w:bidi="ar"/>
              </w:rPr>
            </w:pPr>
          </w:p>
        </w:tc>
        <w:tc>
          <w:tcPr>
            <w:tcW w:w="1469" w:type="dxa"/>
            <w:vMerge w:val="continue"/>
            <w:vAlign w:val="center"/>
          </w:tcPr>
          <w:p>
            <w:pPr>
              <w:widowControl/>
              <w:jc w:val="center"/>
              <w:rPr>
                <w:color w:val="auto"/>
                <w:sz w:val="21"/>
                <w:szCs w:val="21"/>
                <w:highlight w:val="none"/>
                <w:lang w:val="en-US" w:bidi="ar"/>
              </w:rPr>
            </w:pPr>
          </w:p>
        </w:tc>
        <w:tc>
          <w:tcPr>
            <w:tcW w:w="648" w:type="dxa"/>
            <w:vMerge w:val="continue"/>
            <w:vAlign w:val="center"/>
          </w:tcPr>
          <w:p>
            <w:pPr>
              <w:widowControl/>
              <w:jc w:val="center"/>
              <w:rPr>
                <w:color w:val="auto"/>
                <w:sz w:val="21"/>
                <w:szCs w:val="21"/>
                <w:highlight w:val="none"/>
                <w:lang w:val="en-US" w:bidi="ar"/>
              </w:rPr>
            </w:pPr>
          </w:p>
        </w:tc>
        <w:tc>
          <w:tcPr>
            <w:tcW w:w="6966" w:type="dxa"/>
            <w:vAlign w:val="center"/>
          </w:tcPr>
          <w:p>
            <w:pPr>
              <w:widowControl/>
              <w:jc w:val="both"/>
              <w:rPr>
                <w:color w:val="auto"/>
                <w:sz w:val="21"/>
                <w:szCs w:val="21"/>
                <w:highlight w:val="none"/>
                <w:lang w:val="en-US" w:bidi="ar"/>
              </w:rPr>
            </w:pPr>
            <w:r>
              <w:rPr>
                <w:rFonts w:hint="eastAsia"/>
                <w:color w:val="auto"/>
                <w:sz w:val="21"/>
                <w:szCs w:val="21"/>
                <w:highlight w:val="none"/>
                <w:lang w:val="en-US" w:eastAsia="zh-CN" w:bidi="ar"/>
              </w:rPr>
              <w:t>（3分）</w:t>
            </w:r>
            <w:r>
              <w:rPr>
                <w:rFonts w:hint="eastAsia"/>
                <w:color w:val="auto"/>
                <w:sz w:val="21"/>
                <w:szCs w:val="21"/>
                <w:highlight w:val="none"/>
                <w:lang w:val="en-US" w:bidi="ar"/>
              </w:rPr>
              <w:t>4、备品、备件：针对各供应商的投标产品所能提供的易损易坏部件、以及所提供的备品备件的品种、数量或其他优惠条件等进行综合比较评审；</w:t>
            </w:r>
          </w:p>
          <w:p>
            <w:pPr>
              <w:widowControl/>
              <w:jc w:val="both"/>
              <w:rPr>
                <w:color w:val="auto"/>
                <w:sz w:val="21"/>
                <w:szCs w:val="21"/>
                <w:highlight w:val="none"/>
                <w:lang w:val="en-US" w:bidi="ar"/>
              </w:rPr>
            </w:pPr>
            <w:r>
              <w:rPr>
                <w:rFonts w:hint="eastAsia"/>
                <w:color w:val="auto"/>
                <w:sz w:val="21"/>
                <w:szCs w:val="21"/>
                <w:highlight w:val="none"/>
                <w:lang w:val="en-US" w:bidi="ar"/>
              </w:rPr>
              <w:t>1）提供的投标产品的易损易坏部件以及备品备件的品种、数量较多，优于产品需求，其他优惠条件优厚的得3分；</w:t>
            </w:r>
          </w:p>
          <w:p>
            <w:pPr>
              <w:widowControl/>
              <w:jc w:val="both"/>
              <w:rPr>
                <w:color w:val="auto"/>
                <w:sz w:val="21"/>
                <w:szCs w:val="21"/>
                <w:highlight w:val="none"/>
                <w:lang w:val="en-US" w:bidi="ar"/>
              </w:rPr>
            </w:pPr>
            <w:r>
              <w:rPr>
                <w:rFonts w:hint="eastAsia"/>
                <w:color w:val="auto"/>
                <w:sz w:val="21"/>
                <w:szCs w:val="21"/>
                <w:highlight w:val="none"/>
                <w:lang w:val="en-US" w:bidi="ar"/>
              </w:rPr>
              <w:t>2）提供的投标产品的易损易坏部件以及备品备件的品种、数量一般，基本满足产品需求，有其他优惠条件的得2分；</w:t>
            </w:r>
          </w:p>
          <w:p>
            <w:pPr>
              <w:widowControl/>
              <w:jc w:val="both"/>
              <w:rPr>
                <w:color w:val="auto"/>
                <w:sz w:val="21"/>
                <w:szCs w:val="21"/>
                <w:highlight w:val="none"/>
                <w:lang w:val="en-US"/>
              </w:rPr>
            </w:pPr>
            <w:r>
              <w:rPr>
                <w:rFonts w:hint="eastAsia"/>
                <w:color w:val="auto"/>
                <w:sz w:val="21"/>
                <w:szCs w:val="21"/>
                <w:highlight w:val="none"/>
                <w:lang w:val="en-US" w:bidi="ar"/>
              </w:rPr>
              <w:t>3）有提供投标产品的易损易坏部件以及备品备件的品种、数量的得1分；</w:t>
            </w:r>
          </w:p>
          <w:p>
            <w:pPr>
              <w:widowControl/>
              <w:jc w:val="both"/>
              <w:rPr>
                <w:color w:val="auto"/>
                <w:sz w:val="21"/>
                <w:szCs w:val="21"/>
                <w:highlight w:val="none"/>
                <w:lang w:val="en-US" w:bidi="ar"/>
              </w:rPr>
            </w:pPr>
            <w:r>
              <w:rPr>
                <w:rFonts w:hint="eastAsia"/>
                <w:color w:val="auto"/>
                <w:sz w:val="21"/>
                <w:szCs w:val="21"/>
                <w:highlight w:val="none"/>
                <w:lang w:val="en-US" w:bidi="ar"/>
              </w:rPr>
              <w:t>4）没有提供投标产品的易损易坏部件以及备品备件的品种、数量的得0分。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5</w:t>
            </w:r>
          </w:p>
        </w:tc>
        <w:tc>
          <w:tcPr>
            <w:tcW w:w="1469"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“节能产品政府采购清单”和“环境标志产品政府采购清单”</w:t>
            </w:r>
          </w:p>
        </w:tc>
        <w:tc>
          <w:tcPr>
            <w:tcW w:w="64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1分</w:t>
            </w:r>
          </w:p>
        </w:tc>
        <w:tc>
          <w:tcPr>
            <w:tcW w:w="6966" w:type="dxa"/>
            <w:vAlign w:val="center"/>
          </w:tcPr>
          <w:p>
            <w:pPr>
              <w:widowControl/>
              <w:jc w:val="both"/>
              <w:rPr>
                <w:color w:val="auto"/>
                <w:sz w:val="21"/>
                <w:szCs w:val="21"/>
                <w:highlight w:val="none"/>
                <w:lang w:val="en-US" w:bidi="ar"/>
              </w:rPr>
            </w:pPr>
            <w:r>
              <w:rPr>
                <w:rFonts w:hint="eastAsia"/>
                <w:color w:val="auto"/>
                <w:sz w:val="21"/>
                <w:szCs w:val="21"/>
                <w:highlight w:val="none"/>
                <w:lang w:val="en-US" w:bidi="ar"/>
              </w:rPr>
              <w:t xml:space="preserve">政府采购的强制产品除外： </w:t>
            </w:r>
          </w:p>
          <w:p>
            <w:pPr>
              <w:widowControl/>
              <w:jc w:val="both"/>
              <w:rPr>
                <w:color w:val="auto"/>
                <w:sz w:val="21"/>
                <w:szCs w:val="21"/>
                <w:highlight w:val="none"/>
                <w:lang w:val="en-US" w:bidi="ar"/>
              </w:rPr>
            </w:pPr>
            <w:r>
              <w:rPr>
                <w:rFonts w:hint="eastAsia"/>
                <w:color w:val="auto"/>
                <w:sz w:val="21"/>
                <w:szCs w:val="21"/>
                <w:highlight w:val="none"/>
                <w:lang w:val="en-US" w:bidi="ar"/>
              </w:rPr>
              <w:t>投标产品属于</w:t>
            </w:r>
            <w:r>
              <w:rPr>
                <w:color w:val="auto"/>
                <w:sz w:val="21"/>
                <w:szCs w:val="21"/>
                <w:highlight w:val="none"/>
                <w:lang w:val="en-US" w:bidi="ar"/>
              </w:rPr>
              <w:t>“</w:t>
            </w:r>
            <w:r>
              <w:rPr>
                <w:rFonts w:hint="eastAsia"/>
                <w:color w:val="auto"/>
                <w:sz w:val="21"/>
                <w:szCs w:val="21"/>
                <w:highlight w:val="none"/>
                <w:lang w:val="en-US" w:bidi="ar"/>
              </w:rPr>
              <w:t>节能产品政府采购清单</w:t>
            </w:r>
            <w:r>
              <w:rPr>
                <w:color w:val="auto"/>
                <w:sz w:val="21"/>
                <w:szCs w:val="21"/>
                <w:highlight w:val="none"/>
                <w:lang w:val="en-US" w:bidi="ar"/>
              </w:rPr>
              <w:t>”</w:t>
            </w:r>
            <w:r>
              <w:rPr>
                <w:rFonts w:hint="eastAsia"/>
                <w:color w:val="auto"/>
                <w:sz w:val="21"/>
                <w:szCs w:val="21"/>
                <w:highlight w:val="none"/>
                <w:lang w:val="en-US" w:bidi="ar"/>
              </w:rPr>
              <w:t>产品的，且认证证书在有效截止日期内，得 0.5</w:t>
            </w:r>
            <w:r>
              <w:rPr>
                <w:color w:val="auto"/>
                <w:sz w:val="21"/>
                <w:szCs w:val="21"/>
                <w:highlight w:val="none"/>
                <w:lang w:val="en-US" w:bidi="ar"/>
              </w:rPr>
              <w:t xml:space="preserve"> </w:t>
            </w:r>
            <w:r>
              <w:rPr>
                <w:rFonts w:hint="eastAsia"/>
                <w:color w:val="auto"/>
                <w:sz w:val="21"/>
                <w:szCs w:val="21"/>
                <w:highlight w:val="none"/>
                <w:lang w:val="en-US" w:bidi="ar"/>
              </w:rPr>
              <w:t xml:space="preserve">分；不是的为 </w:t>
            </w:r>
            <w:r>
              <w:rPr>
                <w:color w:val="auto"/>
                <w:sz w:val="21"/>
                <w:szCs w:val="21"/>
                <w:highlight w:val="none"/>
                <w:lang w:val="en-US" w:bidi="ar"/>
              </w:rPr>
              <w:t xml:space="preserve">0 </w:t>
            </w:r>
            <w:r>
              <w:rPr>
                <w:rFonts w:hint="eastAsia"/>
                <w:color w:val="auto"/>
                <w:sz w:val="21"/>
                <w:szCs w:val="21"/>
                <w:highlight w:val="none"/>
                <w:lang w:val="en-US" w:bidi="ar"/>
              </w:rPr>
              <w:t xml:space="preserve">分； </w:t>
            </w:r>
          </w:p>
          <w:p>
            <w:pPr>
              <w:widowControl/>
              <w:jc w:val="both"/>
              <w:rPr>
                <w:color w:val="auto"/>
                <w:sz w:val="21"/>
                <w:szCs w:val="21"/>
                <w:highlight w:val="none"/>
                <w:lang w:val="en-US" w:bidi="ar"/>
              </w:rPr>
            </w:pPr>
            <w:r>
              <w:rPr>
                <w:rFonts w:hint="eastAsia"/>
                <w:color w:val="auto"/>
                <w:sz w:val="21"/>
                <w:szCs w:val="21"/>
                <w:highlight w:val="none"/>
                <w:lang w:val="en-US" w:bidi="ar"/>
              </w:rPr>
              <w:t>投标产品属于</w:t>
            </w:r>
            <w:r>
              <w:rPr>
                <w:color w:val="auto"/>
                <w:sz w:val="21"/>
                <w:szCs w:val="21"/>
                <w:highlight w:val="none"/>
                <w:lang w:val="en-US" w:bidi="ar"/>
              </w:rPr>
              <w:t>“</w:t>
            </w:r>
            <w:r>
              <w:rPr>
                <w:rFonts w:hint="eastAsia"/>
                <w:color w:val="auto"/>
                <w:sz w:val="21"/>
                <w:szCs w:val="21"/>
                <w:highlight w:val="none"/>
                <w:lang w:val="en-US" w:bidi="ar"/>
              </w:rPr>
              <w:t>环境标志产品政府采购清单</w:t>
            </w:r>
            <w:r>
              <w:rPr>
                <w:color w:val="auto"/>
                <w:sz w:val="21"/>
                <w:szCs w:val="21"/>
                <w:highlight w:val="none"/>
                <w:lang w:val="en-US" w:bidi="ar"/>
              </w:rPr>
              <w:t>”</w:t>
            </w:r>
            <w:r>
              <w:rPr>
                <w:rFonts w:hint="eastAsia"/>
                <w:color w:val="auto"/>
                <w:sz w:val="21"/>
                <w:szCs w:val="21"/>
                <w:highlight w:val="none"/>
                <w:lang w:val="en-US" w:bidi="ar"/>
              </w:rPr>
              <w:t>产品的，且认证证书在有效截止日期内，得 0.5</w:t>
            </w:r>
            <w:r>
              <w:rPr>
                <w:color w:val="auto"/>
                <w:sz w:val="21"/>
                <w:szCs w:val="21"/>
                <w:highlight w:val="none"/>
                <w:lang w:val="en-US" w:bidi="ar"/>
              </w:rPr>
              <w:t xml:space="preserve"> </w:t>
            </w:r>
            <w:r>
              <w:rPr>
                <w:rFonts w:hint="eastAsia"/>
                <w:color w:val="auto"/>
                <w:sz w:val="21"/>
                <w:szCs w:val="21"/>
                <w:highlight w:val="none"/>
                <w:lang w:val="en-US" w:bidi="ar"/>
              </w:rPr>
              <w:t xml:space="preserve">分；不是的为 </w:t>
            </w:r>
            <w:r>
              <w:rPr>
                <w:color w:val="auto"/>
                <w:sz w:val="21"/>
                <w:szCs w:val="21"/>
                <w:highlight w:val="none"/>
                <w:lang w:val="en-US" w:bidi="ar"/>
              </w:rPr>
              <w:t xml:space="preserve">0 </w:t>
            </w:r>
            <w:r>
              <w:rPr>
                <w:rFonts w:hint="eastAsia"/>
                <w:color w:val="auto"/>
                <w:sz w:val="21"/>
                <w:szCs w:val="21"/>
                <w:highlight w:val="none"/>
                <w:lang w:val="en-US" w:bidi="ar"/>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160" w:type="dxa"/>
            <w:gridSpan w:val="2"/>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合计</w:t>
            </w:r>
          </w:p>
        </w:tc>
        <w:tc>
          <w:tcPr>
            <w:tcW w:w="648"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20分</w:t>
            </w:r>
          </w:p>
        </w:tc>
        <w:tc>
          <w:tcPr>
            <w:tcW w:w="6966" w:type="dxa"/>
            <w:vAlign w:val="center"/>
          </w:tcPr>
          <w:p>
            <w:pPr>
              <w:widowControl/>
              <w:jc w:val="both"/>
              <w:rPr>
                <w:color w:val="auto"/>
                <w:sz w:val="21"/>
                <w:szCs w:val="21"/>
                <w:highlight w:val="none"/>
                <w:lang w:val="en-US" w:bidi="ar"/>
              </w:rPr>
            </w:pPr>
          </w:p>
        </w:tc>
      </w:tr>
    </w:tbl>
    <w:p>
      <w:pPr>
        <w:jc w:val="center"/>
        <w:rPr>
          <w:b/>
          <w:bCs/>
          <w:color w:val="auto"/>
          <w:sz w:val="24"/>
          <w:szCs w:val="24"/>
          <w:highlight w:val="none"/>
          <w:lang w:val="en-US"/>
        </w:rPr>
      </w:pPr>
      <w:r>
        <w:rPr>
          <w:rFonts w:hint="eastAsia"/>
          <w:b/>
          <w:bCs/>
          <w:color w:val="auto"/>
          <w:sz w:val="24"/>
          <w:szCs w:val="24"/>
          <w:highlight w:val="none"/>
          <w:lang w:val="en-US"/>
        </w:rPr>
        <w:t>技术部分</w:t>
      </w:r>
      <w:r>
        <w:rPr>
          <w:rFonts w:hint="eastAsia"/>
          <w:b/>
          <w:bCs/>
          <w:color w:val="auto"/>
          <w:sz w:val="24"/>
          <w:szCs w:val="24"/>
          <w:highlight w:val="none"/>
          <w:lang w:val="en-US" w:eastAsia="zh-CN"/>
        </w:rPr>
        <w:t>50</w:t>
      </w:r>
      <w:r>
        <w:rPr>
          <w:rFonts w:hint="eastAsia"/>
          <w:b/>
          <w:bCs/>
          <w:color w:val="auto"/>
          <w:sz w:val="24"/>
          <w:szCs w:val="24"/>
          <w:highlight w:val="none"/>
          <w:lang w:val="en-US"/>
        </w:rPr>
        <w:t>分</w:t>
      </w:r>
    </w:p>
    <w:tbl>
      <w:tblPr>
        <w:tblStyle w:val="29"/>
        <w:tblW w:w="9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1469"/>
        <w:gridCol w:w="663"/>
        <w:gridCol w:w="6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91" w:type="dxa"/>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序号</w:t>
            </w:r>
          </w:p>
        </w:tc>
        <w:tc>
          <w:tcPr>
            <w:tcW w:w="1469" w:type="dxa"/>
            <w:vAlign w:val="center"/>
          </w:tcPr>
          <w:p>
            <w:pPr>
              <w:adjustRightInd w:val="0"/>
              <w:jc w:val="center"/>
              <w:rPr>
                <w:color w:val="auto"/>
                <w:sz w:val="21"/>
                <w:szCs w:val="21"/>
                <w:highlight w:val="none"/>
                <w:lang w:val="en-US" w:bidi="ar-SA"/>
              </w:rPr>
            </w:pPr>
            <w:r>
              <w:rPr>
                <w:rFonts w:hint="eastAsia"/>
                <w:b/>
                <w:bCs/>
                <w:color w:val="auto"/>
                <w:sz w:val="21"/>
                <w:szCs w:val="21"/>
                <w:highlight w:val="none"/>
                <w:lang w:val="en-US" w:bidi="ar-SA"/>
              </w:rPr>
              <w:t>评审内容</w:t>
            </w:r>
          </w:p>
        </w:tc>
        <w:tc>
          <w:tcPr>
            <w:tcW w:w="663" w:type="dxa"/>
            <w:vAlign w:val="center"/>
          </w:tcPr>
          <w:p>
            <w:pPr>
              <w:adjustRightInd w:val="0"/>
              <w:jc w:val="center"/>
              <w:rPr>
                <w:color w:val="auto"/>
                <w:kern w:val="2"/>
                <w:sz w:val="21"/>
                <w:szCs w:val="21"/>
                <w:highlight w:val="none"/>
                <w:lang w:val="en-US" w:bidi="ar-SA"/>
              </w:rPr>
            </w:pPr>
            <w:r>
              <w:rPr>
                <w:rFonts w:hint="eastAsia"/>
                <w:b/>
                <w:bCs/>
                <w:color w:val="auto"/>
                <w:kern w:val="2"/>
                <w:sz w:val="21"/>
                <w:szCs w:val="21"/>
                <w:highlight w:val="none"/>
                <w:lang w:val="en-US" w:bidi="ar-SA"/>
              </w:rPr>
              <w:t>分值</w:t>
            </w:r>
          </w:p>
        </w:tc>
        <w:tc>
          <w:tcPr>
            <w:tcW w:w="6955" w:type="dxa"/>
            <w:vAlign w:val="center"/>
          </w:tcPr>
          <w:p>
            <w:pPr>
              <w:adjustRightInd w:val="0"/>
              <w:jc w:val="center"/>
              <w:rPr>
                <w:color w:val="auto"/>
                <w:sz w:val="21"/>
                <w:szCs w:val="21"/>
                <w:highlight w:val="none"/>
                <w:lang w:val="en-US" w:bidi="ar"/>
              </w:rPr>
            </w:pPr>
            <w:r>
              <w:rPr>
                <w:rFonts w:hint="eastAsia"/>
                <w:b/>
                <w:bCs/>
                <w:color w:val="auto"/>
                <w:kern w:val="2"/>
                <w:sz w:val="21"/>
                <w:szCs w:val="21"/>
                <w:highlight w:val="none"/>
                <w:lang w:val="en-US" w:bidi="ar-SA"/>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1</w:t>
            </w:r>
          </w:p>
        </w:tc>
        <w:tc>
          <w:tcPr>
            <w:tcW w:w="1469"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产品技术参数响应</w:t>
            </w:r>
          </w:p>
        </w:tc>
        <w:tc>
          <w:tcPr>
            <w:tcW w:w="663"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30分</w:t>
            </w:r>
          </w:p>
        </w:tc>
        <w:tc>
          <w:tcPr>
            <w:tcW w:w="6955" w:type="dxa"/>
            <w:vAlign w:val="center"/>
          </w:tcPr>
          <w:p>
            <w:pPr>
              <w:widowControl/>
              <w:jc w:val="both"/>
              <w:rPr>
                <w:color w:val="auto"/>
                <w:sz w:val="21"/>
                <w:szCs w:val="21"/>
                <w:highlight w:val="none"/>
                <w:lang w:bidi="ar"/>
              </w:rPr>
            </w:pPr>
            <w:r>
              <w:rPr>
                <w:rFonts w:hint="eastAsia"/>
                <w:color w:val="auto"/>
                <w:sz w:val="21"/>
                <w:szCs w:val="21"/>
                <w:highlight w:val="none"/>
                <w:lang w:val="en-US" w:bidi="ar"/>
              </w:rPr>
              <w:t>全部满足招标文件《采购需求》中的产品技术参数要求的得 30 分；带“★”项指标存在负偏离的为</w:t>
            </w:r>
            <w:r>
              <w:rPr>
                <w:rFonts w:hint="eastAsia"/>
                <w:color w:val="auto"/>
                <w:kern w:val="2"/>
                <w:sz w:val="21"/>
                <w:szCs w:val="21"/>
                <w:highlight w:val="none"/>
                <w:lang w:val="en-US" w:bidi="ar-SA"/>
              </w:rPr>
              <w:t>投标无效</w:t>
            </w:r>
            <w:r>
              <w:rPr>
                <w:rFonts w:hint="eastAsia"/>
                <w:color w:val="auto"/>
                <w:sz w:val="21"/>
                <w:szCs w:val="21"/>
                <w:highlight w:val="none"/>
                <w:lang w:val="en-US" w:bidi="ar"/>
              </w:rPr>
              <w:t>；未带“★”项指标存在负偏离的一项扣 1 分，扣完为止。（带★指标需提供厂家证明材料复印件并加盖厂家公章，不提供视为不满足。）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1"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2</w:t>
            </w:r>
          </w:p>
        </w:tc>
        <w:tc>
          <w:tcPr>
            <w:tcW w:w="1469"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对投标产品整体性能的评价</w:t>
            </w:r>
          </w:p>
        </w:tc>
        <w:tc>
          <w:tcPr>
            <w:tcW w:w="663" w:type="dxa"/>
            <w:vAlign w:val="center"/>
          </w:tcPr>
          <w:p>
            <w:pPr>
              <w:widowControl/>
              <w:jc w:val="center"/>
              <w:rPr>
                <w:color w:val="auto"/>
                <w:sz w:val="21"/>
                <w:szCs w:val="21"/>
                <w:highlight w:val="none"/>
                <w:lang w:val="en-US" w:bidi="ar"/>
              </w:rPr>
            </w:pPr>
            <w:r>
              <w:rPr>
                <w:rFonts w:hint="eastAsia"/>
                <w:color w:val="auto"/>
                <w:sz w:val="21"/>
                <w:szCs w:val="21"/>
                <w:highlight w:val="none"/>
                <w:lang w:val="en-US" w:bidi="ar"/>
              </w:rPr>
              <w:t>5分</w:t>
            </w:r>
          </w:p>
        </w:tc>
        <w:tc>
          <w:tcPr>
            <w:tcW w:w="6955" w:type="dxa"/>
            <w:vAlign w:val="center"/>
          </w:tcPr>
          <w:p>
            <w:pPr>
              <w:widowControl/>
              <w:jc w:val="both"/>
              <w:rPr>
                <w:color w:val="auto"/>
                <w:sz w:val="21"/>
                <w:szCs w:val="21"/>
                <w:highlight w:val="none"/>
                <w:lang w:val="en-US" w:bidi="ar"/>
              </w:rPr>
            </w:pPr>
            <w:r>
              <w:rPr>
                <w:rFonts w:hint="eastAsia"/>
                <w:color w:val="auto"/>
                <w:sz w:val="21"/>
                <w:szCs w:val="21"/>
                <w:highlight w:val="none"/>
                <w:lang w:val="en-US" w:bidi="ar"/>
              </w:rPr>
              <w:t>根据招标文件要求结合项目需求，对投标产品选型过程中，提供的投标产品的功能、质量、产品配置、性能优良，并满足用户对产品功能、质量、使用、操作等方面的需求进行评价，其中：</w:t>
            </w:r>
          </w:p>
          <w:p>
            <w:pPr>
              <w:widowControl/>
              <w:jc w:val="both"/>
              <w:rPr>
                <w:color w:val="auto"/>
                <w:sz w:val="21"/>
                <w:szCs w:val="21"/>
                <w:highlight w:val="none"/>
                <w:lang w:val="en-US" w:bidi="ar"/>
              </w:rPr>
            </w:pPr>
            <w:r>
              <w:rPr>
                <w:color w:val="auto"/>
                <w:sz w:val="21"/>
                <w:szCs w:val="21"/>
                <w:highlight w:val="none"/>
                <w:lang w:val="en-US" w:bidi="ar"/>
              </w:rPr>
              <w:t>1</w:t>
            </w:r>
            <w:r>
              <w:rPr>
                <w:rFonts w:hint="eastAsia"/>
                <w:color w:val="auto"/>
                <w:sz w:val="21"/>
                <w:szCs w:val="21"/>
                <w:highlight w:val="none"/>
                <w:lang w:val="en-US" w:bidi="ar"/>
              </w:rPr>
              <w:t>）投标产品整体技术性能、质量、使用及操作方法满足或优于项目需求，得 5</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2</w:t>
            </w:r>
            <w:r>
              <w:rPr>
                <w:rFonts w:hint="eastAsia"/>
                <w:color w:val="auto"/>
                <w:sz w:val="21"/>
                <w:szCs w:val="21"/>
                <w:highlight w:val="none"/>
                <w:lang w:val="en-US" w:bidi="ar"/>
              </w:rPr>
              <w:t>）投标产品整体技术性能、质量、使用及操作方法基本满足项目需求，得 3</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3</w:t>
            </w:r>
            <w:r>
              <w:rPr>
                <w:rFonts w:hint="eastAsia"/>
                <w:color w:val="auto"/>
                <w:sz w:val="21"/>
                <w:szCs w:val="21"/>
                <w:highlight w:val="none"/>
                <w:lang w:val="en-US" w:bidi="ar"/>
              </w:rPr>
              <w:t>）投标产品整体技术性能、质量、使用及操作方法与项目需求相差较多得 1</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both"/>
              <w:rPr>
                <w:color w:val="auto"/>
                <w:sz w:val="21"/>
                <w:szCs w:val="21"/>
                <w:highlight w:val="none"/>
                <w:lang w:bidi="ar"/>
              </w:rPr>
            </w:pPr>
            <w:r>
              <w:rPr>
                <w:rFonts w:hint="eastAsia"/>
                <w:color w:val="auto"/>
                <w:sz w:val="21"/>
                <w:szCs w:val="21"/>
                <w:highlight w:val="none"/>
                <w:lang w:val="en-US" w:bidi="ar"/>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3</w:t>
            </w:r>
          </w:p>
        </w:tc>
        <w:tc>
          <w:tcPr>
            <w:tcW w:w="1469"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安装调试方案</w:t>
            </w:r>
          </w:p>
        </w:tc>
        <w:tc>
          <w:tcPr>
            <w:tcW w:w="663"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5分</w:t>
            </w:r>
          </w:p>
        </w:tc>
        <w:tc>
          <w:tcPr>
            <w:tcW w:w="6955" w:type="dxa"/>
            <w:vAlign w:val="center"/>
          </w:tcPr>
          <w:p>
            <w:pPr>
              <w:widowControl/>
              <w:jc w:val="both"/>
              <w:rPr>
                <w:color w:val="auto"/>
                <w:sz w:val="21"/>
                <w:szCs w:val="21"/>
                <w:highlight w:val="none"/>
                <w:lang w:val="en-US" w:bidi="ar"/>
              </w:rPr>
            </w:pPr>
            <w:r>
              <w:rPr>
                <w:rFonts w:hint="eastAsia"/>
                <w:color w:val="auto"/>
                <w:sz w:val="21"/>
                <w:szCs w:val="21"/>
                <w:highlight w:val="none"/>
                <w:lang w:val="en-US" w:bidi="ar"/>
              </w:rPr>
              <w:t xml:space="preserve">对投标人响应的系统安装、调试、试运行、产品/系统质量承诺的完整性、合理性进行评价，其中： </w:t>
            </w:r>
          </w:p>
          <w:p>
            <w:pPr>
              <w:widowControl/>
              <w:jc w:val="both"/>
              <w:rPr>
                <w:color w:val="auto"/>
                <w:sz w:val="21"/>
                <w:szCs w:val="21"/>
                <w:highlight w:val="none"/>
                <w:lang w:val="en-US" w:bidi="ar"/>
              </w:rPr>
            </w:pPr>
            <w:r>
              <w:rPr>
                <w:color w:val="auto"/>
                <w:sz w:val="21"/>
                <w:szCs w:val="21"/>
                <w:highlight w:val="none"/>
                <w:lang w:val="en-US" w:bidi="ar"/>
              </w:rPr>
              <w:t>1</w:t>
            </w:r>
            <w:r>
              <w:rPr>
                <w:rFonts w:hint="eastAsia"/>
                <w:color w:val="auto"/>
                <w:sz w:val="21"/>
                <w:szCs w:val="21"/>
                <w:highlight w:val="none"/>
                <w:lang w:val="en-US" w:bidi="ar"/>
              </w:rPr>
              <w:t>）能根据本项目实际情况提出方案，且安装调试方案科学、合理、安装程序与进度保障措施完善的得 5</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both"/>
              <w:rPr>
                <w:color w:val="auto"/>
                <w:sz w:val="21"/>
                <w:szCs w:val="21"/>
                <w:highlight w:val="none"/>
                <w:lang w:val="en-US" w:bidi="ar"/>
              </w:rPr>
            </w:pPr>
            <w:r>
              <w:rPr>
                <w:color w:val="auto"/>
                <w:sz w:val="21"/>
                <w:szCs w:val="21"/>
                <w:highlight w:val="none"/>
                <w:lang w:val="en-US" w:bidi="ar"/>
              </w:rPr>
              <w:t>2</w:t>
            </w:r>
            <w:r>
              <w:rPr>
                <w:rFonts w:hint="eastAsia"/>
                <w:color w:val="auto"/>
                <w:sz w:val="21"/>
                <w:szCs w:val="21"/>
                <w:highlight w:val="none"/>
                <w:lang w:val="en-US" w:bidi="ar"/>
              </w:rPr>
              <w:t xml:space="preserve">）安装调试方案基本可行、具备安装程序与进度保障措施的得 3 分； </w:t>
            </w:r>
          </w:p>
          <w:p>
            <w:pPr>
              <w:widowControl/>
              <w:jc w:val="both"/>
              <w:rPr>
                <w:color w:val="auto"/>
                <w:sz w:val="21"/>
                <w:szCs w:val="21"/>
                <w:highlight w:val="none"/>
                <w:lang w:val="en-US" w:bidi="ar"/>
              </w:rPr>
            </w:pPr>
            <w:r>
              <w:rPr>
                <w:color w:val="auto"/>
                <w:sz w:val="21"/>
                <w:szCs w:val="21"/>
                <w:highlight w:val="none"/>
                <w:lang w:val="en-US" w:bidi="ar"/>
              </w:rPr>
              <w:t>3</w:t>
            </w:r>
            <w:r>
              <w:rPr>
                <w:rFonts w:hint="eastAsia"/>
                <w:color w:val="auto"/>
                <w:sz w:val="21"/>
                <w:szCs w:val="21"/>
                <w:highlight w:val="none"/>
                <w:lang w:val="en-US" w:bidi="ar"/>
              </w:rPr>
              <w:t>）安装调试方案不完善、安装程序与进度保障措施考虑不周全的得 1</w:t>
            </w:r>
            <w:r>
              <w:rPr>
                <w:color w:val="auto"/>
                <w:sz w:val="21"/>
                <w:szCs w:val="21"/>
                <w:highlight w:val="none"/>
                <w:lang w:val="en-US" w:bidi="ar"/>
              </w:rPr>
              <w:t xml:space="preserve"> </w:t>
            </w:r>
            <w:r>
              <w:rPr>
                <w:rFonts w:hint="eastAsia"/>
                <w:color w:val="auto"/>
                <w:sz w:val="21"/>
                <w:szCs w:val="21"/>
                <w:highlight w:val="none"/>
                <w:lang w:val="en-US" w:bidi="ar"/>
              </w:rPr>
              <w:t>分；</w:t>
            </w:r>
          </w:p>
          <w:p>
            <w:pPr>
              <w:widowControl/>
              <w:jc w:val="both"/>
              <w:rPr>
                <w:color w:val="auto"/>
                <w:sz w:val="21"/>
                <w:szCs w:val="21"/>
                <w:highlight w:val="none"/>
                <w:lang w:bidi="ar"/>
              </w:rPr>
            </w:pPr>
            <w:r>
              <w:rPr>
                <w:rFonts w:hint="eastAsia"/>
                <w:color w:val="auto"/>
                <w:sz w:val="21"/>
                <w:szCs w:val="21"/>
                <w:highlight w:val="none"/>
                <w:lang w:val="en-US" w:bidi="ar"/>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4</w:t>
            </w:r>
          </w:p>
        </w:tc>
        <w:tc>
          <w:tcPr>
            <w:tcW w:w="1469"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实施方案</w:t>
            </w:r>
          </w:p>
        </w:tc>
        <w:tc>
          <w:tcPr>
            <w:tcW w:w="663"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10分</w:t>
            </w:r>
          </w:p>
        </w:tc>
        <w:tc>
          <w:tcPr>
            <w:tcW w:w="6955" w:type="dxa"/>
            <w:vAlign w:val="center"/>
          </w:tcPr>
          <w:p>
            <w:pPr>
              <w:widowControl/>
              <w:jc w:val="both"/>
              <w:rPr>
                <w:color w:val="auto"/>
                <w:sz w:val="21"/>
                <w:szCs w:val="21"/>
                <w:highlight w:val="none"/>
                <w:lang w:val="en-US" w:bidi="ar"/>
              </w:rPr>
            </w:pPr>
            <w:r>
              <w:rPr>
                <w:rFonts w:hint="eastAsia"/>
                <w:color w:val="auto"/>
                <w:sz w:val="21"/>
                <w:szCs w:val="21"/>
                <w:highlight w:val="none"/>
                <w:lang w:val="en-US" w:bidi="ar"/>
              </w:rPr>
              <w:t>根据供应商针对本项目提供的实施方案、验收方案、培训方案（包括但不限于项目人员组成及实施、时间进度安排、验收方案、人员技术培训等）综合打分：根据投标人提供的项目安装实施及验收方案（包括：实施环境、项目实施计划、验收方案、项目团队职责等）进行评分：</w:t>
            </w:r>
          </w:p>
          <w:p>
            <w:pPr>
              <w:widowControl/>
              <w:jc w:val="both"/>
              <w:rPr>
                <w:color w:val="auto"/>
                <w:sz w:val="21"/>
                <w:szCs w:val="21"/>
                <w:highlight w:val="none"/>
                <w:lang w:val="en-US" w:bidi="ar"/>
              </w:rPr>
            </w:pPr>
            <w:r>
              <w:rPr>
                <w:rFonts w:hint="eastAsia"/>
                <w:color w:val="auto"/>
                <w:sz w:val="21"/>
                <w:szCs w:val="21"/>
                <w:highlight w:val="none"/>
                <w:lang w:val="en-US" w:bidi="ar"/>
              </w:rPr>
              <w:t>1）方案内容详细完善，可操作性强，得 10 分；</w:t>
            </w:r>
          </w:p>
          <w:p>
            <w:pPr>
              <w:widowControl/>
              <w:jc w:val="both"/>
              <w:rPr>
                <w:color w:val="auto"/>
                <w:sz w:val="21"/>
                <w:szCs w:val="21"/>
                <w:highlight w:val="none"/>
                <w:lang w:val="en-US" w:bidi="ar"/>
              </w:rPr>
            </w:pPr>
            <w:r>
              <w:rPr>
                <w:rFonts w:hint="eastAsia"/>
                <w:color w:val="auto"/>
                <w:sz w:val="21"/>
                <w:szCs w:val="21"/>
                <w:highlight w:val="none"/>
                <w:lang w:val="en-US" w:bidi="ar"/>
              </w:rPr>
              <w:t xml:space="preserve">2）方案内容基本完整，可操作性能满足项目基本要求，得 7 分； </w:t>
            </w:r>
          </w:p>
          <w:p>
            <w:pPr>
              <w:widowControl/>
              <w:jc w:val="both"/>
              <w:rPr>
                <w:color w:val="auto"/>
                <w:sz w:val="21"/>
                <w:szCs w:val="21"/>
                <w:highlight w:val="none"/>
                <w:lang w:val="en-US" w:bidi="ar"/>
              </w:rPr>
            </w:pPr>
            <w:r>
              <w:rPr>
                <w:rFonts w:hint="eastAsia"/>
                <w:color w:val="auto"/>
                <w:sz w:val="21"/>
                <w:szCs w:val="21"/>
                <w:highlight w:val="none"/>
                <w:lang w:val="en-US" w:bidi="ar"/>
              </w:rPr>
              <w:t>3）方案内容一般，得 4 分；</w:t>
            </w:r>
          </w:p>
          <w:p>
            <w:pPr>
              <w:widowControl/>
              <w:jc w:val="both"/>
              <w:rPr>
                <w:color w:val="auto"/>
                <w:sz w:val="21"/>
                <w:szCs w:val="21"/>
                <w:highlight w:val="none"/>
                <w:lang w:bidi="ar"/>
              </w:rPr>
            </w:pPr>
            <w:r>
              <w:rPr>
                <w:rFonts w:hint="eastAsia"/>
                <w:color w:val="auto"/>
                <w:sz w:val="21"/>
                <w:szCs w:val="21"/>
                <w:highlight w:val="none"/>
                <w:lang w:val="en-US" w:bidi="ar"/>
              </w:rPr>
              <w:t>4）未提供得 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160" w:type="dxa"/>
            <w:gridSpan w:val="2"/>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合计</w:t>
            </w:r>
          </w:p>
        </w:tc>
        <w:tc>
          <w:tcPr>
            <w:tcW w:w="663" w:type="dxa"/>
            <w:vAlign w:val="center"/>
          </w:tcPr>
          <w:p>
            <w:pPr>
              <w:adjustRightInd w:val="0"/>
              <w:jc w:val="center"/>
              <w:rPr>
                <w:color w:val="auto"/>
                <w:kern w:val="2"/>
                <w:sz w:val="21"/>
                <w:szCs w:val="21"/>
                <w:highlight w:val="none"/>
                <w:lang w:val="en-US" w:bidi="ar-SA"/>
              </w:rPr>
            </w:pPr>
            <w:r>
              <w:rPr>
                <w:rFonts w:hint="eastAsia"/>
                <w:color w:val="auto"/>
                <w:kern w:val="2"/>
                <w:sz w:val="21"/>
                <w:szCs w:val="21"/>
                <w:highlight w:val="none"/>
                <w:lang w:val="en-US" w:bidi="ar-SA"/>
              </w:rPr>
              <w:t>50分</w:t>
            </w:r>
          </w:p>
        </w:tc>
        <w:tc>
          <w:tcPr>
            <w:tcW w:w="6955" w:type="dxa"/>
            <w:vAlign w:val="center"/>
          </w:tcPr>
          <w:p>
            <w:pPr>
              <w:widowControl/>
              <w:jc w:val="both"/>
              <w:rPr>
                <w:color w:val="auto"/>
                <w:sz w:val="21"/>
                <w:szCs w:val="21"/>
                <w:highlight w:val="none"/>
                <w:lang w:val="en-US"/>
              </w:rPr>
            </w:pPr>
          </w:p>
        </w:tc>
      </w:tr>
    </w:tbl>
    <w:p>
      <w:pPr>
        <w:adjustRightInd w:val="0"/>
        <w:jc w:val="both"/>
        <w:rPr>
          <w:color w:val="auto"/>
          <w:kern w:val="2"/>
          <w:sz w:val="18"/>
          <w:szCs w:val="21"/>
          <w:highlight w:val="none"/>
          <w:lang w:val="en-US" w:bidi="ar-SA"/>
        </w:rPr>
      </w:pPr>
    </w:p>
    <w:p>
      <w:pPr>
        <w:rPr>
          <w:color w:val="auto"/>
          <w:sz w:val="21"/>
          <w:szCs w:val="20"/>
          <w:highlight w:val="none"/>
        </w:rPr>
      </w:pPr>
      <w:r>
        <w:rPr>
          <w:rFonts w:hint="eastAsia"/>
          <w:color w:val="auto"/>
          <w:sz w:val="21"/>
          <w:szCs w:val="20"/>
          <w:highlight w:val="none"/>
        </w:rPr>
        <w:br w:type="page"/>
      </w:r>
    </w:p>
    <w:p>
      <w:pPr>
        <w:pStyle w:val="5"/>
        <w:tabs>
          <w:tab w:val="left" w:pos="1163"/>
        </w:tabs>
        <w:spacing w:line="240" w:lineRule="auto"/>
        <w:outlineLvl w:val="0"/>
        <w:rPr>
          <w:rFonts w:ascii="宋体" w:hAnsi="宋体" w:eastAsia="宋体" w:cs="宋体"/>
          <w:b/>
          <w:bCs/>
          <w:color w:val="auto"/>
          <w:sz w:val="32"/>
          <w:szCs w:val="32"/>
          <w:highlight w:val="none"/>
        </w:rPr>
      </w:pPr>
      <w:bookmarkStart w:id="70" w:name="_bookmark71"/>
      <w:bookmarkEnd w:id="70"/>
      <w:bookmarkStart w:id="71" w:name="_bookmark80"/>
      <w:bookmarkEnd w:id="71"/>
      <w:bookmarkStart w:id="72" w:name="_Toc16237"/>
      <w:r>
        <w:rPr>
          <w:rFonts w:hint="eastAsia" w:ascii="宋体" w:hAnsi="宋体" w:eastAsia="宋体" w:cs="宋体"/>
          <w:b/>
          <w:bCs/>
          <w:color w:val="auto"/>
          <w:sz w:val="32"/>
          <w:szCs w:val="32"/>
          <w:highlight w:val="none"/>
        </w:rPr>
        <w:t>第五章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拟签订的合同文本</w:t>
      </w:r>
      <w:bookmarkEnd w:id="72"/>
    </w:p>
    <w:p>
      <w:pPr>
        <w:jc w:val="center"/>
        <w:rPr>
          <w:color w:val="auto"/>
          <w:sz w:val="20"/>
          <w:szCs w:val="20"/>
          <w:highlight w:val="none"/>
        </w:rPr>
      </w:pPr>
      <w:r>
        <w:rPr>
          <w:rFonts w:hint="eastAsia"/>
          <w:color w:val="auto"/>
          <w:sz w:val="20"/>
          <w:szCs w:val="20"/>
          <w:highlight w:val="none"/>
        </w:rPr>
        <w:t>（以最终签订合同为准，本合同条款仅供参考）</w:t>
      </w:r>
    </w:p>
    <w:p>
      <w:pPr>
        <w:adjustRightInd w:val="0"/>
        <w:spacing w:line="480" w:lineRule="auto"/>
        <w:jc w:val="center"/>
        <w:rPr>
          <w:b/>
          <w:color w:val="auto"/>
          <w:sz w:val="48"/>
          <w:szCs w:val="24"/>
          <w:highlight w:val="none"/>
          <w:lang w:val="en-US" w:bidi="ar-SA"/>
        </w:rPr>
      </w:pPr>
      <w:r>
        <w:rPr>
          <w:rFonts w:hint="eastAsia"/>
          <w:b/>
          <w:color w:val="auto"/>
          <w:sz w:val="48"/>
          <w:szCs w:val="48"/>
          <w:highlight w:val="none"/>
          <w:lang w:val="en-US" w:bidi="ar-SA"/>
        </w:rPr>
        <w:t>新疆维吾尔自治区产品质量监督检验研究院</w:t>
      </w:r>
    </w:p>
    <w:p>
      <w:pPr>
        <w:adjustRightInd w:val="0"/>
        <w:spacing w:line="360" w:lineRule="auto"/>
        <w:jc w:val="center"/>
        <w:rPr>
          <w:color w:val="auto"/>
          <w:sz w:val="48"/>
          <w:szCs w:val="24"/>
          <w:highlight w:val="none"/>
          <w:lang w:val="en-US" w:bidi="ar-SA"/>
        </w:rPr>
      </w:pPr>
    </w:p>
    <w:p>
      <w:pPr>
        <w:adjustRightInd w:val="0"/>
        <w:spacing w:line="360" w:lineRule="auto"/>
        <w:rPr>
          <w:color w:val="auto"/>
          <w:sz w:val="32"/>
          <w:szCs w:val="24"/>
          <w:highlight w:val="none"/>
          <w:lang w:val="en-US" w:bidi="ar-SA"/>
        </w:rPr>
      </w:pPr>
    </w:p>
    <w:p>
      <w:pPr>
        <w:adjustRightInd w:val="0"/>
        <w:spacing w:line="360" w:lineRule="auto"/>
        <w:jc w:val="center"/>
        <w:rPr>
          <w:color w:val="auto"/>
          <w:sz w:val="96"/>
          <w:szCs w:val="24"/>
          <w:highlight w:val="none"/>
          <w:lang w:val="en-US" w:bidi="ar-SA"/>
        </w:rPr>
      </w:pPr>
      <w:r>
        <w:rPr>
          <w:rFonts w:hint="eastAsia"/>
          <w:color w:val="auto"/>
          <w:sz w:val="96"/>
          <w:szCs w:val="112"/>
          <w:highlight w:val="none"/>
          <w:lang w:val="en-US" w:bidi="ar-SA"/>
        </w:rPr>
        <w:t>合  同  文  本</w:t>
      </w:r>
    </w:p>
    <w:p>
      <w:pPr>
        <w:adjustRightInd w:val="0"/>
        <w:spacing w:line="360" w:lineRule="auto"/>
        <w:rPr>
          <w:color w:val="auto"/>
          <w:sz w:val="32"/>
          <w:szCs w:val="24"/>
          <w:highlight w:val="none"/>
          <w:lang w:val="en-US" w:bidi="ar-SA"/>
        </w:rPr>
      </w:pPr>
      <w:r>
        <w:rPr>
          <w:rFonts w:hint="eastAsia"/>
          <w:color w:val="auto"/>
          <w:sz w:val="32"/>
          <w:szCs w:val="24"/>
          <w:highlight w:val="none"/>
          <w:lang w:val="en-US" w:bidi="ar-SA"/>
        </w:rPr>
        <w:t xml:space="preserve">                                               </w:t>
      </w:r>
    </w:p>
    <w:p>
      <w:pPr>
        <w:adjustRightInd w:val="0"/>
        <w:spacing w:line="360" w:lineRule="auto"/>
        <w:ind w:firstLine="1920" w:firstLineChars="600"/>
        <w:rPr>
          <w:color w:val="auto"/>
          <w:sz w:val="32"/>
          <w:szCs w:val="24"/>
          <w:highlight w:val="none"/>
          <w:lang w:val="en-US" w:bidi="ar-SA"/>
        </w:rPr>
      </w:pPr>
    </w:p>
    <w:p>
      <w:pPr>
        <w:autoSpaceDE/>
        <w:autoSpaceDN/>
        <w:ind w:left="2341" w:leftChars="1064"/>
        <w:jc w:val="both"/>
        <w:rPr>
          <w:color w:val="auto"/>
          <w:kern w:val="2"/>
          <w:sz w:val="24"/>
          <w:szCs w:val="24"/>
          <w:highlight w:val="none"/>
          <w:lang w:val="en-US" w:bidi="ar-SA"/>
        </w:rPr>
      </w:pPr>
    </w:p>
    <w:p>
      <w:pPr>
        <w:adjustRightInd w:val="0"/>
        <w:spacing w:line="360" w:lineRule="auto"/>
        <w:ind w:firstLine="944" w:firstLineChars="295"/>
        <w:rPr>
          <w:color w:val="auto"/>
          <w:sz w:val="32"/>
          <w:szCs w:val="31"/>
          <w:highlight w:val="none"/>
          <w:lang w:val="en-US" w:bidi="ar-SA"/>
        </w:rPr>
      </w:pPr>
    </w:p>
    <w:p>
      <w:pPr>
        <w:adjustRightInd w:val="0"/>
        <w:spacing w:line="360" w:lineRule="auto"/>
        <w:ind w:firstLine="1180" w:firstLineChars="295"/>
        <w:rPr>
          <w:color w:val="auto"/>
          <w:spacing w:val="40"/>
          <w:sz w:val="32"/>
          <w:szCs w:val="24"/>
          <w:highlight w:val="none"/>
          <w:lang w:val="en-US" w:bidi="ar-SA"/>
        </w:rPr>
      </w:pPr>
    </w:p>
    <w:p>
      <w:pPr>
        <w:adjustRightInd w:val="0"/>
        <w:spacing w:line="360" w:lineRule="auto"/>
        <w:rPr>
          <w:color w:val="auto"/>
          <w:sz w:val="32"/>
          <w:szCs w:val="24"/>
          <w:highlight w:val="none"/>
          <w:u w:val="single"/>
          <w:lang w:val="en-US" w:bidi="ar-SA"/>
        </w:rPr>
      </w:pPr>
    </w:p>
    <w:p>
      <w:pPr>
        <w:adjustRightInd w:val="0"/>
        <w:spacing w:line="360" w:lineRule="auto"/>
        <w:jc w:val="center"/>
        <w:rPr>
          <w:color w:val="auto"/>
          <w:spacing w:val="40"/>
          <w:sz w:val="32"/>
          <w:szCs w:val="24"/>
          <w:highlight w:val="none"/>
          <w:lang w:val="en-US" w:bidi="ar-SA"/>
        </w:rPr>
      </w:pPr>
    </w:p>
    <w:p>
      <w:pPr>
        <w:adjustRightInd w:val="0"/>
        <w:spacing w:line="360" w:lineRule="auto"/>
        <w:jc w:val="center"/>
        <w:rPr>
          <w:color w:val="auto"/>
          <w:spacing w:val="40"/>
          <w:sz w:val="32"/>
          <w:szCs w:val="24"/>
          <w:highlight w:val="none"/>
          <w:lang w:val="en-US" w:bidi="ar-SA"/>
        </w:rPr>
      </w:pPr>
    </w:p>
    <w:p>
      <w:pPr>
        <w:adjustRightInd w:val="0"/>
        <w:spacing w:line="360" w:lineRule="auto"/>
        <w:jc w:val="center"/>
        <w:rPr>
          <w:color w:val="auto"/>
          <w:spacing w:val="40"/>
          <w:sz w:val="32"/>
          <w:szCs w:val="24"/>
          <w:highlight w:val="none"/>
          <w:lang w:val="en-US" w:bidi="ar-SA"/>
        </w:rPr>
      </w:pPr>
      <w:r>
        <w:rPr>
          <w:rFonts w:hint="eastAsia"/>
          <w:color w:val="auto"/>
          <w:spacing w:val="40"/>
          <w:sz w:val="32"/>
          <w:szCs w:val="24"/>
          <w:highlight w:val="none"/>
          <w:lang w:val="en-US" w:bidi="ar-SA"/>
        </w:rPr>
        <w:t>二〇二二年  月  日</w:t>
      </w:r>
    </w:p>
    <w:p>
      <w:pPr>
        <w:widowControl/>
        <w:autoSpaceDE/>
        <w:autoSpaceDN/>
        <w:rPr>
          <w:color w:val="auto"/>
          <w:spacing w:val="40"/>
          <w:sz w:val="32"/>
          <w:szCs w:val="24"/>
          <w:highlight w:val="none"/>
          <w:lang w:val="en-US" w:bidi="ar-SA"/>
        </w:rPr>
      </w:pPr>
      <w:r>
        <w:rPr>
          <w:rFonts w:hint="eastAsia"/>
          <w:color w:val="auto"/>
          <w:spacing w:val="40"/>
          <w:kern w:val="2"/>
          <w:sz w:val="32"/>
          <w:szCs w:val="24"/>
          <w:highlight w:val="none"/>
          <w:lang w:val="en-US" w:bidi="ar-SA"/>
        </w:rPr>
        <w:br w:type="page"/>
      </w:r>
    </w:p>
    <w:p>
      <w:pPr>
        <w:autoSpaceDE/>
        <w:autoSpaceDN/>
        <w:jc w:val="center"/>
        <w:rPr>
          <w:color w:val="auto"/>
          <w:kern w:val="2"/>
          <w:sz w:val="32"/>
          <w:szCs w:val="32"/>
          <w:highlight w:val="none"/>
          <w:lang w:val="en-US" w:bidi="ar-SA"/>
        </w:rPr>
      </w:pPr>
      <w:bookmarkStart w:id="73" w:name="OLE_LINK3"/>
      <w:bookmarkStart w:id="74" w:name="OLE_LINK5"/>
      <w:bookmarkStart w:id="75" w:name="OLE_LINK6"/>
      <w:bookmarkStart w:id="76" w:name="OLE_LINK1"/>
      <w:r>
        <w:rPr>
          <w:rFonts w:hint="eastAsia"/>
          <w:b/>
          <w:color w:val="auto"/>
          <w:kern w:val="2"/>
          <w:sz w:val="48"/>
          <w:szCs w:val="48"/>
          <w:highlight w:val="none"/>
          <w:lang w:val="en-US" w:bidi="ar-SA"/>
        </w:rPr>
        <w:t>新疆维吾尔自治区政府采购合同</w:t>
      </w:r>
    </w:p>
    <w:bookmarkEnd w:id="73"/>
    <w:bookmarkEnd w:id="74"/>
    <w:bookmarkEnd w:id="75"/>
    <w:bookmarkEnd w:id="76"/>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甲方：</w:t>
      </w:r>
      <w:r>
        <w:rPr>
          <w:rFonts w:hint="eastAsia"/>
          <w:b/>
          <w:bCs/>
          <w:color w:val="auto"/>
          <w:kern w:val="2"/>
          <w:sz w:val="24"/>
          <w:szCs w:val="24"/>
          <w:highlight w:val="none"/>
          <w:u w:val="single"/>
          <w:lang w:val="en-US" w:bidi="ar-SA"/>
        </w:rPr>
        <w:t>新疆维吾尔自治区产品质量监督检验研究院</w:t>
      </w:r>
      <w:r>
        <w:rPr>
          <w:rFonts w:hint="eastAsia"/>
          <w:color w:val="auto"/>
          <w:kern w:val="2"/>
          <w:sz w:val="24"/>
          <w:szCs w:val="24"/>
          <w:highlight w:val="none"/>
          <w:u w:val="single"/>
          <w:lang w:val="en-US" w:bidi="ar-SA"/>
        </w:rPr>
        <w:t xml:space="preserve"> </w:t>
      </w:r>
    </w:p>
    <w:p>
      <w:pPr>
        <w:autoSpaceDE/>
        <w:autoSpaceDN/>
        <w:jc w:val="both"/>
        <w:rPr>
          <w:b/>
          <w:bCs/>
          <w:color w:val="auto"/>
          <w:kern w:val="2"/>
          <w:sz w:val="24"/>
          <w:szCs w:val="24"/>
          <w:highlight w:val="none"/>
          <w:u w:val="single"/>
          <w:lang w:val="en-US" w:bidi="ar-SA"/>
        </w:rPr>
      </w:pPr>
      <w:r>
        <w:rPr>
          <w:rFonts w:hint="eastAsia"/>
          <w:color w:val="auto"/>
          <w:kern w:val="2"/>
          <w:sz w:val="24"/>
          <w:szCs w:val="24"/>
          <w:highlight w:val="none"/>
          <w:lang w:val="en-US" w:bidi="ar-SA"/>
        </w:rPr>
        <w:t>乙方：</w:t>
      </w:r>
      <w:r>
        <w:rPr>
          <w:rFonts w:hint="eastAsia"/>
          <w:b/>
          <w:bCs/>
          <w:color w:val="auto"/>
          <w:kern w:val="2"/>
          <w:sz w:val="24"/>
          <w:szCs w:val="24"/>
          <w:highlight w:val="none"/>
          <w:u w:val="single"/>
          <w:lang w:val="en-US" w:bidi="ar-SA"/>
        </w:rPr>
        <w:t xml:space="preserve">                                       </w:t>
      </w:r>
    </w:p>
    <w:p>
      <w:pPr>
        <w:autoSpaceDE/>
        <w:autoSpaceDN/>
        <w:spacing w:line="360" w:lineRule="auto"/>
        <w:ind w:right="-209" w:rightChars="-95" w:firstLine="417" w:firstLineChars="174"/>
        <w:rPr>
          <w:b/>
          <w:bCs/>
          <w:color w:val="auto"/>
          <w:kern w:val="2"/>
          <w:sz w:val="24"/>
          <w:szCs w:val="24"/>
          <w:highlight w:val="none"/>
          <w:u w:val="single"/>
          <w:lang w:val="en-US" w:bidi="ar-SA"/>
        </w:rPr>
      </w:pPr>
      <w:r>
        <w:rPr>
          <w:rFonts w:hint="eastAsia"/>
          <w:color w:val="auto"/>
          <w:kern w:val="2"/>
          <w:sz w:val="24"/>
          <w:szCs w:val="24"/>
          <w:highlight w:val="none"/>
          <w:lang w:val="en-US" w:bidi="ar-SA"/>
        </w:rPr>
        <w:t>由</w:t>
      </w:r>
      <w:r>
        <w:rPr>
          <w:rFonts w:hint="eastAsia"/>
          <w:b/>
          <w:bCs/>
          <w:color w:val="auto"/>
          <w:kern w:val="2"/>
          <w:sz w:val="24"/>
          <w:szCs w:val="24"/>
          <w:highlight w:val="none"/>
          <w:u w:val="single"/>
          <w:lang w:val="en-US" w:bidi="ar-SA"/>
        </w:rPr>
        <w:t xml:space="preserve">                           </w:t>
      </w:r>
      <w:r>
        <w:rPr>
          <w:rFonts w:hint="eastAsia"/>
          <w:color w:val="auto"/>
          <w:kern w:val="2"/>
          <w:sz w:val="24"/>
          <w:szCs w:val="24"/>
          <w:highlight w:val="none"/>
          <w:lang w:val="en-US" w:bidi="ar-SA"/>
        </w:rPr>
        <w:t>组织的关于</w:t>
      </w:r>
      <w:r>
        <w:rPr>
          <w:rFonts w:hint="eastAsia"/>
          <w:b/>
          <w:bCs/>
          <w:color w:val="auto"/>
          <w:kern w:val="2"/>
          <w:sz w:val="24"/>
          <w:szCs w:val="24"/>
          <w:highlight w:val="none"/>
          <w:u w:val="single"/>
          <w:lang w:val="en-US" w:bidi="ar-SA"/>
        </w:rPr>
        <w:t>自治区质检院能力提升检测设备采购项目第★批</w:t>
      </w:r>
      <w:r>
        <w:rPr>
          <w:rFonts w:hint="eastAsia"/>
          <w:color w:val="auto"/>
          <w:kern w:val="2"/>
          <w:sz w:val="24"/>
          <w:szCs w:val="24"/>
          <w:highlight w:val="none"/>
          <w:lang w:val="en-US" w:bidi="ar-SA"/>
        </w:rPr>
        <w:t>的招标采购中，经评定，乙方为中标方，中标金额为人民币：</w:t>
      </w:r>
      <w:r>
        <w:rPr>
          <w:rFonts w:hint="eastAsia"/>
          <w:color w:val="auto"/>
          <w:kern w:val="2"/>
          <w:sz w:val="24"/>
          <w:szCs w:val="24"/>
          <w:highlight w:val="none"/>
          <w:u w:val="single"/>
          <w:lang w:val="en-US" w:bidi="ar-SA"/>
        </w:rPr>
        <w:t xml:space="preserve">         </w:t>
      </w:r>
      <w:r>
        <w:rPr>
          <w:rFonts w:hint="eastAsia"/>
          <w:color w:val="auto"/>
          <w:kern w:val="2"/>
          <w:sz w:val="24"/>
          <w:szCs w:val="24"/>
          <w:highlight w:val="none"/>
          <w:lang w:val="en-US" w:bidi="ar-SA"/>
        </w:rPr>
        <w:t>，</w:t>
      </w:r>
      <w:r>
        <w:rPr>
          <w:rFonts w:hint="eastAsia"/>
          <w:color w:val="auto"/>
          <w:kern w:val="2"/>
          <w:sz w:val="24"/>
          <w:szCs w:val="24"/>
          <w:highlight w:val="none"/>
          <w:u w:val="single"/>
          <w:lang w:val="en-US" w:bidi="ar-SA"/>
        </w:rPr>
        <w:t xml:space="preserve">￥          </w:t>
      </w:r>
      <w:r>
        <w:rPr>
          <w:rFonts w:hint="eastAsia"/>
          <w:color w:val="auto"/>
          <w:kern w:val="2"/>
          <w:sz w:val="24"/>
          <w:szCs w:val="24"/>
          <w:highlight w:val="none"/>
          <w:lang w:val="en-US" w:bidi="ar-SA"/>
        </w:rPr>
        <w:t>元。</w:t>
      </w:r>
    </w:p>
    <w:p>
      <w:pPr>
        <w:autoSpaceDE/>
        <w:autoSpaceDN/>
        <w:ind w:firstLine="480" w:firstLineChars="200"/>
        <w:jc w:val="both"/>
        <w:rPr>
          <w:color w:val="auto"/>
          <w:kern w:val="2"/>
          <w:sz w:val="24"/>
          <w:szCs w:val="24"/>
          <w:highlight w:val="none"/>
          <w:lang w:val="en-US" w:bidi="ar-SA"/>
        </w:rPr>
      </w:pPr>
      <w:r>
        <w:rPr>
          <w:rFonts w:hint="eastAsia"/>
          <w:color w:val="auto"/>
          <w:kern w:val="2"/>
          <w:sz w:val="24"/>
          <w:szCs w:val="24"/>
          <w:highlight w:val="none"/>
          <w:lang w:val="en-US" w:bidi="ar-SA"/>
        </w:rPr>
        <w:t>甲、乙双方根据《中华人民共和国政府采购法》和《中华人民共和国民法典》的规定，按照公平、公正、平等自愿和诚实信用、协商一致的原则，甲、乙双方授权代表就所供设备的购销、安装、调试和售后服务等事宜达成如下条款。</w:t>
      </w:r>
    </w:p>
    <w:p>
      <w:pPr>
        <w:numPr>
          <w:ilvl w:val="0"/>
          <w:numId w:val="1"/>
        </w:numPr>
        <w:autoSpaceDE/>
        <w:autoSpaceDN/>
        <w:jc w:val="both"/>
        <w:rPr>
          <w:b/>
          <w:color w:val="auto"/>
          <w:kern w:val="2"/>
          <w:sz w:val="24"/>
          <w:szCs w:val="24"/>
          <w:highlight w:val="none"/>
          <w:lang w:val="en-US" w:bidi="ar-SA"/>
        </w:rPr>
      </w:pPr>
      <w:r>
        <w:rPr>
          <w:rFonts w:hint="eastAsia"/>
          <w:b/>
          <w:color w:val="auto"/>
          <w:kern w:val="2"/>
          <w:sz w:val="24"/>
          <w:szCs w:val="24"/>
          <w:highlight w:val="none"/>
          <w:lang w:val="en-US" w:bidi="ar-SA"/>
        </w:rPr>
        <w:t>货物名称、型号、数量及价格</w:t>
      </w:r>
    </w:p>
    <w:tbl>
      <w:tblPr>
        <w:tblStyle w:val="28"/>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458"/>
        <w:gridCol w:w="1352"/>
        <w:gridCol w:w="1210"/>
        <w:gridCol w:w="723"/>
        <w:gridCol w:w="1351"/>
        <w:gridCol w:w="1454"/>
        <w:gridCol w:w="850"/>
      </w:tblGrid>
      <w:tr>
        <w:tblPrEx>
          <w:tblCellMar>
            <w:top w:w="0" w:type="dxa"/>
            <w:left w:w="108" w:type="dxa"/>
            <w:bottom w:w="0" w:type="dxa"/>
            <w:right w:w="108" w:type="dxa"/>
          </w:tblCellMar>
        </w:tblPrEx>
        <w:trPr>
          <w:trHeight w:val="467" w:hRule="atLeast"/>
          <w:tblHeader/>
          <w:jc w:val="center"/>
        </w:trPr>
        <w:tc>
          <w:tcPr>
            <w:tcW w:w="720"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序号</w:t>
            </w:r>
          </w:p>
        </w:tc>
        <w:tc>
          <w:tcPr>
            <w:tcW w:w="1458"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名称</w:t>
            </w:r>
          </w:p>
        </w:tc>
        <w:tc>
          <w:tcPr>
            <w:tcW w:w="1352" w:type="dxa"/>
            <w:vAlign w:val="center"/>
          </w:tcPr>
          <w:p>
            <w:pPr>
              <w:autoSpaceDE/>
              <w:autoSpaceDN/>
              <w:spacing w:line="400" w:lineRule="exact"/>
              <w:jc w:val="center"/>
              <w:rPr>
                <w:color w:val="auto"/>
                <w:kern w:val="2"/>
                <w:sz w:val="24"/>
                <w:szCs w:val="24"/>
                <w:highlight w:val="none"/>
                <w:lang w:val="en-US" w:bidi="ar-SA"/>
              </w:rPr>
            </w:pPr>
            <w:r>
              <w:rPr>
                <w:rFonts w:hint="eastAsia"/>
                <w:color w:val="auto"/>
                <w:kern w:val="2"/>
                <w:sz w:val="24"/>
                <w:szCs w:val="24"/>
                <w:highlight w:val="none"/>
                <w:lang w:val="en-US" w:bidi="ar-SA"/>
              </w:rPr>
              <w:t>品牌</w:t>
            </w:r>
          </w:p>
        </w:tc>
        <w:tc>
          <w:tcPr>
            <w:tcW w:w="1210" w:type="dxa"/>
            <w:vAlign w:val="center"/>
          </w:tcPr>
          <w:p>
            <w:pPr>
              <w:autoSpaceDE/>
              <w:autoSpaceDN/>
              <w:spacing w:line="400" w:lineRule="exact"/>
              <w:jc w:val="center"/>
              <w:rPr>
                <w:color w:val="auto"/>
                <w:kern w:val="2"/>
                <w:sz w:val="24"/>
                <w:szCs w:val="24"/>
                <w:highlight w:val="none"/>
                <w:lang w:val="en-US" w:bidi="ar-SA"/>
              </w:rPr>
            </w:pPr>
            <w:r>
              <w:rPr>
                <w:rFonts w:hint="eastAsia"/>
                <w:color w:val="auto"/>
                <w:kern w:val="2"/>
                <w:sz w:val="24"/>
                <w:szCs w:val="24"/>
                <w:highlight w:val="none"/>
                <w:lang w:val="en-US" w:bidi="ar-SA"/>
              </w:rPr>
              <w:t>型号</w:t>
            </w:r>
          </w:p>
        </w:tc>
        <w:tc>
          <w:tcPr>
            <w:tcW w:w="723"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总数</w:t>
            </w:r>
          </w:p>
        </w:tc>
        <w:tc>
          <w:tcPr>
            <w:tcW w:w="1351"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单价（万元）</w:t>
            </w:r>
          </w:p>
        </w:tc>
        <w:tc>
          <w:tcPr>
            <w:tcW w:w="1454"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总价（万元）</w:t>
            </w:r>
          </w:p>
        </w:tc>
        <w:tc>
          <w:tcPr>
            <w:tcW w:w="850" w:type="dxa"/>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0" w:type="dxa"/>
            <w:vAlign w:val="center"/>
          </w:tcPr>
          <w:p>
            <w:pPr>
              <w:autoSpaceDE/>
              <w:autoSpaceDN/>
              <w:spacing w:line="400" w:lineRule="exact"/>
              <w:jc w:val="both"/>
              <w:rPr>
                <w:color w:val="auto"/>
                <w:kern w:val="2"/>
                <w:sz w:val="24"/>
                <w:szCs w:val="24"/>
                <w:highlight w:val="none"/>
                <w:lang w:val="en-US" w:bidi="ar-SA"/>
              </w:rPr>
            </w:pPr>
          </w:p>
        </w:tc>
        <w:tc>
          <w:tcPr>
            <w:tcW w:w="1458" w:type="dxa"/>
            <w:vAlign w:val="center"/>
          </w:tcPr>
          <w:p>
            <w:pPr>
              <w:autoSpaceDE/>
              <w:autoSpaceDN/>
              <w:spacing w:line="400" w:lineRule="exact"/>
              <w:jc w:val="both"/>
              <w:rPr>
                <w:color w:val="auto"/>
                <w:kern w:val="2"/>
                <w:sz w:val="24"/>
                <w:szCs w:val="24"/>
                <w:highlight w:val="none"/>
                <w:lang w:val="en-US" w:bidi="ar-SA"/>
              </w:rPr>
            </w:pPr>
          </w:p>
        </w:tc>
        <w:tc>
          <w:tcPr>
            <w:tcW w:w="1352" w:type="dxa"/>
            <w:vAlign w:val="center"/>
          </w:tcPr>
          <w:p>
            <w:pPr>
              <w:autoSpaceDE/>
              <w:autoSpaceDN/>
              <w:spacing w:line="400" w:lineRule="exact"/>
              <w:jc w:val="both"/>
              <w:rPr>
                <w:color w:val="auto"/>
                <w:kern w:val="2"/>
                <w:sz w:val="24"/>
                <w:szCs w:val="24"/>
                <w:highlight w:val="none"/>
                <w:lang w:val="en-US" w:bidi="ar-SA"/>
              </w:rPr>
            </w:pPr>
          </w:p>
        </w:tc>
        <w:tc>
          <w:tcPr>
            <w:tcW w:w="1210" w:type="dxa"/>
            <w:vAlign w:val="center"/>
          </w:tcPr>
          <w:p>
            <w:pPr>
              <w:autoSpaceDE/>
              <w:autoSpaceDN/>
              <w:spacing w:line="400" w:lineRule="exact"/>
              <w:jc w:val="center"/>
              <w:rPr>
                <w:color w:val="auto"/>
                <w:kern w:val="2"/>
                <w:sz w:val="24"/>
                <w:szCs w:val="24"/>
                <w:highlight w:val="none"/>
                <w:lang w:val="en-US" w:bidi="ar-SA"/>
              </w:rPr>
            </w:pPr>
          </w:p>
        </w:tc>
        <w:tc>
          <w:tcPr>
            <w:tcW w:w="723" w:type="dxa"/>
            <w:vAlign w:val="center"/>
          </w:tcPr>
          <w:p>
            <w:pPr>
              <w:autoSpaceDE/>
              <w:autoSpaceDN/>
              <w:spacing w:line="400" w:lineRule="exact"/>
              <w:jc w:val="both"/>
              <w:rPr>
                <w:color w:val="auto"/>
                <w:kern w:val="2"/>
                <w:sz w:val="24"/>
                <w:szCs w:val="24"/>
                <w:highlight w:val="none"/>
                <w:lang w:val="en-US" w:bidi="ar-SA"/>
              </w:rPr>
            </w:pPr>
          </w:p>
        </w:tc>
        <w:tc>
          <w:tcPr>
            <w:tcW w:w="1351" w:type="dxa"/>
            <w:vAlign w:val="center"/>
          </w:tcPr>
          <w:p>
            <w:pPr>
              <w:widowControl/>
              <w:autoSpaceDE/>
              <w:autoSpaceDN/>
              <w:spacing w:line="400" w:lineRule="exact"/>
              <w:jc w:val="both"/>
              <w:textAlignment w:val="top"/>
              <w:rPr>
                <w:color w:val="auto"/>
                <w:kern w:val="2"/>
                <w:sz w:val="24"/>
                <w:szCs w:val="24"/>
                <w:highlight w:val="none"/>
                <w:lang w:val="en-US" w:bidi="ar-SA"/>
              </w:rPr>
            </w:pPr>
          </w:p>
        </w:tc>
        <w:tc>
          <w:tcPr>
            <w:tcW w:w="1454" w:type="dxa"/>
            <w:vAlign w:val="center"/>
          </w:tcPr>
          <w:p>
            <w:pPr>
              <w:widowControl/>
              <w:autoSpaceDE/>
              <w:autoSpaceDN/>
              <w:spacing w:line="400" w:lineRule="exact"/>
              <w:jc w:val="both"/>
              <w:textAlignment w:val="top"/>
              <w:rPr>
                <w:color w:val="auto"/>
                <w:kern w:val="2"/>
                <w:sz w:val="24"/>
                <w:szCs w:val="24"/>
                <w:highlight w:val="none"/>
                <w:lang w:val="en-US" w:bidi="ar-SA"/>
              </w:rPr>
            </w:pPr>
          </w:p>
        </w:tc>
        <w:tc>
          <w:tcPr>
            <w:tcW w:w="850" w:type="dxa"/>
            <w:vMerge w:val="restart"/>
            <w:vAlign w:val="center"/>
          </w:tcPr>
          <w:p>
            <w:pPr>
              <w:autoSpaceDE/>
              <w:autoSpaceDN/>
              <w:spacing w:line="400" w:lineRule="exact"/>
              <w:jc w:val="both"/>
              <w:rPr>
                <w:color w:val="auto"/>
                <w:kern w:val="2"/>
                <w:sz w:val="24"/>
                <w:szCs w:val="24"/>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0" w:type="dxa"/>
            <w:vAlign w:val="center"/>
          </w:tcPr>
          <w:p>
            <w:pPr>
              <w:autoSpaceDE/>
              <w:autoSpaceDN/>
              <w:spacing w:line="400" w:lineRule="exact"/>
              <w:jc w:val="both"/>
              <w:rPr>
                <w:color w:val="auto"/>
                <w:kern w:val="2"/>
                <w:sz w:val="24"/>
                <w:szCs w:val="24"/>
                <w:highlight w:val="none"/>
                <w:lang w:val="en-US" w:bidi="ar-SA"/>
              </w:rPr>
            </w:pPr>
          </w:p>
        </w:tc>
        <w:tc>
          <w:tcPr>
            <w:tcW w:w="1458" w:type="dxa"/>
            <w:vAlign w:val="center"/>
          </w:tcPr>
          <w:p>
            <w:pPr>
              <w:autoSpaceDE/>
              <w:autoSpaceDN/>
              <w:spacing w:line="400" w:lineRule="exact"/>
              <w:jc w:val="both"/>
              <w:rPr>
                <w:color w:val="auto"/>
                <w:kern w:val="2"/>
                <w:sz w:val="24"/>
                <w:szCs w:val="24"/>
                <w:highlight w:val="none"/>
                <w:lang w:val="en-US" w:bidi="ar-SA"/>
              </w:rPr>
            </w:pPr>
          </w:p>
        </w:tc>
        <w:tc>
          <w:tcPr>
            <w:tcW w:w="1352" w:type="dxa"/>
            <w:vAlign w:val="center"/>
          </w:tcPr>
          <w:p>
            <w:pPr>
              <w:autoSpaceDE/>
              <w:autoSpaceDN/>
              <w:spacing w:line="400" w:lineRule="exact"/>
              <w:jc w:val="both"/>
              <w:rPr>
                <w:color w:val="auto"/>
                <w:kern w:val="2"/>
                <w:sz w:val="24"/>
                <w:szCs w:val="24"/>
                <w:highlight w:val="none"/>
                <w:lang w:val="en-US" w:bidi="ar-SA"/>
              </w:rPr>
            </w:pPr>
          </w:p>
        </w:tc>
        <w:tc>
          <w:tcPr>
            <w:tcW w:w="1210" w:type="dxa"/>
            <w:vAlign w:val="center"/>
          </w:tcPr>
          <w:p>
            <w:pPr>
              <w:autoSpaceDE/>
              <w:autoSpaceDN/>
              <w:spacing w:line="400" w:lineRule="exact"/>
              <w:jc w:val="center"/>
              <w:rPr>
                <w:color w:val="auto"/>
                <w:kern w:val="2"/>
                <w:sz w:val="24"/>
                <w:szCs w:val="24"/>
                <w:highlight w:val="none"/>
                <w:lang w:val="en-US" w:bidi="ar-SA"/>
              </w:rPr>
            </w:pPr>
          </w:p>
        </w:tc>
        <w:tc>
          <w:tcPr>
            <w:tcW w:w="723" w:type="dxa"/>
            <w:vAlign w:val="center"/>
          </w:tcPr>
          <w:p>
            <w:pPr>
              <w:autoSpaceDE/>
              <w:autoSpaceDN/>
              <w:spacing w:line="400" w:lineRule="exact"/>
              <w:jc w:val="both"/>
              <w:rPr>
                <w:color w:val="auto"/>
                <w:kern w:val="2"/>
                <w:sz w:val="24"/>
                <w:szCs w:val="24"/>
                <w:highlight w:val="none"/>
                <w:lang w:val="en-US" w:bidi="ar-SA"/>
              </w:rPr>
            </w:pPr>
          </w:p>
        </w:tc>
        <w:tc>
          <w:tcPr>
            <w:tcW w:w="1351" w:type="dxa"/>
            <w:vAlign w:val="center"/>
          </w:tcPr>
          <w:p>
            <w:pPr>
              <w:widowControl/>
              <w:autoSpaceDE/>
              <w:autoSpaceDN/>
              <w:spacing w:line="400" w:lineRule="exact"/>
              <w:jc w:val="both"/>
              <w:textAlignment w:val="top"/>
              <w:rPr>
                <w:color w:val="auto"/>
                <w:kern w:val="2"/>
                <w:sz w:val="24"/>
                <w:szCs w:val="24"/>
                <w:highlight w:val="none"/>
                <w:lang w:val="en-US" w:bidi="ar-SA"/>
              </w:rPr>
            </w:pPr>
          </w:p>
        </w:tc>
        <w:tc>
          <w:tcPr>
            <w:tcW w:w="1454" w:type="dxa"/>
            <w:vAlign w:val="center"/>
          </w:tcPr>
          <w:p>
            <w:pPr>
              <w:widowControl/>
              <w:autoSpaceDE/>
              <w:autoSpaceDN/>
              <w:spacing w:line="400" w:lineRule="exact"/>
              <w:jc w:val="both"/>
              <w:textAlignment w:val="top"/>
              <w:rPr>
                <w:color w:val="auto"/>
                <w:kern w:val="2"/>
                <w:sz w:val="24"/>
                <w:szCs w:val="24"/>
                <w:highlight w:val="none"/>
                <w:lang w:val="en-US" w:bidi="ar-SA"/>
              </w:rPr>
            </w:pPr>
          </w:p>
        </w:tc>
        <w:tc>
          <w:tcPr>
            <w:tcW w:w="850" w:type="dxa"/>
            <w:vMerge w:val="continue"/>
            <w:vAlign w:val="center"/>
          </w:tcPr>
          <w:p>
            <w:pPr>
              <w:autoSpaceDE/>
              <w:autoSpaceDN/>
              <w:spacing w:line="400" w:lineRule="exact"/>
              <w:jc w:val="both"/>
              <w:rPr>
                <w:color w:val="auto"/>
                <w:kern w:val="2"/>
                <w:sz w:val="24"/>
                <w:szCs w:val="24"/>
                <w:highlight w:val="none"/>
                <w:lang w:val="en-US"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720" w:type="dxa"/>
            <w:vAlign w:val="center"/>
          </w:tcPr>
          <w:p>
            <w:pPr>
              <w:autoSpaceDE/>
              <w:autoSpaceDN/>
              <w:spacing w:line="400" w:lineRule="exact"/>
              <w:jc w:val="both"/>
              <w:rPr>
                <w:color w:val="auto"/>
                <w:kern w:val="2"/>
                <w:sz w:val="24"/>
                <w:szCs w:val="24"/>
                <w:highlight w:val="none"/>
                <w:lang w:val="en-US" w:bidi="ar-SA"/>
              </w:rPr>
            </w:pPr>
          </w:p>
        </w:tc>
        <w:tc>
          <w:tcPr>
            <w:tcW w:w="4743" w:type="dxa"/>
            <w:gridSpan w:val="4"/>
            <w:vAlign w:val="center"/>
          </w:tcPr>
          <w:p>
            <w:pPr>
              <w:autoSpaceDE/>
              <w:autoSpaceDN/>
              <w:spacing w:line="400" w:lineRule="exact"/>
              <w:jc w:val="both"/>
              <w:rPr>
                <w:color w:val="auto"/>
                <w:kern w:val="2"/>
                <w:sz w:val="24"/>
                <w:szCs w:val="24"/>
                <w:highlight w:val="none"/>
                <w:lang w:val="en-US" w:bidi="ar-SA"/>
              </w:rPr>
            </w:pPr>
            <w:r>
              <w:rPr>
                <w:rFonts w:hint="eastAsia"/>
                <w:color w:val="auto"/>
                <w:kern w:val="2"/>
                <w:sz w:val="24"/>
                <w:szCs w:val="24"/>
                <w:highlight w:val="none"/>
                <w:lang w:val="en-US" w:bidi="ar-SA"/>
              </w:rPr>
              <w:t>合计：      元（          元整）</w:t>
            </w:r>
          </w:p>
        </w:tc>
        <w:tc>
          <w:tcPr>
            <w:tcW w:w="1351" w:type="dxa"/>
            <w:vAlign w:val="center"/>
          </w:tcPr>
          <w:p>
            <w:pPr>
              <w:autoSpaceDE/>
              <w:autoSpaceDN/>
              <w:spacing w:line="400" w:lineRule="exact"/>
              <w:jc w:val="both"/>
              <w:rPr>
                <w:color w:val="auto"/>
                <w:kern w:val="2"/>
                <w:sz w:val="24"/>
                <w:szCs w:val="24"/>
                <w:highlight w:val="none"/>
                <w:lang w:val="en-US" w:bidi="ar-SA"/>
              </w:rPr>
            </w:pPr>
          </w:p>
        </w:tc>
        <w:tc>
          <w:tcPr>
            <w:tcW w:w="1454" w:type="dxa"/>
            <w:vAlign w:val="center"/>
          </w:tcPr>
          <w:p>
            <w:pPr>
              <w:autoSpaceDE/>
              <w:autoSpaceDN/>
              <w:spacing w:line="400" w:lineRule="exact"/>
              <w:jc w:val="both"/>
              <w:rPr>
                <w:color w:val="auto"/>
                <w:kern w:val="2"/>
                <w:sz w:val="24"/>
                <w:szCs w:val="24"/>
                <w:highlight w:val="none"/>
                <w:lang w:val="en-US" w:bidi="ar-SA"/>
              </w:rPr>
            </w:pPr>
          </w:p>
        </w:tc>
        <w:tc>
          <w:tcPr>
            <w:tcW w:w="850" w:type="dxa"/>
            <w:vMerge w:val="continue"/>
            <w:vAlign w:val="center"/>
          </w:tcPr>
          <w:p>
            <w:pPr>
              <w:autoSpaceDE/>
              <w:autoSpaceDN/>
              <w:spacing w:line="400" w:lineRule="exact"/>
              <w:jc w:val="both"/>
              <w:rPr>
                <w:color w:val="auto"/>
                <w:kern w:val="2"/>
                <w:sz w:val="24"/>
                <w:szCs w:val="24"/>
                <w:highlight w:val="none"/>
                <w:lang w:val="en-US" w:bidi="ar-SA"/>
              </w:rPr>
            </w:pPr>
          </w:p>
        </w:tc>
      </w:tr>
    </w:tbl>
    <w:p>
      <w:pPr>
        <w:ind w:firstLine="360" w:firstLineChars="150"/>
        <w:rPr>
          <w:color w:val="auto"/>
          <w:kern w:val="2"/>
          <w:sz w:val="24"/>
          <w:szCs w:val="24"/>
          <w:highlight w:val="none"/>
          <w:lang w:val="en-US" w:bidi="ar-SA"/>
        </w:rPr>
      </w:pPr>
      <w:r>
        <w:rPr>
          <w:rFonts w:hint="eastAsia"/>
          <w:color w:val="auto"/>
          <w:kern w:val="2"/>
          <w:sz w:val="24"/>
          <w:szCs w:val="24"/>
          <w:highlight w:val="none"/>
          <w:lang w:val="en-US" w:bidi="ar-SA"/>
        </w:rPr>
        <w:t>1、本合同中“中标货物”、“设备”均指上面列表中的货物及相关软件。</w:t>
      </w:r>
    </w:p>
    <w:p>
      <w:pPr>
        <w:ind w:firstLine="360" w:firstLineChars="150"/>
        <w:rPr>
          <w:color w:val="auto"/>
          <w:sz w:val="24"/>
          <w:szCs w:val="24"/>
          <w:highlight w:val="none"/>
          <w:lang w:val="en-US" w:bidi="ar-SA"/>
        </w:rPr>
      </w:pPr>
      <w:r>
        <w:rPr>
          <w:rFonts w:hint="eastAsia"/>
          <w:color w:val="auto"/>
          <w:sz w:val="24"/>
          <w:szCs w:val="24"/>
          <w:highlight w:val="none"/>
          <w:lang w:val="en-US" w:bidi="ar-SA"/>
        </w:rPr>
        <w:t>2、“技术服务”指由乙方所提供的有关运输、保险、安装、集成、调试、培训、技术支持、维护和维修以及其他使货物正常运转所必需的服务。</w:t>
      </w:r>
    </w:p>
    <w:p>
      <w:pPr>
        <w:autoSpaceDE/>
        <w:autoSpaceDN/>
        <w:ind w:firstLine="482" w:firstLineChars="200"/>
        <w:jc w:val="both"/>
        <w:rPr>
          <w:b/>
          <w:color w:val="auto"/>
          <w:kern w:val="2"/>
          <w:sz w:val="24"/>
          <w:szCs w:val="24"/>
          <w:highlight w:val="none"/>
          <w:lang w:val="en-US" w:bidi="ar-SA"/>
        </w:rPr>
      </w:pPr>
      <w:r>
        <w:rPr>
          <w:rFonts w:hint="eastAsia"/>
          <w:b/>
          <w:color w:val="auto"/>
          <w:kern w:val="2"/>
          <w:sz w:val="24"/>
          <w:szCs w:val="24"/>
          <w:highlight w:val="none"/>
          <w:lang w:val="en-US" w:bidi="ar-SA"/>
        </w:rPr>
        <w:t>二、报价币种、合同总价</w:t>
      </w:r>
    </w:p>
    <w:p>
      <w:pPr>
        <w:autoSpaceDE/>
        <w:autoSpaceDN/>
        <w:ind w:firstLine="480" w:firstLineChars="200"/>
        <w:jc w:val="both"/>
        <w:rPr>
          <w:color w:val="auto"/>
          <w:kern w:val="2"/>
          <w:sz w:val="24"/>
          <w:szCs w:val="24"/>
          <w:highlight w:val="none"/>
          <w:lang w:val="en-US" w:bidi="ar-SA"/>
        </w:rPr>
      </w:pPr>
      <w:r>
        <w:rPr>
          <w:rFonts w:hint="eastAsia"/>
          <w:color w:val="auto"/>
          <w:kern w:val="2"/>
          <w:sz w:val="24"/>
          <w:szCs w:val="24"/>
          <w:highlight w:val="none"/>
          <w:lang w:val="en-US" w:bidi="ar-SA"/>
        </w:rPr>
        <w:t>1、本合同总金额</w:t>
      </w:r>
      <w:r>
        <w:rPr>
          <w:rFonts w:hint="eastAsia"/>
          <w:color w:val="auto"/>
          <w:kern w:val="2"/>
          <w:sz w:val="24"/>
          <w:szCs w:val="24"/>
          <w:highlight w:val="none"/>
          <w:u w:val="single"/>
          <w:lang w:val="en-US" w:bidi="ar-SA"/>
        </w:rPr>
        <w:t xml:space="preserve">        元整</w:t>
      </w:r>
      <w:r>
        <w:rPr>
          <w:rFonts w:hint="eastAsia"/>
          <w:color w:val="auto"/>
          <w:kern w:val="2"/>
          <w:sz w:val="24"/>
          <w:szCs w:val="24"/>
          <w:highlight w:val="none"/>
          <w:lang w:val="en-US" w:bidi="ar-SA"/>
        </w:rPr>
        <w:t>，</w:t>
      </w:r>
      <w:r>
        <w:rPr>
          <w:rFonts w:hint="eastAsia"/>
          <w:color w:val="auto"/>
          <w:kern w:val="2"/>
          <w:sz w:val="24"/>
          <w:szCs w:val="24"/>
          <w:highlight w:val="none"/>
          <w:u w:val="single"/>
          <w:lang w:val="en-US" w:bidi="ar-SA"/>
        </w:rPr>
        <w:t>￥</w:t>
      </w:r>
      <w:r>
        <w:rPr>
          <w:rFonts w:hint="eastAsia"/>
          <w:b/>
          <w:color w:val="auto"/>
          <w:kern w:val="2"/>
          <w:sz w:val="24"/>
          <w:szCs w:val="24"/>
          <w:highlight w:val="none"/>
          <w:u w:val="single"/>
          <w:lang w:val="en-US" w:bidi="ar-SA"/>
        </w:rPr>
        <w:t xml:space="preserve">        </w:t>
      </w:r>
      <w:r>
        <w:rPr>
          <w:rFonts w:hint="eastAsia"/>
          <w:b/>
          <w:color w:val="auto"/>
          <w:kern w:val="2"/>
          <w:sz w:val="24"/>
          <w:szCs w:val="24"/>
          <w:highlight w:val="none"/>
          <w:lang w:val="en-US" w:bidi="ar-SA"/>
        </w:rPr>
        <w:t>元</w:t>
      </w:r>
      <w:r>
        <w:rPr>
          <w:rFonts w:hint="eastAsia"/>
          <w:color w:val="auto"/>
          <w:kern w:val="2"/>
          <w:sz w:val="24"/>
          <w:szCs w:val="24"/>
          <w:highlight w:val="none"/>
          <w:lang w:val="en-US" w:bidi="ar-SA"/>
        </w:rPr>
        <w:t>。合同总金额中包含设备及其运输、保管、税金、保险、组装、服务等所有的费用。</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2、本合同正式签订后，若无重大变更，价格不再做任何调整，甲方为此项目不再向乙方支付任何费用。</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三、付款方式</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1、合同签订后七日内支付给乙方合同总价30%的预付款，计人民币</w:t>
      </w:r>
      <w:r>
        <w:rPr>
          <w:rFonts w:hint="eastAsia"/>
          <w:color w:val="auto"/>
          <w:kern w:val="2"/>
          <w:sz w:val="24"/>
          <w:szCs w:val="24"/>
          <w:highlight w:val="none"/>
          <w:u w:val="single"/>
          <w:lang w:val="en-US" w:bidi="ar-SA"/>
        </w:rPr>
        <w:t xml:space="preserve">        元</w:t>
      </w:r>
      <w:r>
        <w:rPr>
          <w:rFonts w:hint="eastAsia"/>
          <w:b/>
          <w:bCs/>
          <w:color w:val="auto"/>
          <w:kern w:val="2"/>
          <w:sz w:val="24"/>
          <w:szCs w:val="24"/>
          <w:highlight w:val="none"/>
          <w:u w:val="single"/>
          <w:lang w:val="en-US" w:bidi="ar-SA"/>
        </w:rPr>
        <w:t>整</w:t>
      </w:r>
      <w:r>
        <w:rPr>
          <w:rFonts w:hint="eastAsia"/>
          <w:b/>
          <w:bCs/>
          <w:color w:val="auto"/>
          <w:kern w:val="2"/>
          <w:sz w:val="24"/>
          <w:szCs w:val="24"/>
          <w:highlight w:val="none"/>
          <w:lang w:val="en-US" w:bidi="ar-SA"/>
        </w:rPr>
        <w:t>，</w:t>
      </w:r>
      <w:r>
        <w:rPr>
          <w:rFonts w:hint="eastAsia"/>
          <w:color w:val="auto"/>
          <w:kern w:val="2"/>
          <w:sz w:val="24"/>
          <w:szCs w:val="24"/>
          <w:highlight w:val="none"/>
          <w:lang w:val="en-US" w:bidi="ar-SA"/>
        </w:rPr>
        <w:t>￥</w:t>
      </w:r>
      <w:r>
        <w:rPr>
          <w:rFonts w:hint="eastAsia"/>
          <w:b/>
          <w:bCs/>
          <w:color w:val="auto"/>
          <w:sz w:val="24"/>
          <w:szCs w:val="24"/>
          <w:highlight w:val="none"/>
          <w:u w:val="single"/>
          <w:lang w:val="en-US" w:bidi="ar-SA"/>
        </w:rPr>
        <w:t xml:space="preserve">                 </w:t>
      </w:r>
      <w:r>
        <w:rPr>
          <w:rFonts w:hint="eastAsia"/>
          <w:color w:val="auto"/>
          <w:kern w:val="2"/>
          <w:sz w:val="24"/>
          <w:szCs w:val="24"/>
          <w:highlight w:val="none"/>
          <w:lang w:val="en-US" w:bidi="ar-SA"/>
        </w:rPr>
        <w:t>元</w:t>
      </w:r>
    </w:p>
    <w:p>
      <w:pPr>
        <w:autoSpaceDE/>
        <w:autoSpaceDN/>
        <w:ind w:firstLine="480" w:firstLineChars="200"/>
        <w:jc w:val="both"/>
        <w:rPr>
          <w:b/>
          <w:bCs/>
          <w:color w:val="auto"/>
          <w:kern w:val="2"/>
          <w:sz w:val="24"/>
          <w:szCs w:val="24"/>
          <w:highlight w:val="none"/>
          <w:lang w:val="en-US" w:bidi="ar-SA"/>
        </w:rPr>
      </w:pPr>
      <w:r>
        <w:rPr>
          <w:rFonts w:hint="eastAsia"/>
          <w:color w:val="auto"/>
          <w:kern w:val="2"/>
          <w:sz w:val="24"/>
          <w:szCs w:val="24"/>
          <w:highlight w:val="none"/>
          <w:lang w:val="en-US" w:bidi="ar-SA"/>
        </w:rPr>
        <w:t>2、全部设备交货，且安装调试完毕后，由甲乙双方共同组织验收且经甲方验收合格后一个月内，先由乙方提供向甲方出具合同总金额100%的正式发票（增值税专用发票），随后甲方出具付款手续，支付给乙方合同总金额65%的货款，计人民币</w:t>
      </w:r>
      <w:r>
        <w:rPr>
          <w:rFonts w:hint="eastAsia"/>
          <w:color w:val="auto"/>
          <w:kern w:val="2"/>
          <w:sz w:val="24"/>
          <w:szCs w:val="24"/>
          <w:highlight w:val="none"/>
          <w:u w:val="single"/>
          <w:lang w:val="en-US" w:bidi="ar-SA"/>
        </w:rPr>
        <w:t xml:space="preserve">     </w:t>
      </w:r>
      <w:r>
        <w:rPr>
          <w:rFonts w:hint="eastAsia"/>
          <w:b/>
          <w:bCs/>
          <w:color w:val="auto"/>
          <w:kern w:val="2"/>
          <w:sz w:val="24"/>
          <w:szCs w:val="24"/>
          <w:highlight w:val="none"/>
          <w:u w:val="single"/>
          <w:lang w:val="en-US" w:bidi="ar-SA"/>
        </w:rPr>
        <w:t xml:space="preserve"> </w:t>
      </w:r>
      <w:r>
        <w:rPr>
          <w:rFonts w:hint="eastAsia"/>
          <w:b/>
          <w:bCs/>
          <w:color w:val="auto"/>
          <w:kern w:val="2"/>
          <w:sz w:val="24"/>
          <w:szCs w:val="24"/>
          <w:highlight w:val="none"/>
          <w:lang w:val="en-US" w:bidi="ar-SA"/>
        </w:rPr>
        <w:t>，￥</w:t>
      </w:r>
      <w:r>
        <w:rPr>
          <w:rFonts w:hint="eastAsia"/>
          <w:b/>
          <w:bCs/>
          <w:color w:val="auto"/>
          <w:sz w:val="24"/>
          <w:szCs w:val="24"/>
          <w:highlight w:val="none"/>
          <w:u w:val="single"/>
          <w:lang w:val="en-US" w:bidi="ar-SA"/>
        </w:rPr>
        <w:t xml:space="preserve">         </w:t>
      </w:r>
      <w:r>
        <w:rPr>
          <w:rFonts w:hint="eastAsia"/>
          <w:b/>
          <w:bCs/>
          <w:color w:val="auto"/>
          <w:kern w:val="2"/>
          <w:sz w:val="24"/>
          <w:szCs w:val="24"/>
          <w:highlight w:val="none"/>
          <w:lang w:val="en-US" w:bidi="ar-SA"/>
        </w:rPr>
        <w:t>元。</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3、按合同总金额的5%预留质量保证金，计人民币</w:t>
      </w:r>
      <w:r>
        <w:rPr>
          <w:rFonts w:hint="eastAsia"/>
          <w:b/>
          <w:bCs/>
          <w:color w:val="auto"/>
          <w:kern w:val="2"/>
          <w:sz w:val="24"/>
          <w:szCs w:val="24"/>
          <w:highlight w:val="none"/>
          <w:u w:val="single"/>
          <w:lang w:val="en-US" w:bidi="ar-SA"/>
        </w:rPr>
        <w:t xml:space="preserve">        元整</w:t>
      </w:r>
      <w:r>
        <w:rPr>
          <w:rFonts w:hint="eastAsia"/>
          <w:b/>
          <w:bCs/>
          <w:color w:val="auto"/>
          <w:kern w:val="2"/>
          <w:sz w:val="24"/>
          <w:szCs w:val="24"/>
          <w:highlight w:val="none"/>
          <w:lang w:val="en-US" w:bidi="ar-SA"/>
        </w:rPr>
        <w:t>，</w:t>
      </w:r>
      <w:r>
        <w:rPr>
          <w:rFonts w:hint="eastAsia"/>
          <w:b/>
          <w:bCs/>
          <w:color w:val="auto"/>
          <w:kern w:val="2"/>
          <w:sz w:val="24"/>
          <w:szCs w:val="24"/>
          <w:highlight w:val="none"/>
          <w:u w:val="single"/>
          <w:lang w:val="en-US" w:bidi="ar-SA"/>
        </w:rPr>
        <w:t xml:space="preserve">￥        </w:t>
      </w:r>
      <w:r>
        <w:rPr>
          <w:rFonts w:hint="eastAsia"/>
          <w:color w:val="auto"/>
          <w:kern w:val="2"/>
          <w:sz w:val="24"/>
          <w:szCs w:val="24"/>
          <w:highlight w:val="none"/>
          <w:lang w:val="en-US" w:bidi="ar-SA"/>
        </w:rPr>
        <w:t>元。从全部设备验收合格之日起，1年后经再次复核并且产品均无质量问题，由甲方将质量保证金一次性支付给乙方。</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四、交货日期</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合同签订后30个日历日内到货，安装调试根据用户实际情况安排。</w:t>
      </w:r>
    </w:p>
    <w:p>
      <w:pPr>
        <w:autoSpaceDE/>
        <w:autoSpaceDN/>
        <w:ind w:firstLine="470" w:firstLineChars="196"/>
        <w:jc w:val="both"/>
        <w:rPr>
          <w:b/>
          <w:color w:val="auto"/>
          <w:kern w:val="2"/>
          <w:sz w:val="24"/>
          <w:szCs w:val="24"/>
          <w:highlight w:val="none"/>
          <w:lang w:val="en-US" w:bidi="ar-SA"/>
        </w:rPr>
      </w:pPr>
      <w:r>
        <w:rPr>
          <w:rFonts w:hint="eastAsia"/>
          <w:color w:val="auto"/>
          <w:kern w:val="2"/>
          <w:sz w:val="24"/>
          <w:szCs w:val="24"/>
          <w:highlight w:val="none"/>
          <w:lang w:val="en-US" w:bidi="ar-SA"/>
        </w:rPr>
        <w:t>其他备注说明：乙方技术人员必须来甲方使用现场进行设备的安装调试，并指导、培训甲方设备使用人员，确保甲方人员会操作使用设备。</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五、交货地点、方式及运费承担</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交货地点：送货至甲方指定的地点（详细收货地址由甲方另行提供）</w:t>
      </w:r>
    </w:p>
    <w:p>
      <w:pPr>
        <w:autoSpaceDE/>
        <w:autoSpaceDN/>
        <w:ind w:firstLine="470" w:firstLineChars="196"/>
        <w:jc w:val="both"/>
        <w:rPr>
          <w:color w:val="auto"/>
          <w:kern w:val="2"/>
          <w:sz w:val="24"/>
          <w:szCs w:val="24"/>
          <w:highlight w:val="none"/>
          <w:lang w:val="en-US" w:bidi="ar-SA"/>
        </w:rPr>
      </w:pPr>
      <w:r>
        <w:rPr>
          <w:rFonts w:hint="eastAsia"/>
          <w:color w:val="auto"/>
          <w:kern w:val="2"/>
          <w:sz w:val="24"/>
          <w:szCs w:val="24"/>
          <w:highlight w:val="none"/>
          <w:lang w:val="en-US" w:bidi="ar-SA"/>
        </w:rPr>
        <w:t>运费、装卸搬运费由乙方承担。</w:t>
      </w:r>
    </w:p>
    <w:p>
      <w:pPr>
        <w:autoSpaceDE/>
        <w:autoSpaceDN/>
        <w:ind w:firstLine="480" w:firstLineChars="200"/>
        <w:jc w:val="both"/>
        <w:rPr>
          <w:b/>
          <w:color w:val="auto"/>
          <w:kern w:val="2"/>
          <w:sz w:val="24"/>
          <w:szCs w:val="24"/>
          <w:highlight w:val="none"/>
          <w:lang w:val="en-US" w:bidi="ar-SA"/>
        </w:rPr>
      </w:pPr>
      <w:r>
        <w:rPr>
          <w:rFonts w:hint="eastAsia"/>
          <w:color w:val="auto"/>
          <w:kern w:val="2"/>
          <w:sz w:val="24"/>
          <w:szCs w:val="24"/>
          <w:highlight w:val="none"/>
          <w:lang w:val="en-US" w:bidi="ar-SA"/>
        </w:rPr>
        <w:t>新疆维吾尔自治区产品质量监督检验研究院指定的设备安装现场。</w:t>
      </w:r>
    </w:p>
    <w:p>
      <w:pPr>
        <w:autoSpaceDE/>
        <w:autoSpaceDN/>
        <w:ind w:firstLine="482" w:firstLineChars="200"/>
        <w:jc w:val="both"/>
        <w:rPr>
          <w:b/>
          <w:color w:val="auto"/>
          <w:kern w:val="2"/>
          <w:sz w:val="24"/>
          <w:szCs w:val="24"/>
          <w:highlight w:val="none"/>
          <w:lang w:val="en-US" w:bidi="ar-SA"/>
        </w:rPr>
      </w:pPr>
      <w:r>
        <w:rPr>
          <w:rFonts w:hint="eastAsia"/>
          <w:b/>
          <w:color w:val="auto"/>
          <w:kern w:val="2"/>
          <w:sz w:val="24"/>
          <w:szCs w:val="24"/>
          <w:highlight w:val="none"/>
          <w:lang w:val="en-US" w:bidi="ar-SA"/>
        </w:rPr>
        <w:t>六、产品质量保证</w:t>
      </w:r>
    </w:p>
    <w:p>
      <w:pPr>
        <w:autoSpaceDE/>
        <w:autoSpaceDN/>
        <w:ind w:firstLine="720"/>
        <w:jc w:val="both"/>
        <w:rPr>
          <w:color w:val="auto"/>
          <w:kern w:val="2"/>
          <w:sz w:val="24"/>
          <w:szCs w:val="24"/>
          <w:highlight w:val="none"/>
          <w:lang w:val="en-US" w:bidi="ar-SA"/>
        </w:rPr>
      </w:pPr>
      <w:r>
        <w:rPr>
          <w:rFonts w:hint="eastAsia"/>
          <w:color w:val="auto"/>
          <w:kern w:val="2"/>
          <w:sz w:val="24"/>
          <w:szCs w:val="24"/>
          <w:highlight w:val="none"/>
          <w:lang w:val="en-US" w:bidi="ar-SA"/>
        </w:rPr>
        <w:t>1、乙方保证提供的</w:t>
      </w:r>
      <w:r>
        <w:rPr>
          <w:rFonts w:hint="eastAsia"/>
          <w:color w:val="auto"/>
          <w:kern w:val="2"/>
          <w:sz w:val="24"/>
          <w:szCs w:val="24"/>
          <w:highlight w:val="none"/>
          <w:u w:val="single"/>
          <w:lang w:val="en-US" w:bidi="ar-SA"/>
        </w:rPr>
        <w:t>合同</w:t>
      </w:r>
      <w:r>
        <w:rPr>
          <w:rFonts w:hint="eastAsia"/>
          <w:color w:val="auto"/>
          <w:kern w:val="2"/>
          <w:sz w:val="24"/>
          <w:szCs w:val="24"/>
          <w:highlight w:val="none"/>
          <w:lang w:val="en-US" w:bidi="ar-SA"/>
        </w:rPr>
        <w:t>货物为全新的产品。</w:t>
      </w:r>
    </w:p>
    <w:p>
      <w:pPr>
        <w:ind w:firstLine="360" w:firstLineChars="150"/>
        <w:rPr>
          <w:color w:val="auto"/>
          <w:kern w:val="2"/>
          <w:sz w:val="24"/>
          <w:szCs w:val="24"/>
          <w:highlight w:val="none"/>
          <w:lang w:val="en-US" w:bidi="ar-SA"/>
        </w:rPr>
      </w:pPr>
      <w:r>
        <w:rPr>
          <w:rFonts w:hint="eastAsia"/>
          <w:color w:val="auto"/>
          <w:kern w:val="2"/>
          <w:sz w:val="24"/>
          <w:szCs w:val="24"/>
          <w:highlight w:val="none"/>
          <w:lang w:val="en-US" w:bidi="ar-SA"/>
        </w:rPr>
        <w:t xml:space="preserve">  2、乙方所提供的货物的型号、数量、规格及技术、质量标准、售后服务必须满足</w:t>
      </w:r>
      <w:r>
        <w:rPr>
          <w:rFonts w:hint="eastAsia"/>
          <w:color w:val="auto"/>
          <w:kern w:val="2"/>
          <w:sz w:val="24"/>
          <w:szCs w:val="24"/>
          <w:highlight w:val="none"/>
          <w:u w:val="single"/>
          <w:lang w:val="en-US" w:bidi="ar-SA"/>
        </w:rPr>
        <w:t>附件</w:t>
      </w:r>
      <w:r>
        <w:rPr>
          <w:rFonts w:hint="eastAsia"/>
          <w:color w:val="auto"/>
          <w:kern w:val="2"/>
          <w:sz w:val="24"/>
          <w:szCs w:val="24"/>
          <w:highlight w:val="none"/>
          <w:lang w:val="en-US" w:bidi="ar-SA"/>
        </w:rPr>
        <w:t>文件规定的技术要求。</w:t>
      </w:r>
    </w:p>
    <w:p>
      <w:pPr>
        <w:autoSpaceDE/>
        <w:autoSpaceDN/>
        <w:ind w:firstLine="720"/>
        <w:jc w:val="both"/>
        <w:rPr>
          <w:color w:val="auto"/>
          <w:kern w:val="2"/>
          <w:sz w:val="24"/>
          <w:szCs w:val="24"/>
          <w:highlight w:val="none"/>
          <w:lang w:val="en-US" w:bidi="ar-SA"/>
        </w:rPr>
      </w:pPr>
      <w:r>
        <w:rPr>
          <w:rFonts w:hint="eastAsia"/>
          <w:color w:val="auto"/>
          <w:kern w:val="2"/>
          <w:sz w:val="24"/>
          <w:szCs w:val="24"/>
          <w:highlight w:val="none"/>
          <w:lang w:val="en-US" w:bidi="ar-SA"/>
        </w:rPr>
        <w:t>3、乙方保证提供的货物按国家标准要求制造，质量完全满足甲方用户的要求。</w:t>
      </w:r>
    </w:p>
    <w:p>
      <w:pPr>
        <w:autoSpaceDE/>
        <w:autoSpaceDN/>
        <w:ind w:firstLine="482" w:firstLineChars="200"/>
        <w:jc w:val="both"/>
        <w:rPr>
          <w:b/>
          <w:color w:val="auto"/>
          <w:kern w:val="2"/>
          <w:sz w:val="24"/>
          <w:szCs w:val="24"/>
          <w:highlight w:val="none"/>
          <w:lang w:val="en-US" w:bidi="ar-SA"/>
        </w:rPr>
      </w:pPr>
      <w:r>
        <w:rPr>
          <w:rFonts w:hint="eastAsia"/>
          <w:b/>
          <w:color w:val="auto"/>
          <w:kern w:val="2"/>
          <w:sz w:val="24"/>
          <w:szCs w:val="24"/>
          <w:highlight w:val="none"/>
          <w:lang w:val="en-US" w:bidi="ar-SA"/>
        </w:rPr>
        <w:t>七、质量保证期</w:t>
      </w:r>
    </w:p>
    <w:p>
      <w:pPr>
        <w:ind w:firstLine="360" w:firstLineChars="150"/>
        <w:rPr>
          <w:color w:val="auto"/>
          <w:kern w:val="2"/>
          <w:sz w:val="24"/>
          <w:szCs w:val="24"/>
          <w:highlight w:val="none"/>
          <w:lang w:val="en-US" w:bidi="ar-SA"/>
        </w:rPr>
      </w:pPr>
      <w:r>
        <w:rPr>
          <w:rFonts w:hint="eastAsia"/>
          <w:color w:val="auto"/>
          <w:kern w:val="2"/>
          <w:sz w:val="24"/>
          <w:szCs w:val="24"/>
          <w:highlight w:val="none"/>
          <w:lang w:val="en-US" w:bidi="ar-SA"/>
        </w:rPr>
        <w:t xml:space="preserve">  </w:t>
      </w:r>
      <w:r>
        <w:rPr>
          <w:rFonts w:hint="eastAsia"/>
          <w:color w:val="auto"/>
          <w:kern w:val="2"/>
          <w:sz w:val="24"/>
          <w:szCs w:val="24"/>
          <w:highlight w:val="none"/>
          <w:u w:val="single"/>
          <w:lang w:val="en-US" w:bidi="ar-SA"/>
        </w:rPr>
        <w:t>中标</w:t>
      </w:r>
      <w:r>
        <w:rPr>
          <w:rFonts w:hint="eastAsia"/>
          <w:color w:val="auto"/>
          <w:kern w:val="2"/>
          <w:sz w:val="24"/>
          <w:szCs w:val="24"/>
          <w:highlight w:val="none"/>
          <w:lang w:val="en-US" w:bidi="ar-SA"/>
        </w:rPr>
        <w:t>货物质保期为</w:t>
      </w:r>
      <w:r>
        <w:rPr>
          <w:rFonts w:hint="eastAsia"/>
          <w:color w:val="auto"/>
          <w:kern w:val="2"/>
          <w:sz w:val="24"/>
          <w:szCs w:val="24"/>
          <w:highlight w:val="none"/>
          <w:u w:val="single"/>
          <w:lang w:val="en-US" w:bidi="ar-SA"/>
        </w:rPr>
        <w:t>叁</w:t>
      </w:r>
      <w:r>
        <w:rPr>
          <w:rFonts w:hint="eastAsia"/>
          <w:color w:val="auto"/>
          <w:kern w:val="2"/>
          <w:sz w:val="24"/>
          <w:szCs w:val="24"/>
          <w:highlight w:val="none"/>
          <w:lang w:val="en-US" w:bidi="ar-SA"/>
        </w:rPr>
        <w:t>年，自全部中标货物验收合格之日起算。在质量保证期内，因产品质量出现问题，乙方负责免费维修或更换，并承担与维修和更换相关的运费、安装、调试、保险等全部费用。因维修或更换造成产品无法正常使用的时间，应当相应顺延质保期限。</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八、技术资料</w:t>
      </w:r>
    </w:p>
    <w:p>
      <w:pPr>
        <w:ind w:firstLine="480" w:firstLineChars="200"/>
        <w:rPr>
          <w:color w:val="auto"/>
          <w:sz w:val="24"/>
          <w:szCs w:val="24"/>
          <w:highlight w:val="none"/>
          <w:lang w:val="en-US" w:bidi="ar-SA"/>
        </w:rPr>
      </w:pPr>
      <w:r>
        <w:rPr>
          <w:rFonts w:hint="eastAsia"/>
          <w:color w:val="auto"/>
          <w:sz w:val="24"/>
          <w:szCs w:val="24"/>
          <w:highlight w:val="none"/>
          <w:lang w:val="en-US" w:bidi="ar-SA"/>
        </w:rPr>
        <w:t>乙方需向甲方提供下述资料：</w:t>
      </w:r>
    </w:p>
    <w:p>
      <w:pPr>
        <w:ind w:firstLine="480" w:firstLineChars="200"/>
        <w:rPr>
          <w:color w:val="auto"/>
          <w:sz w:val="24"/>
          <w:szCs w:val="24"/>
          <w:highlight w:val="none"/>
          <w:lang w:val="en-US" w:bidi="ar-SA"/>
        </w:rPr>
      </w:pPr>
      <w:r>
        <w:rPr>
          <w:rFonts w:hint="eastAsia"/>
          <w:color w:val="auto"/>
          <w:sz w:val="24"/>
          <w:szCs w:val="24"/>
          <w:highlight w:val="none"/>
          <w:lang w:val="en-US" w:bidi="ar-SA"/>
        </w:rPr>
        <w:t>所供货物的型号、规格、数量及生产厂家的产品检验证书、出厂检验报告、保修证明，提供甲方认可的省级以上计量检定机构出具确认合格的校准/检定证书。</w:t>
      </w:r>
    </w:p>
    <w:p>
      <w:pPr>
        <w:ind w:firstLine="482" w:firstLineChars="200"/>
        <w:rPr>
          <w:b/>
          <w:color w:val="auto"/>
          <w:sz w:val="24"/>
          <w:szCs w:val="24"/>
          <w:highlight w:val="none"/>
          <w:lang w:val="en-US" w:bidi="ar-SA"/>
        </w:rPr>
      </w:pPr>
      <w:r>
        <w:rPr>
          <w:rFonts w:hint="eastAsia"/>
          <w:b/>
          <w:color w:val="auto"/>
          <w:sz w:val="24"/>
          <w:szCs w:val="24"/>
          <w:highlight w:val="none"/>
          <w:lang w:val="en-US" w:bidi="ar-SA"/>
        </w:rPr>
        <w:t>九、包装及验收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１、乙方所提供设备必须进行包装，免收包装费，包装物不回收。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２、设备运输过程中的保险费用由乙方承担，在运输过程中发生毁损、灭失均由乙方承担完全责任。</w:t>
      </w:r>
    </w:p>
    <w:p>
      <w:pPr>
        <w:ind w:firstLine="480" w:firstLineChars="200"/>
        <w:rPr>
          <w:color w:val="auto"/>
          <w:sz w:val="24"/>
          <w:szCs w:val="24"/>
          <w:highlight w:val="none"/>
          <w:lang w:val="en-US" w:bidi="ar-SA"/>
        </w:rPr>
      </w:pPr>
      <w:r>
        <w:rPr>
          <w:rFonts w:hint="eastAsia"/>
          <w:color w:val="auto"/>
          <w:sz w:val="24"/>
          <w:szCs w:val="24"/>
          <w:highlight w:val="none"/>
          <w:lang w:val="en-US" w:bidi="ar-SA"/>
        </w:rPr>
        <w:t>３、验收方式、标准：</w:t>
      </w:r>
    </w:p>
    <w:p>
      <w:pPr>
        <w:ind w:firstLine="480" w:firstLineChars="200"/>
        <w:rPr>
          <w:color w:val="auto"/>
          <w:sz w:val="24"/>
          <w:szCs w:val="24"/>
          <w:highlight w:val="none"/>
          <w:lang w:val="en-US" w:bidi="ar-SA"/>
        </w:rPr>
      </w:pPr>
      <w:r>
        <w:rPr>
          <w:rFonts w:hint="eastAsia"/>
          <w:color w:val="auto"/>
          <w:sz w:val="24"/>
          <w:szCs w:val="24"/>
          <w:highlight w:val="none"/>
          <w:lang w:val="en-US" w:bidi="ar-SA"/>
        </w:rPr>
        <w:t>3.1货物接收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设备运到甲方指定地点当日，由甲乙双方按本合同要求共同验货。验货按乙方提供的《货物签收单》要求进行。验货合格后，双方共同签署《货物签收单》。</w:t>
      </w:r>
    </w:p>
    <w:p>
      <w:pPr>
        <w:ind w:firstLine="480" w:firstLineChars="200"/>
        <w:rPr>
          <w:color w:val="auto"/>
          <w:sz w:val="24"/>
          <w:szCs w:val="24"/>
          <w:highlight w:val="none"/>
          <w:lang w:val="en-US" w:bidi="ar-SA"/>
        </w:rPr>
      </w:pPr>
      <w:r>
        <w:rPr>
          <w:rFonts w:hint="eastAsia"/>
          <w:color w:val="auto"/>
          <w:sz w:val="24"/>
          <w:szCs w:val="24"/>
          <w:highlight w:val="none"/>
          <w:lang w:val="en-US" w:bidi="ar-SA"/>
        </w:rPr>
        <w:t>3.2货物验收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3.2.1开箱检验：</w:t>
      </w:r>
    </w:p>
    <w:p>
      <w:pPr>
        <w:ind w:firstLine="480" w:firstLineChars="200"/>
        <w:rPr>
          <w:color w:val="auto"/>
          <w:sz w:val="24"/>
          <w:szCs w:val="24"/>
          <w:highlight w:val="none"/>
          <w:lang w:val="en-US" w:bidi="ar-SA"/>
        </w:rPr>
      </w:pPr>
      <w:r>
        <w:rPr>
          <w:rFonts w:hint="eastAsia"/>
          <w:color w:val="auto"/>
          <w:sz w:val="24"/>
          <w:szCs w:val="24"/>
          <w:highlight w:val="none"/>
          <w:lang w:val="en-US" w:bidi="ar-SA"/>
        </w:rPr>
        <w:t>甲乙双方根据装箱单和产品的技术指标及性能共同验收，如发现有不合格产品、错漏、损坏部件或与本合同约定的技术要求和规格不符时，双方应在现场联合作记录，签署备忘录。乙方负责在10天内按本合同要求标准予以更换，确保不影响工作进展，并承担一切费用。</w:t>
      </w:r>
    </w:p>
    <w:p>
      <w:pPr>
        <w:ind w:firstLine="480" w:firstLineChars="200"/>
        <w:rPr>
          <w:color w:val="auto"/>
          <w:sz w:val="24"/>
          <w:szCs w:val="24"/>
          <w:highlight w:val="none"/>
          <w:lang w:val="en-US" w:bidi="ar-SA"/>
        </w:rPr>
      </w:pPr>
      <w:r>
        <w:rPr>
          <w:rFonts w:hint="eastAsia"/>
          <w:color w:val="auto"/>
          <w:sz w:val="24"/>
          <w:szCs w:val="24"/>
          <w:highlight w:val="none"/>
          <w:lang w:val="en-US" w:bidi="ar-SA"/>
        </w:rPr>
        <w:t>3.2.2安装验收：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工作须在签署《货物签收单》之日后30个自然日内完成，安装测试结果如不符或测试结果不能确认，乙方应在10个自然日内调整配置直至重新测试合格，如果仍然测试不通过，甲方有权停止验收、拒收设备并解除合同，由乙方承担违约责任。如因甲方或不可抗力原因导致未能进行安装验收，甲方须向乙方出具和签署相关证明。</w:t>
      </w:r>
    </w:p>
    <w:p>
      <w:pPr>
        <w:ind w:firstLine="480" w:firstLineChars="200"/>
        <w:rPr>
          <w:color w:val="auto"/>
          <w:sz w:val="24"/>
          <w:szCs w:val="24"/>
          <w:highlight w:val="none"/>
          <w:lang w:val="en-US" w:bidi="ar-SA"/>
        </w:rPr>
      </w:pPr>
      <w:r>
        <w:rPr>
          <w:rFonts w:hint="eastAsia"/>
          <w:color w:val="auto"/>
          <w:sz w:val="24"/>
          <w:szCs w:val="24"/>
          <w:highlight w:val="none"/>
          <w:lang w:val="en-US" w:bidi="ar-SA"/>
        </w:rPr>
        <w:t>3.2.3调试验收：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全部产品由乙方安装并调试正常后，乙方负责派出相关技术人员现场指导甲方对设备功能进行测试，由甲乙双方按投标文件规定的型号、技术参数、数量、产地，并根据制造商签发的《产品合格证》、《出厂清单》、乙方向甲方提供包含验收方案、验收内容、验收标准（包括行业通行标准、厂房出厂标准、招标文件要求和乙方投标文件的承诺，并不低于国家有关部门最新颁布的标准及规范）、省级以上计量检定部门出具的检定/校准合格证书、验收人员等验收申请，进行现场验收，现场验收包括设备验收和数据验收，设备验收是完成了数据采集工作后，系统功能和性能达到试运行条件时，系统进入试运行阶段，在对试运行期间暴露的所有缺陷、问题和未实现的功能完全解决后，系统达到稳定运行，在稳定运行后对数据进行验收，当设备和数据都满足要求时申请现场验收。现场验收合格后甲乙双方根据测试结果共同签署《产品安装调试报告及验收报告》，现场验收完成后，系统正式投入运行，进入质保期。如对结果有异议，验收十个工作日内以书面形式通知对方。</w:t>
      </w:r>
    </w:p>
    <w:p>
      <w:pPr>
        <w:ind w:firstLine="480" w:firstLineChars="200"/>
        <w:rPr>
          <w:color w:val="auto"/>
          <w:sz w:val="24"/>
          <w:szCs w:val="24"/>
          <w:highlight w:val="none"/>
          <w:lang w:val="en-US" w:bidi="ar-SA"/>
        </w:rPr>
      </w:pPr>
      <w:r>
        <w:rPr>
          <w:rFonts w:hint="eastAsia"/>
          <w:color w:val="auto"/>
          <w:sz w:val="24"/>
          <w:szCs w:val="24"/>
          <w:highlight w:val="none"/>
          <w:lang w:val="en-US" w:bidi="ar-SA"/>
        </w:rPr>
        <w:t>3.2.4最终验收：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系统在质保期间没有出现任何重大缺陷，在质保期满时申请最终验收。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3.2.5综合验收：</w:t>
      </w:r>
    </w:p>
    <w:p>
      <w:pPr>
        <w:ind w:firstLine="480" w:firstLineChars="200"/>
        <w:rPr>
          <w:color w:val="auto"/>
          <w:sz w:val="24"/>
          <w:szCs w:val="24"/>
          <w:highlight w:val="none"/>
          <w:lang w:val="en-US" w:bidi="ar-SA"/>
        </w:rPr>
      </w:pPr>
      <w:r>
        <w:rPr>
          <w:rFonts w:hint="eastAsia"/>
          <w:color w:val="auto"/>
          <w:sz w:val="24"/>
          <w:szCs w:val="24"/>
          <w:highlight w:val="none"/>
          <w:lang w:val="en-US" w:bidi="ar-SA"/>
        </w:rPr>
        <w:t>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十、甲、乙双方的权利及义务</w:t>
      </w:r>
    </w:p>
    <w:p>
      <w:pPr>
        <w:ind w:firstLine="480" w:firstLineChars="200"/>
        <w:rPr>
          <w:color w:val="auto"/>
          <w:sz w:val="24"/>
          <w:szCs w:val="24"/>
          <w:highlight w:val="none"/>
          <w:lang w:val="en-US" w:bidi="ar-SA"/>
        </w:rPr>
      </w:pPr>
      <w:r>
        <w:rPr>
          <w:rFonts w:hint="eastAsia"/>
          <w:color w:val="auto"/>
          <w:sz w:val="24"/>
          <w:szCs w:val="24"/>
          <w:highlight w:val="none"/>
          <w:lang w:val="en-US" w:bidi="ar-SA"/>
        </w:rPr>
        <w:t>1、若甲方对订购的货物有任何更改，包括货物的型号、品种、规格、数量、颜色、交货期等事宜，必须在双方签订合同后七天内书面通知乙方，经乙方同意并变更后，交货期相应从变更之日起顺延，若超过七天乙方不予更改。由于变更引起的合同总额的增减，则由甲乙双方友好协商后，多退少补。</w:t>
      </w:r>
    </w:p>
    <w:p>
      <w:pPr>
        <w:ind w:firstLine="480" w:firstLineChars="200"/>
        <w:rPr>
          <w:color w:val="auto"/>
          <w:sz w:val="24"/>
          <w:szCs w:val="24"/>
          <w:highlight w:val="none"/>
          <w:lang w:val="en-US" w:bidi="ar-SA"/>
        </w:rPr>
      </w:pPr>
      <w:r>
        <w:rPr>
          <w:rFonts w:hint="eastAsia"/>
          <w:color w:val="auto"/>
          <w:sz w:val="24"/>
          <w:szCs w:val="24"/>
          <w:highlight w:val="none"/>
          <w:lang w:val="en-US" w:bidi="ar-SA"/>
        </w:rPr>
        <w:t>2、若乙方在交货时，由于甲方的原因或要求，不能及时将货物送达指定地点和验收时，则甲方负责承担与仓储及再次运输相关的费用，并给予乙方书面确认书，视为乙方已按期交付货物。</w:t>
      </w:r>
    </w:p>
    <w:p>
      <w:pPr>
        <w:ind w:firstLine="480" w:firstLineChars="200"/>
        <w:rPr>
          <w:color w:val="auto"/>
          <w:sz w:val="24"/>
          <w:szCs w:val="24"/>
          <w:highlight w:val="none"/>
          <w:lang w:val="en-US" w:bidi="ar-SA"/>
        </w:rPr>
      </w:pPr>
      <w:r>
        <w:rPr>
          <w:rFonts w:hint="eastAsia"/>
          <w:color w:val="auto"/>
          <w:sz w:val="24"/>
          <w:szCs w:val="24"/>
          <w:highlight w:val="none"/>
          <w:lang w:val="en-US" w:bidi="ar-SA"/>
        </w:rPr>
        <w:t>3、若甲方在验收后的质量保证期内，发现货物内有部分出现质量问题，应及时通知乙方，乙方应3天内到现场查看，若需要更换时，乙方应在接到通知后10天内给予更换。</w:t>
      </w:r>
    </w:p>
    <w:p>
      <w:pPr>
        <w:ind w:firstLine="480" w:firstLineChars="200"/>
        <w:rPr>
          <w:color w:val="auto"/>
          <w:sz w:val="24"/>
          <w:szCs w:val="24"/>
          <w:highlight w:val="none"/>
          <w:lang w:val="en-US" w:bidi="ar-SA"/>
        </w:rPr>
      </w:pPr>
      <w:r>
        <w:rPr>
          <w:rFonts w:hint="eastAsia"/>
          <w:color w:val="auto"/>
          <w:sz w:val="24"/>
          <w:szCs w:val="24"/>
          <w:highlight w:val="none"/>
          <w:lang w:val="en-US" w:bidi="ar-SA"/>
        </w:rPr>
        <w:t>4、乙方须按合同要求提供质量合格的货物，如期在甲方指定的交货地点交付货物，并提供免费的安装调试。</w:t>
      </w:r>
    </w:p>
    <w:p>
      <w:pPr>
        <w:ind w:firstLine="480" w:firstLineChars="200"/>
        <w:rPr>
          <w:color w:val="auto"/>
          <w:sz w:val="24"/>
          <w:szCs w:val="24"/>
          <w:highlight w:val="none"/>
          <w:lang w:val="en-US" w:bidi="ar-SA"/>
        </w:rPr>
      </w:pPr>
      <w:r>
        <w:rPr>
          <w:rFonts w:hint="eastAsia"/>
          <w:color w:val="auto"/>
          <w:sz w:val="24"/>
          <w:szCs w:val="24"/>
          <w:highlight w:val="none"/>
          <w:lang w:val="en-US" w:bidi="ar-SA"/>
        </w:rPr>
        <w:t>5、乙方对售予甲方的货物提供的质量保证期的质量保证范围，不包括意外事件、不可抗力原因及违规使用。</w:t>
      </w:r>
    </w:p>
    <w:p>
      <w:pPr>
        <w:autoSpaceDE/>
        <w:autoSpaceDN/>
        <w:ind w:firstLine="472" w:firstLineChars="196"/>
        <w:jc w:val="both"/>
        <w:rPr>
          <w:b/>
          <w:color w:val="auto"/>
          <w:kern w:val="2"/>
          <w:sz w:val="24"/>
          <w:szCs w:val="24"/>
          <w:highlight w:val="none"/>
          <w:lang w:val="en-US" w:bidi="ar-SA"/>
        </w:rPr>
      </w:pPr>
      <w:r>
        <w:rPr>
          <w:rFonts w:hint="eastAsia"/>
          <w:b/>
          <w:color w:val="auto"/>
          <w:kern w:val="2"/>
          <w:sz w:val="24"/>
          <w:szCs w:val="24"/>
          <w:highlight w:val="none"/>
          <w:lang w:val="en-US" w:bidi="ar-SA"/>
        </w:rPr>
        <w:t>十一、合同变更、违约及其它</w:t>
      </w:r>
    </w:p>
    <w:p>
      <w:pPr>
        <w:ind w:firstLine="470" w:firstLineChars="196"/>
        <w:rPr>
          <w:color w:val="auto"/>
          <w:sz w:val="24"/>
          <w:szCs w:val="24"/>
          <w:highlight w:val="none"/>
          <w:lang w:val="en-US" w:bidi="ar-SA"/>
        </w:rPr>
      </w:pPr>
      <w:r>
        <w:rPr>
          <w:rFonts w:hint="eastAsia"/>
          <w:color w:val="auto"/>
          <w:sz w:val="24"/>
          <w:szCs w:val="24"/>
          <w:highlight w:val="none"/>
          <w:lang w:val="en-US" w:bidi="ar-SA"/>
        </w:rPr>
        <w:t>1、甲方按合同规定的付款要求履约，合同价格不变，甲方由于非不可抗力原因不能在本合同规定的时间内支付合同款项时，应事先告知乙方，并征求乙方的同意，否则甲方应向乙方支付违约金。其支付办法是：每延误七天按迟付款总金额的千分之五支付；不满七天按七天计算，依次类推。</w:t>
      </w:r>
    </w:p>
    <w:p>
      <w:pPr>
        <w:ind w:firstLine="470" w:firstLineChars="196"/>
        <w:rPr>
          <w:color w:val="auto"/>
          <w:sz w:val="24"/>
          <w:szCs w:val="24"/>
          <w:highlight w:val="none"/>
          <w:lang w:val="en-US" w:bidi="ar-SA"/>
        </w:rPr>
      </w:pPr>
      <w:r>
        <w:rPr>
          <w:rFonts w:hint="eastAsia"/>
          <w:color w:val="auto"/>
          <w:sz w:val="24"/>
          <w:szCs w:val="24"/>
          <w:highlight w:val="none"/>
          <w:lang w:val="en-US" w:bidi="ar-SA"/>
        </w:rPr>
        <w:t>2、乙方必须在本合同规定的时间内按时交货，否则由乙方负责承担全部违约责任。乙方迟延交货需向甲方支付违约金：每延误七天按合同总金额的千分之五支付；不满七天按七天计算，依次类推。乙方超过交货期限 35个自然日内仍不能交付全部货物时，甲方有权因乙方违约解除合同。</w:t>
      </w:r>
    </w:p>
    <w:p>
      <w:pPr>
        <w:rPr>
          <w:color w:val="auto"/>
          <w:sz w:val="24"/>
          <w:szCs w:val="24"/>
          <w:highlight w:val="none"/>
          <w:lang w:val="en-US" w:bidi="ar-SA"/>
        </w:rPr>
      </w:pPr>
      <w:r>
        <w:rPr>
          <w:rFonts w:hint="eastAsia"/>
          <w:color w:val="auto"/>
          <w:sz w:val="24"/>
          <w:szCs w:val="24"/>
          <w:highlight w:val="none"/>
          <w:lang w:val="en-US" w:bidi="ar-SA"/>
        </w:rPr>
        <w:t xml:space="preserve">     3、乙方应严格按照招标、投标文件中规定的产品规格、型号名称、数量和质量提供相应的产品及服务，兑现服务承诺，否则将视为乙方违约，并按合同总价款的</w:t>
      </w:r>
      <w:r>
        <w:rPr>
          <w:rFonts w:hint="eastAsia"/>
          <w:color w:val="auto"/>
          <w:sz w:val="24"/>
          <w:szCs w:val="24"/>
          <w:highlight w:val="none"/>
          <w:u w:val="single"/>
          <w:lang w:val="en-US" w:bidi="ar-SA"/>
        </w:rPr>
        <w:t>10</w:t>
      </w:r>
      <w:r>
        <w:rPr>
          <w:rFonts w:hint="eastAsia"/>
          <w:color w:val="auto"/>
          <w:sz w:val="24"/>
          <w:szCs w:val="24"/>
          <w:highlight w:val="none"/>
          <w:lang w:val="en-US" w:bidi="ar-SA"/>
        </w:rPr>
        <w:t>%或单件设备款价的</w:t>
      </w:r>
      <w:r>
        <w:rPr>
          <w:rFonts w:hint="eastAsia"/>
          <w:color w:val="auto"/>
          <w:sz w:val="24"/>
          <w:szCs w:val="24"/>
          <w:highlight w:val="none"/>
          <w:u w:val="single"/>
          <w:lang w:val="en-US" w:bidi="ar-SA"/>
        </w:rPr>
        <w:t>30</w:t>
      </w:r>
      <w:r>
        <w:rPr>
          <w:rFonts w:hint="eastAsia"/>
          <w:color w:val="auto"/>
          <w:sz w:val="24"/>
          <w:szCs w:val="24"/>
          <w:highlight w:val="none"/>
          <w:lang w:val="en-US" w:bidi="ar-SA"/>
        </w:rPr>
        <w:t>%承担违约金。</w:t>
      </w:r>
    </w:p>
    <w:p>
      <w:pPr>
        <w:rPr>
          <w:color w:val="auto"/>
          <w:sz w:val="24"/>
          <w:szCs w:val="24"/>
          <w:highlight w:val="none"/>
          <w:lang w:val="en-US" w:bidi="ar-SA"/>
        </w:rPr>
      </w:pPr>
      <w:r>
        <w:rPr>
          <w:rFonts w:hint="eastAsia"/>
          <w:color w:val="auto"/>
          <w:sz w:val="24"/>
          <w:szCs w:val="24"/>
          <w:highlight w:val="none"/>
          <w:lang w:val="en-US" w:bidi="ar-SA"/>
        </w:rPr>
        <w:t xml:space="preserve">    4、合同文本不得涂改，如需修改应在合同附件中注明。经甲、乙双方协商达成一致修改意见，需经甲、乙双方代表共同签署此附件，并通报自治区政府采购中心认可后，方能生效。</w:t>
      </w:r>
    </w:p>
    <w:p>
      <w:pPr>
        <w:ind w:firstLine="645"/>
        <w:rPr>
          <w:color w:val="auto"/>
          <w:sz w:val="24"/>
          <w:szCs w:val="24"/>
          <w:highlight w:val="none"/>
          <w:lang w:val="en-US" w:bidi="ar-SA"/>
        </w:rPr>
      </w:pPr>
      <w:r>
        <w:rPr>
          <w:rFonts w:hint="eastAsia"/>
          <w:color w:val="auto"/>
          <w:sz w:val="24"/>
          <w:szCs w:val="24"/>
          <w:highlight w:val="none"/>
          <w:lang w:val="en-US" w:bidi="ar-SA"/>
        </w:rPr>
        <w:t>5、招标文件、投标文件及开标会议上签名的答疑记录、售后服务承诺等均作为合同的附件，是合同文本不可分割的组成部分。合同文本未述及不详之处，以附件为准。</w:t>
      </w:r>
    </w:p>
    <w:p>
      <w:pPr>
        <w:ind w:firstLine="480" w:firstLineChars="200"/>
        <w:rPr>
          <w:color w:val="auto"/>
          <w:sz w:val="24"/>
          <w:szCs w:val="24"/>
          <w:highlight w:val="none"/>
          <w:lang w:val="en-US" w:bidi="ar-SA"/>
        </w:rPr>
      </w:pPr>
      <w:r>
        <w:rPr>
          <w:rFonts w:hint="eastAsia"/>
          <w:color w:val="auto"/>
          <w:sz w:val="24"/>
          <w:szCs w:val="24"/>
          <w:highlight w:val="none"/>
          <w:lang w:val="en-US" w:bidi="ar-SA"/>
        </w:rPr>
        <w:t>6、合同经甲、乙双方签字盖章后即行生效。合同生效后 ，乙方中途废止合同（不可抗力原因除外），乙方中途解除合同（不可抗力原因除外）应按实际损失向甲方支付赔偿金，并向甲方支付合同总金额</w:t>
      </w:r>
      <w:r>
        <w:rPr>
          <w:rFonts w:hint="eastAsia"/>
          <w:color w:val="auto"/>
          <w:sz w:val="24"/>
          <w:szCs w:val="24"/>
          <w:highlight w:val="none"/>
          <w:u w:val="single"/>
          <w:lang w:val="en-US" w:bidi="ar-SA"/>
        </w:rPr>
        <w:t>10</w:t>
      </w:r>
      <w:r>
        <w:rPr>
          <w:rFonts w:hint="eastAsia"/>
          <w:color w:val="auto"/>
          <w:sz w:val="24"/>
          <w:szCs w:val="24"/>
          <w:highlight w:val="none"/>
          <w:lang w:val="en-US" w:bidi="ar-SA"/>
        </w:rPr>
        <w:t>%的违约金；甲方中途废止合同（不可抗力原因除外），甲方中途解除合同（不可抗力原因除外），向乙方支付合同总金额的</w:t>
      </w:r>
      <w:r>
        <w:rPr>
          <w:rFonts w:hint="eastAsia"/>
          <w:color w:val="auto"/>
          <w:sz w:val="24"/>
          <w:szCs w:val="24"/>
          <w:highlight w:val="none"/>
          <w:u w:val="single"/>
          <w:lang w:val="en-US" w:bidi="ar-SA"/>
        </w:rPr>
        <w:t>10</w:t>
      </w:r>
      <w:r>
        <w:rPr>
          <w:rFonts w:hint="eastAsia"/>
          <w:color w:val="auto"/>
          <w:sz w:val="24"/>
          <w:szCs w:val="24"/>
          <w:highlight w:val="none"/>
          <w:lang w:val="en-US" w:bidi="ar-SA"/>
        </w:rPr>
        <w:t>%的违约金。</w:t>
      </w:r>
    </w:p>
    <w:p>
      <w:pPr>
        <w:autoSpaceDE/>
        <w:autoSpaceDN/>
        <w:ind w:firstLine="480" w:firstLineChars="200"/>
        <w:jc w:val="both"/>
        <w:rPr>
          <w:color w:val="auto"/>
          <w:sz w:val="24"/>
          <w:szCs w:val="24"/>
          <w:highlight w:val="none"/>
          <w:lang w:val="en-US" w:bidi="ar-SA"/>
        </w:rPr>
      </w:pPr>
      <w:r>
        <w:rPr>
          <w:rFonts w:hint="eastAsia"/>
          <w:color w:val="auto"/>
          <w:sz w:val="24"/>
          <w:szCs w:val="24"/>
          <w:highlight w:val="none"/>
          <w:lang w:val="en-US" w:bidi="ar-SA"/>
        </w:rPr>
        <w:t>7、本合同依照《中华人民共和国政府采购法》和《</w:t>
      </w:r>
      <w:r>
        <w:rPr>
          <w:rFonts w:hint="eastAsia"/>
          <w:color w:val="auto"/>
          <w:kern w:val="2"/>
          <w:sz w:val="24"/>
          <w:szCs w:val="24"/>
          <w:highlight w:val="none"/>
          <w:lang w:val="en-US" w:bidi="ar-SA"/>
        </w:rPr>
        <w:t>《中华人民共和国民法典》</w:t>
      </w:r>
      <w:r>
        <w:rPr>
          <w:rFonts w:hint="eastAsia"/>
          <w:color w:val="auto"/>
          <w:sz w:val="24"/>
          <w:szCs w:val="24"/>
          <w:highlight w:val="none"/>
          <w:lang w:val="en-US" w:bidi="ar-SA"/>
        </w:rPr>
        <w:t>等相关法律法规制定。未尽事项皆受上述法律法规约束。甲、乙双方发生争议时，应先协商解决，经协商在30天内不能达成协议时，应提交甲方所在地人民法院进行诉讼。</w:t>
      </w:r>
    </w:p>
    <w:p>
      <w:pPr>
        <w:autoSpaceDE/>
        <w:autoSpaceDN/>
        <w:ind w:firstLine="480" w:firstLineChars="200"/>
        <w:jc w:val="both"/>
        <w:rPr>
          <w:color w:val="auto"/>
          <w:sz w:val="24"/>
          <w:szCs w:val="24"/>
          <w:highlight w:val="none"/>
          <w:lang w:val="en-US" w:bidi="ar-SA"/>
        </w:rPr>
      </w:pPr>
      <w:r>
        <w:rPr>
          <w:rFonts w:hint="eastAsia"/>
          <w:color w:val="auto"/>
          <w:sz w:val="24"/>
          <w:szCs w:val="24"/>
          <w:highlight w:val="none"/>
          <w:lang w:val="en-US" w:bidi="ar-SA"/>
        </w:rPr>
        <w:t>8、人民法院生效判决为最终决定，并对双方具有约束力。</w:t>
      </w:r>
    </w:p>
    <w:p>
      <w:pPr>
        <w:ind w:firstLine="556"/>
        <w:rPr>
          <w:color w:val="auto"/>
          <w:sz w:val="24"/>
          <w:szCs w:val="24"/>
          <w:highlight w:val="none"/>
          <w:lang w:val="en-US" w:bidi="ar-SA"/>
        </w:rPr>
      </w:pPr>
      <w:r>
        <w:rPr>
          <w:rFonts w:hint="eastAsia"/>
          <w:color w:val="auto"/>
          <w:sz w:val="24"/>
          <w:szCs w:val="24"/>
          <w:highlight w:val="none"/>
          <w:lang w:val="en-US" w:bidi="ar-SA"/>
        </w:rPr>
        <w:t>9、本合同一式六份，甲方执四份，乙方执二份。</w:t>
      </w:r>
    </w:p>
    <w:p>
      <w:pPr>
        <w:ind w:firstLine="556"/>
        <w:rPr>
          <w:color w:val="auto"/>
          <w:sz w:val="24"/>
          <w:szCs w:val="24"/>
          <w:highlight w:val="none"/>
          <w:lang w:val="en-US" w:bidi="ar-SA"/>
        </w:rPr>
      </w:pPr>
      <w:r>
        <w:rPr>
          <w:rFonts w:hint="eastAsia"/>
          <w:color w:val="auto"/>
          <w:sz w:val="24"/>
          <w:szCs w:val="24"/>
          <w:highlight w:val="none"/>
          <w:lang w:val="en-US" w:bidi="ar-SA"/>
        </w:rPr>
        <w:t>10、本合同自签字盖章完毕之日起生效，质量保证期满后终止。</w:t>
      </w:r>
    </w:p>
    <w:p>
      <w:pPr>
        <w:ind w:firstLine="556"/>
        <w:rPr>
          <w:color w:val="auto"/>
          <w:sz w:val="24"/>
          <w:szCs w:val="24"/>
          <w:highlight w:val="none"/>
          <w:lang w:val="en-US" w:bidi="ar-SA"/>
        </w:rPr>
      </w:pPr>
      <w:r>
        <w:rPr>
          <w:rFonts w:hint="eastAsia"/>
          <w:color w:val="auto"/>
          <w:sz w:val="24"/>
          <w:szCs w:val="24"/>
          <w:highlight w:val="none"/>
          <w:lang w:val="en-US" w:bidi="ar-SA"/>
        </w:rPr>
        <w:t>11、本合同附件（一）</w:t>
      </w:r>
      <w:bookmarkStart w:id="77" w:name="OLE_LINK7"/>
      <w:r>
        <w:rPr>
          <w:rFonts w:hint="eastAsia"/>
          <w:color w:val="auto"/>
          <w:sz w:val="24"/>
          <w:szCs w:val="24"/>
          <w:highlight w:val="none"/>
          <w:lang w:val="en-US" w:bidi="ar-SA"/>
        </w:rPr>
        <w:t>技术协议</w:t>
      </w:r>
      <w:bookmarkEnd w:id="77"/>
      <w:r>
        <w:rPr>
          <w:rFonts w:hint="eastAsia"/>
          <w:color w:val="auto"/>
          <w:sz w:val="24"/>
          <w:szCs w:val="24"/>
          <w:highlight w:val="none"/>
          <w:lang w:val="en-US" w:bidi="ar-SA"/>
        </w:rPr>
        <w:t>属合同不可分割内容，与本合同具有同等法律效力。</w:t>
      </w:r>
    </w:p>
    <w:p>
      <w:pPr>
        <w:rPr>
          <w:color w:val="auto"/>
          <w:sz w:val="24"/>
          <w:szCs w:val="24"/>
          <w:highlight w:val="none"/>
          <w:lang w:val="en-US" w:bidi="ar-SA"/>
        </w:rPr>
      </w:pPr>
    </w:p>
    <w:p>
      <w:pPr>
        <w:ind w:firstLine="556"/>
        <w:rPr>
          <w:color w:val="auto"/>
          <w:sz w:val="24"/>
          <w:szCs w:val="24"/>
          <w:highlight w:val="none"/>
          <w:lang w:val="en-US" w:bidi="ar-SA"/>
        </w:rPr>
      </w:pPr>
    </w:p>
    <w:tbl>
      <w:tblPr>
        <w:tblStyle w:val="28"/>
        <w:tblW w:w="100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1"/>
        <w:gridCol w:w="5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甲方（公章）：新疆维吾尔自治区产品质量监督检验研究院</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 xml:space="preserve">乙方（公章）：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授权代表签字：</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地址：乌鲁木齐市新市区河北东路188号</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电话：0991－3191306</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开户行：招行乌鲁木齐西虹东路支行</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 xml:space="preserve">开户行：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帐  号：991903366510903</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帐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税  号：126500004576007000</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税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签订日期：</w:t>
            </w:r>
          </w:p>
        </w:tc>
        <w:tc>
          <w:tcPr>
            <w:tcW w:w="5041" w:type="dxa"/>
            <w:tcBorders>
              <w:top w:val="single" w:color="auto" w:sz="4" w:space="0"/>
              <w:left w:val="single" w:color="auto" w:sz="4" w:space="0"/>
              <w:bottom w:val="single" w:color="auto" w:sz="4" w:space="0"/>
              <w:right w:val="single" w:color="auto" w:sz="4" w:space="0"/>
            </w:tcBorders>
            <w:vAlign w:val="center"/>
          </w:tcPr>
          <w:p>
            <w:pPr>
              <w:autoSpaceDE/>
              <w:autoSpaceDN/>
              <w:jc w:val="both"/>
              <w:rPr>
                <w:color w:val="auto"/>
                <w:kern w:val="2"/>
                <w:sz w:val="24"/>
                <w:szCs w:val="24"/>
                <w:highlight w:val="none"/>
                <w:lang w:val="en-US" w:bidi="ar-SA"/>
              </w:rPr>
            </w:pPr>
            <w:r>
              <w:rPr>
                <w:rFonts w:hint="eastAsia"/>
                <w:color w:val="auto"/>
                <w:kern w:val="2"/>
                <w:sz w:val="24"/>
                <w:szCs w:val="24"/>
                <w:highlight w:val="none"/>
                <w:lang w:val="en-US" w:bidi="ar-SA"/>
              </w:rPr>
              <w:t>签订日期：</w:t>
            </w:r>
          </w:p>
        </w:tc>
      </w:tr>
    </w:tbl>
    <w:p>
      <w:pPr>
        <w:pStyle w:val="25"/>
        <w:widowControl w:val="0"/>
        <w:shd w:val="clear" w:color="auto" w:fill="FFFFFF"/>
        <w:spacing w:line="460" w:lineRule="exact"/>
        <w:rPr>
          <w:color w:val="auto"/>
          <w:highlight w:val="none"/>
        </w:rPr>
      </w:pPr>
      <w:r>
        <w:rPr>
          <w:rFonts w:hint="eastAsia"/>
          <w:b/>
          <w:bCs/>
          <w:color w:val="auto"/>
          <w:highlight w:val="none"/>
        </w:rPr>
        <w:t>注：以上为合同模板，具体签订方式、内容以甲方提供合同为准</w:t>
      </w:r>
    </w:p>
    <w:p>
      <w:pPr>
        <w:rPr>
          <w:color w:val="auto"/>
          <w:sz w:val="18"/>
          <w:szCs w:val="20"/>
          <w:highlight w:val="none"/>
        </w:rPr>
      </w:pPr>
      <w:r>
        <w:rPr>
          <w:rFonts w:hint="eastAsia"/>
          <w:color w:val="auto"/>
          <w:sz w:val="18"/>
          <w:szCs w:val="20"/>
          <w:highlight w:val="none"/>
        </w:rPr>
        <w:br w:type="page"/>
      </w:r>
    </w:p>
    <w:p>
      <w:pPr>
        <w:pStyle w:val="5"/>
        <w:tabs>
          <w:tab w:val="left" w:pos="1163"/>
        </w:tabs>
        <w:spacing w:line="240" w:lineRule="auto"/>
        <w:outlineLvl w:val="0"/>
        <w:rPr>
          <w:rFonts w:ascii="宋体" w:hAnsi="宋体" w:eastAsia="宋体" w:cs="宋体"/>
          <w:b/>
          <w:bCs/>
          <w:color w:val="auto"/>
          <w:sz w:val="32"/>
          <w:szCs w:val="32"/>
          <w:highlight w:val="none"/>
        </w:rPr>
      </w:pPr>
      <w:bookmarkStart w:id="78" w:name="_bookmark103"/>
      <w:bookmarkEnd w:id="78"/>
      <w:bookmarkStart w:id="79" w:name="_Toc7476"/>
      <w:r>
        <w:rPr>
          <w:rFonts w:hint="eastAsia" w:ascii="宋体" w:hAnsi="宋体" w:eastAsia="宋体" w:cs="宋体"/>
          <w:b/>
          <w:bCs/>
          <w:color w:val="auto"/>
          <w:sz w:val="32"/>
          <w:szCs w:val="32"/>
          <w:highlight w:val="none"/>
        </w:rPr>
        <w:t>第六章</w:t>
      </w:r>
      <w:r>
        <w:rPr>
          <w:rFonts w:hint="eastAsia" w:ascii="宋体" w:hAnsi="宋体" w:eastAsia="宋体" w:cs="宋体"/>
          <w:b/>
          <w:bCs/>
          <w:color w:val="auto"/>
          <w:sz w:val="32"/>
          <w:szCs w:val="32"/>
          <w:highlight w:val="none"/>
          <w:lang w:val="en-US"/>
        </w:rPr>
        <w:t xml:space="preserve"> </w:t>
      </w:r>
      <w:r>
        <w:rPr>
          <w:rFonts w:hint="eastAsia" w:ascii="宋体" w:hAnsi="宋体" w:eastAsia="宋体" w:cs="宋体"/>
          <w:b/>
          <w:bCs/>
          <w:color w:val="auto"/>
          <w:sz w:val="32"/>
          <w:szCs w:val="32"/>
          <w:highlight w:val="none"/>
        </w:rPr>
        <w:t>投标文件格式</w:t>
      </w:r>
      <w:bookmarkEnd w:id="79"/>
    </w:p>
    <w:p>
      <w:pPr>
        <w:pStyle w:val="36"/>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投标人提交的材料将被保密，但不退还。全部文件应按规定的份数按标项编制并按标项提交。如果招标文件采购内容未注明分标项采购，即全部采购内容为一个标项（即第 1 标项），标项号为“1”标项名称仍为标项名称。格式如下：</w:t>
      </w:r>
    </w:p>
    <w:p>
      <w:pPr>
        <w:pStyle w:val="36"/>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pPr>
        <w:pStyle w:val="36"/>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本章未给出格式的材料或附件，由投标人自行提供或编制，但应注意招标文件相应盖章要求。本章明确指明是“建议格式”的文件其格式仅供参考，均不做强制要求，投标人可自行编制，但应注意招标文件相应盖章要求。</w:t>
      </w:r>
    </w:p>
    <w:p>
      <w:pPr>
        <w:pStyle w:val="36"/>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（2）本章明确指明为“格式”的文件：</w:t>
      </w:r>
    </w:p>
    <w:p>
      <w:pPr>
        <w:pStyle w:val="36"/>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格式名称为“表”的，表头给定内容不得删减、改变，可根据实际需要增减行，需要填写的空格或空白应有效填写。格式属于文字内容性质的，不得删减、改变格式中给定的文字内容，不得自行增加与格式中给定的文字内容相矛盾的内容，需要填写的空格或空白应有效填写。对于有签署、签字要求的格式文件，法定代表人在相应位置签署或被授权人在相应位置签字。对于有盖章要求的格式文件，应加盖公章。不满足本条要求的格式文件将视为无效格式文件。</w:t>
      </w:r>
    </w:p>
    <w:p>
      <w:pPr>
        <w:pStyle w:val="36"/>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（3）本章提供的格式表格中括号“【】”中内容表示填写说明或举例说明，并非给定内容，投标人应跟根据自身投标情况据实填写。本章提供的格式中“注：”的内容也是填写说明，也非给定内容。</w:t>
      </w:r>
    </w:p>
    <w:p>
      <w:pPr>
        <w:rPr>
          <w:color w:val="auto"/>
          <w:sz w:val="20"/>
          <w:szCs w:val="20"/>
          <w:highlight w:val="none"/>
        </w:rPr>
      </w:pPr>
      <w:bookmarkStart w:id="80" w:name="_bookmark104"/>
      <w:bookmarkEnd w:id="80"/>
      <w:r>
        <w:rPr>
          <w:rFonts w:hint="eastAsia"/>
          <w:color w:val="auto"/>
          <w:sz w:val="20"/>
          <w:szCs w:val="20"/>
          <w:highlight w:val="none"/>
        </w:rPr>
        <w:br w:type="page"/>
      </w:r>
    </w:p>
    <w:p>
      <w:pPr>
        <w:pStyle w:val="6"/>
        <w:spacing w:before="31"/>
        <w:ind w:right="115"/>
        <w:rPr>
          <w:rFonts w:ascii="宋体" w:hAnsi="宋体" w:eastAsia="宋体" w:cs="宋体"/>
          <w:color w:val="auto"/>
          <w:sz w:val="28"/>
          <w:szCs w:val="28"/>
          <w:highlight w:val="none"/>
        </w:rPr>
      </w:pPr>
      <w:bookmarkStart w:id="81" w:name="_Toc2007"/>
      <w:r>
        <w:rPr>
          <w:rFonts w:hint="eastAsia" w:ascii="宋体" w:hAnsi="宋体" w:eastAsia="宋体" w:cs="宋体"/>
          <w:color w:val="auto"/>
          <w:sz w:val="28"/>
          <w:szCs w:val="28"/>
          <w:highlight w:val="none"/>
          <w:lang w:val="en-US"/>
        </w:rPr>
        <w:t>投标</w:t>
      </w:r>
      <w:r>
        <w:rPr>
          <w:rFonts w:hint="eastAsia" w:ascii="宋体" w:hAnsi="宋体" w:eastAsia="宋体" w:cs="宋体"/>
          <w:color w:val="auto"/>
          <w:sz w:val="28"/>
          <w:szCs w:val="28"/>
          <w:highlight w:val="none"/>
        </w:rPr>
        <w:t>文件封面建议格式</w:t>
      </w:r>
      <w:bookmarkEnd w:id="81"/>
    </w:p>
    <w:p>
      <w:pPr>
        <w:spacing w:before="212"/>
        <w:ind w:right="341"/>
        <w:jc w:val="right"/>
        <w:rPr>
          <w:b/>
          <w:color w:val="auto"/>
          <w:sz w:val="24"/>
          <w:szCs w:val="20"/>
          <w:highlight w:val="none"/>
        </w:rPr>
      </w:pPr>
      <w:r>
        <w:rPr>
          <w:rFonts w:hint="eastAsia"/>
          <w:b/>
          <w:color w:val="auto"/>
          <w:sz w:val="24"/>
          <w:szCs w:val="20"/>
          <w:highlight w:val="none"/>
        </w:rPr>
        <w:t>正本【或副本】</w:t>
      </w:r>
    </w:p>
    <w:p>
      <w:pPr>
        <w:pStyle w:val="14"/>
        <w:rPr>
          <w:b/>
          <w:color w:val="auto"/>
          <w:sz w:val="28"/>
          <w:szCs w:val="28"/>
          <w:highlight w:val="none"/>
        </w:rPr>
      </w:pPr>
    </w:p>
    <w:p>
      <w:pPr>
        <w:tabs>
          <w:tab w:val="left" w:pos="5896"/>
        </w:tabs>
        <w:spacing w:line="360" w:lineRule="auto"/>
        <w:ind w:left="880" w:leftChars="400"/>
        <w:rPr>
          <w:color w:val="auto"/>
          <w:sz w:val="28"/>
          <w:szCs w:val="28"/>
          <w:highlight w:val="none"/>
          <w:u w:val="single"/>
        </w:rPr>
      </w:pPr>
      <w:r>
        <w:rPr>
          <w:rFonts w:hint="eastAsia"/>
          <w:color w:val="auto"/>
          <w:sz w:val="28"/>
          <w:szCs w:val="28"/>
          <w:highlight w:val="none"/>
        </w:rPr>
        <w:t>项目名称：</w:t>
      </w:r>
      <w:r>
        <w:rPr>
          <w:rFonts w:hint="eastAsia"/>
          <w:color w:val="auto"/>
          <w:sz w:val="28"/>
          <w:szCs w:val="28"/>
          <w:highlight w:val="none"/>
          <w:u w:val="single"/>
        </w:rPr>
        <w:t xml:space="preserve">                             </w:t>
      </w:r>
    </w:p>
    <w:p>
      <w:pPr>
        <w:tabs>
          <w:tab w:val="left" w:pos="6875"/>
        </w:tabs>
        <w:spacing w:line="360" w:lineRule="auto"/>
        <w:ind w:left="880" w:leftChars="400"/>
        <w:rPr>
          <w:color w:val="auto"/>
          <w:sz w:val="28"/>
          <w:szCs w:val="28"/>
          <w:highlight w:val="none"/>
        </w:rPr>
      </w:pPr>
      <w:r>
        <w:rPr>
          <w:rFonts w:hint="eastAsia"/>
          <w:color w:val="auto"/>
          <w:sz w:val="28"/>
          <w:szCs w:val="28"/>
          <w:highlight w:val="none"/>
        </w:rPr>
        <w:t>项目编号：</w:t>
      </w:r>
      <w:r>
        <w:rPr>
          <w:rFonts w:hint="eastAsia"/>
          <w:color w:val="auto"/>
          <w:sz w:val="28"/>
          <w:szCs w:val="28"/>
          <w:highlight w:val="none"/>
          <w:u w:val="single"/>
        </w:rPr>
        <w:t xml:space="preserve">                             </w:t>
      </w:r>
    </w:p>
    <w:p>
      <w:pPr>
        <w:tabs>
          <w:tab w:val="left" w:pos="6875"/>
        </w:tabs>
        <w:spacing w:line="360" w:lineRule="auto"/>
        <w:ind w:left="880" w:leftChars="400"/>
        <w:rPr>
          <w:color w:val="auto"/>
          <w:sz w:val="28"/>
          <w:szCs w:val="28"/>
          <w:highlight w:val="none"/>
          <w:lang w:val="en-US"/>
        </w:rPr>
      </w:pPr>
      <w:r>
        <w:rPr>
          <w:rFonts w:hint="eastAsia"/>
          <w:color w:val="auto"/>
          <w:sz w:val="28"/>
          <w:szCs w:val="28"/>
          <w:highlight w:val="none"/>
        </w:rPr>
        <w:t>标项号：</w:t>
      </w: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p>
    <w:p>
      <w:pPr>
        <w:tabs>
          <w:tab w:val="left" w:pos="5896"/>
        </w:tabs>
        <w:spacing w:line="360" w:lineRule="auto"/>
        <w:ind w:left="880" w:leftChars="400"/>
        <w:rPr>
          <w:color w:val="auto"/>
          <w:sz w:val="28"/>
          <w:szCs w:val="28"/>
          <w:highlight w:val="none"/>
          <w:lang w:val="en-US"/>
        </w:rPr>
      </w:pPr>
      <w:r>
        <w:rPr>
          <w:rFonts w:hint="eastAsia"/>
          <w:color w:val="auto"/>
          <w:sz w:val="28"/>
          <w:szCs w:val="28"/>
          <w:highlight w:val="none"/>
        </w:rPr>
        <w:t>标项名称：</w:t>
      </w:r>
      <w:r>
        <w:rPr>
          <w:rFonts w:hint="eastAsia"/>
          <w:color w:val="auto"/>
          <w:sz w:val="28"/>
          <w:szCs w:val="28"/>
          <w:highlight w:val="none"/>
          <w:u w:val="single"/>
        </w:rPr>
        <w:t xml:space="preserve"> </w:t>
      </w:r>
      <w:r>
        <w:rPr>
          <w:rFonts w:hint="eastAsia"/>
          <w:color w:val="auto"/>
          <w:sz w:val="28"/>
          <w:szCs w:val="28"/>
          <w:highlight w:val="none"/>
          <w:u w:val="single"/>
          <w:lang w:val="en-US"/>
        </w:rPr>
        <w:t xml:space="preserve">                            </w:t>
      </w:r>
    </w:p>
    <w:p>
      <w:pPr>
        <w:pStyle w:val="14"/>
        <w:rPr>
          <w:color w:val="auto"/>
          <w:sz w:val="16"/>
          <w:szCs w:val="21"/>
          <w:highlight w:val="none"/>
        </w:rPr>
      </w:pPr>
    </w:p>
    <w:p>
      <w:pPr>
        <w:pStyle w:val="14"/>
        <w:rPr>
          <w:color w:val="auto"/>
          <w:sz w:val="16"/>
          <w:szCs w:val="21"/>
          <w:highlight w:val="none"/>
        </w:rPr>
      </w:pPr>
    </w:p>
    <w:p>
      <w:pPr>
        <w:pStyle w:val="14"/>
        <w:rPr>
          <w:color w:val="auto"/>
          <w:sz w:val="16"/>
          <w:szCs w:val="21"/>
          <w:highlight w:val="none"/>
        </w:rPr>
      </w:pPr>
    </w:p>
    <w:p>
      <w:pPr>
        <w:pStyle w:val="15"/>
        <w:rPr>
          <w:rFonts w:ascii="宋体" w:hAnsi="宋体" w:eastAsia="宋体" w:cs="宋体"/>
          <w:color w:val="auto"/>
          <w:sz w:val="16"/>
          <w:szCs w:val="21"/>
          <w:highlight w:val="none"/>
        </w:rPr>
      </w:pPr>
    </w:p>
    <w:p>
      <w:pPr>
        <w:pStyle w:val="15"/>
        <w:rPr>
          <w:rFonts w:ascii="宋体" w:hAnsi="宋体" w:eastAsia="宋体" w:cs="宋体"/>
          <w:color w:val="auto"/>
          <w:sz w:val="16"/>
          <w:szCs w:val="21"/>
          <w:highlight w:val="none"/>
        </w:rPr>
      </w:pPr>
    </w:p>
    <w:p>
      <w:pPr>
        <w:pStyle w:val="14"/>
        <w:spacing w:before="5"/>
        <w:rPr>
          <w:color w:val="auto"/>
          <w:sz w:val="21"/>
          <w:szCs w:val="21"/>
          <w:highlight w:val="none"/>
        </w:rPr>
      </w:pPr>
    </w:p>
    <w:p>
      <w:pPr>
        <w:ind w:right="113"/>
        <w:jc w:val="center"/>
        <w:rPr>
          <w:b/>
          <w:bCs/>
          <w:color w:val="auto"/>
          <w:sz w:val="112"/>
          <w:szCs w:val="112"/>
          <w:highlight w:val="none"/>
        </w:rPr>
      </w:pPr>
      <w:r>
        <w:rPr>
          <w:rFonts w:hint="eastAsia"/>
          <w:b/>
          <w:bCs/>
          <w:color w:val="auto"/>
          <w:sz w:val="112"/>
          <w:szCs w:val="112"/>
          <w:highlight w:val="none"/>
        </w:rPr>
        <w:t>投</w:t>
      </w:r>
      <w:r>
        <w:rPr>
          <w:rFonts w:hint="eastAsia"/>
          <w:b/>
          <w:bCs/>
          <w:color w:val="auto"/>
          <w:sz w:val="112"/>
          <w:szCs w:val="112"/>
          <w:highlight w:val="none"/>
          <w:lang w:val="en-US"/>
        </w:rPr>
        <w:t xml:space="preserve"> </w:t>
      </w:r>
      <w:r>
        <w:rPr>
          <w:rFonts w:hint="eastAsia"/>
          <w:b/>
          <w:bCs/>
          <w:color w:val="auto"/>
          <w:sz w:val="112"/>
          <w:szCs w:val="112"/>
          <w:highlight w:val="none"/>
        </w:rPr>
        <w:t>标</w:t>
      </w:r>
      <w:r>
        <w:rPr>
          <w:rFonts w:hint="eastAsia"/>
          <w:b/>
          <w:bCs/>
          <w:color w:val="auto"/>
          <w:sz w:val="112"/>
          <w:szCs w:val="112"/>
          <w:highlight w:val="none"/>
          <w:lang w:val="en-US"/>
        </w:rPr>
        <w:t xml:space="preserve"> </w:t>
      </w:r>
      <w:r>
        <w:rPr>
          <w:rFonts w:hint="eastAsia"/>
          <w:b/>
          <w:bCs/>
          <w:color w:val="auto"/>
          <w:sz w:val="112"/>
          <w:szCs w:val="112"/>
          <w:highlight w:val="none"/>
        </w:rPr>
        <w:t>文</w:t>
      </w:r>
      <w:r>
        <w:rPr>
          <w:rFonts w:hint="eastAsia"/>
          <w:b/>
          <w:bCs/>
          <w:color w:val="auto"/>
          <w:sz w:val="112"/>
          <w:szCs w:val="112"/>
          <w:highlight w:val="none"/>
          <w:lang w:val="en-US"/>
        </w:rPr>
        <w:t xml:space="preserve"> </w:t>
      </w:r>
      <w:r>
        <w:rPr>
          <w:rFonts w:hint="eastAsia"/>
          <w:b/>
          <w:bCs/>
          <w:color w:val="auto"/>
          <w:sz w:val="112"/>
          <w:szCs w:val="112"/>
          <w:highlight w:val="none"/>
        </w:rPr>
        <w:t>件</w:t>
      </w:r>
    </w:p>
    <w:p>
      <w:pPr>
        <w:spacing w:before="177" w:line="302" w:lineRule="auto"/>
        <w:ind w:left="295" w:right="413"/>
        <w:jc w:val="center"/>
        <w:rPr>
          <w:color w:val="auto"/>
          <w:sz w:val="24"/>
          <w:szCs w:val="20"/>
          <w:highlight w:val="none"/>
        </w:rPr>
      </w:pPr>
      <w:r>
        <w:rPr>
          <w:rFonts w:hint="eastAsia"/>
          <w:color w:val="auto"/>
          <w:sz w:val="24"/>
          <w:szCs w:val="20"/>
          <w:highlight w:val="none"/>
        </w:rPr>
        <w:t>【</w:t>
      </w:r>
      <w:r>
        <w:rPr>
          <w:rFonts w:hint="eastAsia"/>
          <w:color w:val="auto"/>
          <w:sz w:val="24"/>
          <w:szCs w:val="20"/>
          <w:highlight w:val="none"/>
          <w:lang w:val="en-US"/>
        </w:rPr>
        <w:t>投标文件</w:t>
      </w:r>
      <w:r>
        <w:rPr>
          <w:rFonts w:hint="eastAsia"/>
          <w:color w:val="auto"/>
          <w:sz w:val="24"/>
          <w:szCs w:val="20"/>
          <w:highlight w:val="none"/>
        </w:rPr>
        <w:t>再分册装订或有其他组成部分的，在此处注明，例如“上册”、“上册”、“下册”、“图纸”或“附件”等】</w:t>
      </w:r>
    </w:p>
    <w:p>
      <w:pPr>
        <w:pStyle w:val="14"/>
        <w:rPr>
          <w:color w:val="auto"/>
          <w:szCs w:val="21"/>
          <w:highlight w:val="none"/>
        </w:rPr>
      </w:pPr>
    </w:p>
    <w:p>
      <w:pPr>
        <w:pStyle w:val="14"/>
        <w:rPr>
          <w:color w:val="auto"/>
          <w:szCs w:val="21"/>
          <w:highlight w:val="none"/>
        </w:rPr>
      </w:pPr>
    </w:p>
    <w:p>
      <w:pPr>
        <w:pStyle w:val="14"/>
        <w:rPr>
          <w:color w:val="auto"/>
          <w:szCs w:val="21"/>
          <w:highlight w:val="none"/>
        </w:rPr>
      </w:pPr>
    </w:p>
    <w:p>
      <w:pPr>
        <w:pStyle w:val="14"/>
        <w:rPr>
          <w:color w:val="auto"/>
          <w:szCs w:val="21"/>
          <w:highlight w:val="none"/>
        </w:rPr>
      </w:pPr>
    </w:p>
    <w:p>
      <w:pPr>
        <w:pStyle w:val="15"/>
        <w:rPr>
          <w:rFonts w:ascii="宋体" w:hAnsi="宋体" w:eastAsia="宋体" w:cs="宋体"/>
          <w:color w:val="auto"/>
          <w:sz w:val="24"/>
          <w:szCs w:val="21"/>
          <w:highlight w:val="none"/>
        </w:rPr>
      </w:pPr>
    </w:p>
    <w:p>
      <w:pPr>
        <w:pStyle w:val="15"/>
        <w:rPr>
          <w:rFonts w:ascii="宋体" w:hAnsi="宋体" w:eastAsia="宋体" w:cs="宋体"/>
          <w:color w:val="auto"/>
          <w:sz w:val="24"/>
          <w:szCs w:val="21"/>
          <w:highlight w:val="none"/>
        </w:rPr>
      </w:pPr>
    </w:p>
    <w:p>
      <w:pPr>
        <w:pStyle w:val="15"/>
        <w:rPr>
          <w:rFonts w:ascii="宋体" w:hAnsi="宋体" w:eastAsia="宋体" w:cs="宋体"/>
          <w:color w:val="auto"/>
          <w:sz w:val="24"/>
          <w:szCs w:val="21"/>
          <w:highlight w:val="none"/>
        </w:rPr>
      </w:pPr>
    </w:p>
    <w:p>
      <w:pPr>
        <w:pStyle w:val="15"/>
        <w:rPr>
          <w:rFonts w:ascii="宋体" w:hAnsi="宋体" w:eastAsia="宋体" w:cs="宋体"/>
          <w:color w:val="auto"/>
          <w:sz w:val="24"/>
          <w:szCs w:val="21"/>
          <w:highlight w:val="none"/>
        </w:rPr>
      </w:pPr>
    </w:p>
    <w:p>
      <w:pPr>
        <w:pStyle w:val="15"/>
        <w:rPr>
          <w:rFonts w:ascii="宋体" w:hAnsi="宋体" w:eastAsia="宋体" w:cs="宋体"/>
          <w:color w:val="auto"/>
          <w:sz w:val="24"/>
          <w:szCs w:val="21"/>
          <w:highlight w:val="none"/>
        </w:rPr>
      </w:pPr>
    </w:p>
    <w:p>
      <w:pPr>
        <w:pStyle w:val="14"/>
        <w:spacing w:before="7"/>
        <w:rPr>
          <w:color w:val="auto"/>
          <w:highlight w:val="none"/>
        </w:rPr>
      </w:pPr>
    </w:p>
    <w:p>
      <w:pPr>
        <w:spacing w:line="480" w:lineRule="auto"/>
        <w:ind w:left="880" w:leftChars="400"/>
        <w:rPr>
          <w:b/>
          <w:bCs/>
          <w:color w:val="auto"/>
          <w:sz w:val="28"/>
          <w:szCs w:val="28"/>
          <w:highlight w:val="none"/>
        </w:rPr>
      </w:pPr>
      <w:bookmarkStart w:id="82" w:name="_bookmark105"/>
      <w:bookmarkEnd w:id="82"/>
      <w:r>
        <w:rPr>
          <w:rFonts w:hint="eastAsia"/>
          <w:b/>
          <w:bCs/>
          <w:color w:val="auto"/>
          <w:sz w:val="28"/>
          <w:szCs w:val="28"/>
          <w:highlight w:val="none"/>
        </w:rPr>
        <w:t>投标人</w:t>
      </w:r>
      <w:r>
        <w:rPr>
          <w:rFonts w:hint="eastAsia"/>
          <w:b/>
          <w:bCs/>
          <w:color w:val="auto"/>
          <w:sz w:val="28"/>
          <w:szCs w:val="28"/>
          <w:highlight w:val="none"/>
          <w:lang w:val="en-US"/>
        </w:rPr>
        <w:t>名称</w:t>
      </w:r>
      <w:r>
        <w:rPr>
          <w:rFonts w:hint="eastAsia"/>
          <w:b/>
          <w:bCs/>
          <w:color w:val="auto"/>
          <w:sz w:val="28"/>
          <w:szCs w:val="28"/>
          <w:highlight w:val="none"/>
        </w:rPr>
        <w:t>：（</w:t>
      </w:r>
      <w:r>
        <w:rPr>
          <w:rFonts w:hint="eastAsia"/>
          <w:b/>
          <w:bCs/>
          <w:color w:val="auto"/>
          <w:sz w:val="28"/>
          <w:szCs w:val="28"/>
          <w:highlight w:val="none"/>
          <w:lang w:val="en-US"/>
        </w:rPr>
        <w:t>盖章</w:t>
      </w:r>
      <w:r>
        <w:rPr>
          <w:rFonts w:hint="eastAsia"/>
          <w:b/>
          <w:bCs/>
          <w:color w:val="auto"/>
          <w:sz w:val="28"/>
          <w:szCs w:val="28"/>
          <w:highlight w:val="none"/>
        </w:rPr>
        <w:t>）</w:t>
      </w:r>
    </w:p>
    <w:p>
      <w:pPr>
        <w:spacing w:line="480" w:lineRule="auto"/>
        <w:ind w:left="880" w:leftChars="400"/>
        <w:rPr>
          <w:b/>
          <w:bCs/>
          <w:color w:val="auto"/>
          <w:sz w:val="28"/>
          <w:szCs w:val="28"/>
          <w:highlight w:val="none"/>
          <w:lang w:val="en-US"/>
        </w:rPr>
      </w:pPr>
      <w:r>
        <w:rPr>
          <w:rFonts w:hint="eastAsia"/>
          <w:b/>
          <w:bCs/>
          <w:color w:val="auto"/>
          <w:sz w:val="28"/>
          <w:szCs w:val="28"/>
          <w:highlight w:val="none"/>
          <w:lang w:val="en-US"/>
        </w:rPr>
        <w:t>法定代表人或授权代表：</w:t>
      </w:r>
    </w:p>
    <w:p>
      <w:pPr>
        <w:snapToGrid w:val="0"/>
        <w:spacing w:line="480" w:lineRule="auto"/>
        <w:ind w:left="880" w:leftChars="400"/>
        <w:rPr>
          <w:b/>
          <w:bCs/>
          <w:color w:val="auto"/>
          <w:sz w:val="28"/>
          <w:szCs w:val="28"/>
          <w:highlight w:val="none"/>
          <w:lang w:val="en-US"/>
        </w:rPr>
      </w:pPr>
      <w:r>
        <w:rPr>
          <w:rFonts w:hint="eastAsia"/>
          <w:b/>
          <w:bCs/>
          <w:color w:val="auto"/>
          <w:sz w:val="28"/>
          <w:szCs w:val="28"/>
          <w:highlight w:val="none"/>
          <w:lang w:val="en-US"/>
        </w:rPr>
        <w:t>联系人：</w:t>
      </w:r>
    </w:p>
    <w:p>
      <w:pPr>
        <w:snapToGrid w:val="0"/>
        <w:spacing w:line="480" w:lineRule="auto"/>
        <w:ind w:left="880" w:leftChars="400"/>
        <w:rPr>
          <w:b/>
          <w:bCs/>
          <w:color w:val="auto"/>
          <w:sz w:val="28"/>
          <w:szCs w:val="28"/>
          <w:highlight w:val="none"/>
          <w:lang w:val="en-US"/>
        </w:rPr>
      </w:pPr>
      <w:r>
        <w:rPr>
          <w:rFonts w:hint="eastAsia"/>
          <w:b/>
          <w:bCs/>
          <w:color w:val="auto"/>
          <w:sz w:val="28"/>
          <w:szCs w:val="28"/>
          <w:highlight w:val="none"/>
          <w:lang w:val="en-US"/>
        </w:rPr>
        <w:t>电话：</w:t>
      </w:r>
    </w:p>
    <w:p>
      <w:pPr>
        <w:spacing w:line="480" w:lineRule="auto"/>
        <w:ind w:left="880" w:leftChars="400"/>
        <w:rPr>
          <w:b/>
          <w:bCs/>
          <w:color w:val="auto"/>
          <w:sz w:val="28"/>
          <w:szCs w:val="28"/>
          <w:highlight w:val="none"/>
          <w:lang w:val="en-US"/>
        </w:rPr>
      </w:pPr>
      <w:r>
        <w:rPr>
          <w:rFonts w:hint="eastAsia"/>
          <w:b/>
          <w:bCs/>
          <w:color w:val="auto"/>
          <w:sz w:val="28"/>
          <w:szCs w:val="28"/>
          <w:highlight w:val="none"/>
          <w:lang w:val="en-US"/>
        </w:rPr>
        <w:t>日期：</w:t>
      </w:r>
    </w:p>
    <w:p>
      <w:pPr>
        <w:rPr>
          <w:b/>
          <w:color w:val="auto"/>
          <w:sz w:val="24"/>
          <w:szCs w:val="20"/>
          <w:highlight w:val="none"/>
        </w:rPr>
      </w:pPr>
      <w:r>
        <w:rPr>
          <w:rFonts w:hint="eastAsia"/>
          <w:b/>
          <w:color w:val="auto"/>
          <w:sz w:val="24"/>
          <w:szCs w:val="20"/>
          <w:highlight w:val="none"/>
        </w:rPr>
        <w:br w:type="page"/>
      </w:r>
    </w:p>
    <w:p>
      <w:pPr>
        <w:spacing w:before="31"/>
        <w:ind w:right="119"/>
        <w:jc w:val="center"/>
        <w:rPr>
          <w:b/>
          <w:color w:val="auto"/>
          <w:sz w:val="28"/>
          <w:szCs w:val="28"/>
          <w:highlight w:val="none"/>
        </w:rPr>
      </w:pPr>
      <w:r>
        <w:rPr>
          <w:rFonts w:hint="eastAsia"/>
          <w:b/>
          <w:color w:val="auto"/>
          <w:sz w:val="28"/>
          <w:szCs w:val="28"/>
          <w:highlight w:val="none"/>
        </w:rPr>
        <w:t>评分索引表建议格式</w:t>
      </w:r>
    </w:p>
    <w:p>
      <w:pPr>
        <w:spacing w:before="31"/>
        <w:ind w:right="119"/>
        <w:jc w:val="center"/>
        <w:rPr>
          <w:b/>
          <w:color w:val="auto"/>
          <w:sz w:val="24"/>
          <w:szCs w:val="24"/>
          <w:highlight w:val="none"/>
        </w:rPr>
      </w:pPr>
      <w:r>
        <w:rPr>
          <w:rFonts w:hint="eastAsia"/>
          <w:b/>
          <w:color w:val="auto"/>
          <w:sz w:val="24"/>
          <w:szCs w:val="24"/>
          <w:highlight w:val="none"/>
        </w:rPr>
        <w:t>评分索引表</w:t>
      </w:r>
    </w:p>
    <w:p>
      <w:pPr>
        <w:pStyle w:val="14"/>
        <w:spacing w:before="5"/>
        <w:rPr>
          <w:b/>
          <w:color w:val="auto"/>
          <w:sz w:val="13"/>
          <w:szCs w:val="21"/>
          <w:highlight w:val="none"/>
        </w:rPr>
      </w:pPr>
    </w:p>
    <w:tbl>
      <w:tblPr>
        <w:tblStyle w:val="2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305"/>
        <w:gridCol w:w="3120"/>
        <w:gridCol w:w="2336"/>
        <w:gridCol w:w="20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74" w:type="dxa"/>
            <w:vAlign w:val="center"/>
          </w:tcPr>
          <w:p>
            <w:pPr>
              <w:pStyle w:val="33"/>
              <w:spacing w:before="156" w:line="242" w:lineRule="auto"/>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序号</w:t>
            </w:r>
          </w:p>
        </w:tc>
        <w:tc>
          <w:tcPr>
            <w:tcW w:w="1305" w:type="dxa"/>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评审内容</w:t>
            </w:r>
          </w:p>
        </w:tc>
        <w:tc>
          <w:tcPr>
            <w:tcW w:w="3120" w:type="dxa"/>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评分标准</w:t>
            </w:r>
          </w:p>
        </w:tc>
        <w:tc>
          <w:tcPr>
            <w:tcW w:w="2336" w:type="dxa"/>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投标响应情况简述</w:t>
            </w:r>
          </w:p>
        </w:tc>
        <w:tc>
          <w:tcPr>
            <w:tcW w:w="2055" w:type="dxa"/>
            <w:vAlign w:val="center"/>
          </w:tcPr>
          <w:p>
            <w:pPr>
              <w:pStyle w:val="33"/>
              <w:spacing w:before="2" w:line="242" w:lineRule="auto"/>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投标文件对应章节及页码索引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674" w:type="dxa"/>
            <w:vAlign w:val="center"/>
          </w:tcPr>
          <w:p>
            <w:pPr>
              <w:pStyle w:val="3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05" w:type="dxa"/>
            <w:vAlign w:val="center"/>
          </w:tcPr>
          <w:p>
            <w:pPr>
              <w:pStyle w:val="33"/>
              <w:jc w:val="center"/>
              <w:rPr>
                <w:rFonts w:ascii="宋体" w:hAnsi="宋体" w:eastAsia="宋体" w:cs="宋体"/>
                <w:color w:val="auto"/>
                <w:sz w:val="21"/>
                <w:szCs w:val="21"/>
                <w:highlight w:val="none"/>
              </w:rPr>
            </w:pPr>
          </w:p>
        </w:tc>
        <w:tc>
          <w:tcPr>
            <w:tcW w:w="3120" w:type="dxa"/>
            <w:vAlign w:val="center"/>
          </w:tcPr>
          <w:p>
            <w:pPr>
              <w:pStyle w:val="33"/>
              <w:jc w:val="center"/>
              <w:rPr>
                <w:rFonts w:ascii="宋体" w:hAnsi="宋体" w:eastAsia="宋体" w:cs="宋体"/>
                <w:color w:val="auto"/>
                <w:sz w:val="21"/>
                <w:szCs w:val="21"/>
                <w:highlight w:val="none"/>
              </w:rPr>
            </w:pPr>
          </w:p>
        </w:tc>
        <w:tc>
          <w:tcPr>
            <w:tcW w:w="2336" w:type="dxa"/>
            <w:vAlign w:val="center"/>
          </w:tcPr>
          <w:p>
            <w:pPr>
              <w:pStyle w:val="33"/>
              <w:jc w:val="center"/>
              <w:rPr>
                <w:rFonts w:ascii="宋体" w:hAnsi="宋体" w:eastAsia="宋体" w:cs="宋体"/>
                <w:color w:val="auto"/>
                <w:sz w:val="21"/>
                <w:szCs w:val="21"/>
                <w:highlight w:val="none"/>
              </w:rPr>
            </w:pPr>
          </w:p>
        </w:tc>
        <w:tc>
          <w:tcPr>
            <w:tcW w:w="2055" w:type="dxa"/>
            <w:vAlign w:val="center"/>
          </w:tcPr>
          <w:p>
            <w:pPr>
              <w:pStyle w:val="33"/>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74" w:type="dxa"/>
            <w:vAlign w:val="center"/>
          </w:tcPr>
          <w:p>
            <w:pPr>
              <w:pStyle w:val="3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05" w:type="dxa"/>
            <w:vAlign w:val="center"/>
          </w:tcPr>
          <w:p>
            <w:pPr>
              <w:pStyle w:val="33"/>
              <w:jc w:val="center"/>
              <w:rPr>
                <w:rFonts w:ascii="宋体" w:hAnsi="宋体" w:eastAsia="宋体" w:cs="宋体"/>
                <w:color w:val="auto"/>
                <w:sz w:val="21"/>
                <w:szCs w:val="21"/>
                <w:highlight w:val="none"/>
              </w:rPr>
            </w:pPr>
          </w:p>
        </w:tc>
        <w:tc>
          <w:tcPr>
            <w:tcW w:w="3120" w:type="dxa"/>
            <w:vAlign w:val="center"/>
          </w:tcPr>
          <w:p>
            <w:pPr>
              <w:pStyle w:val="33"/>
              <w:jc w:val="center"/>
              <w:rPr>
                <w:rFonts w:ascii="宋体" w:hAnsi="宋体" w:eastAsia="宋体" w:cs="宋体"/>
                <w:color w:val="auto"/>
                <w:sz w:val="21"/>
                <w:szCs w:val="21"/>
                <w:highlight w:val="none"/>
              </w:rPr>
            </w:pPr>
          </w:p>
        </w:tc>
        <w:tc>
          <w:tcPr>
            <w:tcW w:w="2336" w:type="dxa"/>
            <w:vAlign w:val="center"/>
          </w:tcPr>
          <w:p>
            <w:pPr>
              <w:pStyle w:val="33"/>
              <w:jc w:val="center"/>
              <w:rPr>
                <w:rFonts w:ascii="宋体" w:hAnsi="宋体" w:eastAsia="宋体" w:cs="宋体"/>
                <w:color w:val="auto"/>
                <w:sz w:val="21"/>
                <w:szCs w:val="21"/>
                <w:highlight w:val="none"/>
              </w:rPr>
            </w:pPr>
          </w:p>
        </w:tc>
        <w:tc>
          <w:tcPr>
            <w:tcW w:w="2055" w:type="dxa"/>
            <w:vAlign w:val="center"/>
          </w:tcPr>
          <w:p>
            <w:pPr>
              <w:pStyle w:val="33"/>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74" w:type="dxa"/>
            <w:vAlign w:val="center"/>
          </w:tcPr>
          <w:p>
            <w:pPr>
              <w:pStyle w:val="3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05" w:type="dxa"/>
            <w:vAlign w:val="center"/>
          </w:tcPr>
          <w:p>
            <w:pPr>
              <w:pStyle w:val="33"/>
              <w:jc w:val="center"/>
              <w:rPr>
                <w:rFonts w:ascii="宋体" w:hAnsi="宋体" w:eastAsia="宋体" w:cs="宋体"/>
                <w:color w:val="auto"/>
                <w:sz w:val="21"/>
                <w:szCs w:val="21"/>
                <w:highlight w:val="none"/>
              </w:rPr>
            </w:pPr>
          </w:p>
        </w:tc>
        <w:tc>
          <w:tcPr>
            <w:tcW w:w="3120" w:type="dxa"/>
            <w:vAlign w:val="center"/>
          </w:tcPr>
          <w:p>
            <w:pPr>
              <w:pStyle w:val="33"/>
              <w:jc w:val="center"/>
              <w:rPr>
                <w:rFonts w:ascii="宋体" w:hAnsi="宋体" w:eastAsia="宋体" w:cs="宋体"/>
                <w:color w:val="auto"/>
                <w:sz w:val="21"/>
                <w:szCs w:val="21"/>
                <w:highlight w:val="none"/>
              </w:rPr>
            </w:pPr>
          </w:p>
        </w:tc>
        <w:tc>
          <w:tcPr>
            <w:tcW w:w="2336" w:type="dxa"/>
            <w:vAlign w:val="center"/>
          </w:tcPr>
          <w:p>
            <w:pPr>
              <w:pStyle w:val="33"/>
              <w:jc w:val="center"/>
              <w:rPr>
                <w:rFonts w:ascii="宋体" w:hAnsi="宋体" w:eastAsia="宋体" w:cs="宋体"/>
                <w:color w:val="auto"/>
                <w:sz w:val="21"/>
                <w:szCs w:val="21"/>
                <w:highlight w:val="none"/>
              </w:rPr>
            </w:pPr>
          </w:p>
        </w:tc>
        <w:tc>
          <w:tcPr>
            <w:tcW w:w="2055" w:type="dxa"/>
            <w:vAlign w:val="center"/>
          </w:tcPr>
          <w:p>
            <w:pPr>
              <w:pStyle w:val="33"/>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4" w:hRule="atLeast"/>
        </w:trPr>
        <w:tc>
          <w:tcPr>
            <w:tcW w:w="674" w:type="dxa"/>
            <w:vAlign w:val="center"/>
          </w:tcPr>
          <w:p>
            <w:pPr>
              <w:pStyle w:val="3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305" w:type="dxa"/>
            <w:vAlign w:val="center"/>
          </w:tcPr>
          <w:p>
            <w:pPr>
              <w:pStyle w:val="33"/>
              <w:jc w:val="center"/>
              <w:rPr>
                <w:rFonts w:ascii="宋体" w:hAnsi="宋体" w:eastAsia="宋体" w:cs="宋体"/>
                <w:color w:val="auto"/>
                <w:sz w:val="21"/>
                <w:szCs w:val="21"/>
                <w:highlight w:val="none"/>
              </w:rPr>
            </w:pPr>
          </w:p>
        </w:tc>
        <w:tc>
          <w:tcPr>
            <w:tcW w:w="3120" w:type="dxa"/>
            <w:vAlign w:val="center"/>
          </w:tcPr>
          <w:p>
            <w:pPr>
              <w:pStyle w:val="33"/>
              <w:jc w:val="center"/>
              <w:rPr>
                <w:rFonts w:ascii="宋体" w:hAnsi="宋体" w:eastAsia="宋体" w:cs="宋体"/>
                <w:color w:val="auto"/>
                <w:sz w:val="21"/>
                <w:szCs w:val="21"/>
                <w:highlight w:val="none"/>
              </w:rPr>
            </w:pPr>
          </w:p>
        </w:tc>
        <w:tc>
          <w:tcPr>
            <w:tcW w:w="2336" w:type="dxa"/>
            <w:vAlign w:val="center"/>
          </w:tcPr>
          <w:p>
            <w:pPr>
              <w:pStyle w:val="33"/>
              <w:jc w:val="center"/>
              <w:rPr>
                <w:rFonts w:ascii="宋体" w:hAnsi="宋体" w:eastAsia="宋体" w:cs="宋体"/>
                <w:color w:val="auto"/>
                <w:sz w:val="21"/>
                <w:szCs w:val="21"/>
                <w:highlight w:val="none"/>
              </w:rPr>
            </w:pPr>
          </w:p>
        </w:tc>
        <w:tc>
          <w:tcPr>
            <w:tcW w:w="2055" w:type="dxa"/>
            <w:vAlign w:val="center"/>
          </w:tcPr>
          <w:p>
            <w:pPr>
              <w:pStyle w:val="33"/>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7" w:hRule="atLeast"/>
        </w:trPr>
        <w:tc>
          <w:tcPr>
            <w:tcW w:w="674" w:type="dxa"/>
            <w:vAlign w:val="center"/>
          </w:tcPr>
          <w:p>
            <w:pPr>
              <w:pStyle w:val="3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305" w:type="dxa"/>
            <w:vAlign w:val="center"/>
          </w:tcPr>
          <w:p>
            <w:pPr>
              <w:pStyle w:val="33"/>
              <w:jc w:val="center"/>
              <w:rPr>
                <w:rFonts w:ascii="宋体" w:hAnsi="宋体" w:eastAsia="宋体" w:cs="宋体"/>
                <w:color w:val="auto"/>
                <w:sz w:val="21"/>
                <w:szCs w:val="21"/>
                <w:highlight w:val="none"/>
              </w:rPr>
            </w:pPr>
          </w:p>
        </w:tc>
        <w:tc>
          <w:tcPr>
            <w:tcW w:w="3120" w:type="dxa"/>
            <w:vAlign w:val="center"/>
          </w:tcPr>
          <w:p>
            <w:pPr>
              <w:pStyle w:val="33"/>
              <w:jc w:val="center"/>
              <w:rPr>
                <w:rFonts w:ascii="宋体" w:hAnsi="宋体" w:eastAsia="宋体" w:cs="宋体"/>
                <w:color w:val="auto"/>
                <w:sz w:val="21"/>
                <w:szCs w:val="21"/>
                <w:highlight w:val="none"/>
              </w:rPr>
            </w:pPr>
          </w:p>
        </w:tc>
        <w:tc>
          <w:tcPr>
            <w:tcW w:w="2336" w:type="dxa"/>
            <w:vAlign w:val="center"/>
          </w:tcPr>
          <w:p>
            <w:pPr>
              <w:pStyle w:val="33"/>
              <w:jc w:val="center"/>
              <w:rPr>
                <w:rFonts w:ascii="宋体" w:hAnsi="宋体" w:eastAsia="宋体" w:cs="宋体"/>
                <w:color w:val="auto"/>
                <w:sz w:val="21"/>
                <w:szCs w:val="21"/>
                <w:highlight w:val="none"/>
              </w:rPr>
            </w:pPr>
          </w:p>
        </w:tc>
        <w:tc>
          <w:tcPr>
            <w:tcW w:w="2055" w:type="dxa"/>
            <w:vAlign w:val="center"/>
          </w:tcPr>
          <w:p>
            <w:pPr>
              <w:pStyle w:val="33"/>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674" w:type="dxa"/>
            <w:vAlign w:val="center"/>
          </w:tcPr>
          <w:p>
            <w:pPr>
              <w:pStyle w:val="3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305" w:type="dxa"/>
            <w:vAlign w:val="center"/>
          </w:tcPr>
          <w:p>
            <w:pPr>
              <w:pStyle w:val="33"/>
              <w:jc w:val="center"/>
              <w:rPr>
                <w:rFonts w:ascii="宋体" w:hAnsi="宋体" w:eastAsia="宋体" w:cs="宋体"/>
                <w:color w:val="auto"/>
                <w:sz w:val="21"/>
                <w:szCs w:val="21"/>
                <w:highlight w:val="none"/>
              </w:rPr>
            </w:pPr>
          </w:p>
        </w:tc>
        <w:tc>
          <w:tcPr>
            <w:tcW w:w="3120" w:type="dxa"/>
            <w:vAlign w:val="center"/>
          </w:tcPr>
          <w:p>
            <w:pPr>
              <w:pStyle w:val="33"/>
              <w:jc w:val="center"/>
              <w:rPr>
                <w:rFonts w:ascii="宋体" w:hAnsi="宋体" w:eastAsia="宋体" w:cs="宋体"/>
                <w:color w:val="auto"/>
                <w:sz w:val="21"/>
                <w:szCs w:val="21"/>
                <w:highlight w:val="none"/>
              </w:rPr>
            </w:pPr>
          </w:p>
        </w:tc>
        <w:tc>
          <w:tcPr>
            <w:tcW w:w="2336" w:type="dxa"/>
            <w:vAlign w:val="center"/>
          </w:tcPr>
          <w:p>
            <w:pPr>
              <w:pStyle w:val="33"/>
              <w:jc w:val="center"/>
              <w:rPr>
                <w:rFonts w:ascii="宋体" w:hAnsi="宋体" w:eastAsia="宋体" w:cs="宋体"/>
                <w:color w:val="auto"/>
                <w:sz w:val="21"/>
                <w:szCs w:val="21"/>
                <w:highlight w:val="none"/>
              </w:rPr>
            </w:pPr>
          </w:p>
        </w:tc>
        <w:tc>
          <w:tcPr>
            <w:tcW w:w="2055" w:type="dxa"/>
            <w:vAlign w:val="center"/>
          </w:tcPr>
          <w:p>
            <w:pPr>
              <w:pStyle w:val="33"/>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0" w:hRule="atLeast"/>
        </w:trPr>
        <w:tc>
          <w:tcPr>
            <w:tcW w:w="674" w:type="dxa"/>
            <w:vAlign w:val="center"/>
          </w:tcPr>
          <w:p>
            <w:pPr>
              <w:pStyle w:val="33"/>
              <w:jc w:val="center"/>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305" w:type="dxa"/>
            <w:vAlign w:val="center"/>
          </w:tcPr>
          <w:p>
            <w:pPr>
              <w:pStyle w:val="33"/>
              <w:jc w:val="center"/>
              <w:rPr>
                <w:rFonts w:ascii="宋体" w:hAnsi="宋体" w:eastAsia="宋体" w:cs="宋体"/>
                <w:color w:val="auto"/>
                <w:sz w:val="21"/>
                <w:szCs w:val="21"/>
                <w:highlight w:val="none"/>
              </w:rPr>
            </w:pPr>
          </w:p>
        </w:tc>
        <w:tc>
          <w:tcPr>
            <w:tcW w:w="3120" w:type="dxa"/>
            <w:vAlign w:val="center"/>
          </w:tcPr>
          <w:p>
            <w:pPr>
              <w:pStyle w:val="33"/>
              <w:jc w:val="center"/>
              <w:rPr>
                <w:rFonts w:ascii="宋体" w:hAnsi="宋体" w:eastAsia="宋体" w:cs="宋体"/>
                <w:color w:val="auto"/>
                <w:sz w:val="21"/>
                <w:szCs w:val="21"/>
                <w:highlight w:val="none"/>
              </w:rPr>
            </w:pPr>
          </w:p>
        </w:tc>
        <w:tc>
          <w:tcPr>
            <w:tcW w:w="2336" w:type="dxa"/>
            <w:vAlign w:val="center"/>
          </w:tcPr>
          <w:p>
            <w:pPr>
              <w:pStyle w:val="33"/>
              <w:jc w:val="center"/>
              <w:rPr>
                <w:rFonts w:ascii="宋体" w:hAnsi="宋体" w:eastAsia="宋体" w:cs="宋体"/>
                <w:color w:val="auto"/>
                <w:sz w:val="21"/>
                <w:szCs w:val="21"/>
                <w:highlight w:val="none"/>
              </w:rPr>
            </w:pPr>
          </w:p>
        </w:tc>
        <w:tc>
          <w:tcPr>
            <w:tcW w:w="2055" w:type="dxa"/>
            <w:vAlign w:val="center"/>
          </w:tcPr>
          <w:p>
            <w:pPr>
              <w:pStyle w:val="33"/>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7" w:hRule="atLeast"/>
        </w:trPr>
        <w:tc>
          <w:tcPr>
            <w:tcW w:w="674" w:type="dxa"/>
            <w:vAlign w:val="center"/>
          </w:tcPr>
          <w:p>
            <w:pPr>
              <w:pStyle w:val="33"/>
              <w:jc w:val="center"/>
              <w:rPr>
                <w:rFonts w:ascii="宋体" w:hAnsi="宋体" w:eastAsia="宋体" w:cs="宋体"/>
                <w:color w:val="auto"/>
                <w:sz w:val="21"/>
                <w:szCs w:val="21"/>
                <w:highlight w:val="none"/>
              </w:rPr>
            </w:pPr>
          </w:p>
        </w:tc>
        <w:tc>
          <w:tcPr>
            <w:tcW w:w="1305" w:type="dxa"/>
            <w:vAlign w:val="center"/>
          </w:tcPr>
          <w:p>
            <w:pPr>
              <w:pStyle w:val="33"/>
              <w:jc w:val="center"/>
              <w:rPr>
                <w:rFonts w:ascii="宋体" w:hAnsi="宋体" w:eastAsia="宋体" w:cs="宋体"/>
                <w:color w:val="auto"/>
                <w:sz w:val="21"/>
                <w:szCs w:val="21"/>
                <w:highlight w:val="none"/>
              </w:rPr>
            </w:pPr>
          </w:p>
        </w:tc>
        <w:tc>
          <w:tcPr>
            <w:tcW w:w="3120" w:type="dxa"/>
            <w:vAlign w:val="center"/>
          </w:tcPr>
          <w:p>
            <w:pPr>
              <w:pStyle w:val="33"/>
              <w:jc w:val="center"/>
              <w:rPr>
                <w:rFonts w:ascii="宋体" w:hAnsi="宋体" w:eastAsia="宋体" w:cs="宋体"/>
                <w:color w:val="auto"/>
                <w:sz w:val="21"/>
                <w:szCs w:val="21"/>
                <w:highlight w:val="none"/>
              </w:rPr>
            </w:pPr>
          </w:p>
        </w:tc>
        <w:tc>
          <w:tcPr>
            <w:tcW w:w="2336" w:type="dxa"/>
            <w:vAlign w:val="center"/>
          </w:tcPr>
          <w:p>
            <w:pPr>
              <w:pStyle w:val="33"/>
              <w:jc w:val="center"/>
              <w:rPr>
                <w:rFonts w:ascii="宋体" w:hAnsi="宋体" w:eastAsia="宋体" w:cs="宋体"/>
                <w:color w:val="auto"/>
                <w:sz w:val="21"/>
                <w:szCs w:val="21"/>
                <w:highlight w:val="none"/>
              </w:rPr>
            </w:pPr>
          </w:p>
        </w:tc>
        <w:tc>
          <w:tcPr>
            <w:tcW w:w="2055" w:type="dxa"/>
            <w:vAlign w:val="center"/>
          </w:tcPr>
          <w:p>
            <w:pPr>
              <w:pStyle w:val="33"/>
              <w:jc w:val="center"/>
              <w:rPr>
                <w:rFonts w:ascii="宋体" w:hAnsi="宋体" w:eastAsia="宋体" w:cs="宋体"/>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674" w:type="dxa"/>
            <w:vAlign w:val="center"/>
          </w:tcPr>
          <w:p>
            <w:pPr>
              <w:pStyle w:val="33"/>
              <w:jc w:val="center"/>
              <w:rPr>
                <w:rFonts w:ascii="宋体" w:hAnsi="宋体" w:eastAsia="宋体" w:cs="宋体"/>
                <w:color w:val="auto"/>
                <w:sz w:val="21"/>
                <w:szCs w:val="21"/>
                <w:highlight w:val="none"/>
              </w:rPr>
            </w:pPr>
          </w:p>
        </w:tc>
        <w:tc>
          <w:tcPr>
            <w:tcW w:w="1305" w:type="dxa"/>
            <w:vAlign w:val="center"/>
          </w:tcPr>
          <w:p>
            <w:pPr>
              <w:pStyle w:val="33"/>
              <w:jc w:val="center"/>
              <w:rPr>
                <w:rFonts w:ascii="宋体" w:hAnsi="宋体" w:eastAsia="宋体" w:cs="宋体"/>
                <w:color w:val="auto"/>
                <w:sz w:val="21"/>
                <w:szCs w:val="21"/>
                <w:highlight w:val="none"/>
              </w:rPr>
            </w:pPr>
          </w:p>
        </w:tc>
        <w:tc>
          <w:tcPr>
            <w:tcW w:w="3120" w:type="dxa"/>
            <w:vAlign w:val="center"/>
          </w:tcPr>
          <w:p>
            <w:pPr>
              <w:pStyle w:val="33"/>
              <w:jc w:val="center"/>
              <w:rPr>
                <w:rFonts w:ascii="宋体" w:hAnsi="宋体" w:eastAsia="宋体" w:cs="宋体"/>
                <w:color w:val="auto"/>
                <w:sz w:val="21"/>
                <w:szCs w:val="21"/>
                <w:highlight w:val="none"/>
              </w:rPr>
            </w:pPr>
          </w:p>
        </w:tc>
        <w:tc>
          <w:tcPr>
            <w:tcW w:w="2336" w:type="dxa"/>
            <w:vAlign w:val="center"/>
          </w:tcPr>
          <w:p>
            <w:pPr>
              <w:pStyle w:val="33"/>
              <w:jc w:val="center"/>
              <w:rPr>
                <w:rFonts w:ascii="宋体" w:hAnsi="宋体" w:eastAsia="宋体" w:cs="宋体"/>
                <w:color w:val="auto"/>
                <w:sz w:val="21"/>
                <w:szCs w:val="21"/>
                <w:highlight w:val="none"/>
              </w:rPr>
            </w:pPr>
          </w:p>
        </w:tc>
        <w:tc>
          <w:tcPr>
            <w:tcW w:w="2055" w:type="dxa"/>
            <w:vAlign w:val="center"/>
          </w:tcPr>
          <w:p>
            <w:pPr>
              <w:pStyle w:val="33"/>
              <w:jc w:val="center"/>
              <w:rPr>
                <w:rFonts w:ascii="宋体" w:hAnsi="宋体" w:eastAsia="宋体" w:cs="宋体"/>
                <w:color w:val="auto"/>
                <w:sz w:val="21"/>
                <w:szCs w:val="21"/>
                <w:highlight w:val="none"/>
              </w:rPr>
            </w:pPr>
          </w:p>
        </w:tc>
      </w:tr>
    </w:tbl>
    <w:p>
      <w:pPr>
        <w:pStyle w:val="36"/>
        <w:spacing w:line="520" w:lineRule="exact"/>
        <w:ind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注：投标人应根据招标文件第四章“评标标准”中列明的商务及技术部分评审内容，逐条（价格部分除外）索引至投标文件对应的响应内容所在章节和页码，以方便评标委员会评审。</w:t>
      </w:r>
    </w:p>
    <w:p>
      <w:pPr>
        <w:rPr>
          <w:color w:val="auto"/>
          <w:sz w:val="20"/>
          <w:szCs w:val="20"/>
          <w:highlight w:val="none"/>
        </w:rPr>
      </w:pPr>
      <w:r>
        <w:rPr>
          <w:rFonts w:hint="eastAsia"/>
          <w:color w:val="auto"/>
          <w:sz w:val="20"/>
          <w:szCs w:val="20"/>
          <w:highlight w:val="none"/>
        </w:rPr>
        <w:br w:type="page"/>
      </w:r>
    </w:p>
    <w:p>
      <w:pPr>
        <w:pStyle w:val="6"/>
        <w:spacing w:before="31"/>
        <w:ind w:right="115"/>
        <w:rPr>
          <w:rFonts w:ascii="宋体" w:hAnsi="宋体" w:eastAsia="宋体" w:cs="宋体"/>
          <w:color w:val="auto"/>
          <w:sz w:val="28"/>
          <w:szCs w:val="28"/>
          <w:highlight w:val="none"/>
        </w:rPr>
      </w:pPr>
      <w:bookmarkStart w:id="83" w:name="_bookmark106"/>
      <w:bookmarkEnd w:id="83"/>
      <w:bookmarkStart w:id="84" w:name="_Toc23222"/>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rPr>
        <w:t>一</w:t>
      </w:r>
      <w:r>
        <w:rPr>
          <w:rFonts w:hint="eastAsia" w:ascii="宋体" w:hAnsi="宋体" w:eastAsia="宋体" w:cs="宋体"/>
          <w:color w:val="auto"/>
          <w:sz w:val="28"/>
          <w:szCs w:val="28"/>
          <w:highlight w:val="none"/>
        </w:rPr>
        <w:t>节 商务</w:t>
      </w:r>
      <w:r>
        <w:rPr>
          <w:rFonts w:hint="eastAsia" w:ascii="宋体" w:hAnsi="宋体" w:eastAsia="宋体" w:cs="宋体"/>
          <w:color w:val="auto"/>
          <w:sz w:val="28"/>
          <w:szCs w:val="28"/>
          <w:highlight w:val="none"/>
          <w:lang w:val="en-US"/>
        </w:rPr>
        <w:t>技术</w:t>
      </w:r>
      <w:r>
        <w:rPr>
          <w:rFonts w:hint="eastAsia" w:ascii="宋体" w:hAnsi="宋体" w:eastAsia="宋体" w:cs="宋体"/>
          <w:color w:val="auto"/>
          <w:sz w:val="28"/>
          <w:szCs w:val="28"/>
          <w:highlight w:val="none"/>
        </w:rPr>
        <w:t>文件格式</w:t>
      </w:r>
      <w:bookmarkEnd w:id="84"/>
    </w:p>
    <w:p>
      <w:pPr>
        <w:pStyle w:val="7"/>
        <w:spacing w:before="31"/>
        <w:ind w:right="115"/>
        <w:rPr>
          <w:rFonts w:ascii="宋体" w:hAnsi="宋体" w:eastAsia="宋体" w:cs="宋体"/>
          <w:color w:val="auto"/>
          <w:sz w:val="28"/>
          <w:szCs w:val="28"/>
          <w:highlight w:val="none"/>
        </w:rPr>
      </w:pPr>
      <w:bookmarkStart w:id="85" w:name="_Toc3506"/>
      <w:r>
        <w:rPr>
          <w:rFonts w:hint="eastAsia" w:ascii="宋体" w:hAnsi="宋体" w:eastAsia="宋体" w:cs="宋体"/>
          <w:color w:val="auto"/>
          <w:sz w:val="28"/>
          <w:szCs w:val="28"/>
          <w:highlight w:val="none"/>
        </w:rPr>
        <w:t>附件 1 投标函格式</w:t>
      </w:r>
      <w:bookmarkEnd w:id="85"/>
    </w:p>
    <w:p>
      <w:pPr>
        <w:spacing w:before="212"/>
        <w:ind w:right="113"/>
        <w:jc w:val="center"/>
        <w:rPr>
          <w:b/>
          <w:color w:val="auto"/>
          <w:sz w:val="24"/>
          <w:szCs w:val="20"/>
          <w:highlight w:val="none"/>
        </w:rPr>
      </w:pPr>
      <w:r>
        <w:rPr>
          <w:rFonts w:hint="eastAsia"/>
          <w:b/>
          <w:color w:val="auto"/>
          <w:sz w:val="24"/>
          <w:szCs w:val="20"/>
          <w:highlight w:val="none"/>
        </w:rPr>
        <w:t>投标函</w:t>
      </w:r>
    </w:p>
    <w:p>
      <w:pPr>
        <w:pStyle w:val="14"/>
        <w:tabs>
          <w:tab w:val="left" w:pos="1428"/>
          <w:tab w:val="left" w:pos="4188"/>
        </w:tabs>
        <w:spacing w:line="520" w:lineRule="exact"/>
        <w:rPr>
          <w:color w:val="auto"/>
          <w:sz w:val="21"/>
          <w:szCs w:val="21"/>
          <w:highlight w:val="none"/>
        </w:rPr>
      </w:pPr>
      <w:r>
        <w:rPr>
          <w:rFonts w:hint="eastAsia"/>
          <w:color w:val="auto"/>
          <w:sz w:val="21"/>
          <w:szCs w:val="21"/>
          <w:highlight w:val="none"/>
        </w:rPr>
        <w:t>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【采购代理机构】</w:t>
      </w:r>
      <w:r>
        <w:rPr>
          <w:rFonts w:hint="eastAsia"/>
          <w:color w:val="auto"/>
          <w:sz w:val="21"/>
          <w:szCs w:val="21"/>
          <w:highlight w:val="none"/>
          <w:u w:val="single"/>
        </w:rPr>
        <w:tab/>
      </w:r>
    </w:p>
    <w:p>
      <w:pPr>
        <w:pStyle w:val="14"/>
        <w:tabs>
          <w:tab w:val="left" w:pos="3920"/>
          <w:tab w:val="left" w:pos="5946"/>
          <w:tab w:val="left" w:pos="7732"/>
          <w:tab w:val="left" w:pos="7789"/>
        </w:tabs>
        <w:spacing w:line="520" w:lineRule="exact"/>
        <w:ind w:firstLine="420" w:firstLineChars="200"/>
        <w:rPr>
          <w:color w:val="auto"/>
          <w:sz w:val="21"/>
          <w:szCs w:val="21"/>
          <w:highlight w:val="none"/>
        </w:rPr>
      </w:pPr>
      <w:r>
        <w:rPr>
          <w:rFonts w:hint="eastAsia"/>
          <w:color w:val="auto"/>
          <w:sz w:val="21"/>
          <w:szCs w:val="21"/>
          <w:highlight w:val="none"/>
        </w:rPr>
        <w:t>根据贵方为</w:t>
      </w:r>
      <w:r>
        <w:rPr>
          <w:rFonts w:hint="eastAsia"/>
          <w:color w:val="auto"/>
          <w:sz w:val="21"/>
          <w:szCs w:val="21"/>
          <w:highlight w:val="none"/>
          <w:u w:val="single"/>
        </w:rPr>
        <w:t xml:space="preserve"> 【项目名称】</w:t>
      </w:r>
      <w:r>
        <w:rPr>
          <w:rFonts w:hint="eastAsia"/>
          <w:color w:val="auto"/>
          <w:sz w:val="21"/>
          <w:szCs w:val="21"/>
          <w:highlight w:val="none"/>
          <w:u w:val="single"/>
        </w:rPr>
        <w:tab/>
      </w:r>
      <w:r>
        <w:rPr>
          <w:rFonts w:hint="eastAsia"/>
          <w:color w:val="auto"/>
          <w:sz w:val="21"/>
          <w:szCs w:val="21"/>
          <w:highlight w:val="none"/>
        </w:rPr>
        <w:t>项目招标采购的</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【项目编号】</w:t>
      </w:r>
      <w:r>
        <w:rPr>
          <w:rFonts w:hint="eastAsia"/>
          <w:color w:val="auto"/>
          <w:sz w:val="21"/>
          <w:szCs w:val="21"/>
          <w:highlight w:val="none"/>
          <w:u w:val="single"/>
        </w:rPr>
        <w:tab/>
      </w:r>
      <w:r>
        <w:rPr>
          <w:rFonts w:hint="eastAsia"/>
          <w:color w:val="auto"/>
          <w:sz w:val="21"/>
          <w:szCs w:val="21"/>
          <w:highlight w:val="none"/>
        </w:rPr>
        <w:t xml:space="preserve">招标文件，签字代表 </w:t>
      </w:r>
      <w:r>
        <w:rPr>
          <w:rFonts w:hint="eastAsia"/>
          <w:color w:val="auto"/>
          <w:sz w:val="21"/>
          <w:szCs w:val="21"/>
          <w:highlight w:val="none"/>
          <w:u w:val="single"/>
        </w:rPr>
        <w:t>【全名、职务】</w:t>
      </w:r>
      <w:r>
        <w:rPr>
          <w:rFonts w:hint="eastAsia"/>
          <w:color w:val="auto"/>
          <w:sz w:val="21"/>
          <w:szCs w:val="21"/>
          <w:highlight w:val="none"/>
        </w:rPr>
        <w:t>经正式授权并代表投标人</w:t>
      </w:r>
      <w:r>
        <w:rPr>
          <w:rFonts w:hint="eastAsia"/>
          <w:color w:val="auto"/>
          <w:sz w:val="21"/>
          <w:szCs w:val="21"/>
          <w:highlight w:val="none"/>
          <w:u w:val="single"/>
        </w:rPr>
        <w:t xml:space="preserve">  【投标人名称、地址】</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提交下述文件：</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1.本投标函</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2.开标一览表；</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3.投标分项报价表；</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4.技术服务需求偏离表；</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5.商务条款偏离表；</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6.【法定代表人授权书 或者 法定代表人的身份证明复印件】</w:t>
      </w:r>
      <w:r>
        <w:rPr>
          <w:rFonts w:hint="eastAsia" w:ascii="宋体" w:hAnsi="宋体" w:cs="宋体"/>
          <w:color w:val="auto"/>
          <w:sz w:val="21"/>
          <w:szCs w:val="21"/>
          <w:highlight w:val="none"/>
        </w:rPr>
        <w:tab/>
      </w:r>
      <w:r>
        <w:rPr>
          <w:rFonts w:hint="eastAsia" w:ascii="宋体" w:hAnsi="宋体" w:cs="宋体"/>
          <w:color w:val="auto"/>
          <w:sz w:val="21"/>
          <w:szCs w:val="21"/>
          <w:highlight w:val="none"/>
        </w:rPr>
        <w:t>；</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7.投标保证金承诺函；</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8.代理服务费承诺函；</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9.详细的技术服务响应；</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10.资格、资信证明文件；</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11.其他。</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在此，我方郑重承诺：</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方提交的投标文件资料是完整的、真实的和准确的。我方同意按照贵方的要求，提供有关的数据和资料。为此，我们授权任何相关的个人和公司向贵方提供要求的和必要的真实情况和资料以证实我们所填报的各项内容。如果在该项目招标过程中或者在获得中标后，采购人或有管辖权的行政监管机构发现并查实我方在该项目的投标中所报的资料存在虚假或不真实的信息或者伪造数据、资料或证书等情况，我方将无条件地自动放弃该项目的投标资格和中标资格；如果我方已经收到中标通知书，我方将无条件的承认，我方收到的该项目的中标通知书为无效文件，对采购人不具有任何法律约束力，由此造成的任何损失均由我方承担；本段承诺是我方真实意思的表示且具有相对独立性，不管是否有其他相反的说明，本段承诺均为我方投标文件的有效组成内容，对我方在与该项目有关的任何行为中始终具有优先的法律约束力。</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据此函，我方宣布同意如下：</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1.所附投标价格表中规定的应提交和交付的投标报价见《开标一览表》。</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2.我方将按招标文件的规定履行合同责任和义务。</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3.我方己详细审查全部招标文件，包括澄清或修改文件（如果有的话）。我们完全理解并同意放弃对这方面有不明及误解的权利。</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4.本投标有效期为自投标截止时间起【60】日 。</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5.我方同意提供按照贵方可能要求的与投标有关的一切数据或资料，完全理解贵方不一定接受最低价的投标或收到的任何投标。</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6.所有有关本投标文件的函电，请按下列地址联系：</w:t>
      </w:r>
    </w:p>
    <w:p>
      <w:pPr>
        <w:pStyle w:val="32"/>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投标人：</w:t>
      </w:r>
      <w:r>
        <w:rPr>
          <w:rFonts w:hint="eastAsia"/>
          <w:color w:val="auto"/>
          <w:sz w:val="21"/>
          <w:szCs w:val="20"/>
          <w:highlight w:val="none"/>
          <w:u w:val="single"/>
          <w:lang w:val="en-US"/>
        </w:rPr>
        <w:t xml:space="preserve">                                         </w:t>
      </w:r>
      <w:r>
        <w:rPr>
          <w:rFonts w:hint="eastAsia"/>
          <w:color w:val="auto"/>
          <w:sz w:val="21"/>
          <w:szCs w:val="20"/>
          <w:highlight w:val="none"/>
          <w:lang w:val="en-US"/>
        </w:rPr>
        <w:t>（盖单位公章）</w:t>
      </w:r>
    </w:p>
    <w:p>
      <w:pPr>
        <w:pStyle w:val="32"/>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法定代表人或其委托代理人：</w:t>
      </w:r>
      <w:r>
        <w:rPr>
          <w:rFonts w:hint="eastAsia"/>
          <w:color w:val="auto"/>
          <w:sz w:val="21"/>
          <w:szCs w:val="20"/>
          <w:highlight w:val="none"/>
          <w:u w:val="single"/>
          <w:lang w:val="en-US"/>
        </w:rPr>
        <w:t xml:space="preserve">                       </w:t>
      </w:r>
      <w:r>
        <w:rPr>
          <w:rFonts w:hint="eastAsia"/>
          <w:color w:val="auto"/>
          <w:sz w:val="21"/>
          <w:szCs w:val="20"/>
          <w:highlight w:val="none"/>
          <w:lang w:val="en-US"/>
        </w:rPr>
        <w:t>（签字或盖章）</w:t>
      </w:r>
    </w:p>
    <w:p>
      <w:pPr>
        <w:pStyle w:val="32"/>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地址：</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2"/>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电话：</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2"/>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传真：</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2"/>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联系人：</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2"/>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开户名称：</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2"/>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开户银行：</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2"/>
        <w:tabs>
          <w:tab w:val="left" w:pos="1265"/>
          <w:tab w:val="left" w:pos="1266"/>
        </w:tabs>
        <w:spacing w:before="0" w:line="520" w:lineRule="exact"/>
        <w:ind w:left="0" w:firstLine="420" w:firstLineChars="200"/>
        <w:rPr>
          <w:color w:val="auto"/>
          <w:sz w:val="21"/>
          <w:szCs w:val="20"/>
          <w:highlight w:val="none"/>
          <w:lang w:val="en-US"/>
        </w:rPr>
      </w:pPr>
      <w:r>
        <w:rPr>
          <w:rFonts w:hint="eastAsia"/>
          <w:color w:val="auto"/>
          <w:sz w:val="21"/>
          <w:szCs w:val="20"/>
          <w:highlight w:val="none"/>
          <w:lang w:val="en-US"/>
        </w:rPr>
        <w:t>银行账号：</w:t>
      </w:r>
      <w:r>
        <w:rPr>
          <w:rFonts w:hint="eastAsia"/>
          <w:color w:val="auto"/>
          <w:sz w:val="21"/>
          <w:szCs w:val="20"/>
          <w:highlight w:val="none"/>
          <w:u w:val="single"/>
          <w:lang w:val="en-US"/>
        </w:rPr>
        <w:t xml:space="preserve">                                         </w:t>
      </w:r>
      <w:r>
        <w:rPr>
          <w:rFonts w:hint="eastAsia"/>
          <w:color w:val="auto"/>
          <w:sz w:val="21"/>
          <w:szCs w:val="20"/>
          <w:highlight w:val="none"/>
          <w:lang w:val="en-US"/>
        </w:rPr>
        <w:t>.</w:t>
      </w:r>
    </w:p>
    <w:p>
      <w:pPr>
        <w:pStyle w:val="32"/>
        <w:tabs>
          <w:tab w:val="left" w:pos="1265"/>
          <w:tab w:val="left" w:pos="1266"/>
        </w:tabs>
        <w:spacing w:before="0" w:line="520" w:lineRule="exact"/>
        <w:ind w:left="0" w:firstLine="420" w:firstLineChars="200"/>
        <w:rPr>
          <w:color w:val="auto"/>
          <w:sz w:val="21"/>
          <w:szCs w:val="20"/>
          <w:highlight w:val="none"/>
          <w:u w:val="single"/>
          <w:lang w:val="en-US"/>
        </w:rPr>
      </w:pPr>
      <w:r>
        <w:rPr>
          <w:rFonts w:hint="eastAsia"/>
          <w:color w:val="auto"/>
          <w:sz w:val="21"/>
          <w:szCs w:val="20"/>
          <w:highlight w:val="none"/>
          <w:lang w:val="en-US"/>
        </w:rPr>
        <w:t>日期：</w:t>
      </w:r>
      <w:r>
        <w:rPr>
          <w:rFonts w:hint="eastAsia"/>
          <w:color w:val="auto"/>
          <w:sz w:val="21"/>
          <w:szCs w:val="20"/>
          <w:highlight w:val="none"/>
          <w:u w:val="single"/>
          <w:lang w:val="en-US"/>
        </w:rPr>
        <w:t xml:space="preserve">                                            </w:t>
      </w:r>
    </w:p>
    <w:p>
      <w:pPr>
        <w:pStyle w:val="14"/>
        <w:rPr>
          <w:color w:val="auto"/>
          <w:sz w:val="16"/>
          <w:szCs w:val="21"/>
          <w:highlight w:val="none"/>
        </w:rPr>
      </w:pPr>
    </w:p>
    <w:p>
      <w:pPr>
        <w:pStyle w:val="7"/>
        <w:spacing w:before="43"/>
        <w:ind w:left="363" w:right="434"/>
        <w:rPr>
          <w:rFonts w:ascii="宋体" w:hAnsi="宋体" w:eastAsia="宋体" w:cs="宋体"/>
          <w:color w:val="auto"/>
          <w:sz w:val="28"/>
          <w:szCs w:val="28"/>
          <w:highlight w:val="none"/>
        </w:rPr>
      </w:pPr>
      <w:r>
        <w:rPr>
          <w:rFonts w:hint="eastAsia" w:ascii="宋体" w:hAnsi="宋体" w:eastAsia="宋体" w:cs="宋体"/>
          <w:color w:val="auto"/>
          <w:sz w:val="18"/>
          <w:szCs w:val="20"/>
          <w:highlight w:val="none"/>
        </w:rPr>
        <w:br w:type="page"/>
      </w:r>
      <w:bookmarkStart w:id="86" w:name="_Toc1577"/>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2</w:t>
      </w:r>
      <w:r>
        <w:rPr>
          <w:rFonts w:hint="eastAsia" w:ascii="宋体" w:hAnsi="宋体" w:eastAsia="宋体" w:cs="宋体"/>
          <w:color w:val="auto"/>
          <w:sz w:val="28"/>
          <w:szCs w:val="28"/>
          <w:highlight w:val="none"/>
        </w:rPr>
        <w:t xml:space="preserve"> 技术服务需求偏离表格式</w:t>
      </w:r>
      <w:bookmarkEnd w:id="86"/>
    </w:p>
    <w:p>
      <w:pPr>
        <w:pStyle w:val="14"/>
        <w:ind w:left="400"/>
        <w:jc w:val="center"/>
        <w:rPr>
          <w:b/>
          <w:bCs/>
          <w:color w:val="auto"/>
          <w:highlight w:val="none"/>
        </w:rPr>
      </w:pPr>
      <w:r>
        <w:rPr>
          <w:rFonts w:hint="eastAsia"/>
          <w:b/>
          <w:bCs/>
          <w:color w:val="auto"/>
          <w:highlight w:val="none"/>
        </w:rPr>
        <w:t>技术服务需求偏离表</w:t>
      </w:r>
    </w:p>
    <w:p>
      <w:pPr>
        <w:pStyle w:val="14"/>
        <w:ind w:left="400"/>
        <w:rPr>
          <w:color w:val="auto"/>
          <w:sz w:val="21"/>
          <w:szCs w:val="21"/>
          <w:highlight w:val="none"/>
        </w:rPr>
      </w:pPr>
      <w:r>
        <w:rPr>
          <w:rFonts w:hint="eastAsia"/>
          <w:color w:val="auto"/>
          <w:sz w:val="21"/>
          <w:szCs w:val="21"/>
          <w:highlight w:val="none"/>
        </w:rPr>
        <w:t>项目名称：</w:t>
      </w:r>
    </w:p>
    <w:p>
      <w:pPr>
        <w:pStyle w:val="14"/>
        <w:tabs>
          <w:tab w:val="left" w:pos="4961"/>
        </w:tabs>
        <w:spacing w:before="158"/>
        <w:ind w:left="400"/>
        <w:rPr>
          <w:color w:val="auto"/>
          <w:sz w:val="21"/>
          <w:szCs w:val="21"/>
          <w:highlight w:val="none"/>
        </w:rPr>
      </w:pPr>
      <w:r>
        <w:rPr>
          <w:rFonts w:hint="eastAsia"/>
          <w:color w:val="auto"/>
          <w:sz w:val="21"/>
          <w:szCs w:val="21"/>
          <w:highlight w:val="none"/>
        </w:rPr>
        <w:t>项目编号：</w:t>
      </w:r>
    </w:p>
    <w:p>
      <w:pPr>
        <w:pStyle w:val="14"/>
        <w:tabs>
          <w:tab w:val="left" w:pos="4961"/>
        </w:tabs>
        <w:spacing w:before="158"/>
        <w:ind w:left="400"/>
        <w:rPr>
          <w:color w:val="auto"/>
          <w:sz w:val="21"/>
          <w:szCs w:val="21"/>
          <w:highlight w:val="none"/>
        </w:rPr>
      </w:pPr>
      <w:r>
        <w:rPr>
          <w:rFonts w:hint="eastAsia"/>
          <w:color w:val="auto"/>
          <w:sz w:val="21"/>
          <w:szCs w:val="21"/>
          <w:highlight w:val="none"/>
        </w:rPr>
        <w:t>标项号：</w:t>
      </w:r>
      <w:r>
        <w:rPr>
          <w:rFonts w:hint="eastAsia"/>
          <w:color w:val="auto"/>
          <w:sz w:val="21"/>
          <w:szCs w:val="21"/>
          <w:highlight w:val="none"/>
        </w:rPr>
        <w:tab/>
      </w:r>
      <w:r>
        <w:rPr>
          <w:rFonts w:hint="eastAsia"/>
          <w:color w:val="auto"/>
          <w:sz w:val="21"/>
          <w:szCs w:val="21"/>
          <w:highlight w:val="none"/>
        </w:rPr>
        <w:t>标项名称：</w:t>
      </w:r>
    </w:p>
    <w:p>
      <w:pPr>
        <w:pStyle w:val="14"/>
        <w:spacing w:before="7"/>
        <w:rPr>
          <w:color w:val="auto"/>
          <w:sz w:val="10"/>
          <w:szCs w:val="21"/>
          <w:highlight w:val="none"/>
        </w:rPr>
      </w:pPr>
    </w:p>
    <w:tbl>
      <w:tblPr>
        <w:tblStyle w:val="28"/>
        <w:tblW w:w="9433"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35"/>
        <w:gridCol w:w="1558"/>
        <w:gridCol w:w="2258"/>
        <w:gridCol w:w="2892"/>
        <w:gridCol w:w="1608"/>
        <w:gridCol w:w="58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22" w:hRule="atLeast"/>
          <w:jc w:val="center"/>
        </w:trPr>
        <w:tc>
          <w:tcPr>
            <w:tcW w:w="535" w:type="dxa"/>
            <w:tcBorders>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1558"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设备名称</w:t>
            </w:r>
          </w:p>
        </w:tc>
        <w:tc>
          <w:tcPr>
            <w:tcW w:w="2258"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招标文件需求要求</w:t>
            </w:r>
          </w:p>
        </w:tc>
        <w:tc>
          <w:tcPr>
            <w:tcW w:w="2892"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投标货物及服务的技术参数和性能</w:t>
            </w:r>
          </w:p>
        </w:tc>
        <w:tc>
          <w:tcPr>
            <w:tcW w:w="1608"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偏离说明</w:t>
            </w:r>
          </w:p>
        </w:tc>
        <w:tc>
          <w:tcPr>
            <w:tcW w:w="582" w:type="dxa"/>
            <w:tcBorders>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备注</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340" w:hRule="atLeast"/>
          <w:jc w:val="center"/>
        </w:trPr>
        <w:tc>
          <w:tcPr>
            <w:tcW w:w="535"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【填写招标文件技术服务需求书要求的编号】</w:t>
            </w:r>
          </w:p>
        </w:tc>
        <w:tc>
          <w:tcPr>
            <w:tcW w:w="2258"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【填写招标文件的技术服务需求中该编号对应的 具体 要</w:t>
            </w:r>
          </w:p>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求】</w:t>
            </w:r>
          </w:p>
        </w:tc>
        <w:tc>
          <w:tcPr>
            <w:tcW w:w="2892"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【填写投标货物及服务对该要求的技术参数和性能响应】</w:t>
            </w: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【填写：优于、满足或不满足，并可进一步进行说明】</w:t>
            </w:r>
          </w:p>
        </w:tc>
        <w:tc>
          <w:tcPr>
            <w:tcW w:w="582"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535"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535"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5" w:hRule="atLeast"/>
          <w:jc w:val="center"/>
        </w:trPr>
        <w:tc>
          <w:tcPr>
            <w:tcW w:w="535"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3" w:hRule="atLeast"/>
          <w:jc w:val="center"/>
        </w:trPr>
        <w:tc>
          <w:tcPr>
            <w:tcW w:w="535"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52" w:hRule="atLeast"/>
          <w:jc w:val="center"/>
        </w:trPr>
        <w:tc>
          <w:tcPr>
            <w:tcW w:w="535" w:type="dxa"/>
            <w:tcBorders>
              <w:top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558"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258"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892"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608"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582" w:type="dxa"/>
            <w:tcBorders>
              <w:top w:val="single" w:color="000000" w:sz="4" w:space="0"/>
              <w:left w:val="single" w:color="000000" w:sz="4" w:space="0"/>
            </w:tcBorders>
            <w:vAlign w:val="center"/>
          </w:tcPr>
          <w:p>
            <w:pPr>
              <w:pStyle w:val="33"/>
              <w:jc w:val="center"/>
              <w:rPr>
                <w:rFonts w:ascii="宋体" w:hAnsi="宋体" w:eastAsia="宋体" w:cs="宋体"/>
                <w:color w:val="auto"/>
                <w:sz w:val="21"/>
                <w:szCs w:val="20"/>
                <w:highlight w:val="none"/>
              </w:rPr>
            </w:pPr>
          </w:p>
        </w:tc>
      </w:tr>
    </w:tbl>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pStyle w:val="14"/>
        <w:rPr>
          <w:color w:val="auto"/>
          <w:sz w:val="20"/>
          <w:szCs w:val="21"/>
          <w:highlight w:val="none"/>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rPr>
        <w:tab/>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1、要求投标人对招标文件中《采购需求》中“</w:t>
      </w:r>
      <w:r>
        <w:rPr>
          <w:rFonts w:hint="eastAsia" w:ascii="宋体" w:hAnsi="宋体" w:cs="宋体"/>
          <w:b/>
          <w:bCs/>
          <w:color w:val="auto"/>
          <w:sz w:val="21"/>
          <w:szCs w:val="21"/>
          <w:highlight w:val="none"/>
          <w:lang w:bidi="ar"/>
        </w:rPr>
        <w:t>主要技术参数</w:t>
      </w:r>
      <w:r>
        <w:rPr>
          <w:rFonts w:hint="eastAsia" w:ascii="宋体" w:hAnsi="宋体" w:cs="宋体"/>
          <w:color w:val="auto"/>
          <w:sz w:val="21"/>
          <w:szCs w:val="21"/>
          <w:highlight w:val="none"/>
        </w:rPr>
        <w:t>”进行逐条（项目背景介绍和采购需求一览表除外）应答。</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2、投标人应提供明确的说明文件及证明文件在投标文件中的页码索引。</w:t>
      </w:r>
    </w:p>
    <w:p>
      <w:pPr>
        <w:rPr>
          <w:color w:val="auto"/>
          <w:sz w:val="20"/>
          <w:szCs w:val="20"/>
          <w:highlight w:val="none"/>
        </w:rPr>
      </w:pPr>
      <w:r>
        <w:rPr>
          <w:rFonts w:hint="eastAsia"/>
          <w:color w:val="auto"/>
          <w:sz w:val="20"/>
          <w:szCs w:val="20"/>
          <w:highlight w:val="none"/>
        </w:rPr>
        <w:br w:type="page"/>
      </w:r>
    </w:p>
    <w:p>
      <w:pPr>
        <w:pStyle w:val="7"/>
        <w:spacing w:before="43"/>
        <w:ind w:left="363" w:right="435"/>
        <w:rPr>
          <w:rFonts w:ascii="宋体" w:hAnsi="宋体" w:eastAsia="宋体" w:cs="宋体"/>
          <w:color w:val="auto"/>
          <w:sz w:val="28"/>
          <w:szCs w:val="28"/>
          <w:highlight w:val="none"/>
        </w:rPr>
      </w:pPr>
      <w:bookmarkStart w:id="87" w:name="_bookmark112"/>
      <w:bookmarkEnd w:id="87"/>
      <w:bookmarkStart w:id="88" w:name="_Toc27637"/>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3</w:t>
      </w:r>
      <w:r>
        <w:rPr>
          <w:rFonts w:hint="eastAsia" w:ascii="宋体" w:hAnsi="宋体" w:eastAsia="宋体" w:cs="宋体"/>
          <w:color w:val="auto"/>
          <w:sz w:val="28"/>
          <w:szCs w:val="28"/>
          <w:highlight w:val="none"/>
        </w:rPr>
        <w:t xml:space="preserve"> 商务条款偏离表格式</w:t>
      </w:r>
      <w:bookmarkEnd w:id="88"/>
    </w:p>
    <w:p>
      <w:pPr>
        <w:pStyle w:val="14"/>
        <w:ind w:left="400"/>
        <w:jc w:val="center"/>
        <w:rPr>
          <w:b/>
          <w:bCs/>
          <w:color w:val="auto"/>
          <w:highlight w:val="none"/>
        </w:rPr>
      </w:pPr>
      <w:r>
        <w:rPr>
          <w:rFonts w:hint="eastAsia"/>
          <w:b/>
          <w:bCs/>
          <w:color w:val="auto"/>
          <w:highlight w:val="none"/>
        </w:rPr>
        <w:t>商务条款偏离表</w:t>
      </w:r>
    </w:p>
    <w:p>
      <w:pPr>
        <w:pStyle w:val="14"/>
        <w:ind w:left="400"/>
        <w:rPr>
          <w:color w:val="auto"/>
          <w:sz w:val="21"/>
          <w:szCs w:val="21"/>
          <w:highlight w:val="none"/>
        </w:rPr>
      </w:pPr>
      <w:r>
        <w:rPr>
          <w:rFonts w:hint="eastAsia"/>
          <w:color w:val="auto"/>
          <w:sz w:val="21"/>
          <w:szCs w:val="21"/>
          <w:highlight w:val="none"/>
        </w:rPr>
        <w:t>项目名称：</w:t>
      </w:r>
    </w:p>
    <w:p>
      <w:pPr>
        <w:pStyle w:val="14"/>
        <w:tabs>
          <w:tab w:val="left" w:pos="4961"/>
        </w:tabs>
        <w:spacing w:before="158"/>
        <w:ind w:left="400"/>
        <w:rPr>
          <w:color w:val="auto"/>
          <w:sz w:val="21"/>
          <w:szCs w:val="21"/>
          <w:highlight w:val="none"/>
        </w:rPr>
      </w:pPr>
      <w:r>
        <w:rPr>
          <w:rFonts w:hint="eastAsia"/>
          <w:color w:val="auto"/>
          <w:sz w:val="21"/>
          <w:szCs w:val="21"/>
          <w:highlight w:val="none"/>
        </w:rPr>
        <w:t>项目编号：</w:t>
      </w:r>
    </w:p>
    <w:p>
      <w:pPr>
        <w:pStyle w:val="14"/>
        <w:tabs>
          <w:tab w:val="left" w:pos="4961"/>
        </w:tabs>
        <w:spacing w:before="158"/>
        <w:ind w:left="400"/>
        <w:rPr>
          <w:color w:val="auto"/>
          <w:sz w:val="21"/>
          <w:szCs w:val="21"/>
          <w:highlight w:val="none"/>
        </w:rPr>
      </w:pPr>
      <w:r>
        <w:rPr>
          <w:rFonts w:hint="eastAsia"/>
          <w:color w:val="auto"/>
          <w:sz w:val="21"/>
          <w:szCs w:val="21"/>
          <w:highlight w:val="none"/>
        </w:rPr>
        <w:t>标项号：</w:t>
      </w:r>
      <w:r>
        <w:rPr>
          <w:rFonts w:hint="eastAsia"/>
          <w:color w:val="auto"/>
          <w:sz w:val="21"/>
          <w:szCs w:val="21"/>
          <w:highlight w:val="none"/>
        </w:rPr>
        <w:tab/>
      </w:r>
      <w:r>
        <w:rPr>
          <w:rFonts w:hint="eastAsia"/>
          <w:color w:val="auto"/>
          <w:sz w:val="21"/>
          <w:szCs w:val="21"/>
          <w:highlight w:val="none"/>
        </w:rPr>
        <w:t>标项名称：</w:t>
      </w:r>
    </w:p>
    <w:p>
      <w:pPr>
        <w:pStyle w:val="14"/>
        <w:spacing w:before="7"/>
        <w:rPr>
          <w:color w:val="auto"/>
          <w:sz w:val="10"/>
          <w:szCs w:val="21"/>
          <w:highlight w:val="none"/>
        </w:rPr>
      </w:pPr>
    </w:p>
    <w:tbl>
      <w:tblPr>
        <w:tblStyle w:val="28"/>
        <w:tblW w:w="9445"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08"/>
        <w:gridCol w:w="1921"/>
        <w:gridCol w:w="2401"/>
        <w:gridCol w:w="2471"/>
        <w:gridCol w:w="1944"/>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1921"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招标文件条目号</w:t>
            </w:r>
          </w:p>
        </w:tc>
        <w:tc>
          <w:tcPr>
            <w:tcW w:w="2401"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招标文件的商务条款</w:t>
            </w:r>
          </w:p>
        </w:tc>
        <w:tc>
          <w:tcPr>
            <w:tcW w:w="2471"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投标文件的商务条款</w:t>
            </w:r>
          </w:p>
        </w:tc>
        <w:tc>
          <w:tcPr>
            <w:tcW w:w="1944" w:type="dxa"/>
            <w:tcBorders>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偏离说明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006" w:hRule="atLeast"/>
          <w:jc w:val="center"/>
        </w:trPr>
        <w:tc>
          <w:tcPr>
            <w:tcW w:w="708"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【填写招标文件技术服务需求书要求的编号】</w:t>
            </w:r>
          </w:p>
        </w:tc>
        <w:tc>
          <w:tcPr>
            <w:tcW w:w="2401"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【填写招标文件的拟签订的合同文本中该编号具体要求】</w:t>
            </w:r>
          </w:p>
        </w:tc>
        <w:tc>
          <w:tcPr>
            <w:tcW w:w="2471"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【填写投标人对该要求的响应】</w:t>
            </w:r>
          </w:p>
        </w:tc>
        <w:tc>
          <w:tcPr>
            <w:tcW w:w="1944"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【填写：优于、满足或不满足，并可进一步进行 偏离 说明】</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jc w:val="center"/>
        </w:trPr>
        <w:tc>
          <w:tcPr>
            <w:tcW w:w="708"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jc w:val="center"/>
        </w:trPr>
        <w:tc>
          <w:tcPr>
            <w:tcW w:w="708"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jc w:val="center"/>
        </w:trPr>
        <w:tc>
          <w:tcPr>
            <w:tcW w:w="708" w:type="dxa"/>
            <w:tcBorders>
              <w:top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bottom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bottom w:val="single" w:color="000000" w:sz="4" w:space="0"/>
            </w:tcBorders>
            <w:vAlign w:val="center"/>
          </w:tcPr>
          <w:p>
            <w:pPr>
              <w:pStyle w:val="33"/>
              <w:jc w:val="center"/>
              <w:rPr>
                <w:rFonts w:ascii="宋体" w:hAnsi="宋体" w:eastAsia="宋体" w:cs="宋体"/>
                <w:color w:val="auto"/>
                <w:sz w:val="21"/>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4" w:hRule="atLeast"/>
          <w:jc w:val="center"/>
        </w:trPr>
        <w:tc>
          <w:tcPr>
            <w:tcW w:w="708" w:type="dxa"/>
            <w:tcBorders>
              <w:top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21"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01"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2471" w:type="dxa"/>
            <w:tcBorders>
              <w:top w:val="single" w:color="000000" w:sz="4" w:space="0"/>
              <w:left w:val="single" w:color="000000" w:sz="4" w:space="0"/>
              <w:right w:val="single" w:color="000000" w:sz="4" w:space="0"/>
            </w:tcBorders>
            <w:vAlign w:val="center"/>
          </w:tcPr>
          <w:p>
            <w:pPr>
              <w:pStyle w:val="33"/>
              <w:jc w:val="center"/>
              <w:rPr>
                <w:rFonts w:ascii="宋体" w:hAnsi="宋体" w:eastAsia="宋体" w:cs="宋体"/>
                <w:color w:val="auto"/>
                <w:sz w:val="21"/>
                <w:szCs w:val="20"/>
                <w:highlight w:val="none"/>
              </w:rPr>
            </w:pPr>
          </w:p>
        </w:tc>
        <w:tc>
          <w:tcPr>
            <w:tcW w:w="1944" w:type="dxa"/>
            <w:tcBorders>
              <w:top w:val="single" w:color="000000" w:sz="4" w:space="0"/>
              <w:left w:val="single" w:color="000000" w:sz="4" w:space="0"/>
            </w:tcBorders>
            <w:vAlign w:val="center"/>
          </w:tcPr>
          <w:p>
            <w:pPr>
              <w:pStyle w:val="33"/>
              <w:jc w:val="center"/>
              <w:rPr>
                <w:rFonts w:ascii="宋体" w:hAnsi="宋体" w:eastAsia="宋体" w:cs="宋体"/>
                <w:color w:val="auto"/>
                <w:sz w:val="21"/>
                <w:szCs w:val="20"/>
                <w:highlight w:val="none"/>
              </w:rPr>
            </w:pPr>
          </w:p>
        </w:tc>
      </w:tr>
    </w:tbl>
    <w:p>
      <w:pPr>
        <w:pStyle w:val="14"/>
        <w:rPr>
          <w:color w:val="auto"/>
          <w:sz w:val="21"/>
          <w:szCs w:val="21"/>
          <w:highlight w:val="none"/>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pStyle w:val="14"/>
        <w:spacing w:before="10"/>
        <w:rPr>
          <w:color w:val="auto"/>
          <w:sz w:val="22"/>
          <w:szCs w:val="21"/>
          <w:highlight w:val="none"/>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r>
        <w:rPr>
          <w:rFonts w:hint="eastAsia" w:ascii="宋体" w:hAnsi="宋体" w:cs="宋体"/>
          <w:color w:val="auto"/>
          <w:sz w:val="21"/>
          <w:szCs w:val="21"/>
          <w:highlight w:val="none"/>
        </w:rPr>
        <w:tab/>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1、投标人如果对招标文件第五章“拟签订的合同文本”中的合同条款的响应有任何偏离，请在本表中详细列明填写；满足的合同条款不必列出。</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2、除以上“偏离说明”栏中列明的“不满足”或“优于”项外，视为投标人无条件满足并接受招标文件规定的所有其他商务条款。</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3、如不列出，视为投标人无条件满足并接受招标文件规定的所有商务条款。</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4、如无偏离，则填写“商务条款无偏离”。</w:t>
      </w:r>
    </w:p>
    <w:p>
      <w:pPr>
        <w:rPr>
          <w:color w:val="auto"/>
          <w:sz w:val="20"/>
          <w:szCs w:val="20"/>
          <w:highlight w:val="none"/>
        </w:rPr>
      </w:pPr>
      <w:r>
        <w:rPr>
          <w:rFonts w:hint="eastAsia"/>
          <w:color w:val="auto"/>
          <w:sz w:val="20"/>
          <w:szCs w:val="20"/>
          <w:highlight w:val="none"/>
        </w:rPr>
        <w:br w:type="page"/>
      </w:r>
    </w:p>
    <w:p>
      <w:pPr>
        <w:pStyle w:val="7"/>
        <w:spacing w:before="43"/>
        <w:ind w:left="363" w:right="436"/>
        <w:rPr>
          <w:rFonts w:ascii="宋体" w:hAnsi="宋体" w:eastAsia="宋体" w:cs="宋体"/>
          <w:color w:val="auto"/>
          <w:sz w:val="28"/>
          <w:szCs w:val="28"/>
          <w:highlight w:val="none"/>
        </w:rPr>
      </w:pPr>
      <w:bookmarkStart w:id="89" w:name="_bookmark113"/>
      <w:bookmarkEnd w:id="89"/>
      <w:bookmarkStart w:id="90" w:name="_Toc682"/>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4</w:t>
      </w:r>
      <w:r>
        <w:rPr>
          <w:rFonts w:hint="eastAsia" w:ascii="宋体" w:hAnsi="宋体" w:eastAsia="宋体" w:cs="宋体"/>
          <w:color w:val="auto"/>
          <w:sz w:val="28"/>
          <w:szCs w:val="28"/>
          <w:highlight w:val="none"/>
        </w:rPr>
        <w:t xml:space="preserve"> 法定代表人授权书格式</w:t>
      </w:r>
      <w:bookmarkEnd w:id="90"/>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【投标人为无法定代表人的其他团体组织等时，法定代表人则系指其负责人。法定代表人（或负责人）签字、盖手签章或盖姓名章均为有效法定代表人签署。】</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【投标人须知前附表加注“★”的投标文件构成部分其他文件均由法定代表人在相应位置直接签署时，无需提供法定代表人授权书，但应提供法定代表人身份证明复印件】</w:t>
      </w:r>
    </w:p>
    <w:p>
      <w:pPr>
        <w:pStyle w:val="36"/>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法定代表人授权书</w:t>
      </w:r>
    </w:p>
    <w:p>
      <w:pPr>
        <w:pStyle w:val="14"/>
        <w:spacing w:before="6"/>
        <w:rPr>
          <w:b/>
          <w:color w:val="auto"/>
          <w:sz w:val="22"/>
          <w:szCs w:val="21"/>
          <w:highlight w:val="none"/>
        </w:rPr>
      </w:pPr>
    </w:p>
    <w:p>
      <w:pPr>
        <w:pStyle w:val="14"/>
        <w:spacing w:line="560" w:lineRule="exact"/>
        <w:ind w:firstLine="420" w:firstLineChars="200"/>
        <w:rPr>
          <w:color w:val="auto"/>
          <w:sz w:val="21"/>
          <w:szCs w:val="21"/>
          <w:highlight w:val="none"/>
        </w:rPr>
      </w:pPr>
      <w:r>
        <w:rPr>
          <w:rFonts w:hint="eastAsia"/>
          <w:color w:val="auto"/>
          <w:sz w:val="21"/>
          <w:szCs w:val="21"/>
          <w:highlight w:val="none"/>
        </w:rPr>
        <w:t>致</w:t>
      </w:r>
      <w:r>
        <w:rPr>
          <w:rFonts w:hint="eastAsia"/>
          <w:color w:val="auto"/>
          <w:sz w:val="21"/>
          <w:szCs w:val="21"/>
          <w:highlight w:val="none"/>
          <w:u w:val="single"/>
        </w:rPr>
        <w:t>【采购代理机构】</w:t>
      </w:r>
      <w:r>
        <w:rPr>
          <w:rFonts w:hint="eastAsia"/>
          <w:color w:val="auto"/>
          <w:sz w:val="21"/>
          <w:szCs w:val="21"/>
          <w:highlight w:val="none"/>
        </w:rPr>
        <w:t>：</w:t>
      </w:r>
    </w:p>
    <w:p>
      <w:pPr>
        <w:pStyle w:val="14"/>
        <w:spacing w:line="560" w:lineRule="exact"/>
        <w:ind w:firstLine="420" w:firstLineChars="200"/>
        <w:jc w:val="both"/>
        <w:rPr>
          <w:color w:val="auto"/>
          <w:sz w:val="21"/>
          <w:szCs w:val="21"/>
          <w:highlight w:val="none"/>
        </w:rPr>
      </w:pPr>
      <w:r>
        <w:rPr>
          <w:rFonts w:hint="eastAsia"/>
          <w:color w:val="auto"/>
          <w:sz w:val="21"/>
          <w:szCs w:val="21"/>
          <w:highlight w:val="none"/>
        </w:rPr>
        <w:t>本授权书声明：注册于</w:t>
      </w:r>
      <w:r>
        <w:rPr>
          <w:rFonts w:hint="eastAsia"/>
          <w:color w:val="auto"/>
          <w:sz w:val="21"/>
          <w:szCs w:val="21"/>
          <w:highlight w:val="none"/>
          <w:u w:val="single"/>
        </w:rPr>
        <w:t xml:space="preserve">  【注册地址】 </w:t>
      </w:r>
      <w:r>
        <w:rPr>
          <w:rFonts w:hint="eastAsia"/>
          <w:color w:val="auto"/>
          <w:sz w:val="21"/>
          <w:szCs w:val="21"/>
          <w:highlight w:val="none"/>
        </w:rPr>
        <w:t>的</w:t>
      </w:r>
      <w:r>
        <w:rPr>
          <w:rFonts w:hint="eastAsia"/>
          <w:color w:val="auto"/>
          <w:sz w:val="21"/>
          <w:szCs w:val="21"/>
          <w:highlight w:val="none"/>
          <w:u w:val="single"/>
        </w:rPr>
        <w:t xml:space="preserve"> 【某某公司或某某单位】</w:t>
      </w:r>
      <w:r>
        <w:rPr>
          <w:rFonts w:hint="eastAsia"/>
          <w:color w:val="auto"/>
          <w:sz w:val="21"/>
          <w:szCs w:val="21"/>
          <w:highlight w:val="none"/>
        </w:rPr>
        <w:t xml:space="preserve"> 的在下面签字的</w:t>
      </w:r>
      <w:r>
        <w:rPr>
          <w:rFonts w:hint="eastAsia"/>
          <w:color w:val="auto"/>
          <w:sz w:val="21"/>
          <w:szCs w:val="21"/>
          <w:highlight w:val="none"/>
          <w:u w:val="single"/>
        </w:rPr>
        <w:t xml:space="preserve">  【法定代表人或负责人姓名、职务】 </w:t>
      </w:r>
      <w:r>
        <w:rPr>
          <w:rFonts w:hint="eastAsia"/>
          <w:color w:val="auto"/>
          <w:sz w:val="21"/>
          <w:szCs w:val="21"/>
          <w:highlight w:val="none"/>
        </w:rPr>
        <w:t>代表本公司授权在下面签字的</w:t>
      </w:r>
      <w:r>
        <w:rPr>
          <w:rFonts w:hint="eastAsia"/>
          <w:color w:val="auto"/>
          <w:sz w:val="21"/>
          <w:szCs w:val="21"/>
          <w:highlight w:val="none"/>
          <w:u w:val="single"/>
        </w:rPr>
        <w:t>【被授权人的姓名、职务】</w:t>
      </w:r>
      <w:r>
        <w:rPr>
          <w:rFonts w:hint="eastAsia"/>
          <w:color w:val="auto"/>
          <w:sz w:val="21"/>
          <w:szCs w:val="21"/>
          <w:highlight w:val="none"/>
        </w:rPr>
        <w:t xml:space="preserve"> 为本公司的合法代理人，就</w:t>
      </w:r>
      <w:r>
        <w:rPr>
          <w:rFonts w:hint="eastAsia"/>
          <w:color w:val="auto"/>
          <w:sz w:val="21"/>
          <w:szCs w:val="21"/>
          <w:highlight w:val="none"/>
          <w:u w:val="single"/>
        </w:rPr>
        <w:t xml:space="preserve"> 【项目名称】</w:t>
      </w:r>
      <w:r>
        <w:rPr>
          <w:rFonts w:hint="eastAsia"/>
          <w:color w:val="auto"/>
          <w:sz w:val="21"/>
          <w:szCs w:val="21"/>
          <w:highlight w:val="none"/>
        </w:rPr>
        <w:t xml:space="preserve"> 的投标及合同的执行，以本公司名义处理一切与之有关的事务。</w:t>
      </w:r>
    </w:p>
    <w:p>
      <w:pPr>
        <w:pStyle w:val="14"/>
        <w:tabs>
          <w:tab w:val="left" w:pos="2620"/>
          <w:tab w:val="left" w:pos="3460"/>
          <w:tab w:val="left" w:pos="4300"/>
        </w:tabs>
        <w:spacing w:line="560" w:lineRule="exact"/>
        <w:ind w:firstLine="420" w:firstLineChars="200"/>
        <w:rPr>
          <w:color w:val="auto"/>
          <w:sz w:val="21"/>
          <w:szCs w:val="21"/>
          <w:highlight w:val="none"/>
        </w:rPr>
      </w:pPr>
      <w:r>
        <w:rPr>
          <w:rFonts w:hint="eastAsia"/>
          <w:color w:val="auto"/>
          <w:sz w:val="21"/>
          <w:szCs w:val="21"/>
          <w:highlight w:val="none"/>
        </w:rPr>
        <w:t>本授权书于</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年</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月</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rPr>
        <w:t>日签字生效，特此声明。</w:t>
      </w:r>
    </w:p>
    <w:p>
      <w:pPr>
        <w:pStyle w:val="14"/>
        <w:spacing w:line="560" w:lineRule="exact"/>
        <w:ind w:firstLine="320" w:firstLineChars="200"/>
        <w:rPr>
          <w:color w:val="auto"/>
          <w:sz w:val="16"/>
          <w:szCs w:val="21"/>
          <w:highlight w:val="none"/>
        </w:rPr>
      </w:pPr>
    </w:p>
    <w:p>
      <w:pPr>
        <w:pStyle w:val="14"/>
        <w:tabs>
          <w:tab w:val="left" w:pos="4956"/>
        </w:tabs>
        <w:spacing w:line="560" w:lineRule="exact"/>
        <w:ind w:firstLine="420" w:firstLineChars="200"/>
        <w:rPr>
          <w:color w:val="auto"/>
          <w:sz w:val="21"/>
          <w:szCs w:val="21"/>
          <w:highlight w:val="none"/>
        </w:rPr>
      </w:pPr>
      <w:r>
        <w:rPr>
          <w:rFonts w:hint="eastAsia"/>
          <w:color w:val="auto"/>
          <w:sz w:val="21"/>
          <w:szCs w:val="21"/>
          <w:highlight w:val="none"/>
        </w:rPr>
        <w:t>法定代表人签署：</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4"/>
        <w:tabs>
          <w:tab w:val="left" w:pos="5436"/>
        </w:tabs>
        <w:spacing w:line="560" w:lineRule="exact"/>
        <w:ind w:firstLine="420" w:firstLineChars="200"/>
        <w:rPr>
          <w:color w:val="auto"/>
          <w:sz w:val="21"/>
          <w:szCs w:val="21"/>
          <w:highlight w:val="none"/>
        </w:rPr>
      </w:pPr>
      <w:r>
        <w:rPr>
          <w:rFonts w:hint="eastAsia"/>
          <w:color w:val="auto"/>
          <w:sz w:val="21"/>
          <w:szCs w:val="21"/>
          <w:highlight w:val="none"/>
        </w:rPr>
        <w:t>代理人（被授权人）签字：</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4"/>
        <w:tabs>
          <w:tab w:val="left" w:pos="5436"/>
          <w:tab w:val="left" w:pos="6396"/>
        </w:tabs>
        <w:spacing w:line="560" w:lineRule="exact"/>
        <w:ind w:firstLine="420" w:firstLineChars="200"/>
        <w:rPr>
          <w:color w:val="auto"/>
          <w:sz w:val="21"/>
          <w:szCs w:val="21"/>
          <w:highlight w:val="none"/>
        </w:rPr>
      </w:pPr>
      <w:r>
        <w:rPr>
          <w:rFonts w:hint="eastAsia"/>
          <w:color w:val="auto"/>
          <w:sz w:val="21"/>
          <w:szCs w:val="21"/>
          <w:highlight w:val="none"/>
        </w:rPr>
        <w:t>代理人职务：</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rPr>
        <w:t>单位名称（公章）：</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4"/>
        <w:spacing w:line="560" w:lineRule="exact"/>
        <w:ind w:firstLine="420" w:firstLineChars="200"/>
        <w:rPr>
          <w:color w:val="auto"/>
          <w:sz w:val="21"/>
          <w:szCs w:val="21"/>
          <w:highlight w:val="none"/>
        </w:rPr>
      </w:pPr>
      <w:r>
        <w:rPr>
          <w:rFonts w:hint="eastAsia"/>
          <w:color w:val="auto"/>
          <w:sz w:val="21"/>
          <w:szCs w:val="21"/>
          <w:highlight w:val="none"/>
        </w:rPr>
        <w:t>附： 法定代表人（或负责人）身份证复印件</w:t>
      </w:r>
    </w:p>
    <w:p>
      <w:pPr>
        <w:pStyle w:val="14"/>
        <w:spacing w:before="4"/>
        <w:rPr>
          <w:color w:val="auto"/>
          <w:sz w:val="10"/>
          <w:szCs w:val="21"/>
          <w:highlight w:val="none"/>
        </w:rPr>
      </w:pPr>
    </w:p>
    <w:tbl>
      <w:tblPr>
        <w:tblStyle w:val="28"/>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5" w:hRule="atLeast"/>
        </w:trPr>
        <w:tc>
          <w:tcPr>
            <w:tcW w:w="4460" w:type="dxa"/>
          </w:tcPr>
          <w:p>
            <w:pPr>
              <w:pStyle w:val="14"/>
              <w:spacing w:line="560" w:lineRule="exact"/>
              <w:jc w:val="center"/>
              <w:rPr>
                <w:color w:val="auto"/>
                <w:sz w:val="21"/>
                <w:szCs w:val="21"/>
                <w:highlight w:val="none"/>
              </w:rPr>
            </w:pPr>
            <w:r>
              <w:rPr>
                <w:rFonts w:hint="eastAsia"/>
                <w:color w:val="auto"/>
                <w:sz w:val="21"/>
                <w:szCs w:val="21"/>
                <w:highlight w:val="none"/>
              </w:rPr>
              <w:t>【法定代表人居民身份证复印件粘贴处】</w:t>
            </w:r>
          </w:p>
          <w:p>
            <w:pPr>
              <w:pStyle w:val="14"/>
              <w:spacing w:line="560" w:lineRule="exact"/>
              <w:jc w:val="center"/>
              <w:rPr>
                <w:color w:val="auto"/>
                <w:sz w:val="21"/>
                <w:szCs w:val="21"/>
                <w:highlight w:val="none"/>
              </w:rPr>
            </w:pPr>
          </w:p>
          <w:p>
            <w:pPr>
              <w:pStyle w:val="14"/>
              <w:spacing w:line="560" w:lineRule="exact"/>
              <w:jc w:val="center"/>
              <w:rPr>
                <w:color w:val="auto"/>
                <w:sz w:val="21"/>
                <w:szCs w:val="21"/>
                <w:highlight w:val="none"/>
              </w:rPr>
            </w:pPr>
            <w:r>
              <w:rPr>
                <w:rFonts w:hint="eastAsia"/>
                <w:color w:val="auto"/>
                <w:sz w:val="21"/>
                <w:szCs w:val="21"/>
                <w:highlight w:val="none"/>
              </w:rPr>
              <w:t>【正面】</w:t>
            </w:r>
          </w:p>
        </w:tc>
        <w:tc>
          <w:tcPr>
            <w:tcW w:w="4460" w:type="dxa"/>
          </w:tcPr>
          <w:p>
            <w:pPr>
              <w:pStyle w:val="14"/>
              <w:spacing w:line="560" w:lineRule="exact"/>
              <w:jc w:val="center"/>
              <w:rPr>
                <w:color w:val="auto"/>
                <w:sz w:val="21"/>
                <w:szCs w:val="21"/>
                <w:highlight w:val="none"/>
              </w:rPr>
            </w:pPr>
            <w:r>
              <w:rPr>
                <w:rFonts w:hint="eastAsia"/>
                <w:color w:val="auto"/>
                <w:sz w:val="21"/>
                <w:szCs w:val="21"/>
                <w:highlight w:val="none"/>
              </w:rPr>
              <w:t>【法定代表人居民身份证复印件粘贴处】</w:t>
            </w:r>
          </w:p>
          <w:p>
            <w:pPr>
              <w:pStyle w:val="14"/>
              <w:spacing w:line="560" w:lineRule="exact"/>
              <w:jc w:val="center"/>
              <w:rPr>
                <w:color w:val="auto"/>
                <w:sz w:val="21"/>
                <w:szCs w:val="21"/>
                <w:highlight w:val="none"/>
              </w:rPr>
            </w:pPr>
          </w:p>
          <w:p>
            <w:pPr>
              <w:pStyle w:val="14"/>
              <w:spacing w:line="560" w:lineRule="exact"/>
              <w:jc w:val="center"/>
              <w:rPr>
                <w:color w:val="auto"/>
                <w:sz w:val="21"/>
                <w:szCs w:val="21"/>
                <w:highlight w:val="none"/>
              </w:rPr>
            </w:pPr>
            <w:r>
              <w:rPr>
                <w:rFonts w:hint="eastAsia"/>
                <w:color w:val="auto"/>
                <w:sz w:val="21"/>
                <w:szCs w:val="21"/>
                <w:highlight w:val="none"/>
              </w:rPr>
              <w:t>【反面】</w:t>
            </w:r>
          </w:p>
        </w:tc>
      </w:tr>
    </w:tbl>
    <w:p>
      <w:pPr>
        <w:pStyle w:val="14"/>
        <w:spacing w:line="560" w:lineRule="exact"/>
        <w:ind w:firstLine="420" w:firstLineChars="200"/>
        <w:rPr>
          <w:color w:val="auto"/>
          <w:sz w:val="21"/>
          <w:szCs w:val="21"/>
          <w:highlight w:val="none"/>
        </w:rPr>
      </w:pPr>
      <w:r>
        <w:rPr>
          <w:rFonts w:hint="eastAsia"/>
          <w:color w:val="auto"/>
          <w:sz w:val="21"/>
          <w:szCs w:val="21"/>
          <w:highlight w:val="none"/>
        </w:rPr>
        <w:t>被授权人身份证复印件</w:t>
      </w:r>
    </w:p>
    <w:p>
      <w:pPr>
        <w:pStyle w:val="14"/>
        <w:spacing w:before="3"/>
        <w:rPr>
          <w:color w:val="auto"/>
          <w:sz w:val="2"/>
          <w:szCs w:val="21"/>
          <w:highlight w:val="none"/>
        </w:rPr>
      </w:pPr>
    </w:p>
    <w:tbl>
      <w:tblPr>
        <w:tblStyle w:val="28"/>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60"/>
        <w:gridCol w:w="44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6" w:hRule="atLeast"/>
        </w:trPr>
        <w:tc>
          <w:tcPr>
            <w:tcW w:w="4460" w:type="dxa"/>
          </w:tcPr>
          <w:p>
            <w:pPr>
              <w:pStyle w:val="33"/>
              <w:spacing w:before="2" w:line="304" w:lineRule="auto"/>
              <w:ind w:right="50"/>
              <w:jc w:val="center"/>
              <w:rPr>
                <w:rFonts w:ascii="宋体" w:hAnsi="宋体" w:eastAsia="宋体" w:cs="宋体"/>
                <w:color w:val="auto"/>
                <w:sz w:val="24"/>
                <w:szCs w:val="20"/>
                <w:highlight w:val="none"/>
              </w:rPr>
            </w:pPr>
            <w:r>
              <w:rPr>
                <w:rFonts w:hint="eastAsia" w:ascii="宋体" w:hAnsi="宋体" w:eastAsia="宋体" w:cs="宋体"/>
                <w:color w:val="auto"/>
                <w:sz w:val="21"/>
                <w:szCs w:val="20"/>
                <w:highlight w:val="none"/>
              </w:rPr>
              <w:t>【被授权人（授权代表） 居民身份证复印件粘贴处】</w:t>
            </w:r>
          </w:p>
          <w:p>
            <w:pPr>
              <w:pStyle w:val="33"/>
              <w:ind w:right="518"/>
              <w:jc w:val="center"/>
              <w:rPr>
                <w:rFonts w:ascii="宋体" w:hAnsi="宋体" w:eastAsia="宋体" w:cs="宋体"/>
                <w:color w:val="auto"/>
                <w:sz w:val="21"/>
                <w:szCs w:val="20"/>
                <w:highlight w:val="none"/>
              </w:rPr>
            </w:pPr>
          </w:p>
          <w:p>
            <w:pPr>
              <w:pStyle w:val="33"/>
              <w:ind w:right="518"/>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【正面】</w:t>
            </w:r>
          </w:p>
        </w:tc>
        <w:tc>
          <w:tcPr>
            <w:tcW w:w="4460" w:type="dxa"/>
          </w:tcPr>
          <w:p>
            <w:pPr>
              <w:pStyle w:val="33"/>
              <w:spacing w:before="2" w:line="304" w:lineRule="auto"/>
              <w:ind w:right="5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【被授权人（授权代表） 居民身份证复印件粘贴处】</w:t>
            </w:r>
          </w:p>
          <w:p>
            <w:pPr>
              <w:pStyle w:val="33"/>
              <w:spacing w:before="3"/>
              <w:jc w:val="center"/>
              <w:rPr>
                <w:rFonts w:ascii="宋体" w:hAnsi="宋体" w:eastAsia="宋体" w:cs="宋体"/>
                <w:color w:val="auto"/>
                <w:sz w:val="24"/>
                <w:szCs w:val="20"/>
                <w:highlight w:val="none"/>
              </w:rPr>
            </w:pPr>
          </w:p>
          <w:p>
            <w:pPr>
              <w:pStyle w:val="33"/>
              <w:ind w:right="52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【反面】</w:t>
            </w:r>
          </w:p>
        </w:tc>
      </w:tr>
    </w:tbl>
    <w:p>
      <w:pPr>
        <w:rPr>
          <w:color w:val="auto"/>
          <w:sz w:val="21"/>
          <w:szCs w:val="20"/>
          <w:highlight w:val="none"/>
        </w:rPr>
      </w:pPr>
      <w:r>
        <w:rPr>
          <w:rFonts w:hint="eastAsia"/>
          <w:color w:val="auto"/>
          <w:sz w:val="21"/>
          <w:szCs w:val="20"/>
          <w:highlight w:val="none"/>
        </w:rPr>
        <w:br w:type="page"/>
      </w:r>
    </w:p>
    <w:p>
      <w:pPr>
        <w:pStyle w:val="7"/>
        <w:spacing w:before="43"/>
        <w:ind w:left="363" w:right="436"/>
        <w:rPr>
          <w:rFonts w:ascii="宋体" w:hAnsi="宋体" w:eastAsia="宋体" w:cs="宋体"/>
          <w:color w:val="auto"/>
          <w:sz w:val="28"/>
          <w:szCs w:val="28"/>
          <w:highlight w:val="none"/>
          <w:lang w:val="en-US"/>
        </w:rPr>
      </w:pPr>
      <w:bookmarkStart w:id="91" w:name="_bookmark114"/>
      <w:bookmarkEnd w:id="91"/>
      <w:bookmarkStart w:id="92" w:name="_Toc1324"/>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5</w:t>
      </w:r>
      <w:r>
        <w:rPr>
          <w:rFonts w:hint="eastAsia" w:ascii="宋体" w:hAnsi="宋体" w:eastAsia="宋体" w:cs="宋体"/>
          <w:color w:val="auto"/>
          <w:sz w:val="28"/>
          <w:szCs w:val="28"/>
          <w:highlight w:val="none"/>
        </w:rPr>
        <w:t xml:space="preserve"> 投标保证金承诺函格式</w:t>
      </w:r>
      <w:r>
        <w:rPr>
          <w:rFonts w:hint="eastAsia" w:ascii="宋体" w:hAnsi="宋体" w:eastAsia="宋体" w:cs="宋体"/>
          <w:color w:val="auto"/>
          <w:sz w:val="28"/>
          <w:szCs w:val="28"/>
          <w:highlight w:val="none"/>
          <w:lang w:val="en-US"/>
        </w:rPr>
        <w:t>和退还保证金说明函</w:t>
      </w:r>
      <w:bookmarkEnd w:id="92"/>
    </w:p>
    <w:p>
      <w:pPr>
        <w:pStyle w:val="36"/>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投标保证金承诺函</w:t>
      </w:r>
    </w:p>
    <w:p>
      <w:pPr>
        <w:pStyle w:val="14"/>
        <w:spacing w:before="8"/>
        <w:rPr>
          <w:b/>
          <w:color w:val="auto"/>
          <w:sz w:val="28"/>
          <w:szCs w:val="21"/>
          <w:highlight w:val="none"/>
        </w:rPr>
      </w:pPr>
    </w:p>
    <w:p>
      <w:pPr>
        <w:adjustRightInd w:val="0"/>
        <w:spacing w:before="154" w:line="480" w:lineRule="exact"/>
        <w:ind w:left="118"/>
        <w:rPr>
          <w:b/>
          <w:color w:val="auto"/>
          <w:sz w:val="21"/>
          <w:szCs w:val="21"/>
          <w:highlight w:val="none"/>
          <w:lang w:val="en-US" w:bidi="ar-SA"/>
        </w:rPr>
      </w:pPr>
      <w:r>
        <w:rPr>
          <w:rFonts w:hint="eastAsia"/>
          <w:b/>
          <w:color w:val="auto"/>
          <w:sz w:val="21"/>
          <w:szCs w:val="21"/>
          <w:highlight w:val="none"/>
          <w:lang w:val="en-US" w:bidi="ar-SA"/>
        </w:rPr>
        <w:t>致：</w:t>
      </w:r>
      <w:r>
        <w:rPr>
          <w:rFonts w:hint="eastAsia"/>
          <w:color w:val="auto"/>
          <w:sz w:val="20"/>
          <w:szCs w:val="20"/>
          <w:highlight w:val="none"/>
          <w:u w:val="single"/>
        </w:rPr>
        <w:t>【采购代理机构】</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我方于</w:t>
      </w:r>
      <w:r>
        <w:rPr>
          <w:rFonts w:hint="eastAsia"/>
          <w:color w:val="auto"/>
          <w:sz w:val="21"/>
          <w:szCs w:val="21"/>
          <w:highlight w:val="none"/>
          <w:lang w:val="en-US" w:bidi="ar-SA"/>
        </w:rPr>
        <w:tab/>
      </w:r>
      <w:r>
        <w:rPr>
          <w:rFonts w:hint="eastAsia"/>
          <w:color w:val="auto"/>
          <w:sz w:val="21"/>
          <w:szCs w:val="21"/>
          <w:highlight w:val="none"/>
          <w:lang w:val="en-US" w:bidi="ar-SA"/>
        </w:rPr>
        <w:t>年</w:t>
      </w:r>
      <w:r>
        <w:rPr>
          <w:rFonts w:hint="eastAsia"/>
          <w:color w:val="auto"/>
          <w:sz w:val="21"/>
          <w:szCs w:val="21"/>
          <w:highlight w:val="none"/>
          <w:u w:val="single"/>
          <w:lang w:val="en-US" w:bidi="ar-SA"/>
        </w:rPr>
        <w:tab/>
      </w:r>
      <w:r>
        <w:rPr>
          <w:rFonts w:hint="eastAsia"/>
          <w:color w:val="auto"/>
          <w:sz w:val="21"/>
          <w:szCs w:val="21"/>
          <w:highlight w:val="none"/>
          <w:lang w:val="en-US" w:bidi="ar-SA"/>
        </w:rPr>
        <w:t>月</w:t>
      </w:r>
      <w:r>
        <w:rPr>
          <w:rFonts w:hint="eastAsia"/>
          <w:color w:val="auto"/>
          <w:sz w:val="21"/>
          <w:szCs w:val="21"/>
          <w:highlight w:val="none"/>
          <w:u w:val="single"/>
          <w:lang w:val="en-US" w:bidi="ar-SA"/>
        </w:rPr>
        <w:tab/>
      </w:r>
      <w:r>
        <w:rPr>
          <w:rFonts w:hint="eastAsia"/>
          <w:color w:val="auto"/>
          <w:sz w:val="21"/>
          <w:szCs w:val="21"/>
          <w:highlight w:val="none"/>
          <w:lang w:val="en-US" w:bidi="ar-SA"/>
        </w:rPr>
        <w:t>日参加</w:t>
      </w:r>
      <w:r>
        <w:rPr>
          <w:rFonts w:hint="eastAsia"/>
          <w:color w:val="auto"/>
          <w:sz w:val="21"/>
          <w:szCs w:val="21"/>
          <w:highlight w:val="none"/>
          <w:u w:val="single"/>
          <w:lang w:val="en-US" w:bidi="ar-SA"/>
        </w:rPr>
        <w:tab/>
      </w:r>
      <w:r>
        <w:rPr>
          <w:rFonts w:hint="eastAsia"/>
          <w:color w:val="auto"/>
          <w:sz w:val="21"/>
          <w:szCs w:val="21"/>
          <w:highlight w:val="none"/>
          <w:u w:val="single"/>
          <w:lang w:val="en-US" w:bidi="ar-SA"/>
        </w:rPr>
        <w:t>（项目名称）</w:t>
      </w:r>
      <w:r>
        <w:rPr>
          <w:rFonts w:hint="eastAsia"/>
          <w:color w:val="auto"/>
          <w:sz w:val="21"/>
          <w:szCs w:val="21"/>
          <w:highlight w:val="none"/>
          <w:lang w:val="en-US" w:bidi="ar-SA"/>
        </w:rPr>
        <w:t>的投标，现保证：我方在规定的投标有效期内撤销或修改投标文件的，或者在收到中标通知书后无正当理由拒签合同或拒交规定履约担保的，投标保证金不予退还。</w:t>
      </w:r>
    </w:p>
    <w:p>
      <w:pPr>
        <w:adjustRightInd w:val="0"/>
        <w:spacing w:line="480" w:lineRule="exact"/>
        <w:ind w:left="118"/>
        <w:rPr>
          <w:b/>
          <w:color w:val="auto"/>
          <w:sz w:val="21"/>
          <w:szCs w:val="21"/>
          <w:highlight w:val="none"/>
          <w:lang w:val="en-US" w:bidi="ar-SA"/>
        </w:rPr>
      </w:pPr>
    </w:p>
    <w:p>
      <w:pPr>
        <w:adjustRightInd w:val="0"/>
        <w:spacing w:line="480" w:lineRule="exact"/>
        <w:ind w:left="118"/>
        <w:rPr>
          <w:b/>
          <w:color w:val="auto"/>
          <w:sz w:val="21"/>
          <w:szCs w:val="21"/>
          <w:highlight w:val="none"/>
          <w:lang w:val="en-US" w:bidi="ar-SA"/>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adjustRightInd w:val="0"/>
        <w:spacing w:before="154" w:line="480" w:lineRule="exact"/>
        <w:jc w:val="center"/>
        <w:rPr>
          <w:b/>
          <w:color w:val="auto"/>
          <w:sz w:val="21"/>
          <w:szCs w:val="21"/>
          <w:highlight w:val="none"/>
          <w:lang w:val="en-US" w:bidi="ar-SA"/>
        </w:rPr>
      </w:pPr>
      <w:r>
        <w:rPr>
          <w:rFonts w:hint="eastAsia"/>
          <w:b/>
          <w:color w:val="auto"/>
          <w:sz w:val="21"/>
          <w:szCs w:val="21"/>
          <w:highlight w:val="none"/>
          <w:lang w:val="en-US" w:bidi="ar-SA"/>
        </w:rPr>
        <w:t>缴费回单（复印件应附在投标文件中）</w:t>
      </w:r>
    </w:p>
    <w:p>
      <w:pPr>
        <w:adjustRightInd w:val="0"/>
        <w:spacing w:before="154" w:line="480" w:lineRule="exact"/>
        <w:rPr>
          <w:b/>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adjustRightInd w:val="0"/>
        <w:spacing w:line="480" w:lineRule="exact"/>
        <w:rPr>
          <w:b/>
          <w:bCs/>
          <w:color w:val="auto"/>
          <w:sz w:val="21"/>
          <w:szCs w:val="21"/>
          <w:highlight w:val="none"/>
          <w:lang w:val="en-US" w:bidi="ar-SA"/>
        </w:rPr>
      </w:pPr>
    </w:p>
    <w:p>
      <w:pPr>
        <w:pStyle w:val="36"/>
        <w:spacing w:line="400" w:lineRule="exact"/>
        <w:ind w:left="440" w:leftChars="200"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★备注：投标保证金缴费回单复印件加盖公章</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说明：投标保证金提交方式为银行电汇或其他方式缴纳，电汇须从投标人基本账户转出，投标保证金必须在投标截止时间前到指定的账户，并在汇款单上注明所投项目名称。未领取招标文件、缴纳保证金的投标人不得参与投标，投标保证金以其他方式递交未按规定时间到账的，由投标人自行承担。</w:t>
      </w:r>
    </w:p>
    <w:p>
      <w:pPr>
        <w:rPr>
          <w:color w:val="auto"/>
          <w:sz w:val="21"/>
          <w:szCs w:val="21"/>
          <w:highlight w:val="none"/>
          <w:lang w:val="en-US"/>
        </w:rPr>
      </w:pPr>
      <w:r>
        <w:rPr>
          <w:rFonts w:hint="eastAsia"/>
          <w:color w:val="auto"/>
          <w:sz w:val="21"/>
          <w:szCs w:val="21"/>
          <w:highlight w:val="none"/>
          <w:lang w:val="en-US"/>
        </w:rPr>
        <w:br w:type="page"/>
      </w:r>
    </w:p>
    <w:p>
      <w:pPr>
        <w:pStyle w:val="36"/>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退还保证金说明函</w:t>
      </w:r>
    </w:p>
    <w:p>
      <w:pPr>
        <w:adjustRightInd w:val="0"/>
        <w:spacing w:line="480" w:lineRule="exact"/>
        <w:ind w:left="118"/>
        <w:rPr>
          <w:bCs/>
          <w:color w:val="auto"/>
          <w:sz w:val="21"/>
          <w:szCs w:val="21"/>
          <w:highlight w:val="none"/>
          <w:lang w:val="en-US" w:bidi="ar-SA"/>
        </w:rPr>
      </w:pPr>
      <w:r>
        <w:rPr>
          <w:rFonts w:hint="eastAsia"/>
          <w:bCs/>
          <w:color w:val="auto"/>
          <w:sz w:val="21"/>
          <w:szCs w:val="21"/>
          <w:highlight w:val="none"/>
          <w:lang w:val="en-US" w:bidi="ar-SA"/>
        </w:rPr>
        <w:t>致：</w:t>
      </w:r>
      <w:r>
        <w:rPr>
          <w:rFonts w:hint="eastAsia"/>
          <w:color w:val="auto"/>
          <w:sz w:val="20"/>
          <w:szCs w:val="20"/>
          <w:highlight w:val="none"/>
          <w:u w:val="single"/>
        </w:rPr>
        <w:t>【采购代理机构】</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我单位已按项目（项目号：）的招标文件要求，提交的报价保证金（</w:t>
      </w:r>
      <w:r>
        <w:rPr>
          <w:rFonts w:hint="eastAsia"/>
          <w:color w:val="auto"/>
          <w:sz w:val="21"/>
          <w:szCs w:val="21"/>
          <w:highlight w:val="none"/>
          <w:u w:val="single"/>
          <w:lang w:val="en-US" w:bidi="ar-SA"/>
        </w:rPr>
        <w:t>大写金额</w:t>
      </w:r>
      <w:r>
        <w:rPr>
          <w:rFonts w:hint="eastAsia"/>
          <w:color w:val="auto"/>
          <w:sz w:val="21"/>
          <w:szCs w:val="21"/>
          <w:highlight w:val="none"/>
          <w:lang w:val="en-US" w:bidi="ar-SA"/>
        </w:rPr>
        <w:t>）元，请贵公司退还时划到以下账户：</w:t>
      </w:r>
    </w:p>
    <w:p>
      <w:pPr>
        <w:adjustRightInd w:val="0"/>
        <w:spacing w:line="480" w:lineRule="exact"/>
        <w:ind w:firstLine="420" w:firstLineChars="200"/>
        <w:rPr>
          <w:color w:val="auto"/>
          <w:sz w:val="21"/>
          <w:szCs w:val="21"/>
          <w:highlight w:val="none"/>
          <w:lang w:val="en-US" w:bidi="ar-SA"/>
        </w:rPr>
      </w:pP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收款单位：</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收款单位地址：</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开户银行：</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帐号：</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联系人：</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联系电话：</w:t>
      </w: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行号：</w:t>
      </w:r>
    </w:p>
    <w:p>
      <w:pPr>
        <w:adjustRightInd w:val="0"/>
        <w:spacing w:line="480" w:lineRule="exact"/>
        <w:ind w:firstLine="420" w:firstLineChars="200"/>
        <w:rPr>
          <w:color w:val="auto"/>
          <w:sz w:val="21"/>
          <w:szCs w:val="21"/>
          <w:highlight w:val="none"/>
          <w:lang w:val="en-US" w:bidi="ar-SA"/>
        </w:rPr>
      </w:pPr>
    </w:p>
    <w:p>
      <w:pPr>
        <w:adjustRightInd w:val="0"/>
        <w:spacing w:line="480" w:lineRule="exact"/>
        <w:ind w:firstLine="420" w:firstLineChars="200"/>
        <w:rPr>
          <w:color w:val="auto"/>
          <w:sz w:val="21"/>
          <w:szCs w:val="21"/>
          <w:highlight w:val="none"/>
          <w:lang w:val="en-US" w:bidi="ar-SA"/>
        </w:rPr>
      </w:pPr>
      <w:r>
        <w:rPr>
          <w:rFonts w:hint="eastAsia"/>
          <w:color w:val="auto"/>
          <w:sz w:val="21"/>
          <w:szCs w:val="21"/>
          <w:highlight w:val="none"/>
          <w:lang w:val="en-US" w:bidi="ar-SA"/>
        </w:rPr>
        <w:t>（联系人和电话请填写财务人员，以便我公司财务人员核实退还保证金账户正确性）</w:t>
      </w:r>
    </w:p>
    <w:p>
      <w:pPr>
        <w:adjustRightInd w:val="0"/>
        <w:spacing w:line="480" w:lineRule="exact"/>
        <w:ind w:firstLine="420" w:firstLineChars="200"/>
        <w:rPr>
          <w:color w:val="auto"/>
          <w:sz w:val="21"/>
          <w:szCs w:val="21"/>
          <w:highlight w:val="none"/>
          <w:lang w:val="en-US" w:bidi="ar-SA"/>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1"/>
          <w:szCs w:val="21"/>
          <w:highlight w:val="none"/>
          <w:lang w:val="en-US"/>
        </w:rPr>
      </w:pPr>
      <w:r>
        <w:rPr>
          <w:rFonts w:hint="eastAsia"/>
          <w:color w:val="auto"/>
          <w:sz w:val="21"/>
          <w:szCs w:val="21"/>
          <w:highlight w:val="none"/>
          <w:lang w:val="en-US"/>
        </w:rPr>
        <w:br w:type="page"/>
      </w:r>
    </w:p>
    <w:p>
      <w:pPr>
        <w:pStyle w:val="7"/>
        <w:tabs>
          <w:tab w:val="left" w:pos="1204"/>
        </w:tabs>
        <w:spacing w:before="43"/>
        <w:ind w:right="74"/>
        <w:rPr>
          <w:rFonts w:ascii="宋体" w:hAnsi="宋体" w:eastAsia="宋体" w:cs="宋体"/>
          <w:color w:val="auto"/>
          <w:sz w:val="28"/>
          <w:szCs w:val="28"/>
          <w:highlight w:val="none"/>
        </w:rPr>
      </w:pPr>
      <w:bookmarkStart w:id="93" w:name="_bookmark115"/>
      <w:bookmarkEnd w:id="93"/>
      <w:bookmarkStart w:id="94" w:name="_Toc3319"/>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6</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t>代理服务费承诺函格式</w:t>
      </w:r>
      <w:bookmarkEnd w:id="94"/>
    </w:p>
    <w:p>
      <w:pPr>
        <w:pStyle w:val="36"/>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代理服务费承诺函</w:t>
      </w:r>
    </w:p>
    <w:p>
      <w:pPr>
        <w:pStyle w:val="14"/>
        <w:spacing w:before="2"/>
        <w:rPr>
          <w:b/>
          <w:color w:val="auto"/>
          <w:sz w:val="28"/>
          <w:szCs w:val="21"/>
          <w:highlight w:val="none"/>
        </w:rPr>
      </w:pPr>
    </w:p>
    <w:p>
      <w:pPr>
        <w:pStyle w:val="14"/>
        <w:spacing w:before="1"/>
        <w:ind w:left="363" w:right="7206"/>
        <w:jc w:val="center"/>
        <w:rPr>
          <w:color w:val="auto"/>
          <w:sz w:val="21"/>
          <w:szCs w:val="21"/>
          <w:highlight w:val="none"/>
        </w:rPr>
      </w:pPr>
      <w:r>
        <w:rPr>
          <w:rFonts w:hint="eastAsia"/>
          <w:color w:val="auto"/>
          <w:sz w:val="21"/>
          <w:szCs w:val="21"/>
          <w:highlight w:val="none"/>
          <w:u w:val="single"/>
        </w:rPr>
        <w:t>【采购代理机构】</w:t>
      </w:r>
      <w:r>
        <w:rPr>
          <w:rFonts w:hint="eastAsia"/>
          <w:color w:val="auto"/>
          <w:sz w:val="21"/>
          <w:szCs w:val="21"/>
          <w:highlight w:val="none"/>
        </w:rPr>
        <w:t>：</w:t>
      </w:r>
    </w:p>
    <w:p>
      <w:pPr>
        <w:pStyle w:val="14"/>
        <w:spacing w:before="9" w:line="304" w:lineRule="auto"/>
        <w:ind w:left="400" w:right="474" w:firstLine="479"/>
        <w:jc w:val="both"/>
        <w:rPr>
          <w:color w:val="auto"/>
          <w:sz w:val="21"/>
          <w:szCs w:val="21"/>
          <w:highlight w:val="none"/>
        </w:rPr>
      </w:pPr>
      <w:r>
        <w:rPr>
          <w:rFonts w:hint="eastAsia"/>
          <w:color w:val="auto"/>
          <w:sz w:val="21"/>
          <w:szCs w:val="21"/>
          <w:highlight w:val="none"/>
        </w:rPr>
        <w:t>我司在贵公司组织的</w:t>
      </w:r>
      <w:r>
        <w:rPr>
          <w:rFonts w:hint="eastAsia"/>
          <w:color w:val="auto"/>
          <w:sz w:val="21"/>
          <w:szCs w:val="21"/>
          <w:highlight w:val="none"/>
          <w:u w:val="single"/>
        </w:rPr>
        <w:t xml:space="preserve"> 【项目名称】  </w:t>
      </w:r>
      <w:r>
        <w:rPr>
          <w:rFonts w:hint="eastAsia"/>
          <w:color w:val="auto"/>
          <w:sz w:val="21"/>
          <w:szCs w:val="21"/>
          <w:highlight w:val="none"/>
        </w:rPr>
        <w:t>项目（项目编号：</w:t>
      </w:r>
      <w:r>
        <w:rPr>
          <w:rFonts w:hint="eastAsia"/>
          <w:color w:val="auto"/>
          <w:sz w:val="21"/>
          <w:szCs w:val="21"/>
          <w:highlight w:val="none"/>
          <w:u w:val="single"/>
        </w:rPr>
        <w:t xml:space="preserve">  【项目编号】</w:t>
      </w:r>
      <w:r>
        <w:rPr>
          <w:rFonts w:hint="eastAsia"/>
          <w:color w:val="auto"/>
          <w:sz w:val="21"/>
          <w:szCs w:val="21"/>
          <w:highlight w:val="none"/>
        </w:rPr>
        <w:t>_）招标中若获中标，我司保证在接到中标通知后三日内按招标文件的规定，以电汇形式向中化商务电子招投标平台收款子账户支付服务费（中标人须按投标人须知规定的标准向采购代理机构支付</w:t>
      </w:r>
      <w:r>
        <w:rPr>
          <w:rFonts w:hint="eastAsia"/>
          <w:color w:val="auto"/>
          <w:sz w:val="21"/>
          <w:szCs w:val="21"/>
          <w:highlight w:val="none"/>
          <w:lang w:val="en-US"/>
        </w:rPr>
        <w:t>采购</w:t>
      </w:r>
      <w:r>
        <w:rPr>
          <w:rFonts w:hint="eastAsia"/>
          <w:color w:val="auto"/>
          <w:sz w:val="21"/>
          <w:szCs w:val="21"/>
          <w:highlight w:val="none"/>
        </w:rPr>
        <w:t>代理服务费）。由此产生的一切法律后果和责任由我司承担，我司声明放弃对此提出任何异议和追索的权利。</w:t>
      </w:r>
    </w:p>
    <w:p>
      <w:pPr>
        <w:pStyle w:val="14"/>
        <w:spacing w:line="302" w:lineRule="exact"/>
        <w:ind w:left="363" w:right="7206"/>
        <w:jc w:val="center"/>
        <w:rPr>
          <w:color w:val="auto"/>
          <w:sz w:val="21"/>
          <w:szCs w:val="21"/>
          <w:highlight w:val="none"/>
        </w:rPr>
      </w:pPr>
      <w:r>
        <w:rPr>
          <w:rFonts w:hint="eastAsia"/>
          <w:color w:val="auto"/>
          <w:sz w:val="21"/>
          <w:szCs w:val="21"/>
          <w:highlight w:val="none"/>
        </w:rPr>
        <w:t>特此承诺！</w:t>
      </w:r>
    </w:p>
    <w:p>
      <w:pPr>
        <w:pStyle w:val="14"/>
        <w:spacing w:before="10"/>
        <w:rPr>
          <w:color w:val="auto"/>
          <w:szCs w:val="21"/>
          <w:highlight w:val="none"/>
        </w:rPr>
      </w:pPr>
    </w:p>
    <w:p>
      <w:pPr>
        <w:pStyle w:val="14"/>
        <w:tabs>
          <w:tab w:val="left" w:pos="6575"/>
          <w:tab w:val="left" w:pos="7176"/>
        </w:tabs>
        <w:spacing w:before="1" w:line="302" w:lineRule="auto"/>
        <w:ind w:left="400" w:right="2628"/>
        <w:rPr>
          <w:color w:val="auto"/>
          <w:sz w:val="21"/>
          <w:szCs w:val="21"/>
          <w:highlight w:val="none"/>
          <w:u w:val="single"/>
        </w:rPr>
      </w:pPr>
      <w:r>
        <w:rPr>
          <w:rFonts w:hint="eastAsia"/>
          <w:color w:val="auto"/>
          <w:sz w:val="21"/>
          <w:szCs w:val="21"/>
          <w:highlight w:val="none"/>
        </w:rPr>
        <w:t>投标人名称（电子签章）：</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r>
        <w:rPr>
          <w:rFonts w:hint="eastAsia"/>
          <w:color w:val="auto"/>
          <w:sz w:val="21"/>
          <w:szCs w:val="21"/>
          <w:highlight w:val="none"/>
          <w:u w:val="single"/>
        </w:rPr>
        <w:t xml:space="preserve">                    </w:t>
      </w:r>
    </w:p>
    <w:p>
      <w:pPr>
        <w:pStyle w:val="14"/>
        <w:tabs>
          <w:tab w:val="left" w:pos="3640"/>
          <w:tab w:val="left" w:pos="4175"/>
          <w:tab w:val="left" w:pos="6936"/>
        </w:tabs>
        <w:spacing w:before="9" w:line="254" w:lineRule="auto"/>
        <w:ind w:left="400" w:right="2868"/>
        <w:jc w:val="both"/>
        <w:rPr>
          <w:color w:val="auto"/>
          <w:sz w:val="21"/>
          <w:szCs w:val="21"/>
          <w:highlight w:val="none"/>
          <w:u w:val="single"/>
        </w:rPr>
      </w:pPr>
      <w:r>
        <w:rPr>
          <w:rFonts w:hint="eastAsia"/>
          <w:color w:val="auto"/>
          <w:sz w:val="21"/>
          <w:szCs w:val="21"/>
          <w:highlight w:val="none"/>
        </w:rPr>
        <w:t>地址：</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4"/>
        <w:tabs>
          <w:tab w:val="left" w:pos="3640"/>
          <w:tab w:val="left" w:pos="4175"/>
          <w:tab w:val="left" w:pos="6936"/>
        </w:tabs>
        <w:spacing w:before="9" w:line="254" w:lineRule="auto"/>
        <w:ind w:left="400" w:right="2868"/>
        <w:jc w:val="both"/>
        <w:rPr>
          <w:color w:val="auto"/>
          <w:sz w:val="21"/>
          <w:szCs w:val="21"/>
          <w:highlight w:val="none"/>
          <w:u w:val="single"/>
        </w:rPr>
      </w:pPr>
      <w:r>
        <w:rPr>
          <w:rFonts w:hint="eastAsia"/>
          <w:color w:val="auto"/>
          <w:sz w:val="21"/>
          <w:szCs w:val="21"/>
          <w:highlight w:val="none"/>
        </w:rPr>
        <w:t>邮编：</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p>
    <w:p>
      <w:pPr>
        <w:pStyle w:val="14"/>
        <w:tabs>
          <w:tab w:val="left" w:pos="3640"/>
          <w:tab w:val="left" w:pos="4175"/>
          <w:tab w:val="left" w:pos="6936"/>
        </w:tabs>
        <w:spacing w:before="9" w:line="254" w:lineRule="auto"/>
        <w:ind w:left="400" w:right="2868"/>
        <w:jc w:val="both"/>
        <w:rPr>
          <w:color w:val="auto"/>
          <w:sz w:val="21"/>
          <w:szCs w:val="21"/>
          <w:highlight w:val="none"/>
          <w:u w:val="single"/>
        </w:rPr>
      </w:pPr>
      <w:r>
        <w:rPr>
          <w:rFonts w:hint="eastAsia"/>
          <w:color w:val="auto"/>
          <w:sz w:val="21"/>
          <w:szCs w:val="21"/>
          <w:highlight w:val="none"/>
        </w:rPr>
        <w:t>电话：</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4"/>
        <w:tabs>
          <w:tab w:val="left" w:pos="3640"/>
          <w:tab w:val="left" w:pos="4175"/>
          <w:tab w:val="left" w:pos="6936"/>
        </w:tabs>
        <w:spacing w:before="9" w:line="254" w:lineRule="auto"/>
        <w:ind w:left="400" w:right="2868"/>
        <w:jc w:val="both"/>
        <w:rPr>
          <w:color w:val="auto"/>
          <w:sz w:val="21"/>
          <w:szCs w:val="21"/>
          <w:highlight w:val="none"/>
          <w:u w:val="single"/>
        </w:rPr>
      </w:pPr>
      <w:r>
        <w:rPr>
          <w:rFonts w:hint="eastAsia"/>
          <w:color w:val="auto"/>
          <w:sz w:val="21"/>
          <w:szCs w:val="21"/>
          <w:highlight w:val="none"/>
        </w:rPr>
        <w:t>传真：</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p>
    <w:p>
      <w:pPr>
        <w:pStyle w:val="14"/>
        <w:tabs>
          <w:tab w:val="left" w:pos="3640"/>
          <w:tab w:val="left" w:pos="4175"/>
          <w:tab w:val="left" w:pos="6936"/>
        </w:tabs>
        <w:spacing w:before="9" w:line="254" w:lineRule="auto"/>
        <w:ind w:left="400" w:right="2868"/>
        <w:jc w:val="both"/>
        <w:rPr>
          <w:color w:val="auto"/>
          <w:sz w:val="21"/>
          <w:szCs w:val="21"/>
          <w:highlight w:val="none"/>
        </w:rPr>
      </w:pPr>
      <w:r>
        <w:rPr>
          <w:rFonts w:hint="eastAsia"/>
          <w:color w:val="auto"/>
          <w:sz w:val="21"/>
          <w:szCs w:val="21"/>
          <w:highlight w:val="none"/>
        </w:rPr>
        <w:t>承诺日期：</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ab/>
      </w:r>
    </w:p>
    <w:p>
      <w:pPr>
        <w:rPr>
          <w:color w:val="auto"/>
          <w:sz w:val="20"/>
          <w:szCs w:val="20"/>
          <w:highlight w:val="none"/>
        </w:rPr>
      </w:pPr>
      <w:r>
        <w:rPr>
          <w:rFonts w:hint="eastAsia"/>
          <w:color w:val="auto"/>
          <w:sz w:val="20"/>
          <w:szCs w:val="20"/>
          <w:highlight w:val="none"/>
        </w:rPr>
        <w:br w:type="page"/>
      </w:r>
    </w:p>
    <w:p>
      <w:pPr>
        <w:spacing w:before="212"/>
        <w:ind w:right="113"/>
        <w:jc w:val="center"/>
        <w:rPr>
          <w:b/>
          <w:color w:val="auto"/>
          <w:sz w:val="24"/>
          <w:szCs w:val="20"/>
          <w:highlight w:val="none"/>
        </w:rPr>
      </w:pPr>
      <w:r>
        <w:rPr>
          <w:rFonts w:hint="eastAsia"/>
          <w:b/>
          <w:color w:val="auto"/>
          <w:sz w:val="24"/>
          <w:szCs w:val="20"/>
          <w:highlight w:val="none"/>
        </w:rPr>
        <w:t>投标人开票信息表格式</w:t>
      </w:r>
    </w:p>
    <w:p>
      <w:pPr>
        <w:spacing w:before="212"/>
        <w:ind w:right="113"/>
        <w:jc w:val="center"/>
        <w:rPr>
          <w:b/>
          <w:color w:val="auto"/>
          <w:sz w:val="24"/>
          <w:szCs w:val="20"/>
          <w:highlight w:val="none"/>
        </w:rPr>
      </w:pPr>
      <w:r>
        <w:rPr>
          <w:rFonts w:hint="eastAsia"/>
          <w:b/>
          <w:color w:val="auto"/>
          <w:sz w:val="24"/>
          <w:szCs w:val="20"/>
          <w:highlight w:val="none"/>
        </w:rPr>
        <w:t>开票信息表格式</w:t>
      </w:r>
    </w:p>
    <w:p>
      <w:pPr>
        <w:pStyle w:val="14"/>
        <w:tabs>
          <w:tab w:val="left" w:pos="4843"/>
        </w:tabs>
        <w:spacing w:before="213" w:line="302" w:lineRule="auto"/>
        <w:ind w:left="228" w:right="5142"/>
        <w:rPr>
          <w:color w:val="auto"/>
          <w:sz w:val="21"/>
          <w:szCs w:val="21"/>
          <w:highlight w:val="none"/>
          <w:u w:val="single"/>
        </w:rPr>
      </w:pPr>
      <w:r>
        <w:rPr>
          <w:rFonts w:hint="eastAsia"/>
          <w:color w:val="auto"/>
          <w:sz w:val="21"/>
          <w:szCs w:val="21"/>
          <w:highlight w:val="none"/>
        </w:rPr>
        <w:t>项目名称：</w:t>
      </w:r>
      <w:r>
        <w:rPr>
          <w:rFonts w:hint="eastAsia"/>
          <w:color w:val="auto"/>
          <w:sz w:val="21"/>
          <w:szCs w:val="21"/>
          <w:highlight w:val="none"/>
          <w:u w:val="single"/>
        </w:rPr>
        <w:t xml:space="preserve">                           </w:t>
      </w:r>
    </w:p>
    <w:p>
      <w:pPr>
        <w:pStyle w:val="14"/>
        <w:tabs>
          <w:tab w:val="left" w:pos="4843"/>
        </w:tabs>
        <w:spacing w:before="213" w:line="302" w:lineRule="auto"/>
        <w:ind w:left="228" w:right="5142"/>
        <w:rPr>
          <w:color w:val="auto"/>
          <w:sz w:val="21"/>
          <w:szCs w:val="21"/>
          <w:highlight w:val="none"/>
          <w:lang w:val="en-US"/>
        </w:rPr>
      </w:pPr>
      <w:r>
        <w:rPr>
          <w:rFonts w:hint="eastAsia"/>
          <w:color w:val="auto"/>
          <w:sz w:val="21"/>
          <w:szCs w:val="21"/>
          <w:highlight w:val="none"/>
        </w:rPr>
        <w:t>项目编号：</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lang w:val="en-US" w:bidi="ar-SA"/>
        </w:rPr>
        <w:t xml:space="preserve">     </w:t>
      </w:r>
      <w:r>
        <w:rPr>
          <w:rFonts w:hint="eastAsia"/>
          <w:color w:val="auto"/>
          <w:sz w:val="21"/>
          <w:szCs w:val="21"/>
          <w:highlight w:val="none"/>
          <w:u w:val="single"/>
          <w:lang w:val="en-US"/>
        </w:rPr>
        <w:t xml:space="preserve"> </w:t>
      </w:r>
    </w:p>
    <w:p>
      <w:pPr>
        <w:pStyle w:val="14"/>
        <w:spacing w:line="520" w:lineRule="exact"/>
        <w:ind w:left="440" w:leftChars="200" w:firstLine="420" w:firstLineChars="200"/>
        <w:rPr>
          <w:color w:val="auto"/>
          <w:sz w:val="21"/>
          <w:szCs w:val="21"/>
          <w:highlight w:val="none"/>
        </w:rPr>
      </w:pPr>
      <w:r>
        <w:rPr>
          <w:rFonts w:hint="eastAsia"/>
          <w:color w:val="auto"/>
          <w:sz w:val="21"/>
          <w:szCs w:val="21"/>
          <w:highlight w:val="none"/>
        </w:rPr>
        <w:t>如果我单位中标/成交，请贵单位开具服务费发票：</w:t>
      </w:r>
    </w:p>
    <w:p>
      <w:pPr>
        <w:pStyle w:val="14"/>
        <w:tabs>
          <w:tab w:val="left" w:pos="3348"/>
          <w:tab w:val="left" w:pos="5509"/>
        </w:tabs>
        <w:spacing w:line="520" w:lineRule="exact"/>
        <w:ind w:left="440" w:leftChars="200" w:firstLine="420" w:firstLineChars="200"/>
        <w:rPr>
          <w:color w:val="auto"/>
          <w:sz w:val="21"/>
          <w:szCs w:val="21"/>
          <w:highlight w:val="none"/>
        </w:rPr>
      </w:pPr>
      <w:r>
        <w:rPr>
          <w:rFonts w:hint="eastAsia"/>
          <w:color w:val="auto"/>
          <w:sz w:val="21"/>
          <w:szCs w:val="21"/>
          <w:highlight w:val="none"/>
        </w:rPr>
        <w:t>我单位开票信息为：</w:t>
      </w:r>
    </w:p>
    <w:p>
      <w:pPr>
        <w:pStyle w:val="14"/>
        <w:tabs>
          <w:tab w:val="left" w:pos="5323"/>
        </w:tabs>
        <w:spacing w:line="520" w:lineRule="exact"/>
        <w:ind w:left="440" w:leftChars="200" w:firstLine="420" w:firstLineChars="200"/>
        <w:rPr>
          <w:color w:val="auto"/>
          <w:sz w:val="21"/>
          <w:szCs w:val="21"/>
          <w:highlight w:val="none"/>
        </w:rPr>
      </w:pPr>
      <w:r>
        <w:rPr>
          <w:rFonts w:hint="eastAsia"/>
          <w:color w:val="auto"/>
          <w:sz w:val="21"/>
          <w:szCs w:val="21"/>
          <w:highlight w:val="none"/>
        </w:rPr>
        <w:t>单位全称：</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4"/>
        <w:tabs>
          <w:tab w:val="left" w:pos="5803"/>
        </w:tabs>
        <w:spacing w:line="520" w:lineRule="exact"/>
        <w:ind w:left="440" w:leftChars="200" w:firstLine="420" w:firstLineChars="200"/>
        <w:rPr>
          <w:color w:val="auto"/>
          <w:sz w:val="21"/>
          <w:szCs w:val="21"/>
          <w:highlight w:val="none"/>
        </w:rPr>
      </w:pPr>
      <w:r>
        <w:rPr>
          <w:rFonts w:hint="eastAsia"/>
          <w:color w:val="auto"/>
          <w:sz w:val="21"/>
          <w:szCs w:val="21"/>
          <w:highlight w:val="none"/>
        </w:rPr>
        <w:t>纳税人识别号：</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4"/>
        <w:tabs>
          <w:tab w:val="left" w:pos="6523"/>
        </w:tabs>
        <w:spacing w:line="520" w:lineRule="exact"/>
        <w:ind w:left="440" w:leftChars="200" w:firstLine="420" w:firstLineChars="200"/>
        <w:rPr>
          <w:color w:val="auto"/>
          <w:sz w:val="21"/>
          <w:szCs w:val="21"/>
          <w:highlight w:val="none"/>
          <w:u w:val="single"/>
        </w:rPr>
      </w:pPr>
      <w:r>
        <w:rPr>
          <w:rFonts w:hint="eastAsia"/>
          <w:color w:val="auto"/>
          <w:sz w:val="21"/>
          <w:szCs w:val="21"/>
          <w:highlight w:val="none"/>
        </w:rPr>
        <w:t>地址：</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p>
    <w:p>
      <w:pPr>
        <w:pStyle w:val="14"/>
        <w:tabs>
          <w:tab w:val="left" w:pos="6523"/>
        </w:tabs>
        <w:spacing w:line="520" w:lineRule="exact"/>
        <w:ind w:left="440" w:leftChars="200" w:firstLine="420" w:firstLineChars="200"/>
        <w:rPr>
          <w:color w:val="auto"/>
          <w:sz w:val="21"/>
          <w:szCs w:val="21"/>
          <w:highlight w:val="none"/>
        </w:rPr>
      </w:pPr>
      <w:r>
        <w:rPr>
          <w:rFonts w:hint="eastAsia"/>
          <w:color w:val="auto"/>
          <w:sz w:val="21"/>
          <w:szCs w:val="21"/>
          <w:highlight w:val="none"/>
        </w:rPr>
        <w:t>电话：</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4"/>
        <w:tabs>
          <w:tab w:val="left" w:pos="7243"/>
        </w:tabs>
        <w:spacing w:line="520" w:lineRule="exact"/>
        <w:ind w:left="440" w:leftChars="200" w:firstLine="420" w:firstLineChars="200"/>
        <w:rPr>
          <w:color w:val="auto"/>
          <w:sz w:val="21"/>
          <w:szCs w:val="21"/>
          <w:highlight w:val="none"/>
          <w:u w:val="single"/>
        </w:rPr>
      </w:pPr>
      <w:r>
        <w:rPr>
          <w:rFonts w:hint="eastAsia"/>
          <w:color w:val="auto"/>
          <w:sz w:val="21"/>
          <w:szCs w:val="21"/>
          <w:highlight w:val="none"/>
        </w:rPr>
        <w:t>开户行名称：</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rPr>
        <w:t xml:space="preserve"> </w:t>
      </w:r>
    </w:p>
    <w:p>
      <w:pPr>
        <w:pStyle w:val="14"/>
        <w:tabs>
          <w:tab w:val="left" w:pos="7243"/>
        </w:tabs>
        <w:spacing w:line="520" w:lineRule="exact"/>
        <w:ind w:left="440" w:leftChars="200" w:firstLine="420" w:firstLineChars="200"/>
        <w:rPr>
          <w:color w:val="auto"/>
          <w:sz w:val="21"/>
          <w:szCs w:val="21"/>
          <w:highlight w:val="none"/>
        </w:rPr>
      </w:pPr>
      <w:r>
        <w:rPr>
          <w:rFonts w:hint="eastAsia"/>
          <w:color w:val="auto"/>
          <w:sz w:val="21"/>
          <w:szCs w:val="21"/>
          <w:highlight w:val="none"/>
        </w:rPr>
        <w:t>开户行账号：</w:t>
      </w:r>
      <w:r>
        <w:rPr>
          <w:rFonts w:hint="eastAsia"/>
          <w:color w:val="auto"/>
          <w:sz w:val="21"/>
          <w:szCs w:val="21"/>
          <w:highlight w:val="none"/>
          <w:u w:val="single"/>
        </w:rPr>
        <w:t xml:space="preserve"> </w:t>
      </w:r>
      <w:r>
        <w:rPr>
          <w:rFonts w:hint="eastAsia"/>
          <w:color w:val="auto"/>
          <w:sz w:val="21"/>
          <w:szCs w:val="21"/>
          <w:highlight w:val="none"/>
          <w:u w:val="single"/>
        </w:rPr>
        <w:tab/>
      </w:r>
    </w:p>
    <w:p>
      <w:pPr>
        <w:pStyle w:val="14"/>
        <w:spacing w:before="3" w:line="360" w:lineRule="auto"/>
        <w:ind w:firstLine="840" w:firstLineChars="400"/>
        <w:rPr>
          <w:color w:val="auto"/>
          <w:sz w:val="21"/>
          <w:szCs w:val="21"/>
          <w:highlight w:val="none"/>
          <w:lang w:val="en-US"/>
        </w:rPr>
      </w:pPr>
    </w:p>
    <w:p>
      <w:pPr>
        <w:pStyle w:val="14"/>
        <w:spacing w:before="3" w:line="360" w:lineRule="auto"/>
        <w:ind w:firstLine="840" w:firstLineChars="400"/>
        <w:rPr>
          <w:color w:val="auto"/>
          <w:sz w:val="21"/>
          <w:szCs w:val="21"/>
          <w:highlight w:val="none"/>
          <w:u w:val="single"/>
          <w:lang w:val="en-US"/>
        </w:rPr>
      </w:pPr>
      <w:r>
        <w:rPr>
          <w:rFonts w:hint="eastAsia"/>
          <w:color w:val="auto"/>
          <w:sz w:val="21"/>
          <w:szCs w:val="21"/>
          <w:highlight w:val="none"/>
          <w:lang w:val="en-US"/>
        </w:rPr>
        <w:t>发票接收邮箱：</w:t>
      </w:r>
      <w:r>
        <w:rPr>
          <w:rFonts w:hint="eastAsia"/>
          <w:color w:val="auto"/>
          <w:sz w:val="21"/>
          <w:szCs w:val="21"/>
          <w:highlight w:val="none"/>
          <w:u w:val="single"/>
          <w:lang w:val="en-US"/>
        </w:rPr>
        <w:t xml:space="preserve">                                      </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我单位将发票开出后，会发至邮箱。</w:t>
      </w:r>
    </w:p>
    <w:p>
      <w:pPr>
        <w:pStyle w:val="36"/>
        <w:spacing w:line="520" w:lineRule="exact"/>
        <w:ind w:left="440" w:leftChars="200" w:firstLine="420" w:firstLineChars="200"/>
        <w:rPr>
          <w:rFonts w:ascii="宋体" w:hAnsi="宋体" w:cs="宋体"/>
          <w:color w:val="auto"/>
          <w:sz w:val="21"/>
          <w:szCs w:val="21"/>
          <w:highlight w:val="none"/>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pStyle w:val="36"/>
        <w:spacing w:line="520" w:lineRule="exact"/>
        <w:ind w:left="440" w:leftChars="200" w:firstLine="320" w:firstLineChars="200"/>
        <w:rPr>
          <w:rFonts w:ascii="宋体" w:hAnsi="宋体" w:cs="宋体"/>
          <w:color w:val="auto"/>
          <w:sz w:val="16"/>
          <w:szCs w:val="21"/>
          <w:highlight w:val="none"/>
        </w:rPr>
      </w:pPr>
      <w:r>
        <w:rPr>
          <w:rFonts w:hint="eastAsia" w:ascii="宋体" w:hAnsi="宋体" w:cs="宋体"/>
          <w:color w:val="auto"/>
          <w:sz w:val="16"/>
          <w:szCs w:val="21"/>
          <w:highlight w:val="none"/>
        </w:rPr>
        <w:br w:type="page"/>
      </w:r>
    </w:p>
    <w:p>
      <w:pPr>
        <w:pStyle w:val="7"/>
        <w:spacing w:before="43"/>
        <w:ind w:left="363" w:right="434"/>
        <w:rPr>
          <w:rFonts w:ascii="宋体" w:hAnsi="宋体" w:eastAsia="宋体" w:cs="宋体"/>
          <w:color w:val="auto"/>
          <w:sz w:val="28"/>
          <w:szCs w:val="28"/>
          <w:highlight w:val="none"/>
        </w:rPr>
      </w:pPr>
      <w:bookmarkStart w:id="95" w:name="_bookmark116"/>
      <w:bookmarkEnd w:id="95"/>
      <w:bookmarkStart w:id="96" w:name="_Toc24078"/>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7</w:t>
      </w:r>
      <w:r>
        <w:rPr>
          <w:rFonts w:hint="eastAsia" w:ascii="宋体" w:hAnsi="宋体" w:eastAsia="宋体" w:cs="宋体"/>
          <w:color w:val="auto"/>
          <w:sz w:val="28"/>
          <w:szCs w:val="28"/>
          <w:highlight w:val="none"/>
        </w:rPr>
        <w:t xml:space="preserve"> 投标人情况表建议格式</w:t>
      </w:r>
      <w:bookmarkEnd w:id="96"/>
    </w:p>
    <w:p>
      <w:pPr>
        <w:pStyle w:val="36"/>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投标人情况表</w:t>
      </w:r>
    </w:p>
    <w:p>
      <w:pPr>
        <w:pStyle w:val="14"/>
        <w:rPr>
          <w:b/>
          <w:color w:val="auto"/>
          <w:sz w:val="16"/>
          <w:szCs w:val="21"/>
          <w:highlight w:val="none"/>
        </w:rPr>
      </w:pPr>
    </w:p>
    <w:p>
      <w:pPr>
        <w:pStyle w:val="14"/>
        <w:spacing w:before="6"/>
        <w:rPr>
          <w:b/>
          <w:color w:val="auto"/>
          <w:sz w:val="11"/>
          <w:szCs w:val="21"/>
          <w:highlight w:val="none"/>
        </w:rPr>
      </w:pPr>
    </w:p>
    <w:tbl>
      <w:tblPr>
        <w:tblStyle w:val="28"/>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4"/>
        <w:gridCol w:w="1239"/>
        <w:gridCol w:w="216"/>
        <w:gridCol w:w="1480"/>
        <w:gridCol w:w="1463"/>
        <w:gridCol w:w="1422"/>
        <w:gridCol w:w="18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单位名称</w:t>
            </w:r>
          </w:p>
        </w:tc>
        <w:tc>
          <w:tcPr>
            <w:tcW w:w="7693" w:type="dxa"/>
            <w:gridSpan w:val="6"/>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详细地址</w:t>
            </w:r>
          </w:p>
        </w:tc>
        <w:tc>
          <w:tcPr>
            <w:tcW w:w="7693" w:type="dxa"/>
            <w:gridSpan w:val="6"/>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主管部门</w:t>
            </w:r>
          </w:p>
        </w:tc>
        <w:tc>
          <w:tcPr>
            <w:tcW w:w="1455" w:type="dxa"/>
            <w:gridSpan w:val="2"/>
            <w:vAlign w:val="center"/>
          </w:tcPr>
          <w:p>
            <w:pPr>
              <w:pStyle w:val="33"/>
              <w:jc w:val="center"/>
              <w:rPr>
                <w:rFonts w:ascii="宋体" w:hAnsi="宋体" w:eastAsia="宋体" w:cs="宋体"/>
                <w:color w:val="auto"/>
                <w:sz w:val="21"/>
                <w:szCs w:val="20"/>
                <w:highlight w:val="none"/>
              </w:rPr>
            </w:pPr>
          </w:p>
        </w:tc>
        <w:tc>
          <w:tcPr>
            <w:tcW w:w="148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法定代表人或负责人</w:t>
            </w:r>
          </w:p>
        </w:tc>
        <w:tc>
          <w:tcPr>
            <w:tcW w:w="1463" w:type="dxa"/>
            <w:vAlign w:val="center"/>
          </w:tcPr>
          <w:p>
            <w:pPr>
              <w:pStyle w:val="33"/>
              <w:jc w:val="center"/>
              <w:rPr>
                <w:rFonts w:ascii="宋体" w:hAnsi="宋体" w:eastAsia="宋体" w:cs="宋体"/>
                <w:color w:val="auto"/>
                <w:sz w:val="21"/>
                <w:szCs w:val="20"/>
                <w:highlight w:val="none"/>
              </w:rPr>
            </w:pPr>
          </w:p>
        </w:tc>
        <w:tc>
          <w:tcPr>
            <w:tcW w:w="142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职务</w:t>
            </w:r>
          </w:p>
        </w:tc>
        <w:tc>
          <w:tcPr>
            <w:tcW w:w="1873"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经济类型</w:t>
            </w:r>
          </w:p>
        </w:tc>
        <w:tc>
          <w:tcPr>
            <w:tcW w:w="1455" w:type="dxa"/>
            <w:gridSpan w:val="2"/>
            <w:vAlign w:val="center"/>
          </w:tcPr>
          <w:p>
            <w:pPr>
              <w:pStyle w:val="33"/>
              <w:jc w:val="center"/>
              <w:rPr>
                <w:rFonts w:ascii="宋体" w:hAnsi="宋体" w:eastAsia="宋体" w:cs="宋体"/>
                <w:color w:val="auto"/>
                <w:sz w:val="21"/>
                <w:szCs w:val="20"/>
                <w:highlight w:val="none"/>
              </w:rPr>
            </w:pPr>
          </w:p>
        </w:tc>
        <w:tc>
          <w:tcPr>
            <w:tcW w:w="148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授权代表</w:t>
            </w:r>
          </w:p>
        </w:tc>
        <w:tc>
          <w:tcPr>
            <w:tcW w:w="1463" w:type="dxa"/>
            <w:vAlign w:val="center"/>
          </w:tcPr>
          <w:p>
            <w:pPr>
              <w:pStyle w:val="33"/>
              <w:jc w:val="center"/>
              <w:rPr>
                <w:rFonts w:ascii="宋体" w:hAnsi="宋体" w:eastAsia="宋体" w:cs="宋体"/>
                <w:color w:val="auto"/>
                <w:sz w:val="21"/>
                <w:szCs w:val="20"/>
                <w:highlight w:val="none"/>
              </w:rPr>
            </w:pPr>
          </w:p>
        </w:tc>
        <w:tc>
          <w:tcPr>
            <w:tcW w:w="142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职务</w:t>
            </w:r>
          </w:p>
        </w:tc>
        <w:tc>
          <w:tcPr>
            <w:tcW w:w="1873"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邮政编码</w:t>
            </w:r>
          </w:p>
        </w:tc>
        <w:tc>
          <w:tcPr>
            <w:tcW w:w="1455" w:type="dxa"/>
            <w:gridSpan w:val="2"/>
            <w:vAlign w:val="center"/>
          </w:tcPr>
          <w:p>
            <w:pPr>
              <w:pStyle w:val="33"/>
              <w:jc w:val="center"/>
              <w:rPr>
                <w:rFonts w:ascii="宋体" w:hAnsi="宋体" w:eastAsia="宋体" w:cs="宋体"/>
                <w:color w:val="auto"/>
                <w:sz w:val="21"/>
                <w:szCs w:val="20"/>
                <w:highlight w:val="none"/>
              </w:rPr>
            </w:pPr>
          </w:p>
        </w:tc>
        <w:tc>
          <w:tcPr>
            <w:tcW w:w="148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电话</w:t>
            </w:r>
          </w:p>
        </w:tc>
        <w:tc>
          <w:tcPr>
            <w:tcW w:w="1463" w:type="dxa"/>
            <w:vAlign w:val="center"/>
          </w:tcPr>
          <w:p>
            <w:pPr>
              <w:pStyle w:val="33"/>
              <w:jc w:val="center"/>
              <w:rPr>
                <w:rFonts w:ascii="宋体" w:hAnsi="宋体" w:eastAsia="宋体" w:cs="宋体"/>
                <w:color w:val="auto"/>
                <w:sz w:val="21"/>
                <w:szCs w:val="20"/>
                <w:highlight w:val="none"/>
              </w:rPr>
            </w:pPr>
          </w:p>
        </w:tc>
        <w:tc>
          <w:tcPr>
            <w:tcW w:w="142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传真</w:t>
            </w:r>
          </w:p>
        </w:tc>
        <w:tc>
          <w:tcPr>
            <w:tcW w:w="1873"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2" w:hRule="atLeast"/>
        </w:trPr>
        <w:tc>
          <w:tcPr>
            <w:tcW w:w="145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单位简介及机构情况</w:t>
            </w:r>
          </w:p>
        </w:tc>
        <w:tc>
          <w:tcPr>
            <w:tcW w:w="7693" w:type="dxa"/>
            <w:gridSpan w:val="6"/>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45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单位优势及特长</w:t>
            </w:r>
          </w:p>
        </w:tc>
        <w:tc>
          <w:tcPr>
            <w:tcW w:w="7693" w:type="dxa"/>
            <w:gridSpan w:val="6"/>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restart"/>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单位概况</w:t>
            </w:r>
          </w:p>
        </w:tc>
        <w:tc>
          <w:tcPr>
            <w:tcW w:w="1239" w:type="dxa"/>
            <w:vMerge w:val="restart"/>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职工总数</w:t>
            </w:r>
          </w:p>
        </w:tc>
        <w:tc>
          <w:tcPr>
            <w:tcW w:w="1696" w:type="dxa"/>
            <w:gridSpan w:val="2"/>
            <w:vMerge w:val="restart"/>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w:t>
            </w:r>
          </w:p>
        </w:tc>
        <w:tc>
          <w:tcPr>
            <w:tcW w:w="4758" w:type="dxa"/>
            <w:gridSpan w:val="3"/>
            <w:vAlign w:val="center"/>
          </w:tcPr>
          <w:p>
            <w:pPr>
              <w:pStyle w:val="33"/>
              <w:tabs>
                <w:tab w:val="left" w:pos="3251"/>
              </w:tabs>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生产工人/管理人员</w:t>
            </w:r>
            <w:r>
              <w:rPr>
                <w:rFonts w:hint="eastAsia" w:ascii="宋体" w:hAnsi="宋体" w:eastAsia="宋体" w:cs="宋体"/>
                <w:color w:val="auto"/>
                <w:sz w:val="21"/>
                <w:szCs w:val="20"/>
                <w:highlight w:val="none"/>
              </w:rPr>
              <w:tab/>
            </w:r>
            <w:r>
              <w:rPr>
                <w:rFonts w:hint="eastAsia" w:ascii="宋体" w:hAnsi="宋体" w:eastAsia="宋体" w:cs="宋体"/>
                <w:color w:val="auto"/>
                <w:sz w:val="21"/>
                <w:szCs w:val="2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jc w:val="center"/>
              <w:rPr>
                <w:color w:val="auto"/>
                <w:sz w:val="2"/>
                <w:szCs w:val="2"/>
                <w:highlight w:val="none"/>
              </w:rPr>
            </w:pPr>
          </w:p>
        </w:tc>
        <w:tc>
          <w:tcPr>
            <w:tcW w:w="1239" w:type="dxa"/>
            <w:vMerge w:val="continue"/>
            <w:tcBorders>
              <w:top w:val="nil"/>
            </w:tcBorders>
            <w:vAlign w:val="center"/>
          </w:tcPr>
          <w:p>
            <w:pPr>
              <w:jc w:val="center"/>
              <w:rPr>
                <w:color w:val="auto"/>
                <w:sz w:val="2"/>
                <w:szCs w:val="2"/>
                <w:highlight w:val="none"/>
              </w:rPr>
            </w:pPr>
          </w:p>
        </w:tc>
        <w:tc>
          <w:tcPr>
            <w:tcW w:w="1696" w:type="dxa"/>
            <w:gridSpan w:val="2"/>
            <w:vMerge w:val="continue"/>
            <w:tcBorders>
              <w:top w:val="nil"/>
            </w:tcBorders>
            <w:vAlign w:val="center"/>
          </w:tcPr>
          <w:p>
            <w:pPr>
              <w:jc w:val="center"/>
              <w:rPr>
                <w:color w:val="auto"/>
                <w:sz w:val="2"/>
                <w:szCs w:val="2"/>
                <w:highlight w:val="none"/>
              </w:rPr>
            </w:pPr>
          </w:p>
        </w:tc>
        <w:tc>
          <w:tcPr>
            <w:tcW w:w="4758" w:type="dxa"/>
            <w:gridSpan w:val="3"/>
            <w:vAlign w:val="center"/>
          </w:tcPr>
          <w:p>
            <w:pPr>
              <w:pStyle w:val="33"/>
              <w:tabs>
                <w:tab w:val="left" w:pos="3251"/>
              </w:tabs>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技术人员</w:t>
            </w:r>
            <w:r>
              <w:rPr>
                <w:rFonts w:hint="eastAsia" w:ascii="宋体" w:hAnsi="宋体" w:eastAsia="宋体" w:cs="宋体"/>
                <w:color w:val="auto"/>
                <w:sz w:val="21"/>
                <w:szCs w:val="20"/>
                <w:highlight w:val="none"/>
              </w:rPr>
              <w:tab/>
            </w:r>
            <w:r>
              <w:rPr>
                <w:rFonts w:hint="eastAsia" w:ascii="宋体" w:hAnsi="宋体" w:eastAsia="宋体" w:cs="宋体"/>
                <w:color w:val="auto"/>
                <w:sz w:val="21"/>
                <w:szCs w:val="20"/>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员工情况</w:t>
            </w:r>
          </w:p>
        </w:tc>
        <w:tc>
          <w:tcPr>
            <w:tcW w:w="1696" w:type="dxa"/>
            <w:gridSpan w:val="2"/>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高级职称</w:t>
            </w:r>
          </w:p>
        </w:tc>
        <w:tc>
          <w:tcPr>
            <w:tcW w:w="146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中级职称</w:t>
            </w:r>
          </w:p>
        </w:tc>
        <w:tc>
          <w:tcPr>
            <w:tcW w:w="142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初级职称</w:t>
            </w:r>
          </w:p>
        </w:tc>
        <w:tc>
          <w:tcPr>
            <w:tcW w:w="187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技工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人数</w:t>
            </w:r>
          </w:p>
        </w:tc>
        <w:tc>
          <w:tcPr>
            <w:tcW w:w="1696" w:type="dxa"/>
            <w:gridSpan w:val="2"/>
            <w:vAlign w:val="center"/>
          </w:tcPr>
          <w:p>
            <w:pPr>
              <w:pStyle w:val="33"/>
              <w:jc w:val="center"/>
              <w:rPr>
                <w:rFonts w:ascii="宋体" w:hAnsi="宋体" w:eastAsia="宋体" w:cs="宋体"/>
                <w:color w:val="auto"/>
                <w:sz w:val="21"/>
                <w:szCs w:val="20"/>
                <w:highlight w:val="none"/>
              </w:rPr>
            </w:pPr>
          </w:p>
        </w:tc>
        <w:tc>
          <w:tcPr>
            <w:tcW w:w="1463" w:type="dxa"/>
            <w:vAlign w:val="center"/>
          </w:tcPr>
          <w:p>
            <w:pPr>
              <w:pStyle w:val="33"/>
              <w:jc w:val="center"/>
              <w:rPr>
                <w:rFonts w:ascii="宋体" w:hAnsi="宋体" w:eastAsia="宋体" w:cs="宋体"/>
                <w:color w:val="auto"/>
                <w:sz w:val="21"/>
                <w:szCs w:val="20"/>
                <w:highlight w:val="none"/>
              </w:rPr>
            </w:pPr>
          </w:p>
        </w:tc>
        <w:tc>
          <w:tcPr>
            <w:tcW w:w="1422" w:type="dxa"/>
            <w:vAlign w:val="center"/>
          </w:tcPr>
          <w:p>
            <w:pPr>
              <w:pStyle w:val="33"/>
              <w:jc w:val="center"/>
              <w:rPr>
                <w:rFonts w:ascii="宋体" w:hAnsi="宋体" w:eastAsia="宋体" w:cs="宋体"/>
                <w:color w:val="auto"/>
                <w:sz w:val="21"/>
                <w:szCs w:val="20"/>
                <w:highlight w:val="none"/>
              </w:rPr>
            </w:pPr>
          </w:p>
        </w:tc>
        <w:tc>
          <w:tcPr>
            <w:tcW w:w="1873"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jc w:val="center"/>
              <w:rPr>
                <w:color w:val="auto"/>
                <w:sz w:val="2"/>
                <w:szCs w:val="2"/>
                <w:highlight w:val="none"/>
              </w:rPr>
            </w:pPr>
          </w:p>
        </w:tc>
        <w:tc>
          <w:tcPr>
            <w:tcW w:w="1239" w:type="dxa"/>
            <w:vMerge w:val="restart"/>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流动资金</w:t>
            </w:r>
          </w:p>
        </w:tc>
        <w:tc>
          <w:tcPr>
            <w:tcW w:w="1696" w:type="dxa"/>
            <w:gridSpan w:val="2"/>
            <w:vMerge w:val="restart"/>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c>
          <w:tcPr>
            <w:tcW w:w="1463" w:type="dxa"/>
            <w:vMerge w:val="restart"/>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资金来源</w:t>
            </w:r>
          </w:p>
        </w:tc>
        <w:tc>
          <w:tcPr>
            <w:tcW w:w="142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自有资金</w:t>
            </w:r>
          </w:p>
        </w:tc>
        <w:tc>
          <w:tcPr>
            <w:tcW w:w="187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continue"/>
            <w:tcBorders>
              <w:top w:val="nil"/>
            </w:tcBorders>
            <w:vAlign w:val="center"/>
          </w:tcPr>
          <w:p>
            <w:pPr>
              <w:jc w:val="center"/>
              <w:rPr>
                <w:color w:val="auto"/>
                <w:sz w:val="2"/>
                <w:szCs w:val="2"/>
                <w:highlight w:val="none"/>
              </w:rPr>
            </w:pPr>
          </w:p>
        </w:tc>
        <w:tc>
          <w:tcPr>
            <w:tcW w:w="1239" w:type="dxa"/>
            <w:vMerge w:val="continue"/>
            <w:tcBorders>
              <w:top w:val="nil"/>
            </w:tcBorders>
            <w:vAlign w:val="center"/>
          </w:tcPr>
          <w:p>
            <w:pPr>
              <w:jc w:val="center"/>
              <w:rPr>
                <w:color w:val="auto"/>
                <w:sz w:val="2"/>
                <w:szCs w:val="2"/>
                <w:highlight w:val="none"/>
              </w:rPr>
            </w:pPr>
          </w:p>
        </w:tc>
        <w:tc>
          <w:tcPr>
            <w:tcW w:w="1696" w:type="dxa"/>
            <w:gridSpan w:val="2"/>
            <w:vMerge w:val="continue"/>
            <w:tcBorders>
              <w:top w:val="nil"/>
            </w:tcBorders>
            <w:vAlign w:val="center"/>
          </w:tcPr>
          <w:p>
            <w:pPr>
              <w:jc w:val="center"/>
              <w:rPr>
                <w:color w:val="auto"/>
                <w:sz w:val="2"/>
                <w:szCs w:val="2"/>
                <w:highlight w:val="none"/>
              </w:rPr>
            </w:pPr>
          </w:p>
        </w:tc>
        <w:tc>
          <w:tcPr>
            <w:tcW w:w="1463" w:type="dxa"/>
            <w:vMerge w:val="continue"/>
            <w:tcBorders>
              <w:top w:val="nil"/>
            </w:tcBorders>
            <w:vAlign w:val="center"/>
          </w:tcPr>
          <w:p>
            <w:pPr>
              <w:jc w:val="center"/>
              <w:rPr>
                <w:color w:val="auto"/>
                <w:sz w:val="2"/>
                <w:szCs w:val="2"/>
                <w:highlight w:val="none"/>
              </w:rPr>
            </w:pPr>
          </w:p>
        </w:tc>
        <w:tc>
          <w:tcPr>
            <w:tcW w:w="142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银行贷款</w:t>
            </w:r>
          </w:p>
        </w:tc>
        <w:tc>
          <w:tcPr>
            <w:tcW w:w="187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固定资产</w:t>
            </w:r>
          </w:p>
        </w:tc>
        <w:tc>
          <w:tcPr>
            <w:tcW w:w="1696" w:type="dxa"/>
            <w:gridSpan w:val="2"/>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原值</w:t>
            </w:r>
          </w:p>
        </w:tc>
        <w:tc>
          <w:tcPr>
            <w:tcW w:w="146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c>
          <w:tcPr>
            <w:tcW w:w="142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净值</w:t>
            </w:r>
          </w:p>
        </w:tc>
        <w:tc>
          <w:tcPr>
            <w:tcW w:w="187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454" w:type="dxa"/>
            <w:vMerge w:val="restart"/>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企业财务状况</w:t>
            </w:r>
          </w:p>
        </w:tc>
        <w:tc>
          <w:tcPr>
            <w:tcW w:w="1239" w:type="dxa"/>
            <w:vAlign w:val="center"/>
          </w:tcPr>
          <w:p>
            <w:pPr>
              <w:pStyle w:val="33"/>
              <w:jc w:val="center"/>
              <w:rPr>
                <w:rFonts w:ascii="宋体" w:hAnsi="宋体" w:eastAsia="宋体" w:cs="宋体"/>
                <w:color w:val="auto"/>
                <w:sz w:val="21"/>
                <w:szCs w:val="20"/>
                <w:highlight w:val="none"/>
              </w:rPr>
            </w:pPr>
          </w:p>
        </w:tc>
        <w:tc>
          <w:tcPr>
            <w:tcW w:w="1696" w:type="dxa"/>
            <w:gridSpan w:val="2"/>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收入总额</w:t>
            </w:r>
          </w:p>
        </w:tc>
        <w:tc>
          <w:tcPr>
            <w:tcW w:w="146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利润总额</w:t>
            </w:r>
          </w:p>
        </w:tc>
        <w:tc>
          <w:tcPr>
            <w:tcW w:w="142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净利润</w:t>
            </w:r>
          </w:p>
        </w:tc>
        <w:tc>
          <w:tcPr>
            <w:tcW w:w="187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负债总额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 xml:space="preserve">     </w:t>
            </w:r>
            <w:r>
              <w:rPr>
                <w:rFonts w:hint="eastAsia" w:ascii="宋体" w:hAnsi="宋体" w:eastAsia="宋体" w:cs="宋体"/>
                <w:color w:val="auto"/>
                <w:sz w:val="21"/>
                <w:szCs w:val="20"/>
                <w:highlight w:val="none"/>
              </w:rPr>
              <w:t>年（近一年）</w:t>
            </w:r>
          </w:p>
        </w:tc>
        <w:tc>
          <w:tcPr>
            <w:tcW w:w="1696" w:type="dxa"/>
            <w:gridSpan w:val="2"/>
            <w:vAlign w:val="center"/>
          </w:tcPr>
          <w:p>
            <w:pPr>
              <w:pStyle w:val="33"/>
              <w:jc w:val="center"/>
              <w:rPr>
                <w:rFonts w:ascii="宋体" w:hAnsi="宋体" w:eastAsia="宋体" w:cs="宋体"/>
                <w:color w:val="auto"/>
                <w:sz w:val="21"/>
                <w:szCs w:val="20"/>
                <w:highlight w:val="none"/>
              </w:rPr>
            </w:pPr>
          </w:p>
        </w:tc>
        <w:tc>
          <w:tcPr>
            <w:tcW w:w="1463" w:type="dxa"/>
            <w:vAlign w:val="center"/>
          </w:tcPr>
          <w:p>
            <w:pPr>
              <w:pStyle w:val="33"/>
              <w:jc w:val="center"/>
              <w:rPr>
                <w:rFonts w:ascii="宋体" w:hAnsi="宋体" w:eastAsia="宋体" w:cs="宋体"/>
                <w:color w:val="auto"/>
                <w:sz w:val="21"/>
                <w:szCs w:val="20"/>
                <w:highlight w:val="none"/>
              </w:rPr>
            </w:pPr>
          </w:p>
        </w:tc>
        <w:tc>
          <w:tcPr>
            <w:tcW w:w="1422" w:type="dxa"/>
            <w:vAlign w:val="center"/>
          </w:tcPr>
          <w:p>
            <w:pPr>
              <w:pStyle w:val="33"/>
              <w:jc w:val="center"/>
              <w:rPr>
                <w:rFonts w:ascii="宋体" w:hAnsi="宋体" w:eastAsia="宋体" w:cs="宋体"/>
                <w:color w:val="auto"/>
                <w:sz w:val="21"/>
                <w:szCs w:val="20"/>
                <w:highlight w:val="none"/>
              </w:rPr>
            </w:pPr>
          </w:p>
        </w:tc>
        <w:tc>
          <w:tcPr>
            <w:tcW w:w="1873"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 xml:space="preserve">     </w:t>
            </w:r>
            <w:r>
              <w:rPr>
                <w:rFonts w:hint="eastAsia" w:ascii="宋体" w:hAnsi="宋体" w:eastAsia="宋体" w:cs="宋体"/>
                <w:color w:val="auto"/>
                <w:sz w:val="21"/>
                <w:szCs w:val="20"/>
                <w:highlight w:val="none"/>
              </w:rPr>
              <w:t>年（近二年）</w:t>
            </w:r>
          </w:p>
        </w:tc>
        <w:tc>
          <w:tcPr>
            <w:tcW w:w="1696" w:type="dxa"/>
            <w:gridSpan w:val="2"/>
            <w:vAlign w:val="center"/>
          </w:tcPr>
          <w:p>
            <w:pPr>
              <w:pStyle w:val="33"/>
              <w:jc w:val="center"/>
              <w:rPr>
                <w:rFonts w:ascii="宋体" w:hAnsi="宋体" w:eastAsia="宋体" w:cs="宋体"/>
                <w:color w:val="auto"/>
                <w:sz w:val="21"/>
                <w:szCs w:val="20"/>
                <w:highlight w:val="none"/>
              </w:rPr>
            </w:pPr>
          </w:p>
        </w:tc>
        <w:tc>
          <w:tcPr>
            <w:tcW w:w="1463" w:type="dxa"/>
            <w:vAlign w:val="center"/>
          </w:tcPr>
          <w:p>
            <w:pPr>
              <w:pStyle w:val="33"/>
              <w:jc w:val="center"/>
              <w:rPr>
                <w:rFonts w:ascii="宋体" w:hAnsi="宋体" w:eastAsia="宋体" w:cs="宋体"/>
                <w:color w:val="auto"/>
                <w:sz w:val="21"/>
                <w:szCs w:val="20"/>
                <w:highlight w:val="none"/>
              </w:rPr>
            </w:pPr>
          </w:p>
        </w:tc>
        <w:tc>
          <w:tcPr>
            <w:tcW w:w="1422" w:type="dxa"/>
            <w:vAlign w:val="center"/>
          </w:tcPr>
          <w:p>
            <w:pPr>
              <w:pStyle w:val="33"/>
              <w:jc w:val="center"/>
              <w:rPr>
                <w:rFonts w:ascii="宋体" w:hAnsi="宋体" w:eastAsia="宋体" w:cs="宋体"/>
                <w:color w:val="auto"/>
                <w:sz w:val="21"/>
                <w:szCs w:val="20"/>
                <w:highlight w:val="none"/>
              </w:rPr>
            </w:pPr>
          </w:p>
        </w:tc>
        <w:tc>
          <w:tcPr>
            <w:tcW w:w="1873"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1454" w:type="dxa"/>
            <w:vMerge w:val="continue"/>
            <w:tcBorders>
              <w:top w:val="nil"/>
            </w:tcBorders>
            <w:vAlign w:val="center"/>
          </w:tcPr>
          <w:p>
            <w:pPr>
              <w:jc w:val="center"/>
              <w:rPr>
                <w:color w:val="auto"/>
                <w:sz w:val="2"/>
                <w:szCs w:val="2"/>
                <w:highlight w:val="none"/>
              </w:rPr>
            </w:pPr>
          </w:p>
        </w:tc>
        <w:tc>
          <w:tcPr>
            <w:tcW w:w="1239"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 xml:space="preserve">     </w:t>
            </w:r>
            <w:r>
              <w:rPr>
                <w:rFonts w:hint="eastAsia" w:ascii="宋体" w:hAnsi="宋体" w:eastAsia="宋体" w:cs="宋体"/>
                <w:color w:val="auto"/>
                <w:sz w:val="21"/>
                <w:szCs w:val="20"/>
                <w:highlight w:val="none"/>
              </w:rPr>
              <w:t>年（近三年）</w:t>
            </w:r>
          </w:p>
        </w:tc>
        <w:tc>
          <w:tcPr>
            <w:tcW w:w="1696" w:type="dxa"/>
            <w:gridSpan w:val="2"/>
            <w:vAlign w:val="center"/>
          </w:tcPr>
          <w:p>
            <w:pPr>
              <w:pStyle w:val="33"/>
              <w:jc w:val="center"/>
              <w:rPr>
                <w:rFonts w:ascii="宋体" w:hAnsi="宋体" w:eastAsia="宋体" w:cs="宋体"/>
                <w:color w:val="auto"/>
                <w:sz w:val="21"/>
                <w:szCs w:val="20"/>
                <w:highlight w:val="none"/>
              </w:rPr>
            </w:pPr>
          </w:p>
        </w:tc>
        <w:tc>
          <w:tcPr>
            <w:tcW w:w="1463" w:type="dxa"/>
            <w:vAlign w:val="center"/>
          </w:tcPr>
          <w:p>
            <w:pPr>
              <w:pStyle w:val="33"/>
              <w:jc w:val="center"/>
              <w:rPr>
                <w:rFonts w:ascii="宋体" w:hAnsi="宋体" w:eastAsia="宋体" w:cs="宋体"/>
                <w:color w:val="auto"/>
                <w:sz w:val="21"/>
                <w:szCs w:val="20"/>
                <w:highlight w:val="none"/>
              </w:rPr>
            </w:pPr>
          </w:p>
        </w:tc>
        <w:tc>
          <w:tcPr>
            <w:tcW w:w="1422" w:type="dxa"/>
            <w:vAlign w:val="center"/>
          </w:tcPr>
          <w:p>
            <w:pPr>
              <w:pStyle w:val="33"/>
              <w:jc w:val="center"/>
              <w:rPr>
                <w:rFonts w:ascii="宋体" w:hAnsi="宋体" w:eastAsia="宋体" w:cs="宋体"/>
                <w:color w:val="auto"/>
                <w:sz w:val="21"/>
                <w:szCs w:val="20"/>
                <w:highlight w:val="none"/>
              </w:rPr>
            </w:pPr>
          </w:p>
        </w:tc>
        <w:tc>
          <w:tcPr>
            <w:tcW w:w="1873"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2693" w:type="dxa"/>
            <w:gridSpan w:val="2"/>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办公地点</w:t>
            </w:r>
          </w:p>
        </w:tc>
        <w:tc>
          <w:tcPr>
            <w:tcW w:w="6454" w:type="dxa"/>
            <w:gridSpan w:val="5"/>
            <w:vAlign w:val="center"/>
          </w:tcPr>
          <w:p>
            <w:pPr>
              <w:pStyle w:val="33"/>
              <w:jc w:val="center"/>
              <w:rPr>
                <w:rFonts w:ascii="宋体" w:hAnsi="宋体" w:eastAsia="宋体" w:cs="宋体"/>
                <w:color w:val="auto"/>
                <w:sz w:val="21"/>
                <w:szCs w:val="20"/>
                <w:highlight w:val="none"/>
              </w:rPr>
            </w:pPr>
          </w:p>
        </w:tc>
      </w:tr>
    </w:tbl>
    <w:p>
      <w:pPr>
        <w:pStyle w:val="36"/>
        <w:spacing w:line="400" w:lineRule="exact"/>
        <w:ind w:firstLine="420" w:firstLineChars="200"/>
        <w:rPr>
          <w:rFonts w:ascii="宋体" w:hAnsi="宋体" w:cs="宋体"/>
          <w:color w:val="auto"/>
          <w:sz w:val="21"/>
          <w:szCs w:val="21"/>
          <w:highlight w:val="none"/>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7"/>
        <w:spacing w:before="43"/>
        <w:ind w:left="363" w:right="437"/>
        <w:rPr>
          <w:rFonts w:ascii="宋体" w:hAnsi="宋体" w:eastAsia="宋体" w:cs="宋体"/>
          <w:color w:val="auto"/>
          <w:sz w:val="28"/>
          <w:szCs w:val="28"/>
          <w:highlight w:val="none"/>
        </w:rPr>
      </w:pPr>
      <w:bookmarkStart w:id="97" w:name="_bookmark117"/>
      <w:bookmarkEnd w:id="97"/>
      <w:bookmarkStart w:id="98" w:name="_Toc11796"/>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8</w:t>
      </w:r>
      <w:r>
        <w:rPr>
          <w:rFonts w:hint="eastAsia" w:ascii="宋体" w:hAnsi="宋体" w:eastAsia="宋体" w:cs="宋体"/>
          <w:color w:val="auto"/>
          <w:sz w:val="28"/>
          <w:szCs w:val="28"/>
          <w:highlight w:val="none"/>
        </w:rPr>
        <w:t xml:space="preserve"> 详细的技术服务响应</w:t>
      </w:r>
      <w:bookmarkEnd w:id="98"/>
    </w:p>
    <w:p>
      <w:pPr>
        <w:pStyle w:val="36"/>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投标人技术响应</w:t>
      </w:r>
    </w:p>
    <w:p>
      <w:pPr>
        <w:pStyle w:val="14"/>
        <w:spacing w:before="9" w:line="304" w:lineRule="auto"/>
        <w:ind w:left="400" w:right="474" w:firstLine="479"/>
        <w:jc w:val="both"/>
        <w:rPr>
          <w:color w:val="auto"/>
          <w:sz w:val="21"/>
          <w:szCs w:val="21"/>
          <w:highlight w:val="none"/>
        </w:rPr>
      </w:pPr>
      <w:r>
        <w:rPr>
          <w:rFonts w:hint="eastAsia"/>
          <w:color w:val="auto"/>
          <w:sz w:val="21"/>
          <w:szCs w:val="21"/>
          <w:highlight w:val="none"/>
        </w:rPr>
        <w:t>【投标人对照招标文件第三章评分标准和第四章技术服务需求编写响应技术文件。由投标人自行编制，须对招标文件的所有相关技术服务需求要求作出详尽响应。】</w:t>
      </w:r>
    </w:p>
    <w:p>
      <w:pPr>
        <w:pStyle w:val="14"/>
        <w:spacing w:before="9" w:line="304" w:lineRule="auto"/>
        <w:ind w:left="400" w:right="474" w:firstLine="479"/>
        <w:jc w:val="both"/>
        <w:rPr>
          <w:color w:val="auto"/>
          <w:sz w:val="21"/>
          <w:szCs w:val="21"/>
          <w:highlight w:val="none"/>
        </w:rPr>
      </w:pPr>
      <w:r>
        <w:rPr>
          <w:rFonts w:hint="eastAsia"/>
          <w:color w:val="auto"/>
          <w:sz w:val="21"/>
          <w:szCs w:val="21"/>
          <w:highlight w:val="none"/>
        </w:rPr>
        <w:t xml:space="preserve">【拟派实施人员相关内容请按附件 </w:t>
      </w:r>
      <w:r>
        <w:rPr>
          <w:rFonts w:hint="eastAsia"/>
          <w:color w:val="auto"/>
          <w:sz w:val="21"/>
          <w:szCs w:val="21"/>
          <w:highlight w:val="none"/>
          <w:lang w:val="en-US"/>
        </w:rPr>
        <w:t>8</w:t>
      </w:r>
      <w:r>
        <w:rPr>
          <w:rFonts w:hint="eastAsia"/>
          <w:color w:val="auto"/>
          <w:sz w:val="21"/>
          <w:szCs w:val="21"/>
          <w:highlight w:val="none"/>
        </w:rPr>
        <w:t xml:space="preserve">-1 和 </w:t>
      </w:r>
      <w:r>
        <w:rPr>
          <w:rFonts w:hint="eastAsia"/>
          <w:color w:val="auto"/>
          <w:sz w:val="21"/>
          <w:szCs w:val="21"/>
          <w:highlight w:val="none"/>
          <w:lang w:val="en-US"/>
        </w:rPr>
        <w:t>8</w:t>
      </w:r>
      <w:r>
        <w:rPr>
          <w:rFonts w:hint="eastAsia"/>
          <w:color w:val="auto"/>
          <w:sz w:val="21"/>
          <w:szCs w:val="21"/>
          <w:highlight w:val="none"/>
        </w:rPr>
        <w:t>-2 格式填写，以便评标时查阅。】</w:t>
      </w:r>
    </w:p>
    <w:p>
      <w:pPr>
        <w:pStyle w:val="36"/>
        <w:spacing w:line="400" w:lineRule="exact"/>
        <w:jc w:val="center"/>
        <w:rPr>
          <w:rFonts w:ascii="宋体" w:hAnsi="宋体" w:cs="宋体"/>
          <w:b/>
          <w:color w:val="auto"/>
          <w:sz w:val="24"/>
          <w:szCs w:val="21"/>
          <w:highlight w:val="none"/>
        </w:rPr>
      </w:pPr>
      <w:bookmarkStart w:id="99" w:name="_bookmark118"/>
      <w:bookmarkEnd w:id="99"/>
      <w:r>
        <w:rPr>
          <w:rFonts w:hint="eastAsia" w:ascii="宋体" w:hAnsi="宋体" w:cs="宋体"/>
          <w:b/>
          <w:color w:val="auto"/>
          <w:sz w:val="24"/>
          <w:szCs w:val="21"/>
          <w:highlight w:val="none"/>
        </w:rPr>
        <w:t>8-1 拟派实施人员汇总表格式</w:t>
      </w:r>
    </w:p>
    <w:p>
      <w:pPr>
        <w:pStyle w:val="36"/>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拟派实施人员表</w:t>
      </w:r>
    </w:p>
    <w:p>
      <w:pPr>
        <w:pStyle w:val="14"/>
        <w:spacing w:before="5"/>
        <w:rPr>
          <w:b/>
          <w:color w:val="auto"/>
          <w:sz w:val="10"/>
          <w:szCs w:val="21"/>
          <w:highlight w:val="none"/>
        </w:rPr>
      </w:pPr>
    </w:p>
    <w:tbl>
      <w:tblPr>
        <w:tblStyle w:val="28"/>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1"/>
        <w:gridCol w:w="1704"/>
        <w:gridCol w:w="2693"/>
        <w:gridCol w:w="1772"/>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姓名</w:t>
            </w:r>
          </w:p>
        </w:tc>
        <w:tc>
          <w:tcPr>
            <w:tcW w:w="170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联系方式</w:t>
            </w:r>
          </w:p>
        </w:tc>
        <w:tc>
          <w:tcPr>
            <w:tcW w:w="269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本项目中拟任岗位</w:t>
            </w:r>
          </w:p>
        </w:tc>
        <w:tc>
          <w:tcPr>
            <w:tcW w:w="177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相关资质认证</w:t>
            </w:r>
          </w:p>
        </w:tc>
        <w:tc>
          <w:tcPr>
            <w:tcW w:w="2127"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主要项目经验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1"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991" w:type="dxa"/>
            <w:vAlign w:val="center"/>
          </w:tcPr>
          <w:p>
            <w:pPr>
              <w:pStyle w:val="33"/>
              <w:jc w:val="center"/>
              <w:rPr>
                <w:rFonts w:ascii="宋体" w:hAnsi="宋体" w:eastAsia="宋体" w:cs="宋体"/>
                <w:color w:val="auto"/>
                <w:sz w:val="21"/>
                <w:szCs w:val="20"/>
                <w:highlight w:val="none"/>
              </w:rPr>
            </w:pPr>
          </w:p>
        </w:tc>
        <w:tc>
          <w:tcPr>
            <w:tcW w:w="1704" w:type="dxa"/>
            <w:vAlign w:val="center"/>
          </w:tcPr>
          <w:p>
            <w:pPr>
              <w:pStyle w:val="33"/>
              <w:jc w:val="center"/>
              <w:rPr>
                <w:rFonts w:ascii="宋体" w:hAnsi="宋体" w:eastAsia="宋体" w:cs="宋体"/>
                <w:color w:val="auto"/>
                <w:sz w:val="21"/>
                <w:szCs w:val="20"/>
                <w:highlight w:val="none"/>
              </w:rPr>
            </w:pPr>
          </w:p>
        </w:tc>
        <w:tc>
          <w:tcPr>
            <w:tcW w:w="2693" w:type="dxa"/>
            <w:vAlign w:val="center"/>
          </w:tcPr>
          <w:p>
            <w:pPr>
              <w:pStyle w:val="33"/>
              <w:jc w:val="center"/>
              <w:rPr>
                <w:rFonts w:ascii="宋体" w:hAnsi="宋体" w:eastAsia="宋体" w:cs="宋体"/>
                <w:color w:val="auto"/>
                <w:sz w:val="21"/>
                <w:szCs w:val="20"/>
                <w:highlight w:val="none"/>
              </w:rPr>
            </w:pPr>
          </w:p>
        </w:tc>
        <w:tc>
          <w:tcPr>
            <w:tcW w:w="1772" w:type="dxa"/>
            <w:vAlign w:val="center"/>
          </w:tcPr>
          <w:p>
            <w:pPr>
              <w:pStyle w:val="33"/>
              <w:jc w:val="center"/>
              <w:rPr>
                <w:rFonts w:ascii="宋体" w:hAnsi="宋体" w:eastAsia="宋体" w:cs="宋体"/>
                <w:color w:val="auto"/>
                <w:sz w:val="21"/>
                <w:szCs w:val="20"/>
                <w:highlight w:val="none"/>
              </w:rPr>
            </w:pPr>
          </w:p>
        </w:tc>
        <w:tc>
          <w:tcPr>
            <w:tcW w:w="2127" w:type="dxa"/>
            <w:vAlign w:val="center"/>
          </w:tcPr>
          <w:p>
            <w:pPr>
              <w:pStyle w:val="33"/>
              <w:jc w:val="center"/>
              <w:rPr>
                <w:rFonts w:ascii="宋体" w:hAnsi="宋体" w:eastAsia="宋体" w:cs="宋体"/>
                <w:color w:val="auto"/>
                <w:sz w:val="21"/>
                <w:szCs w:val="20"/>
                <w:highlight w:val="none"/>
              </w:rPr>
            </w:pPr>
          </w:p>
        </w:tc>
      </w:tr>
    </w:tbl>
    <w:p>
      <w:pPr>
        <w:pStyle w:val="14"/>
        <w:spacing w:before="1"/>
        <w:rPr>
          <w:b/>
          <w:color w:val="auto"/>
          <w:szCs w:val="21"/>
          <w:highlight w:val="none"/>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36"/>
        <w:spacing w:line="400" w:lineRule="exact"/>
        <w:jc w:val="center"/>
        <w:rPr>
          <w:rFonts w:ascii="宋体" w:hAnsi="宋体" w:cs="宋体"/>
          <w:b/>
          <w:color w:val="auto"/>
          <w:sz w:val="24"/>
          <w:szCs w:val="21"/>
          <w:highlight w:val="none"/>
        </w:rPr>
      </w:pPr>
      <w:bookmarkStart w:id="100" w:name="_bookmark119"/>
      <w:bookmarkEnd w:id="100"/>
      <w:r>
        <w:rPr>
          <w:rFonts w:hint="eastAsia" w:ascii="宋体" w:hAnsi="宋体" w:cs="宋体"/>
          <w:b/>
          <w:color w:val="auto"/>
          <w:sz w:val="24"/>
          <w:szCs w:val="21"/>
          <w:highlight w:val="none"/>
        </w:rPr>
        <w:t>8-2 拟派实施人员表格式</w:t>
      </w:r>
    </w:p>
    <w:p>
      <w:pPr>
        <w:pStyle w:val="36"/>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人员简历</w:t>
      </w:r>
    </w:p>
    <w:p>
      <w:pPr>
        <w:pStyle w:val="14"/>
        <w:spacing w:before="7"/>
        <w:rPr>
          <w:b/>
          <w:color w:val="auto"/>
          <w:sz w:val="10"/>
          <w:szCs w:val="21"/>
          <w:highlight w:val="none"/>
        </w:rPr>
      </w:pPr>
    </w:p>
    <w:tbl>
      <w:tblPr>
        <w:tblStyle w:val="28"/>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660"/>
        <w:gridCol w:w="1702"/>
        <w:gridCol w:w="1358"/>
        <w:gridCol w:w="1051"/>
        <w:gridCol w:w="56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姓名</w:t>
            </w:r>
          </w:p>
        </w:tc>
        <w:tc>
          <w:tcPr>
            <w:tcW w:w="1660" w:type="dxa"/>
            <w:vAlign w:val="center"/>
          </w:tcPr>
          <w:p>
            <w:pPr>
              <w:pStyle w:val="33"/>
              <w:jc w:val="center"/>
              <w:rPr>
                <w:rFonts w:ascii="宋体" w:hAnsi="宋体" w:eastAsia="宋体" w:cs="宋体"/>
                <w:color w:val="auto"/>
                <w:sz w:val="21"/>
                <w:szCs w:val="20"/>
                <w:highlight w:val="none"/>
              </w:rPr>
            </w:pPr>
          </w:p>
        </w:tc>
        <w:tc>
          <w:tcPr>
            <w:tcW w:w="170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职务</w:t>
            </w:r>
          </w:p>
        </w:tc>
        <w:tc>
          <w:tcPr>
            <w:tcW w:w="1358" w:type="dxa"/>
            <w:vAlign w:val="center"/>
          </w:tcPr>
          <w:p>
            <w:pPr>
              <w:pStyle w:val="33"/>
              <w:jc w:val="center"/>
              <w:rPr>
                <w:rFonts w:ascii="宋体" w:hAnsi="宋体" w:eastAsia="宋体" w:cs="宋体"/>
                <w:color w:val="auto"/>
                <w:sz w:val="21"/>
                <w:szCs w:val="20"/>
                <w:highlight w:val="none"/>
              </w:rPr>
            </w:pPr>
          </w:p>
        </w:tc>
        <w:tc>
          <w:tcPr>
            <w:tcW w:w="1617" w:type="dxa"/>
            <w:gridSpan w:val="2"/>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职称</w:t>
            </w:r>
          </w:p>
        </w:tc>
        <w:tc>
          <w:tcPr>
            <w:tcW w:w="1843"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年龄</w:t>
            </w:r>
          </w:p>
        </w:tc>
        <w:tc>
          <w:tcPr>
            <w:tcW w:w="1660" w:type="dxa"/>
            <w:vAlign w:val="center"/>
          </w:tcPr>
          <w:p>
            <w:pPr>
              <w:pStyle w:val="33"/>
              <w:jc w:val="center"/>
              <w:rPr>
                <w:rFonts w:ascii="宋体" w:hAnsi="宋体" w:eastAsia="宋体" w:cs="宋体"/>
                <w:color w:val="auto"/>
                <w:sz w:val="21"/>
                <w:szCs w:val="20"/>
                <w:highlight w:val="none"/>
              </w:rPr>
            </w:pPr>
          </w:p>
        </w:tc>
        <w:tc>
          <w:tcPr>
            <w:tcW w:w="170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本项目拟任职</w:t>
            </w:r>
          </w:p>
        </w:tc>
        <w:tc>
          <w:tcPr>
            <w:tcW w:w="1358" w:type="dxa"/>
            <w:vAlign w:val="center"/>
          </w:tcPr>
          <w:p>
            <w:pPr>
              <w:pStyle w:val="33"/>
              <w:jc w:val="center"/>
              <w:rPr>
                <w:rFonts w:ascii="宋体" w:hAnsi="宋体" w:eastAsia="宋体" w:cs="宋体"/>
                <w:color w:val="auto"/>
                <w:sz w:val="21"/>
                <w:szCs w:val="20"/>
                <w:highlight w:val="none"/>
              </w:rPr>
            </w:pPr>
          </w:p>
        </w:tc>
        <w:tc>
          <w:tcPr>
            <w:tcW w:w="1617" w:type="dxa"/>
            <w:gridSpan w:val="2"/>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单位任职时间</w:t>
            </w:r>
          </w:p>
        </w:tc>
        <w:tc>
          <w:tcPr>
            <w:tcW w:w="1843"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8930" w:type="dxa"/>
            <w:gridSpan w:val="7"/>
          </w:tcPr>
          <w:p>
            <w:pPr>
              <w:pStyle w:val="33"/>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学历（毕业学校、时间、专业）：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tcPr>
          <w:p>
            <w:pPr>
              <w:pStyle w:val="33"/>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取得的专业认证、资质情况：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8" w:hRule="atLeast"/>
        </w:trPr>
        <w:tc>
          <w:tcPr>
            <w:tcW w:w="8930" w:type="dxa"/>
            <w:gridSpan w:val="7"/>
          </w:tcPr>
          <w:p>
            <w:pPr>
              <w:pStyle w:val="33"/>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人员优势及特长：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6" w:hRule="atLeast"/>
        </w:trPr>
        <w:tc>
          <w:tcPr>
            <w:tcW w:w="8930" w:type="dxa"/>
            <w:gridSpan w:val="7"/>
          </w:tcPr>
          <w:p>
            <w:pPr>
              <w:pStyle w:val="33"/>
              <w:jc w:val="both"/>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人员其他情况介绍：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8930" w:type="dxa"/>
            <w:gridSpan w:val="7"/>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人员业绩情况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1" w:hRule="atLeast"/>
        </w:trPr>
        <w:tc>
          <w:tcPr>
            <w:tcW w:w="75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年份</w:t>
            </w:r>
          </w:p>
        </w:tc>
        <w:tc>
          <w:tcPr>
            <w:tcW w:w="5771" w:type="dxa"/>
            <w:gridSpan w:val="4"/>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最近参加过的主要项目名称</w:t>
            </w:r>
          </w:p>
        </w:tc>
        <w:tc>
          <w:tcPr>
            <w:tcW w:w="2409" w:type="dxa"/>
            <w:gridSpan w:val="2"/>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担任职务或承担的主</w:t>
            </w:r>
          </w:p>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要工作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pStyle w:val="33"/>
              <w:jc w:val="center"/>
              <w:rPr>
                <w:rFonts w:ascii="宋体" w:hAnsi="宋体" w:eastAsia="宋体" w:cs="宋体"/>
                <w:color w:val="auto"/>
                <w:sz w:val="21"/>
                <w:szCs w:val="20"/>
                <w:highlight w:val="none"/>
              </w:rPr>
            </w:pPr>
          </w:p>
        </w:tc>
        <w:tc>
          <w:tcPr>
            <w:tcW w:w="5771" w:type="dxa"/>
            <w:gridSpan w:val="4"/>
            <w:vAlign w:val="center"/>
          </w:tcPr>
          <w:p>
            <w:pPr>
              <w:pStyle w:val="33"/>
              <w:jc w:val="center"/>
              <w:rPr>
                <w:rFonts w:ascii="宋体" w:hAnsi="宋体" w:eastAsia="宋体" w:cs="宋体"/>
                <w:color w:val="auto"/>
                <w:sz w:val="21"/>
                <w:szCs w:val="20"/>
                <w:highlight w:val="none"/>
              </w:rPr>
            </w:pPr>
          </w:p>
        </w:tc>
        <w:tc>
          <w:tcPr>
            <w:tcW w:w="2409" w:type="dxa"/>
            <w:gridSpan w:val="2"/>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jc w:val="center"/>
              <w:rPr>
                <w:rFonts w:ascii="宋体" w:hAnsi="宋体" w:eastAsia="宋体" w:cs="宋体"/>
                <w:color w:val="auto"/>
                <w:sz w:val="21"/>
                <w:szCs w:val="20"/>
                <w:highlight w:val="none"/>
              </w:rPr>
            </w:pPr>
          </w:p>
        </w:tc>
        <w:tc>
          <w:tcPr>
            <w:tcW w:w="5771" w:type="dxa"/>
            <w:gridSpan w:val="4"/>
            <w:vAlign w:val="center"/>
          </w:tcPr>
          <w:p>
            <w:pPr>
              <w:pStyle w:val="33"/>
              <w:jc w:val="center"/>
              <w:rPr>
                <w:rFonts w:ascii="宋体" w:hAnsi="宋体" w:eastAsia="宋体" w:cs="宋体"/>
                <w:color w:val="auto"/>
                <w:sz w:val="21"/>
                <w:szCs w:val="20"/>
                <w:highlight w:val="none"/>
              </w:rPr>
            </w:pPr>
          </w:p>
        </w:tc>
        <w:tc>
          <w:tcPr>
            <w:tcW w:w="2409" w:type="dxa"/>
            <w:gridSpan w:val="2"/>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jc w:val="center"/>
              <w:rPr>
                <w:rFonts w:ascii="宋体" w:hAnsi="宋体" w:eastAsia="宋体" w:cs="宋体"/>
                <w:color w:val="auto"/>
                <w:sz w:val="21"/>
                <w:szCs w:val="20"/>
                <w:highlight w:val="none"/>
              </w:rPr>
            </w:pPr>
          </w:p>
        </w:tc>
        <w:tc>
          <w:tcPr>
            <w:tcW w:w="5771" w:type="dxa"/>
            <w:gridSpan w:val="4"/>
            <w:vAlign w:val="center"/>
          </w:tcPr>
          <w:p>
            <w:pPr>
              <w:pStyle w:val="33"/>
              <w:jc w:val="center"/>
              <w:rPr>
                <w:rFonts w:ascii="宋体" w:hAnsi="宋体" w:eastAsia="宋体" w:cs="宋体"/>
                <w:color w:val="auto"/>
                <w:sz w:val="21"/>
                <w:szCs w:val="20"/>
                <w:highlight w:val="none"/>
              </w:rPr>
            </w:pPr>
          </w:p>
        </w:tc>
        <w:tc>
          <w:tcPr>
            <w:tcW w:w="2409" w:type="dxa"/>
            <w:gridSpan w:val="2"/>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jc w:val="center"/>
              <w:rPr>
                <w:rFonts w:ascii="宋体" w:hAnsi="宋体" w:eastAsia="宋体" w:cs="宋体"/>
                <w:color w:val="auto"/>
                <w:sz w:val="21"/>
                <w:szCs w:val="20"/>
                <w:highlight w:val="none"/>
              </w:rPr>
            </w:pPr>
          </w:p>
        </w:tc>
        <w:tc>
          <w:tcPr>
            <w:tcW w:w="5771" w:type="dxa"/>
            <w:gridSpan w:val="4"/>
            <w:vAlign w:val="center"/>
          </w:tcPr>
          <w:p>
            <w:pPr>
              <w:pStyle w:val="33"/>
              <w:jc w:val="center"/>
              <w:rPr>
                <w:rFonts w:ascii="宋体" w:hAnsi="宋体" w:eastAsia="宋体" w:cs="宋体"/>
                <w:color w:val="auto"/>
                <w:sz w:val="21"/>
                <w:szCs w:val="20"/>
                <w:highlight w:val="none"/>
              </w:rPr>
            </w:pPr>
          </w:p>
        </w:tc>
        <w:tc>
          <w:tcPr>
            <w:tcW w:w="2409" w:type="dxa"/>
            <w:gridSpan w:val="2"/>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50" w:type="dxa"/>
            <w:vAlign w:val="center"/>
          </w:tcPr>
          <w:p>
            <w:pPr>
              <w:pStyle w:val="33"/>
              <w:jc w:val="center"/>
              <w:rPr>
                <w:rFonts w:ascii="宋体" w:hAnsi="宋体" w:eastAsia="宋体" w:cs="宋体"/>
                <w:color w:val="auto"/>
                <w:sz w:val="21"/>
                <w:szCs w:val="20"/>
                <w:highlight w:val="none"/>
              </w:rPr>
            </w:pPr>
          </w:p>
        </w:tc>
        <w:tc>
          <w:tcPr>
            <w:tcW w:w="5771" w:type="dxa"/>
            <w:gridSpan w:val="4"/>
            <w:vAlign w:val="center"/>
          </w:tcPr>
          <w:p>
            <w:pPr>
              <w:pStyle w:val="33"/>
              <w:jc w:val="center"/>
              <w:rPr>
                <w:rFonts w:ascii="宋体" w:hAnsi="宋体" w:eastAsia="宋体" w:cs="宋体"/>
                <w:color w:val="auto"/>
                <w:sz w:val="21"/>
                <w:szCs w:val="20"/>
                <w:highlight w:val="none"/>
              </w:rPr>
            </w:pPr>
          </w:p>
        </w:tc>
        <w:tc>
          <w:tcPr>
            <w:tcW w:w="2409" w:type="dxa"/>
            <w:gridSpan w:val="2"/>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jc w:val="center"/>
              <w:rPr>
                <w:rFonts w:ascii="宋体" w:hAnsi="宋体" w:eastAsia="宋体" w:cs="宋体"/>
                <w:color w:val="auto"/>
                <w:sz w:val="21"/>
                <w:szCs w:val="20"/>
                <w:highlight w:val="none"/>
              </w:rPr>
            </w:pPr>
          </w:p>
        </w:tc>
        <w:tc>
          <w:tcPr>
            <w:tcW w:w="5771" w:type="dxa"/>
            <w:gridSpan w:val="4"/>
            <w:vAlign w:val="center"/>
          </w:tcPr>
          <w:p>
            <w:pPr>
              <w:pStyle w:val="33"/>
              <w:jc w:val="center"/>
              <w:rPr>
                <w:rFonts w:ascii="宋体" w:hAnsi="宋体" w:eastAsia="宋体" w:cs="宋体"/>
                <w:color w:val="auto"/>
                <w:sz w:val="21"/>
                <w:szCs w:val="20"/>
                <w:highlight w:val="none"/>
              </w:rPr>
            </w:pPr>
          </w:p>
        </w:tc>
        <w:tc>
          <w:tcPr>
            <w:tcW w:w="2409" w:type="dxa"/>
            <w:gridSpan w:val="2"/>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50" w:type="dxa"/>
            <w:vAlign w:val="center"/>
          </w:tcPr>
          <w:p>
            <w:pPr>
              <w:pStyle w:val="33"/>
              <w:jc w:val="center"/>
              <w:rPr>
                <w:rFonts w:ascii="宋体" w:hAnsi="宋体" w:eastAsia="宋体" w:cs="宋体"/>
                <w:color w:val="auto"/>
                <w:sz w:val="21"/>
                <w:szCs w:val="20"/>
                <w:highlight w:val="none"/>
              </w:rPr>
            </w:pPr>
          </w:p>
        </w:tc>
        <w:tc>
          <w:tcPr>
            <w:tcW w:w="5771" w:type="dxa"/>
            <w:gridSpan w:val="4"/>
            <w:vAlign w:val="center"/>
          </w:tcPr>
          <w:p>
            <w:pPr>
              <w:pStyle w:val="33"/>
              <w:jc w:val="center"/>
              <w:rPr>
                <w:rFonts w:ascii="宋体" w:hAnsi="宋体" w:eastAsia="宋体" w:cs="宋体"/>
                <w:color w:val="auto"/>
                <w:sz w:val="21"/>
                <w:szCs w:val="20"/>
                <w:highlight w:val="none"/>
              </w:rPr>
            </w:pPr>
          </w:p>
        </w:tc>
        <w:tc>
          <w:tcPr>
            <w:tcW w:w="2409" w:type="dxa"/>
            <w:gridSpan w:val="2"/>
            <w:vAlign w:val="center"/>
          </w:tcPr>
          <w:p>
            <w:pPr>
              <w:pStyle w:val="33"/>
              <w:jc w:val="center"/>
              <w:rPr>
                <w:rFonts w:ascii="宋体" w:hAnsi="宋体" w:eastAsia="宋体" w:cs="宋体"/>
                <w:color w:val="auto"/>
                <w:sz w:val="21"/>
                <w:szCs w:val="20"/>
                <w:highlight w:val="none"/>
              </w:rPr>
            </w:pPr>
          </w:p>
        </w:tc>
      </w:tr>
    </w:tbl>
    <w:p>
      <w:pPr>
        <w:pStyle w:val="14"/>
        <w:spacing w:before="2"/>
        <w:ind w:left="400"/>
        <w:rPr>
          <w:color w:val="auto"/>
          <w:sz w:val="21"/>
          <w:szCs w:val="21"/>
          <w:highlight w:val="none"/>
        </w:rPr>
      </w:pPr>
      <w:r>
        <w:rPr>
          <w:rFonts w:hint="eastAsia"/>
          <w:color w:val="auto"/>
          <w:sz w:val="21"/>
          <w:szCs w:val="21"/>
          <w:highlight w:val="none"/>
        </w:rPr>
        <w:t>注：按照评分标准细则要求提供人员相关证明文件（如有）。</w:t>
      </w:r>
    </w:p>
    <w:p>
      <w:pPr>
        <w:rPr>
          <w:color w:val="auto"/>
          <w:sz w:val="20"/>
          <w:szCs w:val="20"/>
          <w:highlight w:val="none"/>
        </w:rPr>
      </w:pPr>
      <w:r>
        <w:rPr>
          <w:rFonts w:hint="eastAsia"/>
          <w:color w:val="auto"/>
          <w:sz w:val="20"/>
          <w:szCs w:val="20"/>
          <w:highlight w:val="none"/>
        </w:rPr>
        <w:br w:type="page"/>
      </w:r>
    </w:p>
    <w:p>
      <w:pPr>
        <w:pStyle w:val="36"/>
        <w:spacing w:line="400" w:lineRule="exact"/>
        <w:jc w:val="center"/>
        <w:rPr>
          <w:rFonts w:ascii="宋体" w:hAnsi="宋体" w:cs="宋体"/>
          <w:b/>
          <w:color w:val="auto"/>
          <w:sz w:val="24"/>
          <w:szCs w:val="21"/>
          <w:highlight w:val="none"/>
        </w:rPr>
      </w:pPr>
      <w:bookmarkStart w:id="101" w:name="_bookmark120"/>
      <w:bookmarkEnd w:id="101"/>
      <w:r>
        <w:rPr>
          <w:rFonts w:hint="eastAsia" w:ascii="宋体" w:hAnsi="宋体" w:cs="宋体"/>
          <w:b/>
          <w:color w:val="auto"/>
          <w:sz w:val="24"/>
          <w:szCs w:val="21"/>
          <w:highlight w:val="none"/>
        </w:rPr>
        <w:t>8-3 主、辅件一览表格式</w:t>
      </w:r>
    </w:p>
    <w:tbl>
      <w:tblPr>
        <w:tblStyle w:val="28"/>
        <w:tblW w:w="0" w:type="auto"/>
        <w:tblInd w:w="4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0"/>
        <w:gridCol w:w="2194"/>
        <w:gridCol w:w="1212"/>
        <w:gridCol w:w="943"/>
        <w:gridCol w:w="941"/>
        <w:gridCol w:w="1081"/>
        <w:gridCol w:w="1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8" w:hRule="atLeast"/>
        </w:trPr>
        <w:tc>
          <w:tcPr>
            <w:tcW w:w="7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219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原材料、五金件名称</w:t>
            </w:r>
          </w:p>
        </w:tc>
        <w:tc>
          <w:tcPr>
            <w:tcW w:w="121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规格型号</w:t>
            </w:r>
          </w:p>
        </w:tc>
        <w:tc>
          <w:tcPr>
            <w:tcW w:w="94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品牌</w:t>
            </w:r>
          </w:p>
        </w:tc>
        <w:tc>
          <w:tcPr>
            <w:tcW w:w="941"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产地</w:t>
            </w:r>
          </w:p>
        </w:tc>
        <w:tc>
          <w:tcPr>
            <w:tcW w:w="1081"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制造商</w:t>
            </w:r>
          </w:p>
        </w:tc>
        <w:tc>
          <w:tcPr>
            <w:tcW w:w="190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备注所应用的投标产品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一</w:t>
            </w: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3"/>
              <w:jc w:val="center"/>
              <w:rPr>
                <w:rFonts w:ascii="宋体" w:hAnsi="宋体" w:eastAsia="宋体" w:cs="宋体"/>
                <w:color w:val="auto"/>
                <w:sz w:val="21"/>
                <w:szCs w:val="20"/>
                <w:highlight w:val="none"/>
              </w:rPr>
            </w:pP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二</w:t>
            </w: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3"/>
              <w:jc w:val="center"/>
              <w:rPr>
                <w:rFonts w:ascii="宋体" w:hAnsi="宋体" w:eastAsia="宋体" w:cs="宋体"/>
                <w:color w:val="auto"/>
                <w:sz w:val="21"/>
                <w:szCs w:val="20"/>
                <w:highlight w:val="none"/>
              </w:rPr>
            </w:pP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三</w:t>
            </w: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3"/>
              <w:jc w:val="center"/>
              <w:rPr>
                <w:rFonts w:ascii="宋体" w:hAnsi="宋体" w:eastAsia="宋体" w:cs="宋体"/>
                <w:color w:val="auto"/>
                <w:sz w:val="21"/>
                <w:szCs w:val="20"/>
                <w:highlight w:val="none"/>
              </w:rPr>
            </w:pP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四</w:t>
            </w: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3"/>
              <w:jc w:val="center"/>
              <w:rPr>
                <w:rFonts w:ascii="宋体" w:hAnsi="宋体" w:eastAsia="宋体" w:cs="宋体"/>
                <w:color w:val="auto"/>
                <w:sz w:val="21"/>
                <w:szCs w:val="20"/>
                <w:highlight w:val="none"/>
              </w:rPr>
            </w:pP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五</w:t>
            </w: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3"/>
              <w:jc w:val="center"/>
              <w:rPr>
                <w:rFonts w:ascii="宋体" w:hAnsi="宋体" w:eastAsia="宋体" w:cs="宋体"/>
                <w:color w:val="auto"/>
                <w:sz w:val="21"/>
                <w:szCs w:val="20"/>
                <w:highlight w:val="none"/>
              </w:rPr>
            </w:pP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7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六</w:t>
            </w: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3"/>
              <w:jc w:val="center"/>
              <w:rPr>
                <w:rFonts w:ascii="宋体" w:hAnsi="宋体" w:eastAsia="宋体" w:cs="宋体"/>
                <w:color w:val="auto"/>
                <w:sz w:val="21"/>
                <w:szCs w:val="20"/>
                <w:highlight w:val="none"/>
              </w:rPr>
            </w:pPr>
          </w:p>
        </w:tc>
        <w:tc>
          <w:tcPr>
            <w:tcW w:w="2194" w:type="dxa"/>
            <w:vAlign w:val="center"/>
          </w:tcPr>
          <w:p>
            <w:pPr>
              <w:pStyle w:val="33"/>
              <w:jc w:val="center"/>
              <w:rPr>
                <w:rFonts w:ascii="宋体" w:hAnsi="宋体" w:eastAsia="宋体" w:cs="宋体"/>
                <w:color w:val="auto"/>
                <w:sz w:val="21"/>
                <w:szCs w:val="20"/>
                <w:highlight w:val="none"/>
              </w:rPr>
            </w:pP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7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七</w:t>
            </w:r>
          </w:p>
        </w:tc>
        <w:tc>
          <w:tcPr>
            <w:tcW w:w="219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其他</w:t>
            </w:r>
          </w:p>
        </w:tc>
        <w:tc>
          <w:tcPr>
            <w:tcW w:w="1212" w:type="dxa"/>
            <w:vAlign w:val="center"/>
          </w:tcPr>
          <w:p>
            <w:pPr>
              <w:pStyle w:val="33"/>
              <w:jc w:val="center"/>
              <w:rPr>
                <w:rFonts w:ascii="宋体" w:hAnsi="宋体" w:eastAsia="宋体" w:cs="宋体"/>
                <w:color w:val="auto"/>
                <w:sz w:val="21"/>
                <w:szCs w:val="20"/>
                <w:highlight w:val="none"/>
              </w:rPr>
            </w:pPr>
          </w:p>
        </w:tc>
        <w:tc>
          <w:tcPr>
            <w:tcW w:w="943" w:type="dxa"/>
            <w:vAlign w:val="center"/>
          </w:tcPr>
          <w:p>
            <w:pPr>
              <w:pStyle w:val="33"/>
              <w:jc w:val="center"/>
              <w:rPr>
                <w:rFonts w:ascii="宋体" w:hAnsi="宋体" w:eastAsia="宋体" w:cs="宋体"/>
                <w:color w:val="auto"/>
                <w:sz w:val="21"/>
                <w:szCs w:val="20"/>
                <w:highlight w:val="none"/>
              </w:rPr>
            </w:pPr>
          </w:p>
        </w:tc>
        <w:tc>
          <w:tcPr>
            <w:tcW w:w="941" w:type="dxa"/>
            <w:vAlign w:val="center"/>
          </w:tcPr>
          <w:p>
            <w:pPr>
              <w:pStyle w:val="33"/>
              <w:jc w:val="center"/>
              <w:rPr>
                <w:rFonts w:ascii="宋体" w:hAnsi="宋体" w:eastAsia="宋体" w:cs="宋体"/>
                <w:color w:val="auto"/>
                <w:sz w:val="21"/>
                <w:szCs w:val="20"/>
                <w:highlight w:val="none"/>
              </w:rPr>
            </w:pPr>
          </w:p>
        </w:tc>
        <w:tc>
          <w:tcPr>
            <w:tcW w:w="1081" w:type="dxa"/>
            <w:vAlign w:val="center"/>
          </w:tcPr>
          <w:p>
            <w:pPr>
              <w:pStyle w:val="33"/>
              <w:jc w:val="center"/>
              <w:rPr>
                <w:rFonts w:ascii="宋体" w:hAnsi="宋体" w:eastAsia="宋体" w:cs="宋体"/>
                <w:color w:val="auto"/>
                <w:sz w:val="21"/>
                <w:szCs w:val="20"/>
                <w:highlight w:val="none"/>
              </w:rPr>
            </w:pPr>
          </w:p>
        </w:tc>
        <w:tc>
          <w:tcPr>
            <w:tcW w:w="1904" w:type="dxa"/>
            <w:vAlign w:val="center"/>
          </w:tcPr>
          <w:p>
            <w:pPr>
              <w:pStyle w:val="33"/>
              <w:jc w:val="center"/>
              <w:rPr>
                <w:rFonts w:ascii="宋体" w:hAnsi="宋体" w:eastAsia="宋体" w:cs="宋体"/>
                <w:color w:val="auto"/>
                <w:sz w:val="21"/>
                <w:szCs w:val="20"/>
                <w:highlight w:val="none"/>
              </w:rPr>
            </w:pPr>
          </w:p>
        </w:tc>
      </w:tr>
    </w:tbl>
    <w:p>
      <w:pPr>
        <w:pStyle w:val="14"/>
        <w:spacing w:before="2"/>
        <w:rPr>
          <w:b/>
          <w:color w:val="auto"/>
          <w:sz w:val="22"/>
          <w:szCs w:val="21"/>
          <w:highlight w:val="none"/>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7"/>
        <w:spacing w:before="43"/>
        <w:ind w:left="363" w:right="437"/>
        <w:rPr>
          <w:rFonts w:ascii="宋体" w:hAnsi="宋体" w:eastAsia="宋体" w:cs="宋体"/>
          <w:color w:val="auto"/>
          <w:sz w:val="28"/>
          <w:szCs w:val="28"/>
          <w:highlight w:val="none"/>
        </w:rPr>
      </w:pPr>
      <w:bookmarkStart w:id="102" w:name="_bookmark121"/>
      <w:bookmarkEnd w:id="102"/>
      <w:bookmarkStart w:id="103" w:name="_Toc15892"/>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9</w:t>
      </w:r>
      <w:r>
        <w:rPr>
          <w:rFonts w:hint="eastAsia" w:ascii="宋体" w:hAnsi="宋体" w:eastAsia="宋体" w:cs="宋体"/>
          <w:color w:val="auto"/>
          <w:sz w:val="28"/>
          <w:szCs w:val="28"/>
          <w:highlight w:val="none"/>
        </w:rPr>
        <w:t xml:space="preserve"> 其他商务技术文件材料</w:t>
      </w:r>
      <w:bookmarkEnd w:id="103"/>
    </w:p>
    <w:p>
      <w:pPr>
        <w:pStyle w:val="36"/>
        <w:spacing w:line="400" w:lineRule="exact"/>
        <w:jc w:val="center"/>
        <w:rPr>
          <w:rFonts w:ascii="宋体" w:hAnsi="宋体" w:cs="宋体"/>
          <w:b/>
          <w:color w:val="auto"/>
          <w:sz w:val="24"/>
          <w:szCs w:val="21"/>
          <w:highlight w:val="none"/>
        </w:rPr>
      </w:pPr>
      <w:bookmarkStart w:id="104" w:name="_bookmark122"/>
      <w:bookmarkEnd w:id="104"/>
      <w:r>
        <w:rPr>
          <w:rFonts w:hint="eastAsia" w:ascii="宋体" w:hAnsi="宋体" w:cs="宋体"/>
          <w:b/>
          <w:color w:val="auto"/>
          <w:sz w:val="24"/>
          <w:szCs w:val="21"/>
          <w:highlight w:val="none"/>
        </w:rPr>
        <w:t>9-1、相关业绩表建议格式</w:t>
      </w:r>
    </w:p>
    <w:tbl>
      <w:tblPr>
        <w:tblStyle w:val="28"/>
        <w:tblW w:w="0" w:type="auto"/>
        <w:tblInd w:w="3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4"/>
        <w:gridCol w:w="1378"/>
        <w:gridCol w:w="1305"/>
        <w:gridCol w:w="1353"/>
        <w:gridCol w:w="2119"/>
        <w:gridCol w:w="892"/>
        <w:gridCol w:w="12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74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1378"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案例项目名称</w:t>
            </w:r>
          </w:p>
        </w:tc>
        <w:tc>
          <w:tcPr>
            <w:tcW w:w="1305"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用户单位</w:t>
            </w:r>
          </w:p>
        </w:tc>
        <w:tc>
          <w:tcPr>
            <w:tcW w:w="135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合同签订日期</w:t>
            </w:r>
          </w:p>
        </w:tc>
        <w:tc>
          <w:tcPr>
            <w:tcW w:w="2119"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案例概况简介</w:t>
            </w:r>
          </w:p>
        </w:tc>
        <w:tc>
          <w:tcPr>
            <w:tcW w:w="89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所在页码</w:t>
            </w:r>
          </w:p>
        </w:tc>
        <w:tc>
          <w:tcPr>
            <w:tcW w:w="127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其他说明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p>
        </w:tc>
        <w:tc>
          <w:tcPr>
            <w:tcW w:w="1378" w:type="dxa"/>
            <w:vAlign w:val="center"/>
          </w:tcPr>
          <w:p>
            <w:pPr>
              <w:pStyle w:val="33"/>
              <w:jc w:val="center"/>
              <w:rPr>
                <w:rFonts w:ascii="宋体" w:hAnsi="宋体" w:eastAsia="宋体" w:cs="宋体"/>
                <w:color w:val="auto"/>
                <w:szCs w:val="20"/>
                <w:highlight w:val="none"/>
              </w:rPr>
            </w:pPr>
          </w:p>
        </w:tc>
        <w:tc>
          <w:tcPr>
            <w:tcW w:w="1305" w:type="dxa"/>
            <w:vAlign w:val="center"/>
          </w:tcPr>
          <w:p>
            <w:pPr>
              <w:pStyle w:val="33"/>
              <w:jc w:val="center"/>
              <w:rPr>
                <w:rFonts w:ascii="宋体" w:hAnsi="宋体" w:eastAsia="宋体" w:cs="宋体"/>
                <w:color w:val="auto"/>
                <w:szCs w:val="20"/>
                <w:highlight w:val="none"/>
              </w:rPr>
            </w:pPr>
          </w:p>
        </w:tc>
        <w:tc>
          <w:tcPr>
            <w:tcW w:w="1353" w:type="dxa"/>
            <w:vAlign w:val="center"/>
          </w:tcPr>
          <w:p>
            <w:pPr>
              <w:pStyle w:val="33"/>
              <w:jc w:val="center"/>
              <w:rPr>
                <w:rFonts w:ascii="宋体" w:hAnsi="宋体" w:eastAsia="宋体" w:cs="宋体"/>
                <w:color w:val="auto"/>
                <w:szCs w:val="20"/>
                <w:highlight w:val="none"/>
              </w:rPr>
            </w:pPr>
          </w:p>
        </w:tc>
        <w:tc>
          <w:tcPr>
            <w:tcW w:w="2119" w:type="dxa"/>
            <w:vAlign w:val="center"/>
          </w:tcPr>
          <w:p>
            <w:pPr>
              <w:pStyle w:val="33"/>
              <w:jc w:val="center"/>
              <w:rPr>
                <w:rFonts w:ascii="宋体" w:hAnsi="宋体" w:eastAsia="宋体" w:cs="宋体"/>
                <w:color w:val="auto"/>
                <w:szCs w:val="20"/>
                <w:highlight w:val="none"/>
              </w:rPr>
            </w:pPr>
          </w:p>
        </w:tc>
        <w:tc>
          <w:tcPr>
            <w:tcW w:w="892" w:type="dxa"/>
            <w:vAlign w:val="center"/>
          </w:tcPr>
          <w:p>
            <w:pPr>
              <w:pStyle w:val="33"/>
              <w:jc w:val="center"/>
              <w:rPr>
                <w:rFonts w:ascii="宋体" w:hAnsi="宋体" w:eastAsia="宋体" w:cs="宋体"/>
                <w:color w:val="auto"/>
                <w:szCs w:val="20"/>
                <w:highlight w:val="none"/>
              </w:rPr>
            </w:pPr>
          </w:p>
        </w:tc>
        <w:tc>
          <w:tcPr>
            <w:tcW w:w="1274" w:type="dxa"/>
            <w:vAlign w:val="center"/>
          </w:tcPr>
          <w:p>
            <w:pPr>
              <w:pStyle w:val="33"/>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4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2</w:t>
            </w:r>
          </w:p>
        </w:tc>
        <w:tc>
          <w:tcPr>
            <w:tcW w:w="1378" w:type="dxa"/>
            <w:vAlign w:val="center"/>
          </w:tcPr>
          <w:p>
            <w:pPr>
              <w:pStyle w:val="33"/>
              <w:jc w:val="center"/>
              <w:rPr>
                <w:rFonts w:ascii="宋体" w:hAnsi="宋体" w:eastAsia="宋体" w:cs="宋体"/>
                <w:color w:val="auto"/>
                <w:szCs w:val="20"/>
                <w:highlight w:val="none"/>
              </w:rPr>
            </w:pPr>
          </w:p>
        </w:tc>
        <w:tc>
          <w:tcPr>
            <w:tcW w:w="1305" w:type="dxa"/>
            <w:vAlign w:val="center"/>
          </w:tcPr>
          <w:p>
            <w:pPr>
              <w:pStyle w:val="33"/>
              <w:jc w:val="center"/>
              <w:rPr>
                <w:rFonts w:ascii="宋体" w:hAnsi="宋体" w:eastAsia="宋体" w:cs="宋体"/>
                <w:color w:val="auto"/>
                <w:szCs w:val="20"/>
                <w:highlight w:val="none"/>
              </w:rPr>
            </w:pPr>
          </w:p>
        </w:tc>
        <w:tc>
          <w:tcPr>
            <w:tcW w:w="1353" w:type="dxa"/>
            <w:vAlign w:val="center"/>
          </w:tcPr>
          <w:p>
            <w:pPr>
              <w:pStyle w:val="33"/>
              <w:jc w:val="center"/>
              <w:rPr>
                <w:rFonts w:ascii="宋体" w:hAnsi="宋体" w:eastAsia="宋体" w:cs="宋体"/>
                <w:color w:val="auto"/>
                <w:szCs w:val="20"/>
                <w:highlight w:val="none"/>
              </w:rPr>
            </w:pPr>
          </w:p>
        </w:tc>
        <w:tc>
          <w:tcPr>
            <w:tcW w:w="2119" w:type="dxa"/>
            <w:vAlign w:val="center"/>
          </w:tcPr>
          <w:p>
            <w:pPr>
              <w:pStyle w:val="33"/>
              <w:jc w:val="center"/>
              <w:rPr>
                <w:rFonts w:ascii="宋体" w:hAnsi="宋体" w:eastAsia="宋体" w:cs="宋体"/>
                <w:color w:val="auto"/>
                <w:szCs w:val="20"/>
                <w:highlight w:val="none"/>
              </w:rPr>
            </w:pPr>
          </w:p>
        </w:tc>
        <w:tc>
          <w:tcPr>
            <w:tcW w:w="892" w:type="dxa"/>
            <w:vAlign w:val="center"/>
          </w:tcPr>
          <w:p>
            <w:pPr>
              <w:pStyle w:val="33"/>
              <w:jc w:val="center"/>
              <w:rPr>
                <w:rFonts w:ascii="宋体" w:hAnsi="宋体" w:eastAsia="宋体" w:cs="宋体"/>
                <w:color w:val="auto"/>
                <w:szCs w:val="20"/>
                <w:highlight w:val="none"/>
              </w:rPr>
            </w:pPr>
          </w:p>
        </w:tc>
        <w:tc>
          <w:tcPr>
            <w:tcW w:w="1274" w:type="dxa"/>
            <w:vAlign w:val="center"/>
          </w:tcPr>
          <w:p>
            <w:pPr>
              <w:pStyle w:val="33"/>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3</w:t>
            </w:r>
          </w:p>
        </w:tc>
        <w:tc>
          <w:tcPr>
            <w:tcW w:w="1378" w:type="dxa"/>
            <w:vAlign w:val="center"/>
          </w:tcPr>
          <w:p>
            <w:pPr>
              <w:pStyle w:val="33"/>
              <w:jc w:val="center"/>
              <w:rPr>
                <w:rFonts w:ascii="宋体" w:hAnsi="宋体" w:eastAsia="宋体" w:cs="宋体"/>
                <w:color w:val="auto"/>
                <w:szCs w:val="20"/>
                <w:highlight w:val="none"/>
              </w:rPr>
            </w:pPr>
          </w:p>
        </w:tc>
        <w:tc>
          <w:tcPr>
            <w:tcW w:w="1305" w:type="dxa"/>
            <w:vAlign w:val="center"/>
          </w:tcPr>
          <w:p>
            <w:pPr>
              <w:pStyle w:val="33"/>
              <w:jc w:val="center"/>
              <w:rPr>
                <w:rFonts w:ascii="宋体" w:hAnsi="宋体" w:eastAsia="宋体" w:cs="宋体"/>
                <w:color w:val="auto"/>
                <w:szCs w:val="20"/>
                <w:highlight w:val="none"/>
              </w:rPr>
            </w:pPr>
          </w:p>
        </w:tc>
        <w:tc>
          <w:tcPr>
            <w:tcW w:w="1353" w:type="dxa"/>
            <w:vAlign w:val="center"/>
          </w:tcPr>
          <w:p>
            <w:pPr>
              <w:pStyle w:val="33"/>
              <w:jc w:val="center"/>
              <w:rPr>
                <w:rFonts w:ascii="宋体" w:hAnsi="宋体" w:eastAsia="宋体" w:cs="宋体"/>
                <w:color w:val="auto"/>
                <w:szCs w:val="20"/>
                <w:highlight w:val="none"/>
              </w:rPr>
            </w:pPr>
          </w:p>
        </w:tc>
        <w:tc>
          <w:tcPr>
            <w:tcW w:w="2119" w:type="dxa"/>
            <w:vAlign w:val="center"/>
          </w:tcPr>
          <w:p>
            <w:pPr>
              <w:pStyle w:val="33"/>
              <w:jc w:val="center"/>
              <w:rPr>
                <w:rFonts w:ascii="宋体" w:hAnsi="宋体" w:eastAsia="宋体" w:cs="宋体"/>
                <w:color w:val="auto"/>
                <w:szCs w:val="20"/>
                <w:highlight w:val="none"/>
              </w:rPr>
            </w:pPr>
          </w:p>
        </w:tc>
        <w:tc>
          <w:tcPr>
            <w:tcW w:w="892" w:type="dxa"/>
            <w:vAlign w:val="center"/>
          </w:tcPr>
          <w:p>
            <w:pPr>
              <w:pStyle w:val="33"/>
              <w:jc w:val="center"/>
              <w:rPr>
                <w:rFonts w:ascii="宋体" w:hAnsi="宋体" w:eastAsia="宋体" w:cs="宋体"/>
                <w:color w:val="auto"/>
                <w:szCs w:val="20"/>
                <w:highlight w:val="none"/>
              </w:rPr>
            </w:pPr>
          </w:p>
        </w:tc>
        <w:tc>
          <w:tcPr>
            <w:tcW w:w="1274" w:type="dxa"/>
            <w:vAlign w:val="center"/>
          </w:tcPr>
          <w:p>
            <w:pPr>
              <w:pStyle w:val="33"/>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4</w:t>
            </w:r>
          </w:p>
        </w:tc>
        <w:tc>
          <w:tcPr>
            <w:tcW w:w="1378" w:type="dxa"/>
            <w:vAlign w:val="center"/>
          </w:tcPr>
          <w:p>
            <w:pPr>
              <w:pStyle w:val="33"/>
              <w:jc w:val="center"/>
              <w:rPr>
                <w:rFonts w:ascii="宋体" w:hAnsi="宋体" w:eastAsia="宋体" w:cs="宋体"/>
                <w:color w:val="auto"/>
                <w:szCs w:val="20"/>
                <w:highlight w:val="none"/>
              </w:rPr>
            </w:pPr>
          </w:p>
        </w:tc>
        <w:tc>
          <w:tcPr>
            <w:tcW w:w="1305" w:type="dxa"/>
            <w:vAlign w:val="center"/>
          </w:tcPr>
          <w:p>
            <w:pPr>
              <w:pStyle w:val="33"/>
              <w:jc w:val="center"/>
              <w:rPr>
                <w:rFonts w:ascii="宋体" w:hAnsi="宋体" w:eastAsia="宋体" w:cs="宋体"/>
                <w:color w:val="auto"/>
                <w:szCs w:val="20"/>
                <w:highlight w:val="none"/>
              </w:rPr>
            </w:pPr>
          </w:p>
        </w:tc>
        <w:tc>
          <w:tcPr>
            <w:tcW w:w="1353" w:type="dxa"/>
            <w:vAlign w:val="center"/>
          </w:tcPr>
          <w:p>
            <w:pPr>
              <w:pStyle w:val="33"/>
              <w:jc w:val="center"/>
              <w:rPr>
                <w:rFonts w:ascii="宋体" w:hAnsi="宋体" w:eastAsia="宋体" w:cs="宋体"/>
                <w:color w:val="auto"/>
                <w:szCs w:val="20"/>
                <w:highlight w:val="none"/>
              </w:rPr>
            </w:pPr>
          </w:p>
        </w:tc>
        <w:tc>
          <w:tcPr>
            <w:tcW w:w="2119" w:type="dxa"/>
            <w:vAlign w:val="center"/>
          </w:tcPr>
          <w:p>
            <w:pPr>
              <w:pStyle w:val="33"/>
              <w:jc w:val="center"/>
              <w:rPr>
                <w:rFonts w:ascii="宋体" w:hAnsi="宋体" w:eastAsia="宋体" w:cs="宋体"/>
                <w:color w:val="auto"/>
                <w:szCs w:val="20"/>
                <w:highlight w:val="none"/>
              </w:rPr>
            </w:pPr>
          </w:p>
        </w:tc>
        <w:tc>
          <w:tcPr>
            <w:tcW w:w="892" w:type="dxa"/>
            <w:vAlign w:val="center"/>
          </w:tcPr>
          <w:p>
            <w:pPr>
              <w:pStyle w:val="33"/>
              <w:jc w:val="center"/>
              <w:rPr>
                <w:rFonts w:ascii="宋体" w:hAnsi="宋体" w:eastAsia="宋体" w:cs="宋体"/>
                <w:color w:val="auto"/>
                <w:szCs w:val="20"/>
                <w:highlight w:val="none"/>
              </w:rPr>
            </w:pPr>
          </w:p>
        </w:tc>
        <w:tc>
          <w:tcPr>
            <w:tcW w:w="1274" w:type="dxa"/>
            <w:vAlign w:val="center"/>
          </w:tcPr>
          <w:p>
            <w:pPr>
              <w:pStyle w:val="33"/>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74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5</w:t>
            </w:r>
          </w:p>
        </w:tc>
        <w:tc>
          <w:tcPr>
            <w:tcW w:w="1378" w:type="dxa"/>
            <w:vAlign w:val="center"/>
          </w:tcPr>
          <w:p>
            <w:pPr>
              <w:pStyle w:val="33"/>
              <w:jc w:val="center"/>
              <w:rPr>
                <w:rFonts w:ascii="宋体" w:hAnsi="宋体" w:eastAsia="宋体" w:cs="宋体"/>
                <w:color w:val="auto"/>
                <w:szCs w:val="20"/>
                <w:highlight w:val="none"/>
              </w:rPr>
            </w:pPr>
          </w:p>
        </w:tc>
        <w:tc>
          <w:tcPr>
            <w:tcW w:w="1305" w:type="dxa"/>
            <w:vAlign w:val="center"/>
          </w:tcPr>
          <w:p>
            <w:pPr>
              <w:pStyle w:val="33"/>
              <w:jc w:val="center"/>
              <w:rPr>
                <w:rFonts w:ascii="宋体" w:hAnsi="宋体" w:eastAsia="宋体" w:cs="宋体"/>
                <w:color w:val="auto"/>
                <w:szCs w:val="20"/>
                <w:highlight w:val="none"/>
              </w:rPr>
            </w:pPr>
          </w:p>
        </w:tc>
        <w:tc>
          <w:tcPr>
            <w:tcW w:w="1353" w:type="dxa"/>
            <w:vAlign w:val="center"/>
          </w:tcPr>
          <w:p>
            <w:pPr>
              <w:pStyle w:val="33"/>
              <w:jc w:val="center"/>
              <w:rPr>
                <w:rFonts w:ascii="宋体" w:hAnsi="宋体" w:eastAsia="宋体" w:cs="宋体"/>
                <w:color w:val="auto"/>
                <w:szCs w:val="20"/>
                <w:highlight w:val="none"/>
              </w:rPr>
            </w:pPr>
          </w:p>
        </w:tc>
        <w:tc>
          <w:tcPr>
            <w:tcW w:w="2119" w:type="dxa"/>
            <w:vAlign w:val="center"/>
          </w:tcPr>
          <w:p>
            <w:pPr>
              <w:pStyle w:val="33"/>
              <w:jc w:val="center"/>
              <w:rPr>
                <w:rFonts w:ascii="宋体" w:hAnsi="宋体" w:eastAsia="宋体" w:cs="宋体"/>
                <w:color w:val="auto"/>
                <w:szCs w:val="20"/>
                <w:highlight w:val="none"/>
              </w:rPr>
            </w:pPr>
          </w:p>
        </w:tc>
        <w:tc>
          <w:tcPr>
            <w:tcW w:w="892" w:type="dxa"/>
            <w:vAlign w:val="center"/>
          </w:tcPr>
          <w:p>
            <w:pPr>
              <w:pStyle w:val="33"/>
              <w:jc w:val="center"/>
              <w:rPr>
                <w:rFonts w:ascii="宋体" w:hAnsi="宋体" w:eastAsia="宋体" w:cs="宋体"/>
                <w:color w:val="auto"/>
                <w:szCs w:val="20"/>
                <w:highlight w:val="none"/>
              </w:rPr>
            </w:pPr>
          </w:p>
        </w:tc>
        <w:tc>
          <w:tcPr>
            <w:tcW w:w="1274" w:type="dxa"/>
            <w:vAlign w:val="center"/>
          </w:tcPr>
          <w:p>
            <w:pPr>
              <w:pStyle w:val="33"/>
              <w:jc w:val="center"/>
              <w:rPr>
                <w:rFonts w:ascii="宋体" w:hAnsi="宋体" w:eastAsia="宋体" w:cs="宋体"/>
                <w:color w:val="auto"/>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74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378"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305"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353"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2119"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892"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127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r>
    </w:tbl>
    <w:p>
      <w:pPr>
        <w:pStyle w:val="14"/>
        <w:spacing w:before="5"/>
        <w:rPr>
          <w:b/>
          <w:color w:val="auto"/>
          <w:szCs w:val="21"/>
          <w:highlight w:val="none"/>
        </w:rPr>
      </w:pPr>
    </w:p>
    <w:p>
      <w:pPr>
        <w:pStyle w:val="32"/>
        <w:tabs>
          <w:tab w:val="left" w:pos="1354"/>
        </w:tabs>
        <w:spacing w:before="0"/>
        <w:ind w:left="-1" w:right="75" w:firstLine="0"/>
        <w:jc w:val="center"/>
        <w:rPr>
          <w:b/>
          <w:color w:val="auto"/>
          <w:szCs w:val="20"/>
          <w:highlight w:val="none"/>
        </w:rPr>
      </w:pPr>
      <w:bookmarkStart w:id="105" w:name="_bookmark123"/>
      <w:bookmarkEnd w:id="105"/>
      <w:r>
        <w:rPr>
          <w:rFonts w:hint="eastAsia"/>
          <w:b/>
          <w:color w:val="auto"/>
          <w:szCs w:val="20"/>
          <w:highlight w:val="none"/>
          <w:lang w:val="en-US"/>
        </w:rPr>
        <w:t>9-2</w:t>
      </w:r>
      <w:r>
        <w:rPr>
          <w:rFonts w:hint="eastAsia"/>
          <w:b/>
          <w:color w:val="auto"/>
          <w:szCs w:val="20"/>
          <w:highlight w:val="none"/>
        </w:rPr>
        <w:t>、其它招标文件要求的或投标人认为应当或有必要提供的资料</w:t>
      </w:r>
    </w:p>
    <w:p>
      <w:pPr>
        <w:jc w:val="center"/>
        <w:outlineLvl w:val="1"/>
        <w:rPr>
          <w:color w:val="auto"/>
          <w:szCs w:val="20"/>
          <w:highlight w:val="none"/>
        </w:rPr>
      </w:pPr>
      <w:r>
        <w:rPr>
          <w:rFonts w:hint="eastAsia"/>
          <w:color w:val="auto"/>
          <w:szCs w:val="20"/>
          <w:highlight w:val="none"/>
        </w:rPr>
        <w:br w:type="page"/>
      </w:r>
      <w:bookmarkStart w:id="106" w:name="_Toc5916"/>
      <w:bookmarkStart w:id="107" w:name="_Toc28685"/>
      <w:bookmarkStart w:id="108" w:name="_Toc19797"/>
      <w:r>
        <w:rPr>
          <w:rFonts w:hint="eastAsia"/>
          <w:b/>
          <w:bCs/>
          <w:color w:val="auto"/>
          <w:sz w:val="28"/>
          <w:szCs w:val="28"/>
          <w:highlight w:val="none"/>
        </w:rPr>
        <w:t>第</w:t>
      </w:r>
      <w:r>
        <w:rPr>
          <w:rFonts w:hint="eastAsia"/>
          <w:b/>
          <w:bCs/>
          <w:color w:val="auto"/>
          <w:sz w:val="28"/>
          <w:szCs w:val="28"/>
          <w:highlight w:val="none"/>
          <w:lang w:val="en-US"/>
        </w:rPr>
        <w:t>二</w:t>
      </w:r>
      <w:r>
        <w:rPr>
          <w:rFonts w:hint="eastAsia"/>
          <w:b/>
          <w:bCs/>
          <w:color w:val="auto"/>
          <w:sz w:val="28"/>
          <w:szCs w:val="28"/>
          <w:highlight w:val="none"/>
        </w:rPr>
        <w:t>节 报价文件格式</w:t>
      </w:r>
      <w:bookmarkEnd w:id="106"/>
      <w:bookmarkEnd w:id="107"/>
      <w:bookmarkEnd w:id="108"/>
    </w:p>
    <w:p>
      <w:pPr>
        <w:pStyle w:val="7"/>
        <w:spacing w:before="43"/>
        <w:ind w:right="116"/>
        <w:rPr>
          <w:rFonts w:ascii="宋体" w:hAnsi="宋体" w:eastAsia="宋体" w:cs="宋体"/>
          <w:color w:val="auto"/>
          <w:sz w:val="28"/>
          <w:szCs w:val="28"/>
          <w:highlight w:val="none"/>
        </w:rPr>
      </w:pPr>
      <w:bookmarkStart w:id="109" w:name="_bookmark107"/>
      <w:bookmarkEnd w:id="109"/>
      <w:bookmarkStart w:id="110" w:name="_Toc19883"/>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1</w:t>
      </w:r>
      <w:r>
        <w:rPr>
          <w:rFonts w:hint="eastAsia" w:ascii="宋体" w:hAnsi="宋体" w:eastAsia="宋体" w:cs="宋体"/>
          <w:color w:val="auto"/>
          <w:sz w:val="28"/>
          <w:szCs w:val="28"/>
          <w:highlight w:val="none"/>
        </w:rPr>
        <w:t xml:space="preserve"> 开标一览表格式</w:t>
      </w:r>
      <w:bookmarkEnd w:id="110"/>
    </w:p>
    <w:p>
      <w:pPr>
        <w:spacing w:before="212"/>
        <w:ind w:right="113"/>
        <w:jc w:val="center"/>
        <w:rPr>
          <w:b/>
          <w:color w:val="auto"/>
          <w:sz w:val="24"/>
          <w:szCs w:val="20"/>
          <w:highlight w:val="none"/>
        </w:rPr>
      </w:pPr>
      <w:r>
        <w:rPr>
          <w:rFonts w:hint="eastAsia"/>
          <w:b/>
          <w:color w:val="auto"/>
          <w:sz w:val="24"/>
          <w:szCs w:val="20"/>
          <w:highlight w:val="none"/>
        </w:rPr>
        <w:t>开标一览表</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项目名称：</w:t>
      </w:r>
      <w:r>
        <w:rPr>
          <w:rFonts w:hint="eastAsia" w:ascii="宋体" w:hAnsi="宋体" w:cs="宋体"/>
          <w:color w:val="auto"/>
          <w:sz w:val="21"/>
          <w:szCs w:val="21"/>
          <w:highlight w:val="none"/>
          <w:u w:val="single"/>
        </w:rPr>
        <w:t xml:space="preserve">                            </w:t>
      </w:r>
    </w:p>
    <w:p>
      <w:pPr>
        <w:pStyle w:val="36"/>
        <w:spacing w:line="520" w:lineRule="exact"/>
        <w:ind w:left="440" w:leftChars="200"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项目编号：</w:t>
      </w:r>
      <w:r>
        <w:rPr>
          <w:rFonts w:hint="eastAsia" w:ascii="宋体" w:hAnsi="宋体" w:cs="宋体"/>
          <w:color w:val="auto"/>
          <w:sz w:val="21"/>
          <w:szCs w:val="21"/>
          <w:highlight w:val="none"/>
          <w:u w:val="single"/>
        </w:rPr>
        <w:t xml:space="preserve">                            </w:t>
      </w:r>
    </w:p>
    <w:p>
      <w:pPr>
        <w:pStyle w:val="36"/>
        <w:spacing w:line="520" w:lineRule="exact"/>
        <w:ind w:left="440" w:leftChars="200" w:firstLine="420" w:firstLineChars="200"/>
        <w:rPr>
          <w:rFonts w:ascii="宋体" w:hAnsi="宋体" w:cs="宋体"/>
          <w:color w:val="auto"/>
          <w:sz w:val="21"/>
          <w:szCs w:val="21"/>
          <w:highlight w:val="none"/>
          <w:u w:val="singl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u w:val="single"/>
        </w:rPr>
        <w:t xml:space="preserve">                          </w:t>
      </w:r>
    </w:p>
    <w:tbl>
      <w:tblPr>
        <w:tblStyle w:val="28"/>
        <w:tblW w:w="0" w:type="auto"/>
        <w:tblInd w:w="1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65"/>
        <w:gridCol w:w="1635"/>
        <w:gridCol w:w="2736"/>
        <w:gridCol w:w="2179"/>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265"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标项号</w:t>
            </w:r>
          </w:p>
        </w:tc>
        <w:tc>
          <w:tcPr>
            <w:tcW w:w="1635"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标项名称</w:t>
            </w:r>
          </w:p>
        </w:tc>
        <w:tc>
          <w:tcPr>
            <w:tcW w:w="2736"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投标总价</w:t>
            </w:r>
          </w:p>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（单位人民币元）</w:t>
            </w:r>
          </w:p>
        </w:tc>
        <w:tc>
          <w:tcPr>
            <w:tcW w:w="2179" w:type="dxa"/>
            <w:vAlign w:val="center"/>
          </w:tcPr>
          <w:p>
            <w:pPr>
              <w:pStyle w:val="33"/>
              <w:jc w:val="center"/>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rPr>
              <w:t>投标保证金</w:t>
            </w:r>
            <w:r>
              <w:rPr>
                <w:rFonts w:hint="eastAsia" w:ascii="宋体" w:hAnsi="宋体" w:eastAsia="宋体" w:cs="宋体"/>
                <w:color w:val="auto"/>
                <w:sz w:val="21"/>
                <w:szCs w:val="20"/>
                <w:highlight w:val="none"/>
                <w:lang w:val="en-US"/>
              </w:rPr>
              <w:t>金额及形式</w:t>
            </w:r>
          </w:p>
        </w:tc>
        <w:tc>
          <w:tcPr>
            <w:tcW w:w="1814" w:type="dxa"/>
            <w:vAlign w:val="center"/>
          </w:tcPr>
          <w:p>
            <w:pPr>
              <w:pStyle w:val="33"/>
              <w:jc w:val="center"/>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1265" w:type="dxa"/>
            <w:vAlign w:val="center"/>
          </w:tcPr>
          <w:p>
            <w:pPr>
              <w:pStyle w:val="33"/>
              <w:jc w:val="center"/>
              <w:rPr>
                <w:rFonts w:ascii="宋体" w:hAnsi="宋体" w:eastAsia="宋体" w:cs="宋体"/>
                <w:color w:val="auto"/>
                <w:sz w:val="21"/>
                <w:szCs w:val="20"/>
                <w:highlight w:val="none"/>
              </w:rPr>
            </w:pPr>
          </w:p>
        </w:tc>
        <w:tc>
          <w:tcPr>
            <w:tcW w:w="1635" w:type="dxa"/>
            <w:vAlign w:val="center"/>
          </w:tcPr>
          <w:p>
            <w:pPr>
              <w:pStyle w:val="33"/>
              <w:jc w:val="center"/>
              <w:rPr>
                <w:rFonts w:ascii="宋体" w:hAnsi="宋体" w:eastAsia="宋体" w:cs="宋体"/>
                <w:color w:val="auto"/>
                <w:sz w:val="21"/>
                <w:szCs w:val="20"/>
                <w:highlight w:val="none"/>
              </w:rPr>
            </w:pPr>
          </w:p>
        </w:tc>
        <w:tc>
          <w:tcPr>
            <w:tcW w:w="2736" w:type="dxa"/>
            <w:vAlign w:val="center"/>
          </w:tcPr>
          <w:p>
            <w:pPr>
              <w:pStyle w:val="33"/>
              <w:spacing w:line="242" w:lineRule="auto"/>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 xml:space="preserve">大写： </w:t>
            </w:r>
          </w:p>
          <w:p>
            <w:pPr>
              <w:pStyle w:val="33"/>
              <w:spacing w:line="242" w:lineRule="auto"/>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小写：</w:t>
            </w:r>
          </w:p>
        </w:tc>
        <w:tc>
          <w:tcPr>
            <w:tcW w:w="2179" w:type="dxa"/>
            <w:vAlign w:val="center"/>
          </w:tcPr>
          <w:p>
            <w:pPr>
              <w:pStyle w:val="33"/>
              <w:spacing w:line="242" w:lineRule="auto"/>
              <w:ind w:hanging="18"/>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【保证金金额及形式，例如“XX 元， 电汇” 】</w:t>
            </w:r>
          </w:p>
        </w:tc>
        <w:tc>
          <w:tcPr>
            <w:tcW w:w="1814" w:type="dxa"/>
            <w:vAlign w:val="center"/>
          </w:tcPr>
          <w:p>
            <w:pPr>
              <w:pStyle w:val="33"/>
              <w:spacing w:line="242" w:lineRule="auto"/>
              <w:ind w:firstLine="79"/>
              <w:jc w:val="center"/>
              <w:rPr>
                <w:rFonts w:ascii="宋体" w:hAnsi="宋体" w:eastAsia="宋体" w:cs="宋体"/>
                <w:color w:val="auto"/>
                <w:sz w:val="21"/>
                <w:szCs w:val="20"/>
                <w:highlight w:val="none"/>
              </w:rPr>
            </w:pPr>
          </w:p>
        </w:tc>
      </w:tr>
    </w:tbl>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1.此表正本应按投标人须知的规定单独密封提交，以便在开标时使用（投标文件副本中仍需保留本表并装订入投标文件）。</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（1）投标总价填写无条件折扣后的总价，不得填写除价格外的任何其他优惠。</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（2）不得填写有条件折扣。</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（3）一个标项只能填写一个报价，不得将一个标项拆开报价。</w:t>
      </w:r>
    </w:p>
    <w:p>
      <w:pPr>
        <w:pStyle w:val="36"/>
        <w:spacing w:line="52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2.此表中，投标总价应与附件 3 分项报价表中的投标总价一致。</w:t>
      </w:r>
    </w:p>
    <w:p>
      <w:pPr>
        <w:pStyle w:val="14"/>
        <w:spacing w:before="7"/>
        <w:rPr>
          <w:color w:val="auto"/>
          <w:szCs w:val="21"/>
          <w:highlight w:val="none"/>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p>
    <w:p>
      <w:pPr>
        <w:pStyle w:val="36"/>
        <w:spacing w:line="520" w:lineRule="exact"/>
        <w:ind w:left="440" w:leftChars="200" w:firstLine="420" w:firstLineChars="200"/>
        <w:rPr>
          <w:rFonts w:ascii="宋体" w:hAnsi="宋体" w:cs="宋体"/>
          <w:color w:val="auto"/>
          <w:sz w:val="21"/>
          <w:szCs w:val="21"/>
          <w:highlight w:val="none"/>
          <w:u w:val="single"/>
        </w:rPr>
      </w:pPr>
      <w:bookmarkStart w:id="111" w:name="_bookmark108"/>
      <w:bookmarkEnd w:id="111"/>
    </w:p>
    <w:p>
      <w:pPr>
        <w:rPr>
          <w:color w:val="auto"/>
          <w:sz w:val="20"/>
          <w:szCs w:val="20"/>
          <w:highlight w:val="none"/>
        </w:rPr>
        <w:sectPr>
          <w:footerReference r:id="rId5" w:type="default"/>
          <w:pgSz w:w="11910" w:h="16840"/>
          <w:pgMar w:top="1440" w:right="1080" w:bottom="1440" w:left="1080" w:header="850" w:footer="999" w:gutter="0"/>
          <w:pgNumType w:fmt="numberInDash" w:start="1"/>
          <w:cols w:space="720" w:num="1"/>
        </w:sectPr>
      </w:pPr>
    </w:p>
    <w:p>
      <w:pPr>
        <w:pStyle w:val="7"/>
        <w:spacing w:before="43"/>
        <w:ind w:right="116"/>
        <w:rPr>
          <w:rFonts w:ascii="宋体" w:hAnsi="宋体" w:eastAsia="宋体" w:cs="宋体"/>
          <w:color w:val="auto"/>
          <w:sz w:val="28"/>
          <w:szCs w:val="28"/>
          <w:highlight w:val="none"/>
        </w:rPr>
      </w:pPr>
      <w:bookmarkStart w:id="112" w:name="_bookmark109"/>
      <w:bookmarkEnd w:id="112"/>
      <w:bookmarkStart w:id="113" w:name="_Toc19941"/>
      <w:r>
        <w:rPr>
          <w:rFonts w:hint="eastAsia" w:ascii="宋体" w:hAnsi="宋体" w:eastAsia="宋体" w:cs="宋体"/>
          <w:color w:val="auto"/>
          <w:sz w:val="28"/>
          <w:szCs w:val="28"/>
          <w:highlight w:val="none"/>
        </w:rPr>
        <w:t xml:space="preserve">附件 </w:t>
      </w:r>
      <w:r>
        <w:rPr>
          <w:rFonts w:hint="eastAsia" w:ascii="宋体" w:hAnsi="宋体" w:eastAsia="宋体" w:cs="宋体"/>
          <w:color w:val="auto"/>
          <w:sz w:val="28"/>
          <w:szCs w:val="28"/>
          <w:highlight w:val="none"/>
          <w:lang w:val="en-US"/>
        </w:rPr>
        <w:t>2</w:t>
      </w:r>
      <w:r>
        <w:rPr>
          <w:rFonts w:hint="eastAsia" w:ascii="宋体" w:hAnsi="宋体" w:eastAsia="宋体" w:cs="宋体"/>
          <w:color w:val="auto"/>
          <w:sz w:val="28"/>
          <w:szCs w:val="28"/>
          <w:highlight w:val="none"/>
        </w:rPr>
        <w:t xml:space="preserve"> 投标分项报价表格式</w:t>
      </w:r>
      <w:bookmarkEnd w:id="113"/>
    </w:p>
    <w:p>
      <w:pPr>
        <w:spacing w:before="212"/>
        <w:ind w:right="113"/>
        <w:jc w:val="center"/>
        <w:rPr>
          <w:b/>
          <w:color w:val="auto"/>
          <w:sz w:val="24"/>
          <w:szCs w:val="20"/>
          <w:highlight w:val="none"/>
          <w:lang w:val="en-US"/>
        </w:rPr>
      </w:pPr>
      <w:r>
        <w:rPr>
          <w:rFonts w:hint="eastAsia"/>
          <w:b/>
          <w:color w:val="auto"/>
          <w:sz w:val="24"/>
          <w:szCs w:val="20"/>
          <w:highlight w:val="none"/>
          <w:lang w:val="en-US"/>
        </w:rPr>
        <w:t>投标分项报价表（货物类适用）</w:t>
      </w:r>
    </w:p>
    <w:p>
      <w:pPr>
        <w:pStyle w:val="14"/>
        <w:tabs>
          <w:tab w:val="left" w:pos="4855"/>
        </w:tabs>
        <w:spacing w:before="74"/>
        <w:ind w:left="240"/>
        <w:rPr>
          <w:color w:val="auto"/>
          <w:sz w:val="21"/>
          <w:szCs w:val="21"/>
          <w:highlight w:val="none"/>
          <w:u w:val="single"/>
          <w:lang w:val="en-US"/>
        </w:rPr>
      </w:pPr>
      <w:r>
        <w:rPr>
          <w:rFonts w:hint="eastAsia"/>
          <w:color w:val="auto"/>
          <w:sz w:val="21"/>
          <w:szCs w:val="21"/>
          <w:highlight w:val="none"/>
        </w:rPr>
        <w:t>项目名称：</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lang w:val="en-US"/>
        </w:rPr>
        <w:t xml:space="preserve">                   </w:t>
      </w:r>
      <w:r>
        <w:rPr>
          <w:rFonts w:hint="eastAsia"/>
          <w:color w:val="auto"/>
          <w:sz w:val="21"/>
          <w:szCs w:val="21"/>
          <w:highlight w:val="none"/>
        </w:rPr>
        <w:t>项目编号：</w:t>
      </w:r>
      <w:r>
        <w:rPr>
          <w:rFonts w:hint="eastAsia"/>
          <w:color w:val="auto"/>
          <w:sz w:val="21"/>
          <w:szCs w:val="21"/>
          <w:highlight w:val="none"/>
          <w:u w:val="single"/>
          <w:lang w:val="en-US"/>
        </w:rPr>
        <w:t xml:space="preserve">                       </w:t>
      </w:r>
    </w:p>
    <w:p>
      <w:pPr>
        <w:pStyle w:val="14"/>
        <w:tabs>
          <w:tab w:val="left" w:pos="4855"/>
        </w:tabs>
        <w:spacing w:before="74"/>
        <w:ind w:left="240"/>
        <w:rPr>
          <w:color w:val="auto"/>
          <w:sz w:val="21"/>
          <w:szCs w:val="21"/>
          <w:highlight w:val="none"/>
        </w:rPr>
      </w:pPr>
      <w:r>
        <w:rPr>
          <w:rFonts w:hint="eastAsia"/>
          <w:color w:val="auto"/>
          <w:sz w:val="21"/>
          <w:szCs w:val="21"/>
          <w:highlight w:val="none"/>
        </w:rPr>
        <w:t>标项号：</w:t>
      </w:r>
      <w:r>
        <w:rPr>
          <w:rFonts w:hint="eastAsia"/>
          <w:color w:val="auto"/>
          <w:sz w:val="21"/>
          <w:szCs w:val="21"/>
          <w:highlight w:val="none"/>
          <w:u w:val="single"/>
        </w:rPr>
        <w:t xml:space="preserve"> </w:t>
      </w:r>
      <w:r>
        <w:rPr>
          <w:rFonts w:hint="eastAsia"/>
          <w:color w:val="auto"/>
          <w:sz w:val="21"/>
          <w:szCs w:val="21"/>
          <w:highlight w:val="none"/>
          <w:u w:val="single"/>
        </w:rPr>
        <w:tab/>
      </w:r>
      <w:r>
        <w:rPr>
          <w:rFonts w:hint="eastAsia"/>
          <w:color w:val="auto"/>
          <w:sz w:val="21"/>
          <w:szCs w:val="21"/>
          <w:highlight w:val="none"/>
          <w:u w:val="single"/>
          <w:lang w:val="en-US"/>
        </w:rPr>
        <w:t xml:space="preserve">                   </w:t>
      </w:r>
      <w:r>
        <w:rPr>
          <w:rFonts w:hint="eastAsia"/>
          <w:color w:val="auto"/>
          <w:sz w:val="21"/>
          <w:szCs w:val="21"/>
          <w:highlight w:val="none"/>
        </w:rPr>
        <w:t>标项名称：</w:t>
      </w:r>
      <w:r>
        <w:rPr>
          <w:rFonts w:hint="eastAsia"/>
          <w:color w:val="auto"/>
          <w:sz w:val="21"/>
          <w:szCs w:val="21"/>
          <w:highlight w:val="none"/>
          <w:u w:val="single"/>
        </w:rPr>
        <w:t xml:space="preserve"> </w:t>
      </w:r>
      <w:r>
        <w:rPr>
          <w:rFonts w:hint="eastAsia"/>
          <w:color w:val="auto"/>
          <w:sz w:val="21"/>
          <w:szCs w:val="21"/>
          <w:highlight w:val="none"/>
          <w:u w:val="single"/>
          <w:lang w:val="en-US"/>
        </w:rPr>
        <w:t xml:space="preserve">                </w:t>
      </w:r>
      <w:r>
        <w:rPr>
          <w:rFonts w:hint="eastAsia"/>
          <w:color w:val="auto"/>
          <w:sz w:val="21"/>
          <w:szCs w:val="21"/>
          <w:highlight w:val="none"/>
          <w:u w:val="single"/>
        </w:rPr>
        <w:tab/>
      </w:r>
    </w:p>
    <w:p>
      <w:pPr>
        <w:pStyle w:val="14"/>
        <w:spacing w:before="1"/>
        <w:ind w:left="240"/>
        <w:jc w:val="right"/>
        <w:rPr>
          <w:color w:val="auto"/>
          <w:sz w:val="21"/>
          <w:szCs w:val="21"/>
          <w:highlight w:val="none"/>
        </w:rPr>
      </w:pPr>
      <w:r>
        <w:rPr>
          <w:rFonts w:hint="eastAsia"/>
          <w:color w:val="auto"/>
          <w:sz w:val="21"/>
          <w:szCs w:val="21"/>
          <w:highlight w:val="none"/>
        </w:rPr>
        <w:t>价格单位：人民币元</w:t>
      </w:r>
    </w:p>
    <w:p>
      <w:pPr>
        <w:pStyle w:val="14"/>
        <w:spacing w:before="4"/>
        <w:rPr>
          <w:color w:val="auto"/>
          <w:sz w:val="10"/>
          <w:szCs w:val="21"/>
          <w:highlight w:val="none"/>
        </w:rPr>
      </w:pPr>
    </w:p>
    <w:tbl>
      <w:tblPr>
        <w:tblStyle w:val="28"/>
        <w:tblW w:w="13854"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27"/>
        <w:gridCol w:w="2069"/>
        <w:gridCol w:w="30"/>
        <w:gridCol w:w="956"/>
        <w:gridCol w:w="2047"/>
        <w:gridCol w:w="1839"/>
        <w:gridCol w:w="3218"/>
        <w:gridCol w:w="927"/>
        <w:gridCol w:w="184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bottom w:val="single" w:color="000000" w:sz="4" w:space="0"/>
              <w:right w:val="single" w:color="000000" w:sz="4" w:space="0"/>
            </w:tcBorders>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序号</w:t>
            </w:r>
          </w:p>
        </w:tc>
        <w:tc>
          <w:tcPr>
            <w:tcW w:w="2069"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名称</w:t>
            </w:r>
          </w:p>
        </w:tc>
        <w:tc>
          <w:tcPr>
            <w:tcW w:w="986" w:type="dxa"/>
            <w:gridSpan w:val="2"/>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数量</w:t>
            </w:r>
          </w:p>
        </w:tc>
        <w:tc>
          <w:tcPr>
            <w:tcW w:w="2047"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型号和规格</w:t>
            </w:r>
          </w:p>
        </w:tc>
        <w:tc>
          <w:tcPr>
            <w:tcW w:w="1839"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b/>
                <w:color w:val="auto"/>
                <w:sz w:val="21"/>
                <w:szCs w:val="20"/>
                <w:highlight w:val="none"/>
                <w:lang w:val="en-US"/>
              </w:rPr>
            </w:pPr>
            <w:r>
              <w:rPr>
                <w:rFonts w:hint="eastAsia" w:ascii="宋体" w:hAnsi="宋体" w:eastAsia="宋体" w:cs="宋体"/>
                <w:b/>
                <w:color w:val="auto"/>
                <w:sz w:val="21"/>
                <w:szCs w:val="20"/>
                <w:highlight w:val="none"/>
                <w:lang w:val="en-US"/>
              </w:rPr>
              <w:t>品牌</w:t>
            </w:r>
          </w:p>
        </w:tc>
        <w:tc>
          <w:tcPr>
            <w:tcW w:w="3218"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原产地和制造商名称</w:t>
            </w:r>
          </w:p>
        </w:tc>
        <w:tc>
          <w:tcPr>
            <w:tcW w:w="927" w:type="dxa"/>
            <w:tcBorders>
              <w:left w:val="single" w:color="000000" w:sz="4" w:space="0"/>
              <w:bottom w:val="single" w:color="000000" w:sz="4" w:space="0"/>
              <w:right w:val="single" w:color="000000" w:sz="4" w:space="0"/>
            </w:tcBorders>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单价</w:t>
            </w:r>
          </w:p>
        </w:tc>
        <w:tc>
          <w:tcPr>
            <w:tcW w:w="1841" w:type="dxa"/>
            <w:tcBorders>
              <w:left w:val="single" w:color="000000" w:sz="4" w:space="0"/>
              <w:bottom w:val="single" w:color="000000" w:sz="4" w:space="0"/>
            </w:tcBorders>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分项合计</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【产品】</w:t>
            </w: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1.1</w:t>
            </w: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1.2</w:t>
            </w: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【备品备件】</w:t>
            </w: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2"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2</w:t>
            </w: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【安装】</w:t>
            </w: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09"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3</w:t>
            </w: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【售后服务】</w:t>
            </w: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4</w:t>
            </w: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【其他】</w:t>
            </w: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jc w:val="center"/>
        </w:trPr>
        <w:tc>
          <w:tcPr>
            <w:tcW w:w="927" w:type="dxa"/>
            <w:tcBorders>
              <w:top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4.1</w:t>
            </w:r>
          </w:p>
        </w:tc>
        <w:tc>
          <w:tcPr>
            <w:tcW w:w="206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w:t>
            </w:r>
          </w:p>
        </w:tc>
        <w:tc>
          <w:tcPr>
            <w:tcW w:w="986" w:type="dxa"/>
            <w:gridSpan w:val="2"/>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204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39"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3218"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927" w:type="dxa"/>
            <w:tcBorders>
              <w:top w:val="single" w:color="000000" w:sz="4" w:space="0"/>
              <w:left w:val="single" w:color="000000" w:sz="4" w:space="0"/>
              <w:bottom w:val="single" w:color="000000" w:sz="4" w:space="0"/>
              <w:right w:val="single" w:color="000000" w:sz="4" w:space="0"/>
            </w:tcBorders>
          </w:tcPr>
          <w:p>
            <w:pPr>
              <w:pStyle w:val="33"/>
              <w:rPr>
                <w:rFonts w:ascii="宋体" w:hAnsi="宋体" w:eastAsia="宋体" w:cs="宋体"/>
                <w:color w:val="auto"/>
                <w:sz w:val="20"/>
                <w:szCs w:val="20"/>
                <w:highlight w:val="none"/>
              </w:rPr>
            </w:pPr>
          </w:p>
        </w:tc>
        <w:tc>
          <w:tcPr>
            <w:tcW w:w="1841" w:type="dxa"/>
            <w:tcBorders>
              <w:top w:val="single" w:color="000000" w:sz="4" w:space="0"/>
              <w:left w:val="single" w:color="000000" w:sz="4" w:space="0"/>
              <w:bottom w:val="single" w:color="000000" w:sz="4" w:space="0"/>
            </w:tcBorders>
          </w:tcPr>
          <w:p>
            <w:pPr>
              <w:pStyle w:val="33"/>
              <w:rPr>
                <w:rFonts w:ascii="宋体" w:hAnsi="宋体" w:eastAsia="宋体" w:cs="宋体"/>
                <w:color w:val="auto"/>
                <w:sz w:val="20"/>
                <w:szCs w:val="20"/>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0" w:hRule="atLeast"/>
          <w:jc w:val="center"/>
        </w:trPr>
        <w:tc>
          <w:tcPr>
            <w:tcW w:w="3026" w:type="dxa"/>
            <w:gridSpan w:val="3"/>
            <w:tcBorders>
              <w:top w:val="single" w:color="000000" w:sz="4" w:space="0"/>
              <w:right w:val="single" w:color="000000" w:sz="4" w:space="0"/>
            </w:tcBorders>
          </w:tcPr>
          <w:p>
            <w:pPr>
              <w:pStyle w:val="33"/>
              <w:jc w:val="right"/>
              <w:rPr>
                <w:rFonts w:ascii="宋体" w:hAnsi="宋体" w:eastAsia="宋体" w:cs="宋体"/>
                <w:color w:val="auto"/>
                <w:sz w:val="21"/>
                <w:szCs w:val="20"/>
                <w:highlight w:val="none"/>
              </w:rPr>
            </w:pPr>
          </w:p>
        </w:tc>
        <w:tc>
          <w:tcPr>
            <w:tcW w:w="8987" w:type="dxa"/>
            <w:gridSpan w:val="5"/>
            <w:tcBorders>
              <w:top w:val="single" w:color="000000" w:sz="4" w:space="0"/>
              <w:right w:val="single" w:color="000000" w:sz="4" w:space="0"/>
            </w:tcBorders>
          </w:tcPr>
          <w:p>
            <w:pPr>
              <w:pStyle w:val="33"/>
              <w:jc w:val="right"/>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投标总价</w:t>
            </w:r>
          </w:p>
        </w:tc>
        <w:tc>
          <w:tcPr>
            <w:tcW w:w="1841" w:type="dxa"/>
            <w:tcBorders>
              <w:top w:val="single" w:color="000000" w:sz="4" w:space="0"/>
              <w:left w:val="single" w:color="000000" w:sz="4" w:space="0"/>
            </w:tcBorders>
          </w:tcPr>
          <w:p>
            <w:pPr>
              <w:pStyle w:val="33"/>
              <w:rPr>
                <w:rFonts w:ascii="宋体" w:hAnsi="宋体" w:eastAsia="宋体" w:cs="宋体"/>
                <w:color w:val="auto"/>
                <w:sz w:val="21"/>
                <w:szCs w:val="20"/>
                <w:highlight w:val="none"/>
              </w:rPr>
            </w:pPr>
          </w:p>
        </w:tc>
      </w:tr>
    </w:tbl>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注：1、投标总价应为各分项合计汇总之和。</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2、如果不提供投标分项报价表将视为没有实质性响应招标文件。</w:t>
      </w:r>
    </w:p>
    <w:p>
      <w:pPr>
        <w:pStyle w:val="36"/>
        <w:spacing w:line="400" w:lineRule="exact"/>
        <w:ind w:left="440" w:leftChars="200" w:firstLine="420" w:firstLineChars="200"/>
        <w:rPr>
          <w:rFonts w:ascii="宋体" w:hAnsi="宋体" w:cs="宋体"/>
          <w:color w:val="auto"/>
          <w:sz w:val="21"/>
          <w:szCs w:val="21"/>
          <w:highlight w:val="none"/>
        </w:rPr>
      </w:pPr>
    </w:p>
    <w:p>
      <w:pPr>
        <w:pStyle w:val="36"/>
        <w:spacing w:line="400" w:lineRule="exact"/>
        <w:ind w:left="440" w:leftChars="200" w:firstLine="420" w:firstLineChars="200"/>
        <w:rPr>
          <w:rFonts w:ascii="宋体" w:hAnsi="宋体" w:cs="宋体"/>
          <w:color w:val="auto"/>
          <w:sz w:val="21"/>
          <w:szCs w:val="21"/>
          <w:highlight w:val="none"/>
        </w:rPr>
      </w:pPr>
      <w:bookmarkStart w:id="114" w:name="_bookmark110"/>
      <w:bookmarkEnd w:id="114"/>
      <w:r>
        <w:rPr>
          <w:rFonts w:hint="eastAsia" w:ascii="宋体" w:hAnsi="宋体" w:cs="宋体"/>
          <w:color w:val="auto"/>
          <w:sz w:val="21"/>
          <w:szCs w:val="21"/>
          <w:highlight w:val="none"/>
        </w:rPr>
        <w:t>投标人名称</w:t>
      </w:r>
      <w:r>
        <w:rPr>
          <w:rFonts w:hint="eastAsia" w:ascii="宋体" w:hAnsi="宋体" w:cs="宋体"/>
          <w:color w:val="auto"/>
          <w:sz w:val="21"/>
          <w:szCs w:val="21"/>
          <w:highlight w:val="none"/>
          <w:lang w:val="zh-CN"/>
        </w:rPr>
        <w:t>(电子签章)</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p>
    <w:p>
      <w:pPr>
        <w:pStyle w:val="13"/>
        <w:rPr>
          <w:color w:val="auto"/>
          <w:highlight w:val="none"/>
        </w:rPr>
        <w:sectPr>
          <w:headerReference r:id="rId6" w:type="default"/>
          <w:footerReference r:id="rId7" w:type="default"/>
          <w:pgSz w:w="16840" w:h="11910" w:orient="landscape"/>
          <w:pgMar w:top="1440" w:right="1080" w:bottom="1440" w:left="1080" w:header="850" w:footer="999" w:gutter="0"/>
          <w:pgNumType w:fmt="numberInDash"/>
          <w:cols w:space="720" w:num="1"/>
        </w:sectPr>
      </w:pPr>
    </w:p>
    <w:p>
      <w:pPr>
        <w:pStyle w:val="6"/>
        <w:spacing w:before="43"/>
        <w:ind w:left="363" w:right="437"/>
        <w:rPr>
          <w:rFonts w:ascii="宋体" w:hAnsi="宋体" w:eastAsia="宋体" w:cs="宋体"/>
          <w:color w:val="auto"/>
          <w:sz w:val="28"/>
          <w:szCs w:val="28"/>
          <w:highlight w:val="none"/>
          <w:lang w:val="en-US"/>
        </w:rPr>
      </w:pPr>
      <w:bookmarkStart w:id="115" w:name="_bookmark111"/>
      <w:bookmarkEnd w:id="115"/>
      <w:bookmarkStart w:id="116" w:name="_bookmark124"/>
      <w:bookmarkEnd w:id="116"/>
      <w:bookmarkStart w:id="117" w:name="_Toc26343"/>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rPr>
        <w:t>三</w:t>
      </w:r>
      <w:r>
        <w:rPr>
          <w:rFonts w:hint="eastAsia" w:ascii="宋体" w:hAnsi="宋体" w:eastAsia="宋体" w:cs="宋体"/>
          <w:color w:val="auto"/>
          <w:sz w:val="28"/>
          <w:szCs w:val="28"/>
          <w:highlight w:val="none"/>
        </w:rPr>
        <w:t xml:space="preserve">节 </w:t>
      </w:r>
      <w:r>
        <w:rPr>
          <w:rFonts w:hint="eastAsia" w:ascii="宋体" w:hAnsi="宋体" w:eastAsia="宋体" w:cs="宋体"/>
          <w:color w:val="auto"/>
          <w:sz w:val="28"/>
          <w:szCs w:val="28"/>
          <w:highlight w:val="none"/>
          <w:lang w:val="en-US"/>
        </w:rPr>
        <w:t>政府采购政策的证明文件</w:t>
      </w:r>
      <w:bookmarkEnd w:id="117"/>
    </w:p>
    <w:p>
      <w:pPr>
        <w:pStyle w:val="7"/>
        <w:spacing w:before="43"/>
        <w:ind w:left="363" w:right="437"/>
        <w:rPr>
          <w:rFonts w:ascii="宋体" w:hAnsi="宋体" w:eastAsia="宋体" w:cs="宋体"/>
          <w:color w:val="auto"/>
          <w:sz w:val="28"/>
          <w:szCs w:val="28"/>
          <w:highlight w:val="none"/>
          <w:lang w:val="en-US"/>
        </w:rPr>
      </w:pPr>
      <w:bookmarkStart w:id="118" w:name="_Toc24570"/>
      <w:r>
        <w:rPr>
          <w:rFonts w:hint="eastAsia" w:ascii="宋体" w:hAnsi="宋体" w:eastAsia="宋体" w:cs="宋体"/>
          <w:color w:val="auto"/>
          <w:sz w:val="28"/>
          <w:szCs w:val="28"/>
          <w:highlight w:val="none"/>
          <w:lang w:val="en-US"/>
        </w:rPr>
        <w:t>附件 1 中小企业声明函（货物）</w:t>
      </w:r>
      <w:bookmarkEnd w:id="118"/>
    </w:p>
    <w:p>
      <w:pPr>
        <w:jc w:val="center"/>
        <w:rPr>
          <w:b/>
          <w:color w:val="auto"/>
          <w:sz w:val="24"/>
          <w:szCs w:val="24"/>
          <w:highlight w:val="none"/>
        </w:rPr>
      </w:pPr>
      <w:r>
        <w:rPr>
          <w:rFonts w:hint="eastAsia"/>
          <w:b/>
          <w:color w:val="auto"/>
          <w:sz w:val="24"/>
          <w:szCs w:val="24"/>
          <w:highlight w:val="none"/>
        </w:rPr>
        <w:t>中小企业声明函（货物）</w:t>
      </w:r>
    </w:p>
    <w:p>
      <w:pPr>
        <w:pStyle w:val="14"/>
        <w:ind w:left="800"/>
        <w:rPr>
          <w:color w:val="auto"/>
          <w:sz w:val="21"/>
          <w:szCs w:val="21"/>
          <w:highlight w:val="none"/>
        </w:rPr>
      </w:pPr>
      <w:r>
        <w:rPr>
          <w:rFonts w:hint="eastAsia"/>
          <w:color w:val="auto"/>
          <w:sz w:val="21"/>
          <w:szCs w:val="21"/>
          <w:highlight w:val="none"/>
        </w:rPr>
        <w:t>本公司（联合体）郑重声明，根据《政府采购促进中小企业发展管理办法》</w:t>
      </w:r>
    </w:p>
    <w:p>
      <w:pPr>
        <w:pStyle w:val="14"/>
        <w:spacing w:before="158" w:line="364" w:lineRule="auto"/>
        <w:ind w:left="320" w:right="462"/>
        <w:jc w:val="both"/>
        <w:rPr>
          <w:color w:val="auto"/>
          <w:sz w:val="21"/>
          <w:szCs w:val="21"/>
          <w:highlight w:val="none"/>
        </w:rPr>
      </w:pPr>
      <w:r>
        <w:rPr>
          <w:rFonts w:hint="eastAsia"/>
          <w:color w:val="auto"/>
          <w:sz w:val="21"/>
          <w:szCs w:val="21"/>
          <w:highlight w:val="none"/>
        </w:rPr>
        <w:t>（财库〔2020〕46 号）的规定，本公司（联合体）参加</w:t>
      </w:r>
      <w:r>
        <w:rPr>
          <w:rFonts w:hint="eastAsia"/>
          <w:color w:val="auto"/>
          <w:sz w:val="21"/>
          <w:szCs w:val="21"/>
          <w:highlight w:val="none"/>
          <w:u w:val="single"/>
        </w:rPr>
        <w:t xml:space="preserve"> （单位名称） </w:t>
      </w:r>
      <w:r>
        <w:rPr>
          <w:rFonts w:hint="eastAsia"/>
          <w:color w:val="auto"/>
          <w:sz w:val="21"/>
          <w:szCs w:val="21"/>
          <w:highlight w:val="none"/>
        </w:rPr>
        <w:t>的</w:t>
      </w:r>
      <w:r>
        <w:rPr>
          <w:rFonts w:hint="eastAsia"/>
          <w:color w:val="auto"/>
          <w:sz w:val="21"/>
          <w:szCs w:val="21"/>
          <w:highlight w:val="none"/>
          <w:u w:val="single"/>
        </w:rPr>
        <w:t xml:space="preserve"> （项目名称） </w:t>
      </w:r>
      <w:r>
        <w:rPr>
          <w:rFonts w:hint="eastAsia"/>
          <w:color w:val="auto"/>
          <w:sz w:val="21"/>
          <w:szCs w:val="21"/>
          <w:highlight w:val="none"/>
        </w:rPr>
        <w:t>采购活动，提供的货物全部由符合政策要求的中小企业制造。相关企业（ 含联合体中的中小企业、签订分包意向协议的中小企业）的具体情况如下：</w:t>
      </w:r>
    </w:p>
    <w:p>
      <w:pPr>
        <w:pStyle w:val="32"/>
        <w:numPr>
          <w:ilvl w:val="0"/>
          <w:numId w:val="2"/>
        </w:numPr>
        <w:tabs>
          <w:tab w:val="left" w:pos="982"/>
          <w:tab w:val="left" w:pos="6725"/>
        </w:tabs>
        <w:spacing w:before="0" w:line="364" w:lineRule="auto"/>
        <w:ind w:right="553" w:firstLine="479"/>
        <w:jc w:val="both"/>
        <w:rPr>
          <w:color w:val="auto"/>
          <w:sz w:val="21"/>
          <w:szCs w:val="20"/>
          <w:highlight w:val="none"/>
        </w:rPr>
      </w:pPr>
      <w:r>
        <w:rPr>
          <w:rFonts w:hint="eastAsia"/>
          <w:color w:val="auto"/>
          <w:sz w:val="21"/>
          <w:szCs w:val="20"/>
          <w:highlight w:val="none"/>
          <w:u w:val="single"/>
        </w:rPr>
        <w:t xml:space="preserve">    （标的名称）</w:t>
      </w:r>
      <w:r>
        <w:rPr>
          <w:rFonts w:hint="eastAsia"/>
          <w:color w:val="auto"/>
          <w:sz w:val="21"/>
          <w:szCs w:val="20"/>
          <w:highlight w:val="none"/>
        </w:rPr>
        <w:t xml:space="preserve"> ，属于</w:t>
      </w:r>
      <w:r>
        <w:rPr>
          <w:rFonts w:hint="eastAsia"/>
          <w:color w:val="auto"/>
          <w:sz w:val="21"/>
          <w:szCs w:val="20"/>
          <w:highlight w:val="none"/>
          <w:u w:val="single"/>
        </w:rPr>
        <w:t xml:space="preserve"> （采购文件中明确的所属行业）行业</w:t>
      </w:r>
      <w:r>
        <w:rPr>
          <w:rFonts w:hint="eastAsia"/>
          <w:color w:val="auto"/>
          <w:sz w:val="21"/>
          <w:szCs w:val="20"/>
          <w:highlight w:val="none"/>
        </w:rPr>
        <w:t xml:space="preserve"> ；制造商为</w:t>
      </w:r>
      <w:r>
        <w:rPr>
          <w:rFonts w:hint="eastAsia"/>
          <w:color w:val="auto"/>
          <w:sz w:val="21"/>
          <w:szCs w:val="20"/>
          <w:highlight w:val="none"/>
          <w:u w:val="single"/>
        </w:rPr>
        <w:t xml:space="preserve"> （企业名称）</w:t>
      </w:r>
      <w:r>
        <w:rPr>
          <w:rFonts w:hint="eastAsia"/>
          <w:color w:val="auto"/>
          <w:sz w:val="21"/>
          <w:szCs w:val="20"/>
          <w:highlight w:val="none"/>
        </w:rPr>
        <w:t xml:space="preserve"> ，从业人员</w:t>
      </w:r>
      <w:r>
        <w:rPr>
          <w:rFonts w:hint="eastAsia"/>
          <w:color w:val="auto"/>
          <w:sz w:val="21"/>
          <w:szCs w:val="20"/>
          <w:highlight w:val="none"/>
          <w:u w:val="single"/>
        </w:rPr>
        <w:t xml:space="preserve"> </w:t>
      </w:r>
      <w:r>
        <w:rPr>
          <w:rFonts w:hint="eastAsia"/>
          <w:color w:val="auto"/>
          <w:sz w:val="21"/>
          <w:szCs w:val="20"/>
          <w:highlight w:val="none"/>
          <w:u w:val="single"/>
          <w:lang w:val="en-US"/>
        </w:rPr>
        <w:t xml:space="preserve">    </w:t>
      </w:r>
      <w:r>
        <w:rPr>
          <w:rFonts w:hint="eastAsia"/>
          <w:color w:val="auto"/>
          <w:sz w:val="21"/>
          <w:szCs w:val="20"/>
          <w:highlight w:val="none"/>
          <w:u w:val="single"/>
        </w:rPr>
        <w:t xml:space="preserve">  </w:t>
      </w:r>
      <w:r>
        <w:rPr>
          <w:rFonts w:hint="eastAsia"/>
          <w:color w:val="auto"/>
          <w:sz w:val="21"/>
          <w:szCs w:val="20"/>
          <w:highlight w:val="none"/>
        </w:rPr>
        <w:t xml:space="preserve"> 人，营业收入为</w:t>
      </w:r>
      <w:r>
        <w:rPr>
          <w:rFonts w:hint="eastAsia"/>
          <w:color w:val="auto"/>
          <w:sz w:val="21"/>
          <w:szCs w:val="20"/>
          <w:highlight w:val="none"/>
          <w:u w:val="single"/>
        </w:rPr>
        <w:t xml:space="preserve"> </w:t>
      </w:r>
      <w:r>
        <w:rPr>
          <w:rFonts w:hint="eastAsia"/>
          <w:color w:val="auto"/>
          <w:sz w:val="21"/>
          <w:szCs w:val="20"/>
          <w:highlight w:val="none"/>
          <w:u w:val="single"/>
          <w:lang w:val="en-US"/>
        </w:rPr>
        <w:t xml:space="preserve">        </w:t>
      </w:r>
      <w:r>
        <w:rPr>
          <w:rFonts w:hint="eastAsia"/>
          <w:color w:val="auto"/>
          <w:sz w:val="21"/>
          <w:szCs w:val="20"/>
          <w:highlight w:val="none"/>
          <w:u w:val="single"/>
        </w:rPr>
        <w:tab/>
      </w:r>
      <w:r>
        <w:rPr>
          <w:rFonts w:hint="eastAsia"/>
          <w:color w:val="auto"/>
          <w:sz w:val="21"/>
          <w:szCs w:val="20"/>
          <w:highlight w:val="none"/>
        </w:rPr>
        <w:t xml:space="preserve">万元，资产总额为万元 </w:t>
      </w:r>
      <w:r>
        <w:rPr>
          <w:rFonts w:hint="eastAsia"/>
          <w:color w:val="auto"/>
          <w:sz w:val="21"/>
          <w:szCs w:val="20"/>
          <w:highlight w:val="none"/>
          <w:vertAlign w:val="superscript"/>
        </w:rPr>
        <w:t>1</w:t>
      </w:r>
      <w:r>
        <w:rPr>
          <w:rFonts w:hint="eastAsia"/>
          <w:color w:val="auto"/>
          <w:sz w:val="21"/>
          <w:szCs w:val="20"/>
          <w:highlight w:val="none"/>
        </w:rPr>
        <w:t>，属于</w:t>
      </w:r>
      <w:r>
        <w:rPr>
          <w:rFonts w:hint="eastAsia"/>
          <w:color w:val="auto"/>
          <w:sz w:val="21"/>
          <w:szCs w:val="20"/>
          <w:highlight w:val="none"/>
          <w:u w:val="single"/>
        </w:rPr>
        <w:t>（中型企业、小型企业、微型企业）</w:t>
      </w:r>
      <w:r>
        <w:rPr>
          <w:rFonts w:hint="eastAsia"/>
          <w:color w:val="auto"/>
          <w:sz w:val="21"/>
          <w:szCs w:val="20"/>
          <w:highlight w:val="none"/>
        </w:rPr>
        <w:t>；</w:t>
      </w:r>
    </w:p>
    <w:p>
      <w:pPr>
        <w:pStyle w:val="32"/>
        <w:numPr>
          <w:ilvl w:val="0"/>
          <w:numId w:val="2"/>
        </w:numPr>
        <w:tabs>
          <w:tab w:val="left" w:pos="982"/>
          <w:tab w:val="left" w:pos="6725"/>
        </w:tabs>
        <w:spacing w:before="0" w:line="364" w:lineRule="auto"/>
        <w:ind w:right="553" w:firstLine="479"/>
        <w:jc w:val="both"/>
        <w:rPr>
          <w:color w:val="auto"/>
          <w:sz w:val="21"/>
          <w:szCs w:val="20"/>
          <w:highlight w:val="none"/>
        </w:rPr>
      </w:pPr>
      <w:r>
        <w:rPr>
          <w:rFonts w:hint="eastAsia"/>
          <w:color w:val="auto"/>
          <w:sz w:val="21"/>
          <w:szCs w:val="20"/>
          <w:highlight w:val="none"/>
          <w:u w:val="single"/>
        </w:rPr>
        <w:t xml:space="preserve">    （标的名称）</w:t>
      </w:r>
      <w:r>
        <w:rPr>
          <w:rFonts w:hint="eastAsia"/>
          <w:color w:val="auto"/>
          <w:sz w:val="21"/>
          <w:szCs w:val="20"/>
          <w:highlight w:val="none"/>
        </w:rPr>
        <w:t xml:space="preserve"> ，属于</w:t>
      </w:r>
      <w:r>
        <w:rPr>
          <w:rFonts w:hint="eastAsia"/>
          <w:color w:val="auto"/>
          <w:sz w:val="21"/>
          <w:szCs w:val="20"/>
          <w:highlight w:val="none"/>
          <w:u w:val="single"/>
        </w:rPr>
        <w:t xml:space="preserve"> （采购文件中明确的所属行业）行业</w:t>
      </w:r>
      <w:r>
        <w:rPr>
          <w:rFonts w:hint="eastAsia"/>
          <w:color w:val="auto"/>
          <w:sz w:val="21"/>
          <w:szCs w:val="20"/>
          <w:highlight w:val="none"/>
        </w:rPr>
        <w:t xml:space="preserve"> ；制造商为</w:t>
      </w:r>
      <w:r>
        <w:rPr>
          <w:rFonts w:hint="eastAsia"/>
          <w:color w:val="auto"/>
          <w:sz w:val="21"/>
          <w:szCs w:val="20"/>
          <w:highlight w:val="none"/>
          <w:u w:val="single"/>
        </w:rPr>
        <w:t xml:space="preserve"> （企业名称）</w:t>
      </w:r>
      <w:r>
        <w:rPr>
          <w:rFonts w:hint="eastAsia"/>
          <w:color w:val="auto"/>
          <w:sz w:val="21"/>
          <w:szCs w:val="20"/>
          <w:highlight w:val="none"/>
        </w:rPr>
        <w:t xml:space="preserve"> ，从业人员</w:t>
      </w:r>
      <w:r>
        <w:rPr>
          <w:rFonts w:hint="eastAsia"/>
          <w:color w:val="auto"/>
          <w:sz w:val="21"/>
          <w:szCs w:val="20"/>
          <w:highlight w:val="none"/>
          <w:u w:val="single"/>
        </w:rPr>
        <w:t xml:space="preserve">   </w:t>
      </w:r>
      <w:r>
        <w:rPr>
          <w:rFonts w:hint="eastAsia"/>
          <w:color w:val="auto"/>
          <w:sz w:val="21"/>
          <w:szCs w:val="20"/>
          <w:highlight w:val="none"/>
        </w:rPr>
        <w:t xml:space="preserve"> 人，营业收入为</w:t>
      </w:r>
      <w:r>
        <w:rPr>
          <w:rFonts w:hint="eastAsia"/>
          <w:color w:val="auto"/>
          <w:sz w:val="21"/>
          <w:szCs w:val="20"/>
          <w:highlight w:val="none"/>
          <w:u w:val="single"/>
        </w:rPr>
        <w:t xml:space="preserve"> </w:t>
      </w:r>
      <w:r>
        <w:rPr>
          <w:rFonts w:hint="eastAsia"/>
          <w:color w:val="auto"/>
          <w:sz w:val="21"/>
          <w:szCs w:val="20"/>
          <w:highlight w:val="none"/>
          <w:u w:val="single"/>
        </w:rPr>
        <w:tab/>
      </w:r>
      <w:r>
        <w:rPr>
          <w:rFonts w:hint="eastAsia"/>
          <w:color w:val="auto"/>
          <w:sz w:val="21"/>
          <w:szCs w:val="20"/>
          <w:highlight w:val="none"/>
        </w:rPr>
        <w:t>万元，资产总额为万元，属于</w:t>
      </w:r>
      <w:r>
        <w:rPr>
          <w:rFonts w:hint="eastAsia"/>
          <w:color w:val="auto"/>
          <w:sz w:val="21"/>
          <w:szCs w:val="20"/>
          <w:highlight w:val="none"/>
          <w:u w:val="single"/>
        </w:rPr>
        <w:t>（中型企业、小型企业、微型企业）</w:t>
      </w:r>
      <w:r>
        <w:rPr>
          <w:rFonts w:hint="eastAsia"/>
          <w:color w:val="auto"/>
          <w:sz w:val="21"/>
          <w:szCs w:val="20"/>
          <w:highlight w:val="none"/>
        </w:rPr>
        <w:t>；</w:t>
      </w:r>
    </w:p>
    <w:p>
      <w:pPr>
        <w:spacing w:line="272" w:lineRule="exact"/>
        <w:ind w:left="802"/>
        <w:rPr>
          <w:b/>
          <w:color w:val="auto"/>
          <w:sz w:val="21"/>
          <w:szCs w:val="20"/>
          <w:highlight w:val="none"/>
        </w:rPr>
      </w:pPr>
      <w:r>
        <w:rPr>
          <w:rFonts w:hint="eastAsia"/>
          <w:b/>
          <w:color w:val="auto"/>
          <w:sz w:val="21"/>
          <w:szCs w:val="20"/>
          <w:highlight w:val="none"/>
        </w:rPr>
        <w:t>……</w:t>
      </w:r>
    </w:p>
    <w:p>
      <w:pPr>
        <w:pStyle w:val="14"/>
        <w:spacing w:before="138" w:line="364" w:lineRule="auto"/>
        <w:ind w:left="320" w:right="556" w:firstLine="479"/>
        <w:rPr>
          <w:color w:val="auto"/>
          <w:sz w:val="21"/>
          <w:szCs w:val="21"/>
          <w:highlight w:val="none"/>
        </w:rPr>
      </w:pPr>
      <w:r>
        <w:rPr>
          <w:rFonts w:hint="eastAsia"/>
          <w:color w:val="auto"/>
          <w:sz w:val="21"/>
          <w:szCs w:val="21"/>
          <w:highlight w:val="none"/>
        </w:rPr>
        <w:t>以上企业，不属于大企业的分支机构，不存在控股股东为大企业的情形，也不存在与大企业的负责人为同一人的情形。</w:t>
      </w:r>
    </w:p>
    <w:p>
      <w:pPr>
        <w:pStyle w:val="14"/>
        <w:spacing w:line="306" w:lineRule="exact"/>
        <w:ind w:left="800"/>
        <w:rPr>
          <w:color w:val="auto"/>
          <w:sz w:val="21"/>
          <w:szCs w:val="21"/>
          <w:highlight w:val="none"/>
        </w:rPr>
      </w:pPr>
      <w:r>
        <w:rPr>
          <w:rFonts w:hint="eastAsia"/>
          <w:color w:val="auto"/>
          <w:sz w:val="21"/>
          <w:szCs w:val="21"/>
          <w:highlight w:val="none"/>
        </w:rPr>
        <w:t>本企业对上述声明内容的真实性负责。如有虚假，将依法承担相应责任。</w:t>
      </w:r>
    </w:p>
    <w:p>
      <w:pPr>
        <w:pStyle w:val="14"/>
        <w:rPr>
          <w:color w:val="auto"/>
          <w:sz w:val="21"/>
          <w:szCs w:val="21"/>
          <w:highlight w:val="none"/>
        </w:rPr>
      </w:pPr>
    </w:p>
    <w:p>
      <w:pPr>
        <w:pStyle w:val="14"/>
        <w:spacing w:before="9"/>
        <w:rPr>
          <w:color w:val="auto"/>
          <w:sz w:val="16"/>
          <w:szCs w:val="21"/>
          <w:highlight w:val="none"/>
        </w:rPr>
      </w:pPr>
    </w:p>
    <w:p>
      <w:pPr>
        <w:pStyle w:val="14"/>
        <w:spacing w:line="364" w:lineRule="auto"/>
        <w:ind w:left="2961" w:right="4183"/>
        <w:rPr>
          <w:color w:val="auto"/>
          <w:sz w:val="21"/>
          <w:szCs w:val="21"/>
          <w:highlight w:val="none"/>
        </w:rPr>
      </w:pPr>
      <w:r>
        <w:rPr>
          <w:rFonts w:hint="eastAsia"/>
          <w:color w:val="auto"/>
          <w:sz w:val="21"/>
          <w:szCs w:val="21"/>
          <w:highlight w:val="none"/>
        </w:rPr>
        <w:t>企业名称（盖章）：</w:t>
      </w:r>
    </w:p>
    <w:p>
      <w:pPr>
        <w:pStyle w:val="14"/>
        <w:spacing w:line="364" w:lineRule="auto"/>
        <w:ind w:left="2961" w:right="4183"/>
        <w:rPr>
          <w:color w:val="auto"/>
          <w:sz w:val="21"/>
          <w:szCs w:val="21"/>
          <w:highlight w:val="none"/>
        </w:rPr>
      </w:pPr>
      <w:r>
        <w:rPr>
          <w:rFonts w:hint="eastAsia"/>
          <w:color w:val="auto"/>
          <w:sz w:val="21"/>
          <w:szCs w:val="21"/>
          <w:highlight w:val="none"/>
        </w:rPr>
        <w:t>日期：</w:t>
      </w:r>
    </w:p>
    <w:p>
      <w:pPr>
        <w:pStyle w:val="14"/>
        <w:rPr>
          <w:color w:val="auto"/>
          <w:sz w:val="16"/>
          <w:szCs w:val="21"/>
          <w:highlight w:val="none"/>
        </w:rPr>
      </w:pPr>
    </w:p>
    <w:p>
      <w:pPr>
        <w:pStyle w:val="14"/>
        <w:rPr>
          <w:color w:val="auto"/>
          <w:sz w:val="16"/>
          <w:szCs w:val="21"/>
          <w:highlight w:val="none"/>
        </w:rPr>
      </w:pPr>
    </w:p>
    <w:p>
      <w:pPr>
        <w:pStyle w:val="14"/>
        <w:rPr>
          <w:color w:val="auto"/>
          <w:sz w:val="16"/>
          <w:szCs w:val="21"/>
          <w:highlight w:val="none"/>
        </w:rPr>
      </w:pPr>
    </w:p>
    <w:p>
      <w:pPr>
        <w:spacing w:before="65"/>
        <w:ind w:left="320"/>
        <w:rPr>
          <w:color w:val="auto"/>
          <w:sz w:val="18"/>
          <w:szCs w:val="18"/>
          <w:highlight w:val="none"/>
          <w:vertAlign w:val="superscript"/>
        </w:rPr>
      </w:pPr>
    </w:p>
    <w:p>
      <w:pPr>
        <w:spacing w:before="65"/>
        <w:ind w:left="320"/>
        <w:rPr>
          <w:color w:val="auto"/>
          <w:sz w:val="18"/>
          <w:szCs w:val="18"/>
          <w:highlight w:val="none"/>
        </w:rPr>
      </w:pPr>
      <w:r>
        <w:rPr>
          <w:rFonts w:hint="eastAsia"/>
          <w:color w:val="auto"/>
          <w:sz w:val="18"/>
          <w:szCs w:val="18"/>
          <w:highlight w:val="none"/>
          <w:vertAlign w:val="superscript"/>
        </w:rPr>
        <w:t>1</w:t>
      </w:r>
      <w:r>
        <w:rPr>
          <w:rFonts w:hint="eastAsia"/>
          <w:color w:val="auto"/>
          <w:sz w:val="18"/>
          <w:szCs w:val="18"/>
          <w:highlight w:val="none"/>
        </w:rPr>
        <w:t xml:space="preserve"> 从业人员、营业收入、资产总额填报上一年度数据，无上一年度数据的新成立企业可不填报。</w:t>
      </w:r>
    </w:p>
    <w:p>
      <w:pPr>
        <w:rPr>
          <w:b/>
          <w:color w:val="auto"/>
          <w:sz w:val="24"/>
          <w:szCs w:val="24"/>
          <w:highlight w:val="none"/>
        </w:rPr>
      </w:pPr>
      <w:r>
        <w:rPr>
          <w:rFonts w:hint="eastAsia"/>
          <w:b/>
          <w:color w:val="auto"/>
          <w:sz w:val="24"/>
          <w:szCs w:val="24"/>
          <w:highlight w:val="none"/>
        </w:rPr>
        <w:br w:type="page"/>
      </w:r>
    </w:p>
    <w:p>
      <w:pPr>
        <w:pStyle w:val="7"/>
        <w:spacing w:before="43"/>
        <w:ind w:left="363" w:right="437"/>
        <w:rPr>
          <w:rFonts w:ascii="宋体" w:hAnsi="宋体" w:eastAsia="宋体" w:cs="宋体"/>
          <w:color w:val="auto"/>
          <w:sz w:val="28"/>
          <w:szCs w:val="28"/>
          <w:highlight w:val="none"/>
          <w:lang w:val="en-US"/>
        </w:rPr>
      </w:pPr>
      <w:bookmarkStart w:id="119" w:name="_Toc13546"/>
      <w:r>
        <w:rPr>
          <w:rFonts w:hint="eastAsia" w:ascii="宋体" w:hAnsi="宋体" w:eastAsia="宋体" w:cs="宋体"/>
          <w:color w:val="auto"/>
          <w:sz w:val="28"/>
          <w:szCs w:val="28"/>
          <w:highlight w:val="none"/>
          <w:lang w:val="en-US"/>
        </w:rPr>
        <w:t>附件 2 残疾人福利性单位声明函</w:t>
      </w:r>
      <w:bookmarkEnd w:id="119"/>
    </w:p>
    <w:p>
      <w:pPr>
        <w:spacing w:line="480" w:lineRule="exact"/>
        <w:rPr>
          <w:b/>
          <w:color w:val="auto"/>
          <w:highlight w:val="none"/>
        </w:rPr>
      </w:pPr>
      <w:r>
        <w:rPr>
          <w:rFonts w:hint="eastAsia"/>
          <w:b/>
          <w:color w:val="auto"/>
          <w:highlight w:val="none"/>
        </w:rPr>
        <w:t>残疾人福利性单位声明函（残疾人福利性单位适用，不符合的无需提供）</w:t>
      </w:r>
    </w:p>
    <w:p>
      <w:pPr>
        <w:pStyle w:val="14"/>
        <w:spacing w:before="161"/>
        <w:ind w:right="463"/>
        <w:jc w:val="both"/>
        <w:rPr>
          <w:color w:val="auto"/>
          <w:sz w:val="21"/>
          <w:szCs w:val="21"/>
          <w:highlight w:val="none"/>
        </w:rPr>
      </w:pPr>
      <w:r>
        <w:rPr>
          <w:rFonts w:hint="eastAsia"/>
          <w:color w:val="auto"/>
          <w:sz w:val="21"/>
          <w:szCs w:val="21"/>
          <w:highlight w:val="none"/>
        </w:rPr>
        <w:t>投标人所报产品中有残疾人福利单位制造的货物的，应同时提交下列文件：</w:t>
      </w:r>
    </w:p>
    <w:p>
      <w:pPr>
        <w:pStyle w:val="14"/>
        <w:spacing w:before="158"/>
        <w:ind w:right="462"/>
        <w:jc w:val="right"/>
        <w:rPr>
          <w:color w:val="auto"/>
          <w:sz w:val="21"/>
          <w:szCs w:val="21"/>
          <w:highlight w:val="none"/>
        </w:rPr>
      </w:pPr>
      <w:r>
        <w:rPr>
          <w:rFonts w:hint="eastAsia"/>
          <w:color w:val="auto"/>
          <w:sz w:val="21"/>
          <w:szCs w:val="21"/>
          <w:highlight w:val="none"/>
        </w:rPr>
        <w:t>①投标人盖章的中小企业声明函，②产品制造商盖章的残疾人服务单位声明函。</w:t>
      </w:r>
    </w:p>
    <w:p>
      <w:pPr>
        <w:spacing w:line="364" w:lineRule="auto"/>
        <w:ind w:left="320" w:right="552" w:firstLine="482"/>
        <w:jc w:val="both"/>
        <w:rPr>
          <w:b/>
          <w:color w:val="auto"/>
          <w:sz w:val="21"/>
          <w:szCs w:val="21"/>
          <w:highlight w:val="none"/>
        </w:rPr>
      </w:pPr>
      <w:r>
        <w:rPr>
          <w:rFonts w:hint="eastAsia"/>
          <w:b/>
          <w:color w:val="auto"/>
          <w:sz w:val="21"/>
          <w:szCs w:val="21"/>
          <w:highlight w:val="none"/>
        </w:rPr>
        <w:t>根据《财政部 民政部 中国残疾人联合会关于促进残疾人就业政府采购政策的通知》提交的声明函</w:t>
      </w:r>
    </w:p>
    <w:p>
      <w:pPr>
        <w:jc w:val="center"/>
        <w:rPr>
          <w:b/>
          <w:bCs/>
          <w:color w:val="auto"/>
          <w:highlight w:val="none"/>
          <w:lang w:val="en-US"/>
        </w:rPr>
      </w:pPr>
      <w:r>
        <w:rPr>
          <w:rFonts w:hint="eastAsia"/>
          <w:b/>
          <w:bCs/>
          <w:color w:val="auto"/>
          <w:highlight w:val="none"/>
          <w:lang w:val="en-US"/>
        </w:rPr>
        <w:t>残疾人福利性单位声明函</w:t>
      </w:r>
    </w:p>
    <w:p>
      <w:pPr>
        <w:jc w:val="center"/>
        <w:rPr>
          <w:b/>
          <w:bCs/>
          <w:color w:val="auto"/>
          <w:highlight w:val="none"/>
        </w:rPr>
      </w:pPr>
    </w:p>
    <w:p>
      <w:pPr>
        <w:pStyle w:val="14"/>
        <w:spacing w:line="560" w:lineRule="exact"/>
        <w:ind w:firstLine="420" w:firstLineChars="200"/>
        <w:jc w:val="both"/>
        <w:rPr>
          <w:color w:val="auto"/>
          <w:sz w:val="21"/>
          <w:szCs w:val="21"/>
          <w:highlight w:val="none"/>
        </w:rPr>
      </w:pPr>
      <w:r>
        <w:rPr>
          <w:rFonts w:hint="eastAsia"/>
          <w:color w:val="auto"/>
          <w:sz w:val="21"/>
          <w:szCs w:val="21"/>
          <w:highlight w:val="none"/>
        </w:rPr>
        <w:t>本单位郑重声明，根据《财政部 民政部 中国残疾人联合会关于促进残疾人就业政府采购政策的通知》（财库〔2017〕 141 号）的规定，本单位为符合条件的残疾人福利性单位，且本单位参加</w:t>
      </w:r>
      <w:r>
        <w:rPr>
          <w:rFonts w:hint="eastAsia"/>
          <w:color w:val="auto"/>
          <w:sz w:val="21"/>
          <w:szCs w:val="21"/>
          <w:highlight w:val="none"/>
          <w:u w:val="single"/>
        </w:rPr>
        <w:t xml:space="preserve"> 【采购人】</w:t>
      </w:r>
      <w:r>
        <w:rPr>
          <w:rFonts w:hint="eastAsia"/>
          <w:color w:val="auto"/>
          <w:sz w:val="21"/>
          <w:szCs w:val="21"/>
          <w:highlight w:val="none"/>
        </w:rPr>
        <w:t>_单位的</w:t>
      </w:r>
      <w:r>
        <w:rPr>
          <w:rFonts w:hint="eastAsia"/>
          <w:color w:val="auto"/>
          <w:sz w:val="21"/>
          <w:szCs w:val="21"/>
          <w:highlight w:val="none"/>
          <w:u w:val="single"/>
        </w:rPr>
        <w:t xml:space="preserve"> 【项目名称】 </w:t>
      </w:r>
      <w:r>
        <w:rPr>
          <w:rFonts w:hint="eastAsia"/>
          <w:color w:val="auto"/>
          <w:sz w:val="21"/>
          <w:szCs w:val="21"/>
          <w:highlight w:val="none"/>
        </w:rPr>
        <w:t>项目采购活动【按投标实际情况在下方选择，在□中划勾或涂黑】：</w:t>
      </w:r>
    </w:p>
    <w:p>
      <w:pPr>
        <w:pStyle w:val="14"/>
        <w:spacing w:line="560" w:lineRule="exact"/>
        <w:ind w:firstLine="420" w:firstLineChars="200"/>
        <w:rPr>
          <w:color w:val="auto"/>
          <w:sz w:val="21"/>
          <w:szCs w:val="21"/>
          <w:highlight w:val="none"/>
        </w:rPr>
      </w:pPr>
      <w:r>
        <w:rPr>
          <w:rFonts w:hint="eastAsia"/>
          <w:color w:val="auto"/>
          <w:sz w:val="21"/>
          <w:szCs w:val="21"/>
          <w:highlight w:val="none"/>
        </w:rPr>
        <w:t>□提供本单位制造的货物</w:t>
      </w:r>
    </w:p>
    <w:p>
      <w:pPr>
        <w:pStyle w:val="14"/>
        <w:spacing w:line="560" w:lineRule="exact"/>
        <w:ind w:firstLine="420" w:firstLineChars="200"/>
        <w:rPr>
          <w:color w:val="auto"/>
          <w:sz w:val="21"/>
          <w:szCs w:val="21"/>
          <w:highlight w:val="none"/>
        </w:rPr>
      </w:pPr>
      <w:r>
        <w:rPr>
          <w:rFonts w:hint="eastAsia"/>
          <w:color w:val="auto"/>
          <w:sz w:val="21"/>
          <w:szCs w:val="21"/>
          <w:highlight w:val="none"/>
        </w:rPr>
        <w:t>□由本单位提供服务</w:t>
      </w:r>
    </w:p>
    <w:p>
      <w:pPr>
        <w:pStyle w:val="14"/>
        <w:spacing w:line="560" w:lineRule="exact"/>
        <w:ind w:firstLine="420" w:firstLineChars="200"/>
        <w:rPr>
          <w:color w:val="auto"/>
          <w:sz w:val="21"/>
          <w:szCs w:val="21"/>
          <w:highlight w:val="none"/>
        </w:rPr>
      </w:pPr>
      <w:r>
        <w:rPr>
          <w:rFonts w:hint="eastAsia"/>
          <w:color w:val="auto"/>
          <w:sz w:val="21"/>
          <w:szCs w:val="21"/>
          <w:highlight w:val="none"/>
        </w:rPr>
        <w:t>□提供其他残疾人福利性单位制造的货物（不包括使用非残疾人福利性单位注册商标的货物）。</w:t>
      </w:r>
    </w:p>
    <w:p>
      <w:pPr>
        <w:pStyle w:val="14"/>
        <w:spacing w:line="560" w:lineRule="exact"/>
        <w:ind w:firstLine="420" w:firstLineChars="200"/>
        <w:rPr>
          <w:color w:val="auto"/>
          <w:sz w:val="21"/>
          <w:szCs w:val="21"/>
          <w:highlight w:val="none"/>
        </w:rPr>
      </w:pPr>
      <w:r>
        <w:rPr>
          <w:rFonts w:hint="eastAsia"/>
          <w:color w:val="auto"/>
          <w:sz w:val="21"/>
          <w:szCs w:val="21"/>
          <w:highlight w:val="none"/>
        </w:rPr>
        <w:t>本单位对上述声明的真实性负责。如有虚假，将依法承担相应责任。</w:t>
      </w:r>
    </w:p>
    <w:p>
      <w:pPr>
        <w:pStyle w:val="14"/>
        <w:spacing w:line="560" w:lineRule="exact"/>
        <w:ind w:firstLine="320" w:firstLineChars="200"/>
        <w:rPr>
          <w:color w:val="auto"/>
          <w:sz w:val="16"/>
          <w:szCs w:val="21"/>
          <w:highlight w:val="none"/>
        </w:rPr>
      </w:pPr>
    </w:p>
    <w:p>
      <w:pPr>
        <w:pStyle w:val="14"/>
        <w:tabs>
          <w:tab w:val="left" w:pos="4620"/>
        </w:tabs>
        <w:spacing w:line="560" w:lineRule="exact"/>
        <w:ind w:firstLine="4410" w:firstLineChars="2100"/>
        <w:rPr>
          <w:color w:val="auto"/>
          <w:sz w:val="21"/>
          <w:szCs w:val="21"/>
          <w:highlight w:val="none"/>
        </w:rPr>
      </w:pPr>
      <w:r>
        <w:rPr>
          <w:rFonts w:hint="eastAsia"/>
          <w:color w:val="auto"/>
          <w:sz w:val="21"/>
          <w:szCs w:val="21"/>
          <w:highlight w:val="none"/>
        </w:rPr>
        <w:t>单位名称（盖章）：</w:t>
      </w:r>
    </w:p>
    <w:p>
      <w:pPr>
        <w:pStyle w:val="14"/>
        <w:tabs>
          <w:tab w:val="left" w:pos="4620"/>
        </w:tabs>
        <w:spacing w:line="560" w:lineRule="exact"/>
        <w:ind w:firstLine="4410" w:firstLineChars="2100"/>
        <w:rPr>
          <w:color w:val="auto"/>
          <w:sz w:val="21"/>
          <w:szCs w:val="21"/>
          <w:highlight w:val="none"/>
        </w:rPr>
      </w:pPr>
      <w:r>
        <w:rPr>
          <w:rFonts w:hint="eastAsia"/>
          <w:color w:val="auto"/>
          <w:sz w:val="21"/>
          <w:szCs w:val="21"/>
          <w:highlight w:val="none"/>
        </w:rPr>
        <w:t>日期：</w:t>
      </w:r>
    </w:p>
    <w:p>
      <w:pPr>
        <w:pStyle w:val="14"/>
        <w:spacing w:line="560" w:lineRule="exact"/>
        <w:ind w:firstLine="420" w:firstLineChars="200"/>
        <w:rPr>
          <w:color w:val="auto"/>
          <w:sz w:val="21"/>
          <w:szCs w:val="21"/>
          <w:highlight w:val="none"/>
        </w:rPr>
      </w:pPr>
      <w:r>
        <w:rPr>
          <w:rFonts w:hint="eastAsia"/>
          <w:color w:val="auto"/>
          <w:sz w:val="21"/>
          <w:szCs w:val="21"/>
          <w:highlight w:val="none"/>
        </w:rPr>
        <w:t>注：</w:t>
      </w:r>
    </w:p>
    <w:p>
      <w:pPr>
        <w:pStyle w:val="14"/>
        <w:spacing w:line="560" w:lineRule="exact"/>
        <w:ind w:firstLine="420" w:firstLineChars="200"/>
        <w:jc w:val="both"/>
        <w:rPr>
          <w:color w:val="auto"/>
          <w:sz w:val="21"/>
          <w:szCs w:val="21"/>
          <w:highlight w:val="none"/>
        </w:rPr>
      </w:pPr>
      <w:r>
        <w:rPr>
          <w:rFonts w:hint="eastAsia"/>
          <w:color w:val="auto"/>
          <w:sz w:val="21"/>
          <w:szCs w:val="21"/>
          <w:highlight w:val="none"/>
        </w:rPr>
        <w:t>1、符合（财库〔2017〕141 号）规定条件的残疾人福利性单位在参加政府采购活动时， 应当提供此格式文件。投标不涉及残疾人福利性单位的，无需填写此也无需提交此格式文件。</w:t>
      </w:r>
    </w:p>
    <w:p>
      <w:pPr>
        <w:pStyle w:val="14"/>
        <w:spacing w:line="560" w:lineRule="exact"/>
        <w:ind w:firstLine="420" w:firstLineChars="200"/>
        <w:rPr>
          <w:color w:val="auto"/>
          <w:sz w:val="21"/>
          <w:szCs w:val="21"/>
          <w:highlight w:val="none"/>
        </w:rPr>
      </w:pPr>
      <w:r>
        <w:rPr>
          <w:rFonts w:hint="eastAsia"/>
          <w:color w:val="auto"/>
          <w:sz w:val="21"/>
          <w:szCs w:val="21"/>
          <w:highlight w:val="none"/>
        </w:rPr>
        <w:t>2、此表如未正确填写，评审时将不予承认。</w:t>
      </w:r>
    </w:p>
    <w:p>
      <w:pPr>
        <w:spacing w:line="560" w:lineRule="exact"/>
        <w:ind w:firstLine="420" w:firstLineChars="200"/>
        <w:rPr>
          <w:b/>
          <w:color w:val="auto"/>
          <w:sz w:val="21"/>
          <w:szCs w:val="20"/>
          <w:highlight w:val="none"/>
        </w:rPr>
      </w:pPr>
      <w:r>
        <w:rPr>
          <w:rFonts w:hint="eastAsia"/>
          <w:color w:val="auto"/>
          <w:sz w:val="21"/>
          <w:szCs w:val="20"/>
          <w:highlight w:val="none"/>
        </w:rPr>
        <w:t>3、中标人享受了本招标文件规定的残疾人福利性单位促进政策的，其</w:t>
      </w:r>
      <w:r>
        <w:rPr>
          <w:rFonts w:hint="eastAsia"/>
          <w:b/>
          <w:color w:val="auto"/>
          <w:sz w:val="21"/>
          <w:szCs w:val="20"/>
          <w:highlight w:val="none"/>
        </w:rPr>
        <w:t>残疾人福利性单位声明函将按规定进行公告。</w:t>
      </w:r>
    </w:p>
    <w:p>
      <w:pPr>
        <w:rPr>
          <w:color w:val="auto"/>
          <w:sz w:val="21"/>
          <w:szCs w:val="20"/>
          <w:highlight w:val="none"/>
        </w:rPr>
      </w:pPr>
      <w:r>
        <w:rPr>
          <w:rFonts w:hint="eastAsia"/>
          <w:color w:val="auto"/>
          <w:sz w:val="21"/>
          <w:szCs w:val="20"/>
          <w:highlight w:val="none"/>
        </w:rPr>
        <w:br w:type="page"/>
      </w:r>
    </w:p>
    <w:p>
      <w:pPr>
        <w:pStyle w:val="7"/>
        <w:spacing w:before="43"/>
        <w:ind w:left="363" w:right="437"/>
        <w:rPr>
          <w:rFonts w:ascii="宋体" w:hAnsi="宋体" w:eastAsia="宋体" w:cs="宋体"/>
          <w:color w:val="auto"/>
          <w:sz w:val="28"/>
          <w:szCs w:val="28"/>
          <w:highlight w:val="none"/>
          <w:lang w:val="en-US"/>
        </w:rPr>
      </w:pPr>
      <w:bookmarkStart w:id="120" w:name="_Toc4180"/>
      <w:r>
        <w:rPr>
          <w:rFonts w:hint="eastAsia" w:ascii="宋体" w:hAnsi="宋体" w:eastAsia="宋体" w:cs="宋体"/>
          <w:color w:val="auto"/>
          <w:sz w:val="28"/>
          <w:szCs w:val="28"/>
          <w:highlight w:val="none"/>
          <w:lang w:val="en-US"/>
        </w:rPr>
        <w:t>附件 3 监狱企业证明材料</w:t>
      </w:r>
      <w:bookmarkEnd w:id="120"/>
    </w:p>
    <w:p>
      <w:pPr>
        <w:spacing w:line="480" w:lineRule="exact"/>
        <w:jc w:val="center"/>
        <w:rPr>
          <w:b/>
          <w:color w:val="auto"/>
          <w:highlight w:val="none"/>
        </w:rPr>
      </w:pPr>
      <w:r>
        <w:rPr>
          <w:rFonts w:hint="eastAsia"/>
          <w:b/>
          <w:color w:val="auto"/>
          <w:highlight w:val="none"/>
          <w:lang w:val="en-US"/>
        </w:rPr>
        <w:t>监狱企业证明材料</w:t>
      </w:r>
      <w:r>
        <w:rPr>
          <w:rFonts w:hint="eastAsia"/>
          <w:b/>
          <w:color w:val="auto"/>
          <w:highlight w:val="none"/>
        </w:rPr>
        <w:t>（不符合的无需提供）</w:t>
      </w:r>
    </w:p>
    <w:p>
      <w:pPr>
        <w:pStyle w:val="14"/>
        <w:spacing w:before="161" w:line="362" w:lineRule="auto"/>
        <w:ind w:right="558"/>
        <w:rPr>
          <w:color w:val="auto"/>
          <w:sz w:val="21"/>
          <w:szCs w:val="21"/>
          <w:highlight w:val="none"/>
        </w:rPr>
      </w:pPr>
      <w:bookmarkStart w:id="121" w:name="附件18_评审现场原件备查证明材料汇总表（若招标文件未要求的，可不交此表格）"/>
      <w:bookmarkEnd w:id="121"/>
      <w:r>
        <w:rPr>
          <w:rFonts w:hint="eastAsia"/>
          <w:color w:val="auto"/>
          <w:sz w:val="21"/>
          <w:szCs w:val="21"/>
          <w:highlight w:val="none"/>
        </w:rPr>
        <w:t>投标人所报产品中有监狱企业制造的货物的，应同时提交下列文件：</w:t>
      </w:r>
    </w:p>
    <w:p>
      <w:pPr>
        <w:pStyle w:val="14"/>
        <w:spacing w:before="161" w:line="362" w:lineRule="auto"/>
        <w:ind w:left="320" w:right="558" w:firstLine="479"/>
        <w:rPr>
          <w:color w:val="auto"/>
          <w:sz w:val="21"/>
          <w:szCs w:val="21"/>
          <w:highlight w:val="none"/>
        </w:rPr>
      </w:pPr>
      <w:r>
        <w:rPr>
          <w:rFonts w:hint="eastAsia"/>
          <w:color w:val="auto"/>
          <w:sz w:val="21"/>
          <w:szCs w:val="21"/>
          <w:highlight w:val="none"/>
        </w:rPr>
        <w:t>①投标人盖章的中小企业声明函，②产品制造商盖章的监狱企业证明材料。</w:t>
      </w:r>
    </w:p>
    <w:p>
      <w:pPr>
        <w:pStyle w:val="14"/>
        <w:spacing w:before="7"/>
        <w:rPr>
          <w:color w:val="auto"/>
          <w:sz w:val="21"/>
          <w:szCs w:val="21"/>
          <w:highlight w:val="none"/>
        </w:rPr>
      </w:pPr>
    </w:p>
    <w:p>
      <w:pPr>
        <w:pStyle w:val="14"/>
        <w:spacing w:line="364" w:lineRule="auto"/>
        <w:ind w:left="320" w:right="563" w:firstLine="479"/>
        <w:rPr>
          <w:color w:val="auto"/>
          <w:sz w:val="21"/>
          <w:szCs w:val="21"/>
          <w:highlight w:val="none"/>
        </w:rPr>
      </w:pPr>
      <w:r>
        <w:rPr>
          <w:rFonts w:hint="eastAsia"/>
          <w:color w:val="auto"/>
          <w:sz w:val="21"/>
          <w:szCs w:val="21"/>
          <w:highlight w:val="none"/>
        </w:rPr>
        <w:t>根据《财政部 司法部关于政府采购支持监狱企业发展有关问题的通知（财库[2014]68 号）》的规定提交有关部门出具的证明材料。</w:t>
      </w:r>
    </w:p>
    <w:p>
      <w:pPr>
        <w:rPr>
          <w:color w:val="auto"/>
          <w:sz w:val="21"/>
          <w:szCs w:val="21"/>
          <w:highlight w:val="none"/>
        </w:rPr>
      </w:pPr>
      <w:r>
        <w:rPr>
          <w:rFonts w:hint="eastAsia"/>
          <w:color w:val="auto"/>
          <w:sz w:val="21"/>
          <w:szCs w:val="21"/>
          <w:highlight w:val="none"/>
        </w:rPr>
        <w:br w:type="page"/>
      </w:r>
    </w:p>
    <w:p>
      <w:pPr>
        <w:pStyle w:val="7"/>
        <w:spacing w:before="43"/>
        <w:ind w:left="363" w:right="437"/>
        <w:rPr>
          <w:rFonts w:ascii="宋体" w:hAnsi="宋体" w:eastAsia="宋体" w:cs="宋体"/>
          <w:color w:val="auto"/>
          <w:sz w:val="28"/>
          <w:szCs w:val="28"/>
          <w:highlight w:val="none"/>
          <w:lang w:val="en-US"/>
        </w:rPr>
      </w:pPr>
      <w:bookmarkStart w:id="122" w:name="_Toc24405"/>
      <w:r>
        <w:rPr>
          <w:rFonts w:hint="eastAsia" w:ascii="宋体" w:hAnsi="宋体" w:eastAsia="宋体" w:cs="宋体"/>
          <w:color w:val="auto"/>
          <w:sz w:val="28"/>
          <w:szCs w:val="28"/>
          <w:highlight w:val="none"/>
          <w:lang w:val="en-US"/>
        </w:rPr>
        <w:t>附件 4 节能、环境标志产品证明材料（符合填写）</w:t>
      </w:r>
      <w:bookmarkEnd w:id="122"/>
    </w:p>
    <w:p>
      <w:pPr>
        <w:spacing w:line="480" w:lineRule="exact"/>
        <w:jc w:val="center"/>
        <w:rPr>
          <w:b/>
          <w:color w:val="auto"/>
          <w:highlight w:val="none"/>
          <w:lang w:val="en-US"/>
        </w:rPr>
      </w:pPr>
      <w:r>
        <w:rPr>
          <w:rFonts w:hint="eastAsia"/>
          <w:b/>
          <w:color w:val="auto"/>
          <w:highlight w:val="none"/>
          <w:lang w:val="en-US"/>
        </w:rPr>
        <w:t>节能、环境标志产品证明材料（符合填写）</w:t>
      </w:r>
    </w:p>
    <w:p>
      <w:pPr>
        <w:pStyle w:val="15"/>
        <w:rPr>
          <w:rFonts w:ascii="宋体" w:hAnsi="宋体" w:eastAsia="宋体" w:cs="宋体"/>
          <w:color w:val="auto"/>
          <w:sz w:val="21"/>
          <w:szCs w:val="21"/>
          <w:highlight w:val="none"/>
        </w:rPr>
      </w:pP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（1）鼓励节能政策：在性能、技术、服务等指标同等条件下，优先采购国家确定的认证机构出具的、处于有效期之内的节能产品认证证书标志产品。投标涉及上述产品的， 投标人应提供带有投标产品型号的节能产品认证证书复印件作为证明。</w:t>
      </w:r>
    </w:p>
    <w:p>
      <w:pPr>
        <w:tabs>
          <w:tab w:val="left" w:pos="908"/>
        </w:tabs>
        <w:spacing w:line="360" w:lineRule="auto"/>
        <w:ind w:firstLine="420" w:firstLineChars="200"/>
        <w:rPr>
          <w:color w:val="auto"/>
          <w:sz w:val="21"/>
          <w:szCs w:val="21"/>
          <w:highlight w:val="none"/>
          <w:lang w:val="en-US"/>
        </w:rPr>
      </w:pPr>
      <w:r>
        <w:rPr>
          <w:rFonts w:hint="eastAsia"/>
          <w:color w:val="auto"/>
          <w:sz w:val="21"/>
          <w:szCs w:val="21"/>
          <w:highlight w:val="none"/>
          <w:lang w:val="en-US"/>
        </w:rPr>
        <w:t>（2）鼓励环保政策：在性能、技术、服务等指标同等条件下，优先采购国家确定的认证机构出具的、处于有效期之内的环境标志产品认证证书标志产品。投标涉及上述产品的，投标人应提供带有投标产品型号的环境标志产品认证证书复印件作为证明。</w:t>
      </w:r>
    </w:p>
    <w:p>
      <w:pPr>
        <w:pStyle w:val="15"/>
        <w:rPr>
          <w:rFonts w:ascii="宋体" w:hAnsi="宋体" w:eastAsia="宋体" w:cs="宋体"/>
          <w:color w:val="auto"/>
          <w:sz w:val="21"/>
          <w:szCs w:val="21"/>
          <w:highlight w:val="none"/>
        </w:rPr>
      </w:pPr>
    </w:p>
    <w:p>
      <w:pPr>
        <w:rPr>
          <w:color w:val="auto"/>
          <w:sz w:val="21"/>
          <w:szCs w:val="20"/>
          <w:highlight w:val="none"/>
        </w:rPr>
      </w:pPr>
      <w:r>
        <w:rPr>
          <w:rFonts w:hint="eastAsia"/>
          <w:color w:val="auto"/>
          <w:sz w:val="21"/>
          <w:szCs w:val="20"/>
          <w:highlight w:val="none"/>
        </w:rPr>
        <w:br w:type="page"/>
      </w:r>
    </w:p>
    <w:p>
      <w:pPr>
        <w:pStyle w:val="6"/>
        <w:spacing w:before="43"/>
        <w:ind w:left="363" w:right="437"/>
        <w:rPr>
          <w:rFonts w:ascii="宋体" w:hAnsi="宋体" w:eastAsia="宋体" w:cs="宋体"/>
          <w:color w:val="auto"/>
          <w:sz w:val="28"/>
          <w:szCs w:val="28"/>
          <w:highlight w:val="none"/>
          <w:lang w:val="en-US"/>
        </w:rPr>
      </w:pPr>
      <w:bookmarkStart w:id="123" w:name="_bookmark128"/>
      <w:bookmarkEnd w:id="123"/>
      <w:bookmarkStart w:id="124" w:name="_bookmark126"/>
      <w:bookmarkEnd w:id="124"/>
      <w:bookmarkStart w:id="125" w:name="_bookmark127"/>
      <w:bookmarkEnd w:id="125"/>
      <w:bookmarkStart w:id="126" w:name="_Toc16071"/>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val="en-US"/>
        </w:rPr>
        <w:t>四</w:t>
      </w:r>
      <w:r>
        <w:rPr>
          <w:rFonts w:hint="eastAsia" w:ascii="宋体" w:hAnsi="宋体" w:eastAsia="宋体" w:cs="宋体"/>
          <w:color w:val="auto"/>
          <w:sz w:val="28"/>
          <w:szCs w:val="28"/>
          <w:highlight w:val="none"/>
        </w:rPr>
        <w:t>节 资格证明文件格式</w:t>
      </w:r>
      <w:bookmarkEnd w:id="126"/>
    </w:p>
    <w:p>
      <w:pPr>
        <w:pStyle w:val="7"/>
        <w:spacing w:before="43"/>
        <w:ind w:left="363" w:right="437"/>
        <w:rPr>
          <w:rFonts w:ascii="宋体" w:hAnsi="宋体" w:eastAsia="宋体" w:cs="宋体"/>
          <w:color w:val="auto"/>
          <w:sz w:val="28"/>
          <w:szCs w:val="28"/>
          <w:highlight w:val="none"/>
          <w:lang w:val="en-US"/>
        </w:rPr>
      </w:pPr>
      <w:bookmarkStart w:id="127" w:name="_Toc10881"/>
      <w:r>
        <w:rPr>
          <w:rFonts w:hint="eastAsia" w:ascii="宋体" w:hAnsi="宋体" w:eastAsia="宋体" w:cs="宋体"/>
          <w:color w:val="auto"/>
          <w:sz w:val="28"/>
          <w:szCs w:val="28"/>
          <w:highlight w:val="none"/>
          <w:lang w:val="en-US"/>
        </w:rPr>
        <w:t>附件 1 资格、资信证明文件</w:t>
      </w:r>
      <w:bookmarkEnd w:id="127"/>
    </w:p>
    <w:p>
      <w:pPr>
        <w:pStyle w:val="36"/>
        <w:spacing w:line="400" w:lineRule="exact"/>
        <w:jc w:val="center"/>
        <w:rPr>
          <w:rFonts w:ascii="宋体" w:hAnsi="宋体" w:cs="宋体"/>
          <w:b/>
          <w:color w:val="auto"/>
          <w:sz w:val="24"/>
          <w:szCs w:val="21"/>
          <w:highlight w:val="none"/>
        </w:rPr>
      </w:pPr>
      <w:r>
        <w:rPr>
          <w:rFonts w:hint="eastAsia" w:ascii="宋体" w:hAnsi="宋体" w:cs="宋体"/>
          <w:b/>
          <w:color w:val="auto"/>
          <w:sz w:val="24"/>
          <w:szCs w:val="21"/>
          <w:highlight w:val="none"/>
        </w:rPr>
        <w:t>资格、资信证明文件部分建议格式</w:t>
      </w:r>
    </w:p>
    <w:tbl>
      <w:tblPr>
        <w:tblStyle w:val="2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4"/>
        <w:gridCol w:w="2070"/>
        <w:gridCol w:w="63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jc w:val="center"/>
        </w:trPr>
        <w:tc>
          <w:tcPr>
            <w:tcW w:w="1104" w:type="dxa"/>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附件顺序</w:t>
            </w:r>
          </w:p>
        </w:tc>
        <w:tc>
          <w:tcPr>
            <w:tcW w:w="2070" w:type="dxa"/>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提交文件</w:t>
            </w:r>
          </w:p>
        </w:tc>
        <w:tc>
          <w:tcPr>
            <w:tcW w:w="6383" w:type="dxa"/>
            <w:vAlign w:val="center"/>
          </w:tcPr>
          <w:p>
            <w:pPr>
              <w:pStyle w:val="33"/>
              <w:jc w:val="center"/>
              <w:rPr>
                <w:rFonts w:ascii="宋体" w:hAnsi="宋体" w:eastAsia="宋体" w:cs="宋体"/>
                <w:b/>
                <w:color w:val="auto"/>
                <w:sz w:val="21"/>
                <w:szCs w:val="20"/>
                <w:highlight w:val="none"/>
              </w:rPr>
            </w:pPr>
            <w:r>
              <w:rPr>
                <w:rFonts w:hint="eastAsia" w:ascii="宋体" w:hAnsi="宋体" w:eastAsia="宋体" w:cs="宋体"/>
                <w:b/>
                <w:color w:val="auto"/>
                <w:sz w:val="21"/>
                <w:szCs w:val="20"/>
                <w:highlight w:val="none"/>
              </w:rPr>
              <w:t>提交文件说明与评审标准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79" w:hRule="atLeast"/>
          <w:jc w:val="center"/>
        </w:trPr>
        <w:tc>
          <w:tcPr>
            <w:tcW w:w="110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-1</w:t>
            </w:r>
          </w:p>
        </w:tc>
        <w:tc>
          <w:tcPr>
            <w:tcW w:w="20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法人或者其他组织、自然人的营业执照等证明文件</w:t>
            </w:r>
          </w:p>
        </w:tc>
        <w:tc>
          <w:tcPr>
            <w:tcW w:w="6383" w:type="dxa"/>
            <w:vAlign w:val="center"/>
          </w:tcPr>
          <w:p>
            <w:pPr>
              <w:pStyle w:val="33"/>
              <w:numPr>
                <w:ilvl w:val="0"/>
                <w:numId w:val="3"/>
              </w:numPr>
              <w:tabs>
                <w:tab w:val="left" w:pos="528"/>
                <w:tab w:val="left" w:pos="529"/>
              </w:tabs>
              <w:ind w:left="0" w:firstLine="0"/>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投标人是企业（包括合伙企业）的，应提供其在工商部门注册的有效“营业执照”复印件；</w:t>
            </w:r>
          </w:p>
          <w:p>
            <w:pPr>
              <w:pStyle w:val="33"/>
              <w:numPr>
                <w:ilvl w:val="0"/>
                <w:numId w:val="3"/>
              </w:numPr>
              <w:tabs>
                <w:tab w:val="left" w:pos="528"/>
                <w:tab w:val="left" w:pos="529"/>
              </w:tabs>
              <w:ind w:left="0" w:firstLine="0"/>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投标人是事业单位的，应提供其有效的“事业单位法人证书”复印件；</w:t>
            </w:r>
          </w:p>
          <w:p>
            <w:pPr>
              <w:pStyle w:val="33"/>
              <w:numPr>
                <w:ilvl w:val="0"/>
                <w:numId w:val="3"/>
              </w:numPr>
              <w:tabs>
                <w:tab w:val="left" w:pos="528"/>
                <w:tab w:val="left" w:pos="529"/>
              </w:tabs>
              <w:ind w:left="0" w:firstLine="0"/>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投标人是非企业专业服务机构的，应提供其有效的“执业许可证”复印件；</w:t>
            </w:r>
          </w:p>
          <w:p>
            <w:pPr>
              <w:pStyle w:val="33"/>
              <w:numPr>
                <w:ilvl w:val="0"/>
                <w:numId w:val="3"/>
              </w:numPr>
              <w:tabs>
                <w:tab w:val="left" w:pos="528"/>
                <w:tab w:val="left" w:pos="529"/>
              </w:tabs>
              <w:ind w:left="0" w:firstLine="0"/>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投标人是民办非企业单位的，应提供其有效的登记证书复印件；</w:t>
            </w:r>
          </w:p>
          <w:p>
            <w:pPr>
              <w:pStyle w:val="33"/>
              <w:numPr>
                <w:ilvl w:val="0"/>
                <w:numId w:val="3"/>
              </w:numPr>
              <w:tabs>
                <w:tab w:val="left" w:pos="528"/>
                <w:tab w:val="left" w:pos="529"/>
              </w:tabs>
              <w:ind w:left="0" w:firstLine="0"/>
              <w:rPr>
                <w:rFonts w:ascii="宋体" w:hAnsi="宋体" w:eastAsia="宋体" w:cs="宋体"/>
                <w:color w:val="auto"/>
                <w:sz w:val="21"/>
                <w:szCs w:val="20"/>
                <w:highlight w:val="none"/>
                <w:lang w:val="en-US"/>
              </w:rPr>
            </w:pPr>
            <w:r>
              <w:rPr>
                <w:rFonts w:hint="eastAsia" w:ascii="宋体" w:hAnsi="宋体" w:eastAsia="宋体" w:cs="宋体"/>
                <w:color w:val="auto"/>
                <w:sz w:val="21"/>
                <w:szCs w:val="20"/>
                <w:highlight w:val="none"/>
                <w:lang w:val="en-US"/>
              </w:rPr>
              <w:t>投标人是个体工商户的，应提供其有效的“营业执照”复印件；</w:t>
            </w:r>
          </w:p>
          <w:p>
            <w:pPr>
              <w:pStyle w:val="33"/>
              <w:numPr>
                <w:ilvl w:val="0"/>
                <w:numId w:val="3"/>
              </w:numPr>
              <w:tabs>
                <w:tab w:val="left" w:pos="528"/>
                <w:tab w:val="left" w:pos="529"/>
              </w:tabs>
              <w:ind w:left="0" w:firstLine="0"/>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投标人是自然人的，应提供其有效的自然人身份证明复印件；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1104" w:type="dxa"/>
            <w:vMerge w:val="restart"/>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-2</w:t>
            </w:r>
          </w:p>
        </w:tc>
        <w:tc>
          <w:tcPr>
            <w:tcW w:w="2070" w:type="dxa"/>
            <w:vMerge w:val="restart"/>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财务状况报告：提供（1）或提供（2）</w:t>
            </w:r>
          </w:p>
        </w:tc>
        <w:tc>
          <w:tcPr>
            <w:tcW w:w="6383" w:type="dxa"/>
            <w:vAlign w:val="center"/>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近一</w:t>
            </w:r>
            <w:r>
              <w:rPr>
                <w:rFonts w:hint="eastAsia" w:ascii="宋体" w:hAnsi="宋体" w:eastAsia="宋体" w:cs="宋体"/>
                <w:color w:val="auto"/>
                <w:sz w:val="21"/>
                <w:szCs w:val="20"/>
                <w:highlight w:val="none"/>
              </w:rPr>
              <w:t>年度由会计师事务所出具财务审计报告（复印件，至少须包括审计意见正文、资产负债表、利润表、现金流量表和附注）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104" w:type="dxa"/>
            <w:vMerge w:val="continue"/>
            <w:tcBorders>
              <w:top w:val="nil"/>
            </w:tcBorders>
            <w:vAlign w:val="center"/>
          </w:tcPr>
          <w:p>
            <w:pPr>
              <w:jc w:val="center"/>
              <w:rPr>
                <w:color w:val="auto"/>
                <w:sz w:val="2"/>
                <w:szCs w:val="2"/>
                <w:highlight w:val="none"/>
              </w:rPr>
            </w:pPr>
          </w:p>
        </w:tc>
        <w:tc>
          <w:tcPr>
            <w:tcW w:w="2070" w:type="dxa"/>
            <w:vMerge w:val="continue"/>
            <w:tcBorders>
              <w:top w:val="nil"/>
            </w:tcBorders>
            <w:vAlign w:val="center"/>
          </w:tcPr>
          <w:p>
            <w:pPr>
              <w:jc w:val="center"/>
              <w:rPr>
                <w:color w:val="auto"/>
                <w:sz w:val="2"/>
                <w:szCs w:val="2"/>
                <w:highlight w:val="none"/>
              </w:rPr>
            </w:pPr>
          </w:p>
        </w:tc>
        <w:tc>
          <w:tcPr>
            <w:tcW w:w="6383" w:type="dxa"/>
            <w:vAlign w:val="center"/>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（2）提供由开标日前三个月内投标人开户银行出具的资信证明原件。资信证明还应满足以下要求：</w:t>
            </w:r>
          </w:p>
          <w:p>
            <w:pPr>
              <w:pStyle w:val="33"/>
              <w:numPr>
                <w:ilvl w:val="0"/>
                <w:numId w:val="3"/>
              </w:numPr>
              <w:tabs>
                <w:tab w:val="left" w:pos="528"/>
                <w:tab w:val="left" w:pos="529"/>
              </w:tabs>
              <w:ind w:left="0" w:firstLine="0"/>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无收受人和项目的限制，但开具银行有限制规定的除外；</w:t>
            </w:r>
          </w:p>
          <w:p>
            <w:pPr>
              <w:pStyle w:val="33"/>
              <w:numPr>
                <w:ilvl w:val="0"/>
                <w:numId w:val="3"/>
              </w:numPr>
              <w:tabs>
                <w:tab w:val="left" w:pos="528"/>
                <w:tab w:val="left" w:pos="529"/>
              </w:tabs>
              <w:ind w:left="0" w:firstLine="0"/>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银行资信证明应能说明该投标人与银行之间业务往来正常，企业信誉良好等；</w:t>
            </w:r>
          </w:p>
          <w:p>
            <w:pPr>
              <w:pStyle w:val="33"/>
              <w:numPr>
                <w:ilvl w:val="0"/>
                <w:numId w:val="3"/>
              </w:numPr>
              <w:tabs>
                <w:tab w:val="left" w:pos="528"/>
                <w:tab w:val="left" w:pos="529"/>
              </w:tabs>
              <w:ind w:left="0" w:firstLine="0"/>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银行出具的存款证明不能替代银行资信证明。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jc w:val="center"/>
        </w:trPr>
        <w:tc>
          <w:tcPr>
            <w:tcW w:w="110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-3</w:t>
            </w:r>
          </w:p>
        </w:tc>
        <w:tc>
          <w:tcPr>
            <w:tcW w:w="20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依法缴纳税收的相关材料</w:t>
            </w:r>
          </w:p>
        </w:tc>
        <w:tc>
          <w:tcPr>
            <w:tcW w:w="6383" w:type="dxa"/>
            <w:vAlign w:val="center"/>
          </w:tcPr>
          <w:p>
            <w:pPr>
              <w:widowControl/>
              <w:autoSpaceDE/>
              <w:autoSpaceDN/>
              <w:rPr>
                <w:color w:val="auto"/>
                <w:sz w:val="21"/>
                <w:szCs w:val="21"/>
                <w:highlight w:val="none"/>
                <w:lang w:val="en-US" w:bidi="ar"/>
              </w:rPr>
            </w:pPr>
            <w:r>
              <w:rPr>
                <w:rFonts w:hint="eastAsia"/>
                <w:color w:val="auto"/>
                <w:sz w:val="21"/>
                <w:szCs w:val="21"/>
                <w:highlight w:val="none"/>
                <w:lang w:val="en-US" w:bidi="ar"/>
              </w:rPr>
              <w:t>开标日前6个月内任意一月缴纳税收的凭证复印件；</w:t>
            </w:r>
          </w:p>
          <w:p>
            <w:pPr>
              <w:widowControl/>
              <w:autoSpaceDE/>
              <w:autoSpaceDN/>
              <w:rPr>
                <w:color w:val="auto"/>
                <w:sz w:val="21"/>
                <w:szCs w:val="21"/>
                <w:highlight w:val="none"/>
                <w:lang w:val="en-US" w:bidi="ar"/>
              </w:rPr>
            </w:pPr>
            <w:r>
              <w:rPr>
                <w:rFonts w:hint="eastAsia"/>
                <w:color w:val="auto"/>
                <w:sz w:val="21"/>
                <w:szCs w:val="21"/>
                <w:highlight w:val="none"/>
                <w:lang w:val="en-US" w:bidi="ar"/>
              </w:rPr>
              <w:t>缴纳凭证复印件须清晰可辨，并能显示出税种种类，单位代扣代缴的个人所得税不能作为单位纳税的凭证；</w:t>
            </w:r>
          </w:p>
          <w:p>
            <w:pPr>
              <w:widowControl/>
              <w:autoSpaceDE/>
              <w:autoSpaceDN/>
              <w:rPr>
                <w:color w:val="auto"/>
                <w:sz w:val="21"/>
                <w:szCs w:val="20"/>
                <w:highlight w:val="none"/>
              </w:rPr>
            </w:pPr>
            <w:r>
              <w:rPr>
                <w:rFonts w:hint="eastAsia"/>
                <w:color w:val="auto"/>
                <w:sz w:val="21"/>
                <w:szCs w:val="21"/>
                <w:highlight w:val="none"/>
                <w:lang w:val="en-US" w:bidi="ar"/>
              </w:rPr>
              <w:t>依法免税的投标人，应提供相应文件证明其依法免税；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3" w:hRule="atLeast"/>
          <w:jc w:val="center"/>
        </w:trPr>
        <w:tc>
          <w:tcPr>
            <w:tcW w:w="110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-4</w:t>
            </w:r>
          </w:p>
        </w:tc>
        <w:tc>
          <w:tcPr>
            <w:tcW w:w="20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依法缴纳社会保障资金的相关材料</w:t>
            </w:r>
          </w:p>
        </w:tc>
        <w:tc>
          <w:tcPr>
            <w:tcW w:w="6383" w:type="dxa"/>
            <w:vAlign w:val="center"/>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1"/>
                <w:highlight w:val="none"/>
                <w:lang w:val="en-US" w:bidi="ar"/>
              </w:rPr>
              <w:t>开标日前6个月内（至少提供1个月）缴纳社会保险的凭据（专用收据或社会保险缴纳清单）；投标人为其他组织或自然人的，也需要按此项规定提供缴纳税收的凭据和缴纳社会保险的凭据。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-5</w:t>
            </w:r>
          </w:p>
        </w:tc>
        <w:tc>
          <w:tcPr>
            <w:tcW w:w="20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具备履行合同所必需的设备和专业技术能力的说明函</w:t>
            </w:r>
          </w:p>
        </w:tc>
        <w:tc>
          <w:tcPr>
            <w:tcW w:w="6383" w:type="dxa"/>
            <w:vAlign w:val="center"/>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 w:hRule="atLeast"/>
          <w:jc w:val="center"/>
        </w:trPr>
        <w:tc>
          <w:tcPr>
            <w:tcW w:w="110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-6</w:t>
            </w:r>
          </w:p>
        </w:tc>
        <w:tc>
          <w:tcPr>
            <w:tcW w:w="20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参加政府采购活动前 3 年内在经营活动中没有重大违法记录的书面声明</w:t>
            </w:r>
          </w:p>
        </w:tc>
        <w:tc>
          <w:tcPr>
            <w:tcW w:w="6383" w:type="dxa"/>
            <w:vAlign w:val="center"/>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-7</w:t>
            </w:r>
          </w:p>
        </w:tc>
        <w:tc>
          <w:tcPr>
            <w:tcW w:w="20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lang w:val="en-US"/>
              </w:rPr>
              <w:t>投标人针对投标人资格要求限制行为的声明格式</w:t>
            </w:r>
          </w:p>
        </w:tc>
        <w:tc>
          <w:tcPr>
            <w:tcW w:w="6383" w:type="dxa"/>
            <w:vAlign w:val="center"/>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投标人自行拟定格式，加盖公章。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104"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1</w:t>
            </w:r>
            <w:r>
              <w:rPr>
                <w:rFonts w:hint="eastAsia" w:ascii="宋体" w:hAnsi="宋体" w:eastAsia="宋体" w:cs="宋体"/>
                <w:color w:val="auto"/>
                <w:sz w:val="21"/>
                <w:szCs w:val="20"/>
                <w:highlight w:val="none"/>
                <w:lang w:val="en-US"/>
              </w:rPr>
              <w:t>3</w:t>
            </w:r>
            <w:r>
              <w:rPr>
                <w:rFonts w:hint="eastAsia" w:ascii="宋体" w:hAnsi="宋体" w:eastAsia="宋体" w:cs="宋体"/>
                <w:color w:val="auto"/>
                <w:sz w:val="21"/>
                <w:szCs w:val="20"/>
                <w:highlight w:val="none"/>
              </w:rPr>
              <w:t>-8</w:t>
            </w:r>
          </w:p>
        </w:tc>
        <w:tc>
          <w:tcPr>
            <w:tcW w:w="2070" w:type="dxa"/>
            <w:vAlign w:val="center"/>
          </w:tcPr>
          <w:p>
            <w:pPr>
              <w:pStyle w:val="33"/>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联合体协议（联合体投标时适用）</w:t>
            </w:r>
          </w:p>
        </w:tc>
        <w:tc>
          <w:tcPr>
            <w:tcW w:w="6383" w:type="dxa"/>
            <w:vAlign w:val="center"/>
          </w:tcPr>
          <w:p>
            <w:pPr>
              <w:pStyle w:val="33"/>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如为联合体投标，联合体各方均需提供联合体协议。应加盖所有成员单位公章。</w:t>
            </w:r>
          </w:p>
        </w:tc>
      </w:tr>
    </w:tbl>
    <w:p>
      <w:pPr>
        <w:rPr>
          <w:color w:val="auto"/>
          <w:sz w:val="21"/>
          <w:szCs w:val="20"/>
          <w:highlight w:val="none"/>
        </w:rPr>
      </w:pPr>
      <w:r>
        <w:rPr>
          <w:rFonts w:hint="eastAsia"/>
          <w:color w:val="auto"/>
          <w:sz w:val="21"/>
          <w:szCs w:val="20"/>
          <w:highlight w:val="none"/>
        </w:rPr>
        <w:br w:type="page"/>
      </w:r>
    </w:p>
    <w:p>
      <w:pPr>
        <w:pStyle w:val="36"/>
        <w:spacing w:line="400" w:lineRule="exact"/>
        <w:jc w:val="center"/>
        <w:rPr>
          <w:rFonts w:ascii="宋体" w:hAnsi="宋体" w:cs="宋体"/>
          <w:b/>
          <w:color w:val="auto"/>
          <w:sz w:val="24"/>
          <w:szCs w:val="21"/>
          <w:highlight w:val="none"/>
        </w:rPr>
      </w:pPr>
      <w:bookmarkStart w:id="128" w:name="_bookmark129"/>
      <w:bookmarkEnd w:id="128"/>
      <w:r>
        <w:rPr>
          <w:rFonts w:hint="eastAsia" w:ascii="宋体" w:hAnsi="宋体" w:cs="宋体"/>
          <w:b/>
          <w:color w:val="auto"/>
          <w:sz w:val="24"/>
          <w:szCs w:val="21"/>
          <w:highlight w:val="none"/>
        </w:rPr>
        <w:t>13-6、参加政府采购活动前三年内，在经营活动中没有重大违法记录的声明格式</w:t>
      </w:r>
    </w:p>
    <w:p>
      <w:pPr>
        <w:pStyle w:val="36"/>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参加政府采购活动前 3 年内在经营活动中没有重大违法记录的书面声明</w:t>
      </w:r>
    </w:p>
    <w:p>
      <w:pPr>
        <w:pStyle w:val="36"/>
        <w:spacing w:line="400" w:lineRule="exact"/>
        <w:rPr>
          <w:rFonts w:ascii="宋体" w:hAnsi="宋体" w:cs="宋体"/>
          <w:color w:val="auto"/>
          <w:sz w:val="21"/>
          <w:szCs w:val="21"/>
          <w:highlight w:val="none"/>
        </w:rPr>
      </w:pPr>
      <w:r>
        <w:rPr>
          <w:rFonts w:hint="eastAsia" w:ascii="宋体" w:hAnsi="宋体" w:cs="宋体"/>
          <w:color w:val="auto"/>
          <w:sz w:val="21"/>
          <w:szCs w:val="21"/>
          <w:highlight w:val="none"/>
        </w:rPr>
        <w:t>我单位郑重声明：</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我单位近三年内在经营活动中没有重大违法记录，我单位未被列入失信被执行人、重大税收违法案件当事人名单、政府采购严重违法失信行为记录名单，特此声明。</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若采购人或采购代理机构在本项目采购过程中发现我单位近三年内在经营活动中有重大违法记录或我单位被列入失信被执行人、重大税收违法案件当事人名单、政府采购严重违法失信行为记录名单，我单位将无条件地退出本项目的投标，并承担因此引起的一切后果。</w:t>
      </w:r>
    </w:p>
    <w:p>
      <w:pPr>
        <w:pStyle w:val="36"/>
        <w:spacing w:line="400" w:lineRule="exact"/>
        <w:ind w:firstLine="420" w:firstLineChars="200"/>
        <w:rPr>
          <w:rFonts w:ascii="宋体" w:hAnsi="宋体" w:cs="宋体"/>
          <w:color w:val="auto"/>
          <w:sz w:val="21"/>
          <w:szCs w:val="21"/>
          <w:highlight w:val="none"/>
        </w:rPr>
      </w:pP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投标人名称（公章）：</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法定代表人签署或被授权人（签字或盖章）：</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r>
        <w:rPr>
          <w:rFonts w:hint="eastAsia"/>
          <w:color w:val="auto"/>
          <w:sz w:val="20"/>
          <w:szCs w:val="20"/>
          <w:highlight w:val="none"/>
        </w:rPr>
        <w:br w:type="page"/>
      </w:r>
    </w:p>
    <w:p>
      <w:pPr>
        <w:pStyle w:val="36"/>
        <w:spacing w:line="400" w:lineRule="exact"/>
        <w:jc w:val="center"/>
        <w:rPr>
          <w:rFonts w:ascii="宋体" w:hAnsi="宋体" w:cs="宋体"/>
          <w:b/>
          <w:color w:val="auto"/>
          <w:sz w:val="24"/>
          <w:szCs w:val="21"/>
          <w:highlight w:val="none"/>
        </w:rPr>
      </w:pPr>
      <w:bookmarkStart w:id="129" w:name="_bookmark130"/>
      <w:bookmarkEnd w:id="129"/>
      <w:r>
        <w:rPr>
          <w:rFonts w:hint="eastAsia" w:ascii="宋体" w:hAnsi="宋体" w:cs="宋体"/>
          <w:b/>
          <w:color w:val="auto"/>
          <w:sz w:val="24"/>
          <w:szCs w:val="21"/>
          <w:highlight w:val="none"/>
        </w:rPr>
        <w:t>13-7、投标人针对投标人资格要求限制行为的声明格式</w:t>
      </w:r>
    </w:p>
    <w:p>
      <w:pPr>
        <w:pStyle w:val="36"/>
        <w:spacing w:line="40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投标人针对投标人资格要求限制行为的声明</w:t>
      </w:r>
    </w:p>
    <w:p>
      <w:pPr>
        <w:pStyle w:val="14"/>
        <w:spacing w:before="81"/>
        <w:ind w:right="1922"/>
        <w:rPr>
          <w:color w:val="auto"/>
          <w:sz w:val="21"/>
          <w:szCs w:val="21"/>
          <w:highlight w:val="none"/>
          <w:lang w:val="en-US"/>
        </w:rPr>
      </w:pPr>
      <w:r>
        <w:rPr>
          <w:rFonts w:hint="eastAsia"/>
          <w:color w:val="auto"/>
          <w:sz w:val="21"/>
          <w:szCs w:val="21"/>
          <w:highlight w:val="none"/>
        </w:rPr>
        <w:t>我方声明：</w:t>
      </w:r>
    </w:p>
    <w:p>
      <w:pPr>
        <w:pStyle w:val="14"/>
        <w:spacing w:before="84" w:line="302" w:lineRule="auto"/>
        <w:ind w:left="400" w:right="477" w:firstLine="479"/>
        <w:rPr>
          <w:color w:val="auto"/>
          <w:sz w:val="21"/>
          <w:szCs w:val="21"/>
          <w:highlight w:val="none"/>
        </w:rPr>
      </w:pPr>
      <w:r>
        <w:rPr>
          <w:rFonts w:hint="eastAsia"/>
          <w:color w:val="auto"/>
          <w:sz w:val="21"/>
          <w:szCs w:val="21"/>
          <w:highlight w:val="none"/>
        </w:rPr>
        <w:t>1、与我方存在单位负责人与我方为同一人或者与我方存在直接控股、管理关系情况的其他投标人如下表：</w:t>
      </w:r>
    </w:p>
    <w:tbl>
      <w:tblPr>
        <w:tblStyle w:val="28"/>
        <w:tblW w:w="0" w:type="auto"/>
        <w:tblInd w:w="29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02"/>
        <w:gridCol w:w="3827"/>
        <w:gridCol w:w="4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Pr>
          <w:p>
            <w:pPr>
              <w:pStyle w:val="33"/>
              <w:spacing w:before="2"/>
              <w:ind w:left="309"/>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序号</w:t>
            </w:r>
          </w:p>
        </w:tc>
        <w:tc>
          <w:tcPr>
            <w:tcW w:w="3827" w:type="dxa"/>
          </w:tcPr>
          <w:p>
            <w:pPr>
              <w:pStyle w:val="33"/>
              <w:spacing w:before="2"/>
              <w:ind w:left="1290" w:right="1287"/>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投标人名称</w:t>
            </w:r>
          </w:p>
        </w:tc>
        <w:tc>
          <w:tcPr>
            <w:tcW w:w="4396" w:type="dxa"/>
          </w:tcPr>
          <w:p>
            <w:pPr>
              <w:pStyle w:val="33"/>
              <w:spacing w:before="2"/>
              <w:ind w:left="1695" w:right="1690"/>
              <w:jc w:val="center"/>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102" w:type="dxa"/>
          </w:tcPr>
          <w:p>
            <w:pPr>
              <w:pStyle w:val="33"/>
              <w:rPr>
                <w:rFonts w:ascii="宋体" w:hAnsi="宋体" w:eastAsia="宋体" w:cs="宋体"/>
                <w:color w:val="auto"/>
                <w:sz w:val="21"/>
                <w:szCs w:val="20"/>
                <w:highlight w:val="none"/>
              </w:rPr>
            </w:pPr>
          </w:p>
        </w:tc>
        <w:tc>
          <w:tcPr>
            <w:tcW w:w="3827" w:type="dxa"/>
          </w:tcPr>
          <w:p>
            <w:pPr>
              <w:pStyle w:val="33"/>
              <w:rPr>
                <w:rFonts w:ascii="宋体" w:hAnsi="宋体" w:eastAsia="宋体" w:cs="宋体"/>
                <w:color w:val="auto"/>
                <w:sz w:val="21"/>
                <w:szCs w:val="20"/>
                <w:highlight w:val="none"/>
              </w:rPr>
            </w:pPr>
          </w:p>
        </w:tc>
        <w:tc>
          <w:tcPr>
            <w:tcW w:w="4396" w:type="dxa"/>
          </w:tcPr>
          <w:p>
            <w:pPr>
              <w:pStyle w:val="33"/>
              <w:spacing w:before="2"/>
              <w:ind w:left="106"/>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【请填写：直接控股我方、直接管理我</w:t>
            </w:r>
          </w:p>
          <w:p>
            <w:pPr>
              <w:pStyle w:val="33"/>
              <w:spacing w:before="81"/>
              <w:ind w:left="106" w:right="-29"/>
              <w:rPr>
                <w:rFonts w:ascii="宋体" w:hAnsi="宋体" w:eastAsia="宋体" w:cs="宋体"/>
                <w:color w:val="auto"/>
                <w:sz w:val="21"/>
                <w:szCs w:val="20"/>
                <w:highlight w:val="none"/>
              </w:rPr>
            </w:pPr>
            <w:r>
              <w:rPr>
                <w:rFonts w:hint="eastAsia" w:ascii="宋体" w:hAnsi="宋体" w:eastAsia="宋体" w:cs="宋体"/>
                <w:color w:val="auto"/>
                <w:sz w:val="21"/>
                <w:szCs w:val="20"/>
                <w:highlight w:val="none"/>
              </w:rPr>
              <w:t>方、由我方直接控股或由我方直接管理】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1102" w:type="dxa"/>
          </w:tcPr>
          <w:p>
            <w:pPr>
              <w:pStyle w:val="33"/>
              <w:rPr>
                <w:rFonts w:ascii="宋体" w:hAnsi="宋体" w:eastAsia="宋体" w:cs="宋体"/>
                <w:color w:val="auto"/>
                <w:sz w:val="21"/>
                <w:szCs w:val="20"/>
                <w:highlight w:val="none"/>
              </w:rPr>
            </w:pPr>
          </w:p>
        </w:tc>
        <w:tc>
          <w:tcPr>
            <w:tcW w:w="3827" w:type="dxa"/>
          </w:tcPr>
          <w:p>
            <w:pPr>
              <w:pStyle w:val="33"/>
              <w:rPr>
                <w:rFonts w:ascii="宋体" w:hAnsi="宋体" w:eastAsia="宋体" w:cs="宋体"/>
                <w:color w:val="auto"/>
                <w:sz w:val="21"/>
                <w:szCs w:val="20"/>
                <w:highlight w:val="none"/>
              </w:rPr>
            </w:pPr>
          </w:p>
        </w:tc>
        <w:tc>
          <w:tcPr>
            <w:tcW w:w="4396" w:type="dxa"/>
          </w:tcPr>
          <w:p>
            <w:pPr>
              <w:pStyle w:val="33"/>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Pr>
          <w:p>
            <w:pPr>
              <w:pStyle w:val="33"/>
              <w:rPr>
                <w:rFonts w:ascii="宋体" w:hAnsi="宋体" w:eastAsia="宋体" w:cs="宋体"/>
                <w:color w:val="auto"/>
                <w:sz w:val="21"/>
                <w:szCs w:val="20"/>
                <w:highlight w:val="none"/>
              </w:rPr>
            </w:pPr>
          </w:p>
        </w:tc>
        <w:tc>
          <w:tcPr>
            <w:tcW w:w="3827" w:type="dxa"/>
          </w:tcPr>
          <w:p>
            <w:pPr>
              <w:pStyle w:val="33"/>
              <w:rPr>
                <w:rFonts w:ascii="宋体" w:hAnsi="宋体" w:eastAsia="宋体" w:cs="宋体"/>
                <w:color w:val="auto"/>
                <w:sz w:val="21"/>
                <w:szCs w:val="20"/>
                <w:highlight w:val="none"/>
              </w:rPr>
            </w:pPr>
          </w:p>
        </w:tc>
        <w:tc>
          <w:tcPr>
            <w:tcW w:w="4396" w:type="dxa"/>
          </w:tcPr>
          <w:p>
            <w:pPr>
              <w:pStyle w:val="33"/>
              <w:rPr>
                <w:rFonts w:ascii="宋体" w:hAnsi="宋体" w:eastAsia="宋体" w:cs="宋体"/>
                <w:color w:val="auto"/>
                <w:sz w:val="21"/>
                <w:szCs w:val="2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 w:hRule="atLeast"/>
        </w:trPr>
        <w:tc>
          <w:tcPr>
            <w:tcW w:w="1102" w:type="dxa"/>
            <w:tcBorders>
              <w:bottom w:val="single" w:color="000000" w:sz="8" w:space="0"/>
            </w:tcBorders>
          </w:tcPr>
          <w:p>
            <w:pPr>
              <w:pStyle w:val="33"/>
              <w:rPr>
                <w:rFonts w:ascii="宋体" w:hAnsi="宋体" w:eastAsia="宋体" w:cs="宋体"/>
                <w:color w:val="auto"/>
                <w:sz w:val="21"/>
                <w:szCs w:val="20"/>
                <w:highlight w:val="none"/>
              </w:rPr>
            </w:pPr>
          </w:p>
        </w:tc>
        <w:tc>
          <w:tcPr>
            <w:tcW w:w="3827" w:type="dxa"/>
            <w:tcBorders>
              <w:bottom w:val="single" w:color="000000" w:sz="8" w:space="0"/>
            </w:tcBorders>
          </w:tcPr>
          <w:p>
            <w:pPr>
              <w:pStyle w:val="33"/>
              <w:rPr>
                <w:rFonts w:ascii="宋体" w:hAnsi="宋体" w:eastAsia="宋体" w:cs="宋体"/>
                <w:color w:val="auto"/>
                <w:sz w:val="21"/>
                <w:szCs w:val="20"/>
                <w:highlight w:val="none"/>
              </w:rPr>
            </w:pPr>
          </w:p>
        </w:tc>
        <w:tc>
          <w:tcPr>
            <w:tcW w:w="4396" w:type="dxa"/>
            <w:tcBorders>
              <w:bottom w:val="single" w:color="000000" w:sz="8" w:space="0"/>
            </w:tcBorders>
          </w:tcPr>
          <w:p>
            <w:pPr>
              <w:pStyle w:val="33"/>
              <w:rPr>
                <w:rFonts w:ascii="宋体" w:hAnsi="宋体" w:eastAsia="宋体" w:cs="宋体"/>
                <w:color w:val="auto"/>
                <w:sz w:val="21"/>
                <w:szCs w:val="20"/>
                <w:highlight w:val="none"/>
              </w:rPr>
            </w:pPr>
          </w:p>
        </w:tc>
      </w:tr>
    </w:tbl>
    <w:p>
      <w:pPr>
        <w:pStyle w:val="14"/>
        <w:spacing w:before="84" w:line="302" w:lineRule="auto"/>
        <w:ind w:left="400" w:right="477" w:firstLine="479"/>
        <w:rPr>
          <w:color w:val="auto"/>
          <w:sz w:val="21"/>
          <w:szCs w:val="21"/>
          <w:highlight w:val="none"/>
        </w:rPr>
      </w:pPr>
      <w:r>
        <w:rPr>
          <w:rFonts w:hint="eastAsia"/>
          <w:color w:val="auto"/>
          <w:sz w:val="21"/>
          <w:szCs w:val="21"/>
          <w:highlight w:val="none"/>
        </w:rPr>
        <w:t>2、若我方受托为采购项目提供了整体设计、规范编制或者项目管理、监理、检测等服务，则自动放弃参加该采购项目的其他采购活动。</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投标人名称（公章）：</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法定代表人签署或被授权人（签字或盖章）：</w:t>
      </w:r>
      <w:r>
        <w:rPr>
          <w:rFonts w:hint="eastAsia" w:ascii="宋体" w:hAnsi="宋体" w:cs="宋体"/>
          <w:color w:val="auto"/>
          <w:sz w:val="21"/>
          <w:szCs w:val="21"/>
          <w:highlight w:val="none"/>
          <w:u w:val="single"/>
        </w:rPr>
        <w:t xml:space="preserve">                  </w:t>
      </w:r>
    </w:p>
    <w:p>
      <w:pPr>
        <w:pStyle w:val="36"/>
        <w:spacing w:line="400" w:lineRule="exact"/>
        <w:ind w:left="440" w:leftChars="200" w:firstLine="420" w:firstLineChars="200"/>
        <w:rPr>
          <w:rFonts w:ascii="宋体" w:hAnsi="宋体" w:cs="宋体"/>
          <w:color w:val="auto"/>
          <w:sz w:val="21"/>
          <w:szCs w:val="21"/>
          <w:highlight w:val="none"/>
        </w:rPr>
      </w:pPr>
      <w:r>
        <w:rPr>
          <w:rFonts w:hint="eastAsia" w:ascii="宋体" w:hAnsi="宋体" w:cs="宋体"/>
          <w:color w:val="auto"/>
          <w:sz w:val="21"/>
          <w:szCs w:val="21"/>
          <w:highlight w:val="none"/>
        </w:rPr>
        <w:t>日期 ：</w:t>
      </w:r>
      <w:r>
        <w:rPr>
          <w:rFonts w:hint="eastAsia" w:ascii="宋体" w:hAnsi="宋体" w:cs="宋体"/>
          <w:color w:val="auto"/>
          <w:sz w:val="21"/>
          <w:szCs w:val="21"/>
          <w:highlight w:val="none"/>
          <w:u w:val="single"/>
        </w:rPr>
        <w:t xml:space="preserve">                             </w:t>
      </w:r>
    </w:p>
    <w:p>
      <w:pPr>
        <w:rPr>
          <w:color w:val="auto"/>
          <w:sz w:val="20"/>
          <w:szCs w:val="20"/>
          <w:highlight w:val="none"/>
        </w:rPr>
      </w:pPr>
    </w:p>
    <w:sectPr>
      <w:headerReference r:id="rId8" w:type="default"/>
      <w:footerReference r:id="rId9" w:type="default"/>
      <w:pgSz w:w="11910" w:h="16840"/>
      <w:pgMar w:top="1440" w:right="1080" w:bottom="1440" w:left="1080" w:header="850" w:footer="998"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double" w:color="auto" w:sz="4" w:space="1"/>
        <w:left w:val="none" w:color="auto" w:sz="0" w:space="4"/>
        <w:bottom w:val="none" w:color="auto" w:sz="0" w:space="1"/>
        <w:right w:val="none" w:color="auto" w:sz="0" w:space="4"/>
      </w:pBdr>
      <w:rPr>
        <w:sz w:val="10"/>
        <w:szCs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double" w:color="auto" w:sz="4" w:space="1"/>
        <w:left w:val="none" w:color="auto" w:sz="0" w:space="4"/>
        <w:bottom w:val="none" w:color="auto" w:sz="0" w:space="1"/>
        <w:right w:val="none" w:color="auto" w:sz="0" w:space="4"/>
      </w:pBdr>
      <w:rPr>
        <w:sz w:val="20"/>
      </w:rPr>
    </w:pPr>
    <w:r>
      <w:rPr>
        <w:sz w:val="20"/>
      </w:rPr>
      <w:pict>
        <v:shape id="_x0000_s2056" o:spid="_x0000_s205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double" w:color="auto" w:sz="4" w:space="1"/>
        <w:left w:val="none" w:color="auto" w:sz="0" w:space="4"/>
        <w:bottom w:val="none" w:color="auto" w:sz="0" w:space="1"/>
        <w:right w:val="none" w:color="auto" w:sz="0" w:space="4"/>
      </w:pBdr>
      <w:rPr>
        <w:sz w:val="20"/>
      </w:rPr>
    </w:pPr>
    <w:r>
      <w:rPr>
        <w:sz w:val="20"/>
      </w:rPr>
      <w:pict>
        <v:shape id="_x0000_s2057" o:spid="_x0000_s205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92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top w:val="double" w:color="auto" w:sz="4" w:space="1"/>
        <w:left w:val="none" w:color="auto" w:sz="0" w:space="4"/>
        <w:bottom w:val="none" w:color="auto" w:sz="0" w:space="1"/>
        <w:right w:val="none" w:color="auto" w:sz="0" w:space="4"/>
      </w:pBdr>
      <w:rPr>
        <w:sz w:val="12"/>
      </w:rPr>
    </w:pPr>
    <w:r>
      <w:rPr>
        <w:sz w:val="12"/>
      </w:rPr>
      <w:pict>
        <v:shape id="_x0000_s2058" o:spid="_x0000_s205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93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jc w:val="center"/>
      <w:rPr>
        <w:sz w:val="16"/>
        <w:szCs w:val="21"/>
        <w:lang w:val="en-US"/>
      </w:rPr>
    </w:pPr>
    <w:r>
      <w:rPr>
        <w:rFonts w:hint="eastAsia"/>
        <w:sz w:val="22"/>
        <w:lang w:val="en-US"/>
      </w:rPr>
      <w:t>新疆华恒惠欣工程项目管理有限责任公司                                        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jc w:val="center"/>
      <w:rPr>
        <w:sz w:val="22"/>
        <w:lang w:val="en-US"/>
      </w:rPr>
    </w:pPr>
    <w:r>
      <w:rPr>
        <w:rFonts w:hint="eastAsia"/>
        <w:sz w:val="22"/>
        <w:lang w:val="en-US"/>
      </w:rPr>
      <w:t>新疆华恒惠欣工程项目管理有限责任公司                                                                                     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double" w:color="auto" w:sz="8" w:space="1"/>
      </w:pBdr>
      <w:jc w:val="center"/>
      <w:rPr>
        <w:sz w:val="22"/>
        <w:lang w:val="en-US"/>
      </w:rPr>
    </w:pPr>
    <w:r>
      <w:rPr>
        <w:rFonts w:hint="eastAsia"/>
        <w:sz w:val="22"/>
        <w:lang w:val="en-US"/>
      </w:rPr>
      <w:t>新疆华恒惠欣工程项目管理有限责任公司                                        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2BF6AB"/>
    <w:multiLevelType w:val="multilevel"/>
    <w:tmpl w:val="252BF6AB"/>
    <w:lvl w:ilvl="0" w:tentative="0">
      <w:start w:val="0"/>
      <w:numFmt w:val="bullet"/>
      <w:lvlText w:val=""/>
      <w:lvlJc w:val="left"/>
      <w:pPr>
        <w:ind w:left="528" w:hanging="421"/>
      </w:pPr>
      <w:rPr>
        <w:rFonts w:hint="default" w:ascii="Wingdings" w:hAnsi="Wingdings" w:eastAsia="Wingdings" w:cs="Wingdings"/>
        <w:w w:val="100"/>
        <w:sz w:val="24"/>
        <w:szCs w:val="24"/>
        <w:lang w:val="zh-CN" w:eastAsia="zh-CN" w:bidi="zh-CN"/>
      </w:rPr>
    </w:lvl>
    <w:lvl w:ilvl="1" w:tentative="0">
      <w:start w:val="0"/>
      <w:numFmt w:val="bullet"/>
      <w:lvlText w:val="•"/>
      <w:lvlJc w:val="left"/>
      <w:pPr>
        <w:ind w:left="1003" w:hanging="421"/>
      </w:pPr>
      <w:rPr>
        <w:rFonts w:hint="default"/>
        <w:lang w:val="zh-CN" w:eastAsia="zh-CN" w:bidi="zh-CN"/>
      </w:rPr>
    </w:lvl>
    <w:lvl w:ilvl="2" w:tentative="0">
      <w:start w:val="0"/>
      <w:numFmt w:val="bullet"/>
      <w:lvlText w:val="•"/>
      <w:lvlJc w:val="left"/>
      <w:pPr>
        <w:ind w:left="1486" w:hanging="421"/>
      </w:pPr>
      <w:rPr>
        <w:rFonts w:hint="default"/>
        <w:lang w:val="zh-CN" w:eastAsia="zh-CN" w:bidi="zh-CN"/>
      </w:rPr>
    </w:lvl>
    <w:lvl w:ilvl="3" w:tentative="0">
      <w:start w:val="0"/>
      <w:numFmt w:val="bullet"/>
      <w:lvlText w:val="•"/>
      <w:lvlJc w:val="left"/>
      <w:pPr>
        <w:ind w:left="1969" w:hanging="421"/>
      </w:pPr>
      <w:rPr>
        <w:rFonts w:hint="default"/>
        <w:lang w:val="zh-CN" w:eastAsia="zh-CN" w:bidi="zh-CN"/>
      </w:rPr>
    </w:lvl>
    <w:lvl w:ilvl="4" w:tentative="0">
      <w:start w:val="0"/>
      <w:numFmt w:val="bullet"/>
      <w:lvlText w:val="•"/>
      <w:lvlJc w:val="left"/>
      <w:pPr>
        <w:ind w:left="2453" w:hanging="421"/>
      </w:pPr>
      <w:rPr>
        <w:rFonts w:hint="default"/>
        <w:lang w:val="zh-CN" w:eastAsia="zh-CN" w:bidi="zh-CN"/>
      </w:rPr>
    </w:lvl>
    <w:lvl w:ilvl="5" w:tentative="0">
      <w:start w:val="0"/>
      <w:numFmt w:val="bullet"/>
      <w:lvlText w:val="•"/>
      <w:lvlJc w:val="left"/>
      <w:pPr>
        <w:ind w:left="2936" w:hanging="421"/>
      </w:pPr>
      <w:rPr>
        <w:rFonts w:hint="default"/>
        <w:lang w:val="zh-CN" w:eastAsia="zh-CN" w:bidi="zh-CN"/>
      </w:rPr>
    </w:lvl>
    <w:lvl w:ilvl="6" w:tentative="0">
      <w:start w:val="0"/>
      <w:numFmt w:val="bullet"/>
      <w:lvlText w:val="•"/>
      <w:lvlJc w:val="left"/>
      <w:pPr>
        <w:ind w:left="3419" w:hanging="421"/>
      </w:pPr>
      <w:rPr>
        <w:rFonts w:hint="default"/>
        <w:lang w:val="zh-CN" w:eastAsia="zh-CN" w:bidi="zh-CN"/>
      </w:rPr>
    </w:lvl>
    <w:lvl w:ilvl="7" w:tentative="0">
      <w:start w:val="0"/>
      <w:numFmt w:val="bullet"/>
      <w:lvlText w:val="•"/>
      <w:lvlJc w:val="left"/>
      <w:pPr>
        <w:ind w:left="3903" w:hanging="421"/>
      </w:pPr>
      <w:rPr>
        <w:rFonts w:hint="default"/>
        <w:lang w:val="zh-CN" w:eastAsia="zh-CN" w:bidi="zh-CN"/>
      </w:rPr>
    </w:lvl>
    <w:lvl w:ilvl="8" w:tentative="0">
      <w:start w:val="0"/>
      <w:numFmt w:val="bullet"/>
      <w:lvlText w:val="•"/>
      <w:lvlJc w:val="left"/>
      <w:pPr>
        <w:ind w:left="4386" w:hanging="421"/>
      </w:pPr>
      <w:rPr>
        <w:rFonts w:hint="default"/>
        <w:lang w:val="zh-CN" w:eastAsia="zh-CN" w:bidi="zh-CN"/>
      </w:rPr>
    </w:lvl>
  </w:abstractNum>
  <w:abstractNum w:abstractNumId="1">
    <w:nsid w:val="3F014D1C"/>
    <w:multiLevelType w:val="multilevel"/>
    <w:tmpl w:val="3F014D1C"/>
    <w:lvl w:ilvl="0" w:tentative="0">
      <w:start w:val="1"/>
      <w:numFmt w:val="japaneseCounting"/>
      <w:lvlText w:val="%1、"/>
      <w:lvlJc w:val="left"/>
      <w:pPr>
        <w:tabs>
          <w:tab w:val="left" w:pos="1350"/>
        </w:tabs>
        <w:ind w:left="1350" w:hanging="720"/>
      </w:pPr>
      <w:rPr>
        <w:rFonts w:hint="default"/>
      </w:rPr>
    </w:lvl>
    <w:lvl w:ilvl="1" w:tentative="0">
      <w:start w:val="1"/>
      <w:numFmt w:val="lowerLetter"/>
      <w:lvlText w:val="%2)"/>
      <w:lvlJc w:val="left"/>
      <w:pPr>
        <w:tabs>
          <w:tab w:val="left" w:pos="1470"/>
        </w:tabs>
        <w:ind w:left="1470" w:hanging="420"/>
      </w:pPr>
    </w:lvl>
    <w:lvl w:ilvl="2" w:tentative="0">
      <w:start w:val="1"/>
      <w:numFmt w:val="lowerRoman"/>
      <w:lvlText w:val="%3."/>
      <w:lvlJc w:val="right"/>
      <w:pPr>
        <w:tabs>
          <w:tab w:val="left" w:pos="1890"/>
        </w:tabs>
        <w:ind w:left="1890" w:hanging="420"/>
      </w:pPr>
    </w:lvl>
    <w:lvl w:ilvl="3" w:tentative="0">
      <w:start w:val="1"/>
      <w:numFmt w:val="decimal"/>
      <w:lvlText w:val="%4."/>
      <w:lvlJc w:val="left"/>
      <w:pPr>
        <w:tabs>
          <w:tab w:val="left" w:pos="2310"/>
        </w:tabs>
        <w:ind w:left="2310" w:hanging="420"/>
      </w:pPr>
    </w:lvl>
    <w:lvl w:ilvl="4" w:tentative="0">
      <w:start w:val="1"/>
      <w:numFmt w:val="lowerLetter"/>
      <w:lvlText w:val="%5)"/>
      <w:lvlJc w:val="left"/>
      <w:pPr>
        <w:tabs>
          <w:tab w:val="left" w:pos="2730"/>
        </w:tabs>
        <w:ind w:left="2730" w:hanging="420"/>
      </w:pPr>
    </w:lvl>
    <w:lvl w:ilvl="5" w:tentative="0">
      <w:start w:val="1"/>
      <w:numFmt w:val="lowerRoman"/>
      <w:lvlText w:val="%6."/>
      <w:lvlJc w:val="right"/>
      <w:pPr>
        <w:tabs>
          <w:tab w:val="left" w:pos="3150"/>
        </w:tabs>
        <w:ind w:left="3150" w:hanging="420"/>
      </w:pPr>
    </w:lvl>
    <w:lvl w:ilvl="6" w:tentative="0">
      <w:start w:val="1"/>
      <w:numFmt w:val="decimal"/>
      <w:lvlText w:val="%7."/>
      <w:lvlJc w:val="left"/>
      <w:pPr>
        <w:tabs>
          <w:tab w:val="left" w:pos="3570"/>
        </w:tabs>
        <w:ind w:left="3570" w:hanging="420"/>
      </w:pPr>
    </w:lvl>
    <w:lvl w:ilvl="7" w:tentative="0">
      <w:start w:val="1"/>
      <w:numFmt w:val="lowerLetter"/>
      <w:lvlText w:val="%8)"/>
      <w:lvlJc w:val="left"/>
      <w:pPr>
        <w:tabs>
          <w:tab w:val="left" w:pos="3990"/>
        </w:tabs>
        <w:ind w:left="3990" w:hanging="420"/>
      </w:pPr>
    </w:lvl>
    <w:lvl w:ilvl="8" w:tentative="0">
      <w:start w:val="1"/>
      <w:numFmt w:val="lowerRoman"/>
      <w:lvlText w:val="%9."/>
      <w:lvlJc w:val="right"/>
      <w:pPr>
        <w:tabs>
          <w:tab w:val="left" w:pos="4410"/>
        </w:tabs>
        <w:ind w:left="4410" w:hanging="420"/>
      </w:pPr>
    </w:lvl>
  </w:abstractNum>
  <w:abstractNum w:abstractNumId="2">
    <w:nsid w:val="4D94DA66"/>
    <w:multiLevelType w:val="multilevel"/>
    <w:tmpl w:val="4D94DA66"/>
    <w:lvl w:ilvl="0" w:tentative="0">
      <w:start w:val="1"/>
      <w:numFmt w:val="decimal"/>
      <w:lvlText w:val="%1."/>
      <w:lvlJc w:val="left"/>
      <w:pPr>
        <w:ind w:left="320" w:hanging="181"/>
      </w:pPr>
      <w:rPr>
        <w:rFonts w:hint="default" w:ascii="Times New Roman" w:hAnsi="Times New Roman" w:eastAsia="Times New Roman" w:cs="Times New Roman"/>
        <w:w w:val="100"/>
        <w:sz w:val="22"/>
        <w:szCs w:val="22"/>
        <w:lang w:val="zh-CN" w:eastAsia="zh-CN" w:bidi="zh-CN"/>
      </w:rPr>
    </w:lvl>
    <w:lvl w:ilvl="1" w:tentative="0">
      <w:start w:val="0"/>
      <w:numFmt w:val="bullet"/>
      <w:lvlText w:val="•"/>
      <w:lvlJc w:val="left"/>
      <w:pPr>
        <w:ind w:left="1206" w:hanging="181"/>
      </w:pPr>
      <w:rPr>
        <w:rFonts w:hint="default"/>
        <w:lang w:val="zh-CN" w:eastAsia="zh-CN" w:bidi="zh-CN"/>
      </w:rPr>
    </w:lvl>
    <w:lvl w:ilvl="2" w:tentative="0">
      <w:start w:val="0"/>
      <w:numFmt w:val="bullet"/>
      <w:lvlText w:val="•"/>
      <w:lvlJc w:val="left"/>
      <w:pPr>
        <w:ind w:left="2093" w:hanging="181"/>
      </w:pPr>
      <w:rPr>
        <w:rFonts w:hint="default"/>
        <w:lang w:val="zh-CN" w:eastAsia="zh-CN" w:bidi="zh-CN"/>
      </w:rPr>
    </w:lvl>
    <w:lvl w:ilvl="3" w:tentative="0">
      <w:start w:val="0"/>
      <w:numFmt w:val="bullet"/>
      <w:lvlText w:val="•"/>
      <w:lvlJc w:val="left"/>
      <w:pPr>
        <w:ind w:left="2979" w:hanging="181"/>
      </w:pPr>
      <w:rPr>
        <w:rFonts w:hint="default"/>
        <w:lang w:val="zh-CN" w:eastAsia="zh-CN" w:bidi="zh-CN"/>
      </w:rPr>
    </w:lvl>
    <w:lvl w:ilvl="4" w:tentative="0">
      <w:start w:val="0"/>
      <w:numFmt w:val="bullet"/>
      <w:lvlText w:val="•"/>
      <w:lvlJc w:val="left"/>
      <w:pPr>
        <w:ind w:left="3866" w:hanging="181"/>
      </w:pPr>
      <w:rPr>
        <w:rFonts w:hint="default"/>
        <w:lang w:val="zh-CN" w:eastAsia="zh-CN" w:bidi="zh-CN"/>
      </w:rPr>
    </w:lvl>
    <w:lvl w:ilvl="5" w:tentative="0">
      <w:start w:val="0"/>
      <w:numFmt w:val="bullet"/>
      <w:lvlText w:val="•"/>
      <w:lvlJc w:val="left"/>
      <w:pPr>
        <w:ind w:left="4753" w:hanging="181"/>
      </w:pPr>
      <w:rPr>
        <w:rFonts w:hint="default"/>
        <w:lang w:val="zh-CN" w:eastAsia="zh-CN" w:bidi="zh-CN"/>
      </w:rPr>
    </w:lvl>
    <w:lvl w:ilvl="6" w:tentative="0">
      <w:start w:val="0"/>
      <w:numFmt w:val="bullet"/>
      <w:lvlText w:val="•"/>
      <w:lvlJc w:val="left"/>
      <w:pPr>
        <w:ind w:left="5639" w:hanging="181"/>
      </w:pPr>
      <w:rPr>
        <w:rFonts w:hint="default"/>
        <w:lang w:val="zh-CN" w:eastAsia="zh-CN" w:bidi="zh-CN"/>
      </w:rPr>
    </w:lvl>
    <w:lvl w:ilvl="7" w:tentative="0">
      <w:start w:val="0"/>
      <w:numFmt w:val="bullet"/>
      <w:lvlText w:val="•"/>
      <w:lvlJc w:val="left"/>
      <w:pPr>
        <w:ind w:left="6526" w:hanging="181"/>
      </w:pPr>
      <w:rPr>
        <w:rFonts w:hint="default"/>
        <w:lang w:val="zh-CN" w:eastAsia="zh-CN" w:bidi="zh-CN"/>
      </w:rPr>
    </w:lvl>
    <w:lvl w:ilvl="8" w:tentative="0">
      <w:start w:val="0"/>
      <w:numFmt w:val="bullet"/>
      <w:lvlText w:val="•"/>
      <w:lvlJc w:val="left"/>
      <w:pPr>
        <w:ind w:left="7413" w:hanging="181"/>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NDE3MmUwY2ExNjYxNTY3YjU5MzU0MGY4MzY1NGI5MzkifQ=="/>
  </w:docVars>
  <w:rsids>
    <w:rsidRoot w:val="0039059B"/>
    <w:rsid w:val="00044B3A"/>
    <w:rsid w:val="0013441B"/>
    <w:rsid w:val="0039059B"/>
    <w:rsid w:val="003943AD"/>
    <w:rsid w:val="00A46D1F"/>
    <w:rsid w:val="00AD64DB"/>
    <w:rsid w:val="00CF32D6"/>
    <w:rsid w:val="00EB290D"/>
    <w:rsid w:val="01266BAD"/>
    <w:rsid w:val="014D7ED0"/>
    <w:rsid w:val="015C4358"/>
    <w:rsid w:val="016B3F6D"/>
    <w:rsid w:val="017A6502"/>
    <w:rsid w:val="01E47B0D"/>
    <w:rsid w:val="01FB1BA5"/>
    <w:rsid w:val="033D263B"/>
    <w:rsid w:val="033D3914"/>
    <w:rsid w:val="03734234"/>
    <w:rsid w:val="03AA4003"/>
    <w:rsid w:val="03BF63BE"/>
    <w:rsid w:val="04225EAD"/>
    <w:rsid w:val="04587372"/>
    <w:rsid w:val="047533D9"/>
    <w:rsid w:val="04A40A52"/>
    <w:rsid w:val="04C451A5"/>
    <w:rsid w:val="04C532BF"/>
    <w:rsid w:val="04E66E02"/>
    <w:rsid w:val="04E8793B"/>
    <w:rsid w:val="05AC2A40"/>
    <w:rsid w:val="05B244E7"/>
    <w:rsid w:val="05E3763C"/>
    <w:rsid w:val="0615187B"/>
    <w:rsid w:val="06652B67"/>
    <w:rsid w:val="068A46CF"/>
    <w:rsid w:val="06DF5EEB"/>
    <w:rsid w:val="07172D5C"/>
    <w:rsid w:val="071F02F6"/>
    <w:rsid w:val="07434E8B"/>
    <w:rsid w:val="07FE66CB"/>
    <w:rsid w:val="085732E3"/>
    <w:rsid w:val="08EE37C6"/>
    <w:rsid w:val="09652484"/>
    <w:rsid w:val="09B340A8"/>
    <w:rsid w:val="0A1246B0"/>
    <w:rsid w:val="0A635B40"/>
    <w:rsid w:val="0ADE05C2"/>
    <w:rsid w:val="0AE5183E"/>
    <w:rsid w:val="0B0024DA"/>
    <w:rsid w:val="0B2B0866"/>
    <w:rsid w:val="0B343278"/>
    <w:rsid w:val="0B4821A6"/>
    <w:rsid w:val="0B526165"/>
    <w:rsid w:val="0B89673A"/>
    <w:rsid w:val="0BF95EC2"/>
    <w:rsid w:val="0C00660B"/>
    <w:rsid w:val="0C205C85"/>
    <w:rsid w:val="0C3057FD"/>
    <w:rsid w:val="0C453687"/>
    <w:rsid w:val="0C5562D4"/>
    <w:rsid w:val="0CBC6D76"/>
    <w:rsid w:val="0D1A1965"/>
    <w:rsid w:val="0D3120EB"/>
    <w:rsid w:val="0E5434E9"/>
    <w:rsid w:val="0E7B2823"/>
    <w:rsid w:val="0E96765D"/>
    <w:rsid w:val="0E990EFC"/>
    <w:rsid w:val="0F0071CD"/>
    <w:rsid w:val="0F2112DE"/>
    <w:rsid w:val="0F3D7258"/>
    <w:rsid w:val="0F486E02"/>
    <w:rsid w:val="0FAB538A"/>
    <w:rsid w:val="0FBC0BBC"/>
    <w:rsid w:val="0FD90F5E"/>
    <w:rsid w:val="1038093B"/>
    <w:rsid w:val="106C2D3E"/>
    <w:rsid w:val="10950245"/>
    <w:rsid w:val="109A0F5B"/>
    <w:rsid w:val="10C07DAE"/>
    <w:rsid w:val="10CA1C2B"/>
    <w:rsid w:val="112D3CD9"/>
    <w:rsid w:val="113C6C6A"/>
    <w:rsid w:val="11645E01"/>
    <w:rsid w:val="11CA7AB7"/>
    <w:rsid w:val="11F8738D"/>
    <w:rsid w:val="12410C6F"/>
    <w:rsid w:val="125D0492"/>
    <w:rsid w:val="125E66E4"/>
    <w:rsid w:val="128D521B"/>
    <w:rsid w:val="131D2008"/>
    <w:rsid w:val="134D0817"/>
    <w:rsid w:val="13C71480"/>
    <w:rsid w:val="14470E31"/>
    <w:rsid w:val="147160BC"/>
    <w:rsid w:val="14B05E99"/>
    <w:rsid w:val="150D43F1"/>
    <w:rsid w:val="150E3F7D"/>
    <w:rsid w:val="152C137C"/>
    <w:rsid w:val="156516A4"/>
    <w:rsid w:val="15F639C9"/>
    <w:rsid w:val="163F05DA"/>
    <w:rsid w:val="164A7928"/>
    <w:rsid w:val="169E793A"/>
    <w:rsid w:val="16C1306C"/>
    <w:rsid w:val="16CB7621"/>
    <w:rsid w:val="16CD60B4"/>
    <w:rsid w:val="172F5E68"/>
    <w:rsid w:val="17306CBB"/>
    <w:rsid w:val="17340B5F"/>
    <w:rsid w:val="177D0BA3"/>
    <w:rsid w:val="17811FDD"/>
    <w:rsid w:val="17832407"/>
    <w:rsid w:val="179D1388"/>
    <w:rsid w:val="17A3264F"/>
    <w:rsid w:val="17BA3E8B"/>
    <w:rsid w:val="17C86EDC"/>
    <w:rsid w:val="17C93858"/>
    <w:rsid w:val="17FB764E"/>
    <w:rsid w:val="185A5BA0"/>
    <w:rsid w:val="185E1785"/>
    <w:rsid w:val="18D333DA"/>
    <w:rsid w:val="190B5B1E"/>
    <w:rsid w:val="19233B96"/>
    <w:rsid w:val="19550115"/>
    <w:rsid w:val="1A2805A7"/>
    <w:rsid w:val="1ACF6467"/>
    <w:rsid w:val="1AD930C4"/>
    <w:rsid w:val="1B097F93"/>
    <w:rsid w:val="1B41676D"/>
    <w:rsid w:val="1B454F28"/>
    <w:rsid w:val="1B7C546D"/>
    <w:rsid w:val="1B80591D"/>
    <w:rsid w:val="1C184DB5"/>
    <w:rsid w:val="1C6675CE"/>
    <w:rsid w:val="1C861436"/>
    <w:rsid w:val="1CD739BA"/>
    <w:rsid w:val="1D014E56"/>
    <w:rsid w:val="1D504758"/>
    <w:rsid w:val="1E4E5555"/>
    <w:rsid w:val="1EAE454F"/>
    <w:rsid w:val="1ED24781"/>
    <w:rsid w:val="1EFB4F41"/>
    <w:rsid w:val="1F2E7B22"/>
    <w:rsid w:val="1F61547F"/>
    <w:rsid w:val="1FC267E7"/>
    <w:rsid w:val="1FDA55B7"/>
    <w:rsid w:val="20700E5F"/>
    <w:rsid w:val="207F699C"/>
    <w:rsid w:val="214F6877"/>
    <w:rsid w:val="215D225D"/>
    <w:rsid w:val="215F5FD5"/>
    <w:rsid w:val="217B251F"/>
    <w:rsid w:val="21BB05D9"/>
    <w:rsid w:val="21BC4120"/>
    <w:rsid w:val="2249618C"/>
    <w:rsid w:val="224E1681"/>
    <w:rsid w:val="22B42681"/>
    <w:rsid w:val="22D9552F"/>
    <w:rsid w:val="23946493"/>
    <w:rsid w:val="244326A2"/>
    <w:rsid w:val="24701082"/>
    <w:rsid w:val="24C51769"/>
    <w:rsid w:val="24CC180B"/>
    <w:rsid w:val="254B4DC5"/>
    <w:rsid w:val="254C71AF"/>
    <w:rsid w:val="25990341"/>
    <w:rsid w:val="25A470AB"/>
    <w:rsid w:val="25C025FF"/>
    <w:rsid w:val="25E87C00"/>
    <w:rsid w:val="26196D26"/>
    <w:rsid w:val="26453813"/>
    <w:rsid w:val="269D7B2C"/>
    <w:rsid w:val="26A6712C"/>
    <w:rsid w:val="271826F0"/>
    <w:rsid w:val="27294D5F"/>
    <w:rsid w:val="2730118D"/>
    <w:rsid w:val="27624129"/>
    <w:rsid w:val="276659F1"/>
    <w:rsid w:val="278E4F1E"/>
    <w:rsid w:val="27CC77B8"/>
    <w:rsid w:val="27EE3AB1"/>
    <w:rsid w:val="27F26E6C"/>
    <w:rsid w:val="28120E19"/>
    <w:rsid w:val="28326096"/>
    <w:rsid w:val="285853D4"/>
    <w:rsid w:val="285E12D7"/>
    <w:rsid w:val="288C5906"/>
    <w:rsid w:val="28AA2B5E"/>
    <w:rsid w:val="28AD1D8E"/>
    <w:rsid w:val="295C66FB"/>
    <w:rsid w:val="298F51D9"/>
    <w:rsid w:val="29982BF4"/>
    <w:rsid w:val="299D065B"/>
    <w:rsid w:val="29C24441"/>
    <w:rsid w:val="2A4A5831"/>
    <w:rsid w:val="2A5E32CD"/>
    <w:rsid w:val="2AEC74BA"/>
    <w:rsid w:val="2B1D5733"/>
    <w:rsid w:val="2B5C0894"/>
    <w:rsid w:val="2B5E60D1"/>
    <w:rsid w:val="2B6375A0"/>
    <w:rsid w:val="2BA43F05"/>
    <w:rsid w:val="2BFF6C3E"/>
    <w:rsid w:val="2C265BD4"/>
    <w:rsid w:val="2C385DA0"/>
    <w:rsid w:val="2C7515F8"/>
    <w:rsid w:val="2D0B5040"/>
    <w:rsid w:val="2D1134FB"/>
    <w:rsid w:val="2D702CF7"/>
    <w:rsid w:val="2DB61A50"/>
    <w:rsid w:val="2E0B0A4D"/>
    <w:rsid w:val="2E17763C"/>
    <w:rsid w:val="2E291B46"/>
    <w:rsid w:val="2E6B5706"/>
    <w:rsid w:val="2EC05CEE"/>
    <w:rsid w:val="2EE06A16"/>
    <w:rsid w:val="2F1403FE"/>
    <w:rsid w:val="2F4C39EB"/>
    <w:rsid w:val="2F533D43"/>
    <w:rsid w:val="2F5B602D"/>
    <w:rsid w:val="2FA530C4"/>
    <w:rsid w:val="2FFD0E93"/>
    <w:rsid w:val="301B7B69"/>
    <w:rsid w:val="301F7049"/>
    <w:rsid w:val="30385D10"/>
    <w:rsid w:val="307F2A26"/>
    <w:rsid w:val="30846206"/>
    <w:rsid w:val="30931163"/>
    <w:rsid w:val="309C68FD"/>
    <w:rsid w:val="309D61D2"/>
    <w:rsid w:val="30A65A08"/>
    <w:rsid w:val="30CA4E30"/>
    <w:rsid w:val="30CC6AB7"/>
    <w:rsid w:val="310205C7"/>
    <w:rsid w:val="313A53BB"/>
    <w:rsid w:val="31800F4A"/>
    <w:rsid w:val="319D142A"/>
    <w:rsid w:val="32336E45"/>
    <w:rsid w:val="33152A48"/>
    <w:rsid w:val="335F2F3D"/>
    <w:rsid w:val="337C5019"/>
    <w:rsid w:val="337F3789"/>
    <w:rsid w:val="33921799"/>
    <w:rsid w:val="339A2E9C"/>
    <w:rsid w:val="34D815A9"/>
    <w:rsid w:val="352D1DBC"/>
    <w:rsid w:val="35590FAB"/>
    <w:rsid w:val="358E6A31"/>
    <w:rsid w:val="35A10EB9"/>
    <w:rsid w:val="35B94F58"/>
    <w:rsid w:val="35C6745A"/>
    <w:rsid w:val="362D2681"/>
    <w:rsid w:val="36633BDA"/>
    <w:rsid w:val="36B9188B"/>
    <w:rsid w:val="3708465C"/>
    <w:rsid w:val="371B442B"/>
    <w:rsid w:val="37732382"/>
    <w:rsid w:val="37774F8F"/>
    <w:rsid w:val="37C96F3D"/>
    <w:rsid w:val="37E10B42"/>
    <w:rsid w:val="37F45271"/>
    <w:rsid w:val="383271A6"/>
    <w:rsid w:val="388D5364"/>
    <w:rsid w:val="38B67898"/>
    <w:rsid w:val="38C96CE1"/>
    <w:rsid w:val="38D44107"/>
    <w:rsid w:val="393671C3"/>
    <w:rsid w:val="39496D0D"/>
    <w:rsid w:val="39AF2AAA"/>
    <w:rsid w:val="39F5707E"/>
    <w:rsid w:val="3A612966"/>
    <w:rsid w:val="3A764D9C"/>
    <w:rsid w:val="3ADD527F"/>
    <w:rsid w:val="3B295232"/>
    <w:rsid w:val="3B6E1CD1"/>
    <w:rsid w:val="3B8A7399"/>
    <w:rsid w:val="3BA62A75"/>
    <w:rsid w:val="3C0B315D"/>
    <w:rsid w:val="3C3F4152"/>
    <w:rsid w:val="3C805325"/>
    <w:rsid w:val="3D0C2395"/>
    <w:rsid w:val="3D267C97"/>
    <w:rsid w:val="3D302200"/>
    <w:rsid w:val="3D5029C1"/>
    <w:rsid w:val="3D532AA4"/>
    <w:rsid w:val="3D830958"/>
    <w:rsid w:val="3D99707A"/>
    <w:rsid w:val="3DC2196D"/>
    <w:rsid w:val="3DE4640A"/>
    <w:rsid w:val="3DFA1107"/>
    <w:rsid w:val="3E2715FB"/>
    <w:rsid w:val="3E314470"/>
    <w:rsid w:val="3E370E76"/>
    <w:rsid w:val="3EB017C6"/>
    <w:rsid w:val="3EC649CA"/>
    <w:rsid w:val="3F1A0507"/>
    <w:rsid w:val="3F262A05"/>
    <w:rsid w:val="401A5433"/>
    <w:rsid w:val="40214122"/>
    <w:rsid w:val="40A11D0E"/>
    <w:rsid w:val="40BB62E0"/>
    <w:rsid w:val="40D24EFC"/>
    <w:rsid w:val="41A559DB"/>
    <w:rsid w:val="41B810BD"/>
    <w:rsid w:val="425439CC"/>
    <w:rsid w:val="42E12D5E"/>
    <w:rsid w:val="43292B67"/>
    <w:rsid w:val="432F34D6"/>
    <w:rsid w:val="434633FD"/>
    <w:rsid w:val="43A4706D"/>
    <w:rsid w:val="43B6787E"/>
    <w:rsid w:val="43BA4AA6"/>
    <w:rsid w:val="43C2130B"/>
    <w:rsid w:val="43CF24B1"/>
    <w:rsid w:val="43F3462F"/>
    <w:rsid w:val="445E5BBA"/>
    <w:rsid w:val="448279FF"/>
    <w:rsid w:val="44C05BA3"/>
    <w:rsid w:val="44DC4AE2"/>
    <w:rsid w:val="44E34971"/>
    <w:rsid w:val="4539066C"/>
    <w:rsid w:val="4590254E"/>
    <w:rsid w:val="45B479E4"/>
    <w:rsid w:val="45DC288C"/>
    <w:rsid w:val="45FE3BBA"/>
    <w:rsid w:val="462A05C1"/>
    <w:rsid w:val="4643469C"/>
    <w:rsid w:val="464F71EE"/>
    <w:rsid w:val="46B61105"/>
    <w:rsid w:val="46B81B60"/>
    <w:rsid w:val="471A16F6"/>
    <w:rsid w:val="473311E6"/>
    <w:rsid w:val="475B61B0"/>
    <w:rsid w:val="47872B8E"/>
    <w:rsid w:val="47E8006A"/>
    <w:rsid w:val="48043F12"/>
    <w:rsid w:val="48221DE3"/>
    <w:rsid w:val="48240722"/>
    <w:rsid w:val="4870420A"/>
    <w:rsid w:val="48D878C8"/>
    <w:rsid w:val="491312CF"/>
    <w:rsid w:val="49396E5F"/>
    <w:rsid w:val="49B033D1"/>
    <w:rsid w:val="49B41FF9"/>
    <w:rsid w:val="4A153D60"/>
    <w:rsid w:val="4A215A8F"/>
    <w:rsid w:val="4A271687"/>
    <w:rsid w:val="4B043E66"/>
    <w:rsid w:val="4B077AED"/>
    <w:rsid w:val="4B297C67"/>
    <w:rsid w:val="4B83224B"/>
    <w:rsid w:val="4B83798F"/>
    <w:rsid w:val="4BBD6286"/>
    <w:rsid w:val="4BC12E9C"/>
    <w:rsid w:val="4BD64771"/>
    <w:rsid w:val="4C2D17F8"/>
    <w:rsid w:val="4CF34379"/>
    <w:rsid w:val="4CFA30E8"/>
    <w:rsid w:val="4D1627F0"/>
    <w:rsid w:val="4D227455"/>
    <w:rsid w:val="4D420195"/>
    <w:rsid w:val="4D4423C1"/>
    <w:rsid w:val="4D9F40C8"/>
    <w:rsid w:val="4DD61A2E"/>
    <w:rsid w:val="4DEF24B1"/>
    <w:rsid w:val="4E634B3E"/>
    <w:rsid w:val="4F537F6E"/>
    <w:rsid w:val="4F5D4CCF"/>
    <w:rsid w:val="4F897CB5"/>
    <w:rsid w:val="4FA82899"/>
    <w:rsid w:val="4FAC1ACB"/>
    <w:rsid w:val="4FAC52CF"/>
    <w:rsid w:val="4FD00F12"/>
    <w:rsid w:val="4FD5123F"/>
    <w:rsid w:val="4FF44BC5"/>
    <w:rsid w:val="4FF5630A"/>
    <w:rsid w:val="5058622E"/>
    <w:rsid w:val="507A4BF9"/>
    <w:rsid w:val="50A32A14"/>
    <w:rsid w:val="50ED2406"/>
    <w:rsid w:val="51151B21"/>
    <w:rsid w:val="517A582E"/>
    <w:rsid w:val="518D7684"/>
    <w:rsid w:val="521A36CE"/>
    <w:rsid w:val="532612FD"/>
    <w:rsid w:val="53332C9A"/>
    <w:rsid w:val="53493A27"/>
    <w:rsid w:val="53894F72"/>
    <w:rsid w:val="53C12B83"/>
    <w:rsid w:val="53CB22C9"/>
    <w:rsid w:val="53D0512F"/>
    <w:rsid w:val="53DE78D0"/>
    <w:rsid w:val="540C5199"/>
    <w:rsid w:val="543A5B79"/>
    <w:rsid w:val="546451F1"/>
    <w:rsid w:val="5525586C"/>
    <w:rsid w:val="55674A6B"/>
    <w:rsid w:val="55C4672A"/>
    <w:rsid w:val="561A44E2"/>
    <w:rsid w:val="56326CD0"/>
    <w:rsid w:val="566273DC"/>
    <w:rsid w:val="56A536ED"/>
    <w:rsid w:val="56B77778"/>
    <w:rsid w:val="56EF4F91"/>
    <w:rsid w:val="571774DA"/>
    <w:rsid w:val="57896802"/>
    <w:rsid w:val="579C6D55"/>
    <w:rsid w:val="582E4CC5"/>
    <w:rsid w:val="583D3BD0"/>
    <w:rsid w:val="584F5AD1"/>
    <w:rsid w:val="587A0A23"/>
    <w:rsid w:val="58E96C57"/>
    <w:rsid w:val="594A2AEB"/>
    <w:rsid w:val="594C6B64"/>
    <w:rsid w:val="59824B46"/>
    <w:rsid w:val="59D35DCA"/>
    <w:rsid w:val="59E24E2E"/>
    <w:rsid w:val="5A521D0F"/>
    <w:rsid w:val="5A846113"/>
    <w:rsid w:val="5A9D6323"/>
    <w:rsid w:val="5AC36179"/>
    <w:rsid w:val="5AF15D6F"/>
    <w:rsid w:val="5B4F7BD2"/>
    <w:rsid w:val="5BA70F92"/>
    <w:rsid w:val="5C2B4ADE"/>
    <w:rsid w:val="5D1B51E0"/>
    <w:rsid w:val="5D4F6922"/>
    <w:rsid w:val="5DA116D4"/>
    <w:rsid w:val="5DB030CE"/>
    <w:rsid w:val="5DB65C0D"/>
    <w:rsid w:val="5E392EBD"/>
    <w:rsid w:val="5E600B95"/>
    <w:rsid w:val="5E6261E1"/>
    <w:rsid w:val="5E936FC6"/>
    <w:rsid w:val="5E94174C"/>
    <w:rsid w:val="5F28709D"/>
    <w:rsid w:val="5F430A91"/>
    <w:rsid w:val="5FA84150"/>
    <w:rsid w:val="5FBC41C6"/>
    <w:rsid w:val="5FD47C03"/>
    <w:rsid w:val="5FDC526D"/>
    <w:rsid w:val="5FF36BF6"/>
    <w:rsid w:val="60087BF4"/>
    <w:rsid w:val="602256FA"/>
    <w:rsid w:val="60567FC7"/>
    <w:rsid w:val="61160336"/>
    <w:rsid w:val="61587D6F"/>
    <w:rsid w:val="6228172F"/>
    <w:rsid w:val="62651893"/>
    <w:rsid w:val="627B519F"/>
    <w:rsid w:val="62AA6179"/>
    <w:rsid w:val="62F83483"/>
    <w:rsid w:val="632919C3"/>
    <w:rsid w:val="63D464D2"/>
    <w:rsid w:val="63EA2055"/>
    <w:rsid w:val="640C0FFA"/>
    <w:rsid w:val="64B5252B"/>
    <w:rsid w:val="64BD6DB6"/>
    <w:rsid w:val="64BF0FD1"/>
    <w:rsid w:val="64DB4B3A"/>
    <w:rsid w:val="64E238AE"/>
    <w:rsid w:val="654F7282"/>
    <w:rsid w:val="65F323AF"/>
    <w:rsid w:val="65F77D31"/>
    <w:rsid w:val="662231E5"/>
    <w:rsid w:val="662D3F67"/>
    <w:rsid w:val="663369F7"/>
    <w:rsid w:val="668E3A9E"/>
    <w:rsid w:val="66A8761E"/>
    <w:rsid w:val="671C7FD5"/>
    <w:rsid w:val="67B03881"/>
    <w:rsid w:val="67E7543F"/>
    <w:rsid w:val="680F0260"/>
    <w:rsid w:val="682B3AE8"/>
    <w:rsid w:val="685A5E75"/>
    <w:rsid w:val="68D53B72"/>
    <w:rsid w:val="691A72C4"/>
    <w:rsid w:val="69634CA3"/>
    <w:rsid w:val="696A6892"/>
    <w:rsid w:val="6985191D"/>
    <w:rsid w:val="69BA2097"/>
    <w:rsid w:val="6A7031A3"/>
    <w:rsid w:val="6A884323"/>
    <w:rsid w:val="6ACE2488"/>
    <w:rsid w:val="6AE26A6F"/>
    <w:rsid w:val="6B014459"/>
    <w:rsid w:val="6B0C3D5F"/>
    <w:rsid w:val="6B1F0656"/>
    <w:rsid w:val="6B6D43D2"/>
    <w:rsid w:val="6B7E2CAD"/>
    <w:rsid w:val="6BC24763"/>
    <w:rsid w:val="6BC55E9D"/>
    <w:rsid w:val="6BD53A2F"/>
    <w:rsid w:val="6BDB25D4"/>
    <w:rsid w:val="6BDB41CB"/>
    <w:rsid w:val="6C027BDD"/>
    <w:rsid w:val="6C1968D7"/>
    <w:rsid w:val="6C280C9A"/>
    <w:rsid w:val="6C7D63BA"/>
    <w:rsid w:val="6CC14A1B"/>
    <w:rsid w:val="6CD16437"/>
    <w:rsid w:val="6CE150BD"/>
    <w:rsid w:val="6CEF5A8E"/>
    <w:rsid w:val="6D1813E1"/>
    <w:rsid w:val="6D2D0302"/>
    <w:rsid w:val="6D4420F5"/>
    <w:rsid w:val="6DB63E53"/>
    <w:rsid w:val="6DD74C8D"/>
    <w:rsid w:val="6E5859A5"/>
    <w:rsid w:val="6E794B8B"/>
    <w:rsid w:val="6F0231B1"/>
    <w:rsid w:val="6F8B2DA0"/>
    <w:rsid w:val="6FE078AE"/>
    <w:rsid w:val="6FE36B1F"/>
    <w:rsid w:val="70170B4F"/>
    <w:rsid w:val="70927259"/>
    <w:rsid w:val="710309C2"/>
    <w:rsid w:val="718D3CE9"/>
    <w:rsid w:val="719130C7"/>
    <w:rsid w:val="71C31E24"/>
    <w:rsid w:val="721851DE"/>
    <w:rsid w:val="721F63D9"/>
    <w:rsid w:val="726A3326"/>
    <w:rsid w:val="728A23CC"/>
    <w:rsid w:val="729A3B8F"/>
    <w:rsid w:val="729B0F7E"/>
    <w:rsid w:val="72BA6802"/>
    <w:rsid w:val="73340AF8"/>
    <w:rsid w:val="741F7709"/>
    <w:rsid w:val="748665BC"/>
    <w:rsid w:val="74A11DDC"/>
    <w:rsid w:val="74B07A0D"/>
    <w:rsid w:val="75432E15"/>
    <w:rsid w:val="757302A2"/>
    <w:rsid w:val="75827D63"/>
    <w:rsid w:val="75861693"/>
    <w:rsid w:val="75E35A19"/>
    <w:rsid w:val="760657F4"/>
    <w:rsid w:val="761E107A"/>
    <w:rsid w:val="766279B8"/>
    <w:rsid w:val="77A92A4A"/>
    <w:rsid w:val="77CD76B1"/>
    <w:rsid w:val="7854032A"/>
    <w:rsid w:val="789536AA"/>
    <w:rsid w:val="78B35992"/>
    <w:rsid w:val="78EB0E14"/>
    <w:rsid w:val="790528DD"/>
    <w:rsid w:val="793E09C6"/>
    <w:rsid w:val="7A56180D"/>
    <w:rsid w:val="7A8E4D9A"/>
    <w:rsid w:val="7AA64A51"/>
    <w:rsid w:val="7AB22BAA"/>
    <w:rsid w:val="7AC923F2"/>
    <w:rsid w:val="7AE11278"/>
    <w:rsid w:val="7B372662"/>
    <w:rsid w:val="7B4F37AD"/>
    <w:rsid w:val="7B70153B"/>
    <w:rsid w:val="7BA90F34"/>
    <w:rsid w:val="7BD86ED7"/>
    <w:rsid w:val="7C147B1D"/>
    <w:rsid w:val="7C2B30D1"/>
    <w:rsid w:val="7C510CDE"/>
    <w:rsid w:val="7CD37E29"/>
    <w:rsid w:val="7D020F2E"/>
    <w:rsid w:val="7D1354C7"/>
    <w:rsid w:val="7D232E95"/>
    <w:rsid w:val="7D5D01CF"/>
    <w:rsid w:val="7D792CB0"/>
    <w:rsid w:val="7D8368EE"/>
    <w:rsid w:val="7DB1604D"/>
    <w:rsid w:val="7DBF39BE"/>
    <w:rsid w:val="7E0C7AC0"/>
    <w:rsid w:val="7E521459"/>
    <w:rsid w:val="7E5B3D22"/>
    <w:rsid w:val="7E611493"/>
    <w:rsid w:val="7E862155"/>
    <w:rsid w:val="7F8D69DE"/>
    <w:rsid w:val="7FA32FBC"/>
    <w:rsid w:val="7FD20B67"/>
    <w:rsid w:val="7FF12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qFormat="1" w:unhideWhenUsed="0" w:uiPriority="1"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spacing w:line="922" w:lineRule="exact"/>
      <w:ind w:right="113"/>
      <w:jc w:val="center"/>
      <w:outlineLvl w:val="0"/>
    </w:pPr>
    <w:rPr>
      <w:sz w:val="72"/>
      <w:szCs w:val="72"/>
    </w:rPr>
  </w:style>
  <w:style w:type="paragraph" w:styleId="6">
    <w:name w:val="heading 2"/>
    <w:basedOn w:val="1"/>
    <w:next w:val="1"/>
    <w:qFormat/>
    <w:uiPriority w:val="1"/>
    <w:pPr>
      <w:spacing w:before="29"/>
      <w:ind w:right="124"/>
      <w:jc w:val="center"/>
      <w:outlineLvl w:val="1"/>
    </w:pPr>
    <w:rPr>
      <w:rFonts w:ascii="黑体" w:hAnsi="黑体" w:eastAsia="黑体" w:cs="黑体"/>
      <w:b/>
      <w:bCs/>
      <w:sz w:val="36"/>
      <w:szCs w:val="36"/>
    </w:rPr>
  </w:style>
  <w:style w:type="paragraph" w:styleId="7">
    <w:name w:val="heading 3"/>
    <w:basedOn w:val="1"/>
    <w:next w:val="1"/>
    <w:qFormat/>
    <w:uiPriority w:val="1"/>
    <w:pPr>
      <w:jc w:val="center"/>
      <w:outlineLvl w:val="2"/>
    </w:pPr>
    <w:rPr>
      <w:rFonts w:ascii="黑体" w:hAnsi="黑体" w:eastAsia="黑体" w:cs="黑体"/>
      <w:b/>
      <w:bCs/>
      <w:sz w:val="32"/>
      <w:szCs w:val="32"/>
    </w:rPr>
  </w:style>
  <w:style w:type="paragraph" w:styleId="8">
    <w:name w:val="heading 4"/>
    <w:basedOn w:val="1"/>
    <w:next w:val="1"/>
    <w:qFormat/>
    <w:uiPriority w:val="1"/>
    <w:pPr>
      <w:ind w:right="115"/>
      <w:jc w:val="center"/>
      <w:outlineLvl w:val="3"/>
    </w:pPr>
    <w:rPr>
      <w:sz w:val="32"/>
      <w:szCs w:val="32"/>
    </w:rPr>
  </w:style>
  <w:style w:type="paragraph" w:styleId="9">
    <w:name w:val="heading 5"/>
    <w:basedOn w:val="1"/>
    <w:next w:val="1"/>
    <w:qFormat/>
    <w:uiPriority w:val="1"/>
    <w:pPr>
      <w:spacing w:before="210"/>
      <w:ind w:left="363" w:right="390"/>
      <w:jc w:val="center"/>
      <w:outlineLvl w:val="4"/>
    </w:pPr>
    <w:rPr>
      <w:b/>
      <w:bCs/>
      <w:sz w:val="30"/>
      <w:szCs w:val="30"/>
    </w:rPr>
  </w:style>
  <w:style w:type="paragraph" w:styleId="10">
    <w:name w:val="heading 6"/>
    <w:basedOn w:val="1"/>
    <w:next w:val="1"/>
    <w:qFormat/>
    <w:uiPriority w:val="1"/>
    <w:pPr>
      <w:outlineLvl w:val="5"/>
    </w:pPr>
    <w:rPr>
      <w:rFonts w:ascii="黑体" w:hAnsi="黑体" w:eastAsia="黑体" w:cs="黑体"/>
      <w:sz w:val="30"/>
      <w:szCs w:val="30"/>
    </w:rPr>
  </w:style>
  <w:style w:type="paragraph" w:styleId="11">
    <w:name w:val="heading 7"/>
    <w:basedOn w:val="1"/>
    <w:next w:val="1"/>
    <w:qFormat/>
    <w:uiPriority w:val="1"/>
    <w:pPr>
      <w:spacing w:before="42"/>
      <w:ind w:left="228"/>
      <w:outlineLvl w:val="6"/>
    </w:pPr>
    <w:rPr>
      <w:b/>
      <w:bCs/>
      <w:sz w:val="28"/>
      <w:szCs w:val="28"/>
    </w:rPr>
  </w:style>
  <w:style w:type="paragraph" w:styleId="12">
    <w:name w:val="heading 8"/>
    <w:basedOn w:val="1"/>
    <w:next w:val="1"/>
    <w:qFormat/>
    <w:uiPriority w:val="1"/>
    <w:pPr>
      <w:ind w:left="1068"/>
      <w:outlineLvl w:val="7"/>
    </w:pPr>
    <w:rPr>
      <w:b/>
      <w:bCs/>
      <w:sz w:val="24"/>
      <w:szCs w:val="24"/>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缩进1"/>
    <w:basedOn w:val="1"/>
    <w:next w:val="3"/>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toc 5"/>
    <w:basedOn w:val="1"/>
    <w:next w:val="1"/>
    <w:qFormat/>
    <w:uiPriority w:val="0"/>
    <w:pPr>
      <w:ind w:left="840"/>
    </w:pPr>
    <w:rPr>
      <w:rFonts w:ascii="Calibri" w:hAnsi="Calibri"/>
      <w:sz w:val="18"/>
      <w:szCs w:val="18"/>
    </w:rPr>
  </w:style>
  <w:style w:type="paragraph" w:styleId="13">
    <w:name w:val="Normal Indent"/>
    <w:basedOn w:val="1"/>
    <w:next w:val="1"/>
    <w:qFormat/>
    <w:uiPriority w:val="0"/>
    <w:pPr>
      <w:ind w:firstLine="420"/>
    </w:pPr>
    <w:rPr>
      <w:sz w:val="20"/>
    </w:rPr>
  </w:style>
  <w:style w:type="paragraph" w:styleId="14">
    <w:name w:val="Body Text"/>
    <w:basedOn w:val="1"/>
    <w:next w:val="15"/>
    <w:qFormat/>
    <w:uiPriority w:val="1"/>
    <w:rPr>
      <w:sz w:val="24"/>
      <w:szCs w:val="24"/>
    </w:rPr>
  </w:style>
  <w:style w:type="paragraph" w:customStyle="1" w:styleId="15">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6">
    <w:name w:val="List 2"/>
    <w:basedOn w:val="1"/>
    <w:unhideWhenUsed/>
    <w:qFormat/>
    <w:uiPriority w:val="99"/>
    <w:pPr>
      <w:ind w:left="100" w:leftChars="200" w:hanging="200" w:hangingChars="200"/>
      <w:contextualSpacing/>
    </w:pPr>
  </w:style>
  <w:style w:type="paragraph" w:styleId="17">
    <w:name w:val="Block Text"/>
    <w:qFormat/>
    <w:uiPriority w:val="0"/>
    <w:pPr>
      <w:widowControl w:val="0"/>
      <w:autoSpaceDE w:val="0"/>
      <w:autoSpaceDN w:val="0"/>
      <w:adjustRightInd w:val="0"/>
      <w:spacing w:line="240" w:lineRule="atLeast"/>
      <w:ind w:left="1797" w:right="857" w:rightChars="857" w:firstLine="226" w:firstLineChars="226"/>
    </w:pPr>
    <w:rPr>
      <w:rFonts w:ascii="宋体" w:hAnsi="Calibri" w:eastAsia="宋体" w:cs="Times New Roman"/>
      <w:color w:val="000000"/>
      <w:sz w:val="24"/>
      <w:szCs w:val="24"/>
      <w:lang w:val="en-US" w:eastAsia="zh-CN" w:bidi="ar-SA"/>
    </w:rPr>
  </w:style>
  <w:style w:type="paragraph" w:styleId="18">
    <w:name w:val="toc 3"/>
    <w:basedOn w:val="1"/>
    <w:next w:val="1"/>
    <w:qFormat/>
    <w:uiPriority w:val="1"/>
    <w:pPr>
      <w:spacing w:before="4"/>
      <w:ind w:left="1358" w:right="657"/>
      <w:jc w:val="right"/>
    </w:pPr>
    <w:rPr>
      <w:sz w:val="24"/>
      <w:szCs w:val="24"/>
    </w:rPr>
  </w:style>
  <w:style w:type="paragraph" w:styleId="19">
    <w:name w:val="footer"/>
    <w:basedOn w:val="1"/>
    <w:qFormat/>
    <w:uiPriority w:val="0"/>
    <w:pPr>
      <w:tabs>
        <w:tab w:val="center" w:pos="4153"/>
        <w:tab w:val="right" w:pos="8306"/>
      </w:tabs>
      <w:snapToGrid w:val="0"/>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21">
    <w:name w:val="toc 1"/>
    <w:basedOn w:val="1"/>
    <w:next w:val="1"/>
    <w:qFormat/>
    <w:uiPriority w:val="1"/>
    <w:pPr>
      <w:spacing w:before="5"/>
      <w:ind w:right="665"/>
      <w:jc w:val="right"/>
    </w:pPr>
    <w:rPr>
      <w:sz w:val="24"/>
      <w:szCs w:val="24"/>
    </w:rPr>
  </w:style>
  <w:style w:type="paragraph" w:styleId="22">
    <w:name w:val="footnote text"/>
    <w:basedOn w:val="1"/>
    <w:unhideWhenUsed/>
    <w:qFormat/>
    <w:uiPriority w:val="99"/>
    <w:pPr>
      <w:snapToGrid w:val="0"/>
    </w:pPr>
    <w:rPr>
      <w:sz w:val="18"/>
    </w:rPr>
  </w:style>
  <w:style w:type="paragraph" w:styleId="23">
    <w:name w:val="Body Text Indent 3"/>
    <w:basedOn w:val="1"/>
    <w:qFormat/>
    <w:uiPriority w:val="0"/>
    <w:pPr>
      <w:spacing w:line="360" w:lineRule="auto"/>
      <w:ind w:firstLine="200" w:firstLineChars="200"/>
    </w:pPr>
    <w:rPr>
      <w:rFonts w:ascii="Times New Roman" w:hAnsi="Times New Roman"/>
      <w:sz w:val="20"/>
      <w:szCs w:val="20"/>
    </w:rPr>
  </w:style>
  <w:style w:type="paragraph" w:styleId="24">
    <w:name w:val="toc 2"/>
    <w:basedOn w:val="1"/>
    <w:next w:val="1"/>
    <w:qFormat/>
    <w:uiPriority w:val="1"/>
    <w:pPr>
      <w:spacing w:before="4"/>
      <w:ind w:left="878" w:right="658"/>
      <w:jc w:val="right"/>
    </w:pPr>
    <w:rPr>
      <w:sz w:val="24"/>
      <w:szCs w:val="24"/>
    </w:rPr>
  </w:style>
  <w:style w:type="paragraph" w:styleId="25">
    <w:name w:val="Normal (Web)"/>
    <w:basedOn w:val="1"/>
    <w:qFormat/>
    <w:uiPriority w:val="99"/>
    <w:pPr>
      <w:widowControl/>
    </w:pPr>
    <w:rPr>
      <w:sz w:val="24"/>
      <w:szCs w:val="24"/>
    </w:rPr>
  </w:style>
  <w:style w:type="paragraph" w:styleId="26">
    <w:name w:val="Body Text First Indent"/>
    <w:basedOn w:val="14"/>
    <w:unhideWhenUsed/>
    <w:qFormat/>
    <w:uiPriority w:val="99"/>
    <w:pPr>
      <w:ind w:firstLine="420" w:firstLineChars="100"/>
    </w:pPr>
  </w:style>
  <w:style w:type="paragraph" w:styleId="27">
    <w:name w:val="Body Text First Indent 2"/>
    <w:basedOn w:val="3"/>
    <w:next w:val="17"/>
    <w:qFormat/>
    <w:uiPriority w:val="0"/>
    <w:pPr>
      <w:tabs>
        <w:tab w:val="left" w:pos="720"/>
        <w:tab w:val="left" w:pos="1260"/>
        <w:tab w:val="left" w:pos="2160"/>
        <w:tab w:val="left" w:pos="2880"/>
        <w:tab w:val="left" w:pos="3600"/>
        <w:tab w:val="left" w:pos="4320"/>
        <w:tab w:val="left" w:pos="5040"/>
        <w:tab w:val="left" w:pos="5760"/>
      </w:tabs>
      <w:adjustRightInd w:val="0"/>
      <w:spacing w:after="0" w:line="360" w:lineRule="auto"/>
      <w:ind w:left="0" w:right="25" w:rightChars="12" w:firstLine="420" w:firstLineChars="200"/>
    </w:pPr>
    <w:rPr>
      <w:rFonts w:hint="eastAsia" w:ascii="楷体_GB2312" w:hAnsi="Calibri" w:cs="Times New Roman"/>
      <w:color w:val="000000"/>
      <w:sz w:val="24"/>
      <w:szCs w:val="20"/>
      <w:lang w:val="en-US" w:bidi="ar-SA"/>
    </w:r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1">
    <w:name w:val="Table Normal"/>
    <w:semiHidden/>
    <w:unhideWhenUsed/>
    <w:qFormat/>
    <w:uiPriority w:val="2"/>
    <w:tblPr>
      <w:tblCellMar>
        <w:top w:w="0" w:type="dxa"/>
        <w:left w:w="0" w:type="dxa"/>
        <w:bottom w:w="0" w:type="dxa"/>
        <w:right w:w="0" w:type="dxa"/>
      </w:tblCellMar>
    </w:tblPr>
  </w:style>
  <w:style w:type="paragraph" w:styleId="32">
    <w:name w:val="List Paragraph"/>
    <w:basedOn w:val="1"/>
    <w:qFormat/>
    <w:uiPriority w:val="1"/>
    <w:pPr>
      <w:spacing w:before="81"/>
      <w:ind w:left="907" w:hanging="680"/>
    </w:pPr>
  </w:style>
  <w:style w:type="paragraph" w:customStyle="1" w:styleId="33">
    <w:name w:val="Table Paragraph"/>
    <w:basedOn w:val="1"/>
    <w:qFormat/>
    <w:uiPriority w:val="1"/>
    <w:rPr>
      <w:rFonts w:ascii="仿宋" w:hAnsi="仿宋" w:eastAsia="仿宋" w:cs="仿宋"/>
    </w:rPr>
  </w:style>
  <w:style w:type="paragraph" w:customStyle="1" w:styleId="34">
    <w:name w:val="_Style 2"/>
    <w:basedOn w:val="5"/>
    <w:next w:val="1"/>
    <w:qFormat/>
    <w:uiPriority w:val="39"/>
    <w:pPr>
      <w:keepLines/>
      <w:widowControl/>
      <w:spacing w:before="480" w:line="276" w:lineRule="auto"/>
      <w:jc w:val="left"/>
      <w:outlineLvl w:val="9"/>
    </w:pPr>
    <w:rPr>
      <w:rFonts w:ascii="Cambria" w:hAnsi="Cambria"/>
      <w:color w:val="365F91"/>
    </w:rPr>
  </w:style>
  <w:style w:type="paragraph" w:customStyle="1" w:styleId="35">
    <w:name w:val="Default Text"/>
    <w:qFormat/>
    <w:uiPriority w:val="0"/>
    <w:pPr>
      <w:widowControl w:val="0"/>
      <w:autoSpaceDE w:val="0"/>
      <w:autoSpaceDN w:val="0"/>
      <w:adjustRightInd w:val="0"/>
    </w:pPr>
    <w:rPr>
      <w:rFonts w:ascii="Calibri" w:hAnsi="Calibri" w:eastAsia="宋体" w:cs="Times New Roman"/>
      <w:color w:val="000000"/>
      <w:kern w:val="2"/>
      <w:sz w:val="24"/>
      <w:szCs w:val="24"/>
      <w:lang w:val="en-US" w:eastAsia="zh-CN" w:bidi="ar-SA"/>
    </w:rPr>
  </w:style>
  <w:style w:type="paragraph" w:customStyle="1" w:styleId="36">
    <w:name w:val="缺省文本"/>
    <w:qFormat/>
    <w:uiPriority w:val="99"/>
    <w:pPr>
      <w:widowControl w:val="0"/>
      <w:autoSpaceDE w:val="0"/>
      <w:autoSpaceDN w:val="0"/>
      <w:adjustRightInd w:val="0"/>
    </w:pPr>
    <w:rPr>
      <w:rFonts w:ascii="Calibri" w:hAnsi="Calibri" w:eastAsia="宋体" w:cs="Times New Roman"/>
      <w:color w:val="000000"/>
      <w:szCs w:val="24"/>
      <w:lang w:val="en-US" w:eastAsia="zh-CN" w:bidi="ar-SA"/>
    </w:rPr>
  </w:style>
  <w:style w:type="paragraph" w:customStyle="1" w:styleId="37">
    <w:name w:val="WPSOffice手动目录 1"/>
    <w:qFormat/>
    <w:uiPriority w:val="0"/>
    <w:rPr>
      <w:rFonts w:ascii="Calibri" w:hAnsi="Calibri" w:eastAsia="宋体" w:cs="Times New Roman"/>
      <w:lang w:val="en-US" w:eastAsia="zh-CN" w:bidi="ar-SA"/>
    </w:rPr>
  </w:style>
  <w:style w:type="paragraph" w:customStyle="1" w:styleId="38">
    <w:name w:val="WPSOffice手动目录 2"/>
    <w:qFormat/>
    <w:uiPriority w:val="0"/>
    <w:pPr>
      <w:ind w:left="200" w:leftChars="200"/>
    </w:pPr>
    <w:rPr>
      <w:rFonts w:ascii="Calibri" w:hAnsi="Calibri" w:eastAsia="宋体" w:cs="Times New Roman"/>
      <w:lang w:val="en-US" w:eastAsia="zh-CN" w:bidi="ar-SA"/>
    </w:rPr>
  </w:style>
  <w:style w:type="paragraph" w:customStyle="1" w:styleId="39">
    <w:name w:val="_Style 3"/>
    <w:basedOn w:val="1"/>
    <w:next w:val="23"/>
    <w:qFormat/>
    <w:uiPriority w:val="0"/>
    <w:pPr>
      <w:widowControl/>
      <w:ind w:left="720"/>
      <w:contextualSpacing/>
    </w:pPr>
    <w:rPr>
      <w:sz w:val="24"/>
    </w:rPr>
  </w:style>
  <w:style w:type="character" w:customStyle="1" w:styleId="40">
    <w:name w:val="font11"/>
    <w:basedOn w:val="30"/>
    <w:qFormat/>
    <w:uiPriority w:val="0"/>
    <w:rPr>
      <w:rFonts w:hint="default" w:ascii="Times New Roman" w:hAnsi="Times New Roman" w:cs="Times New Roman"/>
      <w:color w:val="000000"/>
      <w:sz w:val="22"/>
      <w:szCs w:val="22"/>
      <w:u w:val="none"/>
    </w:rPr>
  </w:style>
  <w:style w:type="character" w:customStyle="1" w:styleId="41">
    <w:name w:val="font31"/>
    <w:basedOn w:val="30"/>
    <w:qFormat/>
    <w:uiPriority w:val="0"/>
    <w:rPr>
      <w:rFonts w:hint="eastAsia" w:ascii="宋体" w:hAnsi="宋体" w:eastAsia="宋体" w:cs="宋体"/>
      <w:color w:val="000000"/>
      <w:sz w:val="22"/>
      <w:szCs w:val="22"/>
      <w:u w:val="none"/>
    </w:rPr>
  </w:style>
  <w:style w:type="character" w:customStyle="1" w:styleId="42">
    <w:name w:val="font51"/>
    <w:basedOn w:val="30"/>
    <w:qFormat/>
    <w:uiPriority w:val="0"/>
    <w:rPr>
      <w:rFonts w:hint="eastAsia" w:ascii="宋体" w:hAnsi="宋体" w:eastAsia="宋体" w:cs="宋体"/>
      <w:b/>
      <w:bCs/>
      <w:color w:val="000000"/>
      <w:sz w:val="16"/>
      <w:szCs w:val="16"/>
      <w:u w:val="none"/>
    </w:rPr>
  </w:style>
  <w:style w:type="character" w:customStyle="1" w:styleId="43">
    <w:name w:val="font21"/>
    <w:basedOn w:val="30"/>
    <w:qFormat/>
    <w:uiPriority w:val="0"/>
    <w:rPr>
      <w:rFonts w:hint="eastAsia" w:ascii="宋体" w:hAnsi="宋体" w:eastAsia="宋体" w:cs="宋体"/>
      <w:color w:val="000000"/>
      <w:sz w:val="16"/>
      <w:szCs w:val="16"/>
      <w:u w:val="none"/>
    </w:rPr>
  </w:style>
  <w:style w:type="character" w:customStyle="1" w:styleId="44">
    <w:name w:val="font01"/>
    <w:basedOn w:val="30"/>
    <w:qFormat/>
    <w:uiPriority w:val="0"/>
    <w:rPr>
      <w:rFonts w:ascii="Calibri" w:hAnsi="Calibri" w:cs="Calibri"/>
      <w:color w:val="000000"/>
      <w:sz w:val="16"/>
      <w:szCs w:val="16"/>
      <w:u w:val="none"/>
    </w:rPr>
  </w:style>
  <w:style w:type="character" w:customStyle="1" w:styleId="45">
    <w:name w:val="font41"/>
    <w:basedOn w:val="30"/>
    <w:qFormat/>
    <w:uiPriority w:val="0"/>
    <w:rPr>
      <w:rFonts w:ascii="微软雅黑" w:hAnsi="微软雅黑" w:eastAsia="微软雅黑" w:cs="微软雅黑"/>
      <w:color w:val="000000"/>
      <w:sz w:val="16"/>
      <w:szCs w:val="16"/>
      <w:u w:val="none"/>
    </w:rPr>
  </w:style>
  <w:style w:type="paragraph" w:customStyle="1" w:styleId="46">
    <w:name w:val="WPSOffice手动目录 3"/>
    <w:qFormat/>
    <w:uiPriority w:val="0"/>
    <w:pPr>
      <w:ind w:left="400" w:leftChars="4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6" textRotate="1"/>
    <customShpInfo spid="_x0000_s2057" textRotate="1"/>
    <customShpInfo spid="_x0000_s205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101</Pages>
  <Words>81629</Words>
  <Characters>89963</Characters>
  <Lines>735</Lines>
  <Paragraphs>207</Paragraphs>
  <TotalTime>45</TotalTime>
  <ScaleCrop>false</ScaleCrop>
  <LinksUpToDate>false</LinksUpToDate>
  <CharactersWithSpaces>94280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2021-04-06T05:13:00Z</dcterms:created>
  <dc:creator>曹颖</dc:creator>
  <cp:lastModifiedBy>月夜雨樱</cp:lastModifiedBy>
  <cp:lastPrinted>2022-09-14T02:38:00Z</cp:lastPrinted>
  <dcterms:modified xsi:type="dcterms:W3CDTF">2022-10-17T01:55:58Z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2021-04-01T00:00:00Z</vt:filetime>
  </property>
  <property fmtid="{D5CDD505-2E9C-101B-9397-08002B2CF9AE}" pid="3" name="Creator">
    <vt:lpwstr>Microsoft® Word 2010</vt:lpwstr>
  </property>
  <property fmtid="{D5CDD505-2E9C-101B-9397-08002B2CF9AE}" pid="4" name="LastSaved">
    <vt:filetime>2021-04-06T00:00:00Z</vt:filetime>
  </property>
  <property fmtid="{D5CDD505-2E9C-101B-9397-08002B2CF9AE}" pid="5" name="KSOProductBuildVer">
    <vt:lpwstr>2052-11.1.0.12358</vt:lpwstr>
  </property>
  <property fmtid="{D5CDD505-2E9C-101B-9397-08002B2CF9AE}" pid="6" name="ICV">
    <vt:lpwstr>313B767F827148E79B44A02AC5C7890C</vt:lpwstr>
  </property>
  <property fmtid="{D5CDD505-2E9C-101B-9397-08002B2CF9AE}" pid="7" name="commondata">
    <vt:lpwstr>eyJoZGlkIjoiNTVjM2U5ZGJkZGU4MzJlMWMyOWVhNGJkYTY3MzJjNzIifQ==</vt:lpwstr>
  </property>
</Properties>
</file>