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56"/>
          <w:szCs w:val="56"/>
        </w:rPr>
      </w:pPr>
    </w:p>
    <w:p>
      <w:pPr>
        <w:spacing w:line="360" w:lineRule="auto"/>
        <w:jc w:val="center"/>
        <w:rPr>
          <w:rFonts w:hint="eastAsia" w:ascii="宋体" w:hAnsi="宋体"/>
          <w:b/>
          <w:sz w:val="56"/>
          <w:szCs w:val="56"/>
        </w:rPr>
      </w:pPr>
    </w:p>
    <w:p>
      <w:pPr>
        <w:spacing w:line="360" w:lineRule="auto"/>
        <w:jc w:val="center"/>
        <w:rPr>
          <w:rFonts w:ascii="宋体" w:hAnsi="宋体"/>
          <w:b/>
          <w:sz w:val="56"/>
          <w:szCs w:val="56"/>
        </w:rPr>
      </w:pPr>
      <w:r>
        <w:rPr>
          <w:rFonts w:hint="eastAsia" w:ascii="宋体" w:hAnsi="宋体"/>
          <w:b/>
          <w:sz w:val="56"/>
          <w:szCs w:val="56"/>
        </w:rPr>
        <w:t>新疆中工建辉工程咨询有限公司</w:t>
      </w:r>
    </w:p>
    <w:p>
      <w:pPr>
        <w:spacing w:line="360" w:lineRule="auto"/>
        <w:rPr>
          <w:rFonts w:ascii="宋体" w:hAnsi="宋体"/>
          <w:sz w:val="32"/>
        </w:rPr>
      </w:pPr>
    </w:p>
    <w:p>
      <w:pPr>
        <w:spacing w:line="360" w:lineRule="auto"/>
        <w:rPr>
          <w:rFonts w:ascii="宋体" w:hAnsi="宋体"/>
          <w:sz w:val="32"/>
        </w:rPr>
      </w:pPr>
    </w:p>
    <w:p>
      <w:pPr>
        <w:pStyle w:val="16"/>
      </w:pPr>
    </w:p>
    <w:p>
      <w:pPr>
        <w:spacing w:line="360" w:lineRule="auto"/>
        <w:rPr>
          <w:rFonts w:ascii="宋体" w:hAnsi="宋体"/>
          <w:sz w:val="32"/>
        </w:rPr>
      </w:pPr>
    </w:p>
    <w:p>
      <w:pPr>
        <w:spacing w:line="360" w:lineRule="auto"/>
        <w:jc w:val="center"/>
        <w:rPr>
          <w:rFonts w:ascii="宋体" w:hAnsi="宋体"/>
          <w:b/>
          <w:sz w:val="72"/>
          <w:szCs w:val="72"/>
        </w:rPr>
      </w:pPr>
      <w:r>
        <w:rPr>
          <w:rFonts w:hint="eastAsia" w:ascii="宋体" w:hAnsi="宋体"/>
          <w:b/>
          <w:sz w:val="72"/>
          <w:szCs w:val="72"/>
        </w:rPr>
        <w:t>招标文件</w:t>
      </w:r>
    </w:p>
    <w:p>
      <w:pPr>
        <w:spacing w:line="360" w:lineRule="auto"/>
        <w:rPr>
          <w:rFonts w:ascii="宋体" w:hAnsi="宋体"/>
          <w:sz w:val="32"/>
        </w:rPr>
      </w:pPr>
      <w:r>
        <w:rPr>
          <w:rFonts w:ascii="宋体" w:hAnsi="宋体"/>
          <w:sz w:val="32"/>
        </w:rPr>
        <w:t xml:space="preserve">               </w:t>
      </w:r>
    </w:p>
    <w:p>
      <w:pPr>
        <w:spacing w:line="360" w:lineRule="auto"/>
        <w:rPr>
          <w:rFonts w:ascii="宋体" w:hAnsi="宋体"/>
          <w:sz w:val="32"/>
        </w:rPr>
      </w:pPr>
      <w:r>
        <w:rPr>
          <w:rFonts w:ascii="宋体" w:hAnsi="宋体"/>
          <w:sz w:val="32"/>
        </w:rPr>
        <w:t xml:space="preserve">                                </w:t>
      </w:r>
    </w:p>
    <w:p>
      <w:pPr>
        <w:spacing w:line="360" w:lineRule="auto"/>
        <w:ind w:firstLine="1920" w:firstLineChars="600"/>
        <w:rPr>
          <w:rFonts w:ascii="黑体" w:hAnsi="宋体" w:eastAsia="黑体"/>
          <w:sz w:val="32"/>
        </w:rPr>
      </w:pPr>
    </w:p>
    <w:p>
      <w:pPr>
        <w:pStyle w:val="113"/>
        <w:ind w:firstLine="560"/>
      </w:pPr>
    </w:p>
    <w:p>
      <w:pPr>
        <w:pStyle w:val="16"/>
      </w:pPr>
    </w:p>
    <w:p>
      <w:pPr>
        <w:spacing w:line="360" w:lineRule="auto"/>
        <w:rPr>
          <w:rFonts w:ascii="黑体" w:hAnsi="宋体" w:eastAsia="黑体"/>
          <w:sz w:val="32"/>
        </w:rPr>
      </w:pPr>
    </w:p>
    <w:p>
      <w:pPr>
        <w:rPr>
          <w:rFonts w:hint="eastAsia" w:ascii="宋体" w:hAnsi="宋体" w:cs="宋体"/>
          <w:b/>
          <w:sz w:val="32"/>
          <w:szCs w:val="31"/>
        </w:rPr>
      </w:pPr>
      <w:r>
        <w:rPr>
          <w:rFonts w:hint="eastAsia" w:ascii="宋体" w:hAnsi="宋体" w:cs="宋体"/>
          <w:b/>
          <w:sz w:val="32"/>
          <w:szCs w:val="31"/>
        </w:rPr>
        <w:t>招标项目名称：若羌县自然资源（林业和草原局）档案数字化信息管理平台建设项目</w:t>
      </w:r>
    </w:p>
    <w:p>
      <w:pPr>
        <w:pStyle w:val="2"/>
        <w:rPr>
          <w:rFonts w:hint="eastAsia" w:ascii="宋体" w:hAnsi="宋体" w:cs="宋体"/>
          <w:b/>
          <w:sz w:val="32"/>
          <w:szCs w:val="31"/>
        </w:rPr>
      </w:pPr>
    </w:p>
    <w:p/>
    <w:p>
      <w:pPr>
        <w:spacing w:line="360" w:lineRule="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招 标 单 位：若羌县自然资源局（林业和草原局）</w:t>
      </w:r>
    </w:p>
    <w:p>
      <w:pPr>
        <w:tabs>
          <w:tab w:val="left" w:pos="1134"/>
          <w:tab w:val="left" w:pos="5160"/>
        </w:tabs>
        <w:spacing w:line="360" w:lineRule="auto"/>
        <w:jc w:val="center"/>
        <w:rPr>
          <w:rFonts w:ascii="宋体" w:hAnsi="宋体" w:cs="宋体"/>
          <w:sz w:val="72"/>
          <w:szCs w:val="72"/>
        </w:rPr>
      </w:pPr>
    </w:p>
    <w:p>
      <w:pPr>
        <w:pStyle w:val="16"/>
      </w:pPr>
    </w:p>
    <w:p/>
    <w:p>
      <w:pPr>
        <w:pStyle w:val="113"/>
        <w:ind w:firstLine="560"/>
      </w:pPr>
    </w:p>
    <w:p>
      <w:pPr>
        <w:pStyle w:val="113"/>
        <w:ind w:firstLine="560"/>
      </w:pPr>
    </w:p>
    <w:p/>
    <w:p>
      <w:pPr>
        <w:tabs>
          <w:tab w:val="left" w:pos="1134"/>
          <w:tab w:val="left" w:pos="5160"/>
        </w:tabs>
        <w:spacing w:line="360" w:lineRule="auto"/>
        <w:jc w:val="center"/>
        <w:rPr>
          <w:rFonts w:ascii="宋体" w:hAnsi="宋体" w:cs="宋体"/>
          <w:sz w:val="72"/>
          <w:szCs w:val="72"/>
        </w:rPr>
      </w:pPr>
      <w:bookmarkStart w:id="0" w:name="_Toc456718476"/>
      <w:r>
        <w:rPr>
          <w:rFonts w:hint="eastAsia" w:ascii="宋体" w:hAnsi="宋体" w:cs="宋体"/>
          <w:sz w:val="72"/>
          <w:szCs w:val="72"/>
        </w:rPr>
        <w:t>竞争性磋商文件</w:t>
      </w:r>
    </w:p>
    <w:p>
      <w:pPr>
        <w:tabs>
          <w:tab w:val="left" w:pos="1134"/>
          <w:tab w:val="left" w:pos="5481"/>
          <w:tab w:val="left" w:pos="5859"/>
        </w:tabs>
        <w:spacing w:line="360" w:lineRule="auto"/>
        <w:rPr>
          <w:rFonts w:ascii="宋体" w:hAnsi="宋体" w:cs="宋体"/>
          <w:b/>
          <w:sz w:val="32"/>
        </w:rPr>
      </w:pPr>
    </w:p>
    <w:tbl>
      <w:tblPr>
        <w:tblStyle w:val="36"/>
        <w:tblW w:w="8943" w:type="dxa"/>
        <w:jc w:val="center"/>
        <w:tblLayout w:type="fixed"/>
        <w:tblCellMar>
          <w:top w:w="0" w:type="dxa"/>
          <w:left w:w="108" w:type="dxa"/>
          <w:bottom w:w="0" w:type="dxa"/>
          <w:right w:w="108" w:type="dxa"/>
        </w:tblCellMar>
      </w:tblPr>
      <w:tblGrid>
        <w:gridCol w:w="2159"/>
        <w:gridCol w:w="6784"/>
      </w:tblGrid>
      <w:tr>
        <w:tblPrEx>
          <w:tblCellMar>
            <w:top w:w="0" w:type="dxa"/>
            <w:left w:w="108" w:type="dxa"/>
            <w:bottom w:w="0" w:type="dxa"/>
            <w:right w:w="108" w:type="dxa"/>
          </w:tblCellMar>
        </w:tblPrEx>
        <w:trPr>
          <w:trHeight w:val="683" w:hRule="atLeast"/>
          <w:jc w:val="center"/>
        </w:trPr>
        <w:tc>
          <w:tcPr>
            <w:tcW w:w="2159" w:type="dxa"/>
            <w:vAlign w:val="center"/>
          </w:tcPr>
          <w:p>
            <w:pPr>
              <w:pStyle w:val="3"/>
              <w:keepNext w:val="0"/>
              <w:keepLines w:val="0"/>
              <w:widowControl/>
              <w:spacing w:line="240" w:lineRule="auto"/>
              <w:jc w:val="both"/>
              <w:rPr>
                <w:rFonts w:ascii="宋体" w:hAnsi="宋体" w:cs="宋体"/>
                <w:b w:val="0"/>
                <w:bCs w:val="0"/>
                <w:color w:val="000000"/>
                <w:kern w:val="2"/>
                <w:sz w:val="28"/>
                <w:szCs w:val="28"/>
              </w:rPr>
            </w:pPr>
            <w:bookmarkStart w:id="1" w:name="_Toc16152"/>
            <w:bookmarkStart w:id="2" w:name="_Toc11510"/>
            <w:bookmarkStart w:id="3" w:name="_Toc9512"/>
            <w:bookmarkStart w:id="4" w:name="_Toc30975"/>
            <w:bookmarkStart w:id="5" w:name="_Toc30456"/>
            <w:r>
              <w:rPr>
                <w:rFonts w:hint="eastAsia" w:ascii="宋体" w:hAnsi="宋体" w:cs="宋体"/>
                <w:bCs w:val="0"/>
                <w:color w:val="000000"/>
                <w:kern w:val="2"/>
                <w:sz w:val="28"/>
                <w:szCs w:val="28"/>
              </w:rPr>
              <w:t>项 目 名 称：</w:t>
            </w:r>
            <w:bookmarkEnd w:id="1"/>
            <w:bookmarkEnd w:id="2"/>
            <w:bookmarkEnd w:id="3"/>
            <w:bookmarkEnd w:id="4"/>
            <w:bookmarkEnd w:id="5"/>
          </w:p>
        </w:tc>
        <w:tc>
          <w:tcPr>
            <w:tcW w:w="6784" w:type="dxa"/>
            <w:vAlign w:val="center"/>
          </w:tcPr>
          <w:p>
            <w:pPr>
              <w:pStyle w:val="3"/>
              <w:keepNext w:val="0"/>
              <w:keepLines w:val="0"/>
              <w:widowControl/>
              <w:spacing w:line="240" w:lineRule="auto"/>
              <w:jc w:val="both"/>
              <w:rPr>
                <w:rFonts w:ascii="宋体" w:hAnsi="宋体" w:cs="宋体"/>
                <w:b w:val="0"/>
                <w:bCs w:val="0"/>
                <w:color w:val="000000"/>
                <w:kern w:val="2"/>
                <w:sz w:val="28"/>
                <w:szCs w:val="28"/>
              </w:rPr>
            </w:pPr>
            <w:r>
              <w:rPr>
                <w:rFonts w:hint="eastAsia" w:ascii="宋体" w:hAnsi="宋体" w:cs="宋体"/>
                <w:b/>
                <w:bCs/>
                <w:color w:val="000000"/>
                <w:kern w:val="2"/>
                <w:sz w:val="28"/>
                <w:szCs w:val="28"/>
              </w:rPr>
              <w:t>若羌县自然资源（林业和草原局）档案数字化信息管理平台建设项目</w:t>
            </w:r>
          </w:p>
        </w:tc>
      </w:tr>
      <w:tr>
        <w:tblPrEx>
          <w:tblCellMar>
            <w:top w:w="0" w:type="dxa"/>
            <w:left w:w="108" w:type="dxa"/>
            <w:bottom w:w="0" w:type="dxa"/>
            <w:right w:w="108" w:type="dxa"/>
          </w:tblCellMar>
        </w:tblPrEx>
        <w:trPr>
          <w:trHeight w:val="617" w:hRule="atLeast"/>
          <w:jc w:val="center"/>
        </w:trPr>
        <w:tc>
          <w:tcPr>
            <w:tcW w:w="2159" w:type="dxa"/>
            <w:vAlign w:val="center"/>
          </w:tcPr>
          <w:p>
            <w:pPr>
              <w:pStyle w:val="2"/>
              <w:ind w:firstLine="0" w:firstLineChars="0"/>
              <w:jc w:val="distribute"/>
              <w:rPr>
                <w:rFonts w:ascii="宋体" w:hAnsi="宋体" w:cs="宋体"/>
                <w:b/>
                <w:sz w:val="28"/>
                <w:szCs w:val="28"/>
              </w:rPr>
            </w:pPr>
            <w:r>
              <w:rPr>
                <w:rFonts w:hint="eastAsia" w:ascii="宋体" w:hAnsi="宋体" w:cs="宋体"/>
                <w:b/>
                <w:color w:val="000000"/>
                <w:sz w:val="28"/>
                <w:szCs w:val="28"/>
              </w:rPr>
              <w:t>项目编号：</w:t>
            </w:r>
          </w:p>
        </w:tc>
        <w:tc>
          <w:tcPr>
            <w:tcW w:w="6784" w:type="dxa"/>
            <w:vAlign w:val="center"/>
          </w:tcPr>
          <w:p>
            <w:pPr>
              <w:pStyle w:val="2"/>
              <w:ind w:firstLine="0" w:firstLineChars="0"/>
              <w:rPr>
                <w:rFonts w:ascii="宋体" w:hAnsi="宋体" w:cs="宋体"/>
                <w:b/>
                <w:color w:val="000000"/>
                <w:sz w:val="28"/>
                <w:szCs w:val="28"/>
              </w:rPr>
            </w:pPr>
            <w:r>
              <w:rPr>
                <w:rFonts w:hint="eastAsia" w:ascii="宋体" w:hAnsi="宋体" w:cs="宋体"/>
                <w:b/>
                <w:color w:val="000000"/>
                <w:sz w:val="28"/>
                <w:szCs w:val="28"/>
              </w:rPr>
              <w:t>ZGJHZFCG2022-</w:t>
            </w:r>
            <w:r>
              <w:rPr>
                <w:rFonts w:hint="eastAsia" w:ascii="宋体" w:hAnsi="宋体" w:cs="宋体"/>
                <w:b/>
                <w:color w:val="000000"/>
                <w:sz w:val="28"/>
                <w:szCs w:val="28"/>
                <w:lang w:val="en-US" w:eastAsia="zh-CN"/>
              </w:rPr>
              <w:t>041</w:t>
            </w:r>
            <w:r>
              <w:rPr>
                <w:rFonts w:hint="eastAsia" w:ascii="宋体" w:hAnsi="宋体" w:cs="宋体"/>
                <w:b/>
                <w:color w:val="000000"/>
                <w:sz w:val="28"/>
                <w:szCs w:val="28"/>
              </w:rPr>
              <w:t>号</w:t>
            </w:r>
          </w:p>
        </w:tc>
      </w:tr>
      <w:tr>
        <w:tblPrEx>
          <w:tblCellMar>
            <w:top w:w="0" w:type="dxa"/>
            <w:left w:w="108" w:type="dxa"/>
            <w:bottom w:w="0" w:type="dxa"/>
            <w:right w:w="108" w:type="dxa"/>
          </w:tblCellMar>
        </w:tblPrEx>
        <w:trPr>
          <w:trHeight w:val="90" w:hRule="atLeast"/>
          <w:jc w:val="center"/>
        </w:trPr>
        <w:tc>
          <w:tcPr>
            <w:tcW w:w="2159" w:type="dxa"/>
            <w:vAlign w:val="center"/>
          </w:tcPr>
          <w:p>
            <w:pPr>
              <w:jc w:val="distribute"/>
              <w:rPr>
                <w:rFonts w:ascii="宋体" w:hAnsi="宋体" w:cs="宋体"/>
                <w:b/>
                <w:sz w:val="28"/>
                <w:szCs w:val="28"/>
              </w:rPr>
            </w:pPr>
          </w:p>
        </w:tc>
        <w:tc>
          <w:tcPr>
            <w:tcW w:w="6784" w:type="dxa"/>
            <w:vAlign w:val="center"/>
          </w:tcPr>
          <w:p>
            <w:pPr>
              <w:rPr>
                <w:rFonts w:ascii="宋体" w:hAnsi="宋体" w:cs="宋体"/>
                <w:b/>
                <w:sz w:val="28"/>
                <w:szCs w:val="28"/>
              </w:rPr>
            </w:pPr>
          </w:p>
          <w:p>
            <w:pPr>
              <w:pStyle w:val="16"/>
            </w:pPr>
          </w:p>
          <w:p/>
          <w:p>
            <w:pPr>
              <w:pStyle w:val="16"/>
            </w:pPr>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采购人：</w:t>
            </w:r>
          </w:p>
        </w:tc>
        <w:tc>
          <w:tcPr>
            <w:tcW w:w="6784" w:type="dxa"/>
            <w:vAlign w:val="center"/>
          </w:tcPr>
          <w:p>
            <w:pPr>
              <w:pStyle w:val="2"/>
              <w:ind w:firstLine="0" w:firstLineChars="0"/>
              <w:rPr>
                <w:rFonts w:ascii="宋体" w:hAnsi="宋体" w:cs="宋体"/>
                <w:b/>
                <w:sz w:val="28"/>
                <w:szCs w:val="28"/>
              </w:rPr>
            </w:pPr>
            <w:r>
              <w:rPr>
                <w:rFonts w:hint="eastAsia" w:ascii="宋体" w:hAnsi="宋体" w:cs="宋体"/>
                <w:b/>
                <w:sz w:val="28"/>
                <w:szCs w:val="28"/>
              </w:rPr>
              <w:t>若羌县自然资源局（林业和草原局）（盖章）</w:t>
            </w:r>
          </w:p>
        </w:tc>
      </w:tr>
      <w:tr>
        <w:tblPrEx>
          <w:tblCellMar>
            <w:top w:w="0" w:type="dxa"/>
            <w:left w:w="108" w:type="dxa"/>
            <w:bottom w:w="0" w:type="dxa"/>
            <w:right w:w="108" w:type="dxa"/>
          </w:tblCellMar>
        </w:tblPrEx>
        <w:trPr>
          <w:trHeight w:val="617" w:hRule="atLeast"/>
          <w:jc w:val="center"/>
        </w:trPr>
        <w:tc>
          <w:tcPr>
            <w:tcW w:w="2159" w:type="dxa"/>
            <w:vAlign w:val="center"/>
          </w:tcPr>
          <w:p>
            <w:pPr>
              <w:jc w:val="distribute"/>
              <w:rPr>
                <w:rFonts w:ascii="宋体" w:hAnsi="宋体" w:cs="宋体"/>
                <w:b/>
                <w:sz w:val="28"/>
                <w:szCs w:val="28"/>
              </w:rPr>
            </w:pPr>
            <w:r>
              <w:rPr>
                <w:rFonts w:hint="eastAsia" w:ascii="宋体" w:hAnsi="宋体" w:cs="宋体"/>
                <w:b/>
                <w:sz w:val="28"/>
                <w:szCs w:val="28"/>
              </w:rPr>
              <w:t>联系人：</w:t>
            </w:r>
          </w:p>
        </w:tc>
        <w:tc>
          <w:tcPr>
            <w:tcW w:w="6784" w:type="dxa"/>
            <w:vAlign w:val="center"/>
          </w:tcPr>
          <w:p>
            <w:pPr>
              <w:rPr>
                <w:rFonts w:hint="default" w:ascii="宋体" w:hAnsi="宋体" w:eastAsia="宋体" w:cs="宋体"/>
                <w:b/>
                <w:sz w:val="28"/>
                <w:szCs w:val="28"/>
                <w:lang w:val="en-US" w:eastAsia="zh-CN"/>
              </w:rPr>
            </w:pPr>
            <w:r>
              <w:rPr>
                <w:rFonts w:hint="default" w:ascii="宋体" w:hAnsi="宋体" w:eastAsia="宋体" w:cs="宋体"/>
                <w:b/>
                <w:sz w:val="28"/>
                <w:szCs w:val="28"/>
                <w:lang w:val="en-US" w:eastAsia="zh-CN"/>
              </w:rPr>
              <w:t>张辉</w:t>
            </w:r>
          </w:p>
        </w:tc>
      </w:tr>
      <w:tr>
        <w:tblPrEx>
          <w:tblCellMar>
            <w:top w:w="0" w:type="dxa"/>
            <w:left w:w="108" w:type="dxa"/>
            <w:bottom w:w="0" w:type="dxa"/>
            <w:right w:w="108" w:type="dxa"/>
          </w:tblCellMar>
        </w:tblPrEx>
        <w:trPr>
          <w:trHeight w:val="692" w:hRule="atLeast"/>
          <w:jc w:val="center"/>
        </w:trPr>
        <w:tc>
          <w:tcPr>
            <w:tcW w:w="2159" w:type="dxa"/>
            <w:vAlign w:val="center"/>
          </w:tcPr>
          <w:p>
            <w:pPr>
              <w:jc w:val="distribute"/>
              <w:rPr>
                <w:rFonts w:ascii="宋体" w:hAnsi="宋体" w:cs="宋体"/>
                <w:b/>
                <w:sz w:val="28"/>
                <w:szCs w:val="28"/>
              </w:rPr>
            </w:pPr>
            <w:r>
              <w:rPr>
                <w:rFonts w:hint="eastAsia" w:ascii="宋体" w:hAnsi="宋体" w:cs="宋体"/>
                <w:b/>
                <w:sz w:val="28"/>
                <w:szCs w:val="28"/>
              </w:rPr>
              <w:t>联系方式：</w:t>
            </w:r>
          </w:p>
        </w:tc>
        <w:tc>
          <w:tcPr>
            <w:tcW w:w="6784" w:type="dxa"/>
            <w:vAlign w:val="center"/>
          </w:tcPr>
          <w:p>
            <w:pPr>
              <w:rPr>
                <w:rFonts w:hint="default" w:ascii="宋体" w:hAnsi="宋体" w:eastAsia="宋体" w:cs="宋体"/>
                <w:b/>
                <w:sz w:val="28"/>
                <w:szCs w:val="28"/>
                <w:lang w:val="en-US" w:eastAsia="zh-CN"/>
              </w:rPr>
            </w:pPr>
            <w:r>
              <w:rPr>
                <w:rFonts w:hint="default" w:ascii="宋体" w:hAnsi="宋体" w:eastAsia="宋体" w:cs="宋体"/>
                <w:b/>
                <w:sz w:val="28"/>
                <w:szCs w:val="28"/>
                <w:lang w:val="en-US" w:eastAsia="zh-CN"/>
              </w:rPr>
              <w:t>13239963111</w:t>
            </w:r>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p>
        </w:tc>
        <w:tc>
          <w:tcPr>
            <w:tcW w:w="6784" w:type="dxa"/>
            <w:vAlign w:val="center"/>
          </w:tcPr>
          <w:p>
            <w:pPr>
              <w:rPr>
                <w:rFonts w:ascii="宋体" w:hAnsi="宋体" w:cs="宋体"/>
                <w:b/>
                <w:sz w:val="28"/>
                <w:szCs w:val="28"/>
              </w:rPr>
            </w:pPr>
          </w:p>
          <w:p>
            <w:pPr>
              <w:pStyle w:val="16"/>
            </w:pPr>
          </w:p>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采购代理机构：</w:t>
            </w:r>
          </w:p>
        </w:tc>
        <w:tc>
          <w:tcPr>
            <w:tcW w:w="6784" w:type="dxa"/>
            <w:vAlign w:val="center"/>
          </w:tcPr>
          <w:p>
            <w:pPr>
              <w:rPr>
                <w:rFonts w:ascii="宋体" w:hAnsi="宋体" w:cs="宋体"/>
                <w:b/>
                <w:sz w:val="28"/>
                <w:szCs w:val="28"/>
              </w:rPr>
            </w:pPr>
            <w:r>
              <w:rPr>
                <w:rFonts w:hint="eastAsia" w:ascii="宋体" w:hAnsi="宋体" w:cs="宋体"/>
                <w:b/>
                <w:sz w:val="28"/>
                <w:szCs w:val="28"/>
              </w:rPr>
              <w:t>新疆中工建辉工程咨询有限公司（盖章）</w:t>
            </w:r>
          </w:p>
        </w:tc>
      </w:tr>
      <w:tr>
        <w:tblPrEx>
          <w:tblCellMar>
            <w:top w:w="0" w:type="dxa"/>
            <w:left w:w="108" w:type="dxa"/>
            <w:bottom w:w="0" w:type="dxa"/>
            <w:right w:w="108" w:type="dxa"/>
          </w:tblCellMar>
        </w:tblPrEx>
        <w:trPr>
          <w:trHeight w:val="66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联系人：</w:t>
            </w:r>
          </w:p>
        </w:tc>
        <w:tc>
          <w:tcPr>
            <w:tcW w:w="6784" w:type="dxa"/>
            <w:vAlign w:val="center"/>
          </w:tcPr>
          <w:p>
            <w:pPr>
              <w:rPr>
                <w:rFonts w:ascii="宋体" w:hAnsi="宋体" w:cs="宋体"/>
                <w:b/>
                <w:sz w:val="28"/>
                <w:szCs w:val="28"/>
              </w:rPr>
            </w:pPr>
            <w:r>
              <w:rPr>
                <w:rFonts w:hint="eastAsia" w:ascii="宋体" w:hAnsi="宋体" w:cs="宋体"/>
                <w:b/>
                <w:sz w:val="28"/>
                <w:szCs w:val="28"/>
              </w:rPr>
              <w:t>付晓辉</w:t>
            </w:r>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联系方式：</w:t>
            </w:r>
          </w:p>
        </w:tc>
        <w:tc>
          <w:tcPr>
            <w:tcW w:w="6784" w:type="dxa"/>
            <w:vAlign w:val="center"/>
          </w:tcPr>
          <w:p>
            <w:pPr>
              <w:rPr>
                <w:rFonts w:hint="eastAsia" w:ascii="宋体" w:hAnsi="宋体" w:eastAsia="宋体" w:cs="宋体"/>
                <w:b/>
                <w:sz w:val="28"/>
                <w:szCs w:val="28"/>
                <w:lang w:eastAsia="zh-CN"/>
              </w:rPr>
            </w:pPr>
            <w:r>
              <w:rPr>
                <w:rFonts w:hint="eastAsia" w:ascii="宋体" w:hAnsi="宋体" w:cs="宋体"/>
                <w:b/>
                <w:sz w:val="28"/>
                <w:szCs w:val="28"/>
                <w:lang w:val="en-US" w:eastAsia="zh-CN"/>
              </w:rPr>
              <w:t>18099592556</w:t>
            </w:r>
          </w:p>
        </w:tc>
      </w:tr>
    </w:tbl>
    <w:p>
      <w:pPr>
        <w:tabs>
          <w:tab w:val="left" w:pos="1134"/>
          <w:tab w:val="left" w:pos="5481"/>
          <w:tab w:val="left" w:pos="5859"/>
        </w:tabs>
        <w:jc w:val="center"/>
        <w:rPr>
          <w:rFonts w:eastAsia="黑体"/>
          <w:b/>
          <w:sz w:val="32"/>
        </w:rPr>
      </w:pPr>
    </w:p>
    <w:p>
      <w:pPr>
        <w:tabs>
          <w:tab w:val="left" w:pos="1134"/>
          <w:tab w:val="left" w:pos="5481"/>
          <w:tab w:val="left" w:pos="5859"/>
        </w:tabs>
        <w:jc w:val="center"/>
        <w:rPr>
          <w:b/>
          <w:sz w:val="32"/>
        </w:rPr>
      </w:pPr>
    </w:p>
    <w:p>
      <w:pPr>
        <w:sectPr>
          <w:pgSz w:w="11906" w:h="16838"/>
          <w:pgMar w:top="1440" w:right="1797" w:bottom="1440" w:left="1797" w:header="851" w:footer="992" w:gutter="0"/>
          <w:cols w:space="720" w:num="1"/>
          <w:docGrid w:linePitch="312" w:charSpace="0"/>
        </w:sectPr>
      </w:pPr>
      <w:bookmarkStart w:id="6" w:name="_Toc456718475"/>
      <w:bookmarkStart w:id="7" w:name="_Toc19777"/>
      <w:bookmarkStart w:id="8" w:name="_Toc26427"/>
      <w:r>
        <w:t xml:space="preserve"> </w:t>
      </w:r>
    </w:p>
    <w:p>
      <w:pPr>
        <w:pStyle w:val="3"/>
        <w:adjustRightInd w:val="0"/>
        <w:snapToGrid w:val="0"/>
        <w:jc w:val="both"/>
        <w:rPr>
          <w:b w:val="0"/>
          <w:bCs w:val="0"/>
          <w:sz w:val="40"/>
          <w:szCs w:val="52"/>
        </w:rPr>
      </w:pPr>
    </w:p>
    <w:p>
      <w:pPr>
        <w:pStyle w:val="3"/>
        <w:adjustRightInd w:val="0"/>
        <w:snapToGrid w:val="0"/>
        <w:rPr>
          <w:rFonts w:ascii="宋体" w:hAnsi="宋体" w:cs="宋体"/>
          <w:bCs w:val="0"/>
          <w:kern w:val="2"/>
          <w:szCs w:val="32"/>
        </w:rPr>
      </w:pPr>
      <w:r>
        <w:rPr>
          <w:rFonts w:hint="eastAsia" w:ascii="宋体" w:hAnsi="宋体" w:cs="宋体"/>
          <w:bCs w:val="0"/>
          <w:kern w:val="2"/>
          <w:szCs w:val="32"/>
        </w:rPr>
        <w:t>一、竞争性磋商</w:t>
      </w:r>
      <w:bookmarkEnd w:id="6"/>
      <w:r>
        <w:rPr>
          <w:rFonts w:hint="eastAsia" w:ascii="宋体" w:hAnsi="宋体" w:cs="宋体"/>
          <w:bCs w:val="0"/>
          <w:kern w:val="2"/>
          <w:szCs w:val="32"/>
        </w:rPr>
        <w:t>公告</w:t>
      </w:r>
      <w:bookmarkEnd w:id="7"/>
      <w:bookmarkEnd w:id="8"/>
    </w:p>
    <w:p>
      <w:pPr>
        <w:pStyle w:val="3"/>
        <w:adjustRightInd w:val="0"/>
        <w:snapToGrid w:val="0"/>
        <w:rPr>
          <w:rFonts w:ascii="宋体" w:hAnsi="宋体" w:cs="宋体"/>
          <w:bCs w:val="0"/>
          <w:kern w:val="2"/>
          <w:szCs w:val="32"/>
        </w:rPr>
      </w:pPr>
      <w:bookmarkStart w:id="9" w:name="_Toc18331"/>
      <w:bookmarkStart w:id="10" w:name="_Toc9759"/>
      <w:r>
        <w:rPr>
          <w:rFonts w:hint="eastAsia" w:ascii="宋体" w:hAnsi="宋体" w:cs="宋体"/>
          <w:bCs w:val="0"/>
          <w:kern w:val="2"/>
          <w:szCs w:val="32"/>
          <w:lang w:val="en-US" w:eastAsia="zh-CN"/>
        </w:rPr>
        <w:t xml:space="preserve">  若羌县自然资源（林业和草原局）档案数字化信息管理平台建设项目</w:t>
      </w:r>
      <w:r>
        <w:rPr>
          <w:rFonts w:hint="eastAsia" w:ascii="宋体" w:hAnsi="宋体" w:cs="宋体"/>
          <w:bCs w:val="0"/>
          <w:kern w:val="2"/>
          <w:szCs w:val="32"/>
        </w:rPr>
        <w:t>竞争性磋商公告</w:t>
      </w:r>
    </w:p>
    <w:p>
      <w:pPr>
        <w:pStyle w:val="14"/>
        <w:numPr>
          <w:ilvl w:val="0"/>
          <w:numId w:val="0"/>
        </w:numPr>
        <w:spacing w:before="75" w:beforeAutospacing="0" w:after="75" w:afterAutospacing="0"/>
        <w:ind w:firstLine="241" w:firstLineChars="100"/>
        <w:rPr>
          <w:rFonts w:hint="eastAsia" w:cs="宋体"/>
          <w:bCs/>
          <w:kern w:val="2"/>
          <w:szCs w:val="24"/>
        </w:rPr>
      </w:pPr>
      <w:r>
        <w:rPr>
          <w:rFonts w:hint="eastAsia" w:cs="宋体"/>
          <w:b/>
          <w:kern w:val="2"/>
          <w:szCs w:val="24"/>
        </w:rPr>
        <w:t>采购项目编号：</w:t>
      </w:r>
      <w:r>
        <w:rPr>
          <w:rFonts w:hint="eastAsia" w:cs="宋体"/>
          <w:bCs/>
          <w:kern w:val="2"/>
          <w:szCs w:val="24"/>
        </w:rPr>
        <w:t>ZGJHZFCG2022-0</w:t>
      </w:r>
      <w:r>
        <w:rPr>
          <w:rFonts w:hint="eastAsia" w:cs="宋体"/>
          <w:bCs/>
          <w:kern w:val="2"/>
          <w:szCs w:val="24"/>
          <w:lang w:val="en-US" w:eastAsia="zh-CN"/>
        </w:rPr>
        <w:t>41</w:t>
      </w:r>
      <w:r>
        <w:rPr>
          <w:rFonts w:hint="eastAsia" w:cs="宋体"/>
          <w:bCs/>
          <w:kern w:val="2"/>
          <w:szCs w:val="24"/>
        </w:rPr>
        <w:t>号</w:t>
      </w:r>
    </w:p>
    <w:p>
      <w:pPr>
        <w:pStyle w:val="14"/>
        <w:numPr>
          <w:ilvl w:val="0"/>
          <w:numId w:val="0"/>
        </w:numPr>
        <w:spacing w:before="75" w:beforeAutospacing="0" w:after="75" w:afterAutospacing="0"/>
        <w:rPr>
          <w:rFonts w:cs="宋体"/>
          <w:bCs/>
          <w:kern w:val="2"/>
          <w:szCs w:val="24"/>
        </w:rPr>
      </w:pPr>
      <w:r>
        <w:rPr>
          <w:rFonts w:hint="eastAsia" w:cs="宋体"/>
          <w:b/>
          <w:kern w:val="2"/>
          <w:szCs w:val="24"/>
        </w:rPr>
        <w:t>二、采购组织类型：</w:t>
      </w:r>
      <w:r>
        <w:rPr>
          <w:rFonts w:hint="eastAsia" w:cs="宋体"/>
          <w:bCs/>
          <w:kern w:val="2"/>
          <w:szCs w:val="24"/>
        </w:rPr>
        <w:t>分散采购-分散委托中介 </w:t>
      </w:r>
    </w:p>
    <w:p>
      <w:pPr>
        <w:pStyle w:val="14"/>
        <w:spacing w:before="75" w:beforeAutospacing="0" w:after="75" w:afterAutospacing="0"/>
        <w:rPr>
          <w:rFonts w:cs="宋体"/>
          <w:color w:val="000000"/>
          <w:sz w:val="21"/>
          <w:szCs w:val="21"/>
        </w:rPr>
      </w:pPr>
      <w:r>
        <w:rPr>
          <w:rFonts w:hint="eastAsia" w:cs="宋体"/>
          <w:b/>
          <w:kern w:val="2"/>
          <w:szCs w:val="24"/>
        </w:rPr>
        <w:t>三、采购项目概况：</w:t>
      </w:r>
    </w:p>
    <w:tbl>
      <w:tblPr>
        <w:tblStyle w:val="36"/>
        <w:tblW w:w="9429" w:type="dxa"/>
        <w:tblInd w:w="0" w:type="dxa"/>
        <w:tblLayout w:type="fixed"/>
        <w:tblCellMar>
          <w:top w:w="15" w:type="dxa"/>
          <w:left w:w="15" w:type="dxa"/>
          <w:bottom w:w="15" w:type="dxa"/>
          <w:right w:w="15" w:type="dxa"/>
        </w:tblCellMar>
      </w:tblPr>
      <w:tblGrid>
        <w:gridCol w:w="1250"/>
        <w:gridCol w:w="1944"/>
        <w:gridCol w:w="812"/>
        <w:gridCol w:w="1419"/>
        <w:gridCol w:w="1165"/>
        <w:gridCol w:w="2839"/>
      </w:tblGrid>
      <w:tr>
        <w:tblPrEx>
          <w:tblCellMar>
            <w:top w:w="15" w:type="dxa"/>
            <w:left w:w="15" w:type="dxa"/>
            <w:bottom w:w="15" w:type="dxa"/>
            <w:right w:w="15" w:type="dxa"/>
          </w:tblCellMar>
        </w:tblPrEx>
        <w:tc>
          <w:tcPr>
            <w:tcW w:w="125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标项序号</w:t>
            </w:r>
          </w:p>
        </w:tc>
        <w:tc>
          <w:tcPr>
            <w:tcW w:w="194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标项名称</w:t>
            </w:r>
          </w:p>
        </w:tc>
        <w:tc>
          <w:tcPr>
            <w:tcW w:w="81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数量</w:t>
            </w:r>
          </w:p>
        </w:tc>
        <w:tc>
          <w:tcPr>
            <w:tcW w:w="141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ind w:firstLine="240" w:firstLineChars="100"/>
              <w:rPr>
                <w:rFonts w:cs="宋体"/>
                <w:bCs/>
                <w:kern w:val="2"/>
                <w:szCs w:val="24"/>
              </w:rPr>
            </w:pPr>
            <w:r>
              <w:rPr>
                <w:rFonts w:hint="eastAsia" w:cs="宋体"/>
                <w:bCs/>
                <w:kern w:val="2"/>
                <w:szCs w:val="24"/>
              </w:rPr>
              <w:t>金额</w:t>
            </w:r>
          </w:p>
        </w:tc>
        <w:tc>
          <w:tcPr>
            <w:tcW w:w="116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单位</w:t>
            </w:r>
          </w:p>
        </w:tc>
        <w:tc>
          <w:tcPr>
            <w:tcW w:w="283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ind w:firstLine="720" w:firstLineChars="300"/>
              <w:rPr>
                <w:rFonts w:hint="eastAsia" w:eastAsia="宋体" w:cs="宋体"/>
                <w:bCs/>
                <w:kern w:val="2"/>
                <w:szCs w:val="24"/>
                <w:lang w:eastAsia="zh-CN"/>
              </w:rPr>
            </w:pPr>
            <w:r>
              <w:rPr>
                <w:rFonts w:hint="eastAsia" w:cs="宋体"/>
                <w:bCs/>
                <w:kern w:val="2"/>
                <w:szCs w:val="24"/>
                <w:lang w:val="en-US" w:eastAsia="zh-CN"/>
              </w:rPr>
              <w:t>采购内容</w:t>
            </w:r>
          </w:p>
        </w:tc>
      </w:tr>
      <w:tr>
        <w:tblPrEx>
          <w:tblCellMar>
            <w:top w:w="15" w:type="dxa"/>
            <w:left w:w="15" w:type="dxa"/>
            <w:bottom w:w="15" w:type="dxa"/>
            <w:right w:w="15" w:type="dxa"/>
          </w:tblCellMar>
        </w:tblPrEx>
        <w:tc>
          <w:tcPr>
            <w:tcW w:w="125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1</w:t>
            </w:r>
          </w:p>
        </w:tc>
        <w:tc>
          <w:tcPr>
            <w:tcW w:w="194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若羌县自然资源（林业和草原局）档案数字化信息管理平台建设项目</w:t>
            </w:r>
          </w:p>
        </w:tc>
        <w:tc>
          <w:tcPr>
            <w:tcW w:w="81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1</w:t>
            </w:r>
          </w:p>
        </w:tc>
        <w:tc>
          <w:tcPr>
            <w:tcW w:w="141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lang w:val="en-US" w:eastAsia="zh-CN"/>
              </w:rPr>
              <w:t xml:space="preserve">   90</w:t>
            </w:r>
            <w:r>
              <w:rPr>
                <w:rFonts w:hint="eastAsia" w:cs="宋体"/>
                <w:bCs/>
                <w:kern w:val="2"/>
                <w:szCs w:val="24"/>
              </w:rPr>
              <w:t>万元</w:t>
            </w:r>
          </w:p>
        </w:tc>
        <w:tc>
          <w:tcPr>
            <w:tcW w:w="116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个</w:t>
            </w:r>
          </w:p>
        </w:tc>
        <w:tc>
          <w:tcPr>
            <w:tcW w:w="283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建设档案数据库，同时建设包含档案查询利用，实现公文签发、电子化管理，流转入库等功能的档案管理平台，并设定档案信息化管理规范，建立长效档案管理机制。</w:t>
            </w:r>
          </w:p>
        </w:tc>
      </w:tr>
    </w:tbl>
    <w:p>
      <w:pPr>
        <w:pStyle w:val="14"/>
        <w:spacing w:before="75" w:beforeAutospacing="0" w:after="75" w:afterAutospacing="0"/>
        <w:rPr>
          <w:rFonts w:cs="宋体"/>
          <w:bCs/>
          <w:kern w:val="2"/>
          <w:szCs w:val="24"/>
        </w:rPr>
      </w:pPr>
      <w:r>
        <w:rPr>
          <w:rFonts w:hint="eastAsia" w:cs="宋体"/>
          <w:b/>
          <w:kern w:val="2"/>
          <w:szCs w:val="24"/>
        </w:rPr>
        <w:t>四、磋商投标单位资格要求：</w:t>
      </w:r>
      <w:r>
        <w:rPr>
          <w:rFonts w:hint="eastAsia" w:cs="宋体"/>
          <w:bCs/>
          <w:kern w:val="2"/>
          <w:szCs w:val="24"/>
        </w:rPr>
        <w:t> </w:t>
      </w:r>
    </w:p>
    <w:p>
      <w:pPr>
        <w:pStyle w:val="14"/>
        <w:spacing w:before="75" w:beforeAutospacing="0" w:after="75" w:afterAutospacing="0"/>
        <w:rPr>
          <w:rFonts w:cs="宋体"/>
          <w:bCs/>
          <w:kern w:val="2"/>
          <w:szCs w:val="24"/>
        </w:rPr>
      </w:pPr>
      <w:r>
        <w:rPr>
          <w:rFonts w:hint="eastAsia" w:cs="宋体"/>
          <w:bCs/>
          <w:kern w:val="2"/>
          <w:szCs w:val="24"/>
        </w:rPr>
        <w:t>（1）</w:t>
      </w:r>
      <w:r>
        <w:rPr>
          <w:rFonts w:hint="eastAsia" w:cs="宋体"/>
          <w:bCs/>
          <w:kern w:val="2"/>
          <w:szCs w:val="24"/>
          <w:lang w:eastAsia="zh-CN"/>
        </w:rPr>
        <w:t>、</w:t>
      </w:r>
      <w:r>
        <w:rPr>
          <w:rFonts w:hint="eastAsia" w:cs="宋体"/>
          <w:bCs/>
          <w:kern w:val="2"/>
          <w:szCs w:val="24"/>
        </w:rPr>
        <w:t>符合《中华人民共和国政府采购法》第二十二条的规定；  </w:t>
      </w:r>
    </w:p>
    <w:p>
      <w:pPr>
        <w:pStyle w:val="14"/>
        <w:spacing w:before="75" w:beforeAutospacing="0" w:after="75" w:afterAutospacing="0"/>
        <w:rPr>
          <w:rFonts w:cs="宋体"/>
          <w:bCs/>
          <w:kern w:val="2"/>
          <w:szCs w:val="24"/>
        </w:rPr>
      </w:pPr>
      <w:r>
        <w:rPr>
          <w:rFonts w:hint="eastAsia" w:cs="宋体"/>
          <w:bCs/>
          <w:kern w:val="2"/>
          <w:szCs w:val="24"/>
          <w:lang w:eastAsia="zh-CN"/>
        </w:rPr>
        <w:t>（</w:t>
      </w:r>
      <w:r>
        <w:rPr>
          <w:rFonts w:hint="eastAsia" w:cs="宋体"/>
          <w:bCs/>
          <w:kern w:val="2"/>
          <w:szCs w:val="24"/>
          <w:lang w:val="en-US" w:eastAsia="zh-CN"/>
        </w:rPr>
        <w:t>2</w:t>
      </w:r>
      <w:r>
        <w:rPr>
          <w:rFonts w:hint="eastAsia" w:cs="宋体"/>
          <w:bCs/>
          <w:kern w:val="2"/>
          <w:szCs w:val="24"/>
          <w:lang w:eastAsia="zh-CN"/>
        </w:rPr>
        <w:t>）</w:t>
      </w:r>
      <w:r>
        <w:rPr>
          <w:rFonts w:hint="eastAsia" w:cs="宋体"/>
          <w:bCs/>
          <w:kern w:val="2"/>
          <w:szCs w:val="24"/>
        </w:rPr>
        <w:t>法定代表人身份证明书和法定代表人身份证或者法定代表人授权委托书及被授权人身份证明；  </w:t>
      </w:r>
    </w:p>
    <w:p>
      <w:pPr>
        <w:pStyle w:val="14"/>
        <w:spacing w:before="75" w:beforeAutospacing="0" w:after="75" w:afterAutospacing="0"/>
        <w:rPr>
          <w:rFonts w:cs="宋体"/>
          <w:bCs/>
          <w:kern w:val="2"/>
          <w:szCs w:val="24"/>
        </w:rPr>
      </w:pPr>
      <w:r>
        <w:rPr>
          <w:rFonts w:hint="eastAsia" w:cs="宋体"/>
          <w:bCs/>
          <w:kern w:val="2"/>
          <w:szCs w:val="24"/>
        </w:rPr>
        <w:t>（3）</w:t>
      </w:r>
      <w:r>
        <w:rPr>
          <w:rFonts w:hint="eastAsia" w:cs="宋体"/>
          <w:bCs/>
          <w:kern w:val="2"/>
          <w:szCs w:val="24"/>
          <w:lang w:eastAsia="zh-CN"/>
        </w:rPr>
        <w:t>、</w:t>
      </w:r>
      <w:r>
        <w:rPr>
          <w:rFonts w:hint="eastAsia" w:cs="宋体"/>
          <w:bCs/>
          <w:kern w:val="2"/>
          <w:szCs w:val="24"/>
        </w:rPr>
        <w:t>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网页打印件须自招标文件发布之日起至投标文件递交截止时间从上述网站中打印）；</w:t>
      </w:r>
    </w:p>
    <w:p>
      <w:pPr>
        <w:pStyle w:val="14"/>
        <w:spacing w:before="75" w:beforeAutospacing="0" w:after="75" w:afterAutospacing="0"/>
        <w:rPr>
          <w:rFonts w:hint="eastAsia" w:cs="宋体"/>
          <w:bCs/>
          <w:kern w:val="2"/>
          <w:szCs w:val="24"/>
        </w:rPr>
      </w:pPr>
      <w:r>
        <w:rPr>
          <w:rFonts w:hint="eastAsia" w:cs="宋体"/>
          <w:bCs/>
          <w:kern w:val="2"/>
          <w:szCs w:val="24"/>
        </w:rPr>
        <w:t>（4）、202</w:t>
      </w:r>
      <w:r>
        <w:rPr>
          <w:rFonts w:hint="eastAsia" w:cs="宋体"/>
          <w:bCs/>
          <w:kern w:val="2"/>
          <w:szCs w:val="24"/>
          <w:lang w:val="en-US" w:eastAsia="zh-CN"/>
        </w:rPr>
        <w:t>1</w:t>
      </w:r>
      <w:r>
        <w:rPr>
          <w:rFonts w:hint="eastAsia" w:cs="宋体"/>
          <w:bCs/>
          <w:kern w:val="2"/>
          <w:szCs w:val="24"/>
        </w:rPr>
        <w:t>年度财务审计报告（成立未满一年的公司可以不提供202</w:t>
      </w:r>
      <w:r>
        <w:rPr>
          <w:rFonts w:hint="eastAsia" w:cs="宋体"/>
          <w:bCs/>
          <w:kern w:val="2"/>
          <w:szCs w:val="24"/>
          <w:lang w:val="en-US" w:eastAsia="zh-CN"/>
        </w:rPr>
        <w:t>1</w:t>
      </w:r>
      <w:r>
        <w:rPr>
          <w:rFonts w:hint="eastAsia" w:cs="宋体"/>
          <w:bCs/>
          <w:kern w:val="2"/>
          <w:szCs w:val="24"/>
        </w:rPr>
        <w:t>年度财务审计报告，但是必须提供财务报表。财务报表内容必须包含资产、负债、现金等报表或提供银行资信证明）； </w:t>
      </w:r>
    </w:p>
    <w:p>
      <w:pPr>
        <w:rPr>
          <w:rFonts w:hint="eastAsia" w:ascii="宋体" w:hAnsi="宋体" w:eastAsia="宋体" w:cs="宋体"/>
          <w:bCs/>
          <w:kern w:val="2"/>
          <w:sz w:val="24"/>
          <w:szCs w:val="24"/>
          <w:lang w:val="en-US" w:eastAsia="zh-CN" w:bidi="ar-SA"/>
        </w:rPr>
      </w:pPr>
      <w:r>
        <w:rPr>
          <w:rFonts w:hint="eastAsia" w:cs="宋体"/>
          <w:bCs/>
          <w:kern w:val="2"/>
          <w:szCs w:val="24"/>
          <w:lang w:eastAsia="zh-CN"/>
        </w:rPr>
        <w:t>（</w:t>
      </w:r>
      <w:r>
        <w:rPr>
          <w:rFonts w:hint="eastAsia" w:cs="宋体"/>
          <w:bCs/>
          <w:kern w:val="2"/>
          <w:szCs w:val="24"/>
          <w:lang w:val="en-US" w:eastAsia="zh-CN"/>
        </w:rPr>
        <w:t>5</w:t>
      </w:r>
      <w:r>
        <w:rPr>
          <w:rFonts w:hint="eastAsia" w:cs="宋体"/>
          <w:bCs/>
          <w:kern w:val="2"/>
          <w:szCs w:val="24"/>
          <w:lang w:eastAsia="zh-CN"/>
        </w:rPr>
        <w:t>）</w:t>
      </w:r>
      <w:r>
        <w:rPr>
          <w:rFonts w:hint="eastAsia" w:ascii="宋体" w:hAnsi="宋体" w:eastAsia="宋体" w:cs="宋体"/>
          <w:bCs/>
          <w:kern w:val="2"/>
          <w:sz w:val="24"/>
          <w:szCs w:val="24"/>
          <w:lang w:val="en-US" w:eastAsia="zh-CN" w:bidi="ar-SA"/>
        </w:rPr>
        <w:t>近6个月内任意2个月的缴纳税收的凭据证明材料扫描件以及缴纳社会保险的凭据证明材料扫描件；刚成立企业提供依法缴纳税收承诺书和依法缴纳社会保障资金承诺函；如依法免税或依法不需要缴纳社会保障资金的，应提供的相应文件证明其依法免税或依法不需要缴纳社会保障资金</w:t>
      </w:r>
      <w:r>
        <w:rPr>
          <w:rFonts w:hint="eastAsia" w:ascii="宋体" w:hAnsi="宋体" w:cs="宋体"/>
          <w:bCs/>
          <w:kern w:val="2"/>
          <w:sz w:val="24"/>
          <w:szCs w:val="24"/>
          <w:lang w:val="en-US" w:eastAsia="zh-CN" w:bidi="ar-SA"/>
        </w:rPr>
        <w:t>。</w:t>
      </w:r>
    </w:p>
    <w:p>
      <w:pPr>
        <w:pStyle w:val="14"/>
        <w:spacing w:before="75" w:beforeAutospacing="0" w:after="75" w:afterAutospacing="0"/>
        <w:rPr>
          <w:rFonts w:hint="eastAsia" w:cs="宋体"/>
          <w:bCs/>
          <w:kern w:val="2"/>
          <w:szCs w:val="24"/>
          <w:lang w:val="en-US" w:eastAsia="zh-CN"/>
        </w:rPr>
      </w:pPr>
      <w:r>
        <w:rPr>
          <w:rFonts w:hint="eastAsia" w:cs="宋体"/>
          <w:bCs/>
          <w:kern w:val="2"/>
          <w:szCs w:val="24"/>
        </w:rPr>
        <w:t>（5）、投标保证金：</w:t>
      </w:r>
      <w:r>
        <w:rPr>
          <w:rFonts w:hint="eastAsia" w:cs="宋体"/>
          <w:bCs/>
          <w:kern w:val="2"/>
          <w:szCs w:val="24"/>
          <w:lang w:val="en-US" w:eastAsia="zh-CN"/>
        </w:rPr>
        <w:t>壹万元整</w:t>
      </w:r>
    </w:p>
    <w:p>
      <w:pPr>
        <w:pStyle w:val="14"/>
        <w:spacing w:before="75" w:beforeAutospacing="0" w:after="75" w:afterAutospacing="0"/>
        <w:rPr>
          <w:rFonts w:cs="宋体"/>
          <w:bCs/>
          <w:kern w:val="2"/>
          <w:szCs w:val="24"/>
        </w:rPr>
      </w:pPr>
      <w:r>
        <w:rPr>
          <w:rFonts w:hint="eastAsia" w:cs="宋体"/>
          <w:b/>
          <w:kern w:val="2"/>
          <w:szCs w:val="24"/>
        </w:rPr>
        <w:t>五、招标文件的获取</w:t>
      </w:r>
    </w:p>
    <w:p>
      <w:pPr>
        <w:pStyle w:val="14"/>
        <w:spacing w:before="75" w:beforeAutospacing="0" w:after="75" w:afterAutospacing="0"/>
        <w:rPr>
          <w:rFonts w:cs="宋体"/>
          <w:bCs/>
          <w:kern w:val="2"/>
          <w:szCs w:val="24"/>
        </w:rPr>
      </w:pPr>
      <w:r>
        <w:rPr>
          <w:rFonts w:hint="eastAsia" w:cs="宋体"/>
          <w:bCs/>
          <w:kern w:val="2"/>
          <w:szCs w:val="24"/>
        </w:rPr>
        <w:t>1、取获招标文件时间：2022年</w:t>
      </w:r>
      <w:r>
        <w:rPr>
          <w:rFonts w:hint="eastAsia" w:cs="宋体"/>
          <w:bCs/>
          <w:kern w:val="2"/>
          <w:szCs w:val="24"/>
          <w:lang w:val="en-US" w:eastAsia="zh-CN"/>
        </w:rPr>
        <w:t>11</w:t>
      </w:r>
      <w:r>
        <w:rPr>
          <w:rFonts w:hint="eastAsia" w:cs="宋体"/>
          <w:bCs/>
          <w:kern w:val="2"/>
          <w:szCs w:val="24"/>
        </w:rPr>
        <w:t>月</w:t>
      </w:r>
      <w:r>
        <w:rPr>
          <w:rFonts w:hint="eastAsia" w:cs="宋体"/>
          <w:bCs/>
          <w:kern w:val="2"/>
          <w:szCs w:val="24"/>
          <w:lang w:val="en-US" w:eastAsia="zh-CN"/>
        </w:rPr>
        <w:t xml:space="preserve"> 3</w:t>
      </w:r>
      <w:r>
        <w:rPr>
          <w:rFonts w:hint="eastAsia" w:cs="宋体"/>
          <w:bCs/>
          <w:kern w:val="2"/>
          <w:szCs w:val="24"/>
        </w:rPr>
        <w:t>日起至2022年</w:t>
      </w:r>
      <w:r>
        <w:rPr>
          <w:rFonts w:hint="eastAsia" w:cs="宋体"/>
          <w:bCs/>
          <w:kern w:val="2"/>
          <w:szCs w:val="24"/>
          <w:lang w:val="en-US" w:eastAsia="zh-CN"/>
        </w:rPr>
        <w:t>11</w:t>
      </w:r>
      <w:r>
        <w:rPr>
          <w:rFonts w:hint="eastAsia" w:cs="宋体"/>
          <w:bCs/>
          <w:kern w:val="2"/>
          <w:szCs w:val="24"/>
        </w:rPr>
        <w:t>月</w:t>
      </w:r>
      <w:r>
        <w:rPr>
          <w:rFonts w:hint="eastAsia" w:cs="宋体"/>
          <w:bCs/>
          <w:kern w:val="2"/>
          <w:szCs w:val="24"/>
          <w:lang w:val="en-US" w:eastAsia="zh-CN"/>
        </w:rPr>
        <w:t xml:space="preserve"> 10</w:t>
      </w:r>
      <w:r>
        <w:rPr>
          <w:rFonts w:hint="eastAsia" w:cs="宋体"/>
          <w:bCs/>
          <w:kern w:val="2"/>
          <w:szCs w:val="24"/>
        </w:rPr>
        <w:t>日止。（工作日10：00-13：30，16：00-19：00）</w:t>
      </w:r>
    </w:p>
    <w:p>
      <w:pPr>
        <w:pStyle w:val="14"/>
        <w:spacing w:before="75" w:beforeAutospacing="0" w:after="75" w:afterAutospacing="0"/>
        <w:rPr>
          <w:rFonts w:cs="宋体"/>
          <w:bCs/>
          <w:kern w:val="2"/>
          <w:szCs w:val="24"/>
        </w:rPr>
      </w:pPr>
      <w:r>
        <w:rPr>
          <w:rFonts w:hint="eastAsia" w:cs="宋体"/>
          <w:bCs/>
          <w:kern w:val="2"/>
          <w:szCs w:val="24"/>
        </w:rPr>
        <w:t>2、获取方式：供应商登陆政采云平台在线申请获取采购文件（进入“项目采购”应用，在获取采购文件菜单中选择项目，申请获取采购文件）。</w:t>
      </w:r>
    </w:p>
    <w:p>
      <w:pPr>
        <w:pStyle w:val="14"/>
        <w:spacing w:before="75" w:beforeAutospacing="0" w:after="75" w:afterAutospacing="0"/>
        <w:rPr>
          <w:rFonts w:cs="宋体"/>
          <w:bCs/>
          <w:kern w:val="2"/>
          <w:szCs w:val="24"/>
        </w:rPr>
      </w:pPr>
      <w:r>
        <w:rPr>
          <w:rFonts w:hint="eastAsia" w:cs="宋体"/>
          <w:bCs/>
          <w:kern w:val="2"/>
          <w:szCs w:val="24"/>
        </w:rPr>
        <w:t>3、获取招标文件应上传：</w:t>
      </w:r>
    </w:p>
    <w:p>
      <w:pPr>
        <w:pStyle w:val="14"/>
        <w:spacing w:before="75" w:beforeAutospacing="0" w:after="75" w:afterAutospacing="0"/>
        <w:rPr>
          <w:rFonts w:hint="eastAsia" w:cs="宋体"/>
          <w:bCs/>
          <w:color w:val="auto"/>
          <w:kern w:val="2"/>
          <w:szCs w:val="24"/>
        </w:rPr>
      </w:pPr>
      <w:r>
        <w:rPr>
          <w:rFonts w:hint="eastAsia" w:cs="宋体"/>
          <w:bCs/>
          <w:color w:val="auto"/>
          <w:kern w:val="2"/>
          <w:szCs w:val="24"/>
          <w:lang w:eastAsia="zh-CN"/>
        </w:rPr>
        <w:t>（</w:t>
      </w:r>
      <w:r>
        <w:rPr>
          <w:rFonts w:hint="eastAsia" w:cs="宋体"/>
          <w:bCs/>
          <w:color w:val="auto"/>
          <w:kern w:val="2"/>
          <w:szCs w:val="24"/>
          <w:lang w:val="en-US" w:eastAsia="zh-CN"/>
        </w:rPr>
        <w:t>1）</w:t>
      </w:r>
      <w:r>
        <w:rPr>
          <w:rFonts w:hint="eastAsia" w:cs="宋体"/>
          <w:bCs/>
          <w:color w:val="auto"/>
          <w:kern w:val="2"/>
          <w:szCs w:val="24"/>
        </w:rPr>
        <w:t>营业执照副本扫描件原件； </w:t>
      </w:r>
    </w:p>
    <w:p>
      <w:pPr>
        <w:pStyle w:val="14"/>
        <w:spacing w:before="75" w:beforeAutospacing="0" w:after="75" w:afterAutospacing="0"/>
        <w:rPr>
          <w:rFonts w:hint="eastAsia" w:cs="宋体"/>
          <w:bCs/>
          <w:color w:val="auto"/>
          <w:kern w:val="2"/>
          <w:szCs w:val="24"/>
        </w:rPr>
      </w:pPr>
      <w:r>
        <w:rPr>
          <w:rFonts w:hint="eastAsia" w:cs="宋体"/>
          <w:bCs/>
          <w:color w:val="auto"/>
          <w:kern w:val="2"/>
          <w:szCs w:val="24"/>
          <w:lang w:eastAsia="zh-CN"/>
        </w:rPr>
        <w:t>（</w:t>
      </w:r>
      <w:r>
        <w:rPr>
          <w:rFonts w:hint="eastAsia" w:cs="宋体"/>
          <w:bCs/>
          <w:color w:val="auto"/>
          <w:kern w:val="2"/>
          <w:szCs w:val="24"/>
          <w:lang w:val="en-US" w:eastAsia="zh-CN"/>
        </w:rPr>
        <w:t>2</w:t>
      </w:r>
      <w:r>
        <w:rPr>
          <w:rFonts w:hint="eastAsia" w:cs="宋体"/>
          <w:bCs/>
          <w:color w:val="auto"/>
          <w:kern w:val="2"/>
          <w:szCs w:val="24"/>
          <w:lang w:eastAsia="zh-CN"/>
        </w:rPr>
        <w:t>）</w:t>
      </w:r>
      <w:r>
        <w:rPr>
          <w:rFonts w:hint="eastAsia" w:cs="宋体"/>
          <w:bCs/>
          <w:color w:val="auto"/>
          <w:kern w:val="2"/>
          <w:szCs w:val="24"/>
          <w:lang w:val="en-US" w:eastAsia="zh-CN"/>
        </w:rPr>
        <w:t xml:space="preserve"> </w:t>
      </w:r>
      <w:r>
        <w:rPr>
          <w:rFonts w:hint="eastAsia" w:cs="宋体"/>
          <w:bCs/>
          <w:color w:val="auto"/>
          <w:kern w:val="2"/>
          <w:szCs w:val="24"/>
        </w:rPr>
        <w:t>法人授权委托书扫描件原件或具有同等法律效力的证明材料及被授权人《居民身份证》扫描件原件； </w:t>
      </w:r>
    </w:p>
    <w:p>
      <w:pPr>
        <w:rPr>
          <w:rFonts w:hint="eastAsia" w:ascii="宋体" w:hAnsi="宋体" w:eastAsia="宋体" w:cs="宋体"/>
          <w:bCs/>
          <w:color w:val="auto"/>
          <w:kern w:val="2"/>
          <w:sz w:val="24"/>
          <w:szCs w:val="24"/>
          <w:lang w:val="en-US" w:eastAsia="zh-CN" w:bidi="ar-SA"/>
        </w:rPr>
      </w:pPr>
      <w:r>
        <w:rPr>
          <w:rFonts w:hint="eastAsia" w:cs="宋体"/>
          <w:bCs/>
          <w:kern w:val="2"/>
          <w:szCs w:val="24"/>
          <w:lang w:eastAsia="zh-CN"/>
        </w:rPr>
        <w:t>（</w:t>
      </w:r>
      <w:r>
        <w:rPr>
          <w:rFonts w:hint="eastAsia" w:cs="宋体"/>
          <w:bCs/>
          <w:kern w:val="2"/>
          <w:szCs w:val="24"/>
          <w:lang w:val="en-US" w:eastAsia="zh-CN"/>
        </w:rPr>
        <w:t>3</w:t>
      </w:r>
      <w:r>
        <w:rPr>
          <w:rFonts w:hint="eastAsia" w:cs="宋体"/>
          <w:bCs/>
          <w:kern w:val="2"/>
          <w:szCs w:val="24"/>
          <w:lang w:eastAsia="zh-CN"/>
        </w:rPr>
        <w:t>）</w:t>
      </w:r>
      <w:r>
        <w:rPr>
          <w:rFonts w:hint="eastAsia" w:cs="宋体"/>
          <w:bCs/>
          <w:kern w:val="2"/>
          <w:szCs w:val="24"/>
        </w:rPr>
        <w:t>投标单位在“信用中国”网站（www.creditchina.gov.cn）、“中国政府采购网”网站（w</w:t>
      </w:r>
      <w:r>
        <w:rPr>
          <w:rFonts w:hint="eastAsia" w:ascii="宋体" w:hAnsi="宋体" w:eastAsia="宋体" w:cs="宋体"/>
          <w:bCs/>
          <w:color w:val="auto"/>
          <w:kern w:val="2"/>
          <w:sz w:val="24"/>
          <w:szCs w:val="24"/>
          <w:lang w:val="en-US" w:eastAsia="zh-CN" w:bidi="ar-SA"/>
        </w:rPr>
        <w:t>ww.ccgp.gov.cn）未被列入失信被执行人名单、重大税收违法案件当事人名单、政府采购严重违法失信行为记录名单（尚在处罚期内的）、经营异常名录，须提供证明材料（信用中国网、中国政府采购网网页打印页）</w:t>
      </w:r>
    </w:p>
    <w:p>
      <w:pPr>
        <w:pStyle w:val="2"/>
        <w:ind w:left="0" w:leftChars="0" w:firstLine="0" w:firstLineChars="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提供近6个月内任意2个月的缴纳税收的凭据证明材料扫描件以及缴纳社会保险的凭据证明材料扫描件；刚成立企业提供依法缴纳税收承诺书和依法缴纳社会保障资金承诺函；如依法免税或依法不需要缴纳社会保障资金的，应提供的相应文件证明其依法免税或依法不需要缴纳社会保障资金。</w:t>
      </w:r>
    </w:p>
    <w:p>
      <w:pPr>
        <w:pStyle w:val="14"/>
        <w:spacing w:before="75" w:beforeAutospacing="0" w:after="75" w:afterAutospacing="0"/>
        <w:rPr>
          <w:rFonts w:cs="宋体"/>
          <w:bCs/>
          <w:kern w:val="2"/>
          <w:szCs w:val="24"/>
        </w:rPr>
      </w:pPr>
      <w:r>
        <w:rPr>
          <w:rFonts w:hint="eastAsia" w:cs="宋体"/>
          <w:bCs/>
          <w:color w:val="auto"/>
          <w:kern w:val="2"/>
          <w:szCs w:val="24"/>
        </w:rPr>
        <w:t>4、投标保证金缴纳及确认时间：凡拟参加本次招标项目的供应商，必须在2022年</w:t>
      </w:r>
      <w:r>
        <w:rPr>
          <w:rFonts w:hint="eastAsia" w:cs="宋体"/>
          <w:bCs/>
          <w:color w:val="auto"/>
          <w:kern w:val="2"/>
          <w:szCs w:val="24"/>
          <w:lang w:val="en-US" w:eastAsia="zh-CN"/>
        </w:rPr>
        <w:t>11</w:t>
      </w:r>
      <w:r>
        <w:rPr>
          <w:rFonts w:hint="eastAsia" w:cs="宋体"/>
          <w:bCs/>
          <w:color w:val="auto"/>
          <w:kern w:val="2"/>
          <w:szCs w:val="24"/>
        </w:rPr>
        <w:t>月</w:t>
      </w:r>
      <w:r>
        <w:rPr>
          <w:rFonts w:hint="eastAsia" w:cs="宋体"/>
          <w:bCs/>
          <w:color w:val="auto"/>
          <w:kern w:val="2"/>
          <w:szCs w:val="24"/>
          <w:lang w:val="en-US" w:eastAsia="zh-CN"/>
        </w:rPr>
        <w:t>14</w:t>
      </w:r>
      <w:r>
        <w:rPr>
          <w:rFonts w:hint="eastAsia" w:cs="宋体"/>
          <w:bCs/>
          <w:color w:val="auto"/>
          <w:kern w:val="2"/>
          <w:szCs w:val="24"/>
        </w:rPr>
        <w:t>日10:30时（北京时间）前将投标保证金汇入指定账户。投标保证金汇款凭证上用途栏应注明本项目招标项目名称[标准格式：（若羌县自然资源（林业和草原局）档案数字化信息管理平台建设项目</w:t>
      </w:r>
      <w:r>
        <w:rPr>
          <w:rFonts w:hint="eastAsia" w:cs="宋体"/>
          <w:bCs/>
          <w:kern w:val="2"/>
          <w:szCs w:val="24"/>
        </w:rPr>
        <w:t>）否则，届时其投标将被拒绝。</w:t>
      </w:r>
    </w:p>
    <w:p>
      <w:pPr>
        <w:pStyle w:val="14"/>
        <w:spacing w:before="75" w:beforeAutospacing="0" w:after="75" w:afterAutospacing="0"/>
        <w:rPr>
          <w:rFonts w:cs="宋体"/>
          <w:bCs/>
          <w:kern w:val="2"/>
          <w:szCs w:val="24"/>
        </w:rPr>
      </w:pPr>
      <w:r>
        <w:rPr>
          <w:rFonts w:hint="eastAsia" w:cs="宋体"/>
          <w:bCs/>
          <w:kern w:val="2"/>
          <w:szCs w:val="24"/>
        </w:rPr>
        <w:t>5、开标（投标）日</w:t>
      </w:r>
      <w:r>
        <w:rPr>
          <w:rFonts w:hint="eastAsia" w:cs="宋体"/>
          <w:bCs/>
          <w:color w:val="auto"/>
          <w:kern w:val="2"/>
          <w:szCs w:val="24"/>
        </w:rPr>
        <w:t>期：2022年</w:t>
      </w:r>
      <w:r>
        <w:rPr>
          <w:rFonts w:hint="eastAsia" w:cs="宋体"/>
          <w:bCs/>
          <w:color w:val="auto"/>
          <w:kern w:val="2"/>
          <w:szCs w:val="24"/>
          <w:lang w:val="en-US" w:eastAsia="zh-CN"/>
        </w:rPr>
        <w:t>11</w:t>
      </w:r>
      <w:r>
        <w:rPr>
          <w:rFonts w:hint="eastAsia" w:cs="宋体"/>
          <w:bCs/>
          <w:color w:val="auto"/>
          <w:kern w:val="2"/>
          <w:szCs w:val="24"/>
        </w:rPr>
        <w:t>月</w:t>
      </w:r>
      <w:r>
        <w:rPr>
          <w:rFonts w:hint="eastAsia" w:cs="宋体"/>
          <w:bCs/>
          <w:color w:val="auto"/>
          <w:kern w:val="2"/>
          <w:szCs w:val="24"/>
          <w:lang w:val="en-US" w:eastAsia="zh-CN"/>
        </w:rPr>
        <w:t xml:space="preserve">14 </w:t>
      </w:r>
      <w:r>
        <w:rPr>
          <w:rFonts w:hint="eastAsia" w:cs="宋体"/>
          <w:bCs/>
          <w:color w:val="auto"/>
          <w:kern w:val="2"/>
          <w:szCs w:val="24"/>
        </w:rPr>
        <w:t>日上午1</w:t>
      </w:r>
      <w:r>
        <w:rPr>
          <w:rFonts w:hint="eastAsia" w:cs="宋体"/>
          <w:bCs/>
          <w:kern w:val="2"/>
          <w:szCs w:val="24"/>
        </w:rPr>
        <w:t>0：30时（北京时间）。若逾时，届时其投标将被拒绝。</w:t>
      </w:r>
    </w:p>
    <w:p>
      <w:pPr>
        <w:pStyle w:val="14"/>
        <w:spacing w:before="75" w:beforeAutospacing="0" w:after="75" w:afterAutospacing="0"/>
        <w:rPr>
          <w:rFonts w:cs="宋体"/>
          <w:bCs/>
          <w:kern w:val="2"/>
          <w:szCs w:val="24"/>
        </w:rPr>
      </w:pPr>
      <w:r>
        <w:rPr>
          <w:rFonts w:hint="eastAsia" w:cs="宋体"/>
          <w:bCs/>
          <w:kern w:val="2"/>
          <w:szCs w:val="24"/>
        </w:rPr>
        <w:t>6、开标地点：新疆中工建辉工程咨询有限公司开标厅（库尔勒市欢乐海岸3号楼16层）</w:t>
      </w:r>
    </w:p>
    <w:p>
      <w:pPr>
        <w:pStyle w:val="14"/>
        <w:spacing w:before="75" w:beforeAutospacing="0" w:after="75" w:afterAutospacing="0"/>
        <w:rPr>
          <w:rFonts w:hint="eastAsia" w:eastAsia="宋体" w:cs="宋体"/>
          <w:bCs/>
          <w:kern w:val="2"/>
          <w:szCs w:val="24"/>
          <w:lang w:eastAsia="zh-CN"/>
        </w:rPr>
      </w:pPr>
      <w:r>
        <w:rPr>
          <w:rFonts w:hint="eastAsia" w:cs="宋体"/>
          <w:bCs/>
          <w:kern w:val="2"/>
          <w:szCs w:val="24"/>
        </w:rPr>
        <w:t>六、联系方式</w:t>
      </w:r>
    </w:p>
    <w:p>
      <w:pPr>
        <w:pStyle w:val="14"/>
        <w:spacing w:before="75" w:beforeAutospacing="0" w:after="75" w:afterAutospacing="0"/>
        <w:rPr>
          <w:rFonts w:hint="eastAsia" w:eastAsia="宋体" w:cs="宋体"/>
          <w:bCs/>
          <w:kern w:val="2"/>
          <w:szCs w:val="24"/>
          <w:lang w:eastAsia="zh-CN"/>
        </w:rPr>
      </w:pPr>
      <w:r>
        <w:rPr>
          <w:rFonts w:hint="eastAsia" w:cs="宋体"/>
          <w:bCs/>
          <w:kern w:val="2"/>
          <w:szCs w:val="24"/>
        </w:rPr>
        <w:t>代理公司名称：新疆中工建辉工程咨询有限公司</w:t>
      </w:r>
    </w:p>
    <w:p>
      <w:pPr>
        <w:pStyle w:val="14"/>
        <w:spacing w:before="75" w:beforeAutospacing="0" w:after="75" w:afterAutospacing="0"/>
        <w:rPr>
          <w:rFonts w:cs="宋体"/>
          <w:bCs/>
          <w:kern w:val="2"/>
          <w:szCs w:val="24"/>
        </w:rPr>
      </w:pPr>
      <w:r>
        <w:rPr>
          <w:rFonts w:hint="eastAsia" w:cs="宋体"/>
          <w:bCs/>
          <w:kern w:val="2"/>
          <w:szCs w:val="24"/>
        </w:rPr>
        <w:t>联系人：</w:t>
      </w:r>
      <w:r>
        <w:rPr>
          <w:rFonts w:hint="eastAsia" w:cs="宋体"/>
          <w:bCs/>
          <w:kern w:val="2"/>
          <w:szCs w:val="24"/>
          <w:lang w:val="en-US" w:eastAsia="zh-CN"/>
        </w:rPr>
        <w:t>付晓辉</w:t>
      </w:r>
      <w:r>
        <w:rPr>
          <w:rFonts w:hint="eastAsia" w:cs="宋体"/>
          <w:bCs/>
          <w:kern w:val="2"/>
          <w:szCs w:val="24"/>
        </w:rPr>
        <w:t>　</w:t>
      </w:r>
    </w:p>
    <w:p>
      <w:pPr>
        <w:pStyle w:val="14"/>
        <w:spacing w:before="75" w:beforeAutospacing="0" w:after="75" w:afterAutospacing="0"/>
        <w:rPr>
          <w:rFonts w:hint="eastAsia" w:cs="宋体"/>
          <w:bCs/>
          <w:kern w:val="2"/>
          <w:szCs w:val="24"/>
          <w:lang w:val="en-US" w:eastAsia="zh-CN"/>
        </w:rPr>
      </w:pPr>
      <w:r>
        <w:rPr>
          <w:rFonts w:hint="eastAsia" w:cs="宋体"/>
          <w:bCs/>
          <w:kern w:val="2"/>
          <w:szCs w:val="24"/>
        </w:rPr>
        <w:t>联系电话：</w:t>
      </w:r>
      <w:r>
        <w:rPr>
          <w:rFonts w:hint="eastAsia" w:cs="宋体"/>
          <w:bCs/>
          <w:kern w:val="2"/>
          <w:szCs w:val="24"/>
          <w:lang w:val="en-US" w:eastAsia="zh-CN"/>
        </w:rPr>
        <w:t>18099592556</w:t>
      </w:r>
    </w:p>
    <w:p>
      <w:pPr>
        <w:pStyle w:val="14"/>
        <w:spacing w:before="75" w:beforeAutospacing="0" w:after="75" w:afterAutospacing="0"/>
        <w:rPr>
          <w:rFonts w:hint="eastAsia" w:cs="宋体"/>
          <w:bCs/>
          <w:color w:val="auto"/>
          <w:kern w:val="2"/>
          <w:szCs w:val="24"/>
        </w:rPr>
      </w:pPr>
      <w:r>
        <w:rPr>
          <w:rFonts w:hint="eastAsia" w:cs="宋体"/>
          <w:bCs/>
          <w:color w:val="auto"/>
          <w:kern w:val="2"/>
          <w:szCs w:val="24"/>
        </w:rPr>
        <w:t>采购单位：若羌县自然资源局（林业和草原局）</w:t>
      </w:r>
    </w:p>
    <w:p>
      <w:pPr>
        <w:pStyle w:val="14"/>
        <w:spacing w:before="75" w:beforeAutospacing="0" w:after="75" w:afterAutospacing="0"/>
        <w:rPr>
          <w:rFonts w:hint="eastAsia" w:cs="宋体"/>
          <w:bCs/>
          <w:kern w:val="2"/>
          <w:szCs w:val="24"/>
          <w:lang w:val="en-US" w:eastAsia="zh-CN"/>
        </w:rPr>
      </w:pPr>
      <w:r>
        <w:rPr>
          <w:rFonts w:hint="eastAsia" w:cs="宋体"/>
          <w:bCs/>
          <w:kern w:val="2"/>
          <w:szCs w:val="24"/>
          <w:lang w:val="en-US" w:eastAsia="zh-CN"/>
        </w:rPr>
        <w:t>采购人：张辉</w:t>
      </w:r>
    </w:p>
    <w:p>
      <w:pPr>
        <w:pStyle w:val="14"/>
        <w:spacing w:before="75" w:beforeAutospacing="0" w:after="75" w:afterAutospacing="0"/>
        <w:rPr>
          <w:rFonts w:hint="default" w:cs="宋体"/>
          <w:bCs/>
          <w:kern w:val="2"/>
          <w:szCs w:val="24"/>
          <w:lang w:val="en-US" w:eastAsia="zh-CN"/>
        </w:rPr>
      </w:pPr>
      <w:r>
        <w:rPr>
          <w:rFonts w:hint="eastAsia" w:cs="宋体"/>
          <w:bCs/>
          <w:kern w:val="2"/>
          <w:szCs w:val="24"/>
          <w:lang w:val="en-US" w:eastAsia="zh-CN"/>
        </w:rPr>
        <w:t>电  话：13239963111</w:t>
      </w:r>
    </w:p>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r>
        <w:rPr>
          <w:rFonts w:hint="eastAsia" w:cs="宋体"/>
          <w:bCs/>
          <w:kern w:val="2"/>
          <w:szCs w:val="24"/>
        </w:rPr>
        <w:t xml:space="preserve">                                       新疆中工建辉工程咨询有限公司</w:t>
      </w:r>
    </w:p>
    <w:p>
      <w:pPr>
        <w:pStyle w:val="14"/>
        <w:spacing w:before="75" w:beforeAutospacing="0" w:after="75" w:afterAutospacing="0"/>
        <w:ind w:firstLine="5760" w:firstLineChars="2400"/>
        <w:rPr>
          <w:rFonts w:cs="宋体"/>
          <w:bCs/>
          <w:kern w:val="2"/>
          <w:szCs w:val="24"/>
        </w:rPr>
      </w:pPr>
      <w:r>
        <w:rPr>
          <w:rFonts w:hint="eastAsia" w:cs="宋体"/>
          <w:bCs/>
          <w:kern w:val="2"/>
          <w:szCs w:val="24"/>
        </w:rPr>
        <w:t>2022年</w:t>
      </w:r>
      <w:r>
        <w:rPr>
          <w:rFonts w:hint="eastAsia" w:cs="宋体"/>
          <w:bCs/>
          <w:kern w:val="2"/>
          <w:szCs w:val="24"/>
          <w:lang w:val="en-US" w:eastAsia="zh-CN"/>
        </w:rPr>
        <w:t>11</w:t>
      </w:r>
      <w:r>
        <w:rPr>
          <w:rFonts w:hint="eastAsia" w:cs="宋体"/>
          <w:bCs/>
          <w:kern w:val="2"/>
          <w:szCs w:val="24"/>
        </w:rPr>
        <w:t>月</w:t>
      </w:r>
      <w:r>
        <w:rPr>
          <w:rFonts w:hint="eastAsia" w:cs="宋体"/>
          <w:bCs/>
          <w:kern w:val="2"/>
          <w:szCs w:val="24"/>
          <w:lang w:val="en-US" w:eastAsia="zh-CN"/>
        </w:rPr>
        <w:t>2</w:t>
      </w:r>
      <w:r>
        <w:rPr>
          <w:rFonts w:hint="eastAsia" w:cs="宋体"/>
          <w:bCs/>
          <w:kern w:val="2"/>
          <w:szCs w:val="24"/>
        </w:rPr>
        <w:t>日</w:t>
      </w: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p>
    <w:p>
      <w:pPr>
        <w:pStyle w:val="14"/>
        <w:spacing w:before="75" w:beforeAutospacing="0" w:after="75" w:afterAutospacing="0"/>
        <w:jc w:val="both"/>
        <w:rPr>
          <w:rFonts w:cs="宋体"/>
          <w:b/>
          <w:kern w:val="2"/>
          <w:szCs w:val="24"/>
        </w:rPr>
      </w:pPr>
    </w:p>
    <w:p>
      <w:pPr>
        <w:pStyle w:val="14"/>
        <w:spacing w:before="75" w:beforeAutospacing="0" w:after="75" w:afterAutospacing="0"/>
        <w:jc w:val="center"/>
        <w:rPr>
          <w:rFonts w:cs="宋体"/>
          <w:b/>
          <w:kern w:val="2"/>
          <w:szCs w:val="24"/>
        </w:rPr>
      </w:pPr>
      <w:r>
        <w:rPr>
          <w:rFonts w:hint="eastAsia" w:cs="宋体"/>
          <w:b/>
          <w:kern w:val="2"/>
          <w:szCs w:val="24"/>
        </w:rPr>
        <w:t>二、投标单位须知</w:t>
      </w:r>
      <w:bookmarkEnd w:id="9"/>
      <w:bookmarkEnd w:id="10"/>
    </w:p>
    <w:p>
      <w:pPr>
        <w:jc w:val="center"/>
        <w:rPr>
          <w:rFonts w:ascii="宋体" w:hAnsi="宋体" w:cs="宋体"/>
          <w:b/>
          <w:color w:val="FF0000"/>
          <w:sz w:val="28"/>
          <w:szCs w:val="28"/>
        </w:rPr>
      </w:pPr>
      <w:bookmarkStart w:id="11" w:name="_Toc21720"/>
      <w:r>
        <w:rPr>
          <w:rFonts w:hint="eastAsia"/>
          <w:b/>
          <w:sz w:val="28"/>
          <w:szCs w:val="28"/>
        </w:rPr>
        <w:t>投标单位须知前附表</w:t>
      </w:r>
      <w:bookmarkEnd w:id="11"/>
    </w:p>
    <w:tbl>
      <w:tblPr>
        <w:tblStyle w:val="36"/>
        <w:tblW w:w="9523"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717"/>
        <w:gridCol w:w="568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tblHeader/>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序列号</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条款名称</w:t>
            </w:r>
          </w:p>
        </w:tc>
        <w:tc>
          <w:tcPr>
            <w:tcW w:w="5689"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项目名称</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若羌县自然资源（林业和草原局）档案数字化信息管理平台建设项目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2</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采购人</w:t>
            </w:r>
          </w:p>
        </w:tc>
        <w:tc>
          <w:tcPr>
            <w:tcW w:w="5689" w:type="dxa"/>
            <w:vAlign w:val="center"/>
          </w:tcPr>
          <w:p>
            <w:pPr>
              <w:pStyle w:val="14"/>
              <w:spacing w:before="75" w:beforeAutospacing="0" w:after="75" w:afterAutospacing="0"/>
              <w:rPr>
                <w:rFonts w:hint="eastAsia" w:cs="宋体"/>
                <w:bCs/>
                <w:kern w:val="2"/>
                <w:szCs w:val="24"/>
              </w:rPr>
            </w:pPr>
            <w:r>
              <w:rPr>
                <w:rFonts w:hint="eastAsia" w:cs="宋体"/>
                <w:bCs/>
                <w:kern w:val="2"/>
                <w:szCs w:val="24"/>
              </w:rPr>
              <w:t>名  称：若羌县自然资源局（林业和草原局）</w:t>
            </w:r>
          </w:p>
          <w:p>
            <w:pPr>
              <w:pStyle w:val="14"/>
              <w:spacing w:before="75" w:beforeAutospacing="0" w:after="75" w:afterAutospacing="0"/>
              <w:rPr>
                <w:rFonts w:hint="eastAsia" w:cs="宋体"/>
                <w:bCs/>
                <w:kern w:val="2"/>
                <w:szCs w:val="24"/>
              </w:rPr>
            </w:pPr>
            <w:r>
              <w:rPr>
                <w:rFonts w:hint="eastAsia" w:cs="宋体"/>
                <w:bCs/>
                <w:kern w:val="2"/>
                <w:szCs w:val="24"/>
              </w:rPr>
              <w:t xml:space="preserve">地  址：若羌县 </w:t>
            </w:r>
          </w:p>
          <w:p>
            <w:pPr>
              <w:pStyle w:val="14"/>
              <w:spacing w:before="75" w:beforeAutospacing="0" w:after="75" w:afterAutospacing="0"/>
              <w:rPr>
                <w:rFonts w:hint="eastAsia" w:cs="宋体"/>
                <w:bCs/>
                <w:kern w:val="2"/>
                <w:szCs w:val="24"/>
              </w:rPr>
            </w:pPr>
            <w:r>
              <w:rPr>
                <w:rFonts w:hint="eastAsia" w:cs="宋体"/>
                <w:bCs/>
                <w:kern w:val="2"/>
                <w:szCs w:val="24"/>
              </w:rPr>
              <w:t>采购人：张辉</w:t>
            </w:r>
          </w:p>
          <w:p>
            <w:pPr>
              <w:pStyle w:val="14"/>
              <w:spacing w:before="75" w:beforeAutospacing="0" w:after="75" w:afterAutospacing="0"/>
              <w:rPr>
                <w:rFonts w:cs="宋体"/>
                <w:bCs/>
                <w:kern w:val="2"/>
                <w:szCs w:val="24"/>
              </w:rPr>
            </w:pPr>
            <w:r>
              <w:rPr>
                <w:rFonts w:hint="eastAsia" w:cs="宋体"/>
                <w:bCs/>
                <w:kern w:val="2"/>
                <w:szCs w:val="24"/>
              </w:rPr>
              <w:t xml:space="preserve">电  话：13239963111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3</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采购代理机构</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 xml:space="preserve">名  称：新疆中工建辉工程咨询有限公司      </w:t>
            </w:r>
          </w:p>
          <w:p>
            <w:pPr>
              <w:pStyle w:val="14"/>
              <w:spacing w:before="75" w:beforeAutospacing="0" w:after="75" w:afterAutospacing="0"/>
              <w:rPr>
                <w:rFonts w:cs="宋体"/>
                <w:bCs/>
                <w:kern w:val="2"/>
                <w:szCs w:val="24"/>
              </w:rPr>
            </w:pPr>
            <w:r>
              <w:rPr>
                <w:rFonts w:hint="eastAsia" w:cs="宋体"/>
                <w:bCs/>
                <w:kern w:val="2"/>
                <w:szCs w:val="24"/>
              </w:rPr>
              <w:t>地  址：库尔勒市欢乐海岸3号楼16楼</w:t>
            </w:r>
          </w:p>
          <w:p>
            <w:pPr>
              <w:pStyle w:val="14"/>
              <w:spacing w:before="75" w:beforeAutospacing="0" w:after="75" w:afterAutospacing="0"/>
              <w:rPr>
                <w:rFonts w:cs="宋体"/>
                <w:bCs/>
                <w:kern w:val="2"/>
                <w:szCs w:val="24"/>
              </w:rPr>
            </w:pPr>
            <w:r>
              <w:rPr>
                <w:rFonts w:hint="eastAsia" w:cs="宋体"/>
                <w:bCs/>
                <w:kern w:val="2"/>
                <w:szCs w:val="24"/>
              </w:rPr>
              <w:t>联系人：</w:t>
            </w:r>
            <w:r>
              <w:rPr>
                <w:rFonts w:hint="eastAsia" w:cs="宋体"/>
                <w:bCs/>
                <w:kern w:val="2"/>
                <w:szCs w:val="24"/>
                <w:lang w:val="en-US" w:eastAsia="zh-CN"/>
              </w:rPr>
              <w:t>付晓辉</w:t>
            </w:r>
          </w:p>
          <w:p>
            <w:pPr>
              <w:pStyle w:val="14"/>
              <w:spacing w:before="75" w:beforeAutospacing="0" w:after="75" w:afterAutospacing="0"/>
              <w:rPr>
                <w:rFonts w:cs="宋体"/>
                <w:bCs/>
                <w:kern w:val="2"/>
                <w:szCs w:val="24"/>
              </w:rPr>
            </w:pPr>
            <w:r>
              <w:rPr>
                <w:rFonts w:hint="eastAsia" w:cs="宋体"/>
                <w:bCs/>
                <w:kern w:val="2"/>
                <w:szCs w:val="24"/>
              </w:rPr>
              <w:t>联系电话：</w:t>
            </w:r>
            <w:r>
              <w:rPr>
                <w:rFonts w:hint="eastAsia" w:cs="宋体"/>
                <w:bCs/>
                <w:kern w:val="2"/>
                <w:szCs w:val="24"/>
                <w:lang w:val="en-US" w:eastAsia="zh-CN"/>
              </w:rPr>
              <w:t>18099592556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4"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4</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资金来源及落实情况</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资金来源：财 政</w:t>
            </w:r>
          </w:p>
          <w:p>
            <w:pPr>
              <w:pStyle w:val="14"/>
              <w:spacing w:before="75" w:beforeAutospacing="0" w:after="75" w:afterAutospacing="0"/>
              <w:rPr>
                <w:rFonts w:cs="宋体"/>
                <w:bCs/>
                <w:kern w:val="2"/>
                <w:szCs w:val="24"/>
              </w:rPr>
            </w:pPr>
            <w:r>
              <w:rPr>
                <w:rFonts w:hint="eastAsia" w:cs="宋体"/>
                <w:bCs/>
                <w:kern w:val="2"/>
                <w:szCs w:val="24"/>
              </w:rPr>
              <w:t>落实情况：已落实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5</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采购预算（最高限价）</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lang w:val="en-US" w:eastAsia="zh-CN"/>
              </w:rPr>
              <w:t>90</w:t>
            </w:r>
            <w:r>
              <w:rPr>
                <w:rFonts w:hint="eastAsia" w:cs="宋体"/>
                <w:bCs/>
                <w:kern w:val="2"/>
                <w:szCs w:val="24"/>
              </w:rPr>
              <w:t>万元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6</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投标单位资格条件</w:t>
            </w:r>
          </w:p>
        </w:tc>
        <w:tc>
          <w:tcPr>
            <w:tcW w:w="5689" w:type="dxa"/>
            <w:vAlign w:val="center"/>
          </w:tcPr>
          <w:p>
            <w:pPr>
              <w:pStyle w:val="14"/>
              <w:numPr>
                <w:ilvl w:val="0"/>
                <w:numId w:val="2"/>
              </w:numPr>
              <w:spacing w:before="75" w:beforeAutospacing="0" w:after="75" w:afterAutospacing="0"/>
              <w:rPr>
                <w:rFonts w:hint="eastAsia"/>
              </w:rPr>
            </w:pPr>
            <w:r>
              <w:rPr>
                <w:rFonts w:hint="eastAsia" w:cs="宋体"/>
                <w:bCs/>
                <w:kern w:val="2"/>
                <w:szCs w:val="24"/>
                <w:lang w:eastAsia="zh-CN"/>
              </w:rPr>
              <w:t>、</w:t>
            </w:r>
            <w:r>
              <w:rPr>
                <w:rFonts w:hint="eastAsia" w:cs="宋体"/>
                <w:bCs/>
                <w:kern w:val="2"/>
                <w:szCs w:val="24"/>
              </w:rPr>
              <w:t>符合《中华人民共和国政府采购法》第二十二条的规定；</w:t>
            </w:r>
          </w:p>
          <w:p>
            <w:pPr>
              <w:pStyle w:val="14"/>
              <w:spacing w:before="75" w:beforeAutospacing="0" w:after="75" w:afterAutospacing="0"/>
              <w:rPr>
                <w:rFonts w:cs="宋体"/>
                <w:bCs/>
                <w:kern w:val="2"/>
                <w:szCs w:val="24"/>
              </w:rPr>
            </w:pPr>
            <w:r>
              <w:rPr>
                <w:rFonts w:hint="eastAsia" w:cs="宋体"/>
                <w:bCs/>
                <w:kern w:val="2"/>
                <w:szCs w:val="24"/>
              </w:rPr>
              <w:t>（</w:t>
            </w:r>
            <w:r>
              <w:rPr>
                <w:rFonts w:hint="eastAsia" w:cs="宋体"/>
                <w:bCs/>
                <w:kern w:val="2"/>
                <w:szCs w:val="24"/>
                <w:lang w:val="en-US" w:eastAsia="zh-CN"/>
              </w:rPr>
              <w:t>2</w:t>
            </w:r>
            <w:r>
              <w:rPr>
                <w:rFonts w:hint="eastAsia" w:cs="宋体"/>
                <w:bCs/>
                <w:kern w:val="2"/>
                <w:szCs w:val="24"/>
              </w:rPr>
              <w:t>）</w:t>
            </w:r>
            <w:r>
              <w:rPr>
                <w:rFonts w:hint="eastAsia" w:cs="宋体"/>
                <w:bCs/>
                <w:kern w:val="2"/>
                <w:szCs w:val="24"/>
                <w:lang w:eastAsia="zh-CN"/>
              </w:rPr>
              <w:t>、</w:t>
            </w:r>
            <w:r>
              <w:rPr>
                <w:rFonts w:hint="eastAsia" w:cs="宋体"/>
                <w:bCs/>
                <w:kern w:val="2"/>
                <w:szCs w:val="24"/>
              </w:rPr>
              <w:t>法定代表人身份证明书和法定代表人身份证或者法定代表人授权委托书及被授权人身份证明；  </w:t>
            </w:r>
          </w:p>
          <w:p>
            <w:pPr>
              <w:pStyle w:val="14"/>
              <w:spacing w:before="75" w:beforeAutospacing="0" w:after="75" w:afterAutospacing="0"/>
              <w:rPr>
                <w:rFonts w:cs="宋体"/>
                <w:bCs/>
                <w:kern w:val="2"/>
                <w:szCs w:val="24"/>
              </w:rPr>
            </w:pPr>
            <w:r>
              <w:rPr>
                <w:rFonts w:hint="eastAsia" w:cs="宋体"/>
                <w:bCs/>
                <w:kern w:val="2"/>
                <w:szCs w:val="24"/>
              </w:rPr>
              <w:t>（</w:t>
            </w:r>
            <w:r>
              <w:rPr>
                <w:rFonts w:hint="eastAsia" w:cs="宋体"/>
                <w:bCs/>
                <w:kern w:val="2"/>
                <w:szCs w:val="24"/>
                <w:lang w:val="en-US" w:eastAsia="zh-CN"/>
              </w:rPr>
              <w:t>3</w:t>
            </w:r>
            <w:r>
              <w:rPr>
                <w:rFonts w:hint="eastAsia" w:cs="宋体"/>
                <w:bCs/>
                <w:kern w:val="2"/>
                <w:szCs w:val="24"/>
              </w:rPr>
              <w:t>）</w:t>
            </w:r>
            <w:r>
              <w:rPr>
                <w:rFonts w:hint="eastAsia" w:cs="宋体"/>
                <w:bCs/>
                <w:kern w:val="2"/>
                <w:szCs w:val="24"/>
                <w:lang w:eastAsia="zh-CN"/>
              </w:rPr>
              <w:t>、</w:t>
            </w:r>
            <w:r>
              <w:rPr>
                <w:rFonts w:hint="eastAsia" w:cs="宋体"/>
                <w:bCs/>
                <w:kern w:val="2"/>
                <w:szCs w:val="24"/>
              </w:rPr>
              <w:t>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网页打印件须自招标文件发布之日起至投标文件递交截止时间从上述网站中打印）；</w:t>
            </w:r>
          </w:p>
          <w:p>
            <w:pPr>
              <w:pStyle w:val="14"/>
              <w:spacing w:before="75" w:beforeAutospacing="0" w:after="75" w:afterAutospacing="0"/>
              <w:rPr>
                <w:rFonts w:hint="eastAsia" w:cs="宋体"/>
                <w:bCs/>
                <w:kern w:val="2"/>
                <w:szCs w:val="24"/>
              </w:rPr>
            </w:pPr>
            <w:r>
              <w:rPr>
                <w:rFonts w:hint="eastAsia" w:cs="宋体"/>
                <w:bCs/>
                <w:kern w:val="2"/>
                <w:szCs w:val="24"/>
              </w:rPr>
              <w:t>（</w:t>
            </w:r>
            <w:r>
              <w:rPr>
                <w:rFonts w:hint="eastAsia" w:cs="宋体"/>
                <w:bCs/>
                <w:kern w:val="2"/>
                <w:szCs w:val="24"/>
                <w:lang w:val="en-US" w:eastAsia="zh-CN"/>
              </w:rPr>
              <w:t>4</w:t>
            </w:r>
            <w:r>
              <w:rPr>
                <w:rFonts w:hint="eastAsia" w:cs="宋体"/>
                <w:bCs/>
                <w:kern w:val="2"/>
                <w:szCs w:val="24"/>
              </w:rPr>
              <w:t>）、202</w:t>
            </w:r>
            <w:r>
              <w:rPr>
                <w:rFonts w:hint="eastAsia" w:cs="宋体"/>
                <w:bCs/>
                <w:kern w:val="2"/>
                <w:szCs w:val="24"/>
                <w:lang w:val="en-US" w:eastAsia="zh-CN"/>
              </w:rPr>
              <w:t>1</w:t>
            </w:r>
            <w:r>
              <w:rPr>
                <w:rFonts w:hint="eastAsia" w:cs="宋体"/>
                <w:bCs/>
                <w:kern w:val="2"/>
                <w:szCs w:val="24"/>
              </w:rPr>
              <w:t>年度财务审计报告（成立未满一年的公司可以不提供202</w:t>
            </w:r>
            <w:r>
              <w:rPr>
                <w:rFonts w:hint="eastAsia" w:cs="宋体"/>
                <w:bCs/>
                <w:kern w:val="2"/>
                <w:szCs w:val="24"/>
                <w:lang w:val="en-US" w:eastAsia="zh-CN"/>
              </w:rPr>
              <w:t>1</w:t>
            </w:r>
            <w:r>
              <w:rPr>
                <w:rFonts w:hint="eastAsia" w:cs="宋体"/>
                <w:bCs/>
                <w:kern w:val="2"/>
                <w:szCs w:val="24"/>
              </w:rPr>
              <w:t>年度财务审计报告，但是必须提供财务报表。财务报表内容必须包含资产、负债、现金等报表或提供银行资信证明）；</w:t>
            </w:r>
          </w:p>
          <w:p>
            <w:pPr>
              <w:pStyle w:val="2"/>
              <w:ind w:left="0" w:leftChars="0" w:firstLine="0" w:firstLineChars="0"/>
              <w:rPr>
                <w:rFonts w:cs="宋体"/>
                <w:bCs/>
                <w:kern w:val="2"/>
                <w:szCs w:val="24"/>
              </w:rPr>
            </w:pPr>
            <w:r>
              <w:rPr>
                <w:rFonts w:hint="eastAsia" w:ascii="宋体" w:hAnsi="宋体" w:cs="宋体"/>
                <w:bCs/>
                <w:color w:val="auto"/>
                <w:kern w:val="2"/>
                <w:sz w:val="24"/>
                <w:szCs w:val="24"/>
                <w:lang w:val="en-US" w:eastAsia="zh-CN" w:bidi="ar-SA"/>
              </w:rPr>
              <w:t>（5）</w:t>
            </w:r>
            <w:r>
              <w:rPr>
                <w:rFonts w:hint="eastAsia" w:ascii="宋体" w:hAnsi="宋体" w:eastAsia="宋体" w:cs="宋体"/>
                <w:bCs/>
                <w:color w:val="auto"/>
                <w:kern w:val="2"/>
                <w:sz w:val="24"/>
                <w:szCs w:val="24"/>
                <w:lang w:val="en-US" w:eastAsia="zh-CN" w:bidi="ar-SA"/>
              </w:rPr>
              <w:t>提供近6个月内任意2个月的缴纳税收的凭据证明材料扫描件以及缴纳社会保险的凭据证明材料扫描件；刚成立企业提供依法缴纳税收承诺书和依法缴纳社会保障资金承诺函；如依法免税或依法不需要缴纳社会保障资金的，应提供的相应文件证明其依法免税或依法不需要缴纳社会保障资金。</w:t>
            </w:r>
            <w:r>
              <w:rPr>
                <w:rFonts w:hint="eastAsia" w:cs="宋体"/>
                <w:bCs/>
                <w:kern w:val="2"/>
                <w:szCs w:val="24"/>
              </w:rPr>
              <w:t> </w:t>
            </w:r>
          </w:p>
          <w:p>
            <w:pPr>
              <w:pStyle w:val="14"/>
              <w:spacing w:before="75" w:beforeAutospacing="0" w:after="75" w:afterAutospacing="0"/>
              <w:rPr>
                <w:rFonts w:hint="default" w:cs="宋体"/>
                <w:bCs/>
                <w:kern w:val="2"/>
                <w:szCs w:val="24"/>
                <w:lang w:val="en-US"/>
              </w:rPr>
            </w:pPr>
            <w:r>
              <w:rPr>
                <w:rFonts w:hint="eastAsia" w:cs="宋体"/>
                <w:bCs/>
                <w:kern w:val="2"/>
                <w:szCs w:val="24"/>
              </w:rPr>
              <w:t>（</w:t>
            </w:r>
            <w:r>
              <w:rPr>
                <w:rFonts w:hint="eastAsia" w:cs="宋体"/>
                <w:bCs/>
                <w:kern w:val="2"/>
                <w:szCs w:val="24"/>
                <w:lang w:val="en-US" w:eastAsia="zh-CN"/>
              </w:rPr>
              <w:t>6</w:t>
            </w:r>
            <w:r>
              <w:rPr>
                <w:rFonts w:hint="eastAsia" w:cs="宋体"/>
                <w:bCs/>
                <w:kern w:val="2"/>
                <w:szCs w:val="24"/>
              </w:rPr>
              <w:t>）、投标保证金：</w:t>
            </w:r>
            <w:r>
              <w:rPr>
                <w:rFonts w:hint="eastAsia" w:cs="宋体"/>
                <w:bCs/>
                <w:kern w:val="2"/>
                <w:szCs w:val="24"/>
                <w:lang w:val="en-US" w:eastAsia="zh-CN"/>
              </w:rPr>
              <w:t>壹万元整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7</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 xml:space="preserve">联合体投标    </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sym w:font="Wingdings 2" w:char="0052"/>
            </w:r>
            <w:r>
              <w:rPr>
                <w:rFonts w:hint="eastAsia" w:cs="宋体"/>
                <w:bCs/>
                <w:kern w:val="2"/>
                <w:szCs w:val="24"/>
              </w:rPr>
              <w:t xml:space="preserve">不接受 </w:t>
            </w:r>
          </w:p>
          <w:p>
            <w:pPr>
              <w:pStyle w:val="14"/>
              <w:spacing w:before="75" w:beforeAutospacing="0" w:after="75" w:afterAutospacing="0"/>
              <w:rPr>
                <w:rFonts w:cs="宋体"/>
                <w:bCs/>
                <w:kern w:val="2"/>
                <w:szCs w:val="24"/>
              </w:rPr>
            </w:pPr>
            <w:r>
              <w:rPr>
                <w:rFonts w:hint="eastAsia" w:cs="宋体"/>
                <w:bCs/>
                <w:kern w:val="2"/>
                <w:szCs w:val="24"/>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8</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备选方案</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sym w:font="Wingdings 2" w:char="0052"/>
            </w:r>
            <w:r>
              <w:rPr>
                <w:rFonts w:hint="eastAsia" w:cs="宋体"/>
                <w:bCs/>
                <w:kern w:val="2"/>
                <w:szCs w:val="24"/>
              </w:rPr>
              <w:t xml:space="preserve"> 不接受</w:t>
            </w:r>
          </w:p>
          <w:p>
            <w:pPr>
              <w:pStyle w:val="14"/>
              <w:spacing w:before="75" w:beforeAutospacing="0" w:after="75" w:afterAutospacing="0"/>
              <w:rPr>
                <w:rFonts w:cs="宋体"/>
                <w:bCs/>
                <w:kern w:val="2"/>
                <w:szCs w:val="24"/>
              </w:rPr>
            </w:pPr>
            <w:r>
              <w:rPr>
                <w:rFonts w:hint="eastAsia" w:cs="宋体"/>
                <w:bCs/>
                <w:kern w:val="2"/>
                <w:szCs w:val="24"/>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9</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信息公告媒体</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新疆维吾尔自治区政府采购网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10</w:t>
            </w:r>
          </w:p>
        </w:tc>
        <w:tc>
          <w:tcPr>
            <w:tcW w:w="2717" w:type="dxa"/>
            <w:vAlign w:val="center"/>
          </w:tcPr>
          <w:p>
            <w:pPr>
              <w:pStyle w:val="14"/>
              <w:spacing w:before="75" w:beforeAutospacing="0" w:after="75" w:afterAutospacing="0"/>
              <w:rPr>
                <w:rFonts w:cs="宋体"/>
                <w:bCs/>
                <w:color w:val="auto"/>
                <w:kern w:val="2"/>
                <w:szCs w:val="24"/>
              </w:rPr>
            </w:pPr>
            <w:r>
              <w:rPr>
                <w:rFonts w:hint="eastAsia" w:cs="宋体"/>
                <w:bCs/>
                <w:color w:val="auto"/>
                <w:kern w:val="2"/>
                <w:szCs w:val="24"/>
              </w:rPr>
              <w:t>响应文件递交截止时间</w:t>
            </w:r>
          </w:p>
        </w:tc>
        <w:tc>
          <w:tcPr>
            <w:tcW w:w="5689" w:type="dxa"/>
            <w:vAlign w:val="center"/>
          </w:tcPr>
          <w:p>
            <w:pPr>
              <w:pStyle w:val="14"/>
              <w:spacing w:before="75" w:beforeAutospacing="0" w:after="75" w:afterAutospacing="0"/>
              <w:rPr>
                <w:rFonts w:cs="宋体"/>
                <w:bCs/>
                <w:color w:val="auto"/>
                <w:kern w:val="2"/>
                <w:szCs w:val="24"/>
              </w:rPr>
            </w:pPr>
            <w:r>
              <w:rPr>
                <w:rFonts w:hint="eastAsia" w:cs="宋体"/>
                <w:bCs/>
                <w:color w:val="auto"/>
                <w:kern w:val="2"/>
                <w:szCs w:val="24"/>
              </w:rPr>
              <w:t>2022年</w:t>
            </w:r>
            <w:r>
              <w:rPr>
                <w:rFonts w:hint="eastAsia" w:cs="宋体"/>
                <w:bCs/>
                <w:color w:val="auto"/>
                <w:kern w:val="2"/>
                <w:szCs w:val="24"/>
                <w:lang w:val="en-US" w:eastAsia="zh-CN"/>
              </w:rPr>
              <w:t>11</w:t>
            </w:r>
            <w:r>
              <w:rPr>
                <w:rFonts w:hint="eastAsia" w:cs="宋体"/>
                <w:bCs/>
                <w:color w:val="auto"/>
                <w:kern w:val="2"/>
                <w:szCs w:val="24"/>
              </w:rPr>
              <w:t>月</w:t>
            </w:r>
            <w:r>
              <w:rPr>
                <w:rFonts w:hint="eastAsia" w:cs="宋体"/>
                <w:bCs/>
                <w:color w:val="auto"/>
                <w:kern w:val="2"/>
                <w:szCs w:val="24"/>
                <w:lang w:val="en-US" w:eastAsia="zh-CN"/>
              </w:rPr>
              <w:t xml:space="preserve">14 </w:t>
            </w:r>
            <w:r>
              <w:rPr>
                <w:rFonts w:hint="eastAsia" w:cs="宋体"/>
                <w:bCs/>
                <w:color w:val="auto"/>
                <w:kern w:val="2"/>
                <w:szCs w:val="24"/>
              </w:rPr>
              <w:t>日10:30（北京时间）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11</w:t>
            </w:r>
          </w:p>
        </w:tc>
        <w:tc>
          <w:tcPr>
            <w:tcW w:w="2717" w:type="dxa"/>
            <w:vAlign w:val="center"/>
          </w:tcPr>
          <w:p>
            <w:pPr>
              <w:pStyle w:val="14"/>
              <w:spacing w:before="75" w:beforeAutospacing="0" w:after="75" w:afterAutospacing="0"/>
              <w:rPr>
                <w:rFonts w:cs="宋体"/>
                <w:bCs/>
                <w:color w:val="auto"/>
                <w:kern w:val="2"/>
                <w:szCs w:val="24"/>
              </w:rPr>
            </w:pPr>
            <w:r>
              <w:rPr>
                <w:rFonts w:hint="eastAsia" w:cs="宋体"/>
                <w:bCs/>
                <w:color w:val="auto"/>
                <w:kern w:val="2"/>
                <w:szCs w:val="24"/>
              </w:rPr>
              <w:t>开标地点及投标文件递交</w:t>
            </w:r>
          </w:p>
        </w:tc>
        <w:tc>
          <w:tcPr>
            <w:tcW w:w="5689" w:type="dxa"/>
            <w:vAlign w:val="center"/>
          </w:tcPr>
          <w:p>
            <w:pPr>
              <w:pStyle w:val="14"/>
              <w:spacing w:before="75" w:beforeAutospacing="0" w:after="75" w:afterAutospacing="0"/>
              <w:rPr>
                <w:rFonts w:cs="宋体"/>
                <w:bCs/>
                <w:color w:val="auto"/>
                <w:kern w:val="2"/>
                <w:szCs w:val="24"/>
              </w:rPr>
            </w:pPr>
            <w:r>
              <w:rPr>
                <w:rFonts w:hint="eastAsia" w:cs="宋体"/>
                <w:bCs/>
                <w:color w:val="auto"/>
                <w:kern w:val="2"/>
                <w:szCs w:val="24"/>
              </w:rPr>
              <w:t>蹉商地址：新疆中工建辉工程咨询有限公司开标厅（库尔勒市欢乐海岸3号楼16层）。</w:t>
            </w:r>
          </w:p>
          <w:p>
            <w:pPr>
              <w:pStyle w:val="14"/>
              <w:spacing w:before="75" w:beforeAutospacing="0" w:after="75" w:afterAutospacing="0"/>
              <w:rPr>
                <w:rFonts w:cs="宋体"/>
                <w:bCs/>
                <w:color w:val="auto"/>
                <w:kern w:val="2"/>
                <w:szCs w:val="24"/>
              </w:rPr>
            </w:pPr>
            <w:r>
              <w:rPr>
                <w:rFonts w:hint="eastAsia" w:cs="宋体"/>
                <w:bCs/>
                <w:color w:val="auto"/>
                <w:kern w:val="2"/>
                <w:szCs w:val="24"/>
              </w:rPr>
              <w:t>投标人应于2022年</w:t>
            </w:r>
            <w:r>
              <w:rPr>
                <w:rFonts w:hint="eastAsia" w:cs="宋体"/>
                <w:bCs/>
                <w:color w:val="auto"/>
                <w:kern w:val="2"/>
                <w:szCs w:val="24"/>
                <w:lang w:val="en-US" w:eastAsia="zh-CN"/>
              </w:rPr>
              <w:t>11</w:t>
            </w:r>
            <w:r>
              <w:rPr>
                <w:rFonts w:hint="eastAsia" w:cs="宋体"/>
                <w:bCs/>
                <w:color w:val="auto"/>
                <w:kern w:val="2"/>
                <w:szCs w:val="24"/>
              </w:rPr>
              <w:t>月</w:t>
            </w:r>
            <w:r>
              <w:rPr>
                <w:rFonts w:hint="eastAsia" w:cs="宋体"/>
                <w:bCs/>
                <w:color w:val="auto"/>
                <w:kern w:val="2"/>
                <w:szCs w:val="24"/>
                <w:lang w:val="en-US" w:eastAsia="zh-CN"/>
              </w:rPr>
              <w:t>14</w:t>
            </w:r>
            <w:r>
              <w:rPr>
                <w:rFonts w:hint="eastAsia" w:cs="宋体"/>
                <w:bCs/>
                <w:color w:val="auto"/>
                <w:kern w:val="2"/>
                <w:szCs w:val="24"/>
              </w:rPr>
              <w:t xml:space="preserve">日10:30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12</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磋商小组的组建及评审专家的确定方式</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招标采购单位依法组建磋商小组共5人组成</w:t>
            </w:r>
          </w:p>
          <w:p>
            <w:pPr>
              <w:pStyle w:val="14"/>
              <w:spacing w:before="75" w:beforeAutospacing="0" w:after="75" w:afterAutospacing="0"/>
              <w:rPr>
                <w:rFonts w:cs="宋体"/>
                <w:bCs/>
                <w:kern w:val="2"/>
                <w:szCs w:val="24"/>
              </w:rPr>
            </w:pPr>
            <w:r>
              <w:rPr>
                <w:rFonts w:hint="eastAsia" w:cs="宋体"/>
                <w:bCs/>
                <w:kern w:val="2"/>
                <w:szCs w:val="24"/>
              </w:rPr>
              <w:t xml:space="preserve">小组确定方式：从采购专家库中随机抽取确定。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Merge w:val="restart"/>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13</w:t>
            </w:r>
          </w:p>
        </w:tc>
        <w:tc>
          <w:tcPr>
            <w:tcW w:w="2717" w:type="dxa"/>
            <w:vMerge w:val="restart"/>
            <w:vAlign w:val="center"/>
          </w:tcPr>
          <w:p>
            <w:pPr>
              <w:pStyle w:val="14"/>
              <w:spacing w:before="75" w:beforeAutospacing="0" w:after="75" w:afterAutospacing="0"/>
              <w:rPr>
                <w:rFonts w:cs="宋体"/>
                <w:bCs/>
                <w:kern w:val="2"/>
                <w:szCs w:val="24"/>
              </w:rPr>
            </w:pPr>
            <w:r>
              <w:rPr>
                <w:rFonts w:hint="eastAsia" w:cs="宋体"/>
                <w:bCs/>
                <w:kern w:val="2"/>
                <w:szCs w:val="24"/>
              </w:rPr>
              <w:t>磋商保证金</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缴纳方式：电汇、网银转账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1117" w:type="dxa"/>
            <w:vMerge w:val="continue"/>
            <w:vAlign w:val="center"/>
          </w:tcPr>
          <w:p>
            <w:pPr>
              <w:adjustRightInd w:val="0"/>
              <w:snapToGrid w:val="0"/>
              <w:spacing w:before="120" w:beforeLines="50"/>
              <w:jc w:val="center"/>
              <w:rPr>
                <w:rFonts w:ascii="宋体" w:hAnsi="宋体" w:cs="宋体"/>
                <w:bCs/>
                <w:sz w:val="24"/>
                <w:szCs w:val="24"/>
              </w:rPr>
            </w:pPr>
          </w:p>
        </w:tc>
        <w:tc>
          <w:tcPr>
            <w:tcW w:w="2717" w:type="dxa"/>
            <w:vMerge w:val="continue"/>
            <w:vAlign w:val="center"/>
          </w:tcPr>
          <w:p>
            <w:pPr>
              <w:pStyle w:val="14"/>
              <w:spacing w:before="75" w:beforeAutospacing="0" w:after="75" w:afterAutospacing="0"/>
              <w:rPr>
                <w:rFonts w:cs="宋体"/>
                <w:bCs/>
                <w:kern w:val="2"/>
                <w:szCs w:val="24"/>
              </w:rPr>
            </w:pP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金额（小写）：</w:t>
            </w:r>
            <w:r>
              <w:rPr>
                <w:rFonts w:hint="eastAsia" w:cs="宋体"/>
                <w:bCs/>
                <w:kern w:val="2"/>
                <w:szCs w:val="24"/>
                <w:lang w:val="en-US" w:eastAsia="zh-CN"/>
              </w:rPr>
              <w:t>10000.00</w:t>
            </w:r>
            <w:r>
              <w:rPr>
                <w:rFonts w:hint="eastAsia" w:cs="宋体"/>
                <w:bCs/>
                <w:kern w:val="2"/>
                <w:szCs w:val="24"/>
              </w:rPr>
              <w:t xml:space="preserve">元                                    </w:t>
            </w:r>
          </w:p>
          <w:p>
            <w:pPr>
              <w:pStyle w:val="14"/>
              <w:spacing w:before="75" w:beforeAutospacing="0" w:after="75" w:afterAutospacing="0"/>
              <w:rPr>
                <w:rFonts w:cs="宋体"/>
                <w:bCs/>
                <w:kern w:val="2"/>
                <w:szCs w:val="24"/>
              </w:rPr>
            </w:pPr>
            <w:r>
              <w:rPr>
                <w:rFonts w:hint="eastAsia" w:cs="宋体"/>
                <w:bCs/>
                <w:kern w:val="2"/>
                <w:szCs w:val="24"/>
              </w:rPr>
              <w:t>金额（大写）：</w:t>
            </w:r>
            <w:r>
              <w:rPr>
                <w:rFonts w:hint="eastAsia" w:cs="宋体"/>
                <w:bCs/>
                <w:kern w:val="2"/>
                <w:szCs w:val="24"/>
                <w:lang w:val="en-US" w:eastAsia="zh-CN"/>
              </w:rPr>
              <w:t>壹</w:t>
            </w:r>
            <w:r>
              <w:rPr>
                <w:rFonts w:hint="eastAsia" w:cs="宋体"/>
                <w:bCs/>
                <w:kern w:val="2"/>
                <w:szCs w:val="24"/>
              </w:rPr>
              <w:t xml:space="preserve">万元整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74" w:hRule="atLeast"/>
        </w:trPr>
        <w:tc>
          <w:tcPr>
            <w:tcW w:w="1117" w:type="dxa"/>
            <w:vMerge w:val="continue"/>
            <w:vAlign w:val="center"/>
          </w:tcPr>
          <w:p>
            <w:pPr>
              <w:adjustRightInd w:val="0"/>
              <w:snapToGrid w:val="0"/>
              <w:spacing w:before="120" w:beforeLines="50"/>
              <w:jc w:val="center"/>
              <w:rPr>
                <w:rFonts w:ascii="宋体" w:hAnsi="宋体" w:cs="宋体"/>
                <w:bCs/>
                <w:sz w:val="24"/>
                <w:szCs w:val="24"/>
              </w:rPr>
            </w:pPr>
          </w:p>
        </w:tc>
        <w:tc>
          <w:tcPr>
            <w:tcW w:w="2717" w:type="dxa"/>
            <w:vMerge w:val="continue"/>
            <w:vAlign w:val="center"/>
          </w:tcPr>
          <w:p>
            <w:pPr>
              <w:pStyle w:val="14"/>
              <w:spacing w:before="75" w:beforeAutospacing="0" w:after="75" w:afterAutospacing="0"/>
              <w:rPr>
                <w:rFonts w:cs="宋体"/>
                <w:bCs/>
                <w:kern w:val="2"/>
                <w:szCs w:val="24"/>
              </w:rPr>
            </w:pP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投标保证金金额：</w:t>
            </w:r>
            <w:r>
              <w:rPr>
                <w:rFonts w:hint="eastAsia" w:cs="宋体"/>
                <w:bCs/>
                <w:kern w:val="2"/>
                <w:szCs w:val="24"/>
                <w:lang w:val="en-US" w:eastAsia="zh-CN"/>
              </w:rPr>
              <w:t>壹万元整</w:t>
            </w:r>
            <w:r>
              <w:rPr>
                <w:rFonts w:hint="eastAsia" w:cs="宋体"/>
                <w:bCs/>
                <w:kern w:val="2"/>
                <w:szCs w:val="24"/>
              </w:rPr>
              <w:t>（</w:t>
            </w:r>
            <w:r>
              <w:rPr>
                <w:rFonts w:hint="eastAsia" w:cs="宋体"/>
                <w:bCs/>
                <w:kern w:val="2"/>
                <w:szCs w:val="24"/>
                <w:lang w:val="en-US" w:eastAsia="zh-CN"/>
              </w:rPr>
              <w:t>10000</w:t>
            </w:r>
            <w:r>
              <w:rPr>
                <w:rFonts w:hint="eastAsia" w:cs="宋体"/>
                <w:bCs/>
                <w:kern w:val="2"/>
                <w:szCs w:val="24"/>
              </w:rPr>
              <w:t>元整）</w:t>
            </w:r>
          </w:p>
          <w:p>
            <w:pPr>
              <w:pStyle w:val="14"/>
              <w:spacing w:before="75" w:beforeAutospacing="0" w:after="75" w:afterAutospacing="0"/>
              <w:rPr>
                <w:rFonts w:cs="宋体"/>
                <w:bCs/>
                <w:kern w:val="2"/>
                <w:szCs w:val="24"/>
              </w:rPr>
            </w:pPr>
            <w:r>
              <w:rPr>
                <w:rFonts w:hint="eastAsia" w:cs="宋体"/>
                <w:bCs/>
                <w:kern w:val="2"/>
                <w:szCs w:val="24"/>
              </w:rPr>
              <w:t>帐户名称: 新疆中工建辉工程咨询有限公司</w:t>
            </w:r>
          </w:p>
          <w:p>
            <w:pPr>
              <w:pStyle w:val="14"/>
              <w:spacing w:before="75" w:beforeAutospacing="0" w:after="75" w:afterAutospacing="0"/>
              <w:rPr>
                <w:rFonts w:cs="宋体"/>
                <w:bCs/>
                <w:kern w:val="2"/>
                <w:szCs w:val="24"/>
              </w:rPr>
            </w:pPr>
            <w:r>
              <w:rPr>
                <w:rFonts w:hint="eastAsia" w:cs="宋体"/>
                <w:bCs/>
                <w:kern w:val="2"/>
                <w:szCs w:val="24"/>
              </w:rPr>
              <w:t>开户行：中国建设银行股份有限公司库尔勒新市区支行</w:t>
            </w:r>
          </w:p>
          <w:p>
            <w:pPr>
              <w:pStyle w:val="14"/>
              <w:spacing w:before="75" w:beforeAutospacing="0" w:after="75" w:afterAutospacing="0"/>
              <w:rPr>
                <w:rFonts w:cs="宋体"/>
                <w:bCs/>
                <w:kern w:val="2"/>
                <w:szCs w:val="24"/>
              </w:rPr>
            </w:pPr>
            <w:r>
              <w:rPr>
                <w:rFonts w:hint="eastAsia" w:cs="宋体"/>
                <w:bCs/>
                <w:kern w:val="2"/>
                <w:szCs w:val="24"/>
              </w:rPr>
              <w:t>账  号：6505  0170  8837  0000  0750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117" w:type="dxa"/>
            <w:vMerge w:val="continue"/>
            <w:vAlign w:val="center"/>
          </w:tcPr>
          <w:p>
            <w:pPr>
              <w:adjustRightInd w:val="0"/>
              <w:snapToGrid w:val="0"/>
              <w:spacing w:before="120" w:beforeLines="50"/>
              <w:jc w:val="center"/>
              <w:rPr>
                <w:rFonts w:ascii="宋体" w:hAnsi="宋体" w:cs="宋体"/>
                <w:bCs/>
                <w:sz w:val="24"/>
                <w:szCs w:val="24"/>
              </w:rPr>
            </w:pPr>
          </w:p>
        </w:tc>
        <w:tc>
          <w:tcPr>
            <w:tcW w:w="2717" w:type="dxa"/>
            <w:vMerge w:val="continue"/>
            <w:vAlign w:val="center"/>
          </w:tcPr>
          <w:p>
            <w:pPr>
              <w:pStyle w:val="14"/>
              <w:spacing w:before="75" w:beforeAutospacing="0" w:after="75" w:afterAutospacing="0"/>
              <w:rPr>
                <w:rFonts w:cs="宋体"/>
                <w:bCs/>
                <w:kern w:val="2"/>
                <w:szCs w:val="24"/>
              </w:rPr>
            </w:pPr>
          </w:p>
        </w:tc>
        <w:tc>
          <w:tcPr>
            <w:tcW w:w="5689" w:type="dxa"/>
            <w:vAlign w:val="center"/>
          </w:tcPr>
          <w:p>
            <w:pPr>
              <w:pStyle w:val="14"/>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color w:val="000000" w:themeColor="text1"/>
                <w:kern w:val="2"/>
                <w:szCs w:val="24"/>
                <w14:textFill>
                  <w14:solidFill>
                    <w14:schemeClr w14:val="tx1"/>
                  </w14:solidFill>
                </w14:textFill>
              </w:rPr>
              <w:t>到账截止时间：2022年</w:t>
            </w:r>
            <w:r>
              <w:rPr>
                <w:rFonts w:hint="eastAsia" w:cs="宋体"/>
                <w:bCs/>
                <w:color w:val="000000" w:themeColor="text1"/>
                <w:kern w:val="2"/>
                <w:szCs w:val="24"/>
                <w:lang w:val="en-US" w:eastAsia="zh-CN"/>
                <w14:textFill>
                  <w14:solidFill>
                    <w14:schemeClr w14:val="tx1"/>
                  </w14:solidFill>
                </w14:textFill>
              </w:rPr>
              <w:t>11</w:t>
            </w:r>
            <w:r>
              <w:rPr>
                <w:rFonts w:hint="eastAsia" w:cs="宋体"/>
                <w:bCs/>
                <w:color w:val="000000" w:themeColor="text1"/>
                <w:kern w:val="2"/>
                <w:szCs w:val="24"/>
                <w14:textFill>
                  <w14:solidFill>
                    <w14:schemeClr w14:val="tx1"/>
                  </w14:solidFill>
                </w14:textFill>
              </w:rPr>
              <w:t>月</w:t>
            </w:r>
            <w:r>
              <w:rPr>
                <w:rFonts w:hint="eastAsia" w:cs="宋体"/>
                <w:bCs/>
                <w:color w:val="000000" w:themeColor="text1"/>
                <w:kern w:val="2"/>
                <w:szCs w:val="24"/>
                <w:lang w:val="en-US" w:eastAsia="zh-CN"/>
                <w14:textFill>
                  <w14:solidFill>
                    <w14:schemeClr w14:val="tx1"/>
                  </w14:solidFill>
                </w14:textFill>
              </w:rPr>
              <w:t>14日</w:t>
            </w:r>
            <w:r>
              <w:rPr>
                <w:rFonts w:hint="eastAsia" w:cs="宋体"/>
                <w:bCs/>
                <w:color w:val="000000" w:themeColor="text1"/>
                <w:kern w:val="2"/>
                <w:szCs w:val="24"/>
                <w14:textFill>
                  <w14:solidFill>
                    <w14:schemeClr w14:val="tx1"/>
                  </w14:solidFill>
                </w14:textFill>
              </w:rPr>
              <w:t>1</w:t>
            </w:r>
            <w:r>
              <w:rPr>
                <w:rFonts w:hint="eastAsia" w:cs="宋体"/>
                <w:bCs/>
                <w:color w:val="000000" w:themeColor="text1"/>
                <w:kern w:val="2"/>
                <w:szCs w:val="24"/>
                <w:lang w:val="en-US" w:eastAsia="zh-CN"/>
                <w14:textFill>
                  <w14:solidFill>
                    <w14:schemeClr w14:val="tx1"/>
                  </w14:solidFill>
                </w14:textFill>
              </w:rPr>
              <w:t>0</w:t>
            </w:r>
            <w:r>
              <w:rPr>
                <w:rFonts w:hint="eastAsia" w:cs="宋体"/>
                <w:bCs/>
                <w:color w:val="000000" w:themeColor="text1"/>
                <w:kern w:val="2"/>
                <w:szCs w:val="24"/>
                <w14:textFill>
                  <w14:solidFill>
                    <w14:schemeClr w14:val="tx1"/>
                  </w14:solidFill>
                </w14:textFill>
              </w:rPr>
              <w:t>：</w:t>
            </w:r>
            <w:r>
              <w:rPr>
                <w:rFonts w:hint="eastAsia" w:cs="宋体"/>
                <w:bCs/>
                <w:color w:val="000000" w:themeColor="text1"/>
                <w:kern w:val="2"/>
                <w:szCs w:val="24"/>
                <w:lang w:val="en-US" w:eastAsia="zh-CN"/>
                <w14:textFill>
                  <w14:solidFill>
                    <w14:schemeClr w14:val="tx1"/>
                  </w14:solidFill>
                </w14:textFill>
              </w:rPr>
              <w:t>00</w:t>
            </w:r>
            <w:r>
              <w:rPr>
                <w:rFonts w:hint="eastAsia" w:cs="宋体"/>
                <w:bCs/>
                <w:color w:val="000000" w:themeColor="text1"/>
                <w:kern w:val="2"/>
                <w:szCs w:val="24"/>
                <w14:textFill>
                  <w14:solidFill>
                    <w14:schemeClr w14:val="tx1"/>
                  </w14:solidFill>
                </w14:textFill>
              </w:rPr>
              <w:t>北京时间）</w:t>
            </w:r>
          </w:p>
          <w:p>
            <w:pPr>
              <w:pStyle w:val="14"/>
              <w:spacing w:before="75" w:beforeAutospacing="0" w:after="75" w:afterAutospacing="0"/>
              <w:rPr>
                <w:rFonts w:cs="宋体"/>
                <w:bCs/>
                <w:kern w:val="2"/>
                <w:szCs w:val="24"/>
              </w:rPr>
            </w:pPr>
            <w:r>
              <w:rPr>
                <w:rFonts w:hint="eastAsia" w:cs="宋体"/>
                <w:bCs/>
                <w:color w:val="000000" w:themeColor="text1"/>
                <w:kern w:val="2"/>
                <w:szCs w:val="24"/>
                <w14:textFill>
                  <w14:solidFill>
                    <w14:schemeClr w14:val="tx1"/>
                  </w14:solidFill>
                </w14:textFill>
              </w:rPr>
              <w:t>注：（1）用转账或银行电汇提交保证金的，应当从其基本账户转入</w:t>
            </w:r>
            <w:r>
              <w:rPr>
                <w:rFonts w:hint="eastAsia" w:cs="宋体"/>
                <w:bCs/>
                <w:kern w:val="2"/>
                <w:szCs w:val="24"/>
              </w:rPr>
              <w:t>招标代理机构银行账户；未按招标要求缴纳投标保证金的，视为非实质性响应。（请各投标人在缴纳保证金时注明项目名称（若字数超标，可自行简写项目名称）或项目编号，如未注明，造成保证金无法查明的，责任由投标人承担）</w:t>
            </w:r>
          </w:p>
          <w:p>
            <w:pPr>
              <w:pStyle w:val="14"/>
              <w:spacing w:before="75" w:beforeAutospacing="0" w:after="75" w:afterAutospacing="0"/>
              <w:rPr>
                <w:rFonts w:cs="宋体"/>
                <w:bCs/>
                <w:kern w:val="2"/>
                <w:szCs w:val="24"/>
              </w:rPr>
            </w:pPr>
            <w:r>
              <w:rPr>
                <w:rFonts w:hint="eastAsia" w:cs="宋体"/>
                <w:bCs/>
                <w:kern w:val="2"/>
                <w:szCs w:val="24"/>
              </w:rPr>
              <w:t>（2）投标人以转账或银行电汇形式提交保证金的应充分考虑资金在途时间，保证金应于投标保证金递交截止时间前到账。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20" w:beforeLines="50"/>
              <w:jc w:val="center"/>
              <w:rPr>
                <w:rFonts w:hint="eastAsia" w:ascii="宋体" w:hAnsi="宋体" w:eastAsia="宋体" w:cs="宋体"/>
                <w:bCs/>
                <w:sz w:val="24"/>
                <w:szCs w:val="24"/>
                <w:lang w:eastAsia="zh-CN"/>
              </w:rPr>
            </w:pPr>
            <w:r>
              <w:rPr>
                <w:rFonts w:hint="eastAsia" w:ascii="宋体" w:hAnsi="宋体" w:cs="宋体"/>
                <w:bCs/>
                <w:sz w:val="24"/>
                <w:szCs w:val="24"/>
                <w:lang w:eastAsia="zh-CN"/>
              </w:rPr>
              <w:t>16</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评审办法</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综合评分法，即指投标文件满足招标文件全部实质性要求且按照评审因素的量化指标评审得分最高的投标人为中标候选人的评标方法。每一投标人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15</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磋商有效期</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90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16</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标前准备</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1、本项目实行网上投标，采用电子投标文件。若供应商参与投标，自行承担投标一切费用。</w:t>
            </w:r>
          </w:p>
          <w:p>
            <w:pPr>
              <w:pStyle w:val="14"/>
              <w:spacing w:before="75" w:beforeAutospacing="0" w:after="75" w:afterAutospacing="0"/>
              <w:rPr>
                <w:rFonts w:cs="宋体"/>
                <w:bCs/>
                <w:kern w:val="2"/>
                <w:szCs w:val="24"/>
              </w:rPr>
            </w:pPr>
            <w:r>
              <w:rPr>
                <w:rFonts w:hint="eastAsia" w:cs="宋体"/>
                <w:bCs/>
                <w:kern w:val="2"/>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4"/>
              <w:spacing w:before="75" w:beforeAutospacing="0" w:after="75" w:afterAutospacing="0"/>
              <w:rPr>
                <w:rFonts w:cs="宋体"/>
                <w:bCs/>
                <w:kern w:val="2"/>
                <w:szCs w:val="24"/>
              </w:rPr>
            </w:pPr>
            <w:r>
              <w:rPr>
                <w:rFonts w:hint="eastAsia" w:cs="宋体"/>
                <w:bCs/>
                <w:kern w:val="2"/>
                <w:szCs w:val="24"/>
              </w:rPr>
              <w:t>3、供应商将政采云电子交易客户端下载、安装完成后，可通过账号密码或CA登录客户端进行投标文件制作。在使用政采云投标客户端时，建议使用WIN7及以上操作系统。客户端请至新疆政府采购网（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cs="宋体"/>
                <w:bCs/>
                <w:kern w:val="2"/>
                <w:szCs w:val="24"/>
              </w:rPr>
              <w:t>http://www.ccgp-xinjiang.gov.cn/</w:t>
            </w:r>
            <w:r>
              <w:rPr>
                <w:rFonts w:hint="eastAsia" w:cs="宋体"/>
                <w:bCs/>
                <w:kern w:val="2"/>
                <w:szCs w:val="24"/>
              </w:rPr>
              <w:fldChar w:fldCharType="end"/>
            </w:r>
            <w:r>
              <w:rPr>
                <w:rFonts w:hint="eastAsia" w:cs="宋体"/>
                <w:bCs/>
                <w:kern w:val="2"/>
                <w:szCs w:val="24"/>
              </w:rPr>
              <w:t>）下载专区查看，如有问题可拨打政采云客户服务热线400-881-7190进行咨询。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17</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踏勘现场</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18</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代理服务费</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本项目招标代理服务费依据《招标代理服务收费管理暂行办法》（计价格[2002]1980号）文件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117" w:type="dxa"/>
            <w:vAlign w:val="center"/>
          </w:tcPr>
          <w:p>
            <w:pPr>
              <w:tabs>
                <w:tab w:val="left" w:pos="265"/>
              </w:tabs>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19</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履约保证金</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签订合同时约定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20</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质量标准</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 xml:space="preserve">符合国家或行业相关标准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7" w:type="dxa"/>
            <w:vAlign w:val="center"/>
          </w:tcPr>
          <w:p>
            <w:pPr>
              <w:adjustRightInd w:val="0"/>
              <w:snapToGrid w:val="0"/>
              <w:spacing w:before="120" w:beforeLines="50"/>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21</w:t>
            </w:r>
          </w:p>
        </w:tc>
        <w:tc>
          <w:tcPr>
            <w:tcW w:w="2717" w:type="dxa"/>
            <w:vAlign w:val="center"/>
          </w:tcPr>
          <w:p>
            <w:pPr>
              <w:pStyle w:val="14"/>
              <w:spacing w:before="75" w:beforeAutospacing="0" w:after="75" w:afterAutospacing="0"/>
              <w:rPr>
                <w:rFonts w:hint="eastAsia" w:cs="宋体"/>
                <w:bCs/>
                <w:color w:val="auto"/>
                <w:kern w:val="2"/>
                <w:szCs w:val="24"/>
              </w:rPr>
            </w:pPr>
            <w:r>
              <w:rPr>
                <w:rFonts w:hint="eastAsia" w:cs="宋体"/>
                <w:bCs/>
                <w:color w:val="auto"/>
                <w:kern w:val="2"/>
                <w:szCs w:val="24"/>
              </w:rPr>
              <w:t>合同履约期限</w:t>
            </w:r>
          </w:p>
        </w:tc>
        <w:tc>
          <w:tcPr>
            <w:tcW w:w="5689" w:type="dxa"/>
            <w:vAlign w:val="center"/>
          </w:tcPr>
          <w:p>
            <w:pPr>
              <w:pStyle w:val="14"/>
              <w:spacing w:before="75" w:beforeAutospacing="0" w:after="75" w:afterAutospacing="0"/>
              <w:rPr>
                <w:rFonts w:hint="default" w:eastAsia="宋体" w:cs="宋体"/>
                <w:bCs/>
                <w:color w:val="auto"/>
                <w:kern w:val="2"/>
                <w:szCs w:val="24"/>
                <w:lang w:val="en-US" w:eastAsia="zh-CN"/>
              </w:rPr>
            </w:pPr>
            <w:r>
              <w:rPr>
                <w:rFonts w:hint="eastAsia" w:cs="宋体"/>
                <w:bCs/>
                <w:color w:val="auto"/>
                <w:kern w:val="2"/>
                <w:szCs w:val="24"/>
                <w:lang w:val="en-US" w:eastAsia="zh-CN"/>
              </w:rPr>
              <w:t>2023年6月30日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17" w:type="dxa"/>
            <w:vAlign w:val="center"/>
          </w:tcPr>
          <w:p>
            <w:pPr>
              <w:adjustRightInd w:val="0"/>
              <w:snapToGrid w:val="0"/>
              <w:spacing w:before="120" w:beforeLines="50"/>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22</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磋商轮数和最后报价的其他要求</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磋商轮数:二次；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1117" w:type="dxa"/>
            <w:vAlign w:val="center"/>
          </w:tcPr>
          <w:p>
            <w:pPr>
              <w:adjustRightInd w:val="0"/>
              <w:snapToGrid w:val="0"/>
              <w:spacing w:before="120" w:beforeLines="50"/>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23</w:t>
            </w:r>
          </w:p>
        </w:tc>
        <w:tc>
          <w:tcPr>
            <w:tcW w:w="2717" w:type="dxa"/>
            <w:vAlign w:val="center"/>
          </w:tcPr>
          <w:p>
            <w:pPr>
              <w:pStyle w:val="14"/>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color w:val="000000" w:themeColor="text1"/>
                <w:kern w:val="2"/>
                <w:szCs w:val="24"/>
                <w14:textFill>
                  <w14:solidFill>
                    <w14:schemeClr w14:val="tx1"/>
                  </w14:solidFill>
                </w14:textFill>
              </w:rPr>
              <w:t>招标文件解密时间</w:t>
            </w:r>
          </w:p>
          <w:p>
            <w:pPr>
              <w:pStyle w:val="14"/>
              <w:spacing w:before="75" w:beforeAutospacing="0" w:after="75" w:afterAutospacing="0"/>
              <w:rPr>
                <w:rFonts w:cs="宋体"/>
                <w:bCs/>
                <w:color w:val="000000" w:themeColor="text1"/>
                <w:kern w:val="2"/>
                <w:szCs w:val="24"/>
                <w14:textFill>
                  <w14:solidFill>
                    <w14:schemeClr w14:val="tx1"/>
                  </w14:solidFill>
                </w14:textFill>
              </w:rPr>
            </w:pPr>
          </w:p>
        </w:tc>
        <w:tc>
          <w:tcPr>
            <w:tcW w:w="5689" w:type="dxa"/>
            <w:vAlign w:val="center"/>
          </w:tcPr>
          <w:p>
            <w:pPr>
              <w:pStyle w:val="14"/>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color w:val="000000" w:themeColor="text1"/>
                <w:kern w:val="2"/>
                <w:szCs w:val="24"/>
                <w14:textFill>
                  <w14:solidFill>
                    <w14:schemeClr w14:val="tx1"/>
                  </w14:solidFill>
                </w14:textFill>
              </w:rPr>
              <w:t>开标时间后30分钟内（2022年</w:t>
            </w:r>
            <w:r>
              <w:rPr>
                <w:rFonts w:hint="eastAsia" w:cs="宋体"/>
                <w:bCs/>
                <w:color w:val="000000" w:themeColor="text1"/>
                <w:kern w:val="2"/>
                <w:szCs w:val="24"/>
                <w:lang w:val="en-US" w:eastAsia="zh-CN"/>
                <w14:textFill>
                  <w14:solidFill>
                    <w14:schemeClr w14:val="tx1"/>
                  </w14:solidFill>
                </w14:textFill>
              </w:rPr>
              <w:t>11</w:t>
            </w:r>
            <w:r>
              <w:rPr>
                <w:rFonts w:hint="eastAsia" w:cs="宋体"/>
                <w:bCs/>
                <w:color w:val="000000" w:themeColor="text1"/>
                <w:kern w:val="2"/>
                <w:szCs w:val="24"/>
                <w14:textFill>
                  <w14:solidFill>
                    <w14:schemeClr w14:val="tx1"/>
                  </w14:solidFill>
                </w14:textFill>
              </w:rPr>
              <w:t>月</w:t>
            </w:r>
            <w:r>
              <w:rPr>
                <w:rFonts w:hint="eastAsia" w:cs="宋体"/>
                <w:bCs/>
                <w:color w:val="000000" w:themeColor="text1"/>
                <w:kern w:val="2"/>
                <w:szCs w:val="24"/>
                <w:lang w:val="en-US" w:eastAsia="zh-CN"/>
                <w14:textFill>
                  <w14:solidFill>
                    <w14:schemeClr w14:val="tx1"/>
                  </w14:solidFill>
                </w14:textFill>
              </w:rPr>
              <w:t xml:space="preserve"> 14</w:t>
            </w:r>
            <w:r>
              <w:rPr>
                <w:rFonts w:hint="eastAsia" w:cs="宋体"/>
                <w:bCs/>
                <w:color w:val="000000" w:themeColor="text1"/>
                <w:kern w:val="2"/>
                <w:szCs w:val="24"/>
                <w14:textFill>
                  <w14:solidFill>
                    <w14:schemeClr w14:val="tx1"/>
                  </w14:solidFill>
                </w14:textFill>
              </w:rPr>
              <w:t>日上午10:30-11：00前）供应商可以登录“政采云”平台，用“项目采购-开标评标”功能进行解密投标文件。若供应商在规定时间内（2022年</w:t>
            </w:r>
            <w:r>
              <w:rPr>
                <w:rFonts w:hint="eastAsia" w:cs="宋体"/>
                <w:bCs/>
                <w:color w:val="000000" w:themeColor="text1"/>
                <w:kern w:val="2"/>
                <w:szCs w:val="24"/>
                <w:lang w:val="en-US" w:eastAsia="zh-CN"/>
                <w14:textFill>
                  <w14:solidFill>
                    <w14:schemeClr w14:val="tx1"/>
                  </w14:solidFill>
                </w14:textFill>
              </w:rPr>
              <w:t>11</w:t>
            </w:r>
            <w:r>
              <w:rPr>
                <w:rFonts w:hint="eastAsia" w:cs="宋体"/>
                <w:bCs/>
                <w:color w:val="000000" w:themeColor="text1"/>
                <w:kern w:val="2"/>
                <w:szCs w:val="24"/>
                <w14:textFill>
                  <w14:solidFill>
                    <w14:schemeClr w14:val="tx1"/>
                  </w14:solidFill>
                </w14:textFill>
              </w:rPr>
              <w:t>月</w:t>
            </w:r>
            <w:r>
              <w:rPr>
                <w:rFonts w:hint="eastAsia" w:cs="宋体"/>
                <w:bCs/>
                <w:color w:val="000000" w:themeColor="text1"/>
                <w:kern w:val="2"/>
                <w:szCs w:val="24"/>
                <w:lang w:val="en-US" w:eastAsia="zh-CN"/>
                <w14:textFill>
                  <w14:solidFill>
                    <w14:schemeClr w14:val="tx1"/>
                  </w14:solidFill>
                </w14:textFill>
              </w:rPr>
              <w:t xml:space="preserve"> 14</w:t>
            </w:r>
            <w:r>
              <w:rPr>
                <w:rFonts w:hint="eastAsia" w:cs="宋体"/>
                <w:bCs/>
                <w:color w:val="000000" w:themeColor="text1"/>
                <w:kern w:val="2"/>
                <w:szCs w:val="24"/>
                <w14:textFill>
                  <w14:solidFill>
                    <w14:schemeClr w14:val="tx1"/>
                  </w14:solidFill>
                </w14:textFill>
              </w:rPr>
              <w:t>日上午10:30前）</w:t>
            </w:r>
          </w:p>
          <w:p>
            <w:pPr>
              <w:pStyle w:val="14"/>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color w:val="000000" w:themeColor="text1"/>
                <w:kern w:val="2"/>
                <w:szCs w:val="24"/>
                <w14:textFill>
                  <w14:solidFill>
                    <w14:schemeClr w14:val="tx1"/>
                  </w14:solidFill>
                </w14:textFill>
              </w:rPr>
              <w:t>未按时解密的，视为投标文件撤回。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overflowPunct w:val="0"/>
              <w:spacing w:line="440" w:lineRule="exact"/>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24</w:t>
            </w:r>
          </w:p>
        </w:tc>
        <w:tc>
          <w:tcPr>
            <w:tcW w:w="2717" w:type="dxa"/>
            <w:vAlign w:val="center"/>
          </w:tcPr>
          <w:p>
            <w:pPr>
              <w:overflowPunct w:val="0"/>
              <w:spacing w:line="440" w:lineRule="exact"/>
              <w:rPr>
                <w:rFonts w:ascii="宋体" w:hAnsi="宋体" w:cs="宋体"/>
                <w:bCs/>
                <w:sz w:val="24"/>
                <w:szCs w:val="24"/>
              </w:rPr>
            </w:pPr>
            <w:r>
              <w:rPr>
                <w:rFonts w:hint="eastAsia" w:ascii="宋体" w:hAnsi="宋体" w:cs="宋体"/>
                <w:bCs/>
                <w:sz w:val="24"/>
                <w:szCs w:val="24"/>
              </w:rPr>
              <w:t>投标人开标现场要求</w:t>
            </w:r>
          </w:p>
        </w:tc>
        <w:tc>
          <w:tcPr>
            <w:tcW w:w="5689" w:type="dxa"/>
            <w:vAlign w:val="center"/>
          </w:tcPr>
          <w:p>
            <w:pPr>
              <w:spacing w:line="440" w:lineRule="exact"/>
              <w:jc w:val="left"/>
              <w:rPr>
                <w:rFonts w:ascii="宋体" w:hAnsi="宋体" w:cs="宋体"/>
                <w:bCs/>
                <w:sz w:val="24"/>
                <w:szCs w:val="24"/>
              </w:rPr>
            </w:pPr>
            <w:r>
              <w:rPr>
                <w:rFonts w:hint="eastAsia" w:ascii="宋体" w:hAnsi="宋体" w:cs="宋体"/>
                <w:bCs/>
                <w:sz w:val="24"/>
                <w:szCs w:val="24"/>
              </w:rPr>
              <w:t>由于特殊情况，投标单位不用现场投标，按规定时间上传电子投标书即可。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69" w:hRule="atLeast"/>
        </w:trPr>
        <w:tc>
          <w:tcPr>
            <w:tcW w:w="1117" w:type="dxa"/>
            <w:vAlign w:val="center"/>
          </w:tcPr>
          <w:p>
            <w:pPr>
              <w:jc w:val="center"/>
              <w:rPr>
                <w:rFonts w:ascii="宋体" w:hAnsi="宋体" w:cs="宋体"/>
                <w:bCs/>
                <w:sz w:val="24"/>
                <w:szCs w:val="24"/>
              </w:rPr>
            </w:pPr>
            <w:r>
              <w:rPr>
                <w:rFonts w:hint="eastAsia" w:ascii="宋体" w:hAnsi="宋体" w:cs="宋体"/>
                <w:bCs/>
                <w:sz w:val="24"/>
                <w:szCs w:val="24"/>
              </w:rPr>
              <w:t>政府采购政策支持</w:t>
            </w:r>
          </w:p>
        </w:tc>
        <w:tc>
          <w:tcPr>
            <w:tcW w:w="8406" w:type="dxa"/>
            <w:gridSpan w:val="2"/>
          </w:tcPr>
          <w:p>
            <w:pPr>
              <w:spacing w:line="276" w:lineRule="auto"/>
              <w:rPr>
                <w:rFonts w:ascii="宋体" w:hAnsi="宋体" w:cs="宋体"/>
                <w:bCs/>
                <w:sz w:val="24"/>
                <w:szCs w:val="24"/>
              </w:rPr>
            </w:pPr>
            <w:r>
              <w:rPr>
                <w:rFonts w:hint="eastAsia" w:ascii="宋体" w:hAnsi="宋体" w:cs="宋体"/>
                <w:bCs/>
                <w:sz w:val="24"/>
                <w:szCs w:val="24"/>
              </w:rPr>
              <w:t>1、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spacing w:line="276" w:lineRule="auto"/>
              <w:rPr>
                <w:rFonts w:ascii="宋体" w:hAnsi="宋体" w:cs="宋体"/>
                <w:bCs/>
                <w:sz w:val="24"/>
                <w:szCs w:val="24"/>
              </w:rPr>
            </w:pPr>
            <w:r>
              <w:rPr>
                <w:rFonts w:hint="eastAsia" w:ascii="宋体" w:hAnsi="宋体" w:cs="宋体"/>
                <w:bCs/>
                <w:sz w:val="24"/>
                <w:szCs w:val="24"/>
              </w:rPr>
              <w:t>2、政府采购强制采购：标记★符号的节能产品：</w:t>
            </w:r>
          </w:p>
          <w:p>
            <w:pPr>
              <w:spacing w:line="276" w:lineRule="auto"/>
              <w:rPr>
                <w:rFonts w:ascii="宋体" w:hAnsi="宋体" w:cs="宋体"/>
                <w:bCs/>
                <w:sz w:val="24"/>
                <w:szCs w:val="24"/>
              </w:rPr>
            </w:pPr>
            <w:r>
              <w:rPr>
                <w:rFonts w:hint="eastAsia" w:ascii="宋体" w:hAnsi="宋体" w:cs="宋体"/>
                <w:bCs/>
                <w:sz w:val="24"/>
                <w:szCs w:val="24"/>
              </w:rPr>
              <w:t>符合《节能产品政府采购清单》(最新一期)目录内的强制采购节能产品。</w:t>
            </w:r>
          </w:p>
          <w:p>
            <w:pPr>
              <w:spacing w:line="276" w:lineRule="auto"/>
              <w:rPr>
                <w:rFonts w:ascii="宋体" w:hAnsi="宋体" w:cs="宋体"/>
                <w:bCs/>
                <w:sz w:val="24"/>
                <w:szCs w:val="24"/>
              </w:rPr>
            </w:pPr>
            <w:r>
              <w:rPr>
                <w:rFonts w:hint="eastAsia" w:ascii="宋体" w:hAnsi="宋体" w:cs="宋体"/>
                <w:bCs/>
                <w:sz w:val="24"/>
                <w:szCs w:val="24"/>
              </w:rPr>
              <w:t>3、政府采购优先采购：(1)非标记★符号的节能产品；(2)环境标志产品；</w:t>
            </w:r>
          </w:p>
          <w:p>
            <w:pPr>
              <w:spacing w:line="276" w:lineRule="auto"/>
              <w:rPr>
                <w:rFonts w:ascii="宋体" w:hAnsi="宋体" w:cs="宋体"/>
                <w:bCs/>
                <w:sz w:val="24"/>
                <w:szCs w:val="24"/>
              </w:rPr>
            </w:pPr>
            <w:r>
              <w:rPr>
                <w:rFonts w:hint="eastAsia" w:ascii="宋体" w:hAnsi="宋体" w:cs="宋体"/>
                <w:bCs/>
                <w:sz w:val="24"/>
                <w:szCs w:val="24"/>
              </w:rPr>
              <w:t>采购产品为《节能产品政府采购清单》(最新一期) 内非标记★符号的节能产品及《环境标志产品政府采购清单》(最新一期)内的产品：</w:t>
            </w:r>
          </w:p>
          <w:p>
            <w:pPr>
              <w:spacing w:line="440" w:lineRule="exact"/>
              <w:rPr>
                <w:rFonts w:ascii="宋体" w:hAnsi="宋体" w:cs="宋体"/>
                <w:bCs/>
                <w:sz w:val="24"/>
                <w:szCs w:val="24"/>
              </w:rPr>
            </w:pPr>
            <w:r>
              <w:rPr>
                <w:rFonts w:hint="eastAsia" w:ascii="宋体" w:hAnsi="宋体" w:cs="宋体"/>
                <w:bCs/>
                <w:sz w:val="24"/>
                <w:szCs w:val="24"/>
              </w:rPr>
              <w:t>1、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49" w:hRule="atLeast"/>
        </w:trPr>
        <w:tc>
          <w:tcPr>
            <w:tcW w:w="1117" w:type="dxa"/>
            <w:vAlign w:val="center"/>
          </w:tcPr>
          <w:p>
            <w:pPr>
              <w:pStyle w:val="115"/>
              <w:spacing w:line="440" w:lineRule="exact"/>
              <w:jc w:val="center"/>
              <w:rPr>
                <w:bCs/>
                <w:kern w:val="2"/>
              </w:rPr>
            </w:pPr>
            <w:r>
              <w:rPr>
                <w:rFonts w:hint="eastAsia"/>
                <w:bCs/>
                <w:kern w:val="2"/>
              </w:rPr>
              <w:t>质疑须知</w:t>
            </w:r>
          </w:p>
        </w:tc>
        <w:tc>
          <w:tcPr>
            <w:tcW w:w="8406" w:type="dxa"/>
            <w:gridSpan w:val="2"/>
            <w:vAlign w:val="center"/>
          </w:tcPr>
          <w:p>
            <w:pPr>
              <w:pStyle w:val="115"/>
              <w:spacing w:line="440" w:lineRule="exact"/>
              <w:ind w:left="494" w:hanging="494" w:hangingChars="206"/>
              <w:rPr>
                <w:bCs/>
                <w:kern w:val="2"/>
              </w:rPr>
            </w:pPr>
            <w:r>
              <w:rPr>
                <w:rFonts w:hint="eastAsia"/>
                <w:bCs/>
                <w:kern w:val="2"/>
              </w:rPr>
              <w:t>接收质疑函的方式：现场递交纸质版及Word格式电子版质疑文件至接收单位</w:t>
            </w:r>
          </w:p>
          <w:p>
            <w:pPr>
              <w:pStyle w:val="115"/>
              <w:spacing w:line="440" w:lineRule="exact"/>
              <w:jc w:val="both"/>
              <w:rPr>
                <w:bCs/>
                <w:kern w:val="2"/>
              </w:rPr>
            </w:pPr>
            <w:r>
              <w:rPr>
                <w:rFonts w:hint="eastAsia"/>
                <w:bCs/>
                <w:kern w:val="2"/>
              </w:rPr>
              <w:t>接受质疑的单位：新疆中工建辉工程咨询有限公司</w:t>
            </w:r>
          </w:p>
          <w:p>
            <w:pPr>
              <w:pStyle w:val="115"/>
              <w:spacing w:line="440" w:lineRule="exact"/>
              <w:jc w:val="both"/>
              <w:rPr>
                <w:bCs/>
                <w:kern w:val="2"/>
              </w:rPr>
            </w:pPr>
            <w:r>
              <w:rPr>
                <w:rFonts w:hint="eastAsia"/>
                <w:bCs/>
                <w:kern w:val="2"/>
              </w:rPr>
              <w:t>地址：新疆中工建辉工程咨询有限公司开标厅（库尔勒市欢乐海岸3号楼16层）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41" w:hRule="atLeast"/>
        </w:trPr>
        <w:tc>
          <w:tcPr>
            <w:tcW w:w="1117" w:type="dxa"/>
            <w:vAlign w:val="center"/>
          </w:tcPr>
          <w:p>
            <w:pPr>
              <w:overflowPunct w:val="0"/>
              <w:spacing w:line="440" w:lineRule="exact"/>
              <w:jc w:val="center"/>
              <w:rPr>
                <w:rFonts w:ascii="宋体" w:hAnsi="宋体" w:cs="宋体"/>
                <w:bCs/>
                <w:sz w:val="24"/>
                <w:szCs w:val="24"/>
              </w:rPr>
            </w:pPr>
            <w:r>
              <w:rPr>
                <w:rFonts w:hint="eastAsia" w:ascii="宋体" w:hAnsi="宋体" w:cs="宋体"/>
                <w:bCs/>
                <w:sz w:val="24"/>
                <w:szCs w:val="24"/>
              </w:rPr>
              <w:t>备注</w:t>
            </w:r>
          </w:p>
        </w:tc>
        <w:tc>
          <w:tcPr>
            <w:tcW w:w="8406" w:type="dxa"/>
            <w:gridSpan w:val="2"/>
            <w:vAlign w:val="center"/>
          </w:tcPr>
          <w:p>
            <w:pPr>
              <w:spacing w:line="440" w:lineRule="exact"/>
              <w:rPr>
                <w:rFonts w:ascii="宋体" w:hAnsi="宋体" w:cs="宋体"/>
                <w:bCs/>
                <w:sz w:val="24"/>
                <w:szCs w:val="24"/>
              </w:rPr>
            </w:pPr>
            <w:r>
              <w:rPr>
                <w:rFonts w:hint="eastAsia" w:ascii="宋体" w:hAnsi="宋体" w:cs="宋体"/>
                <w:bCs/>
                <w:sz w:val="24"/>
                <w:szCs w:val="24"/>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rPr>
                <w:rFonts w:ascii="宋体" w:hAnsi="宋体" w:cs="宋体"/>
                <w:bCs/>
                <w:sz w:val="24"/>
                <w:szCs w:val="24"/>
              </w:rPr>
            </w:pPr>
            <w:r>
              <w:rPr>
                <w:rFonts w:hint="eastAsia" w:ascii="宋体" w:hAnsi="宋体" w:cs="宋体"/>
                <w:bCs/>
                <w:sz w:val="24"/>
                <w:szCs w:val="24"/>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bl>
    <w:p>
      <w:pPr>
        <w:spacing w:line="440" w:lineRule="exact"/>
        <w:ind w:firstLine="470" w:firstLineChars="196"/>
        <w:rPr>
          <w:rFonts w:hint="eastAsia" w:ascii="宋体" w:hAnsi="宋体" w:cs="宋体"/>
          <w:bCs/>
          <w:sz w:val="24"/>
          <w:szCs w:val="24"/>
        </w:rPr>
      </w:pPr>
      <w:r>
        <w:rPr>
          <w:rFonts w:hint="eastAsia" w:ascii="宋体" w:hAnsi="宋体" w:cs="宋体"/>
          <w:bCs/>
          <w:sz w:val="24"/>
          <w:szCs w:val="24"/>
        </w:rPr>
        <w:t>注：1、本表内容与招标文件其它内容不一致的，应当以本表内容为准。</w:t>
      </w:r>
    </w:p>
    <w:p>
      <w:pPr>
        <w:spacing w:line="440" w:lineRule="exact"/>
        <w:ind w:firstLine="470" w:firstLineChars="196"/>
        <w:rPr>
          <w:rFonts w:hint="eastAsia" w:ascii="宋体" w:hAnsi="宋体" w:cs="宋体"/>
          <w:bCs/>
          <w:sz w:val="24"/>
          <w:szCs w:val="24"/>
        </w:rPr>
        <w:sectPr>
          <w:footerReference r:id="rId3" w:type="default"/>
          <w:pgSz w:w="11906" w:h="16838"/>
          <w:pgMar w:top="1440" w:right="1797" w:bottom="1440" w:left="1797" w:header="851" w:footer="992" w:gutter="0"/>
          <w:cols w:space="720" w:num="1"/>
          <w:docGrid w:linePitch="312" w:charSpace="0"/>
        </w:sectPr>
      </w:pPr>
      <w:r>
        <w:rPr>
          <w:rFonts w:hint="eastAsia" w:ascii="宋体" w:hAnsi="宋体" w:cs="宋体"/>
          <w:bCs/>
          <w:sz w:val="24"/>
          <w:szCs w:val="24"/>
        </w:rPr>
        <w:t>2、本表中“</w:t>
      </w:r>
      <w:r>
        <w:rPr>
          <w:rFonts w:hint="eastAsia" w:ascii="宋体" w:hAnsi="宋体" w:cs="宋体"/>
          <w:bCs/>
          <w:sz w:val="24"/>
          <w:szCs w:val="24"/>
        </w:rPr>
        <w:fldChar w:fldCharType="begin"/>
      </w:r>
      <w:r>
        <w:rPr>
          <w:rFonts w:hint="eastAsia" w:ascii="宋体" w:hAnsi="宋体" w:cs="宋体"/>
          <w:bCs/>
          <w:sz w:val="24"/>
          <w:szCs w:val="24"/>
        </w:rPr>
        <w:instrText xml:space="preserve"> eq \o\ac(□,√)</w:instrText>
      </w:r>
      <w:r>
        <w:rPr>
          <w:rFonts w:hint="eastAsia" w:ascii="宋体" w:hAnsi="宋体" w:cs="宋体"/>
          <w:bCs/>
          <w:sz w:val="24"/>
          <w:szCs w:val="24"/>
        </w:rPr>
        <w:fldChar w:fldCharType="end"/>
      </w:r>
      <w:r>
        <w:rPr>
          <w:rFonts w:hint="eastAsia" w:ascii="宋体" w:hAnsi="宋体" w:cs="宋体"/>
          <w:bCs/>
          <w:sz w:val="24"/>
          <w:szCs w:val="24"/>
        </w:rPr>
        <w:t>”标示选择</w:t>
      </w:r>
    </w:p>
    <w:bookmarkEnd w:id="0"/>
    <w:p>
      <w:pPr>
        <w:pStyle w:val="4"/>
      </w:pPr>
      <w:bookmarkStart w:id="12" w:name="_Toc455227390"/>
      <w:bookmarkEnd w:id="12"/>
      <w:bookmarkStart w:id="13" w:name="_Toc16938518"/>
      <w:bookmarkEnd w:id="13"/>
      <w:bookmarkStart w:id="14" w:name="_Toc120614213"/>
      <w:bookmarkEnd w:id="14"/>
      <w:bookmarkStart w:id="15" w:name="_Toc20823274"/>
      <w:bookmarkEnd w:id="15"/>
      <w:bookmarkStart w:id="16" w:name="_Toc513029202"/>
      <w:bookmarkEnd w:id="16"/>
      <w:bookmarkStart w:id="17" w:name="_Toc26751"/>
      <w:bookmarkStart w:id="18" w:name="_Toc11413"/>
      <w:r>
        <w:rPr>
          <w:rFonts w:hint="eastAsia"/>
          <w:bCs/>
        </w:rPr>
        <w:t>一、说明</w:t>
      </w:r>
      <w:bookmarkEnd w:id="17"/>
      <w:bookmarkEnd w:id="18"/>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1.1适用范围</w:t>
      </w:r>
    </w:p>
    <w:p>
      <w:pPr>
        <w:pStyle w:val="2"/>
        <w:spacing w:line="360" w:lineRule="auto"/>
        <w:ind w:firstLine="480"/>
        <w:rPr>
          <w:rFonts w:ascii="宋体" w:hAnsi="宋体" w:cs="宋体"/>
          <w:bCs/>
          <w:sz w:val="24"/>
          <w:szCs w:val="24"/>
        </w:rPr>
      </w:pPr>
      <w:r>
        <w:rPr>
          <w:rFonts w:hint="eastAsia" w:ascii="宋体" w:hAnsi="宋体" w:cs="宋体"/>
          <w:bCs/>
          <w:sz w:val="24"/>
          <w:szCs w:val="24"/>
        </w:rPr>
        <w:t>1.1 .1本磋商文件仅适用于本磋商公告中所述项目的货物及相关服务的采购。</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1.2定义</w:t>
      </w:r>
    </w:p>
    <w:p>
      <w:pPr>
        <w:pStyle w:val="2"/>
        <w:spacing w:line="360" w:lineRule="auto"/>
        <w:ind w:firstLine="480"/>
        <w:rPr>
          <w:rFonts w:ascii="宋体" w:hAnsi="宋体" w:cs="宋体"/>
          <w:bCs/>
          <w:sz w:val="24"/>
          <w:szCs w:val="24"/>
        </w:rPr>
      </w:pPr>
      <w:r>
        <w:rPr>
          <w:rFonts w:hint="eastAsia" w:ascii="宋体" w:hAnsi="宋体" w:cs="宋体"/>
          <w:bCs/>
          <w:sz w:val="24"/>
          <w:szCs w:val="24"/>
        </w:rPr>
        <w:t>1.2.1“采购人”是指：详见投标单位须知前附表.</w:t>
      </w:r>
    </w:p>
    <w:p>
      <w:pPr>
        <w:pStyle w:val="2"/>
        <w:spacing w:line="360" w:lineRule="auto"/>
        <w:ind w:firstLine="480"/>
        <w:rPr>
          <w:rFonts w:ascii="宋体" w:hAnsi="宋体" w:cs="宋体"/>
          <w:bCs/>
          <w:sz w:val="24"/>
          <w:szCs w:val="24"/>
        </w:rPr>
      </w:pPr>
      <w:r>
        <w:rPr>
          <w:rFonts w:hint="eastAsia" w:ascii="宋体" w:hAnsi="宋体" w:cs="宋体"/>
          <w:bCs/>
          <w:sz w:val="24"/>
          <w:szCs w:val="24"/>
        </w:rPr>
        <w:t>1.2.2“采购代理机构”是指：详见投标单位须知前附表.</w:t>
      </w:r>
    </w:p>
    <w:p>
      <w:pPr>
        <w:pStyle w:val="2"/>
        <w:spacing w:line="360" w:lineRule="auto"/>
        <w:ind w:firstLine="480"/>
        <w:rPr>
          <w:rFonts w:ascii="宋体" w:hAnsi="宋体" w:cs="宋体"/>
          <w:bCs/>
          <w:sz w:val="24"/>
          <w:szCs w:val="24"/>
        </w:rPr>
      </w:pPr>
      <w:r>
        <w:rPr>
          <w:rFonts w:hint="eastAsia" w:ascii="宋体" w:hAnsi="宋体" w:cs="宋体"/>
          <w:bCs/>
          <w:sz w:val="24"/>
          <w:szCs w:val="24"/>
        </w:rPr>
        <w:t>1.2.3“监管部门”是指：详见投标单位须知前附表.</w:t>
      </w:r>
    </w:p>
    <w:p>
      <w:pPr>
        <w:pStyle w:val="2"/>
        <w:spacing w:line="360" w:lineRule="auto"/>
        <w:ind w:firstLine="480"/>
        <w:rPr>
          <w:rFonts w:ascii="宋体" w:hAnsi="宋体" w:cs="宋体"/>
          <w:bCs/>
          <w:sz w:val="24"/>
          <w:szCs w:val="24"/>
        </w:rPr>
      </w:pPr>
      <w:r>
        <w:rPr>
          <w:rFonts w:hint="eastAsia" w:ascii="宋体" w:hAnsi="宋体" w:cs="宋体"/>
          <w:bCs/>
          <w:sz w:val="24"/>
          <w:szCs w:val="24"/>
        </w:rPr>
        <w:t>1.2.4 “投标单位”是指：响应磋商文件要求并且符合磋商文件规定资格条件和参加竞争性磋商的法人、其他组织或者自然人。</w:t>
      </w:r>
    </w:p>
    <w:p>
      <w:pPr>
        <w:spacing w:line="360" w:lineRule="auto"/>
        <w:ind w:firstLine="480" w:firstLineChars="200"/>
        <w:rPr>
          <w:rFonts w:ascii="宋体" w:hAnsi="宋体" w:cs="宋体"/>
          <w:bCs/>
          <w:sz w:val="24"/>
          <w:szCs w:val="24"/>
        </w:rPr>
      </w:pPr>
      <w:r>
        <w:rPr>
          <w:rFonts w:hint="eastAsia" w:ascii="宋体" w:hAnsi="宋体" w:cs="宋体"/>
          <w:bCs/>
          <w:sz w:val="24"/>
          <w:szCs w:val="24"/>
        </w:rPr>
        <w:t>1.2.5“成交投标单位”是指: 是指经磋商小组评审，授予合同的投标单位。</w:t>
      </w:r>
    </w:p>
    <w:p>
      <w:pPr>
        <w:pStyle w:val="22"/>
        <w:adjustRightInd w:val="0"/>
        <w:snapToGrid w:val="0"/>
        <w:spacing w:line="360" w:lineRule="auto"/>
        <w:ind w:firstLine="480" w:firstLineChars="200"/>
        <w:rPr>
          <w:rFonts w:hAnsi="宋体" w:cs="宋体"/>
          <w:bCs/>
          <w:sz w:val="24"/>
          <w:szCs w:val="24"/>
        </w:rPr>
      </w:pPr>
      <w:r>
        <w:rPr>
          <w:rFonts w:hint="eastAsia" w:hAnsi="宋体" w:cs="宋体"/>
          <w:bCs/>
          <w:sz w:val="24"/>
          <w:szCs w:val="24"/>
        </w:rPr>
        <w:t>1.2.6采购人和采购代理机构统称为招标采购单位。</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1.3、货物和服务</w:t>
      </w:r>
    </w:p>
    <w:p>
      <w:pPr>
        <w:pStyle w:val="2"/>
        <w:spacing w:line="360" w:lineRule="auto"/>
        <w:ind w:firstLine="480"/>
        <w:rPr>
          <w:rFonts w:ascii="宋体" w:hAnsi="宋体" w:cs="宋体"/>
          <w:bCs/>
          <w:sz w:val="24"/>
          <w:szCs w:val="24"/>
        </w:rPr>
      </w:pPr>
      <w:r>
        <w:rPr>
          <w:rFonts w:hint="eastAsia" w:ascii="宋体" w:hAnsi="宋体" w:cs="宋体"/>
          <w:bCs/>
          <w:sz w:val="24"/>
          <w:szCs w:val="24"/>
        </w:rPr>
        <w:t>1.3.1“货物”是指：投标单位制造或组织符合磋商文件要求的货物，包括原材料、燃料、设备、产品等。磋商文件中没有提及招标货物来源地的，根据《政府采购法》的相关规定均应是本国货物，另有规定的除外。</w:t>
      </w:r>
      <w:r>
        <w:rPr>
          <w:rFonts w:hint="eastAsia" w:ascii="宋体" w:hAnsi="宋体" w:cs="宋体"/>
          <w:bCs/>
          <w:snapToGrid w:val="0"/>
          <w:kern w:val="0"/>
          <w:sz w:val="24"/>
          <w:szCs w:val="24"/>
        </w:rPr>
        <w:t>提供的货物必须是其合法生产的符合国家有关标准要求的货物，并能够按照合同规定的品牌、产地、质量、价格和有效期等履约。</w:t>
      </w:r>
    </w:p>
    <w:p>
      <w:pPr>
        <w:pStyle w:val="2"/>
        <w:spacing w:line="360" w:lineRule="auto"/>
        <w:ind w:firstLine="480"/>
        <w:rPr>
          <w:rFonts w:ascii="宋体" w:hAnsi="宋体" w:cs="宋体"/>
          <w:bCs/>
          <w:sz w:val="24"/>
          <w:szCs w:val="24"/>
        </w:rPr>
      </w:pPr>
      <w:r>
        <w:rPr>
          <w:rFonts w:hint="eastAsia" w:ascii="宋体" w:hAnsi="宋体" w:cs="宋体"/>
          <w:bCs/>
          <w:sz w:val="24"/>
          <w:szCs w:val="24"/>
        </w:rPr>
        <w:t>1.3.2“服务”是指：除货物和工程以外的其他政府采购对象。包括：政府自身需要的服务和政府向社会公众提供的公共服务。</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1.4、磋商费用</w:t>
      </w:r>
    </w:p>
    <w:p>
      <w:pPr>
        <w:pStyle w:val="2"/>
        <w:spacing w:line="360" w:lineRule="auto"/>
        <w:ind w:firstLine="480"/>
        <w:rPr>
          <w:rFonts w:ascii="宋体" w:hAnsi="宋体" w:cs="宋体"/>
          <w:bCs/>
          <w:sz w:val="24"/>
          <w:szCs w:val="24"/>
        </w:rPr>
      </w:pPr>
      <w:r>
        <w:rPr>
          <w:rFonts w:hint="eastAsia" w:ascii="宋体" w:hAnsi="宋体" w:cs="宋体"/>
          <w:bCs/>
          <w:sz w:val="24"/>
          <w:szCs w:val="24"/>
        </w:rPr>
        <w:t>1.4.1投标单位应承担所有与准备和参加竞争性磋商有关的费用。不论磋商的结果如何，采购单位均无义务和责任承担这些费用。</w:t>
      </w:r>
    </w:p>
    <w:p>
      <w:pPr>
        <w:pStyle w:val="4"/>
        <w:rPr>
          <w:rFonts w:ascii="宋体" w:hAnsi="宋体" w:cs="宋体"/>
          <w:sz w:val="24"/>
          <w:szCs w:val="24"/>
        </w:rPr>
      </w:pPr>
      <w:bookmarkStart w:id="19" w:name="_Toc2362"/>
      <w:bookmarkStart w:id="20" w:name="_Toc27123"/>
      <w:bookmarkStart w:id="21" w:name="_Toc293738992"/>
      <w:bookmarkStart w:id="22" w:name="_Toc293736054"/>
      <w:bookmarkStart w:id="23" w:name="_Toc446599311"/>
      <w:bookmarkStart w:id="24" w:name="_Toc293736011"/>
      <w:r>
        <w:rPr>
          <w:rFonts w:hint="eastAsia" w:ascii="宋体" w:hAnsi="宋体" w:cs="宋体"/>
          <w:sz w:val="24"/>
          <w:szCs w:val="24"/>
        </w:rPr>
        <w:t>二、磋商文件</w:t>
      </w:r>
      <w:bookmarkEnd w:id="19"/>
      <w:bookmarkEnd w:id="20"/>
      <w:bookmarkEnd w:id="21"/>
      <w:bookmarkEnd w:id="22"/>
      <w:bookmarkEnd w:id="23"/>
      <w:bookmarkEnd w:id="24"/>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2.1.磋商文件的构成</w:t>
      </w:r>
    </w:p>
    <w:p>
      <w:pPr>
        <w:pStyle w:val="2"/>
        <w:spacing w:line="360" w:lineRule="auto"/>
        <w:ind w:firstLine="480"/>
        <w:rPr>
          <w:rFonts w:ascii="宋体" w:hAnsi="宋体" w:cs="宋体"/>
          <w:bCs/>
          <w:sz w:val="24"/>
          <w:szCs w:val="24"/>
        </w:rPr>
      </w:pPr>
      <w:r>
        <w:rPr>
          <w:rFonts w:hint="eastAsia" w:ascii="宋体" w:hAnsi="宋体" w:cs="宋体"/>
          <w:bCs/>
          <w:sz w:val="24"/>
          <w:szCs w:val="24"/>
        </w:rPr>
        <w:t>2.1.1磋商文件由下列文件以及在采购过程中发出的修正和补充文件组成：</w:t>
      </w:r>
    </w:p>
    <w:p>
      <w:pPr>
        <w:pStyle w:val="2"/>
        <w:spacing w:line="360" w:lineRule="auto"/>
        <w:ind w:firstLine="480"/>
        <w:rPr>
          <w:rFonts w:ascii="宋体" w:hAnsi="宋体" w:cs="宋体"/>
          <w:bCs/>
          <w:sz w:val="24"/>
          <w:szCs w:val="24"/>
        </w:rPr>
      </w:pPr>
      <w:r>
        <w:rPr>
          <w:rFonts w:hint="eastAsia" w:ascii="宋体" w:hAnsi="宋体" w:cs="宋体"/>
          <w:bCs/>
          <w:sz w:val="24"/>
          <w:szCs w:val="24"/>
        </w:rPr>
        <w:t>(1)竞争性磋商公告；</w:t>
      </w:r>
    </w:p>
    <w:p>
      <w:pPr>
        <w:pStyle w:val="2"/>
        <w:spacing w:line="360" w:lineRule="auto"/>
        <w:ind w:firstLine="480"/>
        <w:rPr>
          <w:rFonts w:ascii="宋体" w:hAnsi="宋体" w:cs="宋体"/>
          <w:bCs/>
          <w:sz w:val="24"/>
          <w:szCs w:val="24"/>
        </w:rPr>
      </w:pPr>
      <w:r>
        <w:rPr>
          <w:rFonts w:hint="eastAsia" w:ascii="宋体" w:hAnsi="宋体" w:cs="宋体"/>
          <w:bCs/>
          <w:sz w:val="24"/>
          <w:szCs w:val="24"/>
        </w:rPr>
        <w:t>(2)投标单位须知；</w:t>
      </w:r>
    </w:p>
    <w:p>
      <w:pPr>
        <w:pStyle w:val="2"/>
        <w:spacing w:line="360" w:lineRule="auto"/>
        <w:ind w:firstLine="480"/>
        <w:rPr>
          <w:rFonts w:ascii="宋体" w:hAnsi="宋体" w:cs="宋体"/>
          <w:bCs/>
          <w:sz w:val="24"/>
          <w:szCs w:val="24"/>
        </w:rPr>
      </w:pPr>
      <w:r>
        <w:rPr>
          <w:rFonts w:hint="eastAsia" w:ascii="宋体" w:hAnsi="宋体" w:cs="宋体"/>
          <w:bCs/>
          <w:sz w:val="24"/>
          <w:szCs w:val="24"/>
        </w:rPr>
        <w:t>(3)采购项目技术规格、参数及相关服务要求；</w:t>
      </w:r>
    </w:p>
    <w:p>
      <w:pPr>
        <w:pStyle w:val="2"/>
        <w:spacing w:line="360" w:lineRule="auto"/>
        <w:ind w:firstLine="480"/>
        <w:rPr>
          <w:rFonts w:ascii="宋体" w:hAnsi="宋体" w:cs="宋体"/>
          <w:bCs/>
          <w:sz w:val="24"/>
          <w:szCs w:val="24"/>
        </w:rPr>
      </w:pPr>
      <w:r>
        <w:rPr>
          <w:rFonts w:hint="eastAsia" w:ascii="宋体" w:hAnsi="宋体" w:cs="宋体"/>
          <w:bCs/>
          <w:sz w:val="24"/>
          <w:szCs w:val="24"/>
        </w:rPr>
        <w:t>(4)评审方法、步骤、标准；</w:t>
      </w:r>
    </w:p>
    <w:p>
      <w:pPr>
        <w:pStyle w:val="2"/>
        <w:spacing w:line="360" w:lineRule="auto"/>
        <w:ind w:firstLine="480"/>
        <w:rPr>
          <w:rFonts w:ascii="宋体" w:hAnsi="宋体" w:cs="宋体"/>
          <w:bCs/>
          <w:sz w:val="24"/>
          <w:szCs w:val="24"/>
        </w:rPr>
      </w:pPr>
      <w:r>
        <w:rPr>
          <w:rFonts w:hint="eastAsia" w:ascii="宋体" w:hAnsi="宋体" w:cs="宋体"/>
          <w:bCs/>
          <w:sz w:val="24"/>
          <w:szCs w:val="24"/>
        </w:rPr>
        <w:t>(5)合同格式及合同条款；</w:t>
      </w:r>
    </w:p>
    <w:p>
      <w:pPr>
        <w:pStyle w:val="2"/>
        <w:spacing w:line="360" w:lineRule="auto"/>
        <w:ind w:firstLine="480"/>
        <w:rPr>
          <w:rFonts w:ascii="宋体" w:hAnsi="宋体" w:cs="宋体"/>
          <w:bCs/>
          <w:sz w:val="24"/>
          <w:szCs w:val="24"/>
        </w:rPr>
      </w:pPr>
      <w:r>
        <w:rPr>
          <w:rFonts w:hint="eastAsia" w:ascii="宋体" w:hAnsi="宋体" w:cs="宋体"/>
          <w:bCs/>
          <w:sz w:val="24"/>
          <w:szCs w:val="24"/>
        </w:rPr>
        <w:t>(6)响应文件格式；</w:t>
      </w:r>
    </w:p>
    <w:p>
      <w:pPr>
        <w:pStyle w:val="2"/>
        <w:spacing w:line="360" w:lineRule="auto"/>
        <w:ind w:firstLine="480"/>
        <w:rPr>
          <w:rFonts w:ascii="宋体" w:hAnsi="宋体" w:cs="宋体"/>
          <w:bCs/>
          <w:sz w:val="24"/>
          <w:szCs w:val="24"/>
        </w:rPr>
      </w:pPr>
      <w:r>
        <w:rPr>
          <w:rFonts w:hint="eastAsia" w:ascii="宋体" w:hAnsi="宋体" w:cs="宋体"/>
          <w:bCs/>
          <w:sz w:val="24"/>
          <w:szCs w:val="24"/>
        </w:rPr>
        <w:t>(7)在磋商过程中由采购单位发出的澄清和补充文件等。</w:t>
      </w:r>
    </w:p>
    <w:p>
      <w:pPr>
        <w:pStyle w:val="2"/>
        <w:spacing w:line="360" w:lineRule="auto"/>
        <w:ind w:firstLine="480"/>
        <w:rPr>
          <w:rFonts w:ascii="宋体" w:hAnsi="宋体" w:cs="宋体"/>
          <w:bCs/>
          <w:sz w:val="24"/>
          <w:szCs w:val="24"/>
        </w:rPr>
      </w:pPr>
      <w:r>
        <w:rPr>
          <w:rFonts w:hint="eastAsia" w:ascii="宋体" w:hAnsi="宋体" w:cs="宋体"/>
          <w:bCs/>
          <w:sz w:val="24"/>
          <w:szCs w:val="24"/>
        </w:rPr>
        <w:t>2.1.2投标单位应认真阅读磋商文件中所有的事项、格式、条款和技术规范、参数及相关要求等。投标单位没有按照磋商文件要求提交全部资料，或者没有对磋商文件在各方面都做出实质性响应是投标单位的风险，有可能导致被拒绝，或被按照无效文件处理或被确定为无效文件。</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2.2. 磋商文件的澄清</w:t>
      </w:r>
    </w:p>
    <w:p>
      <w:pPr>
        <w:pStyle w:val="2"/>
        <w:spacing w:line="360" w:lineRule="auto"/>
        <w:ind w:firstLine="480"/>
        <w:rPr>
          <w:rFonts w:ascii="宋体" w:hAnsi="宋体" w:cs="宋体"/>
          <w:bCs/>
          <w:sz w:val="24"/>
          <w:szCs w:val="24"/>
        </w:rPr>
      </w:pPr>
      <w:r>
        <w:rPr>
          <w:rFonts w:hint="eastAsia" w:ascii="宋体" w:hAnsi="宋体" w:cs="宋体"/>
          <w:bCs/>
          <w:sz w:val="24"/>
          <w:szCs w:val="24"/>
        </w:rPr>
        <w:t>2.2.1</w:t>
      </w:r>
      <w:r>
        <w:rPr>
          <w:rFonts w:hint="eastAsia" w:ascii="宋体" w:hAnsi="宋体" w:cs="宋体"/>
          <w:bCs/>
          <w:sz w:val="24"/>
          <w:szCs w:val="24"/>
          <w:lang w:val="zh-CN"/>
        </w:rPr>
        <w:t>投标单位在收到</w:t>
      </w:r>
      <w:r>
        <w:rPr>
          <w:rFonts w:hint="eastAsia" w:ascii="宋体" w:hAnsi="宋体" w:cs="宋体"/>
          <w:bCs/>
          <w:sz w:val="24"/>
          <w:szCs w:val="24"/>
        </w:rPr>
        <w:t>磋商</w:t>
      </w:r>
      <w:r>
        <w:rPr>
          <w:rFonts w:hint="eastAsia" w:ascii="宋体" w:hAnsi="宋体" w:cs="宋体"/>
          <w:bCs/>
          <w:sz w:val="24"/>
          <w:szCs w:val="24"/>
          <w:lang w:val="zh-CN"/>
        </w:rPr>
        <w:t>文件后，若有疑问需要澄清，应于收到</w:t>
      </w:r>
      <w:r>
        <w:rPr>
          <w:rFonts w:hint="eastAsia" w:ascii="宋体" w:hAnsi="宋体" w:cs="宋体"/>
          <w:bCs/>
          <w:sz w:val="24"/>
          <w:szCs w:val="24"/>
        </w:rPr>
        <w:t>磋商</w:t>
      </w:r>
      <w:r>
        <w:rPr>
          <w:rFonts w:hint="eastAsia" w:ascii="宋体" w:hAnsi="宋体" w:cs="宋体"/>
          <w:bCs/>
          <w:sz w:val="24"/>
          <w:szCs w:val="24"/>
          <w:lang w:val="zh-CN"/>
        </w:rPr>
        <w:t>文件后二日内以书面形式（包括书面文字、传真、电子邮件等）向采购人或采购代理机构（以下统称采购机构）提出，采购机构将以书面形式予以解答，解答内容将送达所有参与</w:t>
      </w:r>
      <w:r>
        <w:rPr>
          <w:rFonts w:hint="eastAsia" w:ascii="宋体" w:hAnsi="宋体" w:cs="宋体"/>
          <w:bCs/>
          <w:sz w:val="24"/>
          <w:szCs w:val="24"/>
        </w:rPr>
        <w:t>磋商采购活动</w:t>
      </w:r>
      <w:r>
        <w:rPr>
          <w:rFonts w:hint="eastAsia" w:ascii="宋体" w:hAnsi="宋体" w:cs="宋体"/>
          <w:bCs/>
          <w:sz w:val="24"/>
          <w:szCs w:val="24"/>
          <w:lang w:val="zh-CN"/>
        </w:rPr>
        <w:t>的投标单位。</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2.3. 磋商文件的修改</w:t>
      </w:r>
    </w:p>
    <w:p>
      <w:pPr>
        <w:pStyle w:val="2"/>
        <w:spacing w:line="360" w:lineRule="auto"/>
        <w:ind w:firstLine="480"/>
        <w:rPr>
          <w:rFonts w:ascii="宋体" w:hAnsi="宋体" w:cs="宋体"/>
          <w:bCs/>
          <w:spacing w:val="-6"/>
          <w:sz w:val="24"/>
          <w:szCs w:val="24"/>
        </w:rPr>
      </w:pPr>
      <w:r>
        <w:rPr>
          <w:rFonts w:hint="eastAsia" w:ascii="宋体" w:hAnsi="宋体" w:cs="宋体"/>
          <w:bCs/>
          <w:sz w:val="24"/>
          <w:szCs w:val="24"/>
        </w:rPr>
        <w:t xml:space="preserve">2.3.1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投标单位，不足5日的，应当顺延提交首次响应文件的截止日期。 </w:t>
      </w:r>
    </w:p>
    <w:p>
      <w:pPr>
        <w:pStyle w:val="4"/>
        <w:rPr>
          <w:rFonts w:ascii="宋体" w:hAnsi="宋体" w:cs="宋体"/>
          <w:b w:val="0"/>
          <w:bCs/>
          <w:sz w:val="24"/>
          <w:szCs w:val="24"/>
        </w:rPr>
      </w:pPr>
      <w:bookmarkStart w:id="25" w:name="_Toc293736012"/>
      <w:bookmarkStart w:id="26" w:name="_Toc293736055"/>
      <w:bookmarkStart w:id="27" w:name="_Toc293738993"/>
      <w:bookmarkStart w:id="28" w:name="_Toc137"/>
      <w:bookmarkStart w:id="29" w:name="_Toc29642"/>
      <w:bookmarkStart w:id="30" w:name="_Toc446599312"/>
      <w:r>
        <w:rPr>
          <w:rFonts w:hint="eastAsia" w:ascii="宋体" w:hAnsi="宋体" w:cs="宋体"/>
          <w:sz w:val="24"/>
          <w:szCs w:val="24"/>
        </w:rPr>
        <w:t>三、响应文件的编制和数量</w:t>
      </w:r>
      <w:bookmarkEnd w:id="25"/>
      <w:bookmarkEnd w:id="26"/>
      <w:bookmarkEnd w:id="27"/>
      <w:bookmarkEnd w:id="28"/>
      <w:bookmarkEnd w:id="29"/>
      <w:bookmarkEnd w:id="30"/>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3.1．响应文件的语言</w:t>
      </w:r>
    </w:p>
    <w:p>
      <w:pPr>
        <w:pStyle w:val="2"/>
        <w:spacing w:line="360" w:lineRule="auto"/>
        <w:ind w:firstLine="480"/>
        <w:rPr>
          <w:rFonts w:ascii="宋体" w:hAnsi="宋体" w:cs="宋体"/>
          <w:bCs/>
          <w:sz w:val="24"/>
          <w:szCs w:val="24"/>
        </w:rPr>
      </w:pPr>
      <w:r>
        <w:rPr>
          <w:rFonts w:hint="eastAsia" w:ascii="宋体" w:hAnsi="宋体" w:cs="宋体"/>
          <w:bCs/>
          <w:sz w:val="24"/>
          <w:szCs w:val="24"/>
        </w:rPr>
        <w:t>3.1.1投标单位提交的响应文件以及投标单位与采购单位就有关磋商的所有来往函电均应使用中文。投标单位提交的支持文件或印刷的文献可以用另一种语言，但相应内容应附有中文翻译本，在解释响应文件的修改内容时以中文翻译本为准。</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3.2响应文件的构成</w:t>
      </w:r>
    </w:p>
    <w:p>
      <w:pPr>
        <w:pStyle w:val="2"/>
        <w:spacing w:line="360" w:lineRule="auto"/>
        <w:ind w:firstLine="480"/>
        <w:rPr>
          <w:rFonts w:ascii="宋体" w:hAnsi="宋体" w:cs="宋体"/>
          <w:bCs/>
          <w:sz w:val="24"/>
          <w:szCs w:val="24"/>
        </w:rPr>
      </w:pPr>
      <w:r>
        <w:rPr>
          <w:rFonts w:hint="eastAsia" w:ascii="宋体" w:hAnsi="宋体" w:cs="宋体"/>
          <w:bCs/>
          <w:sz w:val="24"/>
          <w:szCs w:val="24"/>
        </w:rPr>
        <w:t>3.2.1投标单位编制的响应文件应包括但不少于下列内容：</w:t>
      </w:r>
    </w:p>
    <w:p>
      <w:pPr>
        <w:pStyle w:val="2"/>
        <w:spacing w:line="360" w:lineRule="auto"/>
        <w:ind w:firstLine="480"/>
        <w:rPr>
          <w:rFonts w:ascii="宋体" w:hAnsi="宋体" w:cs="宋体"/>
          <w:bCs/>
          <w:sz w:val="24"/>
          <w:szCs w:val="24"/>
        </w:rPr>
      </w:pPr>
      <w:r>
        <w:rPr>
          <w:rFonts w:hint="eastAsia" w:ascii="宋体" w:hAnsi="宋体" w:cs="宋体"/>
          <w:bCs/>
          <w:sz w:val="24"/>
          <w:szCs w:val="24"/>
        </w:rPr>
        <w:t>（1)商务文件内容（详见第六章商务文件组成）</w:t>
      </w:r>
    </w:p>
    <w:p>
      <w:pPr>
        <w:pStyle w:val="2"/>
        <w:spacing w:line="360" w:lineRule="auto"/>
        <w:ind w:firstLine="480"/>
        <w:rPr>
          <w:rFonts w:ascii="宋体" w:hAnsi="宋体" w:cs="宋体"/>
          <w:bCs/>
          <w:sz w:val="24"/>
          <w:szCs w:val="24"/>
        </w:rPr>
      </w:pPr>
      <w:r>
        <w:rPr>
          <w:rFonts w:hint="eastAsia" w:ascii="宋体" w:hAnsi="宋体" w:cs="宋体"/>
          <w:bCs/>
          <w:sz w:val="24"/>
          <w:szCs w:val="24"/>
        </w:rPr>
        <w:t>（2)技术文件内容（详见第六章技术文件组成）</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3.3响应文件编制</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3.3.1响应文件应分为“封面”、“目录”、“商务、经济、技术文件”和“其他材料”四个部分组成。</w:t>
      </w:r>
    </w:p>
    <w:p>
      <w:pPr>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商务、经济文件指投标单位提交的证明其有资格参加投标和中标后有能力履行合同的文件。技术文件指投标单位提交的能够证明其提供的服务符合竞争性磋商文件规定的文件。本次磋商，投标单位须按竞争性磋商文件第二部分“投标单位须知前附表”中第</w:t>
      </w:r>
      <w:r>
        <w:rPr>
          <w:rFonts w:hint="eastAsia" w:ascii="宋体" w:hAnsi="宋体" w:cs="宋体"/>
          <w:bCs/>
          <w:sz w:val="24"/>
          <w:szCs w:val="24"/>
        </w:rPr>
        <w:t>30</w:t>
      </w:r>
      <w:r>
        <w:rPr>
          <w:rFonts w:hint="eastAsia" w:ascii="宋体" w:hAnsi="宋体" w:cs="宋体"/>
          <w:bCs/>
          <w:sz w:val="24"/>
          <w:szCs w:val="24"/>
          <w:highlight w:val="white"/>
        </w:rPr>
        <w:t>项规定提交商务、经济文件和技术文件，其中加★项目若有缺失或无效，将导致投标被拒绝且不允许在开标后补正。</w:t>
      </w:r>
    </w:p>
    <w:p>
      <w:pPr>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3.3.2竞争性磋商文件中提供格式的，响应文件须按照格式编制；表格样式不够或多余的，投标单位根据实际情况可按照格式要求自行增加或减少。竞争性磋商文件中未提供格式的，投标单位可根据实际情况自行提供。</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3.3.3投标单位递交的响应文件及相关要求按照竞争性磋商文件第二部分“投标单位须知前附表”</w:t>
      </w:r>
      <w:r>
        <w:rPr>
          <w:rFonts w:hint="eastAsia" w:ascii="宋体" w:hAnsi="宋体" w:cs="宋体"/>
          <w:bCs/>
          <w:sz w:val="24"/>
          <w:szCs w:val="24"/>
        </w:rPr>
        <w:t>中第16项的规定。</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3.3.4投标单位提交的响应文件以及投标单位与采购代理机构和采购人就有关磋商的所有来往函电均应使用中文。投标单位提交的支持文件和印刷的文献可以使用别的语言，但其相应内容必须附有中文翻译文本，在解释响应文件时以翻译文本为主。</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3.3.5投标单位应认真阅读、并充分理解本文件的全部内容（包括所有的补充、修改内容），承诺并履行本文件中各项条款规定及要求。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3.3.6响应文件必须按本文件的全部内容，包括所有的补充通知及附件进行编制。</w:t>
      </w:r>
    </w:p>
    <w:p>
      <w:pPr>
        <w:pStyle w:val="2"/>
        <w:spacing w:line="360" w:lineRule="auto"/>
        <w:ind w:firstLine="480"/>
        <w:rPr>
          <w:rFonts w:ascii="宋体" w:hAnsi="宋体" w:cs="宋体"/>
          <w:bCs/>
          <w:sz w:val="24"/>
          <w:szCs w:val="24"/>
        </w:rPr>
      </w:pPr>
      <w:r>
        <w:rPr>
          <w:rFonts w:hint="eastAsia" w:ascii="宋体" w:hAnsi="宋体" w:cs="宋体"/>
          <w:bCs/>
          <w:sz w:val="24"/>
          <w:szCs w:val="24"/>
          <w:highlight w:val="white"/>
        </w:rPr>
        <w:t>3.3.7如因投标单位只填写和提供了本文件要求的部分内容和附件，而给评审造成困难，其可能导致的结果和责任由投标单位自行承担。</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3.4. 磋商报价要求</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3.4.1投标单位所提供的货物和服务均以人民币报价。</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3.4.2商应按照“第三章 采购需求”规定的货物、服务内容、责任范围以及合同条款进行报价。并按《开标一览表》和《分项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3.4.3《分项报价明细表》填写时应响应下列要求：</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（1）对于报价免费的项目应标明“免费”；</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（2）所有根据合同或其它原因应由投标单位支付的税款和其它应交纳的费用都要包括在投标单位提交的磋商总价中；</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（3）应包含货物运至最终目的地的运输、保险和伴随货物服务的有关费用。</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3.4.5每一种规格的货物、服务只允许有一个报价，否则将被视为无效投标。</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3.4.6投标单位所报的总价在合同执行过程中是固定不变的，不得以任何理由予以变更。</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3.4.7投标单位的最后磋商报价超过项目采购预算的为无效报价。</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3.5备选方案</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3.5.1投标单位应按照投标单位须知前附表要求编制磋商备选方案，否则将被视为无效响应文件。</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3.6联合体投标</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3.6.1两个以上投标单位可以组成一个联合体，以一个投标单位的身份共同参与磋商。</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3.6.2采取联合体形式磋商的，联合体各方均应当符合政府采购法第二十二条规定的条件。采购人根据采购项目的特殊要求规定投标单位特定条件的，联合体各方中至少有一方符合磋商文件规定的特定条件。</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3.6.3联合体各方之间必须签订联合磋商协议，明确约定联合体主体及各方承担的工作和相应的责任，其响应文件中必须提供联合磋商协议。</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3.6.4以联合体形式参加政府采购活动的，联合体各方不得再单独参加或者与其他投标单位另外组成联合体参加同一合同项下的政府采购活动。</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3.6.5采取联合体形式投标的，其响应文件必须由联合体所有成员或其各自正式书面授权的代表签署（盖章），以便对所有成员作为整体及作为个体均具有法律约束力。</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3.6.6联合体成交的，联合体各方应当共同与采购人签订采购合同。</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3.6.7联合体中有同类资质的投标单位按照联合体分工承担相同工作的，应当按照资质等级较低的投标单位确定资质等级。</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3.7. 投标单位资格证明文件</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3.7.1投标单位应提交证明其有资格参加磋商和成交后有能力履行合同的文件，并作为其响应文件的一部分。</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3.7.2资格证明文件必须真实可靠、不得伪造。</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3.7.3磋商文件要求或投标单位认为需提供的其它相关资格证明材料。</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3.7.4 证明投标货物、服务的合格性和符合磋商文件规定的文件。</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3.8. 磋商保证金</w:t>
      </w:r>
    </w:p>
    <w:p>
      <w:pPr>
        <w:pStyle w:val="2"/>
        <w:spacing w:line="360" w:lineRule="auto"/>
        <w:ind w:firstLine="480"/>
        <w:rPr>
          <w:rFonts w:ascii="宋体" w:hAnsi="宋体" w:cs="宋体"/>
          <w:bCs/>
          <w:sz w:val="24"/>
          <w:szCs w:val="24"/>
        </w:rPr>
      </w:pPr>
      <w:r>
        <w:rPr>
          <w:rFonts w:hint="eastAsia" w:ascii="宋体" w:hAnsi="宋体" w:cs="宋体"/>
          <w:bCs/>
          <w:sz w:val="24"/>
          <w:szCs w:val="24"/>
        </w:rPr>
        <w:t>3.8.1</w:t>
      </w:r>
      <w:r>
        <w:rPr>
          <w:rFonts w:hint="eastAsia" w:ascii="宋体" w:hAnsi="宋体" w:cs="宋体"/>
          <w:bCs/>
          <w:kern w:val="0"/>
          <w:sz w:val="24"/>
          <w:szCs w:val="24"/>
        </w:rPr>
        <w:t>投标单位</w:t>
      </w:r>
      <w:r>
        <w:rPr>
          <w:rFonts w:hint="eastAsia" w:ascii="宋体" w:hAnsi="宋体" w:cs="宋体"/>
          <w:bCs/>
          <w:sz w:val="24"/>
          <w:szCs w:val="24"/>
        </w:rPr>
        <w:t>应在须知前附表中规定的时间之前，通过信息主体库中备案的企业银行账户，将所规定数额的保证金以转账或电汇方式缴纳至该项目所</w:t>
      </w:r>
      <w:r>
        <w:rPr>
          <w:rFonts w:hint="eastAsia" w:ascii="宋体" w:hAnsi="宋体" w:cs="宋体"/>
          <w:bCs/>
          <w:kern w:val="0"/>
          <w:sz w:val="24"/>
          <w:szCs w:val="24"/>
        </w:rPr>
        <w:t>对应的保证金收取账号内（不接受现金缴纳）。保证金缴纳时间以该项目所对应的保证金收取账号中显示的到账时间为准。</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3.8.2对于未能按要求提交保证金的将视为未响应磋商文件的要求，其响应文件无效。</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3.8.3未成交的投标单位，其保证金在成交公告发布后 5个工作日内，按照磋商保证金的来款渠道原路退还至投标单位缴纳保证金的企业银行账户内；如有质疑或投诉，政府采购代理机构将在质疑和投诉处理完毕后5个工作日内，按照保证金的来款渠道原路退还至投标单位缴纳保证金的企业银行账户内。</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3.8.4成交投标单位的磋商保证金,在投标单位与采购人签订合同，并将合同原件报采购代理机构后5个工作日内，按照保证金的来款渠道原路退还至投标单位缴纳保证金的企业银行账户内。</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3.8.5有下列情形之一的，保证金将被没收：</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（1）投标单位在响应文件中提供虚假资料的；</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（2）除因不可抗力或磋商文件认可的情形以外，成交投标单位不与采购人签订合同的；</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（3）投标单位与采购人、其他投标单位或者采购代理机构恶意串通的；</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（4）磋商文件规定的其他情形。</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3.9. 磋商的有效期</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3.9.1磋商有效期详见投标单位须知前附表。投标单位响应文件中有效期不足的将被视为无效文件。</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3.9.2 有效期内投标单位未经采购结果确认磋商达成一致不得改变其磋商最后报价及承诺的全部义务。</w:t>
      </w:r>
    </w:p>
    <w:p>
      <w:pPr>
        <w:pStyle w:val="2"/>
        <w:spacing w:line="360" w:lineRule="auto"/>
        <w:ind w:firstLine="480"/>
        <w:rPr>
          <w:rFonts w:ascii="宋体" w:hAnsi="宋体" w:cs="宋体"/>
          <w:bCs/>
          <w:kern w:val="0"/>
          <w:sz w:val="24"/>
          <w:szCs w:val="24"/>
        </w:rPr>
      </w:pPr>
    </w:p>
    <w:p>
      <w:pPr>
        <w:pStyle w:val="4"/>
        <w:rPr>
          <w:rFonts w:ascii="宋体" w:hAnsi="宋体" w:cs="宋体"/>
          <w:b w:val="0"/>
          <w:bCs/>
          <w:sz w:val="24"/>
          <w:szCs w:val="24"/>
        </w:rPr>
      </w:pPr>
      <w:bookmarkStart w:id="31" w:name="_Toc293736013"/>
      <w:bookmarkStart w:id="32" w:name="_Toc293738994"/>
      <w:bookmarkStart w:id="33" w:name="_Toc8970"/>
      <w:bookmarkStart w:id="34" w:name="_Toc293736056"/>
      <w:bookmarkStart w:id="35" w:name="_Toc13278"/>
      <w:bookmarkStart w:id="36" w:name="_Toc446599313"/>
      <w:r>
        <w:rPr>
          <w:rFonts w:hint="eastAsia" w:ascii="宋体" w:hAnsi="宋体" w:cs="宋体"/>
          <w:sz w:val="24"/>
          <w:szCs w:val="24"/>
        </w:rPr>
        <w:t>四、响应文件的递交</w:t>
      </w:r>
      <w:bookmarkEnd w:id="31"/>
      <w:bookmarkEnd w:id="32"/>
      <w:bookmarkEnd w:id="33"/>
      <w:bookmarkEnd w:id="34"/>
      <w:bookmarkEnd w:id="35"/>
      <w:bookmarkEnd w:id="36"/>
    </w:p>
    <w:p>
      <w:pPr>
        <w:spacing w:line="440" w:lineRule="exact"/>
        <w:ind w:firstLine="723" w:firstLineChars="300"/>
        <w:rPr>
          <w:rFonts w:hint="eastAsia" w:ascii="宋体" w:hAnsi="宋体" w:eastAsia="宋体" w:cs="宋体"/>
          <w:b/>
          <w:kern w:val="2"/>
          <w:sz w:val="24"/>
          <w:szCs w:val="24"/>
          <w:lang w:val="en-US" w:eastAsia="zh-CN" w:bidi="ar-SA"/>
        </w:rPr>
      </w:pPr>
      <w:bookmarkStart w:id="37" w:name="_Toc293736057"/>
      <w:bookmarkStart w:id="38" w:name="_Toc293736014"/>
      <w:bookmarkStart w:id="39" w:name="_Toc446599314"/>
      <w:bookmarkStart w:id="40" w:name="_Toc293738995"/>
      <w:bookmarkStart w:id="41" w:name="_Toc9068"/>
      <w:bookmarkStart w:id="42" w:name="_Toc12422"/>
      <w:r>
        <w:rPr>
          <w:rFonts w:hint="eastAsia" w:ascii="宋体" w:hAnsi="宋体" w:eastAsia="宋体" w:cs="宋体"/>
          <w:b/>
          <w:kern w:val="2"/>
          <w:sz w:val="24"/>
          <w:szCs w:val="24"/>
          <w:lang w:val="en-US" w:eastAsia="zh-CN" w:bidi="ar-SA"/>
        </w:rPr>
        <w:t>4.1 投标文件的标记</w:t>
      </w:r>
    </w:p>
    <w:p>
      <w:pPr>
        <w:pStyle w:val="2"/>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w:t>
      </w:r>
      <w:r>
        <w:rPr>
          <w:rFonts w:hint="eastAsia" w:ascii="宋体" w:hAnsi="宋体" w:eastAsia="宋体" w:cs="宋体"/>
          <w:bCs/>
          <w:kern w:val="0"/>
          <w:sz w:val="24"/>
          <w:szCs w:val="24"/>
        </w:rPr>
        <w:t>.1</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　任何不完整或不满足招标文件要求的投标文件将被拒绝。</w:t>
      </w:r>
    </w:p>
    <w:p>
      <w:pPr>
        <w:pStyle w:val="2"/>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1.2</w:t>
      </w:r>
      <w:r>
        <w:rPr>
          <w:rFonts w:hint="eastAsia" w:ascii="宋体" w:hAnsi="宋体" w:eastAsia="宋体" w:cs="宋体"/>
          <w:bCs/>
          <w:kern w:val="0"/>
          <w:sz w:val="24"/>
          <w:szCs w:val="24"/>
        </w:rPr>
        <w:t>由于不可抗拒原因或无法控制的事件而导致的丢失或损坏投标包装体内的投标文件时，招标方将不负责任。</w:t>
      </w:r>
    </w:p>
    <w:p>
      <w:pPr>
        <w:spacing w:line="440" w:lineRule="exact"/>
        <w:ind w:firstLine="723" w:firstLineChars="30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4.2. 投标截止时间</w:t>
      </w:r>
    </w:p>
    <w:p>
      <w:pPr>
        <w:pStyle w:val="2"/>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4.2.1</w:t>
      </w:r>
      <w:r>
        <w:rPr>
          <w:rFonts w:hint="eastAsia" w:ascii="宋体" w:hAnsi="宋体" w:eastAsia="宋体" w:cs="宋体"/>
          <w:bCs/>
          <w:kern w:val="0"/>
          <w:sz w:val="24"/>
          <w:szCs w:val="24"/>
        </w:rPr>
        <w:t xml:space="preserve">  投标文件的递交不得迟于招标文件规定的截止时间，以密封形式递交至</w:t>
      </w:r>
      <w:r>
        <w:rPr>
          <w:rFonts w:hint="eastAsia" w:ascii="宋体" w:hAnsi="宋体" w:eastAsia="宋体" w:cs="宋体"/>
          <w:bCs/>
          <w:kern w:val="0"/>
          <w:sz w:val="24"/>
          <w:szCs w:val="24"/>
          <w:lang w:eastAsia="zh-CN"/>
        </w:rPr>
        <w:t>代理公司</w:t>
      </w:r>
      <w:r>
        <w:rPr>
          <w:rFonts w:hint="eastAsia" w:ascii="宋体" w:hAnsi="宋体" w:eastAsia="宋体" w:cs="宋体"/>
          <w:bCs/>
          <w:kern w:val="0"/>
          <w:sz w:val="24"/>
          <w:szCs w:val="24"/>
        </w:rPr>
        <w:t>指定开标地点。</w:t>
      </w:r>
    </w:p>
    <w:p>
      <w:pPr>
        <w:pStyle w:val="2"/>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4.2.2</w:t>
      </w:r>
      <w:r>
        <w:rPr>
          <w:rFonts w:hint="eastAsia" w:ascii="宋体" w:hAnsi="宋体" w:eastAsia="宋体" w:cs="宋体"/>
          <w:bCs/>
          <w:kern w:val="0"/>
          <w:sz w:val="24"/>
          <w:szCs w:val="24"/>
        </w:rPr>
        <w:t>　所有投标文件不论派人送交还是通过邮寄的方式递交，都必须在招标方规定的投标截止时间之前送达招标文件指定地点，在此之后送达的投标文件，为无效投标，投标文件将一律被拒绝。</w:t>
      </w:r>
    </w:p>
    <w:p>
      <w:pPr>
        <w:pStyle w:val="2"/>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4.2.3</w:t>
      </w:r>
      <w:r>
        <w:rPr>
          <w:rFonts w:hint="eastAsia" w:ascii="宋体" w:hAnsi="宋体" w:eastAsia="宋体" w:cs="宋体"/>
          <w:bCs/>
          <w:kern w:val="0"/>
          <w:sz w:val="24"/>
          <w:szCs w:val="24"/>
        </w:rPr>
        <w:t xml:space="preserve">  出现因招标文件的修改而推迟投标截止时间的情况时，投标人则需按招标方的书面修改通知重新规定的投标时间递交。</w:t>
      </w:r>
    </w:p>
    <w:p>
      <w:pPr>
        <w:spacing w:line="440" w:lineRule="exact"/>
        <w:ind w:firstLine="723" w:firstLineChars="30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4.3. 投标文件解密时间</w:t>
      </w:r>
    </w:p>
    <w:p>
      <w:pPr>
        <w:pStyle w:val="2"/>
        <w:rPr>
          <w:rFonts w:hint="eastAsia"/>
          <w:color w:val="000000" w:themeColor="text1"/>
          <w:lang w:val="en-US" w:eastAsia="zh-CN"/>
          <w14:textFill>
            <w14:solidFill>
              <w14:schemeClr w14:val="tx1"/>
            </w14:solidFill>
          </w14:textFill>
        </w:rPr>
      </w:pPr>
    </w:p>
    <w:p>
      <w:pPr>
        <w:pStyle w:val="2"/>
        <w:spacing w:line="360" w:lineRule="auto"/>
        <w:ind w:firstLine="48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开标时间后</w:t>
      </w:r>
      <w:r>
        <w:rPr>
          <w:rFonts w:hint="eastAsia" w:ascii="宋体" w:hAnsi="宋体" w:eastAsia="宋体" w:cs="宋体"/>
          <w:bCs/>
          <w:color w:val="000000" w:themeColor="text1"/>
          <w:kern w:val="0"/>
          <w:sz w:val="24"/>
          <w:szCs w:val="24"/>
          <w:lang w:val="en-US" w:eastAsia="zh-CN"/>
          <w14:textFill>
            <w14:solidFill>
              <w14:schemeClr w14:val="tx1"/>
            </w14:solidFill>
          </w14:textFill>
        </w:rPr>
        <w:t>30分钟</w:t>
      </w:r>
      <w:r>
        <w:rPr>
          <w:rFonts w:hint="eastAsia" w:ascii="宋体" w:hAnsi="宋体" w:eastAsia="宋体" w:cs="宋体"/>
          <w:bCs/>
          <w:color w:val="000000" w:themeColor="text1"/>
          <w:kern w:val="0"/>
          <w:sz w:val="24"/>
          <w:szCs w:val="24"/>
          <w14:textFill>
            <w14:solidFill>
              <w14:schemeClr w14:val="tx1"/>
            </w14:solidFill>
          </w14:textFill>
        </w:rPr>
        <w:t>内（202</w:t>
      </w:r>
      <w:r>
        <w:rPr>
          <w:rFonts w:hint="eastAsia" w:ascii="宋体" w:hAnsi="宋体" w:eastAsia="宋体" w:cs="宋体"/>
          <w:bCs/>
          <w:color w:val="000000" w:themeColor="text1"/>
          <w:kern w:val="0"/>
          <w:sz w:val="24"/>
          <w:szCs w:val="24"/>
          <w:lang w:val="en-US" w:eastAsia="zh-CN"/>
          <w14:textFill>
            <w14:solidFill>
              <w14:schemeClr w14:val="tx1"/>
            </w14:solidFill>
          </w14:textFill>
        </w:rPr>
        <w:t>2</w:t>
      </w:r>
      <w:r>
        <w:rPr>
          <w:rFonts w:hint="eastAsia" w:ascii="宋体" w:hAnsi="宋体" w:eastAsia="宋体" w:cs="宋体"/>
          <w:bCs/>
          <w:color w:val="000000" w:themeColor="text1"/>
          <w:kern w:val="0"/>
          <w:sz w:val="24"/>
          <w:szCs w:val="24"/>
          <w14:textFill>
            <w14:solidFill>
              <w14:schemeClr w14:val="tx1"/>
            </w14:solidFill>
          </w14:textFill>
        </w:rPr>
        <w:t>年</w:t>
      </w:r>
      <w:r>
        <w:rPr>
          <w:rFonts w:hint="eastAsia" w:ascii="宋体" w:hAnsi="宋体" w:cs="宋体"/>
          <w:bCs/>
          <w:color w:val="000000" w:themeColor="text1"/>
          <w:kern w:val="0"/>
          <w:sz w:val="24"/>
          <w:szCs w:val="24"/>
          <w:lang w:val="en-US" w:eastAsia="zh-CN"/>
          <w14:textFill>
            <w14:solidFill>
              <w14:schemeClr w14:val="tx1"/>
            </w14:solidFill>
          </w14:textFill>
        </w:rPr>
        <w:t>11</w:t>
      </w:r>
      <w:r>
        <w:rPr>
          <w:rFonts w:hint="eastAsia" w:ascii="宋体" w:hAnsi="宋体" w:eastAsia="宋体" w:cs="宋体"/>
          <w:bCs/>
          <w:color w:val="000000" w:themeColor="text1"/>
          <w:kern w:val="0"/>
          <w:sz w:val="24"/>
          <w:szCs w:val="24"/>
          <w14:textFill>
            <w14:solidFill>
              <w14:schemeClr w14:val="tx1"/>
            </w14:solidFill>
          </w14:textFill>
        </w:rPr>
        <w:t>月</w:t>
      </w:r>
      <w:r>
        <w:rPr>
          <w:rFonts w:hint="eastAsia" w:ascii="宋体" w:hAnsi="宋体" w:cs="宋体"/>
          <w:bCs/>
          <w:color w:val="000000" w:themeColor="text1"/>
          <w:kern w:val="0"/>
          <w:sz w:val="24"/>
          <w:szCs w:val="24"/>
          <w:lang w:val="en-US" w:eastAsia="zh-CN"/>
          <w14:textFill>
            <w14:solidFill>
              <w14:schemeClr w14:val="tx1"/>
            </w14:solidFill>
          </w14:textFill>
        </w:rPr>
        <w:t>14日</w:t>
      </w:r>
      <w:r>
        <w:rPr>
          <w:rFonts w:hint="eastAsia" w:ascii="宋体" w:hAnsi="宋体" w:eastAsia="宋体" w:cs="宋体"/>
          <w:bCs/>
          <w:color w:val="000000" w:themeColor="text1"/>
          <w:kern w:val="0"/>
          <w:sz w:val="24"/>
          <w:szCs w:val="24"/>
          <w14:textFill>
            <w14:solidFill>
              <w14:schemeClr w14:val="tx1"/>
            </w14:solidFill>
          </w14:textFill>
        </w:rPr>
        <w:t>上午10:</w:t>
      </w:r>
      <w:r>
        <w:rPr>
          <w:rFonts w:hint="eastAsia" w:ascii="宋体" w:hAnsi="宋体" w:eastAsia="宋体" w:cs="宋体"/>
          <w:bCs/>
          <w:color w:val="000000" w:themeColor="text1"/>
          <w:kern w:val="0"/>
          <w:sz w:val="24"/>
          <w:szCs w:val="24"/>
          <w:lang w:val="en-US" w:eastAsia="zh-CN"/>
          <w14:textFill>
            <w14:solidFill>
              <w14:schemeClr w14:val="tx1"/>
            </w14:solidFill>
          </w14:textFill>
        </w:rPr>
        <w:t>3</w:t>
      </w:r>
      <w:r>
        <w:rPr>
          <w:rFonts w:hint="eastAsia" w:ascii="宋体" w:hAnsi="宋体" w:eastAsia="宋体" w:cs="宋体"/>
          <w:bCs/>
          <w:color w:val="000000" w:themeColor="text1"/>
          <w:kern w:val="0"/>
          <w:sz w:val="24"/>
          <w:szCs w:val="24"/>
          <w14:textFill>
            <w14:solidFill>
              <w14:schemeClr w14:val="tx1"/>
            </w14:solidFill>
          </w14:textFill>
        </w:rPr>
        <w:t>0</w:t>
      </w:r>
      <w:r>
        <w:rPr>
          <w:rFonts w:hint="eastAsia" w:ascii="宋体" w:hAnsi="宋体" w:eastAsia="宋体" w:cs="宋体"/>
          <w:bCs/>
          <w:color w:val="000000" w:themeColor="text1"/>
          <w:kern w:val="0"/>
          <w:sz w:val="24"/>
          <w:szCs w:val="24"/>
          <w:lang w:val="en-US" w:eastAsia="zh-CN"/>
          <w14:textFill>
            <w14:solidFill>
              <w14:schemeClr w14:val="tx1"/>
            </w14:solidFill>
          </w14:textFill>
        </w:rPr>
        <w:t>-11：00</w:t>
      </w:r>
      <w:r>
        <w:rPr>
          <w:rFonts w:hint="eastAsia" w:ascii="宋体" w:hAnsi="宋体" w:eastAsia="宋体" w:cs="宋体"/>
          <w:bCs/>
          <w:color w:val="000000" w:themeColor="text1"/>
          <w:kern w:val="0"/>
          <w:sz w:val="24"/>
          <w:szCs w:val="24"/>
          <w14:textFill>
            <w14:solidFill>
              <w14:schemeClr w14:val="tx1"/>
            </w14:solidFill>
          </w14:textFill>
        </w:rPr>
        <w:t>前）供应商可以登录“政采云”平台，用“项目采购-开标评标”功能进行解密投标文件。若供应商在规定时间内（202</w:t>
      </w:r>
      <w:r>
        <w:rPr>
          <w:rFonts w:hint="eastAsia" w:ascii="宋体" w:hAnsi="宋体" w:eastAsia="宋体" w:cs="宋体"/>
          <w:bCs/>
          <w:color w:val="000000" w:themeColor="text1"/>
          <w:kern w:val="0"/>
          <w:sz w:val="24"/>
          <w:szCs w:val="24"/>
          <w:lang w:val="en-US" w:eastAsia="zh-CN"/>
          <w14:textFill>
            <w14:solidFill>
              <w14:schemeClr w14:val="tx1"/>
            </w14:solidFill>
          </w14:textFill>
        </w:rPr>
        <w:t>2</w:t>
      </w:r>
      <w:r>
        <w:rPr>
          <w:rFonts w:hint="eastAsia" w:ascii="宋体" w:hAnsi="宋体" w:eastAsia="宋体" w:cs="宋体"/>
          <w:bCs/>
          <w:color w:val="000000" w:themeColor="text1"/>
          <w:kern w:val="0"/>
          <w:sz w:val="24"/>
          <w:szCs w:val="24"/>
          <w14:textFill>
            <w14:solidFill>
              <w14:schemeClr w14:val="tx1"/>
            </w14:solidFill>
          </w14:textFill>
        </w:rPr>
        <w:t>年</w:t>
      </w:r>
      <w:r>
        <w:rPr>
          <w:rFonts w:hint="eastAsia" w:ascii="宋体" w:hAnsi="宋体" w:cs="宋体"/>
          <w:bCs/>
          <w:color w:val="000000" w:themeColor="text1"/>
          <w:kern w:val="0"/>
          <w:sz w:val="24"/>
          <w:szCs w:val="24"/>
          <w:lang w:val="en-US" w:eastAsia="zh-CN"/>
          <w14:textFill>
            <w14:solidFill>
              <w14:schemeClr w14:val="tx1"/>
            </w14:solidFill>
          </w14:textFill>
        </w:rPr>
        <w:t>11</w:t>
      </w:r>
      <w:r>
        <w:rPr>
          <w:rFonts w:hint="eastAsia" w:ascii="宋体" w:hAnsi="宋体" w:eastAsia="宋体" w:cs="宋体"/>
          <w:bCs/>
          <w:color w:val="000000" w:themeColor="text1"/>
          <w:kern w:val="0"/>
          <w:sz w:val="24"/>
          <w:szCs w:val="24"/>
          <w14:textFill>
            <w14:solidFill>
              <w14:schemeClr w14:val="tx1"/>
            </w14:solidFill>
          </w14:textFill>
        </w:rPr>
        <w:t>月</w:t>
      </w:r>
      <w:r>
        <w:rPr>
          <w:rFonts w:hint="eastAsia" w:ascii="宋体" w:hAnsi="宋体" w:cs="宋体"/>
          <w:bCs/>
          <w:color w:val="000000" w:themeColor="text1"/>
          <w:kern w:val="0"/>
          <w:sz w:val="24"/>
          <w:szCs w:val="24"/>
          <w:lang w:val="en-US" w:eastAsia="zh-CN"/>
          <w14:textFill>
            <w14:solidFill>
              <w14:schemeClr w14:val="tx1"/>
            </w14:solidFill>
          </w14:textFill>
        </w:rPr>
        <w:t>14日</w:t>
      </w:r>
      <w:r>
        <w:rPr>
          <w:rFonts w:hint="eastAsia" w:ascii="宋体" w:hAnsi="宋体" w:eastAsia="宋体" w:cs="宋体"/>
          <w:bCs/>
          <w:color w:val="000000" w:themeColor="text1"/>
          <w:kern w:val="0"/>
          <w:sz w:val="24"/>
          <w:szCs w:val="24"/>
          <w14:textFill>
            <w14:solidFill>
              <w14:schemeClr w14:val="tx1"/>
            </w14:solidFill>
          </w14:textFill>
        </w:rPr>
        <w:t>上午</w:t>
      </w:r>
      <w:r>
        <w:rPr>
          <w:rFonts w:hint="eastAsia" w:ascii="宋体" w:hAnsi="宋体" w:eastAsia="宋体" w:cs="宋体"/>
          <w:bCs/>
          <w:color w:val="000000" w:themeColor="text1"/>
          <w:kern w:val="0"/>
          <w:sz w:val="24"/>
          <w:szCs w:val="24"/>
          <w:lang w:val="en-US" w:eastAsia="zh-CN"/>
          <w14:textFill>
            <w14:solidFill>
              <w14:schemeClr w14:val="tx1"/>
            </w14:solidFill>
          </w14:textFill>
        </w:rPr>
        <w:t>11</w:t>
      </w: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bCs/>
          <w:color w:val="000000" w:themeColor="text1"/>
          <w:kern w:val="0"/>
          <w:sz w:val="24"/>
          <w:szCs w:val="24"/>
          <w:lang w:val="en-US" w:eastAsia="zh-CN"/>
          <w14:textFill>
            <w14:solidFill>
              <w14:schemeClr w14:val="tx1"/>
            </w14:solidFill>
          </w14:textFill>
        </w:rPr>
        <w:t>0</w:t>
      </w:r>
      <w:r>
        <w:rPr>
          <w:rFonts w:hint="eastAsia" w:ascii="宋体" w:hAnsi="宋体" w:eastAsia="宋体" w:cs="宋体"/>
          <w:bCs/>
          <w:color w:val="000000" w:themeColor="text1"/>
          <w:kern w:val="0"/>
          <w:sz w:val="24"/>
          <w:szCs w:val="24"/>
          <w14:textFill>
            <w14:solidFill>
              <w14:schemeClr w14:val="tx1"/>
            </w14:solidFill>
          </w14:textFill>
        </w:rPr>
        <w:t>0前）未按时解密的，视为投标文件撤回。</w:t>
      </w:r>
    </w:p>
    <w:p>
      <w:pPr>
        <w:pStyle w:val="4"/>
        <w:rPr>
          <w:rFonts w:ascii="宋体" w:hAnsi="宋体" w:cs="宋体"/>
          <w:sz w:val="24"/>
          <w:szCs w:val="24"/>
        </w:rPr>
      </w:pPr>
      <w:r>
        <w:rPr>
          <w:rFonts w:hint="eastAsia" w:ascii="宋体" w:hAnsi="宋体" w:cs="宋体"/>
          <w:sz w:val="24"/>
          <w:szCs w:val="24"/>
        </w:rPr>
        <w:t>五、</w:t>
      </w:r>
      <w:bookmarkEnd w:id="37"/>
      <w:bookmarkEnd w:id="38"/>
      <w:bookmarkEnd w:id="39"/>
      <w:bookmarkEnd w:id="40"/>
      <w:r>
        <w:rPr>
          <w:rFonts w:hint="eastAsia" w:ascii="宋体" w:hAnsi="宋体" w:cs="宋体"/>
          <w:sz w:val="24"/>
          <w:szCs w:val="24"/>
        </w:rPr>
        <w:t>竞争性磋商程序</w:t>
      </w:r>
      <w:bookmarkEnd w:id="41"/>
      <w:bookmarkEnd w:id="42"/>
    </w:p>
    <w:p>
      <w:pPr>
        <w:widowControl/>
        <w:spacing w:line="360" w:lineRule="auto"/>
        <w:ind w:firstLine="480" w:firstLineChars="200"/>
        <w:textAlignment w:val="baseline"/>
        <w:rPr>
          <w:rFonts w:ascii="宋体" w:hAnsi="宋体" w:cs="宋体"/>
          <w:bCs/>
          <w:sz w:val="24"/>
          <w:szCs w:val="24"/>
        </w:rPr>
      </w:pPr>
      <w:r>
        <w:rPr>
          <w:rFonts w:hint="eastAsia" w:ascii="宋体" w:hAnsi="宋体" w:cs="宋体"/>
          <w:bCs/>
          <w:sz w:val="24"/>
          <w:szCs w:val="24"/>
        </w:rPr>
        <w:t>5</w:t>
      </w:r>
      <w:r>
        <w:rPr>
          <w:rFonts w:hint="eastAsia" w:ascii="宋体" w:hAnsi="宋体" w:cs="宋体"/>
          <w:bCs/>
          <w:color w:val="000000"/>
          <w:kern w:val="0"/>
          <w:sz w:val="24"/>
          <w:szCs w:val="24"/>
        </w:rPr>
        <w:t>.</w:t>
      </w:r>
      <w:r>
        <w:rPr>
          <w:rFonts w:hint="eastAsia" w:ascii="宋体" w:hAnsi="宋体" w:cs="宋体"/>
          <w:bCs/>
          <w:sz w:val="24"/>
          <w:szCs w:val="24"/>
        </w:rPr>
        <w:t>1磋商小组的组成</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5.1.1磋商小组由采购人代表和有关技术、经济等方面的专家组成。全面负责对响应文件的审查、评审、磋商、打分等全部评审工作。磋商小组人数以及技术、经济方面的专家组成见</w:t>
      </w:r>
      <w:r>
        <w:fldChar w:fldCharType="begin"/>
      </w:r>
      <w:r>
        <w:instrText xml:space="preserve"> HYPERLINK "file:///C:\\WordForm\\e944b4b1-01b6-4e42-b170-f783fcf7903a.doc" \l "_评标委员会" </w:instrText>
      </w:r>
      <w:r>
        <w:fldChar w:fldCharType="separate"/>
      </w:r>
      <w:r>
        <w:rPr>
          <w:rFonts w:hint="eastAsia" w:ascii="宋体" w:hAnsi="宋体" w:cs="宋体"/>
          <w:bCs/>
          <w:kern w:val="0"/>
          <w:sz w:val="24"/>
          <w:szCs w:val="24"/>
        </w:rPr>
        <w:t>投标单位须知前附表</w:t>
      </w:r>
      <w:r>
        <w:rPr>
          <w:rFonts w:hint="eastAsia" w:ascii="宋体" w:hAnsi="宋体" w:cs="宋体"/>
          <w:bCs/>
          <w:kern w:val="0"/>
          <w:sz w:val="24"/>
          <w:szCs w:val="24"/>
        </w:rPr>
        <w:fldChar w:fldCharType="end"/>
      </w:r>
      <w:r>
        <w:rPr>
          <w:rFonts w:hint="eastAsia" w:ascii="宋体" w:hAnsi="宋体" w:cs="宋体"/>
          <w:bCs/>
          <w:kern w:val="0"/>
          <w:sz w:val="24"/>
          <w:szCs w:val="24"/>
        </w:rPr>
        <w:t>。</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5.2磋商方法</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5.2.1磋商小组将按照磋商文件确定的评审方法进行评审。磋商小组对响应文件的评审分为响应文件初审、澄清有关问题、比较与评价响应文件、推荐中标候选人名单。</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5.2.1项目评审方法详见磋商文件“第四章 评审方法、步骤及标准”。</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5.3响应文件的初审</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初审分为资格性检查和符合性检查。</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5.3.1资格性检查</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（1）磋商小组根据评审办法前附表规定的评审因素和评审标准，对投标单位的响应文件进行资格评审。资格性检查不合格的投标单位的响应文件作无效文件处理。</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（2）磋商小组在进行资格检查时，不得改变磋商文件中已载明的资格条件、标准和办法。资格性检查不合格的投标单位的响应文件作无效文件处理。</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（3）投标单位在递交响应文件的同时，应逐项对照上述资格性检查要求提交相应的原件和资格证明文件供磋商小组核查，否则评委将不予采信。</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（4）磋商小组在评审中必要时可按投标单位提供的联系方式就有关问题进行查询核实，或要求投标单位做出书面澄清，查询及澄清结果将作为审查的依据。</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（5）通过全部资格性检查条件合格的投标单位才能通过资格检查，其响应文件方可进入下一个检查阶段。</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5.3.2符合性检查</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磋商小组根据评审办法前附表规定的评审因素和评审标准，对投标单位的响应文件进行符合性检查。符合性检查不合格的投标单位的响应文件作无效文件处理。</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 xml:space="preserve">5.4违法违规行为 </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5.4.1在评审过程中，磋商小组发现投标单位有下列情形之一的，作无效文件处理：</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（1）属于同一集团、协会、商会等组织成员的投标单位按照该组织要求协同投标；</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（2）不同投标单位的响应文件由同一单位或者个人编制；</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（3）不同投标单位委托同一单位或者个人办理投标事宜；</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（4）不同投标单位的响应文件载明的项目管理成员为同一人；</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（5）不同投标单位的响应文件异常一致或者投标报价呈规律性差异；</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（6）不同投标单位的响应文件相互混装；</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（7）不同投标单位的投标保证金从同一单位或者个人的账户转出；</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（8）使用伪造、变造的行政许可证件；</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（9）提供虚假的财务状况或者业绩；</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（10）提供虚假的项目负责人或者主要技术人员简历、劳动关系证明；</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（11）提供虚假的信用状况；</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（12）其他弄虚作假的行为。</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5.5 磋商小组审查响应文件是否完整、有无计算上的错误等。</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5.5.1 响应文件的修正及澄清</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（1）磋商小组对确定为实质上响应磋商文件要求的响应文件进行校核，看其是否有计算或表达上的错误，算术错误将按以下方法更正：</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投标单位不接受对其错误的更正，其响应文件将被视为无效文件。</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2"/>
        <w:spacing w:line="360" w:lineRule="auto"/>
        <w:ind w:firstLine="480"/>
        <w:rPr>
          <w:rFonts w:ascii="宋体" w:hAnsi="宋体" w:cs="宋体"/>
          <w:bCs/>
          <w:kern w:val="0"/>
          <w:sz w:val="24"/>
          <w:szCs w:val="24"/>
        </w:rPr>
      </w:pPr>
      <w:r>
        <w:rPr>
          <w:rFonts w:hint="eastAsia" w:ascii="宋体" w:hAnsi="宋体" w:cs="宋体"/>
          <w:bCs/>
          <w:kern w:val="0"/>
          <w:sz w:val="24"/>
          <w:szCs w:val="24"/>
        </w:rPr>
        <w:t>5.5.3实质上没有响应磋商文件要求的响应文件将被视为无效文件。投标单位不得通过修正或撤销不合要求的偏离从而使其成为实质上响应的文件。</w:t>
      </w:r>
    </w:p>
    <w:p>
      <w:pPr>
        <w:pStyle w:val="22"/>
        <w:spacing w:line="360" w:lineRule="auto"/>
        <w:ind w:firstLine="480" w:firstLineChars="200"/>
        <w:contextualSpacing/>
        <w:rPr>
          <w:rFonts w:hAnsi="宋体" w:cs="宋体"/>
          <w:bCs/>
          <w:kern w:val="0"/>
          <w:sz w:val="24"/>
          <w:szCs w:val="24"/>
        </w:rPr>
      </w:pPr>
      <w:r>
        <w:rPr>
          <w:rFonts w:hint="eastAsia" w:hAnsi="宋体" w:cs="宋体"/>
          <w:bCs/>
          <w:kern w:val="0"/>
          <w:sz w:val="24"/>
          <w:szCs w:val="24"/>
        </w:rPr>
        <w:t>5.5.4评审期间，磋商小组有权要求投标单位对其响应文件中含义不明确、同类问题表述不一致或者有明显文字和计算错误的内容等作必要的澄清、说明或者补正。投标单位必须按照磋商小组要求的澄清内容和时间做出澄清。除按本磋商文件规定改正算术错误外，投标单位对响应文件的澄清不得超出响应文件的范围或者改变响应文件的实质性内容。在评审期间,磋商小组可要求投标单位对其响应文件进行澄清，但不得寻求、提供或允许投标单位对投标报价等实质性内容做任何更改。有关澄清的答复均应由投标单位的法定代表人或授权代表以书面形式作出并签字。</w:t>
      </w:r>
    </w:p>
    <w:p>
      <w:pPr>
        <w:pStyle w:val="2"/>
        <w:spacing w:line="360" w:lineRule="auto"/>
        <w:ind w:firstLine="480"/>
        <w:rPr>
          <w:rFonts w:ascii="宋体" w:hAnsi="宋体" w:cs="宋体"/>
          <w:bCs/>
          <w:sz w:val="24"/>
          <w:szCs w:val="24"/>
        </w:rPr>
      </w:pPr>
      <w:r>
        <w:rPr>
          <w:rFonts w:hint="eastAsia" w:ascii="宋体" w:hAnsi="宋体" w:cs="宋体"/>
          <w:bCs/>
          <w:kern w:val="0"/>
          <w:sz w:val="24"/>
          <w:szCs w:val="24"/>
        </w:rPr>
        <w:t>5.5.5投标单位的澄清文件是其响应文件</w:t>
      </w:r>
      <w:r>
        <w:rPr>
          <w:rFonts w:hint="eastAsia" w:ascii="宋体" w:hAnsi="宋体" w:cs="宋体"/>
          <w:bCs/>
          <w:sz w:val="24"/>
          <w:szCs w:val="24"/>
        </w:rPr>
        <w:t>的组成部分。</w:t>
      </w:r>
    </w:p>
    <w:p>
      <w:pPr>
        <w:pStyle w:val="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5.6磋商</w:t>
      </w:r>
    </w:p>
    <w:p>
      <w:pPr>
        <w:pStyle w:val="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5.6.1磋商小组所有成员应当集中与单一投标单位分别进行磋商，并给予所有参加磋商的投标单位平等的磋商机会。</w:t>
      </w:r>
    </w:p>
    <w:p>
      <w:pPr>
        <w:pStyle w:val="2"/>
        <w:spacing w:line="360" w:lineRule="auto"/>
        <w:ind w:firstLine="480"/>
        <w:rPr>
          <w:rFonts w:hint="eastAsia" w:ascii="宋体" w:hAnsi="宋体" w:eastAsia="宋体" w:cs="宋体"/>
          <w:bCs/>
          <w:sz w:val="24"/>
          <w:szCs w:val="24"/>
          <w:highlight w:val="white"/>
          <w:lang w:eastAsia="zh-CN"/>
        </w:rPr>
      </w:pPr>
      <w:r>
        <w:rPr>
          <w:rFonts w:hint="eastAsia" w:ascii="宋体" w:hAnsi="宋体" w:cs="宋体"/>
          <w:bCs/>
          <w:sz w:val="24"/>
          <w:szCs w:val="24"/>
          <w:highlight w:val="white"/>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2"/>
        <w:spacing w:line="360" w:lineRule="auto"/>
        <w:ind w:firstLine="480"/>
        <w:rPr>
          <w:rFonts w:hint="eastAsia" w:ascii="宋体" w:hAnsi="宋体" w:eastAsia="宋体" w:cs="宋体"/>
          <w:bCs/>
          <w:sz w:val="24"/>
          <w:szCs w:val="24"/>
          <w:highlight w:val="white"/>
          <w:lang w:eastAsia="zh-CN"/>
        </w:rPr>
      </w:pPr>
      <w:r>
        <w:rPr>
          <w:rFonts w:hint="eastAsia" w:ascii="宋体" w:hAnsi="宋体" w:cs="宋体"/>
          <w:bCs/>
          <w:sz w:val="24"/>
          <w:szCs w:val="24"/>
          <w:highlight w:val="white"/>
        </w:rPr>
        <w:t>　　5.6.3对磋商文件作出的实质性变动是磋商文件的有效组成部分，磋商小组应当及时以书面形式同时通知所有参加磋商的投标单位。</w:t>
      </w:r>
    </w:p>
    <w:p>
      <w:pPr>
        <w:pStyle w:val="2"/>
        <w:spacing w:line="360" w:lineRule="auto"/>
        <w:ind w:firstLine="480"/>
        <w:rPr>
          <w:rFonts w:hint="eastAsia" w:ascii="宋体" w:hAnsi="宋体" w:eastAsia="宋体" w:cs="宋体"/>
          <w:bCs/>
          <w:sz w:val="24"/>
          <w:szCs w:val="24"/>
          <w:highlight w:val="white"/>
          <w:lang w:eastAsia="zh-CN"/>
        </w:rPr>
      </w:pPr>
      <w:r>
        <w:rPr>
          <w:rFonts w:hint="eastAsia" w:ascii="宋体" w:hAnsi="宋体" w:cs="宋体"/>
          <w:bCs/>
          <w:sz w:val="24"/>
          <w:szCs w:val="24"/>
          <w:highlight w:val="white"/>
        </w:rPr>
        <w:t>　　5.6.4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p>
    <w:p>
      <w:pPr>
        <w:pStyle w:val="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　  5.6.5磋商文件能够详细列明采购标的的技术、服务要求的，磋商结束后，磋商小组应当要求所有实质性响应的投标单位在规定时间内提交最后报价，提交最后报价的投标单位不得少于2家。</w:t>
      </w:r>
    </w:p>
    <w:p>
      <w:pPr>
        <w:pStyle w:val="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5.5.6磋商文件不能详细列明采购标的的技术、服务要求，需经磋商由投标单位提供最终设计方案或解决方案的，磋商结束后，磋商小组应当按照少数服从多数的原则投票推荐2家以上投标单位的设计方案或者解决方案，并要求其在规定时间内提交最后报价。</w:t>
      </w:r>
    </w:p>
    <w:p>
      <w:pPr>
        <w:pStyle w:val="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5.6.7已提交响应文件的投标单位，在提交最后报价之前，可以根据磋商情况退出磋商。其磋商保证金将予以退还。</w:t>
      </w:r>
    </w:p>
    <w:p>
      <w:pPr>
        <w:widowControl/>
        <w:spacing w:line="360" w:lineRule="auto"/>
        <w:ind w:firstLine="480" w:firstLineChars="200"/>
        <w:textAlignment w:val="baseline"/>
        <w:rPr>
          <w:rFonts w:ascii="宋体" w:hAnsi="宋体" w:cs="宋体"/>
          <w:bCs/>
          <w:sz w:val="24"/>
          <w:szCs w:val="24"/>
          <w:highlight w:val="white"/>
        </w:rPr>
      </w:pPr>
      <w:r>
        <w:rPr>
          <w:rFonts w:hint="eastAsia" w:ascii="宋体" w:hAnsi="宋体" w:cs="宋体"/>
          <w:bCs/>
          <w:sz w:val="24"/>
          <w:szCs w:val="24"/>
          <w:highlight w:val="white"/>
        </w:rPr>
        <w:t>5.6.8最后报价是投标单位响应文件的有效组成部分。符合本办法第三条第四项情形的，提交最后报价的投标单位可以为2家。</w:t>
      </w:r>
    </w:p>
    <w:p>
      <w:pPr>
        <w:pStyle w:val="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5.6.9经磋商确定最终采购需求和提交最后报价的投标单位后，由磋商小组采用综合评分法对提交最后报价的投标单位的响应文件和最后报价进行综合评分。</w:t>
      </w:r>
    </w:p>
    <w:p>
      <w:pPr>
        <w:pStyle w:val="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5.6.10采购结果确认</w:t>
      </w:r>
    </w:p>
    <w:p>
      <w:pPr>
        <w:pStyle w:val="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1）磋商小组按照采购文件确定的评标方法、步骤、标准，对响应文件进行评审。按评审后得分由高到底顺序排列。得分相同的，按投标单位报价由低到高的顺序排列。得分且报价相同的，按技术指标优劣顺序排列。磋商小组依据对各响应文件的评审结果，按各投标单位的得分由高到低的顺序向采购人推荐成交候选投标单位。</w:t>
      </w:r>
    </w:p>
    <w:p>
      <w:pPr>
        <w:pStyle w:val="22"/>
        <w:adjustRightInd w:val="0"/>
        <w:snapToGrid w:val="0"/>
        <w:spacing w:line="360" w:lineRule="auto"/>
        <w:ind w:firstLine="480" w:firstLineChars="200"/>
        <w:rPr>
          <w:rFonts w:hAnsi="宋体" w:cs="宋体"/>
          <w:bCs/>
          <w:sz w:val="24"/>
          <w:szCs w:val="24"/>
          <w:highlight w:val="white"/>
        </w:rPr>
      </w:pPr>
      <w:r>
        <w:rPr>
          <w:rFonts w:hint="eastAsia" w:hAnsi="宋体" w:cs="宋体"/>
          <w:bCs/>
          <w:sz w:val="24"/>
          <w:szCs w:val="24"/>
          <w:highlight w:val="white"/>
        </w:rPr>
        <w:t>5.7.公示或公告</w:t>
      </w:r>
    </w:p>
    <w:p>
      <w:pPr>
        <w:tabs>
          <w:tab w:val="left" w:pos="1875"/>
        </w:tabs>
        <w:adjustRightInd w:val="0"/>
        <w:snapToGrid w:val="0"/>
        <w:spacing w:line="360" w:lineRule="auto"/>
        <w:ind w:firstLine="480" w:firstLineChars="200"/>
        <w:rPr>
          <w:rFonts w:ascii="宋体" w:hAnsi="宋体" w:cs="宋体"/>
          <w:bCs/>
          <w:color w:val="FF0000"/>
          <w:kern w:val="0"/>
          <w:sz w:val="24"/>
          <w:szCs w:val="24"/>
        </w:rPr>
      </w:pPr>
      <w:r>
        <w:rPr>
          <w:rFonts w:hint="eastAsia" w:ascii="宋体" w:hAnsi="宋体" w:cs="宋体"/>
          <w:bCs/>
          <w:sz w:val="24"/>
          <w:szCs w:val="24"/>
          <w:highlight w:val="white"/>
        </w:rPr>
        <w:t>5.7.1成交投标单位确定后，采购代理机构将在政府采购监管部门指定的媒体上发布成交公告，同时向成交投标单位发出《成交通知书》。《成交通知书》是合同的组成部分,对成交投标单位和采购人具有同等法律效力。</w:t>
      </w:r>
      <w:bookmarkStart w:id="43" w:name="_Toc293736015"/>
      <w:bookmarkStart w:id="44" w:name="_Toc293738996"/>
      <w:bookmarkStart w:id="45" w:name="_Toc446599315"/>
      <w:bookmarkStart w:id="46" w:name="_Toc293736058"/>
    </w:p>
    <w:p>
      <w:pPr>
        <w:pStyle w:val="4"/>
        <w:rPr>
          <w:rFonts w:ascii="宋体" w:hAnsi="宋体" w:cs="宋体"/>
          <w:sz w:val="24"/>
          <w:szCs w:val="24"/>
          <w:highlight w:val="green"/>
        </w:rPr>
      </w:pPr>
      <w:bookmarkStart w:id="47" w:name="_Toc17108"/>
      <w:bookmarkStart w:id="48" w:name="_Toc9991"/>
      <w:r>
        <w:rPr>
          <w:rFonts w:hint="eastAsia" w:ascii="宋体" w:hAnsi="宋体" w:cs="宋体"/>
          <w:sz w:val="24"/>
          <w:szCs w:val="24"/>
        </w:rPr>
        <w:t>六、 授予合同</w:t>
      </w:r>
      <w:bookmarkEnd w:id="43"/>
      <w:bookmarkEnd w:id="44"/>
      <w:bookmarkEnd w:id="45"/>
      <w:bookmarkEnd w:id="46"/>
      <w:bookmarkEnd w:id="47"/>
      <w:bookmarkEnd w:id="48"/>
    </w:p>
    <w:p>
      <w:pPr>
        <w:pStyle w:val="22"/>
        <w:adjustRightInd w:val="0"/>
        <w:snapToGrid w:val="0"/>
        <w:spacing w:line="360" w:lineRule="auto"/>
        <w:ind w:firstLine="480" w:firstLineChars="200"/>
        <w:rPr>
          <w:rFonts w:hAnsi="宋体" w:cs="宋体"/>
          <w:bCs/>
          <w:sz w:val="24"/>
          <w:szCs w:val="24"/>
          <w:highlight w:val="white"/>
        </w:rPr>
      </w:pPr>
      <w:r>
        <w:rPr>
          <w:rFonts w:hint="eastAsia" w:hAnsi="宋体" w:cs="宋体"/>
          <w:bCs/>
          <w:sz w:val="24"/>
          <w:szCs w:val="24"/>
          <w:highlight w:val="white"/>
        </w:rPr>
        <w:t>6.1 签订合同</w:t>
      </w:r>
    </w:p>
    <w:p>
      <w:pPr>
        <w:tabs>
          <w:tab w:val="left" w:pos="1875"/>
        </w:tabs>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6.1.1采购人应在成交通知书发出后30日内，根据成交结果和磋商文件、响应文件及有关补遗文件签订合同。</w:t>
      </w:r>
    </w:p>
    <w:p>
      <w:pPr>
        <w:tabs>
          <w:tab w:val="left" w:pos="1875"/>
        </w:tabs>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6.1.2采购人应按磋商文件要求和中标人的响应文件承诺订立书面合同，不得超出磋商文件和中标人响应文件的范围，也不得再另行订立背离合同实质性内容的其他协议。</w:t>
      </w:r>
    </w:p>
    <w:p>
      <w:pPr>
        <w:tabs>
          <w:tab w:val="left" w:pos="1875"/>
        </w:tabs>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6.1.3采购人应在《中标通知书》发出之日起30天内与中标人签订合同。签订政府采购合同后7个工作日内，采购人应将报相关部门和政府采购代理机构备案。</w:t>
      </w:r>
    </w:p>
    <w:p>
      <w:pPr>
        <w:rPr>
          <w:highlight w:val="green"/>
        </w:rPr>
      </w:pPr>
    </w:p>
    <w:p>
      <w:pPr>
        <w:pStyle w:val="4"/>
        <w:rPr>
          <w:rFonts w:ascii="宋体" w:hAnsi="宋体" w:cs="宋体"/>
          <w:sz w:val="24"/>
          <w:szCs w:val="24"/>
        </w:rPr>
      </w:pPr>
      <w:bookmarkStart w:id="49" w:name="_Toc446599316"/>
      <w:bookmarkStart w:id="50" w:name="_Toc293736016"/>
      <w:bookmarkStart w:id="51" w:name="_Toc293738997"/>
      <w:bookmarkStart w:id="52" w:name="_Toc293736059"/>
      <w:bookmarkStart w:id="53" w:name="_Toc30278"/>
      <w:bookmarkStart w:id="54" w:name="_Toc6301"/>
      <w:r>
        <w:rPr>
          <w:rFonts w:hint="eastAsia" w:ascii="宋体" w:hAnsi="宋体" w:cs="宋体"/>
          <w:sz w:val="24"/>
          <w:szCs w:val="24"/>
        </w:rPr>
        <w:t>七、质疑</w:t>
      </w:r>
      <w:bookmarkEnd w:id="49"/>
      <w:bookmarkEnd w:id="50"/>
      <w:bookmarkEnd w:id="51"/>
      <w:bookmarkEnd w:id="52"/>
      <w:r>
        <w:rPr>
          <w:rFonts w:hint="eastAsia" w:ascii="宋体" w:hAnsi="宋体" w:cs="宋体"/>
          <w:sz w:val="24"/>
          <w:szCs w:val="24"/>
        </w:rPr>
        <w:t>和投诉</w:t>
      </w:r>
      <w:bookmarkEnd w:id="53"/>
      <w:bookmarkEnd w:id="54"/>
    </w:p>
    <w:p>
      <w:pPr>
        <w:wordWrap w:val="0"/>
        <w:spacing w:line="360" w:lineRule="auto"/>
        <w:ind w:firstLine="480" w:firstLineChars="200"/>
        <w:rPr>
          <w:rFonts w:ascii="宋体" w:hAnsi="宋体" w:cs="宋体"/>
          <w:bCs/>
          <w:sz w:val="24"/>
          <w:szCs w:val="24"/>
        </w:rPr>
      </w:pPr>
      <w:bookmarkStart w:id="55" w:name="_Toc293738998"/>
      <w:bookmarkStart w:id="56" w:name="_Toc293736060"/>
      <w:bookmarkStart w:id="57" w:name="_Toc293736017"/>
      <w:bookmarkStart w:id="58" w:name="_Toc294515577"/>
      <w:bookmarkStart w:id="59" w:name="_Toc446599317"/>
      <w:r>
        <w:rPr>
          <w:rFonts w:hint="eastAsia" w:ascii="宋体" w:hAnsi="宋体" w:cs="宋体"/>
          <w:bCs/>
          <w:sz w:val="24"/>
          <w:szCs w:val="24"/>
        </w:rPr>
        <w:t>7.1质疑</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7.1.1投标单位提出质疑应当符合以下条件：</w:t>
      </w:r>
    </w:p>
    <w:p>
      <w:pPr>
        <w:pStyle w:val="2"/>
        <w:wordWrap w:val="0"/>
        <w:spacing w:line="360" w:lineRule="auto"/>
        <w:ind w:firstLine="480"/>
        <w:rPr>
          <w:rFonts w:ascii="宋体" w:hAnsi="宋体" w:cs="宋体"/>
          <w:bCs/>
          <w:sz w:val="24"/>
          <w:szCs w:val="24"/>
        </w:rPr>
      </w:pPr>
      <w:r>
        <w:rPr>
          <w:rFonts w:hint="eastAsia" w:ascii="宋体" w:hAnsi="宋体" w:cs="宋体"/>
          <w:bCs/>
          <w:sz w:val="24"/>
          <w:szCs w:val="24"/>
        </w:rPr>
        <w:t>如果投标单位对此次采购活动有疑问，可依据《政府采购法》等相关规定，在规定的时间内以书面形式向采购人或代理机构提出质疑。质疑书应当包括下列主要内容：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（1）质疑人的名称、地址、电话等；</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（2）质疑人法人签章和单位公章；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（3）具体的质疑事项及事实依据；</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（4）明确的请求和必要（合法来源）的证明材料；</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（5）以联合体形式参与资格预审的，则必须联合体各方共同签署、盖章；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（6）提起质疑的日期。</w:t>
      </w:r>
    </w:p>
    <w:p>
      <w:pPr>
        <w:pStyle w:val="2"/>
        <w:wordWrap w:val="0"/>
        <w:spacing w:line="360" w:lineRule="auto"/>
        <w:ind w:firstLine="480"/>
        <w:rPr>
          <w:rFonts w:ascii="宋体" w:hAnsi="宋体" w:cs="宋体"/>
          <w:bCs/>
          <w:sz w:val="24"/>
          <w:szCs w:val="24"/>
        </w:rPr>
      </w:pPr>
      <w:r>
        <w:rPr>
          <w:rFonts w:hint="eastAsia" w:ascii="宋体" w:hAnsi="宋体" w:cs="宋体"/>
          <w:bCs/>
          <w:sz w:val="24"/>
          <w:szCs w:val="24"/>
        </w:rPr>
        <w:t>特注：未按上述程序规定的必备内容进行质疑的，采购人或代理机构将不予以受理。</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7.1.4被质疑人应当在受理质疑后7个工作日内作出答复，并以书面形式通知质疑人和其他有关投标单位，答复内容仅限于投标单位所质疑的内容，不得涉及国家秘密和商业秘密。</w:t>
      </w:r>
    </w:p>
    <w:p>
      <w:pPr>
        <w:spacing w:line="360" w:lineRule="auto"/>
        <w:ind w:firstLine="480" w:firstLineChars="200"/>
        <w:rPr>
          <w:rFonts w:ascii="宋体" w:hAnsi="宋体" w:cs="宋体"/>
          <w:bCs/>
          <w:sz w:val="24"/>
          <w:szCs w:val="24"/>
        </w:rPr>
      </w:pPr>
      <w:bookmarkStart w:id="60" w:name="_Toc483174929"/>
      <w:bookmarkStart w:id="61" w:name="_Toc9365"/>
      <w:bookmarkStart w:id="62" w:name="_Toc450546725"/>
      <w:bookmarkStart w:id="63" w:name="_Toc456336161"/>
      <w:r>
        <w:rPr>
          <w:rFonts w:hint="eastAsia" w:ascii="宋体" w:hAnsi="宋体" w:cs="宋体"/>
          <w:bCs/>
          <w:sz w:val="24"/>
          <w:szCs w:val="24"/>
        </w:rPr>
        <w:t>7.2投诉</w:t>
      </w:r>
      <w:bookmarkEnd w:id="60"/>
      <w:bookmarkEnd w:id="61"/>
      <w:bookmarkEnd w:id="62"/>
      <w:bookmarkEnd w:id="63"/>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7.2.1质疑人如对被质疑人的质疑回复不满意或在规定时间内未做出回复的，可在答复期满后15个工作日内向本项目管辖内的政府采购监督部门提起投诉。投标单位投诉应当有明确的请求和必要的证明材料。</w:t>
      </w:r>
    </w:p>
    <w:p>
      <w:pPr>
        <w:wordWrap w:val="0"/>
        <w:topLinePunct/>
        <w:spacing w:line="360" w:lineRule="auto"/>
        <w:ind w:firstLine="480" w:firstLineChars="200"/>
        <w:rPr>
          <w:rFonts w:ascii="宋体" w:hAnsi="宋体" w:cs="宋体"/>
          <w:bCs/>
          <w:sz w:val="24"/>
          <w:szCs w:val="24"/>
          <w:highlight w:val="green"/>
        </w:rPr>
      </w:pPr>
      <w:r>
        <w:rPr>
          <w:rFonts w:hint="eastAsia" w:ascii="宋体" w:hAnsi="宋体" w:cs="宋体"/>
          <w:bCs/>
          <w:sz w:val="24"/>
          <w:szCs w:val="24"/>
        </w:rPr>
        <w:t>7.2.2投诉人提起投诉应符合以下条件：</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(1)投诉人应是参与项目的投标单位；</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(2)投诉前已依法进行质疑；</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(3)投诉书内容符合中华人民共和国财政部20号令《政府采购投标单位投诉处理办法》的规定；</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(4)在投诉有效期内；</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(5)同一投诉事项未经处理的；</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lang w:val="en-GB"/>
        </w:rPr>
        <w:t>(6)</w:t>
      </w:r>
      <w:r>
        <w:rPr>
          <w:rFonts w:hint="eastAsia" w:ascii="宋体" w:hAnsi="宋体" w:cs="宋体"/>
          <w:bCs/>
          <w:sz w:val="24"/>
          <w:szCs w:val="24"/>
        </w:rPr>
        <w:t>相关法律、法规和省级以上人民政府财政部门规定的其他条件。</w:t>
      </w:r>
    </w:p>
    <w:p>
      <w:pPr>
        <w:wordWrap w:val="0"/>
        <w:topLinePunct/>
        <w:spacing w:line="360" w:lineRule="auto"/>
        <w:ind w:firstLine="480" w:firstLineChars="200"/>
        <w:rPr>
          <w:rFonts w:ascii="宋体" w:hAnsi="宋体" w:cs="宋体"/>
          <w:bCs/>
          <w:sz w:val="24"/>
          <w:szCs w:val="24"/>
          <w:highlight w:val="green"/>
        </w:rPr>
      </w:pPr>
      <w:r>
        <w:rPr>
          <w:rFonts w:hint="eastAsia" w:ascii="宋体" w:hAnsi="宋体" w:cs="宋体"/>
          <w:bCs/>
          <w:sz w:val="24"/>
          <w:szCs w:val="24"/>
        </w:rPr>
        <w:t>7.2.3投标单位投诉时，应当当面提交投诉书，投诉书应当包括下列主要内容：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(1)投诉人的姓名或者名称、住所、联系方式及相关证明；</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(2)被投诉人的名称、住所、联系方式；</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(3)具体的投诉事项、事实根据和法律依据；</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(4)质疑和质疑答复情况及相关证明材料；</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(5)提起投诉的日期。</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投诉人为自然人的，应当由本人签字。投诉人为法人的，应当由其法定代表人签字并加盖单位公章。投诉人为其他组织的，应当由其主要负责人签字盖章并加盖单位公章。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7.2.5投诉人不符合上述规定提起的投诉，政府采购监督部门不予受理。</w:t>
      </w:r>
    </w:p>
    <w:p>
      <w:pPr>
        <w:pStyle w:val="4"/>
        <w:rPr>
          <w:rFonts w:ascii="宋体" w:hAnsi="宋体" w:cs="宋体"/>
          <w:b w:val="0"/>
          <w:bCs/>
          <w:kern w:val="0"/>
          <w:sz w:val="24"/>
          <w:szCs w:val="24"/>
        </w:rPr>
      </w:pPr>
      <w:bookmarkStart w:id="64" w:name="_Toc21328"/>
      <w:bookmarkStart w:id="65" w:name="_Toc28310"/>
      <w:r>
        <w:rPr>
          <w:rFonts w:hint="eastAsia" w:ascii="宋体" w:hAnsi="宋体" w:cs="宋体"/>
          <w:sz w:val="24"/>
          <w:szCs w:val="24"/>
        </w:rPr>
        <w:t>八、项目验收</w:t>
      </w:r>
      <w:bookmarkEnd w:id="55"/>
      <w:bookmarkEnd w:id="56"/>
      <w:bookmarkEnd w:id="57"/>
      <w:bookmarkEnd w:id="58"/>
      <w:bookmarkEnd w:id="59"/>
      <w:bookmarkEnd w:id="64"/>
      <w:bookmarkEnd w:id="65"/>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8.1采购单位按照政府采购合同规定的技术、服务、安全标准对投标单位履约情况进行验收，并出具验收书。验收书包括每一项技术、服务、安全标准的履约情况。</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8.2验收标准:磋商文件、响应文件、政府采购合同规定的标准。</w:t>
      </w:r>
    </w:p>
    <w:p>
      <w:pPr>
        <w:pStyle w:val="4"/>
        <w:rPr>
          <w:rFonts w:ascii="宋体" w:hAnsi="宋体" w:cs="宋体"/>
          <w:sz w:val="24"/>
          <w:szCs w:val="24"/>
        </w:rPr>
      </w:pPr>
      <w:bookmarkStart w:id="66" w:name="_Toc29378"/>
      <w:bookmarkStart w:id="67" w:name="_Toc446599318"/>
      <w:bookmarkStart w:id="68" w:name="_Toc293738999"/>
      <w:bookmarkStart w:id="69" w:name="_Toc19629"/>
      <w:bookmarkStart w:id="70" w:name="_Toc293736061"/>
      <w:bookmarkStart w:id="71" w:name="_Toc293736018"/>
      <w:r>
        <w:rPr>
          <w:rFonts w:hint="eastAsia" w:ascii="宋体" w:hAnsi="宋体" w:cs="宋体"/>
          <w:sz w:val="24"/>
          <w:szCs w:val="24"/>
        </w:rPr>
        <w:t>九、适用法律</w:t>
      </w:r>
      <w:bookmarkEnd w:id="66"/>
      <w:bookmarkEnd w:id="67"/>
      <w:bookmarkEnd w:id="68"/>
      <w:bookmarkEnd w:id="69"/>
      <w:bookmarkEnd w:id="70"/>
      <w:bookmarkEnd w:id="71"/>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9.1招标采购单位和投标单位的一切招标投标活动均适用于《政府采购法》、《政府采购实施条例》、《政府采购竞争性磋商采购方式管理办法》等相关规定。</w:t>
      </w:r>
    </w:p>
    <w:p>
      <w:pPr>
        <w:autoSpaceDE w:val="0"/>
        <w:autoSpaceDN w:val="0"/>
        <w:spacing w:line="360" w:lineRule="auto"/>
        <w:ind w:firstLine="480" w:firstLineChars="200"/>
        <w:contextualSpacing/>
        <w:rPr>
          <w:rFonts w:ascii="宋体" w:hAnsi="宋体" w:cs="宋体"/>
          <w:bCs/>
          <w:color w:val="FF0000"/>
          <w:sz w:val="24"/>
          <w:szCs w:val="24"/>
        </w:rPr>
      </w:pPr>
    </w:p>
    <w:p>
      <w:pPr>
        <w:pStyle w:val="4"/>
        <w:rPr>
          <w:rFonts w:ascii="宋体" w:hAnsi="宋体" w:cs="宋体"/>
          <w:sz w:val="24"/>
          <w:szCs w:val="24"/>
        </w:rPr>
      </w:pPr>
      <w:bookmarkStart w:id="72" w:name="_Toc437611460"/>
      <w:bookmarkStart w:id="73" w:name="_Toc278891599"/>
      <w:bookmarkStart w:id="74" w:name="_Toc12755"/>
      <w:bookmarkStart w:id="75" w:name="_Toc446599319"/>
      <w:bookmarkStart w:id="76" w:name="_Toc272247702"/>
      <w:bookmarkStart w:id="77" w:name="_Toc23207"/>
      <w:r>
        <w:rPr>
          <w:rFonts w:hint="eastAsia" w:ascii="宋体" w:hAnsi="宋体" w:cs="宋体"/>
          <w:sz w:val="24"/>
          <w:szCs w:val="24"/>
        </w:rPr>
        <w:t>十、磋商文件的解释权</w:t>
      </w:r>
      <w:bookmarkEnd w:id="72"/>
      <w:bookmarkEnd w:id="73"/>
      <w:bookmarkEnd w:id="74"/>
      <w:bookmarkEnd w:id="75"/>
      <w:bookmarkEnd w:id="76"/>
      <w:bookmarkEnd w:id="77"/>
    </w:p>
    <w:p>
      <w:pPr>
        <w:pStyle w:val="2"/>
        <w:spacing w:line="360" w:lineRule="auto"/>
        <w:ind w:firstLine="480"/>
        <w:rPr>
          <w:rFonts w:ascii="宋体" w:hAnsi="宋体" w:cs="宋体"/>
          <w:bCs/>
          <w:sz w:val="24"/>
          <w:szCs w:val="24"/>
        </w:rPr>
      </w:pPr>
      <w:r>
        <w:rPr>
          <w:rFonts w:hint="eastAsia" w:ascii="宋体" w:hAnsi="宋体" w:cs="宋体"/>
          <w:bCs/>
          <w:sz w:val="24"/>
          <w:szCs w:val="24"/>
        </w:rPr>
        <w:t>10.1本项目磋商文件的最终解释权为采购单位所有。</w:t>
      </w:r>
    </w:p>
    <w:p>
      <w:pPr>
        <w:pStyle w:val="4"/>
        <w:rPr>
          <w:rFonts w:ascii="宋体" w:hAnsi="宋体" w:cs="宋体"/>
          <w:sz w:val="24"/>
          <w:szCs w:val="24"/>
        </w:rPr>
      </w:pPr>
      <w:bookmarkStart w:id="78" w:name="_Toc437611461"/>
      <w:bookmarkStart w:id="79" w:name="_Toc26060"/>
      <w:bookmarkStart w:id="80" w:name="_Toc446599320"/>
      <w:bookmarkStart w:id="81" w:name="_Toc21111"/>
      <w:r>
        <w:rPr>
          <w:rFonts w:hint="eastAsia" w:ascii="宋体" w:hAnsi="宋体" w:cs="宋体"/>
          <w:sz w:val="24"/>
          <w:szCs w:val="24"/>
        </w:rPr>
        <w:t>十一、其他注意事项</w:t>
      </w:r>
      <w:bookmarkEnd w:id="78"/>
      <w:bookmarkEnd w:id="79"/>
      <w:bookmarkEnd w:id="80"/>
      <w:bookmarkEnd w:id="81"/>
    </w:p>
    <w:p>
      <w:pPr>
        <w:pStyle w:val="2"/>
        <w:spacing w:line="360" w:lineRule="auto"/>
        <w:ind w:firstLine="480"/>
        <w:rPr>
          <w:rFonts w:ascii="宋体" w:hAnsi="宋体" w:cs="宋体"/>
          <w:bCs/>
          <w:sz w:val="24"/>
          <w:szCs w:val="24"/>
        </w:rPr>
      </w:pPr>
      <w:r>
        <w:rPr>
          <w:rFonts w:hint="eastAsia" w:ascii="宋体" w:hAnsi="宋体" w:cs="宋体"/>
          <w:bCs/>
          <w:sz w:val="24"/>
          <w:szCs w:val="24"/>
        </w:rPr>
        <w:t>11.1单位负责人为同一人或者存在直接控股、管理关系的不同投标单位，不得参加同一合同项下的政府采购活动。</w:t>
      </w:r>
    </w:p>
    <w:p>
      <w:pPr>
        <w:pStyle w:val="2"/>
        <w:spacing w:line="360" w:lineRule="auto"/>
        <w:ind w:firstLine="480"/>
        <w:rPr>
          <w:rFonts w:ascii="宋体" w:hAnsi="宋体" w:cs="宋体"/>
          <w:bCs/>
          <w:sz w:val="24"/>
          <w:szCs w:val="24"/>
        </w:rPr>
      </w:pPr>
      <w:r>
        <w:rPr>
          <w:rFonts w:hint="eastAsia" w:ascii="宋体" w:hAnsi="宋体" w:cs="宋体"/>
          <w:bCs/>
          <w:sz w:val="24"/>
          <w:szCs w:val="24"/>
        </w:rPr>
        <w:t>11.2投标单位为采购项目提供整体设计、规范编制或者项目管理、监理、检测等服务的投标单位，不得再参加该采购项目的其他采购活动。</w:t>
      </w:r>
    </w:p>
    <w:p>
      <w:pPr>
        <w:pStyle w:val="2"/>
        <w:spacing w:line="360" w:lineRule="auto"/>
        <w:ind w:firstLine="480"/>
        <w:rPr>
          <w:rFonts w:ascii="宋体" w:hAnsi="宋体" w:cs="宋体"/>
          <w:bCs/>
          <w:sz w:val="24"/>
          <w:szCs w:val="24"/>
        </w:rPr>
      </w:pPr>
      <w:r>
        <w:rPr>
          <w:rFonts w:hint="eastAsia" w:ascii="宋体" w:hAnsi="宋体" w:cs="宋体"/>
          <w:bCs/>
          <w:sz w:val="24"/>
          <w:szCs w:val="24"/>
        </w:rPr>
        <w:t>11.3政府采购法第二十二条第一款第五项所称重大违法记录，是指投标单位因违法经营受到刑事处罚或者责令停产停业、吊销许可证或者执照、较大数额罚款等行政处罚。</w:t>
      </w:r>
    </w:p>
    <w:p>
      <w:pPr>
        <w:pStyle w:val="2"/>
        <w:spacing w:line="360" w:lineRule="auto"/>
        <w:ind w:firstLine="480"/>
        <w:rPr>
          <w:rFonts w:ascii="宋体" w:hAnsi="宋体" w:cs="宋体"/>
          <w:bCs/>
          <w:sz w:val="24"/>
          <w:szCs w:val="24"/>
        </w:rPr>
      </w:pPr>
      <w:r>
        <w:rPr>
          <w:rFonts w:hint="eastAsia" w:ascii="宋体" w:hAnsi="宋体" w:cs="宋体"/>
          <w:bCs/>
          <w:sz w:val="24"/>
          <w:szCs w:val="24"/>
        </w:rPr>
        <w:t>11.4按照财政部《关于规范政府采购行政处罚有关问题的通知》的规定，各级人民政府财政部门依法对参加政府采购活动的投标单位作出的禁止参加政府采购活动等行政处罚决定在全国范围内生效。</w:t>
      </w:r>
    </w:p>
    <w:p>
      <w:pPr>
        <w:pStyle w:val="2"/>
        <w:spacing w:line="360" w:lineRule="auto"/>
        <w:ind w:firstLine="480"/>
        <w:rPr>
          <w:rFonts w:hint="eastAsia" w:hAnsi="宋体" w:eastAsia="宋体" w:cs="宋体"/>
          <w:color w:val="FF0000"/>
          <w:sz w:val="24"/>
          <w:szCs w:val="24"/>
          <w:lang w:eastAsia="zh-CN"/>
        </w:rPr>
        <w:sectPr>
          <w:pgSz w:w="11906" w:h="16838"/>
          <w:pgMar w:top="1440" w:right="1797" w:bottom="1440" w:left="1797" w:header="851" w:footer="992" w:gutter="0"/>
          <w:cols w:space="720" w:num="1"/>
          <w:docGrid w:linePitch="312" w:charSpace="0"/>
        </w:sectPr>
      </w:pPr>
      <w:r>
        <w:rPr>
          <w:rFonts w:hint="eastAsia" w:ascii="宋体" w:hAnsi="宋体" w:cs="宋体"/>
          <w:bCs/>
          <w:sz w:val="24"/>
          <w:szCs w:val="24"/>
        </w:rPr>
        <w:t>11.5投标单位在参加政府采购活动前3年内因违法经营被禁止在一定期限内参加政府采购活动，期限届满的，可以参加政府采购活动</w:t>
      </w:r>
      <w:r>
        <w:rPr>
          <w:rFonts w:hint="eastAsia" w:ascii="宋体" w:hAnsi="宋体" w:cs="宋体"/>
          <w:bCs/>
          <w:sz w:val="24"/>
          <w:szCs w:val="24"/>
          <w:lang w:eastAsia="zh-CN"/>
        </w:rPr>
        <w:t>。</w:t>
      </w:r>
    </w:p>
    <w:p>
      <w:pPr>
        <w:spacing w:line="540" w:lineRule="exact"/>
        <w:rPr>
          <w:color w:val="FF0000"/>
        </w:rPr>
      </w:pPr>
      <w:bookmarkStart w:id="82" w:name="_Toc20901"/>
      <w:bookmarkStart w:id="83" w:name="_Toc446599322"/>
      <w:bookmarkStart w:id="84" w:name="_Toc293739001"/>
      <w:bookmarkStart w:id="85" w:name="_Toc22876"/>
      <w:bookmarkStart w:id="86" w:name="_Toc293736063"/>
      <w:bookmarkStart w:id="87" w:name="_Toc293736020"/>
    </w:p>
    <w:p>
      <w:pPr>
        <w:pStyle w:val="22"/>
        <w:adjustRightInd w:val="0"/>
        <w:snapToGrid w:val="0"/>
        <w:spacing w:line="500" w:lineRule="exact"/>
        <w:ind w:firstLine="2891" w:firstLineChars="900"/>
        <w:rPr>
          <w:b/>
          <w:sz w:val="32"/>
          <w:szCs w:val="32"/>
        </w:rPr>
      </w:pPr>
      <w:r>
        <w:rPr>
          <w:rFonts w:hint="eastAsia"/>
          <w:b/>
          <w:sz w:val="32"/>
          <w:szCs w:val="32"/>
        </w:rPr>
        <w:t>四、评审方法</w:t>
      </w:r>
      <w:bookmarkEnd w:id="82"/>
      <w:bookmarkEnd w:id="83"/>
      <w:bookmarkEnd w:id="84"/>
      <w:bookmarkEnd w:id="85"/>
      <w:bookmarkEnd w:id="86"/>
      <w:bookmarkEnd w:id="87"/>
    </w:p>
    <w:p>
      <w:pPr>
        <w:tabs>
          <w:tab w:val="left" w:pos="420"/>
          <w:tab w:val="left" w:pos="7560"/>
          <w:tab w:val="left" w:pos="7740"/>
          <w:tab w:val="left" w:pos="7920"/>
        </w:tabs>
        <w:adjustRightInd w:val="0"/>
        <w:snapToGrid w:val="0"/>
        <w:spacing w:line="360" w:lineRule="auto"/>
        <w:ind w:firstLine="482" w:firstLineChars="200"/>
        <w:rPr>
          <w:rFonts w:ascii="宋体" w:hAnsi="宋体" w:cs="宋体"/>
          <w:b/>
          <w:sz w:val="24"/>
          <w:szCs w:val="24"/>
        </w:rPr>
      </w:pPr>
      <w:bookmarkStart w:id="88" w:name="_Toc446599330"/>
      <w:bookmarkStart w:id="89" w:name="_Toc293739005"/>
      <w:bookmarkStart w:id="90" w:name="_Toc293736067"/>
      <w:bookmarkStart w:id="91" w:name="_Toc293736024"/>
      <w:r>
        <w:rPr>
          <w:rFonts w:hint="eastAsia" w:ascii="宋体" w:hAnsi="宋体" w:cs="宋体"/>
          <w:b/>
          <w:sz w:val="24"/>
          <w:szCs w:val="24"/>
          <w:highlight w:val="white"/>
        </w:rPr>
        <w:t>一、综合评分</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1.经磋商确定最终采购需求和提交最后报价的投标单位后，由磋商小组采用综合评分法对提交最后报价的投标单位的响应文件和最后报价进行综合评分。</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综合评分法，是指响应文件满足磋商文件全部实质性要求且按评审因素的量化指标评审得分最高的投标单位为成交候选投标单位的评审方法。</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2.评审时，磋商小组各成员应当独立对每个有效响应的文件进行评价、打分，然后汇总每个投标单位每项评分因素的得分。</w:t>
      </w:r>
    </w:p>
    <w:p>
      <w:pPr>
        <w:spacing w:line="360" w:lineRule="auto"/>
        <w:ind w:firstLine="480" w:firstLineChars="200"/>
        <w:rPr>
          <w:rFonts w:ascii="宋体" w:hAnsi="宋体" w:cs="宋体"/>
          <w:sz w:val="24"/>
          <w:szCs w:val="24"/>
          <w:highlight w:val="white"/>
        </w:rPr>
      </w:pPr>
      <w:r>
        <w:rPr>
          <w:rFonts w:hint="eastAsia" w:ascii="宋体" w:hAnsi="宋体" w:cs="宋体"/>
          <w:sz w:val="24"/>
          <w:szCs w:val="24"/>
          <w:highlight w:val="white"/>
        </w:rPr>
        <w:t>3.符合《政府采购竞争性磋商采购方式管理暂行办法》（财库[20</w:t>
      </w:r>
      <w:r>
        <w:rPr>
          <w:rFonts w:hint="eastAsia" w:ascii="宋体" w:hAnsi="宋体" w:cs="宋体"/>
          <w:sz w:val="24"/>
          <w:szCs w:val="24"/>
          <w:highlight w:val="white"/>
          <w:lang w:eastAsia="zh-CN"/>
        </w:rPr>
        <w:t>16</w:t>
      </w:r>
      <w:r>
        <w:rPr>
          <w:rFonts w:hint="eastAsia" w:ascii="宋体" w:hAnsi="宋体" w:cs="宋体"/>
          <w:sz w:val="24"/>
          <w:szCs w:val="24"/>
          <w:highlight w:val="white"/>
        </w:rPr>
        <w:t>]2</w:t>
      </w:r>
      <w:r>
        <w:rPr>
          <w:rFonts w:hint="eastAsia" w:ascii="宋体" w:hAnsi="宋体" w:cs="宋体"/>
          <w:sz w:val="24"/>
          <w:szCs w:val="24"/>
          <w:highlight w:val="white"/>
          <w:lang w:eastAsia="zh-CN"/>
        </w:rPr>
        <w:t>16号</w:t>
      </w:r>
      <w:r>
        <w:rPr>
          <w:rFonts w:hint="eastAsia" w:ascii="宋体" w:hAnsi="宋体" w:cs="宋体"/>
          <w:sz w:val="24"/>
          <w:szCs w:val="24"/>
          <w:highlight w:val="white"/>
        </w:rPr>
        <w:t>）中第三条第三项的规定和执行统一价格标准的项目，其价格不列为评分因素。有特殊情况需要在上述规定范围外设定价格分权重的，应当经本级人民政府财政部门审核同意。</w:t>
      </w:r>
    </w:p>
    <w:p>
      <w:pPr>
        <w:pStyle w:val="16"/>
        <w:rPr>
          <w:highlight w:val="white"/>
        </w:rPr>
      </w:pPr>
    </w:p>
    <w:p>
      <w:pPr>
        <w:rPr>
          <w:highlight w:val="white"/>
        </w:rPr>
      </w:pPr>
    </w:p>
    <w:p>
      <w:pPr>
        <w:pStyle w:val="16"/>
        <w:rPr>
          <w:color w:val="FF0000"/>
          <w:highlight w:val="white"/>
        </w:rPr>
      </w:pPr>
    </w:p>
    <w:p>
      <w:pPr>
        <w:rPr>
          <w:color w:val="FF0000"/>
          <w:highlight w:val="white"/>
        </w:rPr>
      </w:pPr>
    </w:p>
    <w:p>
      <w:pPr>
        <w:pStyle w:val="16"/>
        <w:rPr>
          <w:color w:val="FF0000"/>
          <w:highlight w:val="white"/>
        </w:rPr>
      </w:pPr>
    </w:p>
    <w:p>
      <w:pPr>
        <w:rPr>
          <w:color w:val="FF0000"/>
          <w:highlight w:val="white"/>
        </w:rPr>
      </w:pPr>
    </w:p>
    <w:p>
      <w:pPr>
        <w:pStyle w:val="16"/>
        <w:rPr>
          <w:color w:val="FF0000"/>
          <w:highlight w:val="white"/>
        </w:rPr>
      </w:pPr>
    </w:p>
    <w:p>
      <w:pPr>
        <w:rPr>
          <w:highlight w:val="white"/>
        </w:rPr>
      </w:pPr>
    </w:p>
    <w:p>
      <w:pPr>
        <w:pStyle w:val="16"/>
        <w:rPr>
          <w:highlight w:val="white"/>
        </w:rPr>
      </w:pPr>
    </w:p>
    <w:p>
      <w:pPr>
        <w:rPr>
          <w:highlight w:val="white"/>
        </w:rPr>
      </w:pPr>
    </w:p>
    <w:p>
      <w:pPr>
        <w:pStyle w:val="16"/>
        <w:rPr>
          <w:highlight w:val="white"/>
        </w:rPr>
      </w:pPr>
    </w:p>
    <w:p>
      <w:pPr>
        <w:rPr>
          <w:highlight w:val="white"/>
        </w:rPr>
      </w:pPr>
    </w:p>
    <w:p>
      <w:pPr>
        <w:pStyle w:val="16"/>
        <w:rPr>
          <w:highlight w:val="white"/>
        </w:rPr>
      </w:pPr>
    </w:p>
    <w:p>
      <w:pPr>
        <w:rPr>
          <w:highlight w:val="white"/>
        </w:rPr>
      </w:pPr>
    </w:p>
    <w:p>
      <w:pPr>
        <w:pStyle w:val="16"/>
        <w:rPr>
          <w:highlight w:val="white"/>
        </w:rPr>
      </w:pPr>
    </w:p>
    <w:p>
      <w:pPr>
        <w:rPr>
          <w:highlight w:val="white"/>
        </w:rPr>
      </w:pPr>
    </w:p>
    <w:p>
      <w:pPr>
        <w:pStyle w:val="16"/>
        <w:rPr>
          <w:highlight w:val="white"/>
        </w:rPr>
      </w:pPr>
    </w:p>
    <w:p>
      <w:pPr>
        <w:rPr>
          <w:highlight w:val="white"/>
        </w:rPr>
      </w:pPr>
    </w:p>
    <w:p>
      <w:pPr>
        <w:pStyle w:val="16"/>
        <w:rPr>
          <w:highlight w:val="white"/>
        </w:rPr>
      </w:pPr>
    </w:p>
    <w:p>
      <w:pPr>
        <w:rPr>
          <w:highlight w:val="white"/>
        </w:rPr>
      </w:pPr>
    </w:p>
    <w:p>
      <w:pPr>
        <w:pStyle w:val="5"/>
      </w:pPr>
    </w:p>
    <w:p>
      <w:pPr>
        <w:pStyle w:val="16"/>
        <w:rPr>
          <w:highlight w:val="white"/>
        </w:rPr>
      </w:pPr>
    </w:p>
    <w:p>
      <w:pPr>
        <w:rPr>
          <w:highlight w:val="white"/>
        </w:rPr>
      </w:pPr>
    </w:p>
    <w:p>
      <w:pPr>
        <w:spacing w:line="360" w:lineRule="auto"/>
        <w:ind w:firstLine="482" w:firstLineChars="200"/>
        <w:rPr>
          <w:rFonts w:ascii="宋体" w:hAnsi="宋体" w:cs="宋体"/>
          <w:b/>
          <w:bCs/>
          <w:sz w:val="24"/>
          <w:szCs w:val="24"/>
          <w:highlight w:val="white"/>
        </w:rPr>
      </w:pPr>
      <w:r>
        <w:rPr>
          <w:rFonts w:hint="eastAsia" w:ascii="宋体" w:hAnsi="宋体" w:cs="宋体"/>
          <w:b/>
          <w:bCs/>
          <w:sz w:val="24"/>
          <w:szCs w:val="24"/>
          <w:highlight w:val="white"/>
        </w:rPr>
        <w:t>二.综合评分细则表</w:t>
      </w:r>
    </w:p>
    <w:p>
      <w:pPr>
        <w:pStyle w:val="2"/>
        <w:ind w:firstLine="2972" w:firstLineChars="1000"/>
        <w:rPr>
          <w:rFonts w:ascii="仿宋" w:hAnsi="仿宋" w:eastAsia="仿宋"/>
          <w:spacing w:val="-2"/>
          <w:sz w:val="30"/>
          <w:szCs w:val="30"/>
        </w:rPr>
      </w:pPr>
      <w:bookmarkStart w:id="92" w:name="EB2b9517aba70e41b6b8039ac384a1ee3b"/>
      <w:r>
        <w:rPr>
          <w:rFonts w:hint="eastAsia" w:ascii="仿宋" w:hAnsi="仿宋" w:eastAsia="仿宋"/>
          <w:b/>
          <w:bCs/>
          <w:spacing w:val="-2"/>
          <w:sz w:val="30"/>
          <w:szCs w:val="30"/>
        </w:rPr>
        <w:t>投标文件响应程度初步审查表</w:t>
      </w:r>
    </w:p>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1.资格性审查</w:t>
      </w:r>
    </w:p>
    <w:tbl>
      <w:tblPr>
        <w:tblStyle w:val="36"/>
        <w:tblW w:w="102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3"/>
        <w:gridCol w:w="6964"/>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7507" w:type="dxa"/>
            <w:gridSpan w:val="2"/>
            <w:vMerge w:val="restart"/>
            <w:tcBorders>
              <w:top w:val="single" w:color="auto" w:sz="12"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评审内容</w:t>
            </w:r>
          </w:p>
        </w:tc>
        <w:tc>
          <w:tcPr>
            <w:tcW w:w="2791" w:type="dxa"/>
            <w:gridSpan w:val="4"/>
            <w:tcBorders>
              <w:top w:val="single" w:color="auto" w:sz="12" w:space="0"/>
              <w:left w:val="single" w:color="auto" w:sz="4" w:space="0"/>
              <w:bottom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7507" w:type="dxa"/>
            <w:gridSpan w:val="2"/>
            <w:vMerge w:val="continue"/>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778" w:type="dxa"/>
            <w:tcBorders>
              <w:top w:val="single" w:color="auto" w:sz="4" w:space="0"/>
              <w:left w:val="single" w:color="auto" w:sz="4" w:space="0"/>
              <w:righ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1</w:t>
            </w:r>
          </w:p>
        </w:tc>
        <w:tc>
          <w:tcPr>
            <w:tcW w:w="778" w:type="dxa"/>
            <w:tcBorders>
              <w:top w:val="single" w:color="auto" w:sz="4" w:space="0"/>
              <w:lef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2</w:t>
            </w:r>
          </w:p>
        </w:tc>
        <w:tc>
          <w:tcPr>
            <w:tcW w:w="778" w:type="dxa"/>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3</w:t>
            </w:r>
          </w:p>
        </w:tc>
        <w:tc>
          <w:tcPr>
            <w:tcW w:w="457" w:type="dxa"/>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 w:hRule="atLeast"/>
          <w:jc w:val="center"/>
        </w:trPr>
        <w:tc>
          <w:tcPr>
            <w:tcW w:w="543" w:type="dxa"/>
            <w:vAlign w:val="center"/>
          </w:tcPr>
          <w:p>
            <w:pPr>
              <w:spacing w:line="360" w:lineRule="auto"/>
              <w:ind w:firstLine="480" w:firstLineChars="200"/>
              <w:jc w:val="left"/>
              <w:rPr>
                <w:rFonts w:hint="eastAsia" w:ascii="宋体" w:hAnsi="宋体" w:cs="宋体"/>
                <w:sz w:val="24"/>
                <w:szCs w:val="24"/>
                <w:highlight w:val="white"/>
              </w:rPr>
            </w:pPr>
            <w:r>
              <w:rPr>
                <w:rFonts w:hint="eastAsia" w:ascii="宋体" w:hAnsi="宋体" w:cs="宋体"/>
                <w:sz w:val="24"/>
                <w:szCs w:val="24"/>
                <w:highlight w:val="white"/>
              </w:rPr>
              <w:t>1</w:t>
            </w:r>
          </w:p>
        </w:tc>
        <w:tc>
          <w:tcPr>
            <w:tcW w:w="6964" w:type="dxa"/>
            <w:tcBorders>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有效的工商营业执照副本、税务登记证副本、组织机构代码证本或“三证合一”的营业执照副本，且具备所投标的经营范围；</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3" w:type="dxa"/>
            <w:vAlign w:val="center"/>
          </w:tcPr>
          <w:p>
            <w:pPr>
              <w:spacing w:line="360" w:lineRule="auto"/>
              <w:ind w:firstLine="480" w:firstLineChars="200"/>
              <w:jc w:val="left"/>
              <w:rPr>
                <w:rFonts w:hint="eastAsia" w:ascii="宋体" w:hAnsi="宋体" w:cs="宋体"/>
                <w:sz w:val="24"/>
                <w:szCs w:val="24"/>
                <w:highlight w:val="white"/>
              </w:rPr>
            </w:pPr>
            <w:r>
              <w:rPr>
                <w:rFonts w:hint="eastAsia" w:ascii="宋体" w:hAnsi="宋体" w:cs="宋体"/>
                <w:sz w:val="24"/>
                <w:szCs w:val="24"/>
                <w:highlight w:val="white"/>
              </w:rPr>
              <w:t>2</w:t>
            </w:r>
          </w:p>
        </w:tc>
        <w:tc>
          <w:tcPr>
            <w:tcW w:w="6964" w:type="dxa"/>
            <w:tcBorders>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是否有未被列入失信被执行人、重大税收违法案件当事人名单、政府采购严重违法失信行为记录名单的网页材料;</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3" w:type="dxa"/>
            <w:vAlign w:val="center"/>
          </w:tcPr>
          <w:p>
            <w:pPr>
              <w:spacing w:line="360" w:lineRule="auto"/>
              <w:ind w:firstLine="480" w:firstLineChars="200"/>
              <w:jc w:val="left"/>
              <w:rPr>
                <w:rFonts w:hint="eastAsia" w:ascii="宋体" w:hAnsi="宋体" w:cs="宋体"/>
                <w:sz w:val="24"/>
                <w:szCs w:val="24"/>
                <w:highlight w:val="white"/>
              </w:rPr>
            </w:pPr>
          </w:p>
        </w:tc>
        <w:tc>
          <w:tcPr>
            <w:tcW w:w="6964" w:type="dxa"/>
            <w:tcBorders>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eastAsia="宋体" w:cs="宋体"/>
                <w:bCs/>
                <w:kern w:val="2"/>
                <w:sz w:val="24"/>
                <w:szCs w:val="24"/>
                <w:lang w:val="en-US" w:eastAsia="zh-CN" w:bidi="ar-SA"/>
              </w:rPr>
              <w:t>近6个月内任意2个月的缴纳税收的凭据证明材料扫描件以及缴纳社会保险的凭据证明材料扫描件；刚成立企业提供依法缴纳税收承诺书和依法缴纳社会保障资金承诺函；如依法免税或依法不需要缴纳社会保障资金的，应提供的相应文件证明其依法免税或依法不需要缴纳社会保障资金</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3" w:type="dxa"/>
            <w:vAlign w:val="center"/>
          </w:tcPr>
          <w:p>
            <w:pPr>
              <w:spacing w:line="360" w:lineRule="auto"/>
              <w:ind w:firstLine="480" w:firstLineChars="200"/>
              <w:jc w:val="left"/>
              <w:rPr>
                <w:rFonts w:hint="eastAsia" w:ascii="宋体" w:hAnsi="宋体" w:cs="宋体"/>
                <w:sz w:val="24"/>
                <w:szCs w:val="24"/>
                <w:highlight w:val="white"/>
              </w:rPr>
            </w:pPr>
            <w:r>
              <w:rPr>
                <w:rFonts w:hint="eastAsia" w:ascii="宋体" w:hAnsi="宋体" w:cs="宋体"/>
                <w:sz w:val="24"/>
                <w:szCs w:val="24"/>
                <w:highlight w:val="white"/>
              </w:rPr>
              <w:t>3</w:t>
            </w:r>
          </w:p>
        </w:tc>
        <w:tc>
          <w:tcPr>
            <w:tcW w:w="6964" w:type="dxa"/>
            <w:tcBorders>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是否有投标保证金缴纳凭证；</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507" w:type="dxa"/>
            <w:gridSpan w:val="2"/>
            <w:tcBorders>
              <w:bottom w:val="single" w:color="auto" w:sz="12" w:space="0"/>
              <w:right w:val="single" w:color="auto" w:sz="4" w:space="0"/>
            </w:tcBorders>
            <w:vAlign w:val="top"/>
          </w:tcPr>
          <w:p>
            <w:pPr>
              <w:spacing w:line="360" w:lineRule="auto"/>
              <w:ind w:firstLine="480" w:firstLineChars="200"/>
              <w:jc w:val="left"/>
              <w:rPr>
                <w:rFonts w:hint="eastAsia" w:ascii="宋体" w:hAnsi="宋体" w:cs="宋体"/>
                <w:sz w:val="24"/>
                <w:szCs w:val="24"/>
                <w:highlight w:val="white"/>
              </w:rPr>
            </w:pPr>
            <w:r>
              <w:rPr>
                <w:rFonts w:hint="eastAsia" w:ascii="宋体" w:hAnsi="宋体" w:cs="宋体"/>
                <w:sz w:val="24"/>
                <w:szCs w:val="24"/>
                <w:highlight w:val="white"/>
              </w:rPr>
              <w:t>结论：是否通过评审</w:t>
            </w:r>
          </w:p>
        </w:tc>
        <w:tc>
          <w:tcPr>
            <w:tcW w:w="778" w:type="dxa"/>
            <w:tcBorders>
              <w:left w:val="single" w:color="auto" w:sz="4" w:space="0"/>
              <w:bottom w:val="single" w:color="auto" w:sz="12" w:space="0"/>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bottom w:val="single" w:color="auto" w:sz="12" w:space="0"/>
            </w:tcBorders>
            <w:vAlign w:val="top"/>
          </w:tcPr>
          <w:p>
            <w:pPr>
              <w:spacing w:line="440" w:lineRule="exact"/>
              <w:ind w:firstLine="424" w:firstLineChars="180"/>
              <w:rPr>
                <w:rFonts w:ascii="仿宋" w:hAnsi="仿宋" w:eastAsia="仿宋"/>
                <w:spacing w:val="-2"/>
                <w:sz w:val="24"/>
                <w:szCs w:val="24"/>
              </w:rPr>
            </w:pPr>
          </w:p>
        </w:tc>
        <w:tc>
          <w:tcPr>
            <w:tcW w:w="778" w:type="dxa"/>
            <w:tcBorders>
              <w:bottom w:val="single" w:color="auto" w:sz="12" w:space="0"/>
            </w:tcBorders>
            <w:vAlign w:val="top"/>
          </w:tcPr>
          <w:p>
            <w:pPr>
              <w:spacing w:line="440" w:lineRule="exact"/>
              <w:ind w:firstLine="424" w:firstLineChars="180"/>
              <w:rPr>
                <w:rFonts w:ascii="仿宋" w:hAnsi="仿宋" w:eastAsia="仿宋"/>
                <w:spacing w:val="-2"/>
                <w:sz w:val="24"/>
                <w:szCs w:val="24"/>
              </w:rPr>
            </w:pPr>
          </w:p>
        </w:tc>
        <w:tc>
          <w:tcPr>
            <w:tcW w:w="457" w:type="dxa"/>
            <w:tcBorders>
              <w:bottom w:val="single" w:color="auto" w:sz="12" w:space="0"/>
            </w:tcBorders>
            <w:vAlign w:val="top"/>
          </w:tcPr>
          <w:p>
            <w:pPr>
              <w:rPr>
                <w:rFonts w:ascii="仿宋" w:hAnsi="仿宋" w:eastAsia="仿宋"/>
                <w:sz w:val="24"/>
                <w:szCs w:val="24"/>
              </w:rPr>
            </w:pPr>
          </w:p>
        </w:tc>
      </w:tr>
    </w:tbl>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2.符合性审查</w:t>
      </w:r>
    </w:p>
    <w:tbl>
      <w:tblPr>
        <w:tblStyle w:val="36"/>
        <w:tblW w:w="102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6"/>
        <w:gridCol w:w="7098"/>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714" w:type="dxa"/>
            <w:gridSpan w:val="2"/>
            <w:vMerge w:val="restart"/>
            <w:tcBorders>
              <w:top w:val="single" w:color="auto" w:sz="12"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评审内容</w:t>
            </w:r>
          </w:p>
        </w:tc>
        <w:tc>
          <w:tcPr>
            <w:tcW w:w="2535" w:type="dxa"/>
            <w:gridSpan w:val="4"/>
            <w:tcBorders>
              <w:top w:val="single" w:color="auto" w:sz="12" w:space="0"/>
              <w:left w:val="single" w:color="auto" w:sz="4" w:space="0"/>
              <w:bottom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 w:hRule="atLeast"/>
          <w:jc w:val="center"/>
        </w:trPr>
        <w:tc>
          <w:tcPr>
            <w:tcW w:w="7714" w:type="dxa"/>
            <w:gridSpan w:val="2"/>
            <w:vMerge w:val="continue"/>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646" w:type="dxa"/>
            <w:tcBorders>
              <w:top w:val="single" w:color="auto" w:sz="4" w:space="0"/>
              <w:left w:val="single" w:color="auto" w:sz="4" w:space="0"/>
              <w:righ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1</w:t>
            </w:r>
          </w:p>
        </w:tc>
        <w:tc>
          <w:tcPr>
            <w:tcW w:w="646" w:type="dxa"/>
            <w:tcBorders>
              <w:top w:val="single" w:color="auto" w:sz="4" w:space="0"/>
              <w:lef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2</w:t>
            </w:r>
          </w:p>
        </w:tc>
        <w:tc>
          <w:tcPr>
            <w:tcW w:w="646" w:type="dxa"/>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3</w:t>
            </w:r>
          </w:p>
        </w:tc>
        <w:tc>
          <w:tcPr>
            <w:tcW w:w="597" w:type="dxa"/>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1</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2</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是否满足招标文件规定的</w:t>
            </w:r>
            <w:r>
              <w:rPr>
                <w:rFonts w:hint="eastAsia" w:ascii="宋体" w:hAnsi="宋体" w:cs="宋体"/>
                <w:sz w:val="24"/>
                <w:szCs w:val="24"/>
                <w:highlight w:val="white"/>
                <w:lang w:eastAsia="zh-CN"/>
              </w:rPr>
              <w:t>服务</w:t>
            </w:r>
            <w:r>
              <w:rPr>
                <w:rFonts w:hint="eastAsia" w:ascii="宋体" w:hAnsi="宋体" w:cs="宋体"/>
                <w:sz w:val="24"/>
                <w:szCs w:val="24"/>
                <w:highlight w:val="white"/>
              </w:rPr>
              <w:t>期限；</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3</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是否按规定提供法人授权委托书的；</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4</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是否按规定的格式填写，内容不全或关键字迹模糊、无法辨认的；</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5</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投标报价是否超过采购预算金额（或最高限价）；</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val="en-US" w:eastAsia="zh-CN"/>
              </w:rPr>
            </w:pPr>
            <w:r>
              <w:rPr>
                <w:rFonts w:hint="eastAsia" w:ascii="宋体" w:hAnsi="宋体" w:cs="宋体"/>
                <w:sz w:val="24"/>
                <w:szCs w:val="24"/>
                <w:highlight w:val="white"/>
                <w:lang w:val="en-US" w:eastAsia="zh-CN"/>
              </w:rPr>
              <w:t>6</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投标文件是否附有招标人不能接受的条件；</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val="en-US" w:eastAsia="zh-CN"/>
              </w:rPr>
            </w:pPr>
            <w:r>
              <w:rPr>
                <w:rFonts w:hint="eastAsia" w:ascii="宋体" w:hAnsi="宋体" w:cs="宋体"/>
                <w:sz w:val="24"/>
                <w:szCs w:val="24"/>
                <w:highlight w:val="white"/>
                <w:lang w:val="en-US" w:eastAsia="zh-CN"/>
              </w:rPr>
              <w:t>7</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是否有不符合招标文件中规定的其他实质性要求；</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val="en-US" w:eastAsia="zh-CN"/>
              </w:rPr>
            </w:pPr>
            <w:r>
              <w:rPr>
                <w:rFonts w:hint="eastAsia" w:ascii="宋体" w:hAnsi="宋体" w:cs="宋体"/>
                <w:sz w:val="24"/>
                <w:szCs w:val="24"/>
                <w:highlight w:val="white"/>
                <w:lang w:val="en-US" w:eastAsia="zh-CN"/>
              </w:rPr>
              <w:t>8</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投标人是否有违法招标投标纪律的。</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714" w:type="dxa"/>
            <w:gridSpan w:val="2"/>
            <w:tcBorders>
              <w:bottom w:val="single" w:color="auto" w:sz="12" w:space="0"/>
              <w:righ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结论：是否通过评审</w:t>
            </w:r>
          </w:p>
        </w:tc>
        <w:tc>
          <w:tcPr>
            <w:tcW w:w="646" w:type="dxa"/>
            <w:tcBorders>
              <w:left w:val="single" w:color="auto" w:sz="4" w:space="0"/>
              <w:bottom w:val="single" w:color="auto" w:sz="12" w:space="0"/>
              <w:right w:val="single" w:color="auto" w:sz="4" w:space="0"/>
            </w:tcBorders>
            <w:vAlign w:val="top"/>
          </w:tcPr>
          <w:p>
            <w:pPr>
              <w:spacing w:line="360" w:lineRule="auto"/>
              <w:jc w:val="left"/>
              <w:rPr>
                <w:rFonts w:hint="eastAsia" w:ascii="宋体" w:hAnsi="宋体" w:cs="宋体"/>
                <w:sz w:val="24"/>
                <w:szCs w:val="24"/>
                <w:highlight w:val="white"/>
              </w:rPr>
            </w:pPr>
          </w:p>
        </w:tc>
        <w:tc>
          <w:tcPr>
            <w:tcW w:w="646" w:type="dxa"/>
            <w:tcBorders>
              <w:left w:val="single" w:color="auto" w:sz="4" w:space="0"/>
              <w:bottom w:val="single" w:color="auto" w:sz="12" w:space="0"/>
            </w:tcBorders>
            <w:vAlign w:val="top"/>
          </w:tcPr>
          <w:p>
            <w:pPr>
              <w:spacing w:line="360" w:lineRule="auto"/>
              <w:jc w:val="left"/>
              <w:rPr>
                <w:rFonts w:hint="eastAsia" w:ascii="宋体" w:hAnsi="宋体" w:cs="宋体"/>
                <w:sz w:val="24"/>
                <w:szCs w:val="24"/>
                <w:highlight w:val="white"/>
              </w:rPr>
            </w:pPr>
          </w:p>
        </w:tc>
        <w:tc>
          <w:tcPr>
            <w:tcW w:w="646" w:type="dxa"/>
            <w:tcBorders>
              <w:bottom w:val="single" w:color="auto" w:sz="12" w:space="0"/>
            </w:tcBorders>
            <w:vAlign w:val="top"/>
          </w:tcPr>
          <w:p>
            <w:pPr>
              <w:spacing w:line="360" w:lineRule="auto"/>
              <w:jc w:val="left"/>
              <w:rPr>
                <w:rFonts w:hint="eastAsia" w:ascii="宋体" w:hAnsi="宋体" w:cs="宋体"/>
                <w:sz w:val="24"/>
                <w:szCs w:val="24"/>
                <w:highlight w:val="white"/>
              </w:rPr>
            </w:pPr>
          </w:p>
        </w:tc>
        <w:tc>
          <w:tcPr>
            <w:tcW w:w="597" w:type="dxa"/>
            <w:tcBorders>
              <w:bottom w:val="single" w:color="auto" w:sz="12" w:space="0"/>
            </w:tcBorders>
            <w:vAlign w:val="top"/>
          </w:tcPr>
          <w:p>
            <w:pPr>
              <w:spacing w:line="360" w:lineRule="auto"/>
              <w:jc w:val="left"/>
              <w:rPr>
                <w:rFonts w:hint="eastAsia" w:ascii="宋体" w:hAnsi="宋体" w:cs="宋体"/>
                <w:sz w:val="24"/>
                <w:szCs w:val="24"/>
                <w:highlight w:val="white"/>
              </w:rPr>
            </w:pPr>
          </w:p>
        </w:tc>
      </w:tr>
    </w:tbl>
    <w:p>
      <w:pPr>
        <w:pStyle w:val="31"/>
        <w:rPr>
          <w:rFonts w:hint="eastAsia" w:ascii="宋体" w:hAnsi="宋体" w:eastAsia="宋体" w:cs="宋体"/>
          <w:kern w:val="2"/>
          <w:sz w:val="24"/>
          <w:szCs w:val="24"/>
          <w:highlight w:val="white"/>
          <w:lang w:val="en-US" w:eastAsia="zh-CN" w:bidi="ar-SA"/>
        </w:rPr>
      </w:pPr>
    </w:p>
    <w:p>
      <w:pPr>
        <w:pStyle w:val="31"/>
        <w:ind w:firstLine="3600" w:firstLineChars="1500"/>
        <w:rPr>
          <w:rFonts w:hint="eastAsia" w:ascii="宋体" w:hAnsi="宋体" w:eastAsia="宋体" w:cs="宋体"/>
          <w:kern w:val="2"/>
          <w:sz w:val="24"/>
          <w:szCs w:val="24"/>
          <w:highlight w:val="white"/>
          <w:lang w:val="en-US" w:eastAsia="zh-CN" w:bidi="ar-SA"/>
        </w:rPr>
      </w:pPr>
    </w:p>
    <w:p>
      <w:pPr>
        <w:pStyle w:val="31"/>
        <w:numPr>
          <w:ilvl w:val="0"/>
          <w:numId w:val="3"/>
        </w:numPr>
        <w:ind w:left="3120" w:leftChars="0" w:firstLine="0" w:firstLineChars="0"/>
        <w:rPr>
          <w:rFonts w:hint="eastAsia" w:ascii="宋体" w:hAnsi="宋体" w:eastAsia="宋体" w:cs="宋体"/>
          <w:kern w:val="2"/>
          <w:sz w:val="32"/>
          <w:szCs w:val="32"/>
          <w:highlight w:val="white"/>
          <w:lang w:val="en-US" w:eastAsia="zh-CN" w:bidi="ar-SA"/>
        </w:rPr>
      </w:pPr>
      <w:r>
        <w:rPr>
          <w:rFonts w:hint="eastAsia" w:ascii="宋体" w:hAnsi="宋体" w:eastAsia="宋体" w:cs="宋体"/>
          <w:kern w:val="2"/>
          <w:sz w:val="32"/>
          <w:szCs w:val="32"/>
          <w:highlight w:val="white"/>
          <w:lang w:val="en-US" w:eastAsia="zh-CN" w:bidi="ar-SA"/>
        </w:rPr>
        <w:t>详细评审表</w:t>
      </w:r>
    </w:p>
    <w:tbl>
      <w:tblPr>
        <w:tblStyle w:val="36"/>
        <w:tblW w:w="10370" w:type="dxa"/>
        <w:tblInd w:w="-9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4"/>
        <w:gridCol w:w="1281"/>
        <w:gridCol w:w="1281"/>
        <w:gridCol w:w="7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评分因素及权重</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具体指标</w:t>
            </w:r>
          </w:p>
        </w:tc>
        <w:tc>
          <w:tcPr>
            <w:tcW w:w="7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价格部分10%</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投标报价（10分）</w:t>
            </w:r>
          </w:p>
        </w:tc>
        <w:tc>
          <w:tcPr>
            <w:tcW w:w="71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在所有的有效投标报价中，以最低投标报价为基准价，其价格分为满分。其他供应商的报价分统一按下列公式计算：投标报价得分=(评标基准价／投标报价)×价格权值（10%）×10（四舍五入后保留小数点后两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商务部分32%</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项目组成员配置（</w:t>
            </w:r>
            <w:r>
              <w:rPr>
                <w:rFonts w:hint="eastAsia" w:ascii="宋体" w:hAnsi="宋体" w:cs="宋体"/>
                <w:i w:val="0"/>
                <w:iCs w:val="0"/>
                <w:color w:val="000000"/>
                <w:kern w:val="0"/>
                <w:sz w:val="21"/>
                <w:szCs w:val="21"/>
                <w:u w:val="none"/>
                <w:lang w:val="en-US" w:eastAsia="zh-CN" w:bidi="ar"/>
              </w:rPr>
              <w:t>14</w:t>
            </w:r>
            <w:r>
              <w:rPr>
                <w:rFonts w:hint="eastAsia" w:ascii="宋体" w:hAnsi="宋体" w:eastAsia="宋体" w:cs="宋体"/>
                <w:i w:val="0"/>
                <w:iCs w:val="0"/>
                <w:color w:val="000000"/>
                <w:kern w:val="0"/>
                <w:sz w:val="21"/>
                <w:szCs w:val="21"/>
                <w:u w:val="none"/>
                <w:lang w:val="en-US" w:eastAsia="zh-CN" w:bidi="ar"/>
              </w:rPr>
              <w:t>分）</w:t>
            </w:r>
          </w:p>
        </w:tc>
        <w:tc>
          <w:tcPr>
            <w:tcW w:w="71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（1）项目负责人同时具备高级（或高级以上）工程师职称和信息系统项目高级管理师证书的得2分。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（2）项目组成员（除项目负责人外）中具备高级（或高级以上）工程师职称或教授职称的每人得1分，最高得4分。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rPr>
              <w:t>（3）</w:t>
            </w:r>
            <w:r>
              <w:rPr>
                <w:rFonts w:hint="eastAsia" w:ascii="宋体" w:hAnsi="宋体" w:cs="宋体"/>
                <w:i w:val="0"/>
                <w:iCs w:val="0"/>
                <w:color w:val="000000"/>
                <w:sz w:val="21"/>
                <w:szCs w:val="21"/>
                <w:u w:val="none"/>
                <w:lang w:val="en-US" w:eastAsia="zh-CN"/>
              </w:rPr>
              <w:t>项目组参与</w:t>
            </w:r>
            <w:r>
              <w:rPr>
                <w:rFonts w:hint="eastAsia" w:ascii="宋体" w:hAnsi="宋体" w:eastAsia="宋体" w:cs="宋体"/>
                <w:i w:val="0"/>
                <w:iCs w:val="0"/>
                <w:color w:val="000000"/>
                <w:sz w:val="21"/>
                <w:szCs w:val="21"/>
                <w:u w:val="none"/>
              </w:rPr>
              <w:t>参与过自然资源主管部门组织的涉密测绘成果培训，并培训合格</w:t>
            </w:r>
            <w:r>
              <w:rPr>
                <w:rFonts w:hint="eastAsia" w:ascii="宋体" w:hAnsi="宋体" w:cs="宋体"/>
                <w:i w:val="0"/>
                <w:iCs w:val="0"/>
                <w:color w:val="000000"/>
                <w:sz w:val="21"/>
                <w:szCs w:val="21"/>
                <w:u w:val="none"/>
                <w:lang w:val="en-US" w:eastAsia="zh-CN"/>
              </w:rPr>
              <w:t>的每有1人得1分，最高得2分。（需提供主管部门颁发的保密证书或提供培训合格公示名单）。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（3）项目组成员（除项目负责人外）中具备中级职称的每有1人得0.5分，最多得2分。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0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项目组人员数量满足工作需要（15人及以上），专业配备合理专业，技术支持完善，得4分；项目组人员数量基本满足工程需要（10-15人（含10人）），专业配备较合理，技术支持较完善，得2分；项目组人员数量（少于10人）不能满足工程需要，技术支持不够完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类似相关业绩（</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分）</w:t>
            </w:r>
          </w:p>
        </w:tc>
        <w:tc>
          <w:tcPr>
            <w:tcW w:w="71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承担过数据库建库或者平台建设相关业绩，每提供一份得2分，最多得</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分;注：须提供合同扫描件或中标通知书，未提供或提供业绩不清晰的不得分。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企业信誉（3分）</w:t>
            </w:r>
          </w:p>
        </w:tc>
        <w:tc>
          <w:tcPr>
            <w:tcW w:w="7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投标人具有有效的具有IS0 9001质量管理体系认证、IS0 14001环境管理体系认证、IS0 45001职业健康安全管理体系认证，每提供一个得1分，最多得3分。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企业获奖（4分）</w:t>
            </w:r>
          </w:p>
        </w:tc>
        <w:tc>
          <w:tcPr>
            <w:tcW w:w="7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148" w:name="_GoBack"/>
            <w:r>
              <w:rPr>
                <w:rFonts w:hint="eastAsia" w:ascii="宋体" w:hAnsi="宋体" w:eastAsia="宋体" w:cs="宋体"/>
                <w:i w:val="0"/>
                <w:iCs w:val="0"/>
                <w:color w:val="000000"/>
                <w:kern w:val="0"/>
                <w:sz w:val="21"/>
                <w:szCs w:val="21"/>
                <w:u w:val="none"/>
                <w:lang w:val="en-US" w:eastAsia="zh-CN" w:bidi="ar"/>
              </w:rPr>
              <w:t>投标人编制的平台建设项目获得奖项，每一项得</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分，该分项满分</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分；获得过软件著作权，每一获得项得</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分，该分项满分2分；总分</w:t>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分</w:t>
            </w:r>
            <w:bookmarkEnd w:id="14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相关承诺（3分）</w:t>
            </w:r>
          </w:p>
        </w:tc>
        <w:tc>
          <w:tcPr>
            <w:tcW w:w="71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针对本项目服务期、服务总目标等做出的承诺，酌情给分，最多得3分，无承诺不得分。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技术部分58%</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项目实施方案及技术措施（35分）</w:t>
            </w:r>
          </w:p>
        </w:tc>
        <w:tc>
          <w:tcPr>
            <w:tcW w:w="71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根据其项目制定的项目实施方案及技术措施指标响应程度打分，项目实施方案及技术措施指标内容完整、细节明确得35-26分；内容一般，细节一般得25-14分；内容不完整，细节不细致得0-15分.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71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方案及构思（10分）</w:t>
            </w:r>
          </w:p>
        </w:tc>
        <w:tc>
          <w:tcPr>
            <w:tcW w:w="7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对项目基本情况及重点难点分析充分的得10分，基本情况及重点难点分析不充分得5分，基本情况及重点难点分析差的得2分。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质量保障措施（13分）</w:t>
            </w:r>
          </w:p>
        </w:tc>
        <w:tc>
          <w:tcPr>
            <w:tcW w:w="71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保证措施应符合国家相关规定的强制性标准要求，并具有针对性，同时要符合实际情况，切实可行。方案优13-10分，方案良的得9-6分，方案差的得0-5分。</w:t>
            </w:r>
          </w:p>
        </w:tc>
      </w:tr>
    </w:tbl>
    <w:p>
      <w:pPr>
        <w:pStyle w:val="31"/>
        <w:numPr>
          <w:ilvl w:val="0"/>
          <w:numId w:val="0"/>
        </w:numPr>
        <w:rPr>
          <w:rFonts w:hint="eastAsia" w:ascii="宋体" w:hAnsi="宋体" w:eastAsia="宋体" w:cs="宋体"/>
          <w:kern w:val="2"/>
          <w:sz w:val="24"/>
          <w:szCs w:val="24"/>
          <w:highlight w:val="white"/>
          <w:lang w:val="en-US" w:eastAsia="zh-CN" w:bidi="ar-SA"/>
        </w:rPr>
      </w:pPr>
    </w:p>
    <w:p>
      <w:pPr>
        <w:spacing w:line="360" w:lineRule="exact"/>
        <w:rPr>
          <w:rFonts w:hint="eastAsia" w:ascii="宋体" w:hAnsi="宋体" w:cs="宋体"/>
          <w:b/>
          <w:bCs/>
          <w:sz w:val="24"/>
          <w:szCs w:val="24"/>
          <w:highlight w:val="white"/>
        </w:rPr>
      </w:pPr>
      <w:r>
        <w:rPr>
          <w:rFonts w:hint="eastAsia" w:ascii="宋体" w:hAnsi="宋体" w:cs="宋体"/>
          <w:color w:val="000080"/>
          <w:sz w:val="24"/>
          <w:szCs w:val="24"/>
          <w:highlight w:val="white"/>
        </w:rPr>
        <w:t xml:space="preserve"> </w:t>
      </w:r>
      <w:bookmarkEnd w:id="92"/>
      <w:bookmarkStart w:id="93" w:name="EB727693b662f248a4a3607ff2f7c636d8"/>
      <w:r>
        <w:rPr>
          <w:rFonts w:hint="eastAsia" w:ascii="宋体" w:hAnsi="宋体" w:cs="宋体"/>
          <w:color w:val="000080"/>
          <w:sz w:val="24"/>
          <w:szCs w:val="24"/>
          <w:highlight w:val="white"/>
          <w:lang w:val="en-US" w:eastAsia="zh-CN"/>
        </w:rPr>
        <w:t xml:space="preserve">                     </w:t>
      </w:r>
      <w:bookmarkEnd w:id="93"/>
    </w:p>
    <w:p>
      <w:pPr>
        <w:widowControl/>
        <w:adjustRightInd w:val="0"/>
        <w:snapToGrid w:val="0"/>
        <w:spacing w:line="360" w:lineRule="auto"/>
        <w:rPr>
          <w:rFonts w:ascii="宋体" w:hAnsi="宋体" w:cs="宋体"/>
          <w:b/>
          <w:bCs/>
          <w:sz w:val="24"/>
          <w:szCs w:val="24"/>
        </w:rPr>
      </w:pPr>
      <w:r>
        <w:rPr>
          <w:rFonts w:hint="eastAsia" w:ascii="宋体" w:hAnsi="宋体" w:cs="宋体"/>
          <w:b/>
          <w:bCs/>
          <w:sz w:val="24"/>
          <w:szCs w:val="24"/>
          <w:highlight w:val="white"/>
        </w:rPr>
        <w:t>三.推荐成交投标单位</w:t>
      </w:r>
    </w:p>
    <w:p>
      <w:pPr>
        <w:widowControl/>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1.磋商小组应当根据综合评分情况，按照评审得分由高到低顺序拟推荐3名以上成交候选投标单位，并编写评审报告。</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2.评分计算方法解释</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（1）投标单位的评审得分是指所有磋商小组成员对其评分的算术平均值。</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（2）计算过程中，算术平均值保留2位小数（百分比亦取2位小数），第三位小数四舍五入。</w:t>
      </w:r>
    </w:p>
    <w:p>
      <w:pPr>
        <w:widowControl/>
        <w:adjustRightInd w:val="0"/>
        <w:snapToGrid w:val="0"/>
        <w:spacing w:line="360" w:lineRule="auto"/>
        <w:rPr>
          <w:rFonts w:ascii="宋体" w:hAnsi="宋体" w:cs="宋体"/>
          <w:b/>
          <w:bCs/>
          <w:sz w:val="24"/>
          <w:szCs w:val="24"/>
        </w:rPr>
      </w:pPr>
      <w:r>
        <w:rPr>
          <w:rFonts w:hint="eastAsia" w:ascii="宋体" w:hAnsi="宋体" w:cs="宋体"/>
          <w:b/>
          <w:bCs/>
          <w:sz w:val="24"/>
          <w:szCs w:val="24"/>
          <w:highlight w:val="white"/>
        </w:rPr>
        <w:t>四.确定成交投标单位</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1.采购代理机构应当在评审结束后2个工作日内将评审报告送采购人确认。</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2.采购人应当在收到评审报告后5个工作日内，从评审报告提出的成交候选投标单位中，按照排序由高到低的原则确定成交投标单位，也可以书面授权磋商小组直接确定成交投标单位。采购人逾期未确定成交投标单位且不提出异议的，视为确定评审报告提出的排序第一的投标单位为成交投标单位。</w:t>
      </w:r>
    </w:p>
    <w:p>
      <w:pPr>
        <w:jc w:val="center"/>
        <w:rPr>
          <w:b/>
          <w:bCs/>
          <w:sz w:val="32"/>
        </w:rPr>
      </w:pPr>
      <w:r>
        <w:rPr>
          <w:rFonts w:hint="eastAsia" w:ascii="宋体" w:hAnsi="宋体" w:cs="宋体"/>
          <w:sz w:val="24"/>
          <w:szCs w:val="24"/>
          <w:highlight w:val="white"/>
        </w:rPr>
        <w:br w:type="page"/>
      </w:r>
      <w:bookmarkStart w:id="94" w:name="_Toc6177"/>
      <w:bookmarkStart w:id="95" w:name="_Toc17352"/>
      <w:r>
        <w:rPr>
          <w:rFonts w:hint="eastAsia"/>
          <w:b/>
          <w:bCs/>
          <w:sz w:val="32"/>
        </w:rPr>
        <w:t>五、拟签订的合同文本</w:t>
      </w:r>
      <w:bookmarkEnd w:id="88"/>
      <w:bookmarkEnd w:id="89"/>
      <w:bookmarkEnd w:id="90"/>
      <w:bookmarkEnd w:id="91"/>
      <w:bookmarkEnd w:id="94"/>
      <w:bookmarkEnd w:id="95"/>
    </w:p>
    <w:p>
      <w:pPr>
        <w:spacing w:line="560" w:lineRule="exact"/>
        <w:ind w:firstLine="601"/>
        <w:jc w:val="center"/>
        <w:rPr>
          <w:rFonts w:ascii="宋体" w:hAnsi="宋体"/>
          <w:b/>
          <w:sz w:val="44"/>
          <w:szCs w:val="44"/>
        </w:rPr>
      </w:pPr>
    </w:p>
    <w:p>
      <w:pPr>
        <w:spacing w:line="560" w:lineRule="exact"/>
        <w:ind w:firstLine="601"/>
        <w:jc w:val="center"/>
        <w:rPr>
          <w:rFonts w:ascii="宋体" w:hAnsi="宋体"/>
          <w:b/>
          <w:sz w:val="44"/>
          <w:szCs w:val="44"/>
        </w:rPr>
      </w:pPr>
    </w:p>
    <w:p>
      <w:pPr>
        <w:spacing w:line="560" w:lineRule="exact"/>
        <w:ind w:firstLine="601"/>
        <w:jc w:val="center"/>
        <w:rPr>
          <w:rFonts w:ascii="宋体" w:hAnsi="宋体"/>
          <w:b/>
          <w:color w:val="000000"/>
          <w:sz w:val="44"/>
          <w:szCs w:val="44"/>
        </w:rPr>
      </w:pPr>
      <w:r>
        <w:rPr>
          <w:rFonts w:hint="eastAsia" w:ascii="宋体" w:hAnsi="宋体"/>
          <w:b/>
          <w:color w:val="000000"/>
          <w:sz w:val="44"/>
          <w:szCs w:val="44"/>
        </w:rPr>
        <w:t>合同书</w:t>
      </w:r>
    </w:p>
    <w:p>
      <w:pPr>
        <w:spacing w:line="560" w:lineRule="exact"/>
        <w:ind w:firstLine="601"/>
        <w:jc w:val="center"/>
        <w:rPr>
          <w:rFonts w:ascii="仿宋_GB2312" w:hAnsi="仿宋_GB2312" w:eastAsia="仿宋_GB2312"/>
          <w:b/>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 xml:space="preserve">买 </w:t>
      </w:r>
      <w:r>
        <w:rPr>
          <w:rFonts w:ascii="宋体" w:hAnsi="宋体"/>
          <w:color w:val="000000"/>
          <w:sz w:val="32"/>
          <w:szCs w:val="32"/>
        </w:rPr>
        <w:t xml:space="preserve">   </w:t>
      </w:r>
      <w:r>
        <w:rPr>
          <w:rFonts w:hint="eastAsia" w:ascii="宋体" w:hAnsi="宋体"/>
          <w:color w:val="000000"/>
          <w:sz w:val="32"/>
          <w:szCs w:val="32"/>
        </w:rPr>
        <w:t>方：</w:t>
      </w:r>
      <w:r>
        <w:rPr>
          <w:rFonts w:ascii="宋体" w:hAnsi="宋体"/>
          <w:color w:val="000000"/>
          <w:sz w:val="32"/>
          <w:szCs w:val="32"/>
        </w:rPr>
        <w:t xml:space="preserve"> </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 xml:space="preserve">卖  </w:t>
      </w:r>
      <w:r>
        <w:rPr>
          <w:rFonts w:ascii="宋体" w:hAnsi="宋体"/>
          <w:color w:val="000000"/>
          <w:sz w:val="32"/>
          <w:szCs w:val="32"/>
        </w:rPr>
        <w:t xml:space="preserve">  </w:t>
      </w:r>
      <w:r>
        <w:rPr>
          <w:rFonts w:hint="eastAsia" w:ascii="宋体" w:hAnsi="宋体"/>
          <w:color w:val="000000"/>
          <w:sz w:val="32"/>
          <w:szCs w:val="32"/>
        </w:rPr>
        <w:t>方：</w:t>
      </w:r>
      <w:r>
        <w:rPr>
          <w:rFonts w:ascii="宋体" w:hAnsi="宋体"/>
          <w:color w:val="000000"/>
          <w:sz w:val="32"/>
          <w:szCs w:val="32"/>
        </w:rPr>
        <w:t xml:space="preserve"> </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签约地点：</w:t>
      </w:r>
      <w:r>
        <w:rPr>
          <w:rFonts w:ascii="宋体" w:hAnsi="宋体"/>
          <w:color w:val="000000"/>
          <w:sz w:val="32"/>
          <w:szCs w:val="32"/>
        </w:rPr>
        <w:t xml:space="preserve"> </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签约日期：2</w:t>
      </w:r>
      <w:r>
        <w:rPr>
          <w:rFonts w:ascii="宋体" w:hAnsi="宋体"/>
          <w:color w:val="000000"/>
          <w:sz w:val="32"/>
          <w:szCs w:val="32"/>
        </w:rPr>
        <w:t>0</w:t>
      </w:r>
      <w:r>
        <w:rPr>
          <w:rFonts w:hint="eastAsia" w:ascii="宋体" w:hAnsi="宋体"/>
          <w:color w:val="000000"/>
          <w:sz w:val="32"/>
          <w:szCs w:val="32"/>
        </w:rPr>
        <w:t>2年</w:t>
      </w:r>
      <w:r>
        <w:rPr>
          <w:rFonts w:ascii="宋体" w:hAnsi="宋体"/>
          <w:color w:val="000000"/>
          <w:sz w:val="32"/>
          <w:szCs w:val="32"/>
        </w:rPr>
        <w:t xml:space="preserve"> </w:t>
      </w:r>
      <w:r>
        <w:rPr>
          <w:rFonts w:hint="eastAsia" w:ascii="宋体" w:hAnsi="宋体"/>
          <w:color w:val="000000"/>
          <w:sz w:val="32"/>
          <w:szCs w:val="32"/>
        </w:rPr>
        <w:t xml:space="preserve">月 </w:t>
      </w:r>
      <w:r>
        <w:rPr>
          <w:rFonts w:ascii="宋体" w:hAnsi="宋体"/>
          <w:color w:val="000000"/>
          <w:sz w:val="32"/>
          <w:szCs w:val="32"/>
        </w:rPr>
        <w:t xml:space="preserve"> </w:t>
      </w:r>
      <w:r>
        <w:rPr>
          <w:rFonts w:hint="eastAsia" w:ascii="宋体" w:hAnsi="宋体"/>
          <w:color w:val="000000"/>
          <w:sz w:val="32"/>
          <w:szCs w:val="32"/>
        </w:rPr>
        <w:t>日</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合同编号：</w:t>
      </w:r>
      <w:r>
        <w:rPr>
          <w:rFonts w:ascii="宋体" w:hAnsi="宋体" w:cs="仿宋"/>
          <w:bCs/>
          <w:color w:val="000000"/>
          <w:sz w:val="32"/>
          <w:szCs w:val="32"/>
        </w:rPr>
        <w:t xml:space="preserve"> </w:t>
      </w:r>
    </w:p>
    <w:p>
      <w:pPr>
        <w:spacing w:line="560" w:lineRule="exact"/>
        <w:ind w:firstLine="601"/>
        <w:jc w:val="center"/>
        <w:rPr>
          <w:rFonts w:ascii="宋体" w:hAnsi="宋体"/>
          <w:b/>
          <w:color w:val="000000"/>
          <w:sz w:val="32"/>
          <w:szCs w:val="32"/>
        </w:rPr>
      </w:pPr>
    </w:p>
    <w:p>
      <w:pPr>
        <w:spacing w:line="560" w:lineRule="exact"/>
        <w:ind w:firstLine="601"/>
        <w:jc w:val="center"/>
        <w:rPr>
          <w:rFonts w:ascii="宋体" w:hAnsi="宋体"/>
          <w:b/>
          <w:color w:val="000000"/>
          <w:sz w:val="32"/>
          <w:szCs w:val="32"/>
        </w:rPr>
      </w:pPr>
    </w:p>
    <w:p>
      <w:pPr>
        <w:spacing w:line="560" w:lineRule="exact"/>
        <w:ind w:firstLine="601"/>
        <w:jc w:val="center"/>
        <w:rPr>
          <w:rFonts w:ascii="仿宋_GB2312" w:hAnsi="仿宋_GB2312" w:eastAsia="仿宋_GB2312"/>
          <w:b/>
          <w:color w:val="000000"/>
          <w:sz w:val="28"/>
          <w:szCs w:val="28"/>
        </w:rPr>
      </w:pPr>
    </w:p>
    <w:p>
      <w:pPr>
        <w:spacing w:line="560" w:lineRule="exact"/>
        <w:ind w:firstLine="601"/>
        <w:jc w:val="center"/>
        <w:rPr>
          <w:rFonts w:ascii="仿宋_GB2312" w:hAnsi="仿宋_GB2312" w:eastAsia="仿宋_GB2312"/>
          <w:b/>
          <w:color w:val="000000"/>
          <w:sz w:val="28"/>
          <w:szCs w:val="28"/>
        </w:rPr>
      </w:pPr>
    </w:p>
    <w:p>
      <w:pPr>
        <w:pStyle w:val="5"/>
      </w:pP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甲方（买方）：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地址：</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电话：</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乙方（卖方）：</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地址：</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电话：</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（以下简称甲方）与           （以下简称乙方）就    采购安装事宜，根据《中华人民共和国政府采购法》、《中华人民共和国合同法》等规定，本着平等、自愿、互利、互惠的原则，经各方协商一致，订立本合同。</w:t>
      </w:r>
    </w:p>
    <w:p>
      <w:pPr>
        <w:widowControl/>
        <w:adjustRightInd w:val="0"/>
        <w:snapToGrid w:val="0"/>
        <w:spacing w:line="360" w:lineRule="auto"/>
        <w:ind w:firstLine="3132" w:firstLineChars="1300"/>
        <w:jc w:val="left"/>
        <w:rPr>
          <w:rFonts w:hint="eastAsia" w:ascii="宋体" w:hAnsi="宋体" w:cs="宋体"/>
          <w:b/>
          <w:bCs w:val="0"/>
          <w:sz w:val="24"/>
          <w:szCs w:val="24"/>
          <w:highlight w:val="white"/>
        </w:rPr>
      </w:pPr>
      <w:r>
        <w:rPr>
          <w:rFonts w:hint="eastAsia" w:ascii="宋体" w:hAnsi="宋体" w:cs="宋体"/>
          <w:b/>
          <w:bCs w:val="0"/>
          <w:sz w:val="24"/>
          <w:szCs w:val="24"/>
          <w:highlight w:val="white"/>
        </w:rPr>
        <w:t>第一部分 通用条款</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在此供应的货物，乙方同意做如下保证:</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一、乙方供应的全部货物，必须在不涉及任何担保、留置权、专利权使用费的情况下，交付与本合同规定完全相同的货物。</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二、不能将甲方全部或部分付款看作是对有缺陷的工艺或不合格货物的认可。</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三、所供货物均须符合相应图纸和技术规范中的相关规定，并且不涉及到任何侵权行为或任何索赔。</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甲方未提出异议的，乙方仍应于货物质保期内承担保固责任。甲方对货物的验收手续仅仅证明乙方交货的行为，并不能免除乙方应当承担的货物质量责任。</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因乙方货物质量瑕疵原因导致甲方对其他第三方承担的违约金、损失赔偿等任何赔偿责任，甲方均有权将该赔偿责任转移给乙方，乙方对此无异议。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五、甲方有要求乙方延迟一段合理时间再行交货的权利。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六、除非甲方要求，乙方必须在本合同规定时间内进行交货。乙方同意偿付甲方可能因无法按照本合同约定时间进行交货而引起的所有额外的违约金、赔偿金以及其他费用。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七、在项目终止或甲方订立本合同所依据的本项目合同终止时，甲方经书面通知可解除本合同，此种情况不作违约处理。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八、所有交付到甲方现场的货物必须附有交货单。签字的交货单必须附在所有发票上作为本合同付款的前提条件。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九、所有交货费用均由乙方承担，乙方保证使甲方免于承担全部运费、快递费、保险费、装卸费、其他杂费以及由此带来的任何索赔，本合同专用条款有特别约定的，从特别约定。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十二、因乙方全部或部分违约导致双方发生的诉讼/仲裁或甲方与第三方发生的诉讼/仲裁，乙方同意承担甲方因此而支出的全部诉讼费、律师费、调查费、交通费及其他合理费用。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十三、未经甲方书面同意，乙方不得将本合同的工作内容全部或部分转让给任何第三人。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十四、乙方声明、陈述和保证其是合法设立并有效存续的独立法人，其授权代表已获得法人授权可代表其签署合同。</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pStyle w:val="5"/>
        <w:rPr>
          <w:rFonts w:hAnsi="仿宋_GB2312" w:eastAsia="仿宋_GB2312"/>
          <w:color w:val="000000"/>
          <w:sz w:val="24"/>
        </w:rPr>
      </w:pPr>
    </w:p>
    <w:p/>
    <w:p>
      <w:pPr>
        <w:pStyle w:val="3"/>
        <w:jc w:val="both"/>
        <w:rPr>
          <w:b w:val="0"/>
          <w:bCs w:val="0"/>
        </w:rPr>
      </w:pPr>
      <w:bookmarkStart w:id="96" w:name="_Toc13678"/>
      <w:bookmarkStart w:id="97" w:name="_Toc29466"/>
      <w:bookmarkStart w:id="98" w:name="_Toc257633148"/>
    </w:p>
    <w:p>
      <w:pPr>
        <w:rPr>
          <w:b w:val="0"/>
          <w:bCs w:val="0"/>
        </w:rPr>
      </w:pPr>
    </w:p>
    <w:p>
      <w:pPr>
        <w:pStyle w:val="2"/>
        <w:rPr>
          <w:b w:val="0"/>
          <w:bCs w:val="0"/>
        </w:rPr>
      </w:pPr>
    </w:p>
    <w:p>
      <w:pPr>
        <w:rPr>
          <w:b w:val="0"/>
          <w:bCs w:val="0"/>
        </w:rPr>
      </w:pPr>
    </w:p>
    <w:p>
      <w:pPr>
        <w:pStyle w:val="2"/>
        <w:rPr>
          <w:b w:val="0"/>
          <w:bCs w:val="0"/>
        </w:rPr>
      </w:pPr>
    </w:p>
    <w:p>
      <w:pPr>
        <w:rPr>
          <w:b w:val="0"/>
          <w:bCs w:val="0"/>
        </w:rPr>
      </w:pPr>
    </w:p>
    <w:p>
      <w:pPr>
        <w:pStyle w:val="2"/>
        <w:rPr>
          <w:b w:val="0"/>
          <w:bCs w:val="0"/>
        </w:rPr>
      </w:pPr>
    </w:p>
    <w:p/>
    <w:p>
      <w:pPr>
        <w:pStyle w:val="3"/>
        <w:rPr>
          <w:b/>
          <w:bCs/>
        </w:rPr>
      </w:pPr>
      <w:r>
        <w:rPr>
          <w:rFonts w:hint="eastAsia"/>
          <w:b/>
          <w:bCs/>
        </w:rPr>
        <w:t>六、竞争性磋商响应文件格式</w:t>
      </w:r>
      <w:bookmarkEnd w:id="96"/>
      <w:bookmarkEnd w:id="97"/>
    </w:p>
    <w:p/>
    <w:p>
      <w:pPr>
        <w:spacing w:line="360" w:lineRule="auto"/>
        <w:rPr>
          <w:rFonts w:ascii="宋体" w:hAnsi="宋体" w:cs="宋体"/>
          <w:b/>
          <w:sz w:val="24"/>
        </w:rPr>
      </w:pPr>
      <w:r>
        <w:rPr>
          <w:rFonts w:hint="eastAsia" w:ascii="宋体" w:hAnsi="宋体" w:cs="宋体"/>
          <w:b/>
          <w:sz w:val="24"/>
        </w:rPr>
        <w:t>响应文件封面</w:t>
      </w:r>
    </w:p>
    <w:p>
      <w:pPr>
        <w:spacing w:line="360" w:lineRule="auto"/>
        <w:rPr>
          <w:rFonts w:ascii="宋体" w:hAnsi="宋体" w:cs="宋体"/>
          <w:b/>
          <w:sz w:val="24"/>
        </w:rPr>
      </w:pPr>
    </w:p>
    <w:p>
      <w:pPr>
        <w:pStyle w:val="2"/>
        <w:ind w:firstLine="480"/>
        <w:rPr>
          <w:rFonts w:ascii="宋体" w:hAnsi="宋体" w:cs="宋体"/>
          <w:sz w:val="24"/>
        </w:rPr>
      </w:pP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（项目名称）</w:t>
      </w:r>
    </w:p>
    <w:p>
      <w:pPr>
        <w:spacing w:line="360" w:lineRule="auto"/>
        <w:jc w:val="center"/>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（项目编号）</w:t>
      </w:r>
    </w:p>
    <w:p>
      <w:pPr>
        <w:spacing w:line="360" w:lineRule="auto"/>
        <w:rPr>
          <w:rFonts w:ascii="宋体" w:hAnsi="宋体" w:cs="宋体"/>
          <w:sz w:val="28"/>
          <w:szCs w:val="28"/>
        </w:rPr>
      </w:pPr>
    </w:p>
    <w:p>
      <w:pPr>
        <w:spacing w:line="360" w:lineRule="auto"/>
        <w:rPr>
          <w:rFonts w:ascii="宋体" w:hAnsi="宋体" w:cs="宋体"/>
          <w:sz w:val="24"/>
        </w:rPr>
      </w:pPr>
    </w:p>
    <w:p>
      <w:pPr>
        <w:spacing w:line="360" w:lineRule="auto"/>
        <w:jc w:val="center"/>
        <w:rPr>
          <w:rFonts w:ascii="宋体" w:hAnsi="宋体" w:cs="宋体"/>
          <w:b/>
          <w:sz w:val="44"/>
          <w:szCs w:val="44"/>
        </w:rPr>
      </w:pPr>
      <w:r>
        <w:rPr>
          <w:rFonts w:hint="eastAsia" w:ascii="宋体" w:hAnsi="宋体" w:cs="宋体"/>
          <w:b/>
          <w:sz w:val="44"/>
          <w:szCs w:val="44"/>
        </w:rPr>
        <w:t>响应文件</w:t>
      </w:r>
    </w:p>
    <w:p>
      <w:pPr>
        <w:spacing w:line="360" w:lineRule="auto"/>
        <w:rPr>
          <w:rFonts w:ascii="宋体" w:hAnsi="宋体" w:cs="宋体"/>
          <w:sz w:val="24"/>
        </w:rPr>
      </w:pPr>
    </w:p>
    <w:p>
      <w:pPr>
        <w:spacing w:line="360" w:lineRule="auto"/>
        <w:jc w:val="center"/>
        <w:rPr>
          <w:rFonts w:ascii="宋体" w:hAnsi="宋体" w:cs="宋体"/>
          <w:sz w:val="28"/>
          <w:szCs w:val="28"/>
        </w:rPr>
      </w:pPr>
      <w:r>
        <w:rPr>
          <w:rFonts w:hint="eastAsia" w:ascii="宋体" w:hAnsi="宋体" w:cs="宋体"/>
          <w:sz w:val="28"/>
          <w:szCs w:val="28"/>
        </w:rPr>
        <w:t xml:space="preserve">  </w:t>
      </w:r>
    </w:p>
    <w:p>
      <w:pPr>
        <w:pStyle w:val="2"/>
        <w:spacing w:line="360" w:lineRule="auto"/>
        <w:ind w:firstLine="1680" w:firstLineChars="600"/>
        <w:rPr>
          <w:rFonts w:ascii="宋体" w:hAnsi="宋体" w:cs="宋体"/>
          <w:sz w:val="28"/>
          <w:szCs w:val="28"/>
          <w:u w:val="single"/>
        </w:rPr>
      </w:pPr>
      <w:r>
        <w:rPr>
          <w:rFonts w:hint="eastAsia"/>
          <w:sz w:val="28"/>
          <w:szCs w:val="28"/>
        </w:rPr>
        <w:t>采购人：</w:t>
      </w:r>
      <w:r>
        <w:rPr>
          <w:rFonts w:hint="eastAsia" w:ascii="宋体" w:hAnsi="宋体" w:cs="宋体"/>
          <w:sz w:val="28"/>
          <w:szCs w:val="28"/>
          <w:u w:val="single"/>
        </w:rPr>
        <w:t xml:space="preserve">                      </w:t>
      </w:r>
    </w:p>
    <w:p>
      <w:pPr>
        <w:pStyle w:val="2"/>
        <w:spacing w:line="360" w:lineRule="auto"/>
        <w:ind w:firstLine="1680" w:firstLineChars="600"/>
        <w:rPr>
          <w:sz w:val="28"/>
          <w:szCs w:val="28"/>
        </w:rPr>
      </w:pPr>
      <w:r>
        <w:rPr>
          <w:rFonts w:hint="eastAsia"/>
          <w:sz w:val="28"/>
          <w:szCs w:val="28"/>
        </w:rPr>
        <w:t>投标单位：</w:t>
      </w:r>
      <w:r>
        <w:rPr>
          <w:rFonts w:hint="eastAsia" w:ascii="宋体" w:hAnsi="宋体" w:cs="宋体"/>
          <w:sz w:val="28"/>
          <w:szCs w:val="28"/>
          <w:u w:val="single"/>
        </w:rPr>
        <w:t xml:space="preserve">                      </w:t>
      </w:r>
      <w:r>
        <w:rPr>
          <w:rFonts w:hint="eastAsia" w:ascii="宋体" w:hAnsi="宋体" w:cs="宋体"/>
          <w:sz w:val="28"/>
          <w:szCs w:val="28"/>
        </w:rPr>
        <w:t>（盖章）</w:t>
      </w:r>
    </w:p>
    <w:p>
      <w:pPr>
        <w:pStyle w:val="2"/>
        <w:spacing w:line="360" w:lineRule="auto"/>
        <w:ind w:firstLine="1680" w:firstLineChars="600"/>
        <w:rPr>
          <w:rFonts w:ascii="宋体" w:hAnsi="宋体" w:cs="宋体"/>
          <w:sz w:val="28"/>
          <w:szCs w:val="28"/>
          <w:u w:val="single"/>
        </w:rPr>
      </w:pPr>
      <w:r>
        <w:rPr>
          <w:rFonts w:hint="eastAsia"/>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（签字或盖章）</w:t>
      </w:r>
    </w:p>
    <w:p>
      <w:pPr>
        <w:pStyle w:val="2"/>
        <w:spacing w:line="360" w:lineRule="auto"/>
        <w:ind w:firstLine="1680" w:firstLineChars="600"/>
        <w:rPr>
          <w:rFonts w:ascii="宋体" w:hAnsi="宋体" w:cs="宋体"/>
          <w:sz w:val="28"/>
          <w:szCs w:val="28"/>
        </w:rPr>
      </w:pPr>
      <w:r>
        <w:rPr>
          <w:rFonts w:hint="eastAsia"/>
          <w:sz w:val="28"/>
          <w:szCs w:val="28"/>
        </w:rPr>
        <w:t>委托代理人：</w:t>
      </w:r>
      <w:r>
        <w:rPr>
          <w:rFonts w:hint="eastAsia" w:ascii="宋体" w:hAnsi="宋体" w:cs="宋体"/>
          <w:sz w:val="28"/>
          <w:szCs w:val="28"/>
          <w:u w:val="single"/>
        </w:rPr>
        <w:t xml:space="preserve">                  </w:t>
      </w:r>
      <w:r>
        <w:rPr>
          <w:rFonts w:hint="eastAsia" w:ascii="宋体" w:hAnsi="宋体" w:cs="宋体"/>
          <w:sz w:val="28"/>
          <w:szCs w:val="28"/>
        </w:rPr>
        <w:t>（签字）</w:t>
      </w:r>
    </w:p>
    <w:p>
      <w:pPr>
        <w:pStyle w:val="2"/>
        <w:spacing w:line="360" w:lineRule="auto"/>
        <w:ind w:firstLine="1680" w:firstLineChars="600"/>
        <w:rPr>
          <w:sz w:val="28"/>
          <w:szCs w:val="28"/>
        </w:rPr>
      </w:pPr>
      <w:r>
        <w:rPr>
          <w:rFonts w:hint="eastAsia"/>
          <w:sz w:val="28"/>
          <w:szCs w:val="28"/>
        </w:rPr>
        <w:t>联系方式：</w:t>
      </w:r>
      <w:r>
        <w:rPr>
          <w:rFonts w:hint="eastAsia" w:ascii="宋体" w:hAnsi="宋体" w:cs="宋体"/>
          <w:sz w:val="28"/>
          <w:szCs w:val="28"/>
          <w:u w:val="single"/>
        </w:rPr>
        <w:t xml:space="preserve">                     </w:t>
      </w:r>
    </w:p>
    <w:p>
      <w:pPr>
        <w:pStyle w:val="2"/>
        <w:spacing w:line="360" w:lineRule="auto"/>
        <w:ind w:firstLine="1680" w:firstLineChars="600"/>
        <w:rPr>
          <w:sz w:val="28"/>
          <w:szCs w:val="28"/>
        </w:rPr>
      </w:pPr>
      <w:r>
        <w:rPr>
          <w:rFonts w:hint="eastAsia"/>
          <w:sz w:val="28"/>
          <w:szCs w:val="28"/>
        </w:rPr>
        <w:t>联系地址：</w:t>
      </w:r>
      <w:r>
        <w:rPr>
          <w:rFonts w:hint="eastAsia" w:ascii="宋体" w:hAnsi="宋体" w:cs="宋体"/>
          <w:sz w:val="28"/>
          <w:szCs w:val="28"/>
          <w:u w:val="single"/>
        </w:rPr>
        <w:t xml:space="preserve">                     </w:t>
      </w:r>
    </w:p>
    <w:p>
      <w:pPr>
        <w:pStyle w:val="2"/>
        <w:spacing w:line="360" w:lineRule="auto"/>
        <w:ind w:firstLine="1680" w:firstLineChars="600"/>
        <w:rPr>
          <w:sz w:val="28"/>
          <w:szCs w:val="28"/>
        </w:rPr>
      </w:pPr>
      <w:r>
        <w:rPr>
          <w:rFonts w:hint="eastAsia"/>
          <w:sz w:val="28"/>
          <w:szCs w:val="28"/>
        </w:rPr>
        <w:t>日期：   年    月    日</w:t>
      </w:r>
    </w:p>
    <w:p>
      <w:pPr>
        <w:spacing w:line="360" w:lineRule="auto"/>
        <w:jc w:val="center"/>
        <w:rPr>
          <w:rFonts w:ascii="宋体" w:hAnsi="宋体"/>
          <w:sz w:val="28"/>
          <w:szCs w:val="28"/>
        </w:rPr>
      </w:pPr>
      <w:r>
        <w:rPr>
          <w:rFonts w:hint="eastAsia" w:ascii="宋体" w:hAnsi="宋体"/>
          <w:sz w:val="28"/>
          <w:szCs w:val="28"/>
        </w:rPr>
        <w:br w:type="page"/>
      </w:r>
    </w:p>
    <w:p>
      <w:pPr>
        <w:spacing w:line="360" w:lineRule="auto"/>
        <w:jc w:val="center"/>
        <w:rPr>
          <w:rFonts w:ascii="宋体" w:hAnsi="宋体" w:cs="宋体"/>
          <w:b/>
          <w:sz w:val="24"/>
        </w:rPr>
      </w:pPr>
    </w:p>
    <w:bookmarkEnd w:id="98"/>
    <w:p>
      <w:pPr>
        <w:pStyle w:val="107"/>
        <w:widowControl/>
        <w:spacing w:before="0" w:after="0" w:line="360" w:lineRule="auto"/>
        <w:rPr>
          <w:sz w:val="30"/>
          <w:szCs w:val="30"/>
        </w:rPr>
      </w:pPr>
      <w:bookmarkStart w:id="99" w:name="_Toc12987"/>
      <w:r>
        <w:rPr>
          <w:rFonts w:hint="eastAsia"/>
          <w:sz w:val="30"/>
          <w:szCs w:val="30"/>
        </w:rPr>
        <w:t>目  录</w:t>
      </w:r>
    </w:p>
    <w:p>
      <w:pPr>
        <w:spacing w:line="360" w:lineRule="auto"/>
        <w:ind w:firstLine="480" w:firstLineChars="200"/>
        <w:rPr>
          <w:rFonts w:ascii="宋体" w:hAnsi="宋体"/>
          <w:sz w:val="24"/>
          <w:szCs w:val="24"/>
        </w:rPr>
      </w:pPr>
      <w:r>
        <w:rPr>
          <w:rFonts w:hint="eastAsia" w:ascii="宋体" w:hAnsi="宋体"/>
          <w:sz w:val="24"/>
          <w:szCs w:val="24"/>
        </w:rPr>
        <w:t xml:space="preserve">一、投标函 </w:t>
      </w:r>
    </w:p>
    <w:p>
      <w:pPr>
        <w:spacing w:line="360" w:lineRule="auto"/>
        <w:ind w:firstLine="480" w:firstLineChars="200"/>
        <w:rPr>
          <w:rFonts w:ascii="宋体" w:hAnsi="宋体"/>
          <w:sz w:val="24"/>
          <w:szCs w:val="24"/>
        </w:rPr>
      </w:pPr>
      <w:r>
        <w:rPr>
          <w:rFonts w:hint="eastAsia" w:ascii="宋体" w:hAnsi="宋体"/>
          <w:sz w:val="24"/>
          <w:szCs w:val="24"/>
        </w:rPr>
        <w:t xml:space="preserve">二、法定代表人资格证明书及法定代表人授权委托书 </w:t>
      </w:r>
    </w:p>
    <w:p>
      <w:pPr>
        <w:spacing w:line="360" w:lineRule="auto"/>
        <w:ind w:firstLine="480" w:firstLineChars="200"/>
        <w:rPr>
          <w:rFonts w:ascii="宋体" w:hAnsi="宋体"/>
          <w:sz w:val="24"/>
          <w:szCs w:val="24"/>
        </w:rPr>
      </w:pPr>
      <w:r>
        <w:rPr>
          <w:rFonts w:hint="eastAsia" w:ascii="宋体" w:hAnsi="宋体"/>
          <w:sz w:val="24"/>
          <w:szCs w:val="24"/>
        </w:rPr>
        <w:t xml:space="preserve">三、开标一览表 </w:t>
      </w:r>
    </w:p>
    <w:p>
      <w:pPr>
        <w:spacing w:line="360" w:lineRule="auto"/>
        <w:ind w:firstLine="480" w:firstLineChars="200"/>
        <w:rPr>
          <w:rFonts w:ascii="宋体" w:hAnsi="宋体"/>
          <w:sz w:val="24"/>
          <w:szCs w:val="24"/>
        </w:rPr>
      </w:pPr>
      <w:r>
        <w:rPr>
          <w:rFonts w:hint="eastAsia" w:ascii="宋体" w:hAnsi="宋体"/>
          <w:sz w:val="24"/>
          <w:szCs w:val="24"/>
        </w:rPr>
        <w:t>四、资格证明文件</w:t>
      </w:r>
    </w:p>
    <w:p>
      <w:pPr>
        <w:pStyle w:val="2"/>
        <w:spacing w:line="360" w:lineRule="auto"/>
        <w:ind w:firstLine="480"/>
        <w:rPr>
          <w:rFonts w:ascii="宋体" w:hAnsi="宋体"/>
          <w:sz w:val="24"/>
          <w:szCs w:val="24"/>
        </w:rPr>
      </w:pPr>
      <w:r>
        <w:rPr>
          <w:rFonts w:hint="eastAsia" w:ascii="宋体" w:hAnsi="宋体"/>
          <w:sz w:val="24"/>
          <w:szCs w:val="24"/>
        </w:rPr>
        <w:t>五、近三年（2019年</w:t>
      </w:r>
      <w:r>
        <w:rPr>
          <w:rFonts w:hint="eastAsia" w:ascii="宋体" w:hAnsi="宋体"/>
          <w:sz w:val="24"/>
          <w:szCs w:val="24"/>
          <w:lang w:val="en-US" w:eastAsia="zh-CN"/>
        </w:rPr>
        <w:t>1</w:t>
      </w:r>
      <w:r>
        <w:rPr>
          <w:rFonts w:hint="eastAsia" w:ascii="宋体" w:hAnsi="宋体"/>
          <w:sz w:val="24"/>
          <w:szCs w:val="24"/>
        </w:rPr>
        <w:t>月</w:t>
      </w:r>
      <w:r>
        <w:rPr>
          <w:rFonts w:hint="eastAsia" w:ascii="宋体" w:hAnsi="宋体"/>
          <w:sz w:val="24"/>
          <w:szCs w:val="24"/>
          <w:lang w:val="en-US" w:eastAsia="zh-CN"/>
        </w:rPr>
        <w:t>1</w:t>
      </w:r>
      <w:r>
        <w:rPr>
          <w:rFonts w:hint="eastAsia" w:ascii="宋体" w:hAnsi="宋体"/>
          <w:sz w:val="24"/>
          <w:szCs w:val="24"/>
        </w:rPr>
        <w:t>日至今）类似项目业绩</w:t>
      </w:r>
    </w:p>
    <w:p>
      <w:pPr>
        <w:spacing w:line="360" w:lineRule="auto"/>
        <w:ind w:firstLine="480" w:firstLineChars="200"/>
        <w:rPr>
          <w:rFonts w:ascii="宋体" w:hAnsi="宋体"/>
          <w:sz w:val="24"/>
          <w:szCs w:val="24"/>
        </w:rPr>
      </w:pPr>
      <w:r>
        <w:rPr>
          <w:rFonts w:hint="eastAsia" w:ascii="宋体" w:hAnsi="宋体"/>
          <w:sz w:val="24"/>
          <w:szCs w:val="24"/>
        </w:rPr>
        <w:t xml:space="preserve">六、主要人员配备表 </w:t>
      </w:r>
    </w:p>
    <w:p>
      <w:pPr>
        <w:spacing w:line="360" w:lineRule="auto"/>
        <w:ind w:firstLine="480" w:firstLineChars="200"/>
      </w:pPr>
      <w:r>
        <w:rPr>
          <w:rFonts w:hint="eastAsia" w:ascii="宋体" w:hAnsi="宋体"/>
          <w:sz w:val="24"/>
          <w:szCs w:val="24"/>
        </w:rPr>
        <w:t xml:space="preserve">七、技术方案 </w:t>
      </w:r>
    </w:p>
    <w:p>
      <w:pPr>
        <w:spacing w:line="360" w:lineRule="auto"/>
        <w:ind w:firstLine="480" w:firstLineChars="200"/>
      </w:pPr>
      <w:r>
        <w:rPr>
          <w:rFonts w:hint="eastAsia" w:ascii="宋体" w:hAnsi="宋体"/>
          <w:sz w:val="24"/>
          <w:szCs w:val="24"/>
        </w:rPr>
        <w:t xml:space="preserve">八、其他材料 </w:t>
      </w:r>
    </w:p>
    <w:p>
      <w:pPr>
        <w:pStyle w:val="16"/>
        <w:tabs>
          <w:tab w:val="left" w:pos="1490"/>
        </w:tabs>
      </w:pPr>
    </w:p>
    <w:p/>
    <w:p>
      <w:pPr>
        <w:pStyle w:val="16"/>
      </w:pPr>
    </w:p>
    <w:p/>
    <w:p>
      <w:pPr>
        <w:pStyle w:val="16"/>
      </w:pPr>
    </w:p>
    <w:p/>
    <w:p>
      <w:pPr>
        <w:pStyle w:val="16"/>
      </w:pPr>
    </w:p>
    <w:p/>
    <w:p>
      <w:pPr>
        <w:pStyle w:val="16"/>
      </w:pPr>
    </w:p>
    <w:p/>
    <w:p>
      <w:pPr>
        <w:pStyle w:val="16"/>
      </w:pPr>
    </w:p>
    <w:p/>
    <w:p>
      <w:pPr>
        <w:pStyle w:val="16"/>
      </w:pPr>
    </w:p>
    <w:p/>
    <w:p>
      <w:pPr>
        <w:pStyle w:val="5"/>
      </w:pPr>
    </w:p>
    <w:p/>
    <w:p>
      <w:pPr>
        <w:pStyle w:val="5"/>
      </w:pPr>
    </w:p>
    <w:p/>
    <w:p>
      <w:pPr>
        <w:pStyle w:val="5"/>
      </w:pPr>
    </w:p>
    <w:p/>
    <w:p>
      <w:pPr>
        <w:pStyle w:val="5"/>
      </w:pPr>
    </w:p>
    <w:p/>
    <w:p>
      <w:pPr>
        <w:pStyle w:val="16"/>
      </w:pPr>
    </w:p>
    <w:p/>
    <w:p>
      <w:pPr>
        <w:pStyle w:val="16"/>
      </w:pPr>
    </w:p>
    <w:bookmarkEnd w:id="99"/>
    <w:p>
      <w:pPr>
        <w:pStyle w:val="107"/>
        <w:widowControl/>
        <w:spacing w:before="0" w:after="0" w:line="360" w:lineRule="auto"/>
        <w:rPr>
          <w:sz w:val="30"/>
          <w:szCs w:val="30"/>
        </w:rPr>
      </w:pPr>
      <w:bookmarkStart w:id="100" w:name="_Toc8774"/>
      <w:bookmarkStart w:id="101" w:name="_Toc17151"/>
      <w:bookmarkStart w:id="102" w:name="_Toc6808"/>
      <w:bookmarkStart w:id="103" w:name="_Toc22745"/>
      <w:bookmarkStart w:id="104" w:name="_Toc19025"/>
      <w:r>
        <w:rPr>
          <w:sz w:val="30"/>
          <w:szCs w:val="30"/>
        </w:rPr>
        <w:t>商务</w:t>
      </w:r>
      <w:r>
        <w:rPr>
          <w:rFonts w:hint="eastAsia"/>
          <w:sz w:val="30"/>
          <w:szCs w:val="30"/>
        </w:rPr>
        <w:t>、经济</w:t>
      </w:r>
      <w:r>
        <w:rPr>
          <w:sz w:val="30"/>
          <w:szCs w:val="30"/>
        </w:rPr>
        <w:t>文件</w:t>
      </w:r>
      <w:bookmarkEnd w:id="100"/>
      <w:bookmarkEnd w:id="101"/>
    </w:p>
    <w:p>
      <w:pPr>
        <w:pStyle w:val="107"/>
        <w:widowControl/>
        <w:spacing w:before="0" w:after="0" w:line="360" w:lineRule="auto"/>
        <w:rPr>
          <w:sz w:val="24"/>
          <w:szCs w:val="24"/>
        </w:rPr>
      </w:pPr>
      <w:bookmarkStart w:id="105" w:name="_Toc689"/>
      <w:bookmarkStart w:id="106" w:name="_Toc10664"/>
      <w:bookmarkStart w:id="107" w:name="_Toc688"/>
      <w:r>
        <w:rPr>
          <w:rFonts w:hint="eastAsia" w:ascii="宋体" w:hAnsi="宋体" w:cs="宋体"/>
          <w:sz w:val="24"/>
          <w:szCs w:val="24"/>
        </w:rPr>
        <w:t>★</w:t>
      </w:r>
      <w:r>
        <w:rPr>
          <w:rFonts w:hint="eastAsia"/>
          <w:sz w:val="24"/>
          <w:szCs w:val="24"/>
        </w:rPr>
        <w:t>投标函</w:t>
      </w:r>
      <w:bookmarkEnd w:id="105"/>
      <w:bookmarkEnd w:id="106"/>
      <w:bookmarkEnd w:id="107"/>
    </w:p>
    <w:p>
      <w:pPr>
        <w:pStyle w:val="101"/>
        <w:widowControl/>
        <w:spacing w:line="360" w:lineRule="auto"/>
        <w:ind w:left="0" w:leftChars="0" w:firstLine="480" w:firstLineChars="200"/>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（采购人）：</w:t>
      </w:r>
    </w:p>
    <w:p>
      <w:pPr>
        <w:pStyle w:val="101"/>
        <w:widowControl/>
        <w:spacing w:line="360" w:lineRule="auto"/>
        <w:ind w:left="0" w:leftChars="0" w:firstLine="480" w:firstLineChars="200"/>
      </w:pPr>
      <w:r>
        <w:rPr>
          <w:rFonts w:hint="eastAsia" w:ascii="宋体" w:hAnsi="宋体" w:cs="宋体"/>
          <w:color w:val="000000"/>
          <w:sz w:val="24"/>
          <w:u w:val="single"/>
        </w:rPr>
        <w:t xml:space="preserve">                    </w:t>
      </w:r>
      <w:r>
        <w:rPr>
          <w:rFonts w:hint="eastAsia" w:ascii="宋体" w:hAnsi="宋体" w:cs="宋体"/>
          <w:color w:val="000000"/>
          <w:sz w:val="24"/>
        </w:rPr>
        <w:t>（招标代理机构）：</w:t>
      </w:r>
    </w:p>
    <w:p>
      <w:pPr>
        <w:pStyle w:val="23"/>
        <w:widowControl/>
        <w:spacing w:line="360" w:lineRule="auto"/>
        <w:ind w:left="0" w:leftChars="0" w:firstLine="480" w:firstLineChars="200"/>
        <w:rPr>
          <w:rFonts w:hAnsi="宋体"/>
          <w:sz w:val="24"/>
          <w:szCs w:val="24"/>
        </w:rPr>
      </w:pPr>
      <w:r>
        <w:rPr>
          <w:rFonts w:hint="eastAsia" w:hAnsi="宋体"/>
          <w:sz w:val="24"/>
          <w:szCs w:val="24"/>
          <w:u w:val="single"/>
        </w:rPr>
        <w:t xml:space="preserve">          </w:t>
      </w:r>
      <w:r>
        <w:rPr>
          <w:rFonts w:hint="eastAsia" w:hAnsi="宋体"/>
          <w:sz w:val="24"/>
          <w:szCs w:val="24"/>
        </w:rPr>
        <w:t xml:space="preserve"> (投标单位名称)授权</w:t>
      </w:r>
      <w:r>
        <w:rPr>
          <w:rFonts w:hint="eastAsia" w:hAnsi="宋体"/>
          <w:sz w:val="24"/>
          <w:szCs w:val="24"/>
          <w:u w:val="single"/>
        </w:rPr>
        <w:t xml:space="preserve">       </w:t>
      </w:r>
      <w:r>
        <w:rPr>
          <w:rFonts w:hint="eastAsia" w:hAnsi="宋体"/>
          <w:sz w:val="24"/>
          <w:szCs w:val="24"/>
        </w:rPr>
        <w:t>(投标单位委托代理人姓名、职务) 为我方代表，参加贵方组织的</w:t>
      </w:r>
      <w:r>
        <w:rPr>
          <w:rFonts w:hint="eastAsia" w:hAnsi="宋体"/>
          <w:sz w:val="24"/>
          <w:szCs w:val="24"/>
          <w:u w:val="single"/>
        </w:rPr>
        <w:t xml:space="preserve">                 </w:t>
      </w:r>
      <w:r>
        <w:rPr>
          <w:rFonts w:hint="eastAsia" w:hAnsi="宋体"/>
          <w:sz w:val="24"/>
          <w:szCs w:val="24"/>
        </w:rPr>
        <w:t xml:space="preserve"> (项目名称、项目编号)招标的有关活动，并对此项目进行投标。为此：</w:t>
      </w:r>
    </w:p>
    <w:p>
      <w:pPr>
        <w:pStyle w:val="23"/>
        <w:widowControl/>
        <w:spacing w:line="360" w:lineRule="auto"/>
        <w:ind w:left="0" w:leftChars="0" w:firstLine="480" w:firstLineChars="200"/>
        <w:rPr>
          <w:rFonts w:hAnsi="宋体"/>
          <w:sz w:val="24"/>
          <w:szCs w:val="24"/>
        </w:rPr>
      </w:pPr>
      <w:r>
        <w:rPr>
          <w:rFonts w:hint="eastAsia" w:hAnsi="宋体"/>
          <w:sz w:val="24"/>
          <w:szCs w:val="24"/>
        </w:rPr>
        <w:t>1、我方承诺：已经具备《中华人民共和国政府采购法》中规定的参加政府采购活动的投标单位应当具备的条件和本招标文件中规定的条件。</w:t>
      </w:r>
    </w:p>
    <w:p>
      <w:pPr>
        <w:pStyle w:val="23"/>
        <w:widowControl/>
        <w:spacing w:line="360" w:lineRule="auto"/>
        <w:ind w:left="0" w:leftChars="0" w:firstLine="480" w:firstLineChars="200"/>
        <w:rPr>
          <w:rFonts w:hAnsi="宋体"/>
          <w:sz w:val="24"/>
          <w:szCs w:val="24"/>
        </w:rPr>
      </w:pPr>
      <w:r>
        <w:rPr>
          <w:rFonts w:hint="eastAsia" w:hAnsi="宋体"/>
          <w:sz w:val="24"/>
          <w:szCs w:val="24"/>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23"/>
        <w:widowControl/>
        <w:spacing w:line="360" w:lineRule="auto"/>
        <w:ind w:left="0" w:leftChars="0" w:firstLine="480" w:firstLineChars="200"/>
        <w:rPr>
          <w:rFonts w:hAnsi="宋体"/>
          <w:sz w:val="24"/>
          <w:szCs w:val="24"/>
        </w:rPr>
      </w:pPr>
      <w:r>
        <w:rPr>
          <w:rFonts w:hint="eastAsia" w:hAnsi="宋体"/>
          <w:sz w:val="24"/>
          <w:szCs w:val="24"/>
        </w:rPr>
        <w:t>3、按照招标文件规定提供全部投标文件。</w:t>
      </w:r>
    </w:p>
    <w:p>
      <w:pPr>
        <w:pStyle w:val="23"/>
        <w:widowControl/>
        <w:spacing w:line="360" w:lineRule="auto"/>
        <w:ind w:left="0" w:leftChars="0" w:firstLine="480" w:firstLineChars="200"/>
        <w:rPr>
          <w:rFonts w:hAnsi="宋体"/>
          <w:sz w:val="24"/>
          <w:szCs w:val="24"/>
        </w:rPr>
      </w:pPr>
      <w:r>
        <w:rPr>
          <w:rFonts w:hint="eastAsia" w:hAnsi="宋体"/>
          <w:sz w:val="24"/>
          <w:szCs w:val="24"/>
        </w:rPr>
        <w:t>4、我方承诺：按照招标文件要求提供和交付的货物及相关服务，我方投标报价为</w:t>
      </w:r>
      <w:r>
        <w:rPr>
          <w:rFonts w:hint="eastAsia" w:hAnsi="宋体"/>
          <w:sz w:val="24"/>
          <w:szCs w:val="24"/>
          <w:u w:val="single"/>
        </w:rPr>
        <w:t xml:space="preserve">       </w:t>
      </w:r>
      <w:r>
        <w:rPr>
          <w:rFonts w:hint="eastAsia" w:hAnsi="宋体"/>
          <w:sz w:val="24"/>
          <w:szCs w:val="24"/>
        </w:rPr>
        <w:t>，质量标准为</w:t>
      </w:r>
      <w:r>
        <w:rPr>
          <w:rFonts w:hint="eastAsia" w:hAnsi="宋体"/>
          <w:sz w:val="24"/>
          <w:szCs w:val="24"/>
          <w:u w:val="single"/>
        </w:rPr>
        <w:t xml:space="preserve">        </w:t>
      </w:r>
      <w:r>
        <w:rPr>
          <w:rFonts w:hint="eastAsia" w:hAnsi="宋体"/>
          <w:sz w:val="24"/>
          <w:szCs w:val="24"/>
        </w:rPr>
        <w:t>，磋商有效期为</w:t>
      </w:r>
      <w:r>
        <w:rPr>
          <w:rFonts w:hint="eastAsia" w:hAnsi="宋体"/>
          <w:sz w:val="24"/>
          <w:szCs w:val="24"/>
          <w:u w:val="single"/>
        </w:rPr>
        <w:t xml:space="preserve">     </w:t>
      </w:r>
      <w:r>
        <w:rPr>
          <w:rFonts w:hint="eastAsia" w:hAnsi="宋体"/>
          <w:sz w:val="24"/>
          <w:szCs w:val="24"/>
        </w:rPr>
        <w:t>日（日历日）。</w:t>
      </w:r>
    </w:p>
    <w:p>
      <w:pPr>
        <w:pStyle w:val="23"/>
        <w:widowControl/>
        <w:spacing w:line="360" w:lineRule="auto"/>
        <w:ind w:left="0" w:leftChars="0" w:firstLine="480" w:firstLineChars="200"/>
        <w:rPr>
          <w:rFonts w:hAnsi="宋体"/>
          <w:sz w:val="24"/>
          <w:szCs w:val="24"/>
        </w:rPr>
      </w:pPr>
      <w:r>
        <w:rPr>
          <w:rFonts w:hint="eastAsia" w:hAnsi="宋体"/>
          <w:sz w:val="24"/>
          <w:szCs w:val="24"/>
        </w:rPr>
        <w:t>5、我方承诺：接受招标文件中的全部条款且无任何异议，保证遵守招标文件的规定。</w:t>
      </w:r>
    </w:p>
    <w:p>
      <w:pPr>
        <w:pStyle w:val="23"/>
        <w:widowControl/>
        <w:spacing w:line="360" w:lineRule="auto"/>
        <w:ind w:left="0" w:leftChars="0" w:firstLine="480" w:firstLineChars="200"/>
        <w:rPr>
          <w:rFonts w:hAnsi="宋体"/>
          <w:sz w:val="24"/>
          <w:szCs w:val="24"/>
        </w:rPr>
      </w:pPr>
      <w:r>
        <w:rPr>
          <w:rFonts w:hint="eastAsia" w:hAnsi="宋体"/>
          <w:sz w:val="24"/>
          <w:szCs w:val="24"/>
        </w:rPr>
        <w:t>6、我方承诺：完全满足和响应招标文件中的各项技术和服务要求，若有偏差，已在偏离表中予以明确特别说明。</w:t>
      </w:r>
    </w:p>
    <w:p>
      <w:pPr>
        <w:pStyle w:val="23"/>
        <w:widowControl/>
        <w:spacing w:line="360" w:lineRule="auto"/>
        <w:ind w:left="0" w:leftChars="0" w:firstLine="480" w:firstLineChars="200"/>
        <w:rPr>
          <w:rFonts w:hAnsi="宋体"/>
          <w:sz w:val="24"/>
          <w:szCs w:val="24"/>
        </w:rPr>
      </w:pPr>
      <w:r>
        <w:rPr>
          <w:rFonts w:hint="eastAsia" w:hAnsi="宋体"/>
          <w:sz w:val="24"/>
          <w:szCs w:val="24"/>
        </w:rPr>
        <w:t>7、我方完全理解贵方不一定接受最低价的投标或收到的任何投标，以及投标报价若超过项目预算时投标将被拒绝。</w:t>
      </w:r>
    </w:p>
    <w:p>
      <w:pPr>
        <w:pStyle w:val="23"/>
        <w:widowControl/>
        <w:spacing w:line="360" w:lineRule="auto"/>
        <w:ind w:left="0" w:leftChars="0" w:firstLine="480" w:firstLineChars="200"/>
        <w:rPr>
          <w:rFonts w:hAnsi="宋体"/>
          <w:sz w:val="24"/>
          <w:szCs w:val="24"/>
        </w:rPr>
      </w:pPr>
      <w:r>
        <w:rPr>
          <w:rFonts w:hint="eastAsia" w:hAnsi="宋体"/>
          <w:sz w:val="24"/>
          <w:szCs w:val="24"/>
        </w:rPr>
        <w:t>8、我方已详细审核全部投标文件，包括投标文件修改书（如有的话）、参考资料及有关附件，确认无误。</w:t>
      </w:r>
    </w:p>
    <w:p>
      <w:pPr>
        <w:pStyle w:val="23"/>
        <w:widowControl/>
        <w:spacing w:line="360" w:lineRule="auto"/>
        <w:ind w:left="0" w:leftChars="0" w:firstLine="480" w:firstLineChars="200"/>
        <w:rPr>
          <w:rFonts w:hAnsi="宋体"/>
          <w:sz w:val="24"/>
          <w:szCs w:val="24"/>
        </w:rPr>
      </w:pPr>
      <w:r>
        <w:rPr>
          <w:rFonts w:hint="eastAsia" w:hAnsi="宋体"/>
          <w:sz w:val="24"/>
          <w:szCs w:val="24"/>
        </w:rPr>
        <w:t>9、我方承诺：与在本项目中设计编制技术规格的机构及其附属机构无任何直接隶属关系和利益关联。</w:t>
      </w:r>
    </w:p>
    <w:p>
      <w:pPr>
        <w:pStyle w:val="23"/>
        <w:widowControl/>
        <w:spacing w:line="360" w:lineRule="auto"/>
        <w:ind w:left="0" w:leftChars="0" w:firstLine="480" w:firstLineChars="200"/>
        <w:rPr>
          <w:rFonts w:hAnsi="宋体"/>
          <w:sz w:val="24"/>
          <w:szCs w:val="24"/>
        </w:rPr>
      </w:pPr>
      <w:r>
        <w:rPr>
          <w:rFonts w:hint="eastAsia" w:hAnsi="宋体"/>
          <w:sz w:val="24"/>
          <w:szCs w:val="24"/>
        </w:rPr>
        <w:t>10、保证忠实地执行双方所签订的合同，并承担合同规定的责任和义务。</w:t>
      </w:r>
    </w:p>
    <w:p>
      <w:pPr>
        <w:pStyle w:val="23"/>
        <w:widowControl/>
        <w:spacing w:line="360" w:lineRule="auto"/>
        <w:ind w:left="0" w:leftChars="0" w:firstLine="480" w:firstLineChars="200"/>
        <w:rPr>
          <w:rFonts w:hAnsi="宋体"/>
          <w:sz w:val="24"/>
          <w:szCs w:val="24"/>
        </w:rPr>
      </w:pPr>
      <w:r>
        <w:rPr>
          <w:rFonts w:hint="eastAsia" w:hAnsi="宋体"/>
          <w:sz w:val="24"/>
          <w:szCs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23"/>
        <w:widowControl/>
        <w:spacing w:line="360" w:lineRule="auto"/>
        <w:ind w:left="0" w:leftChars="0" w:firstLine="480" w:firstLineChars="200"/>
        <w:rPr>
          <w:rFonts w:hAnsi="宋体"/>
          <w:sz w:val="24"/>
          <w:szCs w:val="24"/>
        </w:rPr>
      </w:pPr>
      <w:r>
        <w:rPr>
          <w:rFonts w:hint="eastAsia" w:hAnsi="宋体"/>
          <w:sz w:val="24"/>
          <w:szCs w:val="24"/>
        </w:rPr>
        <w:t>13、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3"/>
        <w:widowControl/>
        <w:spacing w:line="360" w:lineRule="auto"/>
        <w:ind w:left="0" w:leftChars="0" w:firstLine="480" w:firstLineChars="200"/>
        <w:rPr>
          <w:rFonts w:hAnsi="宋体"/>
          <w:sz w:val="24"/>
          <w:szCs w:val="24"/>
        </w:rPr>
      </w:pPr>
      <w:r>
        <w:rPr>
          <w:rFonts w:hint="eastAsia" w:hAnsi="宋体"/>
          <w:sz w:val="24"/>
          <w:szCs w:val="24"/>
        </w:rPr>
        <w:t>1）提供虚假材料谋取中标、成交的；</w:t>
      </w:r>
    </w:p>
    <w:p>
      <w:pPr>
        <w:pStyle w:val="23"/>
        <w:widowControl/>
        <w:spacing w:line="360" w:lineRule="auto"/>
        <w:ind w:left="0" w:leftChars="0" w:firstLine="480" w:firstLineChars="200"/>
        <w:rPr>
          <w:rFonts w:hAnsi="宋体"/>
          <w:sz w:val="24"/>
          <w:szCs w:val="24"/>
        </w:rPr>
      </w:pPr>
      <w:r>
        <w:rPr>
          <w:rFonts w:hint="eastAsia" w:hAnsi="宋体"/>
          <w:sz w:val="24"/>
          <w:szCs w:val="24"/>
        </w:rPr>
        <w:t>2）采取不正当手段诋毁、排挤其他投标单位的；</w:t>
      </w:r>
    </w:p>
    <w:p>
      <w:pPr>
        <w:pStyle w:val="23"/>
        <w:widowControl/>
        <w:spacing w:line="360" w:lineRule="auto"/>
        <w:ind w:left="0" w:leftChars="0" w:firstLine="480" w:firstLineChars="200"/>
        <w:rPr>
          <w:rFonts w:hAnsi="宋体"/>
          <w:sz w:val="24"/>
          <w:szCs w:val="24"/>
        </w:rPr>
      </w:pPr>
      <w:r>
        <w:rPr>
          <w:rFonts w:hint="eastAsia" w:hAnsi="宋体"/>
          <w:sz w:val="24"/>
          <w:szCs w:val="24"/>
        </w:rPr>
        <w:t>3）与采购人、其他投标单位或者采购代理机构恶意串通的；</w:t>
      </w:r>
    </w:p>
    <w:p>
      <w:pPr>
        <w:pStyle w:val="23"/>
        <w:widowControl/>
        <w:spacing w:line="360" w:lineRule="auto"/>
        <w:ind w:left="0" w:leftChars="0" w:firstLine="480" w:firstLineChars="200"/>
        <w:rPr>
          <w:rFonts w:hAnsi="宋体"/>
          <w:sz w:val="24"/>
          <w:szCs w:val="24"/>
        </w:rPr>
      </w:pPr>
      <w:r>
        <w:rPr>
          <w:rFonts w:hint="eastAsia" w:hAnsi="宋体"/>
          <w:sz w:val="24"/>
          <w:szCs w:val="24"/>
        </w:rPr>
        <w:t>4）向采购人、采购代理机构行贿或者提供其他不正当利益的；</w:t>
      </w:r>
    </w:p>
    <w:p>
      <w:pPr>
        <w:pStyle w:val="23"/>
        <w:widowControl/>
        <w:spacing w:line="360" w:lineRule="auto"/>
        <w:ind w:left="0" w:leftChars="0" w:firstLine="480" w:firstLineChars="200"/>
        <w:rPr>
          <w:rFonts w:hAnsi="宋体"/>
          <w:sz w:val="24"/>
          <w:szCs w:val="24"/>
        </w:rPr>
      </w:pPr>
      <w:r>
        <w:rPr>
          <w:rFonts w:hint="eastAsia" w:hAnsi="宋体"/>
          <w:sz w:val="24"/>
          <w:szCs w:val="24"/>
        </w:rPr>
        <w:t>5）在招标采购过程中与采购人进行协商谈判的；</w:t>
      </w:r>
    </w:p>
    <w:p>
      <w:pPr>
        <w:pStyle w:val="23"/>
        <w:widowControl/>
        <w:spacing w:line="360" w:lineRule="auto"/>
        <w:ind w:left="0" w:leftChars="0" w:firstLine="480" w:firstLineChars="200"/>
        <w:rPr>
          <w:rFonts w:hAnsi="宋体"/>
          <w:sz w:val="24"/>
          <w:szCs w:val="24"/>
        </w:rPr>
      </w:pPr>
      <w:r>
        <w:rPr>
          <w:rFonts w:hint="eastAsia" w:hAnsi="宋体"/>
          <w:sz w:val="24"/>
          <w:szCs w:val="24"/>
        </w:rPr>
        <w:t>6）拒绝有关部门监督检查或提供虚假情况的。</w:t>
      </w:r>
    </w:p>
    <w:p>
      <w:pPr>
        <w:pStyle w:val="23"/>
        <w:widowControl/>
        <w:spacing w:line="360" w:lineRule="auto"/>
        <w:ind w:left="0" w:leftChars="0"/>
        <w:rPr>
          <w:rFonts w:hAnsi="宋体"/>
          <w:sz w:val="24"/>
          <w:szCs w:val="24"/>
        </w:rPr>
      </w:pPr>
    </w:p>
    <w:p>
      <w:pPr>
        <w:spacing w:line="360" w:lineRule="auto"/>
        <w:ind w:left="555"/>
        <w:rPr>
          <w:rFonts w:ascii="宋体" w:hAnsi="宋体"/>
          <w:b/>
          <w:kern w:val="0"/>
          <w:sz w:val="24"/>
          <w:szCs w:val="24"/>
        </w:rPr>
      </w:pPr>
      <w:r>
        <w:rPr>
          <w:rFonts w:hint="eastAsia" w:ascii="宋体" w:hAnsi="宋体"/>
          <w:b/>
          <w:kern w:val="0"/>
          <w:sz w:val="24"/>
          <w:szCs w:val="24"/>
        </w:rPr>
        <w:t xml:space="preserve">投标单位名称（加盖公章）：                                        </w:t>
      </w:r>
    </w:p>
    <w:p>
      <w:pPr>
        <w:spacing w:line="360" w:lineRule="auto"/>
        <w:ind w:left="555"/>
        <w:rPr>
          <w:rFonts w:ascii="宋体" w:hAnsi="宋体"/>
          <w:b/>
          <w:kern w:val="0"/>
          <w:sz w:val="24"/>
          <w:szCs w:val="24"/>
        </w:rPr>
      </w:pPr>
      <w:r>
        <w:rPr>
          <w:rFonts w:hint="eastAsia" w:ascii="宋体" w:hAnsi="宋体"/>
          <w:b/>
          <w:kern w:val="0"/>
          <w:sz w:val="24"/>
          <w:szCs w:val="24"/>
        </w:rPr>
        <w:t>法定代表人或其委托代理人（签字或盖章）：</w:t>
      </w:r>
    </w:p>
    <w:p>
      <w:pPr>
        <w:spacing w:line="360" w:lineRule="auto"/>
        <w:ind w:left="555"/>
        <w:rPr>
          <w:rFonts w:ascii="宋体" w:hAnsi="宋体"/>
          <w:b/>
          <w:kern w:val="0"/>
          <w:sz w:val="24"/>
          <w:szCs w:val="24"/>
        </w:rPr>
      </w:pPr>
      <w:r>
        <w:rPr>
          <w:rFonts w:hint="eastAsia" w:ascii="宋体" w:hAnsi="宋体"/>
          <w:b/>
          <w:kern w:val="0"/>
          <w:sz w:val="24"/>
          <w:szCs w:val="24"/>
        </w:rPr>
        <w:t>日期：  年  月  日</w:t>
      </w:r>
    </w:p>
    <w:p>
      <w:pPr>
        <w:pStyle w:val="2"/>
        <w:ind w:firstLine="482"/>
        <w:rPr>
          <w:rFonts w:ascii="宋体" w:hAnsi="宋体" w:cs="宋体"/>
          <w:b/>
          <w:color w:val="000000"/>
          <w:sz w:val="24"/>
          <w:szCs w:val="24"/>
        </w:rPr>
      </w:pPr>
    </w:p>
    <w:p>
      <w:pPr>
        <w:pStyle w:val="23"/>
        <w:widowControl/>
        <w:spacing w:line="360" w:lineRule="auto"/>
        <w:ind w:left="0" w:leftChars="0" w:firstLine="482" w:firstLineChars="200"/>
        <w:rPr>
          <w:sz w:val="24"/>
          <w:szCs w:val="24"/>
        </w:rPr>
      </w:pPr>
      <w:r>
        <w:rPr>
          <w:rFonts w:hint="eastAsia" w:hAnsi="宋体"/>
          <w:b/>
          <w:sz w:val="24"/>
          <w:szCs w:val="24"/>
        </w:rPr>
        <w:t>说明：除可填报项目外，对本投标函的任何修改将被视为非实质性响应投标，从而导致该投标被拒绝。</w:t>
      </w:r>
    </w:p>
    <w:p>
      <w:pPr>
        <w:pStyle w:val="106"/>
        <w:jc w:val="center"/>
        <w:outlineLvl w:val="2"/>
        <w:rPr>
          <w:sz w:val="24"/>
        </w:rPr>
      </w:pPr>
      <w:r>
        <w:br w:type="page"/>
      </w:r>
      <w:r>
        <w:rPr>
          <w:rFonts w:hint="eastAsia" w:ascii="宋体" w:hAnsi="宋体"/>
          <w:sz w:val="24"/>
        </w:rPr>
        <w:t>★</w:t>
      </w:r>
      <w:r>
        <w:rPr>
          <w:rFonts w:hint="eastAsia"/>
          <w:sz w:val="24"/>
        </w:rPr>
        <w:t>法定代表人身份证明书及授权委托书</w:t>
      </w:r>
      <w:bookmarkEnd w:id="102"/>
      <w:bookmarkEnd w:id="103"/>
      <w:bookmarkEnd w:id="104"/>
    </w:p>
    <w:p>
      <w:pPr>
        <w:pStyle w:val="110"/>
        <w:outlineLvl w:val="9"/>
        <w:rPr>
          <w:b w:val="0"/>
          <w:sz w:val="24"/>
          <w:szCs w:val="24"/>
        </w:rPr>
      </w:pPr>
      <w:bookmarkStart w:id="108" w:name="_Toc480368424"/>
      <w:bookmarkStart w:id="109" w:name="_Toc480371721"/>
      <w:bookmarkStart w:id="110" w:name="_Toc480368595"/>
      <w:bookmarkStart w:id="111" w:name="_Toc480368653"/>
    </w:p>
    <w:p>
      <w:pPr>
        <w:pStyle w:val="110"/>
        <w:outlineLvl w:val="9"/>
        <w:rPr>
          <w:b w:val="0"/>
          <w:sz w:val="24"/>
          <w:szCs w:val="24"/>
        </w:rPr>
      </w:pPr>
      <w:bookmarkStart w:id="112" w:name="_Toc23900"/>
      <w:bookmarkStart w:id="113" w:name="_Toc18836"/>
      <w:r>
        <w:rPr>
          <w:rFonts w:hint="eastAsia"/>
          <w:b w:val="0"/>
          <w:sz w:val="24"/>
          <w:szCs w:val="24"/>
        </w:rPr>
        <w:t>法定代表人身份证明</w:t>
      </w:r>
      <w:bookmarkEnd w:id="108"/>
      <w:bookmarkEnd w:id="109"/>
      <w:bookmarkEnd w:id="110"/>
      <w:bookmarkEnd w:id="111"/>
      <w:r>
        <w:rPr>
          <w:rFonts w:hint="eastAsia"/>
          <w:b w:val="0"/>
          <w:sz w:val="24"/>
          <w:szCs w:val="24"/>
        </w:rPr>
        <w:t>书</w:t>
      </w:r>
      <w:bookmarkEnd w:id="112"/>
      <w:bookmarkEnd w:id="113"/>
    </w:p>
    <w:p>
      <w:pPr>
        <w:pStyle w:val="92"/>
        <w:adjustRightInd w:val="0"/>
        <w:snapToGrid w:val="0"/>
        <w:spacing w:line="360" w:lineRule="auto"/>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92"/>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兹有</w:t>
      </w:r>
      <w:r>
        <w:rPr>
          <w:rFonts w:hint="eastAsia" w:ascii="宋体" w:hAnsi="宋体"/>
          <w:sz w:val="24"/>
          <w:szCs w:val="24"/>
          <w:u w:val="single"/>
        </w:rPr>
        <w:t xml:space="preserve">          </w:t>
      </w:r>
      <w:r>
        <w:rPr>
          <w:rFonts w:hint="eastAsia" w:ascii="宋体" w:hAnsi="宋体"/>
          <w:sz w:val="24"/>
          <w:szCs w:val="24"/>
        </w:rPr>
        <w:t>同志为</w:t>
      </w:r>
      <w:r>
        <w:rPr>
          <w:rFonts w:hint="eastAsia" w:ascii="宋体" w:hAnsi="宋体"/>
          <w:sz w:val="24"/>
          <w:szCs w:val="24"/>
          <w:u w:val="single"/>
        </w:rPr>
        <w:t xml:space="preserve">     </w:t>
      </w:r>
    </w:p>
    <w:p>
      <w:pPr>
        <w:pStyle w:val="92"/>
        <w:adjustRightInd w:val="0"/>
        <w:snapToGrid w:val="0"/>
        <w:spacing w:line="360" w:lineRule="auto"/>
        <w:ind w:firstLine="480" w:firstLineChars="200"/>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 xml:space="preserve">公司法定代表人，代表我公司办理一切社会公务事宜，具有法律效力。 </w:t>
      </w:r>
    </w:p>
    <w:p>
      <w:pPr>
        <w:pStyle w:val="92"/>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附法定代表人基本情况： </w:t>
      </w:r>
    </w:p>
    <w:p>
      <w:pPr>
        <w:pStyle w:val="92"/>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pPr>
        <w:pStyle w:val="92"/>
        <w:adjustRightInd w:val="0"/>
        <w:snapToGrid w:val="0"/>
        <w:spacing w:line="360" w:lineRule="auto"/>
        <w:ind w:firstLine="480" w:firstLineChars="200"/>
        <w:rPr>
          <w:rFonts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p>
    <w:p>
      <w:pPr>
        <w:pStyle w:val="92"/>
        <w:adjustRightInd w:val="0"/>
        <w:snapToGrid w:val="0"/>
        <w:spacing w:line="360" w:lineRule="auto"/>
        <w:ind w:firstLine="480" w:firstLineChars="200"/>
        <w:rPr>
          <w:rFonts w:ascii="宋体" w:hAnsi="宋体"/>
          <w:sz w:val="24"/>
          <w:szCs w:val="24"/>
        </w:rPr>
      </w:pPr>
      <w:r>
        <w:rPr>
          <w:rFonts w:hint="eastAsia" w:ascii="宋体" w:hAnsi="宋体"/>
          <w:sz w:val="24"/>
          <w:szCs w:val="24"/>
        </w:rPr>
        <w:t>通讯地址：</w:t>
      </w:r>
      <w:r>
        <w:rPr>
          <w:rFonts w:hint="eastAsia" w:ascii="宋体" w:hAnsi="宋体"/>
          <w:sz w:val="24"/>
          <w:szCs w:val="24"/>
          <w:u w:val="single"/>
        </w:rPr>
        <w:t xml:space="preserve">                       </w:t>
      </w:r>
    </w:p>
    <w:p>
      <w:pPr>
        <w:pStyle w:val="92"/>
        <w:adjustRightInd w:val="0"/>
        <w:snapToGrid w:val="0"/>
        <w:spacing w:line="360" w:lineRule="auto"/>
        <w:ind w:firstLine="480" w:firstLineChars="200"/>
        <w:rPr>
          <w:rFonts w:ascii="宋体" w:hAnsi="宋体"/>
          <w:sz w:val="24"/>
          <w:szCs w:val="24"/>
        </w:rPr>
      </w:pPr>
      <w:r>
        <w:rPr>
          <w:rFonts w:hint="eastAsia" w:ascii="宋体" w:hAnsi="宋体"/>
          <w:sz w:val="24"/>
          <w:szCs w:val="24"/>
        </w:rPr>
        <w:t>电话号码：</w:t>
      </w:r>
      <w:r>
        <w:rPr>
          <w:rFonts w:hint="eastAsia" w:ascii="宋体" w:hAnsi="宋体"/>
          <w:sz w:val="24"/>
          <w:szCs w:val="24"/>
          <w:u w:val="single"/>
        </w:rPr>
        <w:t xml:space="preserve">                   </w:t>
      </w:r>
      <w:r>
        <w:rPr>
          <w:rFonts w:hint="eastAsia" w:ascii="宋体" w:hAnsi="宋体"/>
          <w:sz w:val="24"/>
          <w:szCs w:val="24"/>
        </w:rPr>
        <w:t>邮政编码：</w:t>
      </w:r>
      <w:r>
        <w:rPr>
          <w:rFonts w:hint="eastAsia" w:ascii="宋体" w:hAnsi="宋体"/>
          <w:sz w:val="24"/>
          <w:szCs w:val="24"/>
          <w:u w:val="single"/>
        </w:rPr>
        <w:t xml:space="preserve">               </w:t>
      </w:r>
    </w:p>
    <w:p>
      <w:pPr>
        <w:pStyle w:val="92"/>
        <w:adjustRightInd w:val="0"/>
        <w:snapToGrid w:val="0"/>
        <w:spacing w:line="500" w:lineRule="exact"/>
        <w:rPr>
          <w:rFonts w:ascii="宋体" w:hAnsi="宋体"/>
          <w:sz w:val="24"/>
          <w:szCs w:val="24"/>
        </w:rPr>
      </w:pPr>
      <w:r>
        <w:rPr>
          <w:rFonts w:hint="eastAsia" w:ascii="宋体" w:hAnsi="宋体"/>
          <w:sz w:val="24"/>
          <w:szCs w:val="24"/>
        </w:rPr>
        <w:t xml:space="preserve"> </w:t>
      </w:r>
    </w:p>
    <w:tbl>
      <w:tblPr>
        <w:tblStyle w:val="36"/>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tcPr>
          <w:p>
            <w:pPr>
              <w:pStyle w:val="92"/>
              <w:adjustRightInd w:val="0"/>
              <w:snapToGrid w:val="0"/>
              <w:spacing w:line="500" w:lineRule="exact"/>
              <w:jc w:val="center"/>
              <w:rPr>
                <w:rFonts w:ascii="宋体" w:hAnsi="宋体"/>
                <w:sz w:val="24"/>
                <w:szCs w:val="24"/>
              </w:rPr>
            </w:pPr>
          </w:p>
          <w:p>
            <w:pPr>
              <w:pStyle w:val="92"/>
              <w:adjustRightInd w:val="0"/>
              <w:snapToGrid w:val="0"/>
              <w:spacing w:line="500" w:lineRule="exact"/>
              <w:jc w:val="center"/>
              <w:rPr>
                <w:rFonts w:ascii="宋体" w:hAnsi="宋体"/>
                <w:sz w:val="24"/>
                <w:szCs w:val="24"/>
              </w:rPr>
            </w:pPr>
          </w:p>
          <w:p>
            <w:pPr>
              <w:pStyle w:val="92"/>
              <w:adjustRightInd w:val="0"/>
              <w:snapToGrid w:val="0"/>
              <w:spacing w:line="500" w:lineRule="exact"/>
              <w:jc w:val="center"/>
              <w:rPr>
                <w:rFonts w:ascii="宋体" w:hAnsi="宋体"/>
                <w:sz w:val="24"/>
                <w:szCs w:val="24"/>
              </w:rPr>
            </w:pPr>
            <w:r>
              <w:rPr>
                <w:rFonts w:hint="eastAsia" w:ascii="宋体" w:hAnsi="宋体"/>
                <w:sz w:val="24"/>
                <w:szCs w:val="24"/>
              </w:rPr>
              <w:t>法定代表人身份证复印件正反面</w:t>
            </w:r>
          </w:p>
        </w:tc>
      </w:tr>
    </w:tbl>
    <w:p>
      <w:pPr>
        <w:pStyle w:val="92"/>
        <w:adjustRightInd w:val="0"/>
        <w:snapToGrid w:val="0"/>
        <w:spacing w:line="500" w:lineRule="exact"/>
        <w:rPr>
          <w:rFonts w:ascii="宋体" w:hAnsi="宋体"/>
          <w:sz w:val="24"/>
          <w:szCs w:val="24"/>
        </w:rPr>
      </w:pPr>
    </w:p>
    <w:p>
      <w:pPr>
        <w:pStyle w:val="92"/>
        <w:tabs>
          <w:tab w:val="left" w:pos="750"/>
        </w:tabs>
        <w:adjustRightInd w:val="0"/>
        <w:snapToGrid w:val="0"/>
        <w:spacing w:line="500" w:lineRule="exact"/>
        <w:rPr>
          <w:rFonts w:ascii="宋体" w:hAnsi="宋体"/>
          <w:sz w:val="24"/>
          <w:szCs w:val="24"/>
        </w:rPr>
      </w:pP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投标单位名称：</w:t>
      </w:r>
      <w:r>
        <w:rPr>
          <w:rFonts w:hint="eastAsia" w:ascii="宋体" w:hAnsi="宋体"/>
          <w:sz w:val="24"/>
          <w:szCs w:val="24"/>
          <w:u w:val="single"/>
        </w:rPr>
        <w:t xml:space="preserve">                       </w:t>
      </w:r>
      <w:r>
        <w:rPr>
          <w:rFonts w:hint="eastAsia" w:ascii="宋体" w:hAnsi="宋体"/>
          <w:sz w:val="24"/>
          <w:szCs w:val="24"/>
        </w:rPr>
        <w:t>（盖章）</w:t>
      </w:r>
    </w:p>
    <w:p>
      <w:pPr>
        <w:pStyle w:val="92"/>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rPr>
        <w:t>（签字或盖章）</w:t>
      </w:r>
    </w:p>
    <w:p>
      <w:pPr>
        <w:pStyle w:val="92"/>
        <w:tabs>
          <w:tab w:val="left" w:pos="750"/>
        </w:tabs>
        <w:adjustRightInd w:val="0"/>
        <w:snapToGrid w:val="0"/>
        <w:spacing w:line="500" w:lineRule="exact"/>
        <w:rPr>
          <w:rFonts w:ascii="宋体" w:hAnsi="宋体"/>
          <w:sz w:val="24"/>
          <w:szCs w:val="24"/>
        </w:rPr>
      </w:pPr>
    </w:p>
    <w:p>
      <w:pPr>
        <w:pStyle w:val="92"/>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110"/>
        <w:outlineLvl w:val="9"/>
        <w:rPr>
          <w:b w:val="0"/>
        </w:rPr>
      </w:pPr>
      <w:bookmarkStart w:id="114" w:name="_Toc468535483"/>
      <w:r>
        <w:rPr>
          <w:rFonts w:hint="eastAsia"/>
          <w:b w:val="0"/>
        </w:rPr>
        <w:t xml:space="preserve"> </w:t>
      </w:r>
      <w:bookmarkStart w:id="115" w:name="_Toc480368654"/>
      <w:bookmarkStart w:id="116" w:name="_Toc480368425"/>
      <w:bookmarkStart w:id="117" w:name="_Toc480371722"/>
      <w:bookmarkStart w:id="118" w:name="_Toc480368596"/>
    </w:p>
    <w:p>
      <w:pPr>
        <w:pStyle w:val="110"/>
        <w:outlineLvl w:val="9"/>
        <w:rPr>
          <w:rFonts w:hint="eastAsia" w:ascii="宋体" w:hAnsi="宋体" w:eastAsia="宋体" w:cs="宋体"/>
          <w:b/>
          <w:bCs w:val="0"/>
          <w:color w:val="000000"/>
          <w:kern w:val="2"/>
          <w:sz w:val="28"/>
          <w:szCs w:val="28"/>
          <w:lang w:val="en-US" w:eastAsia="zh-CN" w:bidi="ar-SA"/>
        </w:rPr>
      </w:pPr>
      <w:r>
        <w:rPr>
          <w:rFonts w:hint="eastAsia"/>
          <w:b w:val="0"/>
        </w:rPr>
        <w:br w:type="page"/>
      </w:r>
      <w:bookmarkStart w:id="119" w:name="_Toc613"/>
      <w:bookmarkStart w:id="120" w:name="_Toc1879"/>
      <w:r>
        <w:rPr>
          <w:rFonts w:hint="eastAsia" w:ascii="宋体" w:hAnsi="宋体" w:eastAsia="宋体" w:cs="宋体"/>
          <w:b/>
          <w:bCs w:val="0"/>
          <w:color w:val="000000"/>
          <w:kern w:val="2"/>
          <w:sz w:val="28"/>
          <w:szCs w:val="28"/>
          <w:lang w:val="en-US" w:eastAsia="zh-CN" w:bidi="ar-SA"/>
        </w:rPr>
        <w:t>法定代表人授权委托书</w:t>
      </w:r>
      <w:bookmarkEnd w:id="114"/>
      <w:bookmarkEnd w:id="115"/>
      <w:bookmarkEnd w:id="116"/>
      <w:bookmarkEnd w:id="117"/>
      <w:bookmarkEnd w:id="118"/>
      <w:bookmarkEnd w:id="119"/>
      <w:bookmarkEnd w:id="120"/>
    </w:p>
    <w:p>
      <w:pPr>
        <w:pStyle w:val="92"/>
        <w:spacing w:line="360" w:lineRule="auto"/>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92"/>
        <w:spacing w:line="360" w:lineRule="auto"/>
        <w:ind w:firstLine="480" w:firstLineChars="200"/>
        <w:rPr>
          <w:rFonts w:ascii="宋体" w:hAnsi="宋体"/>
          <w:sz w:val="24"/>
          <w:szCs w:val="24"/>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同志为我公司参加贵单位组织的编号为</w:t>
      </w:r>
      <w:r>
        <w:rPr>
          <w:rFonts w:hint="eastAsia" w:ascii="宋体" w:hAnsi="宋体"/>
          <w:sz w:val="24"/>
          <w:szCs w:val="24"/>
          <w:u w:val="single"/>
        </w:rPr>
        <w:t>（项目编号）</w:t>
      </w:r>
      <w:r>
        <w:rPr>
          <w:rFonts w:hint="eastAsia" w:ascii="宋体" w:hAnsi="宋体"/>
          <w:sz w:val="24"/>
          <w:szCs w:val="24"/>
        </w:rPr>
        <w:t>的</w:t>
      </w:r>
      <w:r>
        <w:rPr>
          <w:rFonts w:hint="eastAsia" w:ascii="宋体" w:hAnsi="宋体"/>
          <w:sz w:val="24"/>
          <w:szCs w:val="24"/>
          <w:u w:val="single"/>
        </w:rPr>
        <w:t>（项目名称）</w:t>
      </w:r>
      <w:r>
        <w:rPr>
          <w:rFonts w:hint="eastAsia" w:ascii="宋体" w:hAnsi="宋体"/>
          <w:sz w:val="24"/>
          <w:szCs w:val="24"/>
        </w:rPr>
        <w:t>采购活动的委托代理人，全权代表我公司处理在该项目采购活动中的一切事宜。</w:t>
      </w:r>
    </w:p>
    <w:p>
      <w:pPr>
        <w:pStyle w:val="92"/>
        <w:spacing w:line="360" w:lineRule="auto"/>
        <w:ind w:firstLine="480" w:firstLineChars="200"/>
        <w:rPr>
          <w:rFonts w:ascii="宋体" w:hAnsi="宋体"/>
          <w:sz w:val="24"/>
          <w:szCs w:val="24"/>
        </w:rPr>
      </w:pPr>
      <w:r>
        <w:rPr>
          <w:rFonts w:hint="eastAsia" w:ascii="宋体" w:hAnsi="宋体"/>
          <w:sz w:val="24"/>
          <w:szCs w:val="24"/>
        </w:rPr>
        <w:t>代理期限：</w:t>
      </w:r>
      <w:r>
        <w:rPr>
          <w:rFonts w:hint="eastAsia" w:ascii="宋体" w:hAnsi="宋体"/>
          <w:sz w:val="24"/>
          <w:szCs w:val="24"/>
          <w:u w:val="single"/>
        </w:rPr>
        <w:t xml:space="preserve">                 </w:t>
      </w:r>
      <w:r>
        <w:rPr>
          <w:rFonts w:hint="eastAsia" w:ascii="宋体" w:hAnsi="宋体"/>
          <w:sz w:val="24"/>
          <w:szCs w:val="24"/>
        </w:rPr>
        <w:t xml:space="preserve">。 </w:t>
      </w:r>
    </w:p>
    <w:p>
      <w:pPr>
        <w:pStyle w:val="92"/>
        <w:spacing w:line="500" w:lineRule="exact"/>
        <w:rPr>
          <w:rFonts w:ascii="宋体" w:hAnsi="宋体"/>
          <w:sz w:val="24"/>
          <w:szCs w:val="24"/>
        </w:rPr>
      </w:pPr>
    </w:p>
    <w:p>
      <w:pPr>
        <w:pStyle w:val="92"/>
        <w:spacing w:line="500" w:lineRule="exact"/>
        <w:rPr>
          <w:rFonts w:ascii="宋体" w:hAnsi="宋体"/>
          <w:sz w:val="24"/>
          <w:szCs w:val="24"/>
        </w:rPr>
      </w:pPr>
      <w:r>
        <w:rPr>
          <w:rFonts w:hint="eastAsia" w:ascii="宋体" w:hAnsi="宋体"/>
          <w:sz w:val="24"/>
          <w:szCs w:val="24"/>
        </w:rPr>
        <w:t>代理人工作单位：</w:t>
      </w:r>
      <w:r>
        <w:rPr>
          <w:rFonts w:hint="eastAsia" w:ascii="宋体" w:hAnsi="宋体"/>
          <w:sz w:val="24"/>
          <w:szCs w:val="24"/>
          <w:u w:val="single"/>
        </w:rPr>
        <w:t xml:space="preserve">                          </w:t>
      </w:r>
    </w:p>
    <w:p>
      <w:pPr>
        <w:pStyle w:val="92"/>
        <w:spacing w:line="500" w:lineRule="exact"/>
        <w:rPr>
          <w:rFonts w:ascii="宋体" w:hAnsi="宋体"/>
          <w:sz w:val="24"/>
          <w:szCs w:val="24"/>
        </w:rPr>
      </w:pP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p>
    <w:p>
      <w:pPr>
        <w:pStyle w:val="92"/>
        <w:adjustRightInd w:val="0"/>
        <w:snapToGrid w:val="0"/>
        <w:spacing w:line="500" w:lineRule="exact"/>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pPr>
        <w:pStyle w:val="92"/>
        <w:adjustRightInd w:val="0"/>
        <w:snapToGrid w:val="0"/>
        <w:spacing w:line="500" w:lineRule="exact"/>
        <w:ind w:left="-88" w:leftChars="-42" w:firstLine="600" w:firstLineChars="250"/>
        <w:rPr>
          <w:rFonts w:ascii="宋体" w:hAnsi="宋体"/>
          <w:sz w:val="24"/>
          <w:szCs w:val="24"/>
          <w:u w:val="single"/>
        </w:rPr>
      </w:pPr>
    </w:p>
    <w:tbl>
      <w:tblPr>
        <w:tblStyle w:val="36"/>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92"/>
              <w:spacing w:line="500" w:lineRule="exact"/>
              <w:rPr>
                <w:rFonts w:ascii="宋体" w:hAnsi="宋体"/>
                <w:sz w:val="24"/>
                <w:szCs w:val="24"/>
              </w:rPr>
            </w:pPr>
          </w:p>
          <w:p>
            <w:pPr>
              <w:pStyle w:val="92"/>
              <w:spacing w:line="500" w:lineRule="exact"/>
              <w:rPr>
                <w:rFonts w:ascii="宋体" w:hAnsi="宋体"/>
                <w:sz w:val="24"/>
                <w:szCs w:val="24"/>
              </w:rPr>
            </w:pPr>
          </w:p>
          <w:p>
            <w:pPr>
              <w:pStyle w:val="92"/>
              <w:spacing w:line="500" w:lineRule="exact"/>
              <w:rPr>
                <w:rFonts w:ascii="宋体" w:hAnsi="宋体"/>
                <w:sz w:val="24"/>
                <w:szCs w:val="24"/>
              </w:rPr>
            </w:pPr>
          </w:p>
          <w:p>
            <w:pPr>
              <w:pStyle w:val="92"/>
              <w:spacing w:line="500" w:lineRule="exact"/>
              <w:jc w:val="center"/>
              <w:rPr>
                <w:rFonts w:ascii="宋体" w:hAnsi="宋体"/>
                <w:sz w:val="24"/>
                <w:szCs w:val="24"/>
              </w:rPr>
            </w:pPr>
            <w:r>
              <w:rPr>
                <w:rFonts w:hint="eastAsia" w:ascii="宋体" w:hAnsi="宋体"/>
                <w:sz w:val="24"/>
                <w:szCs w:val="24"/>
              </w:rPr>
              <w:t>法定代表人及被授权人身份证正反面</w:t>
            </w:r>
          </w:p>
        </w:tc>
      </w:tr>
    </w:tbl>
    <w:p>
      <w:pPr>
        <w:pStyle w:val="96"/>
        <w:tabs>
          <w:tab w:val="left" w:pos="8786"/>
        </w:tabs>
        <w:spacing w:after="0" w:line="360" w:lineRule="auto"/>
        <w:rPr>
          <w:rFonts w:ascii="宋体" w:hAnsi="宋体"/>
          <w:b/>
          <w:color w:val="000000"/>
          <w:sz w:val="24"/>
        </w:rPr>
      </w:pPr>
    </w:p>
    <w:p>
      <w:pPr>
        <w:pStyle w:val="96"/>
        <w:tabs>
          <w:tab w:val="left" w:pos="8786"/>
        </w:tabs>
        <w:spacing w:after="0" w:line="360" w:lineRule="auto"/>
        <w:rPr>
          <w:rFonts w:ascii="宋体" w:hAnsi="宋体"/>
          <w:b/>
          <w:color w:val="000000"/>
          <w:sz w:val="24"/>
        </w:rPr>
      </w:pPr>
    </w:p>
    <w:p>
      <w:pPr>
        <w:pStyle w:val="92"/>
        <w:tabs>
          <w:tab w:val="left" w:pos="750"/>
        </w:tabs>
        <w:adjustRightInd w:val="0"/>
        <w:snapToGrid w:val="0"/>
        <w:spacing w:line="500" w:lineRule="exact"/>
        <w:rPr>
          <w:rFonts w:ascii="宋体" w:hAnsi="宋体"/>
          <w:sz w:val="24"/>
          <w:szCs w:val="24"/>
        </w:rPr>
      </w:pPr>
      <w:r>
        <w:rPr>
          <w:rFonts w:hint="eastAsia" w:ascii="宋体" w:hAnsi="宋体"/>
          <w:sz w:val="24"/>
          <w:szCs w:val="24"/>
        </w:rPr>
        <w:t>投标单位名称：</w:t>
      </w:r>
      <w:r>
        <w:rPr>
          <w:rFonts w:hint="eastAsia" w:ascii="宋体" w:hAnsi="宋体"/>
          <w:sz w:val="24"/>
          <w:szCs w:val="24"/>
          <w:u w:val="single"/>
        </w:rPr>
        <w:t xml:space="preserve">                       </w:t>
      </w:r>
      <w:r>
        <w:rPr>
          <w:rFonts w:hint="eastAsia" w:ascii="宋体" w:hAnsi="宋体"/>
          <w:sz w:val="24"/>
          <w:szCs w:val="24"/>
        </w:rPr>
        <w:t>（盖章）</w:t>
      </w:r>
    </w:p>
    <w:p>
      <w:pPr>
        <w:pStyle w:val="92"/>
        <w:tabs>
          <w:tab w:val="left" w:pos="750"/>
        </w:tabs>
        <w:adjustRightInd w:val="0"/>
        <w:snapToGrid w:val="0"/>
        <w:spacing w:line="500" w:lineRule="exact"/>
        <w:rPr>
          <w:rFonts w:ascii="宋体" w:hAnsi="宋体"/>
          <w:sz w:val="24"/>
          <w:szCs w:val="24"/>
        </w:rPr>
      </w:pPr>
      <w:r>
        <w:rPr>
          <w:rFonts w:hint="eastAsia" w:ascii="宋体" w:hAnsi="宋体"/>
          <w:sz w:val="24"/>
          <w:szCs w:val="24"/>
        </w:rPr>
        <w:t>法定代表人 ：</w:t>
      </w:r>
      <w:r>
        <w:rPr>
          <w:rFonts w:hint="eastAsia" w:ascii="宋体" w:hAnsi="宋体"/>
          <w:sz w:val="24"/>
          <w:szCs w:val="24"/>
          <w:u w:val="single"/>
        </w:rPr>
        <w:t xml:space="preserve">           </w:t>
      </w:r>
      <w:r>
        <w:rPr>
          <w:rFonts w:hint="eastAsia" w:ascii="宋体" w:hAnsi="宋体"/>
          <w:sz w:val="24"/>
          <w:szCs w:val="24"/>
        </w:rPr>
        <w:t>（签字或盖章）</w:t>
      </w:r>
    </w:p>
    <w:p>
      <w:pPr>
        <w:pStyle w:val="92"/>
        <w:tabs>
          <w:tab w:val="left" w:pos="750"/>
        </w:tabs>
        <w:adjustRightInd w:val="0"/>
        <w:snapToGrid w:val="0"/>
        <w:spacing w:line="500" w:lineRule="exact"/>
        <w:rPr>
          <w:rFonts w:ascii="宋体" w:hAnsi="宋体"/>
          <w:sz w:val="24"/>
          <w:szCs w:val="24"/>
        </w:rPr>
      </w:pPr>
      <w:r>
        <w:rPr>
          <w:rFonts w:hint="eastAsia" w:ascii="宋体" w:hAnsi="宋体"/>
          <w:sz w:val="24"/>
          <w:szCs w:val="24"/>
        </w:rPr>
        <w:t>委托代理人：</w:t>
      </w:r>
      <w:r>
        <w:rPr>
          <w:rFonts w:hint="eastAsia" w:ascii="宋体" w:hAnsi="宋体"/>
          <w:sz w:val="24"/>
          <w:szCs w:val="24"/>
          <w:u w:val="single"/>
        </w:rPr>
        <w:t xml:space="preserve">              </w:t>
      </w:r>
      <w:r>
        <w:rPr>
          <w:rFonts w:hint="eastAsia" w:ascii="宋体" w:hAnsi="宋体"/>
          <w:sz w:val="24"/>
          <w:szCs w:val="24"/>
        </w:rPr>
        <w:t>（签字）</w:t>
      </w:r>
    </w:p>
    <w:p>
      <w:pPr>
        <w:pStyle w:val="92"/>
        <w:tabs>
          <w:tab w:val="left" w:pos="750"/>
        </w:tabs>
        <w:adjustRightInd w:val="0"/>
        <w:snapToGrid w:val="0"/>
        <w:spacing w:line="500" w:lineRule="exact"/>
        <w:rPr>
          <w:rFonts w:ascii="宋体" w:hAnsi="宋体"/>
          <w:sz w:val="24"/>
          <w:szCs w:val="24"/>
        </w:rPr>
      </w:pPr>
    </w:p>
    <w:p>
      <w:pPr>
        <w:pStyle w:val="92"/>
        <w:spacing w:line="500" w:lineRule="exac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106"/>
        <w:jc w:val="center"/>
        <w:outlineLvl w:val="2"/>
        <w:rPr>
          <w:rFonts w:hint="eastAsia" w:ascii="宋体" w:hAnsi="宋体" w:eastAsia="宋体" w:cs="宋体"/>
          <w:b/>
          <w:bCs w:val="0"/>
          <w:color w:val="000000"/>
          <w:kern w:val="2"/>
          <w:sz w:val="28"/>
          <w:szCs w:val="28"/>
          <w:lang w:val="en-US" w:eastAsia="zh-CN" w:bidi="ar-SA"/>
        </w:rPr>
      </w:pPr>
      <w:r>
        <w:rPr>
          <w:rFonts w:hint="eastAsia" w:ascii="宋体" w:hAnsi="宋体" w:eastAsia="宋体" w:cs="宋体"/>
          <w:sz w:val="24"/>
        </w:rPr>
        <w:br w:type="page"/>
      </w:r>
      <w:bookmarkStart w:id="121" w:name="_Toc18505"/>
      <w:bookmarkStart w:id="122" w:name="_Toc30613"/>
      <w:bookmarkStart w:id="123" w:name="_Toc15747"/>
      <w:r>
        <w:rPr>
          <w:rFonts w:hint="eastAsia" w:ascii="宋体" w:hAnsi="宋体" w:eastAsia="宋体" w:cs="宋体"/>
          <w:b/>
          <w:bCs w:val="0"/>
          <w:color w:val="000000"/>
          <w:kern w:val="2"/>
          <w:sz w:val="28"/>
          <w:szCs w:val="28"/>
          <w:lang w:val="en-US" w:eastAsia="zh-CN" w:bidi="ar-SA"/>
        </w:rPr>
        <w:t>★开标一览表</w:t>
      </w:r>
      <w:bookmarkEnd w:id="121"/>
      <w:bookmarkEnd w:id="122"/>
      <w:bookmarkEnd w:id="123"/>
    </w:p>
    <w:tbl>
      <w:tblPr>
        <w:tblStyle w:val="36"/>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844" w:type="dxa"/>
            <w:tcBorders>
              <w:bottom w:val="single" w:color="auto" w:sz="4" w:space="0"/>
            </w:tcBorders>
            <w:vAlign w:val="center"/>
          </w:tcPr>
          <w:p>
            <w:pPr>
              <w:pStyle w:val="90"/>
              <w:tabs>
                <w:tab w:val="left" w:pos="1337"/>
              </w:tabs>
              <w:spacing w:line="360" w:lineRule="auto"/>
              <w:rPr>
                <w:rFonts w:ascii="宋体" w:hAnsi="宋体" w:cs="宋体"/>
                <w:color w:val="000000"/>
                <w:sz w:val="24"/>
              </w:rPr>
            </w:pPr>
            <w:r>
              <w:rPr>
                <w:rFonts w:hint="eastAsia" w:ascii="宋体" w:hAnsi="宋体" w:cs="宋体"/>
                <w:bCs/>
                <w:color w:val="000000"/>
                <w:sz w:val="24"/>
              </w:rPr>
              <w:t>项目名称</w:t>
            </w:r>
          </w:p>
        </w:tc>
        <w:tc>
          <w:tcPr>
            <w:tcW w:w="6934" w:type="dxa"/>
            <w:tcBorders>
              <w:bottom w:val="single" w:color="auto" w:sz="4" w:space="0"/>
            </w:tcBorders>
            <w:vAlign w:val="center"/>
          </w:tcPr>
          <w:p>
            <w:pPr>
              <w:pStyle w:val="90"/>
              <w:tabs>
                <w:tab w:val="left" w:pos="1337"/>
              </w:tabs>
              <w:spacing w:line="360" w:lineRule="auto"/>
              <w:rPr>
                <w:rFonts w:ascii="宋体" w:hAnsi="宋体" w:cs="宋体"/>
                <w:bCs/>
                <w:color w:val="FF0000"/>
                <w:sz w:val="24"/>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844" w:type="dxa"/>
            <w:tcBorders>
              <w:bottom w:val="single" w:color="auto" w:sz="4" w:space="0"/>
            </w:tcBorders>
            <w:vAlign w:val="center"/>
          </w:tcPr>
          <w:p>
            <w:pPr>
              <w:pStyle w:val="90"/>
              <w:tabs>
                <w:tab w:val="left" w:pos="1337"/>
              </w:tabs>
              <w:spacing w:line="360" w:lineRule="auto"/>
              <w:rPr>
                <w:rFonts w:ascii="宋体" w:hAnsi="宋体" w:cs="宋体"/>
                <w:bCs/>
                <w:color w:val="000000"/>
                <w:sz w:val="24"/>
              </w:rPr>
            </w:pPr>
            <w:r>
              <w:rPr>
                <w:rFonts w:hint="eastAsia" w:ascii="宋体" w:hAnsi="宋体" w:cs="宋体"/>
                <w:bCs/>
                <w:color w:val="000000"/>
                <w:sz w:val="24"/>
              </w:rPr>
              <w:t>项目编号</w:t>
            </w:r>
          </w:p>
        </w:tc>
        <w:tc>
          <w:tcPr>
            <w:tcW w:w="6934" w:type="dxa"/>
            <w:tcBorders>
              <w:bottom w:val="single" w:color="auto" w:sz="4" w:space="0"/>
            </w:tcBorders>
            <w:vAlign w:val="center"/>
          </w:tcPr>
          <w:p>
            <w:pPr>
              <w:pStyle w:val="90"/>
              <w:tabs>
                <w:tab w:val="left" w:pos="1337"/>
              </w:tabs>
              <w:spacing w:line="360" w:lineRule="auto"/>
              <w:rPr>
                <w:rFonts w:ascii="宋体" w:hAnsi="宋体" w:cs="宋体"/>
                <w:sz w:val="24"/>
                <w:u w:val="single"/>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1844" w:type="dxa"/>
            <w:vAlign w:val="center"/>
          </w:tcPr>
          <w:p>
            <w:pPr>
              <w:pStyle w:val="90"/>
              <w:tabs>
                <w:tab w:val="left" w:pos="1337"/>
              </w:tabs>
              <w:spacing w:line="360" w:lineRule="auto"/>
              <w:rPr>
                <w:rFonts w:ascii="宋体" w:hAnsi="宋体" w:cs="宋体"/>
                <w:sz w:val="24"/>
              </w:rPr>
            </w:pPr>
            <w:r>
              <w:rPr>
                <w:rFonts w:hint="eastAsia" w:ascii="宋体" w:hAnsi="宋体"/>
                <w:color w:val="000000"/>
                <w:spacing w:val="6"/>
                <w:sz w:val="24"/>
              </w:rPr>
              <w:t>投标总价</w:t>
            </w:r>
          </w:p>
        </w:tc>
        <w:tc>
          <w:tcPr>
            <w:tcW w:w="6934" w:type="dxa"/>
            <w:vAlign w:val="center"/>
          </w:tcPr>
          <w:p>
            <w:pPr>
              <w:pStyle w:val="90"/>
              <w:tabs>
                <w:tab w:val="left" w:pos="1337"/>
              </w:tabs>
              <w:spacing w:line="360" w:lineRule="auto"/>
              <w:rPr>
                <w:rFonts w:ascii="宋体" w:hAnsi="宋体" w:cs="宋体"/>
                <w:bCs/>
                <w:sz w:val="24"/>
              </w:rPr>
            </w:pPr>
          </w:p>
          <w:p>
            <w:pPr>
              <w:pStyle w:val="90"/>
              <w:tabs>
                <w:tab w:val="left" w:pos="1337"/>
              </w:tabs>
              <w:spacing w:line="360" w:lineRule="auto"/>
              <w:rPr>
                <w:rFonts w:ascii="宋体" w:hAnsi="宋体"/>
                <w:color w:val="000000"/>
                <w:spacing w:val="6"/>
                <w:sz w:val="24"/>
                <w:u w:val="single"/>
              </w:rPr>
            </w:pPr>
            <w:r>
              <w:rPr>
                <w:rFonts w:hint="eastAsia" w:ascii="宋体" w:hAnsi="宋体"/>
                <w:color w:val="000000"/>
                <w:spacing w:val="6"/>
                <w:sz w:val="24"/>
              </w:rPr>
              <w:t xml:space="preserve">小写： </w:t>
            </w:r>
            <w:r>
              <w:rPr>
                <w:rFonts w:hint="eastAsia" w:ascii="宋体" w:hAnsi="宋体"/>
                <w:color w:val="000000"/>
                <w:spacing w:val="6"/>
                <w:sz w:val="24"/>
                <w:u w:val="single"/>
              </w:rPr>
              <w:t xml:space="preserve">                         </w:t>
            </w:r>
          </w:p>
          <w:p>
            <w:pPr>
              <w:pStyle w:val="90"/>
              <w:tabs>
                <w:tab w:val="left" w:pos="1337"/>
              </w:tabs>
              <w:spacing w:line="360" w:lineRule="auto"/>
              <w:rPr>
                <w:rFonts w:ascii="宋体" w:hAnsi="宋体" w:cs="宋体"/>
                <w:bCs/>
                <w:sz w:val="24"/>
                <w:u w:val="single"/>
              </w:rPr>
            </w:pPr>
          </w:p>
          <w:p>
            <w:pPr>
              <w:pStyle w:val="90"/>
              <w:tabs>
                <w:tab w:val="left" w:pos="1337"/>
              </w:tabs>
              <w:spacing w:line="360" w:lineRule="auto"/>
              <w:rPr>
                <w:rFonts w:ascii="宋体" w:hAnsi="宋体"/>
                <w:color w:val="000000"/>
                <w:spacing w:val="6"/>
                <w:sz w:val="24"/>
              </w:rPr>
            </w:pPr>
            <w:r>
              <w:rPr>
                <w:rFonts w:hint="eastAsia" w:ascii="宋体" w:hAnsi="宋体"/>
                <w:color w:val="000000"/>
                <w:spacing w:val="6"/>
                <w:sz w:val="24"/>
              </w:rPr>
              <w:t>大写：</w:t>
            </w:r>
            <w:r>
              <w:rPr>
                <w:rFonts w:hint="eastAsia" w:ascii="宋体" w:hAnsi="宋体"/>
                <w:color w:val="000000"/>
                <w:spacing w:val="6"/>
                <w:sz w:val="24"/>
                <w:u w:val="single"/>
              </w:rPr>
              <w:t xml:space="preserve">                         </w:t>
            </w:r>
            <w:r>
              <w:rPr>
                <w:rFonts w:hint="eastAsia" w:ascii="宋体" w:hAnsi="宋体"/>
                <w:color w:val="000000"/>
                <w:spacing w:val="6"/>
                <w:sz w:val="24"/>
              </w:rPr>
              <w:t xml:space="preserve"> </w:t>
            </w:r>
          </w:p>
          <w:p>
            <w:pPr>
              <w:pStyle w:val="90"/>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844" w:type="dxa"/>
            <w:vAlign w:val="center"/>
          </w:tcPr>
          <w:p>
            <w:pPr>
              <w:pStyle w:val="90"/>
              <w:tabs>
                <w:tab w:val="left" w:pos="1337"/>
              </w:tabs>
              <w:spacing w:line="360" w:lineRule="auto"/>
              <w:rPr>
                <w:rFonts w:ascii="宋体" w:hAnsi="宋体" w:cs="宋体"/>
                <w:bCs/>
                <w:color w:val="000000"/>
                <w:sz w:val="24"/>
              </w:rPr>
            </w:pPr>
            <w:r>
              <w:rPr>
                <w:rFonts w:hint="eastAsia" w:ascii="宋体" w:hAnsi="宋体" w:cs="宋体"/>
                <w:bCs/>
                <w:color w:val="000000"/>
                <w:sz w:val="24"/>
              </w:rPr>
              <w:t>质量标准</w:t>
            </w:r>
          </w:p>
        </w:tc>
        <w:tc>
          <w:tcPr>
            <w:tcW w:w="6934" w:type="dxa"/>
            <w:vAlign w:val="center"/>
          </w:tcPr>
          <w:p>
            <w:pPr>
              <w:pStyle w:val="90"/>
              <w:tabs>
                <w:tab w:val="left" w:pos="1337"/>
              </w:tabs>
              <w:spacing w:line="360" w:lineRule="auto"/>
              <w:rPr>
                <w:rFonts w:ascii="宋体" w:hAnsi="宋体" w:cs="宋体"/>
                <w:sz w:val="24"/>
                <w:u w:val="single"/>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778" w:type="dxa"/>
            <w:gridSpan w:val="2"/>
            <w:vAlign w:val="center"/>
          </w:tcPr>
          <w:p>
            <w:pPr>
              <w:pStyle w:val="90"/>
              <w:tabs>
                <w:tab w:val="left" w:pos="1337"/>
              </w:tabs>
              <w:spacing w:line="360" w:lineRule="auto"/>
              <w:rPr>
                <w:rFonts w:ascii="宋体" w:hAnsi="宋体" w:cs="宋体"/>
                <w:color w:val="000000"/>
                <w:sz w:val="24"/>
              </w:rPr>
            </w:pPr>
            <w:r>
              <w:rPr>
                <w:rFonts w:hint="eastAsia" w:ascii="宋体" w:hAnsi="宋体" w:cs="宋体"/>
                <w:bCs/>
                <w:color w:val="000000"/>
                <w:sz w:val="24"/>
              </w:rPr>
              <w:t>备注：</w:t>
            </w:r>
            <w:r>
              <w:rPr>
                <w:rFonts w:hint="eastAsia" w:ascii="宋体" w:hAnsi="宋体" w:cs="宋体"/>
                <w:bCs/>
                <w:color w:val="000000"/>
                <w:sz w:val="24"/>
                <w:u w:val="single"/>
              </w:rPr>
              <w:t xml:space="preserve">                                      </w:t>
            </w:r>
          </w:p>
        </w:tc>
      </w:tr>
    </w:tbl>
    <w:p>
      <w:pPr>
        <w:pStyle w:val="90"/>
        <w:spacing w:line="360" w:lineRule="auto"/>
        <w:ind w:firstLine="480" w:firstLineChars="200"/>
        <w:rPr>
          <w:rFonts w:ascii="宋体" w:hAnsi="宋体" w:cs="宋体"/>
          <w:sz w:val="24"/>
        </w:rPr>
      </w:pPr>
      <w:r>
        <w:rPr>
          <w:rFonts w:hint="eastAsia" w:ascii="宋体" w:hAnsi="宋体" w:cs="宋体"/>
          <w:sz w:val="24"/>
        </w:rPr>
        <w:t>说明：1、投标单位严格按照规定的格式填写。投标总价作为评审及定标的依据。</w:t>
      </w:r>
    </w:p>
    <w:p>
      <w:pPr>
        <w:pStyle w:val="90"/>
        <w:spacing w:line="360" w:lineRule="auto"/>
        <w:ind w:firstLine="1200" w:firstLineChars="500"/>
        <w:rPr>
          <w:rFonts w:ascii="宋体" w:hAnsi="宋体" w:cs="宋体"/>
          <w:sz w:val="24"/>
        </w:rPr>
      </w:pPr>
      <w:r>
        <w:rPr>
          <w:rFonts w:hint="eastAsia" w:ascii="宋体" w:hAnsi="宋体" w:cs="宋体"/>
          <w:sz w:val="24"/>
        </w:rPr>
        <w:t>2、任何有选择或有条件的投标总价或表中某一包填写多个报价，均将导致投标被拒绝。</w:t>
      </w:r>
    </w:p>
    <w:p>
      <w:pPr>
        <w:pStyle w:val="90"/>
        <w:spacing w:line="360" w:lineRule="auto"/>
        <w:ind w:firstLine="1205" w:firstLineChars="500"/>
        <w:rPr>
          <w:rFonts w:ascii="宋体" w:hAnsi="宋体" w:cs="宋体"/>
          <w:b/>
          <w:bCs/>
          <w:sz w:val="24"/>
        </w:rPr>
      </w:pPr>
      <w:r>
        <w:rPr>
          <w:rFonts w:hint="eastAsia" w:ascii="宋体" w:hAnsi="宋体" w:cs="宋体"/>
          <w:b/>
          <w:bCs/>
          <w:sz w:val="24"/>
        </w:rPr>
        <w:t>3、开标一览表除投标文件正副本中提供外，另须单独密封一份，随响应文件一起提交。</w:t>
      </w:r>
    </w:p>
    <w:p>
      <w:pPr>
        <w:spacing w:line="360" w:lineRule="auto"/>
        <w:ind w:left="555"/>
        <w:rPr>
          <w:rFonts w:ascii="宋体" w:hAnsi="宋体" w:cs="仿宋"/>
          <w:sz w:val="28"/>
        </w:rPr>
      </w:pPr>
    </w:p>
    <w:p>
      <w:pPr>
        <w:spacing w:line="360" w:lineRule="auto"/>
        <w:ind w:left="555"/>
        <w:jc w:val="right"/>
        <w:rPr>
          <w:rFonts w:ascii="宋体" w:hAnsi="宋体" w:cs="仿宋"/>
          <w:sz w:val="24"/>
          <w:szCs w:val="24"/>
        </w:rPr>
      </w:pPr>
      <w:r>
        <w:rPr>
          <w:rFonts w:hint="eastAsia" w:ascii="宋体" w:hAnsi="宋体" w:cs="仿宋"/>
          <w:sz w:val="24"/>
          <w:szCs w:val="24"/>
        </w:rPr>
        <w:t>投标单位名称：</w:t>
      </w:r>
      <w:r>
        <w:rPr>
          <w:rFonts w:hint="eastAsia" w:ascii="宋体" w:hAnsi="宋体" w:cs="仿宋"/>
          <w:sz w:val="24"/>
          <w:szCs w:val="24"/>
          <w:u w:val="single"/>
        </w:rPr>
        <w:t xml:space="preserve">                     </w:t>
      </w:r>
      <w:r>
        <w:rPr>
          <w:rFonts w:hint="eastAsia" w:ascii="宋体" w:hAnsi="宋体" w:cs="仿宋"/>
          <w:sz w:val="24"/>
          <w:szCs w:val="24"/>
        </w:rPr>
        <w:t>（加盖公章）</w:t>
      </w:r>
    </w:p>
    <w:p>
      <w:pPr>
        <w:spacing w:line="360" w:lineRule="auto"/>
        <w:ind w:left="555"/>
        <w:jc w:val="right"/>
        <w:rPr>
          <w:rFonts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u w:val="single"/>
        </w:rPr>
        <w:t xml:space="preserve">                     </w:t>
      </w:r>
      <w:r>
        <w:rPr>
          <w:rFonts w:hint="eastAsia" w:ascii="宋体" w:hAnsi="宋体" w:cs="仿宋"/>
          <w:sz w:val="24"/>
          <w:szCs w:val="24"/>
        </w:rPr>
        <w:t>（签字或盖章）</w:t>
      </w:r>
    </w:p>
    <w:p>
      <w:pPr>
        <w:pStyle w:val="109"/>
        <w:jc w:val="center"/>
        <w:outlineLvl w:val="2"/>
        <w:rPr>
          <w:rFonts w:ascii="宋体" w:hAnsi="宋体" w:cs="仿宋"/>
          <w:sz w:val="24"/>
        </w:rPr>
      </w:pPr>
      <w:r>
        <w:rPr>
          <w:rFonts w:hint="eastAsia" w:ascii="宋体" w:hAnsi="宋体" w:cs="仿宋"/>
          <w:sz w:val="24"/>
        </w:rPr>
        <w:t xml:space="preserve">            </w:t>
      </w:r>
    </w:p>
    <w:p>
      <w:pPr>
        <w:pStyle w:val="109"/>
        <w:jc w:val="center"/>
        <w:outlineLvl w:val="2"/>
        <w:rPr>
          <w:rFonts w:ascii="宋体" w:hAnsi="宋体" w:eastAsia="宋体" w:cs="宋体"/>
          <w:sz w:val="24"/>
        </w:rPr>
      </w:pPr>
      <w:r>
        <w:rPr>
          <w:rFonts w:hint="eastAsia" w:ascii="宋体" w:hAnsi="宋体" w:cs="仿宋"/>
          <w:sz w:val="24"/>
        </w:rPr>
        <w:t xml:space="preserve">               日期：   年   月   日</w:t>
      </w:r>
      <w:r>
        <w:rPr>
          <w:rFonts w:hint="eastAsia"/>
        </w:rPr>
        <w:br w:type="page"/>
      </w:r>
      <w:bookmarkStart w:id="124" w:name="_Toc30687"/>
      <w:bookmarkStart w:id="125" w:name="_Toc22219"/>
      <w:bookmarkStart w:id="126" w:name="_Toc11982"/>
      <w:r>
        <w:rPr>
          <w:rFonts w:hint="eastAsia" w:ascii="宋体" w:hAnsi="宋体" w:eastAsia="宋体" w:cs="宋体"/>
          <w:sz w:val="24"/>
        </w:rPr>
        <w:t>★资格证明文件</w:t>
      </w:r>
      <w:bookmarkEnd w:id="124"/>
      <w:bookmarkEnd w:id="125"/>
      <w:bookmarkEnd w:id="126"/>
    </w:p>
    <w:p>
      <w:pPr>
        <w:pStyle w:val="108"/>
        <w:outlineLvl w:val="2"/>
        <w:rPr>
          <w:sz w:val="24"/>
        </w:rPr>
      </w:pPr>
    </w:p>
    <w:p>
      <w:pPr>
        <w:pStyle w:val="108"/>
        <w:outlineLvl w:val="2"/>
        <w:rPr>
          <w:rFonts w:ascii="宋体" w:hAnsi="宋体" w:eastAsia="宋体" w:cs="宋体"/>
          <w:sz w:val="24"/>
        </w:rPr>
      </w:pPr>
      <w:bookmarkStart w:id="127" w:name="_Toc9140"/>
      <w:bookmarkStart w:id="128" w:name="_Toc14031"/>
      <w:bookmarkStart w:id="129" w:name="_Toc6635"/>
      <w:r>
        <w:rPr>
          <w:rFonts w:hint="eastAsia" w:ascii="宋体" w:hAnsi="宋体" w:eastAsia="宋体" w:cs="宋体"/>
          <w:sz w:val="24"/>
        </w:rPr>
        <w:t>★营业执照、组织机构代码证、税务登记证（或三证合一的营业执照）</w:t>
      </w:r>
      <w:bookmarkEnd w:id="127"/>
      <w:bookmarkEnd w:id="128"/>
      <w:bookmarkEnd w:id="129"/>
    </w:p>
    <w:p>
      <w:pPr>
        <w:pStyle w:val="108"/>
        <w:outlineLvl w:val="2"/>
        <w:rPr>
          <w:rFonts w:ascii="宋体" w:hAnsi="宋体" w:eastAsia="宋体" w:cs="宋体"/>
          <w:sz w:val="24"/>
        </w:rPr>
      </w:pPr>
      <w:bookmarkStart w:id="130" w:name="_Toc27653"/>
      <w:bookmarkStart w:id="131" w:name="_Toc3674"/>
      <w:r>
        <w:rPr>
          <w:rFonts w:hint="eastAsia" w:ascii="宋体" w:hAnsi="宋体" w:eastAsia="宋体" w:cs="宋体"/>
          <w:sz w:val="24"/>
        </w:rPr>
        <w:t>★授权</w:t>
      </w:r>
      <w:bookmarkEnd w:id="130"/>
      <w:bookmarkEnd w:id="131"/>
      <w:r>
        <w:rPr>
          <w:rFonts w:hint="eastAsia" w:ascii="宋体" w:hAnsi="宋体" w:eastAsia="宋体" w:cs="宋体"/>
          <w:sz w:val="24"/>
        </w:rPr>
        <w:t>证明材料</w:t>
      </w:r>
    </w:p>
    <w:p>
      <w:pPr>
        <w:pStyle w:val="86"/>
        <w:outlineLvl w:val="2"/>
        <w:rPr>
          <w:rFonts w:ascii="宋体" w:hAnsi="宋体" w:eastAsia="宋体" w:cs="宋体"/>
          <w:sz w:val="24"/>
        </w:rPr>
      </w:pPr>
      <w:bookmarkStart w:id="132" w:name="_Toc10958"/>
      <w:bookmarkStart w:id="133" w:name="_Toc17608"/>
      <w:bookmarkStart w:id="134" w:name="_Toc5625"/>
      <w:r>
        <w:rPr>
          <w:rFonts w:hint="eastAsia" w:ascii="宋体" w:hAnsi="宋体" w:eastAsia="宋体" w:cs="宋体"/>
          <w:sz w:val="24"/>
        </w:rPr>
        <w:t>★投标保证金收据（以回执单为准）</w:t>
      </w:r>
      <w:bookmarkEnd w:id="132"/>
      <w:bookmarkEnd w:id="133"/>
      <w:bookmarkEnd w:id="134"/>
    </w:p>
    <w:p>
      <w:pPr>
        <w:pStyle w:val="86"/>
        <w:outlineLvl w:val="2"/>
        <w:rPr>
          <w:rFonts w:ascii="宋体" w:hAnsi="宋体" w:eastAsia="宋体" w:cs="宋体"/>
          <w:sz w:val="24"/>
        </w:rPr>
      </w:pPr>
      <w:bookmarkStart w:id="135" w:name="_Toc18070"/>
      <w:bookmarkStart w:id="136" w:name="_Toc30884"/>
      <w:bookmarkStart w:id="137" w:name="_Toc15360"/>
      <w:r>
        <w:rPr>
          <w:rFonts w:hint="eastAsia" w:ascii="宋体" w:hAnsi="宋体" w:eastAsia="宋体" w:cs="宋体"/>
          <w:sz w:val="24"/>
        </w:rPr>
        <w:t>★“信用中国”、“中国政府采购网”网页打印件</w:t>
      </w:r>
      <w:bookmarkEnd w:id="135"/>
      <w:bookmarkEnd w:id="136"/>
      <w:bookmarkEnd w:id="137"/>
    </w:p>
    <w:p>
      <w:pPr>
        <w:pStyle w:val="86"/>
        <w:outlineLvl w:val="2"/>
        <w:rPr>
          <w:rFonts w:ascii="宋体" w:hAnsi="宋体" w:eastAsia="宋体" w:cs="宋体"/>
          <w:sz w:val="24"/>
        </w:rPr>
      </w:pPr>
      <w:bookmarkStart w:id="138" w:name="_Toc17345"/>
      <w:bookmarkStart w:id="139" w:name="_Toc17856"/>
      <w:bookmarkStart w:id="140" w:name="_Toc16449"/>
      <w:r>
        <w:rPr>
          <w:rFonts w:hint="eastAsia" w:ascii="宋体" w:hAnsi="宋体" w:eastAsia="宋体" w:cs="宋体"/>
          <w:sz w:val="24"/>
        </w:rPr>
        <w:t>★中、小微企业声明函（中、小、微型企业产品价格需扣除的须提供）</w:t>
      </w:r>
      <w:bookmarkEnd w:id="138"/>
      <w:bookmarkEnd w:id="139"/>
      <w:bookmarkEnd w:id="140"/>
    </w:p>
    <w:p>
      <w:pPr>
        <w:pStyle w:val="86"/>
        <w:outlineLvl w:val="2"/>
        <w:rPr>
          <w:rFonts w:ascii="宋体" w:hAnsi="宋体" w:eastAsia="宋体" w:cs="宋体"/>
          <w:sz w:val="24"/>
        </w:rPr>
      </w:pPr>
      <w:bookmarkStart w:id="141" w:name="_Toc9981"/>
      <w:r>
        <w:rPr>
          <w:rFonts w:hint="eastAsia" w:ascii="宋体" w:hAnsi="宋体" w:eastAsia="宋体" w:cs="宋体"/>
          <w:sz w:val="24"/>
        </w:rPr>
        <w:t>投标单位认为有必要提供的其他证明材料</w:t>
      </w:r>
      <w:bookmarkEnd w:id="141"/>
    </w:p>
    <w:p>
      <w:pPr>
        <w:pStyle w:val="86"/>
        <w:outlineLvl w:val="2"/>
        <w:rPr>
          <w:rFonts w:ascii="宋体" w:hAnsi="宋体" w:eastAsia="宋体" w:cs="宋体"/>
          <w:sz w:val="24"/>
        </w:rPr>
      </w:pPr>
    </w:p>
    <w:p>
      <w:pPr>
        <w:pStyle w:val="79"/>
        <w:spacing w:line="360" w:lineRule="auto"/>
        <w:ind w:right="-97"/>
        <w:jc w:val="center"/>
        <w:rPr>
          <w:b/>
          <w:color w:val="000000"/>
          <w:sz w:val="24"/>
        </w:rPr>
      </w:pPr>
      <w:r>
        <w:rPr>
          <w:rFonts w:hint="eastAsia"/>
          <w:b/>
          <w:color w:val="000000"/>
          <w:sz w:val="24"/>
        </w:rPr>
        <w:t>中小企业声明函</w:t>
      </w:r>
    </w:p>
    <w:p>
      <w:pPr>
        <w:pStyle w:val="104"/>
        <w:spacing w:line="360" w:lineRule="auto"/>
        <w:ind w:left="0" w:leftChars="0" w:firstLine="0" w:firstLineChars="0"/>
        <w:rPr>
          <w:rFonts w:ascii="黑体"/>
          <w:bCs/>
          <w:color w:val="000000"/>
          <w:u w:val="single"/>
        </w:rPr>
      </w:pPr>
      <w:r>
        <w:rPr>
          <w:rFonts w:hint="eastAsia"/>
          <w:color w:val="000000"/>
        </w:rPr>
        <w:t>项目编号：</w:t>
      </w:r>
      <w:r>
        <w:rPr>
          <w:rFonts w:hint="eastAsia"/>
          <w:color w:val="000000"/>
          <w:u w:val="single"/>
        </w:rPr>
        <w:t xml:space="preserve">                 </w:t>
      </w:r>
    </w:p>
    <w:p>
      <w:pPr>
        <w:pStyle w:val="79"/>
        <w:spacing w:line="360" w:lineRule="auto"/>
        <w:ind w:firstLine="504" w:firstLineChars="200"/>
        <w:rPr>
          <w:rFonts w:ascii="宋体" w:hAnsi="宋体"/>
          <w:color w:val="000000"/>
          <w:spacing w:val="6"/>
          <w:sz w:val="24"/>
        </w:rPr>
      </w:pPr>
      <w:r>
        <w:rPr>
          <w:rFonts w:hint="eastAsia" w:ascii="宋体" w:hAnsi="宋体"/>
          <w:color w:val="000000"/>
          <w:spacing w:val="6"/>
          <w:sz w:val="24"/>
        </w:rPr>
        <w:t>本公司郑重声明，根据《政府采购促进中小企业发展暂行办法》（财库[2011]181号）的规定，本公司为______（请填写：中型、小型、微型）企业。即，本公司同时满足以下条件：</w:t>
      </w:r>
    </w:p>
    <w:p>
      <w:pPr>
        <w:pStyle w:val="79"/>
        <w:spacing w:line="360" w:lineRule="auto"/>
        <w:ind w:firstLine="504" w:firstLineChars="200"/>
        <w:rPr>
          <w:rFonts w:ascii="宋体" w:hAnsi="宋体"/>
          <w:color w:val="000000"/>
          <w:spacing w:val="6"/>
          <w:sz w:val="24"/>
        </w:rPr>
      </w:pPr>
      <w:r>
        <w:rPr>
          <w:rFonts w:hint="eastAsia" w:ascii="宋体" w:hAnsi="宋体"/>
          <w:color w:val="000000"/>
          <w:spacing w:val="6"/>
          <w:sz w:val="24"/>
        </w:rPr>
        <w:t>1.根据《工业和信息化部、国家统计局、国家发展和改革委员会、财政部关于印发中小企业划型标准规定的通知》（工信部联企业[2011]300号）规定的划分标准，本公司为______（请填写：中型、小型、微型）企业。</w:t>
      </w:r>
    </w:p>
    <w:p>
      <w:pPr>
        <w:pStyle w:val="79"/>
        <w:spacing w:line="360" w:lineRule="auto"/>
        <w:ind w:firstLine="504" w:firstLineChars="200"/>
        <w:rPr>
          <w:rFonts w:ascii="宋体" w:hAnsi="宋体"/>
          <w:color w:val="000000"/>
          <w:spacing w:val="6"/>
          <w:sz w:val="24"/>
        </w:rPr>
      </w:pPr>
      <w:r>
        <w:rPr>
          <w:rFonts w:hint="eastAsia" w:ascii="宋体" w:hAnsi="宋体"/>
          <w:color w:val="000000"/>
          <w:spacing w:val="6"/>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79"/>
        <w:spacing w:line="360" w:lineRule="auto"/>
        <w:ind w:firstLine="504" w:firstLineChars="200"/>
        <w:rPr>
          <w:rFonts w:ascii="宋体" w:hAnsi="宋体"/>
          <w:color w:val="000000"/>
          <w:spacing w:val="6"/>
          <w:sz w:val="24"/>
        </w:rPr>
      </w:pPr>
      <w:r>
        <w:rPr>
          <w:rFonts w:hint="eastAsia" w:ascii="宋体" w:hAnsi="宋体"/>
          <w:color w:val="000000"/>
          <w:spacing w:val="6"/>
          <w:sz w:val="24"/>
        </w:rPr>
        <w:t>本公司对上述声明的真实性负责。如有虚假，将依法承担相应责任。</w:t>
      </w:r>
    </w:p>
    <w:p>
      <w:pPr>
        <w:pStyle w:val="79"/>
        <w:spacing w:line="360" w:lineRule="auto"/>
        <w:ind w:firstLine="5040" w:firstLineChars="2100"/>
        <w:rPr>
          <w:color w:val="000000"/>
          <w:sz w:val="24"/>
        </w:rPr>
      </w:pPr>
    </w:p>
    <w:p>
      <w:pPr>
        <w:pStyle w:val="79"/>
        <w:spacing w:line="360" w:lineRule="auto"/>
        <w:ind w:firstLine="5040" w:firstLineChars="2100"/>
        <w:rPr>
          <w:color w:val="000000"/>
          <w:sz w:val="24"/>
        </w:rPr>
      </w:pPr>
      <w:r>
        <w:rPr>
          <w:rFonts w:hint="eastAsia"/>
          <w:color w:val="000000"/>
          <w:sz w:val="24"/>
        </w:rPr>
        <w:t>投标单位名称（加盖公章）：</w:t>
      </w:r>
    </w:p>
    <w:p>
      <w:pPr>
        <w:pStyle w:val="79"/>
        <w:spacing w:line="360" w:lineRule="auto"/>
        <w:ind w:firstLine="6000" w:firstLineChars="2500"/>
        <w:rPr>
          <w:color w:val="000000"/>
          <w:sz w:val="24"/>
        </w:rPr>
      </w:pPr>
      <w:r>
        <w:rPr>
          <w:rFonts w:hint="eastAsia"/>
          <w:color w:val="000000"/>
          <w:sz w:val="24"/>
        </w:rPr>
        <w:t>年   月   日</w:t>
      </w:r>
    </w:p>
    <w:p>
      <w:pPr>
        <w:pStyle w:val="79"/>
        <w:jc w:val="left"/>
        <w:rPr>
          <w:b/>
          <w:bCs/>
          <w:color w:val="000000"/>
          <w:szCs w:val="21"/>
        </w:rPr>
      </w:pPr>
      <w:r>
        <w:rPr>
          <w:rFonts w:hint="eastAsia"/>
          <w:b/>
          <w:bCs/>
          <w:color w:val="000000"/>
          <w:szCs w:val="21"/>
        </w:rPr>
        <w:t>注：如投标单位是中小微企业，须提供国家企业信用信息公示系统（http://www.gsxt.gov.cn/index.html）网站中查询的小微企业名录（http://xwqy.gsxt.gov.cn/）网络截图；投标单位为代理商的，其代理产品的制造商也必须为小型、微型企业，需同时提供其国家企业信息公示系统（http://www.gsxt.gov.cn/index.html）网络截图。如未附明确的小微企业名录（http://xwqy.gsxt.gov.cn/）网络截图，将不按小型、微型企业处理。如已附网络截图但有虚假，将按无效标处理。如投标单位不是中小微企业，以上内容请填写“/</w:t>
      </w:r>
      <w:r>
        <w:rPr>
          <w:b/>
          <w:bCs/>
          <w:color w:val="000000"/>
          <w:szCs w:val="21"/>
        </w:rPr>
        <w:t>”</w:t>
      </w:r>
      <w:r>
        <w:rPr>
          <w:rFonts w:hint="eastAsia"/>
          <w:b/>
          <w:bCs/>
          <w:color w:val="000000"/>
          <w:szCs w:val="21"/>
        </w:rPr>
        <w:t>。</w:t>
      </w:r>
    </w:p>
    <w:p>
      <w:pPr>
        <w:spacing w:line="360" w:lineRule="auto"/>
        <w:jc w:val="center"/>
        <w:rPr>
          <w:rFonts w:ascii="宋体" w:hAnsi="宋体" w:cs="宋体"/>
          <w:b/>
          <w:color w:val="000000"/>
          <w:sz w:val="28"/>
          <w:szCs w:val="28"/>
        </w:rPr>
      </w:pPr>
      <w:r>
        <w:rPr>
          <w:rFonts w:hint="eastAsia" w:ascii="宋体" w:hAnsi="宋体"/>
          <w:sz w:val="24"/>
        </w:rPr>
        <w:br w:type="page"/>
      </w:r>
      <w:r>
        <w:rPr>
          <w:rFonts w:hint="eastAsia" w:ascii="宋体" w:hAnsi="宋体" w:cs="宋体"/>
          <w:b/>
          <w:kern w:val="0"/>
          <w:sz w:val="24"/>
        </w:rPr>
        <w:t>★</w:t>
      </w:r>
      <w:bookmarkStart w:id="142" w:name="_Toc449191483"/>
      <w:bookmarkStart w:id="143" w:name="_Toc448862871"/>
      <w:r>
        <w:rPr>
          <w:rFonts w:hint="eastAsia" w:ascii="宋体" w:hAnsi="宋体" w:cs="宋体"/>
          <w:b/>
          <w:color w:val="000000"/>
          <w:sz w:val="28"/>
          <w:szCs w:val="28"/>
        </w:rPr>
        <w:t>近三年类似业绩一览表</w:t>
      </w:r>
    </w:p>
    <w:p>
      <w:pPr>
        <w:spacing w:line="360" w:lineRule="auto"/>
        <w:jc w:val="center"/>
        <w:rPr>
          <w:rFonts w:ascii="宋体" w:hAnsi="宋体" w:cs="宋体"/>
          <w:b/>
          <w:sz w:val="28"/>
          <w:szCs w:val="28"/>
        </w:rPr>
      </w:pPr>
      <w:r>
        <w:rPr>
          <w:rFonts w:hint="eastAsia" w:ascii="宋体" w:hAnsi="宋体" w:cs="宋体"/>
          <w:b/>
          <w:sz w:val="28"/>
          <w:szCs w:val="28"/>
        </w:rPr>
        <w:t>近三年（201</w:t>
      </w:r>
      <w:r>
        <w:rPr>
          <w:rFonts w:hint="eastAsia" w:ascii="宋体" w:hAnsi="宋体" w:cs="宋体"/>
          <w:b/>
          <w:sz w:val="28"/>
          <w:szCs w:val="28"/>
          <w:lang w:val="en-US" w:eastAsia="zh-CN"/>
        </w:rPr>
        <w:t>9</w:t>
      </w:r>
      <w:r>
        <w:rPr>
          <w:rFonts w:hint="eastAsia" w:ascii="宋体" w:hAnsi="宋体" w:cs="宋体"/>
          <w:b/>
          <w:sz w:val="28"/>
          <w:szCs w:val="28"/>
        </w:rPr>
        <w:t>年</w:t>
      </w:r>
      <w:r>
        <w:rPr>
          <w:rFonts w:hint="eastAsia" w:ascii="宋体" w:hAnsi="宋体" w:cs="宋体"/>
          <w:b/>
          <w:sz w:val="28"/>
          <w:szCs w:val="28"/>
          <w:lang w:val="en-US" w:eastAsia="zh-CN"/>
        </w:rPr>
        <w:t>1</w:t>
      </w:r>
      <w:r>
        <w:rPr>
          <w:rFonts w:hint="eastAsia" w:ascii="宋体" w:hAnsi="宋体" w:cs="宋体"/>
          <w:b/>
          <w:sz w:val="28"/>
          <w:szCs w:val="28"/>
        </w:rPr>
        <w:t>月</w:t>
      </w:r>
      <w:r>
        <w:rPr>
          <w:rFonts w:hint="eastAsia" w:ascii="宋体" w:hAnsi="宋体" w:cs="宋体"/>
          <w:b/>
          <w:sz w:val="28"/>
          <w:szCs w:val="28"/>
          <w:lang w:val="en-US" w:eastAsia="zh-CN"/>
        </w:rPr>
        <w:t>1</w:t>
      </w:r>
      <w:r>
        <w:rPr>
          <w:rFonts w:hint="eastAsia" w:ascii="宋体" w:hAnsi="宋体" w:cs="宋体"/>
          <w:b/>
          <w:sz w:val="28"/>
          <w:szCs w:val="28"/>
        </w:rPr>
        <w:t>日至今）类似业绩一览表</w:t>
      </w:r>
    </w:p>
    <w:tbl>
      <w:tblPr>
        <w:tblStyle w:val="36"/>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2"/>
        <w:gridCol w:w="1493"/>
        <w:gridCol w:w="1329"/>
        <w:gridCol w:w="1497"/>
        <w:gridCol w:w="1403"/>
        <w:gridCol w:w="142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3" w:hRule="atLeast"/>
          <w:jc w:val="center"/>
        </w:trPr>
        <w:tc>
          <w:tcPr>
            <w:tcW w:w="1172" w:type="dxa"/>
            <w:vAlign w:val="center"/>
          </w:tcPr>
          <w:p>
            <w:pPr>
              <w:jc w:val="center"/>
              <w:rPr>
                <w:rFonts w:ascii="宋体" w:hAnsi="宋体" w:cs="宋体"/>
                <w:sz w:val="24"/>
                <w:szCs w:val="24"/>
              </w:rPr>
            </w:pPr>
            <w:r>
              <w:rPr>
                <w:rFonts w:hint="eastAsia" w:ascii="宋体" w:hAnsi="宋体" w:cs="宋体"/>
                <w:sz w:val="24"/>
                <w:szCs w:val="24"/>
              </w:rPr>
              <w:t>序号</w:t>
            </w:r>
          </w:p>
        </w:tc>
        <w:tc>
          <w:tcPr>
            <w:tcW w:w="1493" w:type="dxa"/>
            <w:vAlign w:val="center"/>
          </w:tcPr>
          <w:p>
            <w:pPr>
              <w:jc w:val="center"/>
              <w:rPr>
                <w:rFonts w:ascii="宋体" w:hAnsi="宋体" w:cs="宋体"/>
                <w:sz w:val="24"/>
                <w:szCs w:val="24"/>
              </w:rPr>
            </w:pPr>
            <w:r>
              <w:rPr>
                <w:rFonts w:hint="eastAsia" w:ascii="宋体" w:hAnsi="宋体" w:cs="宋体"/>
                <w:sz w:val="24"/>
                <w:szCs w:val="24"/>
              </w:rPr>
              <w:t>项目名称</w:t>
            </w:r>
          </w:p>
        </w:tc>
        <w:tc>
          <w:tcPr>
            <w:tcW w:w="1329" w:type="dxa"/>
            <w:vAlign w:val="center"/>
          </w:tcPr>
          <w:p>
            <w:pPr>
              <w:jc w:val="center"/>
              <w:rPr>
                <w:rFonts w:ascii="宋体" w:hAnsi="宋体" w:cs="宋体"/>
                <w:sz w:val="24"/>
                <w:szCs w:val="24"/>
              </w:rPr>
            </w:pPr>
            <w:r>
              <w:rPr>
                <w:rFonts w:hint="eastAsia" w:ascii="宋体" w:hAnsi="宋体" w:cs="宋体"/>
                <w:sz w:val="24"/>
                <w:szCs w:val="24"/>
              </w:rPr>
              <w:t>招标单位</w:t>
            </w:r>
          </w:p>
        </w:tc>
        <w:tc>
          <w:tcPr>
            <w:tcW w:w="1497" w:type="dxa"/>
            <w:vAlign w:val="center"/>
          </w:tcPr>
          <w:p>
            <w:pPr>
              <w:jc w:val="center"/>
              <w:rPr>
                <w:rFonts w:ascii="宋体" w:hAnsi="宋体" w:cs="宋体"/>
                <w:sz w:val="24"/>
                <w:szCs w:val="24"/>
              </w:rPr>
            </w:pPr>
            <w:r>
              <w:rPr>
                <w:rFonts w:hint="eastAsia" w:ascii="宋体" w:hAnsi="宋体" w:cs="宋体"/>
                <w:sz w:val="24"/>
                <w:szCs w:val="24"/>
              </w:rPr>
              <w:t>时间</w:t>
            </w:r>
          </w:p>
        </w:tc>
        <w:tc>
          <w:tcPr>
            <w:tcW w:w="1403" w:type="dxa"/>
            <w:vAlign w:val="center"/>
          </w:tcPr>
          <w:p>
            <w:pPr>
              <w:jc w:val="center"/>
              <w:rPr>
                <w:rFonts w:ascii="宋体" w:hAnsi="宋体" w:cs="宋体"/>
                <w:sz w:val="24"/>
                <w:szCs w:val="24"/>
              </w:rPr>
            </w:pPr>
            <w:r>
              <w:rPr>
                <w:rFonts w:hint="eastAsia" w:ascii="宋体" w:hAnsi="宋体" w:cs="宋体"/>
                <w:sz w:val="24"/>
                <w:szCs w:val="24"/>
              </w:rPr>
              <w:t>金额</w:t>
            </w:r>
          </w:p>
        </w:tc>
        <w:tc>
          <w:tcPr>
            <w:tcW w:w="1422" w:type="dxa"/>
            <w:vAlign w:val="center"/>
          </w:tcPr>
          <w:p>
            <w:pPr>
              <w:jc w:val="center"/>
              <w:rPr>
                <w:rFonts w:ascii="宋体" w:hAnsi="宋体" w:cs="宋体"/>
                <w:sz w:val="24"/>
                <w:szCs w:val="24"/>
              </w:rPr>
            </w:pPr>
            <w:r>
              <w:rPr>
                <w:rFonts w:hint="eastAsia" w:ascii="宋体" w:hAnsi="宋体" w:cs="宋体"/>
                <w:sz w:val="24"/>
                <w:szCs w:val="24"/>
              </w:rPr>
              <w:t>项目负责人</w:t>
            </w:r>
          </w:p>
        </w:tc>
        <w:tc>
          <w:tcPr>
            <w:tcW w:w="1440" w:type="dxa"/>
            <w:vAlign w:val="center"/>
          </w:tcPr>
          <w:p>
            <w:pPr>
              <w:jc w:val="center"/>
              <w:rPr>
                <w:rFonts w:ascii="宋体" w:hAnsi="宋体" w:cs="宋体"/>
                <w:sz w:val="24"/>
                <w:szCs w:val="24"/>
              </w:rPr>
            </w:pPr>
            <w:r>
              <w:rPr>
                <w:rFonts w:hint="eastAsia" w:ascii="宋体" w:hAnsi="宋体" w:cs="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bl>
    <w:p>
      <w:pPr>
        <w:spacing w:line="360" w:lineRule="auto"/>
        <w:rPr>
          <w:rFonts w:ascii="宋体" w:hAnsi="宋体" w:cs="宋体"/>
          <w:sz w:val="24"/>
          <w:szCs w:val="24"/>
        </w:rPr>
      </w:pPr>
      <w:r>
        <w:rPr>
          <w:rFonts w:hint="eastAsia" w:ascii="宋体" w:hAnsi="宋体" w:cs="宋体"/>
          <w:sz w:val="24"/>
          <w:szCs w:val="24"/>
        </w:rPr>
        <w:t>注：投标人须附业绩合同或中标通知书复印件（加盖单位公章）；类似业绩是指工程类审计项目的业绩。</w:t>
      </w: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right="105" w:rightChars="50"/>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spacing w:after="100" w:line="265" w:lineRule="auto"/>
        <w:ind w:right="103"/>
        <w:rPr>
          <w:rFonts w:ascii="宋体" w:hAnsi="宋体" w:cs="宋体"/>
          <w:bCs/>
          <w:sz w:val="24"/>
          <w:szCs w:val="24"/>
          <w:lang w:bidi="ar"/>
        </w:rPr>
      </w:pPr>
      <w:r>
        <w:rPr>
          <w:rFonts w:hint="eastAsia" w:ascii="宋体" w:hAnsi="宋体" w:cs="宋体"/>
          <w:bCs/>
          <w:sz w:val="24"/>
          <w:szCs w:val="24"/>
          <w:lang w:bidi="ar"/>
        </w:rPr>
        <w:t>日  期：</w:t>
      </w:r>
      <w:r>
        <w:rPr>
          <w:rFonts w:hint="eastAsia" w:ascii="宋体" w:hAnsi="宋体" w:cs="宋体"/>
          <w:bCs/>
          <w:sz w:val="24"/>
          <w:szCs w:val="24"/>
          <w:u w:val="single"/>
          <w:lang w:bidi="ar"/>
        </w:rPr>
        <w:t xml:space="preserve">        </w:t>
      </w:r>
      <w:r>
        <w:rPr>
          <w:rFonts w:hint="eastAsia" w:ascii="宋体" w:hAnsi="宋体" w:cs="宋体"/>
          <w:bCs/>
          <w:sz w:val="24"/>
          <w:szCs w:val="24"/>
          <w:lang w:bidi="ar"/>
        </w:rPr>
        <w:t>年</w:t>
      </w:r>
      <w:r>
        <w:rPr>
          <w:rFonts w:hint="eastAsia" w:ascii="宋体" w:hAnsi="宋体" w:cs="宋体"/>
          <w:bCs/>
          <w:sz w:val="24"/>
          <w:szCs w:val="24"/>
          <w:u w:val="single"/>
          <w:lang w:bidi="ar"/>
        </w:rPr>
        <w:t xml:space="preserve">        </w:t>
      </w:r>
      <w:r>
        <w:rPr>
          <w:rFonts w:hint="eastAsia" w:ascii="宋体" w:hAnsi="宋体" w:cs="宋体"/>
          <w:bCs/>
          <w:sz w:val="24"/>
          <w:szCs w:val="24"/>
          <w:lang w:bidi="ar"/>
        </w:rPr>
        <w:t>月</w:t>
      </w:r>
      <w:r>
        <w:rPr>
          <w:rFonts w:hint="eastAsia" w:ascii="宋体" w:hAnsi="宋体" w:cs="宋体"/>
          <w:bCs/>
          <w:sz w:val="24"/>
          <w:szCs w:val="24"/>
          <w:u w:val="single"/>
          <w:lang w:bidi="ar"/>
        </w:rPr>
        <w:t xml:space="preserve">        </w:t>
      </w:r>
      <w:r>
        <w:rPr>
          <w:rFonts w:hint="eastAsia" w:ascii="宋体" w:hAnsi="宋体" w:cs="宋体"/>
          <w:bCs/>
          <w:sz w:val="24"/>
          <w:szCs w:val="24"/>
          <w:lang w:bidi="ar"/>
        </w:rPr>
        <w:t>日</w:t>
      </w:r>
    </w:p>
    <w:p>
      <w:pPr>
        <w:jc w:val="center"/>
        <w:rPr>
          <w:rFonts w:hint="eastAsia" w:ascii="宋体" w:hAnsi="宋体" w:cs="宋体"/>
          <w:b/>
          <w:sz w:val="24"/>
          <w:szCs w:val="24"/>
        </w:rPr>
      </w:pPr>
      <w:r>
        <w:rPr>
          <w:rFonts w:hint="eastAsia" w:ascii="宋体" w:hAnsi="宋体" w:cs="宋体"/>
          <w:bCs/>
          <w:sz w:val="24"/>
          <w:szCs w:val="24"/>
          <w:lang w:bidi="ar"/>
        </w:rPr>
        <w:br w:type="page"/>
      </w:r>
      <w:bookmarkStart w:id="144" w:name="_Toc19733"/>
      <w:bookmarkStart w:id="145" w:name="_Toc23931"/>
      <w:bookmarkStart w:id="146" w:name="_Toc1858"/>
      <w:bookmarkStart w:id="147" w:name="_Toc16745"/>
      <w:r>
        <w:rPr>
          <w:rFonts w:hint="eastAsia" w:ascii="宋体" w:hAnsi="宋体" w:cs="宋体"/>
          <w:b/>
          <w:sz w:val="24"/>
          <w:szCs w:val="24"/>
        </w:rPr>
        <w:t>★</w:t>
      </w:r>
      <w:bookmarkEnd w:id="144"/>
      <w:bookmarkEnd w:id="145"/>
      <w:bookmarkEnd w:id="146"/>
      <w:bookmarkEnd w:id="147"/>
      <w:r>
        <w:rPr>
          <w:rFonts w:hint="eastAsia" w:ascii="宋体" w:hAnsi="宋体" w:cs="宋体"/>
          <w:b/>
          <w:sz w:val="24"/>
          <w:szCs w:val="24"/>
        </w:rPr>
        <w:t>人 员 信 息 表</w:t>
      </w:r>
    </w:p>
    <w:tbl>
      <w:tblPr>
        <w:tblStyle w:val="36"/>
        <w:tblW w:w="8996" w:type="dxa"/>
        <w:tblInd w:w="108" w:type="dxa"/>
        <w:tblLayout w:type="fixed"/>
        <w:tblCellMar>
          <w:top w:w="0" w:type="dxa"/>
          <w:left w:w="108" w:type="dxa"/>
          <w:bottom w:w="0" w:type="dxa"/>
          <w:right w:w="108" w:type="dxa"/>
        </w:tblCellMar>
      </w:tblPr>
      <w:tblGrid>
        <w:gridCol w:w="904"/>
        <w:gridCol w:w="1377"/>
        <w:gridCol w:w="1377"/>
        <w:gridCol w:w="1377"/>
        <w:gridCol w:w="3961"/>
      </w:tblGrid>
      <w:tr>
        <w:tblPrEx>
          <w:tblCellMar>
            <w:top w:w="0" w:type="dxa"/>
            <w:left w:w="108" w:type="dxa"/>
            <w:bottom w:w="0" w:type="dxa"/>
            <w:right w:w="108" w:type="dxa"/>
          </w:tblCellMar>
        </w:tblPrEx>
        <w:trPr>
          <w:trHeight w:val="1122" w:hRule="atLeast"/>
        </w:trPr>
        <w:tc>
          <w:tcPr>
            <w:tcW w:w="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名称</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姓名</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职务</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职称</w:t>
            </w: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注册证书名称/号码</w:t>
            </w:r>
          </w:p>
        </w:tc>
      </w:tr>
      <w:tr>
        <w:tblPrEx>
          <w:tblCellMar>
            <w:top w:w="0" w:type="dxa"/>
            <w:left w:w="108" w:type="dxa"/>
            <w:bottom w:w="0" w:type="dxa"/>
            <w:right w:w="108" w:type="dxa"/>
          </w:tblCellMar>
        </w:tblPrEx>
        <w:trPr>
          <w:trHeight w:val="852" w:hRule="atLeast"/>
        </w:trPr>
        <w:tc>
          <w:tcPr>
            <w:tcW w:w="90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cs="宋体"/>
                <w:sz w:val="24"/>
                <w:szCs w:val="24"/>
              </w:rPr>
              <w:t>各</w:t>
            </w:r>
          </w:p>
          <w:p>
            <w:pPr>
              <w:jc w:val="center"/>
              <w:rPr>
                <w:rFonts w:ascii="宋体" w:hAnsi="宋体" w:cs="宋体"/>
                <w:sz w:val="24"/>
                <w:szCs w:val="24"/>
              </w:rPr>
            </w:pPr>
            <w:r>
              <w:rPr>
                <w:rFonts w:hint="eastAsia" w:ascii="宋体" w:hAnsi="宋体" w:cs="宋体"/>
                <w:sz w:val="24"/>
                <w:szCs w:val="24"/>
              </w:rPr>
              <w:t>专</w:t>
            </w:r>
          </w:p>
          <w:p>
            <w:pPr>
              <w:jc w:val="center"/>
              <w:rPr>
                <w:rFonts w:ascii="宋体" w:hAnsi="宋体" w:cs="宋体"/>
                <w:sz w:val="24"/>
                <w:szCs w:val="24"/>
              </w:rPr>
            </w:pPr>
            <w:r>
              <w:rPr>
                <w:rFonts w:hint="eastAsia" w:ascii="宋体" w:hAnsi="宋体" w:cs="宋体"/>
                <w:sz w:val="24"/>
                <w:szCs w:val="24"/>
              </w:rPr>
              <w:t>业</w:t>
            </w:r>
          </w:p>
          <w:p>
            <w:pPr>
              <w:jc w:val="center"/>
              <w:rPr>
                <w:rFonts w:ascii="宋体" w:hAnsi="宋体" w:cs="宋体"/>
                <w:sz w:val="24"/>
                <w:szCs w:val="24"/>
              </w:rPr>
            </w:pPr>
            <w:r>
              <w:rPr>
                <w:rFonts w:hint="eastAsia" w:ascii="宋体" w:hAnsi="宋体" w:cs="宋体"/>
                <w:sz w:val="24"/>
                <w:szCs w:val="24"/>
              </w:rPr>
              <w:t>主</w:t>
            </w:r>
          </w:p>
          <w:p>
            <w:pPr>
              <w:jc w:val="center"/>
              <w:rPr>
                <w:rFonts w:ascii="宋体" w:hAnsi="宋体" w:cs="宋体"/>
                <w:sz w:val="24"/>
                <w:szCs w:val="24"/>
              </w:rPr>
            </w:pPr>
            <w:r>
              <w:rPr>
                <w:rFonts w:hint="eastAsia" w:ascii="宋体" w:hAnsi="宋体" w:cs="宋体"/>
                <w:sz w:val="24"/>
                <w:szCs w:val="24"/>
              </w:rPr>
              <w:t>设</w:t>
            </w:r>
          </w:p>
          <w:p>
            <w:pPr>
              <w:jc w:val="center"/>
              <w:rPr>
                <w:rFonts w:ascii="宋体" w:hAnsi="宋体" w:cs="宋体"/>
                <w:sz w:val="24"/>
                <w:szCs w:val="24"/>
              </w:rPr>
            </w:pPr>
            <w:r>
              <w:rPr>
                <w:rFonts w:hint="eastAsia" w:ascii="宋体" w:hAnsi="宋体" w:cs="宋体"/>
                <w:sz w:val="24"/>
                <w:szCs w:val="24"/>
              </w:rPr>
              <w:t>人</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614"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bl>
    <w:p>
      <w:pPr>
        <w:rPr>
          <w:rFonts w:ascii="宋体" w:hAnsi="宋体" w:cs="宋体"/>
          <w:sz w:val="24"/>
          <w:szCs w:val="24"/>
        </w:rPr>
      </w:pPr>
    </w:p>
    <w:p>
      <w:pPr>
        <w:pStyle w:val="2"/>
        <w:ind w:firstLine="480"/>
        <w:rPr>
          <w:rFonts w:ascii="宋体" w:hAnsi="宋体" w:cs="宋体"/>
          <w:sz w:val="24"/>
          <w:szCs w:val="24"/>
        </w:rPr>
      </w:pPr>
    </w:p>
    <w:p>
      <w:pPr>
        <w:pStyle w:val="2"/>
        <w:ind w:firstLine="480"/>
        <w:rPr>
          <w:rFonts w:ascii="宋体" w:hAnsi="宋体" w:cs="宋体"/>
          <w:sz w:val="24"/>
          <w:szCs w:val="24"/>
        </w:rPr>
      </w:pPr>
    </w:p>
    <w:p>
      <w:pPr>
        <w:spacing w:line="360" w:lineRule="auto"/>
        <w:ind w:left="555"/>
        <w:rPr>
          <w:rFonts w:ascii="宋体" w:hAnsi="宋体" w:cs="仿宋"/>
          <w:sz w:val="24"/>
          <w:szCs w:val="24"/>
        </w:rPr>
      </w:pPr>
      <w:r>
        <w:rPr>
          <w:rFonts w:hint="eastAsia" w:ascii="宋体" w:hAnsi="宋体" w:cs="仿宋"/>
          <w:sz w:val="24"/>
          <w:szCs w:val="24"/>
        </w:rPr>
        <w:t>投标单位名称：</w:t>
      </w:r>
      <w:r>
        <w:rPr>
          <w:rFonts w:hint="eastAsia" w:ascii="宋体" w:hAnsi="宋体" w:cs="仿宋"/>
          <w:sz w:val="24"/>
          <w:szCs w:val="24"/>
          <w:u w:val="single"/>
        </w:rPr>
        <w:t xml:space="preserve">                     </w:t>
      </w:r>
      <w:r>
        <w:rPr>
          <w:rFonts w:hint="eastAsia" w:ascii="宋体" w:hAnsi="宋体" w:cs="仿宋"/>
          <w:sz w:val="24"/>
          <w:szCs w:val="24"/>
        </w:rPr>
        <w:t>（加盖公章）</w:t>
      </w:r>
    </w:p>
    <w:p>
      <w:pPr>
        <w:spacing w:line="360" w:lineRule="auto"/>
        <w:ind w:left="555"/>
        <w:rPr>
          <w:rFonts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u w:val="single"/>
        </w:rPr>
        <w:t xml:space="preserve">                     </w:t>
      </w:r>
      <w:r>
        <w:rPr>
          <w:rFonts w:hint="eastAsia" w:ascii="宋体" w:hAnsi="宋体" w:cs="仿宋"/>
          <w:sz w:val="24"/>
          <w:szCs w:val="24"/>
        </w:rPr>
        <w:t>（签字或盖章）</w:t>
      </w:r>
    </w:p>
    <w:p>
      <w:pPr>
        <w:spacing w:line="360" w:lineRule="auto"/>
        <w:ind w:left="555"/>
        <w:rPr>
          <w:rFonts w:ascii="宋体" w:hAnsi="宋体" w:cs="仿宋"/>
          <w:sz w:val="24"/>
          <w:szCs w:val="24"/>
        </w:rPr>
      </w:pPr>
      <w:r>
        <w:rPr>
          <w:rFonts w:hint="eastAsia" w:ascii="宋体" w:hAnsi="宋体" w:cs="仿宋"/>
          <w:sz w:val="24"/>
          <w:szCs w:val="24"/>
        </w:rPr>
        <w:t>日期：  年  月  日</w:t>
      </w:r>
    </w:p>
    <w:p>
      <w:pPr>
        <w:pStyle w:val="2"/>
        <w:ind w:firstLine="480"/>
        <w:rPr>
          <w:rFonts w:ascii="宋体" w:hAnsi="宋体" w:cs="宋体"/>
          <w:sz w:val="24"/>
          <w:szCs w:val="24"/>
        </w:rPr>
      </w:pPr>
    </w:p>
    <w:p>
      <w:pPr>
        <w:jc w:val="center"/>
        <w:rPr>
          <w:rFonts w:ascii="宋体" w:hAnsi="宋体" w:cs="宋体"/>
          <w:sz w:val="24"/>
          <w:szCs w:val="24"/>
        </w:rPr>
      </w:pPr>
      <w:r>
        <w:rPr>
          <w:rFonts w:hint="eastAsia" w:ascii="宋体" w:hAnsi="宋体" w:cs="宋体"/>
          <w:sz w:val="24"/>
          <w:szCs w:val="24"/>
        </w:rPr>
        <w:br w:type="page"/>
      </w:r>
      <w:bookmarkEnd w:id="142"/>
      <w:bookmarkEnd w:id="143"/>
    </w:p>
    <w:p>
      <w:pPr>
        <w:jc w:val="center"/>
        <w:rPr>
          <w:rFonts w:ascii="宋体" w:hAnsi="宋体" w:cs="宋体"/>
          <w:b/>
          <w:sz w:val="24"/>
          <w:szCs w:val="24"/>
        </w:rPr>
      </w:pPr>
      <w:r>
        <w:rPr>
          <w:rFonts w:hint="eastAsia" w:ascii="宋体" w:hAnsi="宋体" w:cs="宋体"/>
          <w:b/>
          <w:sz w:val="24"/>
          <w:szCs w:val="24"/>
        </w:rPr>
        <w:t>技术方案</w:t>
      </w: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32"/>
          <w:szCs w:val="32"/>
        </w:rPr>
      </w:pPr>
    </w:p>
    <w:p>
      <w:pPr>
        <w:jc w:val="center"/>
        <w:rPr>
          <w:b/>
          <w:bCs/>
          <w:kern w:val="0"/>
          <w:sz w:val="32"/>
          <w:szCs w:val="32"/>
        </w:rPr>
      </w:pPr>
      <w:r>
        <w:rPr>
          <w:rFonts w:hint="eastAsia"/>
          <w:b/>
          <w:bCs/>
          <w:kern w:val="0"/>
          <w:sz w:val="32"/>
          <w:szCs w:val="32"/>
        </w:rPr>
        <w:t>其他材料</w:t>
      </w:r>
    </w:p>
    <w:p>
      <w:pPr>
        <w:pStyle w:val="2"/>
        <w:ind w:firstLine="482"/>
        <w:rPr>
          <w:b/>
          <w:bCs/>
          <w:kern w:val="0"/>
          <w:sz w:val="32"/>
          <w:szCs w:val="32"/>
        </w:rPr>
      </w:pPr>
    </w:p>
    <w:p>
      <w:pPr>
        <w:pStyle w:val="2"/>
        <w:ind w:firstLine="482"/>
        <w:rPr>
          <w:b/>
          <w:bCs/>
          <w:kern w:val="0"/>
          <w:sz w:val="32"/>
          <w:szCs w:val="32"/>
        </w:rPr>
      </w:pPr>
    </w:p>
    <w:p>
      <w:pPr>
        <w:jc w:val="center"/>
        <w:rPr>
          <w:b/>
          <w:bCs/>
          <w:kern w:val="0"/>
          <w:sz w:val="32"/>
          <w:szCs w:val="32"/>
        </w:rPr>
      </w:pPr>
      <w:r>
        <w:rPr>
          <w:rFonts w:hint="eastAsia"/>
          <w:b/>
          <w:bCs/>
          <w:kern w:val="0"/>
          <w:sz w:val="32"/>
          <w:szCs w:val="32"/>
        </w:rPr>
        <w:t>投标单位认为有必要提供的其他资料（如有）</w:t>
      </w:r>
    </w:p>
    <w:p>
      <w:pPr>
        <w:spacing w:line="500" w:lineRule="exact"/>
        <w:rPr>
          <w:rFonts w:hint="eastAsia" w:ascii="宋体" w:hAnsi="宋体"/>
          <w:sz w:val="28"/>
          <w:szCs w:val="28"/>
          <w:lang w:val="en-US" w:eastAsia="zh-CN"/>
        </w:rPr>
      </w:pPr>
      <w:r>
        <w:rPr>
          <w:rFonts w:hint="eastAsia" w:ascii="宋体" w:hAnsi="宋体"/>
          <w:sz w:val="28"/>
          <w:szCs w:val="28"/>
          <w:lang w:val="en-US" w:eastAsia="zh-CN"/>
        </w:rPr>
        <w:t xml:space="preserve">  </w:t>
      </w:r>
    </w:p>
    <w:p>
      <w:pPr>
        <w:pStyle w:val="2"/>
        <w:rPr>
          <w:rFonts w:hint="eastAsia" w:ascii="宋体" w:hAnsi="宋体"/>
          <w:sz w:val="28"/>
          <w:szCs w:val="28"/>
          <w:lang w:val="en-US" w:eastAsia="zh-CN"/>
        </w:rPr>
      </w:pPr>
      <w:r>
        <w:rPr>
          <w:rFonts w:hint="eastAsia" w:ascii="宋体" w:hAnsi="宋体"/>
          <w:sz w:val="28"/>
          <w:szCs w:val="28"/>
          <w:lang w:val="en-US" w:eastAsia="zh-CN"/>
        </w:rPr>
        <w:t xml:space="preserve">                   </w:t>
      </w: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pStyle w:val="2"/>
        <w:rPr>
          <w:rFonts w:hint="eastAsia" w:ascii="宋体" w:hAnsi="宋体"/>
          <w:sz w:val="28"/>
          <w:szCs w:val="28"/>
          <w:lang w:val="en-US" w:eastAsia="zh-CN"/>
        </w:rPr>
      </w:pPr>
    </w:p>
    <w:p>
      <w:pPr>
        <w:rPr>
          <w:rFonts w:hint="eastAsia"/>
          <w:lang w:val="en-US" w:eastAsia="zh-CN"/>
        </w:rPr>
      </w:pPr>
    </w:p>
    <w:p>
      <w:pPr>
        <w:pStyle w:val="33"/>
        <w:jc w:val="center"/>
        <w:rPr>
          <w:rFonts w:hint="eastAsia" w:ascii="宋体" w:hAnsi="宋体" w:eastAsia="宋体"/>
          <w:b/>
          <w:bCs/>
          <w:sz w:val="36"/>
          <w:szCs w:val="36"/>
        </w:rPr>
      </w:pPr>
      <w:r>
        <w:rPr>
          <w:rFonts w:hint="eastAsia" w:ascii="宋体" w:hAnsi="宋体" w:eastAsia="宋体"/>
          <w:b/>
          <w:bCs/>
          <w:sz w:val="36"/>
          <w:szCs w:val="36"/>
        </w:rPr>
        <w:t>若羌县自然资源（林业和草原局）档案数字化信息</w:t>
      </w:r>
    </w:p>
    <w:p>
      <w:pPr>
        <w:pStyle w:val="33"/>
        <w:jc w:val="center"/>
        <w:rPr>
          <w:rFonts w:hint="default" w:ascii="宋体" w:hAnsi="宋体" w:eastAsia="宋体"/>
          <w:b/>
          <w:bCs/>
          <w:sz w:val="36"/>
          <w:szCs w:val="36"/>
          <w:lang w:val="en-US" w:eastAsia="zh-CN"/>
        </w:rPr>
      </w:pPr>
      <w:r>
        <w:rPr>
          <w:rFonts w:hint="eastAsia" w:ascii="宋体" w:hAnsi="宋体" w:eastAsia="宋体"/>
          <w:b/>
          <w:bCs/>
          <w:sz w:val="36"/>
          <w:szCs w:val="36"/>
        </w:rPr>
        <w:t>管理平台建设</w:t>
      </w:r>
      <w:r>
        <w:rPr>
          <w:rFonts w:hint="eastAsia" w:ascii="宋体" w:hAnsi="宋体" w:eastAsia="宋体"/>
          <w:b/>
          <w:bCs/>
          <w:sz w:val="36"/>
          <w:szCs w:val="36"/>
          <w:lang w:val="en-US" w:eastAsia="zh-CN"/>
        </w:rPr>
        <w:t>项目建设内容</w:t>
      </w:r>
    </w:p>
    <w:p>
      <w:pPr>
        <w:rPr>
          <w:rFonts w:hint="eastAsia"/>
        </w:rPr>
      </w:pPr>
    </w:p>
    <w:p>
      <w:pPr>
        <w:pStyle w:val="73"/>
        <w:numPr>
          <w:ilvl w:val="0"/>
          <w:numId w:val="0"/>
        </w:numPr>
        <w:snapToGrid w:val="0"/>
        <w:spacing w:line="360" w:lineRule="auto"/>
        <w:ind w:firstLine="560" w:firstLineChars="200"/>
        <w:rPr>
          <w:rFonts w:ascii="宋体" w:hAnsi="宋体" w:eastAsia="宋体" w:cs="宋体"/>
          <w:b/>
          <w:sz w:val="28"/>
          <w:szCs w:val="28"/>
        </w:rPr>
      </w:pPr>
      <w:r>
        <w:rPr>
          <w:rFonts w:hint="eastAsia"/>
          <w:sz w:val="28"/>
          <w:szCs w:val="32"/>
          <w:lang w:val="en-US" w:eastAsia="zh-CN"/>
        </w:rPr>
        <w:t>依据</w:t>
      </w:r>
      <w:r>
        <w:rPr>
          <w:rFonts w:hint="eastAsia"/>
          <w:sz w:val="28"/>
          <w:szCs w:val="32"/>
        </w:rPr>
        <w:t>《关于加强和改进新形势下档案工作的意见》（中办发〔2014〕15号）</w:t>
      </w:r>
      <w:r>
        <w:rPr>
          <w:rFonts w:hint="eastAsia"/>
          <w:sz w:val="28"/>
          <w:szCs w:val="32"/>
          <w:lang w:val="en-US" w:eastAsia="zh-CN"/>
        </w:rPr>
        <w:t>文件要求，</w:t>
      </w:r>
      <w:r>
        <w:rPr>
          <w:rFonts w:hint="eastAsia"/>
          <w:sz w:val="28"/>
          <w:szCs w:val="32"/>
        </w:rPr>
        <w:t>按照“存量数字化，增量电子化”的工作思路，</w:t>
      </w:r>
      <w:r>
        <w:rPr>
          <w:rFonts w:hint="eastAsia"/>
          <w:sz w:val="28"/>
          <w:szCs w:val="32"/>
          <w:lang w:val="en-US" w:eastAsia="zh-CN"/>
        </w:rPr>
        <w:t>对若羌县自然资源（林业和草原局）</w:t>
      </w:r>
      <w:r>
        <w:rPr>
          <w:rFonts w:hint="eastAsia"/>
          <w:sz w:val="28"/>
          <w:szCs w:val="32"/>
        </w:rPr>
        <w:t>档案进行数字化整理，</w:t>
      </w:r>
      <w:r>
        <w:rPr>
          <w:rFonts w:hint="eastAsia"/>
          <w:sz w:val="28"/>
          <w:szCs w:val="32"/>
          <w:lang w:val="en-US" w:eastAsia="zh-CN"/>
        </w:rPr>
        <w:t>在此基础上</w:t>
      </w:r>
      <w:r>
        <w:rPr>
          <w:rFonts w:hint="eastAsia"/>
          <w:sz w:val="28"/>
          <w:szCs w:val="32"/>
        </w:rPr>
        <w:t>建设档案数据库，</w:t>
      </w:r>
      <w:r>
        <w:rPr>
          <w:rFonts w:hint="eastAsia"/>
          <w:sz w:val="28"/>
          <w:szCs w:val="32"/>
          <w:lang w:val="en-US" w:eastAsia="zh-CN"/>
        </w:rPr>
        <w:t>同时</w:t>
      </w:r>
      <w:r>
        <w:rPr>
          <w:rFonts w:hint="eastAsia"/>
          <w:sz w:val="28"/>
          <w:szCs w:val="32"/>
        </w:rPr>
        <w:t>建设</w:t>
      </w:r>
      <w:r>
        <w:rPr>
          <w:rFonts w:hint="eastAsia"/>
          <w:sz w:val="28"/>
          <w:szCs w:val="32"/>
          <w:lang w:val="en-US" w:eastAsia="zh-CN"/>
        </w:rPr>
        <w:t>包含</w:t>
      </w:r>
      <w:r>
        <w:rPr>
          <w:rFonts w:hint="eastAsia"/>
          <w:sz w:val="28"/>
          <w:szCs w:val="32"/>
        </w:rPr>
        <w:t>档案查询利用，实现公文签发、电子化管理，流转入库等</w:t>
      </w:r>
      <w:r>
        <w:rPr>
          <w:rFonts w:hint="eastAsia"/>
          <w:sz w:val="28"/>
          <w:szCs w:val="32"/>
          <w:lang w:val="en-US" w:eastAsia="zh-CN"/>
        </w:rPr>
        <w:t>功能的</w:t>
      </w:r>
      <w:r>
        <w:rPr>
          <w:rFonts w:hint="eastAsia"/>
          <w:sz w:val="28"/>
          <w:szCs w:val="32"/>
        </w:rPr>
        <w:t>档案管理平台，</w:t>
      </w:r>
      <w:r>
        <w:rPr>
          <w:rFonts w:hint="eastAsia"/>
          <w:sz w:val="28"/>
          <w:szCs w:val="32"/>
          <w:lang w:val="en-US" w:eastAsia="zh-CN"/>
        </w:rPr>
        <w:t>并</w:t>
      </w:r>
      <w:r>
        <w:rPr>
          <w:rFonts w:hint="eastAsia"/>
          <w:sz w:val="28"/>
          <w:szCs w:val="32"/>
        </w:rPr>
        <w:t>设定档案信息化管理规范</w:t>
      </w:r>
      <w:r>
        <w:rPr>
          <w:rFonts w:hint="eastAsia"/>
          <w:sz w:val="28"/>
          <w:szCs w:val="32"/>
          <w:lang w:eastAsia="zh-CN"/>
        </w:rPr>
        <w:t>，</w:t>
      </w:r>
      <w:r>
        <w:rPr>
          <w:rFonts w:hint="eastAsia"/>
          <w:sz w:val="28"/>
          <w:szCs w:val="32"/>
        </w:rPr>
        <w:t>建立长效档案管理机制</w:t>
      </w:r>
      <w:r>
        <w:rPr>
          <w:rFonts w:hint="eastAsia"/>
          <w:sz w:val="28"/>
          <w:szCs w:val="32"/>
          <w:lang w:eastAsia="zh-CN"/>
        </w:rPr>
        <w:t>。</w:t>
      </w:r>
    </w:p>
    <w:p>
      <w:pPr>
        <w:numPr>
          <w:ilvl w:val="0"/>
          <w:numId w:val="0"/>
        </w:numPr>
        <w:spacing w:line="360" w:lineRule="auto"/>
        <w:ind w:leftChars="0" w:firstLine="480" w:firstLineChars="200"/>
        <w:rPr>
          <w:rFonts w:hint="eastAsia" w:ascii="宋体" w:hAnsi="宋体" w:cs="宋体"/>
          <w:sz w:val="24"/>
          <w:szCs w:val="24"/>
          <w:lang w:val="en-US" w:eastAsia="zh-CN"/>
        </w:rPr>
      </w:pPr>
    </w:p>
    <w:sectPr>
      <w:headerReference r:id="rId4"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Calibri Light">
    <w:panose1 w:val="020F03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6C447"/>
    <w:multiLevelType w:val="singleLevel"/>
    <w:tmpl w:val="BA06C447"/>
    <w:lvl w:ilvl="0" w:tentative="0">
      <w:start w:val="3"/>
      <w:numFmt w:val="decimal"/>
      <w:suff w:val="space"/>
      <w:lvlText w:val="%1、"/>
      <w:lvlJc w:val="left"/>
      <w:pPr>
        <w:ind w:left="3120" w:leftChars="0" w:firstLine="0" w:firstLineChars="0"/>
      </w:pPr>
    </w:lvl>
  </w:abstractNum>
  <w:abstractNum w:abstractNumId="1">
    <w:nsid w:val="BC4FB685"/>
    <w:multiLevelType w:val="singleLevel"/>
    <w:tmpl w:val="BC4FB685"/>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2">
    <w:nsid w:val="6028E202"/>
    <w:multiLevelType w:val="singleLevel"/>
    <w:tmpl w:val="6028E202"/>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TQyOTAxNmM1MDg0YTZhMTJhZjQ3OWRmMDY4MGUifQ=="/>
  </w:docVars>
  <w:rsids>
    <w:rsidRoot w:val="0052125D"/>
    <w:rsid w:val="0000015D"/>
    <w:rsid w:val="000026EC"/>
    <w:rsid w:val="00002BF7"/>
    <w:rsid w:val="000036A4"/>
    <w:rsid w:val="00004DE9"/>
    <w:rsid w:val="00004F0F"/>
    <w:rsid w:val="00010132"/>
    <w:rsid w:val="000109F5"/>
    <w:rsid w:val="00011B28"/>
    <w:rsid w:val="00012450"/>
    <w:rsid w:val="0001329D"/>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BC1"/>
    <w:rsid w:val="00066D82"/>
    <w:rsid w:val="00067219"/>
    <w:rsid w:val="00067B81"/>
    <w:rsid w:val="0007040B"/>
    <w:rsid w:val="00071303"/>
    <w:rsid w:val="00072659"/>
    <w:rsid w:val="000734C6"/>
    <w:rsid w:val="00073B42"/>
    <w:rsid w:val="00073F78"/>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637F"/>
    <w:rsid w:val="00087870"/>
    <w:rsid w:val="00090AF4"/>
    <w:rsid w:val="00091032"/>
    <w:rsid w:val="0009140B"/>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C6F84"/>
    <w:rsid w:val="000D1CCC"/>
    <w:rsid w:val="000D24FF"/>
    <w:rsid w:val="000D3103"/>
    <w:rsid w:val="000D3AF9"/>
    <w:rsid w:val="000D3C0A"/>
    <w:rsid w:val="000D3C78"/>
    <w:rsid w:val="000D42D0"/>
    <w:rsid w:val="000D4686"/>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C90"/>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1CD4"/>
    <w:rsid w:val="001325D3"/>
    <w:rsid w:val="001331F4"/>
    <w:rsid w:val="00133DDA"/>
    <w:rsid w:val="00135536"/>
    <w:rsid w:val="0013617B"/>
    <w:rsid w:val="00136634"/>
    <w:rsid w:val="001375E6"/>
    <w:rsid w:val="0013773F"/>
    <w:rsid w:val="00140F14"/>
    <w:rsid w:val="00141040"/>
    <w:rsid w:val="001410F6"/>
    <w:rsid w:val="00141A0D"/>
    <w:rsid w:val="00141CE3"/>
    <w:rsid w:val="00142767"/>
    <w:rsid w:val="00142E9F"/>
    <w:rsid w:val="00144265"/>
    <w:rsid w:val="00144BE8"/>
    <w:rsid w:val="00146193"/>
    <w:rsid w:val="001465AC"/>
    <w:rsid w:val="00146D99"/>
    <w:rsid w:val="00147BB3"/>
    <w:rsid w:val="00147FB1"/>
    <w:rsid w:val="00150275"/>
    <w:rsid w:val="00150DF8"/>
    <w:rsid w:val="0015154D"/>
    <w:rsid w:val="001518A8"/>
    <w:rsid w:val="00151918"/>
    <w:rsid w:val="00151E25"/>
    <w:rsid w:val="001525DF"/>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49FB"/>
    <w:rsid w:val="0017527A"/>
    <w:rsid w:val="0017603E"/>
    <w:rsid w:val="0017610B"/>
    <w:rsid w:val="001776F1"/>
    <w:rsid w:val="00177F86"/>
    <w:rsid w:val="00180371"/>
    <w:rsid w:val="00180C00"/>
    <w:rsid w:val="00181A1F"/>
    <w:rsid w:val="001823BB"/>
    <w:rsid w:val="00184964"/>
    <w:rsid w:val="00184BDD"/>
    <w:rsid w:val="00184D2D"/>
    <w:rsid w:val="00187216"/>
    <w:rsid w:val="001908BF"/>
    <w:rsid w:val="0019107E"/>
    <w:rsid w:val="00193AD6"/>
    <w:rsid w:val="00193EC3"/>
    <w:rsid w:val="001964BB"/>
    <w:rsid w:val="001A03EB"/>
    <w:rsid w:val="001A10AF"/>
    <w:rsid w:val="001A1509"/>
    <w:rsid w:val="001A177F"/>
    <w:rsid w:val="001A303A"/>
    <w:rsid w:val="001A50C7"/>
    <w:rsid w:val="001A56DB"/>
    <w:rsid w:val="001A7166"/>
    <w:rsid w:val="001A795C"/>
    <w:rsid w:val="001A79FA"/>
    <w:rsid w:val="001B00A1"/>
    <w:rsid w:val="001B03A1"/>
    <w:rsid w:val="001B326C"/>
    <w:rsid w:val="001B3AAA"/>
    <w:rsid w:val="001B3D5D"/>
    <w:rsid w:val="001C06F9"/>
    <w:rsid w:val="001C1D42"/>
    <w:rsid w:val="001C457E"/>
    <w:rsid w:val="001C49F7"/>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ADA"/>
    <w:rsid w:val="001F3C8F"/>
    <w:rsid w:val="001F449A"/>
    <w:rsid w:val="001F456B"/>
    <w:rsid w:val="001F45CF"/>
    <w:rsid w:val="001F4ACE"/>
    <w:rsid w:val="001F51B0"/>
    <w:rsid w:val="001F6023"/>
    <w:rsid w:val="00200F92"/>
    <w:rsid w:val="00201567"/>
    <w:rsid w:val="0020239D"/>
    <w:rsid w:val="00202E68"/>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0FA3"/>
    <w:rsid w:val="0024251A"/>
    <w:rsid w:val="00245DE9"/>
    <w:rsid w:val="002466DD"/>
    <w:rsid w:val="00246EE6"/>
    <w:rsid w:val="0024722A"/>
    <w:rsid w:val="002472CC"/>
    <w:rsid w:val="00247EB0"/>
    <w:rsid w:val="00250681"/>
    <w:rsid w:val="002511C0"/>
    <w:rsid w:val="00251732"/>
    <w:rsid w:val="0025176A"/>
    <w:rsid w:val="0025263A"/>
    <w:rsid w:val="002526B3"/>
    <w:rsid w:val="0025290C"/>
    <w:rsid w:val="002541AF"/>
    <w:rsid w:val="002551AA"/>
    <w:rsid w:val="00255ADB"/>
    <w:rsid w:val="002565FF"/>
    <w:rsid w:val="00256C7C"/>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3CF3"/>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21F"/>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10B0"/>
    <w:rsid w:val="002D20E5"/>
    <w:rsid w:val="002D2643"/>
    <w:rsid w:val="002D2650"/>
    <w:rsid w:val="002D3BB6"/>
    <w:rsid w:val="002D3C7C"/>
    <w:rsid w:val="002D4F53"/>
    <w:rsid w:val="002D5176"/>
    <w:rsid w:val="002D54D7"/>
    <w:rsid w:val="002D6788"/>
    <w:rsid w:val="002D749F"/>
    <w:rsid w:val="002D7569"/>
    <w:rsid w:val="002E0071"/>
    <w:rsid w:val="002E02F1"/>
    <w:rsid w:val="002E0766"/>
    <w:rsid w:val="002E0C05"/>
    <w:rsid w:val="002E1D12"/>
    <w:rsid w:val="002E1F2B"/>
    <w:rsid w:val="002E3F99"/>
    <w:rsid w:val="002E6BAF"/>
    <w:rsid w:val="002E7F28"/>
    <w:rsid w:val="002F0E8B"/>
    <w:rsid w:val="002F11B7"/>
    <w:rsid w:val="002F165F"/>
    <w:rsid w:val="002F29D8"/>
    <w:rsid w:val="002F34AD"/>
    <w:rsid w:val="002F4115"/>
    <w:rsid w:val="002F55C3"/>
    <w:rsid w:val="002F5770"/>
    <w:rsid w:val="002F5974"/>
    <w:rsid w:val="002F5A37"/>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655"/>
    <w:rsid w:val="00325AD1"/>
    <w:rsid w:val="00327AE0"/>
    <w:rsid w:val="00327FE7"/>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3912"/>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90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524B"/>
    <w:rsid w:val="00387A5D"/>
    <w:rsid w:val="003912BB"/>
    <w:rsid w:val="0039159A"/>
    <w:rsid w:val="00391964"/>
    <w:rsid w:val="0039198B"/>
    <w:rsid w:val="00391C67"/>
    <w:rsid w:val="003929AD"/>
    <w:rsid w:val="00392AA7"/>
    <w:rsid w:val="00392D94"/>
    <w:rsid w:val="00393FF4"/>
    <w:rsid w:val="00394380"/>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6202"/>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403"/>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353"/>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551"/>
    <w:rsid w:val="004C0888"/>
    <w:rsid w:val="004C08B1"/>
    <w:rsid w:val="004C0F6E"/>
    <w:rsid w:val="004C138A"/>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1953"/>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050"/>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3C88"/>
    <w:rsid w:val="005B49DB"/>
    <w:rsid w:val="005B51D5"/>
    <w:rsid w:val="005B55A0"/>
    <w:rsid w:val="005B5D2B"/>
    <w:rsid w:val="005B6ADE"/>
    <w:rsid w:val="005B7EB7"/>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A29"/>
    <w:rsid w:val="005D7F58"/>
    <w:rsid w:val="005E0D37"/>
    <w:rsid w:val="005E30A4"/>
    <w:rsid w:val="005E4DBC"/>
    <w:rsid w:val="005E63FB"/>
    <w:rsid w:val="005E7248"/>
    <w:rsid w:val="005F0254"/>
    <w:rsid w:val="005F13A9"/>
    <w:rsid w:val="005F1633"/>
    <w:rsid w:val="005F1653"/>
    <w:rsid w:val="005F1A82"/>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5D1"/>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302"/>
    <w:rsid w:val="006808B1"/>
    <w:rsid w:val="00684045"/>
    <w:rsid w:val="00684807"/>
    <w:rsid w:val="0068530C"/>
    <w:rsid w:val="00686E24"/>
    <w:rsid w:val="00687146"/>
    <w:rsid w:val="00687249"/>
    <w:rsid w:val="00687278"/>
    <w:rsid w:val="00687F65"/>
    <w:rsid w:val="006909DF"/>
    <w:rsid w:val="00690E7F"/>
    <w:rsid w:val="006923C7"/>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2A"/>
    <w:rsid w:val="006C62FD"/>
    <w:rsid w:val="006C7B6C"/>
    <w:rsid w:val="006D0A2F"/>
    <w:rsid w:val="006D1A82"/>
    <w:rsid w:val="006D1BCC"/>
    <w:rsid w:val="006D4814"/>
    <w:rsid w:val="006D5D4C"/>
    <w:rsid w:val="006D6BAE"/>
    <w:rsid w:val="006D6EDF"/>
    <w:rsid w:val="006D731D"/>
    <w:rsid w:val="006E03F5"/>
    <w:rsid w:val="006E13D0"/>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4E7"/>
    <w:rsid w:val="007405B0"/>
    <w:rsid w:val="00740CE7"/>
    <w:rsid w:val="00741235"/>
    <w:rsid w:val="0074197C"/>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4B96"/>
    <w:rsid w:val="0078563F"/>
    <w:rsid w:val="00785656"/>
    <w:rsid w:val="007856E8"/>
    <w:rsid w:val="0078580C"/>
    <w:rsid w:val="00786BDE"/>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24C"/>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3FF"/>
    <w:rsid w:val="007E69E6"/>
    <w:rsid w:val="007E6E5D"/>
    <w:rsid w:val="007F10B0"/>
    <w:rsid w:val="007F1479"/>
    <w:rsid w:val="007F182D"/>
    <w:rsid w:val="007F24AC"/>
    <w:rsid w:val="007F27C9"/>
    <w:rsid w:val="007F383D"/>
    <w:rsid w:val="007F478B"/>
    <w:rsid w:val="007F4D76"/>
    <w:rsid w:val="007F5478"/>
    <w:rsid w:val="007F6D79"/>
    <w:rsid w:val="007F7579"/>
    <w:rsid w:val="007F774B"/>
    <w:rsid w:val="007F7F73"/>
    <w:rsid w:val="0080096F"/>
    <w:rsid w:val="00800D85"/>
    <w:rsid w:val="00801550"/>
    <w:rsid w:val="0080158E"/>
    <w:rsid w:val="00802388"/>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5816"/>
    <w:rsid w:val="00816002"/>
    <w:rsid w:val="00816672"/>
    <w:rsid w:val="00816BF8"/>
    <w:rsid w:val="00816E22"/>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4AA"/>
    <w:rsid w:val="0083065C"/>
    <w:rsid w:val="00830AA6"/>
    <w:rsid w:val="0083191D"/>
    <w:rsid w:val="00831B6A"/>
    <w:rsid w:val="00832A07"/>
    <w:rsid w:val="00833606"/>
    <w:rsid w:val="00834598"/>
    <w:rsid w:val="00834F92"/>
    <w:rsid w:val="0083560A"/>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1B56"/>
    <w:rsid w:val="0086254F"/>
    <w:rsid w:val="00862DE2"/>
    <w:rsid w:val="00863354"/>
    <w:rsid w:val="008649DA"/>
    <w:rsid w:val="008652C6"/>
    <w:rsid w:val="008664EF"/>
    <w:rsid w:val="008669F0"/>
    <w:rsid w:val="008674BB"/>
    <w:rsid w:val="00871CC2"/>
    <w:rsid w:val="008726FE"/>
    <w:rsid w:val="00873AD1"/>
    <w:rsid w:val="00873EDA"/>
    <w:rsid w:val="008750E3"/>
    <w:rsid w:val="00876696"/>
    <w:rsid w:val="008802B7"/>
    <w:rsid w:val="008806A5"/>
    <w:rsid w:val="008806BA"/>
    <w:rsid w:val="008806D6"/>
    <w:rsid w:val="00881126"/>
    <w:rsid w:val="008833F0"/>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309"/>
    <w:rsid w:val="008B54E2"/>
    <w:rsid w:val="008B5E7F"/>
    <w:rsid w:val="008B6422"/>
    <w:rsid w:val="008B6ACD"/>
    <w:rsid w:val="008B77EC"/>
    <w:rsid w:val="008B7F96"/>
    <w:rsid w:val="008C2555"/>
    <w:rsid w:val="008C2B3C"/>
    <w:rsid w:val="008C5409"/>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0A6A"/>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2D1"/>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2732"/>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0A00"/>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371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013"/>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BD7"/>
    <w:rsid w:val="00A60D5C"/>
    <w:rsid w:val="00A618DB"/>
    <w:rsid w:val="00A61998"/>
    <w:rsid w:val="00A6229F"/>
    <w:rsid w:val="00A62494"/>
    <w:rsid w:val="00A625EB"/>
    <w:rsid w:val="00A62A4C"/>
    <w:rsid w:val="00A64071"/>
    <w:rsid w:val="00A65080"/>
    <w:rsid w:val="00A65859"/>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82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6AD"/>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6F94"/>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15F01"/>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2383"/>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6CE8"/>
    <w:rsid w:val="00BE7862"/>
    <w:rsid w:val="00BF1057"/>
    <w:rsid w:val="00BF1667"/>
    <w:rsid w:val="00BF1AD9"/>
    <w:rsid w:val="00BF27E4"/>
    <w:rsid w:val="00BF5DF3"/>
    <w:rsid w:val="00BF6DCA"/>
    <w:rsid w:val="00BF7849"/>
    <w:rsid w:val="00BF7D1D"/>
    <w:rsid w:val="00C01051"/>
    <w:rsid w:val="00C0131E"/>
    <w:rsid w:val="00C01F80"/>
    <w:rsid w:val="00C03267"/>
    <w:rsid w:val="00C0374F"/>
    <w:rsid w:val="00C03B45"/>
    <w:rsid w:val="00C04C79"/>
    <w:rsid w:val="00C05CEB"/>
    <w:rsid w:val="00C062A8"/>
    <w:rsid w:val="00C06964"/>
    <w:rsid w:val="00C06F30"/>
    <w:rsid w:val="00C07FC8"/>
    <w:rsid w:val="00C10109"/>
    <w:rsid w:val="00C105CC"/>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010"/>
    <w:rsid w:val="00C60ABF"/>
    <w:rsid w:val="00C61340"/>
    <w:rsid w:val="00C61E16"/>
    <w:rsid w:val="00C61E75"/>
    <w:rsid w:val="00C622EF"/>
    <w:rsid w:val="00C62C38"/>
    <w:rsid w:val="00C63285"/>
    <w:rsid w:val="00C641E9"/>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10A2"/>
    <w:rsid w:val="00CB36CF"/>
    <w:rsid w:val="00CB3DC5"/>
    <w:rsid w:val="00CB40C7"/>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118C"/>
    <w:rsid w:val="00CD250A"/>
    <w:rsid w:val="00CD37A3"/>
    <w:rsid w:val="00CD3AB0"/>
    <w:rsid w:val="00CD3E08"/>
    <w:rsid w:val="00CD617D"/>
    <w:rsid w:val="00CD6740"/>
    <w:rsid w:val="00CD6E37"/>
    <w:rsid w:val="00CD72B9"/>
    <w:rsid w:val="00CE00E1"/>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5B19"/>
    <w:rsid w:val="00D17369"/>
    <w:rsid w:val="00D1789C"/>
    <w:rsid w:val="00D205D1"/>
    <w:rsid w:val="00D20765"/>
    <w:rsid w:val="00D20CCF"/>
    <w:rsid w:val="00D2249F"/>
    <w:rsid w:val="00D22EDB"/>
    <w:rsid w:val="00D23F2B"/>
    <w:rsid w:val="00D255CB"/>
    <w:rsid w:val="00D2606F"/>
    <w:rsid w:val="00D268B0"/>
    <w:rsid w:val="00D3094E"/>
    <w:rsid w:val="00D32276"/>
    <w:rsid w:val="00D32EB6"/>
    <w:rsid w:val="00D3446C"/>
    <w:rsid w:val="00D34A38"/>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1C6D"/>
    <w:rsid w:val="00D529D4"/>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20B"/>
    <w:rsid w:val="00D819C1"/>
    <w:rsid w:val="00D85E03"/>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A69F9"/>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434"/>
    <w:rsid w:val="00DD7B37"/>
    <w:rsid w:val="00DE140D"/>
    <w:rsid w:val="00DE22A6"/>
    <w:rsid w:val="00DE5829"/>
    <w:rsid w:val="00DE6152"/>
    <w:rsid w:val="00DE62E9"/>
    <w:rsid w:val="00DE6970"/>
    <w:rsid w:val="00DE6CB2"/>
    <w:rsid w:val="00DF17D4"/>
    <w:rsid w:val="00DF1881"/>
    <w:rsid w:val="00DF396E"/>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16690"/>
    <w:rsid w:val="00E20280"/>
    <w:rsid w:val="00E20DE6"/>
    <w:rsid w:val="00E226A1"/>
    <w:rsid w:val="00E228E5"/>
    <w:rsid w:val="00E22E1F"/>
    <w:rsid w:val="00E2305C"/>
    <w:rsid w:val="00E23FCC"/>
    <w:rsid w:val="00E246B9"/>
    <w:rsid w:val="00E24EC5"/>
    <w:rsid w:val="00E25027"/>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2D9D"/>
    <w:rsid w:val="00E537FB"/>
    <w:rsid w:val="00E53CDA"/>
    <w:rsid w:val="00E55A0E"/>
    <w:rsid w:val="00E55B96"/>
    <w:rsid w:val="00E56F05"/>
    <w:rsid w:val="00E56FE2"/>
    <w:rsid w:val="00E5753E"/>
    <w:rsid w:val="00E578FF"/>
    <w:rsid w:val="00E60B7E"/>
    <w:rsid w:val="00E610D3"/>
    <w:rsid w:val="00E6170C"/>
    <w:rsid w:val="00E62C65"/>
    <w:rsid w:val="00E641D6"/>
    <w:rsid w:val="00E650FB"/>
    <w:rsid w:val="00E65CF6"/>
    <w:rsid w:val="00E6753E"/>
    <w:rsid w:val="00E70F19"/>
    <w:rsid w:val="00E71DFF"/>
    <w:rsid w:val="00E72EA7"/>
    <w:rsid w:val="00E73049"/>
    <w:rsid w:val="00E7307C"/>
    <w:rsid w:val="00E73C78"/>
    <w:rsid w:val="00E75E82"/>
    <w:rsid w:val="00E77754"/>
    <w:rsid w:val="00E80A7C"/>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3F4"/>
    <w:rsid w:val="00F55E85"/>
    <w:rsid w:val="00F60FE6"/>
    <w:rsid w:val="00F61606"/>
    <w:rsid w:val="00F623E6"/>
    <w:rsid w:val="00F62EE6"/>
    <w:rsid w:val="00F637CB"/>
    <w:rsid w:val="00F6552B"/>
    <w:rsid w:val="00F662CD"/>
    <w:rsid w:val="00F6660F"/>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4D99"/>
    <w:rsid w:val="00FA60F5"/>
    <w:rsid w:val="00FA62CC"/>
    <w:rsid w:val="00FA635A"/>
    <w:rsid w:val="00FB0962"/>
    <w:rsid w:val="00FB0E56"/>
    <w:rsid w:val="00FB0EB3"/>
    <w:rsid w:val="00FB3021"/>
    <w:rsid w:val="00FB44D7"/>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0FF7DDD"/>
    <w:rsid w:val="017B7C9A"/>
    <w:rsid w:val="01805D2A"/>
    <w:rsid w:val="01DF4CDD"/>
    <w:rsid w:val="020C0D2B"/>
    <w:rsid w:val="028F6666"/>
    <w:rsid w:val="03064AB8"/>
    <w:rsid w:val="039941AC"/>
    <w:rsid w:val="039D7B38"/>
    <w:rsid w:val="03F93A73"/>
    <w:rsid w:val="042046F5"/>
    <w:rsid w:val="061D3091"/>
    <w:rsid w:val="0698114A"/>
    <w:rsid w:val="06C8511E"/>
    <w:rsid w:val="06FD7B63"/>
    <w:rsid w:val="0731401A"/>
    <w:rsid w:val="073C31C4"/>
    <w:rsid w:val="074164CF"/>
    <w:rsid w:val="07E147B8"/>
    <w:rsid w:val="08066F25"/>
    <w:rsid w:val="08413FD1"/>
    <w:rsid w:val="0870074C"/>
    <w:rsid w:val="08712537"/>
    <w:rsid w:val="08CA6700"/>
    <w:rsid w:val="08D566AD"/>
    <w:rsid w:val="09071A9A"/>
    <w:rsid w:val="09490FF4"/>
    <w:rsid w:val="09F340E8"/>
    <w:rsid w:val="0A1D5332"/>
    <w:rsid w:val="0A732D15"/>
    <w:rsid w:val="0ABA31D3"/>
    <w:rsid w:val="0BDE31F1"/>
    <w:rsid w:val="0C852589"/>
    <w:rsid w:val="0CD849FA"/>
    <w:rsid w:val="0D1C451A"/>
    <w:rsid w:val="0D817CDD"/>
    <w:rsid w:val="0E6320AD"/>
    <w:rsid w:val="0EB321BB"/>
    <w:rsid w:val="0F0D0EA4"/>
    <w:rsid w:val="0F344429"/>
    <w:rsid w:val="0F4309D7"/>
    <w:rsid w:val="0FD063B1"/>
    <w:rsid w:val="0FF8717C"/>
    <w:rsid w:val="10277B5C"/>
    <w:rsid w:val="10CD3604"/>
    <w:rsid w:val="10EE35C3"/>
    <w:rsid w:val="113E35C5"/>
    <w:rsid w:val="114F26C3"/>
    <w:rsid w:val="12124FE7"/>
    <w:rsid w:val="121D6EB6"/>
    <w:rsid w:val="127D2F5A"/>
    <w:rsid w:val="12ED216D"/>
    <w:rsid w:val="13336E3E"/>
    <w:rsid w:val="135C58BB"/>
    <w:rsid w:val="138A253A"/>
    <w:rsid w:val="13BA3963"/>
    <w:rsid w:val="13BE01A0"/>
    <w:rsid w:val="13DD4ED1"/>
    <w:rsid w:val="1609743A"/>
    <w:rsid w:val="1631473A"/>
    <w:rsid w:val="165C6DCA"/>
    <w:rsid w:val="167C26C4"/>
    <w:rsid w:val="169B1732"/>
    <w:rsid w:val="16D5092B"/>
    <w:rsid w:val="16D5602D"/>
    <w:rsid w:val="176534B8"/>
    <w:rsid w:val="177E44BC"/>
    <w:rsid w:val="178818BA"/>
    <w:rsid w:val="18F6151F"/>
    <w:rsid w:val="19EF0BD6"/>
    <w:rsid w:val="19FC44C3"/>
    <w:rsid w:val="1A974163"/>
    <w:rsid w:val="1ACB33C1"/>
    <w:rsid w:val="1AD06319"/>
    <w:rsid w:val="1AD53B33"/>
    <w:rsid w:val="1B2B711A"/>
    <w:rsid w:val="1B352404"/>
    <w:rsid w:val="1BCD2368"/>
    <w:rsid w:val="1C084047"/>
    <w:rsid w:val="1C3F60F3"/>
    <w:rsid w:val="1C567B4C"/>
    <w:rsid w:val="1D0D3CA0"/>
    <w:rsid w:val="1D3C38E1"/>
    <w:rsid w:val="1D4A5240"/>
    <w:rsid w:val="1DEA1FEA"/>
    <w:rsid w:val="1DF646A1"/>
    <w:rsid w:val="1E17083B"/>
    <w:rsid w:val="1EB35665"/>
    <w:rsid w:val="1EDF0728"/>
    <w:rsid w:val="1F301DC2"/>
    <w:rsid w:val="1FA6791C"/>
    <w:rsid w:val="203931EC"/>
    <w:rsid w:val="211015B7"/>
    <w:rsid w:val="219E17CE"/>
    <w:rsid w:val="21FA7BC8"/>
    <w:rsid w:val="21FC6654"/>
    <w:rsid w:val="224F4AB9"/>
    <w:rsid w:val="22D308E2"/>
    <w:rsid w:val="22E12559"/>
    <w:rsid w:val="231F1167"/>
    <w:rsid w:val="235C2BD4"/>
    <w:rsid w:val="23651A3C"/>
    <w:rsid w:val="23FF4341"/>
    <w:rsid w:val="24035E1E"/>
    <w:rsid w:val="24324F1D"/>
    <w:rsid w:val="243B5DB5"/>
    <w:rsid w:val="24EB70A7"/>
    <w:rsid w:val="2555132B"/>
    <w:rsid w:val="256E69E8"/>
    <w:rsid w:val="2581038F"/>
    <w:rsid w:val="25A67D3C"/>
    <w:rsid w:val="25B11518"/>
    <w:rsid w:val="25B86563"/>
    <w:rsid w:val="26606DD5"/>
    <w:rsid w:val="26807ACE"/>
    <w:rsid w:val="26903743"/>
    <w:rsid w:val="26C64400"/>
    <w:rsid w:val="281F6039"/>
    <w:rsid w:val="2938027B"/>
    <w:rsid w:val="29816226"/>
    <w:rsid w:val="298A6908"/>
    <w:rsid w:val="29C1340D"/>
    <w:rsid w:val="29F10FDB"/>
    <w:rsid w:val="2A193FB9"/>
    <w:rsid w:val="2A5D4D9B"/>
    <w:rsid w:val="2A676E5E"/>
    <w:rsid w:val="2A787A01"/>
    <w:rsid w:val="2AF31683"/>
    <w:rsid w:val="2B61195F"/>
    <w:rsid w:val="2C3C17A7"/>
    <w:rsid w:val="2C4550B6"/>
    <w:rsid w:val="2C7D521A"/>
    <w:rsid w:val="2C895BBB"/>
    <w:rsid w:val="2CA31F00"/>
    <w:rsid w:val="2CF47464"/>
    <w:rsid w:val="2D427D83"/>
    <w:rsid w:val="2D67415A"/>
    <w:rsid w:val="2E15498A"/>
    <w:rsid w:val="2E916D24"/>
    <w:rsid w:val="2ED33834"/>
    <w:rsid w:val="2F1D1A5A"/>
    <w:rsid w:val="2FDA73CD"/>
    <w:rsid w:val="2FDB37C9"/>
    <w:rsid w:val="2FDE4FD2"/>
    <w:rsid w:val="2FE871EE"/>
    <w:rsid w:val="30550CCF"/>
    <w:rsid w:val="30C44045"/>
    <w:rsid w:val="31364011"/>
    <w:rsid w:val="31822DF7"/>
    <w:rsid w:val="31832FA6"/>
    <w:rsid w:val="31C615EA"/>
    <w:rsid w:val="320A42DF"/>
    <w:rsid w:val="3261739C"/>
    <w:rsid w:val="32CA69E2"/>
    <w:rsid w:val="32E43BAA"/>
    <w:rsid w:val="32FB322A"/>
    <w:rsid w:val="34117E84"/>
    <w:rsid w:val="34765CE9"/>
    <w:rsid w:val="34A81741"/>
    <w:rsid w:val="350D526F"/>
    <w:rsid w:val="35237865"/>
    <w:rsid w:val="35315E89"/>
    <w:rsid w:val="3540076A"/>
    <w:rsid w:val="355C665B"/>
    <w:rsid w:val="35FB7D42"/>
    <w:rsid w:val="36345EE6"/>
    <w:rsid w:val="36FF23C6"/>
    <w:rsid w:val="37111108"/>
    <w:rsid w:val="375717D0"/>
    <w:rsid w:val="376A2689"/>
    <w:rsid w:val="37FA7F01"/>
    <w:rsid w:val="38411EC3"/>
    <w:rsid w:val="386C58FB"/>
    <w:rsid w:val="386D15ED"/>
    <w:rsid w:val="388E7B3B"/>
    <w:rsid w:val="389F7463"/>
    <w:rsid w:val="39233DD7"/>
    <w:rsid w:val="397C48AB"/>
    <w:rsid w:val="39A2608B"/>
    <w:rsid w:val="39AB0323"/>
    <w:rsid w:val="3A081DF9"/>
    <w:rsid w:val="3B560CEF"/>
    <w:rsid w:val="3B6650C4"/>
    <w:rsid w:val="3BAE1BDB"/>
    <w:rsid w:val="3BF45333"/>
    <w:rsid w:val="3CC6190F"/>
    <w:rsid w:val="3CF2002E"/>
    <w:rsid w:val="3D5B74C6"/>
    <w:rsid w:val="3D6D0BA5"/>
    <w:rsid w:val="3DD414B2"/>
    <w:rsid w:val="3E467691"/>
    <w:rsid w:val="3EC97FB2"/>
    <w:rsid w:val="3ED93D06"/>
    <w:rsid w:val="3EFF2568"/>
    <w:rsid w:val="3F2F6B8F"/>
    <w:rsid w:val="3FE36681"/>
    <w:rsid w:val="40C304AF"/>
    <w:rsid w:val="41AA697C"/>
    <w:rsid w:val="41F21437"/>
    <w:rsid w:val="4225331F"/>
    <w:rsid w:val="424711C0"/>
    <w:rsid w:val="42C84BF9"/>
    <w:rsid w:val="42CE7F5A"/>
    <w:rsid w:val="4359092D"/>
    <w:rsid w:val="43666688"/>
    <w:rsid w:val="4371282F"/>
    <w:rsid w:val="437F4981"/>
    <w:rsid w:val="438413DB"/>
    <w:rsid w:val="439E4C80"/>
    <w:rsid w:val="43BA05BB"/>
    <w:rsid w:val="44636210"/>
    <w:rsid w:val="44771EA0"/>
    <w:rsid w:val="44936C55"/>
    <w:rsid w:val="44FC5765"/>
    <w:rsid w:val="4520299F"/>
    <w:rsid w:val="45322804"/>
    <w:rsid w:val="453E2BF0"/>
    <w:rsid w:val="45C41F63"/>
    <w:rsid w:val="46205483"/>
    <w:rsid w:val="467F70E2"/>
    <w:rsid w:val="468D2996"/>
    <w:rsid w:val="46D676EB"/>
    <w:rsid w:val="47943E4F"/>
    <w:rsid w:val="47E7599A"/>
    <w:rsid w:val="47F41A4D"/>
    <w:rsid w:val="48365BE9"/>
    <w:rsid w:val="485F237C"/>
    <w:rsid w:val="49844CAB"/>
    <w:rsid w:val="49E36933"/>
    <w:rsid w:val="4A012E2B"/>
    <w:rsid w:val="4A522460"/>
    <w:rsid w:val="4A5D667A"/>
    <w:rsid w:val="4A7D0DB9"/>
    <w:rsid w:val="4A915202"/>
    <w:rsid w:val="4ADA0199"/>
    <w:rsid w:val="4AED3C84"/>
    <w:rsid w:val="4BB3139E"/>
    <w:rsid w:val="4C06644A"/>
    <w:rsid w:val="4C6E282C"/>
    <w:rsid w:val="4C7C057E"/>
    <w:rsid w:val="4C9F1633"/>
    <w:rsid w:val="4CCC6BB3"/>
    <w:rsid w:val="4CCF07E4"/>
    <w:rsid w:val="4D2770F7"/>
    <w:rsid w:val="4D677A6F"/>
    <w:rsid w:val="4D9604BC"/>
    <w:rsid w:val="4DC74FFF"/>
    <w:rsid w:val="4DEC6CD7"/>
    <w:rsid w:val="4E2F2707"/>
    <w:rsid w:val="4E6B689F"/>
    <w:rsid w:val="4EDD7CD8"/>
    <w:rsid w:val="4F04441F"/>
    <w:rsid w:val="4FC918B1"/>
    <w:rsid w:val="4FDD44A2"/>
    <w:rsid w:val="501233E8"/>
    <w:rsid w:val="502F2D27"/>
    <w:rsid w:val="508A671B"/>
    <w:rsid w:val="50DC7DD1"/>
    <w:rsid w:val="51082263"/>
    <w:rsid w:val="511D2F08"/>
    <w:rsid w:val="5198572E"/>
    <w:rsid w:val="522D450B"/>
    <w:rsid w:val="52FA2762"/>
    <w:rsid w:val="53221C49"/>
    <w:rsid w:val="532408EC"/>
    <w:rsid w:val="53574187"/>
    <w:rsid w:val="53986C67"/>
    <w:rsid w:val="53FD147E"/>
    <w:rsid w:val="543109BA"/>
    <w:rsid w:val="54323331"/>
    <w:rsid w:val="54AF3253"/>
    <w:rsid w:val="54F03E7B"/>
    <w:rsid w:val="55307659"/>
    <w:rsid w:val="55E0339D"/>
    <w:rsid w:val="55FE1D5B"/>
    <w:rsid w:val="56757C8E"/>
    <w:rsid w:val="56B63238"/>
    <w:rsid w:val="57AA1051"/>
    <w:rsid w:val="57B63103"/>
    <w:rsid w:val="58416358"/>
    <w:rsid w:val="58424AB5"/>
    <w:rsid w:val="58D05A14"/>
    <w:rsid w:val="58F3699F"/>
    <w:rsid w:val="590C6C1B"/>
    <w:rsid w:val="595455B5"/>
    <w:rsid w:val="59730A0E"/>
    <w:rsid w:val="59AC5C70"/>
    <w:rsid w:val="59F22154"/>
    <w:rsid w:val="5A4F3C35"/>
    <w:rsid w:val="5A9E741F"/>
    <w:rsid w:val="5AAD41B2"/>
    <w:rsid w:val="5B0E4FB1"/>
    <w:rsid w:val="5B275FD5"/>
    <w:rsid w:val="5B782231"/>
    <w:rsid w:val="5BAC1760"/>
    <w:rsid w:val="5C972052"/>
    <w:rsid w:val="5CE01DE0"/>
    <w:rsid w:val="5D0C2A23"/>
    <w:rsid w:val="5D786872"/>
    <w:rsid w:val="5DE15411"/>
    <w:rsid w:val="5DF14806"/>
    <w:rsid w:val="5F2A7A3E"/>
    <w:rsid w:val="5FC11B8B"/>
    <w:rsid w:val="6004506B"/>
    <w:rsid w:val="600E71BC"/>
    <w:rsid w:val="601E106B"/>
    <w:rsid w:val="606175A3"/>
    <w:rsid w:val="60AA36E5"/>
    <w:rsid w:val="60B65D19"/>
    <w:rsid w:val="61127D2A"/>
    <w:rsid w:val="61601D33"/>
    <w:rsid w:val="622F11D2"/>
    <w:rsid w:val="62315C63"/>
    <w:rsid w:val="626C074C"/>
    <w:rsid w:val="62B342BC"/>
    <w:rsid w:val="62E37F5D"/>
    <w:rsid w:val="631A0F8F"/>
    <w:rsid w:val="63236775"/>
    <w:rsid w:val="63383313"/>
    <w:rsid w:val="634E38B9"/>
    <w:rsid w:val="63633AA7"/>
    <w:rsid w:val="63871BA4"/>
    <w:rsid w:val="646F6853"/>
    <w:rsid w:val="64B96ED9"/>
    <w:rsid w:val="64C42F54"/>
    <w:rsid w:val="64CE04C8"/>
    <w:rsid w:val="64DC1AA7"/>
    <w:rsid w:val="64EE4632"/>
    <w:rsid w:val="66380607"/>
    <w:rsid w:val="663A71E2"/>
    <w:rsid w:val="66624AC4"/>
    <w:rsid w:val="66CF3EB6"/>
    <w:rsid w:val="677B0DB5"/>
    <w:rsid w:val="67F43406"/>
    <w:rsid w:val="6808615A"/>
    <w:rsid w:val="68A04182"/>
    <w:rsid w:val="68E601F2"/>
    <w:rsid w:val="694941BC"/>
    <w:rsid w:val="69931B9F"/>
    <w:rsid w:val="69A02426"/>
    <w:rsid w:val="6A5C18FD"/>
    <w:rsid w:val="6A6B167A"/>
    <w:rsid w:val="6A800F11"/>
    <w:rsid w:val="6A840C8C"/>
    <w:rsid w:val="6AEE453B"/>
    <w:rsid w:val="6AF3124A"/>
    <w:rsid w:val="6B166CD1"/>
    <w:rsid w:val="6B7E7D5F"/>
    <w:rsid w:val="6CE82148"/>
    <w:rsid w:val="6CEC35B0"/>
    <w:rsid w:val="6D1856E9"/>
    <w:rsid w:val="6E903FBA"/>
    <w:rsid w:val="6E976E60"/>
    <w:rsid w:val="6F3829E8"/>
    <w:rsid w:val="6F6C3363"/>
    <w:rsid w:val="6FB57CB8"/>
    <w:rsid w:val="6FBB7E54"/>
    <w:rsid w:val="6FD33AC8"/>
    <w:rsid w:val="70885FAA"/>
    <w:rsid w:val="708F3534"/>
    <w:rsid w:val="70AC2FCB"/>
    <w:rsid w:val="710B646C"/>
    <w:rsid w:val="710F69FE"/>
    <w:rsid w:val="71ED272A"/>
    <w:rsid w:val="71F01781"/>
    <w:rsid w:val="71F43287"/>
    <w:rsid w:val="727C0EC4"/>
    <w:rsid w:val="72BA7323"/>
    <w:rsid w:val="72D75763"/>
    <w:rsid w:val="73374E73"/>
    <w:rsid w:val="735C324C"/>
    <w:rsid w:val="742B1FE0"/>
    <w:rsid w:val="743F42E8"/>
    <w:rsid w:val="74714F78"/>
    <w:rsid w:val="747A102E"/>
    <w:rsid w:val="753161AE"/>
    <w:rsid w:val="75D47F04"/>
    <w:rsid w:val="75EB43FB"/>
    <w:rsid w:val="763C5D0A"/>
    <w:rsid w:val="76973B13"/>
    <w:rsid w:val="76CF27C0"/>
    <w:rsid w:val="76D80CE3"/>
    <w:rsid w:val="773D0465"/>
    <w:rsid w:val="77526C08"/>
    <w:rsid w:val="781454A1"/>
    <w:rsid w:val="786B2585"/>
    <w:rsid w:val="79671759"/>
    <w:rsid w:val="797075DA"/>
    <w:rsid w:val="7A1B3C8B"/>
    <w:rsid w:val="7AAA05AF"/>
    <w:rsid w:val="7B2714CA"/>
    <w:rsid w:val="7B3A2568"/>
    <w:rsid w:val="7B4414D8"/>
    <w:rsid w:val="7BB41C3D"/>
    <w:rsid w:val="7BDC50A2"/>
    <w:rsid w:val="7CA04D2F"/>
    <w:rsid w:val="7CC606DC"/>
    <w:rsid w:val="7CD87D18"/>
    <w:rsid w:val="7CEB3C59"/>
    <w:rsid w:val="7CF2528C"/>
    <w:rsid w:val="7D0B0461"/>
    <w:rsid w:val="7D282903"/>
    <w:rsid w:val="7D401A7F"/>
    <w:rsid w:val="7D956144"/>
    <w:rsid w:val="7E015867"/>
    <w:rsid w:val="7E0D1A37"/>
    <w:rsid w:val="7E2F166A"/>
    <w:rsid w:val="7E3E720E"/>
    <w:rsid w:val="7E5954A9"/>
    <w:rsid w:val="7E753116"/>
    <w:rsid w:val="7E7951BF"/>
    <w:rsid w:val="7F0A4FAE"/>
    <w:rsid w:val="7F2F3071"/>
    <w:rsid w:val="7F761634"/>
    <w:rsid w:val="7F8E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99" w:name="table of authorities"/>
    <w:lsdException w:uiPriority="0" w:name="macro"/>
    <w:lsdException w:qFormat="1" w:unhideWhenUsed="0" w:uiPriority="0" w:semiHidden="0" w:name="toa heading"/>
    <w:lsdException w:qFormat="1" w:uiPriority="0" w:semiHidden="0" w:name="List"/>
    <w:lsdException w:qFormat="1"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4"/>
    <w:qFormat/>
    <w:uiPriority w:val="9"/>
    <w:pPr>
      <w:keepNext/>
      <w:keepLines/>
      <w:spacing w:line="360" w:lineRule="auto"/>
      <w:jc w:val="center"/>
      <w:outlineLvl w:val="0"/>
    </w:pPr>
    <w:rPr>
      <w:rFonts w:ascii="Cambria" w:hAnsi="Cambria"/>
      <w:b/>
      <w:bCs/>
      <w:kern w:val="44"/>
      <w:sz w:val="32"/>
      <w:szCs w:val="44"/>
    </w:rPr>
  </w:style>
  <w:style w:type="paragraph" w:styleId="4">
    <w:name w:val="heading 2"/>
    <w:basedOn w:val="1"/>
    <w:next w:val="1"/>
    <w:link w:val="45"/>
    <w:qFormat/>
    <w:uiPriority w:val="0"/>
    <w:pPr>
      <w:keepNext/>
      <w:keepLines/>
      <w:spacing w:line="360" w:lineRule="auto"/>
      <w:contextualSpacing/>
      <w:jc w:val="center"/>
      <w:outlineLvl w:val="1"/>
    </w:pPr>
    <w:rPr>
      <w:rFonts w:ascii="Cambria" w:hAnsi="Cambria"/>
      <w:b/>
      <w:sz w:val="28"/>
      <w:szCs w:val="28"/>
    </w:rPr>
  </w:style>
  <w:style w:type="paragraph" w:styleId="5">
    <w:name w:val="heading 3"/>
    <w:basedOn w:val="1"/>
    <w:next w:val="1"/>
    <w:link w:val="43"/>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6">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7"/>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7"/>
    <w:next w:val="1"/>
    <w:link w:val="48"/>
    <w:qFormat/>
    <w:uiPriority w:val="0"/>
    <w:pPr>
      <w:tabs>
        <w:tab w:val="left" w:pos="1440"/>
      </w:tabs>
      <w:spacing w:before="260" w:after="260" w:line="360" w:lineRule="auto"/>
      <w:ind w:left="1134" w:hanging="1134"/>
      <w:outlineLvl w:val="5"/>
    </w:pPr>
    <w:rPr>
      <w:sz w:val="30"/>
      <w:szCs w:val="18"/>
    </w:rPr>
  </w:style>
  <w:style w:type="paragraph" w:styleId="9">
    <w:name w:val="heading 7"/>
    <w:basedOn w:val="8"/>
    <w:next w:val="1"/>
    <w:link w:val="49"/>
    <w:qFormat/>
    <w:uiPriority w:val="0"/>
    <w:pPr>
      <w:tabs>
        <w:tab w:val="left" w:pos="1800"/>
        <w:tab w:val="clear" w:pos="1440"/>
      </w:tabs>
      <w:ind w:left="1276" w:hanging="1276"/>
      <w:outlineLvl w:val="6"/>
    </w:pPr>
    <w:rPr>
      <w:rFonts w:ascii="Times New Roman" w:hAnsi="Times New Roman"/>
    </w:rPr>
  </w:style>
  <w:style w:type="paragraph" w:styleId="10">
    <w:name w:val="heading 8"/>
    <w:basedOn w:val="9"/>
    <w:next w:val="1"/>
    <w:link w:val="50"/>
    <w:qFormat/>
    <w:uiPriority w:val="0"/>
    <w:pPr>
      <w:ind w:left="1418" w:hanging="1418"/>
      <w:outlineLvl w:val="7"/>
    </w:pPr>
  </w:style>
  <w:style w:type="paragraph" w:styleId="11">
    <w:name w:val="heading 9"/>
    <w:basedOn w:val="10"/>
    <w:next w:val="1"/>
    <w:link w:val="51"/>
    <w:qFormat/>
    <w:uiPriority w:val="0"/>
    <w:pPr>
      <w:tabs>
        <w:tab w:val="left" w:pos="2160"/>
        <w:tab w:val="clear" w:pos="1800"/>
      </w:tabs>
      <w:ind w:left="1559" w:hanging="1559"/>
      <w:outlineLvl w:val="8"/>
    </w:p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52"/>
    <w:unhideWhenUsed/>
    <w:qFormat/>
    <w:uiPriority w:val="0"/>
    <w:pPr>
      <w:ind w:firstLine="420" w:firstLineChars="200"/>
    </w:pPr>
    <w:rPr>
      <w:rFonts w:ascii="Calibri" w:hAnsi="Calibri"/>
    </w:rPr>
  </w:style>
  <w:style w:type="paragraph" w:styleId="12">
    <w:name w:val="table of authorities"/>
    <w:basedOn w:val="1"/>
    <w:next w:val="1"/>
    <w:semiHidden/>
    <w:qFormat/>
    <w:uiPriority w:val="99"/>
    <w:pPr>
      <w:ind w:left="200" w:leftChars="200"/>
    </w:pPr>
  </w:style>
  <w:style w:type="paragraph" w:styleId="13">
    <w:name w:val="List Bullet"/>
    <w:basedOn w:val="1"/>
    <w:next w:val="14"/>
    <w:semiHidden/>
    <w:unhideWhenUsed/>
    <w:qFormat/>
    <w:uiPriority w:val="0"/>
    <w:pPr>
      <w:numPr>
        <w:ilvl w:val="0"/>
        <w:numId w:val="1"/>
      </w:numPr>
    </w:pPr>
  </w:style>
  <w:style w:type="paragraph" w:styleId="14">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15">
    <w:name w:val="Document Map"/>
    <w:basedOn w:val="1"/>
    <w:link w:val="53"/>
    <w:qFormat/>
    <w:uiPriority w:val="0"/>
    <w:rPr>
      <w:rFonts w:ascii="宋体" w:hAnsi="Calibri"/>
      <w:sz w:val="18"/>
      <w:szCs w:val="18"/>
    </w:rPr>
  </w:style>
  <w:style w:type="paragraph" w:styleId="16">
    <w:name w:val="toa heading"/>
    <w:basedOn w:val="1"/>
    <w:next w:val="1"/>
    <w:qFormat/>
    <w:uiPriority w:val="0"/>
    <w:pPr>
      <w:spacing w:before="120"/>
    </w:pPr>
    <w:rPr>
      <w:rFonts w:ascii="Arial" w:hAnsi="Arial"/>
      <w:sz w:val="24"/>
      <w:szCs w:val="21"/>
    </w:rPr>
  </w:style>
  <w:style w:type="paragraph" w:styleId="17">
    <w:name w:val="annotation text"/>
    <w:basedOn w:val="1"/>
    <w:link w:val="54"/>
    <w:qFormat/>
    <w:uiPriority w:val="0"/>
    <w:pPr>
      <w:jc w:val="left"/>
    </w:pPr>
    <w:rPr>
      <w:rFonts w:ascii="Calibri" w:hAnsi="Calibri"/>
    </w:rPr>
  </w:style>
  <w:style w:type="paragraph" w:styleId="18">
    <w:name w:val="Body Text"/>
    <w:basedOn w:val="1"/>
    <w:unhideWhenUsed/>
    <w:qFormat/>
    <w:uiPriority w:val="0"/>
    <w:pPr>
      <w:spacing w:after="120"/>
    </w:pPr>
  </w:style>
  <w:style w:type="paragraph" w:styleId="19">
    <w:name w:val="Body Text Indent"/>
    <w:basedOn w:val="1"/>
    <w:qFormat/>
    <w:uiPriority w:val="0"/>
    <w:pPr>
      <w:ind w:firstLine="830" w:firstLineChars="352"/>
    </w:pPr>
    <w:rPr>
      <w:rFonts w:ascii="仿宋_GB2312" w:eastAsia="仿宋_GB2312"/>
      <w:sz w:val="32"/>
      <w:szCs w:val="20"/>
    </w:rPr>
  </w:style>
  <w:style w:type="paragraph" w:styleId="20">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1">
    <w:name w:val="toc 3"/>
    <w:basedOn w:val="1"/>
    <w:next w:val="1"/>
    <w:unhideWhenUsed/>
    <w:qFormat/>
    <w:uiPriority w:val="39"/>
    <w:pPr>
      <w:ind w:left="840" w:leftChars="400"/>
    </w:pPr>
  </w:style>
  <w:style w:type="paragraph" w:styleId="22">
    <w:name w:val="Plain Text"/>
    <w:basedOn w:val="1"/>
    <w:link w:val="55"/>
    <w:qFormat/>
    <w:uiPriority w:val="0"/>
    <w:rPr>
      <w:rFonts w:ascii="宋体" w:hAnsi="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alloon Text"/>
    <w:basedOn w:val="1"/>
    <w:semiHidden/>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link w:val="56"/>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27">
    <w:name w:val="toc 1"/>
    <w:basedOn w:val="1"/>
    <w:next w:val="1"/>
    <w:qFormat/>
    <w:uiPriority w:val="39"/>
    <w:pPr>
      <w:tabs>
        <w:tab w:val="right" w:leader="dot" w:pos="8222"/>
      </w:tabs>
      <w:spacing w:line="440" w:lineRule="exact"/>
      <w:ind w:right="231" w:rightChars="110"/>
    </w:pPr>
    <w:rPr>
      <w:sz w:val="28"/>
    </w:rPr>
  </w:style>
  <w:style w:type="paragraph" w:styleId="28">
    <w:name w:val="List"/>
    <w:basedOn w:val="1"/>
    <w:next w:val="29"/>
    <w:unhideWhenUsed/>
    <w:qFormat/>
    <w:uiPriority w:val="0"/>
    <w:pPr>
      <w:ind w:left="200" w:hanging="200" w:hangingChars="200"/>
      <w:contextualSpacing/>
    </w:pPr>
    <w:rPr>
      <w:szCs w:val="20"/>
    </w:rPr>
  </w:style>
  <w:style w:type="paragraph" w:styleId="29">
    <w:name w:val="Body Text Indent 3"/>
    <w:basedOn w:val="1"/>
    <w:next w:val="13"/>
    <w:link w:val="57"/>
    <w:unhideWhenUsed/>
    <w:qFormat/>
    <w:uiPriority w:val="0"/>
    <w:pPr>
      <w:spacing w:after="120"/>
      <w:ind w:left="420" w:leftChars="200"/>
    </w:pPr>
    <w:rPr>
      <w:rFonts w:ascii="Calibri" w:hAnsi="Calibri"/>
      <w:sz w:val="16"/>
      <w:szCs w:val="16"/>
    </w:rPr>
  </w:style>
  <w:style w:type="paragraph" w:styleId="30">
    <w:name w:val="toc 2"/>
    <w:basedOn w:val="1"/>
    <w:next w:val="1"/>
    <w:qFormat/>
    <w:uiPriority w:val="39"/>
    <w:pPr>
      <w:tabs>
        <w:tab w:val="right" w:leader="dot" w:pos="8222"/>
      </w:tabs>
      <w:ind w:left="420" w:leftChars="200"/>
      <w:jc w:val="left"/>
    </w:pPr>
    <w:rPr>
      <w:sz w:val="28"/>
    </w:rPr>
  </w:style>
  <w:style w:type="paragraph" w:styleId="31">
    <w:name w:val="HTML Preformatted"/>
    <w:basedOn w:val="1"/>
    <w:qFormat/>
    <w:uiPriority w:val="0"/>
    <w:rPr>
      <w:rFonts w:ascii="Courier New" w:hAnsi="Courier New"/>
      <w:sz w:val="20"/>
    </w:rPr>
  </w:style>
  <w:style w:type="paragraph" w:styleId="32">
    <w:name w:val="index 1"/>
    <w:basedOn w:val="1"/>
    <w:next w:val="1"/>
    <w:qFormat/>
    <w:uiPriority w:val="0"/>
    <w:pPr>
      <w:jc w:val="center"/>
    </w:pPr>
    <w:rPr>
      <w:szCs w:val="24"/>
    </w:rPr>
  </w:style>
  <w:style w:type="paragraph" w:styleId="33">
    <w:name w:val="Title"/>
    <w:basedOn w:val="1"/>
    <w:next w:val="1"/>
    <w:link w:val="58"/>
    <w:qFormat/>
    <w:uiPriority w:val="0"/>
    <w:pPr>
      <w:jc w:val="both"/>
    </w:pPr>
    <w:rPr>
      <w:rFonts w:ascii="宋体" w:hAnsi="宋体"/>
      <w:sz w:val="44"/>
    </w:rPr>
  </w:style>
  <w:style w:type="paragraph" w:styleId="34">
    <w:name w:val="annotation subject"/>
    <w:basedOn w:val="17"/>
    <w:next w:val="17"/>
    <w:link w:val="59"/>
    <w:qFormat/>
    <w:uiPriority w:val="99"/>
    <w:rPr>
      <w:rFonts w:ascii="Times New Roman" w:hAnsi="Times New Roman"/>
      <w:b/>
      <w:sz w:val="28"/>
      <w:szCs w:val="20"/>
    </w:rPr>
  </w:style>
  <w:style w:type="paragraph" w:styleId="35">
    <w:name w:val="Body Text First Indent 2"/>
    <w:basedOn w:val="19"/>
    <w:qFormat/>
    <w:uiPriority w:val="0"/>
    <w:pPr>
      <w:ind w:firstLine="420" w:firstLineChars="200"/>
    </w:p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unhideWhenUsed/>
    <w:qFormat/>
    <w:uiPriority w:val="0"/>
    <w:rPr>
      <w:sz w:val="21"/>
      <w:szCs w:val="21"/>
    </w:rPr>
  </w:style>
  <w:style w:type="character" w:customStyle="1" w:styleId="43">
    <w:name w:val="标题 3 字符"/>
    <w:link w:val="5"/>
    <w:qFormat/>
    <w:uiPriority w:val="0"/>
    <w:rPr>
      <w:rFonts w:ascii="仿宋_GB2312" w:hAnsi="宋体" w:eastAsia="宋体"/>
      <w:b/>
      <w:kern w:val="2"/>
      <w:sz w:val="32"/>
      <w:szCs w:val="32"/>
    </w:rPr>
  </w:style>
  <w:style w:type="character" w:customStyle="1" w:styleId="44">
    <w:name w:val="标题 1 字符1"/>
    <w:link w:val="3"/>
    <w:qFormat/>
    <w:uiPriority w:val="9"/>
    <w:rPr>
      <w:rFonts w:ascii="Cambria" w:hAnsi="Cambria" w:eastAsia="宋体"/>
      <w:b/>
      <w:bCs/>
      <w:kern w:val="44"/>
      <w:sz w:val="32"/>
      <w:szCs w:val="44"/>
    </w:rPr>
  </w:style>
  <w:style w:type="character" w:customStyle="1" w:styleId="45">
    <w:name w:val="标题 2 字符"/>
    <w:link w:val="4"/>
    <w:qFormat/>
    <w:uiPriority w:val="0"/>
    <w:rPr>
      <w:rFonts w:ascii="Cambria" w:hAnsi="Cambria" w:eastAsia="宋体"/>
      <w:b/>
      <w:kern w:val="2"/>
      <w:sz w:val="28"/>
      <w:szCs w:val="28"/>
    </w:rPr>
  </w:style>
  <w:style w:type="character" w:customStyle="1" w:styleId="46">
    <w:name w:val="标题 4 字符"/>
    <w:link w:val="6"/>
    <w:qFormat/>
    <w:uiPriority w:val="0"/>
    <w:rPr>
      <w:rFonts w:ascii="Arial" w:hAnsi="Arial" w:eastAsia="黑体"/>
      <w:b/>
      <w:bCs/>
      <w:kern w:val="2"/>
      <w:sz w:val="28"/>
      <w:szCs w:val="28"/>
    </w:rPr>
  </w:style>
  <w:style w:type="character" w:customStyle="1" w:styleId="47">
    <w:name w:val="标题 5 字符"/>
    <w:link w:val="7"/>
    <w:qFormat/>
    <w:uiPriority w:val="0"/>
    <w:rPr>
      <w:rFonts w:ascii="Calibri" w:hAnsi="Calibri"/>
      <w:b/>
      <w:bCs/>
      <w:kern w:val="2"/>
      <w:sz w:val="28"/>
      <w:szCs w:val="28"/>
    </w:rPr>
  </w:style>
  <w:style w:type="character" w:customStyle="1" w:styleId="48">
    <w:name w:val="标题 6 字符"/>
    <w:link w:val="8"/>
    <w:qFormat/>
    <w:uiPriority w:val="0"/>
    <w:rPr>
      <w:b/>
      <w:bCs/>
      <w:kern w:val="2"/>
      <w:sz w:val="30"/>
      <w:szCs w:val="18"/>
    </w:rPr>
  </w:style>
  <w:style w:type="character" w:customStyle="1" w:styleId="49">
    <w:name w:val="标题 7 字符"/>
    <w:link w:val="9"/>
    <w:qFormat/>
    <w:uiPriority w:val="0"/>
    <w:rPr>
      <w:b/>
      <w:bCs/>
      <w:kern w:val="2"/>
      <w:sz w:val="30"/>
      <w:szCs w:val="18"/>
    </w:rPr>
  </w:style>
  <w:style w:type="character" w:customStyle="1" w:styleId="50">
    <w:name w:val="标题 8 字符"/>
    <w:link w:val="10"/>
    <w:qFormat/>
    <w:uiPriority w:val="0"/>
    <w:rPr>
      <w:b/>
      <w:bCs/>
      <w:kern w:val="2"/>
      <w:sz w:val="30"/>
      <w:szCs w:val="18"/>
    </w:rPr>
  </w:style>
  <w:style w:type="character" w:customStyle="1" w:styleId="51">
    <w:name w:val="标题 9 字符"/>
    <w:link w:val="11"/>
    <w:qFormat/>
    <w:uiPriority w:val="0"/>
    <w:rPr>
      <w:b/>
      <w:bCs/>
      <w:kern w:val="2"/>
      <w:sz w:val="30"/>
      <w:szCs w:val="18"/>
    </w:rPr>
  </w:style>
  <w:style w:type="character" w:customStyle="1" w:styleId="52">
    <w:name w:val="正文缩进 字符1"/>
    <w:link w:val="2"/>
    <w:qFormat/>
    <w:uiPriority w:val="0"/>
    <w:rPr>
      <w:rFonts w:ascii="Calibri" w:hAnsi="Calibri" w:eastAsia="宋体"/>
      <w:kern w:val="2"/>
      <w:sz w:val="21"/>
      <w:szCs w:val="22"/>
      <w:lang w:val="en-US" w:eastAsia="zh-CN" w:bidi="ar-SA"/>
    </w:rPr>
  </w:style>
  <w:style w:type="character" w:customStyle="1" w:styleId="53">
    <w:name w:val="文档结构图 字符"/>
    <w:link w:val="15"/>
    <w:qFormat/>
    <w:uiPriority w:val="0"/>
    <w:rPr>
      <w:rFonts w:ascii="宋体" w:hAnsi="Calibri"/>
      <w:kern w:val="2"/>
      <w:sz w:val="18"/>
      <w:szCs w:val="18"/>
    </w:rPr>
  </w:style>
  <w:style w:type="character" w:customStyle="1" w:styleId="54">
    <w:name w:val="批注文字 字符"/>
    <w:link w:val="17"/>
    <w:qFormat/>
    <w:uiPriority w:val="0"/>
    <w:rPr>
      <w:rFonts w:ascii="Calibri" w:hAnsi="Calibri"/>
      <w:kern w:val="2"/>
      <w:sz w:val="21"/>
      <w:szCs w:val="22"/>
    </w:rPr>
  </w:style>
  <w:style w:type="character" w:customStyle="1" w:styleId="55">
    <w:name w:val="纯文本 字符"/>
    <w:link w:val="22"/>
    <w:qFormat/>
    <w:locked/>
    <w:uiPriority w:val="0"/>
    <w:rPr>
      <w:rFonts w:ascii="宋体" w:hAnsi="Courier New" w:eastAsia="宋体" w:cs="Courier New"/>
      <w:kern w:val="2"/>
      <w:sz w:val="21"/>
      <w:szCs w:val="21"/>
    </w:rPr>
  </w:style>
  <w:style w:type="character" w:customStyle="1" w:styleId="56">
    <w:name w:val="页眉 字符"/>
    <w:link w:val="26"/>
    <w:qFormat/>
    <w:uiPriority w:val="99"/>
    <w:rPr>
      <w:rFonts w:ascii="Calibri" w:hAnsi="Calibri" w:eastAsia="宋体" w:cs="Times New Roman"/>
      <w:kern w:val="2"/>
      <w:sz w:val="18"/>
      <w:szCs w:val="18"/>
    </w:rPr>
  </w:style>
  <w:style w:type="character" w:customStyle="1" w:styleId="57">
    <w:name w:val="正文文本缩进 3 字符"/>
    <w:link w:val="29"/>
    <w:semiHidden/>
    <w:qFormat/>
    <w:uiPriority w:val="0"/>
    <w:rPr>
      <w:rFonts w:ascii="Calibri" w:hAnsi="Calibri"/>
      <w:kern w:val="2"/>
      <w:sz w:val="16"/>
      <w:szCs w:val="16"/>
    </w:rPr>
  </w:style>
  <w:style w:type="character" w:customStyle="1" w:styleId="58">
    <w:name w:val="标题 字符"/>
    <w:link w:val="33"/>
    <w:qFormat/>
    <w:uiPriority w:val="0"/>
    <w:rPr>
      <w:rFonts w:ascii="宋体" w:hAnsi="宋体" w:eastAsia="宋体"/>
      <w:b/>
      <w:kern w:val="2"/>
      <w:sz w:val="44"/>
      <w:szCs w:val="28"/>
    </w:rPr>
  </w:style>
  <w:style w:type="character" w:customStyle="1" w:styleId="59">
    <w:name w:val="批注主题 字符"/>
    <w:link w:val="34"/>
    <w:qFormat/>
    <w:uiPriority w:val="99"/>
    <w:rPr>
      <w:b/>
      <w:kern w:val="2"/>
      <w:sz w:val="28"/>
    </w:rPr>
  </w:style>
  <w:style w:type="character" w:customStyle="1" w:styleId="60">
    <w:name w:val="font41"/>
    <w:qFormat/>
    <w:uiPriority w:val="0"/>
    <w:rPr>
      <w:rFonts w:hint="eastAsia" w:ascii="宋体" w:hAnsi="宋体" w:eastAsia="宋体" w:cs="宋体"/>
      <w:b/>
      <w:color w:val="000000"/>
      <w:sz w:val="18"/>
      <w:szCs w:val="18"/>
      <w:u w:val="none"/>
    </w:rPr>
  </w:style>
  <w:style w:type="character" w:customStyle="1" w:styleId="61">
    <w:name w:val="需求样式 Char"/>
    <w:link w:val="62"/>
    <w:qFormat/>
    <w:uiPriority w:val="0"/>
    <w:rPr>
      <w:b/>
      <w:bCs/>
      <w:kern w:val="44"/>
      <w:sz w:val="32"/>
      <w:szCs w:val="28"/>
    </w:rPr>
  </w:style>
  <w:style w:type="paragraph" w:customStyle="1" w:styleId="62">
    <w:name w:val="需求样式"/>
    <w:basedOn w:val="3"/>
    <w:link w:val="61"/>
    <w:qFormat/>
    <w:uiPriority w:val="0"/>
    <w:pPr>
      <w:spacing w:before="120" w:after="120"/>
      <w:ind w:left="425" w:hanging="425"/>
    </w:pPr>
    <w:rPr>
      <w:b w:val="0"/>
      <w:szCs w:val="28"/>
    </w:rPr>
  </w:style>
  <w:style w:type="character" w:customStyle="1" w:styleId="63">
    <w:name w:val="case31"/>
    <w:qFormat/>
    <w:uiPriority w:val="0"/>
    <w:rPr>
      <w:rFonts w:hint="default"/>
      <w:spacing w:val="390"/>
      <w:sz w:val="21"/>
      <w:szCs w:val="21"/>
    </w:rPr>
  </w:style>
  <w:style w:type="character" w:customStyle="1" w:styleId="64">
    <w:name w:val="font81"/>
    <w:qFormat/>
    <w:uiPriority w:val="0"/>
    <w:rPr>
      <w:rFonts w:hint="default" w:ascii="Calibri" w:hAnsi="Calibri" w:cs="Calibri"/>
      <w:color w:val="000000"/>
      <w:sz w:val="20"/>
      <w:szCs w:val="20"/>
      <w:u w:val="none"/>
    </w:rPr>
  </w:style>
  <w:style w:type="character" w:customStyle="1" w:styleId="65">
    <w:name w:val="标题 1 字符"/>
    <w:qFormat/>
    <w:uiPriority w:val="9"/>
    <w:rPr>
      <w:rFonts w:ascii="Times New Roman" w:hAnsi="Times New Roman" w:eastAsia="宋体" w:cs="Times New Roman"/>
      <w:bCs/>
      <w:kern w:val="44"/>
      <w:sz w:val="32"/>
      <w:szCs w:val="44"/>
    </w:rPr>
  </w:style>
  <w:style w:type="character" w:customStyle="1" w:styleId="66">
    <w:name w:val="font21"/>
    <w:qFormat/>
    <w:uiPriority w:val="0"/>
    <w:rPr>
      <w:rFonts w:hint="eastAsia" w:ascii="宋体" w:hAnsi="宋体" w:eastAsia="宋体" w:cs="宋体"/>
      <w:color w:val="000000"/>
      <w:sz w:val="24"/>
      <w:szCs w:val="24"/>
      <w:u w:val="none"/>
    </w:rPr>
  </w:style>
  <w:style w:type="character" w:customStyle="1" w:styleId="67">
    <w:name w:val="普通文字 Char Char2"/>
    <w:qFormat/>
    <w:uiPriority w:val="0"/>
    <w:rPr>
      <w:rFonts w:ascii="宋体" w:hAnsi="Courier New" w:cs="Courier New"/>
      <w:kern w:val="2"/>
      <w:sz w:val="21"/>
      <w:szCs w:val="21"/>
    </w:rPr>
  </w:style>
  <w:style w:type="character" w:customStyle="1" w:styleId="68">
    <w:name w:val="2册标题2 Char"/>
    <w:link w:val="69"/>
    <w:qFormat/>
    <w:uiPriority w:val="0"/>
    <w:rPr>
      <w:rFonts w:ascii="Arial" w:hAnsi="Arial" w:eastAsia="黑体"/>
      <w:kern w:val="2"/>
      <w:sz w:val="30"/>
    </w:rPr>
  </w:style>
  <w:style w:type="paragraph" w:customStyle="1" w:styleId="69">
    <w:name w:val="2册标题2"/>
    <w:basedOn w:val="1"/>
    <w:next w:val="1"/>
    <w:link w:val="68"/>
    <w:qFormat/>
    <w:uiPriority w:val="0"/>
    <w:pPr>
      <w:spacing w:beforeLines="50" w:afterLines="50" w:line="300" w:lineRule="auto"/>
      <w:outlineLvl w:val="1"/>
    </w:pPr>
    <w:rPr>
      <w:rFonts w:ascii="Arial" w:hAnsi="Arial" w:eastAsia="黑体"/>
      <w:sz w:val="30"/>
      <w:szCs w:val="20"/>
    </w:rPr>
  </w:style>
  <w:style w:type="character" w:customStyle="1" w:styleId="70">
    <w:name w:val="font51"/>
    <w:qFormat/>
    <w:uiPriority w:val="0"/>
    <w:rPr>
      <w:rFonts w:hint="eastAsia" w:ascii="宋体" w:hAnsi="宋体" w:eastAsia="宋体" w:cs="宋体"/>
      <w:color w:val="000000"/>
      <w:sz w:val="20"/>
      <w:szCs w:val="20"/>
      <w:u w:val="none"/>
    </w:rPr>
  </w:style>
  <w:style w:type="character" w:customStyle="1" w:styleId="71">
    <w:name w:val="批注主题 Char1"/>
    <w:qFormat/>
    <w:uiPriority w:val="0"/>
    <w:rPr>
      <w:rFonts w:ascii="Calibri" w:hAnsi="Calibri"/>
      <w:b/>
      <w:bCs/>
      <w:kern w:val="2"/>
      <w:sz w:val="21"/>
      <w:szCs w:val="22"/>
    </w:rPr>
  </w:style>
  <w:style w:type="character" w:customStyle="1" w:styleId="72">
    <w:name w:val="正文缩进 字符"/>
    <w:qFormat/>
    <w:uiPriority w:val="0"/>
    <w:rPr>
      <w:rFonts w:ascii="Calibri" w:hAnsi="Calibri"/>
    </w:rPr>
  </w:style>
  <w:style w:type="paragraph" w:styleId="73">
    <w:name w:val="List Paragraph"/>
    <w:basedOn w:val="1"/>
    <w:qFormat/>
    <w:uiPriority w:val="1"/>
    <w:pPr>
      <w:ind w:firstLine="420" w:firstLineChars="200"/>
    </w:pPr>
  </w:style>
  <w:style w:type="paragraph" w:customStyle="1" w:styleId="74">
    <w:name w:val="Normal_16"/>
    <w:qFormat/>
    <w:uiPriority w:val="0"/>
    <w:rPr>
      <w:rFonts w:ascii="黑体" w:hAnsi="黑体" w:eastAsia="黑体" w:cs="Times New Roman"/>
      <w:b/>
      <w:sz w:val="32"/>
      <w:szCs w:val="24"/>
      <w:lang w:val="en-US" w:eastAsia="zh-CN" w:bidi="ar-SA"/>
    </w:rPr>
  </w:style>
  <w:style w:type="paragraph" w:customStyle="1" w:styleId="75">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TOC 标题1"/>
    <w:basedOn w:val="3"/>
    <w:next w:val="1"/>
    <w:qFormat/>
    <w:uiPriority w:val="39"/>
    <w:pPr>
      <w:widowControl/>
      <w:spacing w:before="480" w:line="276" w:lineRule="auto"/>
      <w:jc w:val="left"/>
      <w:outlineLvl w:val="9"/>
    </w:pPr>
    <w:rPr>
      <w:color w:val="365F91"/>
      <w:kern w:val="0"/>
      <w:sz w:val="28"/>
    </w:rPr>
  </w:style>
  <w:style w:type="paragraph" w:customStyle="1" w:styleId="77">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8">
    <w:name w:val="È±Ê¡ÎÄ±¾"/>
    <w:basedOn w:val="1"/>
    <w:qFormat/>
    <w:uiPriority w:val="0"/>
    <w:pPr>
      <w:widowControl/>
      <w:overflowPunct w:val="0"/>
      <w:autoSpaceDE w:val="0"/>
      <w:autoSpaceDN w:val="0"/>
      <w:adjustRightInd w:val="0"/>
      <w:jc w:val="left"/>
    </w:pPr>
    <w:rPr>
      <w:kern w:val="0"/>
      <w:sz w:val="24"/>
    </w:rPr>
  </w:style>
  <w:style w:type="paragraph" w:customStyle="1" w:styleId="7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8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83">
    <w:name w:val="正文1"/>
    <w:qFormat/>
    <w:uiPriority w:val="0"/>
    <w:rPr>
      <w:rFonts w:ascii="Times New Roman" w:hAnsi="Times New Roman" w:eastAsia="Times New Roman" w:cs="Times New Roman"/>
      <w:sz w:val="24"/>
      <w:szCs w:val="24"/>
      <w:lang w:val="en-US" w:eastAsia="zh-CN" w:bidi="ar-SA"/>
    </w:rPr>
  </w:style>
  <w:style w:type="paragraph" w:customStyle="1" w:styleId="84">
    <w:name w:val="默认段落字体 Para Char"/>
    <w:basedOn w:val="1"/>
    <w:qFormat/>
    <w:uiPriority w:val="0"/>
    <w:pPr>
      <w:adjustRightInd w:val="0"/>
      <w:spacing w:line="360" w:lineRule="auto"/>
    </w:pPr>
    <w:rPr>
      <w:rFonts w:eastAsia="微软雅黑"/>
      <w:szCs w:val="24"/>
    </w:rPr>
  </w:style>
  <w:style w:type="paragraph" w:customStyle="1" w:styleId="85">
    <w:name w:val="SF正文"/>
    <w:basedOn w:val="1"/>
    <w:qFormat/>
    <w:uiPriority w:val="0"/>
    <w:pPr>
      <w:spacing w:line="460" w:lineRule="exact"/>
      <w:ind w:firstLine="200" w:firstLineChars="200"/>
    </w:pPr>
    <w:rPr>
      <w:rFonts w:ascii="Century Gothic" w:hAnsi="Century Gothic"/>
      <w:sz w:val="24"/>
      <w:szCs w:val="24"/>
    </w:rPr>
  </w:style>
  <w:style w:type="paragraph" w:customStyle="1" w:styleId="86">
    <w:name w:val="Normal_5"/>
    <w:qFormat/>
    <w:uiPriority w:val="0"/>
    <w:rPr>
      <w:rFonts w:ascii="黑体" w:hAnsi="黑体" w:eastAsia="黑体" w:cs="Times New Roman"/>
      <w:b/>
      <w:sz w:val="32"/>
      <w:szCs w:val="24"/>
      <w:lang w:val="en-US" w:eastAsia="zh-CN" w:bidi="ar-SA"/>
    </w:rPr>
  </w:style>
  <w:style w:type="paragraph" w:customStyle="1" w:styleId="8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0">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标题 3_0"/>
    <w:basedOn w:val="77"/>
    <w:next w:val="77"/>
    <w:qFormat/>
    <w:uiPriority w:val="0"/>
    <w:pPr>
      <w:adjustRightInd w:val="0"/>
      <w:snapToGrid w:val="0"/>
      <w:spacing w:line="500" w:lineRule="exact"/>
      <w:jc w:val="center"/>
      <w:outlineLvl w:val="2"/>
    </w:pPr>
    <w:rPr>
      <w:rFonts w:ascii="宋体" w:hAnsi="宋体"/>
      <w:b/>
      <w:sz w:val="32"/>
      <w:szCs w:val="32"/>
    </w:rPr>
  </w:style>
  <w:style w:type="paragraph" w:customStyle="1" w:styleId="92">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4">
    <w:name w:val="列出段落1"/>
    <w:basedOn w:val="1"/>
    <w:qFormat/>
    <w:uiPriority w:val="34"/>
    <w:pPr>
      <w:ind w:firstLine="420" w:firstLineChars="200"/>
    </w:pPr>
  </w:style>
  <w:style w:type="paragraph" w:customStyle="1" w:styleId="9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6">
    <w:name w:val="正文文本_1"/>
    <w:basedOn w:val="97"/>
    <w:qFormat/>
    <w:uiPriority w:val="0"/>
    <w:pPr>
      <w:spacing w:after="120"/>
    </w:pPr>
    <w:rPr>
      <w:kern w:val="0"/>
      <w:sz w:val="20"/>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99">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100">
    <w:name w:val="正文文本缩进_1"/>
    <w:basedOn w:val="90"/>
    <w:qFormat/>
    <w:uiPriority w:val="0"/>
    <w:pPr>
      <w:spacing w:line="500" w:lineRule="exact"/>
      <w:ind w:left="1588" w:leftChars="832" w:firstLine="433" w:firstLineChars="196"/>
    </w:pPr>
    <w:rPr>
      <w:kern w:val="0"/>
      <w:sz w:val="24"/>
    </w:rPr>
  </w:style>
  <w:style w:type="paragraph" w:customStyle="1" w:styleId="101">
    <w:name w:val="日期_0"/>
    <w:basedOn w:val="88"/>
    <w:next w:val="88"/>
    <w:qFormat/>
    <w:uiPriority w:val="0"/>
    <w:pPr>
      <w:ind w:left="100" w:leftChars="2500"/>
    </w:pPr>
    <w:rPr>
      <w:kern w:val="0"/>
      <w:sz w:val="20"/>
    </w:rPr>
  </w:style>
  <w:style w:type="paragraph" w:customStyle="1" w:styleId="10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TOC 标题2"/>
    <w:basedOn w:val="3"/>
    <w:next w:val="1"/>
    <w:unhideWhenUsed/>
    <w:qFormat/>
    <w:uiPriority w:val="39"/>
    <w:pPr>
      <w:widowControl/>
      <w:spacing w:before="240" w:line="259" w:lineRule="auto"/>
      <w:jc w:val="left"/>
      <w:outlineLvl w:val="9"/>
    </w:pPr>
    <w:rPr>
      <w:b w:val="0"/>
      <w:bCs w:val="0"/>
      <w:color w:val="366091"/>
      <w:kern w:val="0"/>
      <w:szCs w:val="32"/>
    </w:rPr>
  </w:style>
  <w:style w:type="paragraph" w:customStyle="1" w:styleId="104">
    <w:name w:val="正文文本缩进_0_0"/>
    <w:basedOn w:val="79"/>
    <w:qFormat/>
    <w:uiPriority w:val="0"/>
    <w:pPr>
      <w:spacing w:line="500" w:lineRule="exact"/>
      <w:ind w:left="1588" w:leftChars="832" w:firstLine="433" w:firstLineChars="196"/>
    </w:pPr>
    <w:rPr>
      <w:kern w:val="0"/>
      <w:sz w:val="24"/>
    </w:rPr>
  </w:style>
  <w:style w:type="paragraph" w:customStyle="1" w:styleId="105">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06">
    <w:name w:val="Normal_11"/>
    <w:qFormat/>
    <w:uiPriority w:val="0"/>
    <w:rPr>
      <w:rFonts w:ascii="黑体" w:hAnsi="黑体" w:eastAsia="黑体" w:cs="Times New Roman"/>
      <w:b/>
      <w:sz w:val="32"/>
      <w:szCs w:val="24"/>
      <w:lang w:val="en-US" w:eastAsia="zh-CN" w:bidi="ar-SA"/>
    </w:rPr>
  </w:style>
  <w:style w:type="paragraph" w:customStyle="1" w:styleId="107">
    <w:name w:val="标题 2_0"/>
    <w:basedOn w:val="77"/>
    <w:next w:val="77"/>
    <w:qFormat/>
    <w:uiPriority w:val="0"/>
    <w:pPr>
      <w:keepNext/>
      <w:keepLines/>
      <w:spacing w:before="260" w:after="260" w:line="416" w:lineRule="auto"/>
      <w:jc w:val="center"/>
      <w:outlineLvl w:val="1"/>
    </w:pPr>
    <w:rPr>
      <w:rFonts w:ascii="Calibri Light" w:hAnsi="Calibri Light"/>
      <w:b/>
      <w:bCs/>
      <w:sz w:val="32"/>
      <w:szCs w:val="32"/>
    </w:rPr>
  </w:style>
  <w:style w:type="paragraph" w:customStyle="1" w:styleId="108">
    <w:name w:val="Normal_3"/>
    <w:qFormat/>
    <w:uiPriority w:val="0"/>
    <w:rPr>
      <w:rFonts w:ascii="黑体" w:hAnsi="黑体" w:eastAsia="黑体" w:cs="Times New Roman"/>
      <w:b/>
      <w:sz w:val="32"/>
      <w:szCs w:val="24"/>
      <w:lang w:val="en-US" w:eastAsia="zh-CN" w:bidi="ar-SA"/>
    </w:rPr>
  </w:style>
  <w:style w:type="paragraph" w:customStyle="1" w:styleId="109">
    <w:name w:val="Normal_13"/>
    <w:qFormat/>
    <w:uiPriority w:val="0"/>
    <w:rPr>
      <w:rFonts w:ascii="黑体" w:hAnsi="黑体" w:eastAsia="黑体" w:cs="Times New Roman"/>
      <w:b/>
      <w:sz w:val="32"/>
      <w:szCs w:val="24"/>
      <w:lang w:val="en-US" w:eastAsia="zh-CN" w:bidi="ar-SA"/>
    </w:rPr>
  </w:style>
  <w:style w:type="paragraph" w:customStyle="1" w:styleId="110">
    <w:name w:val="标题 3_0_0"/>
    <w:basedOn w:val="92"/>
    <w:next w:val="92"/>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111">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标题 2_0_0"/>
    <w:basedOn w:val="110"/>
    <w:next w:val="89"/>
    <w:qFormat/>
    <w:uiPriority w:val="0"/>
    <w:pPr>
      <w:outlineLvl w:val="1"/>
    </w:pPr>
    <w:rPr>
      <w:rFonts w:ascii="Calibri" w:hAnsi="Calibri"/>
    </w:rPr>
  </w:style>
  <w:style w:type="paragraph" w:customStyle="1" w:styleId="113">
    <w:name w:val="BodyText1I2"/>
    <w:basedOn w:val="114"/>
    <w:qFormat/>
    <w:uiPriority w:val="0"/>
    <w:pPr>
      <w:spacing w:after="0"/>
      <w:ind w:left="0" w:leftChars="0" w:firstLine="200" w:firstLineChars="200"/>
    </w:pPr>
    <w:rPr>
      <w:sz w:val="28"/>
    </w:rPr>
  </w:style>
  <w:style w:type="paragraph" w:customStyle="1" w:styleId="114">
    <w:name w:val="BodyTextIndent"/>
    <w:basedOn w:val="1"/>
    <w:qFormat/>
    <w:uiPriority w:val="0"/>
    <w:pPr>
      <w:spacing w:after="120"/>
      <w:ind w:left="420" w:leftChars="200"/>
      <w:textAlignment w:val="baseline"/>
    </w:pPr>
  </w:style>
  <w:style w:type="paragraph" w:customStyle="1" w:styleId="1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19048</Words>
  <Characters>20237</Characters>
  <Lines>156</Lines>
  <Paragraphs>44</Paragraphs>
  <TotalTime>68</TotalTime>
  <ScaleCrop>false</ScaleCrop>
  <LinksUpToDate>false</LinksUpToDate>
  <CharactersWithSpaces>21846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2019-07-12T08:56:00Z</dcterms:created>
  <dc:creator>微软用户</dc:creator>
  <cp:lastModifiedBy>任泽</cp:lastModifiedBy>
  <cp:lastPrinted>2021-01-04T03:56:00Z</cp:lastPrinted>
  <dcterms:modified xsi:type="dcterms:W3CDTF">2022-11-02T14:32:31Z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B960CB72E2874AB5B94E489D4BE427BB</vt:lpwstr>
  </property>
</Properties>
</file>