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cs="宋体"/>
          <w:szCs w:val="21"/>
        </w:rPr>
      </w:pPr>
    </w:p>
    <w:p>
      <w:pPr>
        <w:spacing w:line="360" w:lineRule="auto"/>
        <w:jc w:val="center"/>
        <w:rPr>
          <w:rFonts w:hint="eastAsia" w:ascii="宋体" w:eastAsia="宋体" w:cs="宋体"/>
          <w:b/>
          <w:bCs/>
          <w:sz w:val="36"/>
          <w:szCs w:val="36"/>
        </w:rPr>
      </w:pPr>
    </w:p>
    <w:p>
      <w:pPr>
        <w:spacing w:line="360" w:lineRule="auto"/>
        <w:jc w:val="center"/>
        <w:rPr>
          <w:rFonts w:hint="eastAsia" w:ascii="宋体" w:cs="宋体"/>
          <w:b/>
          <w:bCs/>
          <w:sz w:val="36"/>
          <w:szCs w:val="36"/>
          <w:lang w:val="en-US" w:eastAsia="zh-CN"/>
        </w:rPr>
      </w:pPr>
      <w:r>
        <w:rPr>
          <w:rFonts w:hint="eastAsia" w:ascii="宋体" w:eastAsia="宋体" w:cs="宋体"/>
          <w:b/>
          <w:bCs/>
          <w:sz w:val="32"/>
          <w:szCs w:val="32"/>
        </w:rPr>
        <w:t>自治区动物卫生监督所实验室中心机房弱电设备升级</w:t>
      </w:r>
      <w:r>
        <w:rPr>
          <w:rFonts w:hint="eastAsia" w:ascii="宋体" w:cs="宋体"/>
          <w:b/>
          <w:bCs/>
          <w:sz w:val="32"/>
          <w:szCs w:val="32"/>
          <w:lang w:eastAsia="zh-CN"/>
        </w:rPr>
        <w:t>（</w:t>
      </w:r>
      <w:r>
        <w:rPr>
          <w:rFonts w:hint="eastAsia" w:ascii="宋体" w:cs="宋体"/>
          <w:b/>
          <w:bCs/>
          <w:sz w:val="32"/>
          <w:szCs w:val="32"/>
          <w:lang w:val="en-US" w:eastAsia="zh-CN"/>
        </w:rPr>
        <w:t>二次）</w:t>
      </w:r>
      <w:r>
        <w:rPr>
          <w:rFonts w:hint="eastAsia" w:ascii="宋体" w:eastAsia="宋体" w:cs="宋体"/>
          <w:b/>
          <w:bCs/>
          <w:sz w:val="36"/>
          <w:szCs w:val="36"/>
        </w:rPr>
        <w:t>XJHZ（GK）2022</w:t>
      </w:r>
      <w:r>
        <w:rPr>
          <w:rFonts w:hint="eastAsia" w:ascii="宋体" w:eastAsia="宋体" w:cs="宋体"/>
          <w:b/>
          <w:bCs/>
          <w:sz w:val="36"/>
          <w:szCs w:val="36"/>
          <w:lang w:val="en-US" w:eastAsia="zh-CN"/>
        </w:rPr>
        <w:t>-</w:t>
      </w:r>
      <w:r>
        <w:rPr>
          <w:rFonts w:hint="eastAsia" w:ascii="宋体" w:eastAsia="宋体" w:cs="宋体"/>
          <w:b/>
          <w:bCs/>
          <w:sz w:val="36"/>
          <w:szCs w:val="36"/>
        </w:rPr>
        <w:t>1</w:t>
      </w:r>
      <w:r>
        <w:rPr>
          <w:rFonts w:hint="eastAsia" w:ascii="宋体" w:cs="宋体"/>
          <w:b/>
          <w:bCs/>
          <w:sz w:val="36"/>
          <w:szCs w:val="36"/>
          <w:lang w:val="en-US" w:eastAsia="zh-CN"/>
        </w:rPr>
        <w:t>45</w:t>
      </w:r>
    </w:p>
    <w:p>
      <w:pPr>
        <w:spacing w:line="360" w:lineRule="auto"/>
        <w:jc w:val="center"/>
        <w:rPr>
          <w:rFonts w:ascii="宋体" w:cs="宋体"/>
          <w:b/>
          <w:bCs/>
          <w:sz w:val="84"/>
          <w:szCs w:val="84"/>
        </w:rPr>
      </w:pPr>
      <w:r>
        <w:rPr>
          <w:rFonts w:hint="eastAsia" w:ascii="宋体" w:cs="宋体"/>
          <w:b/>
          <w:bCs/>
          <w:sz w:val="84"/>
          <w:szCs w:val="84"/>
        </w:rPr>
        <w:t>招</w:t>
      </w:r>
    </w:p>
    <w:p>
      <w:pPr>
        <w:spacing w:line="360" w:lineRule="auto"/>
        <w:jc w:val="center"/>
        <w:rPr>
          <w:rFonts w:ascii="宋体" w:cs="宋体"/>
          <w:b/>
          <w:bCs/>
          <w:sz w:val="84"/>
          <w:szCs w:val="84"/>
        </w:rPr>
      </w:pPr>
      <w:r>
        <w:rPr>
          <w:rFonts w:hint="eastAsia" w:ascii="宋体" w:cs="宋体"/>
          <w:b/>
          <w:bCs/>
          <w:sz w:val="84"/>
          <w:szCs w:val="84"/>
        </w:rPr>
        <w:t>标</w:t>
      </w:r>
    </w:p>
    <w:p>
      <w:pPr>
        <w:spacing w:line="360" w:lineRule="auto"/>
        <w:jc w:val="center"/>
        <w:rPr>
          <w:rFonts w:ascii="宋体" w:cs="宋体"/>
          <w:b/>
          <w:bCs/>
          <w:sz w:val="84"/>
          <w:szCs w:val="84"/>
        </w:rPr>
      </w:pPr>
      <w:r>
        <w:rPr>
          <w:rFonts w:hint="eastAsia" w:ascii="宋体" w:cs="宋体"/>
          <w:b/>
          <w:bCs/>
          <w:sz w:val="84"/>
          <w:szCs w:val="84"/>
        </w:rPr>
        <w:t>文</w:t>
      </w:r>
    </w:p>
    <w:p>
      <w:pPr>
        <w:spacing w:line="360" w:lineRule="auto"/>
        <w:jc w:val="center"/>
        <w:rPr>
          <w:rFonts w:ascii="宋体" w:cs="宋体"/>
          <w:b/>
          <w:bCs/>
          <w:sz w:val="84"/>
          <w:szCs w:val="84"/>
        </w:rPr>
      </w:pPr>
      <w:r>
        <w:rPr>
          <w:rFonts w:hint="eastAsia" w:ascii="宋体" w:cs="宋体"/>
          <w:b/>
          <w:bCs/>
          <w:sz w:val="84"/>
          <w:szCs w:val="84"/>
        </w:rPr>
        <w:t>件</w:t>
      </w:r>
    </w:p>
    <w:p>
      <w:pPr>
        <w:pStyle w:val="6"/>
      </w:pPr>
    </w:p>
    <w:p>
      <w:pPr>
        <w:spacing w:line="360" w:lineRule="auto"/>
        <w:jc w:val="left"/>
        <w:rPr>
          <w:rFonts w:ascii="宋体" w:cs="宋体"/>
          <w:b/>
          <w:bCs/>
          <w:sz w:val="24"/>
        </w:rPr>
      </w:pPr>
      <w:r>
        <w:rPr>
          <w:rFonts w:hint="eastAsia" w:ascii="宋体" w:cs="宋体"/>
          <w:b/>
          <w:bCs/>
          <w:sz w:val="24"/>
        </w:rPr>
        <w:t>采购单位：新疆维吾尔自治区动物卫生监督所</w:t>
      </w:r>
    </w:p>
    <w:p>
      <w:pPr>
        <w:spacing w:line="360" w:lineRule="auto"/>
        <w:jc w:val="left"/>
        <w:rPr>
          <w:rFonts w:ascii="宋体" w:cs="宋体"/>
          <w:b/>
          <w:bCs/>
          <w:sz w:val="24"/>
        </w:rPr>
      </w:pPr>
      <w:r>
        <w:rPr>
          <w:rFonts w:hint="eastAsia" w:ascii="宋体" w:cs="宋体"/>
          <w:b/>
          <w:bCs/>
          <w:sz w:val="24"/>
        </w:rPr>
        <w:t>地址：乌鲁木齐市高新技术开发区蓝天路268号</w:t>
      </w:r>
    </w:p>
    <w:p>
      <w:pPr>
        <w:spacing w:line="360" w:lineRule="auto"/>
        <w:jc w:val="left"/>
        <w:rPr>
          <w:rFonts w:hint="default" w:ascii="宋体" w:cs="宋体"/>
          <w:b/>
          <w:bCs/>
          <w:sz w:val="24"/>
          <w:lang w:val="en-US" w:eastAsia="zh-CN"/>
        </w:rPr>
      </w:pPr>
      <w:r>
        <w:rPr>
          <w:rFonts w:hint="eastAsia" w:ascii="宋体" w:cs="宋体"/>
          <w:b/>
          <w:bCs/>
          <w:sz w:val="24"/>
        </w:rPr>
        <w:t>项目负责人：巴特力·贾尼木汗</w:t>
      </w:r>
    </w:p>
    <w:p>
      <w:pPr>
        <w:spacing w:line="360" w:lineRule="auto"/>
        <w:jc w:val="left"/>
        <w:rPr>
          <w:rFonts w:hint="default" w:ascii="宋体" w:cs="宋体"/>
          <w:b/>
          <w:bCs/>
          <w:sz w:val="24"/>
          <w:lang w:val="en-US" w:eastAsia="zh-CN"/>
        </w:rPr>
      </w:pPr>
      <w:r>
        <w:rPr>
          <w:rFonts w:hint="eastAsia" w:ascii="宋体" w:cs="宋体"/>
          <w:b/>
          <w:bCs/>
          <w:sz w:val="24"/>
        </w:rPr>
        <w:t>联系方式：</w:t>
      </w:r>
      <w:r>
        <w:rPr>
          <w:rFonts w:hint="eastAsia" w:ascii="宋体" w:cs="宋体"/>
          <w:b/>
          <w:bCs/>
          <w:sz w:val="24"/>
          <w:lang w:val="en-US" w:eastAsia="zh-CN"/>
        </w:rPr>
        <w:t>13999166835</w:t>
      </w:r>
    </w:p>
    <w:p>
      <w:pPr>
        <w:spacing w:line="360" w:lineRule="auto"/>
        <w:rPr>
          <w:rFonts w:ascii="宋体" w:cs="宋体"/>
          <w:szCs w:val="21"/>
        </w:rPr>
      </w:pPr>
    </w:p>
    <w:p>
      <w:pPr>
        <w:spacing w:line="360" w:lineRule="auto"/>
        <w:jc w:val="left"/>
        <w:rPr>
          <w:rFonts w:ascii="宋体" w:cs="宋体"/>
          <w:b/>
          <w:bCs/>
          <w:sz w:val="24"/>
        </w:rPr>
      </w:pPr>
      <w:r>
        <w:rPr>
          <w:rFonts w:hint="eastAsia" w:ascii="宋体" w:cs="宋体"/>
          <w:b/>
          <w:bCs/>
          <w:sz w:val="24"/>
        </w:rPr>
        <w:t>招标代理机构名称：新疆世纪华中工程项目管理有限公司</w:t>
      </w:r>
    </w:p>
    <w:p>
      <w:pPr>
        <w:spacing w:line="360" w:lineRule="auto"/>
        <w:jc w:val="left"/>
        <w:rPr>
          <w:rFonts w:ascii="宋体" w:cs="宋体"/>
          <w:b/>
          <w:bCs/>
          <w:sz w:val="24"/>
        </w:rPr>
      </w:pPr>
      <w:r>
        <w:rPr>
          <w:rFonts w:hint="eastAsia" w:ascii="宋体" w:cs="宋体"/>
          <w:b/>
          <w:bCs/>
          <w:sz w:val="24"/>
        </w:rPr>
        <w:t>招标代理机构地址：乌鲁木齐市米东区中颐北路公务员小区F区F14号楼3层</w:t>
      </w:r>
    </w:p>
    <w:p>
      <w:pPr>
        <w:spacing w:line="360" w:lineRule="auto"/>
        <w:jc w:val="left"/>
        <w:rPr>
          <w:rFonts w:hint="default" w:ascii="宋体" w:eastAsia="宋体" w:cs="宋体"/>
          <w:b/>
          <w:bCs/>
          <w:sz w:val="24"/>
          <w:lang w:val="en-US" w:eastAsia="zh-CN"/>
        </w:rPr>
      </w:pPr>
      <w:r>
        <w:rPr>
          <w:rFonts w:hint="eastAsia" w:ascii="宋体" w:cs="宋体"/>
          <w:b/>
          <w:bCs/>
          <w:sz w:val="24"/>
        </w:rPr>
        <w:t>联系人：</w:t>
      </w:r>
      <w:r>
        <w:rPr>
          <w:rFonts w:hint="eastAsia" w:ascii="宋体" w:cs="宋体"/>
          <w:b/>
          <w:bCs/>
          <w:sz w:val="24"/>
          <w:lang w:val="en-US" w:eastAsia="zh-CN"/>
        </w:rPr>
        <w:t>李嘉龙</w:t>
      </w:r>
    </w:p>
    <w:p>
      <w:pPr>
        <w:spacing w:line="360" w:lineRule="auto"/>
        <w:jc w:val="left"/>
        <w:rPr>
          <w:rFonts w:ascii="宋体" w:cs="宋体"/>
          <w:b/>
          <w:bCs/>
          <w:sz w:val="24"/>
        </w:rPr>
      </w:pPr>
      <w:r>
        <w:rPr>
          <w:rFonts w:hint="eastAsia" w:ascii="宋体" w:cs="宋体"/>
          <w:b/>
          <w:bCs/>
          <w:sz w:val="24"/>
        </w:rPr>
        <w:t>联系电话：0991-3382836</w:t>
      </w:r>
    </w:p>
    <w:p>
      <w:pPr>
        <w:spacing w:line="360" w:lineRule="auto"/>
        <w:jc w:val="center"/>
        <w:rPr>
          <w:rFonts w:hint="eastAsia" w:ascii="宋体" w:cs="宋体"/>
          <w:b/>
          <w:bCs/>
          <w:sz w:val="24"/>
        </w:rPr>
      </w:pPr>
      <w:r>
        <w:rPr>
          <w:rFonts w:hint="eastAsia" w:ascii="宋体" w:cs="宋体"/>
          <w:b/>
          <w:bCs/>
          <w:sz w:val="24"/>
        </w:rPr>
        <w:t>日期：2022年</w:t>
      </w:r>
      <w:r>
        <w:rPr>
          <w:rFonts w:hint="eastAsia" w:ascii="宋体" w:cs="宋体"/>
          <w:b/>
          <w:bCs/>
          <w:sz w:val="24"/>
          <w:lang w:val="en-US" w:eastAsia="zh-CN"/>
        </w:rPr>
        <w:t>10</w:t>
      </w:r>
      <w:r>
        <w:rPr>
          <w:rFonts w:hint="eastAsia" w:ascii="宋体" w:cs="宋体"/>
          <w:b/>
          <w:bCs/>
          <w:sz w:val="24"/>
        </w:rPr>
        <w:t>月</w:t>
      </w:r>
    </w:p>
    <w:p>
      <w:pPr>
        <w:pStyle w:val="2"/>
      </w:pPr>
    </w:p>
    <w:p>
      <w:pPr>
        <w:spacing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招标公告</w:t>
      </w:r>
    </w:p>
    <w:tbl>
      <w:tblPr>
        <w:tblStyle w:val="23"/>
        <w:tblW w:w="8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22" w:hRule="atLeast"/>
        </w:trPr>
        <w:tc>
          <w:tcPr>
            <w:tcW w:w="8485" w:type="dxa"/>
            <w:tcBorders>
              <w:top w:val="single" w:color="auto" w:sz="4" w:space="0"/>
              <w:left w:val="single" w:color="auto" w:sz="4" w:space="0"/>
              <w:bottom w:val="single" w:color="auto" w:sz="4" w:space="0"/>
              <w:right w:val="single" w:color="auto" w:sz="4" w:space="0"/>
            </w:tcBorders>
            <w:vAlign w:val="center"/>
          </w:tcPr>
          <w:p>
            <w:pPr>
              <w:pStyle w:val="11"/>
              <w:spacing w:line="360" w:lineRule="auto"/>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项目概况</w:t>
            </w:r>
          </w:p>
          <w:p>
            <w:pPr>
              <w:pStyle w:val="11"/>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szCs w:val="21"/>
              </w:rPr>
              <w:t>自治区动物卫生监督所实验室中心机房弱电设备升级</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lang w:val="en-US" w:eastAsia="zh-CN"/>
              </w:rPr>
              <w:t>二次）</w:t>
            </w:r>
            <w:r>
              <w:rPr>
                <w:rFonts w:hint="eastAsia" w:asciiTheme="minorEastAsia" w:hAnsiTheme="minorEastAsia" w:eastAsiaTheme="minorEastAsia" w:cstheme="minorEastAsia"/>
                <w:kern w:val="0"/>
                <w:szCs w:val="21"/>
              </w:rPr>
              <w:t>的潜在投标人应在乌鲁木齐市米东区中颐北路乾和家园F区F14号楼1-3单元303室获取招标文件，并于2022年</w:t>
            </w:r>
            <w:r>
              <w:rPr>
                <w:rFonts w:hint="eastAsia" w:asciiTheme="minorEastAsia" w:hAnsiTheme="minorEastAsia" w:eastAsiaTheme="minorEastAsia" w:cstheme="minorEastAsia"/>
                <w:kern w:val="0"/>
                <w:szCs w:val="21"/>
                <w:lang w:val="en-US" w:eastAsia="zh-CN"/>
              </w:rPr>
              <w:t>11月15</w:t>
            </w:r>
            <w:r>
              <w:rPr>
                <w:rFonts w:hint="eastAsia" w:asciiTheme="minorEastAsia" w:hAnsiTheme="minorEastAsia" w:eastAsiaTheme="minorEastAsia" w:cstheme="minorEastAsia"/>
                <w:kern w:val="0"/>
                <w:szCs w:val="21"/>
              </w:rPr>
              <w:t>日11：00（北京时间）前递交投标文件。</w:t>
            </w:r>
          </w:p>
        </w:tc>
      </w:tr>
    </w:tbl>
    <w:p>
      <w:pPr>
        <w:rPr>
          <w:rFonts w:asciiTheme="minorEastAsia" w:hAnsiTheme="minorEastAsia" w:eastAsiaTheme="minorEastAsia" w:cstheme="minorEastAsia"/>
          <w:b/>
          <w:bCs/>
        </w:rPr>
      </w:pP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一、项目基本情况</w:t>
      </w:r>
      <w:r>
        <w:rPr>
          <w:rFonts w:hint="eastAsia" w:asciiTheme="minorEastAsia" w:hAnsiTheme="minorEastAsia" w:eastAsiaTheme="minorEastAsia" w:cstheme="minorEastAsia"/>
          <w:szCs w:val="21"/>
        </w:rPr>
        <w:t>：</w:t>
      </w:r>
    </w:p>
    <w:p>
      <w:pPr>
        <w:spacing w:line="360" w:lineRule="auto"/>
        <w:ind w:left="420" w:leftChars="200" w:firstLine="0" w:firstLineChars="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项目编号：XJHZ（GK）2022</w:t>
      </w: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45</w:t>
      </w:r>
    </w:p>
    <w:p>
      <w:pPr>
        <w:spacing w:line="360" w:lineRule="auto"/>
        <w:ind w:left="420" w:leftChars="200"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项目名称：自治区动物卫生监督所实验室中心机房弱电设备升级</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二次</w:t>
      </w:r>
      <w:r>
        <w:rPr>
          <w:rFonts w:hint="eastAsia" w:asciiTheme="minorEastAsia" w:hAnsiTheme="minorEastAsia" w:eastAsiaTheme="minorEastAsia" w:cstheme="minorEastAsia"/>
          <w:szCs w:val="21"/>
          <w:lang w:eastAsia="zh-CN"/>
        </w:rPr>
        <w:t>）</w:t>
      </w:r>
    </w:p>
    <w:p>
      <w:pPr>
        <w:spacing w:line="360" w:lineRule="auto"/>
        <w:ind w:left="420" w:leftChars="200"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采购方式：公开招标</w:t>
      </w:r>
    </w:p>
    <w:p>
      <w:pPr>
        <w:spacing w:line="360" w:lineRule="auto"/>
        <w:ind w:left="420" w:leftChars="200"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预算金额：</w:t>
      </w:r>
      <w:r>
        <w:rPr>
          <w:rFonts w:hint="eastAsia" w:asciiTheme="minorEastAsia" w:hAnsiTheme="minorEastAsia" w:eastAsiaTheme="minorEastAsia" w:cstheme="minorEastAsia"/>
          <w:szCs w:val="21"/>
          <w:lang w:val="en-US" w:eastAsia="zh-CN"/>
        </w:rPr>
        <w:t>50万元</w:t>
      </w:r>
    </w:p>
    <w:p>
      <w:pPr>
        <w:spacing w:line="360" w:lineRule="auto"/>
        <w:ind w:left="420" w:leftChars="200"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最高限价：</w:t>
      </w:r>
      <w:r>
        <w:rPr>
          <w:rFonts w:hint="eastAsia" w:asciiTheme="minorEastAsia" w:hAnsiTheme="minorEastAsia" w:eastAsiaTheme="minorEastAsia" w:cstheme="minorEastAsia"/>
          <w:szCs w:val="21"/>
          <w:lang w:val="en-US" w:eastAsia="zh-CN"/>
        </w:rPr>
        <w:t>50万元</w:t>
      </w:r>
    </w:p>
    <w:p>
      <w:pPr>
        <w:spacing w:line="360" w:lineRule="auto"/>
        <w:ind w:left="420" w:leftChars="200"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采购需求：自治区动物卫生监督所实验室中心机房弱电设备升级（具体详见招标文件）</w:t>
      </w:r>
    </w:p>
    <w:p>
      <w:pPr>
        <w:spacing w:line="360" w:lineRule="auto"/>
        <w:ind w:left="420" w:leftChars="200"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合同履约期限：详见招标文件</w:t>
      </w:r>
    </w:p>
    <w:p>
      <w:pPr>
        <w:spacing w:line="360" w:lineRule="auto"/>
        <w:ind w:firstLine="422" w:firstLineChars="200"/>
        <w:rPr>
          <w:rStyle w:val="25"/>
          <w:rFonts w:ascii="宋体" w:hAnsi="Times New Roman" w:cs="宋体"/>
          <w:b w:val="0"/>
          <w:bCs/>
          <w:color w:val="333333"/>
          <w:szCs w:val="21"/>
          <w:shd w:val="clear" w:color="auto" w:fill="FFFFFF"/>
        </w:rPr>
      </w:pPr>
      <w:r>
        <w:rPr>
          <w:rStyle w:val="25"/>
          <w:rFonts w:hint="eastAsia" w:ascii="宋体" w:hAnsi="Times New Roman" w:cs="宋体"/>
          <w:b/>
          <w:bCs w:val="0"/>
          <w:color w:val="000000" w:themeColor="text1"/>
          <w:szCs w:val="21"/>
          <w:shd w:val="clear" w:color="auto" w:fill="FFFFFF"/>
          <w14:textFill>
            <w14:solidFill>
              <w14:schemeClr w14:val="tx1"/>
            </w14:solidFill>
          </w14:textFill>
        </w:rPr>
        <w:t>本项目</w:t>
      </w:r>
      <w:r>
        <w:rPr>
          <w:rStyle w:val="25"/>
          <w:rFonts w:hint="eastAsia" w:ascii="宋体" w:hAnsi="Times New Roman" w:cs="宋体"/>
          <w:b/>
          <w:bCs w:val="0"/>
          <w:color w:val="FF0000"/>
          <w:szCs w:val="21"/>
          <w:shd w:val="clear" w:color="auto" w:fill="FFFFFF"/>
          <w:lang w:val="en-US" w:eastAsia="zh-CN"/>
        </w:rPr>
        <w:t>不</w:t>
      </w:r>
      <w:r>
        <w:rPr>
          <w:rStyle w:val="25"/>
          <w:rFonts w:hint="eastAsia" w:ascii="宋体" w:hAnsi="Times New Roman" w:cs="宋体"/>
          <w:b/>
          <w:bCs w:val="0"/>
          <w:color w:val="000000" w:themeColor="text1"/>
          <w:szCs w:val="21"/>
          <w:shd w:val="clear" w:color="auto" w:fill="FFFFFF"/>
          <w14:textFill>
            <w14:solidFill>
              <w14:schemeClr w14:val="tx1"/>
            </w14:solidFill>
          </w14:textFill>
        </w:rPr>
        <w:t>接受联合体投标</w:t>
      </w:r>
      <w:r>
        <w:rPr>
          <w:rStyle w:val="25"/>
          <w:rFonts w:hint="eastAsia" w:ascii="宋体" w:hAnsi="Times New Roman" w:cs="宋体"/>
          <w:b w:val="0"/>
          <w:bCs/>
          <w:color w:val="333333"/>
          <w:szCs w:val="21"/>
          <w:shd w:val="clear" w:color="auto" w:fill="FFFFFF"/>
        </w:rPr>
        <w:t>。</w:t>
      </w:r>
    </w:p>
    <w:p>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二、投标人的资格要求：</w:t>
      </w:r>
    </w:p>
    <w:p>
      <w:pPr>
        <w:pStyle w:val="21"/>
        <w:spacing w:before="0" w:beforeAutospacing="0" w:after="0" w:afterAutospacing="0" w:line="500" w:lineRule="exact"/>
        <w:ind w:firstLine="422" w:firstLineChars="2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b/>
          <w:bCs/>
          <w:kern w:val="2"/>
          <w:sz w:val="21"/>
          <w:szCs w:val="21"/>
        </w:rPr>
        <w:t>1. 满足《中华人民共和国政府采购法》第二十二条规定</w:t>
      </w:r>
      <w:r>
        <w:rPr>
          <w:rFonts w:hint="eastAsia" w:asciiTheme="minorEastAsia" w:hAnsiTheme="minorEastAsia" w:eastAsiaTheme="minorEastAsia" w:cstheme="minorEastAsia"/>
          <w:kern w:val="2"/>
          <w:sz w:val="21"/>
          <w:szCs w:val="21"/>
        </w:rPr>
        <w:t>；</w:t>
      </w:r>
    </w:p>
    <w:p>
      <w:pPr>
        <w:pStyle w:val="21"/>
        <w:spacing w:before="0" w:beforeAutospacing="0" w:after="0" w:afterAutospacing="0" w:line="500" w:lineRule="exact"/>
        <w:ind w:firstLine="630" w:firstLineChars="3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①具有独立承担民事责任的能力；</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color w:val="92D050"/>
          <w:kern w:val="2"/>
          <w:sz w:val="21"/>
          <w:szCs w:val="21"/>
        </w:rPr>
      </w:pPr>
      <w:r>
        <w:rPr>
          <w:rFonts w:hint="eastAsia"/>
          <w:color w:val="000000"/>
          <w:sz w:val="21"/>
          <w:szCs w:val="21"/>
        </w:rPr>
        <w:t>②具有良好</w:t>
      </w:r>
      <w:r>
        <w:rPr>
          <w:rFonts w:hint="eastAsia" w:asciiTheme="minorEastAsia" w:hAnsiTheme="minorEastAsia" w:eastAsiaTheme="minorEastAsia" w:cstheme="minorEastAsia"/>
          <w:kern w:val="2"/>
          <w:sz w:val="21"/>
          <w:szCs w:val="21"/>
        </w:rPr>
        <w:t>的商业信誉和健全的</w:t>
      </w:r>
      <w:r>
        <w:rPr>
          <w:rFonts w:hint="eastAsia" w:asciiTheme="minorEastAsia" w:hAnsiTheme="minorEastAsia" w:eastAsiaTheme="minorEastAsia" w:cstheme="minorEastAsia"/>
          <w:kern w:val="2"/>
          <w:sz w:val="21"/>
          <w:szCs w:val="21"/>
        </w:rPr>
        <w:fldChar w:fldCharType="begin"/>
      </w:r>
      <w:r>
        <w:rPr>
          <w:rFonts w:hint="eastAsia" w:asciiTheme="minorEastAsia" w:hAnsiTheme="minorEastAsia" w:eastAsiaTheme="minorEastAsia" w:cstheme="minorEastAsia"/>
          <w:kern w:val="2"/>
          <w:sz w:val="21"/>
          <w:szCs w:val="21"/>
        </w:rPr>
        <w:instrText xml:space="preserve"> HYPERLINK "http://www.so.com/s?q=%E8%B4%A2%E5%8A%A1%E4%BC%9A%E8%AE%A1%E5%88%B6%E5%BA%A6&amp;ie=utf-8&amp;src=internal_wenda_recommend_textn" \t "https://wenda.so.com/q/_blank" </w:instrText>
      </w:r>
      <w:r>
        <w:rPr>
          <w:rFonts w:hint="eastAsia" w:asciiTheme="minorEastAsia" w:hAnsiTheme="minorEastAsia" w:eastAsiaTheme="minorEastAsia" w:cstheme="minorEastAsia"/>
          <w:kern w:val="2"/>
          <w:sz w:val="21"/>
          <w:szCs w:val="21"/>
        </w:rPr>
        <w:fldChar w:fldCharType="separate"/>
      </w:r>
      <w:r>
        <w:rPr>
          <w:rFonts w:hint="eastAsia" w:asciiTheme="minorEastAsia" w:hAnsiTheme="minorEastAsia" w:eastAsiaTheme="minorEastAsia" w:cstheme="minorEastAsia"/>
          <w:kern w:val="2"/>
          <w:sz w:val="21"/>
          <w:szCs w:val="21"/>
        </w:rPr>
        <w:t>财务会计制度</w:t>
      </w:r>
      <w:r>
        <w:rPr>
          <w:rFonts w:hint="eastAsia" w:asciiTheme="minorEastAsia" w:hAnsiTheme="minorEastAsia" w:eastAsiaTheme="minorEastAsia" w:cstheme="minorEastAsia"/>
          <w:kern w:val="2"/>
          <w:sz w:val="21"/>
          <w:szCs w:val="21"/>
        </w:rPr>
        <w:fldChar w:fldCharType="end"/>
      </w:r>
    </w:p>
    <w:p>
      <w:pPr>
        <w:pStyle w:val="21"/>
        <w:spacing w:before="0" w:beforeAutospacing="0" w:after="0" w:afterAutospacing="0" w:line="500" w:lineRule="exact"/>
        <w:ind w:firstLine="630" w:firstLineChars="3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③具有履行合同所必需的设备和专业技术能力；</w:t>
      </w:r>
    </w:p>
    <w:p>
      <w:pPr>
        <w:pStyle w:val="21"/>
        <w:spacing w:before="0" w:beforeAutospacing="0" w:after="0" w:afterAutospacing="0" w:line="500" w:lineRule="exact"/>
        <w:ind w:firstLine="630" w:firstLineChars="300"/>
        <w:rPr>
          <w:color w:val="000000"/>
          <w:sz w:val="21"/>
          <w:szCs w:val="21"/>
        </w:rPr>
      </w:pPr>
      <w:r>
        <w:rPr>
          <w:rFonts w:hint="eastAsia"/>
          <w:color w:val="000000"/>
          <w:sz w:val="21"/>
          <w:szCs w:val="21"/>
        </w:rPr>
        <w:t>④有依法缴纳税收和</w:t>
      </w:r>
      <w:r>
        <w:fldChar w:fldCharType="begin"/>
      </w:r>
      <w:r>
        <w:instrText xml:space="preserve"> HYPERLINK "http://www.so.com/s?q=%E7%A4%BE%E4%BC%9A%E4%BF%9D%E9%9A%9C%E8%B5%84%E9%87%91&amp;ie=utf-8&amp;src=internal_wenda_recommend_textn" \t "https://wenda.so.com/q/_blank" </w:instrText>
      </w:r>
      <w:r>
        <w:fldChar w:fldCharType="separate"/>
      </w:r>
      <w:r>
        <w:rPr>
          <w:rFonts w:hint="eastAsia"/>
          <w:color w:val="000000"/>
          <w:sz w:val="21"/>
          <w:szCs w:val="21"/>
        </w:rPr>
        <w:t>社会保障资金</w:t>
      </w:r>
      <w:r>
        <w:rPr>
          <w:rFonts w:hint="eastAsia"/>
          <w:color w:val="000000"/>
          <w:sz w:val="21"/>
          <w:szCs w:val="21"/>
        </w:rPr>
        <w:fldChar w:fldCharType="end"/>
      </w:r>
      <w:r>
        <w:rPr>
          <w:rFonts w:hint="eastAsia"/>
          <w:color w:val="000000"/>
          <w:sz w:val="21"/>
          <w:szCs w:val="21"/>
        </w:rPr>
        <w:t>的良好记录(提供近半年任意连续二个月依法缴纳税收和社会保障资金的相关材料,如依法免税或不需要缴纳社会保障资金的,应提供相应证明文件)；</w:t>
      </w:r>
    </w:p>
    <w:p>
      <w:pPr>
        <w:pStyle w:val="21"/>
        <w:spacing w:before="0" w:beforeAutospacing="0" w:after="0" w:afterAutospacing="0" w:line="500" w:lineRule="exact"/>
        <w:ind w:firstLine="630" w:firstLineChars="300"/>
        <w:rPr>
          <w:color w:val="000000"/>
          <w:sz w:val="21"/>
          <w:szCs w:val="21"/>
        </w:rPr>
      </w:pPr>
      <w:r>
        <w:rPr>
          <w:rFonts w:hint="eastAsia"/>
          <w:color w:val="000000"/>
          <w:sz w:val="21"/>
          <w:szCs w:val="21"/>
        </w:rPr>
        <w:t>⑤参加政府采购活动前三年内，在经营活动中没有重大违法记录(提供书面声明原件)；</w:t>
      </w:r>
    </w:p>
    <w:p>
      <w:pPr>
        <w:pStyle w:val="21"/>
        <w:spacing w:before="0" w:beforeAutospacing="0" w:after="0" w:afterAutospacing="0" w:line="500" w:lineRule="exact"/>
        <w:ind w:firstLine="630" w:firstLineChars="3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⑥法律、行政法规规定的其他条件。</w:t>
      </w:r>
    </w:p>
    <w:p>
      <w:pPr>
        <w:pStyle w:val="21"/>
        <w:spacing w:before="0" w:beforeAutospacing="0" w:after="0" w:afterAutospacing="0" w:line="500" w:lineRule="exact"/>
        <w:ind w:firstLine="422" w:firstLineChars="200"/>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2、落实政府采购政策需满足的资格要求：</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color w:val="0000FF"/>
          <w:kern w:val="2"/>
          <w:sz w:val="21"/>
          <w:szCs w:val="21"/>
        </w:rPr>
      </w:pPr>
      <w:r>
        <w:rPr>
          <w:rFonts w:hint="eastAsia" w:ascii="仿宋" w:hAnsi="仿宋" w:eastAsia="仿宋" w:cs="仿宋"/>
          <w:color w:val="0000FF"/>
          <w:kern w:val="2"/>
          <w:sz w:val="21"/>
          <w:szCs w:val="21"/>
        </w:rPr>
        <w:t>①</w:t>
      </w:r>
      <w:r>
        <w:rPr>
          <w:rFonts w:hint="eastAsia" w:asciiTheme="minorEastAsia" w:hAnsiTheme="minorEastAsia" w:eastAsiaTheme="minorEastAsia" w:cstheme="minorEastAsia"/>
          <w:color w:val="0000FF"/>
          <w:kern w:val="2"/>
          <w:sz w:val="21"/>
          <w:szCs w:val="21"/>
        </w:rPr>
        <w:t>本项目</w:t>
      </w:r>
      <w:r>
        <w:rPr>
          <w:rFonts w:hint="eastAsia" w:asciiTheme="minorEastAsia" w:hAnsiTheme="minorEastAsia" w:eastAsiaTheme="minorEastAsia" w:cstheme="minorEastAsia"/>
          <w:color w:val="0000FF"/>
          <w:kern w:val="2"/>
          <w:sz w:val="21"/>
          <w:szCs w:val="21"/>
          <w:lang w:eastAsia="zh-CN"/>
        </w:rPr>
        <w:t>是</w:t>
      </w:r>
      <w:r>
        <w:rPr>
          <w:rFonts w:hint="eastAsia" w:asciiTheme="minorEastAsia" w:hAnsiTheme="minorEastAsia" w:eastAsiaTheme="minorEastAsia" w:cstheme="minorEastAsia"/>
          <w:color w:val="0000FF"/>
          <w:kern w:val="2"/>
          <w:sz w:val="21"/>
          <w:szCs w:val="21"/>
        </w:rPr>
        <w:t>面向中小企业采购的项目。</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②单位负责人为同一人或者存在直接控股、管理关系的不同投标人，不得参加本项目同一合同项下的政府采购活动；</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③为本采购项目提供整体设计、规范编制或者项目管理、监理、检测等服务的，不得再参加本项目的其他招标采购活动；</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④未被列入失信被执行人、重大税收违法案件当事人名单，未被列入政府采购严重违法失信行为记录名单。</w:t>
      </w:r>
    </w:p>
    <w:p>
      <w:pPr>
        <w:pStyle w:val="21"/>
        <w:spacing w:before="0" w:beforeAutospacing="0" w:after="0" w:afterAutospacing="0" w:line="500" w:lineRule="exact"/>
        <w:ind w:firstLine="422" w:firstLineChars="200"/>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3.本项目的特定资格要求：</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color w:val="0000FF"/>
          <w:kern w:val="2"/>
          <w:sz w:val="21"/>
          <w:szCs w:val="21"/>
          <w:lang w:val="en-US" w:eastAsia="zh-CN"/>
        </w:rPr>
      </w:pPr>
      <w:r>
        <w:rPr>
          <w:rFonts w:hint="eastAsia" w:asciiTheme="minorEastAsia" w:hAnsiTheme="minorEastAsia" w:eastAsiaTheme="minorEastAsia" w:cstheme="minorEastAsia"/>
          <w:color w:val="0000FF"/>
          <w:kern w:val="2"/>
          <w:sz w:val="21"/>
          <w:szCs w:val="21"/>
          <w:lang w:val="en-US" w:eastAsia="zh-CN"/>
        </w:rPr>
        <w:t>无</w:t>
      </w:r>
    </w:p>
    <w:p>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三、获取采购文件:</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时间：2022年</w:t>
      </w: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25</w:t>
      </w:r>
      <w:r>
        <w:rPr>
          <w:rFonts w:hint="eastAsia" w:asciiTheme="minorEastAsia" w:hAnsiTheme="minorEastAsia" w:eastAsiaTheme="minorEastAsia" w:cstheme="minorEastAsia"/>
          <w:szCs w:val="21"/>
        </w:rPr>
        <w:t>日至2022年</w:t>
      </w:r>
      <w:r>
        <w:rPr>
          <w:rFonts w:hint="eastAsia" w:asciiTheme="minorEastAsia" w:hAnsiTheme="minorEastAsia" w:eastAsiaTheme="minorEastAsia" w:cstheme="minorEastAsia"/>
          <w:szCs w:val="21"/>
          <w:lang w:val="en-US" w:eastAsia="zh-CN"/>
        </w:rPr>
        <w:t>11</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日（北京时间，法定节假日除外）</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每天上午10:00-13:30，下午15:30-18:00，</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地点：乌鲁木齐市米东区中颐北路乾和家园F区F14号楼1-3单元303室</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方式：线下获取</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售价：￥300.00元</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四、提交投标文件截止时间、开标时间和地点:</w:t>
      </w:r>
      <w:r>
        <w:rPr>
          <w:rFonts w:hint="eastAsia" w:asciiTheme="minorEastAsia" w:hAnsiTheme="minorEastAsia" w:eastAsiaTheme="minorEastAsia" w:cstheme="minorEastAsia"/>
          <w:szCs w:val="21"/>
        </w:rPr>
        <w:t>（北京时间，如有调整、另行通知）</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提交投标文件截止时间：2022年</w:t>
      </w:r>
      <w:r>
        <w:rPr>
          <w:rFonts w:hint="eastAsia" w:asciiTheme="minorEastAsia" w:hAnsiTheme="minorEastAsia" w:eastAsiaTheme="minorEastAsia" w:cstheme="minorEastAsia"/>
          <w:szCs w:val="21"/>
          <w:lang w:val="en-US" w:eastAsia="zh-CN"/>
        </w:rPr>
        <w:t xml:space="preserve"> 11</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15</w:t>
      </w:r>
      <w:r>
        <w:rPr>
          <w:rFonts w:hint="eastAsia" w:asciiTheme="minorEastAsia" w:hAnsiTheme="minorEastAsia" w:eastAsiaTheme="minorEastAsia" w:cstheme="minorEastAsia"/>
          <w:szCs w:val="21"/>
        </w:rPr>
        <w:t>日 11:00</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投标地点：乌鲁木齐市米东区中颐北路乾和家园F区F14号楼1-3单元303室</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开标时间：2022年</w:t>
      </w:r>
      <w:r>
        <w:rPr>
          <w:rFonts w:hint="eastAsia" w:asciiTheme="minorEastAsia" w:hAnsiTheme="minorEastAsia" w:eastAsiaTheme="minorEastAsia" w:cstheme="minorEastAsia"/>
          <w:szCs w:val="21"/>
          <w:lang w:val="en-US" w:eastAsia="zh-CN"/>
        </w:rPr>
        <w:t>11</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15</w:t>
      </w:r>
      <w:r>
        <w:rPr>
          <w:rFonts w:hint="eastAsia" w:asciiTheme="minorEastAsia" w:hAnsiTheme="minorEastAsia" w:eastAsiaTheme="minorEastAsia" w:cstheme="minorEastAsia"/>
          <w:szCs w:val="21"/>
        </w:rPr>
        <w:t>日 11:00</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开标地点：乌鲁木齐市米东区中颐北路乾和家园F区F14号楼1-3单元303室</w:t>
      </w:r>
    </w:p>
    <w:p>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五、公告期限:</w:t>
      </w:r>
    </w:p>
    <w:p>
      <w:pPr>
        <w:pStyle w:val="21"/>
        <w:spacing w:before="0" w:beforeAutospacing="0" w:after="0" w:afterAutospacing="0" w:line="500" w:lineRule="exact"/>
        <w:ind w:firstLine="420" w:firstLineChars="2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自本公告发布之</w:t>
      </w:r>
      <w:r>
        <w:rPr>
          <w:rFonts w:hint="eastAsia" w:asciiTheme="minorEastAsia" w:hAnsiTheme="minorEastAsia" w:eastAsiaTheme="minorEastAsia" w:cstheme="minorEastAsia"/>
          <w:kern w:val="2"/>
          <w:sz w:val="21"/>
          <w:szCs w:val="21"/>
        </w:rPr>
        <w:t>日起5个工作日。</w:t>
      </w:r>
    </w:p>
    <w:p>
      <w:pPr>
        <w:pStyle w:val="21"/>
        <w:spacing w:before="0" w:beforeAutospacing="0" w:after="0" w:afterAutospacing="0" w:line="500" w:lineRule="exact"/>
        <w:jc w:val="both"/>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六、其他补充事宜 </w:t>
      </w:r>
    </w:p>
    <w:p>
      <w:pPr>
        <w:spacing w:line="50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特别提示：</w:t>
      </w:r>
    </w:p>
    <w:p>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line="50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报名携带资料：</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1.“招标公告”</w:t>
      </w:r>
      <w:r>
        <w:rPr>
          <w:rFonts w:hint="eastAsia" w:asciiTheme="minorEastAsia" w:hAnsiTheme="minorEastAsia" w:eastAsiaTheme="minorEastAsia" w:cstheme="minorEastAsia"/>
          <w:szCs w:val="21"/>
          <w:lang w:val="en-US" w:eastAsia="zh-CN"/>
        </w:rPr>
        <w:t>所须</w:t>
      </w:r>
      <w:r>
        <w:rPr>
          <w:rFonts w:hint="eastAsia" w:asciiTheme="minorEastAsia" w:hAnsiTheme="minorEastAsia" w:eastAsiaTheme="minorEastAsia" w:cstheme="minorEastAsia"/>
          <w:szCs w:val="21"/>
        </w:rPr>
        <w:t>资料</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2.有效的营业执照、税务登记证、组织机构代码证（或“</w:t>
      </w:r>
      <w:r>
        <w:rPr>
          <w:rFonts w:hint="eastAsia" w:asciiTheme="minorEastAsia" w:hAnsiTheme="minorEastAsia" w:eastAsiaTheme="minorEastAsia" w:cstheme="minorEastAsia"/>
          <w:szCs w:val="21"/>
          <w:lang w:val="en-US" w:eastAsia="zh-CN"/>
        </w:rPr>
        <w:t>多</w:t>
      </w:r>
      <w:r>
        <w:rPr>
          <w:rFonts w:hint="eastAsia" w:asciiTheme="minorEastAsia" w:hAnsiTheme="minorEastAsia" w:eastAsiaTheme="minorEastAsia" w:cstheme="minorEastAsia"/>
          <w:szCs w:val="21"/>
        </w:rPr>
        <w:t>证合一”的营业执照或当地公证处出具的上述证书的公证书）。</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3.法定代表人身份证明书及法定代表人身份证或授权委托书及委托代理人身份证。</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4.信用记录</w:t>
      </w:r>
      <w:r>
        <w:rPr>
          <w:rFonts w:hint="eastAsia" w:asciiTheme="minorEastAsia" w:hAnsiTheme="minorEastAsia" w:eastAsiaTheme="minorEastAsia" w:cstheme="minorEastAsia"/>
          <w:szCs w:val="21"/>
          <w:lang w:val="en-US" w:eastAsia="zh-CN"/>
        </w:rPr>
        <w:t>资料</w:t>
      </w:r>
      <w:r>
        <w:rPr>
          <w:rFonts w:hint="eastAsia" w:asciiTheme="minorEastAsia" w:hAnsiTheme="minorEastAsia" w:eastAsiaTheme="minorEastAsia" w:cstheme="minorEastAsia"/>
          <w:szCs w:val="21"/>
        </w:rPr>
        <w:t>：</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①“信用中国”（www.creditchina.gov.cn）未被列入重大税收违法案件当事人名单；</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②“中国执行信息公开网”（http://zxgk.court.gov.cn/）未被列入失信被执行人；</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③“中国政府采购网”（www.ccgp.gov.cn）网站上未被列入政府采购严重违法失信行为记录名单；</w:t>
      </w:r>
    </w:p>
    <w:p>
      <w:pPr>
        <w:spacing w:line="500" w:lineRule="exact"/>
        <w:ind w:firstLine="420" w:firstLineChars="200"/>
      </w:pPr>
      <w:r>
        <w:rPr>
          <w:rFonts w:hint="eastAsia" w:asciiTheme="minorEastAsia" w:hAnsiTheme="minorEastAsia" w:eastAsiaTheme="minorEastAsia" w:cstheme="minorEastAsia"/>
          <w:szCs w:val="21"/>
        </w:rPr>
        <w:t>④中国裁判文书网（http://wenshu.court.gov.cn/）查询近三年无因投标申请人违约或不恰当履约引起的合同终止、纠纷、争议、仲裁和公诉纪录和无行贿犯罪记录证明。（提供加盖公章的网页打印件，网页打印件打印日期须在本项目报名期内）；</w:t>
      </w:r>
    </w:p>
    <w:p>
      <w:pPr>
        <w:spacing w:line="500" w:lineRule="exact"/>
        <w:ind w:firstLine="420" w:firstLineChars="200"/>
        <w:rPr>
          <w:rFonts w:hint="eastAsia" w:asciiTheme="minorEastAsia" w:hAnsiTheme="minorEastAsia" w:eastAsiaTheme="minorEastAsia" w:cstheme="minorEastAsia"/>
          <w:b/>
          <w:bCs/>
          <w:color w:val="auto"/>
          <w:szCs w:val="21"/>
          <w:lang w:val="en-US" w:eastAsia="zh-CN"/>
        </w:rPr>
      </w:pPr>
      <w:r>
        <w:rPr>
          <w:rFonts w:hint="eastAsia" w:asciiTheme="minorEastAsia" w:hAnsiTheme="minorEastAsia" w:eastAsiaTheme="minorEastAsia" w:cstheme="minorEastAsia"/>
          <w:color w:val="auto"/>
          <w:szCs w:val="21"/>
          <w:lang w:val="en-US" w:eastAsia="zh-CN"/>
        </w:rPr>
        <w:t>5..以上资料须提交相应证明资料及复印件（加盖公章），在报名时需验原件后留存复印件，请投标人准备好各项资料，报名时提交的资料查验不代表资格审查的最终通过或合格。</w:t>
      </w:r>
    </w:p>
    <w:p>
      <w:pPr>
        <w:spacing w:line="360" w:lineRule="auto"/>
        <w:rPr>
          <w:rFonts w:hint="eastAsia" w:asciiTheme="minorEastAsia" w:hAnsiTheme="minorEastAsia" w:eastAsiaTheme="minorEastAsia" w:cstheme="minorEastAsia"/>
          <w:b/>
          <w:bCs/>
          <w:szCs w:val="21"/>
        </w:rPr>
      </w:pP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七、对本次采购提出询问，请按以下方式联系</w:t>
      </w:r>
      <w:r>
        <w:rPr>
          <w:rFonts w:hint="eastAsia" w:asciiTheme="minorEastAsia" w:hAnsiTheme="minorEastAsia" w:eastAsiaTheme="minorEastAsia" w:cstheme="minorEastAsia"/>
          <w:szCs w:val="21"/>
        </w:rPr>
        <w:t>:</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采购人信息</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名称：新疆维吾尔自治区动物卫生监督所</w:t>
      </w:r>
    </w:p>
    <w:p>
      <w:pPr>
        <w:spacing w:line="360" w:lineRule="auto"/>
        <w:ind w:firstLine="840" w:firstLineChars="4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地址：乌鲁木齐市高新技术开发区蓝天路268号</w:t>
      </w:r>
    </w:p>
    <w:p>
      <w:pPr>
        <w:spacing w:line="360" w:lineRule="auto"/>
        <w:ind w:firstLine="840" w:firstLineChars="4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联系人：巴特力·贾尼木汗</w:t>
      </w:r>
    </w:p>
    <w:p>
      <w:pPr>
        <w:spacing w:line="360" w:lineRule="auto"/>
        <w:ind w:firstLine="840" w:firstLineChars="40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电话：</w:t>
      </w:r>
      <w:r>
        <w:rPr>
          <w:rFonts w:hint="eastAsia" w:asciiTheme="minorEastAsia" w:hAnsiTheme="minorEastAsia" w:eastAsiaTheme="minorEastAsia" w:cstheme="minorEastAsia"/>
          <w:szCs w:val="21"/>
          <w:lang w:val="en-US" w:eastAsia="zh-CN"/>
        </w:rPr>
        <w:t>13999166835</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采购代理机构信息</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名称：新疆世纪华中工程项目管理有限公司</w:t>
      </w:r>
    </w:p>
    <w:p>
      <w:pPr>
        <w:spacing w:line="360" w:lineRule="auto"/>
        <w:ind w:firstLine="840" w:firstLineChars="4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地址：乌鲁木齐市米东区中颐北路乾和家园F区F14号楼1-3单元303室</w:t>
      </w:r>
    </w:p>
    <w:p>
      <w:pPr>
        <w:spacing w:line="360" w:lineRule="auto"/>
        <w:ind w:firstLine="840" w:firstLineChars="400"/>
      </w:pPr>
      <w:r>
        <w:rPr>
          <w:rFonts w:hint="eastAsia" w:asciiTheme="minorEastAsia" w:hAnsiTheme="minorEastAsia" w:eastAsiaTheme="minorEastAsia" w:cstheme="minorEastAsia"/>
          <w:szCs w:val="21"/>
        </w:rPr>
        <w:t>电话：0991-3382836 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 项目联系方式</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r>
        <w:rPr>
          <w:rFonts w:hint="eastAsia" w:asciiTheme="minorEastAsia" w:hAnsiTheme="minorEastAsia" w:eastAsiaTheme="minorEastAsia" w:cstheme="minorEastAsia"/>
          <w:szCs w:val="21"/>
          <w:lang w:eastAsia="zh-CN"/>
        </w:rPr>
        <w:t>孙明新，马依琳</w:t>
      </w:r>
    </w:p>
    <w:p>
      <w:pPr>
        <w:spacing w:line="360" w:lineRule="auto"/>
        <w:ind w:firstLine="840" w:firstLineChars="400"/>
        <w:rPr>
          <w:rFonts w:hint="default" w:asciiTheme="minorEastAsia" w:hAnsiTheme="minorEastAsia" w:eastAsiaTheme="minorEastAsia" w:cstheme="minorEastAsia"/>
          <w:szCs w:val="21"/>
          <w:lang w:val="en-US" w:eastAsia="zh-CN"/>
        </w:rPr>
        <w:sectPr>
          <w:footerReference r:id="rId3" w:type="first"/>
          <w:pgSz w:w="11906" w:h="16838"/>
          <w:pgMar w:top="1701" w:right="1417" w:bottom="1701" w:left="1701" w:header="851" w:footer="992" w:gutter="0"/>
          <w:pgNumType w:fmt="numberInDash" w:start="1"/>
          <w:cols w:space="720" w:num="1"/>
          <w:docGrid w:type="lines" w:linePitch="312" w:charSpace="0"/>
        </w:sectPr>
      </w:pPr>
      <w:r>
        <w:rPr>
          <w:rFonts w:hint="eastAsia" w:asciiTheme="minorEastAsia" w:hAnsiTheme="minorEastAsia" w:eastAsiaTheme="minorEastAsia" w:cstheme="minorEastAsia"/>
          <w:szCs w:val="21"/>
        </w:rPr>
        <w:t>电话：</w:t>
      </w:r>
      <w:r>
        <w:rPr>
          <w:rFonts w:hint="eastAsia" w:asciiTheme="minorEastAsia" w:hAnsiTheme="minorEastAsia" w:eastAsiaTheme="minorEastAsia" w:cstheme="minorEastAsia"/>
          <w:szCs w:val="21"/>
          <w:lang w:val="en-US" w:eastAsia="zh-CN"/>
        </w:rPr>
        <w:t>17799111523,15700936708</w:t>
      </w:r>
    </w:p>
    <w:p/>
    <w:p>
      <w:pPr>
        <w:jc w:val="center"/>
        <w:rPr>
          <w:sz w:val="28"/>
          <w:szCs w:val="28"/>
        </w:rPr>
      </w:pPr>
      <w:r>
        <w:rPr>
          <w:rFonts w:ascii="宋体"/>
          <w:sz w:val="28"/>
          <w:szCs w:val="28"/>
        </w:rPr>
        <w:t>目录</w:t>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TOC \o "1-3" \h \u </w:instrText>
      </w:r>
      <w:r>
        <w:rPr>
          <w:rFonts w:hint="eastAsia" w:ascii="宋体" w:cs="宋体"/>
          <w:szCs w:val="21"/>
        </w:rPr>
        <w:fldChar w:fldCharType="separate"/>
      </w:r>
      <w:r>
        <w:rPr>
          <w:rFonts w:hint="eastAsia" w:ascii="宋体" w:cs="宋体"/>
          <w:szCs w:val="21"/>
        </w:rPr>
        <w:fldChar w:fldCharType="begin"/>
      </w:r>
      <w:r>
        <w:rPr>
          <w:rFonts w:hint="eastAsia" w:ascii="宋体" w:cs="宋体"/>
          <w:szCs w:val="21"/>
        </w:rPr>
        <w:instrText xml:space="preserve"> HYPERLINK \l _Toc6779 </w:instrText>
      </w:r>
      <w:r>
        <w:rPr>
          <w:rFonts w:hint="eastAsia" w:ascii="宋体" w:cs="宋体"/>
          <w:szCs w:val="21"/>
        </w:rPr>
        <w:fldChar w:fldCharType="separate"/>
      </w:r>
      <w:r>
        <w:rPr>
          <w:rFonts w:hint="eastAsia" w:ascii="黑体" w:eastAsia="黑体" w:cs="黑体"/>
        </w:rPr>
        <w:t>第一章 投标人须知前附表</w:t>
      </w:r>
      <w:r>
        <w:tab/>
      </w:r>
      <w:r>
        <w:fldChar w:fldCharType="begin"/>
      </w:r>
      <w:r>
        <w:instrText xml:space="preserve"> PAGEREF _Toc6779 \h </w:instrText>
      </w:r>
      <w:r>
        <w:fldChar w:fldCharType="separate"/>
      </w:r>
      <w:r>
        <w:t>- 1 -</w:t>
      </w:r>
      <w:r>
        <w:fldChar w:fldCharType="end"/>
      </w:r>
      <w:r>
        <w:rPr>
          <w:rFonts w:hint="eastAsia" w:ascii="宋体" w:cs="宋体"/>
          <w:szCs w:val="21"/>
        </w:rPr>
        <w:fldChar w:fldCharType="end"/>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 HYPERLINK \l _Toc31926 </w:instrText>
      </w:r>
      <w:r>
        <w:rPr>
          <w:rFonts w:hint="eastAsia" w:ascii="宋体" w:cs="宋体"/>
          <w:szCs w:val="21"/>
        </w:rPr>
        <w:fldChar w:fldCharType="separate"/>
      </w:r>
      <w:r>
        <w:rPr>
          <w:rFonts w:hint="eastAsia" w:ascii="黑体" w:eastAsia="黑体" w:cs="黑体"/>
        </w:rPr>
        <w:t>第二章  投标须知</w:t>
      </w:r>
      <w:r>
        <w:tab/>
      </w:r>
      <w:r>
        <w:fldChar w:fldCharType="begin"/>
      </w:r>
      <w:r>
        <w:instrText xml:space="preserve"> PAGEREF _Toc31926 \h </w:instrText>
      </w:r>
      <w:r>
        <w:fldChar w:fldCharType="separate"/>
      </w:r>
      <w:r>
        <w:t>- 7 -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_Toc8879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一</w:t>
      </w:r>
      <w:r>
        <w:rPr>
          <w:rFonts w:ascii="Times New Roman" w:hAnsi="Times New Roman"/>
          <w:szCs w:val="24"/>
        </w:rPr>
        <w:t>节</w:t>
      </w:r>
      <w:r>
        <w:rPr>
          <w:rFonts w:hint="eastAsia" w:ascii="Times New Roman" w:hAnsi="Times New Roman"/>
          <w:szCs w:val="24"/>
        </w:rPr>
        <w:t xml:space="preserve"> 总则</w:t>
      </w:r>
      <w:r>
        <w:tab/>
      </w:r>
      <w:r>
        <w:fldChar w:fldCharType="begin"/>
      </w:r>
      <w:r>
        <w:instrText xml:space="preserve"> PAGEREF _Toc8879 \h </w:instrText>
      </w:r>
      <w:r>
        <w:fldChar w:fldCharType="separate"/>
      </w:r>
      <w:r>
        <w:t>- 7 -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_Toc15349 </w:instrText>
      </w:r>
      <w:r>
        <w:rPr>
          <w:rFonts w:hint="eastAsia" w:ascii="宋体" w:cs="宋体"/>
          <w:szCs w:val="21"/>
        </w:rPr>
        <w:fldChar w:fldCharType="separate"/>
      </w:r>
      <w:r>
        <w:rPr>
          <w:rFonts w:ascii="Times New Roman" w:hAnsi="Times New Roman"/>
          <w:szCs w:val="24"/>
        </w:rPr>
        <w:t>第二节</w:t>
      </w:r>
      <w:r>
        <w:rPr>
          <w:rFonts w:hint="eastAsia" w:ascii="Times New Roman" w:hAnsi="Times New Roman"/>
          <w:szCs w:val="24"/>
        </w:rPr>
        <w:t xml:space="preserve"> 招标文件</w:t>
      </w:r>
      <w:r>
        <w:tab/>
      </w:r>
      <w:r>
        <w:fldChar w:fldCharType="begin"/>
      </w:r>
      <w:r>
        <w:instrText xml:space="preserve"> PAGEREF _Toc15349 \h </w:instrText>
      </w:r>
      <w:r>
        <w:fldChar w:fldCharType="separate"/>
      </w:r>
      <w:r>
        <w:t>- 12 -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_Toc15107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三</w:t>
      </w:r>
      <w:r>
        <w:rPr>
          <w:rFonts w:ascii="Times New Roman" w:hAnsi="Times New Roman"/>
          <w:szCs w:val="24"/>
        </w:rPr>
        <w:t>节</w:t>
      </w:r>
      <w:r>
        <w:rPr>
          <w:rFonts w:hint="eastAsia" w:ascii="Times New Roman" w:hAnsi="Times New Roman"/>
          <w:szCs w:val="24"/>
        </w:rPr>
        <w:t xml:space="preserve"> 投标文件</w:t>
      </w:r>
      <w:r>
        <w:tab/>
      </w:r>
      <w:r>
        <w:fldChar w:fldCharType="begin"/>
      </w:r>
      <w:r>
        <w:instrText xml:space="preserve"> PAGEREF _Toc15107 \h </w:instrText>
      </w:r>
      <w:r>
        <w:fldChar w:fldCharType="separate"/>
      </w:r>
      <w:r>
        <w:t>- 13 -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_Toc22507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四</w:t>
      </w:r>
      <w:r>
        <w:rPr>
          <w:rFonts w:ascii="Times New Roman" w:hAnsi="Times New Roman"/>
          <w:szCs w:val="24"/>
        </w:rPr>
        <w:t>节</w:t>
      </w:r>
      <w:r>
        <w:rPr>
          <w:rFonts w:hint="eastAsia" w:ascii="Times New Roman" w:hAnsi="Times New Roman"/>
          <w:szCs w:val="24"/>
        </w:rPr>
        <w:t xml:space="preserve"> 投标</w:t>
      </w:r>
      <w:r>
        <w:tab/>
      </w:r>
      <w:r>
        <w:fldChar w:fldCharType="begin"/>
      </w:r>
      <w:r>
        <w:instrText xml:space="preserve"> PAGEREF _Toc22507 \h </w:instrText>
      </w:r>
      <w:r>
        <w:fldChar w:fldCharType="separate"/>
      </w:r>
      <w:r>
        <w:t>- 19 -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_Toc746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五</w:t>
      </w:r>
      <w:r>
        <w:rPr>
          <w:rFonts w:ascii="Times New Roman" w:hAnsi="Times New Roman"/>
          <w:szCs w:val="24"/>
        </w:rPr>
        <w:t>节</w:t>
      </w:r>
      <w:r>
        <w:rPr>
          <w:rFonts w:hint="eastAsia" w:ascii="Times New Roman" w:hAnsi="Times New Roman"/>
          <w:szCs w:val="24"/>
        </w:rPr>
        <w:t xml:space="preserve"> 开标</w:t>
      </w:r>
      <w:r>
        <w:tab/>
      </w:r>
      <w:r>
        <w:fldChar w:fldCharType="begin"/>
      </w:r>
      <w:r>
        <w:instrText xml:space="preserve"> PAGEREF _Toc746 \h </w:instrText>
      </w:r>
      <w:r>
        <w:fldChar w:fldCharType="separate"/>
      </w:r>
      <w:r>
        <w:t>- 20 -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_Toc19704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六</w:t>
      </w:r>
      <w:r>
        <w:rPr>
          <w:rFonts w:ascii="Times New Roman" w:hAnsi="Times New Roman"/>
          <w:szCs w:val="24"/>
        </w:rPr>
        <w:t>节</w:t>
      </w:r>
      <w:r>
        <w:rPr>
          <w:rFonts w:hint="eastAsia" w:ascii="Times New Roman" w:hAnsi="Times New Roman"/>
          <w:szCs w:val="24"/>
        </w:rPr>
        <w:t xml:space="preserve"> 评标</w:t>
      </w:r>
      <w:r>
        <w:tab/>
      </w:r>
      <w:r>
        <w:fldChar w:fldCharType="begin"/>
      </w:r>
      <w:r>
        <w:instrText xml:space="preserve"> PAGEREF _Toc19704 \h </w:instrText>
      </w:r>
      <w:r>
        <w:fldChar w:fldCharType="separate"/>
      </w:r>
      <w:r>
        <w:t>- 22 -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_Toc23832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七</w:t>
      </w:r>
      <w:r>
        <w:rPr>
          <w:rFonts w:ascii="Times New Roman" w:hAnsi="Times New Roman"/>
          <w:szCs w:val="24"/>
        </w:rPr>
        <w:t>节</w:t>
      </w:r>
      <w:r>
        <w:rPr>
          <w:rFonts w:hint="eastAsia" w:ascii="Times New Roman" w:hAnsi="Times New Roman"/>
          <w:szCs w:val="24"/>
        </w:rPr>
        <w:t xml:space="preserve"> 合同授予</w:t>
      </w:r>
      <w:r>
        <w:tab/>
      </w:r>
      <w:r>
        <w:fldChar w:fldCharType="begin"/>
      </w:r>
      <w:r>
        <w:instrText xml:space="preserve"> PAGEREF _Toc23832 \h </w:instrText>
      </w:r>
      <w:r>
        <w:fldChar w:fldCharType="separate"/>
      </w:r>
      <w:r>
        <w:t>- 24 -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_Toc13199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八</w:t>
      </w:r>
      <w:r>
        <w:rPr>
          <w:rFonts w:ascii="Times New Roman" w:hAnsi="Times New Roman"/>
          <w:szCs w:val="24"/>
        </w:rPr>
        <w:t>节</w:t>
      </w:r>
      <w:r>
        <w:rPr>
          <w:rFonts w:hint="eastAsia" w:ascii="Times New Roman" w:hAnsi="Times New Roman"/>
          <w:szCs w:val="24"/>
        </w:rPr>
        <w:t xml:space="preserve"> 重新招标和不再招标</w:t>
      </w:r>
      <w:r>
        <w:tab/>
      </w:r>
      <w:r>
        <w:fldChar w:fldCharType="begin"/>
      </w:r>
      <w:r>
        <w:instrText xml:space="preserve"> PAGEREF _Toc13199 \h </w:instrText>
      </w:r>
      <w:r>
        <w:fldChar w:fldCharType="separate"/>
      </w:r>
      <w:r>
        <w:t>- 26 -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_Toc26262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九</w:t>
      </w:r>
      <w:r>
        <w:rPr>
          <w:rFonts w:ascii="Times New Roman" w:hAnsi="Times New Roman"/>
          <w:szCs w:val="24"/>
        </w:rPr>
        <w:t>节</w:t>
      </w:r>
      <w:r>
        <w:rPr>
          <w:rFonts w:hint="eastAsia" w:ascii="Times New Roman" w:hAnsi="Times New Roman"/>
          <w:szCs w:val="24"/>
        </w:rPr>
        <w:t xml:space="preserve"> 纪律和监督</w:t>
      </w:r>
      <w:r>
        <w:tab/>
      </w:r>
      <w:r>
        <w:fldChar w:fldCharType="begin"/>
      </w:r>
      <w:r>
        <w:instrText xml:space="preserve"> PAGEREF _Toc26262 \h </w:instrText>
      </w:r>
      <w:r>
        <w:fldChar w:fldCharType="separate"/>
      </w:r>
      <w:r>
        <w:t>- 27 -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_Toc2408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十</w:t>
      </w:r>
      <w:r>
        <w:rPr>
          <w:rFonts w:ascii="Times New Roman" w:hAnsi="Times New Roman"/>
          <w:szCs w:val="24"/>
        </w:rPr>
        <w:t>节</w:t>
      </w:r>
      <w:r>
        <w:rPr>
          <w:rFonts w:hint="eastAsia" w:ascii="Times New Roman" w:hAnsi="Times New Roman"/>
          <w:szCs w:val="24"/>
        </w:rPr>
        <w:t xml:space="preserve"> 需要补充的其他内容</w:t>
      </w:r>
      <w:r>
        <w:tab/>
      </w:r>
      <w:r>
        <w:fldChar w:fldCharType="begin"/>
      </w:r>
      <w:r>
        <w:instrText xml:space="preserve"> PAGEREF _Toc2408 \h </w:instrText>
      </w:r>
      <w:r>
        <w:fldChar w:fldCharType="separate"/>
      </w:r>
      <w:r>
        <w:t>- 29 -</w:t>
      </w:r>
      <w:r>
        <w:fldChar w:fldCharType="end"/>
      </w:r>
      <w:r>
        <w:rPr>
          <w:rFonts w:hint="eastAsia" w:ascii="宋体" w:cs="宋体"/>
          <w:szCs w:val="21"/>
        </w:rPr>
        <w:fldChar w:fldCharType="end"/>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 HYPERLINK \l _Toc4017 </w:instrText>
      </w:r>
      <w:r>
        <w:rPr>
          <w:rFonts w:hint="eastAsia" w:ascii="宋体" w:cs="宋体"/>
          <w:szCs w:val="21"/>
        </w:rPr>
        <w:fldChar w:fldCharType="separate"/>
      </w:r>
      <w:r>
        <w:rPr>
          <w:rFonts w:hint="eastAsia" w:ascii="黑体" w:eastAsia="黑体" w:cs="黑体"/>
        </w:rPr>
        <w:t>第三章  评标办法</w:t>
      </w:r>
      <w:r>
        <w:tab/>
      </w:r>
      <w:r>
        <w:fldChar w:fldCharType="begin"/>
      </w:r>
      <w:r>
        <w:instrText xml:space="preserve"> PAGEREF _Toc4017 \h </w:instrText>
      </w:r>
      <w:r>
        <w:fldChar w:fldCharType="separate"/>
      </w:r>
      <w:r>
        <w:t>- 30 -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_Toc2379 </w:instrText>
      </w:r>
      <w:r>
        <w:rPr>
          <w:rFonts w:hint="eastAsia" w:ascii="宋体" w:cs="宋体"/>
          <w:szCs w:val="21"/>
        </w:rPr>
        <w:fldChar w:fldCharType="separate"/>
      </w:r>
      <w:r>
        <w:rPr>
          <w:rFonts w:ascii="Times New Roman" w:hAnsi="Times New Roman"/>
          <w:szCs w:val="24"/>
        </w:rPr>
        <w:t>第一节</w:t>
      </w:r>
      <w:r>
        <w:rPr>
          <w:rFonts w:hint="eastAsia" w:ascii="Times New Roman" w:hAnsi="Times New Roman"/>
          <w:szCs w:val="24"/>
        </w:rPr>
        <w:t xml:space="preserve"> </w:t>
      </w:r>
      <w:r>
        <w:rPr>
          <w:rFonts w:cs="宋体"/>
          <w:bCs/>
          <w:szCs w:val="24"/>
        </w:rPr>
        <w:t>评标方法</w:t>
      </w:r>
      <w:r>
        <w:tab/>
      </w:r>
      <w:r>
        <w:fldChar w:fldCharType="begin"/>
      </w:r>
      <w:r>
        <w:instrText xml:space="preserve"> PAGEREF _Toc2379 \h </w:instrText>
      </w:r>
      <w:r>
        <w:fldChar w:fldCharType="separate"/>
      </w:r>
      <w:r>
        <w:t>- 30 -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_Toc11533 </w:instrText>
      </w:r>
      <w:r>
        <w:rPr>
          <w:rFonts w:hint="eastAsia" w:ascii="宋体" w:cs="宋体"/>
          <w:szCs w:val="21"/>
        </w:rPr>
        <w:fldChar w:fldCharType="separate"/>
      </w:r>
      <w:r>
        <w:rPr>
          <w:rFonts w:ascii="Times New Roman" w:hAnsi="Times New Roman"/>
          <w:szCs w:val="24"/>
        </w:rPr>
        <w:t>第二节</w:t>
      </w:r>
      <w:r>
        <w:rPr>
          <w:rFonts w:hint="eastAsia" w:ascii="Times New Roman" w:hAnsi="Times New Roman"/>
          <w:szCs w:val="24"/>
        </w:rPr>
        <w:t xml:space="preserve"> </w:t>
      </w:r>
      <w:r>
        <w:rPr>
          <w:rFonts w:cs="宋体"/>
          <w:bCs/>
          <w:szCs w:val="24"/>
        </w:rPr>
        <w:t>评标标准</w:t>
      </w:r>
      <w:r>
        <w:tab/>
      </w:r>
      <w:r>
        <w:fldChar w:fldCharType="begin"/>
      </w:r>
      <w:r>
        <w:instrText xml:space="preserve"> PAGEREF _Toc11533 \h </w:instrText>
      </w:r>
      <w:r>
        <w:fldChar w:fldCharType="separate"/>
      </w:r>
      <w:r>
        <w:t>- 30 -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_Toc11841 </w:instrText>
      </w:r>
      <w:r>
        <w:rPr>
          <w:rFonts w:hint="eastAsia" w:ascii="宋体" w:cs="宋体"/>
          <w:szCs w:val="21"/>
        </w:rPr>
        <w:fldChar w:fldCharType="separate"/>
      </w:r>
      <w:r>
        <w:rPr>
          <w:rFonts w:ascii="Times New Roman" w:hAnsi="Times New Roman"/>
          <w:szCs w:val="24"/>
        </w:rPr>
        <w:t>第三节</w:t>
      </w:r>
      <w:r>
        <w:rPr>
          <w:rFonts w:hint="eastAsia" w:ascii="Times New Roman" w:hAnsi="Times New Roman"/>
          <w:szCs w:val="24"/>
        </w:rPr>
        <w:t xml:space="preserve"> </w:t>
      </w:r>
      <w:r>
        <w:rPr>
          <w:rFonts w:cs="宋体"/>
          <w:bCs/>
          <w:szCs w:val="24"/>
        </w:rPr>
        <w:t>评标程序</w:t>
      </w:r>
      <w:r>
        <w:tab/>
      </w:r>
      <w:r>
        <w:fldChar w:fldCharType="begin"/>
      </w:r>
      <w:r>
        <w:instrText xml:space="preserve"> PAGEREF _Toc11841 \h </w:instrText>
      </w:r>
      <w:r>
        <w:fldChar w:fldCharType="separate"/>
      </w:r>
      <w:r>
        <w:t>- 30 -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_Toc19110 </w:instrText>
      </w:r>
      <w:r>
        <w:rPr>
          <w:rFonts w:hint="eastAsia" w:ascii="宋体" w:cs="宋体"/>
          <w:szCs w:val="21"/>
        </w:rPr>
        <w:fldChar w:fldCharType="separate"/>
      </w:r>
      <w:r>
        <w:rPr>
          <w:rFonts w:cs="宋体"/>
          <w:szCs w:val="24"/>
        </w:rPr>
        <w:t xml:space="preserve">第四节 </w:t>
      </w:r>
      <w:r>
        <w:rPr>
          <w:rFonts w:cs="宋体"/>
          <w:bCs/>
          <w:szCs w:val="24"/>
        </w:rPr>
        <w:t>评标准备</w:t>
      </w:r>
      <w:r>
        <w:tab/>
      </w:r>
      <w:r>
        <w:fldChar w:fldCharType="begin"/>
      </w:r>
      <w:r>
        <w:instrText xml:space="preserve"> PAGEREF _Toc19110 \h </w:instrText>
      </w:r>
      <w:r>
        <w:fldChar w:fldCharType="separate"/>
      </w:r>
      <w:r>
        <w:t>- 30 -</w:t>
      </w:r>
      <w:r>
        <w:fldChar w:fldCharType="end"/>
      </w:r>
      <w:r>
        <w:rPr>
          <w:rFonts w:hint="eastAsia" w:ascii="宋体" w:cs="宋体"/>
          <w:szCs w:val="21"/>
        </w:rPr>
        <w:fldChar w:fldCharType="end"/>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 HYPERLINK \l _Toc9511 </w:instrText>
      </w:r>
      <w:r>
        <w:rPr>
          <w:rFonts w:hint="eastAsia" w:ascii="宋体" w:cs="宋体"/>
          <w:szCs w:val="21"/>
        </w:rPr>
        <w:fldChar w:fldCharType="separate"/>
      </w:r>
      <w:r>
        <w:rPr>
          <w:rFonts w:hint="eastAsia" w:ascii="黑体" w:eastAsia="黑体" w:cs="黑体"/>
        </w:rPr>
        <w:t>第四章  合同条款及格式</w:t>
      </w:r>
      <w:r>
        <w:tab/>
      </w:r>
      <w:r>
        <w:fldChar w:fldCharType="begin"/>
      </w:r>
      <w:r>
        <w:instrText xml:space="preserve"> PAGEREF _Toc9511 \h </w:instrText>
      </w:r>
      <w:r>
        <w:fldChar w:fldCharType="separate"/>
      </w:r>
      <w:r>
        <w:t>- 40 -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_Toc6021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一</w:t>
      </w:r>
      <w:r>
        <w:rPr>
          <w:rFonts w:ascii="Times New Roman" w:hAnsi="Times New Roman"/>
          <w:szCs w:val="24"/>
        </w:rPr>
        <w:t>节</w:t>
      </w:r>
      <w:r>
        <w:rPr>
          <w:rFonts w:hint="eastAsia" w:ascii="Times New Roman" w:hAnsi="Times New Roman"/>
          <w:szCs w:val="24"/>
        </w:rPr>
        <w:t xml:space="preserve"> </w:t>
      </w:r>
      <w:r>
        <w:rPr>
          <w:rFonts w:hint="eastAsia" w:cs="宋体"/>
          <w:bCs/>
          <w:szCs w:val="24"/>
        </w:rPr>
        <w:t>通用合同条款</w:t>
      </w:r>
      <w:r>
        <w:tab/>
      </w:r>
      <w:r>
        <w:fldChar w:fldCharType="begin"/>
      </w:r>
      <w:r>
        <w:instrText xml:space="preserve"> PAGEREF _Toc6021 \h </w:instrText>
      </w:r>
      <w:r>
        <w:fldChar w:fldCharType="separate"/>
      </w:r>
      <w:r>
        <w:t>- 40 -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_Toc18422 </w:instrText>
      </w:r>
      <w:r>
        <w:rPr>
          <w:rFonts w:hint="eastAsia" w:ascii="宋体" w:cs="宋体"/>
          <w:szCs w:val="21"/>
        </w:rPr>
        <w:fldChar w:fldCharType="separate"/>
      </w:r>
      <w:r>
        <w:rPr>
          <w:rFonts w:ascii="Times New Roman" w:hAnsi="Times New Roman"/>
          <w:szCs w:val="24"/>
        </w:rPr>
        <w:t>第二节</w:t>
      </w:r>
      <w:r>
        <w:rPr>
          <w:rFonts w:hint="eastAsia" w:ascii="Times New Roman" w:hAnsi="Times New Roman"/>
          <w:szCs w:val="24"/>
        </w:rPr>
        <w:t xml:space="preserve"> </w:t>
      </w:r>
      <w:r>
        <w:rPr>
          <w:rFonts w:hint="eastAsia" w:cs="宋体"/>
          <w:bCs/>
          <w:szCs w:val="24"/>
        </w:rPr>
        <w:t>专用合同条款</w:t>
      </w:r>
      <w:r>
        <w:tab/>
      </w:r>
      <w:r>
        <w:fldChar w:fldCharType="begin"/>
      </w:r>
      <w:r>
        <w:instrText xml:space="preserve"> PAGEREF _Toc18422 \h </w:instrText>
      </w:r>
      <w:r>
        <w:fldChar w:fldCharType="separate"/>
      </w:r>
      <w:r>
        <w:t>- 46 -</w:t>
      </w:r>
      <w:r>
        <w:fldChar w:fldCharType="end"/>
      </w:r>
      <w:r>
        <w:rPr>
          <w:rFonts w:hint="eastAsia" w:ascii="宋体" w:cs="宋体"/>
          <w:szCs w:val="21"/>
        </w:rPr>
        <w:fldChar w:fldCharType="end"/>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 HYPERLINK \l _Toc14451 </w:instrText>
      </w:r>
      <w:r>
        <w:rPr>
          <w:rFonts w:hint="eastAsia" w:ascii="宋体" w:cs="宋体"/>
          <w:szCs w:val="21"/>
        </w:rPr>
        <w:fldChar w:fldCharType="separate"/>
      </w:r>
      <w:r>
        <w:rPr>
          <w:rFonts w:hint="eastAsia" w:ascii="黑体" w:eastAsia="黑体" w:cs="黑体"/>
        </w:rPr>
        <w:t>第五章  技术标准和要求</w:t>
      </w:r>
      <w:r>
        <w:tab/>
      </w:r>
      <w:r>
        <w:fldChar w:fldCharType="begin"/>
      </w:r>
      <w:r>
        <w:instrText xml:space="preserve"> PAGEREF _Toc14451 \h </w:instrText>
      </w:r>
      <w:r>
        <w:fldChar w:fldCharType="separate"/>
      </w:r>
      <w:r>
        <w:t>- 51 -</w:t>
      </w:r>
      <w:r>
        <w:fldChar w:fldCharType="end"/>
      </w:r>
      <w:r>
        <w:rPr>
          <w:rFonts w:hint="eastAsia" w:ascii="宋体" w:cs="宋体"/>
          <w:szCs w:val="21"/>
        </w:rPr>
        <w:fldChar w:fldCharType="end"/>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 HYPERLINK \l _Toc22595 </w:instrText>
      </w:r>
      <w:r>
        <w:rPr>
          <w:rFonts w:hint="eastAsia" w:ascii="宋体" w:cs="宋体"/>
          <w:szCs w:val="21"/>
        </w:rPr>
        <w:fldChar w:fldCharType="separate"/>
      </w:r>
      <w:r>
        <w:rPr>
          <w:rFonts w:hint="eastAsia" w:ascii="黑体" w:eastAsia="黑体" w:cs="黑体"/>
        </w:rPr>
        <w:t>第六章  投标文件格式</w:t>
      </w:r>
      <w:r>
        <w:tab/>
      </w:r>
      <w:r>
        <w:fldChar w:fldCharType="begin"/>
      </w:r>
      <w:r>
        <w:instrText xml:space="preserve"> PAGEREF _Toc22595 \h </w:instrText>
      </w:r>
      <w:r>
        <w:fldChar w:fldCharType="separate"/>
      </w:r>
      <w:r>
        <w:t>- 55 -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_Toc240 </w:instrText>
      </w:r>
      <w:r>
        <w:rPr>
          <w:rFonts w:hint="eastAsia" w:ascii="宋体" w:cs="宋体"/>
          <w:szCs w:val="21"/>
        </w:rPr>
        <w:fldChar w:fldCharType="separate"/>
      </w:r>
      <w:r>
        <w:rPr>
          <w:rFonts w:hint="eastAsia" w:ascii="宋体" w:cs="宋体"/>
        </w:rPr>
        <w:t>第一节 投标文件封面示例</w:t>
      </w:r>
      <w:r>
        <w:tab/>
      </w:r>
      <w:r>
        <w:fldChar w:fldCharType="begin"/>
      </w:r>
      <w:r>
        <w:instrText xml:space="preserve"> PAGEREF _Toc240 \h </w:instrText>
      </w:r>
      <w:r>
        <w:fldChar w:fldCharType="separate"/>
      </w:r>
      <w:r>
        <w:t>- 55 -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_Toc6848 </w:instrText>
      </w:r>
      <w:r>
        <w:rPr>
          <w:rFonts w:hint="eastAsia" w:ascii="宋体" w:cs="宋体"/>
          <w:szCs w:val="21"/>
        </w:rPr>
        <w:fldChar w:fldCharType="separate"/>
      </w:r>
      <w:r>
        <w:rPr>
          <w:rFonts w:hint="eastAsia" w:ascii="宋体" w:cs="宋体"/>
        </w:rPr>
        <w:t>第二节 投标文件目录示例</w:t>
      </w:r>
      <w:r>
        <w:tab/>
      </w:r>
      <w:r>
        <w:fldChar w:fldCharType="begin"/>
      </w:r>
      <w:r>
        <w:instrText xml:space="preserve"> PAGEREF _Toc6848 \h </w:instrText>
      </w:r>
      <w:r>
        <w:fldChar w:fldCharType="separate"/>
      </w:r>
      <w:r>
        <w:t>- 56 -</w:t>
      </w:r>
      <w:r>
        <w:fldChar w:fldCharType="end"/>
      </w:r>
      <w:r>
        <w:rPr>
          <w:rFonts w:hint="eastAsia" w:ascii="宋体" w:cs="宋体"/>
          <w:szCs w:val="21"/>
        </w:rPr>
        <w:fldChar w:fldCharType="end"/>
      </w:r>
    </w:p>
    <w:p>
      <w:pPr>
        <w:spacing w:line="360" w:lineRule="auto"/>
        <w:rPr>
          <w:rFonts w:ascii="宋体" w:cs="宋体"/>
          <w:szCs w:val="21"/>
        </w:rPr>
      </w:pPr>
      <w:r>
        <w:rPr>
          <w:rFonts w:hint="eastAsia" w:ascii="宋体" w:cs="宋体"/>
          <w:szCs w:val="21"/>
        </w:rPr>
        <w:fldChar w:fldCharType="end"/>
      </w:r>
    </w:p>
    <w:p>
      <w:pPr>
        <w:spacing w:line="360" w:lineRule="auto"/>
        <w:rPr>
          <w:rFonts w:ascii="宋体" w:cs="宋体"/>
          <w:szCs w:val="21"/>
        </w:rPr>
      </w:pPr>
    </w:p>
    <w:p>
      <w:pPr>
        <w:pStyle w:val="5"/>
        <w:jc w:val="center"/>
        <w:rPr>
          <w:rFonts w:ascii="黑体" w:eastAsia="黑体" w:cs="黑体"/>
          <w:sz w:val="24"/>
        </w:rPr>
      </w:pPr>
    </w:p>
    <w:p>
      <w:pPr>
        <w:rPr>
          <w:rFonts w:ascii="黑体" w:eastAsia="黑体" w:cs="黑体"/>
          <w:sz w:val="24"/>
        </w:rPr>
      </w:pPr>
    </w:p>
    <w:p>
      <w:pPr>
        <w:pStyle w:val="2"/>
        <w:rPr>
          <w:rFonts w:ascii="黑体" w:eastAsia="黑体" w:cs="黑体"/>
          <w:sz w:val="24"/>
        </w:rPr>
      </w:pPr>
    </w:p>
    <w:p>
      <w:pPr>
        <w:pStyle w:val="3"/>
      </w:pPr>
    </w:p>
    <w:p>
      <w:pPr>
        <w:pStyle w:val="3"/>
      </w:pPr>
    </w:p>
    <w:p>
      <w:pPr>
        <w:pStyle w:val="5"/>
        <w:jc w:val="center"/>
        <w:rPr>
          <w:rFonts w:ascii="黑体" w:eastAsia="黑体" w:cs="黑体"/>
          <w:sz w:val="24"/>
        </w:rPr>
        <w:sectPr>
          <w:footerReference r:id="rId4" w:type="default"/>
          <w:pgSz w:w="11906" w:h="16838"/>
          <w:pgMar w:top="1701" w:right="1417" w:bottom="1701" w:left="1701" w:header="851" w:footer="992" w:gutter="0"/>
          <w:pgNumType w:fmt="numberInDash" w:start="1"/>
          <w:cols w:space="720" w:num="1"/>
          <w:docGrid w:type="lines" w:linePitch="312" w:charSpace="0"/>
        </w:sectPr>
      </w:pPr>
    </w:p>
    <w:p>
      <w:pPr>
        <w:pStyle w:val="5"/>
        <w:numPr>
          <w:ilvl w:val="0"/>
          <w:numId w:val="2"/>
        </w:numPr>
        <w:jc w:val="center"/>
        <w:rPr>
          <w:rFonts w:hint="eastAsia" w:ascii="黑体" w:eastAsia="黑体" w:cs="黑体"/>
          <w:sz w:val="24"/>
        </w:rPr>
      </w:pPr>
      <w:bookmarkStart w:id="0" w:name="_Toc6779"/>
      <w:r>
        <w:rPr>
          <w:rFonts w:hint="eastAsia" w:ascii="黑体" w:eastAsia="黑体" w:cs="黑体"/>
          <w:sz w:val="24"/>
        </w:rPr>
        <w:t>投标人须知前附表</w:t>
      </w:r>
      <w:bookmarkEnd w:id="0"/>
    </w:p>
    <w:tbl>
      <w:tblPr>
        <w:tblStyle w:val="23"/>
        <w:tblW w:w="90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813"/>
        <w:gridCol w:w="1410"/>
        <w:gridCol w:w="68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87" w:hRule="atLeast"/>
          <w:jc w:val="center"/>
        </w:trPr>
        <w:tc>
          <w:tcPr>
            <w:tcW w:w="813" w:type="dxa"/>
            <w:vAlign w:val="center"/>
          </w:tcPr>
          <w:p>
            <w:pPr>
              <w:keepNext/>
              <w:widowControl/>
              <w:jc w:val="center"/>
              <w:rPr>
                <w:rFonts w:hint="eastAsia" w:ascii="宋体" w:cs="宋体"/>
                <w:b/>
                <w:bCs/>
                <w:kern w:val="0"/>
                <w:szCs w:val="21"/>
              </w:rPr>
            </w:pPr>
            <w:r>
              <w:rPr>
                <w:rFonts w:hint="eastAsia" w:ascii="宋体" w:cs="宋体"/>
                <w:b/>
                <w:bCs/>
                <w:kern w:val="0"/>
                <w:szCs w:val="21"/>
              </w:rPr>
              <w:t>条款号</w:t>
            </w:r>
          </w:p>
        </w:tc>
        <w:tc>
          <w:tcPr>
            <w:tcW w:w="1410" w:type="dxa"/>
            <w:tcBorders>
              <w:right w:val="single" w:color="auto" w:sz="4" w:space="0"/>
            </w:tcBorders>
            <w:vAlign w:val="center"/>
          </w:tcPr>
          <w:p>
            <w:pPr>
              <w:keepNext/>
              <w:widowControl/>
              <w:jc w:val="center"/>
              <w:rPr>
                <w:rFonts w:hint="eastAsia" w:ascii="宋体" w:cs="宋体"/>
                <w:b/>
                <w:bCs/>
                <w:kern w:val="0"/>
                <w:szCs w:val="21"/>
              </w:rPr>
            </w:pPr>
            <w:r>
              <w:rPr>
                <w:rFonts w:hint="eastAsia" w:ascii="宋体" w:cs="宋体"/>
                <w:b/>
                <w:bCs/>
                <w:kern w:val="0"/>
                <w:szCs w:val="21"/>
              </w:rPr>
              <w:t>项   目</w:t>
            </w:r>
          </w:p>
        </w:tc>
        <w:tc>
          <w:tcPr>
            <w:tcW w:w="6857" w:type="dxa"/>
            <w:tcBorders>
              <w:left w:val="single" w:color="auto" w:sz="4" w:space="0"/>
            </w:tcBorders>
            <w:vAlign w:val="center"/>
          </w:tcPr>
          <w:p>
            <w:pPr>
              <w:keepNext/>
              <w:widowControl/>
              <w:jc w:val="center"/>
              <w:rPr>
                <w:rFonts w:hint="eastAsia" w:ascii="宋体" w:cs="宋体"/>
                <w:b/>
                <w:bCs/>
                <w:kern w:val="0"/>
                <w:szCs w:val="21"/>
              </w:rPr>
            </w:pPr>
            <w:r>
              <w:rPr>
                <w:rFonts w:hint="eastAsia" w:ascii="宋体" w:cs="宋体"/>
                <w:b/>
                <w:bCs/>
                <w:kern w:val="0"/>
                <w:szCs w:val="21"/>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1569" w:hRule="atLeast"/>
          <w:jc w:val="center"/>
        </w:trPr>
        <w:tc>
          <w:tcPr>
            <w:tcW w:w="813" w:type="dxa"/>
            <w:tcBorders>
              <w:bottom w:val="single" w:color="auto" w:sz="4" w:space="0"/>
            </w:tcBorders>
            <w:vAlign w:val="center"/>
          </w:tcPr>
          <w:p>
            <w:pPr>
              <w:jc w:val="center"/>
              <w:rPr>
                <w:rFonts w:ascii="宋体"/>
                <w:kern w:val="0"/>
                <w:szCs w:val="21"/>
              </w:rPr>
            </w:pPr>
            <w:r>
              <w:rPr>
                <w:rFonts w:hint="eastAsia" w:ascii="宋体"/>
                <w:kern w:val="0"/>
                <w:szCs w:val="21"/>
              </w:rPr>
              <w:t>1</w:t>
            </w:r>
          </w:p>
        </w:tc>
        <w:tc>
          <w:tcPr>
            <w:tcW w:w="1410" w:type="dxa"/>
            <w:tcBorders>
              <w:right w:val="single" w:color="auto" w:sz="4" w:space="0"/>
            </w:tcBorders>
            <w:vAlign w:val="center"/>
          </w:tcPr>
          <w:p>
            <w:pPr>
              <w:keepNext/>
              <w:widowControl/>
              <w:jc w:val="distribute"/>
              <w:rPr>
                <w:rFonts w:ascii="黑体" w:eastAsia="黑体" w:cs="黑体"/>
                <w:kern w:val="0"/>
                <w:szCs w:val="21"/>
              </w:rPr>
            </w:pPr>
            <w:r>
              <w:rPr>
                <w:rFonts w:hint="eastAsia" w:ascii="黑体" w:eastAsia="黑体" w:cs="黑体"/>
                <w:kern w:val="0"/>
                <w:szCs w:val="21"/>
              </w:rPr>
              <w:t>采购人</w:t>
            </w:r>
          </w:p>
        </w:tc>
        <w:tc>
          <w:tcPr>
            <w:tcW w:w="6857" w:type="dxa"/>
            <w:tcBorders>
              <w:left w:val="single" w:color="auto" w:sz="4" w:space="0"/>
            </w:tcBorders>
            <w:vAlign w:val="center"/>
          </w:tcPr>
          <w:p>
            <w:pPr>
              <w:widowControl/>
              <w:wordWrap w:val="0"/>
              <w:spacing w:line="440" w:lineRule="exact"/>
              <w:jc w:val="left"/>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名称：新疆维吾尔自治区动物卫生监督所</w:t>
            </w:r>
          </w:p>
          <w:p>
            <w:pPr>
              <w:keepNext/>
              <w:widowControl/>
              <w:jc w:val="left"/>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地址：乌鲁木齐市高新技术开发区蓝天路268号</w:t>
            </w:r>
          </w:p>
          <w:p>
            <w:pPr>
              <w:keepNext/>
              <w:widowControl/>
              <w:jc w:val="left"/>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联系人：巴特力·贾尼木汗</w:t>
            </w:r>
          </w:p>
          <w:p>
            <w:pPr>
              <w:keepNext/>
              <w:widowControl/>
              <w:jc w:val="left"/>
              <w:rPr>
                <w:rFonts w:hint="default" w:ascii="宋体" w:cs="宋体"/>
                <w:color w:val="000000"/>
                <w:kern w:val="0"/>
                <w:szCs w:val="21"/>
                <w:lang w:val="en-US"/>
              </w:rPr>
            </w:pPr>
            <w:r>
              <w:rPr>
                <w:rFonts w:hint="eastAsia" w:ascii="宋体" w:hAnsi="Calibri" w:eastAsia="宋体" w:cs="宋体"/>
                <w:color w:val="000000"/>
                <w:kern w:val="0"/>
                <w:sz w:val="21"/>
                <w:szCs w:val="21"/>
                <w:lang w:val="en-US" w:eastAsia="zh-CN" w:bidi="ar-SA"/>
              </w:rPr>
              <w:t>电话：13999166835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eastAsia" w:eastAsia="宋体"/>
                <w:lang w:val="en-US" w:eastAsia="zh-CN"/>
              </w:rPr>
            </w:pPr>
            <w:r>
              <w:rPr>
                <w:rFonts w:hint="eastAsia" w:ascii="宋体"/>
                <w:kern w:val="0"/>
                <w:szCs w:val="21"/>
                <w:lang w:val="en-US" w:eastAsia="zh-CN"/>
              </w:rPr>
              <w:t>2</w:t>
            </w:r>
          </w:p>
        </w:tc>
        <w:tc>
          <w:tcPr>
            <w:tcW w:w="1410" w:type="dxa"/>
            <w:tcBorders>
              <w:bottom w:val="single" w:color="auto" w:sz="4" w:space="0"/>
            </w:tcBorders>
            <w:vAlign w:val="center"/>
          </w:tcPr>
          <w:p>
            <w:pPr>
              <w:keepNext/>
              <w:widowControl/>
              <w:jc w:val="distribute"/>
              <w:rPr>
                <w:rFonts w:ascii="黑体" w:eastAsia="黑体" w:cs="黑体"/>
                <w:kern w:val="0"/>
                <w:szCs w:val="21"/>
              </w:rPr>
            </w:pPr>
            <w:r>
              <w:rPr>
                <w:rFonts w:hint="eastAsia" w:ascii="黑体" w:eastAsia="黑体" w:cs="黑体"/>
                <w:kern w:val="0"/>
                <w:szCs w:val="21"/>
              </w:rPr>
              <w:t>采购代理机构</w:t>
            </w:r>
          </w:p>
        </w:tc>
        <w:tc>
          <w:tcPr>
            <w:tcW w:w="6857" w:type="dxa"/>
            <w:vAlign w:val="center"/>
          </w:tcPr>
          <w:p>
            <w:pPr>
              <w:keepNext/>
              <w:widowControl/>
              <w:jc w:val="left"/>
            </w:pPr>
            <w:r>
              <w:rPr>
                <w:rFonts w:hint="eastAsia"/>
              </w:rPr>
              <w:t>名称：新疆世纪华中工程项目管理有限公司</w:t>
            </w:r>
          </w:p>
          <w:p>
            <w:pPr>
              <w:pStyle w:val="9"/>
              <w:numPr>
                <w:ilvl w:val="0"/>
                <w:numId w:val="0"/>
              </w:numPr>
              <w:rPr>
                <w:rFonts w:ascii="宋体" w:eastAsia="宋体" w:cs="宋体"/>
                <w:color w:val="000000"/>
                <w:kern w:val="0"/>
                <w:sz w:val="21"/>
                <w:szCs w:val="21"/>
              </w:rPr>
            </w:pPr>
            <w:r>
              <w:rPr>
                <w:rFonts w:hint="eastAsia" w:ascii="宋体" w:eastAsia="宋体" w:cs="宋体"/>
                <w:color w:val="000000"/>
                <w:kern w:val="0"/>
                <w:sz w:val="21"/>
                <w:szCs w:val="21"/>
              </w:rPr>
              <w:t>地址：</w:t>
            </w:r>
            <w:r>
              <w:rPr>
                <w:rFonts w:hint="eastAsia" w:ascii="宋体" w:eastAsia="宋体" w:cs="宋体"/>
                <w:kern w:val="0"/>
                <w:sz w:val="21"/>
                <w:szCs w:val="21"/>
              </w:rPr>
              <w:t>乌鲁木齐市米东区中颐北路乾和家园F区F14号楼1-3单元303室</w:t>
            </w:r>
          </w:p>
          <w:p>
            <w:pPr>
              <w:pStyle w:val="9"/>
              <w:numPr>
                <w:ilvl w:val="0"/>
                <w:numId w:val="0"/>
              </w:numPr>
              <w:rPr>
                <w:rFonts w:hint="default" w:ascii="宋体" w:eastAsia="宋体" w:cs="宋体"/>
                <w:color w:val="000000"/>
                <w:kern w:val="0"/>
                <w:sz w:val="21"/>
                <w:szCs w:val="21"/>
                <w:lang w:val="en-US" w:eastAsia="zh-CN"/>
              </w:rPr>
            </w:pPr>
            <w:r>
              <w:rPr>
                <w:rFonts w:hint="eastAsia" w:ascii="宋体" w:eastAsia="宋体" w:cs="宋体"/>
                <w:color w:val="000000"/>
                <w:kern w:val="0"/>
                <w:sz w:val="21"/>
                <w:szCs w:val="21"/>
              </w:rPr>
              <w:t>联系人：</w:t>
            </w:r>
            <w:r>
              <w:rPr>
                <w:rFonts w:hint="eastAsia" w:ascii="宋体" w:eastAsia="宋体" w:cs="宋体"/>
                <w:color w:val="000000"/>
                <w:kern w:val="0"/>
                <w:sz w:val="21"/>
                <w:szCs w:val="21"/>
                <w:lang w:val="en-US" w:eastAsia="zh-CN"/>
              </w:rPr>
              <w:t>李嘉龙</w:t>
            </w:r>
          </w:p>
          <w:p>
            <w:pPr>
              <w:pStyle w:val="9"/>
              <w:numPr>
                <w:ilvl w:val="0"/>
                <w:numId w:val="0"/>
              </w:numPr>
              <w:rPr>
                <w:rFonts w:ascii="宋体" w:eastAsia="宋体" w:cs="宋体"/>
                <w:color w:val="000000"/>
                <w:kern w:val="0"/>
                <w:sz w:val="21"/>
                <w:szCs w:val="21"/>
              </w:rPr>
            </w:pPr>
            <w:r>
              <w:rPr>
                <w:rFonts w:hint="eastAsia" w:ascii="宋体" w:eastAsia="宋体" w:cs="宋体"/>
                <w:color w:val="000000"/>
                <w:kern w:val="0"/>
                <w:sz w:val="21"/>
                <w:szCs w:val="21"/>
              </w:rPr>
              <w:t>电话：0991-3382836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宋体"/>
                <w:kern w:val="0"/>
                <w:szCs w:val="21"/>
                <w:lang w:val="en-US" w:eastAsia="zh-CN"/>
              </w:rPr>
            </w:pPr>
            <w:r>
              <w:rPr>
                <w:rFonts w:hint="eastAsia" w:ascii="宋体"/>
                <w:kern w:val="0"/>
                <w:szCs w:val="21"/>
                <w:lang w:val="en-US" w:eastAsia="zh-CN"/>
              </w:rPr>
              <w:t>3</w:t>
            </w:r>
          </w:p>
        </w:tc>
        <w:tc>
          <w:tcPr>
            <w:tcW w:w="1410" w:type="dxa"/>
            <w:tcBorders>
              <w:bottom w:val="single" w:color="auto" w:sz="4" w:space="0"/>
            </w:tcBorders>
            <w:vAlign w:val="center"/>
          </w:tcPr>
          <w:p>
            <w:pPr>
              <w:keepNext/>
              <w:widowControl/>
              <w:jc w:val="left"/>
              <w:rPr>
                <w:rFonts w:hint="eastAsia" w:ascii="宋体" w:cs="宋体"/>
                <w:color w:val="000000"/>
                <w:kern w:val="0"/>
                <w:sz w:val="22"/>
                <w:szCs w:val="22"/>
              </w:rPr>
            </w:pPr>
            <w:r>
              <w:rPr>
                <w:rFonts w:hint="eastAsia" w:ascii="宋体" w:cs="宋体"/>
                <w:color w:val="000000"/>
                <w:kern w:val="0"/>
                <w:sz w:val="22"/>
                <w:szCs w:val="22"/>
              </w:rPr>
              <w:t>项目基本情况</w:t>
            </w:r>
          </w:p>
        </w:tc>
        <w:tc>
          <w:tcPr>
            <w:tcW w:w="6857" w:type="dxa"/>
            <w:vAlign w:val="center"/>
          </w:tcPr>
          <w:p>
            <w:pPr>
              <w:spacing w:line="360" w:lineRule="auto"/>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项目名称：自治区动物卫生监督所实验室中心机房弱电设备升级（二次</w:t>
            </w:r>
            <w:bookmarkStart w:id="45" w:name="_GoBack"/>
            <w:bookmarkEnd w:id="45"/>
            <w:r>
              <w:rPr>
                <w:rFonts w:hint="eastAsia" w:asciiTheme="minorEastAsia" w:hAnsiTheme="minorEastAsia" w:eastAsiaTheme="minorEastAsia" w:cstheme="minorEastAsia"/>
                <w:szCs w:val="21"/>
                <w:lang w:val="en-US" w:eastAsia="zh-CN"/>
              </w:rPr>
              <w:t>）</w:t>
            </w:r>
          </w:p>
          <w:p>
            <w:pPr>
              <w:spacing w:line="360" w:lineRule="auto"/>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项目编号：XJHZ（GK）2022</w:t>
            </w: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45</w:t>
            </w:r>
          </w:p>
          <w:p>
            <w:pPr>
              <w:spacing w:line="360" w:lineRule="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预算金额：50万元</w:t>
            </w:r>
          </w:p>
          <w:p>
            <w:pPr>
              <w:spacing w:line="360" w:lineRule="auto"/>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最高限价：50万元</w:t>
            </w:r>
          </w:p>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采购内容： 详见</w:t>
            </w:r>
            <w:r>
              <w:rPr>
                <w:rFonts w:hint="eastAsia" w:asciiTheme="minorEastAsia" w:hAnsiTheme="minorEastAsia" w:eastAsiaTheme="minorEastAsia" w:cstheme="minorEastAsia"/>
                <w:szCs w:val="21"/>
                <w:lang w:eastAsia="zh-CN"/>
              </w:rPr>
              <w:t>招标</w:t>
            </w:r>
            <w:r>
              <w:rPr>
                <w:rFonts w:hint="eastAsia" w:asciiTheme="minorEastAsia" w:hAnsiTheme="minorEastAsia" w:eastAsiaTheme="minorEastAsia" w:cstheme="minorEastAsia"/>
                <w:szCs w:val="21"/>
              </w:rPr>
              <w:t>文件</w:t>
            </w:r>
          </w:p>
          <w:p>
            <w:pPr>
              <w:keepNext/>
              <w:widowControl/>
              <w:jc w:val="left"/>
              <w:rPr>
                <w:rFonts w:hint="default" w:ascii="宋体" w:cs="宋体"/>
                <w:color w:val="000000"/>
                <w:kern w:val="0"/>
                <w:sz w:val="22"/>
                <w:szCs w:val="22"/>
                <w:lang w:val="en-US" w:eastAsia="zh-CN"/>
              </w:rPr>
            </w:pPr>
            <w:r>
              <w:rPr>
                <w:rFonts w:hint="eastAsia" w:ascii="宋体" w:cs="宋体"/>
                <w:color w:val="000000"/>
                <w:kern w:val="0"/>
                <w:sz w:val="22"/>
                <w:szCs w:val="22"/>
              </w:rPr>
              <w:t>采购</w:t>
            </w:r>
            <w:r>
              <w:rPr>
                <w:rFonts w:hint="eastAsia" w:ascii="宋体" w:cs="宋体"/>
                <w:color w:val="000000"/>
                <w:kern w:val="0"/>
                <w:sz w:val="22"/>
                <w:szCs w:val="22"/>
                <w:lang w:val="en-US" w:eastAsia="zh-CN"/>
              </w:rPr>
              <w:t>数量</w:t>
            </w:r>
            <w:r>
              <w:rPr>
                <w:rFonts w:hint="eastAsia" w:ascii="宋体" w:cs="宋体"/>
                <w:color w:val="000000"/>
                <w:kern w:val="0"/>
                <w:sz w:val="22"/>
                <w:szCs w:val="22"/>
              </w:rPr>
              <w:t xml:space="preserve">： </w:t>
            </w:r>
            <w:r>
              <w:rPr>
                <w:rFonts w:hint="eastAsia" w:ascii="宋体" w:cs="宋体"/>
                <w:color w:val="000000"/>
                <w:kern w:val="0"/>
                <w:sz w:val="22"/>
                <w:szCs w:val="22"/>
                <w:lang w:val="en-US" w:eastAsia="zh-CN"/>
              </w:rPr>
              <w:t>1批</w:t>
            </w:r>
          </w:p>
          <w:p>
            <w:pPr>
              <w:keepNext/>
              <w:widowControl/>
              <w:jc w:val="left"/>
              <w:rPr>
                <w:rFonts w:hint="eastAsia" w:ascii="宋体" w:cs="宋体"/>
                <w:color w:val="000000"/>
                <w:kern w:val="0"/>
                <w:sz w:val="22"/>
                <w:szCs w:val="22"/>
              </w:rPr>
            </w:pPr>
            <w:r>
              <w:rPr>
                <w:rFonts w:hint="eastAsia" w:ascii="宋体" w:cs="宋体"/>
                <w:color w:val="000000"/>
                <w:kern w:val="0"/>
                <w:sz w:val="22"/>
                <w:szCs w:val="22"/>
                <w:lang w:val="en-US" w:eastAsia="zh-CN"/>
              </w:rPr>
              <w:t>资金情况</w:t>
            </w:r>
            <w:r>
              <w:rPr>
                <w:rFonts w:hint="eastAsia" w:ascii="宋体" w:cs="宋体"/>
                <w:color w:val="000000"/>
                <w:kern w:val="0"/>
                <w:sz w:val="22"/>
                <w:szCs w:val="22"/>
                <w:lang w:eastAsia="zh-CN"/>
              </w:rPr>
              <w:t>：</w:t>
            </w:r>
            <w:r>
              <w:rPr>
                <w:rFonts w:hint="eastAsia" w:ascii="宋体" w:cs="宋体"/>
                <w:color w:val="000000"/>
                <w:kern w:val="0"/>
                <w:sz w:val="22"/>
                <w:szCs w:val="22"/>
                <w:lang w:val="en-US" w:eastAsia="zh-CN"/>
              </w:rPr>
              <w:t>财政资金</w:t>
            </w:r>
            <w:r>
              <w:rPr>
                <w:rFonts w:hint="eastAsia" w:ascii="宋体" w:cs="宋体"/>
                <w:color w:val="000000"/>
                <w:kern w:val="0"/>
                <w:sz w:val="22"/>
                <w:szCs w:val="22"/>
              </w:rPr>
              <w:t xml:space="preserve"> </w:t>
            </w:r>
          </w:p>
          <w:p>
            <w:pPr>
              <w:keepNext/>
              <w:widowControl/>
              <w:jc w:val="left"/>
              <w:rPr>
                <w:rFonts w:hint="eastAsia" w:ascii="宋体" w:cs="宋体"/>
                <w:color w:val="000000"/>
                <w:kern w:val="0"/>
                <w:sz w:val="22"/>
                <w:szCs w:val="22"/>
              </w:rPr>
            </w:pPr>
            <w:r>
              <w:rPr>
                <w:rFonts w:hint="eastAsia" w:ascii="宋体" w:cs="宋体"/>
                <w:szCs w:val="21"/>
              </w:rPr>
              <w:t>供货时间</w:t>
            </w:r>
            <w:r>
              <w:rPr>
                <w:rFonts w:hint="eastAsia" w:ascii="宋体" w:cs="宋体"/>
                <w:color w:val="000000"/>
                <w:kern w:val="0"/>
                <w:sz w:val="22"/>
                <w:szCs w:val="22"/>
                <w:lang w:val="en-US" w:eastAsia="zh-CN"/>
              </w:rPr>
              <w:t>：</w:t>
            </w:r>
            <w:r>
              <w:rPr>
                <w:rFonts w:hint="eastAsia" w:ascii="宋体" w:cs="宋体"/>
                <w:color w:val="000000"/>
                <w:kern w:val="0"/>
                <w:sz w:val="22"/>
                <w:szCs w:val="22"/>
              </w:rPr>
              <w:t>签订合同日期起15天内完成供货，所有货物均提供送货上门服务。</w:t>
            </w:r>
          </w:p>
          <w:p>
            <w:pPr>
              <w:keepNext/>
              <w:widowControl/>
              <w:jc w:val="left"/>
              <w:rPr>
                <w:rFonts w:hint="eastAsia" w:ascii="宋体" w:hAnsi="Calibri" w:eastAsia="宋体" w:cs="宋体"/>
                <w:color w:val="000000"/>
                <w:kern w:val="0"/>
                <w:sz w:val="21"/>
                <w:szCs w:val="21"/>
                <w:lang w:val="en-US" w:eastAsia="zh-CN" w:bidi="ar-SA"/>
              </w:rPr>
            </w:pPr>
            <w:r>
              <w:rPr>
                <w:rFonts w:hint="eastAsia" w:ascii="宋体" w:cs="宋体"/>
                <w:color w:val="000000"/>
                <w:kern w:val="0"/>
                <w:sz w:val="22"/>
                <w:szCs w:val="22"/>
                <w:lang w:val="en-US" w:eastAsia="zh-CN"/>
              </w:rPr>
              <w:t>交货地点：</w:t>
            </w:r>
            <w:r>
              <w:rPr>
                <w:rFonts w:hint="eastAsia" w:ascii="宋体" w:hAnsi="Calibri" w:eastAsia="宋体" w:cs="宋体"/>
                <w:color w:val="000000"/>
                <w:kern w:val="0"/>
                <w:sz w:val="21"/>
                <w:szCs w:val="21"/>
                <w:lang w:val="en-US" w:eastAsia="zh-CN" w:bidi="ar-SA"/>
              </w:rPr>
              <w:t>新疆维吾尔自治区动物卫生监督所</w:t>
            </w:r>
          </w:p>
          <w:p>
            <w:pPr>
              <w:keepNext/>
              <w:widowControl/>
              <w:jc w:val="left"/>
              <w:rPr>
                <w:rFonts w:hint="eastAsia" w:ascii="宋体" w:hAnsi="Calibri" w:eastAsia="宋体" w:cs="宋体"/>
                <w:color w:val="000000"/>
                <w:kern w:val="0"/>
                <w:sz w:val="21"/>
                <w:szCs w:val="21"/>
                <w:lang w:val="en-US" w:eastAsia="zh-CN" w:bidi="ar-SA"/>
              </w:rPr>
            </w:pPr>
            <w:r>
              <w:rPr>
                <w:rFonts w:hint="eastAsia" w:ascii="宋体" w:cs="宋体"/>
                <w:color w:val="000000"/>
                <w:kern w:val="0"/>
                <w:sz w:val="22"/>
                <w:szCs w:val="22"/>
              </w:rPr>
              <w:t>付款方</w:t>
            </w:r>
            <w:r>
              <w:rPr>
                <w:rFonts w:hint="eastAsia" w:ascii="宋体" w:hAnsi="Calibri" w:eastAsia="宋体" w:cs="宋体"/>
                <w:color w:val="000000"/>
                <w:kern w:val="0"/>
                <w:sz w:val="21"/>
                <w:szCs w:val="21"/>
                <w:lang w:val="en-US" w:eastAsia="zh-CN" w:bidi="ar-SA"/>
              </w:rPr>
              <w:t>式：项目验收合格后支付合同金额的97%，质保期满后10个工作日内支付余款。（如有调整，以采购人意见为准）</w:t>
            </w:r>
          </w:p>
          <w:p>
            <w:pPr>
              <w:keepNext/>
              <w:widowControl/>
              <w:jc w:val="left"/>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采购方式：公开招标</w:t>
            </w:r>
          </w:p>
          <w:p>
            <w:pPr>
              <w:keepNext/>
              <w:widowControl/>
              <w:jc w:val="left"/>
              <w:rPr>
                <w:rFonts w:hint="eastAsia" w:ascii="宋体" w:cs="宋体"/>
                <w:color w:val="000000"/>
                <w:kern w:val="0"/>
                <w:sz w:val="22"/>
                <w:szCs w:val="22"/>
              </w:rPr>
            </w:pPr>
            <w:r>
              <w:rPr>
                <w:rFonts w:hint="eastAsia" w:ascii="宋体" w:hAnsi="Calibri" w:eastAsia="宋体" w:cs="宋体"/>
                <w:color w:val="000000"/>
                <w:kern w:val="0"/>
                <w:sz w:val="21"/>
                <w:szCs w:val="21"/>
                <w:lang w:val="en-US" w:eastAsia="zh-CN" w:bidi="ar-SA"/>
              </w:rPr>
              <w:t xml:space="preserve">质保期：3年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eastAsia" w:ascii="宋体"/>
                <w:kern w:val="0"/>
                <w:szCs w:val="21"/>
                <w:lang w:val="en-US" w:eastAsia="zh-CN"/>
              </w:rPr>
            </w:pPr>
            <w:r>
              <w:rPr>
                <w:rFonts w:hint="eastAsia" w:ascii="宋体"/>
                <w:kern w:val="0"/>
                <w:szCs w:val="21"/>
                <w:lang w:val="en-US" w:eastAsia="zh-CN"/>
              </w:rPr>
              <w:t>4</w:t>
            </w:r>
          </w:p>
        </w:tc>
        <w:tc>
          <w:tcPr>
            <w:tcW w:w="1410" w:type="dxa"/>
            <w:vAlign w:val="center"/>
          </w:tcPr>
          <w:p>
            <w:pPr>
              <w:jc w:val="center"/>
              <w:rPr>
                <w:rFonts w:hint="eastAsia" w:ascii="宋体"/>
                <w:kern w:val="0"/>
                <w:szCs w:val="21"/>
                <w:lang w:val="en-US" w:eastAsia="zh-CN"/>
              </w:rPr>
            </w:pPr>
            <w:r>
              <w:rPr>
                <w:rFonts w:hint="eastAsia" w:ascii="宋体"/>
                <w:kern w:val="0"/>
                <w:szCs w:val="21"/>
                <w:lang w:val="en-US" w:eastAsia="zh-CN"/>
              </w:rPr>
              <w:t>核心产品</w:t>
            </w:r>
          </w:p>
        </w:tc>
        <w:tc>
          <w:tcPr>
            <w:tcW w:w="6857" w:type="dxa"/>
            <w:vAlign w:val="center"/>
          </w:tcPr>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无</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若有则为：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5</w:t>
            </w:r>
          </w:p>
        </w:tc>
        <w:tc>
          <w:tcPr>
            <w:tcW w:w="1410" w:type="dxa"/>
            <w:vAlign w:val="center"/>
          </w:tcPr>
          <w:p>
            <w:pPr>
              <w:keepNext/>
              <w:widowControl/>
              <w:jc w:val="distribute"/>
              <w:rPr>
                <w:rFonts w:hint="eastAsia" w:ascii="黑体" w:hAnsi="黑体" w:eastAsia="黑体" w:cs="黑体"/>
                <w:kern w:val="0"/>
                <w:szCs w:val="21"/>
                <w:lang w:val="en-US" w:eastAsia="zh-CN"/>
              </w:rPr>
            </w:pPr>
            <w:r>
              <w:rPr>
                <w:rFonts w:hint="eastAsia" w:ascii="黑体" w:hAnsi="黑体" w:eastAsia="黑体" w:cs="黑体"/>
                <w:kern w:val="0"/>
                <w:szCs w:val="21"/>
                <w:lang w:val="en-US" w:eastAsia="zh-CN"/>
              </w:rPr>
              <w:t>是否允许</w:t>
            </w:r>
          </w:p>
          <w:p>
            <w:pPr>
              <w:keepNext/>
              <w:widowControl/>
              <w:jc w:val="distribute"/>
              <w:rPr>
                <w:rFonts w:hint="eastAsia" w:ascii="黑体" w:eastAsia="黑体" w:cs="黑体"/>
                <w:color w:val="000000"/>
                <w:kern w:val="0"/>
                <w:szCs w:val="21"/>
              </w:rPr>
            </w:pPr>
            <w:r>
              <w:rPr>
                <w:rFonts w:hint="eastAsia" w:ascii="黑体" w:hAnsi="黑体" w:eastAsia="黑体" w:cs="黑体"/>
                <w:kern w:val="0"/>
                <w:szCs w:val="21"/>
              </w:rPr>
              <w:t>联合体投标</w:t>
            </w:r>
          </w:p>
        </w:tc>
        <w:tc>
          <w:tcPr>
            <w:tcW w:w="6857" w:type="dxa"/>
            <w:vAlign w:val="center"/>
          </w:tcPr>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不接受</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接受，联合体投标的须在投标文件中提供联合体协议书，联合体所有成员不得超过2家，联合体的任何一方均不得再与其他投标单位联合。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6</w:t>
            </w:r>
          </w:p>
        </w:tc>
        <w:tc>
          <w:tcPr>
            <w:tcW w:w="1410" w:type="dxa"/>
            <w:vAlign w:val="center"/>
          </w:tcPr>
          <w:p>
            <w:pPr>
              <w:keepNext/>
              <w:widowControl/>
              <w:jc w:val="distribute"/>
              <w:rPr>
                <w:rFonts w:hint="eastAsia" w:ascii="黑体" w:hAnsi="黑体" w:eastAsia="黑体" w:cs="黑体"/>
                <w:kern w:val="0"/>
                <w:szCs w:val="21"/>
              </w:rPr>
            </w:pPr>
            <w:r>
              <w:rPr>
                <w:rFonts w:hint="eastAsia" w:ascii="黑体" w:hAnsi="黑体" w:eastAsia="黑体" w:cs="黑体"/>
                <w:kern w:val="0"/>
                <w:szCs w:val="21"/>
              </w:rPr>
              <w:t>计量单位</w:t>
            </w:r>
          </w:p>
        </w:tc>
        <w:tc>
          <w:tcPr>
            <w:tcW w:w="6857" w:type="dxa"/>
            <w:vAlign w:val="center"/>
          </w:tcPr>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中华人民共和国法定计量单位</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 xml:space="preserve">其他：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bottom w:val="single" w:color="auto" w:sz="4" w:space="0"/>
            </w:tcBorders>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lang w:val="en-US" w:eastAsia="zh-CN"/>
              </w:rPr>
              <w:t>现场考察、开标前答疑会</w:t>
            </w:r>
          </w:p>
        </w:tc>
        <w:tc>
          <w:tcPr>
            <w:tcW w:w="6857" w:type="dxa"/>
            <w:vAlign w:val="center"/>
          </w:tcPr>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不组织</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 xml:space="preserve">组织，时  间：                          </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地  点：                           </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联系人：                           </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电  话：                           </w:t>
            </w:r>
          </w:p>
          <w:p>
            <w:pPr>
              <w:keepNext/>
              <w:widowControl/>
              <w:jc w:val="left"/>
              <w:rPr>
                <w:rFonts w:ascii="宋体" w:cs="宋体"/>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组织，招标（采购）文件提供期限截止后以书面形式通知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w:t>
            </w:r>
          </w:p>
        </w:tc>
        <w:tc>
          <w:tcPr>
            <w:tcW w:w="1410" w:type="dxa"/>
            <w:vAlign w:val="center"/>
          </w:tcPr>
          <w:p>
            <w:pPr>
              <w:keepNext/>
              <w:widowControl/>
              <w:jc w:val="distribute"/>
              <w:rPr>
                <w:rFonts w:ascii="黑体" w:hAnsi="黑体" w:eastAsia="黑体" w:cs="黑体"/>
                <w:kern w:val="0"/>
                <w:szCs w:val="21"/>
              </w:rPr>
            </w:pPr>
            <w:r>
              <w:rPr>
                <w:rFonts w:hint="eastAsia" w:ascii="黑体" w:hAnsi="黑体" w:eastAsia="黑体" w:cs="黑体"/>
                <w:kern w:val="0"/>
                <w:szCs w:val="21"/>
              </w:rPr>
              <w:t>投标</w:t>
            </w:r>
          </w:p>
          <w:p>
            <w:pPr>
              <w:keepNext/>
              <w:widowControl/>
              <w:jc w:val="distribute"/>
              <w:rPr>
                <w:rFonts w:ascii="黑体" w:eastAsia="黑体" w:cs="黑体"/>
                <w:kern w:val="0"/>
                <w:szCs w:val="21"/>
              </w:rPr>
            </w:pPr>
            <w:r>
              <w:rPr>
                <w:rFonts w:hint="eastAsia" w:ascii="黑体" w:hAnsi="黑体" w:eastAsia="黑体" w:cs="黑体"/>
                <w:kern w:val="0"/>
                <w:szCs w:val="21"/>
              </w:rPr>
              <w:t>预备会</w:t>
            </w:r>
          </w:p>
        </w:tc>
        <w:tc>
          <w:tcPr>
            <w:tcW w:w="6857" w:type="dxa"/>
            <w:vAlign w:val="center"/>
          </w:tcPr>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不召开</w:t>
            </w:r>
          </w:p>
          <w:p>
            <w:pPr>
              <w:keepNext/>
              <w:widowControl/>
              <w:jc w:val="left"/>
              <w:rPr>
                <w:rFonts w:ascii="宋体" w:cs="宋体"/>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eastAsia="宋体"/>
                <w:lang w:val="en-US" w:eastAsia="zh-CN"/>
              </w:rPr>
            </w:pPr>
            <w:r>
              <w:rPr>
                <w:rFonts w:hint="eastAsia" w:asciiTheme="minorEastAsia" w:hAnsiTheme="minorEastAsia" w:eastAsiaTheme="minorEastAsia" w:cstheme="minorEastAsia"/>
                <w:lang w:val="en-US" w:eastAsia="zh-CN"/>
              </w:rPr>
              <w:t>9</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rPr>
              <w:t>样品或演示</w:t>
            </w:r>
          </w:p>
        </w:tc>
        <w:tc>
          <w:tcPr>
            <w:tcW w:w="6857" w:type="dxa"/>
            <w:vAlign w:val="center"/>
          </w:tcPr>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1、</w:t>
            </w:r>
            <w:r>
              <w:rPr>
                <w:rFonts w:hint="eastAsia" w:asciiTheme="minorEastAsia" w:hAnsiTheme="minorEastAsia" w:eastAsiaTheme="minorEastAsia" w:cstheme="minorEastAsia"/>
                <w:kern w:val="0"/>
                <w:szCs w:val="21"/>
              </w:rPr>
              <w:t>样品</w:t>
            </w:r>
          </w:p>
          <w:p>
            <w:pPr>
              <w:keepNext/>
              <w:widowControl/>
              <w:ind w:firstLine="210" w:firstLineChars="1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不需要提供样品</w:t>
            </w:r>
          </w:p>
          <w:p>
            <w:pPr>
              <w:keepNext/>
              <w:widowControl/>
              <w:ind w:firstLine="210" w:firstLineChars="1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需要提供样品</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⑴</w:t>
            </w:r>
            <w:r>
              <w:rPr>
                <w:rFonts w:hint="eastAsia" w:asciiTheme="minorEastAsia" w:hAnsiTheme="minorEastAsia" w:eastAsiaTheme="minorEastAsia" w:cstheme="minorEastAsia"/>
                <w:kern w:val="0"/>
                <w:szCs w:val="21"/>
              </w:rPr>
              <w:t>递交样品的截止时间：   年  月  日  时（北京时间）</w:t>
            </w:r>
          </w:p>
          <w:p>
            <w:pPr>
              <w:keepNext/>
              <w:widowControl/>
              <w:ind w:firstLine="630" w:firstLineChars="3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递交样品地点：                     </w:t>
            </w:r>
          </w:p>
          <w:p>
            <w:pPr>
              <w:keepNext/>
              <w:widowControl/>
              <w:ind w:firstLine="630" w:firstLineChars="3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递交样品联系人：                   </w:t>
            </w:r>
          </w:p>
          <w:p>
            <w:pPr>
              <w:keepNext/>
              <w:widowControl/>
              <w:ind w:firstLine="630" w:firstLineChars="3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递交样品联系电话：                 </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⑵</w:t>
            </w:r>
            <w:r>
              <w:rPr>
                <w:rFonts w:hint="eastAsia" w:asciiTheme="minorEastAsia" w:hAnsiTheme="minorEastAsia" w:eastAsiaTheme="minorEastAsia" w:cstheme="minorEastAsia"/>
                <w:kern w:val="0"/>
                <w:szCs w:val="21"/>
              </w:rPr>
              <w:t xml:space="preserve">样品制作的标准和要求：             </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⑶</w:t>
            </w:r>
            <w:r>
              <w:rPr>
                <w:rFonts w:hint="eastAsia" w:asciiTheme="minorEastAsia" w:hAnsiTheme="minorEastAsia" w:eastAsiaTheme="minorEastAsia" w:cstheme="minorEastAsia"/>
                <w:kern w:val="0"/>
                <w:szCs w:val="21"/>
              </w:rPr>
              <w:t xml:space="preserve">随样品提交相关检测报告要求：       </w:t>
            </w:r>
          </w:p>
          <w:p>
            <w:pPr>
              <w:keepNext/>
              <w:widowControl/>
              <w:ind w:firstLine="630" w:firstLineChars="3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（包含是否要求提供、检测机构要求、检测内容等）</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样品的封存及退回：中标投标人的样品将由采购人进行保管、封存，并作为履约验收的参考。未中标的投标人提供的样品，应当由采购人进行保管、封存，中标公告之日起七个工作日后，由未中标人自行领回或经未中标人同意后自行处理。</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2、</w:t>
            </w:r>
            <w:r>
              <w:rPr>
                <w:rFonts w:hint="eastAsia" w:asciiTheme="minorEastAsia" w:hAnsiTheme="minorEastAsia" w:eastAsiaTheme="minorEastAsia" w:cstheme="minorEastAsia"/>
                <w:kern w:val="0"/>
                <w:szCs w:val="21"/>
              </w:rPr>
              <w:t>演示</w:t>
            </w:r>
          </w:p>
          <w:p>
            <w:pPr>
              <w:keepNext/>
              <w:widowControl/>
              <w:ind w:firstLine="210" w:firstLineChars="1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F0FE"/>
            </w:r>
            <w:r>
              <w:rPr>
                <w:rFonts w:hint="eastAsia" w:asciiTheme="minorEastAsia" w:hAnsiTheme="minorEastAsia" w:eastAsiaTheme="minorEastAsia" w:cstheme="minorEastAsia"/>
                <w:kern w:val="0"/>
                <w:szCs w:val="21"/>
              </w:rPr>
              <w:t>不需要提供演示</w:t>
            </w:r>
          </w:p>
          <w:p>
            <w:pPr>
              <w:keepNext/>
              <w:widowControl/>
              <w:ind w:firstLine="210" w:firstLineChars="1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需要提供演示</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⑴</w:t>
            </w:r>
            <w:r>
              <w:rPr>
                <w:rFonts w:hint="eastAsia" w:asciiTheme="minorEastAsia" w:hAnsiTheme="minorEastAsia" w:eastAsiaTheme="minorEastAsia" w:cstheme="minorEastAsia"/>
                <w:kern w:val="0"/>
                <w:szCs w:val="21"/>
              </w:rPr>
              <w:t xml:space="preserve">演示时间及顺序：            </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⑵</w:t>
            </w:r>
            <w:r>
              <w:rPr>
                <w:rFonts w:hint="eastAsia" w:asciiTheme="minorEastAsia" w:hAnsiTheme="minorEastAsia" w:eastAsiaTheme="minorEastAsia" w:cstheme="minorEastAsia"/>
                <w:kern w:val="0"/>
                <w:szCs w:val="21"/>
              </w:rPr>
              <w:t xml:space="preserve">演示地点：                        </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⑶</w:t>
            </w:r>
            <w:r>
              <w:rPr>
                <w:rFonts w:hint="eastAsia" w:asciiTheme="minorEastAsia" w:hAnsiTheme="minorEastAsia" w:eastAsiaTheme="minorEastAsia" w:cstheme="minorEastAsia"/>
                <w:kern w:val="0"/>
                <w:szCs w:val="21"/>
              </w:rPr>
              <w:t xml:space="preserve">演示内容：                  </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 xml:space="preserve">    </w:t>
            </w:r>
            <w:r>
              <w:rPr>
                <w:rFonts w:hint="eastAsia" w:ascii="宋体" w:hAnsi="宋体" w:eastAsia="宋体" w:cs="宋体"/>
                <w:kern w:val="0"/>
                <w:szCs w:val="21"/>
                <w:lang w:val="en-US" w:eastAsia="zh-CN"/>
              </w:rPr>
              <w:t>⑷</w:t>
            </w:r>
            <w:r>
              <w:rPr>
                <w:rFonts w:hint="eastAsia" w:asciiTheme="minorEastAsia" w:hAnsiTheme="minorEastAsia" w:eastAsiaTheme="minorEastAsia" w:cstheme="minorEastAsia"/>
                <w:kern w:val="0"/>
                <w:szCs w:val="21"/>
              </w:rPr>
              <w:t xml:space="preserve">演示要求：                  </w:t>
            </w:r>
          </w:p>
          <w:p>
            <w:pPr>
              <w:keepNext/>
              <w:widowControl/>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val="en-US" w:eastAsia="zh-CN"/>
              </w:rPr>
              <w:t>3、</w:t>
            </w:r>
            <w:r>
              <w:rPr>
                <w:rFonts w:hint="eastAsia" w:asciiTheme="minorEastAsia" w:hAnsiTheme="minorEastAsia" w:eastAsiaTheme="minorEastAsia" w:cstheme="minorEastAsia"/>
                <w:b/>
                <w:bCs/>
                <w:kern w:val="0"/>
                <w:szCs w:val="21"/>
              </w:rPr>
              <w:t>备注：</w:t>
            </w:r>
          </w:p>
          <w:p>
            <w:pPr>
              <w:keepNext/>
              <w:widowControl/>
              <w:ind w:firstLine="422" w:firstLineChars="200"/>
              <w:jc w:val="left"/>
              <w:rPr>
                <w:rFonts w:hint="eastAsia" w:asciiTheme="minorEastAsia" w:hAnsiTheme="minorEastAsia" w:eastAsiaTheme="minorEastAsia" w:cstheme="minorEastAsia"/>
                <w:b/>
                <w:bCs/>
                <w:kern w:val="0"/>
                <w:szCs w:val="21"/>
              </w:rPr>
            </w:pPr>
            <w:r>
              <w:rPr>
                <w:rFonts w:hint="eastAsia" w:ascii="宋体" w:hAnsi="宋体" w:eastAsia="宋体" w:cs="宋体"/>
                <w:b/>
                <w:bCs/>
                <w:kern w:val="0"/>
                <w:szCs w:val="21"/>
              </w:rPr>
              <w:t>⑴</w:t>
            </w:r>
            <w:r>
              <w:rPr>
                <w:rFonts w:hint="eastAsia" w:asciiTheme="minorEastAsia" w:hAnsiTheme="minorEastAsia" w:eastAsiaTheme="minorEastAsia" w:cstheme="minorEastAsia"/>
                <w:b/>
                <w:bCs/>
                <w:kern w:val="0"/>
                <w:szCs w:val="21"/>
              </w:rPr>
              <w:t>经评标委员会认定为演示内容不能满足招标（采购）文件要求的视为无效投标。</w:t>
            </w:r>
          </w:p>
          <w:p>
            <w:pPr>
              <w:keepNext/>
              <w:widowControl/>
              <w:ind w:firstLine="422" w:firstLineChars="200"/>
              <w:jc w:val="left"/>
              <w:rPr>
                <w:rFonts w:ascii="宋体" w:cs="宋体"/>
                <w:kern w:val="0"/>
                <w:szCs w:val="21"/>
              </w:rPr>
            </w:pPr>
            <w:r>
              <w:rPr>
                <w:rFonts w:hint="eastAsia" w:ascii="宋体" w:hAnsi="宋体" w:eastAsia="宋体" w:cs="宋体"/>
                <w:b/>
                <w:bCs/>
                <w:kern w:val="0"/>
                <w:szCs w:val="21"/>
              </w:rPr>
              <w:t>⑵</w:t>
            </w:r>
            <w:r>
              <w:rPr>
                <w:rFonts w:hint="eastAsia" w:asciiTheme="minorEastAsia" w:hAnsiTheme="minorEastAsia" w:eastAsiaTheme="minorEastAsia" w:cstheme="minorEastAsia"/>
                <w:b/>
                <w:bCs/>
                <w:kern w:val="0"/>
                <w:szCs w:val="21"/>
              </w:rPr>
              <w:t>演示应在规定时限内完成。演示不完整的，按实际演示功能记分。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rPr>
              <w:t>资格审查方式</w:t>
            </w:r>
          </w:p>
        </w:tc>
        <w:tc>
          <w:tcPr>
            <w:tcW w:w="6857" w:type="dxa"/>
            <w:vAlign w:val="center"/>
          </w:tcPr>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资格后审</w:t>
            </w:r>
          </w:p>
          <w:p>
            <w:pPr>
              <w:keepNext/>
              <w:widowControl/>
              <w:jc w:val="left"/>
              <w:rPr>
                <w:rFonts w:ascii="宋体" w:cs="宋体"/>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资格预审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11</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替代方案</w:t>
            </w:r>
          </w:p>
        </w:tc>
        <w:tc>
          <w:tcPr>
            <w:tcW w:w="6857" w:type="dxa"/>
            <w:vAlign w:val="center"/>
          </w:tcPr>
          <w:p>
            <w:pPr>
              <w:keepNext/>
              <w:widowControl/>
              <w:jc w:val="left"/>
              <w:rPr>
                <w:rFonts w:ascii="宋体" w:cs="宋体"/>
                <w:kern w:val="0"/>
                <w:szCs w:val="21"/>
              </w:rPr>
            </w:pPr>
            <w:r>
              <w:rPr>
                <w:rFonts w:hint="eastAsia" w:ascii="宋体" w:cs="宋体"/>
                <w:kern w:val="0"/>
                <w:szCs w:val="21"/>
              </w:rPr>
              <w:t>不允许投标人提交替代方案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12</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投标报价</w:t>
            </w:r>
          </w:p>
          <w:p>
            <w:pPr>
              <w:keepNext/>
              <w:widowControl/>
              <w:jc w:val="distribute"/>
              <w:rPr>
                <w:rFonts w:hint="eastAsia" w:ascii="黑体" w:eastAsia="黑体" w:cs="黑体"/>
                <w:kern w:val="0"/>
                <w:szCs w:val="21"/>
              </w:rPr>
            </w:pPr>
            <w:r>
              <w:rPr>
                <w:rFonts w:hint="eastAsia" w:ascii="黑体" w:eastAsia="黑体" w:cs="黑体"/>
                <w:kern w:val="0"/>
                <w:szCs w:val="21"/>
              </w:rPr>
              <w:t>货币要求</w:t>
            </w:r>
          </w:p>
        </w:tc>
        <w:tc>
          <w:tcPr>
            <w:tcW w:w="6857" w:type="dxa"/>
            <w:vAlign w:val="center"/>
          </w:tcPr>
          <w:p>
            <w:pPr>
              <w:keepNext/>
              <w:widowControl/>
              <w:jc w:val="left"/>
              <w:rPr>
                <w:rFonts w:hint="eastAsia" w:ascii="宋体" w:cs="宋体"/>
                <w:kern w:val="0"/>
                <w:szCs w:val="21"/>
              </w:rPr>
            </w:pPr>
            <w:r>
              <w:rPr>
                <w:rFonts w:hint="eastAsia" w:ascii="宋体" w:cs="宋体"/>
                <w:kern w:val="0"/>
                <w:szCs w:val="21"/>
              </w:rPr>
              <w:sym w:font="Wingdings" w:char="00FE"/>
            </w:r>
            <w:r>
              <w:rPr>
                <w:rFonts w:hint="eastAsia" w:ascii="宋体" w:cs="宋体"/>
                <w:kern w:val="0"/>
                <w:szCs w:val="21"/>
              </w:rPr>
              <w:t>所有投标均按</w:t>
            </w:r>
            <w:r>
              <w:rPr>
                <w:rFonts w:hint="eastAsia" w:ascii="宋体" w:cs="宋体"/>
                <w:kern w:val="0"/>
                <w:szCs w:val="21"/>
                <w:u w:val="single"/>
              </w:rPr>
              <w:t xml:space="preserve"> 人民币 </w:t>
            </w:r>
            <w:r>
              <w:rPr>
                <w:rFonts w:hint="eastAsia" w:ascii="宋体" w:cs="宋体"/>
                <w:kern w:val="0"/>
                <w:szCs w:val="21"/>
              </w:rPr>
              <w:t>货币进行报价。</w:t>
            </w:r>
          </w:p>
          <w:p>
            <w:pPr>
              <w:keepNext/>
              <w:widowControl/>
              <w:jc w:val="left"/>
              <w:rPr>
                <w:rFonts w:hint="eastAsia" w:ascii="宋体" w:cs="宋体"/>
                <w:kern w:val="0"/>
                <w:szCs w:val="21"/>
              </w:rPr>
            </w:pPr>
            <w:r>
              <w:rPr>
                <w:rFonts w:hint="eastAsia" w:ascii="宋体" w:cs="宋体"/>
                <w:kern w:val="0"/>
                <w:szCs w:val="21"/>
              </w:rPr>
              <w:sym w:font="Wingdings" w:char="00A8"/>
            </w:r>
            <w:r>
              <w:rPr>
                <w:rFonts w:hint="eastAsia" w:ascii="宋体" w:cs="宋体"/>
                <w:kern w:val="0"/>
                <w:szCs w:val="21"/>
              </w:rPr>
              <w:t xml:space="preserve">其它：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13</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招标文件费</w:t>
            </w:r>
          </w:p>
        </w:tc>
        <w:tc>
          <w:tcPr>
            <w:tcW w:w="6857" w:type="dxa"/>
            <w:vAlign w:val="center"/>
          </w:tcPr>
          <w:p>
            <w:pPr>
              <w:keepNext/>
              <w:widowControl/>
              <w:jc w:val="left"/>
              <w:rPr>
                <w:rFonts w:hint="eastAsia" w:ascii="宋体" w:cs="宋体"/>
                <w:kern w:val="0"/>
                <w:szCs w:val="21"/>
              </w:rPr>
            </w:pPr>
            <w:r>
              <w:rPr>
                <w:rFonts w:hint="eastAsia" w:ascii="宋体" w:cs="宋体"/>
                <w:kern w:val="0"/>
                <w:szCs w:val="21"/>
              </w:rPr>
              <w:t>300元</w:t>
            </w:r>
            <w:r>
              <w:rPr>
                <w:rFonts w:hint="eastAsia" w:ascii="宋体" w:cs="宋体"/>
                <w:kern w:val="0"/>
                <w:szCs w:val="21"/>
                <w:lang w:val="en-US" w:eastAsia="zh-CN"/>
              </w:rPr>
              <w:t>,</w:t>
            </w:r>
            <w:r>
              <w:rPr>
                <w:rFonts w:hint="eastAsia" w:ascii="宋体" w:cs="宋体"/>
                <w:kern w:val="0"/>
                <w:szCs w:val="21"/>
              </w:rPr>
              <w:t>售后不退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14</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方式</w:t>
            </w:r>
          </w:p>
        </w:tc>
        <w:tc>
          <w:tcPr>
            <w:tcW w:w="6857" w:type="dxa"/>
            <w:vAlign w:val="center"/>
          </w:tcPr>
          <w:p>
            <w:pPr>
              <w:keepNext/>
              <w:widowControl/>
              <w:jc w:val="left"/>
              <w:rPr>
                <w:rFonts w:hint="eastAsia" w:ascii="宋体" w:cs="宋体"/>
                <w:kern w:val="0"/>
                <w:szCs w:val="21"/>
              </w:rPr>
            </w:pPr>
            <w:r>
              <w:rPr>
                <w:rFonts w:hint="eastAsia" w:ascii="宋体" w:cs="宋体"/>
                <w:kern w:val="0"/>
                <w:szCs w:val="21"/>
                <w:lang w:val="en-US" w:eastAsia="zh-CN"/>
              </w:rPr>
              <w:t>线下获取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15</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投标保证金</w:t>
            </w:r>
          </w:p>
        </w:tc>
        <w:tc>
          <w:tcPr>
            <w:tcW w:w="6857" w:type="dxa"/>
            <w:vAlign w:val="center"/>
          </w:tcPr>
          <w:p>
            <w:pPr>
              <w:keepNext/>
              <w:widowControl/>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kern w:val="0"/>
                <w:szCs w:val="21"/>
                <w:lang w:val="en-US" w:eastAsia="zh-CN"/>
              </w:rPr>
              <w:t>1、</w:t>
            </w:r>
            <w:r>
              <w:rPr>
                <w:rFonts w:hint="eastAsia" w:asciiTheme="minorEastAsia" w:hAnsiTheme="minorEastAsia" w:eastAsiaTheme="minorEastAsia" w:cstheme="minorEastAsia"/>
                <w:b/>
                <w:bCs/>
                <w:kern w:val="0"/>
                <w:szCs w:val="21"/>
              </w:rPr>
              <w:t>投标保证金金额：</w:t>
            </w:r>
            <w:r>
              <w:rPr>
                <w:rFonts w:hint="eastAsia" w:asciiTheme="minorEastAsia" w:hAnsiTheme="minorEastAsia" w:eastAsiaTheme="minorEastAsia" w:cstheme="minorEastAsia"/>
                <w:b/>
                <w:bCs/>
                <w:kern w:val="0"/>
                <w:szCs w:val="21"/>
                <w:lang w:val="en-US" w:eastAsia="zh-CN"/>
              </w:rPr>
              <w:t>5000</w:t>
            </w:r>
            <w:r>
              <w:rPr>
                <w:rFonts w:hint="eastAsia" w:asciiTheme="minorEastAsia" w:hAnsiTheme="minorEastAsia" w:eastAsiaTheme="minorEastAsia" w:cstheme="minorEastAsia"/>
                <w:b/>
                <w:bCs/>
                <w:kern w:val="0"/>
                <w:szCs w:val="21"/>
              </w:rPr>
              <w:t>元</w:t>
            </w:r>
            <w:r>
              <w:rPr>
                <w:rFonts w:hint="eastAsia" w:asciiTheme="minorEastAsia" w:hAnsiTheme="minorEastAsia" w:eastAsiaTheme="minorEastAsia" w:cstheme="minorEastAsia"/>
                <w:b/>
                <w:bCs/>
              </w:rPr>
              <w:t>（以到账时间为准）</w:t>
            </w:r>
          </w:p>
          <w:p>
            <w:pPr>
              <w:keepNext/>
              <w:widowControl/>
              <w:ind w:firstLine="420" w:firstLineChars="200"/>
              <w:jc w:val="left"/>
              <w:rPr>
                <w:rFonts w:asciiTheme="minorEastAsia" w:hAnsiTheme="minorEastAsia" w:eastAsiaTheme="minorEastAsia" w:cstheme="minorEastAsia"/>
              </w:rPr>
            </w:pPr>
            <w:r>
              <w:rPr>
                <w:rFonts w:hint="eastAsia" w:ascii="宋体" w:hAnsi="宋体" w:cs="宋体"/>
                <w:kern w:val="0"/>
                <w:szCs w:val="21"/>
              </w:rPr>
              <w:t>①</w:t>
            </w:r>
            <w:r>
              <w:rPr>
                <w:rFonts w:hint="eastAsia" w:asciiTheme="minorEastAsia" w:hAnsiTheme="minorEastAsia" w:eastAsiaTheme="minorEastAsia" w:cstheme="minorEastAsia"/>
              </w:rPr>
              <w:t>投标保证金以电汇、网银等形式提交的，应在投标截止时间前以投标人的基本账户一次性汇入以下保证金账户。</w:t>
            </w:r>
          </w:p>
          <w:p>
            <w:pPr>
              <w:keepNext/>
              <w:widowControl/>
              <w:ind w:firstLine="420" w:firstLineChars="200"/>
              <w:jc w:val="left"/>
              <w:rPr>
                <w:rFonts w:asciiTheme="minorEastAsia" w:hAnsiTheme="minorEastAsia" w:eastAsiaTheme="minorEastAsia" w:cstheme="minorEastAsia"/>
              </w:rPr>
            </w:pPr>
            <w:r>
              <w:rPr>
                <w:rFonts w:hint="eastAsia" w:ascii="宋体" w:hAnsi="宋体" w:cs="宋体"/>
                <w:kern w:val="0"/>
                <w:szCs w:val="21"/>
              </w:rPr>
              <w:t>②</w:t>
            </w:r>
            <w:r>
              <w:rPr>
                <w:rFonts w:hint="eastAsia" w:asciiTheme="minorEastAsia" w:hAnsiTheme="minorEastAsia" w:eastAsiaTheme="minorEastAsia" w:cstheme="minorEastAsia"/>
              </w:rPr>
              <w:t>投标保证金以保函等票据形式提交的，金融机构、担保机构出具的票据原件须扫描，标书内须附有此票据凭证。</w:t>
            </w:r>
          </w:p>
          <w:p>
            <w:pPr>
              <w:keepNext/>
              <w:widowControl/>
              <w:ind w:firstLine="420" w:firstLineChars="200"/>
              <w:jc w:val="left"/>
              <w:rPr>
                <w:rFonts w:asciiTheme="minorEastAsia" w:hAnsiTheme="minorEastAsia" w:eastAsiaTheme="minorEastAsia" w:cstheme="minorEastAsia"/>
              </w:rPr>
            </w:pPr>
            <w:r>
              <w:rPr>
                <w:rFonts w:hint="eastAsia" w:ascii="宋体" w:hAnsi="宋体" w:cs="宋体"/>
              </w:rPr>
              <w:t>③</w:t>
            </w:r>
            <w:r>
              <w:rPr>
                <w:rFonts w:hint="eastAsia" w:asciiTheme="minorEastAsia" w:hAnsiTheme="minorEastAsia" w:eastAsiaTheme="minorEastAsia" w:cstheme="minorEastAsia"/>
              </w:rPr>
              <w:t>确认到账后，持基本户开户许可证（基本存款账户信息）与招标代理机构工作人员联系开具投标保证金收据并在</w:t>
            </w:r>
            <w:r>
              <w:rPr>
                <w:rFonts w:hint="eastAsia" w:asciiTheme="minorEastAsia" w:hAnsiTheme="minorEastAsia" w:eastAsiaTheme="minorEastAsia" w:cstheme="minorEastAsia"/>
                <w:b/>
                <w:bCs/>
              </w:rPr>
              <w:t>投标文件中附有此票据凭证</w:t>
            </w:r>
            <w:r>
              <w:rPr>
                <w:rFonts w:hint="eastAsia" w:asciiTheme="minorEastAsia" w:hAnsiTheme="minorEastAsia" w:eastAsiaTheme="minorEastAsia" w:cstheme="minorEastAsia"/>
              </w:rPr>
              <w:t>。</w:t>
            </w:r>
          </w:p>
          <w:p>
            <w:pPr>
              <w:ind w:left="422" w:hanging="422" w:hangingChars="200"/>
              <w:rPr>
                <w:rFonts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2、</w:t>
            </w:r>
            <w:r>
              <w:rPr>
                <w:rFonts w:hint="eastAsia" w:asciiTheme="minorEastAsia" w:hAnsiTheme="minorEastAsia" w:eastAsiaTheme="minorEastAsia" w:cstheme="minorEastAsia"/>
                <w:b/>
                <w:bCs/>
              </w:rPr>
              <w:t>保证金账户：</w:t>
            </w:r>
            <w:r>
              <w:rPr>
                <w:rFonts w:hint="eastAsia" w:asciiTheme="minorEastAsia" w:hAnsiTheme="minorEastAsia" w:eastAsiaTheme="minorEastAsia" w:cstheme="minorEastAsia"/>
                <w:b/>
                <w:bCs/>
              </w:rPr>
              <w:br w:type="textWrapping"/>
            </w:r>
            <w:r>
              <w:rPr>
                <w:rFonts w:hint="eastAsia" w:asciiTheme="minorEastAsia" w:hAnsiTheme="minorEastAsia" w:eastAsiaTheme="minorEastAsia" w:cstheme="minorEastAsia"/>
              </w:rPr>
              <w:t>名称：新疆世纪华中工程项目管理有限公司</w:t>
            </w:r>
          </w:p>
          <w:p>
            <w:pPr>
              <w:ind w:left="420" w:leftChars="200"/>
              <w:rPr>
                <w:rFonts w:asciiTheme="minorEastAsia" w:hAnsiTheme="minorEastAsia" w:eastAsiaTheme="minorEastAsia" w:cstheme="minorEastAsia"/>
              </w:rPr>
            </w:pPr>
            <w:r>
              <w:rPr>
                <w:rFonts w:hint="eastAsia" w:asciiTheme="minorEastAsia" w:hAnsiTheme="minorEastAsia" w:eastAsiaTheme="minorEastAsia" w:cstheme="minorEastAsia"/>
              </w:rPr>
              <w:t>账号：807010012010124364078</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行名：新疆天山农村商业银行米东区支行 </w:t>
            </w:r>
          </w:p>
          <w:p>
            <w:pPr>
              <w:snapToGrid w:val="0"/>
              <w:spacing w:line="290" w:lineRule="exact"/>
              <w:ind w:firstLine="420"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rPr>
              <w:t xml:space="preserve">行号：402885200018   </w:t>
            </w:r>
            <w:r>
              <w:rPr>
                <w:rFonts w:hint="eastAsia" w:asciiTheme="minorEastAsia" w:hAnsiTheme="minorEastAsia" w:eastAsiaTheme="minorEastAsia" w:cstheme="minorEastAsia"/>
                <w:b/>
                <w:bCs/>
              </w:rPr>
              <w:t xml:space="preserve">  </w:t>
            </w:r>
          </w:p>
          <w:p>
            <w:pPr>
              <w:keepNext/>
              <w:widowControl/>
              <w:numPr>
                <w:ilvl w:val="0"/>
                <w:numId w:val="0"/>
              </w:numPr>
              <w:ind w:left="422" w:hanging="422" w:hanging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3、</w:t>
            </w:r>
            <w:r>
              <w:rPr>
                <w:rFonts w:hint="eastAsia" w:asciiTheme="minorEastAsia" w:hAnsiTheme="minorEastAsia" w:eastAsiaTheme="minorEastAsia" w:cstheme="minorEastAsia"/>
                <w:b/>
                <w:bCs/>
              </w:rPr>
              <w:t>保证金退还方式：</w:t>
            </w:r>
            <w:r>
              <w:rPr>
                <w:rFonts w:hint="eastAsia" w:asciiTheme="minorEastAsia" w:hAnsiTheme="minorEastAsia" w:eastAsiaTheme="minorEastAsia" w:cstheme="minorEastAsia"/>
                <w:b/>
                <w:bCs/>
              </w:rPr>
              <w:br w:type="textWrapping"/>
            </w:r>
            <w:r>
              <w:rPr>
                <w:rFonts w:hint="eastAsia" w:asciiTheme="minorEastAsia" w:hAnsiTheme="minorEastAsia" w:eastAsiaTheme="minorEastAsia" w:cstheme="minorEastAsia"/>
              </w:rPr>
              <w:t>原账户返还</w:t>
            </w:r>
          </w:p>
          <w:p>
            <w:pPr>
              <w:keepNext/>
              <w:widowControl/>
              <w:numPr>
                <w:ilvl w:val="0"/>
                <w:numId w:val="0"/>
              </w:numPr>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lang w:val="en-US" w:eastAsia="zh-CN"/>
              </w:rPr>
              <w:t>4、</w:t>
            </w:r>
            <w:r>
              <w:rPr>
                <w:rFonts w:hint="eastAsia" w:asciiTheme="minorEastAsia" w:hAnsiTheme="minorEastAsia" w:eastAsiaTheme="minorEastAsia" w:cstheme="minorEastAsia"/>
                <w:b/>
                <w:bCs/>
              </w:rPr>
              <w:t>特别提示：</w:t>
            </w:r>
          </w:p>
          <w:p>
            <w:pPr>
              <w:keepNext/>
              <w:widowControl/>
              <w:ind w:firstLine="420" w:firstLineChars="200"/>
              <w:jc w:val="left"/>
              <w:rPr>
                <w:rFonts w:asciiTheme="minorEastAsia" w:hAnsiTheme="minorEastAsia" w:eastAsiaTheme="minorEastAsia" w:cstheme="minorEastAsia"/>
              </w:rPr>
            </w:pPr>
            <w:r>
              <w:rPr>
                <w:rFonts w:hint="eastAsia" w:ascii="宋体" w:hAnsi="宋体" w:cs="宋体"/>
                <w:kern w:val="0"/>
                <w:szCs w:val="21"/>
              </w:rPr>
              <w:t>①</w:t>
            </w:r>
            <w:r>
              <w:rPr>
                <w:rFonts w:hint="eastAsia" w:asciiTheme="minorEastAsia" w:hAnsiTheme="minorEastAsia" w:eastAsiaTheme="minorEastAsia" w:cstheme="minorEastAsia"/>
              </w:rPr>
              <w:t>投标人应认真核对账户信息，将投标保证金汇入以上账户，并自行承担因汇错投标保证金而产生的一切后果。</w:t>
            </w:r>
          </w:p>
          <w:p>
            <w:pPr>
              <w:ind w:firstLine="420" w:firstLineChars="200"/>
              <w:rPr>
                <w:rFonts w:hint="eastAsia" w:ascii="宋体" w:cs="宋体"/>
                <w:kern w:val="0"/>
                <w:szCs w:val="21"/>
              </w:rPr>
            </w:pPr>
            <w:r>
              <w:rPr>
                <w:rFonts w:hint="eastAsia" w:ascii="宋体" w:hAnsi="宋体" w:cs="宋体"/>
                <w:kern w:val="0"/>
                <w:szCs w:val="21"/>
              </w:rPr>
              <w:t>②投标人在转账或电汇的凭证上应按照以下格式注明</w:t>
            </w:r>
            <w:r>
              <w:rPr>
                <w:rFonts w:hint="eastAsia" w:asciiTheme="minorEastAsia" w:hAnsiTheme="minorEastAsia" w:eastAsiaTheme="minorEastAsia" w:cstheme="minorEastAsia"/>
                <w:szCs w:val="21"/>
              </w:rPr>
              <w:t>（xx项目第X标包保证金）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宋体" w:eastAsia="宋体"/>
                <w:kern w:val="0"/>
                <w:szCs w:val="21"/>
                <w:lang w:val="en-US" w:eastAsia="zh-CN"/>
              </w:rPr>
            </w:pPr>
            <w:r>
              <w:rPr>
                <w:rFonts w:hint="eastAsia" w:ascii="宋体"/>
                <w:kern w:val="0"/>
                <w:szCs w:val="21"/>
                <w:lang w:val="en-US" w:eastAsia="zh-CN"/>
              </w:rPr>
              <w:t>16</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投标文件</w:t>
            </w:r>
          </w:p>
          <w:p>
            <w:pPr>
              <w:keepNext/>
              <w:widowControl/>
              <w:jc w:val="distribute"/>
              <w:rPr>
                <w:rFonts w:ascii="黑体" w:eastAsia="黑体" w:cs="黑体"/>
                <w:kern w:val="0"/>
                <w:szCs w:val="21"/>
              </w:rPr>
            </w:pPr>
            <w:r>
              <w:rPr>
                <w:rFonts w:hint="eastAsia" w:ascii="黑体" w:eastAsia="黑体" w:cs="黑体"/>
                <w:kern w:val="0"/>
                <w:szCs w:val="21"/>
              </w:rPr>
              <w:t>的获取</w:t>
            </w:r>
          </w:p>
        </w:tc>
        <w:tc>
          <w:tcPr>
            <w:tcW w:w="6857" w:type="dxa"/>
            <w:vAlign w:val="center"/>
          </w:tcPr>
          <w:p>
            <w:pPr>
              <w:keepNext/>
              <w:widowControl/>
              <w:jc w:val="left"/>
              <w:rPr>
                <w:rFonts w:hint="eastAsia" w:ascii="宋体" w:cs="宋体"/>
                <w:kern w:val="0"/>
                <w:szCs w:val="21"/>
              </w:rPr>
            </w:pPr>
            <w:r>
              <w:rPr>
                <w:rFonts w:hint="eastAsia" w:ascii="宋体" w:cs="宋体"/>
                <w:kern w:val="0"/>
                <w:szCs w:val="21"/>
              </w:rPr>
              <w:t>时间：2022年</w:t>
            </w:r>
            <w:r>
              <w:rPr>
                <w:rFonts w:hint="eastAsia" w:ascii="宋体" w:cs="宋体"/>
                <w:kern w:val="0"/>
                <w:szCs w:val="21"/>
                <w:lang w:val="en-US" w:eastAsia="zh-CN"/>
              </w:rPr>
              <w:t xml:space="preserve"> 10</w:t>
            </w:r>
            <w:r>
              <w:rPr>
                <w:rFonts w:hint="eastAsia" w:ascii="宋体" w:cs="宋体"/>
                <w:kern w:val="0"/>
                <w:szCs w:val="21"/>
              </w:rPr>
              <w:t>月</w:t>
            </w:r>
            <w:r>
              <w:rPr>
                <w:rFonts w:hint="eastAsia" w:ascii="宋体" w:cs="宋体"/>
                <w:kern w:val="0"/>
                <w:szCs w:val="21"/>
                <w:lang w:val="en-US" w:eastAsia="zh-CN"/>
              </w:rPr>
              <w:t>25</w:t>
            </w:r>
            <w:r>
              <w:rPr>
                <w:rFonts w:hint="eastAsia" w:ascii="宋体" w:cs="宋体"/>
                <w:kern w:val="0"/>
                <w:szCs w:val="21"/>
              </w:rPr>
              <w:t>日至2022年</w:t>
            </w:r>
            <w:r>
              <w:rPr>
                <w:rFonts w:hint="eastAsia" w:ascii="宋体" w:cs="宋体"/>
                <w:kern w:val="0"/>
                <w:szCs w:val="21"/>
                <w:lang w:val="en-US" w:eastAsia="zh-CN"/>
              </w:rPr>
              <w:t xml:space="preserve"> 11</w:t>
            </w:r>
            <w:r>
              <w:rPr>
                <w:rFonts w:hint="eastAsia" w:ascii="宋体" w:cs="宋体"/>
                <w:kern w:val="0"/>
                <w:szCs w:val="21"/>
              </w:rPr>
              <w:t>月</w:t>
            </w:r>
            <w:r>
              <w:rPr>
                <w:rFonts w:hint="eastAsia" w:ascii="宋体" w:cs="宋体"/>
                <w:kern w:val="0"/>
                <w:szCs w:val="21"/>
                <w:lang w:val="en-US" w:eastAsia="zh-CN"/>
              </w:rPr>
              <w:t>1</w:t>
            </w:r>
            <w:r>
              <w:rPr>
                <w:rFonts w:hint="eastAsia" w:ascii="宋体" w:cs="宋体"/>
                <w:kern w:val="0"/>
                <w:szCs w:val="21"/>
              </w:rPr>
              <w:t>日（北京时间，法定节假日除外）</w:t>
            </w:r>
          </w:p>
          <w:p>
            <w:pPr>
              <w:keepNext/>
              <w:widowControl/>
              <w:jc w:val="left"/>
              <w:rPr>
                <w:rFonts w:hint="eastAsia" w:ascii="宋体" w:cs="宋体"/>
                <w:kern w:val="0"/>
                <w:szCs w:val="21"/>
              </w:rPr>
            </w:pPr>
            <w:r>
              <w:rPr>
                <w:rFonts w:hint="eastAsia" w:ascii="宋体" w:cs="宋体"/>
                <w:kern w:val="0"/>
                <w:szCs w:val="21"/>
              </w:rPr>
              <w:t>每天上午10:30至13:30，下午15:30至18:00</w:t>
            </w:r>
          </w:p>
          <w:p>
            <w:pPr>
              <w:keepNext/>
              <w:widowControl/>
              <w:jc w:val="left"/>
              <w:rPr>
                <w:rFonts w:ascii="宋体" w:cs="宋体"/>
                <w:color w:val="0000FF"/>
                <w:kern w:val="0"/>
                <w:szCs w:val="21"/>
              </w:rPr>
            </w:pPr>
            <w:r>
              <w:rPr>
                <w:rFonts w:hint="eastAsia" w:ascii="宋体" w:cs="宋体"/>
                <w:kern w:val="0"/>
                <w:szCs w:val="21"/>
              </w:rPr>
              <w:t>地点：乌鲁木齐米东区中颐北路乾和家园F区F14号楼1-3单元303室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restart"/>
            <w:tcBorders>
              <w:top w:val="single" w:color="auto" w:sz="4" w:space="0"/>
              <w:bottom w:val="single" w:color="auto" w:sz="4" w:space="0"/>
            </w:tcBorders>
            <w:vAlign w:val="center"/>
          </w:tcPr>
          <w:p>
            <w:pPr>
              <w:jc w:val="center"/>
              <w:rPr>
                <w:rFonts w:hint="default" w:ascii="宋体" w:eastAsia="宋体"/>
                <w:kern w:val="0"/>
                <w:szCs w:val="21"/>
                <w:lang w:val="en-US" w:eastAsia="zh-CN"/>
              </w:rPr>
            </w:pPr>
            <w:r>
              <w:rPr>
                <w:rFonts w:hint="eastAsia" w:ascii="宋体"/>
                <w:kern w:val="0"/>
                <w:szCs w:val="21"/>
                <w:lang w:val="en-US" w:eastAsia="zh-CN"/>
              </w:rPr>
              <w:t>17</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递交投标（响应）文件截止时间、地点</w:t>
            </w:r>
          </w:p>
        </w:tc>
        <w:tc>
          <w:tcPr>
            <w:tcW w:w="6857" w:type="dxa"/>
            <w:vAlign w:val="center"/>
          </w:tcPr>
          <w:p>
            <w:pPr>
              <w:keepNext/>
              <w:widowControl/>
              <w:jc w:val="left"/>
              <w:rPr>
                <w:rFonts w:hint="eastAsia" w:ascii="宋体" w:cs="宋体"/>
                <w:kern w:val="0"/>
                <w:szCs w:val="21"/>
              </w:rPr>
            </w:pPr>
            <w:r>
              <w:rPr>
                <w:rFonts w:hint="eastAsia" w:ascii="宋体" w:cs="宋体"/>
                <w:kern w:val="0"/>
                <w:szCs w:val="21"/>
              </w:rPr>
              <w:t>截止时间：2022年</w:t>
            </w:r>
            <w:r>
              <w:rPr>
                <w:rFonts w:hint="eastAsia" w:ascii="宋体" w:cs="宋体"/>
                <w:kern w:val="0"/>
                <w:szCs w:val="21"/>
                <w:lang w:val="en-US" w:eastAsia="zh-CN"/>
              </w:rPr>
              <w:t xml:space="preserve"> 11</w:t>
            </w:r>
            <w:r>
              <w:rPr>
                <w:rFonts w:hint="eastAsia" w:ascii="宋体" w:cs="宋体"/>
                <w:kern w:val="0"/>
                <w:szCs w:val="21"/>
              </w:rPr>
              <w:t>月</w:t>
            </w:r>
            <w:r>
              <w:rPr>
                <w:rFonts w:hint="eastAsia" w:ascii="宋体" w:cs="宋体"/>
                <w:kern w:val="0"/>
                <w:szCs w:val="21"/>
                <w:lang w:val="en-US" w:eastAsia="zh-CN"/>
              </w:rPr>
              <w:t>15</w:t>
            </w:r>
            <w:r>
              <w:rPr>
                <w:rFonts w:hint="eastAsia" w:ascii="宋体" w:cs="宋体"/>
                <w:kern w:val="0"/>
                <w:szCs w:val="21"/>
              </w:rPr>
              <w:t>日11:00（北京时间）</w:t>
            </w:r>
          </w:p>
          <w:p>
            <w:pPr>
              <w:keepNext/>
              <w:widowControl/>
              <w:jc w:val="left"/>
              <w:rPr>
                <w:rFonts w:ascii="宋体" w:cs="宋体"/>
                <w:kern w:val="0"/>
                <w:szCs w:val="21"/>
              </w:rPr>
            </w:pPr>
            <w:r>
              <w:rPr>
                <w:rFonts w:hint="eastAsia" w:ascii="宋体" w:cs="宋体"/>
                <w:kern w:val="0"/>
                <w:szCs w:val="21"/>
              </w:rPr>
              <w:t>地点：乌鲁木齐市米东区中颐北路乾和家园F区F14号楼1-3单元303室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continue"/>
            <w:tcBorders>
              <w:top w:val="single" w:color="auto" w:sz="4" w:space="0"/>
              <w:bottom w:val="single" w:color="auto" w:sz="4" w:space="0"/>
            </w:tcBorders>
            <w:vAlign w:val="center"/>
          </w:tcP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开标时间、</w:t>
            </w:r>
          </w:p>
          <w:p>
            <w:pPr>
              <w:keepNext/>
              <w:widowControl/>
              <w:jc w:val="distribute"/>
              <w:rPr>
                <w:rFonts w:hint="eastAsia" w:ascii="黑体" w:eastAsia="黑体" w:cs="黑体"/>
                <w:kern w:val="0"/>
                <w:szCs w:val="21"/>
              </w:rPr>
            </w:pPr>
            <w:r>
              <w:rPr>
                <w:rFonts w:hint="eastAsia" w:ascii="黑体" w:eastAsia="黑体" w:cs="黑体"/>
                <w:kern w:val="0"/>
                <w:szCs w:val="21"/>
              </w:rPr>
              <w:t>地点</w:t>
            </w:r>
          </w:p>
        </w:tc>
        <w:tc>
          <w:tcPr>
            <w:tcW w:w="6857" w:type="dxa"/>
            <w:vAlign w:val="center"/>
          </w:tcPr>
          <w:p>
            <w:pPr>
              <w:keepNext/>
              <w:widowControl/>
              <w:jc w:val="left"/>
              <w:rPr>
                <w:rFonts w:hint="eastAsia" w:ascii="宋体" w:cs="宋体"/>
                <w:kern w:val="0"/>
                <w:szCs w:val="21"/>
              </w:rPr>
            </w:pPr>
            <w:r>
              <w:rPr>
                <w:rFonts w:hint="eastAsia" w:ascii="宋体" w:cs="宋体"/>
                <w:kern w:val="0"/>
                <w:szCs w:val="21"/>
              </w:rPr>
              <w:t>时间：2022年</w:t>
            </w:r>
            <w:r>
              <w:rPr>
                <w:rFonts w:hint="eastAsia" w:ascii="宋体" w:cs="宋体"/>
                <w:kern w:val="0"/>
                <w:szCs w:val="21"/>
                <w:lang w:val="en-US" w:eastAsia="zh-CN"/>
              </w:rPr>
              <w:t xml:space="preserve"> 11</w:t>
            </w:r>
            <w:r>
              <w:rPr>
                <w:rFonts w:hint="eastAsia" w:ascii="宋体" w:cs="宋体"/>
                <w:kern w:val="0"/>
                <w:szCs w:val="21"/>
              </w:rPr>
              <w:t>月</w:t>
            </w:r>
            <w:r>
              <w:rPr>
                <w:rFonts w:hint="eastAsia" w:ascii="宋体" w:cs="宋体"/>
                <w:kern w:val="0"/>
                <w:szCs w:val="21"/>
                <w:lang w:val="en-US" w:eastAsia="zh-CN"/>
              </w:rPr>
              <w:t>15</w:t>
            </w:r>
            <w:r>
              <w:rPr>
                <w:rFonts w:hint="eastAsia" w:ascii="宋体" w:cs="宋体"/>
                <w:kern w:val="0"/>
                <w:szCs w:val="21"/>
              </w:rPr>
              <w:t>日11:00（北京时间）</w:t>
            </w:r>
          </w:p>
          <w:p>
            <w:pPr>
              <w:keepNext/>
              <w:widowControl/>
              <w:jc w:val="left"/>
              <w:rPr>
                <w:rFonts w:ascii="宋体" w:cs="宋体"/>
                <w:kern w:val="0"/>
                <w:szCs w:val="21"/>
              </w:rPr>
            </w:pPr>
            <w:r>
              <w:rPr>
                <w:rFonts w:hint="eastAsia" w:ascii="宋体" w:cs="宋体"/>
                <w:kern w:val="0"/>
                <w:szCs w:val="21"/>
              </w:rPr>
              <w:t>地点：乌鲁木齐市米东区中颐北路乾和家园F区F14号楼1-3单元303室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eastAsia="宋体"/>
                <w:kern w:val="0"/>
                <w:szCs w:val="21"/>
                <w:lang w:val="en-US" w:eastAsia="zh-CN"/>
              </w:rPr>
            </w:pPr>
            <w:r>
              <w:rPr>
                <w:rFonts w:hint="eastAsia" w:ascii="宋体"/>
                <w:kern w:val="0"/>
                <w:szCs w:val="21"/>
                <w:lang w:val="en-US" w:eastAsia="zh-CN"/>
              </w:rPr>
              <w:t>18</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投标文件份数</w:t>
            </w:r>
          </w:p>
        </w:tc>
        <w:tc>
          <w:tcPr>
            <w:tcW w:w="6857" w:type="dxa"/>
            <w:vAlign w:val="center"/>
          </w:tcPr>
          <w:p>
            <w:pPr>
              <w:keepNext/>
              <w:widowControl/>
              <w:jc w:val="left"/>
              <w:rPr>
                <w:rFonts w:hint="eastAsia"/>
              </w:rPr>
            </w:pPr>
            <w:r>
              <w:rPr>
                <w:rFonts w:hint="eastAsia"/>
              </w:rPr>
              <w:t>投标响应性文件必须提交纸质版与电子版。</w:t>
            </w:r>
          </w:p>
          <w:p>
            <w:pPr>
              <w:jc w:val="left"/>
            </w:pPr>
            <w:r>
              <w:rPr>
                <w:rFonts w:hint="eastAsia"/>
                <w:lang w:val="en-US" w:eastAsia="zh-CN"/>
              </w:rPr>
              <w:t>1、</w:t>
            </w:r>
            <w:r>
              <w:rPr>
                <w:rFonts w:hint="eastAsia"/>
              </w:rPr>
              <w:t>正本纸质版文件：正本1份，副本 4 份，正、副本一起封装；</w:t>
            </w:r>
          </w:p>
          <w:p>
            <w:pPr>
              <w:jc w:val="left"/>
            </w:pPr>
            <w:r>
              <w:rPr>
                <w:rFonts w:hint="eastAsia"/>
                <w:lang w:val="en-US" w:eastAsia="zh-CN"/>
              </w:rPr>
              <w:t>2、</w:t>
            </w:r>
            <w:r>
              <w:rPr>
                <w:rFonts w:hint="eastAsia"/>
              </w:rPr>
              <w:t xml:space="preserve">电子版文件：1份，以U盘形式递交，文件格式为正本签署并加盖公章扫描后的PDF文件和Word可编辑格式，U盘内不得附带任何与本次招标无关内容，与开标一览表（报价表）一起封装； </w:t>
            </w:r>
          </w:p>
          <w:p>
            <w:pPr>
              <w:jc w:val="left"/>
            </w:pPr>
            <w:r>
              <w:rPr>
                <w:rFonts w:hint="eastAsia"/>
                <w:lang w:val="en-US" w:eastAsia="zh-CN"/>
              </w:rPr>
              <w:t>3、</w:t>
            </w:r>
            <w:r>
              <w:rPr>
                <w:rFonts w:hint="eastAsia"/>
              </w:rPr>
              <w:t xml:space="preserve">开标一览表（报价表）：1份，与含电子版文件的U盘一起封装； </w:t>
            </w:r>
          </w:p>
          <w:p>
            <w:pPr>
              <w:keepNext/>
              <w:widowControl/>
              <w:jc w:val="left"/>
              <w:rPr>
                <w:rFonts w:hint="default" w:eastAsia="宋体"/>
                <w:lang w:val="en-US" w:eastAsia="zh-CN"/>
              </w:rPr>
            </w:pPr>
            <w:r>
              <w:rPr>
                <w:rFonts w:hint="eastAsia"/>
                <w:lang w:val="en-US" w:eastAsia="zh-CN"/>
              </w:rPr>
              <w:t>4、</w:t>
            </w:r>
            <w:r>
              <w:rPr>
                <w:rFonts w:hint="eastAsia"/>
              </w:rPr>
              <w:t>如不满足以上要求，投标响应文件无效。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kern w:val="0"/>
                <w:szCs w:val="21"/>
                <w:lang w:val="en-US" w:eastAsia="zh-CN"/>
              </w:rPr>
            </w:pPr>
            <w:r>
              <w:rPr>
                <w:rFonts w:hint="eastAsia" w:ascii="宋体"/>
                <w:kern w:val="0"/>
                <w:szCs w:val="21"/>
                <w:lang w:val="en-US" w:eastAsia="zh-CN"/>
              </w:rPr>
              <w:t>19</w:t>
            </w:r>
          </w:p>
        </w:tc>
        <w:tc>
          <w:tcPr>
            <w:tcW w:w="1410" w:type="dxa"/>
            <w:vAlign w:val="center"/>
          </w:tcPr>
          <w:p>
            <w:pPr>
              <w:widowControl/>
              <w:jc w:val="center"/>
              <w:rPr>
                <w:rFonts w:hint="eastAsia" w:ascii="黑体" w:eastAsia="黑体" w:cs="黑体"/>
                <w:kern w:val="0"/>
                <w:szCs w:val="21"/>
              </w:rPr>
            </w:pPr>
            <w:r>
              <w:rPr>
                <w:rFonts w:hint="eastAsia" w:ascii="黑体" w:eastAsia="黑体" w:cs="黑体"/>
                <w:kern w:val="0"/>
                <w:szCs w:val="21"/>
              </w:rPr>
              <w:t>评标办法</w:t>
            </w:r>
          </w:p>
        </w:tc>
        <w:tc>
          <w:tcPr>
            <w:tcW w:w="6857" w:type="dxa"/>
            <w:vAlign w:val="center"/>
          </w:tcPr>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综合评分法</w:t>
            </w:r>
          </w:p>
          <w:p>
            <w:pPr>
              <w:jc w:val="left"/>
              <w:rPr>
                <w:rFonts w:hint="eastAsia" w:ascii="宋体" w:cs="宋体"/>
                <w:b/>
                <w:bCs/>
                <w:kern w:val="0"/>
                <w:szCs w:val="21"/>
                <w:lang w:val="en-US" w:eastAsia="zh-CN"/>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 xml:space="preserve">最低评标价法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kern w:val="0"/>
                <w:szCs w:val="21"/>
                <w:lang w:val="en-US" w:eastAsia="zh-CN"/>
              </w:rPr>
            </w:pPr>
            <w:r>
              <w:rPr>
                <w:rFonts w:hint="eastAsia" w:ascii="宋体"/>
                <w:kern w:val="0"/>
                <w:szCs w:val="21"/>
                <w:lang w:val="en-US" w:eastAsia="zh-CN"/>
              </w:rPr>
              <w:t>20</w:t>
            </w:r>
          </w:p>
        </w:tc>
        <w:tc>
          <w:tcPr>
            <w:tcW w:w="1410" w:type="dxa"/>
            <w:vAlign w:val="center"/>
          </w:tcPr>
          <w:p>
            <w:pPr>
              <w:widowControl/>
              <w:jc w:val="center"/>
              <w:rPr>
                <w:rFonts w:hint="eastAsia" w:ascii="黑体" w:eastAsia="黑体" w:cs="黑体"/>
                <w:kern w:val="0"/>
                <w:szCs w:val="21"/>
              </w:rPr>
            </w:pPr>
            <w:r>
              <w:rPr>
                <w:rFonts w:hint="eastAsia" w:ascii="黑体" w:eastAsia="黑体" w:cs="黑体"/>
                <w:kern w:val="0"/>
                <w:szCs w:val="21"/>
              </w:rPr>
              <w:t>履约保证金</w:t>
            </w:r>
          </w:p>
        </w:tc>
        <w:tc>
          <w:tcPr>
            <w:tcW w:w="6857" w:type="dxa"/>
            <w:vAlign w:val="center"/>
          </w:tcPr>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本项目不收取履约保证金</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本项目收取履约保证金</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履约保证金金额： 政府采购合同金额的10%为履约保证金（如有调整，以采购人意见为准）    </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履约保证金递交时间：       按采购人要求执行     </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履约保证金递交方式：       按采购人要求执行      </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履约保证金退还时间及规定： 按采购人要求执行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kern w:val="0"/>
                <w:szCs w:val="21"/>
                <w:lang w:val="en-US" w:eastAsia="zh-CN"/>
              </w:rPr>
            </w:pPr>
            <w:r>
              <w:rPr>
                <w:rFonts w:hint="eastAsia" w:ascii="宋体"/>
                <w:kern w:val="0"/>
                <w:szCs w:val="21"/>
                <w:lang w:val="en-US" w:eastAsia="zh-CN"/>
              </w:rPr>
              <w:t>21</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投标有效期</w:t>
            </w:r>
          </w:p>
        </w:tc>
        <w:tc>
          <w:tcPr>
            <w:tcW w:w="6857" w:type="dxa"/>
            <w:vAlign w:val="center"/>
          </w:tcPr>
          <w:p>
            <w:pPr>
              <w:jc w:val="left"/>
              <w:rPr>
                <w:rFonts w:hint="eastAsia" w:asciiTheme="minorEastAsia" w:hAnsiTheme="minorEastAsia" w:eastAsiaTheme="minorEastAsia" w:cstheme="minorEastAsia"/>
                <w:kern w:val="0"/>
                <w:szCs w:val="21"/>
              </w:rPr>
            </w:pPr>
            <w:r>
              <w:rPr>
                <w:rFonts w:hint="eastAsia" w:ascii="宋体" w:cs="宋体"/>
                <w:kern w:val="0"/>
                <w:szCs w:val="21"/>
              </w:rPr>
              <w:t>自投标截止之日起</w:t>
            </w:r>
            <w:r>
              <w:rPr>
                <w:rFonts w:hint="eastAsia" w:ascii="宋体" w:cs="宋体"/>
                <w:strike w:val="0"/>
                <w:dstrike w:val="0"/>
                <w:color w:val="000000" w:themeColor="text1"/>
                <w:kern w:val="0"/>
                <w:szCs w:val="21"/>
                <w14:textFill>
                  <w14:solidFill>
                    <w14:schemeClr w14:val="tx1"/>
                  </w14:solidFill>
                </w14:textFill>
              </w:rPr>
              <w:t xml:space="preserve"> 90</w:t>
            </w:r>
            <w:r>
              <w:rPr>
                <w:rFonts w:hint="eastAsia" w:ascii="宋体" w:cs="宋体"/>
                <w:kern w:val="0"/>
                <w:szCs w:val="21"/>
              </w:rPr>
              <w:t>个日历日，有效期不满足要求的投标将被视为非实质性响应投标。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kern w:val="0"/>
                <w:szCs w:val="21"/>
                <w:lang w:val="en-US" w:eastAsia="zh-CN"/>
              </w:rPr>
            </w:pPr>
            <w:r>
              <w:rPr>
                <w:rFonts w:hint="eastAsia" w:ascii="宋体"/>
                <w:kern w:val="0"/>
                <w:szCs w:val="21"/>
                <w:lang w:val="en-US" w:eastAsia="zh-CN"/>
              </w:rPr>
              <w:t>22</w:t>
            </w:r>
          </w:p>
        </w:tc>
        <w:tc>
          <w:tcPr>
            <w:tcW w:w="1410" w:type="dxa"/>
            <w:vAlign w:val="center"/>
          </w:tcPr>
          <w:p>
            <w:pPr>
              <w:jc w:val="distribute"/>
              <w:rPr>
                <w:rFonts w:ascii="黑体" w:eastAsia="黑体" w:cs="黑体"/>
                <w:kern w:val="0"/>
                <w:szCs w:val="21"/>
              </w:rPr>
            </w:pPr>
            <w:r>
              <w:rPr>
                <w:rFonts w:hint="eastAsia" w:ascii="黑体" w:eastAsia="黑体" w:cs="黑体"/>
                <w:kern w:val="0"/>
                <w:szCs w:val="21"/>
              </w:rPr>
              <w:t>评标委员会</w:t>
            </w:r>
          </w:p>
          <w:p>
            <w:pPr>
              <w:jc w:val="distribute"/>
              <w:rPr>
                <w:rFonts w:hint="eastAsia" w:ascii="黑体" w:eastAsia="黑体" w:cs="黑体"/>
                <w:kern w:val="0"/>
                <w:szCs w:val="21"/>
              </w:rPr>
            </w:pPr>
            <w:r>
              <w:rPr>
                <w:rFonts w:hint="eastAsia" w:ascii="黑体" w:eastAsia="黑体" w:cs="黑体"/>
                <w:kern w:val="0"/>
                <w:szCs w:val="21"/>
              </w:rPr>
              <w:t>的组建</w:t>
            </w:r>
          </w:p>
        </w:tc>
        <w:tc>
          <w:tcPr>
            <w:tcW w:w="6857" w:type="dxa"/>
            <w:vAlign w:val="center"/>
          </w:tcPr>
          <w:p>
            <w:pPr>
              <w:jc w:val="left"/>
              <w:rPr>
                <w:rFonts w:ascii="宋体" w:cs="宋体"/>
              </w:rPr>
            </w:pPr>
            <w:r>
              <w:rPr>
                <w:rFonts w:hint="eastAsia" w:ascii="宋体" w:cs="宋体"/>
                <w:szCs w:val="21"/>
              </w:rPr>
              <w:t>1</w:t>
            </w:r>
            <w:r>
              <w:rPr>
                <w:rFonts w:hint="eastAsia" w:ascii="宋体" w:cs="宋体"/>
                <w:szCs w:val="21"/>
                <w:lang w:eastAsia="zh-CN"/>
              </w:rPr>
              <w:t>、</w:t>
            </w:r>
            <w:r>
              <w:rPr>
                <w:rFonts w:hint="eastAsia" w:ascii="宋体" w:cs="宋体"/>
                <w:szCs w:val="21"/>
              </w:rPr>
              <w:t>评标委员会由招标人依法组建；</w:t>
            </w:r>
          </w:p>
          <w:p>
            <w:pPr>
              <w:jc w:val="left"/>
              <w:rPr>
                <w:rFonts w:hint="eastAsia" w:asciiTheme="minorEastAsia" w:hAnsiTheme="minorEastAsia" w:eastAsiaTheme="minorEastAsia" w:cstheme="minorEastAsia"/>
                <w:kern w:val="0"/>
                <w:szCs w:val="21"/>
              </w:rPr>
            </w:pPr>
            <w:r>
              <w:rPr>
                <w:rFonts w:hint="eastAsia" w:ascii="宋体" w:cs="宋体"/>
                <w:szCs w:val="21"/>
              </w:rPr>
              <w:t>2</w:t>
            </w:r>
            <w:r>
              <w:rPr>
                <w:rFonts w:hint="eastAsia" w:ascii="宋体" w:cs="宋体"/>
                <w:szCs w:val="21"/>
                <w:lang w:eastAsia="zh-CN"/>
              </w:rPr>
              <w:t>、</w:t>
            </w:r>
            <w:r>
              <w:rPr>
                <w:rFonts w:hint="eastAsia" w:ascii="宋体" w:cs="宋体"/>
                <w:szCs w:val="21"/>
              </w:rPr>
              <w:t>评标专家</w:t>
            </w:r>
            <w:r>
              <w:rPr>
                <w:rFonts w:hint="eastAsia" w:asciiTheme="minorEastAsia" w:hAnsiTheme="minorEastAsia" w:eastAsiaTheme="minorEastAsia" w:cstheme="minorEastAsia"/>
                <w:kern w:val="0"/>
                <w:szCs w:val="21"/>
              </w:rPr>
              <w:t>由采购人的代表和有关技术、经济等方面的专家组成，成员人数为</w:t>
            </w:r>
            <w:r>
              <w:rPr>
                <w:rFonts w:hint="eastAsia" w:asciiTheme="minorEastAsia" w:hAnsiTheme="minorEastAsia" w:eastAsiaTheme="minorEastAsia" w:cstheme="minorEastAsia"/>
                <w:b w:val="0"/>
                <w:bCs w:val="0"/>
                <w:kern w:val="0"/>
                <w:szCs w:val="21"/>
                <w:u w:val="single"/>
              </w:rPr>
              <w:t xml:space="preserve"> 5 </w:t>
            </w:r>
            <w:r>
              <w:rPr>
                <w:rFonts w:hint="eastAsia" w:asciiTheme="minorEastAsia" w:hAnsiTheme="minorEastAsia" w:eastAsiaTheme="minorEastAsia" w:cstheme="minorEastAsia"/>
                <w:kern w:val="0"/>
                <w:szCs w:val="21"/>
              </w:rPr>
              <w:t>人以上单数，其中，技术、经济等方面的专家不得少于成员总数的2/3。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kern w:val="0"/>
                <w:szCs w:val="21"/>
                <w:lang w:val="en-US" w:eastAsia="zh-CN"/>
              </w:rPr>
            </w:pPr>
            <w:r>
              <w:rPr>
                <w:rFonts w:hint="eastAsia" w:ascii="宋体"/>
                <w:kern w:val="0"/>
                <w:szCs w:val="21"/>
                <w:lang w:val="en-US" w:eastAsia="zh-CN"/>
              </w:rPr>
              <w:t>23</w:t>
            </w:r>
          </w:p>
        </w:tc>
        <w:tc>
          <w:tcPr>
            <w:tcW w:w="1410" w:type="dxa"/>
            <w:vAlign w:val="center"/>
          </w:tcPr>
          <w:p>
            <w:pPr>
              <w:jc w:val="distribute"/>
              <w:rPr>
                <w:rFonts w:hint="eastAsia" w:ascii="黑体" w:eastAsia="黑体" w:cs="黑体"/>
                <w:kern w:val="0"/>
                <w:szCs w:val="21"/>
              </w:rPr>
            </w:pPr>
            <w:r>
              <w:rPr>
                <w:rFonts w:hint="eastAsia" w:ascii="黑体" w:eastAsia="黑体" w:cs="黑体"/>
                <w:kern w:val="0"/>
                <w:szCs w:val="21"/>
              </w:rPr>
              <w:t>中标候选人公示媒</w:t>
            </w:r>
            <w:r>
              <w:rPr>
                <w:rFonts w:hint="eastAsia" w:ascii="黑体" w:eastAsia="黑体" w:cs="黑体"/>
                <w:kern w:val="0"/>
                <w:szCs w:val="21"/>
                <w:lang w:val="en-US" w:eastAsia="zh-CN"/>
              </w:rPr>
              <w:t>体</w:t>
            </w:r>
          </w:p>
        </w:tc>
        <w:tc>
          <w:tcPr>
            <w:tcW w:w="6857" w:type="dxa"/>
            <w:vAlign w:val="center"/>
          </w:tcPr>
          <w:p>
            <w:pPr>
              <w:jc w:val="left"/>
              <w:rPr>
                <w:rFonts w:hint="eastAsia" w:asciiTheme="minorEastAsia" w:hAnsiTheme="minorEastAsia" w:eastAsiaTheme="minorEastAsia" w:cstheme="minorEastAsia"/>
                <w:kern w:val="0"/>
                <w:szCs w:val="21"/>
              </w:rPr>
            </w:pPr>
            <w:r>
              <w:rPr>
                <w:rFonts w:hint="eastAsia" w:ascii="宋体" w:cs="宋体"/>
                <w:kern w:val="0"/>
                <w:szCs w:val="21"/>
              </w:rPr>
              <w:t>新疆政府采购网（http://www.ccgp-xinjiang.gov.cn/</w:t>
            </w:r>
            <w:r>
              <w:rPr>
                <w:rFonts w:ascii="宋体" w:hAnsi="宋体" w:cs="宋体"/>
                <w:szCs w:val="21"/>
              </w:rPr>
              <w:t>home.html</w:t>
            </w:r>
            <w:r>
              <w:rPr>
                <w:rFonts w:hint="eastAsia" w:ascii="宋体" w:cs="宋体"/>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eastAsia="宋体"/>
                <w:kern w:val="0"/>
                <w:szCs w:val="21"/>
                <w:lang w:val="en-US" w:eastAsia="zh-CN"/>
              </w:rPr>
            </w:pPr>
            <w:r>
              <w:rPr>
                <w:rFonts w:hint="eastAsia" w:ascii="宋体"/>
                <w:kern w:val="0"/>
                <w:szCs w:val="21"/>
                <w:lang w:val="en-US" w:eastAsia="zh-CN"/>
              </w:rPr>
              <w:t>24</w:t>
            </w:r>
          </w:p>
        </w:tc>
        <w:tc>
          <w:tcPr>
            <w:tcW w:w="1410" w:type="dxa"/>
            <w:vAlign w:val="center"/>
          </w:tcPr>
          <w:p>
            <w:pPr>
              <w:jc w:val="distribute"/>
              <w:rPr>
                <w:rFonts w:ascii="黑体" w:eastAsia="黑体" w:cs="黑体"/>
                <w:kern w:val="0"/>
                <w:szCs w:val="21"/>
              </w:rPr>
            </w:pPr>
            <w:r>
              <w:rPr>
                <w:rFonts w:hint="eastAsia" w:ascii="黑体" w:eastAsia="黑体" w:cs="黑体"/>
                <w:kern w:val="0"/>
                <w:szCs w:val="21"/>
              </w:rPr>
              <w:t>中标候选人</w:t>
            </w:r>
          </w:p>
        </w:tc>
        <w:tc>
          <w:tcPr>
            <w:tcW w:w="6857" w:type="dxa"/>
            <w:vAlign w:val="center"/>
          </w:tcPr>
          <w:p>
            <w:pPr>
              <w:jc w:val="left"/>
              <w:rPr>
                <w:rFonts w:hint="default" w:ascii="宋体" w:eastAsia="宋体" w:cs="宋体"/>
                <w:kern w:val="0"/>
                <w:szCs w:val="21"/>
                <w:lang w:val="en-US" w:eastAsia="zh-CN"/>
              </w:rPr>
            </w:pPr>
            <w:r>
              <w:rPr>
                <w:rFonts w:hint="eastAsia" w:ascii="宋体" w:cs="宋体"/>
                <w:szCs w:val="21"/>
              </w:rPr>
              <w:t>评标委员会推荐3名中标候选人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eastAsia="宋体"/>
                <w:kern w:val="0"/>
                <w:szCs w:val="21"/>
                <w:lang w:val="en-US" w:eastAsia="zh-CN"/>
              </w:rPr>
            </w:pPr>
            <w:r>
              <w:rPr>
                <w:rFonts w:hint="eastAsia" w:ascii="宋体"/>
                <w:kern w:val="0"/>
                <w:szCs w:val="21"/>
                <w:lang w:val="en-US" w:eastAsia="zh-CN"/>
              </w:rPr>
              <w:t>25</w:t>
            </w:r>
          </w:p>
        </w:tc>
        <w:tc>
          <w:tcPr>
            <w:tcW w:w="1410" w:type="dxa"/>
            <w:vAlign w:val="center"/>
          </w:tcPr>
          <w:p>
            <w:pPr>
              <w:keepNext/>
              <w:widowControl/>
              <w:jc w:val="distribute"/>
              <w:rPr>
                <w:rFonts w:ascii="黑体" w:hAnsi="黑体" w:eastAsia="黑体" w:cs="黑体"/>
                <w:kern w:val="0"/>
                <w:szCs w:val="21"/>
              </w:rPr>
            </w:pPr>
            <w:r>
              <w:rPr>
                <w:rFonts w:hint="eastAsia" w:ascii="黑体" w:hAnsi="黑体" w:eastAsia="黑体" w:cs="黑体"/>
                <w:kern w:val="0"/>
                <w:szCs w:val="21"/>
              </w:rPr>
              <w:t>投标人的</w:t>
            </w:r>
          </w:p>
          <w:p>
            <w:pPr>
              <w:keepNext/>
              <w:widowControl/>
              <w:jc w:val="distribute"/>
              <w:rPr>
                <w:rFonts w:ascii="黑体" w:eastAsia="黑体" w:cs="黑体"/>
                <w:kern w:val="0"/>
                <w:szCs w:val="21"/>
              </w:rPr>
            </w:pPr>
            <w:r>
              <w:rPr>
                <w:rFonts w:hint="eastAsia" w:ascii="黑体" w:hAnsi="黑体" w:eastAsia="黑体" w:cs="黑体"/>
                <w:kern w:val="0"/>
                <w:szCs w:val="21"/>
              </w:rPr>
              <w:t>资格要求</w:t>
            </w:r>
          </w:p>
        </w:tc>
        <w:tc>
          <w:tcPr>
            <w:tcW w:w="6857" w:type="dxa"/>
            <w:vAlign w:val="center"/>
          </w:tcPr>
          <w:p>
            <w:pPr>
              <w:keepNext/>
              <w:widowControl/>
              <w:jc w:val="left"/>
              <w:rPr>
                <w:rFonts w:ascii="宋体" w:cs="宋体"/>
                <w:kern w:val="0"/>
                <w:szCs w:val="21"/>
              </w:rPr>
            </w:pPr>
            <w:r>
              <w:rPr>
                <w:rFonts w:hint="eastAsia" w:asciiTheme="minorEastAsia" w:hAnsiTheme="minorEastAsia" w:eastAsiaTheme="minorEastAsia" w:cstheme="minorEastAsia"/>
              </w:rPr>
              <w:t>满</w:t>
            </w:r>
            <w:r>
              <w:rPr>
                <w:rFonts w:hint="eastAsia" w:asciiTheme="minorEastAsia" w:hAnsiTheme="minorEastAsia" w:eastAsiaTheme="minorEastAsia" w:cstheme="minorEastAsia"/>
                <w:color w:val="000000"/>
                <w:szCs w:val="21"/>
              </w:rPr>
              <w:t>足“招标公告”第二条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restart"/>
            <w:vAlign w:val="center"/>
          </w:tcPr>
          <w:p>
            <w:pPr>
              <w:jc w:val="center"/>
              <w:rPr>
                <w:rFonts w:hint="default" w:ascii="宋体" w:eastAsia="宋体"/>
                <w:kern w:val="0"/>
                <w:szCs w:val="21"/>
                <w:lang w:val="en-US" w:eastAsia="zh-CN"/>
              </w:rPr>
            </w:pPr>
            <w:r>
              <w:rPr>
                <w:rFonts w:hint="eastAsia" w:ascii="宋体"/>
                <w:kern w:val="0"/>
                <w:szCs w:val="21"/>
                <w:lang w:val="en-US" w:eastAsia="zh-CN"/>
              </w:rPr>
              <w:t>26</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开标现场</w:t>
            </w:r>
          </w:p>
          <w:p>
            <w:pPr>
              <w:keepNext/>
              <w:widowControl/>
              <w:jc w:val="distribute"/>
              <w:rPr>
                <w:rFonts w:hint="eastAsia" w:ascii="黑体" w:eastAsia="黑体" w:cs="黑体"/>
                <w:kern w:val="0"/>
                <w:szCs w:val="21"/>
                <w:lang w:eastAsia="zh-CN"/>
              </w:rPr>
            </w:pPr>
            <w:r>
              <w:rPr>
                <w:rFonts w:hint="eastAsia" w:ascii="黑体" w:eastAsia="黑体" w:cs="黑体"/>
                <w:kern w:val="0"/>
                <w:szCs w:val="21"/>
              </w:rPr>
              <w:t>携带证件</w:t>
            </w:r>
          </w:p>
        </w:tc>
        <w:tc>
          <w:tcPr>
            <w:tcW w:w="6857" w:type="dxa"/>
            <w:vAlign w:val="center"/>
          </w:tcPr>
          <w:p>
            <w:pPr>
              <w:jc w:val="left"/>
              <w:rPr>
                <w:rFonts w:ascii="宋体" w:cs="宋体"/>
                <w:b/>
                <w:bCs/>
                <w:color w:val="000000"/>
                <w:szCs w:val="21"/>
              </w:rPr>
            </w:pPr>
            <w:r>
              <w:rPr>
                <w:rFonts w:hint="eastAsia" w:asciiTheme="minorEastAsia" w:hAnsiTheme="minorEastAsia" w:eastAsiaTheme="minorEastAsia" w:cstheme="minorEastAsia"/>
                <w:color w:val="000000"/>
                <w:szCs w:val="21"/>
                <w:lang w:val="en-US" w:eastAsia="zh-CN"/>
              </w:rPr>
              <w:t>1、</w:t>
            </w:r>
            <w:r>
              <w:rPr>
                <w:rFonts w:hint="eastAsia" w:asciiTheme="minorEastAsia" w:hAnsiTheme="minorEastAsia" w:eastAsiaTheme="minorEastAsia" w:cstheme="minorEastAsia"/>
                <w:color w:val="000000"/>
                <w:szCs w:val="21"/>
              </w:rPr>
              <w:t>投标人须如实提供如下资料</w:t>
            </w:r>
            <w:r>
              <w:rPr>
                <w:rFonts w:hint="eastAsia" w:asciiTheme="minorEastAsia" w:hAnsiTheme="minorEastAsia" w:eastAsiaTheme="minorEastAsia" w:cstheme="minorEastAsia"/>
                <w:b/>
                <w:bCs/>
                <w:color w:val="000000"/>
                <w:szCs w:val="21"/>
              </w:rPr>
              <w:t>（原件</w:t>
            </w:r>
            <w:r>
              <w:rPr>
                <w:rFonts w:hint="eastAsia" w:asciiTheme="minorEastAsia" w:hAnsiTheme="minorEastAsia" w:eastAsiaTheme="minorEastAsia" w:cstheme="minorEastAsia"/>
                <w:b/>
                <w:bCs/>
                <w:color w:val="000000"/>
                <w:szCs w:val="21"/>
                <w:lang w:eastAsia="zh-CN"/>
              </w:rPr>
              <w:t>和复印件</w:t>
            </w:r>
            <w:r>
              <w:rPr>
                <w:rFonts w:hint="eastAsia" w:asciiTheme="minorEastAsia" w:hAnsiTheme="minorEastAsia" w:eastAsiaTheme="minorEastAsia" w:cstheme="minorEastAsia"/>
                <w:b/>
                <w:bCs/>
                <w:color w:val="000000"/>
                <w:szCs w:val="21"/>
              </w:rPr>
              <w:t>备查）</w:t>
            </w:r>
          </w:p>
          <w:p>
            <w:pPr>
              <w:keepNext/>
              <w:widowControl/>
              <w:ind w:firstLine="420" w:firstLineChars="20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①具有有效的营业执照、税务登记证、组织机构代码证（或“三证合一”的营业执照或当地公证处出具的上述证书的公证书原件）。</w:t>
            </w:r>
          </w:p>
          <w:p>
            <w:pPr>
              <w:keepNext/>
              <w:widowControl/>
              <w:ind w:firstLine="420" w:firstLineChars="20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②法定代表人身份证明书及法定代表人身份证或授权委托书及委托代理人身份证；</w:t>
            </w:r>
          </w:p>
          <w:p>
            <w:pPr>
              <w:keepNext/>
              <w:widowControl/>
              <w:ind w:firstLine="420" w:firstLineChars="20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③采购代理机构开具的本标包的投标保证金凭证；</w:t>
            </w:r>
          </w:p>
          <w:p>
            <w:pPr>
              <w:pStyle w:val="9"/>
              <w:numPr>
                <w:ilvl w:val="0"/>
                <w:numId w:val="0"/>
              </w:numPr>
              <w:rPr>
                <w:rFonts w:eastAsiaTheme="minorEastAsia"/>
              </w:rPr>
            </w:pPr>
            <w:r>
              <w:rPr>
                <w:rFonts w:hint="eastAsia" w:ascii="宋体" w:eastAsia="宋体" w:cs="宋体"/>
                <w:b/>
                <w:bCs/>
                <w:kern w:val="0"/>
                <w:sz w:val="21"/>
                <w:szCs w:val="21"/>
                <w:lang w:val="en-US" w:eastAsia="zh-CN"/>
              </w:rPr>
              <w:t>2、</w:t>
            </w:r>
            <w:r>
              <w:rPr>
                <w:rFonts w:hint="eastAsia" w:asciiTheme="minorEastAsia" w:hAnsiTheme="minorEastAsia" w:eastAsiaTheme="minorEastAsia" w:cstheme="minorEastAsia"/>
                <w:kern w:val="0"/>
                <w:sz w:val="21"/>
                <w:szCs w:val="21"/>
              </w:rPr>
              <w:t>以上资料A4纸的复印件须加盖投标人公章；</w:t>
            </w:r>
          </w:p>
          <w:p>
            <w:pPr>
              <w:jc w:val="left"/>
              <w:rPr>
                <w:rFonts w:ascii="宋体" w:cs="宋体"/>
                <w:kern w:val="0"/>
                <w:szCs w:val="21"/>
              </w:rPr>
            </w:pPr>
            <w:r>
              <w:rPr>
                <w:rFonts w:hint="eastAsia" w:ascii="宋体" w:cs="宋体"/>
                <w:b/>
                <w:bCs/>
                <w:kern w:val="0"/>
                <w:szCs w:val="21"/>
                <w:lang w:val="en-US" w:eastAsia="zh-CN"/>
              </w:rPr>
              <w:t>3、</w:t>
            </w:r>
            <w:r>
              <w:rPr>
                <w:rFonts w:hint="eastAsia" w:ascii="宋体" w:cs="宋体"/>
                <w:b/>
                <w:bCs/>
                <w:kern w:val="0"/>
                <w:szCs w:val="21"/>
              </w:rPr>
              <w:t>未携带上述证件</w:t>
            </w:r>
            <w:r>
              <w:rPr>
                <w:rFonts w:hint="eastAsia" w:ascii="宋体" w:cs="宋体"/>
                <w:b/>
                <w:bCs/>
                <w:szCs w:val="21"/>
              </w:rPr>
              <w:t>或模糊不清</w:t>
            </w:r>
            <w:r>
              <w:rPr>
                <w:rFonts w:hint="eastAsia" w:ascii="宋体" w:cs="宋体"/>
                <w:b/>
                <w:bCs/>
                <w:kern w:val="0"/>
                <w:szCs w:val="21"/>
              </w:rPr>
              <w:t>者，其投标将被拒绝。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continue"/>
            <w:vAlign w:val="center"/>
          </w:tcPr>
          <w:p/>
        </w:tc>
        <w:tc>
          <w:tcPr>
            <w:tcW w:w="1410" w:type="dxa"/>
            <w:vAlign w:val="center"/>
          </w:tcPr>
          <w:p>
            <w:pPr>
              <w:keepNext/>
              <w:widowControl/>
              <w:jc w:val="center"/>
              <w:rPr>
                <w:rFonts w:ascii="黑体" w:eastAsia="黑体" w:cs="黑体"/>
                <w:kern w:val="0"/>
                <w:szCs w:val="21"/>
              </w:rPr>
            </w:pPr>
            <w:r>
              <w:rPr>
                <w:rFonts w:hint="eastAsia" w:ascii="黑体" w:hAnsi="黑体" w:eastAsia="黑体" w:cs="黑体"/>
                <w:bCs/>
                <w:szCs w:val="21"/>
              </w:rPr>
              <w:t>低于成本价不正当竞争预防措施</w:t>
            </w:r>
          </w:p>
        </w:tc>
        <w:tc>
          <w:tcPr>
            <w:tcW w:w="6857" w:type="dxa"/>
            <w:vAlign w:val="center"/>
          </w:tcPr>
          <w:p>
            <w:pPr>
              <w:keepNext/>
              <w:widowControl/>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keepNext/>
              <w:widowControl/>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widowControl/>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供应商提供书面说明后，评标委员会应当结合采购项目采购需求、专业实际情况、供应商财务状况报告、与其他供应商比较情况等就供应商书面说明进行审查评价。</w:t>
            </w:r>
          </w:p>
          <w:p>
            <w:pPr>
              <w:keepNext/>
              <w:widowControl/>
              <w:ind w:firstLine="420" w:firstLineChars="200"/>
              <w:jc w:val="left"/>
              <w:rPr>
                <w:rFonts w:ascii="宋体" w:cs="宋体"/>
                <w:kern w:val="0"/>
                <w:szCs w:val="21"/>
              </w:rPr>
            </w:pPr>
            <w:r>
              <w:rPr>
                <w:rFonts w:hint="eastAsia" w:asciiTheme="minorEastAsia" w:hAnsiTheme="minorEastAsia" w:eastAsiaTheme="minorEastAsia" w:cstheme="minorEastAsia"/>
                <w:color w:val="000000"/>
                <w:szCs w:val="21"/>
              </w:rPr>
              <w:t>供应商拒绝或者变相拒绝提供有效书面说明或者书面说明不能证明其报价合理性的，评标委员会应当将其投标（响应）文件作为无效处理。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restart"/>
            <w:vAlign w:val="center"/>
          </w:tcPr>
          <w:p>
            <w:pPr>
              <w:jc w:val="center"/>
              <w:rPr>
                <w:rFonts w:hint="default" w:ascii="宋体" w:eastAsia="宋体"/>
                <w:kern w:val="0"/>
                <w:szCs w:val="21"/>
                <w:lang w:val="en-US" w:eastAsia="zh-CN"/>
              </w:rPr>
            </w:pPr>
            <w:r>
              <w:rPr>
                <w:rFonts w:hint="eastAsia" w:ascii="宋体"/>
                <w:kern w:val="0"/>
                <w:szCs w:val="21"/>
                <w:lang w:val="en-US" w:eastAsia="zh-CN"/>
              </w:rPr>
              <w:t>27</w:t>
            </w:r>
          </w:p>
        </w:tc>
        <w:tc>
          <w:tcPr>
            <w:tcW w:w="1410" w:type="dxa"/>
            <w:vAlign w:val="center"/>
          </w:tcPr>
          <w:p>
            <w:pPr>
              <w:keepNext/>
              <w:widowControl/>
              <w:jc w:val="center"/>
              <w:rPr>
                <w:rFonts w:ascii="黑体" w:eastAsia="黑体" w:cs="黑体"/>
                <w:kern w:val="0"/>
                <w:szCs w:val="21"/>
              </w:rPr>
            </w:pPr>
            <w:r>
              <w:rPr>
                <w:rFonts w:hint="eastAsia" w:ascii="黑体" w:hAnsi="黑体" w:eastAsia="黑体" w:cs="黑体"/>
                <w:bCs/>
                <w:szCs w:val="21"/>
              </w:rPr>
              <w:t>信用情况</w:t>
            </w:r>
          </w:p>
        </w:tc>
        <w:tc>
          <w:tcPr>
            <w:tcW w:w="6857" w:type="dxa"/>
            <w:vAlign w:val="center"/>
          </w:tcPr>
          <w:p>
            <w:pPr>
              <w:pStyle w:val="8"/>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本项目不接受失信企业投标。</w:t>
            </w:r>
          </w:p>
          <w:p>
            <w:pPr>
              <w:widowControl/>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1、信用记录查询方式及查询内容：</w:t>
            </w:r>
          </w:p>
          <w:p>
            <w:pPr>
              <w:widowControl/>
              <w:ind w:firstLine="210" w:firstLineChars="1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EQ \o\ac(○,1)</w:instrText>
            </w:r>
            <w:r>
              <w:rPr>
                <w:rFonts w:hint="eastAsia" w:asciiTheme="minorEastAsia" w:hAnsiTheme="minorEastAsia" w:eastAsiaTheme="minorEastAsia" w:cstheme="minorEastAsia"/>
                <w:kern w:val="2"/>
                <w:sz w:val="21"/>
                <w:szCs w:val="21"/>
                <w:lang w:val="en-US" w:eastAsia="zh-CN" w:bidi="ar-SA"/>
              </w:rPr>
              <w:fldChar w:fldCharType="end"/>
            </w:r>
            <w:r>
              <w:rPr>
                <w:rFonts w:hint="eastAsia" w:asciiTheme="minorEastAsia" w:hAnsiTheme="minorEastAsia" w:eastAsiaTheme="minorEastAsia" w:cstheme="minorEastAsia"/>
                <w:kern w:val="2"/>
                <w:sz w:val="21"/>
                <w:szCs w:val="21"/>
                <w:lang w:val="en-US" w:eastAsia="zh-CN" w:bidi="ar-SA"/>
              </w:rPr>
              <w:t>“信用中国”（www.creditchina.gov.cn）未被列入重大税收违法案件当事人名单；</w:t>
            </w:r>
          </w:p>
          <w:p>
            <w:pPr>
              <w:widowControl/>
              <w:ind w:firstLine="210" w:firstLineChars="1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EQ \o\ac(○,2)</w:instrText>
            </w:r>
            <w:r>
              <w:rPr>
                <w:rFonts w:hint="eastAsia" w:asciiTheme="minorEastAsia" w:hAnsiTheme="minorEastAsia" w:eastAsiaTheme="minorEastAsia" w:cstheme="minorEastAsia"/>
                <w:kern w:val="2"/>
                <w:sz w:val="21"/>
                <w:szCs w:val="21"/>
                <w:lang w:val="en-US" w:eastAsia="zh-CN" w:bidi="ar-SA"/>
              </w:rPr>
              <w:fldChar w:fldCharType="end"/>
            </w:r>
            <w:r>
              <w:rPr>
                <w:rFonts w:hint="eastAsia" w:asciiTheme="minorEastAsia" w:hAnsiTheme="minorEastAsia" w:eastAsiaTheme="minorEastAsia" w:cstheme="minorEastAsia"/>
                <w:kern w:val="2"/>
                <w:sz w:val="21"/>
                <w:szCs w:val="21"/>
                <w:lang w:val="en-US" w:eastAsia="zh-CN" w:bidi="ar-SA"/>
              </w:rPr>
              <w:t>“中国执行信息公开网”（http://zxgk.court.gov.cn/）未被列入失信被执行人；</w:t>
            </w:r>
          </w:p>
          <w:p>
            <w:pPr>
              <w:widowControl/>
              <w:ind w:firstLine="210" w:firstLineChars="1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EQ \o\ac(○,3)</w:instrText>
            </w:r>
            <w:r>
              <w:rPr>
                <w:rFonts w:hint="eastAsia" w:asciiTheme="minorEastAsia" w:hAnsiTheme="minorEastAsia" w:eastAsiaTheme="minorEastAsia" w:cstheme="minorEastAsia"/>
                <w:kern w:val="2"/>
                <w:sz w:val="21"/>
                <w:szCs w:val="21"/>
                <w:lang w:val="en-US" w:eastAsia="zh-CN" w:bidi="ar-SA"/>
              </w:rPr>
              <w:fldChar w:fldCharType="end"/>
            </w:r>
            <w:r>
              <w:rPr>
                <w:rFonts w:hint="eastAsia" w:asciiTheme="minorEastAsia" w:hAnsiTheme="minorEastAsia" w:eastAsiaTheme="minorEastAsia" w:cstheme="minorEastAsia"/>
                <w:kern w:val="2"/>
                <w:sz w:val="21"/>
                <w:szCs w:val="21"/>
                <w:lang w:val="en-US" w:eastAsia="zh-CN" w:bidi="ar-SA"/>
              </w:rPr>
              <w:t>“中国政府采购网”（www.ccgp.gov.cn）网站上未被列入政府采购严重违法失信行为记录名单；</w:t>
            </w:r>
          </w:p>
          <w:p>
            <w:pPr>
              <w:widowControl/>
              <w:ind w:firstLine="210" w:firstLineChars="1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EQ \o\ac(○,4)</w:instrText>
            </w:r>
            <w:r>
              <w:rPr>
                <w:rFonts w:hint="eastAsia" w:asciiTheme="minorEastAsia" w:hAnsiTheme="minorEastAsia" w:eastAsiaTheme="minorEastAsia" w:cstheme="minorEastAsia"/>
                <w:kern w:val="2"/>
                <w:sz w:val="21"/>
                <w:szCs w:val="21"/>
                <w:lang w:val="en-US" w:eastAsia="zh-CN" w:bidi="ar-SA"/>
              </w:rPr>
              <w:fldChar w:fldCharType="end"/>
            </w:r>
            <w:r>
              <w:rPr>
                <w:rFonts w:hint="eastAsia" w:asciiTheme="minorEastAsia" w:hAnsiTheme="minorEastAsia" w:eastAsiaTheme="minorEastAsia" w:cstheme="minorEastAsia"/>
                <w:kern w:val="2"/>
                <w:sz w:val="21"/>
                <w:szCs w:val="21"/>
                <w:lang w:val="en-US" w:eastAsia="zh-CN" w:bidi="ar-SA"/>
              </w:rPr>
              <w:t>中国裁判文书网（http://wenshu.court.gov.cn/）查询近三年无因投标申请人违约或不恰当履约引起的合同终止、纠纷、争议、仲裁和公诉纪录和无行贿犯罪记录证明。（网页打印件须自招标（采购）文件发售之日起至首次提交投标（响应）文件截止时间内从上述网站中打印，并加盖公章）</w:t>
            </w:r>
          </w:p>
          <w:p>
            <w:pPr>
              <w:keepNext/>
              <w:widowControl/>
              <w:jc w:val="left"/>
              <w:rPr>
                <w:rFonts w:ascii="宋体" w:cs="宋体"/>
                <w:b/>
                <w:bCs/>
                <w:kern w:val="0"/>
                <w:szCs w:val="21"/>
              </w:rPr>
            </w:pPr>
            <w:r>
              <w:rPr>
                <w:rFonts w:hint="eastAsia" w:asciiTheme="minorEastAsia" w:hAnsiTheme="minorEastAsia" w:eastAsiaTheme="minorEastAsia" w:cstheme="minorEastAsia"/>
                <w:kern w:val="2"/>
                <w:sz w:val="21"/>
                <w:szCs w:val="21"/>
                <w:lang w:val="en-US" w:eastAsia="zh-CN" w:bidi="ar-SA"/>
              </w:rPr>
              <w:t>2、供应商参加政府采购活动时，应当就自己的诚信情况在响应性文件中进行承诺或者提供以上网站的查询结果网页打印件。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continue"/>
            <w:vAlign w:val="center"/>
          </w:tcPr>
          <w:p>
            <w:pPr>
              <w:jc w:val="center"/>
              <w:rPr>
                <w:rFonts w:ascii="宋体"/>
                <w:kern w:val="0"/>
                <w:szCs w:val="21"/>
              </w:rPr>
            </w:pP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rPr>
              <w:t>质疑须知</w:t>
            </w:r>
          </w:p>
        </w:tc>
        <w:tc>
          <w:tcPr>
            <w:tcW w:w="6857" w:type="dxa"/>
            <w:vAlign w:val="center"/>
          </w:tcPr>
          <w:p>
            <w:pPr>
              <w:pStyle w:val="9"/>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投标人认为自己的权益受到损害的，可以在知道或者应知其权益受到损害之日起七个工作日内，向采购代理机构提出质疑。</w:t>
            </w:r>
          </w:p>
          <w:p>
            <w:pPr>
              <w:pStyle w:val="9"/>
              <w:numPr>
                <w:ilvl w:val="0"/>
                <w:numId w:val="0"/>
              </w:numPr>
              <w:ind w:firstLine="210" w:firstLineChars="100"/>
              <w:rPr>
                <w:rFonts w:hint="eastAsia" w:asciiTheme="minorEastAsia" w:hAnsiTheme="minorEastAsia" w:eastAsiaTheme="minorEastAsia" w:cstheme="minorEastAsia"/>
                <w:sz w:val="21"/>
                <w:szCs w:val="21"/>
              </w:rPr>
            </w:pPr>
            <w:r>
              <w:rPr>
                <w:rFonts w:hint="eastAsia" w:ascii="宋体" w:hAnsi="宋体" w:eastAsia="宋体" w:cs="宋体"/>
                <w:sz w:val="21"/>
                <w:szCs w:val="21"/>
              </w:rPr>
              <w:t>⑴</w:t>
            </w:r>
            <w:r>
              <w:rPr>
                <w:rFonts w:hint="eastAsia" w:asciiTheme="minorEastAsia" w:hAnsiTheme="minorEastAsia" w:eastAsiaTheme="minorEastAsia" w:cstheme="minorEastAsia"/>
                <w:sz w:val="21"/>
                <w:szCs w:val="21"/>
              </w:rPr>
              <w:t>接收质疑函的方式：接收加盖单位公章的书面质疑函</w:t>
            </w:r>
          </w:p>
          <w:p>
            <w:pPr>
              <w:pStyle w:val="9"/>
              <w:numPr>
                <w:ilvl w:val="0"/>
                <w:numId w:val="0"/>
              </w:num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联系单位：新疆世纪华中工程项目管理有限公司</w:t>
            </w:r>
          </w:p>
          <w:p>
            <w:pPr>
              <w:pStyle w:val="9"/>
              <w:numPr>
                <w:ilvl w:val="0"/>
                <w:numId w:val="0"/>
              </w:num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联 系 人：孙</w:t>
            </w:r>
            <w:r>
              <w:rPr>
                <w:rFonts w:hint="eastAsia" w:asciiTheme="minorEastAsia" w:hAnsiTheme="minorEastAsia" w:eastAsiaTheme="minorEastAsia" w:cstheme="minorEastAsia"/>
                <w:sz w:val="21"/>
                <w:szCs w:val="21"/>
                <w:lang w:eastAsia="zh-CN"/>
              </w:rPr>
              <w:t>明新</w:t>
            </w:r>
          </w:p>
          <w:p>
            <w:pPr>
              <w:pStyle w:val="9"/>
              <w:numPr>
                <w:ilvl w:val="0"/>
                <w:numId w:val="0"/>
              </w:num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联系电话：0991-3382836</w:t>
            </w:r>
          </w:p>
          <w:p>
            <w:pPr>
              <w:pStyle w:val="9"/>
              <w:numPr>
                <w:ilvl w:val="0"/>
                <w:numId w:val="0"/>
              </w:num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通讯地址：乌鲁木齐市米东区中颐北路乾和家园F区F14号楼1-3单元303室</w:t>
            </w:r>
          </w:p>
          <w:p>
            <w:pPr>
              <w:pStyle w:val="9"/>
              <w:numPr>
                <w:ilvl w:val="0"/>
                <w:numId w:val="0"/>
              </w:numPr>
              <w:ind w:firstLine="210" w:firstLineChars="100"/>
              <w:rPr>
                <w:rFonts w:hint="eastAsia" w:asciiTheme="minorEastAsia" w:hAnsiTheme="minorEastAsia" w:eastAsiaTheme="minorEastAsia" w:cstheme="minorEastAsia"/>
                <w:sz w:val="21"/>
                <w:szCs w:val="21"/>
              </w:rPr>
            </w:pPr>
            <w:r>
              <w:rPr>
                <w:rFonts w:hint="eastAsia" w:ascii="宋体" w:hAnsi="宋体" w:eastAsia="宋体" w:cs="宋体"/>
                <w:sz w:val="21"/>
                <w:szCs w:val="21"/>
              </w:rPr>
              <w:t>⑵</w:t>
            </w:r>
            <w:r>
              <w:rPr>
                <w:rFonts w:hint="eastAsia" w:asciiTheme="minorEastAsia" w:hAnsiTheme="minorEastAsia" w:eastAsiaTheme="minorEastAsia" w:cstheme="minorEastAsia"/>
                <w:sz w:val="21"/>
                <w:szCs w:val="21"/>
              </w:rPr>
              <w:t>质疑函的内容、格式：应符合《政府采购质疑和投诉办法》相关规定和财政部门制定的《政府采购质疑函范本》格式。</w:t>
            </w:r>
          </w:p>
          <w:p>
            <w:pPr>
              <w:pStyle w:val="9"/>
              <w:numPr>
                <w:ilvl w:val="0"/>
                <w:numId w:val="0"/>
              </w:numPr>
              <w:rPr>
                <w:rFonts w:ascii="宋体" w:cs="宋体"/>
                <w:b/>
                <w:bCs/>
                <w:kern w:val="0"/>
                <w:szCs w:val="21"/>
              </w:rPr>
            </w:pPr>
            <w:r>
              <w:rPr>
                <w:rFonts w:hint="eastAsia" w:asciiTheme="minorEastAsia" w:hAnsiTheme="minorEastAsia" w:eastAsiaTheme="minorEastAsia" w:cstheme="minorEastAsia"/>
                <w:sz w:val="21"/>
                <w:szCs w:val="21"/>
                <w:lang w:val="en-US" w:eastAsia="zh-CN"/>
              </w:rPr>
              <w:t>2、投标人应在法定质疑期内一次性针对同一采购程序环节提出质疑，否则针对再次提出质疑将不予接收。（采购程序环节分为：招标公告、招标（采购）文件、招标过程、中标结果）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eastAsia="宋体"/>
                <w:kern w:val="0"/>
                <w:szCs w:val="21"/>
                <w:lang w:val="en-US" w:eastAsia="zh-CN"/>
              </w:rPr>
            </w:pPr>
            <w:r>
              <w:rPr>
                <w:rFonts w:hint="eastAsia" w:asciiTheme="minorEastAsia" w:hAnsiTheme="minorEastAsia" w:eastAsiaTheme="minorEastAsia" w:cstheme="minorEastAsia"/>
                <w:kern w:val="0"/>
                <w:szCs w:val="21"/>
                <w:lang w:val="en-US" w:eastAsia="zh-CN"/>
              </w:rPr>
              <w:t>28</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rPr>
              <w:t>特别提示</w:t>
            </w:r>
          </w:p>
        </w:tc>
        <w:tc>
          <w:tcPr>
            <w:tcW w:w="6857" w:type="dxa"/>
            <w:vAlign w:val="center"/>
          </w:tcPr>
          <w:p>
            <w:pPr>
              <w:pStyle w:val="9"/>
              <w:numPr>
                <w:ilvl w:val="0"/>
                <w:numId w:val="0"/>
              </w:num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中标企业根据采购人实际需求按照指定的收货地址及时供货，并向采购人提供收货单位的签收、验收单，否则自行承担一切损失。</w:t>
            </w:r>
          </w:p>
          <w:p>
            <w:pPr>
              <w:pStyle w:val="9"/>
              <w:numPr>
                <w:ilvl w:val="0"/>
                <w:numId w:val="0"/>
              </w:num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国家政策调整或取消该招标品种的，该品种将不再列入招标计划或如果已经进行了招标的该品种将作为无效招标处理，由此产生的一切费用和损失由投标人承担，招标采购单位不承担任何责任。</w:t>
            </w:r>
          </w:p>
          <w:p>
            <w:pPr>
              <w:pStyle w:val="9"/>
              <w:numPr>
                <w:ilvl w:val="0"/>
                <w:numId w:val="0"/>
              </w:numP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由于天气、路况、检查、签到等特殊原因，建议投标企业排除各种因素提前</w:t>
            </w:r>
            <w:r>
              <w:rPr>
                <w:rFonts w:hint="eastAsia" w:asciiTheme="minorEastAsia" w:hAnsiTheme="minorEastAsia" w:eastAsiaTheme="minorEastAsia" w:cstheme="minorEastAsia"/>
                <w:color w:val="000000"/>
                <w:sz w:val="21"/>
                <w:szCs w:val="21"/>
              </w:rPr>
              <w:t>30</w:t>
            </w:r>
            <w:r>
              <w:rPr>
                <w:rFonts w:hint="eastAsia" w:asciiTheme="minorEastAsia" w:hAnsiTheme="minorEastAsia" w:eastAsiaTheme="minorEastAsia" w:cstheme="minorEastAsia"/>
                <w:sz w:val="21"/>
                <w:szCs w:val="21"/>
              </w:rPr>
              <w:t>分钟到达开标现场，依次填写签到表并递交所需文件；未按时递交文件的投标人不能进入投标现场。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29</w:t>
            </w:r>
          </w:p>
        </w:tc>
        <w:tc>
          <w:tcPr>
            <w:tcW w:w="1410" w:type="dxa"/>
            <w:vAlign w:val="center"/>
          </w:tcPr>
          <w:p>
            <w:pPr>
              <w:keepNext/>
              <w:widowControl/>
              <w:jc w:val="distribute"/>
              <w:rPr>
                <w:rFonts w:hint="eastAsia" w:ascii="黑体" w:hAnsi="黑体" w:eastAsia="黑体" w:cs="黑体"/>
                <w:bCs/>
                <w:szCs w:val="21"/>
              </w:rPr>
            </w:pPr>
            <w:r>
              <w:rPr>
                <w:rFonts w:hint="eastAsia" w:ascii="黑体" w:eastAsia="黑体" w:cs="黑体"/>
                <w:kern w:val="0"/>
                <w:szCs w:val="21"/>
              </w:rPr>
              <w:t>招标代理费</w:t>
            </w:r>
          </w:p>
        </w:tc>
        <w:tc>
          <w:tcPr>
            <w:tcW w:w="6857" w:type="dxa"/>
            <w:vAlign w:val="center"/>
          </w:tcPr>
          <w:p>
            <w:pPr>
              <w:snapToGrid w:val="0"/>
              <w:spacing w:line="290" w:lineRule="exact"/>
              <w:ind w:firstLine="210" w:firstLineChars="100"/>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lang w:val="en-US" w:eastAsia="zh-CN"/>
              </w:rPr>
              <w:t>1、</w:t>
            </w:r>
            <w:r>
              <w:rPr>
                <w:rFonts w:hint="eastAsia" w:asciiTheme="minorEastAsia" w:hAnsiTheme="minorEastAsia" w:eastAsiaTheme="minorEastAsia" w:cstheme="minorEastAsia"/>
                <w:snapToGrid w:val="0"/>
                <w:szCs w:val="21"/>
              </w:rPr>
              <w:t>依据国家发展计划委员会文件（计价格[2002]1980号文）、（发改办价格〖2003〗857号）、（发改价格〖2011〗534号）标准取费（下表）及计算方法计算后再根据下浮比例（工程类、货物类、服务类下浮比例为50%），招标代理服务费收费标准如下：</w:t>
            </w:r>
          </w:p>
          <w:tbl>
            <w:tblPr>
              <w:tblStyle w:val="23"/>
              <w:tblW w:w="6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1363"/>
              <w:gridCol w:w="1463"/>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jc w:val="center"/>
              </w:trPr>
              <w:tc>
                <w:tcPr>
                  <w:tcW w:w="2034" w:type="dxa"/>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中标金额（万元）</w:t>
                  </w:r>
                </w:p>
              </w:tc>
              <w:tc>
                <w:tcPr>
                  <w:tcW w:w="1363" w:type="dxa"/>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货物招标</w:t>
                  </w:r>
                </w:p>
              </w:tc>
              <w:tc>
                <w:tcPr>
                  <w:tcW w:w="1463" w:type="dxa"/>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服务招标</w:t>
                  </w:r>
                </w:p>
              </w:tc>
              <w:tc>
                <w:tcPr>
                  <w:tcW w:w="1380" w:type="dxa"/>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2034" w:type="dxa"/>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100以下</w:t>
                  </w:r>
                </w:p>
              </w:tc>
              <w:tc>
                <w:tcPr>
                  <w:tcW w:w="1363" w:type="dxa"/>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1.50%</w:t>
                  </w:r>
                </w:p>
              </w:tc>
              <w:tc>
                <w:tcPr>
                  <w:tcW w:w="1463" w:type="dxa"/>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1.50%</w:t>
                  </w:r>
                </w:p>
              </w:tc>
              <w:tc>
                <w:tcPr>
                  <w:tcW w:w="1380" w:type="dxa"/>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2034" w:type="dxa"/>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100-500</w:t>
                  </w:r>
                </w:p>
              </w:tc>
              <w:tc>
                <w:tcPr>
                  <w:tcW w:w="1363" w:type="dxa"/>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1.10%</w:t>
                  </w:r>
                </w:p>
              </w:tc>
              <w:tc>
                <w:tcPr>
                  <w:tcW w:w="1463" w:type="dxa"/>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0.80%</w:t>
                  </w:r>
                </w:p>
              </w:tc>
              <w:tc>
                <w:tcPr>
                  <w:tcW w:w="1380" w:type="dxa"/>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2034" w:type="dxa"/>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500-1000</w:t>
                  </w:r>
                </w:p>
              </w:tc>
              <w:tc>
                <w:tcPr>
                  <w:tcW w:w="1363" w:type="dxa"/>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0.80%</w:t>
                  </w:r>
                </w:p>
              </w:tc>
              <w:tc>
                <w:tcPr>
                  <w:tcW w:w="1463" w:type="dxa"/>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0.45%</w:t>
                  </w:r>
                </w:p>
              </w:tc>
              <w:tc>
                <w:tcPr>
                  <w:tcW w:w="1380" w:type="dxa"/>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2034" w:type="dxa"/>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1000-5000</w:t>
                  </w:r>
                </w:p>
              </w:tc>
              <w:tc>
                <w:tcPr>
                  <w:tcW w:w="1363" w:type="dxa"/>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0.50%</w:t>
                  </w:r>
                </w:p>
              </w:tc>
              <w:tc>
                <w:tcPr>
                  <w:tcW w:w="1463" w:type="dxa"/>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0.25%</w:t>
                  </w:r>
                </w:p>
              </w:tc>
              <w:tc>
                <w:tcPr>
                  <w:tcW w:w="1380" w:type="dxa"/>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0.35%</w:t>
                  </w:r>
                </w:p>
              </w:tc>
            </w:tr>
          </w:tbl>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招标代理服务收费按差额定率累进法计算。例如：某项目招标代理业务中标金额为2000万元，计算招标代理服务收费额如下：</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 xml:space="preserve"> 100万元×1.50%=1.5（万元）；</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（500-100）万元×1.10%=4.4（万元）</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（1000-500）万元×0.80%=4.0（万元）</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（2000-1000）万元×0.50%=5.0（万元）</w:t>
            </w:r>
          </w:p>
          <w:p>
            <w:pPr>
              <w:pStyle w:val="9"/>
              <w:numPr>
                <w:ilvl w:val="0"/>
                <w:numId w:val="0"/>
              </w:numPr>
              <w:rPr>
                <w:rFonts w:asciiTheme="minorEastAsia" w:hAnsiTheme="minorEastAsia" w:eastAsiaTheme="minorEastAsia" w:cstheme="minorEastAsia"/>
                <w:snapToGrid w:val="0"/>
                <w:sz w:val="21"/>
                <w:szCs w:val="21"/>
              </w:rPr>
            </w:pPr>
            <w:r>
              <w:rPr>
                <w:rFonts w:hint="eastAsia" w:asciiTheme="minorEastAsia" w:hAnsiTheme="minorEastAsia" w:eastAsiaTheme="minorEastAsia" w:cstheme="minorEastAsia"/>
                <w:snapToGrid w:val="0"/>
                <w:sz w:val="21"/>
                <w:szCs w:val="21"/>
              </w:rPr>
              <w:t>合计收费=1.5+4.4+4.0+5.0=14.9(万元)</w:t>
            </w:r>
          </w:p>
          <w:p>
            <w:pPr>
              <w:pStyle w:val="9"/>
              <w:numPr>
                <w:ilvl w:val="0"/>
                <w:numId w:val="0"/>
              </w:numPr>
              <w:ind w:firstLine="211" w:firstLineChars="100"/>
              <w:rPr>
                <w:rFonts w:asciiTheme="minorEastAsia" w:hAnsiTheme="minorEastAsia" w:eastAsiaTheme="minorEastAsia" w:cstheme="minorEastAsia"/>
                <w:b/>
                <w:bCs/>
                <w:snapToGrid w:val="0"/>
                <w:sz w:val="21"/>
                <w:szCs w:val="21"/>
              </w:rPr>
            </w:pPr>
            <w:r>
              <w:rPr>
                <w:rFonts w:hint="eastAsia" w:asciiTheme="minorEastAsia" w:hAnsiTheme="minorEastAsia" w:eastAsiaTheme="minorEastAsia" w:cstheme="minorEastAsia"/>
                <w:b/>
                <w:bCs/>
                <w:snapToGrid w:val="0"/>
                <w:sz w:val="21"/>
                <w:szCs w:val="21"/>
                <w:lang w:val="en-US" w:eastAsia="zh-CN"/>
              </w:rPr>
              <w:t>2、</w:t>
            </w:r>
            <w:r>
              <w:rPr>
                <w:rFonts w:hint="eastAsia" w:asciiTheme="minorEastAsia" w:hAnsiTheme="minorEastAsia" w:eastAsiaTheme="minorEastAsia" w:cstheme="minorEastAsia"/>
                <w:b/>
                <w:bCs/>
                <w:snapToGrid w:val="0"/>
                <w:sz w:val="21"/>
                <w:szCs w:val="21"/>
              </w:rPr>
              <w:t>中标企业在领取本项目中标通知书时，由中标企业向采购代理机构支付本项目代理费</w:t>
            </w:r>
            <w:r>
              <w:rPr>
                <w:rFonts w:hint="eastAsia" w:asciiTheme="minorEastAsia" w:hAnsiTheme="minorEastAsia" w:eastAsiaTheme="minorEastAsia" w:cstheme="minorEastAsia"/>
                <w:snapToGrid w:val="0"/>
                <w:sz w:val="21"/>
                <w:szCs w:val="21"/>
              </w:rPr>
              <w:t>；</w:t>
            </w:r>
          </w:p>
          <w:p>
            <w:pPr>
              <w:snapToGrid w:val="0"/>
              <w:spacing w:line="290" w:lineRule="exact"/>
              <w:ind w:firstLine="211" w:firstLineChars="100"/>
              <w:rPr>
                <w:rFonts w:asciiTheme="minorEastAsia" w:hAnsiTheme="minorEastAsia" w:eastAsiaTheme="minorEastAsia" w:cstheme="minorEastAsia"/>
                <w:b/>
                <w:bCs/>
                <w:snapToGrid w:val="0"/>
                <w:szCs w:val="21"/>
              </w:rPr>
            </w:pPr>
            <w:r>
              <w:rPr>
                <w:rFonts w:hint="eastAsia" w:asciiTheme="minorEastAsia" w:hAnsiTheme="minorEastAsia" w:eastAsiaTheme="minorEastAsia" w:cstheme="minorEastAsia"/>
                <w:b/>
                <w:bCs/>
                <w:snapToGrid w:val="0"/>
                <w:szCs w:val="21"/>
                <w:lang w:val="en-US" w:eastAsia="zh-CN"/>
              </w:rPr>
              <w:t>3、</w:t>
            </w:r>
            <w:r>
              <w:rPr>
                <w:rFonts w:hint="eastAsia" w:asciiTheme="minorEastAsia" w:hAnsiTheme="minorEastAsia" w:eastAsiaTheme="minorEastAsia" w:cstheme="minorEastAsia"/>
                <w:b/>
                <w:bCs/>
                <w:snapToGrid w:val="0"/>
                <w:szCs w:val="21"/>
              </w:rPr>
              <w:t>代理费支付到以下账户信息</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 xml:space="preserve">    户名：新疆世纪华中工程项目管理有限公司</w:t>
            </w:r>
            <w:r>
              <w:rPr>
                <w:rFonts w:hint="eastAsia" w:asciiTheme="minorEastAsia" w:hAnsiTheme="minorEastAsia" w:eastAsiaTheme="minorEastAsia" w:cstheme="minorEastAsia"/>
                <w:snapToGrid w:val="0"/>
                <w:szCs w:val="21"/>
              </w:rPr>
              <w:br w:type="textWrapping"/>
            </w:r>
            <w:r>
              <w:rPr>
                <w:rFonts w:hint="eastAsia" w:asciiTheme="minorEastAsia" w:hAnsiTheme="minorEastAsia" w:eastAsiaTheme="minorEastAsia" w:cstheme="minorEastAsia"/>
                <w:snapToGrid w:val="0"/>
                <w:szCs w:val="21"/>
              </w:rPr>
              <w:t>  账号：0000 0200 7011 0038 538228</w:t>
            </w:r>
            <w:r>
              <w:rPr>
                <w:rFonts w:hint="eastAsia" w:asciiTheme="minorEastAsia" w:hAnsiTheme="minorEastAsia" w:eastAsiaTheme="minorEastAsia" w:cstheme="minorEastAsia"/>
                <w:snapToGrid w:val="0"/>
                <w:szCs w:val="21"/>
              </w:rPr>
              <w:br w:type="textWrapping"/>
            </w:r>
            <w:r>
              <w:rPr>
                <w:rFonts w:hint="eastAsia" w:asciiTheme="minorEastAsia" w:hAnsiTheme="minorEastAsia" w:eastAsiaTheme="minorEastAsia" w:cstheme="minorEastAsia"/>
                <w:snapToGrid w:val="0"/>
                <w:szCs w:val="21"/>
              </w:rPr>
              <w:t xml:space="preserve">    行名：乌鲁木齐银行股份有限公司乌鲁木齐米东支行</w:t>
            </w:r>
          </w:p>
          <w:p>
            <w:pPr>
              <w:pStyle w:val="9"/>
              <w:numPr>
                <w:ilvl w:val="0"/>
                <w:numId w:val="0"/>
              </w:numPr>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snapToGrid w:val="0"/>
                <w:sz w:val="21"/>
                <w:szCs w:val="21"/>
              </w:rPr>
              <w:t xml:space="preserve">行号：313881000703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30</w:t>
            </w:r>
          </w:p>
        </w:tc>
        <w:tc>
          <w:tcPr>
            <w:tcW w:w="1410" w:type="dxa"/>
            <w:vAlign w:val="center"/>
          </w:tcPr>
          <w:p>
            <w:pPr>
              <w:keepNext/>
              <w:widowControl/>
              <w:jc w:val="distribute"/>
              <w:rPr>
                <w:rFonts w:hint="eastAsia" w:ascii="黑体" w:hAnsi="黑体" w:eastAsia="黑体" w:cs="黑体"/>
                <w:bCs/>
                <w:szCs w:val="21"/>
              </w:rPr>
            </w:pPr>
            <w:r>
              <w:rPr>
                <w:rFonts w:hint="eastAsia" w:ascii="黑体" w:eastAsia="黑体" w:cs="黑体"/>
                <w:kern w:val="0"/>
                <w:szCs w:val="21"/>
              </w:rPr>
              <w:t>备注</w:t>
            </w:r>
          </w:p>
        </w:tc>
        <w:tc>
          <w:tcPr>
            <w:tcW w:w="6857" w:type="dxa"/>
            <w:vAlign w:val="center"/>
          </w:tcPr>
          <w:p>
            <w:pPr>
              <w:pStyle w:val="8"/>
              <w:spacing w:line="320" w:lineRule="exact"/>
              <w:ind w:firstLine="210" w:firstLineChars="100"/>
              <w:rPr>
                <w:rFonts w:hint="eastAsia" w:asciiTheme="minorEastAsia" w:hAnsiTheme="minorEastAsia" w:eastAsiaTheme="minorEastAsia" w:cstheme="minorEastAsia"/>
                <w:snapToGrid w:val="0"/>
                <w:kern w:val="2"/>
                <w:sz w:val="21"/>
                <w:szCs w:val="21"/>
                <w:lang w:val="en-US" w:eastAsia="zh-CN" w:bidi="ar-SA"/>
              </w:rPr>
            </w:pPr>
            <w:r>
              <w:rPr>
                <w:rFonts w:hint="eastAsia" w:asciiTheme="minorEastAsia" w:hAnsiTheme="minorEastAsia" w:eastAsiaTheme="minorEastAsia" w:cstheme="minorEastAsia"/>
                <w:snapToGrid w:val="0"/>
                <w:kern w:val="2"/>
                <w:sz w:val="21"/>
                <w:szCs w:val="21"/>
                <w:lang w:val="en-US" w:eastAsia="zh-CN" w:bidi="ar-SA"/>
              </w:rPr>
              <w:t>1、招标（采购）文件中部分加“*”、加粗、加下划线、废标、无效标、投标被拒绝字样的条款，为招标的实质性要求和条件，着重提醒各投标人注意，并认真查看招标（采购）文件中的每一个条款及要求，因误读招标（采购）文件而造成的后果，招标人概不负责。</w:t>
            </w:r>
          </w:p>
          <w:p>
            <w:pPr>
              <w:pStyle w:val="8"/>
              <w:spacing w:line="320" w:lineRule="exact"/>
              <w:ind w:firstLine="210" w:firstLineChars="100"/>
              <w:rPr>
                <w:rFonts w:hint="eastAsia" w:asciiTheme="minorEastAsia" w:hAnsiTheme="minorEastAsia" w:eastAsiaTheme="minorEastAsia" w:cstheme="minorEastAsia"/>
                <w:snapToGrid w:val="0"/>
                <w:kern w:val="2"/>
                <w:sz w:val="21"/>
                <w:szCs w:val="21"/>
                <w:lang w:val="en-US" w:eastAsia="zh-CN" w:bidi="ar-SA"/>
              </w:rPr>
            </w:pPr>
            <w:r>
              <w:rPr>
                <w:rFonts w:hint="eastAsia" w:asciiTheme="minorEastAsia" w:hAnsiTheme="minorEastAsia" w:eastAsiaTheme="minorEastAsia" w:cstheme="minorEastAsia"/>
                <w:snapToGrid w:val="0"/>
                <w:kern w:val="2"/>
                <w:sz w:val="21"/>
                <w:szCs w:val="21"/>
                <w:lang w:val="en-US" w:eastAsia="zh-CN" w:bidi="ar-SA"/>
              </w:rPr>
              <w:t>2、投标（响应）文件中有弄虚作假的内容，其投标（响应）文件作废。（如假证书、假业绩、隐瞒不良行为记录、夸大荣誉、使用非本单位在职员工的相关证件及不符合招标（采购）文件规定的条款等）；在签订合同之前，投标人如发现投标人的投标（响应）文件有弄虚作假内容，招标人可拒绝与其签订合同及后续三年内不得其参加采购人的采购活动。并报财政主管部门将其列入政府采购黑名单库。</w:t>
            </w:r>
          </w:p>
          <w:p>
            <w:pPr>
              <w:pStyle w:val="9"/>
              <w:numPr>
                <w:ilvl w:val="0"/>
                <w:numId w:val="0"/>
              </w:numPr>
              <w:ind w:firstLine="210" w:firstLineChars="1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napToGrid w:val="0"/>
                <w:kern w:val="2"/>
                <w:sz w:val="21"/>
                <w:szCs w:val="21"/>
                <w:lang w:val="en-US" w:eastAsia="zh-CN" w:bidi="ar-SA"/>
              </w:rPr>
              <w:t>3、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bidi w:val="0"/>
      </w:pPr>
    </w:p>
    <w:p>
      <w:pPr>
        <w:jc w:val="left"/>
        <w:rPr>
          <w:rFonts w:ascii="Times New Roman" w:hAnsi="Times New Roman" w:cs="Times New Roman"/>
          <w:sz w:val="24"/>
        </w:rPr>
      </w:pPr>
      <w:r>
        <w:rPr>
          <w:rFonts w:hint="eastAsia" w:ascii="宋体"/>
          <w:b/>
          <w:bCs/>
          <w:szCs w:val="21"/>
        </w:rPr>
        <w:t>说明：《投标人须知前附表》是对投标须知条款的具体规定和补充，投标人应详细阅读，如有矛盾，以本资料表为准。</w:t>
      </w:r>
    </w:p>
    <w:p>
      <w:pPr>
        <w:pStyle w:val="5"/>
        <w:jc w:val="center"/>
        <w:rPr>
          <w:rFonts w:hint="eastAsia" w:ascii="黑体" w:eastAsia="黑体" w:cs="黑体"/>
          <w:sz w:val="24"/>
        </w:rPr>
      </w:pPr>
      <w:bookmarkStart w:id="1" w:name="_Toc31926"/>
    </w:p>
    <w:p>
      <w:pPr>
        <w:pStyle w:val="5"/>
        <w:jc w:val="center"/>
        <w:rPr>
          <w:rFonts w:ascii="黑体" w:eastAsia="黑体" w:cs="黑体"/>
          <w:sz w:val="24"/>
        </w:rPr>
      </w:pPr>
      <w:r>
        <w:rPr>
          <w:rFonts w:hint="eastAsia" w:ascii="黑体" w:eastAsia="黑体" w:cs="黑体"/>
          <w:sz w:val="24"/>
        </w:rPr>
        <w:t>第二章  投标须知</w:t>
      </w:r>
      <w:bookmarkEnd w:id="1"/>
    </w:p>
    <w:p>
      <w:pPr>
        <w:pStyle w:val="2"/>
        <w:jc w:val="center"/>
        <w:rPr>
          <w:rFonts w:cs="宋体"/>
          <w:sz w:val="24"/>
          <w:szCs w:val="24"/>
        </w:rPr>
      </w:pPr>
      <w:bookmarkStart w:id="2" w:name="_Toc8879"/>
      <w:bookmarkStart w:id="3" w:name="_Toc17407"/>
      <w:r>
        <w:rPr>
          <w:rFonts w:ascii="Times New Roman" w:hAnsi="Times New Roman"/>
          <w:sz w:val="24"/>
          <w:szCs w:val="24"/>
        </w:rPr>
        <w:t>第</w:t>
      </w:r>
      <w:r>
        <w:rPr>
          <w:rFonts w:hint="eastAsia" w:ascii="Times New Roman" w:hAnsi="Times New Roman"/>
          <w:sz w:val="24"/>
          <w:szCs w:val="24"/>
        </w:rPr>
        <w:t>一</w:t>
      </w:r>
      <w:r>
        <w:rPr>
          <w:rFonts w:ascii="Times New Roman" w:hAnsi="Times New Roman"/>
          <w:sz w:val="24"/>
          <w:szCs w:val="24"/>
        </w:rPr>
        <w:t>节</w:t>
      </w:r>
      <w:r>
        <w:rPr>
          <w:rFonts w:hint="eastAsia" w:ascii="Times New Roman" w:hAnsi="Times New Roman"/>
          <w:sz w:val="24"/>
          <w:szCs w:val="24"/>
        </w:rPr>
        <w:t xml:space="preserve"> 总则</w:t>
      </w:r>
      <w:bookmarkEnd w:id="2"/>
    </w:p>
    <w:bookmarkEnd w:id="3"/>
    <w:p>
      <w:pPr>
        <w:widowControl/>
        <w:shd w:val="clear" w:color="auto" w:fill="FFFFFF"/>
        <w:snapToGrid w:val="0"/>
        <w:spacing w:line="360" w:lineRule="auto"/>
        <w:rPr>
          <w:rFonts w:ascii="宋体" w:cs="宋体"/>
          <w:b/>
          <w:bCs/>
          <w:kern w:val="0"/>
          <w:sz w:val="24"/>
        </w:rPr>
      </w:pPr>
      <w:r>
        <w:rPr>
          <w:rFonts w:hint="eastAsia" w:ascii="宋体" w:cs="宋体"/>
          <w:b/>
          <w:bCs/>
          <w:kern w:val="0"/>
          <w:sz w:val="24"/>
        </w:rPr>
        <w:t>一、</w:t>
      </w:r>
      <w:r>
        <w:rPr>
          <w:rFonts w:hint="eastAsia" w:ascii="宋体" w:cs="宋体"/>
          <w:b/>
          <w:bCs/>
          <w:kern w:val="0"/>
          <w:sz w:val="24"/>
          <w:lang w:val="en-US" w:eastAsia="zh-CN"/>
        </w:rPr>
        <w:t>适用范围</w:t>
      </w:r>
    </w:p>
    <w:p>
      <w:pPr>
        <w:spacing w:line="360" w:lineRule="auto"/>
        <w:ind w:firstLine="480" w:firstLineChars="200"/>
        <w:rPr>
          <w:rFonts w:ascii="宋体" w:cs="宋体"/>
          <w:sz w:val="24"/>
        </w:rPr>
      </w:pPr>
      <w:r>
        <w:rPr>
          <w:rFonts w:hint="eastAsia" w:ascii="宋体" w:cs="宋体"/>
          <w:sz w:val="24"/>
        </w:rPr>
        <w:t>根据《中华人民共和国招标投标法》等有关法律、法规和规章的规定，本项目已具备招标条件，本次招标采取</w:t>
      </w:r>
      <w:r>
        <w:rPr>
          <w:rFonts w:hint="eastAsia" w:ascii="宋体" w:cs="宋体"/>
          <w:b/>
          <w:bCs/>
          <w:sz w:val="24"/>
        </w:rPr>
        <w:t>公开招标方式</w:t>
      </w:r>
      <w:r>
        <w:rPr>
          <w:rFonts w:hint="eastAsia" w:ascii="宋体" w:cs="宋体"/>
          <w:sz w:val="24"/>
        </w:rPr>
        <w:t>，且文件仅适用于本招标项目中所叙述的货物</w:t>
      </w:r>
      <w:r>
        <w:rPr>
          <w:rFonts w:hint="eastAsia" w:ascii="宋体" w:cs="宋体"/>
          <w:sz w:val="24"/>
          <w:lang w:val="en-US" w:eastAsia="zh-CN"/>
        </w:rPr>
        <w:t>(</w:t>
      </w:r>
      <w:r>
        <w:rPr>
          <w:rFonts w:hint="eastAsia" w:ascii="宋体" w:cs="宋体"/>
          <w:sz w:val="24"/>
        </w:rPr>
        <w:t>服务</w:t>
      </w:r>
      <w:r>
        <w:rPr>
          <w:rFonts w:hint="eastAsia" w:ascii="宋体" w:cs="宋体"/>
          <w:sz w:val="24"/>
          <w:lang w:val="en-US" w:eastAsia="zh-CN"/>
        </w:rPr>
        <w:t>)</w:t>
      </w:r>
      <w:r>
        <w:rPr>
          <w:rFonts w:hint="eastAsia" w:ascii="宋体" w:cs="宋体"/>
          <w:sz w:val="24"/>
        </w:rPr>
        <w:t>等。</w:t>
      </w:r>
    </w:p>
    <w:p>
      <w:pPr>
        <w:spacing w:line="360" w:lineRule="auto"/>
        <w:ind w:firstLine="480" w:firstLineChars="200"/>
        <w:rPr>
          <w:rFonts w:asciiTheme="minorEastAsia" w:hAnsiTheme="minorEastAsia" w:eastAsiaTheme="minorEastAsia" w:cstheme="minorEastAsia"/>
          <w:sz w:val="24"/>
        </w:rPr>
      </w:pPr>
      <w:r>
        <w:rPr>
          <w:rFonts w:hint="eastAsia" w:ascii="宋体" w:cs="宋体"/>
          <w:sz w:val="24"/>
        </w:rPr>
        <w:t>1.1</w:t>
      </w:r>
      <w:r>
        <w:rPr>
          <w:rFonts w:hint="eastAsia" w:asciiTheme="minorEastAsia" w:hAnsiTheme="minorEastAsia" w:eastAsiaTheme="minorEastAsia" w:cstheme="minorEastAsia"/>
          <w:sz w:val="24"/>
        </w:rPr>
        <w:t>采购人：见投标人须知前附表；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1.2采购代理机构：见投标人须知前附表；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1.3“招标采购单位”系指“采购人”和“采购代理机构”的统称；</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1.4投标人：购买了招标文件拟参加投标和向采购人提供服务的供应商；</w:t>
      </w:r>
    </w:p>
    <w:p>
      <w:pPr>
        <w:spacing w:line="360" w:lineRule="auto"/>
        <w:ind w:firstLine="480" w:firstLineChars="200"/>
        <w:rPr>
          <w:rFonts w:ascii="宋体" w:cs="宋体"/>
          <w:sz w:val="24"/>
        </w:rPr>
      </w:pPr>
      <w:r>
        <w:rPr>
          <w:rFonts w:hint="eastAsia" w:asciiTheme="minorEastAsia" w:hAnsiTheme="minorEastAsia" w:eastAsiaTheme="minorEastAsia" w:cstheme="minorEastAsia"/>
          <w:sz w:val="24"/>
        </w:rPr>
        <w:t>1.5项目名称：见投标人须知前附表；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宋体" w:cs="宋体"/>
          <w:sz w:val="24"/>
        </w:rPr>
        <w:t>1.6供货</w:t>
      </w:r>
      <w:r>
        <w:rPr>
          <w:rFonts w:hint="eastAsia" w:ascii="宋体" w:cs="宋体"/>
          <w:sz w:val="24"/>
          <w:lang w:eastAsia="zh-CN"/>
        </w:rPr>
        <w:t>（</w:t>
      </w:r>
      <w:r>
        <w:rPr>
          <w:rFonts w:hint="eastAsia" w:ascii="宋体" w:cs="宋体"/>
          <w:sz w:val="24"/>
        </w:rPr>
        <w:t>服务</w:t>
      </w:r>
      <w:r>
        <w:rPr>
          <w:rFonts w:hint="eastAsia" w:ascii="宋体" w:cs="宋体"/>
          <w:sz w:val="24"/>
          <w:lang w:eastAsia="zh-CN"/>
        </w:rPr>
        <w:t>）</w:t>
      </w:r>
      <w:r>
        <w:rPr>
          <w:rFonts w:hint="eastAsia" w:ascii="宋体" w:cs="宋体"/>
          <w:sz w:val="24"/>
        </w:rPr>
        <w:t>地址：见投标人须知前</w:t>
      </w:r>
      <w:r>
        <w:rPr>
          <w:rFonts w:hint="eastAsia" w:asciiTheme="minorEastAsia" w:hAnsiTheme="minorEastAsia" w:eastAsiaTheme="minorEastAsia" w:cstheme="minorEastAsia"/>
          <w:sz w:val="24"/>
        </w:rPr>
        <w:t>附表；</w:t>
      </w:r>
    </w:p>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二、资金来源</w:t>
      </w:r>
    </w:p>
    <w:p>
      <w:pPr>
        <w:spacing w:line="360" w:lineRule="auto"/>
        <w:ind w:firstLine="480" w:firstLineChars="200"/>
        <w:rPr>
          <w:rFonts w:ascii="宋体" w:cs="宋体"/>
          <w:sz w:val="24"/>
        </w:rPr>
      </w:pPr>
      <w:r>
        <w:rPr>
          <w:rFonts w:hint="eastAsia" w:asciiTheme="minorEastAsia" w:hAnsiTheme="minorEastAsia" w:eastAsiaTheme="minorEastAsia" w:cstheme="minorEastAsia"/>
          <w:sz w:val="24"/>
        </w:rPr>
        <w:t>2.1资金情况：见投标人须知前附表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宋体" w:cs="宋体"/>
          <w:sz w:val="24"/>
        </w:rPr>
        <w:t>2.2最高</w:t>
      </w:r>
      <w:r>
        <w:rPr>
          <w:rFonts w:hint="eastAsia" w:asciiTheme="minorEastAsia" w:hAnsiTheme="minorEastAsia" w:eastAsiaTheme="minorEastAsia" w:cstheme="minorEastAsia"/>
          <w:sz w:val="24"/>
          <w:lang w:val="zh-CN"/>
        </w:rPr>
        <w:t>限价</w:t>
      </w:r>
      <w:r>
        <w:rPr>
          <w:rFonts w:hint="eastAsia" w:asciiTheme="minorEastAsia" w:hAnsiTheme="minorEastAsia" w:eastAsiaTheme="minorEastAsia" w:cstheme="minorEastAsia"/>
          <w:sz w:val="24"/>
        </w:rPr>
        <w:t>：见投标人须知前附表</w:t>
      </w:r>
    </w:p>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三、招标范围、计划工期和质量要求</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3.1本招标项目的范围：见投标人须知前附表</w:t>
      </w:r>
    </w:p>
    <w:p>
      <w:pPr>
        <w:spacing w:line="360" w:lineRule="auto"/>
        <w:ind w:firstLine="480" w:firstLineChars="200"/>
        <w:rPr>
          <w:rFonts w:ascii="宋体" w:cs="宋体"/>
          <w:sz w:val="24"/>
        </w:rPr>
      </w:pPr>
      <w:r>
        <w:rPr>
          <w:rFonts w:hint="eastAsia" w:asciiTheme="minorEastAsia" w:hAnsiTheme="minorEastAsia" w:eastAsiaTheme="minorEastAsia" w:cstheme="minorEastAsia"/>
          <w:sz w:val="24"/>
        </w:rPr>
        <w:t>3.2本招标项目的供货</w:t>
      </w:r>
      <w:r>
        <w:rPr>
          <w:rFonts w:hint="eastAsia" w:ascii="宋体" w:cs="宋体"/>
          <w:sz w:val="24"/>
          <w:lang w:eastAsia="zh-CN"/>
        </w:rPr>
        <w:t>（</w:t>
      </w:r>
      <w:r>
        <w:rPr>
          <w:rFonts w:hint="eastAsia" w:ascii="宋体" w:cs="宋体"/>
          <w:sz w:val="24"/>
        </w:rPr>
        <w:t>服务</w:t>
      </w:r>
      <w:r>
        <w:rPr>
          <w:rFonts w:hint="eastAsia" w:ascii="宋体" w:cs="宋体"/>
          <w:sz w:val="24"/>
          <w:lang w:eastAsia="zh-CN"/>
        </w:rPr>
        <w:t>）</w:t>
      </w:r>
      <w:r>
        <w:rPr>
          <w:rFonts w:hint="eastAsia" w:asciiTheme="minorEastAsia" w:hAnsiTheme="minorEastAsia" w:eastAsiaTheme="minorEastAsia" w:cstheme="minorEastAsia"/>
          <w:sz w:val="24"/>
        </w:rPr>
        <w:t>周期：见</w:t>
      </w:r>
      <w:r>
        <w:rPr>
          <w:rFonts w:hint="eastAsia" w:ascii="宋体" w:cs="宋体"/>
          <w:sz w:val="24"/>
        </w:rPr>
        <w:t>投标人须知前附表</w:t>
      </w:r>
    </w:p>
    <w:p>
      <w:pPr>
        <w:spacing w:line="360" w:lineRule="auto"/>
        <w:ind w:firstLine="480" w:firstLineChars="200"/>
      </w:pPr>
      <w:r>
        <w:rPr>
          <w:rFonts w:hint="eastAsia" w:ascii="宋体" w:cs="宋体"/>
          <w:sz w:val="24"/>
        </w:rPr>
        <w:t>3.3本招标项目的质量要求：见投标人须知前附表</w:t>
      </w:r>
    </w:p>
    <w:p>
      <w:pPr>
        <w:widowControl/>
        <w:shd w:val="clear" w:color="auto" w:fill="FFFFFF"/>
        <w:snapToGrid w:val="0"/>
        <w:spacing w:line="360" w:lineRule="auto"/>
        <w:rPr>
          <w:rFonts w:ascii="宋体"/>
          <w:b/>
          <w:bCs/>
          <w:kern w:val="0"/>
          <w:sz w:val="24"/>
        </w:rPr>
      </w:pPr>
      <w:r>
        <w:rPr>
          <w:rFonts w:hint="eastAsia" w:ascii="宋体" w:cs="宋体"/>
          <w:b/>
          <w:bCs/>
          <w:sz w:val="24"/>
        </w:rPr>
        <w:t>四、</w:t>
      </w:r>
      <w:r>
        <w:rPr>
          <w:rFonts w:hint="eastAsia" w:ascii="宋体"/>
          <w:b/>
          <w:bCs/>
          <w:kern w:val="0"/>
          <w:sz w:val="24"/>
        </w:rPr>
        <w:t>申请人的资格要求及</w:t>
      </w:r>
      <w:r>
        <w:rPr>
          <w:rFonts w:hint="eastAsia" w:ascii="宋体" w:cs="宋体"/>
          <w:b/>
          <w:bCs/>
          <w:sz w:val="24"/>
          <w:shd w:val="clear" w:color="auto" w:fill="FFFFFF"/>
        </w:rPr>
        <w:t>特殊资格要求：</w:t>
      </w:r>
      <w:r>
        <w:rPr>
          <w:rFonts w:hint="eastAsia" w:ascii="宋体" w:cs="宋体"/>
          <w:sz w:val="24"/>
        </w:rPr>
        <w:t>见投标人须知前附表</w:t>
      </w:r>
    </w:p>
    <w:p>
      <w:pPr>
        <w:spacing w:line="360" w:lineRule="auto"/>
        <w:ind w:firstLine="480" w:firstLineChars="200"/>
        <w:rPr>
          <w:rFonts w:ascii="宋体" w:cs="宋体"/>
          <w:sz w:val="24"/>
        </w:rPr>
      </w:pPr>
      <w:r>
        <w:rPr>
          <w:rFonts w:hint="eastAsia" w:ascii="宋体"/>
          <w:kern w:val="0"/>
          <w:sz w:val="24"/>
        </w:rPr>
        <w:t>4.1 满足《中华人民共和国政府采购法》第二十二条规定：</w:t>
      </w:r>
    </w:p>
    <w:p>
      <w:pPr>
        <w:pStyle w:val="21"/>
        <w:numPr>
          <w:ilvl w:val="0"/>
          <w:numId w:val="0"/>
        </w:numPr>
        <w:spacing w:before="0" w:beforeAutospacing="0" w:after="0" w:afterAutospacing="0" w:line="500" w:lineRule="exact"/>
        <w:ind w:firstLine="480" w:firstLineChars="200"/>
        <w:rPr>
          <w:rFonts w:hint="eastAsia" w:ascii="宋体" w:hAnsi="Calibri" w:eastAsia="宋体" w:cs="宋体"/>
          <w:kern w:val="2"/>
          <w:sz w:val="24"/>
          <w:szCs w:val="24"/>
          <w:lang w:val="en-US" w:eastAsia="zh-CN" w:bidi="ar-SA"/>
        </w:rPr>
      </w:pPr>
      <w:r>
        <w:rPr>
          <w:rFonts w:hint="eastAsia" w:ascii="宋体"/>
          <w:kern w:val="0"/>
          <w:sz w:val="24"/>
        </w:rPr>
        <w:t xml:space="preserve">4.2 </w:t>
      </w:r>
      <w:r>
        <w:rPr>
          <w:rFonts w:hint="eastAsia" w:ascii="宋体" w:cs="宋体"/>
          <w:color w:val="111111"/>
          <w:sz w:val="24"/>
          <w:shd w:val="clear" w:color="auto" w:fill="FFFFFF"/>
        </w:rPr>
        <w:t>落实政府采购政策需满足得资格要求：</w:t>
      </w:r>
      <w:r>
        <w:rPr>
          <w:rFonts w:hint="eastAsia" w:cs="宋体"/>
          <w:color w:val="111111"/>
          <w:sz w:val="24"/>
          <w:shd w:val="clear" w:color="auto" w:fill="FFFFFF"/>
          <w:lang w:val="en-US" w:eastAsia="zh-CN"/>
        </w:rPr>
        <w:t>见投标人须知前附表</w:t>
      </w:r>
    </w:p>
    <w:p>
      <w:pPr>
        <w:spacing w:line="360" w:lineRule="auto"/>
        <w:ind w:firstLine="482" w:firstLineChars="200"/>
        <w:rPr>
          <w:rFonts w:ascii="宋体" w:cs="宋体"/>
          <w:b/>
          <w:bCs/>
          <w:color w:val="111111"/>
          <w:sz w:val="24"/>
          <w:shd w:val="clear" w:color="auto" w:fill="FFFFFF"/>
        </w:rPr>
      </w:pPr>
      <w:r>
        <w:rPr>
          <w:rFonts w:hint="eastAsia" w:ascii="宋体" w:cs="宋体"/>
          <w:b/>
          <w:bCs/>
          <w:sz w:val="24"/>
        </w:rPr>
        <w:t>⑴ 采购政策</w:t>
      </w:r>
    </w:p>
    <w:p>
      <w:pPr>
        <w:spacing w:line="360" w:lineRule="auto"/>
        <w:ind w:firstLine="720" w:firstLineChars="300"/>
        <w:rPr>
          <w:rFonts w:ascii="宋体" w:cs="宋体"/>
          <w:sz w:val="24"/>
        </w:rPr>
      </w:pPr>
      <w:r>
        <w:rPr>
          <w:rFonts w:hint="eastAsia" w:ascii="宋体" w:cs="宋体"/>
          <w:sz w:val="24"/>
        </w:rPr>
        <w:t>政府采购应当优先采购本国货物、工程和服务，并执行节能产品、环境标志产品、中小企业、残疾人福利性单位、监狱企业等适宜本项目的政府采购政策。</w:t>
      </w:r>
    </w:p>
    <w:p>
      <w:pPr>
        <w:spacing w:line="360" w:lineRule="auto"/>
        <w:ind w:firstLine="482" w:firstLineChars="200"/>
        <w:rPr>
          <w:rFonts w:ascii="宋体" w:cs="宋体"/>
          <w:sz w:val="24"/>
        </w:rPr>
      </w:pPr>
      <w:r>
        <w:rPr>
          <w:rFonts w:hint="eastAsia" w:ascii="宋体" w:cs="宋体"/>
          <w:b/>
          <w:bCs/>
          <w:sz w:val="24"/>
        </w:rPr>
        <w:t>⑵ 政策依据</w:t>
      </w:r>
      <w:r>
        <w:rPr>
          <w:rFonts w:hint="eastAsia" w:ascii="宋体" w:cs="宋体"/>
          <w:sz w:val="24"/>
        </w:rPr>
        <w:t>；</w:t>
      </w:r>
    </w:p>
    <w:p>
      <w:pPr>
        <w:spacing w:line="360" w:lineRule="auto"/>
        <w:ind w:firstLine="480" w:firstLineChars="200"/>
        <w:rPr>
          <w:rFonts w:ascii="宋体" w:cs="宋体"/>
          <w:sz w:val="24"/>
        </w:rPr>
      </w:pPr>
      <w:r>
        <w:rPr>
          <w:rFonts w:hint="eastAsia" w:ascii="宋体" w:cs="宋体"/>
          <w:color w:val="111111"/>
          <w:sz w:val="24"/>
          <w:shd w:val="clear" w:color="auto" w:fill="FFFFFF"/>
        </w:rPr>
        <w:t>⒈ 财政部、国家发展改革委、生态环境部、市场监管总局《关于调整优化节能产品、环境标志产品政府采购执行机制的通知》（财库[2019]9号文）；</w:t>
      </w:r>
    </w:p>
    <w:p>
      <w:pPr>
        <w:spacing w:line="360" w:lineRule="auto"/>
        <w:ind w:firstLine="480" w:firstLineChars="200"/>
        <w:rPr>
          <w:rFonts w:ascii="宋体" w:cs="宋体"/>
          <w:sz w:val="24"/>
        </w:rPr>
      </w:pPr>
      <w:r>
        <w:rPr>
          <w:rFonts w:hint="eastAsia" w:ascii="宋体" w:cs="宋体"/>
          <w:color w:val="111111"/>
          <w:sz w:val="24"/>
          <w:shd w:val="clear" w:color="auto" w:fill="FFFFFF"/>
        </w:rPr>
        <w:t>⒉ 财政部、生态环境部《关于印发</w:t>
      </w:r>
      <w:r>
        <w:rPr>
          <w:rFonts w:hint="eastAsia" w:ascii="宋体" w:cs="宋体"/>
          <w:color w:val="000000"/>
          <w:sz w:val="24"/>
          <w:shd w:val="clear" w:color="auto" w:fill="FFFFFF"/>
        </w:rPr>
        <w:t>环境标志</w:t>
      </w:r>
      <w:r>
        <w:rPr>
          <w:rFonts w:hint="eastAsia" w:ascii="宋体" w:cs="宋体"/>
          <w:color w:val="111111"/>
          <w:sz w:val="24"/>
          <w:shd w:val="clear" w:color="auto" w:fill="FFFFFF"/>
        </w:rPr>
        <w:t>产品政府采购品目清单的通知》（财库[2019]18号文）；</w:t>
      </w:r>
    </w:p>
    <w:p>
      <w:pPr>
        <w:spacing w:line="360" w:lineRule="auto"/>
        <w:ind w:firstLine="480" w:firstLineChars="200"/>
        <w:rPr>
          <w:rFonts w:ascii="宋体" w:cs="宋体"/>
          <w:sz w:val="24"/>
        </w:rPr>
      </w:pPr>
      <w:r>
        <w:rPr>
          <w:rFonts w:hint="eastAsia" w:ascii="宋体" w:cs="宋体"/>
          <w:color w:val="111111"/>
          <w:sz w:val="24"/>
          <w:shd w:val="clear" w:color="auto" w:fill="FFFFFF"/>
        </w:rPr>
        <w:t>⒊ 财政部、发展改革委《关于印发</w:t>
      </w:r>
      <w:r>
        <w:rPr>
          <w:rFonts w:hint="eastAsia" w:ascii="宋体" w:cs="宋体"/>
          <w:color w:val="000000"/>
          <w:sz w:val="24"/>
          <w:shd w:val="clear" w:color="auto" w:fill="FFFFFF"/>
        </w:rPr>
        <w:t>节能产品</w:t>
      </w:r>
      <w:r>
        <w:rPr>
          <w:rFonts w:hint="eastAsia" w:ascii="宋体" w:cs="宋体"/>
          <w:color w:val="111111"/>
          <w:sz w:val="24"/>
          <w:shd w:val="clear" w:color="auto" w:fill="FFFFFF"/>
        </w:rPr>
        <w:t>政府采购品目清单的通知》（财库[2019]19号文）；</w:t>
      </w:r>
    </w:p>
    <w:p>
      <w:pPr>
        <w:spacing w:line="360" w:lineRule="auto"/>
        <w:ind w:firstLine="480" w:firstLineChars="200"/>
        <w:rPr>
          <w:rFonts w:ascii="宋体" w:cs="宋体"/>
          <w:sz w:val="24"/>
        </w:rPr>
      </w:pPr>
      <w:r>
        <w:rPr>
          <w:rFonts w:hint="eastAsia" w:ascii="宋体" w:cs="宋体"/>
          <w:color w:val="111111"/>
          <w:sz w:val="24"/>
          <w:shd w:val="clear" w:color="auto" w:fill="FFFFFF"/>
        </w:rPr>
        <w:t>⒋ 市场监管总局《市场监管总局关于发布参与实施政府采购节能产品、环境标志产品认证机构名录的公告》（2019年第16号）；</w:t>
      </w:r>
    </w:p>
    <w:p>
      <w:pPr>
        <w:spacing w:line="360" w:lineRule="auto"/>
        <w:ind w:firstLine="480" w:firstLineChars="200"/>
        <w:rPr>
          <w:rFonts w:ascii="宋体" w:cs="宋体"/>
          <w:sz w:val="24"/>
        </w:rPr>
      </w:pPr>
      <w:r>
        <w:rPr>
          <w:rFonts w:hint="eastAsia" w:ascii="宋体" w:cs="宋体"/>
          <w:color w:val="111111"/>
          <w:sz w:val="24"/>
          <w:shd w:val="clear" w:color="auto" w:fill="FFFFFF"/>
        </w:rPr>
        <w:t>⒌ 财政部、工业和信息化部《关于印发《政府采购</w:t>
      </w:r>
      <w:r>
        <w:rPr>
          <w:rFonts w:hint="eastAsia" w:ascii="宋体" w:cs="宋体"/>
          <w:color w:val="000000"/>
          <w:sz w:val="24"/>
          <w:shd w:val="clear" w:color="auto" w:fill="FFFFFF"/>
        </w:rPr>
        <w:t>促进中小企业</w:t>
      </w:r>
      <w:r>
        <w:rPr>
          <w:rFonts w:hint="eastAsia" w:ascii="宋体" w:cs="宋体"/>
          <w:color w:val="111111"/>
          <w:sz w:val="24"/>
          <w:shd w:val="clear" w:color="auto" w:fill="FFFFFF"/>
        </w:rPr>
        <w:t>展暂行办法》的通知》（财库[2020]46号文）；</w:t>
      </w:r>
    </w:p>
    <w:p>
      <w:pPr>
        <w:spacing w:line="360" w:lineRule="auto"/>
        <w:ind w:firstLine="480" w:firstLineChars="200"/>
        <w:rPr>
          <w:rFonts w:ascii="宋体" w:cs="宋体"/>
          <w:sz w:val="24"/>
        </w:rPr>
      </w:pPr>
      <w:r>
        <w:rPr>
          <w:rFonts w:hint="eastAsia" w:ascii="宋体" w:cs="宋体"/>
          <w:color w:val="111111"/>
          <w:sz w:val="24"/>
          <w:shd w:val="clear" w:color="auto" w:fill="FFFFFF"/>
        </w:rPr>
        <w:t>⒍ 财政部、民政部、中国残疾人联合会《关于促进残疾人就业政府采购政策的通知》（财库[2017]141号文）；</w:t>
      </w:r>
    </w:p>
    <w:p>
      <w:pPr>
        <w:spacing w:line="360" w:lineRule="auto"/>
        <w:ind w:firstLine="480" w:firstLineChars="200"/>
        <w:rPr>
          <w:rFonts w:ascii="宋体" w:cs="宋体"/>
          <w:sz w:val="24"/>
        </w:rPr>
      </w:pPr>
      <w:r>
        <w:rPr>
          <w:rFonts w:hint="eastAsia" w:ascii="宋体" w:cs="宋体"/>
          <w:color w:val="111111"/>
          <w:sz w:val="24"/>
          <w:shd w:val="clear" w:color="auto" w:fill="FFFFFF"/>
        </w:rPr>
        <w:t>⒎ 财政部、司法部《关于政府采购支持监狱企业发展有关问题的通知》（财库[2014]68号文）；</w:t>
      </w:r>
    </w:p>
    <w:p>
      <w:pPr>
        <w:spacing w:line="360" w:lineRule="auto"/>
        <w:ind w:firstLine="480" w:firstLineChars="200"/>
        <w:rPr>
          <w:rFonts w:ascii="宋体" w:cs="宋体"/>
          <w:sz w:val="24"/>
        </w:rPr>
      </w:pPr>
      <w:r>
        <w:rPr>
          <w:rFonts w:hint="eastAsia" w:ascii="宋体" w:cs="宋体"/>
          <w:color w:val="111111"/>
          <w:sz w:val="24"/>
          <w:shd w:val="clear" w:color="auto" w:fill="FFFFFF"/>
        </w:rPr>
        <w:t>⒏ 《财政部农业农村部国家乡村振兴局关于运用政府采购政策支持乡村产业振兴的通知》（财库[2021]19号文）、《财政部农业农村部国家乡村振兴局中华全国供销合作总社关于印发&lt;关于深入开展政府采购脱贫地区农副产品工作推进乡村产业振兴的实施意见&gt;的通知》（财库[2021]20号文）、《财政部办公厅关于组织地方预算单位做好2021年政府采购脱贫地区农副产品工作的通知》（财办库[2021]76号文）、关于印发《关于深入开展政府采购脱贫地区农副产品工作推进乡村产业振兴的实施意见》的通知。</w:t>
      </w:r>
    </w:p>
    <w:p>
      <w:pPr>
        <w:spacing w:line="360" w:lineRule="auto"/>
        <w:ind w:firstLine="480" w:firstLineChars="200"/>
        <w:rPr>
          <w:rFonts w:asciiTheme="minorEastAsia" w:hAnsiTheme="minorEastAsia" w:eastAsiaTheme="minorEastAsia" w:cstheme="minorEastAsia"/>
          <w:b/>
          <w:bCs/>
          <w:color w:val="FF0000"/>
          <w:sz w:val="24"/>
          <w:shd w:val="clear" w:color="auto" w:fill="FFFFFF"/>
        </w:rPr>
      </w:pPr>
      <w:r>
        <w:rPr>
          <w:rFonts w:hint="eastAsia" w:ascii="宋体"/>
          <w:kern w:val="0"/>
          <w:sz w:val="24"/>
        </w:rPr>
        <w:t>4.3</w:t>
      </w:r>
      <w:r>
        <w:rPr>
          <w:rFonts w:hint="eastAsia" w:asciiTheme="minorEastAsia" w:hAnsiTheme="minorEastAsia" w:eastAsiaTheme="minorEastAsia" w:cstheme="minorEastAsia"/>
          <w:b/>
          <w:bCs/>
          <w:color w:val="auto"/>
          <w:kern w:val="0"/>
          <w:sz w:val="24"/>
        </w:rPr>
        <w:t>投标人的</w:t>
      </w:r>
      <w:r>
        <w:rPr>
          <w:rFonts w:hint="eastAsia" w:asciiTheme="minorEastAsia" w:hAnsiTheme="minorEastAsia" w:eastAsiaTheme="minorEastAsia" w:cstheme="minorEastAsia"/>
          <w:b/>
          <w:bCs/>
          <w:color w:val="auto"/>
          <w:sz w:val="24"/>
          <w:shd w:val="clear" w:color="auto" w:fill="FFFFFF"/>
        </w:rPr>
        <w:t>特定资格要求，</w:t>
      </w:r>
      <w:r>
        <w:rPr>
          <w:rFonts w:hint="eastAsia" w:asciiTheme="minorEastAsia" w:hAnsiTheme="minorEastAsia" w:eastAsiaTheme="minorEastAsia" w:cstheme="minorEastAsia"/>
          <w:b/>
          <w:bCs/>
          <w:color w:val="auto"/>
          <w:sz w:val="24"/>
        </w:rPr>
        <w:t>见投标人须知前附表</w:t>
      </w:r>
    </w:p>
    <w:p>
      <w:pPr>
        <w:spacing w:line="360" w:lineRule="auto"/>
        <w:ind w:firstLine="720" w:firstLineChars="300"/>
        <w:rPr>
          <w:rFonts w:hint="eastAsia" w:ascii="宋体" w:cs="宋体"/>
          <w:sz w:val="24"/>
        </w:rPr>
      </w:pPr>
      <w:r>
        <w:rPr>
          <w:rFonts w:hint="eastAsia" w:ascii="宋体" w:cs="宋体"/>
          <w:sz w:val="24"/>
        </w:rPr>
        <w:t>符合政府采购政策、相关法律、法规规定的其他条件，如投标人本行业有特殊资格要求的，投标人应附上其证明材料，并对自己的资格能力满足招标文件做出承诺。</w:t>
      </w:r>
    </w:p>
    <w:p>
      <w:pPr>
        <w:spacing w:line="360" w:lineRule="auto"/>
        <w:ind w:firstLine="480" w:firstLineChars="200"/>
        <w:rPr>
          <w:rFonts w:hint="eastAsia" w:ascii="宋体" w:cs="宋体"/>
          <w:sz w:val="24"/>
        </w:rPr>
      </w:pPr>
      <w:r>
        <w:rPr>
          <w:rFonts w:hint="eastAsia" w:ascii="宋体" w:cs="宋体"/>
          <w:sz w:val="24"/>
        </w:rPr>
        <w:t>4.</w:t>
      </w:r>
      <w:r>
        <w:rPr>
          <w:rFonts w:hint="eastAsia" w:ascii="宋体" w:cs="宋体"/>
          <w:sz w:val="24"/>
          <w:lang w:val="en-US" w:eastAsia="zh-CN"/>
        </w:rPr>
        <w:t>4</w:t>
      </w:r>
      <w:r>
        <w:rPr>
          <w:rFonts w:hint="eastAsia" w:ascii="宋体" w:cs="宋体"/>
          <w:sz w:val="24"/>
        </w:rPr>
        <w:t xml:space="preserve"> 投标人须知前附表规定接受联合体投标的，除应符合投标人须知前附表的要求外，还应遵守以下规定：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 联合体各方应按招标文件提供的格式签订联合体协议书，明确联合体牵头人和各方权利义务；</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 由同一专业的单位组成的联合体，按照资质等级较低的单位确定资质等级；</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⑶ 联合体各方不得再以自己名义单独或参加其他联合体在同一标段中投标；</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⑷ 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80" w:firstLineChars="200"/>
        <w:rPr>
          <w:rFonts w:asciiTheme="minorEastAsia" w:hAnsiTheme="minorEastAsia" w:eastAsiaTheme="minorEastAsia" w:cstheme="minorEastAsia"/>
          <w:color w:val="auto"/>
          <w:sz w:val="24"/>
        </w:rPr>
      </w:pPr>
      <w:r>
        <w:rPr>
          <w:rFonts w:hint="eastAsia" w:ascii="宋体" w:hAnsi="宋体" w:eastAsia="宋体" w:cs="宋体"/>
          <w:color w:val="auto"/>
          <w:sz w:val="24"/>
        </w:rPr>
        <w:t>⑸</w:t>
      </w:r>
      <w:r>
        <w:rPr>
          <w:rFonts w:hint="eastAsia" w:asciiTheme="minorEastAsia" w:hAnsiTheme="minorEastAsia" w:eastAsiaTheme="minorEastAsia" w:cstheme="minorEastAsia"/>
          <w:color w:val="auto"/>
          <w:sz w:val="24"/>
          <w:lang w:val="en-US" w:eastAsia="zh-CN"/>
        </w:rPr>
        <w:t xml:space="preserve"> </w:t>
      </w:r>
      <w:r>
        <w:rPr>
          <w:rFonts w:hint="eastAsia" w:ascii="宋体" w:cs="宋体"/>
          <w:color w:val="auto"/>
          <w:sz w:val="24"/>
        </w:rPr>
        <w:t>本项目是否接受联合体投标见投标人须知前附表。</w:t>
      </w:r>
    </w:p>
    <w:p>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4.5 向采购代理机构成功报名的</w:t>
      </w:r>
      <w:r>
        <w:rPr>
          <w:rFonts w:hint="eastAsia" w:asciiTheme="minorEastAsia" w:hAnsiTheme="minorEastAsia" w:eastAsiaTheme="minorEastAsia" w:cstheme="minorEastAsia"/>
          <w:sz w:val="24"/>
        </w:rPr>
        <w:t>。</w:t>
      </w: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4.6 遵守国家有关法律、法规、规章和其他政策规定。</w:t>
      </w:r>
    </w:p>
    <w:p>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4.7 公平竞争措施</w:t>
      </w:r>
      <w:r>
        <w:rPr>
          <w:rFonts w:hint="eastAsia" w:asciiTheme="minorEastAsia" w:hAnsiTheme="minorEastAsia" w:eastAsiaTheme="minorEastAsia" w:cstheme="minorEastAsia"/>
          <w:sz w:val="24"/>
        </w:rPr>
        <w:t>：</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 关于相同品牌产品（政府采购服务类项目不适用本条款规定）；</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⒈ 采用最低评标价法的，</w:t>
      </w:r>
      <w:r>
        <w:rPr>
          <w:rFonts w:hint="eastAsia" w:asciiTheme="minorEastAsia" w:hAnsiTheme="minorEastAsia" w:eastAsiaTheme="minorEastAsia" w:cstheme="minorEastAsia"/>
          <w:sz w:val="24"/>
        </w:rPr>
        <w:t>提供相同品牌产品的不同投标人参加同一合同项下投标的，以其中通过资格审查、符合性审查且报价最低的参加评；报价相同的，由评标委员会采取公平、择优的方式确定一个参加评标的投标人，其他投标无效；</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⒉ 采用综合评分法的，</w:t>
      </w:r>
      <w:r>
        <w:rPr>
          <w:rFonts w:hint="eastAsia" w:asciiTheme="minorEastAsia" w:hAnsiTheme="minorEastAsia" w:eastAsiaTheme="minorEastAsia" w:cstheme="minorEastAsia"/>
          <w:sz w:val="24"/>
        </w:rPr>
        <w:t>提供相同品牌产品且通过资格审查、符合性审查的不同投标人参加同一合同项下投标的，按一家投标人计算，评审后得分最高的同品牌投标人作为中标候选人推荐；评审得分相同的，由评标委员会采取公平、择优的方式确定一个参加评标的投标人，其他投标无效；</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 xml:space="preserve">⒊ </w:t>
      </w:r>
      <w:r>
        <w:rPr>
          <w:rFonts w:hint="eastAsia" w:asciiTheme="minorEastAsia" w:hAnsiTheme="minorEastAsia" w:eastAsiaTheme="minorEastAsia" w:cstheme="minorEastAsia"/>
          <w:sz w:val="24"/>
        </w:rPr>
        <w:t>非单一产品采购项目中，多家投标人提供的部分或所有核心产品品牌相同的，视为提供相同品牌产品；</w:t>
      </w:r>
    </w:p>
    <w:p>
      <w:pPr>
        <w:spacing w:line="360" w:lineRule="auto"/>
        <w:ind w:firstLine="720" w:firstLineChars="300"/>
        <w:rPr>
          <w:rFonts w:asciiTheme="minorEastAsia" w:hAnsiTheme="minorEastAsia" w:eastAsiaTheme="minorEastAsia" w:cstheme="minorEastAsia"/>
          <w:sz w:val="24"/>
        </w:rPr>
      </w:pPr>
      <w:r>
        <w:rPr>
          <w:rFonts w:hint="eastAsia" w:ascii="宋体" w:hAnsi="宋体" w:cs="宋体"/>
          <w:color w:val="111111"/>
          <w:sz w:val="24"/>
          <w:shd w:val="clear" w:color="auto" w:fill="FFFFFF"/>
        </w:rPr>
        <w:t>⒋</w:t>
      </w:r>
      <w:r>
        <w:rPr>
          <w:rFonts w:hint="eastAsia" w:asciiTheme="minorEastAsia" w:hAnsiTheme="minorEastAsia" w:eastAsiaTheme="minorEastAsia" w:cstheme="minorEastAsia"/>
          <w:color w:val="111111"/>
          <w:sz w:val="24"/>
          <w:shd w:val="clear" w:color="auto" w:fill="FFFFFF"/>
        </w:rPr>
        <w:t xml:space="preserve"> </w:t>
      </w:r>
      <w:r>
        <w:rPr>
          <w:rFonts w:hint="eastAsia" w:asciiTheme="minorEastAsia" w:hAnsiTheme="minorEastAsia" w:eastAsiaTheme="minorEastAsia" w:cstheme="minorEastAsia"/>
          <w:sz w:val="24"/>
        </w:rPr>
        <w:t>本采购项目核心产品:</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 利害关系供应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⑶ 利害关系授权代表。两家以上的供应商不得在同一合同项下的采购项目中，委托同一个自然人、同一家庭的人员、同一单位的人员作为其授权代表，否则，其投标文件作为无效处理；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⑷ 供应商实际控制人或者中高级管理人员，同时是采购代理机构工作人员，不得参与本项目政府采购活动；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⑸ 同一母公司的两家以上的子公司只能组成联合体参加本项目同一合同项下的采购活动，不得以不同供应商身份同时参加本项目同一合同项下的采购活动，联合体投标要求见投标人须知前附表；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⑹ 供应商与采购代理机构存在关联关系，或者是采购代理机构的母公司或子公司，不得参加本项目政府采购活动；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⑺ 采购人员及相关人员与供应商有下列利害关系之一的，应当回避：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 xml:space="preserve">⒈ </w:t>
      </w:r>
      <w:r>
        <w:rPr>
          <w:rFonts w:hint="eastAsia" w:asciiTheme="minorEastAsia" w:hAnsiTheme="minorEastAsia" w:eastAsiaTheme="minorEastAsia" w:cstheme="minorEastAsia"/>
          <w:sz w:val="24"/>
        </w:rPr>
        <w:t>参加采购活动前 3 年内与供应商存在劳动关系，担任供应商的董事、监事，是供应商的控股股东或者实际控制人；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 xml:space="preserve">⒉ </w:t>
      </w:r>
      <w:r>
        <w:rPr>
          <w:rFonts w:hint="eastAsia" w:asciiTheme="minorEastAsia" w:hAnsiTheme="minorEastAsia" w:eastAsiaTheme="minorEastAsia" w:cstheme="minorEastAsia"/>
          <w:sz w:val="24"/>
        </w:rPr>
        <w:t>与供应商的法定代表人或者负责人有夫妻、直系血亲、三代以内旁系血亲或者近姻亲关系；</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 xml:space="preserve">⒊ </w:t>
      </w:r>
      <w:r>
        <w:rPr>
          <w:rFonts w:hint="eastAsia" w:asciiTheme="minorEastAsia" w:hAnsiTheme="minorEastAsia" w:eastAsiaTheme="minorEastAsia" w:cstheme="minorEastAsia"/>
          <w:sz w:val="24"/>
        </w:rPr>
        <w:t>与供应商有其他可能影响政府采购活动公平、公正进行的关系；</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⑻ 本项目政府采购活动中需要依法回避的采购人员是指采购人内部负责采购项目的具体经办工作人员和直接分管采购项目的负责人，以及采购代理机构负责采购项目的具体经办工作人员和直接分管采购活动的负责人。供应商认为采购人员及相关人员与其他供应商有利害关系的，可以向采购代理机构书面提出回避申请，并说明理由。采购代理机构将及时询问被申请回避人员，有利害关系的被申请回避人员应当回避。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⑼ 被责令停业的，被暂停或取消投标资格的，财产被接管或冻结的；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⑽ 在最近三年内有骗取中标或严重违约或重大工程质量问题的。</w:t>
      </w:r>
    </w:p>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五、费用承担</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5.1投标人自行承担所有与参加投标有关的费用。不论投标的结果如何，采购人或采购代理机构在任何情况下均无义务和责任，承担因投标所发生的一切费用；</w:t>
      </w:r>
    </w:p>
    <w:p>
      <w:pPr>
        <w:widowControl/>
        <w:shd w:val="clear" w:color="auto" w:fill="FFFFFF"/>
        <w:snapToGrid w:val="0"/>
        <w:spacing w:line="360" w:lineRule="auto"/>
        <w:ind w:firstLine="480" w:firstLineChars="200"/>
        <w:rPr>
          <w:rFonts w:ascii="宋体" w:cs="宋体"/>
        </w:rPr>
      </w:pPr>
      <w:r>
        <w:rPr>
          <w:rFonts w:hint="eastAsia" w:asciiTheme="minorEastAsia" w:hAnsiTheme="minorEastAsia" w:eastAsiaTheme="minorEastAsia" w:cstheme="minorEastAsia"/>
          <w:kern w:val="0"/>
          <w:sz w:val="24"/>
        </w:rPr>
        <w:t xml:space="preserve">5.2 </w:t>
      </w:r>
      <w:r>
        <w:rPr>
          <w:rFonts w:hint="eastAsia" w:asciiTheme="minorEastAsia" w:hAnsiTheme="minorEastAsia" w:eastAsiaTheme="minorEastAsia" w:cstheme="minorEastAsia"/>
          <w:sz w:val="24"/>
        </w:rPr>
        <w:t>投标人应认真阅读和充分理解招标文件中的所有内容，如果没有满足招标文件的有关要求，其风险由投标人自行承担</w:t>
      </w:r>
      <w:r>
        <w:rPr>
          <w:rFonts w:hint="eastAsia" w:ascii="宋体" w:cs="宋体"/>
          <w:sz w:val="24"/>
        </w:rPr>
        <w:t>。</w:t>
      </w:r>
    </w:p>
    <w:p>
      <w:pPr>
        <w:widowControl/>
        <w:shd w:val="clear" w:color="auto" w:fill="FFFFFF"/>
        <w:snapToGrid w:val="0"/>
        <w:spacing w:line="360" w:lineRule="auto"/>
        <w:rPr>
          <w:rFonts w:ascii="宋体" w:cs="宋体"/>
          <w:b/>
          <w:bCs/>
          <w:kern w:val="0"/>
          <w:sz w:val="24"/>
        </w:rPr>
      </w:pPr>
      <w:r>
        <w:rPr>
          <w:rFonts w:hint="eastAsia" w:ascii="宋体" w:cs="宋体"/>
          <w:b/>
          <w:bCs/>
          <w:sz w:val="24"/>
        </w:rPr>
        <w:t>六、</w:t>
      </w:r>
      <w:r>
        <w:rPr>
          <w:rFonts w:hint="eastAsia" w:ascii="宋体" w:cs="宋体"/>
          <w:b/>
          <w:bCs/>
          <w:kern w:val="0"/>
          <w:sz w:val="24"/>
        </w:rPr>
        <w:t>保密</w:t>
      </w:r>
    </w:p>
    <w:p>
      <w:pPr>
        <w:spacing w:line="360" w:lineRule="auto"/>
        <w:ind w:firstLine="480" w:firstLineChars="200"/>
      </w:pPr>
      <w:r>
        <w:rPr>
          <w:rFonts w:hint="eastAsia" w:ascii="宋体" w:cs="宋体"/>
          <w:kern w:val="0"/>
          <w:sz w:val="24"/>
        </w:rPr>
        <w:t>参与招标投标活动的各方应对</w:t>
      </w:r>
      <w:r>
        <w:rPr>
          <w:rFonts w:hint="eastAsia" w:ascii="宋体"/>
          <w:kern w:val="0"/>
          <w:sz w:val="24"/>
        </w:rPr>
        <w:t>招标文件或投标文件中的商业和技术等秘密保密，违者应对由此造成的后果承担法律责任</w:t>
      </w:r>
      <w:r>
        <w:rPr>
          <w:rFonts w:hint="eastAsia" w:ascii="宋体" w:cs="宋体"/>
          <w:sz w:val="24"/>
        </w:rPr>
        <w:t>。</w:t>
      </w:r>
    </w:p>
    <w:p>
      <w:pPr>
        <w:spacing w:line="360" w:lineRule="auto"/>
        <w:rPr>
          <w:rFonts w:asciiTheme="minorEastAsia" w:hAnsiTheme="minorEastAsia" w:eastAsiaTheme="minorEastAsia" w:cstheme="minorEastAsia"/>
          <w:b/>
          <w:bCs/>
          <w:kern w:val="0"/>
          <w:sz w:val="24"/>
        </w:rPr>
      </w:pPr>
      <w:r>
        <w:rPr>
          <w:rFonts w:hint="eastAsia" w:ascii="宋体" w:cs="宋体"/>
          <w:b/>
          <w:bCs/>
          <w:sz w:val="24"/>
        </w:rPr>
        <w:t>七、</w:t>
      </w:r>
      <w:r>
        <w:rPr>
          <w:rFonts w:hint="eastAsia" w:asciiTheme="minorEastAsia" w:hAnsiTheme="minorEastAsia" w:eastAsiaTheme="minorEastAsia" w:cstheme="minorEastAsia"/>
          <w:b/>
          <w:bCs/>
          <w:kern w:val="0"/>
          <w:sz w:val="24"/>
        </w:rPr>
        <w:t>踏勘现场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7.1</w:t>
      </w:r>
      <w:r>
        <w:rPr>
          <w:rFonts w:hint="eastAsia" w:asciiTheme="minorEastAsia" w:hAnsiTheme="minorEastAsia" w:eastAsiaTheme="minorEastAsia" w:cstheme="minorEastAsia"/>
          <w:sz w:val="24"/>
        </w:rPr>
        <w:t>投标人须知前附表规定组织踏勘现场的，招标人按投标人须知前附表规定的时间、地点组织投标人踏勘项目现场；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7.2 </w:t>
      </w:r>
      <w:r>
        <w:rPr>
          <w:rFonts w:hint="eastAsia" w:asciiTheme="minorEastAsia" w:hAnsiTheme="minorEastAsia" w:eastAsiaTheme="minorEastAsia" w:cstheme="minorEastAsia"/>
          <w:sz w:val="24"/>
        </w:rPr>
        <w:t>投标人踏勘项目现场发生的费用自理；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7.3 除招标人的原因外，</w:t>
      </w:r>
      <w:r>
        <w:rPr>
          <w:rFonts w:hint="eastAsia" w:asciiTheme="minorEastAsia" w:hAnsiTheme="minorEastAsia" w:eastAsiaTheme="minorEastAsia" w:cstheme="minorEastAsia"/>
          <w:sz w:val="24"/>
        </w:rPr>
        <w:t>投标人自行负责在踏勘现场中所发生的人员伤亡和财产损失；</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7.4 </w:t>
      </w:r>
      <w:r>
        <w:rPr>
          <w:rFonts w:hint="eastAsia" w:asciiTheme="minorEastAsia" w:hAnsiTheme="minorEastAsia" w:eastAsiaTheme="minorEastAsia" w:cstheme="minorEastAsia"/>
          <w:sz w:val="24"/>
        </w:rPr>
        <w:t>招标人在踏勘现场中介绍的工程场地和相关的周边环境情况，供投标人在编制投标文件时参考，招标人不对投标人据此作出的判断和决策负责；</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sz w:val="24"/>
        </w:rPr>
        <w:t xml:space="preserve">7.5 </w:t>
      </w:r>
      <w:r>
        <w:rPr>
          <w:rFonts w:hint="eastAsia" w:asciiTheme="minorEastAsia" w:hAnsiTheme="minorEastAsia" w:eastAsiaTheme="minorEastAsia" w:cstheme="minorEastAsia"/>
          <w:sz w:val="24"/>
        </w:rPr>
        <w:t>本项目是否现场踏勘见投标人须知前附表。</w:t>
      </w:r>
    </w:p>
    <w:p>
      <w:pPr>
        <w:widowControl/>
        <w:shd w:val="clear" w:color="auto" w:fill="FFFFFF"/>
        <w:snapToGrid w:val="0"/>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八、</w:t>
      </w:r>
      <w:r>
        <w:rPr>
          <w:rFonts w:hint="eastAsia" w:asciiTheme="minorEastAsia" w:hAnsiTheme="minorEastAsia" w:eastAsiaTheme="minorEastAsia" w:cstheme="minorEastAsia"/>
          <w:b/>
          <w:bCs/>
          <w:kern w:val="0"/>
          <w:sz w:val="24"/>
        </w:rPr>
        <w:t>投标预备会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8.1</w:t>
      </w:r>
      <w:r>
        <w:rPr>
          <w:rFonts w:hint="eastAsia" w:asciiTheme="minorEastAsia" w:hAnsiTheme="minorEastAsia" w:eastAsiaTheme="minorEastAsia" w:cstheme="minorEastAsia"/>
          <w:sz w:val="24"/>
        </w:rPr>
        <w:t>投标人须知前附表规定召开投标预备会的，招标人按投标人须知前附表规定的时间和地点召开投标预备会，澄清投标人提出的问题；</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8.2 </w:t>
      </w:r>
      <w:r>
        <w:rPr>
          <w:rFonts w:hint="eastAsia" w:asciiTheme="minorEastAsia" w:hAnsiTheme="minorEastAsia" w:eastAsiaTheme="minorEastAsia" w:cstheme="minorEastAsia"/>
          <w:sz w:val="24"/>
        </w:rPr>
        <w:t>招标人应在投标人须知前附表规定的时间前，以书面形式将提出的问题送达招标人，以便招标人在会议期间澄清；</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8.3 </w:t>
      </w:r>
      <w:r>
        <w:rPr>
          <w:rFonts w:hint="eastAsia" w:asciiTheme="minorEastAsia" w:hAnsiTheme="minorEastAsia" w:eastAsiaTheme="minorEastAsia" w:cstheme="minorEastAsia"/>
          <w:sz w:val="24"/>
        </w:rPr>
        <w:t>投标预备会后，招标人在投标人须知前附表规定的时间内，将对投标人所提问题的澄清，以书面方式通知所有购买招标文件的投标人。该澄清内容为招标文件的组成部分；</w:t>
      </w:r>
    </w:p>
    <w:p>
      <w:pPr>
        <w:spacing w:line="360" w:lineRule="auto"/>
        <w:ind w:firstLine="480" w:firstLineChars="200"/>
        <w:rPr>
          <w:rFonts w:ascii="Times New Roman" w:hAnsiTheme="minorEastAsia" w:eastAsiaTheme="minorEastAsia" w:cstheme="minorEastAsia"/>
          <w:sz w:val="24"/>
        </w:rPr>
      </w:pPr>
      <w:r>
        <w:rPr>
          <w:rFonts w:hint="eastAsia" w:asciiTheme="minorEastAsia" w:hAnsiTheme="minorEastAsia" w:eastAsiaTheme="minorEastAsia" w:cstheme="minorEastAsia"/>
          <w:kern w:val="0"/>
          <w:sz w:val="24"/>
        </w:rPr>
        <w:t xml:space="preserve">8.4 </w:t>
      </w:r>
      <w:r>
        <w:rPr>
          <w:rFonts w:hint="eastAsia" w:asciiTheme="minorEastAsia" w:hAnsiTheme="minorEastAsia" w:eastAsiaTheme="minorEastAsia" w:cstheme="minorEastAsia"/>
          <w:sz w:val="24"/>
        </w:rPr>
        <w:t>投标人认为需要对招标文件进行澄清或者修改的，应当在法定期限内向招标采购单位提出书面申请，招标采购单位有权决定是否采纳投标人的申请事项；</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sz w:val="24"/>
        </w:rPr>
        <w:t xml:space="preserve">8.5 </w:t>
      </w:r>
      <w:r>
        <w:rPr>
          <w:rFonts w:hint="eastAsia" w:asciiTheme="minorEastAsia" w:hAnsiTheme="minorEastAsia" w:eastAsiaTheme="minorEastAsia" w:cstheme="minorEastAsia"/>
          <w:sz w:val="24"/>
        </w:rPr>
        <w:t>本项目是否组织投标预备会见投标人须知前附表</w:t>
      </w:r>
    </w:p>
    <w:p>
      <w:pPr>
        <w:widowControl/>
        <w:shd w:val="clear" w:color="auto" w:fill="FFFFFF"/>
        <w:snapToGrid w:val="0"/>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九、</w:t>
      </w:r>
      <w:r>
        <w:rPr>
          <w:rFonts w:hint="eastAsia" w:asciiTheme="minorEastAsia" w:hAnsiTheme="minorEastAsia" w:eastAsiaTheme="minorEastAsia" w:cstheme="minorEastAsia"/>
          <w:b/>
          <w:bCs/>
          <w:kern w:val="0"/>
          <w:sz w:val="24"/>
        </w:rPr>
        <w:t>分包</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sz w:val="24"/>
        </w:rPr>
        <w:t>投标人拟在中标后将中标项目的部分非主体、非关键性工作进行分包的，应符合投标人须知前附表规定的分包内容、分包金额和接受分包的第三人资质要求等限制性条件。</w:t>
      </w:r>
    </w:p>
    <w:p>
      <w:pPr>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十、</w:t>
      </w:r>
      <w:r>
        <w:rPr>
          <w:rFonts w:hint="eastAsia" w:asciiTheme="minorEastAsia" w:hAnsiTheme="minorEastAsia" w:eastAsiaTheme="minorEastAsia" w:cstheme="minorEastAsia"/>
          <w:b/>
          <w:bCs/>
          <w:kern w:val="0"/>
          <w:sz w:val="24"/>
        </w:rPr>
        <w:t>偏离</w:t>
      </w:r>
    </w:p>
    <w:p>
      <w:pPr>
        <w:spacing w:line="360" w:lineRule="auto"/>
        <w:ind w:firstLine="480" w:firstLineChars="200"/>
        <w:rPr>
          <w:rFonts w:ascii="宋体"/>
          <w:kern w:val="0"/>
          <w:sz w:val="24"/>
        </w:rPr>
      </w:pPr>
      <w:r>
        <w:rPr>
          <w:rFonts w:hint="eastAsia" w:asciiTheme="minorEastAsia" w:hAnsiTheme="minorEastAsia" w:eastAsiaTheme="minorEastAsia" w:cstheme="minorEastAsia"/>
          <w:kern w:val="0"/>
          <w:sz w:val="24"/>
        </w:rPr>
        <w:t>投标人须知前附表允许投标文件偏离招标文件某些要求的，偏离应当符合招标文件规定的偏离范围和幅度</w:t>
      </w:r>
      <w:r>
        <w:rPr>
          <w:rFonts w:hint="eastAsia" w:ascii="宋体"/>
          <w:kern w:val="0"/>
          <w:sz w:val="24"/>
        </w:rPr>
        <w:t>。</w:t>
      </w: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cs="宋体"/>
          <w:sz w:val="24"/>
          <w:szCs w:val="24"/>
        </w:rPr>
      </w:pPr>
      <w:bookmarkStart w:id="4" w:name="_Toc15349"/>
      <w:r>
        <w:rPr>
          <w:rFonts w:ascii="Times New Roman" w:hAnsi="Times New Roman"/>
          <w:sz w:val="24"/>
          <w:szCs w:val="24"/>
        </w:rPr>
        <w:t>第二节</w:t>
      </w:r>
      <w:r>
        <w:rPr>
          <w:rFonts w:hint="eastAsia" w:ascii="Times New Roman" w:hAnsi="Times New Roman"/>
          <w:sz w:val="24"/>
          <w:szCs w:val="24"/>
        </w:rPr>
        <w:t xml:space="preserve"> 招标文件</w:t>
      </w:r>
      <w:bookmarkEnd w:id="4"/>
    </w:p>
    <w:p>
      <w:pPr>
        <w:widowControl/>
        <w:shd w:val="clear" w:color="auto" w:fill="FFFFFF"/>
        <w:snapToGrid w:val="0"/>
        <w:spacing w:line="360" w:lineRule="auto"/>
        <w:rPr>
          <w:rFonts w:ascii="宋体"/>
          <w:b/>
          <w:bCs/>
          <w:kern w:val="0"/>
          <w:sz w:val="24"/>
        </w:rPr>
      </w:pPr>
      <w:r>
        <w:rPr>
          <w:rFonts w:hint="eastAsia" w:ascii="宋体" w:cs="宋体"/>
          <w:b/>
          <w:bCs/>
          <w:sz w:val="24"/>
        </w:rPr>
        <w:t>一、</w:t>
      </w:r>
      <w:r>
        <w:rPr>
          <w:rFonts w:hint="eastAsia" w:ascii="宋体" w:cs="宋体"/>
          <w:b/>
          <w:bCs/>
          <w:kern w:val="0"/>
          <w:sz w:val="24"/>
        </w:rPr>
        <w:t>招标文件的组成</w:t>
      </w:r>
    </w:p>
    <w:p>
      <w:pPr>
        <w:spacing w:line="360" w:lineRule="auto"/>
        <w:ind w:firstLine="720" w:firstLineChars="300"/>
        <w:rPr>
          <w:rFonts w:ascii="宋体" w:cs="宋体"/>
          <w:sz w:val="24"/>
        </w:rPr>
      </w:pPr>
      <w:r>
        <w:rPr>
          <w:rFonts w:hint="eastAsia" w:ascii="宋体" w:cs="宋体"/>
          <w:sz w:val="24"/>
          <w:lang w:val="en-US" w:eastAsia="zh-CN"/>
        </w:rPr>
        <w:t>1.1</w:t>
      </w:r>
      <w:r>
        <w:rPr>
          <w:rFonts w:hint="eastAsia" w:ascii="宋体" w:cs="宋体"/>
          <w:sz w:val="24"/>
        </w:rPr>
        <w:t xml:space="preserve"> 招标公告；</w:t>
      </w:r>
    </w:p>
    <w:p>
      <w:pPr>
        <w:spacing w:line="360" w:lineRule="auto"/>
        <w:ind w:firstLine="720" w:firstLineChars="300"/>
        <w:rPr>
          <w:rFonts w:ascii="宋体" w:cs="宋体"/>
          <w:sz w:val="24"/>
        </w:rPr>
      </w:pPr>
      <w:r>
        <w:rPr>
          <w:rFonts w:hint="eastAsia" w:ascii="宋体" w:cs="宋体"/>
          <w:sz w:val="24"/>
          <w:lang w:val="en-US" w:eastAsia="zh-CN"/>
        </w:rPr>
        <w:t>1.2</w:t>
      </w:r>
      <w:r>
        <w:rPr>
          <w:rFonts w:hint="eastAsia" w:ascii="宋体" w:cs="宋体"/>
          <w:sz w:val="24"/>
        </w:rPr>
        <w:t xml:space="preserve"> 投标人须知前附表；</w:t>
      </w:r>
    </w:p>
    <w:p>
      <w:pPr>
        <w:spacing w:line="360" w:lineRule="auto"/>
        <w:ind w:firstLine="720" w:firstLineChars="300"/>
        <w:rPr>
          <w:rFonts w:ascii="宋体" w:cs="宋体"/>
          <w:sz w:val="24"/>
        </w:rPr>
      </w:pPr>
      <w:r>
        <w:rPr>
          <w:rFonts w:hint="eastAsia" w:ascii="宋体" w:cs="宋体"/>
          <w:sz w:val="24"/>
          <w:lang w:val="en-US" w:eastAsia="zh-CN"/>
        </w:rPr>
        <w:t>1.3</w:t>
      </w:r>
      <w:r>
        <w:rPr>
          <w:rFonts w:hint="eastAsia" w:ascii="宋体" w:cs="宋体"/>
          <w:sz w:val="24"/>
        </w:rPr>
        <w:t xml:space="preserve"> 投标须知；</w:t>
      </w:r>
    </w:p>
    <w:p>
      <w:pPr>
        <w:spacing w:line="360" w:lineRule="auto"/>
        <w:ind w:firstLine="720" w:firstLineChars="300"/>
        <w:rPr>
          <w:rFonts w:ascii="宋体" w:cs="宋体"/>
          <w:sz w:val="24"/>
        </w:rPr>
      </w:pPr>
      <w:r>
        <w:rPr>
          <w:rFonts w:hint="eastAsia" w:ascii="宋体" w:cs="宋体"/>
          <w:sz w:val="24"/>
          <w:lang w:val="en-US" w:eastAsia="zh-CN"/>
        </w:rPr>
        <w:t>1.4</w:t>
      </w:r>
      <w:r>
        <w:rPr>
          <w:rFonts w:hint="eastAsia" w:ascii="宋体" w:cs="宋体"/>
          <w:sz w:val="24"/>
        </w:rPr>
        <w:t xml:space="preserve"> 评标办法；</w:t>
      </w:r>
    </w:p>
    <w:p>
      <w:pPr>
        <w:spacing w:line="360" w:lineRule="auto"/>
        <w:ind w:firstLine="720" w:firstLineChars="300"/>
        <w:rPr>
          <w:rFonts w:ascii="宋体" w:cs="宋体"/>
          <w:sz w:val="24"/>
        </w:rPr>
      </w:pPr>
      <w:r>
        <w:rPr>
          <w:rFonts w:hint="eastAsia" w:ascii="宋体" w:cs="宋体"/>
          <w:sz w:val="24"/>
          <w:lang w:val="en-US" w:eastAsia="zh-CN"/>
        </w:rPr>
        <w:t>1.5</w:t>
      </w:r>
      <w:r>
        <w:rPr>
          <w:rFonts w:hint="eastAsia" w:ascii="宋体" w:cs="宋体"/>
          <w:sz w:val="24"/>
        </w:rPr>
        <w:t xml:space="preserve"> 合同条款及格式；</w:t>
      </w:r>
    </w:p>
    <w:p>
      <w:pPr>
        <w:spacing w:line="360" w:lineRule="auto"/>
        <w:ind w:firstLine="720" w:firstLineChars="300"/>
        <w:rPr>
          <w:rFonts w:ascii="宋体" w:cs="宋体"/>
          <w:sz w:val="24"/>
        </w:rPr>
      </w:pPr>
      <w:r>
        <w:rPr>
          <w:rFonts w:hint="eastAsia" w:ascii="宋体" w:cs="宋体"/>
          <w:sz w:val="24"/>
          <w:lang w:val="en-US" w:eastAsia="zh-CN"/>
        </w:rPr>
        <w:t>1.6</w:t>
      </w:r>
      <w:r>
        <w:rPr>
          <w:rFonts w:hint="eastAsia" w:ascii="宋体" w:cs="宋体"/>
          <w:sz w:val="24"/>
        </w:rPr>
        <w:t>技术标准和要求；</w:t>
      </w:r>
    </w:p>
    <w:p>
      <w:pPr>
        <w:spacing w:line="360" w:lineRule="auto"/>
        <w:ind w:firstLine="720" w:firstLineChars="300"/>
        <w:rPr>
          <w:rFonts w:ascii="宋体" w:cs="宋体"/>
          <w:sz w:val="24"/>
        </w:rPr>
      </w:pPr>
      <w:r>
        <w:rPr>
          <w:rFonts w:hint="eastAsia" w:ascii="宋体" w:cs="宋体"/>
          <w:sz w:val="24"/>
          <w:lang w:val="en-US" w:eastAsia="zh-CN"/>
        </w:rPr>
        <w:t>1.7</w:t>
      </w:r>
      <w:r>
        <w:rPr>
          <w:rFonts w:hint="eastAsia" w:ascii="宋体" w:cs="宋体"/>
          <w:sz w:val="24"/>
        </w:rPr>
        <w:t xml:space="preserve"> 投标文件格式；</w:t>
      </w:r>
    </w:p>
    <w:p>
      <w:pPr>
        <w:spacing w:line="360" w:lineRule="auto"/>
        <w:ind w:firstLine="720" w:firstLineChars="300"/>
      </w:pPr>
      <w:r>
        <w:rPr>
          <w:rFonts w:hint="eastAsia" w:ascii="宋体" w:hAnsi="宋体" w:cs="宋体"/>
          <w:sz w:val="24"/>
          <w:lang w:val="en-US" w:eastAsia="zh-CN"/>
        </w:rPr>
        <w:t>1.8</w:t>
      </w:r>
      <w:r>
        <w:rPr>
          <w:rFonts w:hint="eastAsia" w:ascii="宋体" w:cs="宋体"/>
          <w:sz w:val="24"/>
        </w:rPr>
        <w:t xml:space="preserve"> 投标人须知前附表规定的其他材料。</w:t>
      </w:r>
    </w:p>
    <w:p>
      <w:pPr>
        <w:widowControl/>
        <w:shd w:val="clear" w:color="auto" w:fill="FFFFFF"/>
        <w:snapToGrid w:val="0"/>
        <w:spacing w:line="360" w:lineRule="auto"/>
        <w:rPr>
          <w:rFonts w:ascii="宋体"/>
          <w:b/>
          <w:bCs/>
          <w:kern w:val="0"/>
          <w:sz w:val="24"/>
        </w:rPr>
      </w:pPr>
      <w:r>
        <w:rPr>
          <w:rFonts w:hint="eastAsia" w:ascii="宋体" w:cs="宋体"/>
          <w:b/>
          <w:bCs/>
          <w:sz w:val="24"/>
        </w:rPr>
        <w:t>二、</w:t>
      </w:r>
      <w:r>
        <w:rPr>
          <w:rFonts w:hint="eastAsia" w:ascii="宋体" w:cs="宋体"/>
          <w:b/>
          <w:bCs/>
          <w:kern w:val="0"/>
          <w:sz w:val="24"/>
        </w:rPr>
        <w:t>招标文件的澄清和修改</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2.1投标人应仔细阅读和检查招标文件的全部内容。如发现缺页或附件不全，应及时向招标人提出，以便补齐。如有疑问，应在投标人须知前附表规定的时间前以书面形式，要求招标人对招标文件予以澄清。</w:t>
      </w:r>
    </w:p>
    <w:p>
      <w:pPr>
        <w:widowControl/>
        <w:shd w:val="clear" w:color="auto" w:fill="FFFFFF"/>
        <w:snapToGrid w:val="0"/>
        <w:spacing w:line="360" w:lineRule="auto"/>
        <w:ind w:firstLine="480" w:firstLineChars="200"/>
        <w:rPr>
          <w:rFonts w:ascii="宋体" w:cs="宋体"/>
          <w:kern w:val="0"/>
          <w:sz w:val="24"/>
        </w:rPr>
      </w:pPr>
      <w:r>
        <w:rPr>
          <w:rFonts w:hint="eastAsia" w:asciiTheme="minorEastAsia" w:hAnsiTheme="minorEastAsia" w:eastAsiaTheme="minorEastAsia" w:cstheme="minorEastAsia"/>
          <w:kern w:val="0"/>
          <w:sz w:val="24"/>
        </w:rPr>
        <w:t>2.2 在投标人须知前附表规定的截止时间前，无论出于何种原因，采购代理机构和采购人可主动地或在解答潜在投标人提出的澄清问题时对招标文件进行修改。</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2.3招标文件的澄清将在投标人须知前附表规定的投标截止时间前以书面形式发给所有购买招标文件的投标人，但不指明澄清问题的来源。如果澄清发出的时间距投标截止时间不足的，相应延长投标截止时间。</w:t>
      </w:r>
    </w:p>
    <w:p>
      <w:pPr>
        <w:spacing w:line="360" w:lineRule="auto"/>
        <w:ind w:firstLine="480" w:firstLineChars="200"/>
      </w:pPr>
      <w:r>
        <w:rPr>
          <w:rFonts w:hint="eastAsia" w:ascii="宋体" w:cs="宋体"/>
          <w:kern w:val="0"/>
          <w:sz w:val="24"/>
        </w:rPr>
        <w:t>2.4投标人在收到澄清后，应在规定时间内以书面形式通知招标人，确认已收到该澄清。</w:t>
      </w:r>
    </w:p>
    <w:p>
      <w:pPr>
        <w:spacing w:line="360" w:lineRule="auto"/>
        <w:ind w:firstLine="480" w:firstLineChars="200"/>
        <w:rPr>
          <w:rFonts w:ascii="宋体" w:cs="宋体"/>
          <w:sz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3"/>
      </w:pPr>
    </w:p>
    <w:p>
      <w:pPr>
        <w:pStyle w:val="2"/>
        <w:jc w:val="center"/>
        <w:rPr>
          <w:rFonts w:ascii="Times New Roman" w:hAnsi="Times New Roman"/>
          <w:sz w:val="24"/>
          <w:szCs w:val="24"/>
        </w:rPr>
      </w:pPr>
    </w:p>
    <w:p>
      <w:pPr>
        <w:pStyle w:val="2"/>
        <w:jc w:val="center"/>
        <w:rPr>
          <w:rFonts w:cs="宋体"/>
          <w:sz w:val="24"/>
          <w:szCs w:val="24"/>
        </w:rPr>
      </w:pPr>
      <w:bookmarkStart w:id="5" w:name="_Toc15107"/>
      <w:r>
        <w:rPr>
          <w:rFonts w:ascii="Times New Roman" w:hAnsi="Times New Roman"/>
          <w:sz w:val="24"/>
          <w:szCs w:val="24"/>
        </w:rPr>
        <w:t>第</w:t>
      </w:r>
      <w:r>
        <w:rPr>
          <w:rFonts w:hint="eastAsia" w:ascii="Times New Roman" w:hAnsi="Times New Roman"/>
          <w:sz w:val="24"/>
          <w:szCs w:val="24"/>
        </w:rPr>
        <w:t>三</w:t>
      </w:r>
      <w:r>
        <w:rPr>
          <w:rFonts w:ascii="Times New Roman" w:hAnsi="Times New Roman"/>
          <w:sz w:val="24"/>
          <w:szCs w:val="24"/>
        </w:rPr>
        <w:t>节</w:t>
      </w:r>
      <w:r>
        <w:rPr>
          <w:rFonts w:hint="eastAsia" w:ascii="Times New Roman" w:hAnsi="Times New Roman"/>
          <w:sz w:val="24"/>
          <w:szCs w:val="24"/>
        </w:rPr>
        <w:t xml:space="preserve"> 投标文件</w:t>
      </w:r>
      <w:bookmarkEnd w:id="5"/>
    </w:p>
    <w:p>
      <w:pPr>
        <w:widowControl/>
        <w:shd w:val="clear" w:color="auto" w:fill="FFFFFF"/>
        <w:snapToGrid w:val="0"/>
        <w:spacing w:line="360" w:lineRule="auto"/>
        <w:rPr>
          <w:rFonts w:ascii="宋体"/>
          <w:b/>
          <w:bCs/>
          <w:kern w:val="0"/>
          <w:sz w:val="24"/>
        </w:rPr>
      </w:pPr>
      <w:r>
        <w:rPr>
          <w:rFonts w:hint="eastAsia" w:ascii="宋体" w:cs="宋体"/>
          <w:b/>
          <w:bCs/>
          <w:sz w:val="24"/>
        </w:rPr>
        <w:t>一、</w:t>
      </w:r>
      <w:r>
        <w:rPr>
          <w:rFonts w:hint="eastAsia" w:ascii="宋体" w:cs="宋体"/>
          <w:b/>
          <w:bCs/>
          <w:kern w:val="0"/>
          <w:sz w:val="24"/>
        </w:rPr>
        <w:t>投标文件的组成</w:t>
      </w:r>
    </w:p>
    <w:p>
      <w:pPr>
        <w:spacing w:line="360" w:lineRule="auto"/>
        <w:ind w:firstLine="480" w:firstLineChars="200"/>
        <w:rPr>
          <w:rFonts w:ascii="宋体" w:cs="宋体"/>
          <w:sz w:val="24"/>
        </w:rPr>
      </w:pPr>
      <w:r>
        <w:rPr>
          <w:rFonts w:hint="eastAsia" w:ascii="宋体" w:cs="宋体"/>
          <w:sz w:val="24"/>
        </w:rPr>
        <w:t>1.1 投标文件应包括下列内容：</w:t>
      </w:r>
    </w:p>
    <w:p>
      <w:pPr>
        <w:spacing w:line="360" w:lineRule="auto"/>
        <w:ind w:firstLine="720" w:firstLineChars="300"/>
        <w:rPr>
          <w:rFonts w:ascii="宋体" w:cs="宋体"/>
          <w:sz w:val="24"/>
        </w:rPr>
      </w:pPr>
      <w:r>
        <w:rPr>
          <w:rFonts w:hint="eastAsia" w:ascii="宋体" w:cs="宋体"/>
          <w:sz w:val="24"/>
        </w:rPr>
        <w:t>⑴ 投标函；</w:t>
      </w:r>
    </w:p>
    <w:p>
      <w:pPr>
        <w:spacing w:line="360" w:lineRule="auto"/>
        <w:ind w:firstLine="720" w:firstLineChars="300"/>
        <w:rPr>
          <w:rFonts w:ascii="宋体" w:cs="宋体"/>
          <w:sz w:val="24"/>
        </w:rPr>
      </w:pPr>
      <w:r>
        <w:rPr>
          <w:rFonts w:hint="eastAsia" w:ascii="宋体" w:cs="宋体"/>
          <w:sz w:val="24"/>
        </w:rPr>
        <w:t xml:space="preserve">⑵ </w:t>
      </w:r>
      <w:r>
        <w:rPr>
          <w:rFonts w:hint="eastAsia" w:ascii="宋体"/>
          <w:kern w:val="0"/>
          <w:sz w:val="24"/>
        </w:rPr>
        <w:t>开标一览表（报价</w:t>
      </w:r>
      <w:r>
        <w:rPr>
          <w:rFonts w:hint="eastAsia" w:ascii="宋体"/>
          <w:kern w:val="0"/>
          <w:sz w:val="24"/>
          <w:lang w:eastAsia="zh-CN"/>
        </w:rPr>
        <w:t>表</w:t>
      </w:r>
      <w:r>
        <w:rPr>
          <w:rFonts w:hint="eastAsia" w:ascii="宋体"/>
          <w:kern w:val="0"/>
          <w:sz w:val="24"/>
        </w:rPr>
        <w:t>）</w:t>
      </w:r>
      <w:r>
        <w:rPr>
          <w:rFonts w:hint="eastAsia" w:ascii="宋体" w:cs="宋体"/>
          <w:sz w:val="24"/>
        </w:rPr>
        <w:t>；</w:t>
      </w:r>
    </w:p>
    <w:p>
      <w:pPr>
        <w:spacing w:line="360" w:lineRule="auto"/>
        <w:ind w:firstLine="720" w:firstLineChars="300"/>
        <w:rPr>
          <w:rFonts w:ascii="宋体" w:cs="宋体"/>
          <w:sz w:val="24"/>
        </w:rPr>
      </w:pPr>
      <w:r>
        <w:rPr>
          <w:rFonts w:hint="eastAsia" w:ascii="宋体" w:cs="宋体"/>
          <w:sz w:val="24"/>
        </w:rPr>
        <w:t xml:space="preserve">⑶ </w:t>
      </w:r>
      <w:r>
        <w:rPr>
          <w:rFonts w:hint="eastAsia" w:ascii="宋体"/>
          <w:kern w:val="0"/>
          <w:sz w:val="24"/>
        </w:rPr>
        <w:t>法定代表人身份证明书</w:t>
      </w:r>
      <w:r>
        <w:rPr>
          <w:rFonts w:hint="eastAsia" w:ascii="宋体" w:cs="宋体"/>
          <w:sz w:val="24"/>
        </w:rPr>
        <w:t>；</w:t>
      </w:r>
    </w:p>
    <w:p>
      <w:pPr>
        <w:spacing w:line="360" w:lineRule="auto"/>
        <w:ind w:firstLine="720" w:firstLineChars="300"/>
        <w:rPr>
          <w:rFonts w:ascii="宋体" w:cs="宋体"/>
          <w:sz w:val="24"/>
        </w:rPr>
      </w:pPr>
      <w:r>
        <w:rPr>
          <w:rFonts w:hint="eastAsia" w:ascii="宋体" w:cs="宋体"/>
          <w:sz w:val="24"/>
        </w:rPr>
        <w:t xml:space="preserve">⑷ </w:t>
      </w:r>
      <w:r>
        <w:rPr>
          <w:rFonts w:hint="eastAsia" w:ascii="宋体"/>
          <w:kern w:val="0"/>
          <w:sz w:val="24"/>
        </w:rPr>
        <w:t>授权委托书</w:t>
      </w:r>
      <w:r>
        <w:rPr>
          <w:rFonts w:hint="eastAsia" w:ascii="宋体" w:cs="宋体"/>
          <w:sz w:val="24"/>
        </w:rPr>
        <w:t>；</w:t>
      </w:r>
    </w:p>
    <w:p>
      <w:pPr>
        <w:spacing w:line="360" w:lineRule="auto"/>
        <w:ind w:firstLine="720" w:firstLineChars="300"/>
        <w:rPr>
          <w:rFonts w:ascii="宋体"/>
          <w:kern w:val="0"/>
          <w:sz w:val="24"/>
        </w:rPr>
      </w:pPr>
      <w:r>
        <w:rPr>
          <w:rFonts w:hint="eastAsia" w:ascii="宋体" w:cs="宋体"/>
          <w:sz w:val="24"/>
        </w:rPr>
        <w:t xml:space="preserve">⑸ </w:t>
      </w:r>
      <w:r>
        <w:rPr>
          <w:rFonts w:hint="eastAsia" w:ascii="宋体"/>
          <w:kern w:val="0"/>
          <w:sz w:val="24"/>
        </w:rPr>
        <w:t xml:space="preserve">投标人概况； </w:t>
      </w:r>
    </w:p>
    <w:p>
      <w:pPr>
        <w:spacing w:line="360" w:lineRule="auto"/>
        <w:ind w:firstLine="720" w:firstLineChars="300"/>
        <w:rPr>
          <w:rFonts w:ascii="宋体"/>
          <w:kern w:val="0"/>
          <w:sz w:val="24"/>
        </w:rPr>
      </w:pPr>
      <w:r>
        <w:rPr>
          <w:rFonts w:hint="eastAsia" w:ascii="宋体"/>
          <w:kern w:val="0"/>
          <w:sz w:val="24"/>
        </w:rPr>
        <w:t>⑹ 技术条款偏离表；</w:t>
      </w:r>
    </w:p>
    <w:p>
      <w:pPr>
        <w:spacing w:line="360" w:lineRule="auto"/>
        <w:ind w:firstLine="720" w:firstLineChars="300"/>
        <w:rPr>
          <w:rFonts w:ascii="宋体"/>
          <w:kern w:val="0"/>
          <w:sz w:val="24"/>
        </w:rPr>
      </w:pPr>
      <w:r>
        <w:rPr>
          <w:rFonts w:hint="eastAsia" w:ascii="宋体"/>
          <w:kern w:val="0"/>
          <w:sz w:val="24"/>
        </w:rPr>
        <w:t>⑺ 商务条款偏离表；</w:t>
      </w:r>
    </w:p>
    <w:p>
      <w:pPr>
        <w:spacing w:line="360" w:lineRule="auto"/>
        <w:ind w:firstLine="720" w:firstLineChars="300"/>
        <w:rPr>
          <w:rFonts w:ascii="宋体"/>
          <w:kern w:val="0"/>
          <w:sz w:val="24"/>
        </w:rPr>
      </w:pPr>
      <w:r>
        <w:rPr>
          <w:rFonts w:hint="eastAsia" w:ascii="宋体"/>
          <w:kern w:val="0"/>
          <w:sz w:val="24"/>
        </w:rPr>
        <w:t>⑻ 反商业贿赂承诺书；</w:t>
      </w:r>
    </w:p>
    <w:p>
      <w:pPr>
        <w:spacing w:line="360" w:lineRule="auto"/>
        <w:ind w:firstLine="720" w:firstLineChars="300"/>
        <w:rPr>
          <w:rFonts w:ascii="宋体"/>
          <w:kern w:val="0"/>
          <w:sz w:val="24"/>
        </w:rPr>
      </w:pPr>
      <w:r>
        <w:rPr>
          <w:rFonts w:hint="eastAsia" w:ascii="宋体"/>
          <w:kern w:val="0"/>
          <w:sz w:val="24"/>
        </w:rPr>
        <w:t>⑼ 中小微企业声明函；</w:t>
      </w:r>
    </w:p>
    <w:p>
      <w:pPr>
        <w:spacing w:line="360" w:lineRule="auto"/>
        <w:ind w:firstLine="720" w:firstLineChars="300"/>
        <w:rPr>
          <w:rFonts w:ascii="宋体"/>
          <w:kern w:val="0"/>
          <w:sz w:val="24"/>
        </w:rPr>
      </w:pPr>
      <w:r>
        <w:rPr>
          <w:rFonts w:hint="eastAsia" w:ascii="宋体"/>
          <w:kern w:val="0"/>
          <w:sz w:val="24"/>
        </w:rPr>
        <w:t>⑽ 投标人近3年类似项目业绩表；</w:t>
      </w:r>
    </w:p>
    <w:p>
      <w:pPr>
        <w:spacing w:line="360" w:lineRule="auto"/>
        <w:ind w:firstLine="720" w:firstLineChars="300"/>
        <w:rPr>
          <w:rFonts w:ascii="宋体"/>
          <w:kern w:val="0"/>
          <w:sz w:val="24"/>
        </w:rPr>
      </w:pPr>
      <w:r>
        <w:rPr>
          <w:rFonts w:hint="eastAsia" w:ascii="宋体"/>
          <w:kern w:val="0"/>
          <w:sz w:val="24"/>
        </w:rPr>
        <w:t>⑾ 其他需要提交的材料（根据招标文件的要求和投标人认为需要提供的资料）</w:t>
      </w:r>
    </w:p>
    <w:p>
      <w:pPr>
        <w:spacing w:line="360" w:lineRule="auto"/>
        <w:ind w:firstLine="480" w:firstLineChars="200"/>
        <w:rPr>
          <w:rFonts w:ascii="宋体"/>
          <w:kern w:val="0"/>
          <w:sz w:val="24"/>
        </w:rPr>
      </w:pPr>
      <w:r>
        <w:rPr>
          <w:rFonts w:hint="eastAsia" w:ascii="宋体"/>
          <w:kern w:val="0"/>
          <w:sz w:val="24"/>
        </w:rPr>
        <w:t>1.2 投标人须知前附表规定不接受联合体投标的，或投标人没有组成联合体的，投标文件不包括本章所指的联合体协议书。</w:t>
      </w:r>
    </w:p>
    <w:p>
      <w:pPr>
        <w:spacing w:line="360" w:lineRule="auto"/>
        <w:ind w:firstLine="480" w:firstLineChars="200"/>
        <w:rPr>
          <w:rFonts w:ascii="宋体"/>
          <w:kern w:val="0"/>
          <w:sz w:val="24"/>
        </w:rPr>
      </w:pPr>
      <w:r>
        <w:rPr>
          <w:rFonts w:hint="eastAsia" w:ascii="宋体"/>
          <w:kern w:val="0"/>
          <w:sz w:val="24"/>
        </w:rPr>
        <w:t>1.3 语言文字</w:t>
      </w:r>
    </w:p>
    <w:p>
      <w:pPr>
        <w:spacing w:line="360" w:lineRule="auto"/>
        <w:ind w:firstLine="720" w:firstLineChars="300"/>
        <w:rPr>
          <w:rFonts w:ascii="宋体"/>
          <w:kern w:val="0"/>
          <w:sz w:val="24"/>
        </w:rPr>
      </w:pPr>
      <w:r>
        <w:rPr>
          <w:rFonts w:hint="eastAsia" w:ascii="宋体"/>
          <w:kern w:val="0"/>
          <w:sz w:val="24"/>
        </w:rPr>
        <w:t xml:space="preserve">⑴ 投标人提交的投标文件以及投标人与招标采购单位就有关投标的所有来往书面文件均须使用中文。投标文件中如附有外文资料，必须逐一对应正确翻译成中文并加盖投标人公章后附在相关外文资料后面，否则，所提供的外文资料将将视为无效。（说明：供应商的法定代表人或负责人为外籍人士的，则法定代表人或负责人的签字和护照除外。） </w:t>
      </w:r>
    </w:p>
    <w:p>
      <w:pPr>
        <w:spacing w:line="360" w:lineRule="auto"/>
        <w:ind w:firstLine="720" w:firstLineChars="300"/>
        <w:rPr>
          <w:rFonts w:ascii="宋体"/>
          <w:kern w:val="0"/>
          <w:sz w:val="24"/>
        </w:rPr>
      </w:pPr>
      <w:r>
        <w:rPr>
          <w:rFonts w:hint="eastAsia" w:ascii="宋体"/>
          <w:kern w:val="0"/>
          <w:sz w:val="24"/>
        </w:rPr>
        <w:t>⑵ 翻译的中文资料与外文资料如果出现差异和矛盾时，以中文为准。涉嫌虚假投标的按照相关法律法规处理。</w:t>
      </w:r>
    </w:p>
    <w:p>
      <w:pPr>
        <w:spacing w:line="360" w:lineRule="auto"/>
        <w:ind w:firstLine="480" w:firstLineChars="200"/>
        <w:rPr>
          <w:rFonts w:ascii="宋体"/>
          <w:kern w:val="0"/>
          <w:sz w:val="24"/>
        </w:rPr>
      </w:pPr>
      <w:r>
        <w:rPr>
          <w:rFonts w:hint="eastAsia" w:ascii="宋体"/>
          <w:kern w:val="0"/>
          <w:sz w:val="24"/>
        </w:rPr>
        <w:t>1.4 计量单位</w:t>
      </w:r>
    </w:p>
    <w:p>
      <w:pPr>
        <w:spacing w:line="360" w:lineRule="auto"/>
        <w:ind w:firstLine="480" w:firstLineChars="200"/>
        <w:rPr>
          <w:rFonts w:ascii="宋体"/>
          <w:kern w:val="0"/>
          <w:sz w:val="24"/>
        </w:rPr>
      </w:pPr>
      <w:r>
        <w:rPr>
          <w:rFonts w:hint="eastAsia" w:ascii="宋体"/>
          <w:kern w:val="0"/>
          <w:sz w:val="24"/>
        </w:rPr>
        <w:t>除技术规格及要求中另有规定外，本采购项目的投标均采用中华人民共和国法定计量单位。</w:t>
      </w:r>
    </w:p>
    <w:p>
      <w:pPr>
        <w:spacing w:line="360" w:lineRule="auto"/>
        <w:ind w:firstLine="480" w:firstLineChars="200"/>
        <w:rPr>
          <w:rFonts w:ascii="宋体"/>
          <w:kern w:val="0"/>
          <w:sz w:val="24"/>
        </w:rPr>
      </w:pPr>
      <w:r>
        <w:rPr>
          <w:rFonts w:hint="eastAsia" w:ascii="宋体"/>
          <w:kern w:val="0"/>
          <w:sz w:val="24"/>
        </w:rPr>
        <w:t>1.5 投标货币</w:t>
      </w:r>
    </w:p>
    <w:p>
      <w:pPr>
        <w:spacing w:line="360" w:lineRule="auto"/>
        <w:ind w:firstLine="480" w:firstLineChars="200"/>
        <w:rPr>
          <w:rFonts w:ascii="宋体" w:cs="宋体"/>
          <w:kern w:val="0"/>
          <w:sz w:val="24"/>
        </w:rPr>
      </w:pPr>
      <w:r>
        <w:rPr>
          <w:rFonts w:hint="eastAsia" w:ascii="宋体"/>
          <w:kern w:val="0"/>
          <w:sz w:val="24"/>
        </w:rPr>
        <w:t>本次招标项目的投标均以人民币报价。</w:t>
      </w:r>
    </w:p>
    <w:p>
      <w:pPr>
        <w:widowControl/>
        <w:shd w:val="clear" w:color="auto" w:fill="FFFFFF"/>
        <w:snapToGrid w:val="0"/>
        <w:spacing w:line="360" w:lineRule="auto"/>
        <w:rPr>
          <w:rFonts w:ascii="宋体"/>
          <w:b/>
          <w:bCs/>
          <w:kern w:val="0"/>
          <w:sz w:val="24"/>
        </w:rPr>
      </w:pPr>
      <w:r>
        <w:rPr>
          <w:rFonts w:hint="eastAsia" w:ascii="宋体" w:cs="宋体"/>
          <w:b/>
          <w:bCs/>
          <w:sz w:val="24"/>
        </w:rPr>
        <w:t>二、</w:t>
      </w:r>
      <w:r>
        <w:rPr>
          <w:rFonts w:hint="eastAsia" w:ascii="宋体" w:cs="宋体"/>
          <w:b/>
          <w:bCs/>
          <w:kern w:val="0"/>
          <w:sz w:val="24"/>
        </w:rPr>
        <w:t>投标报价</w:t>
      </w:r>
    </w:p>
    <w:p>
      <w:pPr>
        <w:widowControl/>
        <w:shd w:val="clear" w:color="auto" w:fill="FFFFFF"/>
        <w:snapToGrid w:val="0"/>
        <w:spacing w:line="360" w:lineRule="auto"/>
        <w:ind w:firstLine="480" w:firstLineChars="200"/>
        <w:rPr>
          <w:rFonts w:ascii="宋体"/>
          <w:kern w:val="0"/>
          <w:sz w:val="24"/>
        </w:rPr>
      </w:pPr>
      <w:r>
        <w:rPr>
          <w:rFonts w:ascii="宋体"/>
          <w:kern w:val="0"/>
          <w:sz w:val="24"/>
        </w:rPr>
        <w:t xml:space="preserve">2.1 </w:t>
      </w:r>
      <w:r>
        <w:rPr>
          <w:rFonts w:hint="eastAsia" w:ascii="宋体"/>
          <w:kern w:val="0"/>
          <w:sz w:val="24"/>
        </w:rPr>
        <w:t>投标人应当按“技术标准和服务要求”的规定进行综合报价，并填写“投标文件格式”中开标一览表（报价</w:t>
      </w:r>
      <w:r>
        <w:rPr>
          <w:rFonts w:hint="eastAsia" w:ascii="宋体"/>
          <w:kern w:val="0"/>
          <w:sz w:val="24"/>
          <w:lang w:eastAsia="zh-CN"/>
        </w:rPr>
        <w:t>表</w:t>
      </w:r>
      <w:r>
        <w:rPr>
          <w:rFonts w:hint="eastAsia" w:ascii="宋体"/>
          <w:kern w:val="0"/>
          <w:sz w:val="24"/>
        </w:rPr>
        <w:t>）的投标报价表。</w:t>
      </w:r>
    </w:p>
    <w:p>
      <w:pPr>
        <w:widowControl/>
        <w:shd w:val="clear" w:color="auto" w:fill="FFFFFF"/>
        <w:snapToGrid w:val="0"/>
        <w:spacing w:line="360" w:lineRule="auto"/>
        <w:ind w:firstLine="480" w:firstLineChars="200"/>
        <w:rPr>
          <w:rFonts w:ascii="宋体"/>
          <w:kern w:val="0"/>
          <w:sz w:val="24"/>
        </w:rPr>
      </w:pPr>
      <w:r>
        <w:rPr>
          <w:rFonts w:ascii="宋体"/>
          <w:kern w:val="0"/>
          <w:sz w:val="24"/>
        </w:rPr>
        <w:t xml:space="preserve">2.2 </w:t>
      </w:r>
      <w:r>
        <w:rPr>
          <w:rFonts w:hint="eastAsia" w:ascii="宋体"/>
          <w:b/>
          <w:bCs/>
          <w:kern w:val="0"/>
          <w:sz w:val="24"/>
        </w:rPr>
        <w:t>投标人的投标价格不能超出本项目最高限价</w:t>
      </w:r>
      <w:r>
        <w:rPr>
          <w:rFonts w:hint="eastAsia" w:ascii="宋体"/>
          <w:kern w:val="0"/>
          <w:sz w:val="24"/>
        </w:rPr>
        <w:t>。</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 xml:space="preserve">2.3 </w:t>
      </w:r>
      <w:r>
        <w:rPr>
          <w:rFonts w:hint="eastAsia" w:ascii="宋体"/>
          <w:b/>
          <w:bCs/>
          <w:kern w:val="0"/>
          <w:sz w:val="24"/>
        </w:rPr>
        <w:t>为保证本项目质量，良好的售后服务，最低报价不作为中标的唯一依据</w:t>
      </w:r>
      <w:r>
        <w:rPr>
          <w:rFonts w:hint="eastAsia" w:ascii="宋体"/>
          <w:kern w:val="0"/>
          <w:sz w:val="24"/>
        </w:rPr>
        <w:t>。</w:t>
      </w:r>
    </w:p>
    <w:p>
      <w:pPr>
        <w:widowControl/>
        <w:shd w:val="clear" w:color="auto" w:fill="FFFFFF"/>
        <w:snapToGrid w:val="0"/>
        <w:spacing w:line="360" w:lineRule="auto"/>
        <w:ind w:firstLine="480" w:firstLineChars="200"/>
        <w:rPr>
          <w:rFonts w:ascii="宋体"/>
          <w:kern w:val="0"/>
          <w:sz w:val="24"/>
        </w:rPr>
      </w:pPr>
      <w:r>
        <w:rPr>
          <w:rFonts w:ascii="宋体"/>
          <w:kern w:val="0"/>
          <w:sz w:val="24"/>
        </w:rPr>
        <w:t>2.</w:t>
      </w:r>
      <w:r>
        <w:rPr>
          <w:rFonts w:hint="eastAsia" w:ascii="宋体"/>
          <w:kern w:val="0"/>
          <w:sz w:val="24"/>
        </w:rPr>
        <w:t>4投标人在投标截止时间前修改投标函中的投标报价的，应同时修改“投标文件格式”中开标一览表（报价</w:t>
      </w:r>
      <w:r>
        <w:rPr>
          <w:rFonts w:hint="eastAsia" w:ascii="宋体"/>
          <w:kern w:val="0"/>
          <w:sz w:val="24"/>
          <w:lang w:eastAsia="zh-CN"/>
        </w:rPr>
        <w:t>表</w:t>
      </w:r>
      <w:r>
        <w:rPr>
          <w:rFonts w:hint="eastAsia" w:ascii="宋体"/>
          <w:kern w:val="0"/>
          <w:sz w:val="24"/>
        </w:rPr>
        <w:t>）的相应报价。</w:t>
      </w:r>
    </w:p>
    <w:p>
      <w:pPr>
        <w:pStyle w:val="4"/>
        <w:rPr>
          <w:rFonts w:ascii="宋体" w:cs="宋体"/>
          <w:kern w:val="0"/>
          <w:sz w:val="24"/>
        </w:rPr>
      </w:pPr>
    </w:p>
    <w:p>
      <w:pPr>
        <w:widowControl/>
        <w:shd w:val="clear" w:color="auto" w:fill="FFFFFF"/>
        <w:snapToGrid w:val="0"/>
        <w:spacing w:line="360" w:lineRule="auto"/>
        <w:rPr>
          <w:rFonts w:ascii="宋体"/>
          <w:b/>
          <w:bCs/>
          <w:kern w:val="0"/>
          <w:sz w:val="24"/>
        </w:rPr>
      </w:pPr>
      <w:r>
        <w:rPr>
          <w:rFonts w:hint="eastAsia" w:ascii="宋体" w:cs="宋体"/>
          <w:b/>
          <w:bCs/>
          <w:sz w:val="24"/>
        </w:rPr>
        <w:t>三、</w:t>
      </w:r>
      <w:r>
        <w:rPr>
          <w:rFonts w:hint="eastAsia" w:ascii="宋体" w:cs="宋体"/>
          <w:b/>
          <w:bCs/>
          <w:kern w:val="0"/>
          <w:sz w:val="24"/>
        </w:rPr>
        <w:t>投标有效期</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sz w:val="24"/>
        </w:rPr>
        <w:t>3.1 在投标人须知前附表规定的投标有效期内，投标人不得要求撤销或修改其投标文件。</w:t>
      </w:r>
    </w:p>
    <w:p>
      <w:pPr>
        <w:spacing w:line="360" w:lineRule="auto"/>
        <w:ind w:firstLine="480" w:firstLineChars="200"/>
        <w:rPr>
          <w:rFonts w:ascii="宋体" w:cs="宋体"/>
          <w:sz w:val="24"/>
        </w:rPr>
      </w:pPr>
      <w:r>
        <w:rPr>
          <w:rFonts w:hint="eastAsia" w:ascii="宋体" w:cs="宋体"/>
          <w:kern w:val="0"/>
          <w:sz w:val="24"/>
        </w:rPr>
        <w:t>3.2 出现特殊情况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widowControl/>
        <w:shd w:val="clear" w:color="auto" w:fill="FFFFFF"/>
        <w:snapToGrid w:val="0"/>
        <w:spacing w:line="360" w:lineRule="auto"/>
        <w:rPr>
          <w:rFonts w:ascii="宋体" w:cs="宋体"/>
          <w:sz w:val="24"/>
        </w:rPr>
      </w:pPr>
    </w:p>
    <w:p>
      <w:pPr>
        <w:widowControl/>
        <w:shd w:val="clear" w:color="auto" w:fill="FFFFFF"/>
        <w:snapToGrid w:val="0"/>
        <w:spacing w:line="360" w:lineRule="auto"/>
        <w:rPr>
          <w:rFonts w:ascii="宋体"/>
          <w:b/>
          <w:bCs/>
          <w:kern w:val="0"/>
          <w:sz w:val="24"/>
        </w:rPr>
      </w:pPr>
      <w:r>
        <w:rPr>
          <w:rFonts w:hint="eastAsia" w:ascii="宋体"/>
          <w:b/>
          <w:bCs/>
          <w:kern w:val="0"/>
          <w:sz w:val="24"/>
        </w:rPr>
        <w:t>四、投标保证金</w:t>
      </w:r>
    </w:p>
    <w:p>
      <w:pPr>
        <w:spacing w:line="360" w:lineRule="auto"/>
        <w:ind w:firstLine="480" w:firstLineChars="200"/>
        <w:jc w:val="left"/>
        <w:rPr>
          <w:rFonts w:ascii="宋体" w:cs="宋体"/>
          <w:sz w:val="24"/>
        </w:rPr>
      </w:pPr>
      <w:r>
        <w:rPr>
          <w:rFonts w:hint="eastAsia" w:ascii="宋体" w:cs="宋体"/>
          <w:sz w:val="24"/>
        </w:rPr>
        <w:t>4.1投标人在递交投标文件的同时，应按投标人须知前附表规定的金额、担保形式和</w:t>
      </w:r>
      <w:r>
        <w:rPr>
          <w:rFonts w:hint="eastAsia" w:ascii="宋体" w:cs="宋体"/>
          <w:b/>
          <w:bCs/>
          <w:sz w:val="24"/>
        </w:rPr>
        <w:t>“</w:t>
      </w:r>
      <w:r>
        <w:rPr>
          <w:rFonts w:hint="eastAsia" w:ascii="宋体" w:cs="宋体"/>
          <w:sz w:val="24"/>
        </w:rPr>
        <w:t>投标文件格式</w:t>
      </w:r>
      <w:r>
        <w:rPr>
          <w:rFonts w:hint="eastAsia" w:ascii="宋体" w:cs="宋体"/>
          <w:b/>
          <w:bCs/>
          <w:sz w:val="24"/>
        </w:rPr>
        <w:t>”</w:t>
      </w:r>
      <w:r>
        <w:rPr>
          <w:rFonts w:hint="eastAsia" w:ascii="宋体" w:cs="宋体"/>
          <w:sz w:val="24"/>
        </w:rPr>
        <w:t>规定的投标保证金格式递交投标保证金，并作为其投标文件的组成部分。联合体投标的，其投标保证金由牵头人递交，并应符合投标人须知前附表的规定。</w:t>
      </w:r>
    </w:p>
    <w:p>
      <w:pPr>
        <w:spacing w:line="360" w:lineRule="auto"/>
        <w:ind w:firstLine="480" w:firstLineChars="200"/>
        <w:jc w:val="left"/>
        <w:rPr>
          <w:rFonts w:ascii="宋体" w:cs="宋体"/>
          <w:kern w:val="0"/>
          <w:sz w:val="24"/>
        </w:rPr>
      </w:pPr>
      <w:r>
        <w:rPr>
          <w:rFonts w:hint="eastAsia" w:ascii="宋体" w:cs="宋体"/>
          <w:kern w:val="0"/>
          <w:sz w:val="24"/>
        </w:rPr>
        <w:t>4.2投标人不按本章第4.1项要求提交投标保证金的，其投标文件作废标处理。</w:t>
      </w:r>
    </w:p>
    <w:p>
      <w:pPr>
        <w:spacing w:line="360" w:lineRule="auto"/>
        <w:ind w:firstLine="480" w:firstLineChars="200"/>
        <w:jc w:val="left"/>
        <w:rPr>
          <w:rFonts w:ascii="宋体" w:cs="宋体"/>
          <w:b/>
          <w:bCs/>
          <w:kern w:val="0"/>
          <w:sz w:val="24"/>
        </w:rPr>
      </w:pPr>
      <w:r>
        <w:rPr>
          <w:rFonts w:hint="eastAsia" w:ascii="宋体" w:cs="宋体"/>
          <w:kern w:val="0"/>
          <w:sz w:val="24"/>
        </w:rPr>
        <w:t>4.3投标保证金有效期与投标有效期一致。</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4.4投标保证金退还</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w:t>
      </w:r>
      <w:r>
        <w:rPr>
          <w:rFonts w:hint="eastAsia" w:asciiTheme="minorEastAsia" w:hAnsiTheme="minorEastAsia" w:eastAsiaTheme="minorEastAsia" w:cstheme="minorEastAsia"/>
          <w:kern w:val="0"/>
          <w:sz w:val="24"/>
        </w:rPr>
        <w:t xml:space="preserve"> </w:t>
      </w:r>
      <w:r>
        <w:rPr>
          <w:rFonts w:ascii="宋体" w:hAnsi="宋体" w:cs="宋体"/>
          <w:sz w:val="24"/>
        </w:rPr>
        <w:t>投标人所交纳的投标保证金不计利息。</w:t>
      </w:r>
    </w:p>
    <w:p>
      <w:pPr>
        <w:widowControl/>
        <w:shd w:val="clear" w:color="auto" w:fill="FFFFFF"/>
        <w:snapToGrid w:val="0"/>
        <w:spacing w:line="360" w:lineRule="auto"/>
        <w:ind w:firstLine="480" w:firstLineChars="200"/>
        <w:rPr>
          <w:rFonts w:ascii="宋体" w:hAnsi="宋体" w:cs="宋体"/>
          <w:sz w:val="24"/>
        </w:rPr>
      </w:pPr>
      <w:r>
        <w:rPr>
          <w:rFonts w:hint="eastAsia" w:ascii="宋体" w:cs="宋体"/>
          <w:kern w:val="0"/>
          <w:sz w:val="24"/>
        </w:rPr>
        <w:t>⑵</w:t>
      </w:r>
      <w:r>
        <w:rPr>
          <w:rFonts w:hint="eastAsia" w:asciiTheme="minorEastAsia" w:hAnsiTheme="minorEastAsia" w:eastAsiaTheme="minorEastAsia" w:cstheme="minorEastAsia"/>
          <w:kern w:val="0"/>
          <w:sz w:val="24"/>
        </w:rPr>
        <w:t xml:space="preserve"> 中标公示期满后，</w:t>
      </w:r>
      <w:r>
        <w:rPr>
          <w:rFonts w:ascii="宋体" w:hAnsi="宋体" w:cs="宋体"/>
          <w:sz w:val="24"/>
        </w:rPr>
        <w:t>未</w:t>
      </w:r>
      <w:r>
        <w:rPr>
          <w:rFonts w:hint="eastAsia" w:ascii="宋体" w:hAnsi="宋体" w:cs="宋体"/>
          <w:sz w:val="24"/>
        </w:rPr>
        <w:t>成交人</w:t>
      </w:r>
      <w:r>
        <w:rPr>
          <w:rFonts w:ascii="宋体" w:hAnsi="宋体" w:cs="宋体"/>
          <w:sz w:val="24"/>
        </w:rPr>
        <w:t>的投标保证金，将在中标通知书发出后五个工作日内原渠道退还缴款账户。</w:t>
      </w:r>
    </w:p>
    <w:p>
      <w:pPr>
        <w:widowControl/>
        <w:shd w:val="clear" w:color="auto" w:fill="FFFFFF"/>
        <w:snapToGrid w:val="0"/>
        <w:spacing w:line="360" w:lineRule="auto"/>
        <w:ind w:firstLine="480" w:firstLineChars="200"/>
        <w:rPr>
          <w:rFonts w:ascii="宋体" w:hAnsi="宋体" w:cs="宋体"/>
          <w:sz w:val="24"/>
        </w:rPr>
      </w:pPr>
      <w:r>
        <w:rPr>
          <w:rFonts w:hint="eastAsia" w:asciiTheme="minorEastAsia" w:hAnsiTheme="minorEastAsia" w:eastAsiaTheme="minorEastAsia" w:cstheme="minorEastAsia"/>
          <w:kern w:val="0"/>
          <w:sz w:val="24"/>
        </w:rPr>
        <w:t xml:space="preserve">⑶ </w:t>
      </w:r>
      <w:r>
        <w:rPr>
          <w:rFonts w:hint="eastAsia" w:ascii="宋体" w:hAnsi="宋体" w:cs="宋体"/>
          <w:sz w:val="24"/>
        </w:rPr>
        <w:t xml:space="preserve"> </w:t>
      </w:r>
      <w:r>
        <w:rPr>
          <w:rFonts w:hint="eastAsia" w:asciiTheme="minorEastAsia" w:hAnsiTheme="minorEastAsia" w:eastAsiaTheme="minorEastAsia" w:cstheme="minorEastAsia"/>
          <w:kern w:val="0"/>
          <w:sz w:val="24"/>
        </w:rPr>
        <w:t>中标公示期满后，</w:t>
      </w:r>
      <w:r>
        <w:rPr>
          <w:rFonts w:hint="eastAsia" w:ascii="宋体" w:hAnsi="宋体" w:cs="宋体"/>
          <w:sz w:val="24"/>
        </w:rPr>
        <w:t>成交人</w:t>
      </w:r>
      <w:r>
        <w:rPr>
          <w:rFonts w:ascii="宋体" w:hAnsi="宋体" w:cs="宋体"/>
          <w:sz w:val="24"/>
        </w:rPr>
        <w:t>的投标保证金，在</w:t>
      </w:r>
      <w:r>
        <w:rPr>
          <w:rFonts w:hint="eastAsia" w:asciiTheme="minorEastAsia" w:hAnsiTheme="minorEastAsia" w:eastAsiaTheme="minorEastAsia" w:cstheme="minorEastAsia"/>
          <w:kern w:val="0"/>
          <w:sz w:val="24"/>
        </w:rPr>
        <w:t>与招标人</w:t>
      </w:r>
      <w:r>
        <w:rPr>
          <w:rFonts w:ascii="宋体" w:hAnsi="宋体" w:cs="宋体"/>
          <w:sz w:val="24"/>
        </w:rPr>
        <w:t>合同签订生效后</w:t>
      </w:r>
      <w:r>
        <w:rPr>
          <w:rFonts w:hint="eastAsia" w:asciiTheme="minorEastAsia" w:hAnsiTheme="minorEastAsia" w:eastAsiaTheme="minorEastAsia" w:cstheme="minorEastAsia"/>
          <w:kern w:val="0"/>
          <w:sz w:val="24"/>
        </w:rPr>
        <w:t>按招标文件要求提交相应资料</w:t>
      </w:r>
      <w:r>
        <w:rPr>
          <w:rFonts w:hint="eastAsia" w:asciiTheme="minorEastAsia" w:hAnsiTheme="minorEastAsia" w:eastAsiaTheme="minorEastAsia" w:cstheme="minorEastAsia"/>
          <w:kern w:val="0"/>
          <w:sz w:val="24"/>
          <w:lang w:eastAsia="zh-CN"/>
        </w:rPr>
        <w:t>后</w:t>
      </w:r>
      <w:r>
        <w:rPr>
          <w:rFonts w:ascii="宋体" w:hAnsi="宋体" w:cs="宋体"/>
          <w:sz w:val="24"/>
        </w:rPr>
        <w:t>五个工作日内全额退还。</w:t>
      </w:r>
    </w:p>
    <w:p>
      <w:pPr>
        <w:widowControl/>
        <w:shd w:val="clear" w:color="auto" w:fill="FFFFFF"/>
        <w:snapToGrid w:val="0"/>
        <w:spacing w:line="360" w:lineRule="auto"/>
        <w:ind w:firstLine="480" w:firstLineChars="200"/>
        <w:rPr>
          <w:rFonts w:ascii="宋体" w:cs="宋体"/>
          <w:kern w:val="0"/>
          <w:sz w:val="24"/>
        </w:rPr>
      </w:pPr>
      <w:r>
        <w:rPr>
          <w:rFonts w:hint="eastAsia" w:ascii="宋体" w:hAnsi="宋体" w:cs="宋体"/>
          <w:sz w:val="24"/>
        </w:rPr>
        <w:t xml:space="preserve">⑷  </w:t>
      </w:r>
      <w:r>
        <w:rPr>
          <w:rFonts w:ascii="宋体" w:hAnsi="宋体" w:cs="宋体"/>
          <w:sz w:val="24"/>
        </w:rPr>
        <w:t>因供应商涉嫌违法违规，按照规定应当不予退还保证金的，有关部门处理认定违法违规行为期间的，以及因投标人自身原因导致无法及时退还的不计入退还保证金时限之内。</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4.5</w:t>
      </w:r>
      <w:r>
        <w:rPr>
          <w:rFonts w:hint="eastAsia" w:ascii="宋体" w:cs="宋体"/>
          <w:b/>
          <w:bCs/>
          <w:kern w:val="0"/>
          <w:sz w:val="24"/>
        </w:rPr>
        <w:t>有下列情形之一的，投标保证金将不予退还</w:t>
      </w:r>
      <w:r>
        <w:rPr>
          <w:rFonts w:hint="eastAsia" w:ascii="宋体" w:cs="宋体"/>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⑴ 投标人</w:t>
      </w:r>
      <w:r>
        <w:rPr>
          <w:rFonts w:ascii="宋体" w:hAnsi="宋体" w:cs="宋体"/>
          <w:sz w:val="24"/>
        </w:rPr>
        <w:t>在</w:t>
      </w:r>
      <w:r>
        <w:rPr>
          <w:rFonts w:hint="eastAsia" w:asciiTheme="minorEastAsia" w:hAnsiTheme="minorEastAsia" w:eastAsiaTheme="minorEastAsia" w:cstheme="minorEastAsia"/>
          <w:kern w:val="0"/>
          <w:sz w:val="24"/>
        </w:rPr>
        <w:t>投标</w:t>
      </w:r>
      <w:r>
        <w:rPr>
          <w:rFonts w:ascii="宋体" w:hAnsi="宋体" w:cs="宋体"/>
          <w:sz w:val="24"/>
        </w:rPr>
        <w:t>文件规定的投标有效期内撤回</w:t>
      </w:r>
      <w:r>
        <w:rPr>
          <w:rFonts w:hint="eastAsia" w:asciiTheme="minorEastAsia" w:hAnsiTheme="minorEastAsia" w:eastAsiaTheme="minorEastAsia" w:cstheme="minorEastAsia"/>
          <w:kern w:val="0"/>
          <w:sz w:val="24"/>
        </w:rPr>
        <w:t>投标</w:t>
      </w:r>
      <w:r>
        <w:rPr>
          <w:rFonts w:ascii="宋体" w:hAnsi="宋体" w:cs="宋体"/>
          <w:sz w:val="24"/>
        </w:rPr>
        <w:t>文件的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⑵ </w:t>
      </w:r>
      <w:r>
        <w:rPr>
          <w:rFonts w:ascii="宋体" w:hAnsi="宋体" w:cs="宋体"/>
          <w:sz w:val="24"/>
        </w:rPr>
        <w:t>在采购人确定</w:t>
      </w:r>
      <w:r>
        <w:rPr>
          <w:rFonts w:hint="eastAsia" w:ascii="宋体" w:hAnsi="宋体" w:cs="宋体"/>
          <w:sz w:val="24"/>
        </w:rPr>
        <w:t>中标人</w:t>
      </w:r>
      <w:r>
        <w:rPr>
          <w:rFonts w:ascii="宋体" w:hAnsi="宋体" w:cs="宋体"/>
          <w:sz w:val="24"/>
        </w:rPr>
        <w:t>以前无正当理由放弃中标候选资格的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⑶ </w:t>
      </w:r>
      <w:r>
        <w:rPr>
          <w:rFonts w:ascii="宋体" w:hAnsi="宋体" w:cs="宋体"/>
          <w:sz w:val="24"/>
        </w:rPr>
        <w:t>因</w:t>
      </w:r>
      <w:r>
        <w:rPr>
          <w:rFonts w:hint="eastAsia" w:asciiTheme="minorEastAsia" w:hAnsiTheme="minorEastAsia" w:eastAsiaTheme="minorEastAsia" w:cstheme="minorEastAsia"/>
          <w:kern w:val="0"/>
          <w:sz w:val="24"/>
        </w:rPr>
        <w:t>投标</w:t>
      </w:r>
      <w:r>
        <w:rPr>
          <w:rFonts w:hint="eastAsia" w:ascii="宋体" w:hAnsi="宋体" w:cs="宋体"/>
          <w:sz w:val="24"/>
        </w:rPr>
        <w:t>人</w:t>
      </w:r>
      <w:r>
        <w:rPr>
          <w:rFonts w:ascii="宋体" w:hAnsi="宋体" w:cs="宋体"/>
          <w:sz w:val="24"/>
        </w:rPr>
        <w:t>自身原因放弃中标的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⑷ </w:t>
      </w:r>
      <w:r>
        <w:rPr>
          <w:rFonts w:ascii="宋体" w:hAnsi="宋体" w:cs="宋体"/>
          <w:sz w:val="24"/>
        </w:rPr>
        <w:t>由于</w:t>
      </w:r>
      <w:r>
        <w:rPr>
          <w:rFonts w:hint="eastAsia" w:asciiTheme="minorEastAsia" w:hAnsiTheme="minorEastAsia" w:eastAsiaTheme="minorEastAsia" w:cstheme="minorEastAsia"/>
          <w:kern w:val="0"/>
          <w:sz w:val="24"/>
        </w:rPr>
        <w:t>投标</w:t>
      </w:r>
      <w:r>
        <w:rPr>
          <w:rFonts w:hint="eastAsia" w:ascii="宋体" w:hAnsi="宋体" w:cs="宋体"/>
          <w:sz w:val="24"/>
        </w:rPr>
        <w:t>人</w:t>
      </w:r>
      <w:r>
        <w:rPr>
          <w:rFonts w:ascii="宋体" w:hAnsi="宋体" w:cs="宋体"/>
          <w:sz w:val="24"/>
        </w:rPr>
        <w:t>的原因拒绝与采购人签订合同的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⑸</w:t>
      </w:r>
      <w:r>
        <w:rPr>
          <w:rFonts w:hint="eastAsia" w:asciiTheme="minorEastAsia" w:hAnsiTheme="minorEastAsia" w:eastAsiaTheme="minorEastAsia" w:cstheme="minorEastAsia"/>
          <w:kern w:val="0"/>
          <w:sz w:val="24"/>
        </w:rPr>
        <w:t xml:space="preserve"> </w:t>
      </w:r>
      <w:r>
        <w:rPr>
          <w:rFonts w:ascii="宋体" w:hAnsi="宋体" w:cs="宋体"/>
          <w:sz w:val="24"/>
        </w:rPr>
        <w:t>由于</w:t>
      </w:r>
      <w:r>
        <w:rPr>
          <w:rFonts w:hint="eastAsia" w:asciiTheme="minorEastAsia" w:hAnsiTheme="minorEastAsia" w:eastAsiaTheme="minorEastAsia" w:cstheme="minorEastAsia"/>
          <w:kern w:val="0"/>
          <w:sz w:val="24"/>
        </w:rPr>
        <w:t>投标</w:t>
      </w:r>
      <w:r>
        <w:rPr>
          <w:rFonts w:hint="eastAsia" w:ascii="宋体" w:hAnsi="宋体" w:cs="宋体"/>
          <w:sz w:val="24"/>
        </w:rPr>
        <w:t>人</w:t>
      </w:r>
      <w:r>
        <w:rPr>
          <w:rFonts w:ascii="宋体" w:hAnsi="宋体" w:cs="宋体"/>
          <w:sz w:val="24"/>
        </w:rPr>
        <w:t>的原因未能按照</w:t>
      </w:r>
      <w:r>
        <w:rPr>
          <w:rFonts w:hint="eastAsia" w:ascii="宋体" w:hAnsi="宋体" w:cs="宋体"/>
          <w:sz w:val="24"/>
        </w:rPr>
        <w:t>招标</w:t>
      </w:r>
      <w:r>
        <w:rPr>
          <w:rFonts w:ascii="宋体" w:hAnsi="宋体" w:cs="宋体"/>
          <w:sz w:val="24"/>
        </w:rPr>
        <w:t>文件的规定交纳履约保证金的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⑹</w:t>
      </w:r>
      <w:r>
        <w:rPr>
          <w:rFonts w:hint="eastAsia" w:asciiTheme="minorEastAsia" w:hAnsiTheme="minorEastAsia" w:eastAsiaTheme="minorEastAsia" w:cstheme="minorEastAsia"/>
          <w:kern w:val="0"/>
          <w:sz w:val="24"/>
        </w:rPr>
        <w:t xml:space="preserve"> </w:t>
      </w:r>
      <w:r>
        <w:rPr>
          <w:rFonts w:ascii="宋体" w:hAnsi="宋体" w:cs="宋体"/>
          <w:sz w:val="24"/>
        </w:rPr>
        <w:t>投标人提供虚假资料的；</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⑺</w:t>
      </w:r>
      <w:r>
        <w:rPr>
          <w:rFonts w:hint="eastAsia" w:asciiTheme="minorEastAsia" w:hAnsiTheme="minorEastAsia" w:eastAsiaTheme="minorEastAsia" w:cstheme="minorEastAsia"/>
          <w:kern w:val="0"/>
          <w:sz w:val="24"/>
        </w:rPr>
        <w:t xml:space="preserve"> </w:t>
      </w:r>
      <w:r>
        <w:rPr>
          <w:rFonts w:ascii="宋体" w:hAnsi="宋体" w:cs="宋体"/>
          <w:sz w:val="24"/>
        </w:rPr>
        <w:t>投标有效期内，投标人在政府采购活动中有违法、违规、违纪行为的；</w:t>
      </w:r>
    </w:p>
    <w:p>
      <w:pPr>
        <w:spacing w:line="360" w:lineRule="auto"/>
        <w:ind w:firstLine="480" w:firstLineChars="200"/>
        <w:jc w:val="left"/>
      </w:pPr>
      <w:r>
        <w:rPr>
          <w:rFonts w:hint="eastAsia" w:ascii="宋体" w:hAnsi="宋体" w:cs="宋体"/>
          <w:kern w:val="0"/>
          <w:sz w:val="24"/>
        </w:rPr>
        <w:t>⑻</w:t>
      </w:r>
      <w:r>
        <w:rPr>
          <w:rFonts w:hint="eastAsia" w:asciiTheme="minorEastAsia" w:hAnsiTheme="minorEastAsia" w:eastAsiaTheme="minorEastAsia" w:cstheme="minorEastAsia"/>
          <w:kern w:val="0"/>
          <w:sz w:val="24"/>
        </w:rPr>
        <w:t xml:space="preserve"> </w:t>
      </w:r>
      <w:r>
        <w:rPr>
          <w:rFonts w:ascii="宋体" w:hAnsi="宋体" w:cs="宋体"/>
          <w:sz w:val="24"/>
        </w:rPr>
        <w:t>投标有效期内，投标人未按照规定程序进行质疑、投诉，或者采取其他方式恶意诋毁采购人、采购代理机构以及其他投标人，影响和干扰正常政府采购秩序的</w:t>
      </w:r>
      <w:r>
        <w:rPr>
          <w:rFonts w:hint="eastAsia" w:ascii="宋体" w:cs="宋体"/>
          <w:kern w:val="0"/>
          <w:sz w:val="24"/>
        </w:rPr>
        <w:t>。</w:t>
      </w:r>
    </w:p>
    <w:p>
      <w:pPr>
        <w:spacing w:line="360" w:lineRule="auto"/>
        <w:jc w:val="left"/>
        <w:rPr>
          <w:rFonts w:ascii="宋体" w:cs="宋体"/>
          <w:b/>
          <w:bCs/>
          <w:color w:val="000000"/>
          <w:sz w:val="24"/>
        </w:rPr>
      </w:pPr>
      <w:r>
        <w:rPr>
          <w:rFonts w:hint="eastAsia" w:ascii="宋体"/>
          <w:b/>
          <w:bCs/>
          <w:kern w:val="0"/>
          <w:sz w:val="24"/>
        </w:rPr>
        <w:t>五、投标文件的</w:t>
      </w:r>
      <w:r>
        <w:rPr>
          <w:rFonts w:hint="eastAsia" w:ascii="宋体" w:cs="宋体"/>
          <w:b/>
          <w:bCs/>
          <w:color w:val="000000"/>
          <w:sz w:val="24"/>
        </w:rPr>
        <w:t>密封</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5.1 投标文件应按“投标文件格式”进行编写，如有必要，可以增加附页，作为投标文件的组成部分。其中，</w:t>
      </w:r>
      <w:r>
        <w:rPr>
          <w:rFonts w:hint="eastAsia" w:ascii="宋体"/>
          <w:b/>
          <w:bCs/>
          <w:kern w:val="0"/>
          <w:sz w:val="24"/>
        </w:rPr>
        <w:t>投标函附录在满足招标文件实质性要求的基础上，可以提出比招标文件要求更有利于招标人的承诺</w:t>
      </w:r>
      <w:r>
        <w:rPr>
          <w:rFonts w:hint="eastAsia" w:ascii="宋体"/>
          <w:kern w:val="0"/>
          <w:sz w:val="24"/>
        </w:rPr>
        <w:t>。</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5.2投标文件按标包分别编制并编制目录、胶装、密封递交，不允许将两个及以上标包的投标文件编制、胶装、密封在一起，不得采用活页装订。</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5.3 投标文件应当对招标文件有关供货期、投标有效期、质量要求、技术标准和要求、招标范围等实质性内容作出响应。</w:t>
      </w:r>
    </w:p>
    <w:p>
      <w:pPr>
        <w:widowControl/>
        <w:shd w:val="clear" w:color="auto" w:fill="FFFFFF"/>
        <w:snapToGrid w:val="0"/>
        <w:spacing w:line="360" w:lineRule="auto"/>
        <w:ind w:firstLine="480" w:firstLineChars="200"/>
        <w:rPr>
          <w:rFonts w:hint="eastAsia" w:ascii="宋体" w:eastAsia="宋体"/>
          <w:kern w:val="0"/>
          <w:sz w:val="24"/>
          <w:lang w:eastAsia="zh-CN"/>
        </w:rPr>
      </w:pPr>
      <w:r>
        <w:rPr>
          <w:rFonts w:hint="eastAsia" w:ascii="宋体"/>
          <w:kern w:val="0"/>
          <w:sz w:val="24"/>
        </w:rPr>
        <w:t>5.4 投标文件</w:t>
      </w:r>
      <w:r>
        <w:rPr>
          <w:rFonts w:hint="eastAsia" w:ascii="宋体"/>
          <w:kern w:val="0"/>
          <w:sz w:val="24"/>
          <w:lang w:eastAsia="zh-CN"/>
        </w:rPr>
        <w:t>须</w:t>
      </w:r>
      <w:r>
        <w:rPr>
          <w:rFonts w:hint="eastAsia" w:ascii="宋体"/>
          <w:kern w:val="0"/>
          <w:sz w:val="24"/>
        </w:rPr>
        <w:t>用不褪色的材料书写或打印，并由投标人的法定代表人或其委托代理人签字或盖单位</w:t>
      </w:r>
      <w:r>
        <w:rPr>
          <w:rFonts w:hint="eastAsia" w:ascii="宋体"/>
          <w:kern w:val="0"/>
          <w:sz w:val="24"/>
          <w:lang w:eastAsia="zh-CN"/>
        </w:rPr>
        <w:t>公</w:t>
      </w:r>
      <w:r>
        <w:rPr>
          <w:rFonts w:hint="eastAsia" w:ascii="宋体"/>
          <w:kern w:val="0"/>
          <w:sz w:val="24"/>
        </w:rPr>
        <w:t>章。委托代理人签字的，投标文件应附法定代表人签署的授权委托书。投标文件应尽量避免涂改、行间插字或删除。如果出现上述情况，改动之处应加盖单位</w:t>
      </w:r>
      <w:r>
        <w:rPr>
          <w:rFonts w:hint="eastAsia" w:ascii="宋体"/>
          <w:kern w:val="0"/>
          <w:sz w:val="24"/>
          <w:lang w:eastAsia="zh-CN"/>
        </w:rPr>
        <w:t>公</w:t>
      </w:r>
      <w:r>
        <w:rPr>
          <w:rFonts w:hint="eastAsia" w:ascii="宋体"/>
          <w:kern w:val="0"/>
          <w:sz w:val="24"/>
        </w:rPr>
        <w:t>章或由投标人的法定代表人或其授权的代理人签字确认。签字或盖章的具体要求见投标人须知前附表</w:t>
      </w:r>
      <w:r>
        <w:rPr>
          <w:rFonts w:hint="eastAsia" w:ascii="宋体"/>
          <w:kern w:val="0"/>
          <w:sz w:val="24"/>
          <w:lang w:eastAsia="zh-CN"/>
        </w:rPr>
        <w:t>。</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5.5投标人必须在各封套上标记以下要求：</w:t>
      </w:r>
    </w:p>
    <w:p>
      <w:pPr>
        <w:spacing w:line="360" w:lineRule="auto"/>
        <w:ind w:firstLine="960" w:firstLineChars="400"/>
        <w:jc w:val="left"/>
        <w:rPr>
          <w:rFonts w:ascii="宋体" w:cs="宋体"/>
          <w:kern w:val="0"/>
          <w:sz w:val="24"/>
        </w:rPr>
      </w:pPr>
      <w:r>
        <w:rPr>
          <w:rFonts w:hint="eastAsia" w:ascii="宋体" w:cs="宋体"/>
          <w:kern w:val="0"/>
          <w:sz w:val="24"/>
        </w:rPr>
        <w:t>项目名称（标包号）：</w:t>
      </w:r>
    </w:p>
    <w:p>
      <w:pPr>
        <w:pStyle w:val="9"/>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项目编号：</w:t>
      </w:r>
    </w:p>
    <w:p>
      <w:pPr>
        <w:pStyle w:val="9"/>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投标人名称：</w:t>
      </w:r>
    </w:p>
    <w:p>
      <w:pPr>
        <w:pStyle w:val="9"/>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投标人注册地址：</w:t>
      </w:r>
    </w:p>
    <w:p>
      <w:pPr>
        <w:pStyle w:val="9"/>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委托代理人：</w:t>
      </w:r>
    </w:p>
    <w:p>
      <w:pPr>
        <w:pStyle w:val="9"/>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联系电话：</w:t>
      </w:r>
    </w:p>
    <w:p>
      <w:pPr>
        <w:widowControl/>
        <w:shd w:val="clear" w:color="auto" w:fill="FFFFFF"/>
        <w:snapToGrid w:val="0"/>
        <w:spacing w:line="360" w:lineRule="auto"/>
        <w:ind w:firstLine="960" w:firstLineChars="400"/>
        <w:rPr>
          <w:rFonts w:ascii="宋体"/>
          <w:kern w:val="0"/>
          <w:sz w:val="24"/>
        </w:rPr>
      </w:pPr>
      <w:r>
        <w:rPr>
          <w:rFonts w:hint="eastAsia" w:ascii="宋体" w:cs="宋体"/>
          <w:kern w:val="0"/>
          <w:sz w:val="24"/>
        </w:rPr>
        <w:t>在XXXX年XX月XX日XX：XX前不得启封。</w:t>
      </w:r>
    </w:p>
    <w:p>
      <w:pPr>
        <w:widowControl/>
        <w:shd w:val="clear" w:color="auto" w:fill="FFFFFF"/>
        <w:snapToGrid w:val="0"/>
        <w:spacing w:line="360" w:lineRule="auto"/>
        <w:ind w:firstLine="482" w:firstLineChars="200"/>
        <w:rPr>
          <w:rFonts w:ascii="宋体" w:cs="宋体"/>
          <w:b/>
          <w:bCs/>
          <w:kern w:val="0"/>
          <w:sz w:val="24"/>
        </w:rPr>
      </w:pPr>
      <w:r>
        <w:rPr>
          <w:rFonts w:hint="eastAsia" w:ascii="宋体" w:cs="宋体"/>
          <w:b/>
          <w:bCs/>
          <w:kern w:val="0"/>
          <w:sz w:val="24"/>
        </w:rPr>
        <w:t>5.6投标人投标文件若有以下情况的采购代理机构有权拒绝：</w:t>
      </w:r>
    </w:p>
    <w:p>
      <w:pPr>
        <w:pStyle w:val="9"/>
        <w:numPr>
          <w:ilvl w:val="0"/>
          <w:numId w:val="0"/>
        </w:numPr>
        <w:spacing w:line="360" w:lineRule="auto"/>
        <w:ind w:firstLine="720" w:firstLineChars="300"/>
        <w:rPr>
          <w:rFonts w:ascii="宋体" w:eastAsia="宋体" w:cs="宋体"/>
          <w:kern w:val="0"/>
          <w:sz w:val="24"/>
        </w:rPr>
      </w:pPr>
      <w:r>
        <w:rPr>
          <w:rFonts w:hint="eastAsia" w:ascii="宋体" w:eastAsia="宋体" w:cs="宋体"/>
          <w:kern w:val="0"/>
          <w:sz w:val="24"/>
        </w:rPr>
        <w:t>⑴ 封套未按本须知的要求密封和加写标记；</w:t>
      </w:r>
    </w:p>
    <w:p>
      <w:pPr>
        <w:pStyle w:val="9"/>
        <w:numPr>
          <w:ilvl w:val="0"/>
          <w:numId w:val="0"/>
        </w:numPr>
        <w:spacing w:line="360" w:lineRule="auto"/>
        <w:ind w:firstLine="720" w:firstLineChars="3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⑵ 密封不严导致投标非人为因素过早启封的；</w:t>
      </w:r>
    </w:p>
    <w:p>
      <w:pPr>
        <w:pStyle w:val="9"/>
        <w:numPr>
          <w:ilvl w:val="0"/>
          <w:numId w:val="0"/>
        </w:numPr>
        <w:spacing w:line="360" w:lineRule="auto"/>
        <w:ind w:firstLine="720" w:firstLineChars="3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⑶ 投标文件在递交截止时间后递交的；</w:t>
      </w:r>
    </w:p>
    <w:p>
      <w:pPr>
        <w:pStyle w:val="9"/>
        <w:numPr>
          <w:ilvl w:val="0"/>
          <w:numId w:val="0"/>
        </w:numPr>
        <w:spacing w:line="360" w:lineRule="auto"/>
        <w:ind w:firstLine="720" w:firstLineChars="3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⑷ 投标文件不完整或有附加条件的，有保留的，有涂改的，有变更的；</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5.7投标文件格式</w:t>
      </w:r>
    </w:p>
    <w:p>
      <w:pPr>
        <w:widowControl/>
        <w:shd w:val="clear" w:color="auto" w:fill="FFFFFF"/>
        <w:snapToGrid w:val="0"/>
        <w:spacing w:line="360" w:lineRule="auto"/>
        <w:ind w:firstLine="720" w:firstLineChars="30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kern w:val="0"/>
          <w:sz w:val="24"/>
        </w:rPr>
        <w:t xml:space="preserve">⑴ </w:t>
      </w:r>
      <w:r>
        <w:rPr>
          <w:rFonts w:hint="eastAsia" w:asciiTheme="minorEastAsia" w:hAnsiTheme="minorEastAsia" w:eastAsiaTheme="minorEastAsia" w:cstheme="minorEastAsia"/>
          <w:b/>
          <w:bCs/>
          <w:kern w:val="0"/>
          <w:sz w:val="24"/>
        </w:rPr>
        <w:t>电子版投标文件是存档、查阅的重要依据（见</w:t>
      </w:r>
      <w:r>
        <w:rPr>
          <w:rFonts w:hint="eastAsia" w:asciiTheme="minorEastAsia" w:hAnsiTheme="minorEastAsia" w:eastAsiaTheme="minorEastAsia" w:cstheme="minorEastAsia"/>
          <w:b/>
          <w:bCs/>
          <w:sz w:val="24"/>
        </w:rPr>
        <w:t>投标人须知前附表</w:t>
      </w:r>
      <w:r>
        <w:rPr>
          <w:rFonts w:hint="eastAsia" w:asciiTheme="minorEastAsia" w:hAnsiTheme="minorEastAsia" w:eastAsiaTheme="minorEastAsia" w:cstheme="minorEastAsia"/>
          <w:b/>
          <w:bCs/>
          <w:kern w:val="0"/>
          <w:sz w:val="24"/>
        </w:rPr>
        <w:t>）；电子版投标文件要求包含投标文件全部内容，电子版投标文件与纸质版投标文件正本必须一致。</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⑵ </w:t>
      </w:r>
      <w:r>
        <w:rPr>
          <w:rFonts w:hint="eastAsia" w:ascii="宋体"/>
          <w:b/>
          <w:bCs/>
          <w:kern w:val="0"/>
          <w:sz w:val="24"/>
        </w:rPr>
        <w:t>投标文件封袋必须在开启处密封，并加盖投标人章以及法定代表人章。否则整个投标文件将被视为不响应招标文件，而予以拒绝。</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⑶ </w:t>
      </w:r>
      <w:r>
        <w:rPr>
          <w:rFonts w:hint="eastAsia" w:ascii="宋体"/>
          <w:kern w:val="0"/>
          <w:sz w:val="24"/>
        </w:rPr>
        <w:t>投标人应按投标人须知前附表规定，编制投标文件“正本”和“副本”份数。封面右上角必须注明“正本”或“副本”字样。</w:t>
      </w:r>
    </w:p>
    <w:p>
      <w:pPr>
        <w:widowControl/>
        <w:shd w:val="clear" w:color="auto" w:fill="FFFFFF"/>
        <w:snapToGrid w:val="0"/>
        <w:spacing w:line="360" w:lineRule="auto"/>
        <w:ind w:firstLine="482" w:firstLineChars="200"/>
        <w:rPr>
          <w:rFonts w:ascii="宋体"/>
          <w:b/>
          <w:bCs/>
          <w:kern w:val="0"/>
          <w:sz w:val="24"/>
        </w:rPr>
      </w:pPr>
      <w:r>
        <w:rPr>
          <w:rFonts w:hint="eastAsia" w:ascii="宋体"/>
          <w:b/>
          <w:bCs/>
          <w:kern w:val="0"/>
          <w:sz w:val="24"/>
        </w:rPr>
        <w:t>5</w:t>
      </w:r>
      <w:r>
        <w:rPr>
          <w:rFonts w:ascii="宋体"/>
          <w:b/>
          <w:bCs/>
          <w:kern w:val="0"/>
          <w:sz w:val="24"/>
        </w:rPr>
        <w:t>.</w:t>
      </w:r>
      <w:r>
        <w:rPr>
          <w:rFonts w:hint="eastAsia" w:ascii="宋体"/>
          <w:b/>
          <w:bCs/>
          <w:kern w:val="0"/>
          <w:sz w:val="24"/>
        </w:rPr>
        <w:t>8投标人存在下列情况之一的，投标无效：</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⑴ </w:t>
      </w:r>
      <w:r>
        <w:rPr>
          <w:rFonts w:hint="eastAsia" w:ascii="宋体"/>
          <w:kern w:val="0"/>
          <w:sz w:val="24"/>
        </w:rPr>
        <w:t>投标文件未按招标文件要求签署、盖章的；</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⑵ </w:t>
      </w:r>
      <w:r>
        <w:rPr>
          <w:rFonts w:hint="eastAsia" w:ascii="宋体"/>
          <w:kern w:val="0"/>
          <w:sz w:val="24"/>
        </w:rPr>
        <w:t>不具备招标文件中规定的资格要求的；</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⑶ </w:t>
      </w:r>
      <w:r>
        <w:rPr>
          <w:rFonts w:hint="eastAsia" w:ascii="宋体"/>
          <w:kern w:val="0"/>
          <w:sz w:val="24"/>
        </w:rPr>
        <w:t>报价超过招标文件中规定的预算金额或者最高限价的；</w:t>
      </w:r>
    </w:p>
    <w:p>
      <w:pPr>
        <w:widowControl/>
        <w:shd w:val="clear" w:color="auto" w:fill="FFFFFF"/>
        <w:tabs>
          <w:tab w:val="left" w:pos="754"/>
        </w:tabs>
        <w:snapToGrid w:val="0"/>
        <w:spacing w:line="360" w:lineRule="auto"/>
        <w:ind w:firstLine="720" w:firstLineChars="300"/>
        <w:rPr>
          <w:rFonts w:ascii="宋体"/>
          <w:kern w:val="0"/>
          <w:sz w:val="24"/>
        </w:rPr>
      </w:pPr>
      <w:r>
        <w:rPr>
          <w:rFonts w:hint="eastAsia" w:ascii="宋体" w:cs="宋体"/>
          <w:sz w:val="24"/>
        </w:rPr>
        <w:t xml:space="preserve">⑷ </w:t>
      </w:r>
      <w:r>
        <w:rPr>
          <w:rFonts w:hint="eastAsia" w:ascii="宋体"/>
          <w:kern w:val="0"/>
          <w:sz w:val="24"/>
        </w:rPr>
        <w:t>投标文件含有采购人不能接受的附加条件的；</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⑸ </w:t>
      </w:r>
      <w:r>
        <w:rPr>
          <w:rFonts w:hint="eastAsia" w:ascii="宋体"/>
          <w:kern w:val="0"/>
          <w:sz w:val="24"/>
        </w:rPr>
        <w:t>与采购人存在利害关系可能影响招标公正性的法人、其他组织或者个人的；</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⑹ </w:t>
      </w:r>
      <w:r>
        <w:rPr>
          <w:rFonts w:hint="eastAsia" w:ascii="宋体"/>
          <w:kern w:val="0"/>
          <w:sz w:val="24"/>
        </w:rPr>
        <w:t>单位负责人为同一人或者存在控股、管理关系的不同单位，参加同一标段投标或者未划分标段的同一招标项目投标的；</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⑺ </w:t>
      </w:r>
      <w:r>
        <w:rPr>
          <w:rFonts w:hint="eastAsia" w:ascii="宋体"/>
          <w:kern w:val="0"/>
          <w:sz w:val="24"/>
        </w:rPr>
        <w:t>法定代表人为同一个人的两个及两个以上法人，母公司、全资子公司及其控股公司，参加同一标段投标或者未划分标段的同一招标项目投标的；</w:t>
      </w:r>
    </w:p>
    <w:p>
      <w:pPr>
        <w:spacing w:line="360" w:lineRule="auto"/>
        <w:ind w:firstLine="720" w:firstLineChars="300"/>
        <w:rPr>
          <w:rFonts w:ascii="宋体" w:cs="宋体"/>
          <w:sz w:val="24"/>
        </w:rPr>
      </w:pPr>
      <w:r>
        <w:rPr>
          <w:rFonts w:hint="eastAsia" w:ascii="宋体" w:cs="宋体"/>
          <w:kern w:val="0"/>
          <w:sz w:val="24"/>
        </w:rPr>
        <w:t xml:space="preserve">⑻ </w:t>
      </w:r>
      <w:r>
        <w:rPr>
          <w:rFonts w:hint="eastAsia" w:ascii="宋体"/>
          <w:kern w:val="0"/>
          <w:sz w:val="24"/>
        </w:rPr>
        <w:t>投标文件中有弄虚作假的内容，其投标文件作废（假证书、假业绩、隐瞒不良行为</w:t>
      </w:r>
      <w:r>
        <w:rPr>
          <w:rFonts w:hint="eastAsia" w:ascii="宋体" w:cs="宋体"/>
          <w:sz w:val="24"/>
        </w:rPr>
        <w:t>记录、夸大荣誉）；</w:t>
      </w:r>
    </w:p>
    <w:p>
      <w:pPr>
        <w:spacing w:line="360" w:lineRule="auto"/>
        <w:ind w:firstLine="720" w:firstLineChars="300"/>
        <w:rPr>
          <w:rFonts w:ascii="宋体" w:cs="宋体"/>
          <w:sz w:val="24"/>
        </w:rPr>
      </w:pPr>
      <w:r>
        <w:rPr>
          <w:rFonts w:hint="eastAsia" w:ascii="宋体" w:cs="宋体"/>
          <w:sz w:val="24"/>
        </w:rPr>
        <w:t>⑼ 法律、规定和招标文件规定的其他无效情形。</w:t>
      </w:r>
    </w:p>
    <w:p>
      <w:pPr>
        <w:spacing w:line="360" w:lineRule="auto"/>
        <w:rPr>
          <w:rFonts w:ascii="宋体" w:cs="宋体"/>
          <w:b/>
          <w:bCs/>
          <w:sz w:val="24"/>
        </w:rPr>
      </w:pPr>
      <w:r>
        <w:rPr>
          <w:rFonts w:hint="eastAsia" w:ascii="宋体" w:cs="宋体"/>
          <w:b/>
          <w:bCs/>
          <w:sz w:val="24"/>
        </w:rPr>
        <w:t>六、备选投标方案</w:t>
      </w:r>
    </w:p>
    <w:p>
      <w:pPr>
        <w:spacing w:line="360" w:lineRule="auto"/>
        <w:ind w:firstLine="480" w:firstLineChars="200"/>
        <w:rPr>
          <w:rFonts w:ascii="宋体" w:cs="宋体"/>
          <w:sz w:val="24"/>
        </w:rPr>
      </w:pPr>
      <w:r>
        <w:rPr>
          <w:rFonts w:hint="eastAsia" w:ascii="宋体" w:cs="宋体"/>
          <w:sz w:val="24"/>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七、节能、环保产品政府采购清单</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按国家强制节能、环保标准执行。</w:t>
      </w:r>
    </w:p>
    <w:p>
      <w:pPr>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八、进口产品采购</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按进口货物采购管理办法执行。</w:t>
      </w:r>
    </w:p>
    <w:p>
      <w:pPr>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九、知识产权</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自行承担所有相关责任。</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9.2 采购人享有本项目实施过程中产生的知识成果及知识产权。</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9.3 投标人在项目实施过程中采用自有知识成果，需在投标文件中声明，并提供相关知识产权证明文件。使用该知识成果后，投标人需提供开发接口和开发手册等技术文档，并承诺提供无限期技术支持，采购人享有永久使用权（含采购人委托第三方在该项目后续开发的使用权）。</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sz w:val="24"/>
        </w:rPr>
        <w:t>9.4 如采用投标人所不拥有的知识产权，则在投标报价中必须包括合法获取该知识产权的相关费用。</w:t>
      </w:r>
    </w:p>
    <w:p>
      <w:pPr>
        <w:widowControl/>
        <w:shd w:val="clear" w:color="auto" w:fill="FFFFFF"/>
        <w:snapToGrid w:val="0"/>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十、</w:t>
      </w:r>
      <w:r>
        <w:rPr>
          <w:rFonts w:hint="eastAsia" w:asciiTheme="minorEastAsia" w:hAnsiTheme="minorEastAsia" w:eastAsiaTheme="minorEastAsia" w:cstheme="minorEastAsia"/>
          <w:b/>
          <w:bCs/>
          <w:kern w:val="0"/>
          <w:sz w:val="24"/>
        </w:rPr>
        <w:t>投标文件的修改与撤回</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10.1 在本章第二节2.2 项规定的投标截止时间前，投标人可以修改或撤回已递交的投标文件，但应以书面形式通知招标人。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10.2 投标人修改或撤回已递交投标文件的书面通知应按照要求签字或盖章。</w:t>
      </w:r>
    </w:p>
    <w:p>
      <w:pPr>
        <w:spacing w:line="360" w:lineRule="auto"/>
        <w:ind w:firstLine="480" w:firstLineChars="200"/>
        <w:rPr>
          <w:rFonts w:ascii="宋体" w:cs="宋体"/>
          <w:sz w:val="24"/>
        </w:rPr>
      </w:pPr>
      <w:r>
        <w:rPr>
          <w:rFonts w:hint="eastAsia" w:asciiTheme="minorEastAsia" w:hAnsiTheme="minorEastAsia" w:eastAsiaTheme="minorEastAsia" w:cstheme="minorEastAsia"/>
          <w:sz w:val="24"/>
        </w:rPr>
        <w:t>10.3 修改的内容为投标文件的组成部分。修改的投标文件应按照本招标文件规定进行编制、密封、标记和递交，并标明“修改”字样</w:t>
      </w:r>
      <w:r>
        <w:rPr>
          <w:rFonts w:hint="eastAsia" w:ascii="宋体" w:cs="宋体"/>
          <w:sz w:val="24"/>
        </w:rPr>
        <w:t>。</w:t>
      </w:r>
    </w:p>
    <w:p>
      <w:pPr>
        <w:spacing w:line="360" w:lineRule="auto"/>
        <w:ind w:firstLine="480" w:firstLineChars="200"/>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pStyle w:val="6"/>
      </w:pPr>
    </w:p>
    <w:p/>
    <w:p>
      <w:pPr>
        <w:pStyle w:val="2"/>
        <w:jc w:val="center"/>
        <w:rPr>
          <w:rFonts w:cs="宋体"/>
          <w:sz w:val="24"/>
          <w:szCs w:val="24"/>
        </w:rPr>
      </w:pPr>
      <w:bookmarkStart w:id="6" w:name="_Toc22507"/>
      <w:bookmarkStart w:id="7" w:name="_Toc16357"/>
      <w:r>
        <w:rPr>
          <w:rFonts w:ascii="Times New Roman" w:hAnsi="Times New Roman"/>
          <w:sz w:val="24"/>
          <w:szCs w:val="24"/>
        </w:rPr>
        <w:t>第</w:t>
      </w:r>
      <w:r>
        <w:rPr>
          <w:rFonts w:hint="eastAsia" w:ascii="Times New Roman" w:hAnsi="Times New Roman"/>
          <w:sz w:val="24"/>
          <w:szCs w:val="24"/>
        </w:rPr>
        <w:t>四</w:t>
      </w:r>
      <w:r>
        <w:rPr>
          <w:rFonts w:ascii="Times New Roman" w:hAnsi="Times New Roman"/>
          <w:sz w:val="24"/>
          <w:szCs w:val="24"/>
        </w:rPr>
        <w:t>节</w:t>
      </w:r>
      <w:r>
        <w:rPr>
          <w:rFonts w:hint="eastAsia" w:ascii="Times New Roman" w:hAnsi="Times New Roman"/>
          <w:sz w:val="24"/>
          <w:szCs w:val="24"/>
        </w:rPr>
        <w:t xml:space="preserve"> 投标</w:t>
      </w:r>
      <w:bookmarkEnd w:id="6"/>
      <w:bookmarkEnd w:id="7"/>
    </w:p>
    <w:p>
      <w:pPr>
        <w:spacing w:line="360" w:lineRule="auto"/>
        <w:rPr>
          <w:rFonts w:ascii="宋体" w:cs="宋体"/>
          <w:b/>
          <w:bCs/>
          <w:sz w:val="24"/>
        </w:rPr>
      </w:pPr>
      <w:r>
        <w:rPr>
          <w:rFonts w:hint="eastAsia" w:ascii="宋体" w:cs="宋体"/>
          <w:b/>
          <w:bCs/>
          <w:sz w:val="24"/>
        </w:rPr>
        <w:t>投标文件的修改与撤回</w:t>
      </w:r>
    </w:p>
    <w:p>
      <w:pPr>
        <w:spacing w:line="360" w:lineRule="auto"/>
        <w:ind w:firstLine="480" w:firstLineChars="200"/>
        <w:rPr>
          <w:rFonts w:ascii="宋体" w:cs="宋体"/>
          <w:sz w:val="24"/>
        </w:rPr>
      </w:pPr>
      <w:r>
        <w:rPr>
          <w:rFonts w:hint="eastAsia" w:ascii="宋体" w:cs="宋体"/>
          <w:sz w:val="24"/>
        </w:rPr>
        <w:t>⑴ 在本章第二节2.2 项规定的投标截止时间前，投标人可以修改或撤回已递交的投标文件，但应以书面形式通知招标人。</w:t>
      </w:r>
    </w:p>
    <w:p>
      <w:pPr>
        <w:spacing w:line="360" w:lineRule="auto"/>
        <w:ind w:firstLine="480" w:firstLineChars="200"/>
        <w:rPr>
          <w:rFonts w:ascii="宋体" w:cs="宋体"/>
          <w:sz w:val="24"/>
        </w:rPr>
      </w:pPr>
      <w:r>
        <w:rPr>
          <w:rFonts w:hint="eastAsia" w:ascii="宋体" w:cs="宋体"/>
          <w:sz w:val="24"/>
        </w:rPr>
        <w:t>⑵ 投标人修改或撤回已递交投标文件的书面通知应按照要求签字或盖章。</w:t>
      </w:r>
    </w:p>
    <w:p>
      <w:pPr>
        <w:spacing w:line="360" w:lineRule="auto"/>
        <w:ind w:firstLine="480" w:firstLineChars="200"/>
        <w:rPr>
          <w:rFonts w:ascii="宋体" w:cs="宋体"/>
          <w:sz w:val="24"/>
        </w:rPr>
      </w:pPr>
      <w:r>
        <w:rPr>
          <w:rFonts w:hint="eastAsia" w:ascii="宋体" w:cs="宋体"/>
          <w:sz w:val="24"/>
        </w:rPr>
        <w:t>⑶ 修改的内容为投标文件的组成部分。修改的投标文件应按照本招标文件规定进行编制、密封、标记和递交，并标明“修改”字样。</w:t>
      </w:r>
    </w:p>
    <w:p>
      <w:pPr>
        <w:spacing w:line="360" w:lineRule="auto"/>
        <w:ind w:firstLine="480" w:firstLineChars="200"/>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pPr>
    </w:p>
    <w:p>
      <w:pPr>
        <w:rPr>
          <w:rFonts w:ascii="宋体" w:cs="宋体"/>
          <w:sz w:val="24"/>
        </w:rPr>
      </w:pPr>
    </w:p>
    <w:p>
      <w:pPr>
        <w:pStyle w:val="2"/>
        <w:jc w:val="center"/>
        <w:rPr>
          <w:rFonts w:cs="宋体"/>
          <w:sz w:val="24"/>
          <w:szCs w:val="24"/>
        </w:rPr>
      </w:pPr>
      <w:bookmarkStart w:id="8" w:name="_Toc10479"/>
      <w:bookmarkStart w:id="9" w:name="_Toc746"/>
      <w:r>
        <w:rPr>
          <w:rFonts w:ascii="Times New Roman" w:hAnsi="Times New Roman"/>
          <w:sz w:val="24"/>
          <w:szCs w:val="24"/>
        </w:rPr>
        <w:t>第</w:t>
      </w:r>
      <w:r>
        <w:rPr>
          <w:rFonts w:hint="eastAsia" w:ascii="Times New Roman" w:hAnsi="Times New Roman"/>
          <w:sz w:val="24"/>
          <w:szCs w:val="24"/>
        </w:rPr>
        <w:t>五</w:t>
      </w:r>
      <w:r>
        <w:rPr>
          <w:rFonts w:ascii="Times New Roman" w:hAnsi="Times New Roman"/>
          <w:sz w:val="24"/>
          <w:szCs w:val="24"/>
        </w:rPr>
        <w:t>节</w:t>
      </w:r>
      <w:r>
        <w:rPr>
          <w:rFonts w:hint="eastAsia" w:ascii="Times New Roman" w:hAnsi="Times New Roman"/>
          <w:sz w:val="24"/>
          <w:szCs w:val="24"/>
        </w:rPr>
        <w:t xml:space="preserve"> 开标</w:t>
      </w:r>
      <w:bookmarkEnd w:id="8"/>
      <w:bookmarkEnd w:id="9"/>
    </w:p>
    <w:p>
      <w:pPr>
        <w:widowControl/>
        <w:shd w:val="clear" w:color="auto" w:fill="FFFFFF"/>
        <w:snapToGrid w:val="0"/>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一、</w:t>
      </w:r>
      <w:r>
        <w:rPr>
          <w:rFonts w:hint="eastAsia" w:asciiTheme="minorEastAsia" w:hAnsiTheme="minorEastAsia" w:eastAsiaTheme="minorEastAsia" w:cstheme="minorEastAsia"/>
          <w:b/>
          <w:bCs/>
          <w:kern w:val="0"/>
          <w:sz w:val="24"/>
        </w:rPr>
        <w:t>开标</w:t>
      </w:r>
    </w:p>
    <w:p>
      <w:pPr>
        <w:spacing w:line="360" w:lineRule="auto"/>
        <w:ind w:firstLine="480" w:firstLineChars="200"/>
        <w:rPr>
          <w:rFonts w:ascii="宋体" w:hAnsi="宋体" w:cs="宋体"/>
          <w:sz w:val="24"/>
        </w:rPr>
      </w:pPr>
      <w:r>
        <w:rPr>
          <w:rFonts w:hint="eastAsia" w:ascii="宋体" w:hAnsi="宋体" w:cs="宋体"/>
          <w:sz w:val="24"/>
        </w:rPr>
        <w:t xml:space="preserve">1.1 </w:t>
      </w:r>
      <w:r>
        <w:rPr>
          <w:rFonts w:ascii="宋体" w:hAnsi="宋体" w:cs="宋体"/>
          <w:sz w:val="24"/>
        </w:rPr>
        <w:t>开标在</w:t>
      </w:r>
      <w:r>
        <w:rPr>
          <w:rFonts w:hint="eastAsia" w:ascii="宋体" w:hAnsi="宋体" w:cs="宋体"/>
          <w:sz w:val="24"/>
        </w:rPr>
        <w:t>招标文件</w:t>
      </w:r>
      <w:r>
        <w:rPr>
          <w:rFonts w:ascii="宋体" w:hAnsi="宋体" w:cs="宋体"/>
          <w:sz w:val="24"/>
        </w:rPr>
        <w:t>预先确定的时间和地点公开进行，采购人、投标人派代表参加并签到以证明其出席。开标由采购代理机构主持，采购人、投标人代表参加，投标人未参加开标的，视同认可开标结果。评标专家不参加开标活动。投标人不足三家的不得开标</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 xml:space="preserve">1.2 </w:t>
      </w:r>
      <w:r>
        <w:rPr>
          <w:rFonts w:ascii="宋体" w:hAnsi="宋体" w:cs="宋体"/>
          <w:sz w:val="24"/>
        </w:rPr>
        <w:t>开标时，可以根据具体情况邀请有关监督管理部门对开标活动进行现场监督。</w:t>
      </w:r>
    </w:p>
    <w:p>
      <w:pPr>
        <w:spacing w:line="360" w:lineRule="auto"/>
        <w:ind w:firstLine="480" w:firstLineChars="200"/>
        <w:rPr>
          <w:rFonts w:ascii="宋体" w:hAnsi="宋体" w:cs="宋体"/>
          <w:sz w:val="24"/>
        </w:rPr>
      </w:pPr>
      <w:r>
        <w:rPr>
          <w:rFonts w:hint="eastAsia" w:ascii="宋体" w:hAnsi="宋体" w:cs="宋体"/>
          <w:sz w:val="24"/>
        </w:rPr>
        <w:t xml:space="preserve">1.3 </w:t>
      </w:r>
      <w:r>
        <w:rPr>
          <w:rFonts w:ascii="宋体" w:hAnsi="宋体" w:cs="宋体"/>
          <w:sz w:val="24"/>
        </w:rPr>
        <w:t>开标时，投标人或者其推选的代表对开标过程和开标记录有疑议的或认为开标相关工作人员需要回避的，可以当场向开标主持人反映，开标现场主持人应及时予以处理。</w:t>
      </w:r>
    </w:p>
    <w:p>
      <w:pPr>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sz w:val="24"/>
        </w:rPr>
        <w:t xml:space="preserve">1.4 </w:t>
      </w:r>
      <w:r>
        <w:rPr>
          <w:rFonts w:ascii="宋体" w:hAnsi="宋体" w:cs="宋体"/>
          <w:sz w:val="24"/>
        </w:rPr>
        <w:t>开标时，</w:t>
      </w:r>
      <w:r>
        <w:rPr>
          <w:rFonts w:hint="eastAsia" w:asciiTheme="minorEastAsia" w:hAnsiTheme="minorEastAsia" w:eastAsiaTheme="minorEastAsia" w:cstheme="minorEastAsia"/>
          <w:kern w:val="0"/>
          <w:sz w:val="24"/>
        </w:rPr>
        <w:t>投标文件报价出现前后不一致的，除招标文件另有规定外，按照下列规定修正：</w:t>
      </w:r>
    </w:p>
    <w:p>
      <w:pPr>
        <w:spacing w:line="360" w:lineRule="auto"/>
        <w:ind w:firstLine="480" w:firstLineChars="200"/>
        <w:rPr>
          <w:rFonts w:ascii="宋体" w:hAnsi="宋体" w:cs="宋体"/>
          <w:sz w:val="24"/>
        </w:rPr>
      </w:pPr>
      <w:r>
        <w:rPr>
          <w:rFonts w:hint="eastAsia" w:ascii="宋体" w:hAnsi="宋体" w:cs="宋体"/>
          <w:sz w:val="24"/>
        </w:rPr>
        <w:t xml:space="preserve">⑴ </w:t>
      </w:r>
      <w:r>
        <w:rPr>
          <w:rFonts w:ascii="宋体" w:hAnsi="宋体" w:cs="宋体"/>
          <w:sz w:val="24"/>
        </w:rPr>
        <w:t>“开标一览表”中的大写金额与小写金额不一致的，以大写金额为准；</w:t>
      </w:r>
    </w:p>
    <w:p>
      <w:pPr>
        <w:spacing w:line="360" w:lineRule="auto"/>
        <w:ind w:left="479" w:leftChars="228"/>
        <w:rPr>
          <w:rFonts w:ascii="宋体" w:hAnsi="宋体" w:cs="宋体"/>
          <w:sz w:val="24"/>
        </w:rPr>
      </w:pPr>
      <w:r>
        <w:rPr>
          <w:rFonts w:hint="eastAsia" w:ascii="宋体" w:hAnsi="宋体" w:cs="宋体"/>
          <w:sz w:val="24"/>
        </w:rPr>
        <w:t xml:space="preserve">⑵ </w:t>
      </w:r>
      <w:r>
        <w:rPr>
          <w:rFonts w:ascii="宋体" w:hAnsi="宋体" w:cs="宋体"/>
          <w:sz w:val="24"/>
        </w:rPr>
        <w:t>总价金额与按单价计算的汇总金额不一致的，以单价计算的汇总金额为准；</w:t>
      </w:r>
      <w:r>
        <w:rPr>
          <w:rFonts w:hint="eastAsia" w:asciiTheme="minorEastAsia" w:hAnsiTheme="minorEastAsia" w:eastAsiaTheme="minorEastAsia" w:cstheme="minorEastAsia"/>
          <w:sz w:val="24"/>
        </w:rPr>
        <w:t xml:space="preserve">⑶ </w:t>
      </w:r>
      <w:r>
        <w:rPr>
          <w:rFonts w:ascii="宋体" w:hAnsi="宋体" w:cs="宋体"/>
          <w:sz w:val="24"/>
        </w:rPr>
        <w:t>单价金额有明显小数点错误的，以总价为准，并修改单价；</w:t>
      </w:r>
    </w:p>
    <w:p>
      <w:pPr>
        <w:spacing w:line="360" w:lineRule="auto"/>
        <w:ind w:firstLine="480" w:firstLineChars="200"/>
        <w:rPr>
          <w:rFonts w:ascii="宋体" w:hAnsi="宋体" w:cs="宋体"/>
          <w:sz w:val="24"/>
        </w:rPr>
      </w:pPr>
      <w:r>
        <w:rPr>
          <w:rFonts w:hint="eastAsia" w:ascii="宋体" w:hAnsi="宋体" w:cs="宋体"/>
          <w:sz w:val="24"/>
        </w:rPr>
        <w:t xml:space="preserve">⑷ </w:t>
      </w:r>
      <w:r>
        <w:rPr>
          <w:rFonts w:hint="eastAsia" w:asciiTheme="minorEastAsia" w:hAnsiTheme="minorEastAsia" w:eastAsiaTheme="minorEastAsia" w:cstheme="minorEastAsia"/>
          <w:kern w:val="0"/>
          <w:sz w:val="24"/>
        </w:rPr>
        <w:t>对不同文字文本投标文件的解释发生异议的，以中文文本为准</w:t>
      </w:r>
      <w:r>
        <w:rPr>
          <w:rFonts w:ascii="宋体" w:hAnsi="宋体" w:cs="宋体"/>
          <w:sz w:val="24"/>
        </w:rPr>
        <w:t>；</w:t>
      </w:r>
    </w:p>
    <w:p>
      <w:pPr>
        <w:spacing w:line="360" w:lineRule="auto"/>
        <w:ind w:firstLine="480" w:firstLineChars="200"/>
        <w:rPr>
          <w:rFonts w:ascii="宋体" w:hAnsi="宋体" w:cs="宋体" w:eastAsiaTheme="minorEastAsia"/>
          <w:sz w:val="24"/>
        </w:rPr>
      </w:pPr>
      <w:r>
        <w:rPr>
          <w:rFonts w:hint="eastAsia" w:ascii="宋体" w:hAnsi="宋体" w:cs="宋体"/>
          <w:sz w:val="24"/>
        </w:rPr>
        <w:t xml:space="preserve">⑸ </w:t>
      </w:r>
      <w:r>
        <w:rPr>
          <w:rFonts w:hint="eastAsia" w:asciiTheme="minorEastAsia" w:hAnsiTheme="minorEastAsia" w:eastAsiaTheme="minorEastAsia" w:cstheme="minorEastAsia"/>
          <w:kern w:val="0"/>
          <w:sz w:val="24"/>
        </w:rPr>
        <w:t>同时出现两种以上不一致的，按照前款规定的顺序修正。修正后的报价须经授权委托代理人签字并加盖公章后产生约束力，投标人不确认的，其投标无效。</w:t>
      </w:r>
    </w:p>
    <w:p>
      <w:pPr>
        <w:spacing w:line="360" w:lineRule="auto"/>
        <w:ind w:firstLine="480" w:firstLineChars="200"/>
        <w:rPr>
          <w:rFonts w:ascii="宋体" w:hAnsi="宋体" w:cs="宋体"/>
          <w:sz w:val="24"/>
        </w:rPr>
      </w:pPr>
      <w:r>
        <w:rPr>
          <w:rFonts w:hint="eastAsia" w:ascii="宋体" w:hAnsi="宋体" w:cs="宋体"/>
          <w:sz w:val="24"/>
        </w:rPr>
        <w:t>1.5 投标文件</w:t>
      </w:r>
      <w:r>
        <w:rPr>
          <w:rFonts w:ascii="宋体" w:hAnsi="宋体" w:cs="宋体"/>
          <w:sz w:val="24"/>
        </w:rPr>
        <w:t xml:space="preserve">中有关明细表内容与“开标一览表”不一致的，以“开标一览表”为准。 </w:t>
      </w:r>
    </w:p>
    <w:p>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 xml:space="preserve">.6 开标时属于下列情况之一的，视为无效投标: </w:t>
      </w:r>
    </w:p>
    <w:p>
      <w:pPr>
        <w:spacing w:line="360" w:lineRule="auto"/>
        <w:ind w:firstLine="480" w:firstLineChars="200"/>
        <w:rPr>
          <w:rFonts w:ascii="宋体" w:hAnsi="宋体" w:cs="宋体"/>
          <w:sz w:val="24"/>
        </w:rPr>
      </w:pPr>
      <w:r>
        <w:rPr>
          <w:rFonts w:hint="eastAsia" w:ascii="宋体" w:hAnsi="宋体" w:cs="宋体"/>
          <w:sz w:val="24"/>
        </w:rPr>
        <w:t xml:space="preserve">⑴ </w:t>
      </w:r>
      <w:r>
        <w:rPr>
          <w:rFonts w:ascii="宋体" w:hAnsi="宋体" w:cs="宋体"/>
          <w:sz w:val="24"/>
        </w:rPr>
        <w:t xml:space="preserve">单独提交的“开标一览表”未按格式要求签字、盖章，或提供复印件的； </w:t>
      </w:r>
    </w:p>
    <w:p>
      <w:pPr>
        <w:spacing w:line="360" w:lineRule="auto"/>
        <w:ind w:firstLine="480" w:firstLineChars="200"/>
      </w:pPr>
      <w:r>
        <w:rPr>
          <w:rFonts w:hint="eastAsia" w:ascii="宋体" w:hAnsi="宋体" w:cs="宋体"/>
          <w:sz w:val="24"/>
        </w:rPr>
        <w:t xml:space="preserve">⑵ </w:t>
      </w:r>
      <w:r>
        <w:rPr>
          <w:rFonts w:ascii="宋体" w:hAnsi="宋体" w:cs="宋体"/>
          <w:sz w:val="24"/>
        </w:rPr>
        <w:t>没有提供“开标一览表”或“开标一览表”非原件的</w:t>
      </w:r>
      <w:r>
        <w:rPr>
          <w:rFonts w:hint="eastAsia" w:ascii="宋体" w:hAnsi="宋体" w:cs="宋体"/>
          <w:sz w:val="24"/>
        </w:rPr>
        <w:t>。</w:t>
      </w:r>
    </w:p>
    <w:p>
      <w:pPr>
        <w:spacing w:line="360" w:lineRule="auto"/>
        <w:rPr>
          <w:rFonts w:ascii="宋体" w:hAnsi="宋体" w:cs="宋体"/>
          <w:b/>
          <w:bCs/>
          <w:sz w:val="24"/>
        </w:rPr>
      </w:pPr>
      <w:r>
        <w:rPr>
          <w:rFonts w:hint="eastAsia" w:ascii="宋体" w:hAnsi="宋体" w:cs="宋体"/>
          <w:b/>
          <w:bCs/>
          <w:sz w:val="24"/>
        </w:rPr>
        <w:t>二、开标程序</w:t>
      </w:r>
    </w:p>
    <w:p>
      <w:pPr>
        <w:spacing w:line="360" w:lineRule="auto"/>
        <w:ind w:firstLine="480" w:firstLineChars="200"/>
        <w:rPr>
          <w:rFonts w:asciiTheme="minorEastAsia" w:hAnsiTheme="minorEastAsia" w:eastAsiaTheme="minorEastAsia" w:cstheme="minorEastAsia"/>
          <w:sz w:val="24"/>
        </w:rPr>
      </w:pPr>
      <w:r>
        <w:rPr>
          <w:rFonts w:hint="eastAsia" w:ascii="宋体" w:hAnsi="宋体" w:cs="宋体"/>
          <w:sz w:val="24"/>
        </w:rPr>
        <w:t>2.1</w:t>
      </w:r>
      <w:r>
        <w:rPr>
          <w:rFonts w:ascii="宋体" w:hAnsi="宋体" w:cs="宋体"/>
          <w:sz w:val="24"/>
        </w:rPr>
        <w:t>开标会主持人按照</w:t>
      </w:r>
      <w:r>
        <w:rPr>
          <w:rFonts w:hint="eastAsia" w:ascii="宋体" w:hAnsi="宋体" w:cs="宋体"/>
          <w:sz w:val="24"/>
        </w:rPr>
        <w:t>招标文件</w:t>
      </w:r>
      <w:r>
        <w:rPr>
          <w:rFonts w:ascii="宋体" w:hAnsi="宋体" w:cs="宋体"/>
          <w:sz w:val="24"/>
        </w:rPr>
        <w:t>规定的开标时间宣布开标，按照规定要求主持开标会。开标将按以下程序进行</w:t>
      </w:r>
      <w:r>
        <w:rPr>
          <w:rFonts w:hint="eastAsia" w:asciiTheme="minorEastAsia" w:hAnsiTheme="minorEastAsia" w:eastAsiaTheme="minorEastAsia" w:cstheme="minorEastAsia"/>
          <w:sz w:val="24"/>
        </w:rPr>
        <w:t>：</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⑴ </w:t>
      </w:r>
      <w:r>
        <w:rPr>
          <w:rFonts w:ascii="宋体" w:hAnsi="宋体" w:cs="宋体"/>
          <w:sz w:val="24"/>
        </w:rPr>
        <w:t>宣布开标会开始</w:t>
      </w:r>
      <w:r>
        <w:rPr>
          <w:rFonts w:hint="eastAsia" w:ascii="宋体" w:hAnsi="宋体" w:cs="宋体"/>
          <w:sz w:val="24"/>
        </w:rPr>
        <w:t>，</w:t>
      </w:r>
      <w:r>
        <w:rPr>
          <w:rFonts w:hint="eastAsia" w:asciiTheme="minorEastAsia" w:hAnsiTheme="minorEastAsia" w:eastAsiaTheme="minorEastAsia" w:cstheme="minorEastAsia"/>
          <w:sz w:val="24"/>
        </w:rPr>
        <w:t>宣布开标纪律；</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⑵ </w:t>
      </w:r>
      <w:r>
        <w:rPr>
          <w:rFonts w:hint="eastAsia" w:ascii="宋体" w:cs="宋体"/>
          <w:kern w:val="0"/>
          <w:sz w:val="24"/>
        </w:rPr>
        <w:t>公布在投标截止时间前递交投标文件的投标人名称，并点名确认投标人是否派人到场参加开标，由采购人或监督人查验投标人法定代表人授权委托书及其有效身份证明；投标人未派人到场参加开标的，视同认可开标结果；</w:t>
      </w:r>
      <w:r>
        <w:rPr>
          <w:rFonts w:hint="eastAsia" w:asciiTheme="minorEastAsia" w:hAnsiTheme="minorEastAsia" w:eastAsiaTheme="minorEastAsia" w:cstheme="minorEastAsia"/>
          <w:sz w:val="24"/>
        </w:rPr>
        <w:t>；</w:t>
      </w:r>
    </w:p>
    <w:p>
      <w:pPr>
        <w:widowControl/>
        <w:shd w:val="clear" w:color="auto" w:fill="FFFFFF"/>
        <w:snapToGrid w:val="0"/>
        <w:spacing w:line="360" w:lineRule="auto"/>
        <w:ind w:firstLine="480" w:firstLineChars="200"/>
        <w:rPr>
          <w:rFonts w:ascii="宋体" w:cs="宋体"/>
          <w:kern w:val="0"/>
          <w:sz w:val="24"/>
        </w:rPr>
      </w:pPr>
      <w:r>
        <w:rPr>
          <w:rFonts w:hint="eastAsia" w:asciiTheme="minorEastAsia" w:hAnsiTheme="minorEastAsia" w:eastAsiaTheme="minorEastAsia" w:cstheme="minorEastAsia"/>
          <w:sz w:val="24"/>
        </w:rPr>
        <w:t xml:space="preserve">⑶ </w:t>
      </w:r>
      <w:r>
        <w:rPr>
          <w:rFonts w:ascii="宋体" w:hAnsi="宋体" w:cs="宋体"/>
          <w:sz w:val="24"/>
        </w:rPr>
        <w:t>当众宣布参加开标会主持人、唱标人、会议记录人以及根据情况邀请的现场监督人等工作人员</w:t>
      </w:r>
      <w:r>
        <w:rPr>
          <w:rFonts w:hint="eastAsia" w:asciiTheme="minorEastAsia" w:hAnsiTheme="minorEastAsia" w:eastAsiaTheme="minorEastAsia" w:cstheme="minorEastAsia"/>
          <w:sz w:val="24"/>
        </w:rPr>
        <w:t>；</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由投标人或者其推选的代表检查投标文件的密封情况，经监督代表及投标人确认无误后，由采购代理机构工作人员宣布公开拆标、唱标。</w:t>
      </w:r>
    </w:p>
    <w:p>
      <w:pPr>
        <w:widowControl/>
        <w:shd w:val="clear" w:color="auto" w:fill="FFFFFF"/>
        <w:snapToGrid w:val="0"/>
        <w:spacing w:line="360" w:lineRule="auto"/>
        <w:ind w:firstLine="480" w:firstLineChars="200"/>
        <w:rPr>
          <w:rFonts w:ascii="宋体" w:hAnsi="宋体" w:cs="宋体"/>
          <w:sz w:val="24"/>
        </w:rPr>
      </w:pPr>
      <w:r>
        <w:rPr>
          <w:rFonts w:hint="eastAsia" w:asciiTheme="minorEastAsia" w:hAnsiTheme="minorEastAsia" w:eastAsiaTheme="minorEastAsia" w:cstheme="minorEastAsia"/>
          <w:sz w:val="24"/>
        </w:rPr>
        <w:t xml:space="preserve">⑸ </w:t>
      </w:r>
      <w:r>
        <w:rPr>
          <w:rFonts w:ascii="宋体" w:hAnsi="宋体" w:cs="宋体"/>
          <w:sz w:val="24"/>
        </w:rPr>
        <w:t>开标唱标</w:t>
      </w:r>
      <w:r>
        <w:rPr>
          <w:rFonts w:hint="eastAsia" w:ascii="宋体" w:hAnsi="宋体" w:cs="宋体"/>
          <w:sz w:val="24"/>
        </w:rPr>
        <w:t>。</w:t>
      </w:r>
    </w:p>
    <w:p>
      <w:pPr>
        <w:spacing w:line="360" w:lineRule="auto"/>
        <w:ind w:firstLine="480" w:firstLineChars="200"/>
        <w:rPr>
          <w:rFonts w:asciiTheme="minorEastAsia" w:hAnsiTheme="minorEastAsia" w:eastAsiaTheme="minorEastAsia" w:cstheme="minorEastAsia"/>
          <w:sz w:val="24"/>
        </w:rPr>
      </w:pPr>
      <w:r>
        <w:rPr>
          <w:rFonts w:ascii="宋体" w:hAnsi="宋体" w:cs="宋体"/>
          <w:sz w:val="24"/>
        </w:rPr>
        <w:t>主持人宣布开标后，由现场工作人员按任意顺序对投标人的“开标一览表”当众进行拆封，由唱标人员宣读投标人名称、投标价格（价格折扣）、或</w:t>
      </w:r>
      <w:r>
        <w:rPr>
          <w:rFonts w:hint="eastAsia" w:ascii="宋体" w:hAnsi="宋体" w:cs="宋体"/>
          <w:sz w:val="24"/>
        </w:rPr>
        <w:t>招标文件</w:t>
      </w:r>
      <w:r>
        <w:rPr>
          <w:rFonts w:ascii="宋体" w:hAnsi="宋体" w:cs="宋体"/>
          <w:sz w:val="24"/>
        </w:rPr>
        <w:t>允许提供的备选投标方案和</w:t>
      </w:r>
      <w:r>
        <w:rPr>
          <w:rFonts w:hint="eastAsia" w:ascii="宋体" w:hAnsi="宋体" w:cs="宋体"/>
          <w:sz w:val="24"/>
        </w:rPr>
        <w:t>投标文件</w:t>
      </w:r>
      <w:r>
        <w:rPr>
          <w:rFonts w:ascii="宋体" w:hAnsi="宋体" w:cs="宋体"/>
          <w:sz w:val="24"/>
        </w:rPr>
        <w:t>的其他主要内容。未宣读的投标价格（价格折扣）或</w:t>
      </w:r>
      <w:r>
        <w:rPr>
          <w:rFonts w:hint="eastAsia" w:ascii="宋体" w:hAnsi="宋体" w:cs="宋体"/>
          <w:sz w:val="24"/>
        </w:rPr>
        <w:t>招标文件</w:t>
      </w:r>
      <w:r>
        <w:rPr>
          <w:rFonts w:ascii="宋体" w:hAnsi="宋体" w:cs="宋体"/>
          <w:sz w:val="24"/>
        </w:rPr>
        <w:t>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可以当场提出，并要求会议记录人在开标记录中予以记录，或者另行提供书面异议资料，不签字又不提出异议的，视同认可唱标内容和结果，且不得干扰、阻挠开（唱）标、评标工作</w:t>
      </w:r>
      <w:r>
        <w:rPr>
          <w:rFonts w:hint="eastAsia" w:asciiTheme="minorEastAsia" w:hAnsiTheme="minorEastAsia" w:eastAsiaTheme="minorEastAsia" w:cstheme="minorEastAsia"/>
          <w:sz w:val="24"/>
        </w:rPr>
        <w:t>；</w:t>
      </w:r>
    </w:p>
    <w:p>
      <w:pPr>
        <w:widowControl/>
        <w:shd w:val="clear" w:color="auto" w:fill="FFFFFF"/>
        <w:snapToGrid w:val="0"/>
        <w:spacing w:line="360" w:lineRule="auto"/>
        <w:ind w:firstLine="480" w:firstLineChars="200"/>
        <w:rPr>
          <w:rFonts w:ascii="宋体" w:cs="宋体"/>
          <w:kern w:val="0"/>
          <w:sz w:val="24"/>
        </w:rPr>
      </w:pPr>
      <w:r>
        <w:rPr>
          <w:rFonts w:hint="eastAsia" w:asciiTheme="minorEastAsia" w:hAnsiTheme="minorEastAsia" w:eastAsiaTheme="minorEastAsia" w:cstheme="minorEastAsia"/>
          <w:sz w:val="24"/>
        </w:rPr>
        <w:t>⑹</w:t>
      </w:r>
      <w:r>
        <w:rPr>
          <w:rFonts w:hint="eastAsia" w:ascii="宋体" w:cs="宋体"/>
          <w:kern w:val="0"/>
          <w:sz w:val="24"/>
        </w:rPr>
        <w:t xml:space="preserve"> 按照规定采购代理机构工作人员当众拆封投标文件，宣布投标人名称、投标价格和招标文件规定的需要宣布的其他内容，并作记录；</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⑺</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kern w:val="0"/>
          <w:sz w:val="24"/>
        </w:rPr>
        <w:t>投标人不足3家的，不得开标；</w:t>
      </w:r>
    </w:p>
    <w:p>
      <w:pPr>
        <w:spacing w:line="360" w:lineRule="auto"/>
        <w:ind w:firstLine="480" w:firstLineChars="200"/>
        <w:rPr>
          <w:rFonts w:asciiTheme="minorEastAsia" w:hAnsiTheme="minorEastAsia" w:eastAsiaTheme="minorEastAsia" w:cstheme="minorEastAsia"/>
          <w:sz w:val="24"/>
        </w:rPr>
      </w:pPr>
      <w:r>
        <w:rPr>
          <w:rFonts w:hint="eastAsia" w:ascii="宋体" w:hAnsi="宋体" w:cs="宋体"/>
          <w:sz w:val="24"/>
        </w:rPr>
        <w:t>⑻</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kern w:val="0"/>
          <w:sz w:val="24"/>
        </w:rPr>
        <w:t>评标委员会成员不得参加开标活动</w:t>
      </w:r>
      <w:r>
        <w:rPr>
          <w:rFonts w:hint="eastAsia" w:asciiTheme="minorEastAsia" w:hAnsiTheme="minorEastAsia" w:eastAsiaTheme="minorEastAsia" w:cstheme="minorEastAsia"/>
          <w:sz w:val="24"/>
        </w:rPr>
        <w:t>；</w:t>
      </w:r>
    </w:p>
    <w:p>
      <w:pPr>
        <w:spacing w:line="360" w:lineRule="auto"/>
        <w:ind w:firstLine="480" w:firstLineChars="200"/>
        <w:rPr>
          <w:rFonts w:ascii="宋体" w:hAnsi="宋体" w:cs="宋体"/>
          <w:sz w:val="24"/>
        </w:rPr>
      </w:pPr>
      <w:r>
        <w:rPr>
          <w:rFonts w:hint="eastAsia" w:ascii="宋体" w:hAnsi="宋体" w:cs="宋体"/>
          <w:sz w:val="24"/>
        </w:rPr>
        <w:t>⑼</w:t>
      </w:r>
      <w:r>
        <w:rPr>
          <w:rFonts w:hint="eastAsia" w:asciiTheme="minorEastAsia" w:hAnsiTheme="minorEastAsia" w:eastAsiaTheme="minorEastAsia" w:cstheme="minorEastAsia"/>
          <w:sz w:val="24"/>
        </w:rPr>
        <w:t xml:space="preserve"> </w:t>
      </w:r>
      <w:r>
        <w:rPr>
          <w:rFonts w:ascii="宋体" w:hAnsi="宋体" w:cs="宋体"/>
          <w:sz w:val="24"/>
        </w:rPr>
        <w:t>宣布开标会结束。</w:t>
      </w:r>
    </w:p>
    <w:p>
      <w:pPr>
        <w:spacing w:line="360" w:lineRule="auto"/>
        <w:ind w:firstLine="480" w:firstLineChars="200"/>
        <w:rPr>
          <w:rFonts w:ascii="宋体" w:hAnsi="宋体" w:cs="宋体"/>
          <w:sz w:val="24"/>
        </w:rPr>
      </w:pPr>
      <w:r>
        <w:rPr>
          <w:rFonts w:hint="eastAsia" w:ascii="宋体" w:hAnsi="宋体" w:cs="宋体"/>
          <w:sz w:val="24"/>
        </w:rPr>
        <w:t>2.2</w:t>
      </w:r>
      <w:r>
        <w:rPr>
          <w:rFonts w:ascii="宋体" w:hAnsi="宋体" w:cs="宋体"/>
          <w:sz w:val="24"/>
        </w:rPr>
        <w:t>主持人宣布开标会结束。所有投标人代表应立即退场（</w:t>
      </w:r>
      <w:r>
        <w:rPr>
          <w:rFonts w:hint="eastAsia" w:ascii="宋体" w:hAnsi="宋体" w:cs="宋体"/>
          <w:sz w:val="24"/>
        </w:rPr>
        <w:t>招标文件</w:t>
      </w:r>
      <w:r>
        <w:rPr>
          <w:rFonts w:ascii="宋体" w:hAnsi="宋体" w:cs="宋体"/>
          <w:sz w:val="24"/>
        </w:rPr>
        <w:t>要求有演示、介绍等的除外）。同时所有投标人应保持通讯设备的畅通，以方便在评标过程中</w:t>
      </w:r>
      <w:r>
        <w:rPr>
          <w:rFonts w:hint="eastAsia" w:ascii="宋体" w:hAnsi="宋体" w:cs="宋体"/>
          <w:sz w:val="24"/>
        </w:rPr>
        <w:t>平板委员会</w:t>
      </w:r>
      <w:r>
        <w:rPr>
          <w:rFonts w:ascii="宋体" w:hAnsi="宋体" w:cs="宋体"/>
          <w:sz w:val="24"/>
        </w:rPr>
        <w:t>要求投标人对</w:t>
      </w:r>
      <w:r>
        <w:rPr>
          <w:rFonts w:hint="eastAsia" w:ascii="宋体" w:hAnsi="宋体" w:cs="宋体"/>
          <w:sz w:val="24"/>
        </w:rPr>
        <w:t>投标文件</w:t>
      </w:r>
      <w:r>
        <w:rPr>
          <w:rFonts w:ascii="宋体" w:hAnsi="宋体" w:cs="宋体"/>
          <w:sz w:val="24"/>
        </w:rPr>
        <w:t>的必要澄清、说明和纠正</w:t>
      </w:r>
      <w:r>
        <w:rPr>
          <w:rFonts w:hint="eastAsia" w:asciiTheme="minorEastAsia" w:hAnsiTheme="minorEastAsia" w:eastAsiaTheme="minorEastAsia" w:cstheme="minorEastAsia"/>
          <w:kern w:val="0"/>
          <w:sz w:val="24"/>
        </w:rPr>
        <w:t>；</w:t>
      </w:r>
    </w:p>
    <w:p>
      <w:pPr>
        <w:spacing w:line="360" w:lineRule="auto"/>
        <w:rPr>
          <w:rFonts w:ascii="宋体" w:hAnsi="宋体" w:cs="宋体"/>
          <w:b/>
          <w:bCs/>
          <w:sz w:val="24"/>
        </w:rPr>
      </w:pPr>
      <w:r>
        <w:rPr>
          <w:rFonts w:hint="eastAsia" w:ascii="宋体" w:hAnsi="宋体" w:cs="宋体"/>
          <w:b/>
          <w:bCs/>
          <w:sz w:val="24"/>
        </w:rPr>
        <w:t>三、开标、评标过程存档</w:t>
      </w:r>
    </w:p>
    <w:p>
      <w:pPr>
        <w:spacing w:line="360" w:lineRule="auto"/>
        <w:ind w:firstLine="480" w:firstLineChars="200"/>
        <w:rPr>
          <w:rFonts w:ascii="宋体" w:cs="宋体"/>
          <w:sz w:val="24"/>
        </w:rPr>
      </w:pPr>
      <w:r>
        <w:rPr>
          <w:rFonts w:ascii="宋体" w:hAnsi="宋体" w:cs="宋体"/>
          <w:sz w:val="24"/>
        </w:rPr>
        <w:t>开标和评标过程进行全过程电子监控，并将电子监控资料存储介质留存归档。</w:t>
      </w:r>
    </w:p>
    <w:p>
      <w:pPr>
        <w:pStyle w:val="2"/>
        <w:jc w:val="center"/>
        <w:rPr>
          <w:rFonts w:cs="宋体"/>
          <w:sz w:val="24"/>
          <w:szCs w:val="24"/>
        </w:rPr>
      </w:pPr>
      <w:bookmarkStart w:id="10" w:name="_Toc19704"/>
      <w:r>
        <w:rPr>
          <w:rFonts w:ascii="Times New Roman" w:hAnsi="Times New Roman"/>
          <w:sz w:val="24"/>
          <w:szCs w:val="24"/>
        </w:rPr>
        <w:t>第</w:t>
      </w:r>
      <w:r>
        <w:rPr>
          <w:rFonts w:hint="eastAsia" w:ascii="Times New Roman" w:hAnsi="Times New Roman"/>
          <w:sz w:val="24"/>
          <w:szCs w:val="24"/>
        </w:rPr>
        <w:t>六</w:t>
      </w:r>
      <w:r>
        <w:rPr>
          <w:rFonts w:ascii="Times New Roman" w:hAnsi="Times New Roman"/>
          <w:sz w:val="24"/>
          <w:szCs w:val="24"/>
        </w:rPr>
        <w:t>节</w:t>
      </w:r>
      <w:r>
        <w:rPr>
          <w:rFonts w:hint="eastAsia" w:ascii="Times New Roman" w:hAnsi="Times New Roman"/>
          <w:sz w:val="24"/>
          <w:szCs w:val="24"/>
        </w:rPr>
        <w:t xml:space="preserve"> 评标</w:t>
      </w:r>
      <w:bookmarkEnd w:id="10"/>
    </w:p>
    <w:p>
      <w:pPr>
        <w:spacing w:line="360" w:lineRule="auto"/>
        <w:rPr>
          <w:rFonts w:ascii="宋体" w:cs="宋体"/>
          <w:b/>
          <w:bCs/>
          <w:sz w:val="24"/>
        </w:rPr>
      </w:pPr>
      <w:r>
        <w:rPr>
          <w:rFonts w:hint="eastAsia" w:ascii="宋体" w:cs="宋体"/>
          <w:b/>
          <w:bCs/>
          <w:sz w:val="24"/>
        </w:rPr>
        <w:t>一、评标委员会</w:t>
      </w:r>
    </w:p>
    <w:p>
      <w:pPr>
        <w:spacing w:line="360" w:lineRule="auto"/>
        <w:ind w:firstLine="480" w:firstLineChars="200"/>
        <w:rPr>
          <w:rFonts w:ascii="宋体" w:cs="宋体"/>
          <w:sz w:val="24"/>
        </w:rPr>
      </w:pPr>
      <w:r>
        <w:rPr>
          <w:rFonts w:hint="eastAsia" w:ascii="宋体" w:cs="宋体"/>
          <w:sz w:val="24"/>
        </w:rPr>
        <w:t xml:space="preserve">1.1 </w:t>
      </w:r>
      <w:r>
        <w:rPr>
          <w:rFonts w:hint="eastAsia" w:ascii="宋体"/>
          <w:kern w:val="0"/>
          <w:sz w:val="24"/>
        </w:rPr>
        <w:t>评标由采购人按照《政府采购评审专家管理办法》财库〔2016〕198号，依法组建的评标委员会负责</w:t>
      </w:r>
      <w:r>
        <w:rPr>
          <w:rFonts w:hint="eastAsia" w:ascii="宋体" w:cs="宋体"/>
          <w:sz w:val="24"/>
        </w:rPr>
        <w:t>。评标委员会由招标人或其委托的招标代理机构熟悉相关业务的代表，以及有关技术、经济等方面的专家组成。评标委员会成员人数以及技术、经济等方面专家的确定方式见投标人须知前附表。</w:t>
      </w:r>
      <w:r>
        <w:rPr>
          <w:rFonts w:hint="eastAsia" w:ascii="宋体"/>
          <w:color w:val="000000"/>
          <w:kern w:val="0"/>
          <w:sz w:val="24"/>
        </w:rPr>
        <w:t>评标委员会在监督人员的监督下独立完成评标工作，负责对投标文件进行审查、质询、评审、推选中标候选人。</w:t>
      </w:r>
    </w:p>
    <w:p>
      <w:pPr>
        <w:spacing w:line="360" w:lineRule="auto"/>
        <w:ind w:firstLine="480" w:firstLineChars="200"/>
        <w:rPr>
          <w:rFonts w:ascii="宋体" w:cs="宋体"/>
          <w:sz w:val="24"/>
        </w:rPr>
      </w:pPr>
      <w:r>
        <w:rPr>
          <w:rFonts w:hint="eastAsia" w:ascii="宋体" w:cs="宋体"/>
          <w:sz w:val="24"/>
        </w:rPr>
        <w:t>1.2 评标委员会成员有下列情形之一的，应当回避：</w:t>
      </w:r>
    </w:p>
    <w:p>
      <w:pPr>
        <w:spacing w:line="360" w:lineRule="auto"/>
        <w:ind w:firstLine="720" w:firstLineChars="300"/>
        <w:rPr>
          <w:rFonts w:ascii="宋体" w:cs="宋体"/>
          <w:sz w:val="24"/>
        </w:rPr>
      </w:pPr>
      <w:r>
        <w:rPr>
          <w:rFonts w:hint="eastAsia" w:ascii="宋体" w:cs="宋体"/>
          <w:sz w:val="24"/>
        </w:rPr>
        <w:t xml:space="preserve">⑴ </w:t>
      </w:r>
      <w:r>
        <w:rPr>
          <w:rFonts w:hint="eastAsia" w:ascii="宋体"/>
          <w:kern w:val="0"/>
          <w:sz w:val="24"/>
        </w:rPr>
        <w:t>与投标人的法定代表人或者负责人有夫妻、直系血亲、三代以内旁系血亲或者近姻</w:t>
      </w:r>
      <w:r>
        <w:rPr>
          <w:rFonts w:hint="eastAsia" w:ascii="宋体"/>
          <w:color w:val="000000"/>
          <w:kern w:val="0"/>
          <w:sz w:val="24"/>
        </w:rPr>
        <w:t>亲关系</w:t>
      </w:r>
      <w:r>
        <w:rPr>
          <w:rFonts w:hint="eastAsia" w:ascii="宋体" w:cs="宋体"/>
          <w:sz w:val="24"/>
        </w:rPr>
        <w:t>；</w:t>
      </w:r>
    </w:p>
    <w:p>
      <w:pPr>
        <w:spacing w:line="360" w:lineRule="auto"/>
        <w:ind w:firstLine="720" w:firstLineChars="300"/>
        <w:rPr>
          <w:rFonts w:ascii="宋体" w:cs="宋体"/>
          <w:sz w:val="24"/>
        </w:rPr>
      </w:pPr>
      <w:r>
        <w:rPr>
          <w:rFonts w:hint="eastAsia" w:ascii="宋体" w:cs="宋体"/>
          <w:sz w:val="24"/>
        </w:rPr>
        <w:t>⑵ 项目主管部门或者行政监督部门的人员；</w:t>
      </w:r>
    </w:p>
    <w:p>
      <w:pPr>
        <w:spacing w:line="360" w:lineRule="auto"/>
        <w:ind w:firstLine="720" w:firstLineChars="300"/>
        <w:rPr>
          <w:rFonts w:ascii="宋体" w:cs="宋体"/>
          <w:sz w:val="24"/>
        </w:rPr>
      </w:pPr>
      <w:r>
        <w:rPr>
          <w:rFonts w:hint="eastAsia" w:ascii="宋体" w:cs="宋体"/>
          <w:sz w:val="24"/>
        </w:rPr>
        <w:t>⑶ 与投标人有经济利益关系，可能影响对投标公正评审的；</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⑷ 曾因在招标、评标以及其他与招标投标有关活动中从事违法行为而受过行政处罚或刑事处罚的。</w:t>
      </w:r>
    </w:p>
    <w:p>
      <w:pPr>
        <w:widowControl/>
        <w:shd w:val="clear" w:color="auto" w:fill="FFFFFF"/>
        <w:snapToGrid w:val="0"/>
        <w:spacing w:line="360" w:lineRule="auto"/>
        <w:ind w:firstLine="480" w:firstLineChars="200"/>
        <w:rPr>
          <w:rFonts w:ascii="宋体"/>
          <w:kern w:val="0"/>
          <w:sz w:val="24"/>
        </w:rPr>
      </w:pPr>
      <w:r>
        <w:rPr>
          <w:rFonts w:ascii="宋体"/>
          <w:kern w:val="0"/>
          <w:sz w:val="24"/>
        </w:rPr>
        <w:t>1.</w:t>
      </w:r>
      <w:r>
        <w:rPr>
          <w:rFonts w:hint="eastAsia" w:ascii="宋体"/>
          <w:kern w:val="0"/>
          <w:sz w:val="24"/>
        </w:rPr>
        <w:t>3评标委员会按照规定履行下列职责：</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⑴ </w:t>
      </w:r>
      <w:r>
        <w:rPr>
          <w:rFonts w:hint="eastAsia" w:ascii="宋体"/>
          <w:kern w:val="0"/>
          <w:sz w:val="24"/>
        </w:rPr>
        <w:t>承担投标文件的审核工作，并作出评价；</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⑵ </w:t>
      </w:r>
      <w:r>
        <w:rPr>
          <w:rFonts w:hint="eastAsia" w:ascii="宋体"/>
          <w:kern w:val="0"/>
          <w:sz w:val="24"/>
        </w:rPr>
        <w:t>要求投标人对投标文件有关事宜作出澄清或答复；</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⑶ </w:t>
      </w:r>
      <w:r>
        <w:rPr>
          <w:rFonts w:hint="eastAsia" w:ascii="宋体"/>
          <w:kern w:val="0"/>
          <w:sz w:val="24"/>
        </w:rPr>
        <w:t>对质疑问题的审议工作；</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⑷ </w:t>
      </w:r>
      <w:r>
        <w:rPr>
          <w:rFonts w:hint="eastAsia" w:ascii="宋体"/>
          <w:kern w:val="0"/>
          <w:sz w:val="24"/>
        </w:rPr>
        <w:t>推荐候选供应商名单或者直接确定供应商；</w:t>
      </w:r>
    </w:p>
    <w:p>
      <w:pPr>
        <w:spacing w:line="360" w:lineRule="auto"/>
        <w:ind w:firstLine="720" w:firstLineChars="300"/>
        <w:jc w:val="left"/>
        <w:rPr>
          <w:rFonts w:ascii="宋体"/>
          <w:color w:val="000000"/>
          <w:kern w:val="0"/>
          <w:sz w:val="24"/>
        </w:rPr>
      </w:pPr>
      <w:r>
        <w:rPr>
          <w:rFonts w:hint="eastAsia" w:ascii="宋体" w:cs="宋体"/>
          <w:kern w:val="0"/>
          <w:sz w:val="24"/>
        </w:rPr>
        <w:t xml:space="preserve">⑸ </w:t>
      </w:r>
      <w:r>
        <w:rPr>
          <w:rFonts w:hint="eastAsia" w:ascii="宋体"/>
          <w:kern w:val="0"/>
          <w:sz w:val="24"/>
        </w:rPr>
        <w:t>向有关部门反映招标项目评审过程中的问题，提出意见和建议。专家对评审的招标内容负责，并承担相应的责任。</w:t>
      </w:r>
    </w:p>
    <w:p>
      <w:pPr>
        <w:widowControl/>
        <w:shd w:val="clear" w:color="auto" w:fill="FFFFFF"/>
        <w:snapToGrid w:val="0"/>
        <w:spacing w:line="360" w:lineRule="auto"/>
        <w:ind w:firstLine="480" w:firstLineChars="200"/>
        <w:rPr>
          <w:rFonts w:ascii="宋体"/>
          <w:kern w:val="0"/>
          <w:sz w:val="24"/>
        </w:rPr>
      </w:pPr>
      <w:r>
        <w:rPr>
          <w:rFonts w:ascii="宋体"/>
          <w:kern w:val="0"/>
          <w:sz w:val="24"/>
        </w:rPr>
        <w:t>1.</w:t>
      </w:r>
      <w:r>
        <w:rPr>
          <w:rFonts w:hint="eastAsia" w:ascii="宋体"/>
          <w:kern w:val="0"/>
          <w:sz w:val="24"/>
        </w:rPr>
        <w:t>4评标委员会享有以下权利：</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⑴ </w:t>
      </w:r>
      <w:r>
        <w:rPr>
          <w:rFonts w:hint="eastAsia" w:ascii="宋体"/>
          <w:kern w:val="0"/>
          <w:sz w:val="24"/>
        </w:rPr>
        <w:t>对供应商所供货物、服务质量的评审权；</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⑵ </w:t>
      </w:r>
      <w:r>
        <w:rPr>
          <w:rFonts w:hint="eastAsia" w:ascii="宋体"/>
          <w:kern w:val="0"/>
          <w:sz w:val="24"/>
        </w:rPr>
        <w:t>按照招标文件对评审意见承担相应责任；</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⑶ </w:t>
      </w:r>
      <w:r>
        <w:rPr>
          <w:rFonts w:hint="eastAsia" w:ascii="宋体"/>
          <w:kern w:val="0"/>
          <w:sz w:val="24"/>
        </w:rPr>
        <w:t>推荐中标候选人供应商的表决权；</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⑷ </w:t>
      </w:r>
      <w:r>
        <w:rPr>
          <w:rFonts w:hint="eastAsia" w:ascii="宋体"/>
          <w:kern w:val="0"/>
          <w:sz w:val="24"/>
        </w:rPr>
        <w:t>参与评标报告的书写；</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⑸ </w:t>
      </w:r>
      <w:r>
        <w:rPr>
          <w:rFonts w:hint="eastAsia" w:ascii="宋体"/>
          <w:kern w:val="0"/>
          <w:sz w:val="24"/>
        </w:rPr>
        <w:t>配合相关部门的投诉处理工作；</w:t>
      </w:r>
    </w:p>
    <w:p>
      <w:pPr>
        <w:widowControl/>
        <w:shd w:val="clear" w:color="auto" w:fill="FFFFFF"/>
        <w:snapToGrid w:val="0"/>
        <w:spacing w:line="360" w:lineRule="auto"/>
        <w:ind w:firstLine="720" w:firstLineChars="300"/>
        <w:rPr>
          <w:rFonts w:ascii="宋体" w:cs="宋体"/>
          <w:sz w:val="24"/>
        </w:rPr>
      </w:pPr>
      <w:r>
        <w:rPr>
          <w:rFonts w:hint="eastAsia" w:ascii="宋体" w:cs="宋体"/>
          <w:kern w:val="0"/>
          <w:sz w:val="24"/>
        </w:rPr>
        <w:t xml:space="preserve">⑹ </w:t>
      </w:r>
      <w:r>
        <w:rPr>
          <w:rFonts w:hint="eastAsia" w:ascii="宋体"/>
          <w:kern w:val="0"/>
          <w:sz w:val="24"/>
        </w:rPr>
        <w:t>配合答复投标人提出的质疑。</w:t>
      </w:r>
    </w:p>
    <w:p>
      <w:pPr>
        <w:spacing w:line="360" w:lineRule="auto"/>
        <w:rPr>
          <w:rFonts w:ascii="宋体" w:cs="宋体"/>
          <w:b/>
          <w:bCs/>
          <w:sz w:val="24"/>
        </w:rPr>
      </w:pPr>
      <w:r>
        <w:rPr>
          <w:rFonts w:hint="eastAsia" w:ascii="宋体" w:cs="宋体"/>
          <w:b/>
          <w:bCs/>
          <w:sz w:val="24"/>
        </w:rPr>
        <w:t>二、评标原则</w:t>
      </w:r>
    </w:p>
    <w:p>
      <w:pPr>
        <w:spacing w:line="360" w:lineRule="auto"/>
        <w:ind w:firstLine="480" w:firstLineChars="200"/>
        <w:jc w:val="left"/>
        <w:rPr>
          <w:rFonts w:ascii="宋体" w:cs="宋体"/>
          <w:color w:val="000000"/>
          <w:sz w:val="24"/>
        </w:rPr>
      </w:pPr>
      <w:r>
        <w:rPr>
          <w:rFonts w:hint="eastAsia" w:ascii="宋体" w:cs="宋体"/>
          <w:color w:val="000000"/>
          <w:sz w:val="24"/>
          <w:lang w:val="en-US" w:eastAsia="zh-CN"/>
        </w:rPr>
        <w:t>2.1</w:t>
      </w:r>
      <w:r>
        <w:rPr>
          <w:rFonts w:hint="eastAsia" w:ascii="宋体" w:cs="宋体"/>
          <w:color w:val="000000"/>
          <w:sz w:val="24"/>
        </w:rPr>
        <w:t xml:space="preserve"> 评标过程中应遵循公开、公平、公正、择优的原则；</w:t>
      </w:r>
    </w:p>
    <w:p>
      <w:pPr>
        <w:tabs>
          <w:tab w:val="left" w:pos="210"/>
        </w:tabs>
        <w:spacing w:line="360" w:lineRule="auto"/>
        <w:ind w:firstLine="480" w:firstLineChars="200"/>
        <w:jc w:val="left"/>
        <w:rPr>
          <w:rFonts w:ascii="宋体" w:cs="宋体"/>
          <w:color w:val="000000"/>
          <w:sz w:val="24"/>
        </w:rPr>
      </w:pPr>
      <w:r>
        <w:rPr>
          <w:rFonts w:hint="eastAsia" w:ascii="宋体" w:cs="宋体"/>
          <w:color w:val="000000"/>
          <w:sz w:val="24"/>
          <w:lang w:val="en-US" w:eastAsia="zh-CN"/>
        </w:rPr>
        <w:t>2.2</w:t>
      </w:r>
      <w:r>
        <w:rPr>
          <w:rFonts w:hint="eastAsia" w:ascii="宋体" w:cs="宋体"/>
          <w:color w:val="000000"/>
          <w:sz w:val="24"/>
        </w:rPr>
        <w:t xml:space="preserve"> 评标应同时维护用户单位和投标单位的利益；</w:t>
      </w:r>
    </w:p>
    <w:p>
      <w:pPr>
        <w:spacing w:line="360" w:lineRule="auto"/>
        <w:ind w:firstLine="480" w:firstLineChars="200"/>
        <w:jc w:val="left"/>
        <w:rPr>
          <w:rFonts w:ascii="宋体" w:cs="宋体"/>
          <w:color w:val="000000"/>
          <w:sz w:val="24"/>
        </w:rPr>
      </w:pPr>
      <w:r>
        <w:rPr>
          <w:rFonts w:hint="eastAsia" w:ascii="宋体" w:cs="宋体"/>
          <w:color w:val="000000"/>
          <w:sz w:val="24"/>
          <w:lang w:val="en-US" w:eastAsia="zh-CN"/>
        </w:rPr>
        <w:t>2.3</w:t>
      </w:r>
      <w:r>
        <w:rPr>
          <w:rFonts w:hint="eastAsia" w:ascii="宋体" w:cs="宋体"/>
          <w:color w:val="000000"/>
          <w:sz w:val="24"/>
        </w:rPr>
        <w:t>资格审查合格的投标企业，中标机会均等；</w:t>
      </w:r>
    </w:p>
    <w:p>
      <w:pPr>
        <w:spacing w:line="360" w:lineRule="auto"/>
        <w:ind w:firstLine="480" w:firstLineChars="200"/>
        <w:jc w:val="left"/>
        <w:rPr>
          <w:rFonts w:ascii="宋体" w:cs="宋体"/>
          <w:color w:val="000000"/>
          <w:sz w:val="24"/>
        </w:rPr>
      </w:pPr>
      <w:r>
        <w:rPr>
          <w:rFonts w:hint="eastAsia" w:ascii="宋体" w:cs="宋体"/>
          <w:color w:val="000000"/>
          <w:sz w:val="24"/>
          <w:lang w:val="en-US" w:eastAsia="zh-CN"/>
        </w:rPr>
        <w:t>2.4</w:t>
      </w:r>
      <w:r>
        <w:rPr>
          <w:rFonts w:hint="eastAsia" w:ascii="宋体" w:cs="宋体"/>
          <w:color w:val="000000"/>
          <w:sz w:val="24"/>
        </w:rPr>
        <w:t>评标人员应独立进行评审，对个人的评审意见承担法律责任；</w:t>
      </w:r>
    </w:p>
    <w:p>
      <w:pPr>
        <w:spacing w:line="360" w:lineRule="auto"/>
        <w:ind w:firstLine="480" w:firstLineChars="200"/>
        <w:jc w:val="left"/>
        <w:rPr>
          <w:rFonts w:ascii="宋体" w:cs="宋体"/>
          <w:color w:val="000000"/>
          <w:sz w:val="24"/>
        </w:rPr>
      </w:pPr>
      <w:r>
        <w:rPr>
          <w:rFonts w:hint="eastAsia" w:ascii="宋体" w:cs="宋体"/>
          <w:color w:val="000000"/>
          <w:sz w:val="24"/>
          <w:lang w:val="en-US" w:eastAsia="zh-CN"/>
        </w:rPr>
        <w:t>2.5</w:t>
      </w:r>
      <w:r>
        <w:rPr>
          <w:rFonts w:hint="eastAsia" w:ascii="宋体" w:cs="宋体"/>
          <w:color w:val="000000"/>
          <w:sz w:val="24"/>
        </w:rPr>
        <w:t>评标人员不得私自泄露评标内容；</w:t>
      </w:r>
    </w:p>
    <w:p>
      <w:pPr>
        <w:spacing w:line="360" w:lineRule="auto"/>
        <w:ind w:firstLine="480" w:firstLineChars="200"/>
        <w:jc w:val="left"/>
        <w:rPr>
          <w:rFonts w:ascii="宋体" w:cs="宋体"/>
          <w:sz w:val="24"/>
        </w:rPr>
      </w:pPr>
      <w:r>
        <w:rPr>
          <w:rFonts w:hint="eastAsia" w:ascii="宋体" w:cs="宋体"/>
          <w:color w:val="000000"/>
          <w:sz w:val="24"/>
          <w:lang w:val="en-US" w:eastAsia="zh-CN"/>
        </w:rPr>
        <w:t>2.6</w:t>
      </w:r>
      <w:r>
        <w:rPr>
          <w:rFonts w:hint="eastAsia" w:ascii="宋体" w:cs="宋体"/>
          <w:color w:val="000000"/>
          <w:sz w:val="24"/>
        </w:rPr>
        <w:t xml:space="preserve"> 评标采取质量、性能、价格、服务综合比、物有所值；</w:t>
      </w:r>
    </w:p>
    <w:p>
      <w:pPr>
        <w:spacing w:line="360" w:lineRule="auto"/>
        <w:rPr>
          <w:rFonts w:ascii="宋体" w:cs="宋体"/>
          <w:b/>
          <w:bCs/>
          <w:sz w:val="24"/>
        </w:rPr>
      </w:pPr>
      <w:r>
        <w:rPr>
          <w:rFonts w:hint="eastAsia" w:ascii="宋体" w:cs="宋体"/>
          <w:b/>
          <w:bCs/>
          <w:sz w:val="24"/>
        </w:rPr>
        <w:t>三、评标</w:t>
      </w:r>
    </w:p>
    <w:p>
      <w:pPr>
        <w:spacing w:line="360" w:lineRule="auto"/>
        <w:ind w:firstLine="480" w:firstLineChars="200"/>
        <w:rPr>
          <w:rFonts w:ascii="宋体" w:cs="宋体"/>
          <w:sz w:val="24"/>
        </w:rPr>
      </w:pPr>
      <w:r>
        <w:rPr>
          <w:rFonts w:hint="eastAsia" w:ascii="宋体" w:cs="宋体"/>
          <w:sz w:val="24"/>
        </w:rPr>
        <w:t>评标委员会按照“评标办法”规定的方法、评审因素、标准和程序对投标文件进行评审。“评标办法”没有规定的方法、评审因素和标准，不作为评标依据。</w:t>
      </w:r>
    </w:p>
    <w:p>
      <w:pPr>
        <w:spacing w:line="360" w:lineRule="auto"/>
        <w:ind w:firstLine="480" w:firstLineChars="200"/>
        <w:rPr>
          <w:rFonts w:ascii="宋体" w:cs="宋体"/>
          <w:sz w:val="24"/>
        </w:rPr>
      </w:pPr>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Pr>
        <w:pStyle w:val="2"/>
        <w:jc w:val="center"/>
        <w:rPr>
          <w:rFonts w:cs="宋体"/>
          <w:sz w:val="24"/>
          <w:szCs w:val="24"/>
        </w:rPr>
      </w:pPr>
      <w:bookmarkStart w:id="11" w:name="_Toc23832"/>
      <w:r>
        <w:rPr>
          <w:rFonts w:ascii="Times New Roman" w:hAnsi="Times New Roman"/>
          <w:sz w:val="24"/>
          <w:szCs w:val="24"/>
        </w:rPr>
        <w:t>第</w:t>
      </w:r>
      <w:r>
        <w:rPr>
          <w:rFonts w:hint="eastAsia" w:ascii="Times New Roman" w:hAnsi="Times New Roman"/>
          <w:sz w:val="24"/>
          <w:szCs w:val="24"/>
        </w:rPr>
        <w:t>七</w:t>
      </w:r>
      <w:r>
        <w:rPr>
          <w:rFonts w:ascii="Times New Roman" w:hAnsi="Times New Roman"/>
          <w:sz w:val="24"/>
          <w:szCs w:val="24"/>
        </w:rPr>
        <w:t>节</w:t>
      </w:r>
      <w:r>
        <w:rPr>
          <w:rFonts w:hint="eastAsia" w:ascii="Times New Roman" w:hAnsi="Times New Roman"/>
          <w:sz w:val="24"/>
          <w:szCs w:val="24"/>
        </w:rPr>
        <w:t xml:space="preserve"> 合同授予</w:t>
      </w:r>
      <w:bookmarkEnd w:id="11"/>
    </w:p>
    <w:p>
      <w:pPr>
        <w:spacing w:line="360" w:lineRule="auto"/>
        <w:rPr>
          <w:rFonts w:ascii="宋体" w:cs="宋体"/>
          <w:b/>
          <w:bCs/>
          <w:sz w:val="24"/>
        </w:rPr>
      </w:pPr>
      <w:r>
        <w:rPr>
          <w:rFonts w:hint="eastAsia" w:ascii="宋体" w:cs="宋体"/>
          <w:b/>
          <w:bCs/>
          <w:sz w:val="24"/>
        </w:rPr>
        <w:t>一、定标方式</w:t>
      </w:r>
    </w:p>
    <w:p>
      <w:pPr>
        <w:spacing w:line="360" w:lineRule="auto"/>
        <w:ind w:firstLine="480" w:firstLineChars="200"/>
        <w:rPr>
          <w:rFonts w:ascii="宋体" w:cs="宋体"/>
          <w:sz w:val="24"/>
        </w:rPr>
      </w:pPr>
      <w:r>
        <w:rPr>
          <w:rFonts w:hint="eastAsia" w:ascii="宋体" w:cs="宋体"/>
          <w:sz w:val="24"/>
        </w:rPr>
        <w:t>除投标人须知前附表规定评标委员会直接确定中标人外，招标人依据评标委员会推荐的中标候选人确定中标人，评标委员会推荐中标候选人的人数见投标人须知前附表。</w:t>
      </w:r>
    </w:p>
    <w:p>
      <w:pPr>
        <w:widowControl/>
        <w:shd w:val="clear" w:color="auto" w:fill="FFFFFF"/>
        <w:snapToGrid w:val="0"/>
        <w:spacing w:line="360" w:lineRule="auto"/>
        <w:ind w:firstLine="480" w:firstLineChars="200"/>
        <w:rPr>
          <w:rFonts w:ascii="宋体"/>
          <w:kern w:val="0"/>
          <w:sz w:val="24"/>
        </w:rPr>
      </w:pPr>
      <w:r>
        <w:rPr>
          <w:rFonts w:ascii="宋体"/>
          <w:kern w:val="0"/>
          <w:sz w:val="24"/>
        </w:rPr>
        <w:t xml:space="preserve">1.1 </w:t>
      </w:r>
      <w:r>
        <w:rPr>
          <w:rFonts w:hint="eastAsia" w:ascii="宋体"/>
          <w:kern w:val="0"/>
          <w:sz w:val="24"/>
        </w:rPr>
        <w:t>评标委员会按投标人须知前附表的规定，综合评估得分最高的为中标候选人顺序排名。</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⑴ </w:t>
      </w:r>
      <w:r>
        <w:rPr>
          <w:rFonts w:hint="eastAsia" w:ascii="宋体"/>
          <w:kern w:val="0"/>
          <w:sz w:val="24"/>
        </w:rPr>
        <w:t>未通过审查的投标文件为无效标。</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⑵ </w:t>
      </w:r>
      <w:r>
        <w:rPr>
          <w:rFonts w:hint="eastAsia" w:ascii="宋体"/>
          <w:kern w:val="0"/>
          <w:sz w:val="24"/>
        </w:rPr>
        <w:t>经评标委员会三分之二以上组员同意对存在重大偏离的投标文件可判定为无效标。</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⑶ </w:t>
      </w:r>
      <w:r>
        <w:rPr>
          <w:rFonts w:hint="eastAsia" w:ascii="宋体"/>
          <w:kern w:val="0"/>
          <w:sz w:val="24"/>
        </w:rPr>
        <w:t>对投标文件中含义不明确、同类问题表述不一致或者有明显错误的内容，评标委员会可以书面要求投标人作出必要的澄清说明或者纠正（应由评标委员会签字）。投标人的澄清说明或补正也须书面形式（由其授权代表签字），并不得超出投标文件的范围或者改变投标文件的实质性内容。</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⑷ </w:t>
      </w:r>
      <w:r>
        <w:rPr>
          <w:rFonts w:hint="eastAsia" w:ascii="宋体"/>
          <w:kern w:val="0"/>
          <w:sz w:val="24"/>
        </w:rPr>
        <w:t>评标过程出现异议的，由评标委员会共同商讨决定，需要投标人澄清的，评标委员会将以书面形式通知投标人。</w:t>
      </w:r>
    </w:p>
    <w:p>
      <w:pPr>
        <w:widowControl/>
        <w:shd w:val="clear" w:color="auto" w:fill="FFFFFF"/>
        <w:snapToGrid w:val="0"/>
        <w:spacing w:line="360" w:lineRule="auto"/>
        <w:ind w:firstLine="480" w:firstLineChars="200"/>
        <w:rPr>
          <w:rFonts w:ascii="宋体"/>
          <w:color w:val="000000"/>
          <w:kern w:val="0"/>
          <w:sz w:val="24"/>
        </w:rPr>
      </w:pPr>
      <w:r>
        <w:rPr>
          <w:rFonts w:ascii="宋体"/>
          <w:kern w:val="0"/>
          <w:sz w:val="24"/>
        </w:rPr>
        <w:t>1.</w:t>
      </w:r>
      <w:r>
        <w:rPr>
          <w:rFonts w:hint="eastAsia" w:ascii="宋体"/>
          <w:kern w:val="0"/>
          <w:sz w:val="24"/>
        </w:rPr>
        <w:t>2</w:t>
      </w:r>
      <w:r>
        <w:rPr>
          <w:rFonts w:hint="eastAsia" w:ascii="宋体" w:cs="宋体"/>
          <w:sz w:val="24"/>
        </w:rPr>
        <w:t>评标委员会按综合得分高低推荐候选人或者</w:t>
      </w:r>
      <w:r>
        <w:rPr>
          <w:rFonts w:hint="eastAsia" w:ascii="宋体" w:cs="宋体"/>
          <w:color w:val="000000"/>
          <w:sz w:val="24"/>
        </w:rPr>
        <w:t>确定中标供应商，得分相同的，以报价低的为优先中标候选人。</w:t>
      </w:r>
    </w:p>
    <w:p>
      <w:pPr>
        <w:widowControl/>
        <w:shd w:val="clear" w:color="auto" w:fill="FFFFFF"/>
        <w:snapToGrid w:val="0"/>
        <w:spacing w:line="360" w:lineRule="auto"/>
        <w:ind w:firstLine="480" w:firstLineChars="200"/>
        <w:rPr>
          <w:rFonts w:ascii="宋体"/>
          <w:kern w:val="0"/>
          <w:sz w:val="24"/>
        </w:rPr>
      </w:pPr>
      <w:r>
        <w:rPr>
          <w:rFonts w:ascii="宋体"/>
          <w:color w:val="000000"/>
          <w:kern w:val="0"/>
          <w:sz w:val="24"/>
        </w:rPr>
        <w:t>1.</w:t>
      </w:r>
      <w:r>
        <w:rPr>
          <w:rFonts w:hint="eastAsia" w:ascii="宋体"/>
          <w:color w:val="000000"/>
          <w:kern w:val="0"/>
          <w:sz w:val="24"/>
        </w:rPr>
        <w:t>3评标委员会认为</w:t>
      </w:r>
      <w:r>
        <w:rPr>
          <w:rFonts w:hint="eastAsia" w:ascii="宋体" w:cs="宋体"/>
          <w:color w:val="000000"/>
          <w:sz w:val="24"/>
        </w:rPr>
        <w:t>中标</w:t>
      </w:r>
      <w:r>
        <w:rPr>
          <w:rFonts w:hint="eastAsia" w:ascii="宋体"/>
          <w:color w:val="000000"/>
          <w:kern w:val="0"/>
          <w:sz w:val="24"/>
        </w:rPr>
        <w:t>候选人投标价或某些分项报价</w:t>
      </w:r>
      <w:r>
        <w:rPr>
          <w:rFonts w:hint="eastAsia" w:ascii="宋体"/>
          <w:kern w:val="0"/>
          <w:sz w:val="24"/>
        </w:rPr>
        <w:t>明显不合理或低于成本，有可能影响商品质量和不能诚信履约的，可要求其在规定期限内提供书面文件及相关证明材料解释说明，否则，可取消其候选资格，按排名顺序递补候选人，以此类推。若排名第一的候选人，放弃中标、因不可抗力提出不能履行合同等情况，根据《评标委员会和评标方法暂行规定》执行。</w:t>
      </w:r>
    </w:p>
    <w:p>
      <w:pPr>
        <w:widowControl/>
        <w:shd w:val="clear" w:color="auto" w:fill="FFFFFF"/>
        <w:snapToGrid w:val="0"/>
        <w:spacing w:line="360" w:lineRule="auto"/>
        <w:ind w:firstLine="480" w:firstLineChars="200"/>
        <w:rPr>
          <w:rFonts w:ascii="宋体"/>
          <w:kern w:val="0"/>
          <w:sz w:val="24"/>
        </w:rPr>
      </w:pPr>
      <w:r>
        <w:rPr>
          <w:rFonts w:ascii="宋体"/>
          <w:kern w:val="0"/>
          <w:sz w:val="24"/>
        </w:rPr>
        <w:t>1.</w:t>
      </w:r>
      <w:r>
        <w:rPr>
          <w:rFonts w:hint="eastAsia" w:ascii="宋体"/>
          <w:kern w:val="0"/>
          <w:sz w:val="24"/>
        </w:rPr>
        <w:t>4如成交候选投标人被确认为不具备执行合同的能力，采购人将考虑按同样的程序审查下一个中标候选人。</w:t>
      </w:r>
    </w:p>
    <w:p>
      <w:pPr>
        <w:widowControl/>
        <w:shd w:val="clear" w:color="auto" w:fill="FFFFFF"/>
        <w:snapToGrid w:val="0"/>
        <w:spacing w:line="360" w:lineRule="auto"/>
        <w:ind w:firstLine="480" w:firstLineChars="200"/>
      </w:pPr>
      <w:r>
        <w:rPr>
          <w:rFonts w:ascii="宋体"/>
          <w:kern w:val="0"/>
          <w:sz w:val="24"/>
        </w:rPr>
        <w:t>1.</w:t>
      </w:r>
      <w:r>
        <w:rPr>
          <w:rFonts w:hint="eastAsia" w:ascii="宋体"/>
          <w:kern w:val="0"/>
          <w:sz w:val="24"/>
        </w:rPr>
        <w:t>5</w:t>
      </w:r>
      <w:r>
        <w:rPr>
          <w:rFonts w:hint="eastAsia" w:ascii="宋体"/>
          <w:b/>
          <w:bCs/>
          <w:kern w:val="0"/>
          <w:sz w:val="24"/>
        </w:rPr>
        <w:t>对未成交的供应企业不作未成交原因的解释</w:t>
      </w:r>
      <w:r>
        <w:rPr>
          <w:rFonts w:hint="eastAsia" w:ascii="宋体"/>
          <w:kern w:val="0"/>
          <w:sz w:val="24"/>
        </w:rPr>
        <w:t>。</w:t>
      </w:r>
    </w:p>
    <w:p>
      <w:pPr>
        <w:widowControl/>
        <w:shd w:val="clear" w:color="auto" w:fill="FFFFFF"/>
        <w:snapToGrid w:val="0"/>
        <w:spacing w:line="360" w:lineRule="auto"/>
        <w:rPr>
          <w:rFonts w:ascii="宋体"/>
          <w:b/>
          <w:bCs/>
          <w:kern w:val="0"/>
          <w:sz w:val="24"/>
        </w:rPr>
      </w:pPr>
      <w:r>
        <w:rPr>
          <w:rFonts w:hint="eastAsia" w:ascii="宋体"/>
          <w:b/>
          <w:bCs/>
          <w:kern w:val="0"/>
          <w:sz w:val="24"/>
        </w:rPr>
        <w:t>二、中标候选人公示</w:t>
      </w:r>
    </w:p>
    <w:p>
      <w:pPr>
        <w:widowControl/>
        <w:shd w:val="clear" w:color="auto" w:fill="FFFFFF"/>
        <w:snapToGrid w:val="0"/>
        <w:spacing w:line="360" w:lineRule="auto"/>
        <w:ind w:firstLine="480" w:firstLineChars="200"/>
        <w:rPr>
          <w:rFonts w:ascii="宋体" w:cs="宋体"/>
          <w:sz w:val="24"/>
        </w:rPr>
      </w:pPr>
      <w:r>
        <w:rPr>
          <w:rFonts w:hint="eastAsia" w:ascii="宋体"/>
          <w:kern w:val="0"/>
          <w:sz w:val="24"/>
        </w:rPr>
        <w:t>在中标通知书发出前，中标候选人的情况将在招标公告发布的媒体上公示，公示期详见</w:t>
      </w:r>
      <w:r>
        <w:rPr>
          <w:rFonts w:hint="eastAsia" w:ascii="宋体" w:cs="宋体"/>
          <w:sz w:val="24"/>
        </w:rPr>
        <w:t>投标人须知前附表</w:t>
      </w:r>
      <w:r>
        <w:rPr>
          <w:rFonts w:hint="eastAsia" w:ascii="宋体"/>
          <w:kern w:val="0"/>
          <w:sz w:val="24"/>
        </w:rPr>
        <w:t>。</w:t>
      </w:r>
    </w:p>
    <w:p>
      <w:pPr>
        <w:spacing w:line="360" w:lineRule="auto"/>
        <w:rPr>
          <w:rFonts w:ascii="宋体" w:cs="宋体"/>
          <w:b/>
          <w:bCs/>
          <w:sz w:val="24"/>
        </w:rPr>
      </w:pPr>
      <w:r>
        <w:rPr>
          <w:rFonts w:hint="eastAsia" w:ascii="宋体" w:cs="宋体"/>
          <w:b/>
          <w:bCs/>
          <w:sz w:val="24"/>
        </w:rPr>
        <w:t>三、中标通知</w:t>
      </w:r>
    </w:p>
    <w:p>
      <w:pPr>
        <w:spacing w:line="360" w:lineRule="auto"/>
        <w:ind w:firstLine="480" w:firstLineChars="200"/>
        <w:rPr>
          <w:rFonts w:ascii="宋体" w:cs="宋体"/>
          <w:sz w:val="24"/>
        </w:rPr>
      </w:pPr>
      <w:r>
        <w:rPr>
          <w:rFonts w:hint="eastAsia" w:ascii="宋体"/>
          <w:kern w:val="0"/>
          <w:sz w:val="24"/>
        </w:rPr>
        <w:t>公示期满后，</w:t>
      </w:r>
      <w:r>
        <w:rPr>
          <w:rFonts w:hint="eastAsia" w:ascii="宋体" w:cs="宋体"/>
          <w:sz w:val="24"/>
        </w:rPr>
        <w:t>招标人以书面形式向中标人发出中标通知书，同时将中标结果通知未中标的投标人。</w:t>
      </w:r>
      <w:r>
        <w:rPr>
          <w:rFonts w:hint="eastAsia" w:ascii="宋体"/>
          <w:kern w:val="0"/>
          <w:sz w:val="24"/>
        </w:rPr>
        <w:t>成交供应企业及时领取中标通知书。</w:t>
      </w:r>
    </w:p>
    <w:p>
      <w:pPr>
        <w:spacing w:line="360" w:lineRule="auto"/>
        <w:rPr>
          <w:rFonts w:ascii="宋体" w:cs="宋体"/>
          <w:b/>
          <w:bCs/>
          <w:sz w:val="24"/>
        </w:rPr>
      </w:pPr>
      <w:r>
        <w:rPr>
          <w:rFonts w:hint="eastAsia" w:ascii="宋体" w:cs="宋体"/>
          <w:b/>
          <w:bCs/>
          <w:sz w:val="24"/>
        </w:rPr>
        <w:t>四、履约担保</w:t>
      </w:r>
    </w:p>
    <w:p>
      <w:pPr>
        <w:spacing w:line="360" w:lineRule="auto"/>
        <w:ind w:firstLine="480" w:firstLineChars="200"/>
        <w:rPr>
          <w:rFonts w:ascii="宋体" w:cs="宋体"/>
          <w:sz w:val="24"/>
        </w:rPr>
      </w:pPr>
      <w:r>
        <w:rPr>
          <w:rFonts w:hint="eastAsia" w:ascii="宋体" w:hAnsi="宋体" w:cs="宋体"/>
          <w:sz w:val="24"/>
          <w:lang w:val="en-US" w:eastAsia="zh-CN"/>
        </w:rPr>
        <w:t>4.1</w:t>
      </w:r>
      <w:r>
        <w:rPr>
          <w:rFonts w:hint="eastAsia" w:ascii="宋体" w:cs="宋体"/>
          <w:sz w:val="24"/>
        </w:rPr>
        <w:t xml:space="preserve"> 在签订合同前，中标人应按投标人须知前附表规定的金额、担保形式向招标人提交履约担保。联合体中标的，其履约担保由牵头人递交，并应符合投标人须知前附表规定。</w:t>
      </w:r>
    </w:p>
    <w:p>
      <w:pPr>
        <w:spacing w:line="360" w:lineRule="auto"/>
        <w:ind w:firstLine="480" w:firstLineChars="200"/>
        <w:rPr>
          <w:rFonts w:ascii="宋体" w:cs="宋体"/>
          <w:sz w:val="24"/>
        </w:rPr>
      </w:pPr>
      <w:r>
        <w:rPr>
          <w:rFonts w:hint="eastAsia" w:ascii="宋体" w:hAnsi="宋体" w:cs="宋体"/>
          <w:sz w:val="24"/>
          <w:lang w:val="en-US" w:eastAsia="zh-CN"/>
        </w:rPr>
        <w:t>4.2</w:t>
      </w:r>
      <w:r>
        <w:rPr>
          <w:rFonts w:hint="eastAsia" w:ascii="宋体" w:cs="宋体"/>
          <w:sz w:val="24"/>
        </w:rPr>
        <w:t xml:space="preserve"> </w:t>
      </w:r>
      <w:r>
        <w:rPr>
          <w:rFonts w:hint="eastAsia" w:ascii="宋体" w:cs="宋体"/>
          <w:b/>
          <w:bCs/>
          <w:sz w:val="24"/>
        </w:rPr>
        <w:t>中标人不能按要求提交履约担保的，视为放弃中标</w:t>
      </w:r>
      <w:r>
        <w:rPr>
          <w:rFonts w:hint="eastAsia" w:ascii="宋体" w:cs="宋体"/>
          <w:sz w:val="24"/>
        </w:rPr>
        <w:t>，其投标保证金不予退还，给招标人造成的损失超过投标保证金数额的，中标人还应当对超过部分予以赔偿。</w:t>
      </w:r>
    </w:p>
    <w:p>
      <w:pPr>
        <w:spacing w:line="360" w:lineRule="auto"/>
        <w:rPr>
          <w:rFonts w:ascii="宋体" w:cs="宋体"/>
          <w:b/>
          <w:bCs/>
          <w:sz w:val="24"/>
        </w:rPr>
      </w:pPr>
      <w:r>
        <w:rPr>
          <w:rFonts w:hint="eastAsia" w:ascii="宋体" w:cs="宋体"/>
          <w:b/>
          <w:bCs/>
          <w:sz w:val="24"/>
        </w:rPr>
        <w:t>五、签订合同</w:t>
      </w:r>
    </w:p>
    <w:p>
      <w:pPr>
        <w:spacing w:line="360" w:lineRule="auto"/>
        <w:ind w:firstLine="480" w:firstLineChars="200"/>
        <w:rPr>
          <w:rFonts w:ascii="宋体" w:cs="宋体"/>
          <w:sz w:val="24"/>
        </w:rPr>
      </w:pPr>
      <w:r>
        <w:rPr>
          <w:rFonts w:hint="eastAsia" w:ascii="宋体" w:hAnsi="宋体" w:cs="宋体"/>
          <w:sz w:val="24"/>
          <w:lang w:val="en-US" w:eastAsia="zh-CN"/>
        </w:rPr>
        <w:t>5.1</w:t>
      </w:r>
      <w:r>
        <w:rPr>
          <w:rFonts w:hint="eastAsia" w:ascii="宋体" w:cs="宋体"/>
          <w:sz w:val="24"/>
        </w:rPr>
        <w:t>招标人和中标人应当自中标通知书发出之日起30 天内，根据招标文件和中标人的投标文件订立书面合同。</w:t>
      </w:r>
      <w:r>
        <w:rPr>
          <w:rFonts w:hint="eastAsia" w:ascii="宋体" w:cs="宋体"/>
          <w:b/>
          <w:bCs/>
          <w:sz w:val="24"/>
        </w:rPr>
        <w:t>中标人无正当理由拒签合同的，招标人取消其中标资格，其投标保证金不予退还</w:t>
      </w:r>
      <w:r>
        <w:rPr>
          <w:rFonts w:hint="eastAsia" w:ascii="宋体" w:cs="宋体"/>
          <w:sz w:val="24"/>
        </w:rPr>
        <w:t>；给招标人造成的损失超过投标保证金数额的，中标人还应当对超过部分予以赔偿。</w:t>
      </w:r>
    </w:p>
    <w:p>
      <w:pPr>
        <w:widowControl/>
        <w:shd w:val="clear" w:color="auto" w:fill="FFFFFF"/>
        <w:snapToGrid w:val="0"/>
        <w:spacing w:line="360" w:lineRule="auto"/>
        <w:ind w:firstLine="480" w:firstLineChars="200"/>
        <w:rPr>
          <w:rFonts w:ascii="宋体"/>
          <w:kern w:val="0"/>
          <w:sz w:val="24"/>
        </w:rPr>
      </w:pPr>
      <w:r>
        <w:rPr>
          <w:rFonts w:hint="eastAsia" w:ascii="宋体" w:hAnsi="宋体" w:cs="宋体"/>
          <w:sz w:val="24"/>
          <w:lang w:val="en-US" w:eastAsia="zh-CN"/>
        </w:rPr>
        <w:t>5.2</w:t>
      </w:r>
      <w:r>
        <w:rPr>
          <w:rFonts w:hint="eastAsia" w:ascii="宋体" w:cs="宋体"/>
          <w:sz w:val="24"/>
        </w:rPr>
        <w:t xml:space="preserve"> 中标人</w:t>
      </w:r>
      <w:r>
        <w:rPr>
          <w:rFonts w:hint="eastAsia" w:ascii="宋体"/>
          <w:kern w:val="0"/>
          <w:sz w:val="24"/>
        </w:rPr>
        <w:t>因不可抗力或自身原因不能签订协议合同或者不能履行合同的，采购人可以按成交候选顺序确定新的</w:t>
      </w:r>
      <w:r>
        <w:rPr>
          <w:rFonts w:hint="eastAsia" w:ascii="宋体" w:cs="宋体"/>
          <w:sz w:val="24"/>
        </w:rPr>
        <w:t>中标人</w:t>
      </w:r>
      <w:r>
        <w:rPr>
          <w:rFonts w:hint="eastAsia" w:ascii="宋体"/>
          <w:kern w:val="0"/>
          <w:sz w:val="24"/>
        </w:rPr>
        <w:t>并签订合同，依次类推，或重新进行采购。</w:t>
      </w:r>
    </w:p>
    <w:p>
      <w:pPr>
        <w:spacing w:line="360" w:lineRule="auto"/>
        <w:jc w:val="left"/>
        <w:rPr>
          <w:rFonts w:ascii="宋体"/>
          <w:kern w:val="0"/>
          <w:sz w:val="24"/>
        </w:rPr>
      </w:pPr>
    </w:p>
    <w:p>
      <w:pPr>
        <w:pStyle w:val="2"/>
        <w:jc w:val="center"/>
        <w:rPr>
          <w:rFonts w:ascii="Times New Roman" w:hAnsi="Times New Roman"/>
          <w:sz w:val="24"/>
          <w:szCs w:val="24"/>
        </w:rPr>
      </w:pPr>
      <w:bookmarkStart w:id="12" w:name="_Toc14493"/>
      <w:bookmarkStart w:id="13" w:name="_Toc13199"/>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cs="宋体"/>
          <w:sz w:val="24"/>
          <w:szCs w:val="24"/>
        </w:rPr>
      </w:pPr>
      <w:r>
        <w:rPr>
          <w:rFonts w:ascii="Times New Roman" w:hAnsi="Times New Roman"/>
          <w:sz w:val="24"/>
          <w:szCs w:val="24"/>
        </w:rPr>
        <w:t>第</w:t>
      </w:r>
      <w:r>
        <w:rPr>
          <w:rFonts w:hint="eastAsia" w:ascii="Times New Roman" w:hAnsi="Times New Roman"/>
          <w:sz w:val="24"/>
          <w:szCs w:val="24"/>
        </w:rPr>
        <w:t>八</w:t>
      </w:r>
      <w:r>
        <w:rPr>
          <w:rFonts w:ascii="Times New Roman" w:hAnsi="Times New Roman"/>
          <w:sz w:val="24"/>
          <w:szCs w:val="24"/>
        </w:rPr>
        <w:t>节</w:t>
      </w:r>
      <w:r>
        <w:rPr>
          <w:rFonts w:hint="eastAsia" w:ascii="Times New Roman" w:hAnsi="Times New Roman"/>
          <w:sz w:val="24"/>
          <w:szCs w:val="24"/>
        </w:rPr>
        <w:t xml:space="preserve"> 重新招标和不再招标</w:t>
      </w:r>
      <w:bookmarkEnd w:id="12"/>
      <w:bookmarkEnd w:id="13"/>
    </w:p>
    <w:p>
      <w:pPr>
        <w:spacing w:line="360" w:lineRule="auto"/>
        <w:rPr>
          <w:rFonts w:ascii="宋体" w:cs="宋体"/>
          <w:b/>
          <w:bCs/>
          <w:sz w:val="24"/>
        </w:rPr>
      </w:pPr>
      <w:r>
        <w:rPr>
          <w:rFonts w:hint="eastAsia" w:ascii="宋体" w:cs="宋体"/>
          <w:b/>
          <w:bCs/>
          <w:sz w:val="24"/>
        </w:rPr>
        <w:t>一、重新招标</w:t>
      </w:r>
    </w:p>
    <w:p>
      <w:pPr>
        <w:spacing w:line="360" w:lineRule="auto"/>
        <w:ind w:firstLine="480" w:firstLineChars="200"/>
        <w:rPr>
          <w:rFonts w:ascii="宋体" w:cs="宋体"/>
          <w:sz w:val="24"/>
        </w:rPr>
      </w:pPr>
      <w:r>
        <w:rPr>
          <w:rFonts w:hint="eastAsia" w:ascii="宋体" w:cs="宋体"/>
          <w:sz w:val="24"/>
        </w:rPr>
        <w:t>有下列情形之一的，招标人将重新招标：</w:t>
      </w:r>
    </w:p>
    <w:p>
      <w:pPr>
        <w:spacing w:line="360" w:lineRule="auto"/>
        <w:ind w:firstLine="720" w:firstLineChars="300"/>
        <w:rPr>
          <w:rFonts w:ascii="宋体" w:cs="宋体"/>
          <w:sz w:val="24"/>
        </w:rPr>
      </w:pPr>
      <w:r>
        <w:rPr>
          <w:rFonts w:hint="eastAsia" w:ascii="宋体" w:cs="宋体"/>
          <w:sz w:val="24"/>
        </w:rPr>
        <w:t>⑴ 投标截止时间止，投标人少于3 个的；</w:t>
      </w:r>
    </w:p>
    <w:p>
      <w:pPr>
        <w:spacing w:line="360" w:lineRule="auto"/>
        <w:ind w:firstLine="720" w:firstLineChars="300"/>
        <w:rPr>
          <w:rFonts w:ascii="宋体" w:cs="宋体"/>
          <w:sz w:val="24"/>
        </w:rPr>
      </w:pPr>
      <w:r>
        <w:rPr>
          <w:rFonts w:hint="eastAsia" w:ascii="宋体" w:cs="宋体"/>
          <w:sz w:val="24"/>
        </w:rPr>
        <w:t>⑵ 经评标委员会评审后否决所有投标的或满足资格有效投标人不足3家。</w:t>
      </w:r>
    </w:p>
    <w:p>
      <w:pPr>
        <w:spacing w:line="360" w:lineRule="auto"/>
        <w:rPr>
          <w:rFonts w:ascii="宋体" w:cs="宋体"/>
          <w:b/>
          <w:bCs/>
          <w:sz w:val="24"/>
        </w:rPr>
      </w:pPr>
      <w:r>
        <w:rPr>
          <w:rFonts w:hint="eastAsia" w:ascii="宋体" w:cs="宋体"/>
          <w:b/>
          <w:bCs/>
          <w:sz w:val="24"/>
        </w:rPr>
        <w:t>二、不再招标</w:t>
      </w:r>
    </w:p>
    <w:p>
      <w:pPr>
        <w:spacing w:line="360" w:lineRule="auto"/>
        <w:ind w:firstLine="480" w:firstLineChars="200"/>
        <w:rPr>
          <w:rFonts w:ascii="宋体" w:cs="宋体"/>
          <w:sz w:val="24"/>
        </w:rPr>
      </w:pPr>
      <w:r>
        <w:rPr>
          <w:rFonts w:hint="eastAsia" w:ascii="宋体" w:cs="宋体"/>
          <w:sz w:val="24"/>
        </w:rPr>
        <w:t>重新招标后投标人仍少于3 个或者所有投标被否决的，属于必须审批或核准的工程建设项目，经原审批或核准部门批准后不再进行招标。</w:t>
      </w:r>
    </w:p>
    <w:p>
      <w:pPr>
        <w:pStyle w:val="2"/>
        <w:jc w:val="center"/>
        <w:rPr>
          <w:rFonts w:ascii="Times New Roman" w:hAnsi="Times New Roman"/>
          <w:sz w:val="24"/>
          <w:szCs w:val="24"/>
        </w:rPr>
      </w:pPr>
      <w:bookmarkStart w:id="14" w:name="_Toc26262"/>
      <w:bookmarkStart w:id="15" w:name="_Toc6973"/>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cs="宋体"/>
          <w:sz w:val="24"/>
          <w:szCs w:val="24"/>
        </w:rPr>
      </w:pPr>
      <w:r>
        <w:rPr>
          <w:rFonts w:ascii="Times New Roman" w:hAnsi="Times New Roman"/>
          <w:sz w:val="24"/>
          <w:szCs w:val="24"/>
        </w:rPr>
        <w:t>第</w:t>
      </w:r>
      <w:r>
        <w:rPr>
          <w:rFonts w:hint="eastAsia" w:ascii="Times New Roman" w:hAnsi="Times New Roman"/>
          <w:sz w:val="24"/>
          <w:szCs w:val="24"/>
        </w:rPr>
        <w:t>九</w:t>
      </w:r>
      <w:r>
        <w:rPr>
          <w:rFonts w:ascii="Times New Roman" w:hAnsi="Times New Roman"/>
          <w:sz w:val="24"/>
          <w:szCs w:val="24"/>
        </w:rPr>
        <w:t>节</w:t>
      </w:r>
      <w:r>
        <w:rPr>
          <w:rFonts w:hint="eastAsia" w:ascii="Times New Roman" w:hAnsi="Times New Roman"/>
          <w:sz w:val="24"/>
          <w:szCs w:val="24"/>
        </w:rPr>
        <w:t xml:space="preserve"> 纪律和监督</w:t>
      </w:r>
      <w:bookmarkEnd w:id="14"/>
      <w:bookmarkEnd w:id="15"/>
    </w:p>
    <w:p>
      <w:pPr>
        <w:spacing w:line="360" w:lineRule="auto"/>
        <w:rPr>
          <w:rFonts w:ascii="宋体" w:cs="宋体"/>
          <w:b/>
          <w:bCs/>
          <w:sz w:val="24"/>
        </w:rPr>
      </w:pPr>
      <w:r>
        <w:rPr>
          <w:rFonts w:hint="eastAsia" w:ascii="宋体" w:cs="宋体"/>
          <w:b/>
          <w:bCs/>
          <w:sz w:val="24"/>
        </w:rPr>
        <w:t>一、对招标人的纪律要求</w:t>
      </w:r>
    </w:p>
    <w:p>
      <w:pPr>
        <w:spacing w:line="360" w:lineRule="auto"/>
        <w:ind w:firstLine="480" w:firstLineChars="200"/>
        <w:rPr>
          <w:rFonts w:ascii="宋体" w:cs="宋体"/>
          <w:sz w:val="24"/>
        </w:rPr>
      </w:pPr>
      <w:r>
        <w:rPr>
          <w:rFonts w:hint="eastAsia" w:ascii="宋体" w:cs="宋体"/>
          <w:sz w:val="24"/>
        </w:rPr>
        <w:t>招标人不得泄漏招标投标活动中应当保密的情况和资料，不得与投标人串通损害国家利益、社会公共利益或者他人合法权益。</w:t>
      </w:r>
    </w:p>
    <w:p>
      <w:pPr>
        <w:spacing w:line="360" w:lineRule="auto"/>
        <w:rPr>
          <w:rFonts w:ascii="宋体" w:cs="宋体"/>
          <w:b/>
          <w:bCs/>
          <w:sz w:val="24"/>
        </w:rPr>
      </w:pPr>
      <w:r>
        <w:rPr>
          <w:rFonts w:hint="eastAsia" w:ascii="宋体" w:cs="宋体"/>
          <w:b/>
          <w:bCs/>
          <w:sz w:val="24"/>
        </w:rPr>
        <w:t>二、对投标人的纪律要求</w:t>
      </w:r>
    </w:p>
    <w:p>
      <w:pPr>
        <w:spacing w:line="360" w:lineRule="auto"/>
        <w:ind w:firstLine="480" w:firstLineChars="200"/>
        <w:rPr>
          <w:rFonts w:ascii="宋体" w:cs="宋体"/>
          <w:sz w:val="24"/>
        </w:rPr>
      </w:pPr>
      <w:r>
        <w:rPr>
          <w:rFonts w:hint="eastAsia" w:ascii="宋体" w:cs="宋体"/>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投标人有下列情形之一的，视为投标人串通投标，其投标无效：</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⑴</w:t>
      </w:r>
      <w:r>
        <w:rPr>
          <w:rFonts w:hint="eastAsia" w:ascii="宋体"/>
          <w:kern w:val="0"/>
          <w:sz w:val="24"/>
        </w:rPr>
        <w:t xml:space="preserve"> 不同投标人的投标文件由同一单位或者个人编制；</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⑵</w:t>
      </w:r>
      <w:r>
        <w:rPr>
          <w:rFonts w:hint="eastAsia" w:ascii="宋体"/>
          <w:kern w:val="0"/>
          <w:sz w:val="24"/>
        </w:rPr>
        <w:t xml:space="preserve"> 不同投标人委托同一单位或者个人办理投标事宜；</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⑶</w:t>
      </w:r>
      <w:r>
        <w:rPr>
          <w:rFonts w:hint="eastAsia" w:ascii="宋体"/>
          <w:kern w:val="0"/>
          <w:sz w:val="24"/>
        </w:rPr>
        <w:t xml:space="preserve"> 不同投标人的投标文件载明的项目管理成员或者联系人员为同一人；</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⑷不同投标人的投标文件异常一致或者投标报价呈现规律性差异；</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⑸</w:t>
      </w:r>
      <w:r>
        <w:rPr>
          <w:rFonts w:hint="eastAsia" w:ascii="宋体"/>
          <w:kern w:val="0"/>
          <w:sz w:val="24"/>
        </w:rPr>
        <w:t xml:space="preserve"> 不同投标人的投标文件相互混装；</w:t>
      </w:r>
    </w:p>
    <w:p>
      <w:pPr>
        <w:widowControl/>
        <w:shd w:val="clear" w:color="auto" w:fill="FFFFFF"/>
        <w:snapToGrid w:val="0"/>
        <w:spacing w:line="360" w:lineRule="auto"/>
        <w:ind w:firstLine="480" w:firstLineChars="200"/>
        <w:rPr>
          <w:rFonts w:ascii="宋体" w:cs="宋体"/>
          <w:sz w:val="24"/>
        </w:rPr>
      </w:pPr>
      <w:r>
        <w:rPr>
          <w:rFonts w:hint="eastAsia" w:ascii="宋体" w:cs="宋体"/>
          <w:kern w:val="0"/>
          <w:sz w:val="24"/>
        </w:rPr>
        <w:t>⑹ 不同投标人的投标保证金从同一单位或者个人的账户转出。</w:t>
      </w:r>
    </w:p>
    <w:p>
      <w:pPr>
        <w:spacing w:line="360" w:lineRule="auto"/>
        <w:rPr>
          <w:rFonts w:ascii="宋体" w:cs="宋体"/>
          <w:b/>
          <w:bCs/>
          <w:sz w:val="24"/>
        </w:rPr>
      </w:pPr>
      <w:r>
        <w:rPr>
          <w:rFonts w:hint="eastAsia" w:ascii="宋体" w:cs="宋体"/>
          <w:b/>
          <w:bCs/>
          <w:sz w:val="24"/>
        </w:rPr>
        <w:t>三、对评标委员会成员的纪律要求</w:t>
      </w:r>
    </w:p>
    <w:p>
      <w:pPr>
        <w:spacing w:line="360" w:lineRule="auto"/>
        <w:ind w:firstLine="480" w:firstLineChars="200"/>
        <w:rPr>
          <w:rFonts w:ascii="宋体" w:cs="宋体"/>
          <w:sz w:val="24"/>
        </w:rPr>
      </w:pPr>
      <w:r>
        <w:rPr>
          <w:rFonts w:hint="eastAsia" w:ascii="宋体" w:cs="宋体"/>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pPr>
        <w:spacing w:line="360" w:lineRule="auto"/>
        <w:rPr>
          <w:rFonts w:ascii="宋体" w:cs="宋体"/>
          <w:b/>
          <w:bCs/>
          <w:sz w:val="24"/>
        </w:rPr>
      </w:pPr>
      <w:r>
        <w:rPr>
          <w:rFonts w:hint="eastAsia" w:ascii="宋体" w:cs="宋体"/>
          <w:b/>
          <w:bCs/>
          <w:sz w:val="24"/>
        </w:rPr>
        <w:t>四、对与评标活动有关的工作人员的纪律要求</w:t>
      </w:r>
    </w:p>
    <w:p>
      <w:pPr>
        <w:spacing w:line="360" w:lineRule="auto"/>
        <w:ind w:firstLine="480" w:firstLineChars="200"/>
        <w:rPr>
          <w:rFonts w:ascii="宋体" w:cs="宋体"/>
          <w:sz w:val="24"/>
        </w:rPr>
      </w:pPr>
      <w:r>
        <w:rPr>
          <w:rFonts w:hint="eastAsia" w:ascii="宋体" w:cs="宋体"/>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auto"/>
        <w:rPr>
          <w:rFonts w:ascii="宋体" w:cs="宋体"/>
          <w:b/>
          <w:bCs/>
          <w:sz w:val="24"/>
        </w:rPr>
      </w:pPr>
      <w:r>
        <w:rPr>
          <w:rFonts w:hint="eastAsia" w:ascii="宋体" w:cs="宋体"/>
          <w:b/>
          <w:bCs/>
          <w:sz w:val="24"/>
        </w:rPr>
        <w:t>五、询问、质疑和投诉</w:t>
      </w:r>
    </w:p>
    <w:p>
      <w:pPr>
        <w:spacing w:line="360" w:lineRule="auto"/>
        <w:ind w:firstLine="480" w:firstLineChars="200"/>
        <w:rPr>
          <w:rFonts w:ascii="宋体" w:cs="宋体"/>
          <w:b/>
          <w:bCs/>
          <w:sz w:val="24"/>
        </w:rPr>
      </w:pPr>
      <w:r>
        <w:rPr>
          <w:rFonts w:hint="eastAsia" w:ascii="宋体" w:cs="宋体"/>
          <w:sz w:val="24"/>
        </w:rPr>
        <w:t>5.1 询问</w:t>
      </w:r>
    </w:p>
    <w:p>
      <w:pPr>
        <w:spacing w:line="360" w:lineRule="auto"/>
        <w:ind w:firstLine="480" w:firstLineChars="200"/>
        <w:rPr>
          <w:rFonts w:ascii="宋体" w:cs="宋体"/>
          <w:sz w:val="24"/>
        </w:rPr>
      </w:pPr>
      <w:r>
        <w:rPr>
          <w:rFonts w:hint="eastAsia" w:ascii="宋体" w:cs="宋体"/>
          <w:sz w:val="24"/>
          <w:lang w:val="zh-CN"/>
        </w:rPr>
        <w:t>投标人对采购活动事项有疑问的，可以提出询问，我公司将在两个工作日内作出答复，但答复的内容不涉及商业秘密。</w:t>
      </w:r>
    </w:p>
    <w:p>
      <w:pPr>
        <w:spacing w:line="360" w:lineRule="auto"/>
        <w:ind w:firstLine="480" w:firstLineChars="200"/>
        <w:rPr>
          <w:rFonts w:ascii="宋体" w:cs="宋体"/>
          <w:b/>
          <w:bCs/>
          <w:sz w:val="24"/>
        </w:rPr>
      </w:pPr>
      <w:r>
        <w:rPr>
          <w:rFonts w:hint="eastAsia" w:ascii="宋体" w:cs="宋体"/>
          <w:sz w:val="24"/>
        </w:rPr>
        <w:t>5.2质疑</w:t>
      </w:r>
    </w:p>
    <w:p>
      <w:pPr>
        <w:spacing w:line="360" w:lineRule="auto"/>
        <w:ind w:firstLine="720" w:firstLineChars="300"/>
        <w:rPr>
          <w:rFonts w:ascii="宋体" w:cs="宋体"/>
          <w:sz w:val="24"/>
        </w:rPr>
      </w:pPr>
      <w:r>
        <w:rPr>
          <w:rFonts w:hint="eastAsia" w:ascii="宋体" w:cs="宋体"/>
          <w:sz w:val="24"/>
        </w:rPr>
        <w:t>⑴ 提出质疑的</w:t>
      </w:r>
      <w:r>
        <w:rPr>
          <w:rFonts w:hint="eastAsia" w:ascii="宋体" w:cs="宋体"/>
          <w:sz w:val="24"/>
          <w:lang w:val="zh-CN"/>
        </w:rPr>
        <w:t>投标人</w:t>
      </w:r>
      <w:r>
        <w:rPr>
          <w:rFonts w:hint="eastAsia" w:ascii="宋体" w:cs="宋体"/>
          <w:sz w:val="24"/>
        </w:rPr>
        <w:t>应当是参与所质疑项目采购活动的供应商。潜在供应商依法获取其可质疑的采购文件的，可以对采购文件提出质疑。</w:t>
      </w:r>
    </w:p>
    <w:p>
      <w:pPr>
        <w:snapToGrid w:val="0"/>
        <w:spacing w:line="360" w:lineRule="auto"/>
        <w:ind w:firstLine="720" w:firstLineChars="300"/>
        <w:rPr>
          <w:rFonts w:ascii="宋体" w:cs="宋体"/>
          <w:kern w:val="0"/>
          <w:sz w:val="24"/>
        </w:rPr>
      </w:pPr>
      <w:r>
        <w:rPr>
          <w:rFonts w:hint="eastAsia" w:ascii="宋体" w:cs="宋体"/>
          <w:sz w:val="24"/>
        </w:rPr>
        <w:t xml:space="preserve">⑵ </w:t>
      </w:r>
      <w:r>
        <w:rPr>
          <w:rFonts w:hint="eastAsia" w:ascii="宋体" w:cs="宋体"/>
          <w:sz w:val="24"/>
          <w:lang w:val="zh-CN"/>
        </w:rPr>
        <w:t>投标人</w:t>
      </w:r>
      <w:r>
        <w:rPr>
          <w:rFonts w:hint="eastAsia" w:ascii="宋体" w:cs="宋体"/>
          <w:sz w:val="24"/>
        </w:rPr>
        <w:t>认为采购文件、采购过程和采购结果使自己的权益受到损害的，可以在知道或应知其权益受到损害之日起七个工作日内，以书面形式提出质疑。</w:t>
      </w:r>
    </w:p>
    <w:p>
      <w:pPr>
        <w:snapToGrid w:val="0"/>
        <w:spacing w:line="360" w:lineRule="auto"/>
        <w:ind w:firstLine="720" w:firstLineChars="300"/>
        <w:rPr>
          <w:rFonts w:ascii="宋体" w:cs="宋体"/>
          <w:kern w:val="0"/>
          <w:sz w:val="24"/>
        </w:rPr>
      </w:pPr>
      <w:r>
        <w:rPr>
          <w:rFonts w:hint="eastAsia" w:ascii="宋体" w:cs="宋体"/>
          <w:sz w:val="24"/>
        </w:rPr>
        <w:t xml:space="preserve">⑶ </w:t>
      </w:r>
      <w:r>
        <w:rPr>
          <w:rFonts w:hint="eastAsia" w:ascii="宋体" w:cs="宋体"/>
          <w:sz w:val="24"/>
          <w:lang w:val="zh-CN"/>
        </w:rPr>
        <w:t>投标人</w:t>
      </w:r>
      <w:r>
        <w:rPr>
          <w:rFonts w:hint="eastAsia" w:ascii="宋体" w:cs="宋体"/>
          <w:kern w:val="0"/>
          <w:sz w:val="24"/>
        </w:rPr>
        <w:t>应当在法定质疑期内一次性提出针对同一采购程序环节的质疑。</w:t>
      </w:r>
      <w:r>
        <w:rPr>
          <w:rFonts w:hint="eastAsia" w:ascii="宋体" w:cs="宋体"/>
          <w:b/>
          <w:bCs/>
          <w:sz w:val="24"/>
          <w:lang w:val="zh-CN"/>
        </w:rPr>
        <w:t>投标人</w:t>
      </w:r>
      <w:r>
        <w:rPr>
          <w:rFonts w:hint="eastAsia" w:ascii="宋体" w:cs="宋体"/>
          <w:b/>
          <w:bCs/>
          <w:kern w:val="0"/>
          <w:sz w:val="24"/>
        </w:rPr>
        <w:t>如在法定期限内对同一采购程序环节提出多次质疑的，将只对供应商第一次质疑作出答复</w:t>
      </w:r>
      <w:r>
        <w:rPr>
          <w:rFonts w:hint="eastAsia" w:ascii="宋体" w:cs="宋体"/>
          <w:kern w:val="0"/>
          <w:sz w:val="24"/>
        </w:rPr>
        <w:t>。</w:t>
      </w:r>
    </w:p>
    <w:p>
      <w:pPr>
        <w:snapToGrid w:val="0"/>
        <w:spacing w:line="360" w:lineRule="auto"/>
        <w:ind w:firstLine="720" w:firstLineChars="300"/>
        <w:rPr>
          <w:rFonts w:ascii="宋体" w:cs="宋体"/>
          <w:sz w:val="24"/>
        </w:rPr>
      </w:pPr>
      <w:r>
        <w:rPr>
          <w:rFonts w:hint="eastAsia" w:ascii="宋体" w:cs="宋体"/>
          <w:sz w:val="24"/>
        </w:rPr>
        <w:t>⑷ 质疑函必须按要求的格式和内容进行填写。</w:t>
      </w:r>
      <w:r>
        <w:rPr>
          <w:rFonts w:hint="eastAsia" w:ascii="宋体" w:cs="宋体"/>
          <w:sz w:val="24"/>
          <w:lang w:val="zh-CN"/>
        </w:rPr>
        <w:t>投标人</w:t>
      </w:r>
      <w:r>
        <w:rPr>
          <w:rFonts w:hint="eastAsia" w:ascii="宋体" w:cs="宋体"/>
          <w:sz w:val="24"/>
        </w:rPr>
        <w:t>如组成联合体参加投标，则</w:t>
      </w:r>
      <w:r>
        <w:rPr>
          <w:rFonts w:hint="eastAsia" w:ascii="宋体" w:cs="宋体"/>
          <w:color w:val="000000"/>
          <w:sz w:val="24"/>
        </w:rPr>
        <w:t>质疑函</w:t>
      </w:r>
      <w:r>
        <w:rPr>
          <w:rFonts w:hint="eastAsia" w:ascii="宋体" w:cs="宋体"/>
          <w:sz w:val="24"/>
        </w:rPr>
        <w:t>中要求签字、盖章、加盖公章之处，联合体各方均须按要求签字、盖章、加盖公章。</w:t>
      </w:r>
    </w:p>
    <w:p>
      <w:pPr>
        <w:snapToGrid w:val="0"/>
        <w:spacing w:line="360" w:lineRule="auto"/>
        <w:ind w:firstLine="720" w:firstLineChars="300"/>
        <w:rPr>
          <w:rFonts w:ascii="宋体" w:cs="宋体"/>
          <w:sz w:val="24"/>
        </w:rPr>
      </w:pPr>
      <w:r>
        <w:rPr>
          <w:rFonts w:hint="eastAsia" w:ascii="宋体" w:cs="宋体"/>
          <w:sz w:val="24"/>
        </w:rPr>
        <w:t>⑸ 只接收以纸质原件形式送达的质疑。项目开标前的质疑（针对采购文件的质疑），由采购人负责回复答疑。项目开评标中评标结束后由</w:t>
      </w:r>
      <w:r>
        <w:rPr>
          <w:rFonts w:hint="eastAsia" w:ascii="宋体" w:cs="宋体"/>
          <w:color w:val="000000"/>
          <w:sz w:val="24"/>
        </w:rPr>
        <w:t>代理公司</w:t>
      </w:r>
      <w:r>
        <w:rPr>
          <w:rFonts w:hint="eastAsia" w:ascii="宋体" w:cs="宋体"/>
          <w:sz w:val="24"/>
        </w:rPr>
        <w:t>负责回复。</w:t>
      </w:r>
    </w:p>
    <w:p>
      <w:pPr>
        <w:snapToGrid w:val="0"/>
        <w:spacing w:line="360" w:lineRule="auto"/>
        <w:ind w:firstLine="480"/>
        <w:rPr>
          <w:rFonts w:ascii="宋体" w:cs="宋体"/>
          <w:sz w:val="24"/>
        </w:rPr>
      </w:pPr>
      <w:r>
        <w:rPr>
          <w:rFonts w:hint="eastAsia" w:ascii="宋体" w:cs="宋体"/>
          <w:sz w:val="24"/>
        </w:rPr>
        <w:t>开标前、后质疑（针对采购文件的质疑）接收人：本项目采购单位联系人，联系地址：见第一章 。</w:t>
      </w:r>
    </w:p>
    <w:p>
      <w:pPr>
        <w:snapToGrid w:val="0"/>
        <w:spacing w:line="360" w:lineRule="auto"/>
        <w:ind w:firstLine="720" w:firstLineChars="300"/>
        <w:rPr>
          <w:rFonts w:ascii="宋体" w:cs="宋体"/>
          <w:sz w:val="24"/>
        </w:rPr>
      </w:pPr>
      <w:r>
        <w:rPr>
          <w:rFonts w:hint="eastAsia" w:ascii="宋体" w:cs="宋体"/>
          <w:sz w:val="24"/>
        </w:rPr>
        <w:t>⑹ 以下情形的质疑不予受理</w:t>
      </w:r>
    </w:p>
    <w:p>
      <w:pPr>
        <w:snapToGrid w:val="0"/>
        <w:spacing w:line="360" w:lineRule="auto"/>
        <w:ind w:firstLine="1024" w:firstLineChars="427"/>
        <w:rPr>
          <w:rFonts w:ascii="宋体" w:cs="宋体"/>
          <w:sz w:val="24"/>
        </w:rPr>
      </w:pPr>
      <w:r>
        <w:rPr>
          <w:rFonts w:hint="eastAsia" w:ascii="宋体" w:cs="宋体"/>
          <w:sz w:val="24"/>
        </w:rPr>
        <w:t>①内容不符合《政府采购质疑和投诉办法》第十二条规定的质疑。</w:t>
      </w:r>
    </w:p>
    <w:p>
      <w:pPr>
        <w:snapToGrid w:val="0"/>
        <w:spacing w:line="360" w:lineRule="auto"/>
        <w:ind w:firstLine="1024" w:firstLineChars="427"/>
        <w:rPr>
          <w:rFonts w:ascii="宋体" w:cs="宋体"/>
          <w:sz w:val="24"/>
        </w:rPr>
      </w:pPr>
      <w:r>
        <w:rPr>
          <w:rFonts w:hint="eastAsia" w:ascii="宋体" w:cs="宋体"/>
          <w:sz w:val="24"/>
        </w:rPr>
        <w:t>②超出政府采购法定期限的质疑。</w:t>
      </w:r>
    </w:p>
    <w:p>
      <w:pPr>
        <w:snapToGrid w:val="0"/>
        <w:spacing w:line="360" w:lineRule="auto"/>
        <w:ind w:firstLine="1024" w:firstLineChars="427"/>
        <w:rPr>
          <w:rFonts w:ascii="宋体" w:cs="宋体"/>
          <w:sz w:val="24"/>
        </w:rPr>
      </w:pPr>
      <w:r>
        <w:rPr>
          <w:rFonts w:hint="eastAsia" w:ascii="宋体" w:cs="宋体"/>
          <w:sz w:val="24"/>
        </w:rPr>
        <w:t>③以传真、电子邮件等方式递交的非原件形式的质疑。</w:t>
      </w:r>
    </w:p>
    <w:p>
      <w:pPr>
        <w:snapToGrid w:val="0"/>
        <w:spacing w:line="360" w:lineRule="auto"/>
        <w:ind w:firstLine="1024" w:firstLineChars="427"/>
        <w:rPr>
          <w:rFonts w:ascii="宋体" w:cs="宋体"/>
          <w:sz w:val="24"/>
        </w:rPr>
      </w:pPr>
      <w:r>
        <w:rPr>
          <w:rFonts w:hint="eastAsia" w:ascii="宋体" w:cs="宋体"/>
          <w:sz w:val="24"/>
        </w:rPr>
        <w:t>④未参加投标活动的投标人或在投标活动中自身权益未受到损害的投标人所提出的质疑。</w:t>
      </w:r>
    </w:p>
    <w:p>
      <w:pPr>
        <w:snapToGrid w:val="0"/>
        <w:spacing w:line="360" w:lineRule="auto"/>
        <w:ind w:firstLine="1024" w:firstLineChars="427"/>
        <w:rPr>
          <w:rFonts w:ascii="宋体" w:cs="宋体"/>
          <w:sz w:val="24"/>
        </w:rPr>
      </w:pPr>
      <w:r>
        <w:rPr>
          <w:rFonts w:hint="eastAsia" w:ascii="宋体" w:cs="宋体"/>
          <w:sz w:val="24"/>
        </w:rPr>
        <w:t>⑤投标人组成联合体参加投标，联合体中任何一方或多方未按要求签字、盖章、加盖公章的质疑。</w:t>
      </w:r>
    </w:p>
    <w:p>
      <w:pPr>
        <w:spacing w:line="360" w:lineRule="auto"/>
        <w:ind w:firstLine="720" w:firstLineChars="300"/>
        <w:rPr>
          <w:rFonts w:ascii="宋体" w:cs="宋体"/>
          <w:sz w:val="24"/>
        </w:rPr>
      </w:pPr>
      <w:r>
        <w:rPr>
          <w:rFonts w:hint="eastAsia" w:ascii="宋体" w:cs="宋体"/>
          <w:sz w:val="24"/>
        </w:rPr>
        <w:t>⑺ 投标人提出书面质疑必须有理、有据，不得捏造事实、提供虚假材料进行恶意质疑。否则，一经查实，依据政府采购的有关规定，报请政府采购监管部门对该投标人进行相应的行政处罚和记录该供应商的失信信息。</w:t>
      </w:r>
    </w:p>
    <w:p>
      <w:pPr>
        <w:spacing w:line="360" w:lineRule="auto"/>
        <w:ind w:firstLine="480" w:firstLineChars="200"/>
        <w:rPr>
          <w:rFonts w:ascii="宋体" w:cs="宋体"/>
          <w:b/>
          <w:bCs/>
          <w:sz w:val="24"/>
        </w:rPr>
      </w:pPr>
      <w:r>
        <w:rPr>
          <w:rFonts w:hint="eastAsia" w:ascii="宋体" w:cs="宋体"/>
          <w:sz w:val="24"/>
        </w:rPr>
        <w:t>5.3投诉</w:t>
      </w:r>
    </w:p>
    <w:p>
      <w:pPr>
        <w:spacing w:line="360" w:lineRule="auto"/>
        <w:ind w:firstLine="480" w:firstLineChars="200"/>
        <w:rPr>
          <w:rFonts w:ascii="宋体" w:cs="宋体"/>
          <w:sz w:val="24"/>
        </w:rPr>
      </w:pPr>
      <w:r>
        <w:rPr>
          <w:rFonts w:hint="eastAsia" w:ascii="宋体" w:cs="宋体"/>
          <w:sz w:val="24"/>
          <w:lang w:val="zh-CN"/>
        </w:rPr>
        <w:t>质疑供应商对我单位的答复不满意，或未在规定的时间内作出答复的，可以在答复期满</w:t>
      </w:r>
      <w:r>
        <w:rPr>
          <w:rFonts w:hint="eastAsia" w:ascii="宋体" w:cs="宋体"/>
          <w:sz w:val="24"/>
        </w:rPr>
        <w:t>后十五个工作日内向财政厅政府采购处</w:t>
      </w:r>
      <w:r>
        <w:rPr>
          <w:rFonts w:hint="eastAsia" w:ascii="宋体" w:cs="宋体"/>
          <w:sz w:val="24"/>
          <w:lang w:val="zh-CN"/>
        </w:rPr>
        <w:t>投诉。</w:t>
      </w:r>
    </w:p>
    <w:p/>
    <w:p>
      <w:pPr>
        <w:pStyle w:val="2"/>
        <w:jc w:val="center"/>
        <w:rPr>
          <w:rFonts w:cs="宋体"/>
          <w:sz w:val="24"/>
          <w:szCs w:val="24"/>
        </w:rPr>
      </w:pPr>
      <w:bookmarkStart w:id="16" w:name="_Toc2408"/>
      <w:r>
        <w:rPr>
          <w:rFonts w:ascii="Times New Roman" w:hAnsi="Times New Roman"/>
          <w:sz w:val="24"/>
          <w:szCs w:val="24"/>
        </w:rPr>
        <w:t>第</w:t>
      </w:r>
      <w:r>
        <w:rPr>
          <w:rFonts w:hint="eastAsia" w:ascii="Times New Roman" w:hAnsi="Times New Roman"/>
          <w:sz w:val="24"/>
          <w:szCs w:val="24"/>
        </w:rPr>
        <w:t>十</w:t>
      </w:r>
      <w:r>
        <w:rPr>
          <w:rFonts w:ascii="Times New Roman" w:hAnsi="Times New Roman"/>
          <w:sz w:val="24"/>
          <w:szCs w:val="24"/>
        </w:rPr>
        <w:t>节</w:t>
      </w:r>
      <w:r>
        <w:rPr>
          <w:rFonts w:hint="eastAsia" w:ascii="Times New Roman" w:hAnsi="Times New Roman"/>
          <w:sz w:val="24"/>
          <w:szCs w:val="24"/>
        </w:rPr>
        <w:t xml:space="preserve"> 需要补充的其他内容</w:t>
      </w:r>
      <w:bookmarkEnd w:id="16"/>
    </w:p>
    <w:p>
      <w:pPr>
        <w:spacing w:line="360" w:lineRule="auto"/>
        <w:ind w:firstLine="480" w:firstLineChars="200"/>
        <w:rPr>
          <w:rFonts w:cs="宋体"/>
          <w:color w:val="000000"/>
          <w:kern w:val="0"/>
          <w:sz w:val="24"/>
        </w:rPr>
      </w:pPr>
      <w:r>
        <w:rPr>
          <w:rFonts w:hint="eastAsia" w:ascii="宋体" w:cs="宋体"/>
          <w:sz w:val="24"/>
        </w:rPr>
        <w:t>需要补充的其他内容：见投标人须知前附表。</w:t>
      </w:r>
    </w:p>
    <w:p>
      <w:pPr>
        <w:pStyle w:val="11"/>
        <w:rPr>
          <w:rFonts w:cs="宋体"/>
          <w:color w:val="000000"/>
          <w:kern w:val="0"/>
          <w:sz w:val="24"/>
        </w:rPr>
      </w:pPr>
    </w:p>
    <w:p>
      <w:pPr>
        <w:rPr>
          <w:rFonts w:ascii="黑体" w:eastAsia="黑体" w:cs="黑体"/>
          <w:sz w:val="24"/>
        </w:rPr>
      </w:pPr>
      <w:r>
        <w:rPr>
          <w:rFonts w:hint="eastAsia" w:ascii="黑体" w:eastAsia="黑体" w:cs="黑体"/>
          <w:sz w:val="24"/>
        </w:rPr>
        <w:br w:type="page"/>
      </w:r>
    </w:p>
    <w:p>
      <w:pPr>
        <w:pStyle w:val="5"/>
        <w:jc w:val="center"/>
        <w:rPr>
          <w:rFonts w:ascii="黑体" w:eastAsia="黑体" w:cs="黑体"/>
          <w:sz w:val="24"/>
        </w:rPr>
      </w:pPr>
      <w:bookmarkStart w:id="17" w:name="_Toc4017"/>
      <w:r>
        <w:rPr>
          <w:rFonts w:hint="eastAsia" w:ascii="黑体" w:eastAsia="黑体" w:cs="黑体"/>
          <w:sz w:val="24"/>
        </w:rPr>
        <w:t>第三章  评标办法</w:t>
      </w:r>
      <w:bookmarkEnd w:id="17"/>
    </w:p>
    <w:p>
      <w:pPr>
        <w:pStyle w:val="2"/>
        <w:jc w:val="center"/>
        <w:rPr>
          <w:rFonts w:cs="宋体"/>
          <w:sz w:val="24"/>
          <w:szCs w:val="24"/>
        </w:rPr>
      </w:pPr>
      <w:bookmarkStart w:id="18" w:name="_Toc2379"/>
      <w:r>
        <w:rPr>
          <w:rFonts w:ascii="Times New Roman" w:hAnsi="Times New Roman"/>
          <w:sz w:val="24"/>
          <w:szCs w:val="24"/>
        </w:rPr>
        <w:t>第一节</w:t>
      </w:r>
      <w:r>
        <w:rPr>
          <w:rFonts w:hint="eastAsia" w:ascii="Times New Roman" w:hAnsi="Times New Roman"/>
          <w:sz w:val="24"/>
          <w:szCs w:val="24"/>
        </w:rPr>
        <w:t xml:space="preserve"> </w:t>
      </w:r>
      <w:r>
        <w:rPr>
          <w:rFonts w:cs="宋体"/>
          <w:bCs/>
          <w:color w:val="000000"/>
          <w:sz w:val="24"/>
          <w:szCs w:val="24"/>
        </w:rPr>
        <w:t>评标方法</w:t>
      </w:r>
      <w:bookmarkEnd w:id="18"/>
    </w:p>
    <w:p>
      <w:pPr>
        <w:spacing w:line="360" w:lineRule="auto"/>
        <w:ind w:firstLine="480" w:firstLineChars="200"/>
        <w:jc w:val="left"/>
        <w:rPr>
          <w:rFonts w:ascii="宋体"/>
          <w:kern w:val="0"/>
          <w:sz w:val="24"/>
        </w:rPr>
      </w:pPr>
      <w:r>
        <w:rPr>
          <w:rFonts w:hint="eastAsia" w:ascii="宋体"/>
          <w:kern w:val="0"/>
          <w:sz w:val="24"/>
        </w:rPr>
        <w:t>评标委员会对满足招标文件实质性要求的投标文件，按照本节规定的评审标准进行评审。评标中各评委若发生意见分歧，以少数服从多数原则确定。</w:t>
      </w:r>
    </w:p>
    <w:p/>
    <w:p>
      <w:pPr>
        <w:pStyle w:val="2"/>
        <w:jc w:val="center"/>
        <w:rPr>
          <w:rFonts w:cs="宋体"/>
          <w:sz w:val="24"/>
          <w:szCs w:val="24"/>
        </w:rPr>
      </w:pPr>
      <w:bookmarkStart w:id="19" w:name="_Toc11533"/>
      <w:r>
        <w:rPr>
          <w:rFonts w:ascii="Times New Roman" w:hAnsi="Times New Roman"/>
          <w:sz w:val="24"/>
          <w:szCs w:val="24"/>
        </w:rPr>
        <w:t>第二节</w:t>
      </w:r>
      <w:r>
        <w:rPr>
          <w:rFonts w:hint="eastAsia" w:ascii="Times New Roman" w:hAnsi="Times New Roman"/>
          <w:sz w:val="24"/>
          <w:szCs w:val="24"/>
        </w:rPr>
        <w:t xml:space="preserve"> </w:t>
      </w:r>
      <w:r>
        <w:rPr>
          <w:rFonts w:cs="宋体"/>
          <w:bCs/>
          <w:color w:val="000000"/>
          <w:sz w:val="24"/>
          <w:szCs w:val="24"/>
        </w:rPr>
        <w:t>评标标准</w:t>
      </w:r>
      <w:bookmarkEnd w:id="19"/>
    </w:p>
    <w:p>
      <w:pPr>
        <w:pStyle w:val="14"/>
        <w:ind w:firstLine="480" w:firstLineChars="200"/>
        <w:jc w:val="left"/>
        <w:rPr>
          <w:rFonts w:ascii="宋体" w:cs="宋体"/>
          <w:color w:val="000000"/>
          <w:sz w:val="24"/>
          <w:szCs w:val="24"/>
        </w:rPr>
      </w:pPr>
      <w:r>
        <w:rPr>
          <w:rFonts w:hint="eastAsia" w:ascii="宋体" w:cs="宋体"/>
          <w:color w:val="000000"/>
          <w:sz w:val="24"/>
          <w:szCs w:val="24"/>
        </w:rPr>
        <w:t>根据评分法最大限度的满足招标文件中规定的各项综合评价的投标，且综合得分高低确定</w:t>
      </w:r>
      <w:r>
        <w:rPr>
          <w:rFonts w:hint="eastAsia" w:ascii="宋体" w:cs="宋体"/>
          <w:b/>
          <w:bCs/>
          <w:color w:val="000000"/>
          <w:sz w:val="24"/>
          <w:szCs w:val="24"/>
        </w:rPr>
        <w:t>中标候选人顺序排名</w:t>
      </w:r>
      <w:r>
        <w:rPr>
          <w:rFonts w:hint="eastAsia" w:ascii="宋体" w:cs="宋体"/>
          <w:color w:val="000000"/>
          <w:sz w:val="24"/>
          <w:szCs w:val="24"/>
        </w:rPr>
        <w:t>。</w:t>
      </w:r>
    </w:p>
    <w:p>
      <w:pPr>
        <w:widowControl/>
        <w:shd w:val="clear" w:color="auto" w:fill="FFFFFF"/>
        <w:snapToGrid w:val="0"/>
        <w:spacing w:line="360" w:lineRule="auto"/>
        <w:rPr>
          <w:rFonts w:ascii="宋体"/>
          <w:kern w:val="0"/>
          <w:sz w:val="24"/>
        </w:rPr>
      </w:pPr>
      <w:r>
        <w:rPr>
          <w:rFonts w:hint="eastAsia" w:ascii="宋体"/>
          <w:kern w:val="0"/>
          <w:sz w:val="24"/>
        </w:rPr>
        <w:t>2</w:t>
      </w:r>
      <w:r>
        <w:rPr>
          <w:rFonts w:ascii="宋体"/>
          <w:kern w:val="0"/>
          <w:sz w:val="24"/>
        </w:rPr>
        <w:t>.</w:t>
      </w:r>
      <w:r>
        <w:rPr>
          <w:rFonts w:hint="eastAsia" w:ascii="宋体"/>
          <w:kern w:val="0"/>
          <w:sz w:val="24"/>
        </w:rPr>
        <w:t>1资格审查：评审因素和评审标准见《资格审查标准》。</w:t>
      </w:r>
    </w:p>
    <w:p>
      <w:pPr>
        <w:widowControl/>
        <w:shd w:val="clear" w:color="auto" w:fill="FFFFFF"/>
        <w:snapToGrid w:val="0"/>
        <w:spacing w:line="360" w:lineRule="auto"/>
        <w:rPr>
          <w:rFonts w:ascii="宋体"/>
          <w:kern w:val="0"/>
          <w:sz w:val="24"/>
        </w:rPr>
      </w:pPr>
      <w:r>
        <w:rPr>
          <w:rFonts w:hint="eastAsia" w:ascii="宋体"/>
          <w:kern w:val="0"/>
          <w:sz w:val="24"/>
        </w:rPr>
        <w:t>2</w:t>
      </w:r>
      <w:r>
        <w:rPr>
          <w:rFonts w:ascii="宋体"/>
          <w:kern w:val="0"/>
          <w:sz w:val="24"/>
        </w:rPr>
        <w:t>.</w:t>
      </w:r>
      <w:r>
        <w:rPr>
          <w:rFonts w:hint="eastAsia" w:ascii="宋体"/>
          <w:kern w:val="0"/>
          <w:sz w:val="24"/>
        </w:rPr>
        <w:t>2完备性及符合性审查：评审因素和评审标准见《完备性及符合性审查标准》。</w:t>
      </w:r>
    </w:p>
    <w:p>
      <w:pPr>
        <w:widowControl/>
        <w:shd w:val="clear" w:color="auto" w:fill="FFFFFF"/>
        <w:snapToGrid w:val="0"/>
        <w:spacing w:line="360" w:lineRule="auto"/>
        <w:rPr>
          <w:rFonts w:ascii="宋体"/>
          <w:color w:val="000000"/>
          <w:kern w:val="0"/>
          <w:sz w:val="24"/>
        </w:rPr>
      </w:pPr>
      <w:r>
        <w:rPr>
          <w:rFonts w:hint="eastAsia" w:ascii="宋体"/>
          <w:kern w:val="0"/>
          <w:sz w:val="24"/>
        </w:rPr>
        <w:t>2</w:t>
      </w:r>
      <w:r>
        <w:rPr>
          <w:rFonts w:ascii="宋体"/>
          <w:kern w:val="0"/>
          <w:sz w:val="24"/>
        </w:rPr>
        <w:t>.</w:t>
      </w:r>
      <w:r>
        <w:rPr>
          <w:rFonts w:hint="eastAsia" w:ascii="宋体"/>
          <w:kern w:val="0"/>
          <w:sz w:val="24"/>
        </w:rPr>
        <w:t>3</w:t>
      </w:r>
      <w:r>
        <w:rPr>
          <w:rFonts w:hint="eastAsia" w:ascii="宋体"/>
          <w:color w:val="000000"/>
          <w:kern w:val="0"/>
          <w:sz w:val="24"/>
        </w:rPr>
        <w:t>详细评审：评审因素和评审标准见《详细评审标准》。</w:t>
      </w:r>
    </w:p>
    <w:p>
      <w:pPr>
        <w:widowControl/>
        <w:shd w:val="clear" w:color="auto" w:fill="FFFFFF"/>
        <w:snapToGrid w:val="0"/>
        <w:spacing w:line="360" w:lineRule="auto"/>
        <w:rPr>
          <w:rFonts w:ascii="宋体"/>
          <w:kern w:val="0"/>
          <w:sz w:val="24"/>
        </w:rPr>
      </w:pPr>
      <w:r>
        <w:rPr>
          <w:rFonts w:hint="eastAsia" w:ascii="宋体"/>
          <w:kern w:val="0"/>
          <w:sz w:val="24"/>
        </w:rPr>
        <w:t>2</w:t>
      </w:r>
      <w:r>
        <w:rPr>
          <w:rFonts w:ascii="宋体"/>
          <w:kern w:val="0"/>
          <w:sz w:val="24"/>
        </w:rPr>
        <w:t>.</w:t>
      </w:r>
      <w:r>
        <w:rPr>
          <w:rFonts w:hint="eastAsia" w:ascii="宋体"/>
          <w:kern w:val="0"/>
          <w:sz w:val="24"/>
        </w:rPr>
        <w:t>4投标报价评分标准：</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⑴</w:t>
      </w:r>
      <w:r>
        <w:rPr>
          <w:rFonts w:hint="eastAsia" w:ascii="宋体"/>
          <w:kern w:val="0"/>
          <w:sz w:val="24"/>
        </w:rPr>
        <w:t>分值构成及权重：见评标办法前附表。</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⑵</w:t>
      </w:r>
      <w:r>
        <w:rPr>
          <w:rFonts w:hint="eastAsia" w:ascii="宋体"/>
          <w:kern w:val="0"/>
          <w:sz w:val="24"/>
        </w:rPr>
        <w:t>评标基准价计算：见评标办法前附表。</w:t>
      </w:r>
    </w:p>
    <w:p>
      <w:pPr>
        <w:tabs>
          <w:tab w:val="left" w:pos="210"/>
        </w:tabs>
        <w:spacing w:line="360" w:lineRule="auto"/>
        <w:ind w:firstLine="480" w:firstLineChars="200"/>
        <w:jc w:val="left"/>
        <w:rPr>
          <w:rFonts w:ascii="宋体"/>
          <w:kern w:val="0"/>
          <w:sz w:val="24"/>
        </w:rPr>
      </w:pPr>
      <w:r>
        <w:rPr>
          <w:rFonts w:hint="eastAsia" w:ascii="宋体" w:cs="宋体"/>
          <w:kern w:val="0"/>
          <w:sz w:val="24"/>
        </w:rPr>
        <w:t>⑶</w:t>
      </w:r>
      <w:r>
        <w:rPr>
          <w:rFonts w:hint="eastAsia" w:ascii="宋体"/>
          <w:kern w:val="0"/>
          <w:sz w:val="24"/>
        </w:rPr>
        <w:t>投标报价得分的计算：见评标办法前附表。</w:t>
      </w:r>
    </w:p>
    <w:p/>
    <w:p>
      <w:pPr>
        <w:pStyle w:val="2"/>
        <w:jc w:val="center"/>
        <w:rPr>
          <w:rFonts w:cs="宋体"/>
          <w:sz w:val="24"/>
          <w:szCs w:val="24"/>
        </w:rPr>
      </w:pPr>
      <w:bookmarkStart w:id="20" w:name="_Toc11841"/>
      <w:r>
        <w:rPr>
          <w:rFonts w:ascii="Times New Roman" w:hAnsi="Times New Roman"/>
          <w:sz w:val="24"/>
          <w:szCs w:val="24"/>
        </w:rPr>
        <w:t>第三节</w:t>
      </w:r>
      <w:r>
        <w:rPr>
          <w:rFonts w:hint="eastAsia" w:ascii="Times New Roman" w:hAnsi="Times New Roman"/>
          <w:sz w:val="24"/>
          <w:szCs w:val="24"/>
        </w:rPr>
        <w:t xml:space="preserve"> </w:t>
      </w:r>
      <w:r>
        <w:rPr>
          <w:rFonts w:cs="宋体"/>
          <w:bCs/>
          <w:color w:val="000000"/>
          <w:sz w:val="24"/>
          <w:szCs w:val="24"/>
        </w:rPr>
        <w:t>评标程序</w:t>
      </w:r>
      <w:bookmarkEnd w:id="20"/>
    </w:p>
    <w:p>
      <w:pPr>
        <w:tabs>
          <w:tab w:val="left" w:pos="210"/>
        </w:tabs>
        <w:spacing w:line="360" w:lineRule="auto"/>
        <w:ind w:firstLine="480" w:firstLineChars="200"/>
        <w:jc w:val="left"/>
        <w:rPr>
          <w:rFonts w:ascii="宋体"/>
          <w:kern w:val="0"/>
          <w:sz w:val="24"/>
        </w:rPr>
      </w:pPr>
      <w:r>
        <w:rPr>
          <w:rFonts w:hint="eastAsia" w:ascii="宋体"/>
          <w:kern w:val="0"/>
          <w:sz w:val="24"/>
        </w:rPr>
        <w:t>评标活动将按以下步骤进行：评标准备，资格审查，完备性及符合性审查，详细评审，澄清、说明或补正，推荐中标候选人及提交评标报告。</w:t>
      </w:r>
    </w:p>
    <w:p/>
    <w:p>
      <w:pPr>
        <w:pStyle w:val="2"/>
        <w:jc w:val="center"/>
        <w:rPr>
          <w:rFonts w:cs="宋体"/>
          <w:sz w:val="24"/>
          <w:szCs w:val="24"/>
        </w:rPr>
      </w:pPr>
      <w:bookmarkStart w:id="21" w:name="_Toc19110"/>
      <w:r>
        <w:rPr>
          <w:rFonts w:cs="宋体"/>
          <w:sz w:val="24"/>
          <w:szCs w:val="24"/>
        </w:rPr>
        <w:t xml:space="preserve">第四节 </w:t>
      </w:r>
      <w:r>
        <w:rPr>
          <w:rFonts w:cs="宋体"/>
          <w:bCs/>
          <w:color w:val="000000"/>
          <w:sz w:val="24"/>
          <w:szCs w:val="24"/>
        </w:rPr>
        <w:t>评标准备</w:t>
      </w:r>
      <w:bookmarkEnd w:id="21"/>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4.1 评标委员会成员签到</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评标委员会成员到达评标现场时应当在签到表上签到以证明其出席。</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4.2评标委员会的分工</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4.3评标委员会首先推选一名评标委员会主任</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评标委员会主任负责评标活动的组织领导工作。评标委员会主任与评标委员会其他成员具有同等的评标权力。</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 xml:space="preserve">⑵ 评标委员会主任除履行自己作为评标委员会成员独立评标的职责外，主要负责以下工作： </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⑶ 组织评标委员会成员学习招标文件；</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汇总各评标委员会成员认为需要投标人澄清、说明或者补正的问题；</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⑸ 组织评标委员会对投标人质询并对投标人的答复进行评审；</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⑹ 对出现较大争议的事项进行书面记录；</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⑺ 组织收回评标过程中使用的文件、表格和评标记录以及其他资料，并查验评标记录的完整性及有效性；</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⑻ 组织对评标结论进行复核确认；</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⑼ 组织编写评标报告。</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4.4熟悉文件资料</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4.5采购人或采购代理机构应当向评标委员会提供评标所需的信息和数据，包括：</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招标文件及其澄清修改等招标文件补充；</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⑵ 未在开标会上当场拒绝的各投标文件；</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⑶ 开标会记录；</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评标表格；</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⑸ 其他信息和数据；</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4.6资格审查（适用于资格后审）</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4.7完备性及符合性审查</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⑵ 完备性及符合性审查条款是指对本招标项目产生了重大影响的重大偏差，而且纠正此类偏差将会对响应本次招标的其他投标人的竞争地位产生不公正的影响。</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⑶ 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委员会可要求存在细微偏差的投标人予以补正。</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4.8详细评审</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只有通过了资格审查、完备性及符合性审查且投标人不少于3个，方可进入详细评审。</w:t>
      </w:r>
    </w:p>
    <w:p>
      <w:pPr>
        <w:widowControl/>
        <w:shd w:val="clear" w:color="auto" w:fill="FFFFFF"/>
        <w:snapToGrid w:val="0"/>
        <w:spacing w:line="360" w:lineRule="auto"/>
        <w:rPr>
          <w:rFonts w:ascii="宋体" w:cs="宋体"/>
          <w:kern w:val="0"/>
          <w:sz w:val="24"/>
        </w:rPr>
      </w:pPr>
      <w:r>
        <w:rPr>
          <w:rFonts w:hint="eastAsia" w:ascii="宋体" w:cs="宋体"/>
          <w:b/>
          <w:bCs/>
          <w:kern w:val="0"/>
          <w:sz w:val="24"/>
        </w:rPr>
        <w:t>4.9开标程序</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按下列程序进行开标：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宣布开标纪律；</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⑵ 开标会主持人介绍参加会议的人员；；</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⑶ 公布在投标截止时间前递交投标文件的投标人名称，并点名确认投标人是否派人到场参加开标，由采购人或监督人查验投标人法定代表人授权委托书及其有效身份证明；投标人未派人到场参加开标的，视同认可开标结果；</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由投标人或者其推选的代表检查投标文件的密封情况，经监督代表及投标人确认无误后，由采购代理机构工作人员宣布公开拆标、唱标。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⑸ 按照规定采购代理机构工作人员当众拆封投标文件，宣布投标人名称、投标价格和招标文件规定的需要宣布的其他内容，并作记录；</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⑹ 投标人不足3家的，不得开标。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⑺ 评标委员会成员不得参加开标活动。</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⑻ 投标文件报价出现前后不一致的，除招标文件另有规定外，按照下列规定修正：</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①投标文件中开标一览表（报价表）内容与投标文件中相应内容不一致的，以开标一览表（报价表）为准。</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②大写金额和小写金额不一致的，以大写金额为准。</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③总价金额与按单价汇总金额不一致的，以单价金额计算结果为准；单价金额小数点或者百分比有明显错位的，以开标一览表（报价表）的总价为准，并修改单价。</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④对不同文字文本投标文件的解释发生异议的，以中文文本为准。</w:t>
      </w:r>
    </w:p>
    <w:p>
      <w:pPr>
        <w:widowControl/>
        <w:shd w:val="clear" w:color="auto" w:fill="FFFFFF"/>
        <w:snapToGrid w:val="0"/>
        <w:spacing w:line="360" w:lineRule="auto"/>
        <w:ind w:firstLine="720" w:firstLineChars="300"/>
        <w:rPr>
          <w:rFonts w:ascii="宋体" w:cs="宋体"/>
        </w:rPr>
      </w:pPr>
      <w:r>
        <w:rPr>
          <w:rFonts w:hint="eastAsia" w:ascii="宋体" w:cs="宋体"/>
          <w:kern w:val="0"/>
          <w:sz w:val="24"/>
        </w:rPr>
        <w:t>⑤同时出现两种以上不一致的，按照前款规定的顺序修正。修正后的报价须经授权委托代理人签字并加盖公章后产生约束力，投标人不确认的，其投标无效。</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4.10澄清、说明和补正</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⑵ 澄清、说明和补正内容不得改变投标文件的实质性内容（算术性错误修正的除外）。投标人的书面澄清、说明和补正属于投标文件的组成部分。</w:t>
      </w:r>
    </w:p>
    <w:p>
      <w:pPr>
        <w:widowControl/>
        <w:shd w:val="clear" w:color="auto" w:fill="FFFFFF"/>
        <w:snapToGrid w:val="0"/>
        <w:spacing w:line="360" w:lineRule="auto"/>
        <w:ind w:firstLine="480" w:firstLineChars="200"/>
        <w:rPr>
          <w:rFonts w:ascii="宋体" w:cs="宋体"/>
          <w:color w:val="FF0000"/>
          <w:kern w:val="0"/>
          <w:sz w:val="24"/>
        </w:rPr>
      </w:pPr>
      <w:r>
        <w:rPr>
          <w:rFonts w:hint="eastAsia" w:ascii="宋体" w:cs="宋体"/>
          <w:kern w:val="0"/>
          <w:sz w:val="24"/>
        </w:rPr>
        <w:t xml:space="preserve">⑶ </w:t>
      </w:r>
      <w:r>
        <w:rPr>
          <w:rFonts w:hint="eastAsia" w:ascii="宋体" w:cs="宋体"/>
          <w:color w:val="000000"/>
          <w:kern w:val="0"/>
          <w:sz w:val="24"/>
        </w:rPr>
        <w:t>评标委员会</w:t>
      </w:r>
      <w:r>
        <w:rPr>
          <w:rFonts w:hint="eastAsia" w:ascii="宋体" w:cs="宋体"/>
          <w:kern w:val="0"/>
          <w:sz w:val="24"/>
        </w:rPr>
        <w:t>针对需要投标</w:t>
      </w:r>
      <w:r>
        <w:rPr>
          <w:rFonts w:hint="eastAsia" w:ascii="宋体" w:cs="宋体"/>
          <w:color w:val="000000"/>
          <w:kern w:val="0"/>
          <w:sz w:val="24"/>
        </w:rPr>
        <w:t>人对所提交投标文件中不明确的内容进行书面澄清、说明或补正。</w:t>
      </w:r>
      <w:r>
        <w:rPr>
          <w:rFonts w:hint="eastAsia" w:ascii="宋体" w:cs="宋体"/>
          <w:kern w:val="0"/>
          <w:sz w:val="24"/>
        </w:rPr>
        <w:t>澄清通知不得向投标人提出带有暗示性或诱导性问题，或向其明确投标文件中的遗漏和错误。</w:t>
      </w:r>
      <w:r>
        <w:rPr>
          <w:rFonts w:hint="eastAsia" w:ascii="宋体" w:cs="宋体"/>
          <w:color w:val="000000"/>
          <w:kern w:val="0"/>
          <w:sz w:val="24"/>
        </w:rPr>
        <w:t>投标人接到评标委员会发出的书面澄清通知后，应按评标委员会的要求提供书面澄清资料，并在规定的时间递交到指定地点。评标委员会不接受投标人主动提出的澄清、说明或补正。</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评标委员会对投标人提交的澄清、说明或补正有疑问的，可以要求投标人进一步澄清、说明或补正，直至满足评标委员会的要求。</w:t>
      </w:r>
    </w:p>
    <w:p>
      <w:pPr>
        <w:widowControl/>
        <w:shd w:val="clear" w:color="auto" w:fill="FFFFFF"/>
        <w:snapToGrid w:val="0"/>
        <w:spacing w:line="360" w:lineRule="auto"/>
        <w:ind w:firstLine="480" w:firstLineChars="200"/>
        <w:rPr>
          <w:rFonts w:ascii="宋体" w:cs="宋体"/>
          <w:b/>
          <w:bCs/>
          <w:kern w:val="0"/>
          <w:sz w:val="24"/>
        </w:rPr>
      </w:pPr>
      <w:r>
        <w:rPr>
          <w:rFonts w:hint="eastAsia" w:ascii="宋体" w:cs="宋体"/>
          <w:kern w:val="0"/>
          <w:sz w:val="24"/>
        </w:rPr>
        <w:t xml:space="preserve">⑸ </w:t>
      </w:r>
      <w:r>
        <w:rPr>
          <w:rFonts w:hint="eastAsia" w:ascii="宋体" w:cs="宋体"/>
          <w:b/>
          <w:bCs/>
          <w:kern w:val="0"/>
          <w:sz w:val="24"/>
        </w:rPr>
        <w:t>评标委员会发现投标人的报价明显低于其他投标人投标价格，使得其投标价格可能低于其成本的，</w:t>
      </w:r>
      <w:r>
        <w:rPr>
          <w:rFonts w:hint="eastAsia" w:ascii="宋体" w:cs="宋体"/>
          <w:b/>
          <w:bCs/>
          <w:color w:val="000000"/>
          <w:kern w:val="0"/>
          <w:sz w:val="24"/>
        </w:rPr>
        <w:t>可</w:t>
      </w:r>
      <w:r>
        <w:rPr>
          <w:rFonts w:hint="eastAsia" w:ascii="宋体" w:cs="宋体"/>
          <w:b/>
          <w:bCs/>
          <w:kern w:val="0"/>
          <w:sz w:val="24"/>
        </w:rPr>
        <w:t>要求该投标人作出书面说明并提供相应的证明材料。投标人不能合理说明或者不能提供相应证明材料的，由评标委员会认定该投标人以低于成本报价竞标，否决其投标。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⑹ 投标报价评分：对投标报价进行投标报价得分计算，计算方法详见评标办法前附表。</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⑺ 汇总评分结果，评分分值计算保留小数点后两位，小数点后第三位“四舍五入”。</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⑻ 详细评审工作全部结束后，投标人总得分排序按照以下原则进行。</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⑼ 按照总得分由高到低顺序对投标人进行排序；</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⑽ 总得分相同时报价低的投标人排序靠前；</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⑾ 总得分相同且报价相同的投标人，采取随机抽取方式确定排序顺序。</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4.11推荐中标候选人及提交评标报告</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评标委员会推荐中标候选人，得分由高到低顺序排列排序第一的投标人将被确定为第一中标候选人，以此类推确定出规定数量的的中标候选人。</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⑵ 当通过了资格审查、完备性及符合性审查后，投标人少于3个时，采购人应当依法重新招标。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⑶ 评标委员会完成评标后，应当向采购人提交书面评标报告。</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特殊情况的处置程序</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①关于评标活动暂停</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②关于评标中途更换评委</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除非发生下列情况之一，评标委员会成员不得在评标中途更换：</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⒈因不可抗拒的客观原因，不能到场或需在评标中途退出评标活动。</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⒉根据法律法规规定，某个或某几个评标委员会成员需要回避。</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3.退出评标的评标委员会成员，其已完成的评标行为无效，由更换的评委进行评标。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4.在评标环节中，需评标委员会就某项定性的评审结论做出表决的，由评标委员会全体成员按照少数服从多数的原则确定。</w:t>
      </w:r>
    </w:p>
    <w:p>
      <w:pPr>
        <w:pStyle w:val="2"/>
        <w:rPr>
          <w:rFonts w:cs="宋体"/>
          <w:sz w:val="24"/>
          <w:szCs w:val="24"/>
        </w:rPr>
      </w:pPr>
    </w:p>
    <w:p>
      <w:pPr>
        <w:pStyle w:val="3"/>
      </w:pPr>
    </w:p>
    <w:p>
      <w:pPr>
        <w:rPr>
          <w:rFonts w:ascii="宋体" w:cs="宋体"/>
          <w:b/>
          <w:sz w:val="24"/>
        </w:rPr>
      </w:pPr>
      <w:r>
        <w:rPr>
          <w:rFonts w:hint="eastAsia" w:ascii="宋体" w:cs="宋体"/>
          <w:b/>
          <w:sz w:val="24"/>
        </w:rPr>
        <w:br w:type="page"/>
      </w:r>
    </w:p>
    <w:p>
      <w:pPr>
        <w:jc w:val="center"/>
        <w:rPr>
          <w:b/>
          <w:bCs/>
          <w:sz w:val="24"/>
        </w:rPr>
      </w:pPr>
      <w:bookmarkStart w:id="22" w:name="_BookMark_10"/>
      <w:bookmarkEnd w:id="22"/>
      <w:r>
        <w:rPr>
          <w:rFonts w:hint="eastAsia"/>
          <w:b/>
          <w:bCs/>
          <w:sz w:val="24"/>
        </w:rPr>
        <w:t>综合评估法</w:t>
      </w:r>
    </w:p>
    <w:p>
      <w:pPr>
        <w:jc w:val="center"/>
        <w:rPr>
          <w:sz w:val="24"/>
        </w:rPr>
      </w:pPr>
      <w:bookmarkStart w:id="23" w:name="_Toc1514"/>
      <w:r>
        <w:rPr>
          <w:rFonts w:hint="eastAsia"/>
          <w:sz w:val="24"/>
        </w:rPr>
        <w:t>评标办法前附表</w:t>
      </w:r>
      <w:bookmarkEnd w:id="23"/>
    </w:p>
    <w:tbl>
      <w:tblPr>
        <w:tblStyle w:val="23"/>
        <w:tblW w:w="9160" w:type="dxa"/>
        <w:jc w:val="center"/>
        <w:tblInd w:w="0" w:type="dxa"/>
        <w:tblLayout w:type="fixed"/>
        <w:tblCellMar>
          <w:top w:w="0" w:type="dxa"/>
          <w:left w:w="0" w:type="dxa"/>
          <w:bottom w:w="0" w:type="dxa"/>
          <w:right w:w="0" w:type="dxa"/>
        </w:tblCellMar>
      </w:tblPr>
      <w:tblGrid>
        <w:gridCol w:w="612"/>
        <w:gridCol w:w="2393"/>
        <w:gridCol w:w="6155"/>
      </w:tblGrid>
      <w:tr>
        <w:tblPrEx>
          <w:tblLayout w:type="fixed"/>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序号</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条款内容</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编列内容</w:t>
            </w:r>
          </w:p>
        </w:tc>
      </w:tr>
      <w:tr>
        <w:tblPrEx>
          <w:tblLayout w:type="fixed"/>
          <w:tblCellMar>
            <w:top w:w="0" w:type="dxa"/>
            <w:left w:w="0" w:type="dxa"/>
            <w:bottom w:w="0" w:type="dxa"/>
            <w:right w:w="0" w:type="dxa"/>
          </w:tblCellMar>
        </w:tblPrEx>
        <w:trPr>
          <w:cantSplit/>
          <w:trHeight w:val="630"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ascii="宋体"/>
                <w:sz w:val="24"/>
              </w:rPr>
              <w:t>1</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hint="eastAsia"/>
              </w:rPr>
            </w:pPr>
            <w:r>
              <w:rPr>
                <w:rFonts w:hint="eastAsia"/>
              </w:rPr>
              <w:t>分值构成及权重</w:t>
            </w:r>
          </w:p>
          <w:p>
            <w:pPr>
              <w:rPr>
                <w:rFonts w:hint="eastAsia"/>
              </w:rPr>
            </w:pPr>
            <w:r>
              <w:rPr>
                <w:rFonts w:hint="eastAsia"/>
              </w:rPr>
              <w:t>(总分1</w:t>
            </w:r>
            <w:r>
              <w:rPr>
                <w:rFonts w:hint="eastAsia"/>
                <w:lang w:eastAsia="zh-CN"/>
              </w:rPr>
              <w:t>0</w:t>
            </w:r>
            <w:r>
              <w:rPr>
                <w:rFonts w:hint="eastAsia"/>
                <w:lang w:val="en-US" w:eastAsia="zh-CN"/>
              </w:rPr>
              <w:t>0</w:t>
            </w:r>
            <w:r>
              <w:rPr>
                <w:rFonts w:hint="eastAsia"/>
              </w:rPr>
              <w:t>分)</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hint="eastAsia"/>
              </w:rPr>
            </w:pPr>
            <w:r>
              <w:rPr>
                <w:rFonts w:hint="eastAsia"/>
              </w:rPr>
              <w:t>1.详细评审部分权重Q1=70%</w:t>
            </w:r>
          </w:p>
          <w:p>
            <w:pPr>
              <w:rPr>
                <w:rFonts w:hint="default"/>
                <w:lang w:val="en-US" w:eastAsia="zh-CN"/>
              </w:rPr>
            </w:pPr>
            <w:r>
              <w:rPr>
                <w:rFonts w:hint="eastAsia"/>
              </w:rPr>
              <w:t>2.投标报价权重Q2=30%</w:t>
            </w:r>
          </w:p>
        </w:tc>
      </w:tr>
      <w:tr>
        <w:tblPrEx>
          <w:tblLayout w:type="fixed"/>
          <w:tblCellMar>
            <w:top w:w="0" w:type="dxa"/>
            <w:left w:w="0" w:type="dxa"/>
            <w:bottom w:w="0" w:type="dxa"/>
            <w:right w:w="0" w:type="dxa"/>
          </w:tblCellMar>
        </w:tblPrEx>
        <w:trPr>
          <w:cantSplit/>
          <w:trHeight w:val="147"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2</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资格审查</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详见《资格审查标准》</w:t>
            </w:r>
          </w:p>
        </w:tc>
      </w:tr>
      <w:tr>
        <w:tblPrEx>
          <w:tblLayout w:type="fixed"/>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3</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完备性及符合性审查</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详见《完备性及符合性审查标准》</w:t>
            </w:r>
          </w:p>
        </w:tc>
      </w:tr>
      <w:tr>
        <w:tblPrEx>
          <w:tblLayout w:type="fixed"/>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4</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投标品牌</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详见《投标品牌统计》</w:t>
            </w:r>
          </w:p>
        </w:tc>
      </w:tr>
      <w:tr>
        <w:tblPrEx>
          <w:tblLayout w:type="fixed"/>
          <w:tblCellMar>
            <w:top w:w="0" w:type="dxa"/>
            <w:left w:w="0" w:type="dxa"/>
            <w:bottom w:w="0" w:type="dxa"/>
            <w:right w:w="0" w:type="dxa"/>
          </w:tblCellMar>
        </w:tblPrEx>
        <w:trPr>
          <w:cantSplit/>
          <w:trHeight w:val="325" w:hRule="atLeast"/>
          <w:jc w:val="center"/>
        </w:trPr>
        <w:tc>
          <w:tcPr>
            <w:tcW w:w="612" w:type="dxa"/>
            <w:vMerge w:val="restart"/>
            <w:tcBorders>
              <w:top w:val="single" w:color="auto" w:sz="8" w:space="0"/>
              <w:left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5</w:t>
            </w:r>
          </w:p>
        </w:tc>
        <w:tc>
          <w:tcPr>
            <w:tcW w:w="2393" w:type="dxa"/>
            <w:vMerge w:val="restart"/>
            <w:tcBorders>
              <w:top w:val="single" w:color="auto" w:sz="8" w:space="0"/>
              <w:left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详细评审</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详见《详细评审标准》</w:t>
            </w:r>
          </w:p>
        </w:tc>
      </w:tr>
      <w:tr>
        <w:tblPrEx>
          <w:tblLayout w:type="fixed"/>
          <w:tblCellMar>
            <w:top w:w="0" w:type="dxa"/>
            <w:left w:w="0" w:type="dxa"/>
            <w:bottom w:w="0" w:type="dxa"/>
            <w:right w:w="0" w:type="dxa"/>
          </w:tblCellMar>
        </w:tblPrEx>
        <w:trPr>
          <w:cantSplit/>
          <w:trHeight w:val="2577" w:hRule="atLeast"/>
          <w:jc w:val="center"/>
        </w:trPr>
        <w:tc>
          <w:tcPr>
            <w:tcW w:w="612" w:type="dxa"/>
            <w:vMerge w:val="continue"/>
            <w:tcBorders>
              <w:left w:val="single" w:color="auto" w:sz="8" w:space="0"/>
              <w:bottom w:val="single" w:color="auto" w:sz="8" w:space="0"/>
              <w:right w:val="single" w:color="auto" w:sz="8" w:space="0"/>
            </w:tcBorders>
            <w:tcMar>
              <w:left w:w="28" w:type="dxa"/>
              <w:right w:w="28" w:type="dxa"/>
            </w:tcMar>
            <w:vAlign w:val="center"/>
          </w:tcPr>
          <w:p/>
        </w:tc>
        <w:tc>
          <w:tcPr>
            <w:tcW w:w="2393" w:type="dxa"/>
            <w:vMerge w:val="continue"/>
            <w:tcBorders>
              <w:left w:val="single" w:color="auto" w:sz="8" w:space="0"/>
              <w:bottom w:val="single" w:color="auto" w:sz="8" w:space="0"/>
              <w:right w:val="single" w:color="auto" w:sz="8" w:space="0"/>
            </w:tcBorders>
            <w:tcMar>
              <w:left w:w="28" w:type="dxa"/>
              <w:right w:w="28" w:type="dxa"/>
            </w:tcMar>
            <w:vAlign w:val="center"/>
          </w:tcP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top"/>
          </w:tcPr>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投标报价得分计算方法：</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1.投标报价的确定</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投标报价是指经评审的且不超过采购预算金额的投标价格</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2.评标基准价的确定</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满足招标文件要求且投标报价最低的为评标基准价</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3.投标报价得分=(评标基准价／投标报价)×100×Q2</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4.评分分值计算保留小数点后两位，小数点后三位“四舍五入”。</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5.评标报价计算。符合《政府采购促进中小企业发展管理办法》（财库[2020]46号）规定情形且按该办法中规定</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的格式提供了 《中小企业声明函》的，对其最后报价给予</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6%的扣除，扣除后的价格为评标报价，即评标报价=最后报</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价×（1-6%）；除上述情况外。评标报价=最后报价</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 在政府采购活动中，残疾人福利性单位视同小型、微型</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企业。对小微企业报价给予6%的扣除，用扣除后的价格参</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与评审。因落实政府采购政策进行价格调整的，以调整后</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的价格计算评标基准价和投标报价。</w:t>
            </w:r>
          </w:p>
          <w:p>
            <w:pPr>
              <w:pStyle w:val="6"/>
              <w:rPr>
                <w:rFonts w:ascii="Calibri" w:hAnsi="Calibri" w:eastAsia="宋体" w:cs="Arial"/>
                <w:b/>
                <w:kern w:val="2"/>
                <w:sz w:val="32"/>
                <w:szCs w:val="24"/>
                <w:lang w:val="en-US" w:eastAsia="zh-CN" w:bidi="ar-SA"/>
              </w:rPr>
            </w:pPr>
            <w:r>
              <w:rPr>
                <w:rFonts w:hint="eastAsia" w:asciiTheme="minorEastAsia" w:hAnsiTheme="minorEastAsia" w:eastAsiaTheme="minorEastAsia" w:cstheme="minorEastAsia"/>
                <w:b w:val="0"/>
                <w:bCs w:val="0"/>
                <w:sz w:val="24"/>
                <w:szCs w:val="24"/>
                <w:lang w:val="en-US" w:eastAsia="zh-CN"/>
              </w:rPr>
              <w:t>残疾人福利性单位属小型、微型企业的，不重复享受政策。</w:t>
            </w:r>
          </w:p>
        </w:tc>
      </w:tr>
    </w:tbl>
    <w:p>
      <w:pPr>
        <w:pStyle w:val="9"/>
        <w:numPr>
          <w:ilvl w:val="0"/>
          <w:numId w:val="0"/>
        </w:numPr>
      </w:pPr>
      <w:bookmarkStart w:id="24" w:name="_Toc501719166"/>
    </w:p>
    <w:p>
      <w:pPr>
        <w:widowControl/>
        <w:shd w:val="clear" w:color="auto" w:fill="FFFFFF"/>
        <w:snapToGrid w:val="0"/>
        <w:jc w:val="center"/>
        <w:rPr>
          <w:rFonts w:ascii="宋体"/>
          <w:b/>
          <w:kern w:val="0"/>
          <w:sz w:val="24"/>
        </w:rPr>
      </w:pPr>
      <w:r>
        <w:rPr>
          <w:rFonts w:hint="eastAsia" w:ascii="宋体"/>
          <w:b/>
          <w:kern w:val="0"/>
          <w:sz w:val="24"/>
        </w:rPr>
        <w:t>《资格审查标准》</w:t>
      </w:r>
      <w:bookmarkEnd w:id="24"/>
    </w:p>
    <w:tbl>
      <w:tblPr>
        <w:tblStyle w:val="23"/>
        <w:tblW w:w="9160" w:type="dxa"/>
        <w:jc w:val="center"/>
        <w:tblInd w:w="0" w:type="dxa"/>
        <w:tblLayout w:type="fixed"/>
        <w:tblCellMar>
          <w:top w:w="0" w:type="dxa"/>
          <w:left w:w="0" w:type="dxa"/>
          <w:bottom w:w="0" w:type="dxa"/>
          <w:right w:w="0" w:type="dxa"/>
        </w:tblCellMar>
      </w:tblPr>
      <w:tblGrid>
        <w:gridCol w:w="628"/>
        <w:gridCol w:w="8532"/>
      </w:tblGrid>
      <w:tr>
        <w:tblPrEx>
          <w:tblLayout w:type="fixed"/>
          <w:tblCellMar>
            <w:top w:w="0" w:type="dxa"/>
            <w:left w:w="0" w:type="dxa"/>
            <w:bottom w:w="0" w:type="dxa"/>
            <w:right w:w="0" w:type="dxa"/>
          </w:tblCellMar>
        </w:tblPrEx>
        <w:trPr>
          <w:cantSplit/>
          <w:trHeight w:val="429"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kern w:val="0"/>
                <w:sz w:val="24"/>
              </w:rPr>
            </w:pPr>
            <w:r>
              <w:rPr>
                <w:rFonts w:hint="eastAsia" w:ascii="宋体"/>
                <w:kern w:val="0"/>
                <w:sz w:val="24"/>
              </w:rPr>
              <w:t>序号</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kern w:val="0"/>
                <w:sz w:val="24"/>
              </w:rPr>
            </w:pPr>
            <w:r>
              <w:rPr>
                <w:rFonts w:hint="eastAsia" w:ascii="宋体"/>
                <w:kern w:val="0"/>
                <w:sz w:val="24"/>
              </w:rPr>
              <w:t>审查标准</w:t>
            </w:r>
          </w:p>
        </w:tc>
      </w:tr>
      <w:tr>
        <w:tblPrEx>
          <w:tblLayout w:type="fixed"/>
          <w:tblCellMar>
            <w:top w:w="0" w:type="dxa"/>
            <w:left w:w="0" w:type="dxa"/>
            <w:bottom w:w="0" w:type="dxa"/>
            <w:right w:w="0" w:type="dxa"/>
          </w:tblCellMar>
        </w:tblPrEx>
        <w:trPr>
          <w:cantSplit/>
          <w:trHeight w:val="31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kern w:val="0"/>
                <w:sz w:val="24"/>
              </w:rPr>
            </w:pPr>
            <w:r>
              <w:rPr>
                <w:rFonts w:ascii="宋体"/>
                <w:kern w:val="0"/>
                <w:sz w:val="24"/>
              </w:rPr>
              <w:t>1</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left"/>
              <w:rPr>
                <w:rFonts w:ascii="宋体"/>
                <w:color w:val="000000"/>
                <w:kern w:val="0"/>
                <w:sz w:val="24"/>
              </w:rPr>
            </w:pPr>
            <w:r>
              <w:rPr>
                <w:rFonts w:hint="eastAsia" w:ascii="宋体" w:cs="宋体"/>
                <w:color w:val="000000"/>
                <w:sz w:val="24"/>
              </w:rPr>
              <w:t>提供</w:t>
            </w:r>
            <w:r>
              <w:rPr>
                <w:rFonts w:hint="eastAsia" w:ascii="宋体" w:cs="宋体"/>
                <w:color w:val="000000"/>
                <w:kern w:val="0"/>
                <w:sz w:val="24"/>
              </w:rPr>
              <w:t>有效期内与供应商投标文件名称一致的营业执照</w:t>
            </w:r>
          </w:p>
        </w:tc>
      </w:tr>
      <w:tr>
        <w:tblPrEx>
          <w:tblLayout w:type="fixed"/>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ascii="宋体"/>
                <w:kern w:val="0"/>
                <w:sz w:val="24"/>
              </w:rPr>
              <w:t>2</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ascii="宋体"/>
                <w:color w:val="000000"/>
                <w:kern w:val="0"/>
                <w:sz w:val="24"/>
              </w:rPr>
            </w:pPr>
            <w:r>
              <w:rPr>
                <w:rFonts w:hint="eastAsia" w:ascii="宋体"/>
                <w:color w:val="000000"/>
                <w:kern w:val="0"/>
                <w:sz w:val="24"/>
              </w:rPr>
              <w:t>供应商唯一性的报价</w:t>
            </w:r>
          </w:p>
        </w:tc>
      </w:tr>
      <w:tr>
        <w:tblPrEx>
          <w:tblLayout w:type="fixed"/>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hint="eastAsia" w:ascii="宋体" w:eastAsia="宋体"/>
                <w:b/>
                <w:bCs/>
                <w:kern w:val="0"/>
                <w:sz w:val="24"/>
                <w:lang w:eastAsia="zh-CN"/>
              </w:rPr>
            </w:pPr>
            <w:r>
              <w:rPr>
                <w:rFonts w:hint="eastAsia" w:ascii="宋体"/>
                <w:kern w:val="0"/>
                <w:sz w:val="24"/>
                <w:lang w:val="en-US" w:eastAsia="zh-CN"/>
              </w:rPr>
              <w:t>3</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ascii="宋体"/>
                <w:color w:val="auto"/>
                <w:kern w:val="0"/>
                <w:sz w:val="24"/>
              </w:rPr>
            </w:pPr>
            <w:r>
              <w:rPr>
                <w:rFonts w:hint="eastAsia" w:ascii="宋体"/>
                <w:color w:val="auto"/>
                <w:kern w:val="0"/>
                <w:sz w:val="24"/>
              </w:rPr>
              <w:t>提供代理机构出具的投标保证金收据</w:t>
            </w:r>
          </w:p>
        </w:tc>
      </w:tr>
      <w:tr>
        <w:tblPrEx>
          <w:tblLayout w:type="fixed"/>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hint="eastAsia" w:ascii="宋体" w:eastAsia="宋体"/>
                <w:kern w:val="0"/>
                <w:sz w:val="24"/>
                <w:lang w:eastAsia="zh-CN"/>
              </w:rPr>
            </w:pPr>
            <w:r>
              <w:rPr>
                <w:rFonts w:hint="eastAsia" w:ascii="宋体"/>
                <w:kern w:val="0"/>
                <w:sz w:val="24"/>
                <w:lang w:val="en-US" w:eastAsia="zh-CN"/>
              </w:rPr>
              <w:t>4</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ascii="宋体"/>
                <w:color w:val="000000"/>
                <w:kern w:val="0"/>
                <w:sz w:val="24"/>
              </w:rPr>
            </w:pPr>
            <w:r>
              <w:rPr>
                <w:rFonts w:hint="eastAsia" w:ascii="宋体" w:cs="宋体"/>
                <w:sz w:val="24"/>
              </w:rPr>
              <w:t>提供授权委托人《法定代表人授权委托书》及身份证（法人前来投标的提供《法人身份证明书》及身份证）</w:t>
            </w:r>
          </w:p>
        </w:tc>
      </w:tr>
      <w:tr>
        <w:tblPrEx>
          <w:tblLayout w:type="fixed"/>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hint="eastAsia" w:ascii="宋体" w:eastAsia="宋体"/>
                <w:kern w:val="0"/>
                <w:sz w:val="24"/>
                <w:lang w:eastAsia="zh-CN"/>
              </w:rPr>
            </w:pPr>
            <w:r>
              <w:rPr>
                <w:rFonts w:hint="eastAsia" w:ascii="宋体"/>
                <w:kern w:val="0"/>
                <w:sz w:val="24"/>
                <w:lang w:val="en-US" w:eastAsia="zh-CN"/>
              </w:rPr>
              <w:t>5</w:t>
            </w:r>
          </w:p>
        </w:tc>
        <w:tc>
          <w:tcPr>
            <w:tcW w:w="8532" w:type="dxa"/>
            <w:tcBorders>
              <w:top w:val="nil"/>
              <w:left w:val="nil"/>
              <w:bottom w:val="single" w:color="auto" w:sz="8" w:space="0"/>
              <w:right w:val="single" w:color="auto" w:sz="8" w:space="0"/>
            </w:tcBorders>
            <w:tcMar>
              <w:left w:w="28" w:type="dxa"/>
              <w:right w:w="28" w:type="dxa"/>
            </w:tcMar>
            <w:vAlign w:val="center"/>
          </w:tcPr>
          <w:p>
            <w:pPr>
              <w:bidi w:val="0"/>
              <w:rPr>
                <w:rFonts w:hint="eastAsia" w:ascii="宋体" w:eastAsia="宋体"/>
                <w:kern w:val="0"/>
                <w:lang w:eastAsia="zh-CN"/>
              </w:rPr>
            </w:pPr>
            <w:r>
              <w:rPr>
                <w:rFonts w:hint="eastAsia" w:ascii="宋体"/>
                <w:kern w:val="0"/>
                <w:sz w:val="24"/>
                <w:szCs w:val="24"/>
                <w:lang w:eastAsia="zh-CN"/>
              </w:rPr>
              <w:t>信用记录资料</w:t>
            </w:r>
          </w:p>
        </w:tc>
      </w:tr>
      <w:tr>
        <w:tblPrEx>
          <w:tblLayout w:type="fixed"/>
          <w:tblCellMar>
            <w:top w:w="0" w:type="dxa"/>
            <w:left w:w="0" w:type="dxa"/>
            <w:bottom w:w="0" w:type="dxa"/>
            <w:right w:w="0" w:type="dxa"/>
          </w:tblCellMar>
        </w:tblPrEx>
        <w:trPr>
          <w:cantSplit/>
          <w:trHeight w:val="950" w:hRule="atLeast"/>
          <w:jc w:val="center"/>
        </w:trPr>
        <w:tc>
          <w:tcPr>
            <w:tcW w:w="9160" w:type="dxa"/>
            <w:gridSpan w:val="2"/>
            <w:tcBorders>
              <w:top w:val="single" w:color="auto" w:sz="4" w:space="0"/>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kern w:val="0"/>
                <w:sz w:val="24"/>
              </w:rPr>
            </w:pPr>
            <w:r>
              <w:rPr>
                <w:rFonts w:hint="eastAsia" w:ascii="宋体"/>
                <w:b/>
                <w:bCs/>
                <w:kern w:val="0"/>
                <w:sz w:val="24"/>
              </w:rPr>
              <w:t>备注：如果资格评审中有一项不满足审查标准的，采购人将认定该投标人不通过资格审查，投标文件将被拒绝评审。并且不允许投标人通过修改或撤销其不符合要求的差异或保留，使之成为具有响应性的投标。</w:t>
            </w:r>
          </w:p>
        </w:tc>
      </w:tr>
    </w:tbl>
    <w:p>
      <w:pPr>
        <w:widowControl/>
        <w:shd w:val="clear" w:color="auto" w:fill="FFFFFF"/>
        <w:snapToGrid w:val="0"/>
        <w:jc w:val="center"/>
        <w:rPr>
          <w:rFonts w:ascii="宋体"/>
          <w:b/>
          <w:kern w:val="0"/>
          <w:sz w:val="24"/>
        </w:rPr>
      </w:pPr>
      <w:bookmarkStart w:id="25" w:name="_Toc501719167"/>
    </w:p>
    <w:p>
      <w:pPr>
        <w:widowControl/>
        <w:shd w:val="clear" w:color="auto" w:fill="FFFFFF"/>
        <w:snapToGrid w:val="0"/>
        <w:jc w:val="center"/>
        <w:rPr>
          <w:rFonts w:ascii="宋体"/>
          <w:b/>
          <w:kern w:val="0"/>
          <w:sz w:val="24"/>
        </w:rPr>
      </w:pPr>
      <w:r>
        <w:rPr>
          <w:rFonts w:hint="eastAsia" w:ascii="宋体"/>
          <w:b/>
          <w:kern w:val="0"/>
          <w:sz w:val="24"/>
        </w:rPr>
        <w:t>《完备性及符合性审查标准》</w:t>
      </w:r>
      <w:bookmarkEnd w:id="25"/>
    </w:p>
    <w:tbl>
      <w:tblPr>
        <w:tblStyle w:val="23"/>
        <w:tblW w:w="9177" w:type="dxa"/>
        <w:jc w:val="center"/>
        <w:tblInd w:w="0" w:type="dxa"/>
        <w:tblLayout w:type="fixed"/>
        <w:tblCellMar>
          <w:top w:w="0" w:type="dxa"/>
          <w:left w:w="0" w:type="dxa"/>
          <w:bottom w:w="0" w:type="dxa"/>
          <w:right w:w="0" w:type="dxa"/>
        </w:tblCellMar>
      </w:tblPr>
      <w:tblGrid>
        <w:gridCol w:w="621"/>
        <w:gridCol w:w="8556"/>
      </w:tblGrid>
      <w:tr>
        <w:tblPrEx>
          <w:tblLayout w:type="fixed"/>
          <w:tblCellMar>
            <w:top w:w="0" w:type="dxa"/>
            <w:left w:w="0" w:type="dxa"/>
            <w:bottom w:w="0" w:type="dxa"/>
            <w:right w:w="0" w:type="dxa"/>
          </w:tblCellMar>
        </w:tblPrEx>
        <w:trPr>
          <w:cantSplit/>
          <w:trHeight w:val="465" w:hRule="atLeast"/>
          <w:jc w:val="center"/>
        </w:trPr>
        <w:tc>
          <w:tcPr>
            <w:tcW w:w="621"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rPr>
                <w:rFonts w:ascii="宋体"/>
                <w:kern w:val="0"/>
                <w:sz w:val="24"/>
              </w:rPr>
            </w:pPr>
            <w:r>
              <w:rPr>
                <w:rFonts w:hint="eastAsia" w:ascii="宋体"/>
                <w:kern w:val="0"/>
                <w:sz w:val="24"/>
              </w:rPr>
              <w:t>序号</w:t>
            </w:r>
          </w:p>
        </w:tc>
        <w:tc>
          <w:tcPr>
            <w:tcW w:w="8556"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kern w:val="0"/>
                <w:sz w:val="24"/>
              </w:rPr>
            </w:pPr>
            <w:r>
              <w:rPr>
                <w:rFonts w:hint="eastAsia" w:ascii="宋体"/>
                <w:kern w:val="0"/>
                <w:sz w:val="24"/>
              </w:rPr>
              <w:t>评审标准</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ascii="宋体"/>
                <w:kern w:val="0"/>
                <w:sz w:val="24"/>
              </w:rPr>
              <w:t>1</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olor w:val="000000"/>
                <w:kern w:val="0"/>
                <w:sz w:val="24"/>
              </w:rPr>
            </w:pPr>
            <w:r>
              <w:rPr>
                <w:rFonts w:hint="eastAsia" w:ascii="宋体"/>
                <w:color w:val="000000"/>
                <w:kern w:val="0"/>
                <w:sz w:val="24"/>
              </w:rPr>
              <w:t>投标文件是否按要求签署并加盖投标人章、法定代表人章处未签署和加盖的；</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pStyle w:val="9"/>
              <w:numPr>
                <w:ilvl w:val="0"/>
                <w:numId w:val="0"/>
              </w:numPr>
              <w:jc w:val="center"/>
            </w:pPr>
            <w:r>
              <w:rPr>
                <w:rFonts w:hint="eastAsia" w:ascii="宋体" w:eastAsia="宋体"/>
                <w:kern w:val="0"/>
                <w:sz w:val="24"/>
              </w:rPr>
              <w:t>2</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olor w:val="000000"/>
                <w:kern w:val="0"/>
                <w:sz w:val="24"/>
              </w:rPr>
            </w:pPr>
            <w:r>
              <w:rPr>
                <w:rFonts w:hint="eastAsia" w:ascii="宋体"/>
                <w:color w:val="000000"/>
                <w:kern w:val="0"/>
                <w:sz w:val="24"/>
              </w:rPr>
              <w:t>投标价格是否超过投标人须知前附表中的采购预算金额及最高限价的；</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3</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olor w:val="000000"/>
                <w:kern w:val="0"/>
                <w:sz w:val="24"/>
              </w:rPr>
            </w:pPr>
            <w:r>
              <w:rPr>
                <w:rFonts w:hint="eastAsia" w:ascii="宋体"/>
                <w:color w:val="000000"/>
                <w:kern w:val="0"/>
                <w:sz w:val="24"/>
              </w:rPr>
              <w:t>投标文件是否符合招标文件实质性要求的。</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4</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kern w:val="0"/>
                <w:sz w:val="24"/>
              </w:rPr>
            </w:pPr>
            <w:r>
              <w:rPr>
                <w:rFonts w:hint="eastAsia" w:ascii="宋体" w:cs="宋体"/>
                <w:sz w:val="24"/>
              </w:rPr>
              <w:t>投标人所报交货期是否满足招标文件规定期限的；</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5</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s="宋体"/>
                <w:sz w:val="24"/>
              </w:rPr>
            </w:pPr>
            <w:r>
              <w:rPr>
                <w:rFonts w:hint="eastAsia" w:ascii="宋体" w:cs="宋体"/>
                <w:sz w:val="24"/>
              </w:rPr>
              <w:t>投标有效期是否满足招标文件要求的</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6</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s="宋体"/>
                <w:sz w:val="24"/>
              </w:rPr>
            </w:pPr>
            <w:r>
              <w:rPr>
                <w:rFonts w:hint="eastAsia" w:ascii="宋体" w:cs="宋体"/>
                <w:sz w:val="24"/>
              </w:rPr>
              <w:t>经评审委员会认定投标文件技术参数及要求进行复制、粘贴的文件为无效文件</w:t>
            </w:r>
          </w:p>
        </w:tc>
      </w:tr>
      <w:tr>
        <w:tblPrEx>
          <w:tblLayout w:type="fixed"/>
          <w:tblCellMar>
            <w:top w:w="0" w:type="dxa"/>
            <w:left w:w="0" w:type="dxa"/>
            <w:bottom w:w="0" w:type="dxa"/>
            <w:right w:w="0" w:type="dxa"/>
          </w:tblCellMar>
        </w:tblPrEx>
        <w:trPr>
          <w:cantSplit/>
          <w:trHeight w:val="20" w:hRule="atLeast"/>
          <w:jc w:val="center"/>
        </w:trPr>
        <w:tc>
          <w:tcPr>
            <w:tcW w:w="9177" w:type="dxa"/>
            <w:gridSpan w:val="2"/>
            <w:tcBorders>
              <w:top w:val="single" w:color="auto" w:sz="8" w:space="0"/>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s="宋体"/>
                <w:sz w:val="24"/>
              </w:rPr>
            </w:pPr>
            <w:r>
              <w:rPr>
                <w:rFonts w:hint="eastAsia" w:ascii="宋体"/>
                <w:b/>
                <w:bCs/>
                <w:kern w:val="0"/>
                <w:sz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pPr>
        <w:jc w:val="center"/>
        <w:rPr>
          <w:rFonts w:ascii="宋体"/>
          <w:b/>
          <w:kern w:val="0"/>
          <w:sz w:val="24"/>
        </w:rPr>
      </w:pPr>
    </w:p>
    <w:p>
      <w:pPr>
        <w:jc w:val="left"/>
        <w:rPr>
          <w:rFonts w:ascii="宋体"/>
          <w:kern w:val="0"/>
          <w:sz w:val="24"/>
        </w:rPr>
      </w:pPr>
      <w:r>
        <w:rPr>
          <w:rFonts w:hint="eastAsia" w:ascii="宋体"/>
          <w:kern w:val="0"/>
          <w:sz w:val="24"/>
        </w:rPr>
        <w:t>只有通过了资格审查、完备性及符合性审查且投标人不少于3个方可进入详细评审。</w:t>
      </w:r>
    </w:p>
    <w:p>
      <w:pPr>
        <w:jc w:val="center"/>
        <w:rPr>
          <w:rFonts w:ascii="宋体"/>
          <w:b/>
          <w:kern w:val="0"/>
          <w:sz w:val="24"/>
        </w:rPr>
      </w:pPr>
    </w:p>
    <w:p>
      <w:pPr>
        <w:jc w:val="center"/>
      </w:pPr>
      <w:r>
        <w:rPr>
          <w:rFonts w:hint="eastAsia" w:ascii="宋体"/>
          <w:b/>
          <w:kern w:val="0"/>
          <w:sz w:val="24"/>
        </w:rPr>
        <w:t>《详细评审标准》</w:t>
      </w:r>
    </w:p>
    <w:p>
      <w:pPr>
        <w:jc w:val="center"/>
        <w:rPr>
          <w:rFonts w:ascii="宋体"/>
          <w:b/>
          <w:kern w:val="0"/>
          <w:sz w:val="24"/>
        </w:rPr>
      </w:pP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ascii="宋体" w:cs="宋体"/>
          <w:b/>
          <w:bCs/>
          <w:sz w:val="24"/>
        </w:rPr>
      </w:pPr>
      <w:r>
        <w:rPr>
          <w:rFonts w:hint="eastAsia" w:ascii="宋体" w:cs="宋体"/>
          <w:b/>
          <w:bCs/>
          <w:sz w:val="24"/>
        </w:rPr>
        <w:t>1、价格部分（满分30分）</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ascii="宋体" w:cs="宋体"/>
          <w:sz w:val="24"/>
        </w:rPr>
      </w:pPr>
      <w:r>
        <w:rPr>
          <w:rFonts w:hint="eastAsia" w:ascii="宋体" w:cs="宋体"/>
          <w:bCs/>
          <w:sz w:val="24"/>
        </w:rPr>
        <w:t>综合评分法中的价格分统一采用低价优先法计算，即满足投标文件要求且最后报价最低的供应商的价格为评标基准价，其价格分为满分</w:t>
      </w:r>
      <w:r>
        <w:rPr>
          <w:rFonts w:hint="eastAsia" w:ascii="宋体" w:cs="宋体"/>
          <w:sz w:val="24"/>
        </w:rPr>
        <w:t>。其他投标人的价格分统一按照下列公式计算：</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ascii="宋体" w:cs="宋体"/>
          <w:sz w:val="24"/>
        </w:rPr>
      </w:pPr>
      <w:r>
        <w:rPr>
          <w:rFonts w:hint="eastAsia" w:ascii="宋体" w:cs="宋体"/>
          <w:sz w:val="24"/>
        </w:rPr>
        <w:t>投标报价得分=(评标基准价／评标报价)×投标报价权重</w:t>
      </w:r>
    </w:p>
    <w:p>
      <w:pPr>
        <w:keepNext w:val="0"/>
        <w:keepLines w:val="0"/>
        <w:pageBreakBefore w:val="0"/>
        <w:widowControl w:val="0"/>
        <w:kinsoku/>
        <w:wordWrap/>
        <w:overflowPunct/>
        <w:topLinePunct w:val="0"/>
        <w:autoSpaceDE/>
        <w:autoSpaceDN/>
        <w:bidi w:val="0"/>
        <w:adjustRightInd/>
        <w:snapToGrid w:val="0"/>
        <w:spacing w:line="400" w:lineRule="exact"/>
        <w:ind w:firstLine="465"/>
        <w:textAlignment w:val="auto"/>
      </w:pPr>
      <w:r>
        <w:rPr>
          <w:rFonts w:hint="eastAsia" w:ascii="宋体" w:cs="宋体"/>
          <w:b/>
          <w:bCs/>
          <w:sz w:val="24"/>
        </w:rPr>
        <w:t>注：各投标供应商不得采取恶意</w:t>
      </w:r>
      <w:r>
        <w:rPr>
          <w:rFonts w:hint="eastAsia" w:ascii="宋体" w:cs="宋体"/>
          <w:b/>
          <w:bCs/>
          <w:color w:val="000000"/>
          <w:sz w:val="24"/>
        </w:rPr>
        <w:t>竞价</w:t>
      </w:r>
      <w:r>
        <w:rPr>
          <w:rFonts w:hint="eastAsia" w:ascii="宋体" w:cs="宋体"/>
          <w:b/>
          <w:bCs/>
          <w:sz w:val="24"/>
        </w:rPr>
        <w:t>方式投标，不得以低于成本的价格参与投标。如评标委员会一致认为供应商恶意报价，其投标文件将作无效投标处理。</w:t>
      </w:r>
    </w:p>
    <w:p>
      <w:pPr>
        <w:spacing w:line="560" w:lineRule="exact"/>
        <w:ind w:firstLine="616" w:firstLineChars="200"/>
        <w:rPr>
          <w:rFonts w:ascii="仿宋_GB2312" w:hAnsi="黑体" w:eastAsia="仿宋_GB2312"/>
          <w:snapToGrid w:val="0"/>
          <w:spacing w:val="-6"/>
          <w:kern w:val="0"/>
          <w:sz w:val="32"/>
          <w:szCs w:val="32"/>
        </w:rPr>
      </w:pPr>
    </w:p>
    <w:p>
      <w:pPr>
        <w:pStyle w:val="17"/>
        <w:jc w:val="left"/>
        <w:rPr>
          <w:rFonts w:ascii="宋体" w:cs="宋体"/>
          <w:b/>
          <w:bCs/>
          <w:sz w:val="24"/>
        </w:rPr>
      </w:pPr>
      <w:r>
        <w:rPr>
          <w:rFonts w:hint="eastAsia" w:ascii="宋体" w:cs="宋体"/>
          <w:b/>
          <w:bCs/>
          <w:sz w:val="24"/>
        </w:rPr>
        <w:t>2、商务评分标准（</w:t>
      </w:r>
      <w:r>
        <w:rPr>
          <w:rFonts w:hint="eastAsia" w:ascii="宋体" w:cs="宋体"/>
          <w:b/>
          <w:bCs/>
          <w:sz w:val="24"/>
          <w:lang w:val="en-US" w:eastAsia="zh-CN"/>
        </w:rPr>
        <w:t>25</w:t>
      </w:r>
      <w:r>
        <w:rPr>
          <w:rFonts w:hint="eastAsia" w:ascii="宋体" w:cs="宋体"/>
          <w:b/>
          <w:bCs/>
          <w:sz w:val="24"/>
        </w:rPr>
        <w:t>分）</w:t>
      </w:r>
    </w:p>
    <w:tbl>
      <w:tblPr>
        <w:tblStyle w:val="23"/>
        <w:tblW w:w="8905"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723"/>
        <w:gridCol w:w="1560"/>
        <w:gridCol w:w="5802"/>
        <w:gridCol w:w="820"/>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723" w:type="dxa"/>
            <w:vAlign w:val="center"/>
          </w:tcPr>
          <w:p>
            <w:pPr>
              <w:pStyle w:val="17"/>
              <w:jc w:val="center"/>
              <w:rPr>
                <w:rFonts w:ascii="宋体" w:cs="宋体"/>
                <w:sz w:val="24"/>
              </w:rPr>
            </w:pPr>
            <w:r>
              <w:rPr>
                <w:rFonts w:hint="eastAsia" w:ascii="宋体" w:cs="宋体"/>
                <w:sz w:val="24"/>
              </w:rPr>
              <w:t>序号</w:t>
            </w:r>
          </w:p>
        </w:tc>
        <w:tc>
          <w:tcPr>
            <w:tcW w:w="1560" w:type="dxa"/>
            <w:vAlign w:val="center"/>
          </w:tcPr>
          <w:p>
            <w:pPr>
              <w:pStyle w:val="17"/>
              <w:jc w:val="center"/>
              <w:rPr>
                <w:rFonts w:ascii="宋体" w:cs="宋体"/>
                <w:sz w:val="24"/>
              </w:rPr>
            </w:pPr>
            <w:r>
              <w:rPr>
                <w:rFonts w:hint="eastAsia" w:ascii="宋体" w:cs="宋体"/>
                <w:sz w:val="24"/>
              </w:rPr>
              <w:t>评分因素</w:t>
            </w:r>
          </w:p>
        </w:tc>
        <w:tc>
          <w:tcPr>
            <w:tcW w:w="5802" w:type="dxa"/>
            <w:vAlign w:val="center"/>
          </w:tcPr>
          <w:p>
            <w:pPr>
              <w:pStyle w:val="17"/>
              <w:jc w:val="center"/>
              <w:rPr>
                <w:rFonts w:ascii="宋体" w:cs="宋体"/>
                <w:sz w:val="24"/>
              </w:rPr>
            </w:pPr>
            <w:r>
              <w:rPr>
                <w:rFonts w:hint="eastAsia" w:ascii="宋体" w:cs="宋体"/>
                <w:sz w:val="24"/>
              </w:rPr>
              <w:t>评分标准</w:t>
            </w:r>
          </w:p>
        </w:tc>
        <w:tc>
          <w:tcPr>
            <w:tcW w:w="820" w:type="dxa"/>
            <w:vAlign w:val="center"/>
          </w:tcPr>
          <w:p>
            <w:pPr>
              <w:pStyle w:val="17"/>
              <w:jc w:val="center"/>
              <w:rPr>
                <w:rFonts w:ascii="宋体" w:cs="宋体"/>
                <w:sz w:val="24"/>
              </w:rPr>
            </w:pPr>
            <w:r>
              <w:rPr>
                <w:rFonts w:hint="eastAsia" w:ascii="宋体" w:cs="宋体"/>
                <w:sz w:val="24"/>
              </w:rPr>
              <w:t>分值</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940" w:hRule="atLeast"/>
        </w:trPr>
        <w:tc>
          <w:tcPr>
            <w:tcW w:w="723" w:type="dxa"/>
            <w:vAlign w:val="center"/>
          </w:tcPr>
          <w:p>
            <w:pPr>
              <w:pStyle w:val="17"/>
              <w:jc w:val="center"/>
              <w:rPr>
                <w:rFonts w:ascii="宋体" w:cs="宋体"/>
                <w:sz w:val="24"/>
              </w:rPr>
            </w:pPr>
            <w:r>
              <w:rPr>
                <w:rFonts w:hint="eastAsia" w:ascii="宋体" w:cs="宋体"/>
                <w:sz w:val="24"/>
              </w:rPr>
              <w:t>1</w:t>
            </w:r>
          </w:p>
        </w:tc>
        <w:tc>
          <w:tcPr>
            <w:tcW w:w="1560" w:type="dxa"/>
            <w:vAlign w:val="center"/>
          </w:tcPr>
          <w:p>
            <w:pPr>
              <w:pStyle w:val="17"/>
              <w:jc w:val="center"/>
              <w:rPr>
                <w:rFonts w:ascii="宋体" w:cs="宋体"/>
                <w:color w:val="000000"/>
                <w:sz w:val="24"/>
              </w:rPr>
            </w:pPr>
            <w:r>
              <w:rPr>
                <w:rFonts w:hint="eastAsia" w:ascii="宋体" w:cs="宋体"/>
                <w:color w:val="000000"/>
                <w:sz w:val="24"/>
              </w:rPr>
              <w:t>投标人业绩</w:t>
            </w:r>
          </w:p>
        </w:tc>
        <w:tc>
          <w:tcPr>
            <w:tcW w:w="5802" w:type="dxa"/>
          </w:tcPr>
          <w:p>
            <w:pPr>
              <w:pStyle w:val="17"/>
              <w:pBdr>
                <w:bottom w:val="none" w:color="auto" w:sz="0" w:space="0"/>
              </w:pBdr>
              <w:jc w:val="left"/>
              <w:rPr>
                <w:rFonts w:hint="eastAsia" w:ascii="宋体" w:cs="宋体"/>
                <w:color w:val="000000"/>
                <w:sz w:val="24"/>
              </w:rPr>
            </w:pPr>
            <w:r>
              <w:rPr>
                <w:rFonts w:hint="eastAsia" w:ascii="宋体" w:cs="宋体"/>
                <w:color w:val="000000" w:themeColor="text1"/>
                <w:sz w:val="24"/>
                <w:lang w:eastAsia="zh-CN"/>
                <w14:textFill>
                  <w14:solidFill>
                    <w14:schemeClr w14:val="tx1"/>
                  </w14:solidFill>
                </w14:textFill>
              </w:rPr>
              <w:t>提供</w:t>
            </w:r>
            <w:r>
              <w:rPr>
                <w:rFonts w:hint="eastAsia" w:ascii="宋体" w:cs="宋体"/>
                <w:color w:val="000000" w:themeColor="text1"/>
                <w:sz w:val="24"/>
                <w:lang w:val="en-US" w:eastAsia="zh-CN"/>
                <w14:textFill>
                  <w14:solidFill>
                    <w14:schemeClr w14:val="tx1"/>
                  </w14:solidFill>
                </w14:textFill>
              </w:rPr>
              <w:t>自2019年6月1日至今政</w:t>
            </w:r>
            <w:r>
              <w:rPr>
                <w:rFonts w:hint="eastAsia" w:ascii="宋体" w:cs="宋体"/>
                <w:color w:val="auto"/>
                <w:sz w:val="24"/>
                <w:lang w:val="en-US" w:eastAsia="zh-CN"/>
              </w:rPr>
              <w:t>府采购类的同类项目业绩证明</w:t>
            </w:r>
            <w:r>
              <w:rPr>
                <w:rFonts w:hint="eastAsia" w:ascii="宋体" w:cs="宋体"/>
                <w:color w:val="auto"/>
                <w:sz w:val="24"/>
                <w:lang w:eastAsia="zh-CN"/>
              </w:rPr>
              <w:t>。</w:t>
            </w:r>
            <w:r>
              <w:rPr>
                <w:rFonts w:hint="eastAsia" w:ascii="宋体" w:cs="宋体"/>
                <w:color w:val="auto"/>
                <w:sz w:val="24"/>
              </w:rPr>
              <w:t>（提供合同</w:t>
            </w:r>
            <w:r>
              <w:rPr>
                <w:rFonts w:hint="eastAsia" w:ascii="宋体" w:cs="宋体"/>
                <w:color w:val="auto"/>
                <w:sz w:val="24"/>
                <w:lang w:eastAsia="zh-CN"/>
              </w:rPr>
              <w:t>或</w:t>
            </w:r>
            <w:r>
              <w:rPr>
                <w:rFonts w:hint="eastAsia" w:ascii="宋体" w:cs="宋体"/>
                <w:color w:val="auto"/>
                <w:sz w:val="24"/>
              </w:rPr>
              <w:t>中标通知书证明材</w:t>
            </w:r>
            <w:r>
              <w:rPr>
                <w:rFonts w:hint="eastAsia" w:ascii="宋体" w:cs="宋体"/>
                <w:color w:val="000000"/>
                <w:sz w:val="24"/>
              </w:rPr>
              <w:t>料）</w:t>
            </w:r>
            <w:r>
              <w:rPr>
                <w:rFonts w:hint="eastAsia" w:ascii="宋体" w:cs="宋体"/>
                <w:color w:val="000000"/>
                <w:sz w:val="24"/>
                <w:lang w:eastAsia="zh-CN"/>
              </w:rPr>
              <w:t>（</w:t>
            </w:r>
            <w:r>
              <w:rPr>
                <w:rFonts w:hint="eastAsia" w:ascii="宋体" w:cs="宋体"/>
                <w:color w:val="000000"/>
                <w:sz w:val="24"/>
              </w:rPr>
              <w:t>满分</w:t>
            </w:r>
            <w:r>
              <w:rPr>
                <w:rFonts w:hint="eastAsia" w:ascii="宋体" w:cs="宋体"/>
                <w:color w:val="000000"/>
                <w:sz w:val="24"/>
                <w:lang w:val="en-US" w:eastAsia="zh-CN"/>
              </w:rPr>
              <w:t>4</w:t>
            </w:r>
            <w:r>
              <w:rPr>
                <w:rFonts w:hint="eastAsia" w:ascii="宋体" w:cs="宋体"/>
                <w:color w:val="000000"/>
                <w:sz w:val="24"/>
              </w:rPr>
              <w:t>分</w:t>
            </w:r>
            <w:r>
              <w:rPr>
                <w:rFonts w:hint="eastAsia" w:ascii="宋体" w:cs="宋体"/>
                <w:color w:val="000000"/>
                <w:sz w:val="24"/>
                <w:lang w:eastAsia="zh-CN"/>
              </w:rPr>
              <w:t>）：</w:t>
            </w:r>
          </w:p>
          <w:p>
            <w:pPr>
              <w:pStyle w:val="17"/>
              <w:pBdr>
                <w:bottom w:val="none" w:color="auto" w:sz="0" w:space="0"/>
              </w:pBdr>
              <w:jc w:val="left"/>
              <w:rPr>
                <w:rFonts w:hint="eastAsia" w:ascii="宋体" w:eastAsia="宋体" w:cs="宋体"/>
                <w:color w:val="000000"/>
                <w:sz w:val="24"/>
                <w:lang w:eastAsia="zh-CN"/>
              </w:rPr>
            </w:pPr>
            <w:r>
              <w:rPr>
                <w:rFonts w:hint="eastAsia" w:ascii="宋体" w:eastAsia="宋体" w:cs="宋体"/>
                <w:color w:val="000000"/>
                <w:sz w:val="24"/>
              </w:rPr>
              <w:t>①</w:t>
            </w:r>
            <w:r>
              <w:rPr>
                <w:rFonts w:hint="eastAsia" w:ascii="宋体" w:cs="宋体"/>
                <w:color w:val="000000"/>
                <w:sz w:val="24"/>
              </w:rPr>
              <w:t>每</w:t>
            </w:r>
            <w:r>
              <w:rPr>
                <w:rFonts w:hint="eastAsia" w:ascii="宋体" w:cs="宋体"/>
                <w:color w:val="000000"/>
                <w:sz w:val="24"/>
                <w:lang w:eastAsia="zh-CN"/>
              </w:rPr>
              <w:t>提供</w:t>
            </w:r>
            <w:r>
              <w:rPr>
                <w:rFonts w:hint="eastAsia" w:ascii="宋体" w:cs="宋体"/>
                <w:color w:val="000000"/>
                <w:sz w:val="24"/>
                <w:lang w:val="en-US" w:eastAsia="zh-CN"/>
              </w:rPr>
              <w:t>1</w:t>
            </w:r>
            <w:r>
              <w:rPr>
                <w:rFonts w:hint="eastAsia" w:ascii="宋体" w:cs="宋体"/>
                <w:color w:val="000000"/>
                <w:sz w:val="24"/>
              </w:rPr>
              <w:t>个</w:t>
            </w:r>
            <w:r>
              <w:rPr>
                <w:rFonts w:hint="eastAsia" w:ascii="宋体" w:cs="宋体"/>
                <w:color w:val="000000"/>
                <w:sz w:val="24"/>
                <w:lang w:eastAsia="zh-CN"/>
              </w:rPr>
              <w:t>业绩</w:t>
            </w:r>
            <w:r>
              <w:rPr>
                <w:rFonts w:hint="eastAsia" w:ascii="宋体" w:cs="宋体"/>
                <w:color w:val="000000"/>
                <w:sz w:val="24"/>
              </w:rPr>
              <w:t>得</w:t>
            </w:r>
            <w:r>
              <w:rPr>
                <w:rFonts w:hint="eastAsia" w:ascii="宋体" w:cs="宋体"/>
                <w:color w:val="000000"/>
                <w:sz w:val="24"/>
                <w:lang w:val="en-US" w:eastAsia="zh-CN"/>
              </w:rPr>
              <w:t>1</w:t>
            </w:r>
            <w:r>
              <w:rPr>
                <w:rFonts w:hint="eastAsia" w:ascii="宋体" w:cs="宋体"/>
                <w:color w:val="000000"/>
                <w:sz w:val="24"/>
              </w:rPr>
              <w:t>分</w:t>
            </w:r>
            <w:r>
              <w:rPr>
                <w:rFonts w:hint="eastAsia" w:ascii="宋体" w:cs="宋体"/>
                <w:color w:val="000000"/>
                <w:sz w:val="24"/>
                <w:lang w:eastAsia="zh-CN"/>
              </w:rPr>
              <w:t>；</w:t>
            </w:r>
          </w:p>
          <w:p>
            <w:pPr>
              <w:pStyle w:val="17"/>
              <w:jc w:val="left"/>
              <w:rPr>
                <w:rFonts w:ascii="宋体" w:cs="宋体"/>
                <w:color w:val="000000"/>
                <w:sz w:val="24"/>
              </w:rPr>
            </w:pPr>
            <w:r>
              <w:rPr>
                <w:rFonts w:hint="eastAsia" w:ascii="宋体" w:eastAsia="宋体" w:cs="宋体"/>
                <w:color w:val="000000"/>
                <w:sz w:val="24"/>
              </w:rPr>
              <w:t>②</w:t>
            </w:r>
            <w:r>
              <w:rPr>
                <w:rFonts w:hint="eastAsia" w:ascii="宋体" w:cs="宋体"/>
                <w:color w:val="000000"/>
                <w:sz w:val="24"/>
              </w:rPr>
              <w:t>没有的不得分</w:t>
            </w:r>
            <w:r>
              <w:rPr>
                <w:rFonts w:hint="eastAsia" w:ascii="宋体" w:cs="宋体"/>
                <w:sz w:val="24"/>
              </w:rPr>
              <w:t>。</w:t>
            </w:r>
          </w:p>
        </w:tc>
        <w:tc>
          <w:tcPr>
            <w:tcW w:w="820" w:type="dxa"/>
            <w:vAlign w:val="center"/>
          </w:tcPr>
          <w:p>
            <w:pPr>
              <w:pStyle w:val="17"/>
              <w:jc w:val="center"/>
              <w:rPr>
                <w:rFonts w:hint="eastAsia" w:ascii="宋体" w:eastAsia="宋体" w:cs="宋体"/>
                <w:sz w:val="24"/>
                <w:highlight w:val="red"/>
                <w:lang w:eastAsia="zh-CN"/>
              </w:rPr>
            </w:pPr>
            <w:r>
              <w:rPr>
                <w:rFonts w:hint="eastAsia" w:ascii="宋体" w:cs="宋体"/>
                <w:color w:val="auto"/>
                <w:sz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723" w:type="dxa"/>
            <w:vAlign w:val="center"/>
          </w:tcPr>
          <w:p>
            <w:pPr>
              <w:pStyle w:val="17"/>
              <w:jc w:val="center"/>
              <w:rPr>
                <w:rFonts w:ascii="宋体" w:cs="宋体"/>
                <w:sz w:val="24"/>
              </w:rPr>
            </w:pPr>
            <w:r>
              <w:rPr>
                <w:rFonts w:hint="eastAsia" w:ascii="宋体" w:cs="宋体"/>
                <w:sz w:val="24"/>
              </w:rPr>
              <w:t>2</w:t>
            </w:r>
          </w:p>
        </w:tc>
        <w:tc>
          <w:tcPr>
            <w:tcW w:w="1560" w:type="dxa"/>
            <w:vAlign w:val="center"/>
          </w:tcPr>
          <w:p>
            <w:pPr>
              <w:pStyle w:val="17"/>
              <w:jc w:val="center"/>
              <w:rPr>
                <w:rFonts w:ascii="宋体" w:hAnsi="Calibri" w:eastAsia="宋体" w:cs="宋体"/>
                <w:color w:val="000000"/>
                <w:kern w:val="2"/>
                <w:sz w:val="24"/>
                <w:szCs w:val="24"/>
                <w:lang w:val="en-US" w:eastAsia="zh-CN" w:bidi="ar-SA"/>
              </w:rPr>
            </w:pPr>
            <w:r>
              <w:rPr>
                <w:rFonts w:hint="eastAsia" w:ascii="宋体" w:cs="宋体"/>
                <w:sz w:val="24"/>
              </w:rPr>
              <w:t>人员配备</w:t>
            </w:r>
          </w:p>
        </w:tc>
        <w:tc>
          <w:tcPr>
            <w:tcW w:w="5802" w:type="dxa"/>
            <w:vAlign w:val="top"/>
          </w:tcPr>
          <w:p>
            <w:pPr>
              <w:pStyle w:val="17"/>
              <w:jc w:val="left"/>
              <w:rPr>
                <w:rFonts w:ascii="宋体" w:cs="宋体"/>
                <w:color w:val="auto"/>
                <w:sz w:val="24"/>
              </w:rPr>
            </w:pPr>
            <w:r>
              <w:rPr>
                <w:rFonts w:hint="eastAsia" w:ascii="宋体" w:cs="宋体"/>
                <w:color w:val="auto"/>
                <w:sz w:val="24"/>
              </w:rPr>
              <w:t>科学合理配备人员（满分</w:t>
            </w:r>
            <w:r>
              <w:rPr>
                <w:rFonts w:hint="eastAsia" w:ascii="宋体" w:cs="宋体"/>
                <w:color w:val="auto"/>
                <w:sz w:val="24"/>
                <w:lang w:val="en-US" w:eastAsia="zh-CN"/>
              </w:rPr>
              <w:t>5</w:t>
            </w:r>
            <w:r>
              <w:rPr>
                <w:rFonts w:hint="eastAsia" w:ascii="宋体" w:cs="宋体"/>
                <w:color w:val="auto"/>
                <w:sz w:val="24"/>
              </w:rPr>
              <w:t>分）</w:t>
            </w:r>
          </w:p>
          <w:p>
            <w:pPr>
              <w:pStyle w:val="42"/>
              <w:spacing w:before="0" w:after="0" w:line="320" w:lineRule="exact"/>
              <w:ind w:firstLine="0"/>
              <w:jc w:val="left"/>
              <w:rPr>
                <w:rFonts w:hint="eastAsia" w:ascii="宋体" w:hAnsi="宋体" w:eastAsia="宋体" w:cs="宋体"/>
                <w:sz w:val="24"/>
                <w:szCs w:val="24"/>
                <w:highlight w:val="none"/>
                <w:lang w:val="en-US" w:eastAsia="zh-CN" w:bidi="ar-SA"/>
              </w:rPr>
            </w:pPr>
            <w:r>
              <w:rPr>
                <w:rFonts w:hint="eastAsia" w:ascii="宋体" w:cs="宋体"/>
                <w:color w:val="auto"/>
                <w:sz w:val="24"/>
              </w:rPr>
              <w:t>①</w:t>
            </w:r>
            <w:r>
              <w:rPr>
                <w:rFonts w:hint="eastAsia" w:ascii="宋体" w:hAnsi="宋体" w:eastAsia="宋体" w:cs="宋体"/>
                <w:sz w:val="24"/>
                <w:szCs w:val="24"/>
                <w:highlight w:val="none"/>
                <w:lang w:val="en-US" w:eastAsia="zh-CN" w:bidi="ar-SA"/>
              </w:rPr>
              <w:t>所投产品详细的运送、安装调试计划及实施各阶段的人员配备情况。</w:t>
            </w:r>
          </w:p>
          <w:p>
            <w:pPr>
              <w:pStyle w:val="42"/>
              <w:spacing w:before="0" w:after="0" w:line="320" w:lineRule="exact"/>
              <w:ind w:firstLine="0"/>
              <w:jc w:val="left"/>
              <w:rPr>
                <w:rFonts w:hint="eastAsia" w:ascii="宋体" w:eastAsia="宋体" w:cs="宋体"/>
                <w:color w:val="auto"/>
                <w:sz w:val="24"/>
                <w:lang w:eastAsia="zh-CN"/>
              </w:rPr>
            </w:pPr>
            <w:r>
              <w:rPr>
                <w:rFonts w:hint="eastAsia" w:ascii="宋体" w:hAnsi="宋体" w:eastAsia="宋体" w:cs="宋体"/>
                <w:sz w:val="24"/>
                <w:szCs w:val="24"/>
                <w:highlight w:val="none"/>
                <w:lang w:val="en-US" w:eastAsia="zh-CN" w:bidi="ar-SA"/>
              </w:rPr>
              <w:t>1、提供实施计划安排</w:t>
            </w:r>
            <w:r>
              <w:rPr>
                <w:rFonts w:hint="eastAsia" w:ascii="宋体" w:hAnsi="宋体" w:cs="宋体"/>
                <w:sz w:val="24"/>
                <w:szCs w:val="24"/>
                <w:highlight w:val="none"/>
                <w:lang w:val="en-US" w:eastAsia="zh-CN" w:bidi="ar-SA"/>
              </w:rPr>
              <w:t>、</w:t>
            </w:r>
            <w:r>
              <w:rPr>
                <w:rFonts w:hint="eastAsia" w:ascii="宋体" w:hAnsi="宋体" w:eastAsia="宋体" w:cs="宋体"/>
                <w:sz w:val="24"/>
                <w:szCs w:val="24"/>
                <w:highlight w:val="none"/>
                <w:lang w:val="en-US" w:eastAsia="zh-CN" w:bidi="ar-SA"/>
              </w:rPr>
              <w:t>安装调试方案</w:t>
            </w:r>
            <w:r>
              <w:rPr>
                <w:rFonts w:hint="eastAsia" w:ascii="宋体" w:hAnsi="宋体" w:cs="宋体"/>
                <w:sz w:val="24"/>
                <w:szCs w:val="24"/>
                <w:highlight w:val="none"/>
                <w:lang w:val="en-US" w:eastAsia="zh-CN" w:bidi="ar-SA"/>
              </w:rPr>
              <w:t>、</w:t>
            </w:r>
            <w:r>
              <w:rPr>
                <w:rFonts w:hint="eastAsia" w:ascii="宋体" w:hAnsi="宋体" w:eastAsia="宋体" w:cs="宋体"/>
                <w:sz w:val="24"/>
                <w:szCs w:val="24"/>
                <w:highlight w:val="none"/>
                <w:lang w:val="en-US" w:eastAsia="zh-CN" w:bidi="ar-SA"/>
              </w:rPr>
              <w:t>项目组织及项目人员安排得</w:t>
            </w:r>
            <w:r>
              <w:rPr>
                <w:rFonts w:hint="eastAsia" w:ascii="宋体" w:hAnsi="宋体" w:cs="宋体"/>
                <w:sz w:val="24"/>
                <w:szCs w:val="24"/>
                <w:highlight w:val="none"/>
                <w:lang w:val="en-US" w:eastAsia="zh-CN" w:bidi="ar-SA"/>
              </w:rPr>
              <w:t>0</w:t>
            </w:r>
            <w:r>
              <w:rPr>
                <w:rFonts w:hint="eastAsia" w:ascii="宋体" w:hAnsi="宋体" w:eastAsia="宋体" w:cs="宋体"/>
                <w:sz w:val="24"/>
                <w:szCs w:val="24"/>
                <w:highlight w:val="none"/>
                <w:lang w:val="en-US" w:eastAsia="zh-CN" w:bidi="ar-SA"/>
              </w:rPr>
              <w:t>-</w:t>
            </w:r>
            <w:r>
              <w:rPr>
                <w:rFonts w:hint="eastAsia" w:ascii="宋体" w:hAnsi="宋体" w:cs="宋体"/>
                <w:sz w:val="24"/>
                <w:szCs w:val="24"/>
                <w:highlight w:val="none"/>
                <w:lang w:val="en-US" w:eastAsia="zh-CN" w:bidi="ar-SA"/>
              </w:rPr>
              <w:t>5</w:t>
            </w:r>
            <w:r>
              <w:rPr>
                <w:rFonts w:hint="eastAsia" w:ascii="宋体" w:hAnsi="宋体" w:eastAsia="宋体" w:cs="宋体"/>
                <w:sz w:val="24"/>
                <w:szCs w:val="24"/>
                <w:highlight w:val="none"/>
                <w:lang w:val="en-US" w:eastAsia="zh-CN" w:bidi="ar-SA"/>
              </w:rPr>
              <w:t>分。</w:t>
            </w:r>
            <w:r>
              <w:rPr>
                <w:rFonts w:hint="eastAsia" w:ascii="宋体" w:cs="宋体"/>
                <w:color w:val="auto"/>
                <w:sz w:val="24"/>
                <w:lang w:eastAsia="zh-CN"/>
              </w:rPr>
              <w:t>（</w:t>
            </w:r>
            <w:r>
              <w:rPr>
                <w:rFonts w:hint="eastAsia" w:ascii="宋体" w:cs="宋体"/>
                <w:color w:val="auto"/>
                <w:sz w:val="24"/>
                <w:lang w:val="en-US" w:eastAsia="zh-CN"/>
              </w:rPr>
              <w:t>提供相关人员近三个月社保证明材料）</w:t>
            </w:r>
            <w:r>
              <w:rPr>
                <w:rFonts w:hint="eastAsia" w:ascii="宋体" w:eastAsia="宋体" w:cs="宋体"/>
                <w:color w:val="auto"/>
                <w:sz w:val="24"/>
                <w:lang w:eastAsia="zh-CN"/>
              </w:rPr>
              <w:t>。</w:t>
            </w:r>
          </w:p>
          <w:p>
            <w:pPr>
              <w:pStyle w:val="17"/>
              <w:jc w:val="left"/>
              <w:rPr>
                <w:rFonts w:ascii="宋体" w:hAnsi="Calibri" w:eastAsia="宋体" w:cs="宋体"/>
                <w:color w:val="auto"/>
                <w:kern w:val="2"/>
                <w:sz w:val="24"/>
                <w:szCs w:val="24"/>
                <w:lang w:val="en-US" w:eastAsia="zh-CN" w:bidi="ar-SA"/>
              </w:rPr>
            </w:pPr>
            <w:r>
              <w:rPr>
                <w:rFonts w:hint="eastAsia" w:ascii="宋体" w:cs="宋体"/>
                <w:color w:val="auto"/>
                <w:sz w:val="24"/>
              </w:rPr>
              <w:t>②未提供则不得分。</w:t>
            </w:r>
          </w:p>
        </w:tc>
        <w:tc>
          <w:tcPr>
            <w:tcW w:w="820" w:type="dxa"/>
            <w:vAlign w:val="center"/>
          </w:tcPr>
          <w:p>
            <w:pPr>
              <w:pStyle w:val="17"/>
              <w:jc w:val="center"/>
              <w:rPr>
                <w:rFonts w:hint="eastAsia" w:ascii="宋体" w:hAnsi="Calibri" w:eastAsia="宋体" w:cs="宋体"/>
                <w:kern w:val="2"/>
                <w:sz w:val="24"/>
                <w:szCs w:val="24"/>
                <w:lang w:val="en-US" w:eastAsia="zh-CN" w:bidi="ar-SA"/>
              </w:rPr>
            </w:pPr>
            <w:r>
              <w:rPr>
                <w:rFonts w:hint="eastAsia" w:ascii="宋体" w:cs="宋体"/>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381" w:hRule="atLeast"/>
        </w:trPr>
        <w:tc>
          <w:tcPr>
            <w:tcW w:w="723" w:type="dxa"/>
            <w:vAlign w:val="center"/>
          </w:tcPr>
          <w:p>
            <w:pPr>
              <w:pStyle w:val="17"/>
              <w:jc w:val="center"/>
              <w:rPr>
                <w:rFonts w:ascii="宋体" w:cs="宋体"/>
                <w:sz w:val="24"/>
              </w:rPr>
            </w:pPr>
            <w:r>
              <w:rPr>
                <w:rFonts w:hint="eastAsia" w:ascii="宋体" w:cs="宋体"/>
                <w:sz w:val="24"/>
              </w:rPr>
              <w:t>3</w:t>
            </w:r>
          </w:p>
        </w:tc>
        <w:tc>
          <w:tcPr>
            <w:tcW w:w="1560" w:type="dxa"/>
            <w:vAlign w:val="center"/>
          </w:tcPr>
          <w:p>
            <w:pPr>
              <w:pStyle w:val="17"/>
              <w:jc w:val="center"/>
              <w:rPr>
                <w:rFonts w:ascii="宋体" w:hAnsi="Calibri" w:eastAsia="宋体" w:cs="宋体"/>
                <w:kern w:val="2"/>
                <w:sz w:val="24"/>
                <w:szCs w:val="24"/>
                <w:lang w:val="en-US" w:eastAsia="zh-CN" w:bidi="ar-SA"/>
              </w:rPr>
            </w:pPr>
            <w:r>
              <w:rPr>
                <w:rFonts w:hint="eastAsia" w:ascii="宋体" w:cs="宋体"/>
                <w:sz w:val="24"/>
              </w:rPr>
              <w:t>售后服务及质量保障措施</w:t>
            </w:r>
          </w:p>
        </w:tc>
        <w:tc>
          <w:tcPr>
            <w:tcW w:w="5802" w:type="dxa"/>
            <w:vAlign w:val="top"/>
          </w:tcPr>
          <w:p>
            <w:pPr>
              <w:pStyle w:val="17"/>
              <w:jc w:val="left"/>
              <w:rPr>
                <w:rFonts w:ascii="宋体" w:cs="宋体"/>
                <w:color w:val="auto"/>
                <w:sz w:val="24"/>
                <w:highlight w:val="none"/>
              </w:rPr>
            </w:pPr>
            <w:r>
              <w:rPr>
                <w:rFonts w:hint="eastAsia" w:ascii="宋体" w:cs="宋体"/>
                <w:sz w:val="24"/>
              </w:rPr>
              <w:t>售后服务</w:t>
            </w:r>
            <w:r>
              <w:rPr>
                <w:rFonts w:hint="eastAsia" w:ascii="宋体" w:cs="宋体"/>
                <w:color w:val="auto"/>
                <w:sz w:val="24"/>
                <w:highlight w:val="none"/>
              </w:rPr>
              <w:t>方案（满分</w:t>
            </w:r>
            <w:r>
              <w:rPr>
                <w:rFonts w:hint="eastAsia" w:ascii="宋体" w:cs="宋体"/>
                <w:color w:val="auto"/>
                <w:sz w:val="24"/>
                <w:highlight w:val="none"/>
                <w:lang w:val="en-US" w:eastAsia="zh-CN"/>
              </w:rPr>
              <w:t>14</w:t>
            </w:r>
            <w:r>
              <w:rPr>
                <w:rFonts w:hint="eastAsia" w:ascii="宋体" w:cs="宋体"/>
                <w:color w:val="auto"/>
                <w:sz w:val="24"/>
                <w:highlight w:val="none"/>
              </w:rPr>
              <w:t>分）：</w:t>
            </w:r>
          </w:p>
          <w:p>
            <w:pPr>
              <w:pStyle w:val="17"/>
              <w:jc w:val="left"/>
              <w:rPr>
                <w:rFonts w:hint="eastAsia" w:ascii="宋体" w:cs="宋体"/>
                <w:color w:val="auto"/>
                <w:sz w:val="24"/>
                <w:highlight w:val="none"/>
              </w:rPr>
            </w:pPr>
            <w:r>
              <w:rPr>
                <w:rFonts w:hint="eastAsia" w:ascii="宋体" w:cs="宋体"/>
                <w:color w:val="auto"/>
                <w:sz w:val="24"/>
                <w:highlight w:val="none"/>
              </w:rPr>
              <w:t>1.售后的响应时间，不得超过30分钟，否则不得分，基础得分</w:t>
            </w:r>
            <w:r>
              <w:rPr>
                <w:rFonts w:hint="eastAsia" w:ascii="宋体" w:cs="宋体"/>
                <w:color w:val="auto"/>
                <w:sz w:val="24"/>
                <w:highlight w:val="none"/>
                <w:lang w:val="en-US" w:eastAsia="zh-CN"/>
              </w:rPr>
              <w:t>0.5</w:t>
            </w:r>
            <w:r>
              <w:rPr>
                <w:rFonts w:hint="eastAsia" w:ascii="宋体" w:cs="宋体"/>
                <w:color w:val="auto"/>
                <w:sz w:val="24"/>
                <w:highlight w:val="none"/>
              </w:rPr>
              <w:t>分，可根据方案内容增加</w:t>
            </w:r>
            <w:r>
              <w:rPr>
                <w:rFonts w:hint="eastAsia" w:ascii="宋体" w:cs="宋体"/>
                <w:color w:val="auto"/>
                <w:sz w:val="24"/>
                <w:highlight w:val="none"/>
                <w:lang w:val="en-US" w:eastAsia="zh-CN"/>
              </w:rPr>
              <w:t>0.5</w:t>
            </w:r>
            <w:r>
              <w:rPr>
                <w:rFonts w:hint="eastAsia" w:ascii="宋体" w:cs="宋体"/>
                <w:color w:val="auto"/>
                <w:sz w:val="24"/>
                <w:highlight w:val="none"/>
              </w:rPr>
              <w:t>分（共</w:t>
            </w:r>
            <w:r>
              <w:rPr>
                <w:rFonts w:hint="eastAsia" w:ascii="宋体" w:cs="宋体"/>
                <w:color w:val="auto"/>
                <w:sz w:val="24"/>
                <w:highlight w:val="none"/>
                <w:lang w:val="en-US" w:eastAsia="zh-CN"/>
              </w:rPr>
              <w:t>1</w:t>
            </w:r>
            <w:r>
              <w:rPr>
                <w:rFonts w:hint="eastAsia" w:ascii="宋体" w:cs="宋体"/>
                <w:color w:val="auto"/>
                <w:sz w:val="24"/>
                <w:highlight w:val="none"/>
              </w:rPr>
              <w:t>分）；</w:t>
            </w:r>
          </w:p>
          <w:p>
            <w:pPr>
              <w:pStyle w:val="17"/>
              <w:jc w:val="left"/>
              <w:rPr>
                <w:rFonts w:hint="eastAsia" w:ascii="宋体" w:cs="宋体"/>
                <w:color w:val="auto"/>
                <w:sz w:val="24"/>
                <w:highlight w:val="none"/>
              </w:rPr>
            </w:pPr>
            <w:r>
              <w:rPr>
                <w:rFonts w:hint="eastAsia" w:ascii="宋体" w:cs="宋体"/>
                <w:color w:val="auto"/>
                <w:sz w:val="24"/>
                <w:highlight w:val="none"/>
              </w:rPr>
              <w:t>2.出现问题后的处理方案，基础得分</w:t>
            </w:r>
            <w:r>
              <w:rPr>
                <w:rFonts w:hint="eastAsia" w:ascii="宋体" w:cs="宋体"/>
                <w:color w:val="auto"/>
                <w:sz w:val="24"/>
                <w:highlight w:val="none"/>
                <w:lang w:val="en-US" w:eastAsia="zh-CN"/>
              </w:rPr>
              <w:t>1</w:t>
            </w:r>
            <w:r>
              <w:rPr>
                <w:rFonts w:hint="eastAsia" w:ascii="宋体" w:cs="宋体"/>
                <w:color w:val="auto"/>
                <w:sz w:val="24"/>
                <w:highlight w:val="none"/>
              </w:rPr>
              <w:t>分，可根据方案内容增加</w:t>
            </w:r>
            <w:r>
              <w:rPr>
                <w:rFonts w:hint="eastAsia" w:ascii="宋体" w:cs="宋体"/>
                <w:color w:val="auto"/>
                <w:sz w:val="24"/>
                <w:highlight w:val="none"/>
                <w:lang w:val="en-US" w:eastAsia="zh-CN"/>
              </w:rPr>
              <w:t>1</w:t>
            </w:r>
            <w:r>
              <w:rPr>
                <w:rFonts w:hint="eastAsia" w:ascii="宋体" w:cs="宋体"/>
                <w:color w:val="auto"/>
                <w:sz w:val="24"/>
                <w:highlight w:val="none"/>
              </w:rPr>
              <w:t>分（共</w:t>
            </w:r>
            <w:r>
              <w:rPr>
                <w:rFonts w:hint="eastAsia" w:ascii="宋体" w:cs="宋体"/>
                <w:color w:val="auto"/>
                <w:sz w:val="24"/>
                <w:highlight w:val="none"/>
                <w:lang w:val="en-US" w:eastAsia="zh-CN"/>
              </w:rPr>
              <w:t>2</w:t>
            </w:r>
            <w:r>
              <w:rPr>
                <w:rFonts w:hint="eastAsia" w:ascii="宋体" w:cs="宋体"/>
                <w:color w:val="auto"/>
                <w:sz w:val="24"/>
                <w:highlight w:val="none"/>
              </w:rPr>
              <w:t>分）；</w:t>
            </w:r>
          </w:p>
          <w:p>
            <w:pPr>
              <w:pStyle w:val="17"/>
              <w:jc w:val="left"/>
              <w:rPr>
                <w:rFonts w:hint="eastAsia" w:ascii="宋体" w:cs="宋体"/>
                <w:color w:val="auto"/>
                <w:sz w:val="24"/>
                <w:highlight w:val="none"/>
              </w:rPr>
            </w:pPr>
            <w:r>
              <w:rPr>
                <w:rFonts w:hint="eastAsia" w:ascii="宋体" w:cs="宋体"/>
                <w:color w:val="auto"/>
                <w:sz w:val="24"/>
                <w:highlight w:val="none"/>
              </w:rPr>
              <w:t>3.退换货计划，需含有“</w:t>
            </w:r>
            <w:r>
              <w:rPr>
                <w:rFonts w:hint="eastAsia" w:ascii="宋体" w:cs="宋体"/>
                <w:color w:val="auto"/>
                <w:sz w:val="24"/>
                <w:highlight w:val="none"/>
                <w:lang w:val="en-US" w:eastAsia="zh-CN"/>
              </w:rPr>
              <w:t>退货、换货</w:t>
            </w:r>
            <w:r>
              <w:rPr>
                <w:rFonts w:hint="eastAsia" w:ascii="宋体" w:cs="宋体"/>
                <w:color w:val="auto"/>
                <w:sz w:val="24"/>
                <w:highlight w:val="none"/>
              </w:rPr>
              <w:t>”内容，否则不得分，基础得分</w:t>
            </w:r>
            <w:r>
              <w:rPr>
                <w:rFonts w:hint="eastAsia" w:ascii="宋体" w:cs="宋体"/>
                <w:color w:val="auto"/>
                <w:sz w:val="24"/>
                <w:highlight w:val="none"/>
                <w:lang w:val="en-US" w:eastAsia="zh-CN"/>
              </w:rPr>
              <w:t>1</w:t>
            </w:r>
            <w:r>
              <w:rPr>
                <w:rFonts w:hint="eastAsia" w:ascii="宋体" w:cs="宋体"/>
                <w:color w:val="auto"/>
                <w:sz w:val="24"/>
                <w:highlight w:val="none"/>
              </w:rPr>
              <w:t>分，可根据方案内容增加</w:t>
            </w:r>
            <w:r>
              <w:rPr>
                <w:rFonts w:hint="eastAsia" w:ascii="宋体" w:cs="宋体"/>
                <w:color w:val="auto"/>
                <w:sz w:val="24"/>
                <w:highlight w:val="none"/>
                <w:lang w:val="en-US" w:eastAsia="zh-CN"/>
              </w:rPr>
              <w:t>1</w:t>
            </w:r>
            <w:r>
              <w:rPr>
                <w:rFonts w:hint="eastAsia" w:ascii="宋体" w:cs="宋体"/>
                <w:color w:val="auto"/>
                <w:sz w:val="24"/>
                <w:highlight w:val="none"/>
              </w:rPr>
              <w:t>分（共</w:t>
            </w:r>
            <w:r>
              <w:rPr>
                <w:rFonts w:hint="eastAsia" w:ascii="宋体" w:cs="宋体"/>
                <w:color w:val="auto"/>
                <w:sz w:val="24"/>
                <w:highlight w:val="none"/>
                <w:lang w:val="en-US" w:eastAsia="zh-CN"/>
              </w:rPr>
              <w:t>2</w:t>
            </w:r>
            <w:r>
              <w:rPr>
                <w:rFonts w:hint="eastAsia" w:ascii="宋体" w:cs="宋体"/>
                <w:color w:val="auto"/>
                <w:sz w:val="24"/>
                <w:highlight w:val="none"/>
              </w:rPr>
              <w:t>分）；</w:t>
            </w:r>
          </w:p>
          <w:p>
            <w:pPr>
              <w:pStyle w:val="17"/>
              <w:jc w:val="left"/>
              <w:rPr>
                <w:rFonts w:hint="eastAsia" w:ascii="宋体" w:cs="宋体"/>
                <w:color w:val="auto"/>
                <w:sz w:val="24"/>
                <w:highlight w:val="none"/>
              </w:rPr>
            </w:pPr>
            <w:r>
              <w:rPr>
                <w:rFonts w:hint="eastAsia" w:ascii="宋体" w:cs="宋体"/>
                <w:color w:val="auto"/>
                <w:sz w:val="24"/>
                <w:highlight w:val="none"/>
              </w:rPr>
              <w:t>4.售后服务方案，产品保修期内，每年不少于4次技术维保，否则不得分，基础得分</w:t>
            </w:r>
            <w:r>
              <w:rPr>
                <w:rFonts w:hint="eastAsia" w:ascii="宋体" w:cs="宋体"/>
                <w:color w:val="auto"/>
                <w:sz w:val="24"/>
                <w:highlight w:val="none"/>
                <w:lang w:val="en-US" w:eastAsia="zh-CN"/>
              </w:rPr>
              <w:t>2</w:t>
            </w:r>
            <w:r>
              <w:rPr>
                <w:rFonts w:hint="eastAsia" w:ascii="宋体" w:cs="宋体"/>
                <w:color w:val="auto"/>
                <w:sz w:val="24"/>
                <w:highlight w:val="none"/>
              </w:rPr>
              <w:t>分，可根据方案内容增加0.5-</w:t>
            </w:r>
            <w:r>
              <w:rPr>
                <w:rFonts w:hint="eastAsia" w:ascii="宋体" w:cs="宋体"/>
                <w:color w:val="auto"/>
                <w:sz w:val="24"/>
                <w:highlight w:val="none"/>
                <w:lang w:val="en-US" w:eastAsia="zh-CN"/>
              </w:rPr>
              <w:t>3</w:t>
            </w:r>
            <w:r>
              <w:rPr>
                <w:rFonts w:hint="eastAsia" w:ascii="宋体" w:cs="宋体"/>
                <w:color w:val="auto"/>
                <w:sz w:val="24"/>
                <w:highlight w:val="none"/>
              </w:rPr>
              <w:t>分（共</w:t>
            </w:r>
            <w:r>
              <w:rPr>
                <w:rFonts w:hint="eastAsia" w:ascii="宋体" w:cs="宋体"/>
                <w:color w:val="auto"/>
                <w:sz w:val="24"/>
                <w:highlight w:val="none"/>
                <w:lang w:val="en-US" w:eastAsia="zh-CN"/>
              </w:rPr>
              <w:t>5</w:t>
            </w:r>
            <w:r>
              <w:rPr>
                <w:rFonts w:hint="eastAsia" w:ascii="宋体" w:cs="宋体"/>
                <w:color w:val="auto"/>
                <w:sz w:val="24"/>
                <w:highlight w:val="none"/>
              </w:rPr>
              <w:t>分）；</w:t>
            </w:r>
          </w:p>
          <w:p>
            <w:pPr>
              <w:pStyle w:val="17"/>
              <w:jc w:val="left"/>
              <w:rPr>
                <w:rFonts w:ascii="宋体" w:hAnsi="Calibri" w:eastAsia="宋体" w:cs="宋体"/>
                <w:kern w:val="2"/>
                <w:sz w:val="24"/>
                <w:szCs w:val="24"/>
                <w:lang w:val="en-US" w:eastAsia="zh-CN" w:bidi="ar-SA"/>
              </w:rPr>
            </w:pPr>
            <w:r>
              <w:rPr>
                <w:rFonts w:hint="eastAsia" w:ascii="宋体" w:cs="宋体"/>
                <w:sz w:val="24"/>
              </w:rPr>
              <w:t>5.技术培训方案，每年不少于两次的技术培训，否则不得</w:t>
            </w:r>
            <w:r>
              <w:rPr>
                <w:rFonts w:hint="eastAsia" w:ascii="宋体" w:cs="宋体"/>
                <w:sz w:val="24"/>
                <w:highlight w:val="none"/>
              </w:rPr>
              <w:t>分，基础得分</w:t>
            </w:r>
            <w:r>
              <w:rPr>
                <w:rFonts w:hint="eastAsia" w:ascii="宋体" w:cs="宋体"/>
                <w:sz w:val="24"/>
                <w:highlight w:val="none"/>
                <w:lang w:val="en-US" w:eastAsia="zh-CN"/>
              </w:rPr>
              <w:t>2</w:t>
            </w:r>
            <w:r>
              <w:rPr>
                <w:rFonts w:hint="eastAsia" w:ascii="宋体" w:cs="宋体"/>
                <w:sz w:val="24"/>
                <w:highlight w:val="none"/>
              </w:rPr>
              <w:t>分，可根据方案内容增加0.5-2分（共</w:t>
            </w:r>
            <w:r>
              <w:rPr>
                <w:rFonts w:hint="eastAsia" w:ascii="宋体" w:cs="宋体"/>
                <w:sz w:val="24"/>
                <w:highlight w:val="none"/>
                <w:lang w:val="en-US" w:eastAsia="zh-CN"/>
              </w:rPr>
              <w:t>4</w:t>
            </w:r>
            <w:r>
              <w:rPr>
                <w:rFonts w:hint="eastAsia" w:ascii="宋体" w:cs="宋体"/>
                <w:sz w:val="24"/>
                <w:highlight w:val="none"/>
              </w:rPr>
              <w:t>分）。</w:t>
            </w:r>
          </w:p>
        </w:tc>
        <w:tc>
          <w:tcPr>
            <w:tcW w:w="820" w:type="dxa"/>
            <w:vAlign w:val="center"/>
          </w:tcPr>
          <w:p>
            <w:pPr>
              <w:pStyle w:val="17"/>
              <w:jc w:val="center"/>
              <w:rPr>
                <w:rFonts w:hint="default" w:ascii="宋体" w:hAnsi="Calibri" w:eastAsia="宋体" w:cs="宋体"/>
                <w:kern w:val="2"/>
                <w:sz w:val="24"/>
                <w:szCs w:val="24"/>
                <w:lang w:val="en-US" w:eastAsia="zh-CN" w:bidi="ar-SA"/>
              </w:rPr>
            </w:pPr>
            <w:r>
              <w:rPr>
                <w:rFonts w:hint="eastAsia" w:ascii="宋体" w:cs="宋体"/>
                <w:color w:val="000000"/>
                <w:sz w:val="24"/>
                <w:highlight w:val="none"/>
                <w:lang w:val="en-US" w:eastAsia="zh-CN"/>
              </w:rPr>
              <w:t>14</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trPr>
        <w:tc>
          <w:tcPr>
            <w:tcW w:w="723" w:type="dxa"/>
            <w:vAlign w:val="center"/>
          </w:tcPr>
          <w:p>
            <w:pPr>
              <w:pStyle w:val="17"/>
              <w:jc w:val="center"/>
              <w:rPr>
                <w:rFonts w:ascii="宋体" w:cs="宋体"/>
                <w:sz w:val="24"/>
              </w:rPr>
            </w:pPr>
            <w:r>
              <w:rPr>
                <w:rFonts w:hint="eastAsia" w:ascii="宋体" w:cs="宋体"/>
                <w:sz w:val="24"/>
              </w:rPr>
              <w:t>4</w:t>
            </w:r>
          </w:p>
        </w:tc>
        <w:tc>
          <w:tcPr>
            <w:tcW w:w="1560" w:type="dxa"/>
            <w:vAlign w:val="center"/>
          </w:tcPr>
          <w:p>
            <w:pPr>
              <w:pStyle w:val="17"/>
              <w:jc w:val="center"/>
              <w:rPr>
                <w:rFonts w:ascii="宋体" w:hAnsi="Calibri" w:eastAsia="宋体" w:cs="宋体"/>
                <w:kern w:val="2"/>
                <w:sz w:val="24"/>
                <w:szCs w:val="24"/>
                <w:lang w:val="en-US" w:eastAsia="zh-CN" w:bidi="ar-SA"/>
              </w:rPr>
            </w:pPr>
            <w:r>
              <w:rPr>
                <w:rFonts w:hint="eastAsia" w:ascii="宋体" w:cs="宋体"/>
                <w:sz w:val="24"/>
              </w:rPr>
              <w:t>文件质量</w:t>
            </w:r>
          </w:p>
        </w:tc>
        <w:tc>
          <w:tcPr>
            <w:tcW w:w="5802" w:type="dxa"/>
            <w:vAlign w:val="top"/>
          </w:tcPr>
          <w:p>
            <w:pPr>
              <w:pStyle w:val="17"/>
              <w:jc w:val="left"/>
              <w:rPr>
                <w:rFonts w:ascii="宋体" w:cs="宋体"/>
                <w:sz w:val="24"/>
              </w:rPr>
            </w:pPr>
            <w:r>
              <w:rPr>
                <w:rFonts w:hint="eastAsia" w:ascii="宋体" w:cs="宋体"/>
                <w:sz w:val="24"/>
              </w:rPr>
              <w:t>文件响应程度（满分2分）</w:t>
            </w:r>
          </w:p>
          <w:p>
            <w:pPr>
              <w:pStyle w:val="17"/>
              <w:jc w:val="left"/>
              <w:rPr>
                <w:rFonts w:ascii="宋体" w:hAnsi="Calibri" w:eastAsia="宋体" w:cs="宋体"/>
                <w:color w:val="FF0000"/>
                <w:kern w:val="2"/>
                <w:sz w:val="24"/>
                <w:szCs w:val="24"/>
                <w:lang w:val="en-US" w:eastAsia="zh-CN" w:bidi="ar-SA"/>
              </w:rPr>
            </w:pPr>
            <w:r>
              <w:rPr>
                <w:rFonts w:hint="eastAsia" w:ascii="宋体" w:cs="宋体"/>
                <w:sz w:val="24"/>
              </w:rPr>
              <w:t>根据文件</w:t>
            </w:r>
            <w:r>
              <w:rPr>
                <w:rFonts w:hint="eastAsia" w:ascii="宋体" w:cs="宋体"/>
                <w:sz w:val="24"/>
                <w:highlight w:val="none"/>
              </w:rPr>
              <w:t>的响应程度评分，投标文件按招标文件规定的格式、顺序编制，有目录、编页码，装订成册，书面整洁无涂改，没有缺漏项等</w:t>
            </w:r>
            <w:r>
              <w:rPr>
                <w:rFonts w:hint="eastAsia" w:ascii="宋体"/>
                <w:sz w:val="24"/>
                <w:highlight w:val="none"/>
              </w:rPr>
              <w:t>进行综合评价打分</w:t>
            </w:r>
            <w:r>
              <w:rPr>
                <w:rFonts w:hint="eastAsia" w:ascii="宋体" w:cs="宋体"/>
                <w:sz w:val="24"/>
                <w:highlight w:val="none"/>
              </w:rPr>
              <w:t>。（目录页码与实际</w:t>
            </w:r>
            <w:r>
              <w:rPr>
                <w:rFonts w:hint="eastAsia" w:ascii="宋体" w:cs="宋体"/>
                <w:sz w:val="24"/>
                <w:highlight w:val="none"/>
                <w:lang w:val="en-US" w:eastAsia="zh-CN"/>
              </w:rPr>
              <w:t>内容</w:t>
            </w:r>
            <w:r>
              <w:rPr>
                <w:rFonts w:hint="eastAsia" w:ascii="宋体" w:cs="宋体"/>
                <w:sz w:val="24"/>
                <w:highlight w:val="none"/>
              </w:rPr>
              <w:t>不符的扣1分）</w:t>
            </w:r>
          </w:p>
        </w:tc>
        <w:tc>
          <w:tcPr>
            <w:tcW w:w="820" w:type="dxa"/>
            <w:vAlign w:val="center"/>
          </w:tcPr>
          <w:p>
            <w:pPr>
              <w:pStyle w:val="17"/>
              <w:jc w:val="center"/>
              <w:rPr>
                <w:rFonts w:hint="default" w:ascii="宋体" w:hAnsi="Calibri" w:eastAsia="宋体" w:cs="宋体"/>
                <w:kern w:val="2"/>
                <w:sz w:val="24"/>
                <w:szCs w:val="24"/>
                <w:lang w:val="en-US" w:eastAsia="zh-CN" w:bidi="ar-SA"/>
              </w:rPr>
            </w:pPr>
            <w:r>
              <w:rPr>
                <w:rFonts w:hint="eastAsia" w:ascii="宋体" w:cs="宋体"/>
                <w:sz w:val="24"/>
              </w:rPr>
              <w:t>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49" w:hRule="atLeast"/>
        </w:trPr>
        <w:tc>
          <w:tcPr>
            <w:tcW w:w="723" w:type="dxa"/>
            <w:vAlign w:val="center"/>
          </w:tcPr>
          <w:p>
            <w:pPr>
              <w:pStyle w:val="17"/>
              <w:jc w:val="center"/>
              <w:rPr>
                <w:rFonts w:ascii="宋体" w:cs="宋体"/>
                <w:sz w:val="24"/>
              </w:rPr>
            </w:pPr>
          </w:p>
        </w:tc>
        <w:tc>
          <w:tcPr>
            <w:tcW w:w="1560" w:type="dxa"/>
            <w:vAlign w:val="center"/>
          </w:tcPr>
          <w:p>
            <w:pPr>
              <w:pStyle w:val="17"/>
              <w:jc w:val="center"/>
              <w:rPr>
                <w:rFonts w:ascii="宋体" w:cs="宋体"/>
                <w:sz w:val="24"/>
              </w:rPr>
            </w:pPr>
            <w:r>
              <w:rPr>
                <w:rFonts w:hint="eastAsia" w:ascii="宋体" w:cs="宋体"/>
                <w:sz w:val="24"/>
              </w:rPr>
              <w:t>合计</w:t>
            </w:r>
          </w:p>
        </w:tc>
        <w:tc>
          <w:tcPr>
            <w:tcW w:w="5802" w:type="dxa"/>
          </w:tcPr>
          <w:p>
            <w:pPr>
              <w:pStyle w:val="17"/>
              <w:jc w:val="left"/>
              <w:rPr>
                <w:rFonts w:ascii="宋体" w:cs="宋体"/>
                <w:sz w:val="24"/>
              </w:rPr>
            </w:pPr>
          </w:p>
        </w:tc>
        <w:tc>
          <w:tcPr>
            <w:tcW w:w="820" w:type="dxa"/>
            <w:vAlign w:val="center"/>
          </w:tcPr>
          <w:p>
            <w:pPr>
              <w:pStyle w:val="17"/>
              <w:jc w:val="center"/>
              <w:rPr>
                <w:rFonts w:hint="default" w:ascii="宋体" w:eastAsia="宋体" w:cs="宋体"/>
                <w:sz w:val="24"/>
                <w:lang w:val="en-US" w:eastAsia="zh-CN"/>
              </w:rPr>
            </w:pPr>
            <w:r>
              <w:rPr>
                <w:rFonts w:hint="eastAsia" w:ascii="宋体" w:cs="宋体"/>
                <w:sz w:val="24"/>
                <w:lang w:val="en-US" w:eastAsia="zh-CN"/>
              </w:rPr>
              <w:t>25</w:t>
            </w:r>
          </w:p>
        </w:tc>
      </w:tr>
    </w:tbl>
    <w:p>
      <w:pPr>
        <w:pStyle w:val="4"/>
      </w:pPr>
    </w:p>
    <w:p>
      <w:pPr>
        <w:rPr>
          <w:rFonts w:ascii="宋体" w:cs="宋体"/>
          <w:b/>
          <w:bCs/>
          <w:color w:val="000000"/>
          <w:sz w:val="24"/>
        </w:rPr>
      </w:pPr>
      <w:r>
        <w:rPr>
          <w:rFonts w:hint="eastAsia" w:ascii="宋体" w:cs="宋体"/>
          <w:b/>
          <w:bCs/>
          <w:color w:val="000000"/>
          <w:sz w:val="24"/>
        </w:rPr>
        <w:t>3</w:t>
      </w:r>
      <w:r>
        <w:rPr>
          <w:rFonts w:hint="eastAsia" w:ascii="宋体" w:cs="宋体"/>
          <w:b/>
          <w:bCs/>
          <w:sz w:val="24"/>
        </w:rPr>
        <w:t>、</w:t>
      </w:r>
      <w:r>
        <w:rPr>
          <w:rFonts w:hint="eastAsia" w:ascii="宋体" w:cs="宋体"/>
          <w:b/>
          <w:bCs/>
          <w:color w:val="000000"/>
          <w:sz w:val="24"/>
        </w:rPr>
        <w:t>技术评分标准（4</w:t>
      </w:r>
      <w:r>
        <w:rPr>
          <w:rFonts w:hint="eastAsia" w:ascii="宋体" w:cs="宋体"/>
          <w:b/>
          <w:bCs/>
          <w:color w:val="000000"/>
          <w:sz w:val="24"/>
          <w:lang w:val="en-US" w:eastAsia="zh-CN"/>
        </w:rPr>
        <w:t>5</w:t>
      </w:r>
      <w:r>
        <w:rPr>
          <w:rFonts w:hint="eastAsia" w:ascii="宋体" w:cs="宋体"/>
          <w:b/>
          <w:bCs/>
          <w:color w:val="000000"/>
          <w:sz w:val="24"/>
        </w:rPr>
        <w:t>分）</w:t>
      </w:r>
    </w:p>
    <w:p>
      <w:pPr>
        <w:pStyle w:val="9"/>
        <w:numPr>
          <w:ilvl w:val="0"/>
          <w:numId w:val="0"/>
        </w:numPr>
        <w:rPr>
          <w:rFonts w:ascii="宋体" w:eastAsia="宋体" w:cs="宋体"/>
          <w:b/>
          <w:bCs/>
          <w:sz w:val="21"/>
          <w:szCs w:val="21"/>
        </w:rPr>
      </w:pPr>
    </w:p>
    <w:tbl>
      <w:tblPr>
        <w:tblStyle w:val="23"/>
        <w:tblW w:w="8717"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557"/>
        <w:gridCol w:w="1233"/>
        <w:gridCol w:w="6255"/>
        <w:gridCol w:w="672"/>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652" w:hRule="atLeast"/>
        </w:trPr>
        <w:tc>
          <w:tcPr>
            <w:tcW w:w="557" w:type="dxa"/>
            <w:vAlign w:val="center"/>
          </w:tcPr>
          <w:p>
            <w:pPr>
              <w:pStyle w:val="17"/>
              <w:jc w:val="left"/>
              <w:rPr>
                <w:rFonts w:ascii="宋体"/>
                <w:sz w:val="24"/>
              </w:rPr>
            </w:pPr>
            <w:r>
              <w:rPr>
                <w:rFonts w:hint="eastAsia" w:ascii="宋体"/>
                <w:sz w:val="24"/>
              </w:rPr>
              <w:t>序号</w:t>
            </w:r>
          </w:p>
        </w:tc>
        <w:tc>
          <w:tcPr>
            <w:tcW w:w="1233" w:type="dxa"/>
            <w:vAlign w:val="center"/>
          </w:tcPr>
          <w:p>
            <w:pPr>
              <w:pStyle w:val="17"/>
              <w:jc w:val="left"/>
              <w:rPr>
                <w:rFonts w:ascii="宋体"/>
                <w:sz w:val="24"/>
              </w:rPr>
            </w:pPr>
            <w:r>
              <w:rPr>
                <w:rFonts w:hint="eastAsia" w:ascii="宋体"/>
                <w:sz w:val="24"/>
              </w:rPr>
              <w:t>评分因素</w:t>
            </w:r>
          </w:p>
        </w:tc>
        <w:tc>
          <w:tcPr>
            <w:tcW w:w="6255" w:type="dxa"/>
            <w:vAlign w:val="center"/>
          </w:tcPr>
          <w:p>
            <w:pPr>
              <w:pStyle w:val="17"/>
              <w:jc w:val="center"/>
              <w:rPr>
                <w:rFonts w:ascii="宋体"/>
                <w:sz w:val="24"/>
              </w:rPr>
            </w:pPr>
            <w:r>
              <w:rPr>
                <w:rFonts w:hint="eastAsia" w:ascii="宋体"/>
                <w:sz w:val="24"/>
              </w:rPr>
              <w:t>评分标准</w:t>
            </w:r>
          </w:p>
        </w:tc>
        <w:tc>
          <w:tcPr>
            <w:tcW w:w="672" w:type="dxa"/>
            <w:vAlign w:val="center"/>
          </w:tcPr>
          <w:p>
            <w:pPr>
              <w:pStyle w:val="17"/>
              <w:jc w:val="left"/>
              <w:rPr>
                <w:rFonts w:ascii="宋体"/>
                <w:sz w:val="24"/>
              </w:rPr>
            </w:pPr>
            <w:r>
              <w:rPr>
                <w:rFonts w:hint="eastAsia" w:ascii="宋体"/>
                <w:sz w:val="24"/>
              </w:rPr>
              <w:t>分值</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1568" w:hRule="atLeast"/>
        </w:trPr>
        <w:tc>
          <w:tcPr>
            <w:tcW w:w="557" w:type="dxa"/>
            <w:vMerge w:val="restart"/>
            <w:vAlign w:val="center"/>
          </w:tcPr>
          <w:p>
            <w:pPr>
              <w:pStyle w:val="17"/>
              <w:jc w:val="left"/>
              <w:rPr>
                <w:rFonts w:ascii="宋体"/>
                <w:sz w:val="24"/>
              </w:rPr>
            </w:pPr>
            <w:r>
              <w:rPr>
                <w:rFonts w:hint="eastAsia" w:ascii="宋体"/>
                <w:sz w:val="24"/>
              </w:rPr>
              <w:t>1</w:t>
            </w:r>
          </w:p>
        </w:tc>
        <w:tc>
          <w:tcPr>
            <w:tcW w:w="1233" w:type="dxa"/>
            <w:vMerge w:val="restart"/>
            <w:vAlign w:val="center"/>
          </w:tcPr>
          <w:p>
            <w:pPr>
              <w:pStyle w:val="17"/>
              <w:jc w:val="left"/>
              <w:rPr>
                <w:rFonts w:ascii="宋体"/>
                <w:sz w:val="24"/>
              </w:rPr>
            </w:pPr>
            <w:r>
              <w:rPr>
                <w:rFonts w:hint="eastAsia" w:ascii="宋体"/>
                <w:sz w:val="24"/>
              </w:rPr>
              <w:t>产品技术指标及生产能力技术部分</w:t>
            </w:r>
          </w:p>
        </w:tc>
        <w:tc>
          <w:tcPr>
            <w:tcW w:w="6255" w:type="dxa"/>
          </w:tcPr>
          <w:p>
            <w:pPr>
              <w:pStyle w:val="17"/>
              <w:jc w:val="left"/>
              <w:rPr>
                <w:rFonts w:ascii="宋体"/>
                <w:sz w:val="24"/>
                <w:highlight w:val="none"/>
              </w:rPr>
            </w:pPr>
            <w:r>
              <w:rPr>
                <w:rFonts w:hint="eastAsia" w:ascii="宋体"/>
                <w:sz w:val="24"/>
                <w:highlight w:val="none"/>
              </w:rPr>
              <w:t>1、参数响应（满分2</w:t>
            </w:r>
            <w:r>
              <w:rPr>
                <w:rFonts w:hint="eastAsia" w:ascii="宋体"/>
                <w:sz w:val="24"/>
                <w:highlight w:val="none"/>
                <w:lang w:val="en-US" w:eastAsia="zh-CN"/>
              </w:rPr>
              <w:t>0</w:t>
            </w:r>
            <w:r>
              <w:rPr>
                <w:rFonts w:hint="eastAsia" w:ascii="宋体"/>
                <w:sz w:val="24"/>
                <w:highlight w:val="none"/>
              </w:rPr>
              <w:t>分）</w:t>
            </w:r>
          </w:p>
          <w:p>
            <w:pPr>
              <w:pStyle w:val="17"/>
              <w:jc w:val="left"/>
              <w:rPr>
                <w:rFonts w:hint="eastAsia" w:ascii="宋体"/>
                <w:sz w:val="24"/>
                <w:highlight w:val="none"/>
                <w:lang w:eastAsia="zh-CN"/>
              </w:rPr>
            </w:pPr>
            <w:r>
              <w:rPr>
                <w:rFonts w:hint="eastAsia" w:ascii="宋体"/>
                <w:sz w:val="24"/>
                <w:highlight w:val="none"/>
              </w:rPr>
              <w:t>①技术参数指标关键项，每负偏离一项扣</w:t>
            </w:r>
            <w:r>
              <w:rPr>
                <w:rFonts w:hint="eastAsia" w:ascii="宋体"/>
                <w:sz w:val="24"/>
                <w:highlight w:val="none"/>
                <w:lang w:val="en-US" w:eastAsia="zh-CN"/>
              </w:rPr>
              <w:t>2</w:t>
            </w:r>
            <w:r>
              <w:rPr>
                <w:rFonts w:hint="eastAsia" w:ascii="宋体"/>
                <w:sz w:val="24"/>
                <w:highlight w:val="none"/>
              </w:rPr>
              <w:t>分</w:t>
            </w:r>
            <w:r>
              <w:rPr>
                <w:rFonts w:hint="eastAsia" w:ascii="宋体"/>
                <w:sz w:val="24"/>
                <w:highlight w:val="none"/>
                <w:lang w:eastAsia="zh-CN"/>
              </w:rPr>
              <w:t>。</w:t>
            </w:r>
          </w:p>
          <w:p>
            <w:pPr>
              <w:pStyle w:val="17"/>
              <w:jc w:val="left"/>
              <w:rPr>
                <w:rFonts w:hint="eastAsia" w:ascii="宋体" w:eastAsia="宋体"/>
                <w:sz w:val="24"/>
                <w:highlight w:val="none"/>
                <w:lang w:eastAsia="zh-CN"/>
              </w:rPr>
            </w:pPr>
            <w:r>
              <w:rPr>
                <w:rFonts w:hint="eastAsia" w:ascii="宋体"/>
                <w:sz w:val="24"/>
                <w:highlight w:val="none"/>
              </w:rPr>
              <w:t>②非关键项，每负偏离一项扣1分</w:t>
            </w:r>
            <w:r>
              <w:rPr>
                <w:rFonts w:hint="eastAsia" w:ascii="宋体"/>
                <w:sz w:val="24"/>
                <w:highlight w:val="none"/>
                <w:lang w:eastAsia="zh-CN"/>
              </w:rPr>
              <w:t>。</w:t>
            </w:r>
          </w:p>
          <w:p>
            <w:pPr>
              <w:pStyle w:val="17"/>
              <w:jc w:val="left"/>
              <w:rPr>
                <w:rFonts w:hint="eastAsia" w:ascii="宋体"/>
                <w:sz w:val="24"/>
                <w:highlight w:val="none"/>
              </w:rPr>
            </w:pPr>
            <w:r>
              <w:rPr>
                <w:rFonts w:hint="eastAsia" w:ascii="宋体"/>
                <w:sz w:val="24"/>
                <w:highlight w:val="none"/>
              </w:rPr>
              <w:t>③所投产品有负偏离项，但在偏离表中未诚信注明的</w:t>
            </w:r>
            <w:r>
              <w:rPr>
                <w:rFonts w:hint="eastAsia" w:ascii="宋体"/>
                <w:sz w:val="24"/>
                <w:highlight w:val="none"/>
                <w:lang w:eastAsia="zh-CN"/>
              </w:rPr>
              <w:t>，该产品单独</w:t>
            </w:r>
            <w:r>
              <w:rPr>
                <w:rFonts w:hint="eastAsia" w:ascii="宋体"/>
                <w:sz w:val="24"/>
                <w:highlight w:val="none"/>
              </w:rPr>
              <w:t>扣</w:t>
            </w:r>
            <w:r>
              <w:rPr>
                <w:rFonts w:hint="eastAsia" w:ascii="宋体"/>
                <w:sz w:val="24"/>
                <w:highlight w:val="none"/>
                <w:lang w:val="en-US" w:eastAsia="zh-CN"/>
              </w:rPr>
              <w:t>2</w:t>
            </w:r>
            <w:r>
              <w:rPr>
                <w:rFonts w:hint="eastAsia" w:ascii="宋体"/>
                <w:sz w:val="24"/>
                <w:highlight w:val="none"/>
              </w:rPr>
              <w:t>分。</w:t>
            </w:r>
          </w:p>
          <w:p>
            <w:pPr>
              <w:pStyle w:val="17"/>
              <w:jc w:val="left"/>
              <w:rPr>
                <w:rFonts w:hint="eastAsia" w:ascii="宋体"/>
                <w:sz w:val="24"/>
                <w:highlight w:val="none"/>
              </w:rPr>
            </w:pPr>
            <w:r>
              <w:rPr>
                <w:rFonts w:hint="eastAsia" w:ascii="宋体"/>
                <w:sz w:val="24"/>
                <w:highlight w:val="none"/>
              </w:rPr>
              <w:t>①</w:t>
            </w:r>
            <w:r>
              <w:rPr>
                <w:rFonts w:hint="eastAsia" w:ascii="宋体"/>
                <w:sz w:val="24"/>
                <w:highlight w:val="none"/>
                <w:lang w:eastAsia="zh-CN"/>
              </w:rPr>
              <w:t>、</w:t>
            </w:r>
            <w:r>
              <w:rPr>
                <w:rFonts w:hint="eastAsia" w:ascii="宋体"/>
                <w:sz w:val="24"/>
                <w:highlight w:val="none"/>
              </w:rPr>
              <w:t>②</w:t>
            </w:r>
            <w:r>
              <w:rPr>
                <w:rFonts w:hint="eastAsia" w:ascii="宋体"/>
                <w:sz w:val="24"/>
                <w:highlight w:val="none"/>
                <w:lang w:eastAsia="zh-CN"/>
              </w:rPr>
              <w:t>、</w:t>
            </w:r>
            <w:r>
              <w:rPr>
                <w:rFonts w:hint="eastAsia" w:ascii="宋体"/>
                <w:sz w:val="24"/>
                <w:highlight w:val="none"/>
              </w:rPr>
              <w:t>③</w:t>
            </w:r>
            <w:r>
              <w:rPr>
                <w:rFonts w:hint="eastAsia" w:ascii="宋体"/>
                <w:sz w:val="24"/>
                <w:highlight w:val="none"/>
                <w:lang w:eastAsia="zh-CN"/>
              </w:rPr>
              <w:t>项累计扣分，</w:t>
            </w:r>
            <w:r>
              <w:rPr>
                <w:rFonts w:hint="eastAsia" w:ascii="宋体"/>
                <w:sz w:val="24"/>
                <w:highlight w:val="none"/>
              </w:rPr>
              <w:t>每个产品最多扣</w:t>
            </w:r>
            <w:r>
              <w:rPr>
                <w:rFonts w:hint="eastAsia" w:ascii="宋体"/>
                <w:sz w:val="24"/>
                <w:highlight w:val="none"/>
                <w:lang w:val="en-US" w:eastAsia="zh-CN"/>
              </w:rPr>
              <w:t>5</w:t>
            </w:r>
            <w:r>
              <w:rPr>
                <w:rFonts w:hint="eastAsia" w:ascii="宋体"/>
                <w:sz w:val="24"/>
                <w:highlight w:val="none"/>
              </w:rPr>
              <w:t>分，扣完为止。</w:t>
            </w:r>
          </w:p>
        </w:tc>
        <w:tc>
          <w:tcPr>
            <w:tcW w:w="672" w:type="dxa"/>
            <w:vAlign w:val="center"/>
          </w:tcPr>
          <w:p>
            <w:pPr>
              <w:pStyle w:val="17"/>
              <w:jc w:val="center"/>
              <w:rPr>
                <w:rFonts w:hint="eastAsia" w:ascii="宋体" w:eastAsia="宋体"/>
                <w:sz w:val="24"/>
                <w:highlight w:val="none"/>
                <w:lang w:val="en-US" w:eastAsia="zh-CN"/>
              </w:rPr>
            </w:pPr>
            <w:r>
              <w:rPr>
                <w:rFonts w:hint="eastAsia" w:ascii="宋体"/>
                <w:sz w:val="24"/>
                <w:highlight w:val="none"/>
              </w:rPr>
              <w:t>2</w:t>
            </w:r>
            <w:r>
              <w:rPr>
                <w:rFonts w:hint="eastAsia" w:ascii="宋体"/>
                <w:sz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557" w:type="dxa"/>
            <w:vMerge w:val="continue"/>
            <w:vAlign w:val="center"/>
          </w:tcPr>
          <w:p/>
        </w:tc>
        <w:tc>
          <w:tcPr>
            <w:tcW w:w="1233" w:type="dxa"/>
            <w:vMerge w:val="continue"/>
            <w:vAlign w:val="center"/>
          </w:tcPr>
          <w:p/>
        </w:tc>
        <w:tc>
          <w:tcPr>
            <w:tcW w:w="6255" w:type="dxa"/>
          </w:tcPr>
          <w:p>
            <w:pPr>
              <w:pStyle w:val="17"/>
              <w:jc w:val="left"/>
              <w:rPr>
                <w:rFonts w:ascii="宋体"/>
                <w:sz w:val="24"/>
                <w:highlight w:val="none"/>
              </w:rPr>
            </w:pPr>
            <w:r>
              <w:rPr>
                <w:rFonts w:hint="eastAsia" w:ascii="宋体"/>
                <w:sz w:val="24"/>
                <w:highlight w:val="none"/>
              </w:rPr>
              <w:t>2、产品功能：（满分</w:t>
            </w:r>
            <w:r>
              <w:rPr>
                <w:rFonts w:hint="eastAsia" w:ascii="宋体"/>
                <w:sz w:val="24"/>
                <w:highlight w:val="none"/>
                <w:lang w:val="en-US" w:eastAsia="zh-CN"/>
              </w:rPr>
              <w:t>7</w:t>
            </w:r>
            <w:r>
              <w:rPr>
                <w:rFonts w:hint="eastAsia" w:ascii="宋体"/>
                <w:sz w:val="24"/>
                <w:highlight w:val="none"/>
              </w:rPr>
              <w:t>分）：</w:t>
            </w:r>
          </w:p>
          <w:p>
            <w:pPr>
              <w:pStyle w:val="17"/>
              <w:jc w:val="left"/>
              <w:rPr>
                <w:rFonts w:ascii="宋体"/>
                <w:sz w:val="24"/>
                <w:highlight w:val="none"/>
              </w:rPr>
            </w:pPr>
            <w:r>
              <w:rPr>
                <w:rFonts w:hint="eastAsia" w:ascii="宋体"/>
                <w:sz w:val="24"/>
                <w:highlight w:val="none"/>
              </w:rPr>
              <w:t>①所投产品具有完整的产品技术白</w:t>
            </w:r>
            <w:r>
              <w:rPr>
                <w:rFonts w:hint="eastAsia" w:ascii="宋体"/>
                <w:color w:val="000000" w:themeColor="text1"/>
                <w:sz w:val="24"/>
                <w:highlight w:val="none"/>
                <w14:textFill>
                  <w14:solidFill>
                    <w14:schemeClr w14:val="tx1"/>
                  </w14:solidFill>
                </w14:textFill>
              </w:rPr>
              <w:t>皮书或产品说明书</w:t>
            </w:r>
            <w:r>
              <w:rPr>
                <w:rFonts w:hint="eastAsia" w:ascii="宋体"/>
                <w:color w:val="000000" w:themeColor="text1"/>
                <w:sz w:val="24"/>
                <w:highlight w:val="none"/>
                <w:lang w:val="en-US" w:eastAsia="zh-CN"/>
                <w14:textFill>
                  <w14:solidFill>
                    <w14:schemeClr w14:val="tx1"/>
                  </w14:solidFill>
                </w14:textFill>
              </w:rPr>
              <w:t>及相关检测报告、证书等证明材料</w:t>
            </w:r>
            <w:r>
              <w:rPr>
                <w:rFonts w:hint="eastAsia" w:ascii="宋体"/>
                <w:color w:val="000000" w:themeColor="text1"/>
                <w:sz w:val="24"/>
                <w:highlight w:val="none"/>
                <w14:textFill>
                  <w14:solidFill>
                    <w14:schemeClr w14:val="tx1"/>
                  </w14:solidFill>
                </w14:textFill>
              </w:rPr>
              <w:t>；</w:t>
            </w:r>
            <w:r>
              <w:rPr>
                <w:rFonts w:hint="eastAsia" w:ascii="宋体"/>
                <w:sz w:val="24"/>
                <w:highlight w:val="none"/>
              </w:rPr>
              <w:t>每个产品0.</w:t>
            </w:r>
            <w:r>
              <w:rPr>
                <w:rFonts w:hint="eastAsia" w:ascii="宋体"/>
                <w:sz w:val="24"/>
                <w:highlight w:val="none"/>
                <w:lang w:val="en-US" w:eastAsia="zh-CN"/>
              </w:rPr>
              <w:t>5</w:t>
            </w:r>
            <w:r>
              <w:rPr>
                <w:rFonts w:hint="eastAsia" w:ascii="宋体"/>
                <w:sz w:val="24"/>
                <w:highlight w:val="none"/>
              </w:rPr>
              <w:t>分</w:t>
            </w:r>
          </w:p>
          <w:p>
            <w:pPr>
              <w:pStyle w:val="17"/>
              <w:jc w:val="left"/>
              <w:rPr>
                <w:rFonts w:ascii="宋体"/>
                <w:sz w:val="24"/>
                <w:highlight w:val="none"/>
              </w:rPr>
            </w:pPr>
            <w:r>
              <w:rPr>
                <w:rFonts w:hint="eastAsia" w:ascii="宋体"/>
                <w:sz w:val="24"/>
                <w:highlight w:val="none"/>
              </w:rPr>
              <w:t>②未提供或无法直观体现产品外观信息的不得分。</w:t>
            </w:r>
          </w:p>
        </w:tc>
        <w:tc>
          <w:tcPr>
            <w:tcW w:w="672" w:type="dxa"/>
            <w:vAlign w:val="center"/>
          </w:tcPr>
          <w:p>
            <w:pPr>
              <w:pStyle w:val="17"/>
              <w:jc w:val="center"/>
              <w:rPr>
                <w:rFonts w:hint="default" w:ascii="宋体" w:eastAsia="宋体"/>
                <w:sz w:val="24"/>
                <w:highlight w:val="none"/>
                <w:lang w:val="en-US" w:eastAsia="zh-CN"/>
              </w:rPr>
            </w:pPr>
            <w:r>
              <w:rPr>
                <w:rFonts w:hint="eastAsia" w:ascii="宋体"/>
                <w:sz w:val="24"/>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713" w:hRule="atLeast"/>
        </w:trPr>
        <w:tc>
          <w:tcPr>
            <w:tcW w:w="557" w:type="dxa"/>
            <w:vMerge w:val="continue"/>
            <w:vAlign w:val="center"/>
          </w:tcPr>
          <w:p/>
        </w:tc>
        <w:tc>
          <w:tcPr>
            <w:tcW w:w="1233" w:type="dxa"/>
            <w:vMerge w:val="continue"/>
            <w:vAlign w:val="center"/>
          </w:tcPr>
          <w:p/>
        </w:tc>
        <w:tc>
          <w:tcPr>
            <w:tcW w:w="6255" w:type="dxa"/>
          </w:tcPr>
          <w:p>
            <w:pPr>
              <w:pStyle w:val="17"/>
              <w:jc w:val="left"/>
              <w:rPr>
                <w:rFonts w:ascii="宋体" w:cs="宋体"/>
                <w:color w:val="000000"/>
                <w:sz w:val="24"/>
              </w:rPr>
            </w:pPr>
            <w:r>
              <w:rPr>
                <w:rFonts w:hint="eastAsia" w:ascii="宋体"/>
                <w:sz w:val="24"/>
              </w:rPr>
              <w:t>3、包装、</w:t>
            </w:r>
            <w:r>
              <w:rPr>
                <w:rFonts w:hint="eastAsia" w:ascii="宋体" w:cs="宋体"/>
                <w:color w:val="000000"/>
                <w:sz w:val="24"/>
              </w:rPr>
              <w:t>运输（满分</w:t>
            </w:r>
            <w:r>
              <w:rPr>
                <w:rFonts w:hint="eastAsia" w:ascii="宋体" w:cs="宋体"/>
                <w:color w:val="000000"/>
                <w:sz w:val="24"/>
                <w:lang w:val="en-US" w:eastAsia="zh-CN"/>
              </w:rPr>
              <w:t>5</w:t>
            </w:r>
            <w:r>
              <w:rPr>
                <w:rFonts w:hint="eastAsia" w:ascii="宋体" w:cs="宋体"/>
                <w:color w:val="000000"/>
                <w:sz w:val="24"/>
              </w:rPr>
              <w:t>分）</w:t>
            </w:r>
          </w:p>
          <w:p>
            <w:pPr>
              <w:pStyle w:val="17"/>
              <w:jc w:val="left"/>
              <w:rPr>
                <w:rFonts w:ascii="宋体"/>
                <w:sz w:val="24"/>
              </w:rPr>
            </w:pPr>
            <w:r>
              <w:rPr>
                <w:rFonts w:hint="eastAsia" w:ascii="宋体" w:cs="宋体"/>
                <w:color w:val="000000"/>
                <w:sz w:val="24"/>
              </w:rPr>
              <w:t>根据供应商投标文件中对运输、包装方案的描述，全面、合理、具体得</w:t>
            </w:r>
            <w:r>
              <w:rPr>
                <w:rFonts w:hint="eastAsia" w:ascii="宋体" w:cs="宋体"/>
                <w:color w:val="000000"/>
                <w:sz w:val="24"/>
                <w:lang w:val="en-US" w:eastAsia="zh-CN"/>
              </w:rPr>
              <w:t>5</w:t>
            </w:r>
            <w:r>
              <w:rPr>
                <w:rFonts w:hint="eastAsia" w:ascii="宋体" w:cs="宋体"/>
                <w:color w:val="000000"/>
                <w:sz w:val="24"/>
              </w:rPr>
              <w:t>分，一般得</w:t>
            </w:r>
            <w:r>
              <w:rPr>
                <w:rFonts w:hint="eastAsia" w:ascii="宋体" w:cs="宋体"/>
                <w:color w:val="000000"/>
                <w:sz w:val="24"/>
                <w:lang w:val="en-US" w:eastAsia="zh-CN"/>
              </w:rPr>
              <w:t>2</w:t>
            </w:r>
            <w:r>
              <w:rPr>
                <w:rFonts w:hint="eastAsia" w:ascii="宋体" w:cs="宋体"/>
                <w:color w:val="000000"/>
                <w:sz w:val="24"/>
              </w:rPr>
              <w:t>分，不够全面、合理、具体的或者没有提供方案的不得分。</w:t>
            </w:r>
          </w:p>
        </w:tc>
        <w:tc>
          <w:tcPr>
            <w:tcW w:w="672" w:type="dxa"/>
            <w:vAlign w:val="center"/>
          </w:tcPr>
          <w:p>
            <w:pPr>
              <w:pStyle w:val="17"/>
              <w:jc w:val="center"/>
              <w:rPr>
                <w:rFonts w:hint="eastAsia" w:ascii="宋体" w:eastAsia="宋体"/>
                <w:sz w:val="24"/>
                <w:lang w:eastAsia="zh-CN"/>
              </w:rPr>
            </w:pPr>
            <w:r>
              <w:rPr>
                <w:rFonts w:hint="eastAsia" w:ascii="宋体"/>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557" w:type="dxa"/>
            <w:vMerge w:val="continue"/>
            <w:vAlign w:val="center"/>
          </w:tcPr>
          <w:p/>
        </w:tc>
        <w:tc>
          <w:tcPr>
            <w:tcW w:w="1233" w:type="dxa"/>
            <w:vMerge w:val="continue"/>
            <w:vAlign w:val="center"/>
          </w:tcPr>
          <w:p/>
        </w:tc>
        <w:tc>
          <w:tcPr>
            <w:tcW w:w="6255" w:type="dxa"/>
          </w:tcPr>
          <w:p>
            <w:pPr>
              <w:pStyle w:val="17"/>
              <w:jc w:val="left"/>
              <w:rPr>
                <w:rFonts w:ascii="宋体" w:cs="宋体"/>
                <w:sz w:val="24"/>
                <w:highlight w:val="none"/>
              </w:rPr>
            </w:pPr>
            <w:r>
              <w:rPr>
                <w:rFonts w:hint="eastAsia" w:ascii="宋体" w:cs="宋体"/>
                <w:sz w:val="24"/>
                <w:highlight w:val="none"/>
              </w:rPr>
              <w:t>4、质量保障措施</w:t>
            </w:r>
            <w:r>
              <w:rPr>
                <w:rFonts w:hint="eastAsia" w:ascii="宋体"/>
                <w:sz w:val="24"/>
                <w:highlight w:val="none"/>
              </w:rPr>
              <w:t>（满分</w:t>
            </w:r>
            <w:r>
              <w:rPr>
                <w:rFonts w:hint="eastAsia" w:ascii="宋体"/>
                <w:sz w:val="24"/>
                <w:highlight w:val="none"/>
                <w:lang w:val="en-US" w:eastAsia="zh-CN"/>
              </w:rPr>
              <w:t>7</w:t>
            </w:r>
            <w:r>
              <w:rPr>
                <w:rFonts w:hint="eastAsia" w:ascii="宋体"/>
                <w:sz w:val="24"/>
                <w:highlight w:val="none"/>
              </w:rPr>
              <w:t>分）</w:t>
            </w:r>
          </w:p>
          <w:p>
            <w:pPr>
              <w:pStyle w:val="17"/>
              <w:jc w:val="left"/>
              <w:rPr>
                <w:rFonts w:ascii="宋体" w:cs="宋体"/>
                <w:sz w:val="24"/>
                <w:highlight w:val="none"/>
              </w:rPr>
            </w:pPr>
            <w:r>
              <w:rPr>
                <w:rFonts w:hint="eastAsia" w:ascii="宋体"/>
                <w:sz w:val="24"/>
                <w:highlight w:val="none"/>
              </w:rPr>
              <w:t>①</w:t>
            </w:r>
            <w:r>
              <w:rPr>
                <w:rFonts w:hint="eastAsia" w:ascii="宋体" w:cs="宋体"/>
                <w:sz w:val="24"/>
                <w:highlight w:val="none"/>
              </w:rPr>
              <w:t>所投产品供应企业能够提供售后保障服务网点，配备专业技术服务人员的（包括委托相关有资质机构，如有委托，以委托文件为准），</w:t>
            </w:r>
            <w:r>
              <w:rPr>
                <w:rFonts w:hint="eastAsia" w:ascii="宋体"/>
                <w:sz w:val="24"/>
                <w:highlight w:val="none"/>
              </w:rPr>
              <w:t>进行综合评价打分</w:t>
            </w:r>
            <w:r>
              <w:rPr>
                <w:rFonts w:hint="eastAsia" w:ascii="宋体" w:cs="宋体"/>
                <w:sz w:val="24"/>
                <w:highlight w:val="none"/>
              </w:rPr>
              <w:t>；</w:t>
            </w:r>
          </w:p>
          <w:p>
            <w:pPr>
              <w:pStyle w:val="17"/>
              <w:jc w:val="left"/>
              <w:rPr>
                <w:rFonts w:ascii="宋体" w:cs="宋体"/>
                <w:sz w:val="24"/>
                <w:highlight w:val="none"/>
              </w:rPr>
            </w:pPr>
            <w:r>
              <w:rPr>
                <w:rFonts w:hint="eastAsia" w:ascii="宋体"/>
                <w:sz w:val="24"/>
                <w:highlight w:val="none"/>
              </w:rPr>
              <w:t>②</w:t>
            </w:r>
            <w:r>
              <w:rPr>
                <w:rFonts w:hint="eastAsia" w:ascii="宋体" w:cs="宋体"/>
                <w:color w:val="000000"/>
                <w:sz w:val="24"/>
                <w:highlight w:val="none"/>
              </w:rPr>
              <w:t>否则不得分</w:t>
            </w:r>
            <w:r>
              <w:rPr>
                <w:rFonts w:hint="eastAsia" w:ascii="宋体" w:cs="宋体"/>
                <w:sz w:val="24"/>
                <w:highlight w:val="none"/>
              </w:rPr>
              <w:t>。</w:t>
            </w:r>
          </w:p>
        </w:tc>
        <w:tc>
          <w:tcPr>
            <w:tcW w:w="672" w:type="dxa"/>
            <w:vAlign w:val="center"/>
          </w:tcPr>
          <w:p>
            <w:pPr>
              <w:pStyle w:val="17"/>
              <w:jc w:val="center"/>
              <w:rPr>
                <w:rFonts w:hint="default" w:ascii="宋体" w:eastAsia="宋体" w:cs="宋体"/>
                <w:sz w:val="24"/>
                <w:highlight w:val="none"/>
                <w:lang w:val="en-US" w:eastAsia="zh-CN"/>
              </w:rPr>
            </w:pPr>
            <w:r>
              <w:rPr>
                <w:rFonts w:hint="eastAsia" w:ascii="宋体" w:cs="宋体"/>
                <w:sz w:val="24"/>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557" w:type="dxa"/>
            <w:vMerge w:val="continue"/>
            <w:vAlign w:val="center"/>
          </w:tcPr>
          <w:p/>
        </w:tc>
        <w:tc>
          <w:tcPr>
            <w:tcW w:w="1233" w:type="dxa"/>
            <w:vMerge w:val="continue"/>
            <w:vAlign w:val="center"/>
          </w:tcPr>
          <w:p/>
        </w:tc>
        <w:tc>
          <w:tcPr>
            <w:tcW w:w="6255" w:type="dxa"/>
          </w:tcPr>
          <w:p>
            <w:pPr>
              <w:pStyle w:val="17"/>
              <w:rPr>
                <w:rFonts w:ascii="宋体"/>
                <w:sz w:val="24"/>
                <w:highlight w:val="none"/>
              </w:rPr>
            </w:pPr>
            <w:r>
              <w:rPr>
                <w:rFonts w:hint="eastAsia" w:ascii="宋体" w:cs="宋体"/>
                <w:sz w:val="24"/>
                <w:highlight w:val="none"/>
              </w:rPr>
              <w:t>5、应急预案</w:t>
            </w:r>
            <w:r>
              <w:rPr>
                <w:rFonts w:hint="eastAsia" w:ascii="宋体"/>
                <w:sz w:val="24"/>
                <w:highlight w:val="none"/>
              </w:rPr>
              <w:t>（满分</w:t>
            </w:r>
            <w:r>
              <w:rPr>
                <w:rFonts w:hint="eastAsia" w:ascii="宋体"/>
                <w:sz w:val="24"/>
                <w:highlight w:val="none"/>
                <w:lang w:val="en-US" w:eastAsia="zh-CN"/>
              </w:rPr>
              <w:t>6</w:t>
            </w:r>
            <w:r>
              <w:rPr>
                <w:rFonts w:hint="eastAsia" w:ascii="宋体"/>
                <w:sz w:val="24"/>
                <w:highlight w:val="none"/>
              </w:rPr>
              <w:t>分）</w:t>
            </w:r>
          </w:p>
          <w:p>
            <w:pPr>
              <w:pStyle w:val="17"/>
              <w:jc w:val="left"/>
              <w:rPr>
                <w:rFonts w:ascii="宋体" w:cs="宋体"/>
                <w:sz w:val="24"/>
                <w:highlight w:val="none"/>
              </w:rPr>
            </w:pPr>
            <w:r>
              <w:rPr>
                <w:rFonts w:hint="eastAsia" w:ascii="宋体"/>
                <w:sz w:val="24"/>
                <w:highlight w:val="none"/>
              </w:rPr>
              <w:t>①</w:t>
            </w:r>
            <w:r>
              <w:rPr>
                <w:rFonts w:hint="eastAsia" w:ascii="宋体" w:cs="宋体"/>
                <w:sz w:val="24"/>
                <w:highlight w:val="none"/>
              </w:rPr>
              <w:t>在紧急情况下，应急预案保证措施完善可行，交货期短且满足招标要求，保障性强，</w:t>
            </w:r>
            <w:r>
              <w:rPr>
                <w:rFonts w:hint="eastAsia" w:ascii="宋体"/>
                <w:sz w:val="24"/>
                <w:highlight w:val="none"/>
              </w:rPr>
              <w:t>进行综合评价打分</w:t>
            </w:r>
            <w:r>
              <w:rPr>
                <w:rFonts w:hint="eastAsia" w:ascii="宋体" w:cs="宋体"/>
                <w:sz w:val="24"/>
                <w:highlight w:val="none"/>
              </w:rPr>
              <w:t>；</w:t>
            </w:r>
          </w:p>
          <w:p>
            <w:pPr>
              <w:pStyle w:val="17"/>
              <w:jc w:val="left"/>
              <w:rPr>
                <w:rFonts w:ascii="宋体" w:cs="宋体"/>
                <w:sz w:val="24"/>
                <w:highlight w:val="none"/>
              </w:rPr>
            </w:pPr>
            <w:r>
              <w:rPr>
                <w:rFonts w:hint="eastAsia" w:ascii="宋体"/>
                <w:sz w:val="24"/>
                <w:highlight w:val="none"/>
              </w:rPr>
              <w:t>②</w:t>
            </w:r>
            <w:r>
              <w:rPr>
                <w:rFonts w:hint="eastAsia" w:ascii="宋体" w:cs="宋体"/>
                <w:color w:val="000000"/>
                <w:sz w:val="24"/>
                <w:highlight w:val="none"/>
              </w:rPr>
              <w:t>否则不得分</w:t>
            </w:r>
            <w:r>
              <w:rPr>
                <w:rFonts w:hint="eastAsia" w:ascii="宋体" w:cs="宋体"/>
                <w:sz w:val="24"/>
                <w:highlight w:val="none"/>
              </w:rPr>
              <w:t>。</w:t>
            </w:r>
          </w:p>
        </w:tc>
        <w:tc>
          <w:tcPr>
            <w:tcW w:w="672" w:type="dxa"/>
            <w:vAlign w:val="center"/>
          </w:tcPr>
          <w:p>
            <w:pPr>
              <w:pStyle w:val="17"/>
              <w:jc w:val="center"/>
              <w:rPr>
                <w:rFonts w:ascii="宋体" w:cs="宋体"/>
                <w:sz w:val="24"/>
                <w:highlight w:val="none"/>
              </w:rPr>
            </w:pPr>
            <w:r>
              <w:rPr>
                <w:rFonts w:hint="eastAsia" w:ascii="宋体" w:cs="宋体"/>
                <w:sz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557" w:type="dxa"/>
            <w:vAlign w:val="center"/>
          </w:tcPr>
          <w:p>
            <w:pPr>
              <w:pStyle w:val="17"/>
              <w:jc w:val="center"/>
              <w:rPr>
                <w:rFonts w:ascii="宋体" w:cs="宋体"/>
                <w:sz w:val="24"/>
              </w:rPr>
            </w:pPr>
          </w:p>
        </w:tc>
        <w:tc>
          <w:tcPr>
            <w:tcW w:w="1233" w:type="dxa"/>
            <w:vAlign w:val="center"/>
          </w:tcPr>
          <w:p>
            <w:pPr>
              <w:pStyle w:val="17"/>
              <w:jc w:val="center"/>
              <w:rPr>
                <w:rFonts w:ascii="宋体" w:cs="宋体"/>
                <w:sz w:val="24"/>
              </w:rPr>
            </w:pPr>
            <w:r>
              <w:rPr>
                <w:rFonts w:hint="eastAsia" w:ascii="宋体" w:cs="宋体"/>
                <w:color w:val="000000"/>
                <w:sz w:val="21"/>
                <w:szCs w:val="21"/>
              </w:rPr>
              <w:t>合计</w:t>
            </w:r>
          </w:p>
        </w:tc>
        <w:tc>
          <w:tcPr>
            <w:tcW w:w="6255" w:type="dxa"/>
          </w:tcPr>
          <w:p>
            <w:pPr>
              <w:pStyle w:val="17"/>
              <w:ind w:firstLine="420" w:firstLineChars="200"/>
              <w:jc w:val="left"/>
              <w:rPr>
                <w:rFonts w:ascii="宋体" w:cs="宋体"/>
                <w:color w:val="000000"/>
                <w:sz w:val="21"/>
                <w:szCs w:val="21"/>
              </w:rPr>
            </w:pPr>
          </w:p>
        </w:tc>
        <w:tc>
          <w:tcPr>
            <w:tcW w:w="672" w:type="dxa"/>
            <w:vAlign w:val="center"/>
          </w:tcPr>
          <w:p>
            <w:pPr>
              <w:pStyle w:val="17"/>
              <w:jc w:val="center"/>
              <w:rPr>
                <w:rFonts w:hint="eastAsia" w:ascii="宋体" w:eastAsia="宋体" w:cs="宋体"/>
                <w:sz w:val="24"/>
                <w:lang w:eastAsia="zh-CN"/>
              </w:rPr>
            </w:pPr>
            <w:r>
              <w:rPr>
                <w:rFonts w:hint="eastAsia" w:ascii="宋体" w:cs="宋体"/>
                <w:sz w:val="24"/>
              </w:rPr>
              <w:t>4</w:t>
            </w:r>
            <w:r>
              <w:rPr>
                <w:rFonts w:hint="eastAsia" w:ascii="宋体" w:cs="宋体"/>
                <w:sz w:val="24"/>
                <w:lang w:val="en-US" w:eastAsia="zh-CN"/>
              </w:rPr>
              <w:t>5</w:t>
            </w:r>
          </w:p>
        </w:tc>
      </w:tr>
    </w:tbl>
    <w:p>
      <w:pPr>
        <w:pStyle w:val="9"/>
        <w:numPr>
          <w:ilvl w:val="0"/>
          <w:numId w:val="0"/>
        </w:numPr>
        <w:rPr>
          <w:rFonts w:ascii="宋体" w:eastAsia="宋体" w:cs="宋体"/>
          <w:b/>
          <w:bCs/>
          <w:sz w:val="21"/>
          <w:szCs w:val="21"/>
        </w:rPr>
      </w:pPr>
    </w:p>
    <w:p>
      <w:pPr>
        <w:pStyle w:val="9"/>
        <w:numPr>
          <w:ilvl w:val="0"/>
          <w:numId w:val="0"/>
        </w:numPr>
        <w:rPr>
          <w:rFonts w:ascii="宋体" w:eastAsia="宋体" w:cs="宋体"/>
          <w:b/>
          <w:bCs/>
          <w:sz w:val="21"/>
          <w:szCs w:val="21"/>
        </w:rPr>
      </w:pPr>
    </w:p>
    <w:p>
      <w:pPr>
        <w:pStyle w:val="9"/>
        <w:numPr>
          <w:ilvl w:val="0"/>
          <w:numId w:val="0"/>
        </w:numPr>
        <w:rPr>
          <w:rFonts w:ascii="宋体" w:eastAsia="宋体" w:cs="宋体"/>
          <w:b/>
          <w:bCs/>
          <w:sz w:val="21"/>
          <w:szCs w:val="21"/>
        </w:rPr>
      </w:pPr>
    </w:p>
    <w:p>
      <w:pPr>
        <w:pStyle w:val="9"/>
        <w:numPr>
          <w:ilvl w:val="0"/>
          <w:numId w:val="0"/>
        </w:numPr>
        <w:rPr>
          <w:rFonts w:ascii="宋体" w:eastAsia="宋体" w:cs="宋体"/>
          <w:b/>
          <w:bCs/>
          <w:sz w:val="21"/>
          <w:szCs w:val="21"/>
        </w:rPr>
      </w:pPr>
    </w:p>
    <w:p>
      <w:pPr>
        <w:pStyle w:val="9"/>
        <w:numPr>
          <w:ilvl w:val="0"/>
          <w:numId w:val="0"/>
        </w:numPr>
        <w:rPr>
          <w:rFonts w:ascii="宋体" w:eastAsia="宋体" w:cs="宋体"/>
          <w:b/>
          <w:bCs/>
          <w:sz w:val="21"/>
          <w:szCs w:val="21"/>
        </w:rPr>
      </w:pPr>
    </w:p>
    <w:p>
      <w:pPr>
        <w:pStyle w:val="9"/>
        <w:numPr>
          <w:ilvl w:val="0"/>
          <w:numId w:val="0"/>
        </w:numPr>
        <w:rPr>
          <w:rFonts w:ascii="宋体" w:eastAsia="宋体" w:cs="宋体"/>
          <w:b/>
          <w:bCs/>
          <w:sz w:val="21"/>
          <w:szCs w:val="21"/>
        </w:rPr>
      </w:pPr>
    </w:p>
    <w:p>
      <w:pPr>
        <w:pStyle w:val="9"/>
        <w:numPr>
          <w:ilvl w:val="0"/>
          <w:numId w:val="0"/>
        </w:numPr>
        <w:rPr>
          <w:rFonts w:ascii="宋体" w:eastAsia="宋体" w:cs="宋体"/>
          <w:b/>
          <w:bCs/>
          <w:sz w:val="21"/>
          <w:szCs w:val="21"/>
        </w:rPr>
      </w:pPr>
    </w:p>
    <w:p>
      <w:pPr>
        <w:pStyle w:val="9"/>
        <w:numPr>
          <w:ilvl w:val="0"/>
          <w:numId w:val="0"/>
        </w:numPr>
        <w:rPr>
          <w:rFonts w:ascii="宋体" w:eastAsia="宋体" w:cs="宋体"/>
          <w:b/>
          <w:bCs/>
          <w:sz w:val="21"/>
          <w:szCs w:val="21"/>
        </w:rPr>
      </w:pPr>
    </w:p>
    <w:p>
      <w:pPr>
        <w:pStyle w:val="9"/>
        <w:numPr>
          <w:ilvl w:val="0"/>
          <w:numId w:val="0"/>
        </w:numPr>
        <w:rPr>
          <w:rFonts w:ascii="宋体" w:eastAsia="宋体" w:cs="宋体"/>
          <w:b/>
          <w:bCs/>
          <w:sz w:val="21"/>
          <w:szCs w:val="21"/>
        </w:rPr>
      </w:pPr>
    </w:p>
    <w:p>
      <w:pPr>
        <w:pStyle w:val="9"/>
        <w:numPr>
          <w:ilvl w:val="0"/>
          <w:numId w:val="0"/>
        </w:numPr>
        <w:rPr>
          <w:rFonts w:ascii="宋体" w:eastAsia="宋体" w:cs="宋体"/>
          <w:b/>
          <w:bCs/>
          <w:sz w:val="21"/>
          <w:szCs w:val="21"/>
        </w:rPr>
      </w:pPr>
    </w:p>
    <w:p>
      <w:pPr>
        <w:pStyle w:val="9"/>
        <w:numPr>
          <w:ilvl w:val="0"/>
          <w:numId w:val="0"/>
        </w:numPr>
        <w:rPr>
          <w:rFonts w:ascii="宋体" w:eastAsia="宋体" w:cs="宋体"/>
          <w:b/>
          <w:bCs/>
          <w:sz w:val="21"/>
          <w:szCs w:val="21"/>
        </w:rPr>
      </w:pPr>
    </w:p>
    <w:p>
      <w:pPr>
        <w:pStyle w:val="9"/>
        <w:numPr>
          <w:ilvl w:val="0"/>
          <w:numId w:val="0"/>
        </w:numPr>
        <w:rPr>
          <w:rFonts w:ascii="宋体" w:eastAsia="宋体" w:cs="宋体"/>
          <w:b/>
          <w:bCs/>
          <w:sz w:val="21"/>
          <w:szCs w:val="21"/>
        </w:rPr>
      </w:pPr>
    </w:p>
    <w:p>
      <w:pPr>
        <w:pStyle w:val="9"/>
        <w:numPr>
          <w:ilvl w:val="0"/>
          <w:numId w:val="0"/>
        </w:numPr>
        <w:rPr>
          <w:rFonts w:ascii="宋体" w:eastAsia="宋体" w:cs="宋体"/>
          <w:b/>
          <w:bCs/>
          <w:sz w:val="21"/>
          <w:szCs w:val="21"/>
        </w:rPr>
      </w:pPr>
    </w:p>
    <w:p>
      <w:pPr>
        <w:pStyle w:val="9"/>
        <w:numPr>
          <w:ilvl w:val="0"/>
          <w:numId w:val="0"/>
        </w:numPr>
        <w:rPr>
          <w:rFonts w:ascii="宋体" w:eastAsia="宋体" w:cs="宋体"/>
          <w:b/>
          <w:bCs/>
          <w:sz w:val="21"/>
          <w:szCs w:val="21"/>
        </w:rPr>
      </w:pPr>
    </w:p>
    <w:p>
      <w:pPr>
        <w:pStyle w:val="9"/>
        <w:numPr>
          <w:ilvl w:val="0"/>
          <w:numId w:val="0"/>
        </w:numPr>
        <w:rPr>
          <w:rFonts w:ascii="宋体" w:eastAsia="宋体" w:cs="宋体"/>
          <w:b/>
          <w:bCs/>
          <w:sz w:val="21"/>
          <w:szCs w:val="21"/>
        </w:rPr>
      </w:pPr>
    </w:p>
    <w:p>
      <w:pPr>
        <w:pStyle w:val="9"/>
        <w:numPr>
          <w:ilvl w:val="0"/>
          <w:numId w:val="0"/>
        </w:numPr>
        <w:rPr>
          <w:rFonts w:ascii="宋体" w:eastAsia="宋体" w:cs="宋体"/>
          <w:b/>
          <w:bCs/>
          <w:sz w:val="21"/>
          <w:szCs w:val="21"/>
        </w:rPr>
      </w:pPr>
    </w:p>
    <w:p>
      <w:pPr>
        <w:pStyle w:val="9"/>
        <w:numPr>
          <w:ilvl w:val="0"/>
          <w:numId w:val="0"/>
        </w:numPr>
        <w:rPr>
          <w:rFonts w:ascii="宋体" w:eastAsia="宋体" w:cs="宋体"/>
          <w:b/>
          <w:bCs/>
          <w:sz w:val="21"/>
          <w:szCs w:val="21"/>
        </w:rPr>
      </w:pPr>
    </w:p>
    <w:p>
      <w:pPr>
        <w:pStyle w:val="9"/>
        <w:numPr>
          <w:ilvl w:val="0"/>
          <w:numId w:val="0"/>
        </w:numPr>
        <w:rPr>
          <w:rFonts w:ascii="宋体" w:eastAsia="宋体" w:cs="宋体"/>
          <w:b/>
          <w:bCs/>
          <w:sz w:val="21"/>
          <w:szCs w:val="21"/>
        </w:rPr>
      </w:pPr>
    </w:p>
    <w:p>
      <w:pPr>
        <w:pStyle w:val="9"/>
        <w:numPr>
          <w:ilvl w:val="0"/>
          <w:numId w:val="0"/>
        </w:numPr>
        <w:rPr>
          <w:rFonts w:ascii="宋体" w:eastAsia="宋体" w:cs="宋体"/>
          <w:b/>
          <w:bCs/>
          <w:sz w:val="21"/>
          <w:szCs w:val="21"/>
        </w:rPr>
      </w:pPr>
    </w:p>
    <w:p>
      <w:pPr>
        <w:pStyle w:val="9"/>
        <w:numPr>
          <w:ilvl w:val="0"/>
          <w:numId w:val="0"/>
        </w:numPr>
        <w:rPr>
          <w:rFonts w:ascii="宋体" w:eastAsia="宋体" w:cs="宋体"/>
          <w:b/>
          <w:bCs/>
          <w:sz w:val="21"/>
          <w:szCs w:val="21"/>
        </w:rPr>
      </w:pPr>
    </w:p>
    <w:p>
      <w:pPr>
        <w:pStyle w:val="9"/>
        <w:numPr>
          <w:ilvl w:val="0"/>
          <w:numId w:val="0"/>
        </w:numPr>
        <w:rPr>
          <w:rFonts w:ascii="宋体" w:eastAsia="宋体" w:cs="宋体"/>
          <w:b/>
          <w:bCs/>
          <w:sz w:val="21"/>
          <w:szCs w:val="21"/>
        </w:rPr>
      </w:pPr>
    </w:p>
    <w:p>
      <w:pPr>
        <w:pStyle w:val="9"/>
        <w:numPr>
          <w:ilvl w:val="0"/>
          <w:numId w:val="0"/>
        </w:numPr>
        <w:rPr>
          <w:rFonts w:ascii="宋体" w:eastAsia="宋体" w:cs="宋体"/>
          <w:b/>
          <w:bCs/>
          <w:sz w:val="21"/>
          <w:szCs w:val="21"/>
        </w:rPr>
      </w:pPr>
    </w:p>
    <w:p>
      <w:pPr>
        <w:pStyle w:val="9"/>
        <w:numPr>
          <w:ilvl w:val="0"/>
          <w:numId w:val="0"/>
        </w:numPr>
        <w:rPr>
          <w:rFonts w:ascii="宋体" w:eastAsia="宋体" w:cs="宋体"/>
          <w:b/>
          <w:bCs/>
          <w:sz w:val="21"/>
          <w:szCs w:val="21"/>
        </w:rPr>
      </w:pPr>
    </w:p>
    <w:p>
      <w:pPr>
        <w:pStyle w:val="9"/>
        <w:numPr>
          <w:ilvl w:val="0"/>
          <w:numId w:val="0"/>
        </w:numPr>
        <w:rPr>
          <w:rFonts w:ascii="宋体" w:eastAsia="宋体" w:cs="宋体"/>
          <w:b/>
          <w:bCs/>
          <w:sz w:val="21"/>
          <w:szCs w:val="21"/>
        </w:rPr>
      </w:pPr>
    </w:p>
    <w:p>
      <w:pPr>
        <w:pStyle w:val="9"/>
        <w:numPr>
          <w:ilvl w:val="0"/>
          <w:numId w:val="0"/>
        </w:numPr>
        <w:rPr>
          <w:rFonts w:ascii="宋体" w:eastAsia="宋体" w:cs="宋体"/>
          <w:b/>
          <w:bCs/>
          <w:sz w:val="21"/>
          <w:szCs w:val="21"/>
        </w:rPr>
      </w:pPr>
    </w:p>
    <w:p>
      <w:pPr>
        <w:pStyle w:val="9"/>
        <w:numPr>
          <w:ilvl w:val="0"/>
          <w:numId w:val="0"/>
        </w:numPr>
        <w:rPr>
          <w:rFonts w:ascii="宋体" w:eastAsia="宋体" w:cs="宋体"/>
          <w:b/>
          <w:bCs/>
          <w:sz w:val="21"/>
          <w:szCs w:val="21"/>
        </w:rPr>
      </w:pPr>
    </w:p>
    <w:p>
      <w:pPr>
        <w:pStyle w:val="9"/>
        <w:numPr>
          <w:ilvl w:val="0"/>
          <w:numId w:val="0"/>
        </w:numPr>
        <w:rPr>
          <w:rFonts w:ascii="宋体" w:eastAsia="宋体" w:cs="宋体"/>
          <w:b/>
          <w:bCs/>
          <w:sz w:val="21"/>
          <w:szCs w:val="21"/>
        </w:rPr>
      </w:pPr>
    </w:p>
    <w:p>
      <w:pPr>
        <w:pStyle w:val="9"/>
        <w:numPr>
          <w:ilvl w:val="0"/>
          <w:numId w:val="0"/>
        </w:numPr>
        <w:rPr>
          <w:rFonts w:ascii="宋体" w:eastAsia="宋体" w:cs="宋体"/>
          <w:b/>
          <w:bCs/>
          <w:sz w:val="21"/>
          <w:szCs w:val="21"/>
        </w:rPr>
      </w:pPr>
    </w:p>
    <w:p>
      <w:pPr>
        <w:pStyle w:val="9"/>
        <w:numPr>
          <w:ilvl w:val="0"/>
          <w:numId w:val="0"/>
        </w:numPr>
        <w:rPr>
          <w:rFonts w:ascii="宋体" w:eastAsia="宋体" w:cs="宋体"/>
          <w:b/>
          <w:bCs/>
          <w:sz w:val="21"/>
          <w:szCs w:val="21"/>
        </w:rPr>
      </w:pPr>
    </w:p>
    <w:p>
      <w:pPr>
        <w:pStyle w:val="9"/>
        <w:numPr>
          <w:ilvl w:val="0"/>
          <w:numId w:val="0"/>
        </w:numPr>
        <w:rPr>
          <w:rFonts w:ascii="宋体" w:eastAsia="宋体" w:cs="宋体"/>
          <w:b/>
          <w:bCs/>
          <w:sz w:val="21"/>
          <w:szCs w:val="21"/>
        </w:rPr>
      </w:pPr>
    </w:p>
    <w:p>
      <w:pPr>
        <w:pStyle w:val="9"/>
        <w:numPr>
          <w:ilvl w:val="0"/>
          <w:numId w:val="0"/>
        </w:numPr>
        <w:rPr>
          <w:rFonts w:ascii="宋体" w:eastAsia="宋体" w:cs="宋体"/>
          <w:b/>
          <w:bCs/>
          <w:sz w:val="21"/>
          <w:szCs w:val="21"/>
        </w:rPr>
      </w:pPr>
    </w:p>
    <w:p>
      <w:pPr>
        <w:pStyle w:val="9"/>
        <w:numPr>
          <w:ilvl w:val="0"/>
          <w:numId w:val="0"/>
        </w:numPr>
        <w:rPr>
          <w:rFonts w:ascii="宋体" w:eastAsia="宋体" w:cs="宋体"/>
          <w:b/>
          <w:bCs/>
          <w:sz w:val="21"/>
          <w:szCs w:val="21"/>
        </w:rPr>
      </w:pPr>
    </w:p>
    <w:p>
      <w:pPr>
        <w:pStyle w:val="9"/>
        <w:numPr>
          <w:ilvl w:val="0"/>
          <w:numId w:val="0"/>
        </w:numPr>
        <w:rPr>
          <w:rFonts w:ascii="宋体" w:eastAsia="宋体" w:cs="宋体"/>
          <w:b/>
          <w:bCs/>
          <w:sz w:val="21"/>
          <w:szCs w:val="21"/>
        </w:rPr>
      </w:pPr>
    </w:p>
    <w:p>
      <w:pPr>
        <w:pStyle w:val="9"/>
        <w:numPr>
          <w:ilvl w:val="0"/>
          <w:numId w:val="0"/>
        </w:numPr>
        <w:rPr>
          <w:rFonts w:ascii="宋体" w:eastAsia="宋体" w:cs="宋体"/>
          <w:b/>
          <w:bCs/>
          <w:sz w:val="21"/>
          <w:szCs w:val="21"/>
        </w:rPr>
      </w:pPr>
    </w:p>
    <w:p>
      <w:pPr>
        <w:pStyle w:val="9"/>
        <w:numPr>
          <w:ilvl w:val="0"/>
          <w:numId w:val="0"/>
        </w:numPr>
        <w:rPr>
          <w:rFonts w:ascii="宋体" w:eastAsia="宋体" w:cs="宋体"/>
          <w:b/>
          <w:bCs/>
          <w:sz w:val="21"/>
          <w:szCs w:val="21"/>
        </w:rPr>
      </w:pPr>
    </w:p>
    <w:p>
      <w:pPr>
        <w:widowControl/>
        <w:shd w:val="clear" w:color="auto" w:fill="FFFFFF"/>
        <w:snapToGrid w:val="0"/>
        <w:spacing w:line="360" w:lineRule="auto"/>
        <w:ind w:firstLine="482" w:firstLineChars="200"/>
        <w:jc w:val="center"/>
        <w:rPr>
          <w:rFonts w:hint="eastAsia" w:ascii="宋体" w:cs="宋体"/>
          <w:b/>
          <w:sz w:val="24"/>
        </w:rPr>
      </w:pPr>
    </w:p>
    <w:p>
      <w:pPr>
        <w:widowControl/>
        <w:shd w:val="clear" w:color="auto" w:fill="FFFFFF"/>
        <w:snapToGrid w:val="0"/>
        <w:spacing w:line="360" w:lineRule="auto"/>
        <w:jc w:val="both"/>
        <w:rPr>
          <w:rFonts w:hint="eastAsia" w:ascii="宋体" w:cs="宋体"/>
          <w:b/>
          <w:sz w:val="24"/>
        </w:rPr>
      </w:pPr>
    </w:p>
    <w:p>
      <w:pPr>
        <w:widowControl/>
        <w:shd w:val="clear" w:color="auto" w:fill="FFFFFF"/>
        <w:snapToGrid w:val="0"/>
        <w:spacing w:line="360" w:lineRule="auto"/>
        <w:ind w:firstLine="482" w:firstLineChars="200"/>
        <w:jc w:val="center"/>
        <w:rPr>
          <w:rFonts w:ascii="宋体" w:cs="宋体"/>
          <w:b/>
          <w:sz w:val="24"/>
        </w:rPr>
      </w:pPr>
      <w:r>
        <w:rPr>
          <w:rFonts w:hint="eastAsia" w:ascii="宋体" w:cs="宋体"/>
          <w:b/>
          <w:sz w:val="24"/>
        </w:rPr>
        <w:t>问题澄清通知</w:t>
      </w:r>
    </w:p>
    <w:p>
      <w:pPr>
        <w:rPr>
          <w:rFonts w:ascii="宋体" w:cs="宋体"/>
          <w:sz w:val="24"/>
        </w:rPr>
      </w:pPr>
    </w:p>
    <w:p>
      <w:pPr>
        <w:rPr>
          <w:rFonts w:ascii="宋体" w:cs="宋体"/>
          <w:kern w:val="0"/>
          <w:sz w:val="24"/>
        </w:rPr>
      </w:pPr>
      <w:r>
        <w:rPr>
          <w:rFonts w:hint="eastAsia" w:ascii="宋体" w:cs="宋体"/>
          <w:kern w:val="0"/>
          <w:sz w:val="24"/>
        </w:rPr>
        <w:t>（投标人名称）：</w:t>
      </w:r>
    </w:p>
    <w:p>
      <w:pPr>
        <w:ind w:firstLine="480" w:firstLineChars="200"/>
        <w:rPr>
          <w:rFonts w:ascii="宋体" w:cs="宋体"/>
          <w:kern w:val="0"/>
          <w:sz w:val="24"/>
        </w:rPr>
      </w:pPr>
      <w:r>
        <w:rPr>
          <w:rFonts w:hint="eastAsia" w:ascii="宋体" w:cs="宋体"/>
          <w:kern w:val="0"/>
          <w:sz w:val="24"/>
        </w:rPr>
        <w:t>（招标项目名称）招标的评标委员会，对你方的投标文件进行了仔细的审查，现需你方对本通知所附质疑问卷中的问题以书面形式予以澄清、说明或者补正。</w:t>
      </w:r>
    </w:p>
    <w:p>
      <w:pPr>
        <w:rPr>
          <w:rFonts w:ascii="宋体" w:cs="宋体"/>
          <w:kern w:val="0"/>
          <w:sz w:val="24"/>
        </w:rPr>
      </w:pPr>
      <w:r>
        <w:rPr>
          <w:rFonts w:hint="eastAsia" w:ascii="宋体" w:cs="宋体"/>
          <w:kern w:val="0"/>
          <w:sz w:val="24"/>
        </w:rPr>
        <w:t>质疑问题：</w:t>
      </w: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r>
        <w:rPr>
          <w:rFonts w:hint="eastAsia" w:ascii="宋体" w:cs="宋体"/>
          <w:kern w:val="0"/>
          <w:sz w:val="24"/>
        </w:rPr>
        <w:t>评标委员会员（签字）：</w:t>
      </w:r>
    </w:p>
    <w:p>
      <w:pPr>
        <w:rPr>
          <w:rFonts w:ascii="宋体" w:cs="宋体"/>
          <w:kern w:val="0"/>
          <w:sz w:val="24"/>
        </w:rPr>
      </w:pPr>
    </w:p>
    <w:p>
      <w:pPr>
        <w:rPr>
          <w:rFonts w:ascii="宋体" w:cs="宋体"/>
          <w:kern w:val="0"/>
          <w:sz w:val="24"/>
        </w:rPr>
      </w:pPr>
      <w:r>
        <w:rPr>
          <w:rFonts w:hint="eastAsia" w:ascii="宋体" w:cs="宋体"/>
          <w:kern w:val="0"/>
          <w:sz w:val="24"/>
        </w:rPr>
        <w:t>日期：    年    月    日</w:t>
      </w:r>
    </w:p>
    <w:p>
      <w:pPr>
        <w:jc w:val="center"/>
        <w:rPr>
          <w:rFonts w:ascii="宋体" w:cs="宋体"/>
          <w:b/>
          <w:sz w:val="24"/>
        </w:rPr>
      </w:pPr>
    </w:p>
    <w:p>
      <w:pPr>
        <w:jc w:val="center"/>
        <w:rPr>
          <w:rFonts w:ascii="宋体" w:cs="宋体"/>
          <w:b/>
          <w:sz w:val="24"/>
        </w:rPr>
      </w:pPr>
    </w:p>
    <w:p>
      <w:pPr>
        <w:jc w:val="center"/>
        <w:rPr>
          <w:rFonts w:ascii="宋体" w:cs="宋体"/>
          <w:b/>
          <w:sz w:val="24"/>
        </w:rPr>
      </w:pPr>
    </w:p>
    <w:p>
      <w:pPr>
        <w:pStyle w:val="3"/>
        <w:ind w:left="0" w:leftChars="0" w:firstLine="0" w:firstLineChars="0"/>
        <w:rPr>
          <w:rFonts w:cs="宋体"/>
          <w:sz w:val="24"/>
        </w:rPr>
      </w:pPr>
    </w:p>
    <w:p>
      <w:pPr>
        <w:pStyle w:val="3"/>
        <w:rPr>
          <w:rFonts w:cs="宋体"/>
          <w:sz w:val="24"/>
        </w:rPr>
      </w:pPr>
    </w:p>
    <w:p>
      <w:pPr>
        <w:pStyle w:val="3"/>
        <w:rPr>
          <w:rFonts w:cs="宋体"/>
        </w:rPr>
      </w:pPr>
    </w:p>
    <w:p>
      <w:pPr>
        <w:jc w:val="center"/>
        <w:rPr>
          <w:rFonts w:ascii="宋体" w:cs="宋体"/>
          <w:b/>
          <w:sz w:val="24"/>
        </w:rPr>
      </w:pPr>
      <w:r>
        <w:rPr>
          <w:rFonts w:hint="eastAsia" w:ascii="宋体" w:cs="宋体"/>
          <w:b/>
          <w:sz w:val="24"/>
        </w:rPr>
        <w:t>问题的澄清、说明或补正</w:t>
      </w:r>
    </w:p>
    <w:p>
      <w:pPr>
        <w:rPr>
          <w:rFonts w:ascii="宋体" w:cs="宋体"/>
          <w:kern w:val="0"/>
          <w:sz w:val="24"/>
        </w:rPr>
      </w:pPr>
    </w:p>
    <w:p>
      <w:pPr>
        <w:rPr>
          <w:rFonts w:ascii="宋体" w:cs="宋体"/>
          <w:kern w:val="0"/>
          <w:sz w:val="24"/>
        </w:rPr>
      </w:pPr>
      <w:r>
        <w:rPr>
          <w:rFonts w:hint="eastAsia" w:ascii="宋体" w:cs="宋体"/>
          <w:kern w:val="0"/>
          <w:sz w:val="24"/>
        </w:rPr>
        <w:t>评标委员会：</w:t>
      </w:r>
    </w:p>
    <w:p>
      <w:pPr>
        <w:ind w:firstLine="480" w:firstLineChars="200"/>
        <w:rPr>
          <w:rFonts w:ascii="宋体" w:cs="宋体"/>
          <w:kern w:val="0"/>
          <w:sz w:val="24"/>
        </w:rPr>
      </w:pPr>
      <w:r>
        <w:rPr>
          <w:rFonts w:hint="eastAsia" w:ascii="宋体" w:cs="宋体"/>
          <w:kern w:val="0"/>
          <w:sz w:val="24"/>
        </w:rPr>
        <w:t>（招标项目名称）的问题澄清通知已收悉，现澄清、说明或者补正如下：</w:t>
      </w: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r>
        <w:rPr>
          <w:rFonts w:hint="eastAsia" w:ascii="宋体" w:cs="宋体"/>
          <w:kern w:val="0"/>
          <w:sz w:val="24"/>
        </w:rPr>
        <w:t>法定代表人或其授权委托人（签字）：</w:t>
      </w:r>
    </w:p>
    <w:p>
      <w:pPr>
        <w:rPr>
          <w:rFonts w:ascii="宋体" w:cs="宋体"/>
          <w:kern w:val="0"/>
          <w:sz w:val="24"/>
        </w:rPr>
      </w:pPr>
    </w:p>
    <w:p>
      <w:pPr>
        <w:rPr>
          <w:rFonts w:ascii="宋体" w:cs="宋体"/>
          <w:kern w:val="0"/>
          <w:sz w:val="24"/>
        </w:rPr>
      </w:pPr>
      <w:r>
        <w:rPr>
          <w:rFonts w:hint="eastAsia" w:ascii="宋体" w:cs="宋体"/>
          <w:kern w:val="0"/>
          <w:sz w:val="24"/>
        </w:rPr>
        <w:t>日期：    年    月    日</w:t>
      </w:r>
    </w:p>
    <w:p>
      <w:pPr>
        <w:jc w:val="center"/>
        <w:rPr>
          <w:rFonts w:ascii="宋体" w:cs="宋体"/>
          <w:b/>
          <w:sz w:val="24"/>
        </w:rPr>
      </w:pPr>
    </w:p>
    <w:p>
      <w:pPr>
        <w:pStyle w:val="4"/>
        <w:ind w:left="0" w:leftChars="0" w:firstLine="0" w:firstLineChars="0"/>
      </w:pPr>
    </w:p>
    <w:p>
      <w:pPr>
        <w:pStyle w:val="5"/>
        <w:jc w:val="center"/>
        <w:rPr>
          <w:rFonts w:ascii="黑体" w:eastAsia="黑体" w:cs="黑体"/>
          <w:color w:val="000000"/>
          <w:sz w:val="24"/>
        </w:rPr>
      </w:pPr>
      <w:bookmarkStart w:id="26" w:name="_Toc9511"/>
      <w:r>
        <w:rPr>
          <w:rFonts w:hint="eastAsia" w:ascii="黑体" w:eastAsia="黑体" w:cs="黑体"/>
          <w:sz w:val="24"/>
        </w:rPr>
        <w:t>第四章</w:t>
      </w:r>
      <w:r>
        <w:rPr>
          <w:rFonts w:hint="eastAsia" w:ascii="黑体" w:eastAsia="黑体" w:cs="黑体"/>
          <w:color w:val="000000"/>
          <w:sz w:val="24"/>
        </w:rPr>
        <w:t xml:space="preserve">  合同条款及格式</w:t>
      </w:r>
      <w:bookmarkEnd w:id="26"/>
    </w:p>
    <w:p>
      <w:pPr>
        <w:pStyle w:val="2"/>
        <w:jc w:val="center"/>
        <w:rPr>
          <w:rFonts w:cs="宋体"/>
          <w:sz w:val="24"/>
          <w:szCs w:val="24"/>
        </w:rPr>
      </w:pPr>
      <w:bookmarkStart w:id="27" w:name="_Toc3422"/>
      <w:bookmarkStart w:id="28" w:name="_Toc6021"/>
      <w:r>
        <w:rPr>
          <w:rFonts w:ascii="Times New Roman" w:hAnsi="Times New Roman"/>
          <w:sz w:val="24"/>
          <w:szCs w:val="24"/>
        </w:rPr>
        <w:t>第</w:t>
      </w:r>
      <w:r>
        <w:rPr>
          <w:rFonts w:hint="eastAsia" w:ascii="Times New Roman" w:hAnsi="Times New Roman"/>
          <w:sz w:val="24"/>
          <w:szCs w:val="24"/>
        </w:rPr>
        <w:t>一</w:t>
      </w:r>
      <w:r>
        <w:rPr>
          <w:rFonts w:ascii="Times New Roman" w:hAnsi="Times New Roman"/>
          <w:sz w:val="24"/>
          <w:szCs w:val="24"/>
        </w:rPr>
        <w:t>节</w:t>
      </w:r>
      <w:r>
        <w:rPr>
          <w:rFonts w:hint="eastAsia" w:ascii="Times New Roman" w:hAnsi="Times New Roman"/>
          <w:sz w:val="24"/>
          <w:szCs w:val="24"/>
        </w:rPr>
        <w:t xml:space="preserve"> </w:t>
      </w:r>
      <w:bookmarkEnd w:id="27"/>
      <w:r>
        <w:rPr>
          <w:rFonts w:hint="eastAsia" w:cs="宋体"/>
          <w:bCs/>
          <w:color w:val="000000"/>
          <w:sz w:val="24"/>
          <w:szCs w:val="24"/>
        </w:rPr>
        <w:t>通用合同条款</w:t>
      </w:r>
      <w:bookmarkEnd w:id="28"/>
    </w:p>
    <w:p>
      <w:pPr>
        <w:spacing w:line="360" w:lineRule="auto"/>
        <w:jc w:val="center"/>
        <w:rPr>
          <w:rFonts w:ascii="宋体" w:cs="宋体"/>
          <w:b/>
          <w:bCs/>
          <w:color w:val="000000"/>
          <w:sz w:val="32"/>
          <w:szCs w:val="32"/>
        </w:rPr>
      </w:pPr>
      <w:r>
        <w:rPr>
          <w:rFonts w:hint="eastAsia" w:ascii="宋体" w:cs="宋体"/>
          <w:b/>
          <w:bCs/>
          <w:color w:val="000000"/>
          <w:sz w:val="32"/>
          <w:szCs w:val="32"/>
        </w:rPr>
        <w:t>通用条款</w:t>
      </w:r>
    </w:p>
    <w:p>
      <w:pPr>
        <w:spacing w:line="360" w:lineRule="auto"/>
        <w:ind w:firstLine="480" w:firstLineChars="200"/>
        <w:rPr>
          <w:rFonts w:ascii="宋体" w:cs="宋体"/>
          <w:color w:val="000000"/>
          <w:sz w:val="24"/>
        </w:rPr>
      </w:pPr>
    </w:p>
    <w:p>
      <w:pPr>
        <w:spacing w:line="360" w:lineRule="auto"/>
        <w:ind w:firstLine="480" w:firstLineChars="200"/>
        <w:rPr>
          <w:rFonts w:ascii="宋体" w:cs="宋体"/>
          <w:color w:val="000000"/>
          <w:sz w:val="24"/>
        </w:rPr>
      </w:pPr>
      <w:r>
        <w:rPr>
          <w:rFonts w:hint="eastAsia" w:ascii="宋体" w:cs="宋体"/>
          <w:color w:val="000000"/>
          <w:sz w:val="24"/>
        </w:rPr>
        <w:t>为更好地维护合同缔约各方的权益，确保缔约的慎重、具体和严密，合同各</w:t>
      </w:r>
    </w:p>
    <w:p>
      <w:pPr>
        <w:spacing w:line="360" w:lineRule="auto"/>
        <w:rPr>
          <w:rFonts w:ascii="宋体" w:cs="宋体"/>
          <w:color w:val="000000"/>
          <w:sz w:val="24"/>
        </w:rPr>
      </w:pPr>
      <w:r>
        <w:rPr>
          <w:rFonts w:hint="eastAsia" w:ascii="宋体" w:cs="宋体"/>
          <w:color w:val="000000"/>
          <w:sz w:val="24"/>
        </w:rPr>
        <w:t>方特此同意下列条款，作为合同整体之不可分割的约定。如合同正文约定条款与</w:t>
      </w:r>
    </w:p>
    <w:p>
      <w:pPr>
        <w:spacing w:line="360" w:lineRule="auto"/>
        <w:rPr>
          <w:rFonts w:ascii="宋体" w:cs="宋体"/>
          <w:color w:val="000000"/>
          <w:sz w:val="24"/>
        </w:rPr>
      </w:pPr>
      <w:r>
        <w:rPr>
          <w:rFonts w:hint="eastAsia" w:ascii="宋体" w:cs="宋体"/>
          <w:color w:val="000000"/>
          <w:sz w:val="24"/>
        </w:rPr>
        <w:t>本通用条款有冲突的，以正文约定为准。</w:t>
      </w:r>
    </w:p>
    <w:p>
      <w:pPr>
        <w:spacing w:line="360" w:lineRule="auto"/>
        <w:rPr>
          <w:rFonts w:ascii="宋体" w:cs="宋体"/>
          <w:b/>
          <w:bCs/>
          <w:color w:val="000000"/>
          <w:sz w:val="24"/>
        </w:rPr>
      </w:pPr>
      <w:r>
        <w:rPr>
          <w:rFonts w:hint="eastAsia" w:ascii="宋体" w:cs="宋体"/>
          <w:b/>
          <w:bCs/>
          <w:color w:val="000000"/>
          <w:sz w:val="24"/>
        </w:rPr>
        <w:t>1．定义及解释</w:t>
      </w:r>
    </w:p>
    <w:p>
      <w:pPr>
        <w:spacing w:line="360" w:lineRule="auto"/>
        <w:ind w:firstLine="480" w:firstLineChars="200"/>
        <w:rPr>
          <w:rFonts w:ascii="宋体" w:cs="宋体"/>
          <w:color w:val="000000"/>
          <w:sz w:val="24"/>
        </w:rPr>
      </w:pPr>
      <w:r>
        <w:rPr>
          <w:rFonts w:hint="eastAsia" w:ascii="宋体" w:cs="宋体"/>
          <w:color w:val="000000"/>
          <w:sz w:val="24"/>
        </w:rPr>
        <w:t>1.1在本合同中，除非文义另有所指，否则下列词语有以下含义：</w:t>
      </w:r>
    </w:p>
    <w:p>
      <w:pPr>
        <w:spacing w:line="360" w:lineRule="auto"/>
        <w:ind w:firstLine="480" w:firstLineChars="200"/>
        <w:rPr>
          <w:rFonts w:ascii="宋体" w:cs="宋体"/>
          <w:color w:val="000000"/>
          <w:sz w:val="24"/>
        </w:rPr>
      </w:pPr>
      <w:r>
        <w:rPr>
          <w:rFonts w:hint="eastAsia" w:ascii="宋体" w:cs="宋体"/>
          <w:color w:val="000000"/>
          <w:sz w:val="24"/>
        </w:rPr>
        <w:t>1.1.1“书面”除本合同另有明确所指，包括书写、打印、电传信息、传真及任何其它清晰可辩的文字或图案复制方式。本合同项下或与本合同有关的所有通知、请求、要求或其它联络和所有需要送达的文件或以英文书就或附有经核实的英文译文。如果英文文本与其他语言的文本存在冲突，中文文本优先。</w:t>
      </w:r>
    </w:p>
    <w:p>
      <w:pPr>
        <w:spacing w:line="360" w:lineRule="auto"/>
        <w:ind w:firstLine="480" w:firstLineChars="200"/>
        <w:rPr>
          <w:rFonts w:ascii="宋体" w:cs="宋体"/>
          <w:color w:val="000000"/>
          <w:sz w:val="24"/>
        </w:rPr>
      </w:pPr>
      <w:r>
        <w:rPr>
          <w:rFonts w:hint="eastAsia" w:ascii="宋体" w:cs="宋体"/>
          <w:color w:val="000000"/>
          <w:sz w:val="24"/>
        </w:rPr>
        <w:t>1.1.2“信息提供者”指提供资料、消息、研究、表格、图纸、文本及／或其它包含但不限于提供信息的第三方。</w:t>
      </w:r>
    </w:p>
    <w:p>
      <w:pPr>
        <w:spacing w:line="360" w:lineRule="auto"/>
        <w:ind w:firstLine="480" w:firstLineChars="200"/>
        <w:rPr>
          <w:rFonts w:ascii="宋体" w:cs="宋体"/>
          <w:color w:val="000000"/>
          <w:sz w:val="24"/>
        </w:rPr>
      </w:pPr>
      <w:r>
        <w:rPr>
          <w:rFonts w:hint="eastAsia" w:ascii="宋体" w:cs="宋体"/>
          <w:color w:val="000000"/>
          <w:sz w:val="24"/>
        </w:rPr>
        <w:t>1.1.3“工作日”是指除星期六、星期日以外的并且在中国通常开门营业之日。</w:t>
      </w:r>
    </w:p>
    <w:p>
      <w:pPr>
        <w:spacing w:line="360" w:lineRule="auto"/>
        <w:ind w:firstLine="480" w:firstLineChars="200"/>
        <w:rPr>
          <w:rFonts w:ascii="宋体" w:cs="宋体"/>
          <w:color w:val="000000"/>
          <w:sz w:val="24"/>
        </w:rPr>
      </w:pPr>
      <w:r>
        <w:rPr>
          <w:rFonts w:hint="eastAsia" w:ascii="宋体" w:cs="宋体"/>
          <w:color w:val="000000"/>
          <w:sz w:val="24"/>
        </w:rPr>
        <w:t>1.1.4“适用法律”包括与本合同和担保文件的签署、提交、履行、有效性和可执行性相关的中华人民共和国的任何宪法、条约、法令、各级立法、普通法、惯例法及司法判例；</w:t>
      </w:r>
    </w:p>
    <w:p>
      <w:pPr>
        <w:spacing w:line="360" w:lineRule="auto"/>
        <w:ind w:firstLine="480" w:firstLineChars="200"/>
        <w:rPr>
          <w:rFonts w:ascii="宋体" w:cs="宋体"/>
          <w:color w:val="000000"/>
          <w:sz w:val="24"/>
        </w:rPr>
      </w:pPr>
      <w:r>
        <w:rPr>
          <w:rFonts w:hint="eastAsia" w:ascii="宋体" w:cs="宋体"/>
          <w:color w:val="000000"/>
          <w:sz w:val="24"/>
        </w:rPr>
        <w:t>1．2 “中国”即是中华人民共和国的法域。</w:t>
      </w:r>
    </w:p>
    <w:p>
      <w:pPr>
        <w:spacing w:line="360" w:lineRule="auto"/>
        <w:ind w:firstLine="480" w:firstLineChars="200"/>
        <w:rPr>
          <w:rFonts w:ascii="宋体" w:cs="宋体"/>
          <w:color w:val="000000"/>
          <w:sz w:val="24"/>
        </w:rPr>
      </w:pPr>
      <w:r>
        <w:rPr>
          <w:rFonts w:hint="eastAsia" w:ascii="宋体" w:cs="宋体"/>
          <w:color w:val="000000"/>
          <w:sz w:val="24"/>
        </w:rPr>
        <w:t>1．3 各标题只为方便查阅而设，不应妨碍本合同的解释。</w:t>
      </w:r>
    </w:p>
    <w:p>
      <w:pPr>
        <w:spacing w:line="360" w:lineRule="auto"/>
        <w:ind w:firstLine="480" w:firstLineChars="200"/>
        <w:rPr>
          <w:rFonts w:ascii="宋体" w:cs="宋体"/>
          <w:color w:val="000000"/>
          <w:sz w:val="24"/>
        </w:rPr>
      </w:pPr>
      <w:r>
        <w:rPr>
          <w:rFonts w:hint="eastAsia" w:ascii="宋体" w:cs="宋体"/>
          <w:color w:val="000000"/>
          <w:sz w:val="24"/>
        </w:rPr>
        <w:t>本合同中的条目编号和标题只为参考方便而设，在解释本合同时并无效力。</w:t>
      </w:r>
    </w:p>
    <w:p>
      <w:pPr>
        <w:spacing w:line="360" w:lineRule="auto"/>
        <w:ind w:firstLine="480" w:firstLineChars="200"/>
        <w:rPr>
          <w:rFonts w:ascii="宋体" w:cs="宋体"/>
          <w:color w:val="000000"/>
          <w:sz w:val="24"/>
        </w:rPr>
      </w:pPr>
      <w:r>
        <w:rPr>
          <w:rFonts w:hint="eastAsia" w:ascii="宋体" w:cs="宋体"/>
          <w:color w:val="000000"/>
          <w:sz w:val="24"/>
        </w:rPr>
        <w:t>1．4 除非另有规定，本合同提及的“条”、“段落”和“附件”应被解释为本合同的条、段落和附件。</w:t>
      </w:r>
    </w:p>
    <w:p>
      <w:pPr>
        <w:spacing w:line="360" w:lineRule="auto"/>
        <w:ind w:firstLine="480" w:firstLineChars="200"/>
        <w:rPr>
          <w:rFonts w:ascii="宋体" w:cs="宋体"/>
          <w:color w:val="000000"/>
          <w:sz w:val="24"/>
        </w:rPr>
      </w:pPr>
      <w:r>
        <w:rPr>
          <w:rFonts w:hint="eastAsia" w:ascii="宋体" w:cs="宋体"/>
          <w:color w:val="000000"/>
          <w:sz w:val="24"/>
        </w:rPr>
        <w:t>1．5 在提到法律规定时应被解释为是包括不时经过修改、重新制定之法律</w:t>
      </w:r>
    </w:p>
    <w:p>
      <w:pPr>
        <w:spacing w:line="360" w:lineRule="auto"/>
        <w:rPr>
          <w:rFonts w:ascii="宋体" w:cs="宋体"/>
          <w:color w:val="000000"/>
          <w:sz w:val="24"/>
        </w:rPr>
      </w:pPr>
      <w:r>
        <w:rPr>
          <w:rFonts w:hint="eastAsia" w:ascii="宋体" w:cs="宋体"/>
          <w:color w:val="000000"/>
          <w:sz w:val="24"/>
        </w:rPr>
        <w:t>的规定。</w:t>
      </w:r>
    </w:p>
    <w:p>
      <w:pPr>
        <w:spacing w:line="360" w:lineRule="auto"/>
        <w:ind w:firstLine="480" w:firstLineChars="200"/>
        <w:rPr>
          <w:rFonts w:ascii="宋体" w:cs="宋体"/>
          <w:color w:val="000000"/>
          <w:sz w:val="24"/>
        </w:rPr>
      </w:pPr>
      <w:r>
        <w:rPr>
          <w:rFonts w:hint="eastAsia" w:ascii="宋体" w:cs="宋体"/>
          <w:color w:val="000000"/>
          <w:sz w:val="24"/>
        </w:rPr>
        <w:t>1．6 除非本合同另有规定，所有提及的时间都应该是指中国北京时间。</w:t>
      </w:r>
    </w:p>
    <w:p>
      <w:pPr>
        <w:spacing w:line="360" w:lineRule="auto"/>
        <w:ind w:firstLine="480" w:firstLineChars="200"/>
        <w:rPr>
          <w:rFonts w:ascii="宋体" w:cs="宋体"/>
          <w:color w:val="000000"/>
          <w:sz w:val="24"/>
        </w:rPr>
      </w:pPr>
      <w:r>
        <w:rPr>
          <w:rFonts w:hint="eastAsia" w:ascii="宋体" w:cs="宋体"/>
          <w:color w:val="000000"/>
          <w:sz w:val="24"/>
        </w:rPr>
        <w:t>1．7 除非另有规定，在提到本合同、担保文件或其它任何文件时应被解释</w:t>
      </w:r>
    </w:p>
    <w:p>
      <w:pPr>
        <w:spacing w:line="360" w:lineRule="auto"/>
        <w:rPr>
          <w:rFonts w:ascii="宋体" w:cs="宋体"/>
          <w:color w:val="000000"/>
          <w:sz w:val="24"/>
        </w:rPr>
      </w:pPr>
      <w:r>
        <w:rPr>
          <w:rFonts w:hint="eastAsia" w:ascii="宋体" w:cs="宋体"/>
          <w:color w:val="000000"/>
          <w:sz w:val="24"/>
        </w:rPr>
        <w:t>为是包括经过修改，变更、更新或补充并于该时有效的版本。</w:t>
      </w:r>
    </w:p>
    <w:p>
      <w:pPr>
        <w:spacing w:line="360" w:lineRule="auto"/>
        <w:ind w:firstLine="480" w:firstLineChars="200"/>
        <w:rPr>
          <w:rFonts w:ascii="宋体" w:cs="宋体"/>
          <w:color w:val="000000"/>
          <w:sz w:val="24"/>
        </w:rPr>
      </w:pPr>
      <w:r>
        <w:rPr>
          <w:rFonts w:hint="eastAsia" w:ascii="宋体" w:cs="宋体"/>
          <w:color w:val="000000"/>
          <w:sz w:val="24"/>
        </w:rPr>
        <w:t>1．8 本合同所称的“以上”、“以下”、“以内”、“届满”，包括本数；所称的“不满”、“以外”，不包括本数。</w:t>
      </w:r>
    </w:p>
    <w:p>
      <w:pPr>
        <w:spacing w:line="360" w:lineRule="auto"/>
        <w:rPr>
          <w:rFonts w:ascii="宋体" w:cs="宋体"/>
          <w:b/>
          <w:bCs/>
          <w:color w:val="000000"/>
          <w:sz w:val="24"/>
        </w:rPr>
      </w:pPr>
      <w:r>
        <w:rPr>
          <w:rFonts w:hint="eastAsia" w:ascii="宋体" w:cs="宋体"/>
          <w:b/>
          <w:bCs/>
          <w:color w:val="000000"/>
          <w:sz w:val="24"/>
        </w:rPr>
        <w:t>2．保证及声明</w:t>
      </w:r>
    </w:p>
    <w:p>
      <w:pPr>
        <w:spacing w:line="360" w:lineRule="auto"/>
        <w:ind w:firstLine="480" w:firstLineChars="200"/>
        <w:rPr>
          <w:rFonts w:ascii="宋体" w:cs="宋体"/>
          <w:color w:val="000000"/>
          <w:sz w:val="24"/>
        </w:rPr>
      </w:pPr>
      <w:r>
        <w:rPr>
          <w:rFonts w:hint="eastAsia" w:ascii="宋体" w:cs="宋体"/>
          <w:color w:val="000000"/>
          <w:sz w:val="24"/>
        </w:rPr>
        <w:t>2.1合同各方特此做出如下保证和声明：</w:t>
      </w:r>
    </w:p>
    <w:p>
      <w:pPr>
        <w:spacing w:line="360" w:lineRule="auto"/>
        <w:ind w:firstLine="480" w:firstLineChars="200"/>
        <w:rPr>
          <w:rFonts w:ascii="宋体" w:cs="宋体"/>
          <w:color w:val="000000"/>
          <w:sz w:val="24"/>
        </w:rPr>
      </w:pPr>
      <w:r>
        <w:rPr>
          <w:rFonts w:hint="eastAsia" w:ascii="宋体" w:cs="宋体"/>
          <w:color w:val="000000"/>
          <w:sz w:val="24"/>
        </w:rPr>
        <w:t>如果合同缔结方是商号或公司，则其为根据注册成立国法律适当组建并有效存续一个商号或公司；其有权签订本合同及与本合同有关的一切合同和／或根据本合同已制定或将制定的一切合同。并且，在任何情况下，本合同及所有上述合同均构成对该客户具有约束力并可强制执行的义务；</w:t>
      </w:r>
    </w:p>
    <w:p>
      <w:pPr>
        <w:spacing w:line="360" w:lineRule="auto"/>
        <w:ind w:firstLine="480" w:firstLineChars="200"/>
        <w:rPr>
          <w:rFonts w:ascii="宋体" w:cs="宋体"/>
          <w:color w:val="000000"/>
          <w:sz w:val="24"/>
        </w:rPr>
      </w:pPr>
      <w:r>
        <w:rPr>
          <w:rFonts w:hint="eastAsia" w:ascii="宋体" w:cs="宋体"/>
          <w:color w:val="000000"/>
          <w:sz w:val="24"/>
        </w:rPr>
        <w:t>2.1合同缔结方银行帐号或通讯地址如有变更，应在变更后五个工作日内，以书面形式通知合同他方，由于未及时通知此类变更而造成的任何延迟收费及通知不达等后果，合同他方均不承担违约责任。</w:t>
      </w:r>
    </w:p>
    <w:p>
      <w:pPr>
        <w:spacing w:line="360" w:lineRule="auto"/>
        <w:rPr>
          <w:rFonts w:ascii="宋体" w:cs="宋体"/>
          <w:b/>
          <w:bCs/>
          <w:color w:val="000000"/>
          <w:sz w:val="24"/>
        </w:rPr>
      </w:pPr>
      <w:r>
        <w:rPr>
          <w:rFonts w:hint="eastAsia" w:ascii="宋体" w:cs="宋体"/>
          <w:b/>
          <w:bCs/>
          <w:color w:val="000000"/>
          <w:sz w:val="24"/>
        </w:rPr>
        <w:t>3．合同责任</w:t>
      </w:r>
    </w:p>
    <w:p>
      <w:pPr>
        <w:spacing w:line="360" w:lineRule="auto"/>
        <w:ind w:firstLine="480" w:firstLineChars="200"/>
        <w:rPr>
          <w:rFonts w:ascii="宋体" w:cs="宋体"/>
          <w:color w:val="000000"/>
          <w:sz w:val="24"/>
        </w:rPr>
      </w:pPr>
      <w:r>
        <w:rPr>
          <w:rFonts w:hint="eastAsia" w:ascii="宋体" w:cs="宋体"/>
          <w:color w:val="000000"/>
          <w:sz w:val="24"/>
        </w:rPr>
        <w:t>3.1由于一方的过失，造成本合同及其附件不能履行或不能完全履行时，由过失的一方承担违约责任；如属双方的过失，根据实际情况，由双方分别承担各自应负的违约责任。</w:t>
      </w:r>
    </w:p>
    <w:p>
      <w:pPr>
        <w:spacing w:line="360" w:lineRule="auto"/>
        <w:ind w:firstLine="480" w:firstLineChars="200"/>
        <w:rPr>
          <w:rFonts w:ascii="宋体" w:cs="宋体"/>
          <w:color w:val="000000"/>
          <w:sz w:val="24"/>
        </w:rPr>
      </w:pPr>
      <w:r>
        <w:rPr>
          <w:rFonts w:hint="eastAsia" w:ascii="宋体" w:cs="宋体"/>
          <w:color w:val="000000"/>
          <w:sz w:val="24"/>
        </w:rPr>
        <w:t>3.2任何一方将独立承担违约责任，一方未按合同约定履行约定及法定义务，将不作为另一方迟延或拒绝履行义务的理由。但依法书面主张合同中止履行权利的除外。</w:t>
      </w:r>
    </w:p>
    <w:p>
      <w:pPr>
        <w:spacing w:line="360" w:lineRule="auto"/>
        <w:ind w:firstLine="480" w:firstLineChars="200"/>
        <w:rPr>
          <w:rFonts w:ascii="宋体" w:cs="宋体"/>
          <w:color w:val="000000"/>
          <w:sz w:val="24"/>
        </w:rPr>
      </w:pPr>
      <w:r>
        <w:rPr>
          <w:rFonts w:hint="eastAsia" w:ascii="宋体" w:cs="宋体"/>
          <w:color w:val="000000"/>
          <w:sz w:val="24"/>
        </w:rPr>
        <w:t>3.3在履行合同过程中，一方当事人因第三人的原因造成违约的，应当向对方当事人承担违约责任。一方当事人和第三人之间的纠纷，依照法律规定或者按照约定解决。</w:t>
      </w:r>
    </w:p>
    <w:p>
      <w:pPr>
        <w:spacing w:line="360" w:lineRule="auto"/>
        <w:ind w:firstLine="480" w:firstLineChars="200"/>
        <w:rPr>
          <w:rFonts w:ascii="宋体" w:cs="宋体"/>
          <w:color w:val="000000"/>
          <w:sz w:val="24"/>
        </w:rPr>
      </w:pPr>
      <w:r>
        <w:rPr>
          <w:rFonts w:hint="eastAsia" w:ascii="宋体" w:cs="宋体"/>
          <w:color w:val="000000"/>
          <w:sz w:val="24"/>
        </w:rPr>
        <w:t>3.4除合同另有约定外，未经对方当事人同意，一方当事人不得将合同权利全部或部分转让给第三人，也不得全部或部分转移合同义务。</w:t>
      </w:r>
    </w:p>
    <w:p>
      <w:pPr>
        <w:spacing w:line="360" w:lineRule="auto"/>
        <w:ind w:firstLine="480" w:firstLineChars="200"/>
        <w:rPr>
          <w:rFonts w:ascii="宋体" w:cs="宋体"/>
          <w:color w:val="000000"/>
          <w:sz w:val="24"/>
        </w:rPr>
      </w:pPr>
      <w:r>
        <w:rPr>
          <w:rFonts w:hint="eastAsia" w:ascii="宋体" w:cs="宋体"/>
          <w:color w:val="000000"/>
          <w:sz w:val="24"/>
        </w:rPr>
        <w:t>3.5合同双方当事人不得以贿赂或变相贿赂的方式，谋取不当利益或损害对方权益。因贿赂造成对方损失的，行为人应赔偿损失，并承担相应的法律责任。</w:t>
      </w:r>
    </w:p>
    <w:p>
      <w:pPr>
        <w:spacing w:line="360" w:lineRule="auto"/>
        <w:ind w:firstLine="480" w:firstLineChars="200"/>
        <w:rPr>
          <w:rFonts w:ascii="宋体" w:cs="宋体"/>
          <w:color w:val="000000"/>
          <w:sz w:val="24"/>
        </w:rPr>
      </w:pPr>
      <w:r>
        <w:rPr>
          <w:rFonts w:hint="eastAsia" w:ascii="宋体" w:cs="宋体"/>
          <w:color w:val="000000"/>
          <w:sz w:val="24"/>
        </w:rPr>
        <w:t>3.6异议期的确定</w:t>
      </w:r>
    </w:p>
    <w:p>
      <w:pPr>
        <w:spacing w:line="360" w:lineRule="auto"/>
        <w:ind w:firstLine="480" w:firstLineChars="200"/>
        <w:rPr>
          <w:rFonts w:ascii="宋体" w:cs="宋体"/>
          <w:color w:val="000000"/>
          <w:sz w:val="24"/>
        </w:rPr>
      </w:pPr>
      <w:r>
        <w:rPr>
          <w:rFonts w:hint="eastAsia" w:ascii="宋体" w:cs="宋体"/>
          <w:color w:val="000000"/>
          <w:sz w:val="24"/>
        </w:rPr>
        <w:t>合同一方对他方的合同义务履行存有异议的，应书面提出。除本合同另有约定外，一方提出异议的期限为相对方的合同义务履行且异议方知道或者应当知道之日起10日内。</w:t>
      </w:r>
    </w:p>
    <w:p>
      <w:pPr>
        <w:spacing w:line="360" w:lineRule="auto"/>
        <w:ind w:firstLine="480" w:firstLineChars="200"/>
        <w:rPr>
          <w:rFonts w:ascii="宋体" w:cs="宋体"/>
          <w:color w:val="000000"/>
          <w:sz w:val="24"/>
        </w:rPr>
      </w:pPr>
      <w:r>
        <w:rPr>
          <w:rFonts w:hint="eastAsia" w:ascii="宋体" w:cs="宋体"/>
          <w:color w:val="000000"/>
          <w:sz w:val="24"/>
        </w:rPr>
        <w:t>3.7保质期的确定</w:t>
      </w:r>
    </w:p>
    <w:p>
      <w:pPr>
        <w:spacing w:line="360" w:lineRule="auto"/>
        <w:ind w:firstLine="480" w:firstLineChars="200"/>
        <w:rPr>
          <w:rFonts w:ascii="宋体" w:cs="宋体"/>
          <w:color w:val="000000"/>
          <w:sz w:val="24"/>
        </w:rPr>
      </w:pPr>
      <w:r>
        <w:rPr>
          <w:rFonts w:hint="eastAsia" w:ascii="宋体" w:cs="宋体"/>
          <w:color w:val="000000"/>
          <w:sz w:val="24"/>
        </w:rPr>
        <w:t>合同义务方应当对其所履行的合同义务确保完全符合合同之约定，并应确保</w:t>
      </w:r>
    </w:p>
    <w:p>
      <w:pPr>
        <w:spacing w:line="360" w:lineRule="auto"/>
        <w:rPr>
          <w:rFonts w:ascii="宋体" w:cs="宋体"/>
          <w:color w:val="000000"/>
          <w:sz w:val="24"/>
        </w:rPr>
      </w:pPr>
      <w:r>
        <w:rPr>
          <w:rFonts w:hint="eastAsia" w:ascii="宋体" w:cs="宋体"/>
          <w:color w:val="000000"/>
          <w:sz w:val="24"/>
        </w:rPr>
        <w:t>其合同义务的履行在保质期内仍符合本合同之约定。除本合同另有约定外，合同</w:t>
      </w:r>
    </w:p>
    <w:p>
      <w:pPr>
        <w:spacing w:line="360" w:lineRule="auto"/>
        <w:rPr>
          <w:rFonts w:ascii="宋体" w:cs="宋体"/>
          <w:color w:val="000000"/>
          <w:sz w:val="24"/>
        </w:rPr>
      </w:pPr>
      <w:r>
        <w:rPr>
          <w:rFonts w:hint="eastAsia" w:ascii="宋体" w:cs="宋体"/>
          <w:color w:val="000000"/>
          <w:sz w:val="24"/>
        </w:rPr>
        <w:t>义务方的保质期为合同义务完全履行完毕之日起60天内。</w:t>
      </w:r>
    </w:p>
    <w:p>
      <w:pPr>
        <w:spacing w:line="360" w:lineRule="auto"/>
        <w:rPr>
          <w:rFonts w:ascii="宋体" w:cs="宋体"/>
          <w:b/>
          <w:bCs/>
          <w:color w:val="000000"/>
          <w:sz w:val="24"/>
        </w:rPr>
      </w:pPr>
      <w:r>
        <w:rPr>
          <w:rFonts w:hint="eastAsia" w:ascii="宋体" w:cs="宋体"/>
          <w:b/>
          <w:bCs/>
          <w:color w:val="000000"/>
          <w:sz w:val="24"/>
        </w:rPr>
        <w:t>4 保密规定</w:t>
      </w:r>
    </w:p>
    <w:p>
      <w:pPr>
        <w:spacing w:line="360" w:lineRule="auto"/>
        <w:ind w:firstLine="480" w:firstLineChars="200"/>
        <w:rPr>
          <w:rFonts w:ascii="宋体" w:cs="宋体"/>
          <w:color w:val="000000"/>
          <w:sz w:val="24"/>
        </w:rPr>
      </w:pPr>
      <w:r>
        <w:rPr>
          <w:rFonts w:hint="eastAsia" w:ascii="宋体" w:cs="宋体"/>
          <w:color w:val="000000"/>
          <w:sz w:val="24"/>
        </w:rPr>
        <w:t>4.1任何一方在依据本合同履行相应的义务时，可能会获得对方及其关联实体的机密或专有信息（“保密信息”）。各方均确认保密信息的专有性、敏感性以及保持信心的秘密性的重要性。上述信息包括但不限于：（1）本合同本身及其条款和内容；（2）在协议履行过程中所涉及的各类资讯（包括但不限于技术信息、客户信息、价格信息、操作工艺等）。除非根据法律或司法程序要求披露外，在没有对方事先书面同意的情况下，合同各方及/或各方之所雇人员均不得向任何其他方以任何形式透露上述信息。</w:t>
      </w:r>
    </w:p>
    <w:p>
      <w:pPr>
        <w:spacing w:line="360" w:lineRule="auto"/>
        <w:ind w:firstLine="480" w:firstLineChars="200"/>
        <w:rPr>
          <w:rFonts w:ascii="宋体" w:cs="宋体"/>
          <w:color w:val="000000"/>
          <w:sz w:val="24"/>
        </w:rPr>
      </w:pPr>
      <w:r>
        <w:rPr>
          <w:rFonts w:hint="eastAsia" w:ascii="宋体" w:cs="宋体"/>
          <w:color w:val="000000"/>
          <w:sz w:val="24"/>
        </w:rPr>
        <w:t>4.2各方均承诺，在签署及履行本合同过程中，任何一方的员工、服务人员、代理人和承包商对文件和交易信息的接触仅限于为了履行本合同约定的必要职能而必须得知该等信息的人员，并且该等信息的披露仅限于履行本合同约定事项之目的。任何一方均承诺促使其所有员工、服务人员、代理人和承包商遵守上述保密条款，防止秘密信息的披露。任何一方将许可对方审查保密程序。</w:t>
      </w:r>
    </w:p>
    <w:p>
      <w:pPr>
        <w:spacing w:line="360" w:lineRule="auto"/>
        <w:ind w:firstLine="480" w:firstLineChars="200"/>
        <w:rPr>
          <w:rFonts w:ascii="宋体" w:cs="宋体"/>
          <w:color w:val="000000"/>
          <w:sz w:val="24"/>
        </w:rPr>
      </w:pPr>
      <w:r>
        <w:rPr>
          <w:rFonts w:hint="eastAsia" w:ascii="宋体" w:cs="宋体"/>
          <w:color w:val="000000"/>
          <w:sz w:val="24"/>
        </w:rPr>
        <w:t>4.3如果一方受法院指令、传票或其他法律、管理机构或类似司法程序的要求而披露任何信息，则该接受通知或指令方均应在收到上述通知或指令后立即通知对方，以便对方申请相应的保护。</w:t>
      </w:r>
    </w:p>
    <w:p>
      <w:pPr>
        <w:spacing w:line="360" w:lineRule="auto"/>
        <w:ind w:firstLine="480" w:firstLineChars="200"/>
        <w:rPr>
          <w:rFonts w:ascii="宋体" w:cs="宋体"/>
          <w:color w:val="000000"/>
          <w:sz w:val="24"/>
        </w:rPr>
      </w:pPr>
      <w:r>
        <w:rPr>
          <w:rFonts w:hint="eastAsia" w:ascii="宋体" w:cs="宋体"/>
          <w:color w:val="000000"/>
          <w:sz w:val="24"/>
        </w:rPr>
        <w:t>4.4本条约定在本合同无论何种原因终止后应仍然有效。</w:t>
      </w:r>
    </w:p>
    <w:p>
      <w:pPr>
        <w:spacing w:line="360" w:lineRule="auto"/>
        <w:rPr>
          <w:rFonts w:ascii="宋体" w:cs="宋体"/>
          <w:b/>
          <w:bCs/>
          <w:color w:val="000000"/>
          <w:sz w:val="24"/>
        </w:rPr>
      </w:pPr>
      <w:r>
        <w:rPr>
          <w:rFonts w:hint="eastAsia" w:ascii="宋体" w:cs="宋体"/>
          <w:b/>
          <w:bCs/>
          <w:color w:val="000000"/>
          <w:sz w:val="24"/>
        </w:rPr>
        <w:t>5.免责条款</w:t>
      </w:r>
    </w:p>
    <w:p>
      <w:pPr>
        <w:spacing w:line="360" w:lineRule="auto"/>
        <w:ind w:firstLine="480" w:firstLineChars="200"/>
        <w:rPr>
          <w:rFonts w:ascii="宋体" w:cs="宋体"/>
          <w:color w:val="000000"/>
          <w:sz w:val="24"/>
        </w:rPr>
      </w:pPr>
      <w:r>
        <w:rPr>
          <w:rFonts w:hint="eastAsia" w:ascii="宋体" w:cs="宋体"/>
          <w:color w:val="000000"/>
          <w:sz w:val="24"/>
        </w:rPr>
        <w:t>5.1本合同下任何一方无须为因不受其合理控制且其没有故意或过失的行为而造成的迟延履行或未履行承担责任。该等可原谅的迟延或未履行可能由以下事项引起，包括但不限于暴动、恐怖活动、叛乱、意外爆炸、水灾、暴雨、自然灾害及类似事件。主张该等不可抗力情况的一方应在其了解到该等不可抗力情况的发生后尽快通知另一方。如发生任何该等延迟，则完成该方在本合同下义务的期限应根据该等延迟的期限自动延长。尽管有上述规定，如因该等可原谅的延迟履行一方不能根据本合同履行其义务且该等情况持续了三十（30）天，对方可终止本合同。尽管有本规定，主张可原谅的迟延的一方应采取所有合理的行动以弥补该等迟延或未履行的影响。</w:t>
      </w:r>
    </w:p>
    <w:p>
      <w:pPr>
        <w:spacing w:line="360" w:lineRule="auto"/>
        <w:ind w:firstLine="480" w:firstLineChars="200"/>
        <w:rPr>
          <w:rFonts w:ascii="宋体" w:cs="宋体"/>
          <w:color w:val="000000"/>
          <w:sz w:val="24"/>
        </w:rPr>
      </w:pPr>
      <w:r>
        <w:rPr>
          <w:rFonts w:hint="eastAsia" w:ascii="宋体" w:cs="宋体"/>
          <w:color w:val="000000"/>
          <w:sz w:val="24"/>
        </w:rPr>
        <w:t>5.2任何一方由于不可抗力且自身无过错造成的不能履行或部分不能履行本合同的义务将不视为违约，但应在条件允许下采取必要的补救措施，以减少不可抗力造成的损失。遇有不可抗力的一方，应在五个工作日内将事件的情况以书面形式通知对方，并在事件发生后无个工作日内，提交不能履行或者部分不能履行本合同以及需要延期履行的理由的证明。</w:t>
      </w:r>
    </w:p>
    <w:p>
      <w:pPr>
        <w:spacing w:line="360" w:lineRule="auto"/>
        <w:rPr>
          <w:rFonts w:ascii="宋体" w:cs="宋体"/>
          <w:b/>
          <w:bCs/>
          <w:color w:val="000000"/>
          <w:sz w:val="24"/>
        </w:rPr>
      </w:pPr>
      <w:r>
        <w:rPr>
          <w:rFonts w:hint="eastAsia" w:ascii="宋体" w:cs="宋体"/>
          <w:b/>
          <w:bCs/>
          <w:color w:val="000000"/>
          <w:sz w:val="24"/>
        </w:rPr>
        <w:t>6. 争议的解决</w:t>
      </w:r>
    </w:p>
    <w:p>
      <w:pPr>
        <w:spacing w:line="360" w:lineRule="auto"/>
        <w:ind w:firstLine="480" w:firstLineChars="200"/>
        <w:rPr>
          <w:rFonts w:ascii="宋体" w:cs="宋体"/>
          <w:color w:val="000000"/>
          <w:sz w:val="24"/>
        </w:rPr>
      </w:pPr>
      <w:r>
        <w:rPr>
          <w:rFonts w:hint="eastAsia" w:ascii="宋体" w:cs="宋体"/>
          <w:color w:val="000000"/>
          <w:sz w:val="24"/>
        </w:rPr>
        <w:t>6.1凡与本合同有关而引起的一切争议，各方应首先通过友好协商解决，如经协商后仍不能达成协议时，可提交被告所在地法院起诉解决。本合同另有约定的，从其约定。</w:t>
      </w:r>
    </w:p>
    <w:p>
      <w:pPr>
        <w:spacing w:line="360" w:lineRule="auto"/>
        <w:rPr>
          <w:rFonts w:ascii="宋体" w:cs="宋体"/>
          <w:color w:val="000000"/>
          <w:sz w:val="24"/>
        </w:rPr>
      </w:pPr>
      <w:r>
        <w:rPr>
          <w:rFonts w:hint="eastAsia" w:ascii="宋体" w:cs="宋体"/>
          <w:color w:val="000000"/>
          <w:sz w:val="24"/>
        </w:rPr>
        <w:t>6.2由上述过程发生的费用（包括律师费等费用）除上述法院判决另有规定外，皆由败诉方承担。</w:t>
      </w:r>
    </w:p>
    <w:p>
      <w:pPr>
        <w:spacing w:line="360" w:lineRule="auto"/>
        <w:rPr>
          <w:rFonts w:ascii="宋体" w:cs="宋体"/>
          <w:color w:val="000000"/>
          <w:sz w:val="24"/>
        </w:rPr>
      </w:pPr>
      <w:r>
        <w:rPr>
          <w:rFonts w:hint="eastAsia" w:ascii="宋体" w:cs="宋体"/>
          <w:color w:val="000000"/>
          <w:sz w:val="24"/>
        </w:rPr>
        <w:t>6.3在进行法院审理期间，除提交法院审理的事项外，合同仍应继续履行，各方发生的争议不影响本合同其他约定的履行。</w:t>
      </w:r>
    </w:p>
    <w:p>
      <w:pPr>
        <w:spacing w:line="360" w:lineRule="auto"/>
        <w:ind w:firstLine="480" w:firstLineChars="200"/>
        <w:rPr>
          <w:rFonts w:ascii="宋体" w:cs="宋体"/>
          <w:color w:val="000000"/>
          <w:sz w:val="24"/>
        </w:rPr>
      </w:pPr>
      <w:r>
        <w:rPr>
          <w:rFonts w:hint="eastAsia" w:ascii="宋体" w:cs="宋体"/>
          <w:color w:val="000000"/>
          <w:sz w:val="24"/>
        </w:rPr>
        <w:t>6.4在提请争议评审、仲裁或者诉讼前，以及在争议评审、仲裁或诉讼过程中，双方均可共同努力友好协商解决争议。</w:t>
      </w:r>
    </w:p>
    <w:p>
      <w:pPr>
        <w:spacing w:line="360" w:lineRule="auto"/>
        <w:ind w:firstLine="480" w:firstLineChars="200"/>
        <w:rPr>
          <w:rFonts w:ascii="宋体" w:cs="宋体"/>
          <w:color w:val="000000"/>
          <w:sz w:val="24"/>
        </w:rPr>
      </w:pPr>
      <w:r>
        <w:rPr>
          <w:rFonts w:hint="eastAsia" w:ascii="宋体" w:cs="宋体"/>
          <w:color w:val="000000"/>
          <w:sz w:val="24"/>
        </w:rPr>
        <w:t>6.5通过仲裁解决的争议。仲裁委员会的裁决是终局裁决，对双方均有约束力。仲裁费用应由败诉方承担。除进行仲裁的那部分外，在仲裁进行的同时，双方将继续执行合同的其余部分。</w:t>
      </w:r>
    </w:p>
    <w:p>
      <w:pPr>
        <w:spacing w:line="360" w:lineRule="auto"/>
        <w:rPr>
          <w:rFonts w:ascii="宋体" w:cs="宋体"/>
          <w:b/>
          <w:bCs/>
          <w:color w:val="000000"/>
          <w:sz w:val="24"/>
        </w:rPr>
      </w:pPr>
      <w:r>
        <w:rPr>
          <w:rFonts w:hint="eastAsia" w:ascii="宋体" w:cs="宋体"/>
          <w:b/>
          <w:bCs/>
          <w:color w:val="000000"/>
          <w:sz w:val="24"/>
        </w:rPr>
        <w:t>7. 协议的可分割性</w:t>
      </w:r>
    </w:p>
    <w:p>
      <w:pPr>
        <w:spacing w:line="360" w:lineRule="auto"/>
        <w:ind w:firstLine="480" w:firstLineChars="200"/>
        <w:rPr>
          <w:rFonts w:ascii="宋体" w:cs="宋体"/>
          <w:color w:val="000000"/>
          <w:sz w:val="24"/>
        </w:rPr>
      </w:pPr>
      <w:r>
        <w:rPr>
          <w:rFonts w:hint="eastAsia" w:ascii="宋体" w:cs="宋体"/>
          <w:color w:val="000000"/>
          <w:sz w:val="24"/>
        </w:rPr>
        <w:t>7.1如果本合同的任何条款或规定无效或不能履行，本合同其余的内容不应受此影响，而且本合同其余各项条款与规定在法律允许的最大限度内应继续有效并予以执行。</w:t>
      </w:r>
    </w:p>
    <w:p>
      <w:pPr>
        <w:spacing w:line="360" w:lineRule="auto"/>
        <w:ind w:firstLine="480" w:firstLineChars="200"/>
        <w:rPr>
          <w:rFonts w:ascii="宋体" w:cs="宋体"/>
          <w:color w:val="000000"/>
          <w:sz w:val="24"/>
        </w:rPr>
      </w:pPr>
      <w:r>
        <w:rPr>
          <w:rFonts w:hint="eastAsia" w:ascii="宋体" w:cs="宋体"/>
          <w:color w:val="000000"/>
          <w:sz w:val="24"/>
        </w:rPr>
        <w:t>7.2本合同未尽事宜由双方协商解决，并根据需要可签订补充协议，补充协议与本合同具有同等法律效力。</w:t>
      </w:r>
    </w:p>
    <w:p>
      <w:pPr>
        <w:spacing w:line="360" w:lineRule="auto"/>
        <w:rPr>
          <w:rFonts w:ascii="宋体" w:cs="宋体"/>
          <w:b/>
          <w:bCs/>
          <w:color w:val="000000"/>
          <w:sz w:val="24"/>
        </w:rPr>
      </w:pPr>
      <w:r>
        <w:rPr>
          <w:rFonts w:hint="eastAsia" w:ascii="宋体" w:cs="宋体"/>
          <w:b/>
          <w:bCs/>
          <w:color w:val="000000"/>
          <w:sz w:val="24"/>
        </w:rPr>
        <w:t>8.适用法律</w:t>
      </w:r>
    </w:p>
    <w:p>
      <w:pPr>
        <w:spacing w:line="360" w:lineRule="auto"/>
        <w:ind w:firstLine="480" w:firstLineChars="200"/>
        <w:rPr>
          <w:rFonts w:ascii="宋体" w:cs="宋体"/>
          <w:color w:val="000000"/>
          <w:sz w:val="24"/>
        </w:rPr>
      </w:pPr>
      <w:r>
        <w:rPr>
          <w:rFonts w:hint="eastAsia" w:ascii="宋体" w:cs="宋体"/>
          <w:color w:val="000000"/>
          <w:sz w:val="24"/>
        </w:rPr>
        <w:t>适用于合同的法律包括中华人民共和国法律、行政法规、部门规章，以及协议履行地的地方法规、自治条例、单行条例和地方政府规章。</w:t>
      </w:r>
    </w:p>
    <w:p>
      <w:pPr>
        <w:spacing w:line="360" w:lineRule="auto"/>
        <w:rPr>
          <w:rFonts w:ascii="宋体" w:cs="宋体"/>
          <w:color w:val="000000"/>
          <w:sz w:val="24"/>
        </w:rPr>
      </w:pPr>
      <w:r>
        <w:rPr>
          <w:rFonts w:hint="eastAsia" w:ascii="宋体" w:cs="宋体"/>
          <w:b/>
          <w:bCs/>
          <w:color w:val="000000"/>
          <w:sz w:val="24"/>
        </w:rPr>
        <w:t>9.送达与通知</w:t>
      </w:r>
    </w:p>
    <w:p>
      <w:pPr>
        <w:spacing w:line="360" w:lineRule="auto"/>
        <w:ind w:firstLine="480" w:firstLineChars="200"/>
        <w:rPr>
          <w:rFonts w:ascii="宋体" w:cs="宋体"/>
          <w:color w:val="000000"/>
          <w:sz w:val="24"/>
        </w:rPr>
      </w:pPr>
      <w:r>
        <w:rPr>
          <w:rFonts w:hint="eastAsia" w:ascii="宋体" w:cs="宋体"/>
          <w:color w:val="000000"/>
          <w:sz w:val="24"/>
        </w:rPr>
        <w:t>9.1一方当事人可采用直接、邮寄、传真、电子邮件或者其他合法方式通知对方当事人。除本合同对有关通知事项已有约定外，本合同当事人任何一方发生法定代表人、名称、住所、企业组织形式等的变更，或发生合并、分立、并购、破产，或发生标的房屋抵押、转让、查封、扣押、监管、变卖、拍卖及其他可能影响本通知履行的任何事项，均应本着诚实信用的原则及时书面通知对方，履行通知义务。因上述变更未通报而导致送达不能或送达错误的，由变更通报义务方自行承担法律责任。</w:t>
      </w:r>
    </w:p>
    <w:p>
      <w:pPr>
        <w:spacing w:line="360" w:lineRule="auto"/>
        <w:ind w:firstLine="480" w:firstLineChars="200"/>
        <w:rPr>
          <w:rFonts w:ascii="宋体" w:cs="宋体"/>
          <w:color w:val="000000"/>
          <w:sz w:val="24"/>
        </w:rPr>
      </w:pPr>
      <w:r>
        <w:rPr>
          <w:rFonts w:hint="eastAsia" w:ascii="宋体" w:cs="宋体"/>
          <w:color w:val="000000"/>
          <w:sz w:val="24"/>
        </w:rPr>
        <w:t>9.2通知直接送交的，由对方当事人签收。当事人是自然人的，本人不在时可以由其同住的成年家属签收；当事人是法人或其他组织的，可以由法定代表人、主要负责人、负责收发的工作人员（包括但不限于门卫及物业管理人员）或者其他人员签收。当事人已委托其他人代收的，可以由代收人代收。</w:t>
      </w:r>
    </w:p>
    <w:p>
      <w:pPr>
        <w:spacing w:line="360" w:lineRule="auto"/>
        <w:ind w:firstLine="480" w:firstLineChars="200"/>
        <w:rPr>
          <w:rFonts w:ascii="宋体" w:cs="宋体"/>
          <w:color w:val="000000"/>
          <w:sz w:val="24"/>
        </w:rPr>
      </w:pPr>
      <w:r>
        <w:rPr>
          <w:rFonts w:hint="eastAsia" w:ascii="宋体" w:cs="宋体"/>
          <w:color w:val="000000"/>
          <w:sz w:val="24"/>
        </w:rPr>
        <w:t>9.3邮寄送达的，自然人以户籍所在地或者经常居住地为送达地址；法人或者其他组织以工商登记或者其他依法登记备案的住所地或者营业地为送达地址。当事人书面确认送达地址的，以确认的地址为送达地址，送达日期以回执或者特快专递查询单上注明的收件日期为送达日期。邮寄送达的签收，遵照9.2之约定履行。</w:t>
      </w:r>
    </w:p>
    <w:p>
      <w:pPr>
        <w:spacing w:line="360" w:lineRule="auto"/>
        <w:ind w:firstLine="480" w:firstLineChars="200"/>
        <w:rPr>
          <w:rFonts w:ascii="宋体" w:cs="宋体"/>
          <w:color w:val="000000"/>
          <w:sz w:val="24"/>
        </w:rPr>
      </w:pPr>
      <w:r>
        <w:rPr>
          <w:rFonts w:hint="eastAsia" w:ascii="宋体" w:cs="宋体"/>
          <w:color w:val="000000"/>
          <w:sz w:val="24"/>
        </w:rPr>
        <w:t>9.4因当事人提供或者确认的送达地址不准确、拒不提供送达地址、送达地址变更未及时通知对方当事人或者指定的代收人拒绝签收的，通知被退回之日视为送达日。</w:t>
      </w:r>
    </w:p>
    <w:p>
      <w:pPr>
        <w:spacing w:line="360" w:lineRule="auto"/>
        <w:ind w:firstLine="480" w:firstLineChars="200"/>
        <w:rPr>
          <w:rFonts w:ascii="宋体" w:cs="宋体"/>
          <w:color w:val="000000"/>
          <w:sz w:val="24"/>
        </w:rPr>
      </w:pPr>
      <w:r>
        <w:rPr>
          <w:rFonts w:hint="eastAsia" w:ascii="宋体" w:cs="宋体"/>
          <w:color w:val="000000"/>
          <w:sz w:val="24"/>
        </w:rPr>
        <w:t>9.5合同有关的通知、批准、证明、证书、指示、要求、请求、同意、意见、确定和决定等，均应采用书面形式。</w:t>
      </w:r>
    </w:p>
    <w:p>
      <w:pPr>
        <w:spacing w:line="360" w:lineRule="auto"/>
        <w:ind w:firstLine="480" w:firstLineChars="200"/>
        <w:rPr>
          <w:rFonts w:ascii="宋体" w:cs="宋体"/>
          <w:color w:val="000000"/>
          <w:sz w:val="24"/>
        </w:rPr>
      </w:pPr>
      <w:r>
        <w:rPr>
          <w:rFonts w:hint="eastAsia" w:ascii="宋体" w:cs="宋体"/>
          <w:color w:val="000000"/>
          <w:sz w:val="24"/>
        </w:rPr>
        <w:t>9.6本合同及其附件凡涉及日期的，按收件人签收日期和邮局戳记日期为准。时间期限的计算均包括本数在内。</w:t>
      </w:r>
    </w:p>
    <w:p>
      <w:pPr>
        <w:spacing w:line="360" w:lineRule="auto"/>
        <w:ind w:firstLine="480" w:firstLineChars="200"/>
        <w:rPr>
          <w:rFonts w:ascii="宋体" w:cs="宋体"/>
          <w:color w:val="000000"/>
          <w:sz w:val="24"/>
        </w:rPr>
      </w:pPr>
      <w:r>
        <w:rPr>
          <w:rFonts w:hint="eastAsia" w:ascii="宋体" w:cs="宋体"/>
          <w:color w:val="000000"/>
          <w:sz w:val="24"/>
        </w:rPr>
        <w:t>9.7来往函件均应按合同约定的期限及时发出和答复，不得无故扣压和拖延，亦不得拒收。否则，由此造成的后果由责任方负责。</w:t>
      </w:r>
    </w:p>
    <w:p>
      <w:pPr>
        <w:spacing w:line="360" w:lineRule="auto"/>
        <w:ind w:firstLine="480" w:firstLineChars="200"/>
        <w:rPr>
          <w:rFonts w:ascii="宋体" w:cs="宋体"/>
          <w:color w:val="000000"/>
          <w:sz w:val="24"/>
        </w:rPr>
      </w:pPr>
      <w:r>
        <w:rPr>
          <w:rFonts w:hint="eastAsia" w:ascii="宋体" w:cs="宋体"/>
          <w:color w:val="000000"/>
          <w:sz w:val="24"/>
        </w:rPr>
        <w:t>9.8本合同中规定按小时计算时间的，从时间有效开始时候计算（不扣除休息时间），规定按天计算时间的，开始当天不计入，从次日开始计算，时限的最后一天是休息日或其他法定节假日的，以节假日的次日为期限的最后一天。时限的最后一天的截至时间是24时。</w:t>
      </w:r>
    </w:p>
    <w:p>
      <w:pPr>
        <w:spacing w:line="360" w:lineRule="auto"/>
        <w:rPr>
          <w:rFonts w:ascii="宋体" w:cs="宋体"/>
          <w:b/>
          <w:bCs/>
          <w:color w:val="000000"/>
          <w:sz w:val="24"/>
        </w:rPr>
      </w:pPr>
      <w:r>
        <w:rPr>
          <w:rFonts w:hint="eastAsia" w:ascii="宋体" w:cs="宋体"/>
          <w:b/>
          <w:bCs/>
          <w:color w:val="000000"/>
          <w:sz w:val="24"/>
        </w:rPr>
        <w:t>10.合同的生效</w:t>
      </w:r>
    </w:p>
    <w:p>
      <w:pPr>
        <w:spacing w:line="360" w:lineRule="auto"/>
        <w:ind w:firstLine="480" w:firstLineChars="200"/>
        <w:rPr>
          <w:rFonts w:ascii="宋体" w:cs="宋体"/>
          <w:color w:val="000000"/>
          <w:sz w:val="24"/>
        </w:rPr>
      </w:pPr>
      <w:r>
        <w:rPr>
          <w:rFonts w:hint="eastAsia" w:ascii="宋体" w:cs="宋体"/>
          <w:color w:val="000000"/>
          <w:sz w:val="24"/>
        </w:rPr>
        <w:t>10.1本合同自甲乙双方及/或其经纪机构的授权代表签字或盖章之日起生效（法律、行政法规规定应当办理批准、登记等手续生效的除外）。本合同生效后，双方对本合同内容的变更或补充应采用书面形式订立，并作为本合同的附件。附件与本合同具有同等的法律效力。</w:t>
      </w:r>
    </w:p>
    <w:p>
      <w:pPr>
        <w:spacing w:line="360" w:lineRule="auto"/>
        <w:rPr>
          <w:rFonts w:ascii="宋体" w:cs="宋体"/>
          <w:color w:val="000000"/>
          <w:sz w:val="24"/>
        </w:rPr>
      </w:pPr>
      <w:r>
        <w:rPr>
          <w:rFonts w:hint="eastAsia" w:ascii="宋体" w:cs="宋体"/>
          <w:color w:val="000000"/>
          <w:sz w:val="24"/>
        </w:rPr>
        <w:t xml:space="preserve">   10.2本合同连同本通用条款、附件及所签署的备忘录、补充协议等书面文件，均具有同等法律效力。</w:t>
      </w:r>
    </w:p>
    <w:p>
      <w:pPr>
        <w:spacing w:line="360" w:lineRule="auto"/>
        <w:ind w:firstLine="480" w:firstLineChars="200"/>
        <w:rPr>
          <w:rFonts w:ascii="宋体" w:cs="宋体"/>
          <w:color w:val="000000"/>
          <w:sz w:val="24"/>
        </w:rPr>
      </w:pPr>
      <w:r>
        <w:rPr>
          <w:rFonts w:hint="eastAsia" w:ascii="宋体" w:cs="宋体"/>
          <w:color w:val="000000"/>
          <w:sz w:val="24"/>
        </w:rPr>
        <w:t>10.3本合同条款如与国家法律、法规禁止性规定相抵触时，以国家法律、法规为准。</w:t>
      </w:r>
    </w:p>
    <w:p>
      <w:pPr>
        <w:spacing w:line="360" w:lineRule="auto"/>
        <w:rPr>
          <w:rFonts w:ascii="宋体" w:cs="宋体"/>
          <w:b/>
          <w:bCs/>
          <w:color w:val="000000"/>
          <w:sz w:val="24"/>
        </w:rPr>
      </w:pPr>
      <w:r>
        <w:rPr>
          <w:rFonts w:hint="eastAsia" w:ascii="宋体" w:cs="宋体"/>
          <w:b/>
          <w:bCs/>
          <w:color w:val="000000"/>
          <w:sz w:val="24"/>
        </w:rPr>
        <w:t>11.合同的期满和终止</w:t>
      </w:r>
    </w:p>
    <w:p>
      <w:pPr>
        <w:spacing w:line="360" w:lineRule="auto"/>
        <w:ind w:firstLine="480" w:firstLineChars="200"/>
        <w:rPr>
          <w:rFonts w:ascii="宋体" w:cs="宋体"/>
          <w:color w:val="000000"/>
          <w:sz w:val="24"/>
        </w:rPr>
      </w:pPr>
      <w:r>
        <w:rPr>
          <w:rFonts w:hint="eastAsia" w:ascii="宋体" w:cs="宋体"/>
          <w:color w:val="000000"/>
          <w:sz w:val="24"/>
        </w:rPr>
        <w:t>11.1本合同从生效日期起开始生效，直至合同义务履行完毕为止，届时本合同也同时终止。但合同另有约定的，从其约定。</w:t>
      </w:r>
    </w:p>
    <w:p>
      <w:pPr>
        <w:spacing w:line="360" w:lineRule="auto"/>
        <w:ind w:firstLine="480" w:firstLineChars="200"/>
        <w:rPr>
          <w:rFonts w:ascii="宋体" w:cs="宋体"/>
          <w:color w:val="000000"/>
          <w:sz w:val="24"/>
        </w:rPr>
      </w:pPr>
      <w:r>
        <w:rPr>
          <w:rFonts w:hint="eastAsia" w:ascii="宋体" w:cs="宋体"/>
          <w:color w:val="000000"/>
          <w:sz w:val="24"/>
        </w:rPr>
        <w:t>11.2本合同因期满或解除而终止。</w:t>
      </w:r>
    </w:p>
    <w:p>
      <w:pPr>
        <w:spacing w:line="360" w:lineRule="auto"/>
        <w:ind w:firstLine="480" w:firstLineChars="200"/>
        <w:rPr>
          <w:rFonts w:ascii="宋体" w:cs="宋体"/>
          <w:color w:val="000000"/>
          <w:sz w:val="24"/>
        </w:rPr>
      </w:pPr>
      <w:r>
        <w:rPr>
          <w:rFonts w:hint="eastAsia" w:ascii="宋体" w:cs="宋体"/>
          <w:color w:val="000000"/>
          <w:sz w:val="24"/>
        </w:rPr>
        <w:t>11.3本合同的一般解除：</w:t>
      </w:r>
    </w:p>
    <w:p>
      <w:pPr>
        <w:spacing w:line="360" w:lineRule="auto"/>
        <w:ind w:firstLine="480" w:firstLineChars="200"/>
        <w:rPr>
          <w:rFonts w:ascii="宋体" w:cs="宋体"/>
          <w:color w:val="000000"/>
          <w:sz w:val="24"/>
        </w:rPr>
      </w:pPr>
      <w:r>
        <w:rPr>
          <w:rFonts w:hint="eastAsia" w:ascii="宋体" w:cs="宋体"/>
          <w:color w:val="000000"/>
          <w:sz w:val="24"/>
        </w:rPr>
        <w:t>本合同任何一方违约，经相对方书面通知要求限期改正后仍未按时改正的，相对方有权要求违约方承担违约赔偿责任，并可要求随时解除本合同。</w:t>
      </w:r>
    </w:p>
    <w:p>
      <w:pPr>
        <w:spacing w:line="360" w:lineRule="auto"/>
        <w:ind w:firstLine="480" w:firstLineChars="200"/>
        <w:rPr>
          <w:rFonts w:ascii="宋体" w:cs="宋体"/>
          <w:color w:val="000000"/>
          <w:sz w:val="24"/>
        </w:rPr>
      </w:pPr>
      <w:r>
        <w:rPr>
          <w:rFonts w:hint="eastAsia" w:ascii="宋体" w:cs="宋体"/>
          <w:color w:val="000000"/>
          <w:sz w:val="24"/>
        </w:rPr>
        <w:t>11.4本合同终止时，合同各方的所有权利均应停止。</w:t>
      </w:r>
    </w:p>
    <w:p>
      <w:pPr>
        <w:spacing w:line="360" w:lineRule="auto"/>
        <w:ind w:firstLine="480" w:firstLineChars="200"/>
        <w:rPr>
          <w:rFonts w:ascii="宋体" w:cs="宋体"/>
          <w:color w:val="000000"/>
          <w:sz w:val="24"/>
        </w:rPr>
      </w:pPr>
      <w:r>
        <w:rPr>
          <w:rFonts w:hint="eastAsia" w:ascii="宋体" w:cs="宋体"/>
          <w:color w:val="000000"/>
          <w:sz w:val="24"/>
        </w:rPr>
        <w:t>11.5无论本合同期满或因其他原因终止，合同各方均：</w:t>
      </w:r>
    </w:p>
    <w:p>
      <w:pPr>
        <w:spacing w:line="360" w:lineRule="auto"/>
        <w:ind w:firstLine="480" w:firstLineChars="200"/>
        <w:rPr>
          <w:rFonts w:ascii="宋体" w:cs="宋体"/>
          <w:color w:val="000000"/>
          <w:sz w:val="24"/>
        </w:rPr>
      </w:pPr>
      <w:r>
        <w:rPr>
          <w:rFonts w:hint="eastAsia" w:ascii="宋体" w:cs="宋体"/>
          <w:color w:val="000000"/>
          <w:sz w:val="24"/>
        </w:rPr>
        <w:t>11.5.1不应解除在合同期满或终止之前应有的任何责任；</w:t>
      </w:r>
    </w:p>
    <w:p>
      <w:pPr>
        <w:spacing w:line="360" w:lineRule="auto"/>
        <w:ind w:firstLine="480" w:firstLineChars="200"/>
        <w:rPr>
          <w:rFonts w:ascii="宋体" w:cs="宋体"/>
          <w:color w:val="000000"/>
          <w:sz w:val="24"/>
        </w:rPr>
      </w:pPr>
      <w:r>
        <w:rPr>
          <w:rFonts w:hint="eastAsia" w:ascii="宋体" w:cs="宋体"/>
          <w:color w:val="000000"/>
          <w:sz w:val="24"/>
        </w:rPr>
        <w:t>11.5.2对本合同已明确规定合同期满或中止后，仍应承担责任的条款，各方应继续受此条款约束。</w:t>
      </w:r>
    </w:p>
    <w:p>
      <w:pPr>
        <w:spacing w:line="360" w:lineRule="auto"/>
        <w:rPr>
          <w:rFonts w:ascii="宋体" w:cs="宋体"/>
          <w:b/>
          <w:bCs/>
          <w:color w:val="000000"/>
          <w:sz w:val="24"/>
        </w:rPr>
      </w:pPr>
      <w:r>
        <w:rPr>
          <w:rFonts w:hint="eastAsia" w:ascii="宋体" w:cs="宋体"/>
          <w:b/>
          <w:bCs/>
          <w:color w:val="000000"/>
          <w:sz w:val="24"/>
        </w:rPr>
        <w:t>12. 通用条款数量的确定</w:t>
      </w:r>
    </w:p>
    <w:p>
      <w:pPr>
        <w:spacing w:line="360" w:lineRule="auto"/>
        <w:ind w:firstLine="480" w:firstLineChars="200"/>
        <w:rPr>
          <w:rFonts w:ascii="宋体"/>
          <w:kern w:val="0"/>
          <w:sz w:val="24"/>
        </w:rPr>
      </w:pPr>
      <w:r>
        <w:rPr>
          <w:rFonts w:hint="eastAsia" w:ascii="宋体" w:cs="宋体"/>
          <w:color w:val="000000"/>
          <w:sz w:val="24"/>
        </w:rPr>
        <w:t>本合同通用条款共计12条，截止至本条为限。</w:t>
      </w:r>
    </w:p>
    <w:p/>
    <w:p>
      <w:pPr>
        <w:rPr>
          <w:rFonts w:ascii="Times New Roman" w:hAnsi="Times New Roman"/>
          <w:sz w:val="24"/>
        </w:rPr>
      </w:pPr>
      <w:r>
        <w:rPr>
          <w:rFonts w:ascii="Times New Roman" w:hAnsi="Times New Roman"/>
          <w:sz w:val="24"/>
        </w:rPr>
        <w:br w:type="page"/>
      </w:r>
    </w:p>
    <w:p>
      <w:pPr>
        <w:pStyle w:val="2"/>
        <w:jc w:val="center"/>
        <w:rPr>
          <w:rFonts w:cs="宋体"/>
          <w:sz w:val="24"/>
          <w:szCs w:val="24"/>
        </w:rPr>
      </w:pPr>
      <w:bookmarkStart w:id="29" w:name="_Toc18422"/>
      <w:r>
        <w:rPr>
          <w:rFonts w:ascii="Times New Roman" w:hAnsi="Times New Roman"/>
          <w:sz w:val="24"/>
          <w:szCs w:val="24"/>
        </w:rPr>
        <w:t>第二节</w:t>
      </w:r>
      <w:r>
        <w:rPr>
          <w:rFonts w:hint="eastAsia" w:ascii="Times New Roman" w:hAnsi="Times New Roman"/>
          <w:sz w:val="24"/>
          <w:szCs w:val="24"/>
        </w:rPr>
        <w:t xml:space="preserve"> </w:t>
      </w:r>
      <w:r>
        <w:rPr>
          <w:rFonts w:hint="eastAsia" w:cs="宋体"/>
          <w:bCs/>
          <w:color w:val="000000"/>
          <w:sz w:val="24"/>
          <w:szCs w:val="24"/>
        </w:rPr>
        <w:t>专用合同条款</w:t>
      </w:r>
      <w:bookmarkEnd w:id="29"/>
    </w:p>
    <w:p>
      <w:pPr>
        <w:jc w:val="center"/>
        <w:rPr>
          <w:rFonts w:ascii="宋体" w:cs="宋体"/>
          <w:b/>
          <w:bCs/>
          <w:sz w:val="32"/>
          <w:szCs w:val="32"/>
        </w:rPr>
      </w:pPr>
      <w:r>
        <w:rPr>
          <w:rFonts w:hint="eastAsia" w:ascii="宋体" w:cs="宋体"/>
          <w:b/>
          <w:bCs/>
          <w:sz w:val="32"/>
          <w:szCs w:val="32"/>
        </w:rPr>
        <w:t>采购供应合同（供参考）</w:t>
      </w:r>
    </w:p>
    <w:p>
      <w:pPr>
        <w:widowControl/>
        <w:spacing w:line="360" w:lineRule="auto"/>
        <w:jc w:val="left"/>
        <w:rPr>
          <w:rFonts w:ascii="宋体" w:cs="宋体"/>
          <w:color w:val="333333"/>
          <w:kern w:val="0"/>
          <w:sz w:val="24"/>
        </w:rPr>
      </w:pPr>
    </w:p>
    <w:p>
      <w:pPr>
        <w:widowControl/>
        <w:spacing w:line="360" w:lineRule="auto"/>
        <w:jc w:val="left"/>
        <w:rPr>
          <w:rFonts w:ascii="宋体" w:cs="宋体"/>
          <w:color w:val="333333"/>
          <w:kern w:val="0"/>
          <w:sz w:val="24"/>
        </w:rPr>
      </w:pPr>
      <w:r>
        <w:rPr>
          <w:rFonts w:hint="eastAsia" w:ascii="宋体" w:cs="宋体"/>
          <w:color w:val="333333"/>
          <w:kern w:val="0"/>
          <w:sz w:val="24"/>
        </w:rPr>
        <w:t>采购方：（以下简称甲方）</w:t>
      </w:r>
    </w:p>
    <w:p>
      <w:pPr>
        <w:widowControl/>
        <w:spacing w:line="360" w:lineRule="auto"/>
        <w:jc w:val="left"/>
        <w:rPr>
          <w:rFonts w:ascii="宋体" w:cs="宋体"/>
          <w:color w:val="333333"/>
          <w:kern w:val="0"/>
          <w:sz w:val="24"/>
        </w:rPr>
      </w:pPr>
      <w:r>
        <w:rPr>
          <w:rFonts w:hint="eastAsia" w:ascii="宋体" w:cs="宋体"/>
          <w:color w:val="333333"/>
          <w:kern w:val="0"/>
          <w:sz w:val="24"/>
        </w:rPr>
        <w:t>供货方：（以下简称乙方）</w:t>
      </w:r>
    </w:p>
    <w:p>
      <w:pPr>
        <w:adjustRightInd w:val="0"/>
        <w:snapToGrid w:val="0"/>
        <w:spacing w:line="360" w:lineRule="auto"/>
        <w:ind w:firstLine="480" w:firstLineChars="200"/>
        <w:rPr>
          <w:rFonts w:ascii="宋体" w:cs="宋体"/>
          <w:sz w:val="24"/>
        </w:rPr>
      </w:pPr>
      <w:r>
        <w:rPr>
          <w:rFonts w:hint="eastAsia" w:ascii="宋体" w:cs="宋体"/>
          <w:sz w:val="24"/>
        </w:rPr>
        <w:t>根据</w:t>
      </w:r>
      <w:r>
        <w:rPr>
          <w:rFonts w:hint="eastAsia" w:ascii="宋体" w:cs="宋体"/>
          <w:sz w:val="24"/>
          <w:u w:val="single"/>
        </w:rPr>
        <w:t xml:space="preserve">        </w:t>
      </w:r>
      <w:r>
        <w:rPr>
          <w:rFonts w:hint="eastAsia" w:ascii="宋体" w:cs="宋体"/>
          <w:sz w:val="24"/>
        </w:rPr>
        <w:t xml:space="preserve">（项目名称、项目编号)及相关结果，甲、乙双方经协商一致，签订本合同。   </w:t>
      </w:r>
    </w:p>
    <w:p>
      <w:pPr>
        <w:adjustRightInd w:val="0"/>
        <w:snapToGrid w:val="0"/>
        <w:spacing w:line="360" w:lineRule="auto"/>
        <w:rPr>
          <w:rFonts w:ascii="宋体" w:cs="宋体"/>
          <w:b/>
          <w:sz w:val="24"/>
        </w:rPr>
      </w:pPr>
      <w:r>
        <w:rPr>
          <w:rFonts w:hint="eastAsia" w:ascii="宋体" w:cs="宋体"/>
          <w:b/>
          <w:sz w:val="24"/>
        </w:rPr>
        <w:t>一、合同编号：</w:t>
      </w:r>
    </w:p>
    <w:p>
      <w:pPr>
        <w:adjustRightInd w:val="0"/>
        <w:snapToGrid w:val="0"/>
        <w:spacing w:line="360" w:lineRule="auto"/>
        <w:ind w:firstLine="480" w:firstLineChars="200"/>
        <w:rPr>
          <w:rFonts w:ascii="宋体" w:cs="宋体"/>
          <w:sz w:val="24"/>
        </w:rPr>
      </w:pPr>
    </w:p>
    <w:p>
      <w:pPr>
        <w:adjustRightInd w:val="0"/>
        <w:snapToGrid w:val="0"/>
        <w:spacing w:line="360" w:lineRule="auto"/>
        <w:rPr>
          <w:rFonts w:ascii="宋体" w:cs="宋体"/>
          <w:b/>
          <w:sz w:val="24"/>
        </w:rPr>
      </w:pPr>
      <w:r>
        <w:rPr>
          <w:rFonts w:hint="eastAsia" w:ascii="宋体" w:cs="宋体"/>
          <w:b/>
          <w:sz w:val="24"/>
        </w:rPr>
        <w:t>二、签订地点：</w:t>
      </w:r>
    </w:p>
    <w:p>
      <w:pPr>
        <w:adjustRightInd w:val="0"/>
        <w:snapToGrid w:val="0"/>
        <w:spacing w:line="360" w:lineRule="auto"/>
        <w:rPr>
          <w:rFonts w:ascii="宋体" w:cs="宋体"/>
          <w:sz w:val="24"/>
        </w:rPr>
      </w:pPr>
    </w:p>
    <w:p>
      <w:pPr>
        <w:adjustRightInd w:val="0"/>
        <w:snapToGrid w:val="0"/>
        <w:spacing w:line="360" w:lineRule="auto"/>
        <w:rPr>
          <w:rFonts w:ascii="宋体" w:cs="宋体"/>
          <w:b/>
          <w:sz w:val="24"/>
        </w:rPr>
      </w:pPr>
      <w:r>
        <w:rPr>
          <w:rFonts w:hint="eastAsia" w:ascii="宋体" w:cs="宋体"/>
          <w:b/>
          <w:sz w:val="24"/>
        </w:rPr>
        <w:t>三、签订时间：</w:t>
      </w:r>
    </w:p>
    <w:p>
      <w:pPr>
        <w:adjustRightInd w:val="0"/>
        <w:snapToGrid w:val="0"/>
        <w:spacing w:line="360" w:lineRule="auto"/>
        <w:ind w:firstLine="480" w:firstLineChars="200"/>
        <w:rPr>
          <w:rFonts w:ascii="宋体" w:cs="宋体"/>
          <w:sz w:val="24"/>
        </w:rPr>
      </w:pPr>
      <w:r>
        <w:rPr>
          <w:rFonts w:hint="eastAsia" w:ascii="宋体" w:cs="宋体"/>
          <w:sz w:val="24"/>
          <w:u w:val="single"/>
        </w:rPr>
        <w:t xml:space="preserve">     年   月   日</w:t>
      </w:r>
    </w:p>
    <w:p>
      <w:pPr>
        <w:adjustRightInd w:val="0"/>
        <w:snapToGrid w:val="0"/>
        <w:spacing w:line="360" w:lineRule="auto"/>
        <w:rPr>
          <w:rFonts w:ascii="宋体" w:cs="宋体"/>
          <w:b/>
          <w:sz w:val="24"/>
        </w:rPr>
      </w:pPr>
      <w:r>
        <w:rPr>
          <w:rFonts w:hint="eastAsia" w:ascii="宋体" w:cs="宋体"/>
          <w:b/>
          <w:sz w:val="24"/>
        </w:rPr>
        <w:t>四、合同内容：</w:t>
      </w:r>
    </w:p>
    <w:p>
      <w:pPr>
        <w:tabs>
          <w:tab w:val="left" w:pos="840"/>
        </w:tabs>
        <w:adjustRightInd w:val="0"/>
        <w:snapToGrid w:val="0"/>
        <w:spacing w:line="360" w:lineRule="auto"/>
        <w:ind w:firstLine="480" w:firstLineChars="200"/>
        <w:rPr>
          <w:rFonts w:ascii="宋体" w:cs="宋体"/>
          <w:sz w:val="24"/>
        </w:rPr>
      </w:pPr>
      <w:r>
        <w:rPr>
          <w:rFonts w:hint="eastAsia" w:ascii="宋体" w:cs="宋体"/>
          <w:sz w:val="24"/>
        </w:rPr>
        <w:t>甲方向乙方采购的货物及服务如下：</w:t>
      </w:r>
    </w:p>
    <w:p>
      <w:pPr>
        <w:tabs>
          <w:tab w:val="left" w:pos="840"/>
        </w:tabs>
        <w:adjustRightInd w:val="0"/>
        <w:snapToGrid w:val="0"/>
        <w:spacing w:line="360" w:lineRule="auto"/>
        <w:ind w:firstLine="480" w:firstLineChars="200"/>
        <w:rPr>
          <w:rFonts w:ascii="宋体" w:cs="宋体"/>
          <w:sz w:val="24"/>
        </w:rPr>
      </w:pPr>
      <w:r>
        <w:rPr>
          <w:rFonts w:hint="eastAsia" w:ascii="宋体" w:cs="宋体"/>
          <w:sz w:val="24"/>
        </w:rPr>
        <w:t xml:space="preserve">1、品名、生产厂商、规格、数量等信息详见供货一览表。 </w:t>
      </w:r>
    </w:p>
    <w:p>
      <w:pPr>
        <w:pStyle w:val="9"/>
        <w:numPr>
          <w:ilvl w:val="0"/>
          <w:numId w:val="0"/>
        </w:numPr>
      </w:pPr>
    </w:p>
    <w:p>
      <w:pPr>
        <w:tabs>
          <w:tab w:val="left" w:pos="840"/>
        </w:tabs>
        <w:adjustRightInd w:val="0"/>
        <w:snapToGrid w:val="0"/>
        <w:spacing w:line="360" w:lineRule="auto"/>
        <w:ind w:firstLine="480" w:firstLineChars="200"/>
        <w:jc w:val="center"/>
        <w:rPr>
          <w:rFonts w:ascii="宋体" w:cs="宋体"/>
          <w:sz w:val="24"/>
        </w:rPr>
      </w:pPr>
      <w:r>
        <w:rPr>
          <w:rFonts w:hint="eastAsia" w:ascii="宋体" w:cs="宋体"/>
          <w:sz w:val="24"/>
        </w:rPr>
        <w:t>货物信息一览表</w:t>
      </w:r>
    </w:p>
    <w:p>
      <w:pPr>
        <w:pStyle w:val="9"/>
        <w:numPr>
          <w:ilvl w:val="0"/>
          <w:numId w:val="0"/>
        </w:numPr>
      </w:pPr>
    </w:p>
    <w:tbl>
      <w:tblPr>
        <w:tblStyle w:val="23"/>
        <w:tblW w:w="795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5"/>
        <w:gridCol w:w="1882"/>
        <w:gridCol w:w="1392"/>
        <w:gridCol w:w="108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45" w:type="dxa"/>
            <w:vAlign w:val="center"/>
          </w:tcPr>
          <w:p>
            <w:pPr>
              <w:pStyle w:val="9"/>
              <w:numPr>
                <w:ilvl w:val="0"/>
                <w:numId w:val="0"/>
              </w:numPr>
              <w:jc w:val="center"/>
            </w:pPr>
            <w:r>
              <w:rPr>
                <w:rFonts w:hint="eastAsia"/>
              </w:rPr>
              <w:t>序号</w:t>
            </w:r>
          </w:p>
        </w:tc>
        <w:tc>
          <w:tcPr>
            <w:tcW w:w="1882" w:type="dxa"/>
            <w:vAlign w:val="center"/>
          </w:tcPr>
          <w:p>
            <w:pPr>
              <w:pStyle w:val="9"/>
              <w:numPr>
                <w:ilvl w:val="0"/>
                <w:numId w:val="0"/>
              </w:numPr>
              <w:jc w:val="center"/>
            </w:pPr>
            <w:r>
              <w:rPr>
                <w:rFonts w:hint="eastAsia"/>
              </w:rPr>
              <w:t>品名型号</w:t>
            </w:r>
          </w:p>
        </w:tc>
        <w:tc>
          <w:tcPr>
            <w:tcW w:w="1392" w:type="dxa"/>
            <w:vAlign w:val="center"/>
          </w:tcPr>
          <w:p>
            <w:pPr>
              <w:pStyle w:val="9"/>
              <w:numPr>
                <w:ilvl w:val="0"/>
                <w:numId w:val="0"/>
              </w:numPr>
              <w:jc w:val="center"/>
            </w:pPr>
            <w:r>
              <w:rPr>
                <w:rFonts w:hint="eastAsia"/>
              </w:rPr>
              <w:t>规格参数</w:t>
            </w:r>
          </w:p>
        </w:tc>
        <w:tc>
          <w:tcPr>
            <w:tcW w:w="1086" w:type="dxa"/>
            <w:vAlign w:val="center"/>
          </w:tcPr>
          <w:p>
            <w:pPr>
              <w:pStyle w:val="9"/>
              <w:numPr>
                <w:ilvl w:val="0"/>
                <w:numId w:val="0"/>
              </w:numPr>
              <w:jc w:val="center"/>
            </w:pPr>
            <w:r>
              <w:rPr>
                <w:rFonts w:hint="eastAsia"/>
              </w:rPr>
              <w:t>数量</w:t>
            </w:r>
          </w:p>
        </w:tc>
        <w:tc>
          <w:tcPr>
            <w:tcW w:w="1327" w:type="dxa"/>
            <w:vAlign w:val="center"/>
          </w:tcPr>
          <w:p>
            <w:pPr>
              <w:pStyle w:val="9"/>
              <w:numPr>
                <w:ilvl w:val="0"/>
                <w:numId w:val="0"/>
              </w:numPr>
              <w:jc w:val="center"/>
            </w:pPr>
            <w:r>
              <w:rPr>
                <w:rFonts w:hint="eastAsia"/>
              </w:rPr>
              <w:t>单价</w:t>
            </w:r>
          </w:p>
        </w:tc>
        <w:tc>
          <w:tcPr>
            <w:tcW w:w="1327" w:type="dxa"/>
            <w:vAlign w:val="center"/>
          </w:tcPr>
          <w:p>
            <w:pPr>
              <w:pStyle w:val="9"/>
              <w:numPr>
                <w:ilvl w:val="0"/>
                <w:numId w:val="0"/>
              </w:numPr>
              <w:jc w:val="center"/>
            </w:pPr>
            <w:r>
              <w:rPr>
                <w:rFonts w:hint="eastAsia"/>
              </w:rPr>
              <w:t>小计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jc w:val="center"/>
        </w:trPr>
        <w:tc>
          <w:tcPr>
            <w:tcW w:w="945" w:type="dxa"/>
            <w:vAlign w:val="center"/>
          </w:tcPr>
          <w:p>
            <w:pPr>
              <w:pStyle w:val="9"/>
              <w:numPr>
                <w:ilvl w:val="0"/>
                <w:numId w:val="0"/>
              </w:numPr>
              <w:jc w:val="center"/>
            </w:pPr>
            <w:r>
              <w:rPr>
                <w:rFonts w:hint="eastAsia"/>
              </w:rPr>
              <w:t>1</w:t>
            </w:r>
          </w:p>
        </w:tc>
        <w:tc>
          <w:tcPr>
            <w:tcW w:w="1882" w:type="dxa"/>
            <w:vAlign w:val="center"/>
          </w:tcPr>
          <w:p>
            <w:pPr>
              <w:pStyle w:val="9"/>
              <w:numPr>
                <w:ilvl w:val="0"/>
                <w:numId w:val="0"/>
              </w:numPr>
              <w:jc w:val="center"/>
            </w:pPr>
          </w:p>
        </w:tc>
        <w:tc>
          <w:tcPr>
            <w:tcW w:w="1392" w:type="dxa"/>
            <w:vAlign w:val="center"/>
          </w:tcPr>
          <w:p>
            <w:pPr>
              <w:pStyle w:val="9"/>
              <w:numPr>
                <w:ilvl w:val="0"/>
                <w:numId w:val="0"/>
              </w:numPr>
              <w:jc w:val="center"/>
            </w:pPr>
          </w:p>
        </w:tc>
        <w:tc>
          <w:tcPr>
            <w:tcW w:w="1086" w:type="dxa"/>
            <w:vAlign w:val="center"/>
          </w:tcPr>
          <w:p>
            <w:pPr>
              <w:pStyle w:val="9"/>
              <w:numPr>
                <w:ilvl w:val="0"/>
                <w:numId w:val="0"/>
              </w:numPr>
              <w:jc w:val="center"/>
            </w:pPr>
          </w:p>
        </w:tc>
        <w:tc>
          <w:tcPr>
            <w:tcW w:w="1327" w:type="dxa"/>
            <w:vAlign w:val="center"/>
          </w:tcPr>
          <w:p>
            <w:pPr>
              <w:pStyle w:val="9"/>
              <w:numPr>
                <w:ilvl w:val="0"/>
                <w:numId w:val="0"/>
              </w:numPr>
              <w:jc w:val="center"/>
            </w:pPr>
          </w:p>
        </w:tc>
        <w:tc>
          <w:tcPr>
            <w:tcW w:w="1327" w:type="dxa"/>
            <w:vAlign w:val="center"/>
          </w:tcPr>
          <w:p>
            <w:pPr>
              <w:pStyle w:val="9"/>
              <w:numPr>
                <w:ilvl w:val="0"/>
                <w:numId w:val="0"/>
              </w:num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jc w:val="center"/>
        </w:trPr>
        <w:tc>
          <w:tcPr>
            <w:tcW w:w="945" w:type="dxa"/>
            <w:vAlign w:val="center"/>
          </w:tcPr>
          <w:p>
            <w:pPr>
              <w:pStyle w:val="9"/>
              <w:numPr>
                <w:ilvl w:val="0"/>
                <w:numId w:val="0"/>
              </w:numPr>
              <w:jc w:val="center"/>
            </w:pPr>
            <w:r>
              <w:rPr>
                <w:rFonts w:hint="eastAsia"/>
              </w:rPr>
              <w:t>2</w:t>
            </w:r>
          </w:p>
        </w:tc>
        <w:tc>
          <w:tcPr>
            <w:tcW w:w="1882" w:type="dxa"/>
            <w:vAlign w:val="center"/>
          </w:tcPr>
          <w:p>
            <w:pPr>
              <w:pStyle w:val="9"/>
              <w:numPr>
                <w:ilvl w:val="0"/>
                <w:numId w:val="0"/>
              </w:numPr>
              <w:jc w:val="center"/>
            </w:pPr>
          </w:p>
        </w:tc>
        <w:tc>
          <w:tcPr>
            <w:tcW w:w="1392" w:type="dxa"/>
            <w:vAlign w:val="center"/>
          </w:tcPr>
          <w:p>
            <w:pPr>
              <w:pStyle w:val="9"/>
              <w:numPr>
                <w:ilvl w:val="0"/>
                <w:numId w:val="0"/>
              </w:numPr>
              <w:jc w:val="center"/>
            </w:pPr>
          </w:p>
        </w:tc>
        <w:tc>
          <w:tcPr>
            <w:tcW w:w="1086" w:type="dxa"/>
            <w:vAlign w:val="center"/>
          </w:tcPr>
          <w:p>
            <w:pPr>
              <w:pStyle w:val="9"/>
              <w:numPr>
                <w:ilvl w:val="0"/>
                <w:numId w:val="0"/>
              </w:numPr>
              <w:jc w:val="center"/>
            </w:pPr>
          </w:p>
        </w:tc>
        <w:tc>
          <w:tcPr>
            <w:tcW w:w="1327" w:type="dxa"/>
            <w:vAlign w:val="center"/>
          </w:tcPr>
          <w:p>
            <w:pPr>
              <w:pStyle w:val="9"/>
              <w:numPr>
                <w:ilvl w:val="0"/>
                <w:numId w:val="0"/>
              </w:numPr>
              <w:jc w:val="center"/>
            </w:pPr>
          </w:p>
        </w:tc>
        <w:tc>
          <w:tcPr>
            <w:tcW w:w="1327" w:type="dxa"/>
            <w:vAlign w:val="center"/>
          </w:tcPr>
          <w:p>
            <w:pPr>
              <w:pStyle w:val="9"/>
              <w:numPr>
                <w:ilvl w:val="0"/>
                <w:numId w:val="0"/>
              </w:num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jc w:val="center"/>
        </w:trPr>
        <w:tc>
          <w:tcPr>
            <w:tcW w:w="945" w:type="dxa"/>
            <w:vAlign w:val="center"/>
          </w:tcPr>
          <w:p>
            <w:pPr>
              <w:pStyle w:val="9"/>
              <w:numPr>
                <w:ilvl w:val="0"/>
                <w:numId w:val="0"/>
              </w:numPr>
              <w:jc w:val="center"/>
            </w:pPr>
            <w:r>
              <w:rPr>
                <w:rFonts w:hint="eastAsia" w:ascii="宋体" w:eastAsia="宋体" w:cs="宋体"/>
              </w:rPr>
              <w:t>……</w:t>
            </w:r>
          </w:p>
        </w:tc>
        <w:tc>
          <w:tcPr>
            <w:tcW w:w="1882" w:type="dxa"/>
            <w:vAlign w:val="center"/>
          </w:tcPr>
          <w:p>
            <w:pPr>
              <w:pStyle w:val="9"/>
              <w:numPr>
                <w:ilvl w:val="0"/>
                <w:numId w:val="0"/>
              </w:numPr>
              <w:jc w:val="center"/>
            </w:pPr>
          </w:p>
        </w:tc>
        <w:tc>
          <w:tcPr>
            <w:tcW w:w="1392" w:type="dxa"/>
            <w:vAlign w:val="center"/>
          </w:tcPr>
          <w:p>
            <w:pPr>
              <w:pStyle w:val="9"/>
              <w:numPr>
                <w:ilvl w:val="0"/>
                <w:numId w:val="0"/>
              </w:numPr>
              <w:jc w:val="center"/>
            </w:pPr>
          </w:p>
        </w:tc>
        <w:tc>
          <w:tcPr>
            <w:tcW w:w="1086" w:type="dxa"/>
            <w:vAlign w:val="center"/>
          </w:tcPr>
          <w:p>
            <w:pPr>
              <w:pStyle w:val="9"/>
              <w:numPr>
                <w:ilvl w:val="0"/>
                <w:numId w:val="0"/>
              </w:numPr>
              <w:jc w:val="center"/>
            </w:pPr>
          </w:p>
        </w:tc>
        <w:tc>
          <w:tcPr>
            <w:tcW w:w="1327" w:type="dxa"/>
            <w:vAlign w:val="center"/>
          </w:tcPr>
          <w:p>
            <w:pPr>
              <w:pStyle w:val="9"/>
              <w:numPr>
                <w:ilvl w:val="0"/>
                <w:numId w:val="0"/>
              </w:numPr>
              <w:jc w:val="center"/>
            </w:pPr>
          </w:p>
        </w:tc>
        <w:tc>
          <w:tcPr>
            <w:tcW w:w="1327" w:type="dxa"/>
            <w:vAlign w:val="center"/>
          </w:tcPr>
          <w:p>
            <w:pPr>
              <w:pStyle w:val="9"/>
              <w:numPr>
                <w:ilvl w:val="0"/>
                <w:numId w:val="0"/>
              </w:num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jc w:val="center"/>
        </w:trPr>
        <w:tc>
          <w:tcPr>
            <w:tcW w:w="945" w:type="dxa"/>
            <w:vAlign w:val="center"/>
          </w:tcPr>
          <w:p>
            <w:pPr>
              <w:pStyle w:val="9"/>
              <w:numPr>
                <w:ilvl w:val="0"/>
                <w:numId w:val="0"/>
              </w:numPr>
              <w:jc w:val="center"/>
            </w:pPr>
            <w:r>
              <w:rPr>
                <w:rFonts w:hint="eastAsia"/>
              </w:rPr>
              <w:t>总金额</w:t>
            </w:r>
          </w:p>
        </w:tc>
        <w:tc>
          <w:tcPr>
            <w:tcW w:w="5687" w:type="dxa"/>
            <w:gridSpan w:val="4"/>
            <w:vAlign w:val="center"/>
          </w:tcPr>
          <w:p>
            <w:pPr>
              <w:pStyle w:val="9"/>
              <w:numPr>
                <w:ilvl w:val="0"/>
                <w:numId w:val="0"/>
              </w:numPr>
              <w:jc w:val="center"/>
            </w:pPr>
          </w:p>
        </w:tc>
        <w:tc>
          <w:tcPr>
            <w:tcW w:w="1327" w:type="dxa"/>
            <w:vAlign w:val="center"/>
          </w:tcPr>
          <w:p>
            <w:pPr>
              <w:pStyle w:val="9"/>
              <w:numPr>
                <w:ilvl w:val="0"/>
                <w:numId w:val="0"/>
              </w:numPr>
              <w:jc w:val="center"/>
            </w:pPr>
          </w:p>
        </w:tc>
      </w:tr>
    </w:tbl>
    <w:p>
      <w:pPr>
        <w:pStyle w:val="9"/>
        <w:numPr>
          <w:ilvl w:val="0"/>
          <w:numId w:val="0"/>
        </w:numPr>
      </w:pPr>
    </w:p>
    <w:p>
      <w:pPr>
        <w:tabs>
          <w:tab w:val="left" w:pos="840"/>
        </w:tabs>
        <w:adjustRightInd w:val="0"/>
        <w:snapToGrid w:val="0"/>
        <w:spacing w:line="360" w:lineRule="auto"/>
        <w:ind w:firstLine="480" w:firstLineChars="200"/>
        <w:rPr>
          <w:rFonts w:ascii="宋体" w:cs="宋体"/>
          <w:sz w:val="24"/>
        </w:rPr>
      </w:pPr>
      <w:r>
        <w:rPr>
          <w:rFonts w:hint="eastAsia" w:ascii="宋体" w:cs="宋体"/>
          <w:sz w:val="24"/>
        </w:rPr>
        <w:t>2、价格解释：合同价格包括成本、税款、包装、运费、售后服务等全部费用，价格一次确定不再变更。</w:t>
      </w:r>
    </w:p>
    <w:p>
      <w:pPr>
        <w:tabs>
          <w:tab w:val="left" w:pos="840"/>
        </w:tabs>
        <w:adjustRightInd w:val="0"/>
        <w:snapToGrid w:val="0"/>
        <w:spacing w:line="360" w:lineRule="auto"/>
        <w:ind w:firstLine="482" w:firstLineChars="200"/>
        <w:rPr>
          <w:rFonts w:ascii="宋体" w:cs="宋体"/>
          <w:sz w:val="24"/>
        </w:rPr>
      </w:pPr>
      <w:r>
        <w:rPr>
          <w:rFonts w:hint="eastAsia" w:ascii="宋体" w:cs="宋体"/>
          <w:b/>
          <w:sz w:val="24"/>
        </w:rPr>
        <w:t>3、包装要求：</w:t>
      </w:r>
      <w:r>
        <w:rPr>
          <w:rFonts w:hint="eastAsia" w:ascii="宋体" w:cs="宋体"/>
          <w:sz w:val="24"/>
        </w:rPr>
        <w:t>不论采取何种包装形式，卖方均需确保货品无破损，无污染，且方便二次运输。产品包装按照大小包装分配成一定比例，而且标识清楚，以方便使用，避免浪费。因包装不当造成的损失由卖方负责，包退包换。</w:t>
      </w:r>
    </w:p>
    <w:p>
      <w:pPr>
        <w:pStyle w:val="9"/>
        <w:numPr>
          <w:ilvl w:val="0"/>
          <w:numId w:val="0"/>
        </w:numPr>
      </w:pPr>
    </w:p>
    <w:p>
      <w:pPr>
        <w:adjustRightInd w:val="0"/>
        <w:snapToGrid w:val="0"/>
        <w:spacing w:line="360" w:lineRule="auto"/>
        <w:rPr>
          <w:rFonts w:ascii="宋体" w:cs="宋体"/>
          <w:b/>
          <w:sz w:val="24"/>
        </w:rPr>
      </w:pPr>
      <w:r>
        <w:rPr>
          <w:rFonts w:hint="eastAsia" w:ascii="宋体" w:cs="宋体"/>
          <w:b/>
          <w:sz w:val="24"/>
        </w:rPr>
        <w:t>五、招标文件、投标文件，中标人在评标过程中的承诺文件，合同所附供货一览表均为本合同不可分割的一部分。如果供货一览表的内容与招、投标文件和评标结果表不一致时，以招、投标文件和评标结果表为准。</w:t>
      </w:r>
    </w:p>
    <w:p>
      <w:pPr>
        <w:adjustRightInd w:val="0"/>
        <w:snapToGrid w:val="0"/>
        <w:spacing w:line="360" w:lineRule="auto"/>
        <w:rPr>
          <w:rFonts w:ascii="宋体" w:cs="宋体"/>
          <w:b/>
          <w:sz w:val="24"/>
        </w:rPr>
      </w:pPr>
      <w:r>
        <w:rPr>
          <w:rFonts w:hint="eastAsia" w:ascii="宋体" w:cs="宋体"/>
          <w:b/>
          <w:sz w:val="24"/>
        </w:rPr>
        <w:t>六、合同金额：</w:t>
      </w:r>
    </w:p>
    <w:p>
      <w:pPr>
        <w:adjustRightInd w:val="0"/>
        <w:snapToGrid w:val="0"/>
        <w:spacing w:line="360" w:lineRule="auto"/>
        <w:ind w:firstLine="480" w:firstLineChars="200"/>
        <w:rPr>
          <w:rFonts w:ascii="宋体" w:cs="宋体"/>
          <w:sz w:val="24"/>
          <w:u w:val="single"/>
        </w:rPr>
      </w:pPr>
      <w:r>
        <w:rPr>
          <w:rFonts w:hint="eastAsia" w:ascii="宋体" w:cs="宋体"/>
          <w:sz w:val="24"/>
        </w:rPr>
        <w:t>小写：</w:t>
      </w:r>
      <w:r>
        <w:rPr>
          <w:rFonts w:hint="eastAsia" w:ascii="宋体" w:cs="宋体"/>
          <w:sz w:val="24"/>
          <w:u w:val="single"/>
        </w:rPr>
        <w:t xml:space="preserve">¥   ，   ，   .00 </w:t>
      </w:r>
    </w:p>
    <w:p>
      <w:pPr>
        <w:adjustRightInd w:val="0"/>
        <w:snapToGrid w:val="0"/>
        <w:spacing w:line="360" w:lineRule="auto"/>
        <w:ind w:firstLine="480" w:firstLineChars="200"/>
        <w:rPr>
          <w:rFonts w:ascii="宋体" w:cs="宋体"/>
          <w:sz w:val="24"/>
          <w:u w:val="single"/>
        </w:rPr>
      </w:pPr>
      <w:r>
        <w:rPr>
          <w:rFonts w:hint="eastAsia" w:ascii="宋体" w:cs="宋体"/>
          <w:sz w:val="24"/>
        </w:rPr>
        <w:t>大写：</w:t>
      </w:r>
      <w:r>
        <w:rPr>
          <w:rFonts w:hint="eastAsia" w:ascii="宋体" w:cs="宋体"/>
          <w:sz w:val="24"/>
          <w:u w:val="single"/>
        </w:rPr>
        <w:t xml:space="preserve">                  </w:t>
      </w:r>
    </w:p>
    <w:p>
      <w:pPr>
        <w:adjustRightInd w:val="0"/>
        <w:snapToGrid w:val="0"/>
        <w:spacing w:line="360" w:lineRule="auto"/>
        <w:ind w:firstLine="480" w:firstLineChars="200"/>
        <w:rPr>
          <w:rFonts w:ascii="宋体" w:cs="宋体"/>
          <w:sz w:val="24"/>
        </w:rPr>
      </w:pPr>
      <w:r>
        <w:rPr>
          <w:rFonts w:hint="eastAsia" w:ascii="宋体" w:cs="宋体"/>
          <w:sz w:val="24"/>
        </w:rPr>
        <w:t>数量：</w:t>
      </w:r>
      <w:r>
        <w:rPr>
          <w:rFonts w:hint="eastAsia" w:ascii="宋体" w:cs="宋体"/>
          <w:sz w:val="24"/>
          <w:u w:val="single"/>
        </w:rPr>
        <w:t xml:space="preserve">                  </w:t>
      </w:r>
    </w:p>
    <w:p>
      <w:pPr>
        <w:adjustRightInd w:val="0"/>
        <w:snapToGrid w:val="0"/>
        <w:spacing w:line="360" w:lineRule="auto"/>
        <w:rPr>
          <w:rFonts w:ascii="宋体" w:cs="宋体"/>
          <w:b/>
          <w:sz w:val="24"/>
        </w:rPr>
      </w:pPr>
      <w:r>
        <w:rPr>
          <w:rFonts w:hint="eastAsia" w:ascii="宋体" w:cs="宋体"/>
          <w:b/>
          <w:sz w:val="24"/>
        </w:rPr>
        <w:t>七、一般条款：</w:t>
      </w:r>
    </w:p>
    <w:p>
      <w:pPr>
        <w:adjustRightInd w:val="0"/>
        <w:snapToGrid w:val="0"/>
        <w:spacing w:line="360" w:lineRule="auto"/>
        <w:ind w:firstLine="480" w:firstLineChars="200"/>
        <w:rPr>
          <w:rFonts w:ascii="宋体" w:cs="宋体"/>
          <w:sz w:val="24"/>
        </w:rPr>
      </w:pPr>
      <w:r>
        <w:rPr>
          <w:rFonts w:hint="eastAsia" w:ascii="宋体" w:cs="宋体"/>
          <w:sz w:val="24"/>
        </w:rPr>
        <w:t>1、卖方所提供的货物符合国家现行有效标准，因质量问题而发生的任何故障由卖方负责。</w:t>
      </w:r>
    </w:p>
    <w:p>
      <w:pPr>
        <w:adjustRightInd w:val="0"/>
        <w:snapToGrid w:val="0"/>
        <w:spacing w:line="360" w:lineRule="auto"/>
        <w:ind w:firstLine="480" w:firstLineChars="200"/>
        <w:rPr>
          <w:rFonts w:ascii="宋体" w:cs="宋体"/>
          <w:sz w:val="24"/>
        </w:rPr>
      </w:pPr>
      <w:r>
        <w:rPr>
          <w:rFonts w:hint="eastAsia" w:ascii="宋体" w:cs="宋体"/>
          <w:sz w:val="24"/>
        </w:rPr>
        <w:t>2、卖方承担交货前的一切责任和费用。</w:t>
      </w:r>
    </w:p>
    <w:p>
      <w:pPr>
        <w:adjustRightInd w:val="0"/>
        <w:snapToGrid w:val="0"/>
        <w:spacing w:line="360" w:lineRule="auto"/>
        <w:ind w:firstLine="480" w:firstLineChars="200"/>
        <w:rPr>
          <w:rFonts w:ascii="宋体" w:cs="宋体"/>
          <w:sz w:val="24"/>
        </w:rPr>
      </w:pPr>
      <w:r>
        <w:rPr>
          <w:rFonts w:hint="eastAsia" w:ascii="宋体" w:cs="宋体"/>
          <w:sz w:val="24"/>
        </w:rPr>
        <w:t>3、如发现损坏、缺件等问题，由卖方负责。</w:t>
      </w:r>
    </w:p>
    <w:p>
      <w:pPr>
        <w:adjustRightInd w:val="0"/>
        <w:snapToGrid w:val="0"/>
        <w:spacing w:line="360" w:lineRule="auto"/>
        <w:ind w:firstLine="480" w:firstLineChars="200"/>
        <w:rPr>
          <w:rFonts w:ascii="宋体" w:cs="宋体"/>
          <w:sz w:val="24"/>
        </w:rPr>
      </w:pPr>
      <w:r>
        <w:rPr>
          <w:rFonts w:hint="eastAsia" w:ascii="宋体" w:cs="宋体"/>
          <w:sz w:val="24"/>
        </w:rPr>
        <w:t>4、卖方在发运货物时需提供相应的技术文件，包括使用说明等。</w:t>
      </w:r>
    </w:p>
    <w:p>
      <w:pPr>
        <w:adjustRightInd w:val="0"/>
        <w:snapToGrid w:val="0"/>
        <w:spacing w:line="360" w:lineRule="auto"/>
        <w:ind w:firstLine="480" w:firstLineChars="200"/>
        <w:rPr>
          <w:rFonts w:ascii="宋体" w:cs="宋体"/>
          <w:sz w:val="24"/>
        </w:rPr>
      </w:pPr>
      <w:r>
        <w:rPr>
          <w:rFonts w:hint="eastAsia" w:ascii="宋体" w:cs="宋体"/>
          <w:sz w:val="24"/>
        </w:rPr>
        <w:t>5、卖方对所供产品保质期应按生产厂商的承诺执行(附生产厂家承诺)。</w:t>
      </w:r>
    </w:p>
    <w:p>
      <w:pPr>
        <w:adjustRightInd w:val="0"/>
        <w:snapToGrid w:val="0"/>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sz w:val="24"/>
        </w:rPr>
        <w:t>6、</w:t>
      </w:r>
      <w:r>
        <w:rPr>
          <w:rFonts w:hint="eastAsia" w:ascii="宋体" w:cs="宋体"/>
          <w:color w:val="000000"/>
          <w:sz w:val="24"/>
        </w:rPr>
        <w:t>付款方式：</w:t>
      </w:r>
      <w:r>
        <w:rPr>
          <w:rFonts w:ascii="宋体" w:cs="宋体"/>
          <w:color w:val="000000" w:themeColor="text1"/>
          <w:sz w:val="24"/>
          <w14:textFill>
            <w14:solidFill>
              <w14:schemeClr w14:val="tx1"/>
            </w14:solidFill>
          </w14:textFill>
        </w:rPr>
        <w:t>最终以与甲方签订的《采购供应合同》的具体约定为准</w:t>
      </w:r>
    </w:p>
    <w:p>
      <w:pPr>
        <w:adjustRightInd w:val="0"/>
        <w:snapToGrid w:val="0"/>
        <w:spacing w:line="360" w:lineRule="auto"/>
        <w:ind w:firstLine="480" w:firstLineChars="200"/>
        <w:rPr>
          <w:rFonts w:ascii="宋体" w:cs="宋体"/>
          <w:sz w:val="24"/>
          <w:u w:val="single"/>
        </w:rPr>
      </w:pPr>
      <w:r>
        <w:rPr>
          <w:rFonts w:hint="eastAsia" w:ascii="宋体" w:cs="宋体"/>
          <w:sz w:val="24"/>
        </w:rPr>
        <w:t>7、合同所签定数量仅为参考数量，买方可根据资金到位情况、实际需求情况适当增减数量。</w:t>
      </w:r>
    </w:p>
    <w:p>
      <w:pPr>
        <w:adjustRightInd w:val="0"/>
        <w:snapToGrid w:val="0"/>
        <w:spacing w:line="360" w:lineRule="auto"/>
        <w:ind w:firstLine="480" w:firstLineChars="200"/>
        <w:rPr>
          <w:rFonts w:ascii="宋体" w:cs="宋体"/>
          <w:sz w:val="24"/>
        </w:rPr>
      </w:pPr>
      <w:r>
        <w:rPr>
          <w:rFonts w:hint="eastAsia" w:ascii="宋体" w:cs="宋体"/>
          <w:sz w:val="24"/>
        </w:rPr>
        <w:t>8、凡货款由财政国库或采购人支付的,卖方凭合同向买方供货,未见合同供货而造成的一切后果由卖方负责。</w:t>
      </w:r>
    </w:p>
    <w:p>
      <w:pPr>
        <w:adjustRightInd w:val="0"/>
        <w:snapToGrid w:val="0"/>
        <w:spacing w:line="360" w:lineRule="auto"/>
        <w:ind w:firstLine="480" w:firstLineChars="200"/>
        <w:rPr>
          <w:rFonts w:ascii="宋体" w:cs="宋体"/>
          <w:sz w:val="24"/>
        </w:rPr>
      </w:pPr>
      <w:r>
        <w:rPr>
          <w:rFonts w:hint="eastAsia" w:ascii="宋体" w:cs="宋体"/>
          <w:sz w:val="24"/>
        </w:rPr>
        <w:t>9、买卖双方签订的合同，应在相关部门的监督下认真履行。</w:t>
      </w:r>
    </w:p>
    <w:p>
      <w:pPr>
        <w:adjustRightInd w:val="0"/>
        <w:snapToGrid w:val="0"/>
        <w:spacing w:line="360" w:lineRule="auto"/>
        <w:ind w:firstLine="480" w:firstLineChars="200"/>
        <w:rPr>
          <w:rFonts w:ascii="宋体" w:cs="宋体"/>
          <w:sz w:val="24"/>
        </w:rPr>
      </w:pPr>
      <w:r>
        <w:rPr>
          <w:rFonts w:hint="eastAsia" w:ascii="宋体" w:cs="宋体"/>
          <w:sz w:val="24"/>
        </w:rPr>
        <w:t>10、违约责任：卖方应依据合同规定时间按时交货，如不能，由此给买方带来的损失由卖方负责，将没收履约保证金，并上报财政部门依法处理。</w:t>
      </w:r>
    </w:p>
    <w:p>
      <w:pPr>
        <w:adjustRightInd w:val="0"/>
        <w:snapToGrid w:val="0"/>
        <w:spacing w:line="360" w:lineRule="auto"/>
        <w:ind w:firstLine="480" w:firstLineChars="200"/>
        <w:rPr>
          <w:rFonts w:ascii="宋体" w:cs="宋体"/>
          <w:sz w:val="24"/>
        </w:rPr>
      </w:pPr>
      <w:r>
        <w:rPr>
          <w:rFonts w:hint="eastAsia" w:ascii="宋体" w:cs="宋体"/>
          <w:sz w:val="24"/>
        </w:rPr>
        <w:t xml:space="preserve">11、质量验收： </w:t>
      </w:r>
    </w:p>
    <w:p>
      <w:pPr>
        <w:adjustRightInd w:val="0"/>
        <w:snapToGrid w:val="0"/>
        <w:spacing w:line="360" w:lineRule="auto"/>
        <w:ind w:firstLine="480" w:firstLineChars="200"/>
        <w:rPr>
          <w:rFonts w:ascii="宋体" w:cs="宋体"/>
          <w:sz w:val="24"/>
        </w:rPr>
      </w:pPr>
      <w:r>
        <w:rPr>
          <w:rFonts w:hint="eastAsia" w:ascii="宋体" w:cs="宋体"/>
          <w:sz w:val="24"/>
        </w:rPr>
        <w:t>（1）买方应当在10个工作日内完成到货验收工作，验收合格后在验收单上签署 “验收合格”字样，逾期验收视为验收合格。</w:t>
      </w:r>
    </w:p>
    <w:p>
      <w:pPr>
        <w:adjustRightInd w:val="0"/>
        <w:snapToGrid w:val="0"/>
        <w:spacing w:line="360" w:lineRule="auto"/>
        <w:ind w:firstLine="480" w:firstLineChars="200"/>
        <w:jc w:val="left"/>
        <w:rPr>
          <w:rFonts w:ascii="宋体" w:cs="宋体"/>
          <w:sz w:val="24"/>
        </w:rPr>
      </w:pPr>
      <w:r>
        <w:rPr>
          <w:rFonts w:hint="eastAsia" w:ascii="宋体" w:cs="宋体"/>
          <w:sz w:val="24"/>
        </w:rPr>
        <w:t>（2）买方委托的验收人在验收中发现不符合合同要求和验收标准或有异议时，应由买方及时通知卖方，卖方应在接到通知后三天内给予答复，并负责处理，若需送法定质检部门检验，检验费用由卖方承担。如发现质量严重不符合质量要求的，买方可通知卖方停止供货，解除合同。</w:t>
      </w:r>
    </w:p>
    <w:p>
      <w:pPr>
        <w:adjustRightInd w:val="0"/>
        <w:snapToGrid w:val="0"/>
        <w:spacing w:line="360" w:lineRule="auto"/>
        <w:rPr>
          <w:rFonts w:ascii="宋体" w:cs="宋体"/>
          <w:b/>
          <w:sz w:val="24"/>
        </w:rPr>
      </w:pPr>
      <w:r>
        <w:rPr>
          <w:rFonts w:hint="eastAsia" w:ascii="宋体" w:cs="宋体"/>
          <w:b/>
          <w:sz w:val="24"/>
        </w:rPr>
        <w:t>八、交货时间、交货地点和验收单位：</w:t>
      </w:r>
    </w:p>
    <w:p>
      <w:pPr>
        <w:adjustRightInd w:val="0"/>
        <w:snapToGrid w:val="0"/>
        <w:spacing w:line="360" w:lineRule="auto"/>
        <w:ind w:firstLine="480" w:firstLineChars="200"/>
        <w:rPr>
          <w:rFonts w:ascii="宋体" w:cs="宋体"/>
          <w:sz w:val="24"/>
        </w:rPr>
      </w:pPr>
      <w:r>
        <w:rPr>
          <w:rFonts w:hint="eastAsia" w:ascii="宋体" w:cs="宋体"/>
          <w:sz w:val="24"/>
        </w:rPr>
        <w:t>（1）交货地点：</w:t>
      </w:r>
      <w:r>
        <w:rPr>
          <w:rFonts w:hint="eastAsia" w:ascii="宋体" w:cs="宋体"/>
          <w:color w:val="000000" w:themeColor="text1"/>
          <w:sz w:val="24"/>
          <w14:textFill>
            <w14:solidFill>
              <w14:schemeClr w14:val="tx1"/>
            </w14:solidFill>
          </w14:textFill>
        </w:rPr>
        <w:t>乌鲁木齐市高新技术开发区蓝天路268号新疆维吾尔自治区动物卫生监督所办公场所</w:t>
      </w:r>
    </w:p>
    <w:p>
      <w:pPr>
        <w:adjustRightInd w:val="0"/>
        <w:snapToGrid w:val="0"/>
        <w:spacing w:line="360" w:lineRule="auto"/>
        <w:ind w:firstLine="480" w:firstLineChars="200"/>
        <w:rPr>
          <w:rFonts w:ascii="宋体" w:cs="宋体"/>
          <w:sz w:val="24"/>
        </w:rPr>
      </w:pPr>
      <w:r>
        <w:rPr>
          <w:rFonts w:hint="eastAsia" w:ascii="宋体" w:cs="宋体"/>
          <w:sz w:val="24"/>
        </w:rPr>
        <w:t>（2）验收单位：</w:t>
      </w:r>
      <w:r>
        <w:rPr>
          <w:rFonts w:hint="eastAsia" w:ascii="宋体" w:cs="宋体"/>
          <w:color w:val="000000" w:themeColor="text1"/>
          <w:sz w:val="24"/>
          <w14:textFill>
            <w14:solidFill>
              <w14:schemeClr w14:val="tx1"/>
            </w14:solidFill>
          </w14:textFill>
        </w:rPr>
        <w:t>新疆维吾尔自治区动物卫生监督所办公场所</w:t>
      </w:r>
    </w:p>
    <w:p>
      <w:pPr>
        <w:adjustRightInd w:val="0"/>
        <w:snapToGrid w:val="0"/>
        <w:spacing w:line="360" w:lineRule="auto"/>
        <w:ind w:firstLine="480" w:firstLineChars="200"/>
        <w:rPr>
          <w:rFonts w:ascii="宋体" w:cs="宋体"/>
          <w:sz w:val="24"/>
        </w:rPr>
      </w:pPr>
    </w:p>
    <w:p>
      <w:pPr>
        <w:adjustRightInd w:val="0"/>
        <w:snapToGrid w:val="0"/>
        <w:spacing w:line="360" w:lineRule="auto"/>
        <w:rPr>
          <w:rFonts w:ascii="宋体" w:cs="宋体"/>
          <w:b/>
          <w:sz w:val="24"/>
        </w:rPr>
      </w:pPr>
      <w:r>
        <w:rPr>
          <w:rFonts w:hint="eastAsia" w:ascii="宋体" w:cs="宋体"/>
          <w:b/>
          <w:sz w:val="24"/>
        </w:rPr>
        <w:t>九、经济责任：</w:t>
      </w:r>
    </w:p>
    <w:p>
      <w:pPr>
        <w:adjustRightInd w:val="0"/>
        <w:snapToGrid w:val="0"/>
        <w:spacing w:line="360" w:lineRule="auto"/>
        <w:ind w:firstLine="480" w:firstLineChars="200"/>
        <w:rPr>
          <w:rFonts w:ascii="宋体" w:cs="宋体"/>
          <w:sz w:val="24"/>
        </w:rPr>
      </w:pPr>
      <w:r>
        <w:rPr>
          <w:rFonts w:hint="eastAsia" w:ascii="宋体" w:cs="宋体"/>
          <w:sz w:val="24"/>
        </w:rPr>
        <w:t>卖方责任：</w:t>
      </w:r>
    </w:p>
    <w:p>
      <w:pPr>
        <w:adjustRightInd w:val="0"/>
        <w:snapToGrid w:val="0"/>
        <w:spacing w:line="360" w:lineRule="auto"/>
        <w:ind w:firstLine="480" w:firstLineChars="200"/>
        <w:rPr>
          <w:rFonts w:ascii="宋体" w:cs="宋体"/>
          <w:sz w:val="24"/>
        </w:rPr>
      </w:pPr>
      <w:r>
        <w:rPr>
          <w:rFonts w:hint="eastAsia" w:ascii="宋体" w:cs="宋体"/>
          <w:sz w:val="24"/>
        </w:rPr>
        <w:t>（1）卖方不履行合同或交付的</w:t>
      </w:r>
      <w:r>
        <w:rPr>
          <w:rFonts w:hint="eastAsia" w:ascii="宋体" w:cs="宋体"/>
          <w:sz w:val="24"/>
          <w:lang w:eastAsia="zh-CN"/>
        </w:rPr>
        <w:t>货物</w:t>
      </w:r>
      <w:r>
        <w:rPr>
          <w:rFonts w:hint="eastAsia" w:ascii="宋体" w:cs="宋体"/>
          <w:sz w:val="24"/>
        </w:rPr>
        <w:t>全部或部分不符合合同要求的，买方或买方委托验收人有权拒收不符合质量要求的全部或部分</w:t>
      </w:r>
      <w:r>
        <w:rPr>
          <w:rFonts w:hint="eastAsia" w:ascii="宋体" w:cs="宋体"/>
          <w:sz w:val="24"/>
          <w:lang w:eastAsia="zh-CN"/>
        </w:rPr>
        <w:t>货物</w:t>
      </w:r>
      <w:r>
        <w:rPr>
          <w:rFonts w:hint="eastAsia" w:ascii="宋体" w:cs="宋体"/>
          <w:sz w:val="24"/>
        </w:rPr>
        <w:t>，卖方须向买方支付拒收</w:t>
      </w:r>
      <w:r>
        <w:rPr>
          <w:rFonts w:hint="eastAsia" w:ascii="宋体" w:cs="宋体"/>
          <w:sz w:val="24"/>
          <w:lang w:eastAsia="zh-CN"/>
        </w:rPr>
        <w:t>货物</w:t>
      </w:r>
      <w:r>
        <w:rPr>
          <w:rFonts w:hint="eastAsia" w:ascii="宋体" w:cs="宋体"/>
          <w:sz w:val="24"/>
        </w:rPr>
        <w:t>价款总额10%的违约金。</w:t>
      </w:r>
    </w:p>
    <w:p>
      <w:pPr>
        <w:adjustRightInd w:val="0"/>
        <w:snapToGrid w:val="0"/>
        <w:spacing w:line="360" w:lineRule="auto"/>
        <w:ind w:firstLine="480" w:firstLineChars="200"/>
        <w:rPr>
          <w:rFonts w:ascii="宋体" w:cs="宋体"/>
          <w:sz w:val="24"/>
        </w:rPr>
      </w:pPr>
      <w:r>
        <w:rPr>
          <w:rFonts w:hint="eastAsia" w:ascii="宋体" w:cs="宋体"/>
          <w:sz w:val="24"/>
        </w:rPr>
        <w:t>（2）</w:t>
      </w:r>
      <w:r>
        <w:rPr>
          <w:rFonts w:hint="eastAsia" w:ascii="宋体" w:cs="宋体"/>
          <w:sz w:val="24"/>
          <w:lang w:eastAsia="zh-CN"/>
        </w:rPr>
        <w:t>货物</w:t>
      </w:r>
      <w:r>
        <w:rPr>
          <w:rFonts w:hint="eastAsia" w:ascii="宋体" w:cs="宋体"/>
          <w:sz w:val="24"/>
        </w:rPr>
        <w:t>不符合合同规定时，卖方负责包退包换。由于上述原因导致延误交货时间的，每延误一日，供应方应按逾期交货部分价款总值的5‰向买方偿付违约金。</w:t>
      </w:r>
    </w:p>
    <w:p>
      <w:pPr>
        <w:adjustRightInd w:val="0"/>
        <w:snapToGrid w:val="0"/>
        <w:spacing w:line="360" w:lineRule="auto"/>
        <w:ind w:firstLine="480" w:firstLineChars="200"/>
        <w:rPr>
          <w:rFonts w:ascii="宋体" w:cs="宋体"/>
          <w:sz w:val="24"/>
        </w:rPr>
      </w:pPr>
      <w:r>
        <w:rPr>
          <w:rFonts w:hint="eastAsia" w:ascii="宋体" w:cs="宋体"/>
          <w:sz w:val="24"/>
        </w:rPr>
        <w:t>（3）卖方必须按合同规定的日期交货，每逾期一日，卖方必须向买方支付逾期交货疫苗总额5‰的违约金。逾期交货超过10日，买方有权解除合同，履约保证金不予退还。</w:t>
      </w:r>
    </w:p>
    <w:p>
      <w:pPr>
        <w:adjustRightInd w:val="0"/>
        <w:snapToGrid w:val="0"/>
        <w:spacing w:line="360" w:lineRule="auto"/>
        <w:ind w:firstLine="480" w:firstLineChars="200"/>
        <w:rPr>
          <w:rFonts w:ascii="宋体" w:cs="宋体"/>
          <w:sz w:val="24"/>
        </w:rPr>
      </w:pPr>
      <w:r>
        <w:rPr>
          <w:rFonts w:hint="eastAsia" w:ascii="宋体" w:cs="宋体"/>
          <w:sz w:val="24"/>
        </w:rPr>
        <w:t>（4）卖方提供的不符合质量要求的</w:t>
      </w:r>
      <w:r>
        <w:rPr>
          <w:rFonts w:hint="eastAsia" w:ascii="宋体" w:cs="宋体"/>
          <w:sz w:val="24"/>
          <w:lang w:eastAsia="zh-CN"/>
        </w:rPr>
        <w:t>货物超过</w:t>
      </w:r>
      <w:r>
        <w:rPr>
          <w:rFonts w:hint="eastAsia" w:ascii="宋体" w:cs="宋体"/>
          <w:sz w:val="24"/>
        </w:rPr>
        <w:t>本合同总量10%时，视为整批</w:t>
      </w:r>
      <w:r>
        <w:rPr>
          <w:rFonts w:hint="eastAsia" w:ascii="宋体" w:cs="宋体"/>
          <w:sz w:val="24"/>
          <w:lang w:eastAsia="zh-CN"/>
        </w:rPr>
        <w:t>货物</w:t>
      </w:r>
      <w:r>
        <w:rPr>
          <w:rFonts w:hint="eastAsia" w:ascii="宋体" w:cs="宋体"/>
          <w:sz w:val="24"/>
        </w:rPr>
        <w:t>不合格。</w:t>
      </w:r>
    </w:p>
    <w:p>
      <w:pPr>
        <w:adjustRightInd w:val="0"/>
        <w:snapToGrid w:val="0"/>
        <w:spacing w:line="360" w:lineRule="auto"/>
        <w:ind w:firstLine="480" w:firstLineChars="200"/>
        <w:rPr>
          <w:rFonts w:ascii="宋体" w:cs="宋体"/>
          <w:sz w:val="24"/>
        </w:rPr>
      </w:pPr>
    </w:p>
    <w:p>
      <w:pPr>
        <w:adjustRightInd w:val="0"/>
        <w:snapToGrid w:val="0"/>
        <w:spacing w:line="360" w:lineRule="auto"/>
        <w:rPr>
          <w:rFonts w:ascii="宋体" w:cs="宋体"/>
          <w:b/>
          <w:sz w:val="24"/>
        </w:rPr>
      </w:pPr>
      <w:r>
        <w:rPr>
          <w:rFonts w:hint="eastAsia" w:ascii="宋体" w:cs="宋体"/>
          <w:b/>
          <w:sz w:val="24"/>
        </w:rPr>
        <w:t>十、合同解释：</w:t>
      </w:r>
    </w:p>
    <w:p>
      <w:pPr>
        <w:adjustRightInd w:val="0"/>
        <w:snapToGrid w:val="0"/>
        <w:spacing w:line="360" w:lineRule="auto"/>
        <w:ind w:firstLine="480" w:firstLineChars="200"/>
        <w:rPr>
          <w:rFonts w:ascii="宋体" w:cs="宋体"/>
          <w:sz w:val="24"/>
        </w:rPr>
      </w:pPr>
      <w:r>
        <w:rPr>
          <w:rFonts w:hint="eastAsia" w:ascii="宋体" w:cs="宋体"/>
          <w:sz w:val="24"/>
        </w:rPr>
        <w:t xml:space="preserve">如合同条文存在歧义，《民法典》又无明文规定，依照交易习惯和采购当事人订立合同的目的做合理并且善意的解释，以维护交易安全和社会的公序良俗。 </w:t>
      </w:r>
    </w:p>
    <w:p>
      <w:pPr>
        <w:adjustRightInd w:val="0"/>
        <w:snapToGrid w:val="0"/>
        <w:spacing w:line="360" w:lineRule="auto"/>
        <w:rPr>
          <w:rFonts w:ascii="宋体" w:cs="宋体"/>
          <w:b/>
          <w:sz w:val="24"/>
        </w:rPr>
      </w:pPr>
      <w:r>
        <w:rPr>
          <w:rFonts w:hint="eastAsia" w:ascii="宋体" w:cs="宋体"/>
          <w:b/>
          <w:sz w:val="24"/>
        </w:rPr>
        <w:t>十</w:t>
      </w:r>
      <w:r>
        <w:rPr>
          <w:rFonts w:hint="eastAsia" w:ascii="宋体" w:cs="宋体"/>
          <w:b/>
          <w:sz w:val="24"/>
          <w:lang w:eastAsia="zh-CN"/>
        </w:rPr>
        <w:t>一</w:t>
      </w:r>
      <w:r>
        <w:rPr>
          <w:rFonts w:hint="eastAsia" w:ascii="宋体" w:cs="宋体"/>
          <w:b/>
          <w:sz w:val="24"/>
        </w:rPr>
        <w:t>、争议解决</w:t>
      </w:r>
    </w:p>
    <w:p>
      <w:pPr>
        <w:adjustRightInd w:val="0"/>
        <w:snapToGrid w:val="0"/>
        <w:spacing w:line="360" w:lineRule="auto"/>
        <w:ind w:firstLine="480" w:firstLineChars="200"/>
        <w:rPr>
          <w:rFonts w:ascii="宋体" w:cs="宋体"/>
          <w:color w:val="00B0F0"/>
          <w:sz w:val="24"/>
        </w:rPr>
      </w:pPr>
      <w:r>
        <w:rPr>
          <w:rFonts w:hint="eastAsia" w:ascii="宋体" w:cs="宋体"/>
          <w:sz w:val="24"/>
        </w:rPr>
        <w:t>合同执行过程中发生的</w:t>
      </w:r>
      <w:r>
        <w:rPr>
          <w:rFonts w:hint="eastAsia" w:ascii="宋体" w:cs="宋体"/>
          <w:color w:val="000000" w:themeColor="text1"/>
          <w:sz w:val="24"/>
          <w14:textFill>
            <w14:solidFill>
              <w14:schemeClr w14:val="tx1"/>
            </w14:solidFill>
          </w14:textFill>
        </w:rPr>
        <w:t>一切争议，双方应通过友好协商解决，如协商不能解决，提交甲方所在地人民法院诉讼解决。</w:t>
      </w:r>
    </w:p>
    <w:p>
      <w:pPr>
        <w:adjustRightInd w:val="0"/>
        <w:snapToGrid w:val="0"/>
        <w:spacing w:line="360" w:lineRule="auto"/>
        <w:ind w:firstLine="480" w:firstLineChars="200"/>
        <w:rPr>
          <w:rFonts w:ascii="宋体" w:cs="宋体"/>
          <w:sz w:val="24"/>
        </w:rPr>
      </w:pPr>
    </w:p>
    <w:p>
      <w:pPr>
        <w:adjustRightInd w:val="0"/>
        <w:snapToGrid w:val="0"/>
        <w:spacing w:line="360" w:lineRule="auto"/>
        <w:rPr>
          <w:rFonts w:ascii="宋体" w:cs="宋体"/>
          <w:b/>
          <w:sz w:val="24"/>
        </w:rPr>
      </w:pPr>
      <w:r>
        <w:rPr>
          <w:rFonts w:hint="eastAsia" w:ascii="宋体" w:cs="宋体"/>
          <w:b/>
          <w:sz w:val="24"/>
        </w:rPr>
        <w:t>十</w:t>
      </w:r>
      <w:r>
        <w:rPr>
          <w:rFonts w:hint="eastAsia" w:ascii="宋体" w:cs="宋体"/>
          <w:b/>
          <w:sz w:val="24"/>
          <w:lang w:eastAsia="zh-CN"/>
        </w:rPr>
        <w:t>二</w:t>
      </w:r>
      <w:r>
        <w:rPr>
          <w:rFonts w:hint="eastAsia" w:ascii="宋体" w:cs="宋体"/>
          <w:b/>
          <w:sz w:val="24"/>
        </w:rPr>
        <w:t>、合同生效</w:t>
      </w:r>
    </w:p>
    <w:p>
      <w:pPr>
        <w:adjustRightInd w:val="0"/>
        <w:snapToGrid w:val="0"/>
        <w:spacing w:line="360" w:lineRule="auto"/>
        <w:ind w:firstLine="480" w:firstLineChars="200"/>
        <w:rPr>
          <w:rFonts w:ascii="宋体" w:cs="宋体"/>
          <w:sz w:val="24"/>
        </w:rPr>
      </w:pPr>
      <w:r>
        <w:rPr>
          <w:rFonts w:hint="eastAsia" w:ascii="宋体" w:cs="宋体"/>
          <w:sz w:val="24"/>
        </w:rPr>
        <w:t>本合同经买卖双方及招标单位授权代表签字盖章后生效</w:t>
      </w:r>
      <w:r>
        <w:rPr>
          <w:rFonts w:hint="eastAsia" w:ascii="宋体" w:cs="宋体"/>
          <w:color w:val="000000" w:themeColor="text1"/>
          <w:sz w:val="24"/>
          <w14:textFill>
            <w14:solidFill>
              <w14:schemeClr w14:val="tx1"/>
            </w14:solidFill>
          </w14:textFill>
        </w:rPr>
        <w:t>且买方收到卖方缴纳的全部履约保证金后生效。本</w:t>
      </w:r>
      <w:r>
        <w:rPr>
          <w:rFonts w:hint="eastAsia" w:ascii="宋体" w:cs="宋体"/>
          <w:sz w:val="24"/>
        </w:rPr>
        <w:t>合同具有法律效力，受国家法律保护。</w:t>
      </w:r>
    </w:p>
    <w:p>
      <w:pPr>
        <w:adjustRightInd w:val="0"/>
        <w:snapToGrid w:val="0"/>
        <w:spacing w:line="360" w:lineRule="auto"/>
        <w:rPr>
          <w:rFonts w:ascii="宋体" w:cs="宋体"/>
          <w:b/>
          <w:sz w:val="24"/>
        </w:rPr>
      </w:pPr>
      <w:r>
        <w:rPr>
          <w:rFonts w:hint="eastAsia" w:ascii="宋体" w:cs="宋体"/>
          <w:b/>
          <w:sz w:val="24"/>
        </w:rPr>
        <w:t>十</w:t>
      </w:r>
      <w:r>
        <w:rPr>
          <w:rFonts w:hint="eastAsia" w:ascii="宋体" w:cs="宋体"/>
          <w:b/>
          <w:sz w:val="24"/>
          <w:lang w:eastAsia="zh-CN"/>
        </w:rPr>
        <w:t>三</w:t>
      </w:r>
      <w:r>
        <w:rPr>
          <w:rFonts w:hint="eastAsia" w:ascii="宋体" w:cs="宋体"/>
          <w:b/>
          <w:sz w:val="24"/>
        </w:rPr>
        <w:t>、合同份数</w:t>
      </w:r>
    </w:p>
    <w:p>
      <w:pPr>
        <w:adjustRightInd w:val="0"/>
        <w:snapToGrid w:val="0"/>
        <w:spacing w:line="360" w:lineRule="auto"/>
        <w:ind w:firstLine="480" w:firstLineChars="200"/>
        <w:rPr>
          <w:rFonts w:ascii="宋体" w:cs="宋体"/>
          <w:sz w:val="24"/>
        </w:rPr>
      </w:pPr>
      <w:r>
        <w:rPr>
          <w:rFonts w:hint="eastAsia" w:ascii="宋体" w:cs="宋体"/>
          <w:sz w:val="24"/>
        </w:rPr>
        <w:t>本合同一式五份，甲乙双方各执一份，招标代理机构三份（监管部门一份、甲方资料一份，留档一份）。</w:t>
      </w:r>
    </w:p>
    <w:p>
      <w:pPr>
        <w:adjustRightInd w:val="0"/>
        <w:snapToGrid w:val="0"/>
        <w:spacing w:line="360" w:lineRule="auto"/>
        <w:rPr>
          <w:rFonts w:ascii="宋体" w:cs="宋体"/>
          <w:b/>
          <w:sz w:val="24"/>
        </w:rPr>
      </w:pPr>
      <w:r>
        <w:rPr>
          <w:rFonts w:hint="eastAsia" w:ascii="宋体" w:cs="宋体"/>
          <w:b/>
          <w:sz w:val="24"/>
        </w:rPr>
        <w:t>十</w:t>
      </w:r>
      <w:r>
        <w:rPr>
          <w:rFonts w:hint="eastAsia" w:ascii="宋体" w:cs="宋体"/>
          <w:b/>
          <w:sz w:val="24"/>
          <w:lang w:eastAsia="zh-CN"/>
        </w:rPr>
        <w:t>四</w:t>
      </w:r>
      <w:r>
        <w:rPr>
          <w:rFonts w:hint="eastAsia" w:ascii="宋体" w:cs="宋体"/>
          <w:b/>
          <w:sz w:val="24"/>
        </w:rPr>
        <w:t>、其他</w:t>
      </w:r>
    </w:p>
    <w:p>
      <w:pPr>
        <w:adjustRightInd w:val="0"/>
        <w:snapToGrid w:val="0"/>
        <w:spacing w:line="360" w:lineRule="auto"/>
        <w:ind w:firstLine="480" w:firstLineChars="200"/>
        <w:rPr>
          <w:rFonts w:ascii="宋体" w:cs="宋体"/>
          <w:sz w:val="24"/>
        </w:rPr>
      </w:pPr>
      <w:r>
        <w:rPr>
          <w:rFonts w:hint="eastAsia" w:ascii="宋体" w:cs="宋体"/>
          <w:sz w:val="24"/>
        </w:rPr>
        <w:t>其它未尽事宜由买卖双方协商约定。另定补充协议，补充协议与本协议具有同等法律效力。</w:t>
      </w:r>
    </w:p>
    <w:p>
      <w:pPr>
        <w:widowControl/>
        <w:spacing w:line="360" w:lineRule="auto"/>
        <w:jc w:val="left"/>
        <w:rPr>
          <w:rFonts w:ascii="宋体" w:cs="宋体"/>
          <w:b/>
          <w:color w:val="333333"/>
          <w:kern w:val="0"/>
          <w:sz w:val="24"/>
        </w:rPr>
      </w:pPr>
    </w:p>
    <w:p>
      <w:pPr>
        <w:widowControl/>
        <w:spacing w:line="360" w:lineRule="auto"/>
        <w:jc w:val="left"/>
        <w:rPr>
          <w:rFonts w:ascii="宋体" w:cs="宋体"/>
          <w:b/>
          <w:color w:val="333333"/>
          <w:kern w:val="0"/>
          <w:sz w:val="24"/>
        </w:rPr>
      </w:pPr>
    </w:p>
    <w:p>
      <w:pPr>
        <w:pStyle w:val="6"/>
        <w:rPr>
          <w:rFonts w:ascii="宋体" w:cs="宋体"/>
          <w:b/>
          <w:color w:val="333333"/>
          <w:kern w:val="0"/>
          <w:sz w:val="24"/>
        </w:rPr>
      </w:pPr>
    </w:p>
    <w:p>
      <w:pPr>
        <w:rPr>
          <w:rFonts w:ascii="宋体" w:cs="宋体"/>
          <w:b/>
          <w:color w:val="333333"/>
          <w:kern w:val="0"/>
          <w:sz w:val="24"/>
        </w:rPr>
      </w:pPr>
    </w:p>
    <w:p>
      <w:pPr>
        <w:pStyle w:val="6"/>
      </w:pPr>
    </w:p>
    <w:p>
      <w:pPr>
        <w:pStyle w:val="6"/>
      </w:pPr>
    </w:p>
    <w:p>
      <w:pPr>
        <w:widowControl/>
        <w:spacing w:line="360" w:lineRule="auto"/>
        <w:jc w:val="left"/>
        <w:rPr>
          <w:rFonts w:ascii="宋体" w:cs="宋体"/>
          <w:b/>
          <w:color w:val="333333"/>
          <w:kern w:val="0"/>
          <w:sz w:val="24"/>
        </w:rPr>
      </w:pPr>
      <w:r>
        <w:rPr>
          <w:rFonts w:hint="eastAsia" w:ascii="宋体" w:cs="宋体"/>
          <w:b/>
          <w:color w:val="333333"/>
          <w:kern w:val="0"/>
          <w:sz w:val="24"/>
        </w:rPr>
        <w:t>甲方采购方：（盖章）              乙方供货服务方：（盖章）</w:t>
      </w:r>
    </w:p>
    <w:p>
      <w:pPr>
        <w:widowControl/>
        <w:spacing w:line="360" w:lineRule="auto"/>
        <w:jc w:val="left"/>
        <w:rPr>
          <w:rFonts w:ascii="宋体" w:cs="宋体"/>
          <w:color w:val="333333"/>
          <w:kern w:val="0"/>
          <w:sz w:val="24"/>
        </w:rPr>
      </w:pPr>
      <w:r>
        <w:rPr>
          <w:rFonts w:hint="eastAsia" w:ascii="宋体" w:cs="宋体"/>
          <w:color w:val="333333"/>
          <w:kern w:val="0"/>
          <w:sz w:val="24"/>
        </w:rPr>
        <w:t>法人代表：                        法人代表：</w:t>
      </w:r>
    </w:p>
    <w:p>
      <w:pPr>
        <w:widowControl/>
        <w:spacing w:line="360" w:lineRule="auto"/>
        <w:jc w:val="left"/>
        <w:rPr>
          <w:rFonts w:ascii="宋体" w:cs="宋体"/>
          <w:color w:val="333333"/>
          <w:sz w:val="24"/>
        </w:rPr>
      </w:pPr>
      <w:r>
        <w:rPr>
          <w:rFonts w:hint="eastAsia" w:ascii="宋体" w:cs="宋体"/>
          <w:color w:val="333333"/>
          <w:kern w:val="0"/>
          <w:sz w:val="24"/>
        </w:rPr>
        <w:t>委托人：                          委托人：</w:t>
      </w:r>
    </w:p>
    <w:p>
      <w:pPr>
        <w:widowControl/>
        <w:spacing w:line="360" w:lineRule="auto"/>
        <w:jc w:val="left"/>
        <w:rPr>
          <w:rFonts w:ascii="仿宋" w:eastAsia="仿宋"/>
          <w:sz w:val="30"/>
          <w:szCs w:val="30"/>
        </w:rPr>
      </w:pPr>
      <w:r>
        <w:rPr>
          <w:rFonts w:hint="eastAsia" w:ascii="宋体" w:cs="宋体"/>
          <w:color w:val="333333"/>
          <w:kern w:val="0"/>
          <w:sz w:val="24"/>
        </w:rPr>
        <w:t>日 期：                           日期：</w:t>
      </w:r>
    </w:p>
    <w:p>
      <w:pPr>
        <w:spacing w:line="360" w:lineRule="auto"/>
        <w:rPr>
          <w:rFonts w:ascii="宋体" w:cs="宋体"/>
          <w:szCs w:val="21"/>
        </w:rPr>
      </w:pPr>
    </w:p>
    <w:p>
      <w:pPr>
        <w:spacing w:line="360" w:lineRule="auto"/>
        <w:rPr>
          <w:rFonts w:ascii="宋体" w:cs="宋体"/>
          <w:szCs w:val="21"/>
        </w:rPr>
      </w:pPr>
    </w:p>
    <w:p>
      <w:pPr>
        <w:rPr>
          <w:rFonts w:ascii="黑体" w:eastAsia="黑体" w:cs="黑体"/>
          <w:sz w:val="24"/>
        </w:rPr>
      </w:pPr>
      <w:r>
        <w:rPr>
          <w:rFonts w:hint="eastAsia" w:ascii="黑体" w:eastAsia="黑体" w:cs="黑体"/>
          <w:sz w:val="24"/>
        </w:rPr>
        <w:br w:type="page"/>
      </w:r>
    </w:p>
    <w:p>
      <w:pPr>
        <w:pStyle w:val="5"/>
        <w:jc w:val="center"/>
        <w:rPr>
          <w:rFonts w:ascii="黑体" w:eastAsia="黑体" w:cs="黑体"/>
          <w:sz w:val="24"/>
        </w:rPr>
      </w:pPr>
      <w:bookmarkStart w:id="30" w:name="_Toc14451"/>
      <w:r>
        <w:rPr>
          <w:rFonts w:hint="eastAsia" w:ascii="黑体" w:eastAsia="黑体" w:cs="黑体"/>
          <w:color w:val="000000"/>
          <w:sz w:val="24"/>
        </w:rPr>
        <w:t>第五章</w:t>
      </w:r>
      <w:r>
        <w:rPr>
          <w:rFonts w:hint="eastAsia" w:ascii="黑体" w:eastAsia="黑体" w:cs="黑体"/>
          <w:sz w:val="24"/>
        </w:rPr>
        <w:t xml:space="preserve">  技术标准和要求</w:t>
      </w:r>
      <w:bookmarkEnd w:id="30"/>
    </w:p>
    <w:p>
      <w:pPr>
        <w:numPr>
          <w:ilvl w:val="0"/>
          <w:numId w:val="3"/>
        </w:numPr>
        <w:rPr>
          <w:rFonts w:hint="eastAsia" w:eastAsia="宋体"/>
          <w:lang w:val="en-US" w:eastAsia="zh-CN"/>
        </w:rPr>
      </w:pPr>
      <w:r>
        <w:rPr>
          <w:rFonts w:hint="eastAsia"/>
        </w:rPr>
        <w:t>投标人所投产品须符合或优于《技术标准和要求》；</w:t>
      </w:r>
    </w:p>
    <w:p>
      <w:pPr>
        <w:numPr>
          <w:ilvl w:val="0"/>
          <w:numId w:val="3"/>
        </w:numPr>
        <w:ind w:left="0" w:leftChars="0" w:firstLine="0" w:firstLineChars="0"/>
        <w:rPr>
          <w:rFonts w:hint="eastAsia"/>
        </w:rPr>
      </w:pPr>
      <w:r>
        <w:rPr>
          <w:rFonts w:hint="eastAsia" w:ascii="宋体" w:cs="宋体"/>
          <w:kern w:val="0"/>
          <w:szCs w:val="21"/>
        </w:rPr>
        <w:t>《采购供应合同》</w:t>
      </w:r>
      <w:r>
        <w:rPr>
          <w:rFonts w:hint="eastAsia"/>
        </w:rPr>
        <w:t>不得超过本项目的预算总额；</w:t>
      </w:r>
    </w:p>
    <w:p>
      <w:pPr>
        <w:numPr>
          <w:ilvl w:val="0"/>
          <w:numId w:val="0"/>
        </w:numPr>
        <w:ind w:leftChars="0"/>
        <w:rPr>
          <w:rFonts w:hint="eastAsia" w:ascii="宋体" w:hAnsi="Calibri" w:eastAsia="宋体" w:cs="宋体"/>
          <w:b w:val="0"/>
          <w:kern w:val="0"/>
          <w:sz w:val="21"/>
          <w:szCs w:val="21"/>
          <w:lang w:val="en-US" w:eastAsia="zh-CN" w:bidi="ar-SA"/>
        </w:rPr>
      </w:pPr>
      <w:r>
        <w:rPr>
          <w:rFonts w:hint="eastAsia" w:ascii="宋体" w:cs="宋体"/>
          <w:b w:val="0"/>
          <w:kern w:val="0"/>
          <w:sz w:val="21"/>
          <w:szCs w:val="21"/>
          <w:lang w:val="en-US" w:eastAsia="zh-CN" w:bidi="ar-SA"/>
        </w:rPr>
        <w:t>3</w:t>
      </w:r>
      <w:r>
        <w:rPr>
          <w:rFonts w:hint="eastAsia" w:ascii="宋体" w:hAnsi="Calibri" w:eastAsia="宋体" w:cs="宋体"/>
          <w:b w:val="0"/>
          <w:kern w:val="0"/>
          <w:sz w:val="21"/>
          <w:szCs w:val="21"/>
          <w:lang w:val="en-US" w:eastAsia="zh-CN" w:bidi="ar-SA"/>
        </w:rPr>
        <w:t>.</w:t>
      </w:r>
      <w:r>
        <w:rPr>
          <w:rFonts w:hint="eastAsia"/>
          <w:lang w:val="en-US" w:eastAsia="zh-CN"/>
        </w:rPr>
        <w:t>中标人需要根据单位实际现场需求进一步优化调整，最终结算以实际发生额为准，但不超过中标金额。</w:t>
      </w:r>
    </w:p>
    <w:p>
      <w:pPr>
        <w:numPr>
          <w:ilvl w:val="0"/>
          <w:numId w:val="0"/>
        </w:numPr>
        <w:ind w:leftChars="0"/>
        <w:rPr>
          <w:rFonts w:hint="eastAsia"/>
          <w:lang w:val="en-US" w:eastAsia="zh-CN"/>
        </w:rPr>
      </w:pPr>
      <w:r>
        <w:rPr>
          <w:rFonts w:hint="eastAsia"/>
          <w:lang w:val="en-US" w:eastAsia="zh-CN"/>
        </w:rPr>
        <w:t>4.核心产品：/</w:t>
      </w:r>
    </w:p>
    <w:p>
      <w:pPr>
        <w:spacing w:line="360" w:lineRule="auto"/>
        <w:rPr>
          <w:rFonts w:ascii="宋体" w:cs="宋体"/>
          <w:sz w:val="24"/>
        </w:rPr>
      </w:pPr>
    </w:p>
    <w:p>
      <w:pPr>
        <w:rPr>
          <w:rFonts w:hint="eastAsia" w:ascii="黑体" w:eastAsia="黑体" w:cs="黑体"/>
          <w:sz w:val="24"/>
        </w:rPr>
        <w:sectPr>
          <w:footerReference r:id="rId5" w:type="default"/>
          <w:pgSz w:w="11906" w:h="16838"/>
          <w:pgMar w:top="1701" w:right="1417" w:bottom="1701" w:left="1701" w:header="851" w:footer="992" w:gutter="0"/>
          <w:pgNumType w:fmt="numberInDash" w:start="1"/>
          <w:cols w:space="720" w:num="1"/>
          <w:docGrid w:type="lines" w:linePitch="312" w:charSpace="0"/>
        </w:sectPr>
      </w:pPr>
    </w:p>
    <w:p>
      <w:pPr>
        <w:bidi w:val="0"/>
        <w:rPr>
          <w:rFonts w:hint="eastAsia"/>
          <w:lang w:val="en-US" w:eastAsia="zh-CN"/>
        </w:rPr>
      </w:pPr>
    </w:p>
    <w:tbl>
      <w:tblPr>
        <w:tblStyle w:val="23"/>
        <w:tblW w:w="1451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1"/>
        <w:gridCol w:w="1111"/>
        <w:gridCol w:w="10524"/>
        <w:gridCol w:w="960"/>
        <w:gridCol w:w="9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15"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设备名称</w:t>
            </w:r>
          </w:p>
        </w:tc>
        <w:tc>
          <w:tcPr>
            <w:tcW w:w="10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型号|规格</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单位</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10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1．★非OEM产品，自主研发，国产品牌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2．★配置≥2颗国产X86处理器，每颗CPU核心数≥16核，每颗CPU主频≥2.</w:t>
            </w:r>
            <w:r>
              <w:rPr>
                <w:rFonts w:hint="default"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GHz，每颗CPU三级缓存≥</w:t>
            </w:r>
            <w:r>
              <w:rPr>
                <w:rFonts w:hint="default" w:ascii="宋体" w:hAnsi="宋体" w:cs="宋体"/>
                <w:i w:val="0"/>
                <w:iCs w:val="0"/>
                <w:color w:val="000000"/>
                <w:kern w:val="0"/>
                <w:sz w:val="22"/>
                <w:szCs w:val="22"/>
                <w:u w:val="none"/>
                <w:lang w:val="en-US" w:eastAsia="zh-CN" w:bidi="ar"/>
              </w:rPr>
              <w:t>16</w:t>
            </w:r>
            <w:r>
              <w:rPr>
                <w:rFonts w:hint="eastAsia" w:ascii="宋体" w:hAnsi="宋体" w:eastAsia="宋体" w:cs="宋体"/>
                <w:i w:val="0"/>
                <w:iCs w:val="0"/>
                <w:color w:val="000000"/>
                <w:kern w:val="0"/>
                <w:sz w:val="22"/>
                <w:szCs w:val="22"/>
                <w:u w:val="none"/>
                <w:lang w:val="en-US" w:eastAsia="zh-CN" w:bidi="ar"/>
              </w:rPr>
              <w:t>MB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3．支持超线程、睿频等技术。芯片内置安全Boot ROM，支持国密算法进行加密、层次化逐级认证，以保障系统安全启动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4．配置≥256GB DDR4  3200MHz RDIMM/LRDIMM内存，支持≥16个内存插槽，最大可支持2TB内存容量，支持ECC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5．板载双口千兆网络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6．支持PCIe标准网卡，支持1G/10G/25G/40G/100G/200G双口、四口等多种规格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7．★配置PCIe标准网卡，支持10G光纤网络（含模块）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8．支持OCP 3.0网卡，支持NCSI、网络唤醒，网络冗余，负载均衡等网络高级特性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9．最大支持6个PCIe 4.0插槽（2个内置专用插槽），不使用线缆和扩展卡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10．★支持≥12个前置热插拔3.5硬盘，可支持2*后置SAS/SATA/SSD硬盘;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11．板载支持≥1个NVMe U.2 SSD，最大支持5个NVMe U.2 SSD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12．板载可支持1个内置M.2 SSD，兼容PCIe和SATA接口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13．配置480G 2.5 SATA 6Gb R SSD硬盘≥2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14．配置2T 3.5吋 7.2K SAS 12Gb硬盘≥2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15．★配置4GB Cache RAID控制器，支持RAID 0/1/5/10/50/60，支持电容掉电保护，RAID状态迁移、RAID配置记忆等功能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16．配置≥3个热插拔高速系统风扇模组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17．配置≥2个550W标准电源，支持1+1冗余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18．2个VGA接口，1个位于机箱后部，1个位于机箱前部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19．4个USB 接口，2个位于机箱后部、2个位于机箱前部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20．1 个RJ-45 管理接口位于机箱后部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21．可选1个COM口位于机箱后部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22．支持开箱报警，提高远程监管能力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23．支持TPCM模块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strike w:val="0"/>
                <w:dstrike w:val="0"/>
                <w:color w:val="auto"/>
                <w:kern w:val="0"/>
                <w:sz w:val="22"/>
                <w:szCs w:val="22"/>
                <w:u w:val="none"/>
                <w:lang w:val="en-US" w:eastAsia="zh-CN" w:bidi="ar"/>
              </w:rPr>
              <w:t>24．★通过3C认证、节能认证和环境标志产品认证提供证书复印件并加盖厂家公章；</w:t>
            </w:r>
            <w:r>
              <w:rPr>
                <w:rFonts w:hint="eastAsia" w:ascii="宋体" w:hAnsi="宋体" w:eastAsia="宋体" w:cs="宋体"/>
                <w:i w:val="0"/>
                <w:iCs w:val="0"/>
                <w:strike w:val="0"/>
                <w:dstrike w:val="0"/>
                <w:color w:val="auto"/>
                <w:kern w:val="0"/>
                <w:sz w:val="22"/>
                <w:szCs w:val="22"/>
                <w:u w:val="none"/>
                <w:lang w:val="en-US" w:eastAsia="zh-CN" w:bidi="ar"/>
              </w:rPr>
              <w:br w:type="textWrapping"/>
            </w:r>
            <w:r>
              <w:rPr>
                <w:rFonts w:hint="eastAsia" w:ascii="宋体" w:hAnsi="宋体" w:eastAsia="宋体" w:cs="宋体"/>
                <w:i w:val="0"/>
                <w:iCs w:val="0"/>
                <w:strike w:val="0"/>
                <w:dstrike w:val="0"/>
                <w:color w:val="auto"/>
                <w:kern w:val="0"/>
                <w:sz w:val="22"/>
                <w:szCs w:val="22"/>
                <w:u w:val="none"/>
                <w:lang w:val="en-US" w:eastAsia="zh-CN" w:bidi="ar"/>
              </w:rPr>
              <w:t>25．★提供原厂安装及调试服务，需原厂商开具“招标产品工程安装及设备调试服务为原厂商提供”的承诺函并加盖原厂商公章；提供不少于3年原厂商技术支持，提供正式承诺函</w:t>
            </w:r>
            <w:r>
              <w:rPr>
                <w:rFonts w:hint="eastAsia" w:ascii="宋体" w:hAnsi="宋体" w:eastAsia="宋体" w:cs="宋体"/>
                <w:i w:val="0"/>
                <w:iCs w:val="0"/>
                <w:strike w:val="0"/>
                <w:dstrike w:val="0"/>
                <w:color w:val="auto"/>
                <w:kern w:val="0"/>
                <w:sz w:val="22"/>
                <w:szCs w:val="22"/>
                <w:u w:val="none"/>
                <w:lang w:val="en-US" w:eastAsia="zh-CN" w:bidi="ar"/>
              </w:rPr>
              <w:br w:type="textWrapping"/>
            </w:r>
            <w:r>
              <w:rPr>
                <w:rFonts w:hint="eastAsia" w:ascii="宋体" w:hAnsi="宋体" w:eastAsia="宋体" w:cs="宋体"/>
                <w:i w:val="0"/>
                <w:iCs w:val="0"/>
                <w:strike w:val="0"/>
                <w:dstrike w:val="0"/>
                <w:color w:val="auto"/>
                <w:kern w:val="0"/>
                <w:sz w:val="22"/>
                <w:szCs w:val="22"/>
                <w:u w:val="none"/>
                <w:lang w:val="en-US" w:eastAsia="zh-CN" w:bidi="ar"/>
              </w:rPr>
              <w:t>26．★要求符合现有服务器应用系统的迁移要求，提供现场勘验证明</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6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存储</w:t>
            </w:r>
          </w:p>
        </w:tc>
        <w:tc>
          <w:tcPr>
            <w:tcW w:w="10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1．★国产知名品牌；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2．★存储系统支持IP SAN、FC SAN、NAS等组网方式，本次提供iSCSI、FC、NFS、CIFS、HTTP、FTP等多种协议许可；NAS功能应为非网关实现方式；硬件采用全模块架构冗余设计，无单一故障点，冗余电源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3．多控制器架构，最大支持8个控制器，控制器之间支持缓存镜像；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4．★本次配置≥2个存储控制器，且单机箱两控制器间采用PCI-E互联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5．★双控制器缓存规格：本次配置128GB(缓存不包含SSD磁盘、高速Flash及NAS控制器缓存）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6．★配置SSD缓存加速功能，要求同时支持读写性能加速，降低应用延迟。不接受通过存储分层方式实现，提供SSD缓存读写加速功能管理界面截图。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7．配置 BBU + Flash 永久电池保护模组，不存在断电时间限制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8．★配置8个1GbE接口，8个16Gb FC接口；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9．配置2*12Gb SAS 3.0 4X后端磁盘接口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10．★16G LC SFP+光纤模块≥</w:t>
            </w:r>
            <w:r>
              <w:rPr>
                <w:rFonts w:hint="default"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11．支持3.5寸7.2K NL-SAS，2.5寸10K SAS，SSD等多种类型磁盘。支持三种磁盘在同一磁盘柜中混插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12．双控最大可扩展到≥200 块硬盘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13．★配置1.8TB 2.5吋10K 12Gb SAS硬盘≥2块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14．★配置4TB 3.5吋7.2K 12Gb SAS硬盘≥5块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15．★支持RAID 0/1/5/6/10/50/60等RAID级别，提供存储管理界面截图证明材料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16．单LUN支持最大容量≥1PB，提供存储管理界面截图证明材料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配置SAN、NAS快照功能：单卷支持快照数≥512个；支持系统定时自动创建快照，且定时快照策略可通过存储自身管理软件配置，定时快照最小时间间隔≤5分钟。（以上功能点均需提供存储管理界面截图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18．配置SAN、NAS克隆功能，要求瞬时完成，并对克隆的数据可以进行读写更改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支持数据预迁移功能，即将预故障硬盘的数据迁移至热备盘。通过介质巡检功能，自动检测逻辑磁盘中的物理硬盘状况，根据检测结果和硬盘的Smart信息进一步判断硬盘故障和硬盘潜在故障，并且能够自动启动数据预迁移程序，将即将故障盘的数据迁移到热备盘，提供存储管理界面截图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20．配置自动精简功能，实现存储设备的容量按需动态扩展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21．★支持人大金仓、南大通用、达梦等国产数据库，并提供厂商互认证证书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配置基于浏览器的独立监控和管理工具，全面监控系统的健康状况、性能状况和空间使用状况，同时可用于部署和配置设备，提供存储管理界面截图证明材料.支持智能日志导出功能，即通过USB端口自动将日志导出到U盘，且导出的日志内容需与存储界面的日志内容一致，提供书面证明材料，系统具有完全在线、无需停机的微码升级以及容量扩充能力，支持GUI升级，提供存储管理界面截图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23．★系统具有完全在线、无需停机的微码升级以及容量扩充能力，支持GUI升级，提供存储管理界面截图证明材料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24．★支持MAID2.0磁盘节能技术，当磁盘不用的时候，支持磁盘降速和停转，节省功耗，提供存储管理界面截图证明材料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25．★要求厂商通过ISO9001认证，ISO14001认证，ISO45001认证，ISO27001，ISO20000（以上证书提供复印件并加盖厂家投标专用章）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26．★产品原厂商具有3A信用等级证书，提供证明材料并加盖原厂公章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27．★产品通过CCC认证、节能认证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28．★提供原厂安装及调试服务，需原厂商开具“招标产品工程安装及设备调试服务为原厂商提供”的承诺函并加盖原厂商公章；提供不少于3年原厂商技术支持，提供正式承诺函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29．★要求符合现有应用系统存储数据的迁移要求，提供现场勘验证明</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11"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kvm切换器</w:t>
            </w:r>
          </w:p>
        </w:tc>
        <w:tc>
          <w:tcPr>
            <w:tcW w:w="10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17寸KVM整合LCD屏、超薄键盘、Touch Pad触摸鼠标板，集成在1U高度控制16台服务器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产品特性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整合16口KVM控制端与17寸液晶屏于1U高度的结构内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支持混合界面( PS/2 &amp; USB)方便连接计算机端口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支持一个的远程控端,(选配远程IP卡)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支持MS windows, Netware, Unix, Linux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支持iMAC, Power MAC以及带有USB连接的Sun Micro系统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无需软件，通过OSD菜单，按钮和热键进行计算机选择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键盘带触摸滑鼠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 提供多种热键(Scroll-Lock/ Cap-Lock/ Num-Lock/L-Alt/L-Ctrl/L-Win/R-Ctrl/R-Win)用于切换计算机端口和呼出OSD菜单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支持热插拨–无须关闭LCD控制台就可移除计算机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 支持菊链式串联(8层) &amp;堆叠式级联(2层)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 支持自动扫描间隔时间5-99秒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产品结构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整合17寸LCD液晶显示屏与KVM控制端于单一抽拉式机身内，仅占1U机架空间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LCD屏幕可展开112度，提供最舒适操作及浏览角度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更佳手感超薄键盘，支持独立数字小键盘 可外接一套显示器 键鼠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设备管理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不需要安装软件，可直接对计算机进行操作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支持外接USB和PS/2接口的键盘、鼠标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支持热插拔，不需KVM关闭电源即可随时增加或移除服务器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双控制端，可同步检视与管控服务器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自动扫描功能，可监控使用者所选择的服务器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跨平台支持，支持Windows、Linux和Sun等主流操作系统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高品质显示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LCD背光液晶显示器节省能源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DDC仿真，计算机的显示设置会自动调整为液晶屏幕显示的最佳效果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高分辨率显示，最高达1280×1024@75Hz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满足DDC/DDC2/DDC2B标准，符合VESA标准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04"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10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1．★20千兆+8千兆Combo+8万兆光（SFP+）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2．1个RJ45管理口，1个RJ45Console口，1个USB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3．交换容量</w:t>
            </w:r>
            <w:r>
              <w:rPr>
                <w:rFonts w:hint="default" w:ascii="宋体" w:hAnsi="宋体" w:eastAsia="宋体" w:cs="宋体"/>
                <w:i w:val="0"/>
                <w:iCs w:val="0"/>
                <w:color w:val="000000"/>
                <w:kern w:val="0"/>
                <w:sz w:val="22"/>
                <w:szCs w:val="22"/>
                <w:u w:val="none"/>
                <w:lang w:val="en-US" w:eastAsia="zh-CN" w:bidi="ar"/>
              </w:rPr>
              <w:t>780</w:t>
            </w:r>
            <w:r>
              <w:rPr>
                <w:rFonts w:hint="eastAsia" w:ascii="宋体" w:hAnsi="宋体" w:eastAsia="宋体" w:cs="宋体"/>
                <w:i w:val="0"/>
                <w:iCs w:val="0"/>
                <w:color w:val="000000"/>
                <w:kern w:val="0"/>
                <w:sz w:val="22"/>
                <w:szCs w:val="22"/>
                <w:u w:val="none"/>
                <w:lang w:val="en-US" w:eastAsia="zh-CN" w:bidi="ar"/>
              </w:rPr>
              <w:t>Gbps/</w:t>
            </w:r>
            <w:r>
              <w:rPr>
                <w:rFonts w:hint="default" w:ascii="宋体" w:hAnsi="宋体" w:eastAsia="宋体" w:cs="宋体"/>
                <w:i w:val="0"/>
                <w:iCs w:val="0"/>
                <w:color w:val="000000"/>
                <w:kern w:val="0"/>
                <w:sz w:val="22"/>
                <w:szCs w:val="22"/>
                <w:u w:val="none"/>
                <w:lang w:val="en-US" w:eastAsia="zh-CN" w:bidi="ar"/>
              </w:rPr>
              <w:t>68</w:t>
            </w:r>
            <w:r>
              <w:rPr>
                <w:rFonts w:hint="eastAsia" w:ascii="宋体" w:hAnsi="宋体" w:eastAsia="宋体" w:cs="宋体"/>
                <w:i w:val="0"/>
                <w:iCs w:val="0"/>
                <w:color w:val="000000"/>
                <w:kern w:val="0"/>
                <w:sz w:val="22"/>
                <w:szCs w:val="22"/>
                <w:u w:val="none"/>
                <w:lang w:val="en-US" w:eastAsia="zh-CN" w:bidi="ar"/>
              </w:rPr>
              <w:t>2Tbps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4．包转发率</w:t>
            </w:r>
            <w:r>
              <w:rPr>
                <w:rFonts w:hint="default" w:ascii="宋体" w:hAnsi="宋体" w:eastAsia="宋体" w:cs="宋体"/>
                <w:i w:val="0"/>
                <w:iCs w:val="0"/>
                <w:color w:val="000000"/>
                <w:kern w:val="0"/>
                <w:sz w:val="22"/>
                <w:szCs w:val="22"/>
                <w:u w:val="none"/>
                <w:lang w:val="en-US" w:eastAsia="zh-CN" w:bidi="ar"/>
              </w:rPr>
              <w:t>350</w:t>
            </w:r>
            <w:r>
              <w:rPr>
                <w:rFonts w:hint="eastAsia" w:ascii="宋体" w:hAnsi="宋体" w:eastAsia="宋体" w:cs="宋体"/>
                <w:i w:val="0"/>
                <w:iCs w:val="0"/>
                <w:color w:val="000000"/>
                <w:kern w:val="0"/>
                <w:sz w:val="22"/>
                <w:szCs w:val="22"/>
                <w:u w:val="none"/>
                <w:lang w:val="en-US" w:eastAsia="zh-CN" w:bidi="ar"/>
              </w:rPr>
              <w:t>Mpps/</w:t>
            </w:r>
            <w:r>
              <w:rPr>
                <w:rFonts w:hint="default" w:ascii="宋体" w:hAnsi="宋体" w:eastAsia="宋体" w:cs="宋体"/>
                <w:i w:val="0"/>
                <w:iCs w:val="0"/>
                <w:color w:val="000000"/>
                <w:kern w:val="0"/>
                <w:sz w:val="22"/>
                <w:szCs w:val="22"/>
                <w:u w:val="none"/>
                <w:lang w:val="en-US" w:eastAsia="zh-CN" w:bidi="ar"/>
              </w:rPr>
              <w:t>56</w:t>
            </w:r>
            <w:r>
              <w:rPr>
                <w:rFonts w:hint="eastAsia" w:ascii="宋体" w:hAnsi="宋体" w:eastAsia="宋体" w:cs="宋体"/>
                <w:i w:val="0"/>
                <w:iCs w:val="0"/>
                <w:color w:val="000000"/>
                <w:kern w:val="0"/>
                <w:sz w:val="22"/>
                <w:szCs w:val="22"/>
                <w:u w:val="none"/>
                <w:lang w:val="en-US" w:eastAsia="zh-CN" w:bidi="ar"/>
              </w:rPr>
              <w:t>40Mpps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5．★8端囗干兆光接口模块（SFP）、8端囗干兆电接口模块、8端口万兆光接口模块（SFP+、2端口40G光接口模块（QSFP+）、2端口40G（QSFP+）+2端口100G（QSFP28）接口模块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6．★标配≥</w:t>
            </w:r>
            <w:r>
              <w:rPr>
                <w:rFonts w:hint="default" w:ascii="宋体" w:hAnsi="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个</w:t>
            </w:r>
            <w:r>
              <w:rPr>
                <w:rFonts w:hint="eastAsia" w:ascii="宋体" w:hAnsi="宋体" w:eastAsia="宋体" w:cs="宋体"/>
                <w:i w:val="0"/>
                <w:iCs w:val="0"/>
                <w:color w:val="000000"/>
                <w:kern w:val="0"/>
                <w:sz w:val="22"/>
                <w:szCs w:val="22"/>
                <w:u w:val="none"/>
                <w:lang w:val="en-US" w:eastAsia="zh-CN" w:bidi="ar"/>
              </w:rPr>
              <w:t>10Gb SFP+ 光模块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7．支持VXLAN二层交换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8．支持VXLAN路由交换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9．支持VXLAN网关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10．支持EVPN分布式网关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11．支持OpenFlow+Netconf 的VxLAN集中控制平面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12．支持MPLS L3VPN、MPLS L2VPN、MPLS-TE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13．支持128KMAC表项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14．支持静态MAC、动态MAC、黑洞MAC、源MAC地址过滤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15．支持4K VLAN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16．支持基于MAC/IP子网/认证策略/端口/协议的VLAN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17．支持Voice VLAN、Guest VLAN、PVLAN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18．支持QinQ、灵活QinQ、VLAN MAPPING、GVRP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19．支持端口聚合、端口镜像、端口隔离、端口流量识别、RSPAN、未知单播抑制、多播风暴抑制、广播风暴抑制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20．支持STP、RSTP、MSTP、FRRP、FLRP、ERPS 以太环保护协议（G.8032）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21．支持DHCP Client、DHCP Relay、DHCP Server、DHCP Snooping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22．支持VSM虚拟化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23．支持静态路由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24．支持等价路由、策略路由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25．支持RIPv1/v2、OSPFv2、IS-IS、BGP4、VRRP、BFD支持ND（Neighbor Discovery）</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26．支持PMTU支持IPv6-Ping，IPv6-Tracert，IPv6-Telnet，IPV6-TFTP支持手动配置Tunnel支持策略路由、静态路由、等价路由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27．支持RIPng、IS-IS V6、OSPFv3、BGP4+for IPv6、VRRPv：支持IGMP Snooping vl/v2/v3、MLD V1/v2、MLD Snoop支持GMRPV1/v2/v3、IGMP Proxy支持PIM-SM、PIM-SSM、PIM-DM支持基于VLAN、MAC地址、IP地址、TCP/UDP端口号等支持每端口8个优先级队列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28．支持802.1p/DSCP/TOS流量分类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29．支持端口限速和流限速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30．支持SP、WRR、SP+WRR队列调度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31．支持MAC认证，支持本地和集中认证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32．支持802.1x认证，支持本地和集中认证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33．支持Portal 认证，支持本地和集中认证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34．支持动态ARP检测、ARP一键绑定、授权ARP、ARP源抑制支持CPU负载保护，增强设备防攻击能力，保障网络稳定运支持端口隔离、端口安全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35．支持广播风暴抑制支持SSH2.0支持RMON支持OAM支持NTP支持电源、风扇、CPU实时温度检测和告警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36．支持ULDP（Unidirectional Link Detection Protocol）单向支持SNMP、CLI、Web网管和UMC统一管理中心支持系统日志、操作日志、调试信息等本地和远程输出支持接口和静态路由配置描述功能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37．支持命令行方式切换二层/三层接口工作模式（任意接口）</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38"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10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1．★48千兆RJ45+4干兆SFP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2．交换容量432Gbps/4.32T 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3．转发率132/166Mpps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4．支持静态、动态、黑洞MAC表项（单端口MAC地址用户数24K）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5．支持MAC地址过滤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6．★支持4K 802.1Q VLAN支持基于MAC/IP子网/认证策略/端口的VLAN支持GVRP支持QinQ支持端口聚合、端口镜像、RSPAN、端口隔离、端口流量识别支持STP、RSTP、MSTP支持 DHCP Client、DHCP Server、DHCP Snooping支持静态路由、RIPv1/v2、OSPFv2/v3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7．支持ND、支持ND Snooping支持IGMP Snooping、IGMP Proxy、GMRP等支持基于VLAN、MAC地址、IP地址、TCP/UDP端口号等ACL支持每端口8个优先级队列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8．支持802.1p/DSCP/TOS流量分类支持端口限速和流限速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9．支持SP、WRR、SP+WRR队列调度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10．支持MAC认证、802.1x认证、Portal 认证等，并支持本地和集中认证支持动态ARP检测、ARP一键绑定、授权ARP、ARP源抑制、ARP源地址检查支持端口隔离、端口安全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11．支持广播风暴抑制支持SSH2.0支持实时温度检测和告警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12．支持SNMP、CLI、Web网管和UMC统一管理中心支持系统日志、操作日志、调试信息等本地和远程输出</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2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w:t>
            </w:r>
          </w:p>
        </w:tc>
        <w:tc>
          <w:tcPr>
            <w:tcW w:w="10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1.1.投标产品需采用纯在线式，15KVA,双变换UPS产品，采用铅酸蓄电池。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1.2.投标产品需采IGBT整流技术及用最新的全数字DSP控制技术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1.3.投标产品输出功率不低于0.8.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1.4.投标产品需要满足三相输入单相输出。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2.运行模式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2.1.环境条件：在下列条件下，设备应能连续正常工作，并满足性能规范要求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环境温度：工作温度：0~+40℃相对湿度：≤95%（25℃,无凝露）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2.2.海拔高度：0~1000米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3.电气参数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3.1.UPS工作与控制性能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UPS工作方式：纯在线双变换方式，IGBT整流技术。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UPS控制性能：要求采用最新的全数字DSP控制技术。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3.2.输入指标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输入电源电压： 兼容380/400/415Vac，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电压输入范围：305-520Vac满载，190-304VAC半载；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输入电源频率：46Hz ~54Hz；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输入功率因数：≥0.99；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3.3.输出指标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额定电压：兼容220/230/240Vac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额定频率：50Hz 或者60 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频率精度：±0.5%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电压波形失真度：≤3％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负载波峰因数：≥3:1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市电－电池切换时间：0ms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过载能力：102%~112% 30分钟，112%~130% 5分钟，130% 1秒钟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3.4.电磁兼容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安规：IEC/EN62040-1-1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电磁兼容:IEC/EN/AS 62040-2  2nd Ed  =CISPR22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3.5.噪声：&lt;58dB（距离设备1米处）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3.6.系统指标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效率：≥89％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防护等级：IP20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3.7.遥测监控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UPS具有USB接口，可现场通过该接口监控UPS/市电等。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配备SNMP卡槽，可以通过Internet远程进行UPS的监控</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69"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电池柜</w:t>
            </w:r>
          </w:p>
        </w:tc>
        <w:tc>
          <w:tcPr>
            <w:tcW w:w="10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1、可拆装式全开放式结构，安装检修方便，造型美观，曲线流畅，受 力均匀。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2、前后门拆装方便，后板装有开关及接线板，内配连接线，低部有接 地装置。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3、两边侧板板均采用镀锌板，左右板厚度为0.9mm；前后板厚度为0.6mm，层架为20*40方钢，层架厚：1.0mm镀锌管</w:t>
            </w:r>
            <w:r>
              <w:rPr>
                <w:rFonts w:hint="eastAsia" w:ascii="宋体" w:hAnsi="宋体" w:eastAsia="宋体" w:cs="宋体"/>
                <w:i w:val="0"/>
                <w:iCs w:val="0"/>
                <w:color w:val="000000"/>
                <w:kern w:val="0"/>
                <w:sz w:val="22"/>
                <w:szCs w:val="22"/>
                <w:u w:val="none"/>
                <w:lang w:val="en-US" w:eastAsia="zh-CN" w:bidi="ar"/>
              </w:rPr>
              <w:br w:type="textWrapping"/>
            </w:r>
            <w:r>
              <w:rPr>
                <w:rFonts w:hint="default" w:ascii="宋体" w:hAnsi="宋体"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、承载：≥</w:t>
            </w:r>
            <w:r>
              <w:rPr>
                <w:rFonts w:hint="default" w:ascii="宋体" w:hAnsi="宋体" w:eastAsia="宋体" w:cs="宋体"/>
                <w:i w:val="0"/>
                <w:iCs w:val="0"/>
                <w:color w:val="000000"/>
                <w:kern w:val="0"/>
                <w:sz w:val="22"/>
                <w:szCs w:val="22"/>
                <w:u w:val="none"/>
                <w:lang w:val="en-US" w:eastAsia="zh-CN" w:bidi="ar"/>
              </w:rPr>
              <w:t>450</w:t>
            </w:r>
            <w:r>
              <w:rPr>
                <w:rFonts w:hint="eastAsia" w:ascii="宋体" w:hAnsi="宋体" w:eastAsia="宋体" w:cs="宋体"/>
                <w:i w:val="0"/>
                <w:iCs w:val="0"/>
                <w:color w:val="000000"/>
                <w:kern w:val="0"/>
                <w:sz w:val="22"/>
                <w:szCs w:val="22"/>
                <w:u w:val="none"/>
                <w:lang w:val="en-US" w:eastAsia="zh-CN" w:bidi="ar"/>
              </w:rPr>
              <w:t>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5、配件：≥</w:t>
            </w:r>
            <w:r>
              <w:rPr>
                <w:rFonts w:hint="default" w:ascii="宋体" w:hAnsi="宋体"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mm²电池连接线、≥P</w:t>
            </w:r>
            <w:r>
              <w:rPr>
                <w:rFonts w:hint="default" w:ascii="宋体" w:hAnsi="宋体" w:eastAsia="宋体" w:cs="宋体"/>
                <w:i w:val="0"/>
                <w:iCs w:val="0"/>
                <w:color w:val="000000"/>
                <w:kern w:val="0"/>
                <w:sz w:val="22"/>
                <w:szCs w:val="22"/>
                <w:u w:val="none"/>
                <w:lang w:val="en-US" w:eastAsia="zh-CN" w:bidi="ar"/>
              </w:rPr>
              <w:t>32</w:t>
            </w:r>
            <w:r>
              <w:rPr>
                <w:rFonts w:hint="eastAsia" w:ascii="宋体" w:hAnsi="宋体" w:eastAsia="宋体" w:cs="宋体"/>
                <w:i w:val="0"/>
                <w:iCs w:val="0"/>
                <w:color w:val="000000"/>
                <w:kern w:val="0"/>
                <w:sz w:val="22"/>
                <w:szCs w:val="22"/>
                <w:u w:val="none"/>
                <w:lang w:val="en-US" w:eastAsia="zh-CN" w:bidi="ar"/>
              </w:rPr>
              <w:t>A空气开关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19"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蓄电池</w:t>
            </w:r>
          </w:p>
        </w:tc>
        <w:tc>
          <w:tcPr>
            <w:tcW w:w="10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1.铅酸蓄电池：12V100AH，重量：≥27.5kg。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2.工作温度：－15～+45℃；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3.相对湿度：90％（40℃±2℃）。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4.大气压力：70～106kPa（近似海拔高度0～3000m）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低温敏感性：达到额定容量值的蓄电池，经完全充电后，在25℃±5℃环境中，以I10电流放电至终止电压，蓄电池不经再充电置于－18℃±2℃的低温室（箱）中静置72h，再在室温下开路静置24h，在25℃±5℃环境中以Uflo电压（限流0.2C10）连续充电168h。蓄电池进行10h率容量试验，此时测得的容量修正值应≥0.99C10。外观应无破裂、过度膨胀及槽、盖分离现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6.再充电性能：达到额定容量值的蓄电池，经完全充电后，在25℃±2℃环境中，以I10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电流放电至终止电压，将所得的容量值修正至25℃容量Ca。 放电后蓄电池静置1h，以Uflo电压（限流0.2 C10）进行再充电24h，然后以I10电流放电至终止电压，将所得的容量值修正至25℃容量Ca24h。 计算蓄电池再充电能力因素Rbf24h=100%*Ca24h/Ca，Rbf24h应≥90%。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7.防酸雾性能：蓄电池在正常工作中应无酸雾逸出。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8.防爆性能：蓄电池在充电过程中遇有明火内部不应引爆。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9.封口剂性能：采用封口剂蓄电池，在温度-30℃～+65℃之间，封口剂不应有裂纹与溢流现象。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10.密封反应效率：蓄电池密封反应效率应不低于99%。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11.安全阀：安全阀应具有自动开启和自动关闭的功能。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12.★制造商具备以下资质：制造商营业执照、全国工业产品生产许可证、质量管理体系认证、环境管理体系认证、职业健康管理体系认证、CE认证、产品检验报告、电池回收资质、相关专利证书、CNAS证书。</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6"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精密空调</w:t>
            </w:r>
          </w:p>
        </w:tc>
        <w:tc>
          <w:tcPr>
            <w:tcW w:w="10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1.★机房空调参数：总冷量：(24℃-50%)：≥</w:t>
            </w:r>
            <w:r>
              <w:rPr>
                <w:rFonts w:hint="default" w:ascii="宋体" w:hAnsi="宋体" w:eastAsia="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kw；显冷量：(24℃-50%)：≥</w:t>
            </w:r>
            <w:r>
              <w:rPr>
                <w:rFonts w:hint="default" w:ascii="宋体" w:hAnsi="宋体" w:eastAsia="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kw；显热比：(24℃-50%)：≥0.92；风量：≥</w:t>
            </w:r>
            <w:r>
              <w:rPr>
                <w:rFonts w:hint="default" w:ascii="宋体" w:hAnsi="宋体" w:eastAsia="宋体" w:cs="宋体"/>
                <w:i w:val="0"/>
                <w:iCs w:val="0"/>
                <w:color w:val="000000"/>
                <w:kern w:val="0"/>
                <w:sz w:val="22"/>
                <w:szCs w:val="22"/>
                <w:u w:val="none"/>
                <w:lang w:val="en-US" w:eastAsia="zh-CN" w:bidi="ar"/>
              </w:rPr>
              <w:t>28</w:t>
            </w:r>
            <w:r>
              <w:rPr>
                <w:rFonts w:hint="eastAsia" w:ascii="宋体" w:hAnsi="宋体" w:eastAsia="宋体" w:cs="宋体"/>
                <w:i w:val="0"/>
                <w:iCs w:val="0"/>
                <w:color w:val="000000"/>
                <w:kern w:val="0"/>
                <w:sz w:val="22"/>
                <w:szCs w:val="22"/>
                <w:u w:val="none"/>
                <w:lang w:val="en-US" w:eastAsia="zh-CN" w:bidi="ar"/>
              </w:rPr>
              <w:t>00m3/H；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2.★压缩机：机房专用空调机组采用谷轮压缩机，以提高机组的节能性及可靠性。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3.膨胀阀：机房专用空调机组采用：热力膨胀阀具备控制精度高，调节性能好，可靠性高的特点。可满足机组全天候运行的经济性和可靠性。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4.蒸发器：机房专用空调机组须采用“/”型蒸发器,并须采用内螺纹紫铜管、亲水开窗铝箔结构，增强换热效率。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控制器、显示屏：配置五寸全中文液晶显示屏，能够显示系统运行压力等参数。同时，具备易操作的人性化界面、具备温湿度曲线查看功能、精确的微电脑控制系统、多级密码保护，防止误操作、具备运行状态图形化显示、故障自诊断功能、记录各主要部件的运行时间、具备快速除湿功能、储存200条历史告警信息、具有来电自启动及延时设定功能、参数自动保护，即使停电后也可以保存运行参数和告警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6.过滤性能：投标机组须配备可清洗式G3级过滤器。便于更换，维护。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7.★室内机组重量:≤1</w:t>
            </w:r>
            <w:r>
              <w:rPr>
                <w:rFonts w:hint="default" w:ascii="宋体" w:hAnsi="宋体" w:eastAsia="宋体" w:cs="宋体"/>
                <w:i w:val="0"/>
                <w:iCs w:val="0"/>
                <w:color w:val="000000"/>
                <w:kern w:val="0"/>
                <w:sz w:val="22"/>
                <w:szCs w:val="22"/>
                <w:u w:val="none"/>
                <w:lang w:val="en-US" w:eastAsia="zh-CN" w:bidi="ar"/>
              </w:rPr>
              <w:t>50</w:t>
            </w:r>
            <w:r>
              <w:rPr>
                <w:rFonts w:hint="eastAsia" w:ascii="宋体" w:hAnsi="宋体" w:eastAsia="宋体" w:cs="宋体"/>
                <w:i w:val="0"/>
                <w:iCs w:val="0"/>
                <w:color w:val="000000"/>
                <w:kern w:val="0"/>
                <w:sz w:val="22"/>
                <w:szCs w:val="22"/>
                <w:u w:val="none"/>
                <w:lang w:val="en-US" w:eastAsia="zh-CN" w:bidi="ar"/>
              </w:rPr>
              <w:t>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8.★室外风机：室外机风机采用金属叶片稳定性好，寿命长。室外风机调速方式为无级调速, 可根据冷凝压力自动调节,可以降低噪音4）外转子结构设计，不需要联轴器5）轴承：采用全封闭低噪音免维护 DIN625，环境温度（-40~70 度）6）所有的外转子电机都装有热力触点(TB)， 可作为电机过热的保护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送风形式：机房专用空调机组采用上送风型式，并采用独立的风机系统，风机的电机和风扇数量一致；为提高风机效率及可靠性，须采用直联后倾离心风机.拒绝接受低效率皮带传动风机，风机应能够方便的从机组正面取出进行现场维修,提高系统的可维护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10.资质要求：设备厂家制造商具备:ISO9000、ISO14001、ISO27001、ISO45001、ISO50001系列认证，精密空调节能认证证书，3C证书，具备空调设备维修安装企业资质证书</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96"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11</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气体灭火控制器</w:t>
            </w:r>
          </w:p>
        </w:tc>
        <w:tc>
          <w:tcPr>
            <w:tcW w:w="10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1、气体灭火控制器要求满足国标《火灾报警控制器》（GB4717-2005）和《消防联动控制系统》（GB16806-2006）的火灾报警控制器。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壁挂式，可实现1个防区的火灾报警和气体灭火控制，最大容量70点。可适用于各种火灾探测器、手动火灾报警按钮、紧急启/停按钮、声光警报器、气体释放警报器、手自动转换开关以及输出模块等编码设备，具有火灾探测和气体灭火控制功能，含备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3、可直接配接感烟、感温、火焰探测器、手动报警按钮、紧急启/停按钮、声光警报器、气体释放警报器、手动自动转换开关以及输出模块等，具有火灾探测和气体灭火控制功能。</w:t>
            </w:r>
          </w:p>
        </w:tc>
        <w:tc>
          <w:tcPr>
            <w:tcW w:w="960" w:type="dxa"/>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57"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12</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感烟火灾探测器</w:t>
            </w:r>
          </w:p>
        </w:tc>
        <w:tc>
          <w:tcPr>
            <w:tcW w:w="10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1、采用红外散射原理研制而成的点型光电感烟火灾探测器。本探测器结构新颖、外形美观、性能稳定可靠、抗潮湿性强，适用于宾馆、饭店、办公楼、教学楼、银行、仓库、图书馆、计算机房及配电室等场所。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2、特点：（1）地址编码可由电子编码器事先写入，也可由控制器直接更改，工程调试简便可靠。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（2）单片机实时采样处理数据、并能保存</w:t>
            </w:r>
            <w:r>
              <w:rPr>
                <w:rFonts w:hint="default"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个历史数据，曲线显示跟踪现场情况。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（3）具有温度、湿度漂移补偿，灰尘积累程度及故障探测功能。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（4）无极性二总线信号。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3、技术要求：（1）工作电压：总线24V    允许范围：16V～28V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（2）监视电流≤0.8mA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（3）报警电流≤1.8mA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（4）指示灯：报警确认灯，红色，巡检时闪烁，报警时常亮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（5）使用环境：温度：-10℃～+55℃；相对湿度≤95%，不结露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（6）编码方式：电子编码（编码范围为1～242）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（7）外壳防护等级：IP23</w:t>
            </w:r>
          </w:p>
        </w:tc>
        <w:tc>
          <w:tcPr>
            <w:tcW w:w="960"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84"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13</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感温火灾探测器</w:t>
            </w:r>
          </w:p>
        </w:tc>
        <w:tc>
          <w:tcPr>
            <w:tcW w:w="10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1、采用无极性信号二总线技术，可与本公司生产的各类火灾报警控制器的报警总线以任意方式并接，特别适用于发生火灾时有剧烈温升的场所，与感烟探测器配合使用更能可靠探测火灾，减少损失。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2、特点：（1）结构新颖、外形美观、性能稳定可靠；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（2）地址编码由电子编码器直接写入，工程调试简便可靠；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（3）探测器具有A1R和BS两种类别，可用于更广泛的温度环境，可使用编码器进行现场设置。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3、技术要求：（1）探测器类别：P（A1R和BS可设，出厂默认类别在探测器铭牌上标注）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（2）工作电压：总线24V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（3）监视电流≤0.8mA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（4）报警电流≤1.8mA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（5）报警确认灯：红色，巡检时闪烁，报警时常亮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（6）使用环境：温度： A1R类别：典型应用温度25℃；范围 -10℃～50℃，BS类别： 典型应用温度40℃；范围 -10℃～65℃，相对湿度≤95%，不结露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（7）编码方式：十进制电子编码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（8）外壳防护等级：IP33</w:t>
            </w:r>
          </w:p>
        </w:tc>
        <w:tc>
          <w:tcPr>
            <w:tcW w:w="960"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5"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14</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声光警报器</w:t>
            </w:r>
          </w:p>
        </w:tc>
        <w:tc>
          <w:tcPr>
            <w:tcW w:w="10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1、编码型警报器，可直接接入火灾报警控制器的信号二总线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2、技术要求：（1）工作电压：信号总线电压：24V，允许范围：16V～28V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（2）工作电流：总线监视电流≤0.8mA，总线启动电流≤6.0mA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（3）线制：2线制，与控制器采用无极性信号二总线连接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（4）声压级：80dB～115dB（前方3m水平处（A计权））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（5）闪光频率：1.4Hz±20％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（6）变调周期：4s（1±20％）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（7）声调：火警声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（8）使用环境：温度：-10℃～+50℃；相对湿度≤95%，不结露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（9）外壳防护等级：IP43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（10）执行标准：GB 26851-2011</w:t>
            </w:r>
          </w:p>
        </w:tc>
        <w:tc>
          <w:tcPr>
            <w:tcW w:w="960"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2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15</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气体释放警报器</w:t>
            </w:r>
          </w:p>
        </w:tc>
        <w:tc>
          <w:tcPr>
            <w:tcW w:w="10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1、要求与控制器进行通信采用数字信号，工作稳定可靠，对电磁干扰有良好的抑制能力；地址码为电子编码，可由电子编码器事先写入，也可由控制器直接改写，工程调试简便。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2、技术要求：（1）工作电压：信号总线电压：24V，允许范围：16V～28V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（2）工作电流：信号总线监视电流≤1mA，信号总线动作电流≤2mA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（3）闪光频率：1.3Hz±20%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（4）编码方式：电子编码方式，编码范围可在11～20之间任意设定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（5）线制：与气体灭火控制器采用2线连接。其中两线接总线，无极性；另外两线接电源DC24V，无极性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（6）使用环境：温度：-10℃～+50℃；相对湿度≤95%，不凝露</w:t>
            </w:r>
          </w:p>
        </w:tc>
        <w:tc>
          <w:tcPr>
            <w:tcW w:w="960"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07"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16</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紧急启/停按钮</w:t>
            </w:r>
          </w:p>
        </w:tc>
        <w:tc>
          <w:tcPr>
            <w:tcW w:w="10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1、要求为编码方式，启动和停动共占一个编码点；按钮可提供输出无源常开触点信号，可直接控制声光警报器等设备。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2、技术要求：（1）工作电压：总线24V，允许范围：16V～28V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（2）监视电流：≤0.8mA，报警电流≤10mA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（3）编码方式：电子编码方式，编码范围可在21～30之间任意设定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（4）常开输出触点：额定值DC60V、0.1A，接触电阻≤100m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（5）启动方式：击碎玻璃罩后，按下“按下喷洒”按键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（6）启动零件类型：重复使用型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（7）“按下喷洒”按键复位方式：用专用钥匙复位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（8）指示灯：“按下喷洒”按键：红色，按下时常亮 ，“停止”按键：绿色，按下时常亮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（9）线制：与气体灭火控制器采用无极性两线制连接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（10）外壳防护等级：IP33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（11）使用环境：温度：-10℃～+55℃；相对湿度≤95%，不凝露</w:t>
            </w:r>
          </w:p>
        </w:tc>
        <w:tc>
          <w:tcPr>
            <w:tcW w:w="960"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8"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17</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柜式七氟丙烷灭火装置</w:t>
            </w:r>
          </w:p>
        </w:tc>
        <w:tc>
          <w:tcPr>
            <w:tcW w:w="10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包括钢瓶、容器阀、柜体、信号反馈 装置、连接软管、单喷嘴；产品符合GB16670-2006《柜式气体灭火装置》要求</w:t>
            </w:r>
          </w:p>
        </w:tc>
        <w:tc>
          <w:tcPr>
            <w:tcW w:w="960"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2"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18</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七氟丙烷灭火剂</w:t>
            </w:r>
          </w:p>
        </w:tc>
        <w:tc>
          <w:tcPr>
            <w:tcW w:w="10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七氟丙烷灭火化学药剂</w:t>
            </w:r>
          </w:p>
        </w:tc>
        <w:tc>
          <w:tcPr>
            <w:tcW w:w="960"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6"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19</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机房环境监测</w:t>
            </w:r>
          </w:p>
        </w:tc>
        <w:tc>
          <w:tcPr>
            <w:tcW w:w="10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1、19英寸机架设计，嵌入式网络计算机 ，内置智能联动功能 ★14路光隔离遥信接口输入（0-5V TTL电平，准确度高；★2路光隔离继电器遥控输出（240VAC/1A、48VDC/2A干接点，准确度高★14路模拟信号遥测接口输入（精度：电量&lt;</w:t>
            </w:r>
            <w:r>
              <w:rPr>
                <w:rFonts w:hint="default" w:ascii="宋体" w:hAnsi="宋体"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%，非电量&lt;</w:t>
            </w:r>
            <w:r>
              <w:rPr>
                <w:rFonts w:hint="default" w:ascii="宋体" w:hAnsi="宋体" w:eastAsia="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%，直流电压&lt;</w:t>
            </w:r>
            <w:r>
              <w:rPr>
                <w:rFonts w:hint="default" w:ascii="宋体" w:hAnsi="宋体"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%）；1个100M 以太口；内置数据存储, 当网络断线时 ,确保数据不会丢失。提供开放的软件接口，便于与第三方软件无缝集成。★基于WWW浏览器，采用B/S结构★用户权限管理，安全，保密，可靠★支持紧急事件告警（当传输通道正常时，监控告警响应时间、数据响应时间、命令执行响应时间不超过5秒，故障告警准确率</w:t>
            </w:r>
            <w:r>
              <w:rPr>
                <w:rFonts w:hint="default" w:ascii="宋体" w:hAnsi="宋体" w:eastAsia="宋体" w:cs="宋体"/>
                <w:i w:val="0"/>
                <w:iCs w:val="0"/>
                <w:color w:val="000000"/>
                <w:kern w:val="0"/>
                <w:sz w:val="22"/>
                <w:szCs w:val="22"/>
                <w:u w:val="none"/>
                <w:lang w:val="en-US" w:eastAsia="zh-CN" w:bidi="ar"/>
              </w:rPr>
              <w:t>99</w:t>
            </w:r>
            <w:r>
              <w:rPr>
                <w:rFonts w:hint="eastAsia" w:ascii="宋体" w:hAnsi="宋体" w:eastAsia="宋体" w:cs="宋体"/>
                <w:i w:val="0"/>
                <w:iCs w:val="0"/>
                <w:color w:val="000000"/>
                <w:kern w:val="0"/>
                <w:sz w:val="22"/>
                <w:szCs w:val="22"/>
                <w:u w:val="none"/>
                <w:lang w:val="en-US" w:eastAsia="zh-CN" w:bidi="ar"/>
              </w:rPr>
              <w:t>%。）报警方式：本地声音，邮件，移动电话，手机短信，监控中心声音报警。网络监控模块：远程管理、配置、监控.用户只需提供GSM手机卡和220V供电。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以通过网络查看相关设备的即时状态，能够以网页查看或电子邮件报警的方式，通知相关的管理人员，支持数量在5个以上，★嵌入式Wince运行系统系统，安全、稳定，不易受病毒黑客的攻击；安装在主机内，可存储一年报警信息,★1.提供机房监控系统CE认证；★2，提供动力环境监控平台软件国家计算机软件著作权登记证书；★3.提供环境监控系统软件通过软件测试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可将采集到主机的集成数据，灵活设置各类指标报警阀值，超过设定的报警阈值实现短信报警；可以通过客户提供的邮箱或手机，通过网络，将报警信息发送邮件到客户指定的邮箱或手机短信信息，实现邮件报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4、温湿度探测器：（1）实时监控温湿度的实时状态，工作态正常与否进行实时监测和显示；对温湿度现场温度和湿度进行实时监测和显示。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对监测到的各项参数设定上下限阀值，一旦参数发生超限报警，在相应的。位置发生报警的参数会变红色显示，同时产生报警事件进行记录存储并有相应的处理提示，系统一旦监测到有报警或参数越限（可设置），系统将自动进行声光色告警，也可以进行短信通知或者语音通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（3）对重要参数（例如：温度、湿度）可作曲线记录，用户可通过曲线记录，直观地看到温湿度的运行品质。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（4）事件查询与报表生成：对温湿度的报警事件，可以进行查询及输出。技术参数：测温范围：0～+50℃；测湿范围：0～100%RH；测温精度：±0.3℃（@25℃±3℃）；测湿精度：±3%RH（@30%～80%RH）；输出信号：0～5 VDC；工作温度：0～+50℃；存储温度：-10～+70℃（无水凝结）；应用环境：空气或中性气体；供电电源：9～30 VAC/DC；输出范围：开关量输出，常开，告警时输出短路.检测机房测温，当机房温度超过正常范围时，及时报警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5、温湿度显示：（1）从机房外能看到机房内的温湿度状况 ；（2）.显示：温湿度、日期，时间； （</w:t>
            </w:r>
            <w:r>
              <w:rPr>
                <w:rFonts w:hint="default" w:ascii="宋体" w:hAnsi="宋体"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）.安装位置：机房外或者机房内醒目位置；（5）.超过设定值：开关量输出报警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6、配合水浸检测线使用；供电电源： 12-60VDC；量程可选：检出的范围可分为四个量程； 档位1：   0 – 250KΩ；  档位2：   0 – 600KΩ；档位3：   0 – 5MΩ； 档位4：   0 – 50MΩ；（高灵敏档，遇到极少水即可告警） 输出形式：干接点，水浸检出时输出ON/OFF可跳线选；短路时阻抗&lt;50Ω，负载电压＜60V，负载电流＜30mA；静态电流：&lt;45mA；告警电流：&lt;65mA； 工作环境：-10  55C，10~98%RH； 检测线长：10米； 全线程检测；自动检测漏水故障；机房外部进水或空调漏水时，自动检测，并及时报警；特点： 适用检测机房基站、仓库等重要场所水浸；隔离性好：输入、输出及电源完全隔离，安全可靠；技术先进：采用多功能检出方式，探针无电蚀现象，全线程检测；安全可靠：自动检测线路通断故障；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7、在机房各房间分别安装1个或多个烟感探测器，监控系统采集烟感探测器的报警输出信号，判断火警情况，当有火警发生，通过多媒体或电话语音报警，告之相关人员。技术参数： •  电源： DC12V •  工作电流：静电电流小于10uA，报警工作电流在10-30mA之间； •  输出形式：干接点，警戒时输出开路，报警时输出短路，阻抗小于50欧； •  烟雾灵敏度：付合UL的217号标准； • 机房环境：-5℃ -50℃，10-90%无冷凝； •  蜂鸣器音量强度：10英吋处为85分贝。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监控精密空调输出温度状况，异常报警:测温范围：0～+50℃；测湿范围：0～100%RH；测温精度：±0.3℃（@25℃±3℃）；测湿精度：±3%RH（@30%～80%RH）为保障精密空调输出温度可靠性，需监测精密空调输出温度的变化，一旦发现输出温度值越限即刻启动报警，提醒管理人员及时对精密空调主机进行检查。同时系统记录下的曲线可供机房管理人员参考，作为精密空调系统可靠性的参考依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9、检测机房门禁系统的工作状态;大门是否关闭与打开：、报警信息，包括防拆报警、门超时未关报警等1. 本体材质PP(塑料)；2. 最大功率10W；3. 最大开关电压100 VDC；4. 最大开关电流0.5A；5. 最小崩溃电压220 VDC；6. 最大负载电流1.0A；7. 最大接蚀电阻100 mΩ；8. 最小绝缘电阻108 Ω；9. 感动时间0.1 ms Max；10. 释放时间0.4 ms Max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10、市电监测：（1）检测进入电压是否稳定，并及时报警：输入标称值：10V、20V、30V、40V、50V、75V、200V、250V（可选）输出标称值：5V；精度等级 ：0.5；响应时间 ： 300mS ；负载能力 ： 5mA； 静态功耗 ： 100mW；供电电源 ： +12V或+24V；温度漂移：250PPM/°C；主要特点：采用精密电磁隔离原理，多路组合；现行测量范围：0-120%标称输入；输入频响：25Hz~5kHz,特别适合工频电压测量；过载能力：2倍标称输入值，可持续；额定环境温度：0~+50°C；隔离电压：&gt;2.5kVDC ,1分钟；端子接线，DIN卡式安装；（2）检测进入电流是否稳定，超过设定值，及时报警，通知相关管理人员；输入规格 ： 0.5A～10A（Ф4穿心）； 5A～50A（Ф9穿心）输出规格 ： 5VDC或10VDC； 精度等级 ： 0.2级；响应时间 ： 300mS ；负载能力 ： 5mA；静态功耗 ： 30mW ；供电电源 ： +12V或+24V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其他指标 ： 1.线性范围：0～120%标称输入； 2.输入频响：25Hz～5kHz，特别适合工频至中频； 3.过载能力：30倍标称输入值，持续5秒 ； 4.隔离耐压：＞2.5kV DC，1分钟； 5.温度漂移：150ppm/℃； 6.平均无故障工作时间＞5万小时；7.环境条件：0℃～+50℃。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11、分电路监测：实现开关状态的监测。当开关跳闸或断电时，系统自动切跳出报警信息，同时发出报警信息，通知管理员处理，并把事件记录到系统中。检测输入电压;220v/24V/12V   输出信号：常开、常闭；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监控ups输出电力状况，异常报警:为保障UPS输出电压的可靠性，本次需监测UPS输出总回路的电压值，一旦发现电压值越限即刻启动报警，提醒管理人员及时对UPS主机进行检查。同时系统记录下的曲线可供机房管理人员参考，作为UPS系统可靠性的参考依据；采用精密电磁隔离原理，多路组合；现行测量范围：0-250V输入；输入频响：25Hz~5kHz,特别适合工频电压测量；过载能力：2倍标称输入值，可持续；额定环境温度：0~+50°C；隔离电压：&gt;2.5kVDC ,1分钟；端子接线，DIN卡式安装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13、★监控：与软件平台Ip连接.、WEB网络监控；200W星光1080P；储存：支持电脑客户端储存；红外半球网络摄像机：使用方便，机房吸顶安装；采用优秀的H.264视频压缩算法，D1画质效果，清晰流畅稳定，产品特性，采用高性能的SOC芯片、嵌入式Linux操作系统，内置硬件看门狗，系统稳定可靠、扩展方便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  影像元件  1/3" Color Sony Super HAD (Hi-Res.)；解析度  200万像素 TVL: 镜头大小规格: 3.6mm, 焦距: 2.8mm 60mm；最低照度  .0 Lux / F1.2；信噪比&gt;52dB；电子快门、补偿  PAL:1/50~1/100,000，NTSC:1/60~1/100,000、Auto；IE应用  内嵌Web Server，用户可直接用IE进行浏览、控制视频服务器；网络功能  网络搜索，网络监控；安全  用户管理  提供多用户分级权限管理，允许多用户同时访问设备；内置看门狗，在异常情况自动复位系统，以保证系统正常运行；远程复位  通过网络控制远程复位系统</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15"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服务器机柜</w:t>
            </w:r>
          </w:p>
        </w:tc>
        <w:tc>
          <w:tcPr>
            <w:tcW w:w="10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1．外观设计高贵典雅,工艺精湛,尺寸精密,全数控精密加工。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2．单开平板六角网孔前门,双开平板六角网孔后门。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3．镀铝锌板材质方孔条与安装梁,设备安装时自动等电位。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4．无锐边方孔条,使您在安装维护中不割伤手。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5．三段式底板部件,中间盖板可按需打开,三段式快开侧门,每段可单独打开。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6．各主要部件预置有接地钉，接地钉带护罩。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7．前后门配高级典雅锁。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8．尺寸：42U,≥600*1000*2000(mm)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9．轧制九折成材，承重≥</w:t>
            </w:r>
            <w:r>
              <w:rPr>
                <w:rFonts w:hint="default" w:ascii="宋体" w:hAnsi="宋体" w:eastAsia="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00KG。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10．方孔条与安装梁：耐指纹镀铝锌板; 其余：SPCC优质冷轧板 厚度：方孔条≥</w:t>
            </w:r>
            <w:r>
              <w:rPr>
                <w:rFonts w:hint="default" w:ascii="宋体" w:hAnsi="宋体"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mm;安装梁≥1mm;其余≥1mm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11．脱脂、陶化、静电喷塑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12．符合ANSI/EIA RS-310-D、IEC297-2、DIN41491; PART1、DIN41494; PART7、 GB/T3047.2- 92标准;兼容ETSI标准。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69"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21</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服务器PDU</w:t>
            </w:r>
          </w:p>
        </w:tc>
        <w:tc>
          <w:tcPr>
            <w:tcW w:w="10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．19 英寸标准机柜,1U高度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2．输入电压：≥2</w:t>
            </w:r>
            <w:r>
              <w:rPr>
                <w:rFonts w:hint="default"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0v~2</w:t>
            </w:r>
            <w:r>
              <w:rPr>
                <w:rFonts w:hint="default" w:ascii="宋体" w:hAnsi="宋体" w:cs="宋体"/>
                <w:i w:val="0"/>
                <w:iCs w:val="0"/>
                <w:color w:val="000000"/>
                <w:kern w:val="0"/>
                <w:sz w:val="22"/>
                <w:szCs w:val="22"/>
                <w:u w:val="none"/>
                <w:lang w:val="en-US" w:eastAsia="zh-CN" w:bidi="ar"/>
              </w:rPr>
              <w:t>50</w:t>
            </w:r>
            <w:r>
              <w:rPr>
                <w:rFonts w:hint="eastAsia" w:ascii="宋体" w:hAnsi="宋体" w:eastAsia="宋体" w:cs="宋体"/>
                <w:i w:val="0"/>
                <w:iCs w:val="0"/>
                <w:color w:val="000000"/>
                <w:kern w:val="0"/>
                <w:sz w:val="22"/>
                <w:szCs w:val="22"/>
                <w:u w:val="none"/>
                <w:lang w:val="en-US" w:eastAsia="zh-CN" w:bidi="ar"/>
              </w:rPr>
              <w:t>v 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3．输入电流：≥16A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4．插座位数：≥10A8位5孔国标插座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5．线缆：≥2M*3*1.5mm2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6．符合GB18802.1、1EC61643-1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2"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22</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门禁控制器</w:t>
            </w:r>
          </w:p>
        </w:tc>
        <w:tc>
          <w:tcPr>
            <w:tcW w:w="10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单门双向控制,2万张卡管理权限,10万条脱机存储记录,TCP/IP局域网广域网联网控制含机箱电源</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04"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23</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门禁一体机</w:t>
            </w:r>
          </w:p>
        </w:tc>
        <w:tc>
          <w:tcPr>
            <w:tcW w:w="10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1．指纹、IC、密码，指纹容量：</w:t>
            </w:r>
            <w:r>
              <w:rPr>
                <w:rFonts w:hint="default"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000枚指纹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2．记录容量：</w:t>
            </w:r>
            <w:r>
              <w:rPr>
                <w:rFonts w:hint="default"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0,000条记录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3．射频卡：EM(125 KHz)， Mifare (13.56 MHz),可选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4．卡容量：</w:t>
            </w:r>
            <w:r>
              <w:rPr>
                <w:rFonts w:hint="default"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5．通讯接口：TCP/IP, RS485，·2.</w:t>
            </w:r>
            <w:r>
              <w:rPr>
                <w:rFonts w:hint="default"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寸彩屏显示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6．TCP/IP和RS485通讯可选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7．自带门铃大按键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8．U盘功能，可上传下载记录等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9．支持指纹/ID卡/MF卡，使用范围广，可选配Mifaer卡ID卡功能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10．背光数字及功能键，可夜间操作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11．具有weigand in &amp;out接口，既可外接读头也可做为门禁读头使用</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9"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24</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门禁锁</w:t>
            </w:r>
          </w:p>
        </w:tc>
        <w:tc>
          <w:tcPr>
            <w:tcW w:w="10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1．通电上锁、断电开锁式，带门状态信号输出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2．CE认证，适用于外开门、内开门（配套PLMC270辅助支架与PZMC270辅助支架）与未包边的玻璃门（配套PUMC270辅助支架实现90度外开门）。 适用于单门结构的金属门、木门、不锈钢门、防火门、消防门等。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3．侧向抗拉力：≥2</w:t>
            </w:r>
            <w:r>
              <w:rPr>
                <w:rFonts w:hint="default" w:ascii="宋体" w:hAnsi="宋体" w:eastAsia="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0公斤级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4．锁体尺寸： ≥L25</w:t>
            </w:r>
            <w:r>
              <w:rPr>
                <w:rFonts w:hint="default" w:ascii="宋体" w:hAnsi="宋体"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×W4</w:t>
            </w:r>
            <w:r>
              <w:rPr>
                <w:rFonts w:hint="default" w:ascii="宋体" w:hAnsi="宋体"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×H2</w:t>
            </w:r>
            <w:r>
              <w:rPr>
                <w:rFonts w:hint="default" w:ascii="宋体" w:hAnsi="宋体"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(mm)</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bidi w:val="0"/>
        <w:jc w:val="left"/>
        <w:rPr>
          <w:rFonts w:hint="eastAsia"/>
          <w:lang w:val="en-US" w:eastAsia="zh-CN"/>
        </w:rPr>
        <w:sectPr>
          <w:pgSz w:w="16838" w:h="11906" w:orient="landscape"/>
          <w:pgMar w:top="1701" w:right="1701" w:bottom="1417" w:left="1701" w:header="851" w:footer="992" w:gutter="0"/>
          <w:pgNumType w:fmt="numberInDash" w:start="1"/>
          <w:cols w:space="720" w:num="1"/>
          <w:docGrid w:type="lines" w:linePitch="312" w:charSpace="0"/>
        </w:sectPr>
      </w:pPr>
    </w:p>
    <w:p>
      <w:pPr>
        <w:rPr>
          <w:rFonts w:ascii="黑体" w:eastAsia="黑体" w:cs="黑体"/>
          <w:sz w:val="24"/>
        </w:rPr>
      </w:pPr>
    </w:p>
    <w:p>
      <w:pPr>
        <w:pStyle w:val="5"/>
        <w:jc w:val="center"/>
        <w:rPr>
          <w:rFonts w:ascii="黑体" w:eastAsia="黑体" w:cs="黑体"/>
          <w:sz w:val="24"/>
        </w:rPr>
      </w:pPr>
      <w:bookmarkStart w:id="31" w:name="_Toc22595"/>
      <w:r>
        <w:rPr>
          <w:rFonts w:hint="eastAsia" w:ascii="黑体" w:eastAsia="黑体" w:cs="黑体"/>
          <w:sz w:val="24"/>
        </w:rPr>
        <w:t>第六章  投标文件格式</w:t>
      </w:r>
      <w:bookmarkEnd w:id="31"/>
    </w:p>
    <w:p>
      <w:pPr>
        <w:tabs>
          <w:tab w:val="center" w:pos="4832"/>
          <w:tab w:val="left" w:pos="7140"/>
        </w:tabs>
        <w:spacing w:line="360" w:lineRule="auto"/>
        <w:jc w:val="center"/>
        <w:outlineLvl w:val="1"/>
        <w:rPr>
          <w:rFonts w:ascii="宋体" w:cs="宋体"/>
          <w:b/>
          <w:sz w:val="24"/>
        </w:rPr>
      </w:pPr>
      <w:bookmarkStart w:id="32" w:name="_Toc31796"/>
      <w:bookmarkStart w:id="33" w:name="_Toc240"/>
      <w:r>
        <w:rPr>
          <w:rFonts w:hint="eastAsia" w:ascii="宋体" w:cs="宋体"/>
          <w:b/>
          <w:sz w:val="24"/>
        </w:rPr>
        <w:t>第一节 投标文件封面示例</w:t>
      </w:r>
      <w:bookmarkEnd w:id="32"/>
      <w:bookmarkEnd w:id="33"/>
    </w:p>
    <w:p>
      <w:pPr>
        <w:pStyle w:val="11"/>
        <w:rPr>
          <w:rFonts w:cs="宋体"/>
          <w:sz w:val="24"/>
        </w:rPr>
      </w:pPr>
    </w:p>
    <w:p>
      <w:pPr>
        <w:rPr>
          <w:rFonts w:ascii="宋体" w:cs="宋体"/>
          <w:b/>
          <w:sz w:val="24"/>
        </w:rPr>
      </w:pPr>
    </w:p>
    <w:p>
      <w:pPr>
        <w:rPr>
          <w:rFonts w:ascii="宋体" w:cs="宋体"/>
          <w:b/>
          <w:sz w:val="24"/>
        </w:rPr>
      </w:pPr>
    </w:p>
    <w:p>
      <w:pPr>
        <w:spacing w:line="720" w:lineRule="auto"/>
        <w:ind w:right="315"/>
        <w:jc w:val="right"/>
        <w:rPr>
          <w:rFonts w:ascii="宋体" w:cs="宋体"/>
          <w:b/>
          <w:sz w:val="24"/>
          <w:bdr w:val="single" w:color="auto" w:sz="4" w:space="0"/>
        </w:rPr>
      </w:pPr>
      <w:r>
        <w:rPr>
          <w:rFonts w:hint="eastAsia" w:ascii="宋体" w:cs="宋体"/>
          <w:b/>
          <w:sz w:val="24"/>
          <w:bdr w:val="single" w:color="auto" w:sz="4" w:space="0"/>
        </w:rPr>
        <w:t>正本/副本</w:t>
      </w:r>
    </w:p>
    <w:p>
      <w:pPr>
        <w:spacing w:line="480" w:lineRule="auto"/>
        <w:jc w:val="center"/>
        <w:rPr>
          <w:rFonts w:ascii="宋体" w:cs="宋体"/>
          <w:b/>
          <w:bCs/>
          <w:sz w:val="24"/>
          <w:u w:val="single"/>
        </w:rPr>
      </w:pPr>
      <w:r>
        <w:rPr>
          <w:rFonts w:hint="eastAsia" w:ascii="宋体" w:cs="宋体"/>
          <w:b/>
          <w:bCs/>
          <w:sz w:val="24"/>
          <w:u w:val="single"/>
        </w:rPr>
        <w:t>（项目名称）</w:t>
      </w:r>
    </w:p>
    <w:p>
      <w:pPr>
        <w:spacing w:line="480" w:lineRule="auto"/>
        <w:jc w:val="center"/>
        <w:rPr>
          <w:rFonts w:ascii="宋体" w:cs="宋体"/>
          <w:b/>
          <w:bCs/>
          <w:sz w:val="24"/>
          <w:u w:val="single"/>
        </w:rPr>
      </w:pPr>
      <w:r>
        <w:rPr>
          <w:rFonts w:hint="eastAsia" w:ascii="宋体" w:cs="宋体"/>
          <w:b/>
          <w:bCs/>
          <w:sz w:val="24"/>
          <w:u w:val="single"/>
        </w:rPr>
        <w:t>（项目编号）</w:t>
      </w:r>
    </w:p>
    <w:p>
      <w:pPr>
        <w:spacing w:line="300" w:lineRule="exact"/>
        <w:jc w:val="center"/>
        <w:rPr>
          <w:rFonts w:ascii="宋体" w:cs="宋体"/>
          <w:b/>
          <w:bCs/>
          <w:sz w:val="24"/>
        </w:rPr>
      </w:pPr>
    </w:p>
    <w:p>
      <w:pPr>
        <w:spacing w:line="300" w:lineRule="exact"/>
        <w:jc w:val="center"/>
        <w:rPr>
          <w:rFonts w:ascii="宋体" w:cs="宋体"/>
          <w:b/>
          <w:bCs/>
          <w:sz w:val="24"/>
        </w:rPr>
      </w:pPr>
    </w:p>
    <w:p>
      <w:pPr>
        <w:spacing w:line="300" w:lineRule="exact"/>
        <w:jc w:val="center"/>
        <w:rPr>
          <w:rFonts w:ascii="宋体" w:cs="宋体"/>
          <w:b/>
          <w:bCs/>
          <w:sz w:val="24"/>
        </w:rPr>
      </w:pPr>
      <w:r>
        <w:rPr>
          <w:rFonts w:hint="eastAsia" w:ascii="宋体" w:cs="宋体"/>
          <w:b/>
          <w:bCs/>
          <w:sz w:val="24"/>
        </w:rPr>
        <w:t>投标文件</w:t>
      </w:r>
    </w:p>
    <w:p>
      <w:pPr>
        <w:spacing w:line="720" w:lineRule="auto"/>
        <w:rPr>
          <w:rFonts w:ascii="宋体" w:cs="宋体"/>
          <w:sz w:val="24"/>
        </w:rPr>
      </w:pPr>
    </w:p>
    <w:p>
      <w:pPr>
        <w:pStyle w:val="2"/>
      </w:pPr>
    </w:p>
    <w:p>
      <w:pPr>
        <w:spacing w:line="360" w:lineRule="auto"/>
        <w:rPr>
          <w:rFonts w:ascii="宋体" w:cs="宋体"/>
          <w:sz w:val="24"/>
        </w:rPr>
      </w:pPr>
      <w:r>
        <w:rPr>
          <w:rFonts w:hint="eastAsia" w:ascii="宋体" w:cs="宋体"/>
          <w:sz w:val="24"/>
        </w:rPr>
        <w:t>投标人：（盖章）</w:t>
      </w:r>
    </w:p>
    <w:p>
      <w:pPr>
        <w:spacing w:line="360" w:lineRule="auto"/>
        <w:rPr>
          <w:rFonts w:ascii="宋体"/>
          <w:kern w:val="0"/>
          <w:sz w:val="24"/>
        </w:rPr>
      </w:pPr>
      <w:r>
        <w:rPr>
          <w:rFonts w:hint="eastAsia" w:ascii="宋体"/>
          <w:kern w:val="0"/>
          <w:sz w:val="24"/>
        </w:rPr>
        <w:t>法定代表人或委托代理人（签字）：</w:t>
      </w:r>
    </w:p>
    <w:p>
      <w:pPr>
        <w:spacing w:line="360" w:lineRule="auto"/>
        <w:rPr>
          <w:rFonts w:ascii="宋体" w:cs="宋体"/>
          <w:sz w:val="24"/>
        </w:rPr>
      </w:pPr>
      <w:r>
        <w:rPr>
          <w:rFonts w:hint="eastAsia" w:ascii="宋体" w:cs="宋体"/>
          <w:sz w:val="24"/>
        </w:rPr>
        <w:t>单位地址：</w:t>
      </w:r>
    </w:p>
    <w:p>
      <w:pPr>
        <w:spacing w:line="360" w:lineRule="auto"/>
        <w:rPr>
          <w:rFonts w:ascii="宋体" w:cs="宋体"/>
          <w:sz w:val="24"/>
        </w:rPr>
      </w:pPr>
      <w:r>
        <w:rPr>
          <w:rFonts w:hint="eastAsia" w:ascii="宋体" w:cs="宋体"/>
          <w:sz w:val="24"/>
        </w:rPr>
        <w:t>邮政编码：</w:t>
      </w:r>
    </w:p>
    <w:p>
      <w:pPr>
        <w:spacing w:line="360" w:lineRule="auto"/>
        <w:rPr>
          <w:rFonts w:ascii="宋体" w:cs="宋体"/>
          <w:sz w:val="24"/>
        </w:rPr>
      </w:pPr>
      <w:r>
        <w:rPr>
          <w:rFonts w:hint="eastAsia" w:ascii="宋体" w:cs="宋体"/>
          <w:sz w:val="24"/>
        </w:rPr>
        <w:t>联系人：</w:t>
      </w:r>
    </w:p>
    <w:p>
      <w:pPr>
        <w:spacing w:line="360" w:lineRule="auto"/>
        <w:rPr>
          <w:rFonts w:ascii="宋体" w:cs="宋体"/>
          <w:sz w:val="24"/>
        </w:rPr>
      </w:pPr>
      <w:r>
        <w:rPr>
          <w:rFonts w:hint="eastAsia" w:ascii="宋体" w:cs="宋体"/>
          <w:sz w:val="24"/>
        </w:rPr>
        <w:t>联系电话：</w:t>
      </w:r>
    </w:p>
    <w:p>
      <w:pPr>
        <w:spacing w:line="720" w:lineRule="auto"/>
        <w:ind w:firstLine="2" w:firstLineChars="1"/>
        <w:jc w:val="center"/>
        <w:rPr>
          <w:rFonts w:ascii="宋体" w:cs="宋体"/>
          <w:sz w:val="24"/>
        </w:rPr>
      </w:pPr>
      <w:r>
        <w:rPr>
          <w:rFonts w:hint="eastAsia" w:ascii="宋体" w:cs="宋体"/>
          <w:sz w:val="24"/>
        </w:rPr>
        <w:t>年月日</w:t>
      </w:r>
    </w:p>
    <w:p>
      <w:pPr>
        <w:pStyle w:val="11"/>
        <w:rPr>
          <w:rFonts w:cs="宋体"/>
          <w:color w:val="000000"/>
          <w:kern w:val="0"/>
          <w:sz w:val="24"/>
        </w:rPr>
      </w:pPr>
    </w:p>
    <w:p>
      <w:pPr>
        <w:rPr>
          <w:rFonts w:ascii="宋体" w:cs="宋体"/>
          <w:b/>
          <w:sz w:val="24"/>
        </w:rPr>
      </w:pPr>
      <w:bookmarkStart w:id="34" w:name="_Toc5412"/>
      <w:r>
        <w:rPr>
          <w:rFonts w:hint="eastAsia" w:ascii="宋体" w:cs="宋体"/>
          <w:b/>
          <w:sz w:val="24"/>
        </w:rPr>
        <w:br w:type="page"/>
      </w:r>
    </w:p>
    <w:p>
      <w:pPr>
        <w:tabs>
          <w:tab w:val="center" w:pos="4832"/>
          <w:tab w:val="left" w:pos="7140"/>
        </w:tabs>
        <w:spacing w:line="360" w:lineRule="auto"/>
        <w:jc w:val="center"/>
        <w:outlineLvl w:val="1"/>
        <w:rPr>
          <w:rFonts w:ascii="宋体" w:cs="宋体"/>
          <w:b/>
          <w:sz w:val="24"/>
        </w:rPr>
      </w:pPr>
      <w:bookmarkStart w:id="35" w:name="_Toc6848"/>
      <w:r>
        <w:rPr>
          <w:rFonts w:hint="eastAsia" w:ascii="宋体" w:cs="宋体"/>
          <w:b/>
          <w:sz w:val="24"/>
        </w:rPr>
        <w:t>第二节 投标文件目录示例</w:t>
      </w:r>
      <w:bookmarkEnd w:id="34"/>
      <w:bookmarkEnd w:id="35"/>
    </w:p>
    <w:p>
      <w:pPr>
        <w:spacing w:line="360" w:lineRule="auto"/>
        <w:rPr>
          <w:rFonts w:ascii="宋体"/>
          <w:kern w:val="0"/>
          <w:sz w:val="24"/>
        </w:rPr>
      </w:pPr>
      <w:r>
        <w:rPr>
          <w:rFonts w:ascii="宋体"/>
          <w:kern w:val="0"/>
          <w:sz w:val="24"/>
        </w:rPr>
        <w:t>1</w:t>
      </w:r>
      <w:r>
        <w:rPr>
          <w:rFonts w:hint="eastAsia" w:ascii="宋体"/>
          <w:kern w:val="0"/>
          <w:sz w:val="24"/>
        </w:rPr>
        <w:t>、投标函</w:t>
      </w:r>
    </w:p>
    <w:p>
      <w:pPr>
        <w:spacing w:line="360" w:lineRule="auto"/>
        <w:rPr>
          <w:rFonts w:ascii="宋体"/>
          <w:kern w:val="0"/>
          <w:sz w:val="24"/>
        </w:rPr>
      </w:pPr>
      <w:r>
        <w:rPr>
          <w:rFonts w:ascii="宋体"/>
          <w:kern w:val="0"/>
          <w:sz w:val="24"/>
        </w:rPr>
        <w:t>2</w:t>
      </w:r>
      <w:r>
        <w:rPr>
          <w:rFonts w:hint="eastAsia" w:ascii="宋体"/>
          <w:kern w:val="0"/>
          <w:sz w:val="24"/>
        </w:rPr>
        <w:t>、开标一览表（报价</w:t>
      </w:r>
      <w:r>
        <w:rPr>
          <w:rFonts w:hint="eastAsia" w:ascii="宋体"/>
          <w:kern w:val="0"/>
          <w:sz w:val="24"/>
          <w:lang w:eastAsia="zh-CN"/>
        </w:rPr>
        <w:t>表</w:t>
      </w:r>
      <w:r>
        <w:rPr>
          <w:rFonts w:hint="eastAsia" w:ascii="宋体"/>
          <w:kern w:val="0"/>
          <w:sz w:val="24"/>
        </w:rPr>
        <w:t>）</w:t>
      </w:r>
    </w:p>
    <w:p>
      <w:pPr>
        <w:spacing w:line="360" w:lineRule="auto"/>
        <w:rPr>
          <w:rFonts w:ascii="宋体"/>
          <w:kern w:val="0"/>
          <w:sz w:val="24"/>
        </w:rPr>
      </w:pPr>
      <w:r>
        <w:rPr>
          <w:rFonts w:hint="eastAsia" w:ascii="宋体"/>
          <w:kern w:val="0"/>
          <w:sz w:val="24"/>
        </w:rPr>
        <w:t>3、法定代表人身份证明书</w:t>
      </w:r>
    </w:p>
    <w:p>
      <w:pPr>
        <w:spacing w:line="360" w:lineRule="auto"/>
        <w:rPr>
          <w:rFonts w:ascii="宋体"/>
          <w:kern w:val="0"/>
          <w:sz w:val="24"/>
        </w:rPr>
      </w:pPr>
      <w:r>
        <w:rPr>
          <w:rFonts w:hint="eastAsia" w:ascii="宋体"/>
          <w:kern w:val="0"/>
          <w:sz w:val="24"/>
        </w:rPr>
        <w:t>4、授权委托书</w:t>
      </w:r>
    </w:p>
    <w:p>
      <w:pPr>
        <w:spacing w:line="360" w:lineRule="auto"/>
        <w:rPr>
          <w:rFonts w:ascii="宋体"/>
          <w:kern w:val="0"/>
          <w:sz w:val="24"/>
        </w:rPr>
      </w:pPr>
      <w:r>
        <w:rPr>
          <w:rFonts w:hint="eastAsia" w:ascii="宋体"/>
          <w:kern w:val="0"/>
          <w:sz w:val="24"/>
        </w:rPr>
        <w:t>5、投标人概况</w:t>
      </w:r>
    </w:p>
    <w:p>
      <w:pPr>
        <w:spacing w:line="360" w:lineRule="auto"/>
        <w:rPr>
          <w:rFonts w:ascii="宋体"/>
          <w:kern w:val="0"/>
          <w:sz w:val="24"/>
        </w:rPr>
      </w:pPr>
      <w:r>
        <w:rPr>
          <w:rFonts w:hint="eastAsia" w:ascii="宋体"/>
          <w:kern w:val="0"/>
          <w:sz w:val="24"/>
        </w:rPr>
        <w:t>6、技术条款偏离表</w:t>
      </w:r>
    </w:p>
    <w:p>
      <w:pPr>
        <w:spacing w:line="360" w:lineRule="auto"/>
        <w:rPr>
          <w:rFonts w:ascii="宋体"/>
          <w:kern w:val="0"/>
          <w:sz w:val="24"/>
        </w:rPr>
      </w:pPr>
      <w:r>
        <w:rPr>
          <w:rFonts w:hint="eastAsia" w:ascii="宋体"/>
          <w:kern w:val="0"/>
          <w:sz w:val="24"/>
        </w:rPr>
        <w:t>7、商务条款偏离表</w:t>
      </w:r>
    </w:p>
    <w:p>
      <w:pPr>
        <w:spacing w:line="360" w:lineRule="auto"/>
        <w:rPr>
          <w:rFonts w:ascii="宋体"/>
          <w:kern w:val="0"/>
          <w:sz w:val="24"/>
        </w:rPr>
      </w:pPr>
      <w:r>
        <w:rPr>
          <w:rFonts w:hint="eastAsia" w:ascii="宋体"/>
          <w:kern w:val="0"/>
          <w:sz w:val="24"/>
        </w:rPr>
        <w:t>8、反商业贿赂承诺书</w:t>
      </w:r>
    </w:p>
    <w:p>
      <w:pPr>
        <w:spacing w:line="360" w:lineRule="auto"/>
        <w:rPr>
          <w:rFonts w:ascii="宋体"/>
          <w:kern w:val="0"/>
          <w:sz w:val="24"/>
        </w:rPr>
      </w:pPr>
      <w:r>
        <w:rPr>
          <w:rFonts w:hint="eastAsia" w:ascii="宋体"/>
          <w:kern w:val="0"/>
          <w:sz w:val="24"/>
        </w:rPr>
        <w:t>9、中小微企业声明函</w:t>
      </w:r>
    </w:p>
    <w:p>
      <w:pPr>
        <w:spacing w:line="360" w:lineRule="auto"/>
        <w:rPr>
          <w:rFonts w:ascii="宋体"/>
          <w:kern w:val="0"/>
          <w:sz w:val="24"/>
        </w:rPr>
      </w:pPr>
      <w:r>
        <w:rPr>
          <w:rFonts w:hint="eastAsia" w:ascii="宋体"/>
          <w:kern w:val="0"/>
          <w:sz w:val="24"/>
        </w:rPr>
        <w:t>10、投标人近3年类似项目情况表</w:t>
      </w:r>
    </w:p>
    <w:p>
      <w:pPr>
        <w:spacing w:line="360" w:lineRule="auto"/>
        <w:rPr>
          <w:rFonts w:ascii="宋体"/>
          <w:kern w:val="0"/>
          <w:sz w:val="24"/>
        </w:rPr>
      </w:pPr>
      <w:r>
        <w:rPr>
          <w:rFonts w:hint="eastAsia" w:ascii="宋体"/>
          <w:kern w:val="0"/>
          <w:sz w:val="24"/>
        </w:rPr>
        <w:t>11、其他需要提交的资料（根据招标文件的要求和投标人认为需要提供的资料）</w:t>
      </w:r>
    </w:p>
    <w:p>
      <w:pPr>
        <w:spacing w:line="360" w:lineRule="auto"/>
        <w:rPr>
          <w:rFonts w:ascii="宋体"/>
          <w:kern w:val="0"/>
          <w:sz w:val="24"/>
        </w:rPr>
      </w:pPr>
    </w:p>
    <w:p>
      <w:pPr>
        <w:spacing w:line="360" w:lineRule="auto"/>
        <w:rPr>
          <w:rFonts w:ascii="宋体"/>
          <w:bCs/>
          <w:sz w:val="24"/>
        </w:rPr>
      </w:pPr>
      <w:r>
        <w:rPr>
          <w:rFonts w:hint="eastAsia" w:ascii="宋体"/>
          <w:bCs/>
          <w:sz w:val="24"/>
        </w:rPr>
        <w:t>注：为了便于查找，请按上述顺序编制投标文件内容，并在目录中标明每项内容的起始页码。</w:t>
      </w:r>
    </w:p>
    <w:p>
      <w:pPr>
        <w:rPr>
          <w:rFonts w:ascii="宋体" w:cs="宋体"/>
          <w:b/>
          <w:sz w:val="24"/>
        </w:rPr>
      </w:pPr>
    </w:p>
    <w:p>
      <w:pPr>
        <w:pStyle w:val="9"/>
        <w:numPr>
          <w:ilvl w:val="0"/>
          <w:numId w:val="0"/>
        </w:numPr>
      </w:pPr>
    </w:p>
    <w:p>
      <w:pPr>
        <w:rPr>
          <w:rFonts w:ascii="宋体"/>
          <w:b/>
          <w:bCs/>
          <w:kern w:val="0"/>
          <w:sz w:val="24"/>
        </w:rPr>
      </w:pPr>
      <w:r>
        <w:rPr>
          <w:rFonts w:hint="eastAsia" w:ascii="宋体"/>
          <w:b/>
          <w:bCs/>
          <w:kern w:val="0"/>
          <w:sz w:val="24"/>
        </w:rPr>
        <w:br w:type="page"/>
      </w:r>
    </w:p>
    <w:p>
      <w:pPr>
        <w:widowControl/>
        <w:ind w:firstLine="482" w:firstLineChars="200"/>
        <w:jc w:val="left"/>
        <w:textAlignment w:val="center"/>
        <w:rPr>
          <w:rFonts w:ascii="宋体" w:cs="宋体"/>
          <w:b/>
          <w:bCs/>
          <w:sz w:val="30"/>
          <w:szCs w:val="30"/>
        </w:rPr>
      </w:pPr>
      <w:r>
        <w:rPr>
          <w:rFonts w:hint="eastAsia" w:ascii="宋体"/>
          <w:b/>
          <w:bCs/>
          <w:kern w:val="0"/>
          <w:sz w:val="24"/>
          <w:lang w:val="en-US" w:eastAsia="zh-CN"/>
        </w:rPr>
        <w:t>6</w:t>
      </w:r>
      <w:r>
        <w:rPr>
          <w:rFonts w:hint="eastAsia" w:ascii="宋体"/>
          <w:b/>
          <w:bCs/>
          <w:kern w:val="0"/>
          <w:sz w:val="24"/>
        </w:rPr>
        <w:t>.1 投标函</w:t>
      </w:r>
    </w:p>
    <w:p>
      <w:pPr>
        <w:jc w:val="center"/>
        <w:rPr>
          <w:b/>
          <w:bCs/>
          <w:sz w:val="32"/>
          <w:szCs w:val="32"/>
        </w:rPr>
      </w:pPr>
      <w:r>
        <w:rPr>
          <w:rFonts w:hint="eastAsia"/>
          <w:b/>
          <w:bCs/>
          <w:sz w:val="32"/>
          <w:szCs w:val="32"/>
        </w:rPr>
        <w:t>投标函</w:t>
      </w:r>
    </w:p>
    <w:p>
      <w:pPr>
        <w:widowControl/>
        <w:shd w:val="clear" w:color="auto" w:fill="FFFFFF"/>
        <w:snapToGrid w:val="0"/>
        <w:spacing w:line="384" w:lineRule="auto"/>
        <w:jc w:val="left"/>
        <w:rPr>
          <w:rFonts w:ascii="宋体"/>
          <w:kern w:val="0"/>
          <w:sz w:val="24"/>
        </w:rPr>
      </w:pPr>
    </w:p>
    <w:p>
      <w:pPr>
        <w:widowControl/>
        <w:shd w:val="clear" w:color="auto" w:fill="FFFFFF"/>
        <w:snapToGrid w:val="0"/>
        <w:spacing w:line="384" w:lineRule="auto"/>
        <w:jc w:val="left"/>
        <w:rPr>
          <w:rFonts w:ascii="宋体"/>
          <w:kern w:val="0"/>
          <w:sz w:val="24"/>
        </w:rPr>
      </w:pPr>
      <w:r>
        <w:rPr>
          <w:rFonts w:hint="eastAsia" w:ascii="宋体"/>
          <w:kern w:val="0"/>
          <w:sz w:val="24"/>
        </w:rPr>
        <w:t>致：</w:t>
      </w:r>
      <w:r>
        <w:rPr>
          <w:rFonts w:hint="eastAsia" w:ascii="宋体"/>
          <w:kern w:val="0"/>
          <w:sz w:val="24"/>
          <w:u w:val="single"/>
        </w:rPr>
        <w:t xml:space="preserve">         </w:t>
      </w:r>
      <w:r>
        <w:rPr>
          <w:rFonts w:hint="eastAsia" w:ascii="宋体"/>
          <w:kern w:val="0"/>
          <w:sz w:val="24"/>
        </w:rPr>
        <w:t>（采购人名称）</w:t>
      </w:r>
    </w:p>
    <w:p>
      <w:pPr>
        <w:pStyle w:val="11"/>
        <w:tabs>
          <w:tab w:val="left" w:pos="5580"/>
        </w:tabs>
        <w:spacing w:line="360" w:lineRule="auto"/>
        <w:ind w:left="2" w:leftChars="1" w:firstLine="480" w:firstLineChars="200"/>
        <w:rPr>
          <w:sz w:val="24"/>
        </w:rPr>
      </w:pPr>
      <w:r>
        <w:rPr>
          <w:rFonts w:hint="eastAsia"/>
          <w:sz w:val="24"/>
        </w:rPr>
        <w:t>根据贵方</w:t>
      </w:r>
      <w:r>
        <w:rPr>
          <w:rFonts w:hint="eastAsia"/>
          <w:sz w:val="24"/>
          <w:u w:val="single"/>
        </w:rPr>
        <w:t xml:space="preserve">                          </w:t>
      </w:r>
      <w:r>
        <w:rPr>
          <w:rFonts w:hint="eastAsia"/>
          <w:sz w:val="24"/>
        </w:rPr>
        <w:t>(</w:t>
      </w:r>
      <w:r>
        <w:rPr>
          <w:rFonts w:hint="eastAsia"/>
          <w:iCs/>
          <w:sz w:val="24"/>
        </w:rPr>
        <w:t>项目名称、项目编号</w:t>
      </w:r>
      <w:r>
        <w:rPr>
          <w:rFonts w:hint="eastAsia"/>
          <w:sz w:val="24"/>
        </w:rPr>
        <w:t>)的投标邀请,签字代表</w:t>
      </w:r>
      <w:r>
        <w:rPr>
          <w:rFonts w:hint="eastAsia"/>
          <w:sz w:val="24"/>
          <w:u w:val="single"/>
        </w:rPr>
        <w:t xml:space="preserve">               </w:t>
      </w:r>
      <w:r>
        <w:rPr>
          <w:rFonts w:hint="eastAsia"/>
          <w:sz w:val="24"/>
        </w:rPr>
        <w:t>(</w:t>
      </w:r>
      <w:r>
        <w:rPr>
          <w:rFonts w:hint="eastAsia"/>
          <w:iCs/>
          <w:sz w:val="24"/>
        </w:rPr>
        <w:t>姓名、职务</w:t>
      </w:r>
      <w:r>
        <w:rPr>
          <w:rFonts w:hint="eastAsia"/>
          <w:sz w:val="24"/>
        </w:rPr>
        <w:t>)经正式授权并代表投标人</w:t>
      </w:r>
      <w:r>
        <w:rPr>
          <w:rFonts w:hint="eastAsia"/>
          <w:sz w:val="24"/>
          <w:u w:val="single"/>
        </w:rPr>
        <w:t xml:space="preserve">                  </w:t>
      </w:r>
      <w:r>
        <w:rPr>
          <w:rFonts w:hint="eastAsia"/>
          <w:sz w:val="24"/>
        </w:rPr>
        <w:t>（投标人</w:t>
      </w:r>
      <w:r>
        <w:rPr>
          <w:rFonts w:hint="eastAsia"/>
          <w:iCs/>
          <w:sz w:val="24"/>
        </w:rPr>
        <w:t>名称、注册地址</w:t>
      </w:r>
      <w:r>
        <w:rPr>
          <w:rFonts w:hint="eastAsia"/>
          <w:sz w:val="24"/>
        </w:rPr>
        <w:t>）提交下述文件正本</w:t>
      </w:r>
      <w:r>
        <w:rPr>
          <w:rFonts w:hint="eastAsia"/>
          <w:sz w:val="24"/>
          <w:u w:val="single"/>
        </w:rPr>
        <w:t xml:space="preserve">    </w:t>
      </w:r>
      <w:r>
        <w:rPr>
          <w:rFonts w:hint="eastAsia"/>
          <w:sz w:val="24"/>
        </w:rPr>
        <w:t>份、副本</w:t>
      </w:r>
      <w:r>
        <w:rPr>
          <w:rFonts w:hint="eastAsia"/>
          <w:sz w:val="24"/>
          <w:u w:val="single"/>
        </w:rPr>
        <w:t xml:space="preserve">     </w:t>
      </w:r>
      <w:r>
        <w:rPr>
          <w:rFonts w:hint="eastAsia"/>
          <w:sz w:val="24"/>
        </w:rPr>
        <w:t>份及电子文档</w:t>
      </w:r>
      <w:r>
        <w:rPr>
          <w:rFonts w:hint="eastAsia"/>
          <w:sz w:val="24"/>
          <w:u w:val="single"/>
        </w:rPr>
        <w:t xml:space="preserve">    </w:t>
      </w:r>
      <w:r>
        <w:rPr>
          <w:rFonts w:hint="eastAsia"/>
          <w:sz w:val="24"/>
        </w:rPr>
        <w:t>份。</w:t>
      </w:r>
    </w:p>
    <w:p>
      <w:pPr>
        <w:pStyle w:val="11"/>
        <w:tabs>
          <w:tab w:val="left" w:pos="5580"/>
        </w:tabs>
        <w:spacing w:line="360" w:lineRule="auto"/>
        <w:ind w:firstLine="482" w:firstLineChars="200"/>
        <w:rPr>
          <w:b/>
          <w:bCs/>
          <w:sz w:val="24"/>
        </w:rPr>
      </w:pPr>
      <w:r>
        <w:rPr>
          <w:rFonts w:hint="eastAsia"/>
          <w:b/>
          <w:bCs/>
          <w:sz w:val="24"/>
        </w:rPr>
        <w:t>据此，签字代表宣布同意如下：</w:t>
      </w:r>
    </w:p>
    <w:p>
      <w:pPr>
        <w:pStyle w:val="11"/>
        <w:tabs>
          <w:tab w:val="left" w:pos="5580"/>
        </w:tabs>
        <w:spacing w:line="360" w:lineRule="auto"/>
        <w:ind w:firstLine="480" w:firstLineChars="200"/>
        <w:rPr>
          <w:b/>
          <w:bCs/>
          <w:sz w:val="24"/>
        </w:rPr>
      </w:pPr>
      <w:r>
        <w:rPr>
          <w:rFonts w:hint="eastAsia" w:cs="宋体"/>
          <w:kern w:val="0"/>
          <w:sz w:val="24"/>
        </w:rPr>
        <w:t>1.本标包我方投标价格为人民币（大写）</w:t>
      </w:r>
      <w:r>
        <w:rPr>
          <w:rFonts w:hint="eastAsia" w:cs="宋体"/>
          <w:kern w:val="0"/>
          <w:sz w:val="24"/>
          <w:u w:val="single"/>
        </w:rPr>
        <w:t xml:space="preserve">               </w:t>
      </w:r>
      <w:r>
        <w:rPr>
          <w:rFonts w:hint="eastAsia" w:cs="宋体"/>
          <w:kern w:val="0"/>
          <w:sz w:val="24"/>
        </w:rPr>
        <w:t>元（</w:t>
      </w:r>
      <w:r>
        <w:rPr>
          <w:rFonts w:hint="eastAsia" w:cs="宋体"/>
          <w:kern w:val="0"/>
          <w:sz w:val="24"/>
          <w:u w:val="single"/>
        </w:rPr>
        <w:t xml:space="preserve">￥：    </w:t>
      </w:r>
      <w:r>
        <w:rPr>
          <w:rFonts w:hint="eastAsia" w:cs="宋体"/>
          <w:kern w:val="0"/>
          <w:sz w:val="24"/>
        </w:rPr>
        <w:t>） ，供货时间为</w:t>
      </w:r>
      <w:r>
        <w:rPr>
          <w:rFonts w:hint="eastAsia" w:cs="宋体"/>
          <w:kern w:val="0"/>
          <w:sz w:val="24"/>
          <w:u w:val="single"/>
        </w:rPr>
        <w:t xml:space="preserve">          </w:t>
      </w:r>
      <w:r>
        <w:rPr>
          <w:rFonts w:hint="eastAsia" w:cs="宋体"/>
          <w:kern w:val="0"/>
          <w:sz w:val="24"/>
        </w:rPr>
        <w:t>。</w:t>
      </w:r>
    </w:p>
    <w:p>
      <w:pPr>
        <w:widowControl/>
        <w:shd w:val="clear" w:color="auto" w:fill="FFFFFF"/>
        <w:snapToGrid w:val="0"/>
        <w:spacing w:line="384" w:lineRule="auto"/>
        <w:ind w:firstLine="480" w:firstLineChars="200"/>
        <w:jc w:val="left"/>
        <w:rPr>
          <w:rFonts w:ascii="宋体" w:cs="宋体"/>
          <w:kern w:val="0"/>
          <w:sz w:val="24"/>
        </w:rPr>
      </w:pPr>
      <w:r>
        <w:rPr>
          <w:rFonts w:hint="eastAsia" w:ascii="宋体" w:cs="宋体"/>
          <w:kern w:val="0"/>
          <w:sz w:val="24"/>
        </w:rPr>
        <w:t>2.随同本投标函提交投标保证金一份，金额为人民币（大写）</w:t>
      </w:r>
      <w:r>
        <w:rPr>
          <w:rFonts w:hint="eastAsia" w:ascii="宋体" w:cs="宋体"/>
          <w:kern w:val="0"/>
          <w:sz w:val="24"/>
          <w:u w:val="single"/>
        </w:rPr>
        <w:t xml:space="preserve">               </w:t>
      </w:r>
      <w:r>
        <w:rPr>
          <w:rFonts w:hint="eastAsia" w:ascii="宋体" w:cs="宋体"/>
          <w:kern w:val="0"/>
          <w:sz w:val="24"/>
        </w:rPr>
        <w:t>元（</w:t>
      </w:r>
      <w:r>
        <w:rPr>
          <w:rFonts w:hint="eastAsia" w:cs="宋体"/>
          <w:kern w:val="0"/>
          <w:sz w:val="24"/>
          <w:u w:val="single"/>
        </w:rPr>
        <w:t xml:space="preserve">￥：    </w:t>
      </w:r>
      <w:r>
        <w:rPr>
          <w:rFonts w:hint="eastAsia" w:ascii="宋体" w:cs="宋体"/>
          <w:kern w:val="0"/>
          <w:sz w:val="24"/>
        </w:rPr>
        <w:t>）  。</w:t>
      </w:r>
    </w:p>
    <w:p>
      <w:pPr>
        <w:widowControl/>
        <w:shd w:val="clear" w:color="auto" w:fill="FFFFFF"/>
        <w:snapToGrid w:val="0"/>
        <w:spacing w:line="384" w:lineRule="auto"/>
        <w:ind w:firstLine="480" w:firstLineChars="200"/>
        <w:jc w:val="left"/>
        <w:rPr>
          <w:rFonts w:ascii="宋体" w:cs="宋体"/>
          <w:kern w:val="0"/>
          <w:sz w:val="24"/>
        </w:rPr>
      </w:pPr>
      <w:r>
        <w:rPr>
          <w:rFonts w:hint="eastAsia" w:ascii="宋体" w:cs="宋体"/>
          <w:kern w:val="0"/>
          <w:sz w:val="24"/>
        </w:rPr>
        <w:t>3.</w:t>
      </w:r>
      <w:r>
        <w:rPr>
          <w:rFonts w:hint="eastAsia" w:ascii="宋体" w:cs="宋体"/>
          <w:sz w:val="24"/>
        </w:rPr>
        <w:t>我方承诺在投标有效期内不补充、修改、替代或者撤回本投标文件。</w:t>
      </w:r>
    </w:p>
    <w:p>
      <w:pPr>
        <w:widowControl/>
        <w:shd w:val="clear" w:color="auto" w:fill="FFFFFF"/>
        <w:snapToGrid w:val="0"/>
        <w:spacing w:line="384" w:lineRule="auto"/>
        <w:ind w:firstLine="480" w:firstLineChars="200"/>
        <w:jc w:val="left"/>
        <w:rPr>
          <w:rFonts w:ascii="宋体"/>
          <w:kern w:val="0"/>
          <w:sz w:val="24"/>
        </w:rPr>
      </w:pPr>
      <w:r>
        <w:rPr>
          <w:rFonts w:hint="eastAsia" w:ascii="宋体" w:cs="宋体"/>
          <w:kern w:val="0"/>
          <w:sz w:val="24"/>
        </w:rPr>
        <w:t>4.如果我方</w:t>
      </w:r>
      <w:r>
        <w:rPr>
          <w:rFonts w:hint="eastAsia" w:ascii="宋体"/>
          <w:kern w:val="0"/>
          <w:sz w:val="24"/>
        </w:rPr>
        <w:t>中标，我方将按规定履行合同责任义务。保证在合同约定的服务周期内供货，并确保我方提供产品及服务满足招标文件的要求。</w:t>
      </w:r>
    </w:p>
    <w:p>
      <w:pPr>
        <w:pStyle w:val="11"/>
        <w:tabs>
          <w:tab w:val="left" w:pos="5580"/>
        </w:tabs>
        <w:spacing w:line="360" w:lineRule="auto"/>
        <w:ind w:firstLine="480" w:firstLineChars="200"/>
        <w:rPr>
          <w:sz w:val="24"/>
        </w:rPr>
      </w:pPr>
      <w:r>
        <w:rPr>
          <w:rFonts w:hint="eastAsia"/>
          <w:kern w:val="0"/>
          <w:sz w:val="24"/>
        </w:rPr>
        <w:t>5</w:t>
      </w:r>
      <w:r>
        <w:rPr>
          <w:kern w:val="0"/>
          <w:sz w:val="24"/>
        </w:rPr>
        <w:t>.</w:t>
      </w:r>
      <w:r>
        <w:rPr>
          <w:rFonts w:hint="eastAsia"/>
          <w:sz w:val="24"/>
        </w:rPr>
        <w:t>本投标文件有效期为</w:t>
      </w:r>
      <w:r>
        <w:rPr>
          <w:rFonts w:hint="eastAsia"/>
          <w:sz w:val="24"/>
          <w:lang w:eastAsia="zh-CN"/>
        </w:rPr>
        <w:t>：</w:t>
      </w:r>
    </w:p>
    <w:p>
      <w:pPr>
        <w:pStyle w:val="11"/>
        <w:tabs>
          <w:tab w:val="left" w:pos="5580"/>
        </w:tabs>
        <w:spacing w:line="360" w:lineRule="auto"/>
        <w:ind w:firstLine="480" w:firstLineChars="200"/>
        <w:rPr>
          <w:sz w:val="24"/>
        </w:rPr>
      </w:pPr>
      <w:r>
        <w:rPr>
          <w:rFonts w:hint="eastAsia"/>
          <w:kern w:val="0"/>
          <w:sz w:val="24"/>
        </w:rPr>
        <w:t>6</w:t>
      </w:r>
      <w:r>
        <w:rPr>
          <w:kern w:val="0"/>
          <w:sz w:val="24"/>
        </w:rPr>
        <w:t>.</w:t>
      </w:r>
      <w:r>
        <w:rPr>
          <w:rFonts w:hint="eastAsia"/>
          <w:sz w:val="24"/>
        </w:rPr>
        <w:t>已详细审查全部招标文件，包括所有补充通知（如果有的话），完全理解并同意放弃对这方面有不明、误解的权利。</w:t>
      </w:r>
    </w:p>
    <w:p>
      <w:pPr>
        <w:widowControl/>
        <w:shd w:val="clear" w:color="auto" w:fill="FFFFFF"/>
        <w:snapToGrid w:val="0"/>
        <w:spacing w:line="384" w:lineRule="auto"/>
        <w:ind w:firstLine="480" w:firstLineChars="200"/>
        <w:jc w:val="left"/>
        <w:rPr>
          <w:rFonts w:ascii="宋体" w:cs="宋体"/>
          <w:sz w:val="24"/>
        </w:rPr>
      </w:pPr>
      <w:r>
        <w:rPr>
          <w:rFonts w:hint="eastAsia" w:asciiTheme="minorEastAsia" w:hAnsiTheme="minorEastAsia" w:eastAsiaTheme="minorEastAsia" w:cstheme="minorEastAsia"/>
          <w:kern w:val="0"/>
          <w:sz w:val="24"/>
        </w:rPr>
        <w:t>7.</w:t>
      </w:r>
      <w:r>
        <w:rPr>
          <w:rFonts w:hint="eastAsia" w:ascii="宋体" w:cs="宋体"/>
          <w:sz w:val="24"/>
        </w:rPr>
        <w:t>我方不是为本项目提供整体设计、规范编制或者项目管理、监理、检测等服务的供应商，我方不是采购代理机构的附属机构。</w:t>
      </w:r>
    </w:p>
    <w:p>
      <w:pPr>
        <w:widowControl/>
        <w:shd w:val="clear" w:color="auto" w:fill="FFFFFF"/>
        <w:snapToGrid w:val="0"/>
        <w:spacing w:line="384" w:lineRule="auto"/>
        <w:ind w:firstLine="480" w:firstLineChars="200"/>
        <w:jc w:val="left"/>
        <w:rPr>
          <w:rFonts w:ascii="宋体" w:cs="宋体"/>
          <w:sz w:val="24"/>
        </w:rPr>
      </w:pPr>
      <w:r>
        <w:rPr>
          <w:rFonts w:hint="eastAsia" w:ascii="宋体" w:cs="宋体"/>
          <w:sz w:val="24"/>
        </w:rPr>
        <w:t>8.按照招标文件的规定，在中标后向贵方一次性支付招标代理费。</w:t>
      </w:r>
    </w:p>
    <w:p>
      <w:pPr>
        <w:widowControl/>
        <w:shd w:val="clear" w:color="auto" w:fill="FFFFFF"/>
        <w:snapToGrid w:val="0"/>
        <w:spacing w:line="384" w:lineRule="auto"/>
        <w:ind w:firstLine="480" w:firstLineChars="200"/>
        <w:jc w:val="left"/>
        <w:rPr>
          <w:rFonts w:ascii="宋体" w:cs="宋体"/>
          <w:sz w:val="24"/>
        </w:rPr>
      </w:pPr>
      <w:r>
        <w:rPr>
          <w:rFonts w:hint="eastAsia" w:ascii="宋体" w:cs="宋体"/>
          <w:sz w:val="24"/>
        </w:rPr>
        <w:t>9.我方愿意提供贵方可能要求的与投标有关的一切数据或资料，完全理解贵方不一定接受最低投标报价的投标或收到的任何投标。</w:t>
      </w:r>
    </w:p>
    <w:p>
      <w:pPr>
        <w:widowControl/>
        <w:shd w:val="clear" w:color="auto" w:fill="FFFFFF"/>
        <w:snapToGrid w:val="0"/>
        <w:spacing w:line="384" w:lineRule="auto"/>
        <w:ind w:firstLine="480" w:firstLineChars="200"/>
        <w:jc w:val="left"/>
        <w:rPr>
          <w:rFonts w:ascii="宋体" w:cs="宋体"/>
          <w:sz w:val="24"/>
        </w:rPr>
      </w:pPr>
      <w:r>
        <w:rPr>
          <w:rFonts w:hint="eastAsia" w:ascii="宋体" w:cs="宋体"/>
          <w:sz w:val="24"/>
        </w:rPr>
        <w:t>10.按照招标文件的规定履行合同责任和义务。</w:t>
      </w:r>
    </w:p>
    <w:p>
      <w:pPr>
        <w:widowControl/>
        <w:shd w:val="clear" w:color="auto" w:fill="FFFFFF"/>
        <w:snapToGrid w:val="0"/>
        <w:spacing w:line="384" w:lineRule="auto"/>
        <w:ind w:firstLine="480" w:firstLineChars="200"/>
        <w:jc w:val="left"/>
        <w:rPr>
          <w:rFonts w:ascii="宋体" w:cs="宋体"/>
          <w:sz w:val="24"/>
        </w:rPr>
      </w:pPr>
      <w:r>
        <w:rPr>
          <w:rFonts w:hint="eastAsia" w:ascii="宋体" w:cs="宋体"/>
          <w:sz w:val="24"/>
        </w:rPr>
        <w:t>11.完全理解并无条件承担中标后不依法与采购人签订合同的法律后果。</w:t>
      </w:r>
    </w:p>
    <w:p>
      <w:pPr>
        <w:widowControl/>
        <w:shd w:val="clear" w:color="auto" w:fill="FFFFFF"/>
        <w:snapToGrid w:val="0"/>
        <w:spacing w:line="384" w:lineRule="auto"/>
        <w:ind w:firstLine="480" w:firstLineChars="200"/>
        <w:jc w:val="left"/>
        <w:rPr>
          <w:rFonts w:ascii="宋体" w:cs="宋体"/>
          <w:sz w:val="24"/>
        </w:rPr>
      </w:pPr>
      <w:r>
        <w:rPr>
          <w:rFonts w:hint="eastAsia" w:ascii="宋体" w:cs="宋体"/>
          <w:sz w:val="24"/>
        </w:rPr>
        <w:t>12.如我方中标，在合同签订后3个工作日内向采购代理机构提供采购合同原件3份用于采购资料备案工作。</w:t>
      </w:r>
    </w:p>
    <w:p>
      <w:pPr>
        <w:pStyle w:val="11"/>
        <w:tabs>
          <w:tab w:val="left" w:pos="5580"/>
        </w:tabs>
        <w:spacing w:line="360" w:lineRule="auto"/>
        <w:ind w:firstLine="480" w:firstLineChars="200"/>
        <w:rPr>
          <w:sz w:val="24"/>
        </w:rPr>
      </w:pPr>
      <w:r>
        <w:rPr>
          <w:rFonts w:hint="eastAsia"/>
          <w:kern w:val="0"/>
          <w:sz w:val="24"/>
        </w:rPr>
        <w:t>13</w:t>
      </w:r>
      <w:r>
        <w:rPr>
          <w:kern w:val="0"/>
          <w:sz w:val="24"/>
        </w:rPr>
        <w:t>.</w:t>
      </w:r>
      <w:r>
        <w:rPr>
          <w:rFonts w:hint="eastAsia"/>
          <w:kern w:val="0"/>
          <w:sz w:val="24"/>
        </w:rPr>
        <w:t>我方在此声明，所递交的投标文件及有关资料内容完整、真实和准确。</w:t>
      </w:r>
    </w:p>
    <w:p>
      <w:pPr>
        <w:pStyle w:val="11"/>
        <w:tabs>
          <w:tab w:val="left" w:pos="5580"/>
        </w:tabs>
        <w:spacing w:line="360" w:lineRule="auto"/>
        <w:ind w:left="359" w:leftChars="68" w:hanging="216" w:hangingChars="90"/>
        <w:rPr>
          <w:sz w:val="24"/>
        </w:rPr>
      </w:pPr>
    </w:p>
    <w:p>
      <w:pPr>
        <w:pStyle w:val="11"/>
        <w:tabs>
          <w:tab w:val="left" w:pos="5580"/>
        </w:tabs>
        <w:spacing w:line="360" w:lineRule="auto"/>
        <w:ind w:firstLine="480" w:firstLineChars="200"/>
        <w:rPr>
          <w:sz w:val="24"/>
        </w:rPr>
      </w:pPr>
      <w:r>
        <w:rPr>
          <w:rFonts w:hint="eastAsia"/>
          <w:sz w:val="24"/>
        </w:rPr>
        <w:t>与本投标有关的一切正式往来信函请寄：</w:t>
      </w:r>
    </w:p>
    <w:p>
      <w:pPr>
        <w:pStyle w:val="11"/>
        <w:tabs>
          <w:tab w:val="left" w:pos="5580"/>
        </w:tabs>
        <w:spacing w:line="360" w:lineRule="auto"/>
        <w:ind w:left="1080" w:leftChars="257" w:hanging="540"/>
        <w:rPr>
          <w:sz w:val="24"/>
        </w:rPr>
      </w:pPr>
      <w:r>
        <w:rPr>
          <w:rFonts w:hint="eastAsia"/>
          <w:sz w:val="24"/>
        </w:rPr>
        <w:t>地址：</w:t>
      </w:r>
    </w:p>
    <w:p>
      <w:pPr>
        <w:pStyle w:val="11"/>
        <w:tabs>
          <w:tab w:val="left" w:pos="5580"/>
        </w:tabs>
        <w:spacing w:line="360" w:lineRule="auto"/>
        <w:ind w:left="1080" w:leftChars="257" w:hanging="540"/>
        <w:rPr>
          <w:sz w:val="24"/>
        </w:rPr>
      </w:pPr>
      <w:r>
        <w:rPr>
          <w:rFonts w:hint="eastAsia"/>
          <w:sz w:val="24"/>
        </w:rPr>
        <w:t>电话：</w:t>
      </w:r>
    </w:p>
    <w:p>
      <w:pPr>
        <w:pStyle w:val="11"/>
        <w:tabs>
          <w:tab w:val="left" w:pos="5580"/>
        </w:tabs>
        <w:spacing w:line="360" w:lineRule="auto"/>
        <w:ind w:left="1080" w:leftChars="257" w:hanging="540"/>
        <w:rPr>
          <w:sz w:val="24"/>
        </w:rPr>
      </w:pPr>
      <w:r>
        <w:rPr>
          <w:rFonts w:hint="eastAsia"/>
          <w:sz w:val="24"/>
        </w:rPr>
        <w:t>传真：</w:t>
      </w:r>
    </w:p>
    <w:p>
      <w:pPr>
        <w:pStyle w:val="11"/>
        <w:tabs>
          <w:tab w:val="left" w:pos="5580"/>
        </w:tabs>
        <w:spacing w:line="360" w:lineRule="auto"/>
        <w:ind w:left="1080" w:leftChars="257" w:hanging="540"/>
        <w:rPr>
          <w:b/>
          <w:sz w:val="24"/>
        </w:rPr>
      </w:pPr>
      <w:r>
        <w:rPr>
          <w:rFonts w:hint="eastAsia"/>
          <w:sz w:val="24"/>
        </w:rPr>
        <w:t>电子函件：</w:t>
      </w:r>
    </w:p>
    <w:p>
      <w:pPr>
        <w:spacing w:line="360" w:lineRule="auto"/>
        <w:rPr>
          <w:rFonts w:ascii="宋体" w:cs="宋体"/>
          <w:sz w:val="24"/>
        </w:rPr>
      </w:pP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sz w:val="24"/>
        </w:rPr>
      </w:pPr>
      <w:r>
        <w:rPr>
          <w:rFonts w:hint="eastAsia" w:ascii="宋体" w:cs="宋体"/>
          <w:sz w:val="24"/>
        </w:rPr>
        <w:t>日期：       年   月   日</w:t>
      </w:r>
    </w:p>
    <w:p>
      <w:pPr>
        <w:widowControl/>
        <w:jc w:val="center"/>
        <w:textAlignment w:val="center"/>
        <w:rPr>
          <w:rFonts w:ascii="宋体" w:cs="宋体"/>
          <w:b/>
          <w:sz w:val="30"/>
          <w:szCs w:val="30"/>
        </w:rPr>
      </w:pPr>
    </w:p>
    <w:p>
      <w:pPr>
        <w:rPr>
          <w:rFonts w:ascii="宋体"/>
          <w:b/>
          <w:bCs/>
          <w:kern w:val="0"/>
          <w:sz w:val="24"/>
        </w:rPr>
      </w:pPr>
      <w:r>
        <w:rPr>
          <w:rFonts w:hint="eastAsia" w:ascii="宋体"/>
          <w:b/>
          <w:bCs/>
          <w:kern w:val="0"/>
          <w:sz w:val="24"/>
        </w:rPr>
        <w:br w:type="page"/>
      </w:r>
    </w:p>
    <w:p>
      <w:pPr>
        <w:spacing w:line="360" w:lineRule="auto"/>
        <w:rPr>
          <w:rFonts w:ascii="宋体" w:cs="宋体"/>
          <w:b/>
          <w:bCs/>
          <w:szCs w:val="30"/>
        </w:rPr>
      </w:pPr>
      <w:r>
        <w:rPr>
          <w:rFonts w:hint="eastAsia" w:ascii="宋体"/>
          <w:b/>
          <w:bCs/>
          <w:kern w:val="0"/>
          <w:sz w:val="24"/>
          <w:lang w:val="en-US" w:eastAsia="zh-CN"/>
        </w:rPr>
        <w:t>6</w:t>
      </w:r>
      <w:r>
        <w:rPr>
          <w:rFonts w:hint="eastAsia" w:ascii="宋体"/>
          <w:b/>
          <w:bCs/>
          <w:kern w:val="0"/>
          <w:sz w:val="24"/>
        </w:rPr>
        <w:t>.2 开标一览表(报价表）</w:t>
      </w:r>
    </w:p>
    <w:p>
      <w:pPr>
        <w:spacing w:line="360" w:lineRule="auto"/>
        <w:jc w:val="center"/>
        <w:rPr>
          <w:rFonts w:ascii="宋体" w:cs="宋体"/>
          <w:sz w:val="24"/>
          <w:u w:val="single"/>
        </w:rPr>
      </w:pPr>
      <w:r>
        <w:rPr>
          <w:rFonts w:hint="eastAsia"/>
          <w:b/>
          <w:bCs/>
          <w:sz w:val="32"/>
          <w:szCs w:val="32"/>
        </w:rPr>
        <w:t>开标一览表（报价表）</w:t>
      </w:r>
    </w:p>
    <w:tbl>
      <w:tblPr>
        <w:tblStyle w:val="23"/>
        <w:tblW w:w="8940"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2240"/>
        <w:gridCol w:w="4562"/>
        <w:gridCol w:w="2138"/>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88" w:hRule="atLeast"/>
        </w:trPr>
        <w:tc>
          <w:tcPr>
            <w:tcW w:w="2240" w:type="dxa"/>
            <w:vAlign w:val="center"/>
          </w:tcPr>
          <w:p>
            <w:pPr>
              <w:jc w:val="center"/>
              <w:rPr>
                <w:rFonts w:ascii="宋体" w:cs="宋体"/>
                <w:szCs w:val="21"/>
              </w:rPr>
            </w:pPr>
            <w:r>
              <w:rPr>
                <w:rFonts w:hint="eastAsia" w:ascii="宋体" w:cs="宋体"/>
                <w:szCs w:val="21"/>
              </w:rPr>
              <w:t>项目名称、项目编号</w:t>
            </w:r>
          </w:p>
        </w:tc>
        <w:tc>
          <w:tcPr>
            <w:tcW w:w="6700" w:type="dxa"/>
            <w:gridSpan w:val="2"/>
            <w:vAlign w:val="center"/>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2240" w:type="dxa"/>
            <w:vAlign w:val="center"/>
          </w:tcPr>
          <w:p>
            <w:pPr>
              <w:jc w:val="center"/>
              <w:rPr>
                <w:rFonts w:hint="eastAsia" w:ascii="宋体" w:eastAsia="宋体" w:cs="宋体"/>
                <w:szCs w:val="21"/>
                <w:lang w:eastAsia="zh-CN"/>
              </w:rPr>
            </w:pPr>
            <w:r>
              <w:rPr>
                <w:rFonts w:hint="eastAsia" w:ascii="宋体" w:cs="宋体"/>
                <w:szCs w:val="21"/>
              </w:rPr>
              <w:t>投标报价</w:t>
            </w:r>
          </w:p>
        </w:tc>
        <w:tc>
          <w:tcPr>
            <w:tcW w:w="4562" w:type="dxa"/>
            <w:vAlign w:val="center"/>
          </w:tcPr>
          <w:p>
            <w:pPr>
              <w:pStyle w:val="9"/>
              <w:numPr>
                <w:ilvl w:val="0"/>
                <w:numId w:val="0"/>
              </w:numPr>
              <w:tabs>
                <w:tab w:val="left" w:pos="825"/>
              </w:tabs>
              <w:ind w:left="0" w:leftChars="0" w:firstLine="0" w:firstLineChars="0"/>
              <w:jc w:val="left"/>
              <w:rPr>
                <w:rFonts w:ascii="宋体" w:eastAsia="宋体" w:cs="宋体"/>
                <w:sz w:val="21"/>
                <w:szCs w:val="21"/>
              </w:rPr>
            </w:pPr>
            <w:r>
              <w:rPr>
                <w:rFonts w:hint="eastAsia" w:ascii="宋体" w:eastAsia="宋体" w:cs="宋体"/>
                <w:sz w:val="21"/>
                <w:szCs w:val="21"/>
              </w:rPr>
              <w:t>大写：</w:t>
            </w:r>
          </w:p>
        </w:tc>
        <w:tc>
          <w:tcPr>
            <w:tcW w:w="2138" w:type="dxa"/>
            <w:vAlign w:val="center"/>
          </w:tcPr>
          <w:p>
            <w:pPr>
              <w:pStyle w:val="9"/>
              <w:numPr>
                <w:ilvl w:val="0"/>
                <w:numId w:val="0"/>
              </w:numPr>
              <w:ind w:left="0" w:leftChars="0" w:firstLine="0" w:firstLineChars="0"/>
              <w:jc w:val="left"/>
              <w:rPr>
                <w:rFonts w:ascii="宋体" w:eastAsia="宋体" w:cs="宋体"/>
                <w:sz w:val="21"/>
                <w:szCs w:val="21"/>
              </w:rPr>
            </w:pPr>
            <w:r>
              <w:rPr>
                <w:rFonts w:hint="eastAsia" w:asci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618" w:hRule="atLeast"/>
        </w:trPr>
        <w:tc>
          <w:tcPr>
            <w:tcW w:w="2240" w:type="dxa"/>
            <w:vAlign w:val="center"/>
          </w:tcPr>
          <w:p>
            <w:pPr>
              <w:jc w:val="center"/>
              <w:rPr>
                <w:rFonts w:ascii="宋体" w:cs="宋体"/>
                <w:szCs w:val="21"/>
              </w:rPr>
            </w:pPr>
            <w:r>
              <w:rPr>
                <w:rFonts w:hint="eastAsia" w:ascii="宋体" w:cs="宋体"/>
                <w:szCs w:val="21"/>
              </w:rPr>
              <w:t>供货时间</w:t>
            </w:r>
          </w:p>
        </w:tc>
        <w:tc>
          <w:tcPr>
            <w:tcW w:w="6700" w:type="dxa"/>
            <w:gridSpan w:val="2"/>
            <w:vAlign w:val="center"/>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605" w:hRule="atLeast"/>
        </w:trPr>
        <w:tc>
          <w:tcPr>
            <w:tcW w:w="2240" w:type="dxa"/>
            <w:vAlign w:val="center"/>
          </w:tcPr>
          <w:p>
            <w:pPr>
              <w:jc w:val="center"/>
              <w:rPr>
                <w:rFonts w:ascii="宋体" w:cs="宋体"/>
                <w:szCs w:val="21"/>
              </w:rPr>
            </w:pPr>
            <w:r>
              <w:rPr>
                <w:rFonts w:hint="eastAsia" w:ascii="宋体" w:cs="宋体"/>
                <w:szCs w:val="21"/>
              </w:rPr>
              <w:t>质保期</w:t>
            </w:r>
          </w:p>
        </w:tc>
        <w:tc>
          <w:tcPr>
            <w:tcW w:w="6700" w:type="dxa"/>
            <w:gridSpan w:val="2"/>
            <w:vAlign w:val="center"/>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605" w:hRule="atLeast"/>
        </w:trPr>
        <w:tc>
          <w:tcPr>
            <w:tcW w:w="2240" w:type="dxa"/>
            <w:vAlign w:val="center"/>
          </w:tcPr>
          <w:p>
            <w:pPr>
              <w:jc w:val="center"/>
              <w:rPr>
                <w:rFonts w:hint="eastAsia" w:ascii="宋体" w:cs="宋体"/>
                <w:szCs w:val="21"/>
              </w:rPr>
            </w:pPr>
            <w:r>
              <w:rPr>
                <w:rFonts w:hint="eastAsia" w:ascii="宋体" w:cs="宋体"/>
                <w:szCs w:val="21"/>
              </w:rPr>
              <w:t>投标人名称</w:t>
            </w:r>
          </w:p>
        </w:tc>
        <w:tc>
          <w:tcPr>
            <w:tcW w:w="6700" w:type="dxa"/>
            <w:gridSpan w:val="2"/>
            <w:vAlign w:val="center"/>
          </w:tcPr>
          <w:p>
            <w:pPr>
              <w:rPr>
                <w:rFonts w:ascii="宋体" w:cs="宋体"/>
                <w:szCs w:val="21"/>
              </w:rPr>
            </w:pPr>
          </w:p>
        </w:tc>
      </w:tr>
    </w:tbl>
    <w:p>
      <w:pPr>
        <w:spacing w:line="360" w:lineRule="auto"/>
        <w:rPr>
          <w:rFonts w:ascii="宋体" w:cs="宋体"/>
          <w:szCs w:val="21"/>
        </w:rPr>
      </w:pPr>
      <w:r>
        <w:rPr>
          <w:rFonts w:hint="eastAsia" w:ascii="宋体" w:cs="宋体"/>
          <w:b/>
          <w:bCs/>
          <w:szCs w:val="21"/>
        </w:rPr>
        <w:t>备注：</w:t>
      </w:r>
      <w:r>
        <w:rPr>
          <w:rFonts w:hint="eastAsia" w:ascii="宋体" w:cs="宋体"/>
          <w:szCs w:val="21"/>
        </w:rPr>
        <w:t>1、投标报价均用人民币表示，单位为元。</w:t>
      </w:r>
    </w:p>
    <w:p>
      <w:pPr>
        <w:spacing w:line="360" w:lineRule="auto"/>
        <w:ind w:firstLine="630" w:firstLineChars="300"/>
        <w:rPr>
          <w:rFonts w:ascii="宋体" w:cs="宋体"/>
          <w:bCs/>
          <w:szCs w:val="21"/>
        </w:rPr>
      </w:pPr>
      <w:r>
        <w:rPr>
          <w:rFonts w:hint="eastAsia" w:ascii="宋体" w:cs="宋体"/>
          <w:szCs w:val="21"/>
        </w:rPr>
        <w:t>2、本项目投标人所投标产品只能报一个</w:t>
      </w:r>
      <w:r>
        <w:rPr>
          <w:rFonts w:hint="eastAsia" w:ascii="宋体" w:cs="宋体"/>
          <w:bCs/>
          <w:szCs w:val="21"/>
        </w:rPr>
        <w:t>投标价</w:t>
      </w:r>
      <w:r>
        <w:rPr>
          <w:rFonts w:hint="eastAsia" w:ascii="宋体" w:cs="宋体"/>
          <w:szCs w:val="21"/>
        </w:rPr>
        <w:t>，且所报价格不得高于最高限价。</w:t>
      </w:r>
    </w:p>
    <w:p>
      <w:pPr>
        <w:spacing w:line="360" w:lineRule="auto"/>
        <w:ind w:firstLine="630" w:firstLineChars="300"/>
        <w:rPr>
          <w:rFonts w:ascii="宋体" w:cs="宋体"/>
          <w:szCs w:val="21"/>
        </w:rPr>
      </w:pPr>
      <w:r>
        <w:rPr>
          <w:rFonts w:hint="eastAsia" w:ascii="宋体" w:cs="宋体"/>
          <w:szCs w:val="21"/>
        </w:rPr>
        <w:t>3、投标人对所投产品报价为，对应本项目需求的全部货物及所需附件购置费（货款）及相关辅助材料、包装费、运杂费（含装卸费）、人工费、风险费、保险费、安装测试费、检测费（含各类特殊检测费用）、技术培训费、各种税费、利润、资料费、货到采购人指定地点的所有费用、售后服务开支及完成项目应有的全部费用。</w:t>
      </w:r>
    </w:p>
    <w:p>
      <w:pPr>
        <w:spacing w:line="360" w:lineRule="auto"/>
        <w:ind w:firstLine="630" w:firstLineChars="300"/>
        <w:rPr>
          <w:rFonts w:ascii="宋体" w:cs="宋体"/>
          <w:szCs w:val="21"/>
        </w:rPr>
      </w:pPr>
      <w:r>
        <w:rPr>
          <w:rFonts w:hint="eastAsia" w:ascii="宋体" w:cs="宋体"/>
          <w:szCs w:val="21"/>
        </w:rPr>
        <w:t>4、</w:t>
      </w:r>
      <w:r>
        <w:rPr>
          <w:rFonts w:hint="eastAsia" w:ascii="宋体" w:cs="宋体"/>
          <w:b/>
          <w:szCs w:val="21"/>
        </w:rPr>
        <w:t>所有优惠均体现在投标报价中，额外标明或承诺提供其他费用或物品均不予认可</w:t>
      </w:r>
      <w:r>
        <w:rPr>
          <w:rFonts w:hint="eastAsia" w:ascii="宋体" w:cs="宋体"/>
          <w:szCs w:val="21"/>
        </w:rPr>
        <w:t>。</w:t>
      </w:r>
    </w:p>
    <w:p>
      <w:pPr>
        <w:spacing w:line="360" w:lineRule="auto"/>
        <w:ind w:firstLine="630" w:firstLineChars="300"/>
      </w:pPr>
    </w:p>
    <w:p>
      <w:pPr>
        <w:pStyle w:val="6"/>
      </w:pPr>
    </w:p>
    <w:p>
      <w:pPr>
        <w:pStyle w:val="6"/>
      </w:pP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pStyle w:val="6"/>
      </w:pPr>
    </w:p>
    <w:p>
      <w:pPr>
        <w:spacing w:line="360" w:lineRule="auto"/>
        <w:jc w:val="center"/>
        <w:rPr>
          <w:rFonts w:hint="eastAsia"/>
          <w:b/>
          <w:bCs/>
          <w:sz w:val="32"/>
          <w:szCs w:val="32"/>
        </w:rPr>
      </w:pPr>
    </w:p>
    <w:p>
      <w:pPr>
        <w:spacing w:line="360" w:lineRule="auto"/>
        <w:jc w:val="center"/>
        <w:rPr>
          <w:rFonts w:hint="eastAsia"/>
          <w:b/>
          <w:bCs/>
          <w:sz w:val="32"/>
          <w:szCs w:val="32"/>
        </w:rPr>
      </w:pPr>
    </w:p>
    <w:p>
      <w:pPr>
        <w:spacing w:line="360" w:lineRule="auto"/>
        <w:jc w:val="center"/>
        <w:rPr>
          <w:rFonts w:hint="eastAsia"/>
          <w:b/>
          <w:bCs/>
          <w:sz w:val="32"/>
          <w:szCs w:val="32"/>
        </w:rPr>
      </w:pPr>
    </w:p>
    <w:p>
      <w:pPr>
        <w:spacing w:line="360" w:lineRule="auto"/>
        <w:jc w:val="center"/>
        <w:rPr>
          <w:rFonts w:hint="eastAsia"/>
          <w:b/>
          <w:bCs/>
          <w:sz w:val="32"/>
          <w:szCs w:val="32"/>
        </w:rPr>
      </w:pPr>
    </w:p>
    <w:p>
      <w:pPr>
        <w:spacing w:line="360" w:lineRule="auto"/>
        <w:jc w:val="center"/>
        <w:rPr>
          <w:rFonts w:ascii="宋体" w:cs="宋体"/>
          <w:sz w:val="24"/>
          <w:u w:val="single"/>
        </w:rPr>
      </w:pPr>
      <w:r>
        <w:rPr>
          <w:rFonts w:hint="eastAsia"/>
          <w:b/>
          <w:bCs/>
          <w:sz w:val="32"/>
          <w:szCs w:val="32"/>
        </w:rPr>
        <w:t>报价明细表</w:t>
      </w:r>
    </w:p>
    <w:tbl>
      <w:tblPr>
        <w:tblStyle w:val="23"/>
        <w:tblW w:w="8940"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02"/>
        <w:gridCol w:w="1338"/>
        <w:gridCol w:w="1650"/>
        <w:gridCol w:w="667"/>
        <w:gridCol w:w="800"/>
        <w:gridCol w:w="767"/>
        <w:gridCol w:w="16"/>
        <w:gridCol w:w="734"/>
        <w:gridCol w:w="1066"/>
        <w:gridCol w:w="1100"/>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88" w:hRule="atLeast"/>
        </w:trPr>
        <w:tc>
          <w:tcPr>
            <w:tcW w:w="2140" w:type="dxa"/>
            <w:gridSpan w:val="2"/>
            <w:vAlign w:val="center"/>
          </w:tcPr>
          <w:p>
            <w:pPr>
              <w:jc w:val="center"/>
              <w:rPr>
                <w:rFonts w:ascii="宋体" w:cs="宋体"/>
                <w:szCs w:val="21"/>
              </w:rPr>
            </w:pPr>
            <w:r>
              <w:rPr>
                <w:rFonts w:hint="eastAsia" w:ascii="宋体" w:cs="宋体"/>
                <w:szCs w:val="21"/>
              </w:rPr>
              <w:t>项目名称（标包号）</w:t>
            </w:r>
          </w:p>
        </w:tc>
        <w:tc>
          <w:tcPr>
            <w:tcW w:w="6800" w:type="dxa"/>
            <w:gridSpan w:val="8"/>
            <w:vAlign w:val="center"/>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802" w:type="dxa"/>
            <w:vAlign w:val="center"/>
          </w:tcPr>
          <w:p>
            <w:pPr>
              <w:jc w:val="center"/>
              <w:rPr>
                <w:rFonts w:ascii="宋体" w:cs="宋体"/>
                <w:szCs w:val="21"/>
              </w:rPr>
            </w:pPr>
            <w:r>
              <w:rPr>
                <w:rFonts w:hint="eastAsia" w:ascii="宋体" w:cs="宋体"/>
                <w:szCs w:val="21"/>
              </w:rPr>
              <w:t>序号</w:t>
            </w:r>
          </w:p>
        </w:tc>
        <w:tc>
          <w:tcPr>
            <w:tcW w:w="1338" w:type="dxa"/>
            <w:vAlign w:val="center"/>
          </w:tcPr>
          <w:p>
            <w:pPr>
              <w:jc w:val="center"/>
              <w:rPr>
                <w:rFonts w:ascii="宋体" w:cs="宋体"/>
                <w:szCs w:val="21"/>
              </w:rPr>
            </w:pPr>
            <w:r>
              <w:rPr>
                <w:rFonts w:hint="eastAsia" w:ascii="宋体" w:cs="宋体"/>
                <w:szCs w:val="21"/>
              </w:rPr>
              <w:t>产品名称</w:t>
            </w:r>
          </w:p>
        </w:tc>
        <w:tc>
          <w:tcPr>
            <w:tcW w:w="1650"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品牌/型号规格</w:t>
            </w:r>
          </w:p>
        </w:tc>
        <w:tc>
          <w:tcPr>
            <w:tcW w:w="667"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数量</w:t>
            </w:r>
          </w:p>
        </w:tc>
        <w:tc>
          <w:tcPr>
            <w:tcW w:w="800"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单位</w:t>
            </w:r>
          </w:p>
        </w:tc>
        <w:tc>
          <w:tcPr>
            <w:tcW w:w="767"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单价</w:t>
            </w:r>
          </w:p>
        </w:tc>
        <w:tc>
          <w:tcPr>
            <w:tcW w:w="750" w:type="dxa"/>
            <w:gridSpan w:val="2"/>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合计</w:t>
            </w:r>
          </w:p>
        </w:tc>
        <w:tc>
          <w:tcPr>
            <w:tcW w:w="1066"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质保期限</w:t>
            </w:r>
          </w:p>
        </w:tc>
        <w:tc>
          <w:tcPr>
            <w:tcW w:w="1100"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供货时间</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802" w:type="dxa"/>
            <w:vAlign w:val="center"/>
          </w:tcPr>
          <w:p>
            <w:pPr>
              <w:jc w:val="center"/>
              <w:rPr>
                <w:rFonts w:ascii="宋体" w:cs="宋体"/>
                <w:szCs w:val="21"/>
              </w:rPr>
            </w:pPr>
            <w:r>
              <w:rPr>
                <w:rFonts w:hint="eastAsia" w:ascii="宋体" w:cs="宋体"/>
                <w:szCs w:val="21"/>
              </w:rPr>
              <w:t>1</w:t>
            </w:r>
          </w:p>
        </w:tc>
        <w:tc>
          <w:tcPr>
            <w:tcW w:w="1338" w:type="dxa"/>
            <w:vAlign w:val="center"/>
          </w:tcPr>
          <w:p>
            <w:pPr>
              <w:jc w:val="center"/>
              <w:rPr>
                <w:rFonts w:ascii="宋体" w:cs="宋体"/>
                <w:szCs w:val="21"/>
              </w:rPr>
            </w:pPr>
          </w:p>
        </w:tc>
        <w:tc>
          <w:tcPr>
            <w:tcW w:w="1650" w:type="dxa"/>
            <w:vAlign w:val="center"/>
          </w:tcPr>
          <w:p>
            <w:pPr>
              <w:pStyle w:val="9"/>
              <w:numPr>
                <w:ilvl w:val="0"/>
                <w:numId w:val="0"/>
              </w:numPr>
              <w:jc w:val="center"/>
              <w:rPr>
                <w:rFonts w:ascii="宋体" w:eastAsia="宋体" w:cs="宋体"/>
                <w:sz w:val="21"/>
                <w:szCs w:val="21"/>
              </w:rPr>
            </w:pPr>
          </w:p>
        </w:tc>
        <w:tc>
          <w:tcPr>
            <w:tcW w:w="667" w:type="dxa"/>
            <w:vAlign w:val="center"/>
          </w:tcPr>
          <w:p>
            <w:pPr>
              <w:pStyle w:val="9"/>
              <w:numPr>
                <w:ilvl w:val="0"/>
                <w:numId w:val="0"/>
              </w:numPr>
              <w:jc w:val="center"/>
              <w:rPr>
                <w:rFonts w:ascii="宋体" w:eastAsia="宋体" w:cs="宋体"/>
                <w:sz w:val="21"/>
                <w:szCs w:val="21"/>
                <w:highlight w:val="yellow"/>
              </w:rPr>
            </w:pPr>
          </w:p>
        </w:tc>
        <w:tc>
          <w:tcPr>
            <w:tcW w:w="800" w:type="dxa"/>
            <w:vAlign w:val="center"/>
          </w:tcPr>
          <w:p>
            <w:pPr>
              <w:pStyle w:val="9"/>
              <w:numPr>
                <w:ilvl w:val="0"/>
                <w:numId w:val="0"/>
              </w:numPr>
              <w:jc w:val="center"/>
              <w:rPr>
                <w:rFonts w:hint="eastAsia" w:ascii="宋体" w:eastAsia="宋体" w:cs="宋体"/>
                <w:sz w:val="21"/>
                <w:szCs w:val="21"/>
                <w:highlight w:val="yellow"/>
                <w:lang w:eastAsia="zh-CN"/>
              </w:rPr>
            </w:pPr>
          </w:p>
        </w:tc>
        <w:tc>
          <w:tcPr>
            <w:tcW w:w="767" w:type="dxa"/>
            <w:vAlign w:val="center"/>
          </w:tcPr>
          <w:p>
            <w:pPr>
              <w:pStyle w:val="9"/>
              <w:numPr>
                <w:ilvl w:val="0"/>
                <w:numId w:val="0"/>
              </w:numPr>
              <w:jc w:val="center"/>
              <w:rPr>
                <w:rFonts w:ascii="宋体" w:eastAsia="宋体" w:cs="宋体"/>
                <w:sz w:val="21"/>
                <w:szCs w:val="21"/>
                <w:highlight w:val="yellow"/>
              </w:rPr>
            </w:pPr>
          </w:p>
        </w:tc>
        <w:tc>
          <w:tcPr>
            <w:tcW w:w="750" w:type="dxa"/>
            <w:gridSpan w:val="2"/>
            <w:vAlign w:val="center"/>
          </w:tcPr>
          <w:p>
            <w:pPr>
              <w:pStyle w:val="9"/>
              <w:numPr>
                <w:ilvl w:val="0"/>
                <w:numId w:val="0"/>
              </w:numPr>
              <w:jc w:val="center"/>
              <w:rPr>
                <w:rFonts w:ascii="宋体" w:eastAsia="宋体" w:cs="宋体"/>
                <w:sz w:val="21"/>
                <w:szCs w:val="21"/>
              </w:rPr>
            </w:pPr>
          </w:p>
        </w:tc>
        <w:tc>
          <w:tcPr>
            <w:tcW w:w="1066" w:type="dxa"/>
            <w:vAlign w:val="center"/>
          </w:tcPr>
          <w:p>
            <w:pPr>
              <w:pStyle w:val="9"/>
              <w:numPr>
                <w:ilvl w:val="0"/>
                <w:numId w:val="0"/>
              </w:numPr>
              <w:jc w:val="center"/>
              <w:rPr>
                <w:rFonts w:ascii="宋体" w:eastAsia="宋体" w:cs="宋体"/>
                <w:sz w:val="21"/>
                <w:szCs w:val="21"/>
              </w:rPr>
            </w:pPr>
          </w:p>
        </w:tc>
        <w:tc>
          <w:tcPr>
            <w:tcW w:w="1100" w:type="dxa"/>
            <w:vAlign w:val="center"/>
          </w:tcPr>
          <w:p>
            <w:pPr>
              <w:pStyle w:val="9"/>
              <w:numPr>
                <w:ilvl w:val="0"/>
                <w:numId w:val="0"/>
              </w:numPr>
              <w:jc w:val="center"/>
              <w:rPr>
                <w:rFonts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802" w:type="dxa"/>
            <w:vAlign w:val="center"/>
          </w:tcPr>
          <w:p>
            <w:pPr>
              <w:jc w:val="center"/>
              <w:rPr>
                <w:rFonts w:ascii="宋体" w:cs="宋体"/>
                <w:szCs w:val="21"/>
              </w:rPr>
            </w:pPr>
            <w:r>
              <w:rPr>
                <w:rFonts w:hint="eastAsia" w:ascii="宋体" w:cs="宋体"/>
                <w:szCs w:val="21"/>
              </w:rPr>
              <w:t>2</w:t>
            </w:r>
          </w:p>
        </w:tc>
        <w:tc>
          <w:tcPr>
            <w:tcW w:w="1338" w:type="dxa"/>
            <w:vAlign w:val="center"/>
          </w:tcPr>
          <w:p>
            <w:pPr>
              <w:jc w:val="center"/>
              <w:rPr>
                <w:rFonts w:ascii="宋体" w:cs="宋体"/>
                <w:szCs w:val="21"/>
              </w:rPr>
            </w:pPr>
          </w:p>
        </w:tc>
        <w:tc>
          <w:tcPr>
            <w:tcW w:w="1650" w:type="dxa"/>
            <w:vAlign w:val="center"/>
          </w:tcPr>
          <w:p>
            <w:pPr>
              <w:pStyle w:val="9"/>
              <w:numPr>
                <w:ilvl w:val="0"/>
                <w:numId w:val="0"/>
              </w:numPr>
              <w:jc w:val="center"/>
              <w:rPr>
                <w:rFonts w:ascii="宋体" w:eastAsia="宋体" w:cs="宋体"/>
                <w:sz w:val="21"/>
                <w:szCs w:val="21"/>
              </w:rPr>
            </w:pPr>
          </w:p>
        </w:tc>
        <w:tc>
          <w:tcPr>
            <w:tcW w:w="667" w:type="dxa"/>
            <w:vAlign w:val="center"/>
          </w:tcPr>
          <w:p>
            <w:pPr>
              <w:pStyle w:val="9"/>
              <w:numPr>
                <w:ilvl w:val="0"/>
                <w:numId w:val="0"/>
              </w:numPr>
              <w:jc w:val="center"/>
              <w:rPr>
                <w:rFonts w:ascii="宋体" w:eastAsia="宋体" w:cs="宋体"/>
                <w:sz w:val="21"/>
                <w:szCs w:val="21"/>
              </w:rPr>
            </w:pPr>
          </w:p>
        </w:tc>
        <w:tc>
          <w:tcPr>
            <w:tcW w:w="800" w:type="dxa"/>
            <w:vAlign w:val="center"/>
          </w:tcPr>
          <w:p>
            <w:pPr>
              <w:pStyle w:val="9"/>
              <w:numPr>
                <w:ilvl w:val="0"/>
                <w:numId w:val="0"/>
              </w:numPr>
              <w:jc w:val="center"/>
              <w:rPr>
                <w:rFonts w:ascii="宋体" w:eastAsia="宋体" w:cs="宋体"/>
                <w:sz w:val="21"/>
                <w:szCs w:val="21"/>
              </w:rPr>
            </w:pPr>
          </w:p>
        </w:tc>
        <w:tc>
          <w:tcPr>
            <w:tcW w:w="767" w:type="dxa"/>
            <w:vAlign w:val="center"/>
          </w:tcPr>
          <w:p>
            <w:pPr>
              <w:pStyle w:val="9"/>
              <w:numPr>
                <w:ilvl w:val="0"/>
                <w:numId w:val="0"/>
              </w:numPr>
              <w:jc w:val="center"/>
              <w:rPr>
                <w:rFonts w:ascii="宋体" w:eastAsia="宋体" w:cs="宋体"/>
                <w:sz w:val="21"/>
                <w:szCs w:val="21"/>
              </w:rPr>
            </w:pPr>
          </w:p>
        </w:tc>
        <w:tc>
          <w:tcPr>
            <w:tcW w:w="750" w:type="dxa"/>
            <w:gridSpan w:val="2"/>
            <w:vAlign w:val="center"/>
          </w:tcPr>
          <w:p>
            <w:pPr>
              <w:pStyle w:val="9"/>
              <w:numPr>
                <w:ilvl w:val="0"/>
                <w:numId w:val="0"/>
              </w:numPr>
              <w:jc w:val="center"/>
              <w:rPr>
                <w:rFonts w:ascii="宋体" w:eastAsia="宋体" w:cs="宋体"/>
                <w:sz w:val="21"/>
                <w:szCs w:val="21"/>
              </w:rPr>
            </w:pPr>
          </w:p>
        </w:tc>
        <w:tc>
          <w:tcPr>
            <w:tcW w:w="1066" w:type="dxa"/>
            <w:vAlign w:val="center"/>
          </w:tcPr>
          <w:p>
            <w:pPr>
              <w:pStyle w:val="9"/>
              <w:numPr>
                <w:ilvl w:val="0"/>
                <w:numId w:val="0"/>
              </w:numPr>
              <w:jc w:val="center"/>
              <w:rPr>
                <w:rFonts w:ascii="宋体" w:eastAsia="宋体" w:cs="宋体"/>
                <w:sz w:val="21"/>
                <w:szCs w:val="21"/>
              </w:rPr>
            </w:pPr>
          </w:p>
        </w:tc>
        <w:tc>
          <w:tcPr>
            <w:tcW w:w="1100" w:type="dxa"/>
            <w:vAlign w:val="center"/>
          </w:tcPr>
          <w:p>
            <w:pPr>
              <w:pStyle w:val="9"/>
              <w:numPr>
                <w:ilvl w:val="0"/>
                <w:numId w:val="0"/>
              </w:numPr>
              <w:jc w:val="center"/>
              <w:rPr>
                <w:rFonts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802" w:type="dxa"/>
            <w:vAlign w:val="center"/>
          </w:tcPr>
          <w:p>
            <w:pPr>
              <w:jc w:val="center"/>
              <w:rPr>
                <w:rFonts w:ascii="宋体" w:cs="宋体"/>
                <w:szCs w:val="21"/>
              </w:rPr>
            </w:pPr>
            <w:r>
              <w:rPr>
                <w:rFonts w:hint="eastAsia" w:ascii="宋体" w:cs="宋体"/>
                <w:szCs w:val="21"/>
              </w:rPr>
              <w:t>……</w:t>
            </w:r>
          </w:p>
        </w:tc>
        <w:tc>
          <w:tcPr>
            <w:tcW w:w="1338" w:type="dxa"/>
            <w:vAlign w:val="center"/>
          </w:tcPr>
          <w:p>
            <w:pPr>
              <w:jc w:val="center"/>
              <w:rPr>
                <w:rFonts w:ascii="宋体" w:cs="宋体"/>
                <w:szCs w:val="21"/>
              </w:rPr>
            </w:pPr>
          </w:p>
        </w:tc>
        <w:tc>
          <w:tcPr>
            <w:tcW w:w="1650" w:type="dxa"/>
            <w:vAlign w:val="center"/>
          </w:tcPr>
          <w:p>
            <w:pPr>
              <w:pStyle w:val="9"/>
              <w:numPr>
                <w:ilvl w:val="0"/>
                <w:numId w:val="0"/>
              </w:numPr>
              <w:jc w:val="center"/>
              <w:rPr>
                <w:rFonts w:ascii="宋体" w:eastAsia="宋体" w:cs="宋体"/>
                <w:sz w:val="21"/>
                <w:szCs w:val="21"/>
              </w:rPr>
            </w:pPr>
          </w:p>
        </w:tc>
        <w:tc>
          <w:tcPr>
            <w:tcW w:w="667" w:type="dxa"/>
            <w:vAlign w:val="center"/>
          </w:tcPr>
          <w:p>
            <w:pPr>
              <w:pStyle w:val="9"/>
              <w:numPr>
                <w:ilvl w:val="0"/>
                <w:numId w:val="0"/>
              </w:numPr>
              <w:jc w:val="center"/>
              <w:rPr>
                <w:rFonts w:ascii="宋体" w:eastAsia="宋体" w:cs="宋体"/>
                <w:sz w:val="21"/>
                <w:szCs w:val="21"/>
              </w:rPr>
            </w:pPr>
          </w:p>
        </w:tc>
        <w:tc>
          <w:tcPr>
            <w:tcW w:w="800" w:type="dxa"/>
            <w:vAlign w:val="center"/>
          </w:tcPr>
          <w:p>
            <w:pPr>
              <w:pStyle w:val="9"/>
              <w:numPr>
                <w:ilvl w:val="0"/>
                <w:numId w:val="0"/>
              </w:numPr>
              <w:jc w:val="center"/>
              <w:rPr>
                <w:rFonts w:ascii="宋体" w:eastAsia="宋体" w:cs="宋体"/>
                <w:sz w:val="21"/>
                <w:szCs w:val="21"/>
              </w:rPr>
            </w:pPr>
          </w:p>
        </w:tc>
        <w:tc>
          <w:tcPr>
            <w:tcW w:w="767" w:type="dxa"/>
            <w:vAlign w:val="center"/>
          </w:tcPr>
          <w:p>
            <w:pPr>
              <w:pStyle w:val="9"/>
              <w:numPr>
                <w:ilvl w:val="0"/>
                <w:numId w:val="0"/>
              </w:numPr>
              <w:jc w:val="center"/>
              <w:rPr>
                <w:rFonts w:ascii="宋体" w:eastAsia="宋体" w:cs="宋体"/>
                <w:sz w:val="21"/>
                <w:szCs w:val="21"/>
              </w:rPr>
            </w:pPr>
          </w:p>
        </w:tc>
        <w:tc>
          <w:tcPr>
            <w:tcW w:w="750" w:type="dxa"/>
            <w:gridSpan w:val="2"/>
            <w:vAlign w:val="center"/>
          </w:tcPr>
          <w:p>
            <w:pPr>
              <w:pStyle w:val="9"/>
              <w:numPr>
                <w:ilvl w:val="0"/>
                <w:numId w:val="0"/>
              </w:numPr>
              <w:jc w:val="center"/>
              <w:rPr>
                <w:rFonts w:ascii="宋体" w:eastAsia="宋体" w:cs="宋体"/>
                <w:sz w:val="21"/>
                <w:szCs w:val="21"/>
              </w:rPr>
            </w:pPr>
          </w:p>
        </w:tc>
        <w:tc>
          <w:tcPr>
            <w:tcW w:w="1066" w:type="dxa"/>
            <w:vAlign w:val="center"/>
          </w:tcPr>
          <w:p>
            <w:pPr>
              <w:pStyle w:val="9"/>
              <w:numPr>
                <w:ilvl w:val="0"/>
                <w:numId w:val="0"/>
              </w:numPr>
              <w:jc w:val="center"/>
              <w:rPr>
                <w:rFonts w:ascii="宋体" w:eastAsia="宋体" w:cs="宋体"/>
                <w:sz w:val="21"/>
                <w:szCs w:val="21"/>
              </w:rPr>
            </w:pPr>
          </w:p>
        </w:tc>
        <w:tc>
          <w:tcPr>
            <w:tcW w:w="1100" w:type="dxa"/>
            <w:vAlign w:val="center"/>
          </w:tcPr>
          <w:p>
            <w:pPr>
              <w:pStyle w:val="9"/>
              <w:numPr>
                <w:ilvl w:val="0"/>
                <w:numId w:val="0"/>
              </w:numPr>
              <w:jc w:val="center"/>
              <w:rPr>
                <w:rFonts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2140" w:type="dxa"/>
            <w:gridSpan w:val="2"/>
            <w:vAlign w:val="center"/>
          </w:tcPr>
          <w:p>
            <w:pPr>
              <w:jc w:val="center"/>
              <w:rPr>
                <w:rFonts w:ascii="宋体" w:cs="宋体"/>
                <w:szCs w:val="21"/>
              </w:rPr>
            </w:pPr>
            <w:r>
              <w:rPr>
                <w:rFonts w:hint="eastAsia" w:ascii="宋体" w:cs="宋体"/>
                <w:szCs w:val="21"/>
              </w:rPr>
              <w:t>投标报价</w:t>
            </w:r>
          </w:p>
        </w:tc>
        <w:tc>
          <w:tcPr>
            <w:tcW w:w="3900" w:type="dxa"/>
            <w:gridSpan w:val="5"/>
            <w:vAlign w:val="center"/>
          </w:tcPr>
          <w:p>
            <w:pPr>
              <w:pStyle w:val="9"/>
              <w:numPr>
                <w:ilvl w:val="0"/>
                <w:numId w:val="0"/>
              </w:numPr>
              <w:rPr>
                <w:rFonts w:ascii="宋体" w:eastAsia="宋体" w:cs="宋体"/>
                <w:sz w:val="21"/>
                <w:szCs w:val="21"/>
              </w:rPr>
            </w:pPr>
            <w:r>
              <w:rPr>
                <w:rFonts w:hint="eastAsia" w:ascii="宋体" w:eastAsia="宋体" w:cs="宋体"/>
                <w:sz w:val="21"/>
                <w:szCs w:val="21"/>
              </w:rPr>
              <w:t>大写</w:t>
            </w:r>
          </w:p>
        </w:tc>
        <w:tc>
          <w:tcPr>
            <w:tcW w:w="2900" w:type="dxa"/>
            <w:gridSpan w:val="3"/>
            <w:vAlign w:val="center"/>
          </w:tcPr>
          <w:p>
            <w:pPr>
              <w:pStyle w:val="9"/>
              <w:numPr>
                <w:ilvl w:val="0"/>
                <w:numId w:val="0"/>
              </w:numPr>
              <w:rPr>
                <w:rFonts w:ascii="宋体" w:eastAsia="宋体" w:cs="宋体"/>
                <w:sz w:val="21"/>
                <w:szCs w:val="21"/>
              </w:rPr>
            </w:pPr>
            <w:r>
              <w:rPr>
                <w:rFonts w:hint="eastAsia" w:asci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605" w:hRule="atLeast"/>
        </w:trPr>
        <w:tc>
          <w:tcPr>
            <w:tcW w:w="2140" w:type="dxa"/>
            <w:gridSpan w:val="2"/>
            <w:vAlign w:val="center"/>
          </w:tcPr>
          <w:p>
            <w:pPr>
              <w:jc w:val="center"/>
              <w:rPr>
                <w:rFonts w:ascii="宋体" w:cs="宋体"/>
                <w:szCs w:val="21"/>
              </w:rPr>
            </w:pPr>
            <w:r>
              <w:rPr>
                <w:rFonts w:hint="eastAsia" w:ascii="宋体" w:cs="宋体"/>
                <w:szCs w:val="21"/>
              </w:rPr>
              <w:t>投标人名称</w:t>
            </w:r>
          </w:p>
        </w:tc>
        <w:tc>
          <w:tcPr>
            <w:tcW w:w="6800" w:type="dxa"/>
            <w:gridSpan w:val="8"/>
            <w:vAlign w:val="center"/>
          </w:tcPr>
          <w:p>
            <w:pPr>
              <w:rPr>
                <w:rFonts w:ascii="宋体" w:cs="宋体"/>
                <w:szCs w:val="21"/>
              </w:rPr>
            </w:pPr>
          </w:p>
        </w:tc>
      </w:tr>
    </w:tbl>
    <w:p>
      <w:pPr>
        <w:spacing w:line="360" w:lineRule="auto"/>
        <w:rPr>
          <w:rFonts w:ascii="宋体" w:cs="宋体"/>
          <w:b/>
          <w:bCs/>
          <w:color w:val="FF0000"/>
          <w:szCs w:val="21"/>
        </w:rPr>
      </w:pPr>
    </w:p>
    <w:p>
      <w:pPr>
        <w:spacing w:line="360" w:lineRule="auto"/>
        <w:rPr>
          <w:rFonts w:ascii="宋体" w:cs="宋体"/>
          <w:szCs w:val="21"/>
        </w:rPr>
      </w:pPr>
      <w:r>
        <w:rPr>
          <w:rFonts w:hint="eastAsia" w:ascii="宋体" w:cs="宋体"/>
          <w:b/>
          <w:bCs/>
          <w:szCs w:val="21"/>
        </w:rPr>
        <w:t>说明：</w:t>
      </w:r>
      <w:r>
        <w:rPr>
          <w:rFonts w:hint="eastAsia" w:ascii="宋体" w:cs="宋体"/>
          <w:szCs w:val="21"/>
        </w:rPr>
        <w:t>1、投标报价均用人民币表示，单位为元。</w:t>
      </w:r>
    </w:p>
    <w:p>
      <w:pPr>
        <w:spacing w:line="360" w:lineRule="auto"/>
        <w:ind w:firstLine="630" w:firstLineChars="300"/>
        <w:rPr>
          <w:rFonts w:ascii="宋体" w:cs="宋体"/>
          <w:bCs/>
          <w:szCs w:val="21"/>
        </w:rPr>
      </w:pPr>
      <w:r>
        <w:rPr>
          <w:rFonts w:hint="eastAsia" w:ascii="宋体" w:cs="宋体"/>
          <w:szCs w:val="21"/>
        </w:rPr>
        <w:t>2、本项目投标人所投标产品只能报一个</w:t>
      </w:r>
      <w:r>
        <w:rPr>
          <w:rFonts w:hint="eastAsia" w:ascii="宋体" w:cs="宋体"/>
          <w:bCs/>
          <w:szCs w:val="21"/>
        </w:rPr>
        <w:t>投标价</w:t>
      </w:r>
      <w:r>
        <w:rPr>
          <w:rFonts w:hint="eastAsia" w:ascii="宋体" w:cs="宋体"/>
          <w:szCs w:val="21"/>
        </w:rPr>
        <w:t>，且所报价格不得高于最高限价。</w:t>
      </w:r>
    </w:p>
    <w:p>
      <w:pPr>
        <w:spacing w:line="360" w:lineRule="auto"/>
        <w:ind w:firstLine="630" w:firstLineChars="300"/>
        <w:rPr>
          <w:rFonts w:ascii="宋体" w:cs="宋体"/>
          <w:szCs w:val="21"/>
        </w:rPr>
      </w:pPr>
      <w:r>
        <w:rPr>
          <w:rFonts w:hint="eastAsia" w:ascii="宋体" w:cs="宋体"/>
          <w:szCs w:val="21"/>
        </w:rPr>
        <w:t>3、投标人对所投产品报价为，对应本项目需求的全部货物及所需附件购置费（货款）及相关辅助材料、包装费、运杂费（含装卸费）、人工费、风险费、保险费、安装测试费、检测费（含各类特殊检测费用）、技术培训费、各种税费、利润、资料费、货到采购人指定地点的所有费用、售后服务开支及完成项目应有的全部费用。</w:t>
      </w:r>
    </w:p>
    <w:p>
      <w:pPr>
        <w:spacing w:line="360" w:lineRule="auto"/>
        <w:ind w:firstLine="630" w:firstLineChars="300"/>
        <w:rPr>
          <w:rFonts w:ascii="宋体" w:cs="宋体"/>
          <w:szCs w:val="21"/>
        </w:rPr>
      </w:pPr>
      <w:r>
        <w:rPr>
          <w:rFonts w:hint="eastAsia" w:ascii="宋体" w:cs="宋体"/>
          <w:szCs w:val="21"/>
        </w:rPr>
        <w:t>4、</w:t>
      </w:r>
      <w:r>
        <w:rPr>
          <w:rFonts w:hint="eastAsia" w:ascii="宋体" w:cs="宋体"/>
          <w:b/>
          <w:szCs w:val="21"/>
        </w:rPr>
        <w:t>所有优惠均体现在投标报价中，额外标明或承诺提供其他费用或物品均不予认可</w:t>
      </w:r>
      <w:r>
        <w:rPr>
          <w:rFonts w:hint="eastAsia" w:ascii="宋体" w:cs="宋体"/>
          <w:szCs w:val="21"/>
        </w:rPr>
        <w:t>。</w:t>
      </w:r>
    </w:p>
    <w:p>
      <w:pPr>
        <w:spacing w:line="360" w:lineRule="auto"/>
        <w:ind w:firstLine="632" w:firstLineChars="300"/>
        <w:rPr>
          <w:rFonts w:ascii="宋体" w:cs="宋体"/>
          <w:b/>
          <w:szCs w:val="21"/>
        </w:rPr>
      </w:pP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
      <w:r>
        <w:rPr>
          <w:rFonts w:hint="eastAsia"/>
        </w:rPr>
        <w:br w:type="page"/>
      </w:r>
    </w:p>
    <w:p>
      <w:pPr>
        <w:widowControl/>
        <w:jc w:val="left"/>
        <w:textAlignment w:val="center"/>
        <w:rPr>
          <w:rFonts w:ascii="宋体" w:cs="宋体"/>
          <w:b/>
          <w:sz w:val="30"/>
          <w:szCs w:val="30"/>
        </w:rPr>
      </w:pPr>
      <w:r>
        <w:rPr>
          <w:rFonts w:hint="eastAsia" w:ascii="宋体"/>
          <w:b/>
          <w:bCs/>
          <w:kern w:val="0"/>
          <w:sz w:val="24"/>
          <w:lang w:val="en-US" w:eastAsia="zh-CN"/>
        </w:rPr>
        <w:t>6</w:t>
      </w:r>
      <w:r>
        <w:rPr>
          <w:rFonts w:hint="eastAsia" w:ascii="宋体"/>
          <w:b/>
          <w:bCs/>
          <w:kern w:val="0"/>
          <w:sz w:val="24"/>
        </w:rPr>
        <w:t>.3  法定代表人资格证明书</w:t>
      </w:r>
    </w:p>
    <w:p>
      <w:pPr>
        <w:jc w:val="center"/>
        <w:rPr>
          <w:b/>
          <w:bCs/>
          <w:sz w:val="32"/>
          <w:szCs w:val="32"/>
        </w:rPr>
      </w:pPr>
    </w:p>
    <w:p>
      <w:pPr>
        <w:jc w:val="center"/>
        <w:rPr>
          <w:b/>
          <w:bCs/>
          <w:sz w:val="32"/>
          <w:szCs w:val="32"/>
        </w:rPr>
      </w:pPr>
      <w:r>
        <w:rPr>
          <w:rFonts w:hint="eastAsia"/>
          <w:b/>
          <w:bCs/>
          <w:sz w:val="32"/>
          <w:szCs w:val="32"/>
        </w:rPr>
        <w:t>法定代表人身份证明书</w:t>
      </w:r>
    </w:p>
    <w:p>
      <w:pPr>
        <w:jc w:val="center"/>
        <w:rPr>
          <w:b/>
          <w:bCs/>
          <w:sz w:val="32"/>
          <w:szCs w:val="32"/>
        </w:rPr>
      </w:pPr>
    </w:p>
    <w:p>
      <w:pPr>
        <w:spacing w:line="360" w:lineRule="auto"/>
        <w:rPr>
          <w:rFonts w:ascii="宋体" w:cs="宋体"/>
          <w:sz w:val="24"/>
        </w:rPr>
      </w:pPr>
      <w:r>
        <w:rPr>
          <w:rFonts w:hint="eastAsia" w:ascii="宋体" w:cs="宋体"/>
          <w:sz w:val="24"/>
        </w:rPr>
        <w:t xml:space="preserve">单位名称：                              </w:t>
      </w:r>
    </w:p>
    <w:p>
      <w:pPr>
        <w:spacing w:line="360" w:lineRule="auto"/>
        <w:rPr>
          <w:rFonts w:ascii="宋体" w:cs="宋体"/>
          <w:sz w:val="24"/>
        </w:rPr>
      </w:pPr>
      <w:r>
        <w:rPr>
          <w:rFonts w:hint="eastAsia" w:ascii="宋体" w:cs="宋体"/>
          <w:sz w:val="24"/>
        </w:rPr>
        <w:t xml:space="preserve">单位性质：                              </w:t>
      </w:r>
    </w:p>
    <w:p>
      <w:pPr>
        <w:spacing w:line="360" w:lineRule="auto"/>
        <w:rPr>
          <w:rFonts w:ascii="宋体" w:cs="宋体"/>
          <w:sz w:val="24"/>
        </w:rPr>
      </w:pPr>
      <w:r>
        <w:rPr>
          <w:rFonts w:hint="eastAsia" w:ascii="宋体" w:cs="宋体"/>
          <w:sz w:val="24"/>
        </w:rPr>
        <w:t xml:space="preserve">地    址：                              </w:t>
      </w:r>
    </w:p>
    <w:p>
      <w:pPr>
        <w:spacing w:line="360" w:lineRule="auto"/>
        <w:rPr>
          <w:rFonts w:ascii="宋体" w:cs="宋体"/>
          <w:sz w:val="24"/>
        </w:rPr>
      </w:pPr>
      <w:r>
        <w:rPr>
          <w:rFonts w:hint="eastAsia" w:ascii="宋体" w:cs="宋体"/>
          <w:sz w:val="24"/>
        </w:rPr>
        <w:t>成立时间：           年       月       日</w:t>
      </w:r>
    </w:p>
    <w:p>
      <w:pPr>
        <w:spacing w:line="360" w:lineRule="auto"/>
        <w:rPr>
          <w:rFonts w:ascii="宋体" w:cs="宋体"/>
          <w:sz w:val="24"/>
        </w:rPr>
      </w:pPr>
      <w:r>
        <w:rPr>
          <w:rFonts w:hint="eastAsia" w:ascii="宋体" w:cs="宋体"/>
          <w:sz w:val="24"/>
        </w:rPr>
        <w:t xml:space="preserve">经营期限：                              </w:t>
      </w:r>
    </w:p>
    <w:p>
      <w:pPr>
        <w:spacing w:line="360" w:lineRule="auto"/>
        <w:rPr>
          <w:rFonts w:ascii="宋体" w:cs="宋体"/>
          <w:sz w:val="24"/>
        </w:rPr>
      </w:pPr>
    </w:p>
    <w:p>
      <w:pPr>
        <w:spacing w:line="360" w:lineRule="auto"/>
        <w:ind w:firstLine="720" w:firstLineChars="300"/>
        <w:rPr>
          <w:rFonts w:ascii="宋体" w:cs="宋体"/>
          <w:sz w:val="24"/>
        </w:rPr>
      </w:pPr>
      <w:r>
        <w:rPr>
          <w:rFonts w:hint="eastAsia" w:ascii="宋体" w:cs="宋体"/>
          <w:sz w:val="24"/>
        </w:rPr>
        <w:t>姓名：性别：年龄：职务：系（投标人名称）的法定代表人。为参加本项目，签署上述的投标文件、进行合同谈判、签署合同和处理与之有关的一切事物。</w:t>
      </w:r>
    </w:p>
    <w:p>
      <w:pPr>
        <w:spacing w:line="360" w:lineRule="auto"/>
        <w:rPr>
          <w:rFonts w:ascii="宋体" w:cs="宋体"/>
          <w:sz w:val="24"/>
        </w:rPr>
      </w:pPr>
      <w:r>
        <w:rPr>
          <w:rFonts w:hint="eastAsia" w:ascii="宋体" w:cs="宋体"/>
          <w:sz w:val="24"/>
        </w:rPr>
        <w:t>特此证明。</w:t>
      </w:r>
    </w:p>
    <w:p>
      <w:pPr>
        <w:spacing w:line="360" w:lineRule="auto"/>
        <w:rPr>
          <w:rFonts w:ascii="宋体" w:cs="宋体"/>
          <w:sz w:val="24"/>
        </w:rPr>
      </w:pPr>
      <w:r>
        <w:rPr>
          <w:rFonts w:hint="eastAsia" w:ascii="宋体" w:cs="宋体"/>
          <w:sz w:val="24"/>
        </w:rPr>
        <w:t>附：法定代表人身份证明</w:t>
      </w:r>
    </w:p>
    <w:p>
      <w:pPr>
        <w:spacing w:line="360" w:lineRule="auto"/>
        <w:rPr>
          <w:rFonts w:ascii="宋体" w:cs="宋体"/>
          <w:sz w:val="24"/>
        </w:rPr>
      </w:pPr>
      <w:r>
        <w:rPr>
          <w:rFonts w:ascii="仿宋" w:eastAsia="仿宋" w:cs="仿宋"/>
        </w:rPr>
        <mc:AlternateContent>
          <mc:Choice Requires="wps">
            <w:drawing>
              <wp:anchor distT="0" distB="0" distL="75565" distR="75565" simplePos="0" relativeHeight="251659264" behindDoc="0" locked="0" layoutInCell="1" allowOverlap="1">
                <wp:simplePos x="0" y="0"/>
                <wp:positionH relativeFrom="column">
                  <wp:posOffset>2872740</wp:posOffset>
                </wp:positionH>
                <wp:positionV relativeFrom="paragraph">
                  <wp:posOffset>2540</wp:posOffset>
                </wp:positionV>
                <wp:extent cx="2710180" cy="1793875"/>
                <wp:effectExtent l="0" t="0" r="0" b="0"/>
                <wp:wrapNone/>
                <wp:docPr id="7" name="圆角矩形 10"/>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7"/>
                          </a:avLst>
                        </a:prstGeom>
                        <a:noFill/>
                        <a:ln w="25400" cap="flat" cmpd="sng">
                          <a:solidFill>
                            <a:srgbClr val="000000"/>
                          </a:solidFill>
                          <a:prstDash val="solid"/>
                          <a:round/>
                        </a:ln>
                      </wps:spPr>
                      <wps:txb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法定代表人身份证反面</w:t>
                            </w:r>
                          </w:p>
                          <w:p>
                            <w:pPr>
                              <w:jc w:val="center"/>
                            </w:pPr>
                          </w:p>
                        </w:txbxContent>
                      </wps:txbx>
                      <wps:bodyPr vert="horz" wrap="square" lIns="91440" tIns="45720" rIns="91440" bIns="45720" anchor="ctr" anchorCtr="0">
                        <a:noAutofit/>
                      </wps:bodyPr>
                    </wps:wsp>
                  </a:graphicData>
                </a:graphic>
              </wp:anchor>
            </w:drawing>
          </mc:Choice>
          <mc:Fallback>
            <w:pict>
              <v:roundrect id="圆角矩形 10" o:spid="_x0000_s1026" o:spt="2" style="position:absolute;left:0pt;margin-left:226.2pt;margin-top:0.2pt;height:141.25pt;width:213.4pt;z-index:251659264;v-text-anchor:middle;mso-width-relative:page;mso-height-relative:page;" filled="f" stroked="t" coordsize="21600,21600" arcsize="0.0403703703703704" o:gfxdata="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SdXzPVAAAA&#10;CAEAAA8AAAAAAAAAAQAgAAAAIgAAAGRycy9kb3ducmV2LnhtbFBLAQIUABQAAAAIAIdO4kAycTmD&#10;IAIAAA4EAAAOAAAAAAAAAAEAIAAAACQBAABkcnMvZTJvRG9jLnhtbFBLBQYAAAAABgAGAFkBAAC2&#10;BQAAAAA=&#10;">
                <v:fill on="f" focussize="0,0"/>
                <v:stroke weight="2pt" color="#000000" joinstyle="round"/>
                <v:imagedata o:title=""/>
                <o:lock v:ext="edit" aspectratio="f"/>
                <v:textbo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法定代表人身份证反面</w:t>
                      </w:r>
                    </w:p>
                    <w:p>
                      <w:pPr>
                        <w:jc w:val="center"/>
                      </w:pPr>
                    </w:p>
                  </w:txbxContent>
                </v:textbox>
              </v:roundrect>
            </w:pict>
          </mc:Fallback>
        </mc:AlternateContent>
      </w:r>
      <w:r>
        <w:rPr>
          <w:rFonts w:ascii="仿宋" w:eastAsia="仿宋" w:cs="仿宋"/>
        </w:rPr>
        <mc:AlternateContent>
          <mc:Choice Requires="wps">
            <w:drawing>
              <wp:anchor distT="0" distB="0" distL="75565" distR="75565" simplePos="0" relativeHeight="251660288" behindDoc="0" locked="0" layoutInCell="1" allowOverlap="1">
                <wp:simplePos x="0" y="0"/>
                <wp:positionH relativeFrom="column">
                  <wp:posOffset>68580</wp:posOffset>
                </wp:positionH>
                <wp:positionV relativeFrom="paragraph">
                  <wp:posOffset>2540</wp:posOffset>
                </wp:positionV>
                <wp:extent cx="2710180" cy="1793875"/>
                <wp:effectExtent l="0" t="0" r="0" b="0"/>
                <wp:wrapNone/>
                <wp:docPr id="10" name="圆角矩形 13"/>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7"/>
                          </a:avLst>
                        </a:prstGeom>
                        <a:noFill/>
                        <a:ln w="25400" cap="flat" cmpd="sng">
                          <a:solidFill>
                            <a:srgbClr val="000000"/>
                          </a:solidFill>
                          <a:prstDash val="solid"/>
                          <a:round/>
                        </a:ln>
                      </wps:spPr>
                      <wps:txb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法定代表人身份证正面</w:t>
                            </w:r>
                          </w:p>
                          <w:p>
                            <w:pPr>
                              <w:jc w:val="center"/>
                            </w:pPr>
                          </w:p>
                        </w:txbxContent>
                      </wps:txbx>
                      <wps:bodyPr vert="horz" wrap="square" lIns="91440" tIns="45720" rIns="91440" bIns="45720" anchor="ctr" anchorCtr="0">
                        <a:noAutofit/>
                      </wps:bodyPr>
                    </wps:wsp>
                  </a:graphicData>
                </a:graphic>
              </wp:anchor>
            </w:drawing>
          </mc:Choice>
          <mc:Fallback>
            <w:pict>
              <v:roundrect id="圆角矩形 13" o:spid="_x0000_s1026" o:spt="2" style="position:absolute;left:0pt;margin-left:5.4pt;margin-top:0.2pt;height:141.25pt;width:213.4pt;z-index:251660288;v-text-anchor:middle;mso-width-relative:page;mso-height-relative:page;" filled="f" stroked="t" coordsize="21600,21600" arcsize="0.0403703703703704" o:gfxdata="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g7Y0/SAAAABwEA&#10;AA8AAAAAAAAAAQAgAAAAIgAAAGRycy9kb3ducmV2LnhtbFBLAQIUABQAAAAIAIdO4kAANy8YIAIA&#10;AA8EAAAOAAAAAAAAAAEAIAAAACEBAABkcnMvZTJvRG9jLnhtbFBLBQYAAAAABgAGAFkBAACzBQAA&#10;AAA=&#10;">
                <v:fill on="f" focussize="0,0"/>
                <v:stroke weight="2pt" color="#000000" joinstyle="round"/>
                <v:imagedata o:title=""/>
                <o:lock v:ext="edit" aspectratio="f"/>
                <v:textbo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法定代表人身份证正面</w:t>
                      </w:r>
                    </w:p>
                    <w:p>
                      <w:pPr>
                        <w:jc w:val="center"/>
                      </w:pPr>
                    </w:p>
                  </w:txbxContent>
                </v:textbox>
              </v:roundrect>
            </w:pict>
          </mc:Fallback>
        </mc:AlternateContent>
      </w:r>
    </w:p>
    <w:p>
      <w:pPr>
        <w:spacing w:line="360" w:lineRule="auto"/>
        <w:rPr>
          <w:rFonts w:ascii="宋体" w:cs="宋体"/>
          <w:sz w:val="24"/>
        </w:rPr>
      </w:pPr>
    </w:p>
    <w:p>
      <w:pPr>
        <w:pStyle w:val="9"/>
        <w:numPr>
          <w:ilvl w:val="0"/>
          <w:numId w:val="0"/>
        </w:numPr>
        <w:rPr>
          <w:rFonts w:ascii="宋体" w:hAnsi="宋体" w:cs="宋体"/>
          <w:sz w:val="24"/>
        </w:rPr>
      </w:pPr>
    </w:p>
    <w:p>
      <w:pPr>
        <w:pStyle w:val="9"/>
        <w:numPr>
          <w:ilvl w:val="0"/>
          <w:numId w:val="0"/>
        </w:numPr>
        <w:rPr>
          <w:rFonts w:ascii="宋体" w:hAnsi="宋体" w:cs="宋体"/>
          <w:sz w:val="24"/>
        </w:rPr>
      </w:pPr>
    </w:p>
    <w:p>
      <w:pPr>
        <w:pStyle w:val="9"/>
        <w:numPr>
          <w:ilvl w:val="0"/>
          <w:numId w:val="0"/>
        </w:numPr>
        <w:rPr>
          <w:rFonts w:ascii="宋体" w:hAnsi="宋体" w:cs="宋体"/>
          <w:sz w:val="24"/>
        </w:rPr>
      </w:pPr>
    </w:p>
    <w:p>
      <w:pPr>
        <w:pStyle w:val="9"/>
        <w:numPr>
          <w:ilvl w:val="0"/>
          <w:numId w:val="0"/>
        </w:numPr>
        <w:rPr>
          <w:rFonts w:ascii="宋体" w:hAnsi="宋体" w:cs="宋体"/>
          <w:sz w:val="24"/>
        </w:rPr>
      </w:pPr>
    </w:p>
    <w:p>
      <w:pPr>
        <w:spacing w:line="360" w:lineRule="auto"/>
        <w:rPr>
          <w:rFonts w:ascii="宋体" w:cs="宋体"/>
          <w:sz w:val="24"/>
        </w:rPr>
      </w:pPr>
    </w:p>
    <w:p>
      <w:pPr>
        <w:pStyle w:val="11"/>
        <w:tabs>
          <w:tab w:val="left" w:pos="5580"/>
        </w:tabs>
        <w:spacing w:line="360" w:lineRule="auto"/>
        <w:ind w:left="-540" w:leftChars="-257" w:firstLine="900" w:firstLineChars="375"/>
        <w:rPr>
          <w:sz w:val="24"/>
        </w:rPr>
      </w:pPr>
    </w:p>
    <w:p>
      <w:pPr>
        <w:spacing w:line="360" w:lineRule="auto"/>
        <w:ind w:firstLine="720" w:firstLineChars="300"/>
        <w:rPr>
          <w:rFonts w:ascii="宋体" w:cs="宋体"/>
          <w:sz w:val="24"/>
        </w:rPr>
      </w:pPr>
    </w:p>
    <w:p>
      <w:pPr>
        <w:pStyle w:val="9"/>
        <w:numPr>
          <w:ilvl w:val="0"/>
          <w:numId w:val="0"/>
        </w:numPr>
      </w:pPr>
    </w:p>
    <w:p>
      <w:pPr>
        <w:pStyle w:val="11"/>
        <w:tabs>
          <w:tab w:val="left" w:pos="5580"/>
        </w:tabs>
        <w:spacing w:line="360" w:lineRule="auto"/>
        <w:ind w:firstLine="3600" w:firstLineChars="1500"/>
        <w:rPr>
          <w:sz w:val="24"/>
        </w:rPr>
      </w:pPr>
      <w:r>
        <w:rPr>
          <w:rFonts w:hint="eastAsia"/>
          <w:sz w:val="24"/>
        </w:rPr>
        <w:t>投标人（盖</w:t>
      </w:r>
      <w:r>
        <w:rPr>
          <w:sz w:val="24"/>
        </w:rPr>
        <w:t>章）：</w:t>
      </w:r>
    </w:p>
    <w:p>
      <w:pPr>
        <w:pStyle w:val="11"/>
        <w:tabs>
          <w:tab w:val="left" w:pos="5580"/>
        </w:tabs>
        <w:spacing w:line="360" w:lineRule="auto"/>
        <w:ind w:firstLine="3600" w:firstLineChars="1500"/>
        <w:rPr>
          <w:sz w:val="24"/>
          <w:u w:val="single"/>
        </w:rPr>
      </w:pPr>
      <w:r>
        <w:rPr>
          <w:rFonts w:hint="eastAsia"/>
          <w:sz w:val="24"/>
        </w:rPr>
        <w:t>法定代表人（签章）：</w:t>
      </w:r>
    </w:p>
    <w:p>
      <w:pPr>
        <w:spacing w:line="360" w:lineRule="auto"/>
        <w:ind w:firstLine="3600" w:firstLineChars="1500"/>
        <w:rPr>
          <w:sz w:val="24"/>
          <w:u w:val="single"/>
        </w:rPr>
      </w:pPr>
      <w:r>
        <w:rPr>
          <w:rFonts w:hint="eastAsia"/>
          <w:sz w:val="24"/>
        </w:rPr>
        <w:t>日期：</w:t>
      </w:r>
    </w:p>
    <w:p>
      <w:pPr>
        <w:rPr>
          <w:rFonts w:ascii="宋体"/>
          <w:b/>
          <w:bCs/>
          <w:kern w:val="0"/>
          <w:sz w:val="24"/>
        </w:rPr>
      </w:pPr>
    </w:p>
    <w:p>
      <w:pPr>
        <w:rPr>
          <w:rFonts w:ascii="宋体"/>
          <w:b/>
          <w:bCs/>
          <w:kern w:val="0"/>
          <w:sz w:val="24"/>
        </w:rPr>
      </w:pPr>
      <w:r>
        <w:rPr>
          <w:rFonts w:hint="eastAsia" w:ascii="宋体"/>
          <w:b/>
          <w:bCs/>
          <w:kern w:val="0"/>
          <w:sz w:val="24"/>
        </w:rPr>
        <w:br w:type="page"/>
      </w:r>
    </w:p>
    <w:p>
      <w:pPr>
        <w:rPr>
          <w:rFonts w:ascii="宋体"/>
          <w:kern w:val="0"/>
          <w:sz w:val="24"/>
        </w:rPr>
      </w:pPr>
      <w:r>
        <w:rPr>
          <w:rFonts w:hint="eastAsia" w:ascii="宋体"/>
          <w:b/>
          <w:bCs/>
          <w:kern w:val="0"/>
          <w:sz w:val="24"/>
          <w:lang w:val="en-US" w:eastAsia="zh-CN"/>
        </w:rPr>
        <w:t>6</w:t>
      </w:r>
      <w:r>
        <w:rPr>
          <w:rFonts w:hint="eastAsia" w:ascii="宋体"/>
          <w:b/>
          <w:bCs/>
          <w:kern w:val="0"/>
          <w:sz w:val="24"/>
        </w:rPr>
        <w:t>.4  授权委托书</w:t>
      </w:r>
    </w:p>
    <w:p>
      <w:pPr>
        <w:jc w:val="center"/>
        <w:rPr>
          <w:rFonts w:ascii="宋体"/>
          <w:kern w:val="0"/>
          <w:sz w:val="24"/>
        </w:rPr>
      </w:pPr>
      <w:r>
        <w:rPr>
          <w:rFonts w:hint="eastAsia"/>
          <w:b/>
          <w:bCs/>
          <w:sz w:val="32"/>
          <w:szCs w:val="32"/>
        </w:rPr>
        <w:t>授权委托书</w:t>
      </w:r>
    </w:p>
    <w:p>
      <w:pPr>
        <w:widowControl/>
        <w:shd w:val="clear" w:color="auto" w:fill="FFFFFF"/>
        <w:snapToGrid w:val="0"/>
        <w:spacing w:line="360" w:lineRule="auto"/>
        <w:ind w:firstLine="480" w:firstLineChars="200"/>
        <w:jc w:val="left"/>
        <w:rPr>
          <w:rFonts w:ascii="宋体" w:cs="宋体"/>
          <w:kern w:val="0"/>
          <w:sz w:val="24"/>
        </w:rPr>
      </w:pPr>
      <w:r>
        <w:rPr>
          <w:rFonts w:hint="eastAsia" w:ascii="宋体" w:cs="宋体"/>
          <w:kern w:val="0"/>
          <w:sz w:val="24"/>
        </w:rPr>
        <w:t>本授权委托书声明：注册于</w:t>
      </w:r>
      <w:r>
        <w:rPr>
          <w:rFonts w:hint="eastAsia" w:ascii="宋体" w:cs="宋体"/>
          <w:kern w:val="0"/>
          <w:sz w:val="24"/>
          <w:u w:val="single"/>
        </w:rPr>
        <w:t xml:space="preserve">         </w:t>
      </w:r>
      <w:r>
        <w:rPr>
          <w:rFonts w:hint="eastAsia" w:ascii="宋体" w:cs="宋体"/>
          <w:kern w:val="0"/>
          <w:sz w:val="24"/>
        </w:rPr>
        <w:t>（注册地址）的</w:t>
      </w:r>
      <w:r>
        <w:rPr>
          <w:rFonts w:hint="eastAsia" w:ascii="宋体" w:cs="宋体"/>
          <w:kern w:val="0"/>
          <w:sz w:val="24"/>
          <w:u w:val="single"/>
        </w:rPr>
        <w:t xml:space="preserve">              </w:t>
      </w:r>
      <w:r>
        <w:rPr>
          <w:rFonts w:hint="eastAsia" w:ascii="宋体" w:cs="宋体"/>
          <w:kern w:val="0"/>
          <w:sz w:val="24"/>
        </w:rPr>
        <w:t>（投标人名称）的在下面签字的</w:t>
      </w:r>
      <w:r>
        <w:rPr>
          <w:rFonts w:hint="eastAsia" w:ascii="宋体" w:cs="宋体"/>
          <w:kern w:val="0"/>
          <w:sz w:val="24"/>
          <w:u w:val="single"/>
        </w:rPr>
        <w:t xml:space="preserve">                      </w:t>
      </w:r>
      <w:r>
        <w:rPr>
          <w:rFonts w:hint="eastAsia" w:ascii="宋体" w:cs="宋体"/>
          <w:kern w:val="0"/>
          <w:sz w:val="24"/>
        </w:rPr>
        <w:t xml:space="preserve">（法定代表姓名、职务），代表我单位授权在下面签字的 </w:t>
      </w:r>
      <w:r>
        <w:rPr>
          <w:rFonts w:hint="eastAsia" w:ascii="宋体" w:cs="宋体"/>
          <w:kern w:val="0"/>
          <w:sz w:val="24"/>
          <w:u w:val="single"/>
        </w:rPr>
        <w:t xml:space="preserve">                       </w:t>
      </w:r>
      <w:r>
        <w:rPr>
          <w:rFonts w:hint="eastAsia" w:ascii="宋体" w:cs="宋体"/>
          <w:kern w:val="0"/>
          <w:sz w:val="24"/>
        </w:rPr>
        <w:t xml:space="preserve"> （被授权人的姓名、职务）为我公司的委托代理人。委托代理人根据授权，就</w:t>
      </w:r>
      <w:r>
        <w:rPr>
          <w:rFonts w:hint="eastAsia" w:ascii="宋体" w:cs="宋体"/>
          <w:kern w:val="0"/>
          <w:sz w:val="24"/>
          <w:u w:val="single"/>
        </w:rPr>
        <w:t xml:space="preserve">                 </w:t>
      </w:r>
      <w:r>
        <w:rPr>
          <w:rFonts w:hint="eastAsia" w:ascii="宋体" w:cs="宋体"/>
          <w:kern w:val="0"/>
          <w:sz w:val="24"/>
        </w:rPr>
        <w:t>（招标项目名称、项目编号）的投标活动，代理人在开标、评标、合同谈判过程中所签署的一切文件和处理与之有关的事务，我公司均予以承认，其法律后果由我公司承担。</w:t>
      </w:r>
    </w:p>
    <w:p>
      <w:pPr>
        <w:pStyle w:val="9"/>
        <w:numPr>
          <w:ilvl w:val="0"/>
          <w:numId w:val="0"/>
        </w:numPr>
        <w:spacing w:line="360" w:lineRule="auto"/>
        <w:rPr>
          <w:rFonts w:ascii="宋体" w:eastAsia="宋体" w:cs="宋体"/>
          <w:sz w:val="24"/>
        </w:rPr>
      </w:pPr>
      <w:r>
        <w:rPr>
          <w:rFonts w:hint="eastAsia" w:ascii="宋体" w:eastAsia="宋体" w:cs="宋体"/>
          <w:kern w:val="0"/>
          <w:sz w:val="24"/>
        </w:rPr>
        <w:t xml:space="preserve">    代理人无转委托权，特此委托！</w:t>
      </w:r>
    </w:p>
    <w:p>
      <w:pPr>
        <w:widowControl/>
        <w:shd w:val="clear" w:color="auto" w:fill="FFFFFF"/>
        <w:snapToGrid w:val="0"/>
        <w:spacing w:line="360" w:lineRule="auto"/>
        <w:ind w:firstLine="480" w:firstLineChars="200"/>
        <w:jc w:val="left"/>
        <w:rPr>
          <w:rFonts w:ascii="宋体" w:cs="宋体"/>
          <w:kern w:val="0"/>
          <w:sz w:val="24"/>
          <w:u w:val="single"/>
        </w:rPr>
      </w:pPr>
      <w:r>
        <w:rPr>
          <w:rFonts w:hint="eastAsia" w:ascii="宋体" w:cs="宋体"/>
          <w:kern w:val="0"/>
          <w:sz w:val="24"/>
        </w:rPr>
        <w:t>代理人：性别： 年龄：</w:t>
      </w:r>
    </w:p>
    <w:p>
      <w:pPr>
        <w:widowControl/>
        <w:shd w:val="clear" w:color="auto" w:fill="FFFFFF"/>
        <w:snapToGrid w:val="0"/>
        <w:spacing w:line="360" w:lineRule="auto"/>
        <w:ind w:firstLine="480" w:firstLineChars="200"/>
        <w:jc w:val="left"/>
        <w:rPr>
          <w:rFonts w:ascii="宋体"/>
          <w:kern w:val="0"/>
          <w:sz w:val="24"/>
        </w:rPr>
      </w:pPr>
      <w:r>
        <w:rPr>
          <w:rFonts w:hint="eastAsia" w:ascii="宋体" w:cs="宋体"/>
          <w:kern w:val="0"/>
          <w:sz w:val="24"/>
        </w:rPr>
        <w:t>身份证号码：部门：</w:t>
      </w:r>
      <w:r>
        <w:rPr>
          <w:rFonts w:hint="eastAsia" w:ascii="宋体"/>
          <w:kern w:val="0"/>
          <w:sz w:val="24"/>
        </w:rPr>
        <w:t>职务：</w:t>
      </w:r>
    </w:p>
    <w:p>
      <w:pPr>
        <w:widowControl/>
        <w:shd w:val="clear" w:color="auto" w:fill="FFFFFF"/>
        <w:snapToGrid w:val="0"/>
        <w:spacing w:line="360" w:lineRule="auto"/>
        <w:ind w:firstLine="480" w:firstLineChars="200"/>
        <w:jc w:val="left"/>
        <w:rPr>
          <w:rFonts w:ascii="宋体"/>
          <w:kern w:val="0"/>
          <w:sz w:val="24"/>
        </w:rPr>
      </w:pPr>
      <w:r>
        <w:rPr>
          <w:rFonts w:hint="eastAsia" w:ascii="宋体"/>
          <w:kern w:val="0"/>
          <w:sz w:val="24"/>
        </w:rPr>
        <w:t>附：法定代表人及授权委托代理人身份证明。</w:t>
      </w:r>
    </w:p>
    <w:p>
      <w:pPr>
        <w:widowControl/>
        <w:shd w:val="clear" w:color="auto" w:fill="FFFFFF"/>
        <w:snapToGrid w:val="0"/>
        <w:spacing w:line="360" w:lineRule="auto"/>
        <w:jc w:val="left"/>
        <w:rPr>
          <w:rFonts w:ascii="宋体"/>
          <w:kern w:val="0"/>
          <w:sz w:val="24"/>
        </w:rPr>
      </w:pPr>
      <w:r>
        <w:rPr>
          <w:rFonts w:ascii="仿宋" w:eastAsia="仿宋" w:cs="仿宋"/>
        </w:rPr>
        <mc:AlternateContent>
          <mc:Choice Requires="wps">
            <w:drawing>
              <wp:anchor distT="0" distB="0" distL="75565" distR="75565" simplePos="0" relativeHeight="251661312" behindDoc="0" locked="0" layoutInCell="1" allowOverlap="1">
                <wp:simplePos x="0" y="0"/>
                <wp:positionH relativeFrom="column">
                  <wp:posOffset>2976245</wp:posOffset>
                </wp:positionH>
                <wp:positionV relativeFrom="paragraph">
                  <wp:posOffset>19050</wp:posOffset>
                </wp:positionV>
                <wp:extent cx="2710180" cy="1588770"/>
                <wp:effectExtent l="0" t="0" r="0" b="0"/>
                <wp:wrapNone/>
                <wp:docPr id="13" name="圆角矩形 16"/>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2398"/>
                          </a:avLst>
                        </a:prstGeom>
                        <a:noFill/>
                        <a:ln w="25400" cap="flat" cmpd="sng">
                          <a:solidFill>
                            <a:srgbClr val="000000"/>
                          </a:solidFill>
                          <a:prstDash val="solid"/>
                          <a:round/>
                        </a:ln>
                      </wps:spPr>
                      <wps:txb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kern w:val="0"/>
                                <w:sz w:val="24"/>
                              </w:rPr>
                              <w:t>定代表</w:t>
                            </w:r>
                            <w:r>
                              <w:rPr>
                                <w:rFonts w:hint="eastAsia" w:ascii="仿宋" w:eastAsia="仿宋"/>
                                <w:color w:val="000000"/>
                              </w:rPr>
                              <w:t>人身份证反面</w:t>
                            </w:r>
                          </w:p>
                          <w:p>
                            <w:pPr>
                              <w:jc w:val="center"/>
                            </w:pPr>
                          </w:p>
                        </w:txbxContent>
                      </wps:txbx>
                      <wps:bodyPr vert="horz" wrap="square" lIns="91440" tIns="45720" rIns="91440" bIns="45720" anchor="ctr" anchorCtr="0">
                        <a:noAutofit/>
                      </wps:bodyPr>
                    </wps:wsp>
                  </a:graphicData>
                </a:graphic>
              </wp:anchor>
            </w:drawing>
          </mc:Choice>
          <mc:Fallback>
            <w:pict>
              <v:roundrect id="圆角矩形 16" o:spid="_x0000_s1026" o:spt="2" style="position:absolute;left:0pt;margin-left:234.35pt;margin-top:1.5pt;height:125.1pt;width:213.4pt;z-index:251661312;v-text-anchor:middle;mso-width-relative:page;mso-height-relative:page;" filled="f" stroked="t" coordsize="21600,21600" arcsize="0.0239814814814815" o:gfxdata="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n4yf&#10;hdgAAAAJAQAADwAAAAAAAAABACAAAAAiAAAAZHJzL2Rvd25yZXYueG1sUEsBAhQAFAAAAAgAh07i&#10;QEV+PZgiAgAADwQAAA4AAAAAAAAAAQAgAAAAJwEAAGRycy9lMm9Eb2MueG1sUEsFBgAAAAAGAAYA&#10;WQEAALsFAAAAAA==&#10;">
                <v:fill on="f" focussize="0,0"/>
                <v:stroke weight="2pt" color="#000000" joinstyle="round"/>
                <v:imagedata o:title=""/>
                <o:lock v:ext="edit" aspectratio="f"/>
                <v:textbo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kern w:val="0"/>
                          <w:sz w:val="24"/>
                        </w:rPr>
                        <w:t>定代表</w:t>
                      </w:r>
                      <w:r>
                        <w:rPr>
                          <w:rFonts w:hint="eastAsia" w:ascii="仿宋" w:eastAsia="仿宋"/>
                          <w:color w:val="000000"/>
                        </w:rPr>
                        <w:t>人身份证反面</w:t>
                      </w:r>
                    </w:p>
                    <w:p>
                      <w:pPr>
                        <w:jc w:val="center"/>
                      </w:pPr>
                    </w:p>
                  </w:txbxContent>
                </v:textbox>
              </v:roundrect>
            </w:pict>
          </mc:Fallback>
        </mc:AlternateContent>
      </w:r>
      <w:r>
        <w:rPr>
          <w:rFonts w:ascii="仿宋" w:eastAsia="仿宋" w:cs="仿宋"/>
        </w:rPr>
        <mc:AlternateContent>
          <mc:Choice Requires="wps">
            <w:drawing>
              <wp:anchor distT="0" distB="0" distL="75565" distR="75565" simplePos="0" relativeHeight="251662336" behindDoc="0" locked="0" layoutInCell="1" allowOverlap="1">
                <wp:simplePos x="0" y="0"/>
                <wp:positionH relativeFrom="column">
                  <wp:posOffset>77470</wp:posOffset>
                </wp:positionH>
                <wp:positionV relativeFrom="paragraph">
                  <wp:posOffset>10795</wp:posOffset>
                </wp:positionV>
                <wp:extent cx="2710180" cy="1588770"/>
                <wp:effectExtent l="0" t="0" r="0" b="0"/>
                <wp:wrapNone/>
                <wp:docPr id="16"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7"/>
                          </a:avLst>
                        </a:prstGeom>
                        <a:noFill/>
                        <a:ln w="25400" cap="flat" cmpd="sng">
                          <a:solidFill>
                            <a:srgbClr val="000000"/>
                          </a:solidFill>
                          <a:prstDash val="solid"/>
                          <a:round/>
                        </a:ln>
                      </wps:spPr>
                      <wps:txb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kern w:val="0"/>
                                <w:sz w:val="24"/>
                              </w:rPr>
                              <w:t>定代表</w:t>
                            </w:r>
                            <w:r>
                              <w:rPr>
                                <w:rFonts w:hint="eastAsia" w:ascii="仿宋" w:eastAsia="仿宋"/>
                                <w:color w:val="000000"/>
                              </w:rPr>
                              <w:t>人身份证正面</w:t>
                            </w:r>
                          </w:p>
                          <w:p>
                            <w:pPr>
                              <w:jc w:val="center"/>
                            </w:pPr>
                          </w:p>
                        </w:txbxContent>
                      </wps:txbx>
                      <wps:bodyPr vert="horz" wrap="square" lIns="91440" tIns="45720" rIns="91440" bIns="45720" anchor="ctr" anchorCtr="0">
                        <a:noAutofit/>
                      </wps:bodyPr>
                    </wps:wsp>
                  </a:graphicData>
                </a:graphic>
              </wp:anchor>
            </w:drawing>
          </mc:Choice>
          <mc:Fallback>
            <w:pict>
              <v:roundrect id="圆角矩形 17" o:spid="_x0000_s1026" o:spt="2" style="position:absolute;left:0pt;margin-left:6.1pt;margin-top:0.85pt;height:125.1pt;width:213.4pt;z-index:251662336;v-text-anchor:middle;mso-width-relative:page;mso-height-relative:page;" filled="f" stroked="t" coordsize="21600,21600" arcsize="0.0403703703703704" o:gfxdata="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y7agdMAAAAI&#10;AQAADwAAAAAAAAABACAAAAAiAAAAZHJzL2Rvd25yZXYueG1sUEsBAhQAFAAAAAgAh07iQPtW760h&#10;AgAADwQAAA4AAAAAAAAAAQAgAAAAIgEAAGRycy9lMm9Eb2MueG1sUEsFBgAAAAAGAAYAWQEAALUF&#10;AAAAAA==&#10;">
                <v:fill on="f" focussize="0,0"/>
                <v:stroke weight="2pt" color="#000000" joinstyle="round"/>
                <v:imagedata o:title=""/>
                <o:lock v:ext="edit" aspectratio="f"/>
                <v:textbo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kern w:val="0"/>
                          <w:sz w:val="24"/>
                        </w:rPr>
                        <w:t>定代表</w:t>
                      </w:r>
                      <w:r>
                        <w:rPr>
                          <w:rFonts w:hint="eastAsia" w:ascii="仿宋" w:eastAsia="仿宋"/>
                          <w:color w:val="000000"/>
                        </w:rPr>
                        <w:t>人身份证正面</w:t>
                      </w:r>
                    </w:p>
                    <w:p>
                      <w:pPr>
                        <w:jc w:val="center"/>
                      </w:pPr>
                    </w:p>
                  </w:txbxContent>
                </v:textbox>
              </v:roundrect>
            </w:pict>
          </mc:Fallback>
        </mc:AlternateContent>
      </w:r>
    </w:p>
    <w:p>
      <w:pPr>
        <w:widowControl/>
        <w:shd w:val="clear" w:color="auto" w:fill="FFFFFF"/>
        <w:snapToGrid w:val="0"/>
        <w:spacing w:line="360" w:lineRule="auto"/>
        <w:jc w:val="left"/>
        <w:rPr>
          <w:rFonts w:ascii="宋体"/>
          <w:kern w:val="0"/>
          <w:sz w:val="24"/>
        </w:rPr>
      </w:pP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20" w:firstLineChars="200"/>
        <w:rPr>
          <w:sz w:val="24"/>
          <w:u w:val="single" w:color="FFFFFF"/>
        </w:rPr>
      </w:pPr>
      <w:r>
        <w:rPr>
          <w:rFonts w:ascii="仿宋" w:eastAsia="仿宋" w:cs="仿宋"/>
        </w:rPr>
        <mc:AlternateContent>
          <mc:Choice Requires="wps">
            <w:drawing>
              <wp:anchor distT="0" distB="0" distL="75565" distR="75565" simplePos="0" relativeHeight="251663360" behindDoc="0" locked="0" layoutInCell="1" allowOverlap="1">
                <wp:simplePos x="0" y="0"/>
                <wp:positionH relativeFrom="column">
                  <wp:posOffset>70485</wp:posOffset>
                </wp:positionH>
                <wp:positionV relativeFrom="paragraph">
                  <wp:posOffset>292100</wp:posOffset>
                </wp:positionV>
                <wp:extent cx="2710180" cy="1588770"/>
                <wp:effectExtent l="0" t="0" r="0" b="0"/>
                <wp:wrapNone/>
                <wp:docPr id="19" name="圆角矩形 18"/>
                <wp:cNvGraphicFramePr/>
                <a:graphic xmlns:a="http://schemas.openxmlformats.org/drawingml/2006/main">
                  <a:graphicData uri="http://schemas.microsoft.com/office/word/2010/wordprocessingShape">
                    <wps:wsp>
                      <wps:cNvSpPr/>
                      <wps:spPr>
                        <a:xfrm>
                          <a:off x="0" y="0"/>
                          <a:ext cx="2710180" cy="1588769"/>
                        </a:xfrm>
                        <a:prstGeom prst="roundRect">
                          <a:avLst>
                            <a:gd name="adj" fmla="val 4037"/>
                          </a:avLst>
                        </a:prstGeom>
                        <a:noFill/>
                        <a:ln w="25400" cap="flat" cmpd="sng">
                          <a:solidFill>
                            <a:srgbClr val="000000"/>
                          </a:solidFill>
                          <a:prstDash val="solid"/>
                          <a:round/>
                        </a:ln>
                      </wps:spPr>
                      <wps:txb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委托代理人身份证正面</w:t>
                            </w:r>
                          </w:p>
                          <w:p>
                            <w:pPr>
                              <w:jc w:val="center"/>
                            </w:pPr>
                          </w:p>
                        </w:txbxContent>
                      </wps:txbx>
                      <wps:bodyPr vert="horz" wrap="square" lIns="91440" tIns="45720" rIns="91440" bIns="45720" anchor="ctr" anchorCtr="0">
                        <a:noAutofit/>
                      </wps:bodyPr>
                    </wps:wsp>
                  </a:graphicData>
                </a:graphic>
              </wp:anchor>
            </w:drawing>
          </mc:Choice>
          <mc:Fallback>
            <w:pict>
              <v:roundrect id="圆角矩形 18" o:spid="_x0000_s1026" o:spt="2" style="position:absolute;left:0pt;margin-left:5.55pt;margin-top:23pt;height:125.1pt;width:213.4pt;z-index:251663360;v-text-anchor:middle;mso-width-relative:page;mso-height-relative:page;" filled="f" stroked="t" coordsize="21600,21600" arcsize="0.0403703703703704" o:gfxdata="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R4yDrUAAAA&#10;CQEAAA8AAAAAAAAAAQAgAAAAIgAAAGRycy9kb3ducmV2LnhtbFBLAQIUABQAAAAIAIdO4kDrnw0j&#10;IQIAAA8EAAAOAAAAAAAAAAEAIAAAACMBAABkcnMvZTJvRG9jLnhtbFBLBQYAAAAABgAGAFkBAAC2&#10;BQAAAAA=&#10;">
                <v:fill on="f" focussize="0,0"/>
                <v:stroke weight="2pt" color="#000000" joinstyle="round"/>
                <v:imagedata o:title=""/>
                <o:lock v:ext="edit" aspectratio="f"/>
                <v:textbo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委托代理人身份证正面</w:t>
                      </w:r>
                    </w:p>
                    <w:p>
                      <w:pPr>
                        <w:jc w:val="center"/>
                      </w:pPr>
                    </w:p>
                  </w:txbxContent>
                </v:textbox>
              </v:roundrect>
            </w:pict>
          </mc:Fallback>
        </mc:AlternateContent>
      </w:r>
    </w:p>
    <w:p>
      <w:pPr>
        <w:pStyle w:val="11"/>
        <w:tabs>
          <w:tab w:val="left" w:pos="5580"/>
        </w:tabs>
        <w:spacing w:line="360" w:lineRule="auto"/>
        <w:ind w:firstLine="420" w:firstLineChars="200"/>
        <w:rPr>
          <w:sz w:val="24"/>
          <w:u w:val="single" w:color="FFFFFF"/>
        </w:rPr>
      </w:pPr>
      <w:r>
        <w:rPr>
          <w:rFonts w:ascii="仿宋" w:eastAsia="仿宋" w:cs="仿宋"/>
        </w:rPr>
        <mc:AlternateContent>
          <mc:Choice Requires="wps">
            <w:drawing>
              <wp:anchor distT="0" distB="0" distL="75565" distR="75565" simplePos="0" relativeHeight="251664384" behindDoc="0" locked="0" layoutInCell="1" allowOverlap="1">
                <wp:simplePos x="0" y="0"/>
                <wp:positionH relativeFrom="column">
                  <wp:posOffset>2969895</wp:posOffset>
                </wp:positionH>
                <wp:positionV relativeFrom="paragraph">
                  <wp:posOffset>15240</wp:posOffset>
                </wp:positionV>
                <wp:extent cx="2710180" cy="1588770"/>
                <wp:effectExtent l="0" t="0" r="0" b="0"/>
                <wp:wrapNone/>
                <wp:docPr id="22"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7"/>
                          </a:avLst>
                        </a:prstGeom>
                        <a:noFill/>
                        <a:ln w="25400" cap="flat" cmpd="sng">
                          <a:solidFill>
                            <a:srgbClr val="000000"/>
                          </a:solidFill>
                          <a:prstDash val="solid"/>
                          <a:round/>
                        </a:ln>
                      </wps:spPr>
                      <wps:txb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委托代理人身份证反面</w:t>
                            </w:r>
                          </w:p>
                          <w:p>
                            <w:pPr>
                              <w:jc w:val="center"/>
                            </w:pPr>
                          </w:p>
                        </w:txbxContent>
                      </wps:txbx>
                      <wps:bodyPr vert="horz" wrap="square" lIns="91440" tIns="45720" rIns="91440" bIns="45720" anchor="ctr" anchorCtr="0">
                        <a:noAutofit/>
                      </wps:bodyPr>
                    </wps:wsp>
                  </a:graphicData>
                </a:graphic>
              </wp:anchor>
            </w:drawing>
          </mc:Choice>
          <mc:Fallback>
            <w:pict>
              <v:roundrect id="圆角矩形 19" o:spid="_x0000_s1026" o:spt="2" style="position:absolute;left:0pt;margin-left:233.85pt;margin-top:1.2pt;height:125.1pt;width:213.4pt;z-index:251664384;v-text-anchor:middle;mso-width-relative:page;mso-height-relative:page;" filled="f" stroked="t" coordsize="21600,21600" arcsize="0.0403703703703704" o:gfxdata="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QDRLK1QAA&#10;AAkBAAAPAAAAAAAAAAEAIAAAACIAAABkcnMvZG93bnJldi54bWxQSwECFAAUAAAACACHTuJA2cGQ&#10;oCECAAAPBAAADgAAAAAAAAABACAAAAAkAQAAZHJzL2Uyb0RvYy54bWxQSwUGAAAAAAYABgBZAQAA&#10;twUAAAAA&#10;">
                <v:fill on="f" focussize="0,0"/>
                <v:stroke weight="2pt" color="#000000" joinstyle="round"/>
                <v:imagedata o:title=""/>
                <o:lock v:ext="edit" aspectratio="f"/>
                <v:textbo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委托代理人身份证反面</w:t>
                      </w:r>
                    </w:p>
                    <w:p>
                      <w:pPr>
                        <w:jc w:val="center"/>
                      </w:pPr>
                    </w:p>
                  </w:txbxContent>
                </v:textbox>
              </v:roundrect>
            </w:pict>
          </mc:Fallback>
        </mc:AlternateContent>
      </w: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80" w:firstLineChars="200"/>
        <w:rPr>
          <w:sz w:val="24"/>
          <w:u w:val="single" w:color="FFFFFF"/>
        </w:rPr>
      </w:pPr>
    </w:p>
    <w:p>
      <w:pPr>
        <w:spacing w:line="360" w:lineRule="auto"/>
        <w:ind w:firstLine="720" w:firstLineChars="300"/>
        <w:rPr>
          <w:sz w:val="24"/>
        </w:rPr>
      </w:pPr>
      <w:r>
        <w:rPr>
          <w:rFonts w:hint="eastAsia"/>
          <w:sz w:val="24"/>
        </w:rPr>
        <w:t>投标人（盖</w:t>
      </w:r>
      <w:r>
        <w:rPr>
          <w:sz w:val="24"/>
        </w:rPr>
        <w:t>章）：</w:t>
      </w:r>
    </w:p>
    <w:p>
      <w:pPr>
        <w:pStyle w:val="11"/>
        <w:tabs>
          <w:tab w:val="left" w:pos="5580"/>
        </w:tabs>
        <w:spacing w:line="360" w:lineRule="auto"/>
        <w:ind w:firstLine="3600" w:firstLineChars="1500"/>
        <w:rPr>
          <w:sz w:val="24"/>
          <w:u w:val="single"/>
        </w:rPr>
      </w:pPr>
      <w:r>
        <w:rPr>
          <w:rFonts w:hint="eastAsia"/>
          <w:sz w:val="24"/>
        </w:rPr>
        <w:t>法定代表人（签章）：</w:t>
      </w:r>
    </w:p>
    <w:p>
      <w:pPr>
        <w:pStyle w:val="11"/>
        <w:tabs>
          <w:tab w:val="left" w:pos="5580"/>
        </w:tabs>
        <w:spacing w:line="360" w:lineRule="auto"/>
        <w:ind w:firstLine="3600" w:firstLineChars="1500"/>
        <w:rPr>
          <w:rFonts w:cs="宋体"/>
          <w:kern w:val="0"/>
          <w:sz w:val="24"/>
          <w:u w:val="single"/>
        </w:rPr>
      </w:pP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600" w:firstLineChars="1500"/>
        <w:rPr>
          <w:sz w:val="24"/>
          <w:u w:val="single"/>
        </w:rPr>
      </w:pPr>
      <w:r>
        <w:rPr>
          <w:rFonts w:hint="eastAsia"/>
          <w:sz w:val="24"/>
        </w:rPr>
        <w:t>委托日期：</w:t>
      </w:r>
    </w:p>
    <w:p>
      <w:pPr>
        <w:rPr>
          <w:rFonts w:ascii="宋体" w:cs="宋体"/>
          <w:b/>
          <w:bCs/>
          <w:sz w:val="24"/>
        </w:rPr>
      </w:pPr>
      <w:r>
        <w:rPr>
          <w:rFonts w:hint="eastAsia" w:ascii="宋体" w:cs="宋体"/>
          <w:b/>
          <w:bCs/>
          <w:sz w:val="24"/>
        </w:rPr>
        <w:br w:type="page"/>
      </w:r>
    </w:p>
    <w:p>
      <w:pPr>
        <w:rPr>
          <w:rFonts w:ascii="宋体"/>
          <w:b/>
          <w:bCs/>
          <w:kern w:val="0"/>
          <w:sz w:val="24"/>
        </w:rPr>
      </w:pPr>
      <w:bookmarkStart w:id="36" w:name="_Toc27766"/>
      <w:bookmarkStart w:id="37" w:name="_Toc11547"/>
      <w:r>
        <w:rPr>
          <w:rFonts w:hint="eastAsia" w:ascii="宋体"/>
          <w:b/>
          <w:bCs/>
          <w:kern w:val="0"/>
          <w:sz w:val="24"/>
          <w:lang w:val="en-US" w:eastAsia="zh-CN"/>
        </w:rPr>
        <w:t>6</w:t>
      </w:r>
      <w:r>
        <w:rPr>
          <w:rFonts w:hint="eastAsia" w:ascii="宋体"/>
          <w:b/>
          <w:bCs/>
          <w:kern w:val="0"/>
          <w:sz w:val="24"/>
        </w:rPr>
        <w:t>.5 投标人概况</w:t>
      </w:r>
    </w:p>
    <w:p>
      <w:pPr>
        <w:jc w:val="center"/>
        <w:rPr>
          <w:b/>
          <w:bCs/>
          <w:sz w:val="32"/>
          <w:szCs w:val="32"/>
        </w:rPr>
      </w:pPr>
      <w:bookmarkStart w:id="38" w:name="_Toc505078023"/>
      <w:r>
        <w:rPr>
          <w:rFonts w:hint="eastAsia"/>
          <w:b/>
          <w:bCs/>
          <w:sz w:val="32"/>
          <w:szCs w:val="32"/>
        </w:rPr>
        <w:t>投标人概况</w:t>
      </w:r>
      <w:bookmarkEnd w:id="38"/>
    </w:p>
    <w:p>
      <w:pPr>
        <w:spacing w:line="360" w:lineRule="auto"/>
        <w:rPr>
          <w:rFonts w:ascii="宋体" w:cs="宋体"/>
          <w:sz w:val="24"/>
        </w:rPr>
      </w:pPr>
      <w:r>
        <w:rPr>
          <w:rFonts w:hint="eastAsia" w:ascii="宋体" w:cs="宋体"/>
          <w:sz w:val="24"/>
        </w:rPr>
        <w:t>1、投标人名称</w:t>
      </w:r>
    </w:p>
    <w:p>
      <w:pPr>
        <w:spacing w:line="360" w:lineRule="auto"/>
        <w:rPr>
          <w:rFonts w:ascii="宋体" w:cs="宋体"/>
          <w:sz w:val="24"/>
        </w:rPr>
      </w:pPr>
      <w:r>
        <w:rPr>
          <w:rFonts w:hint="eastAsia" w:ascii="宋体" w:cs="宋体"/>
          <w:sz w:val="24"/>
        </w:rPr>
        <w:t>2、营业执照</w:t>
      </w:r>
    </w:p>
    <w:p>
      <w:pPr>
        <w:spacing w:line="360" w:lineRule="auto"/>
        <w:rPr>
          <w:rFonts w:ascii="宋体" w:cs="宋体"/>
          <w:sz w:val="24"/>
        </w:rPr>
      </w:pPr>
      <w:r>
        <w:rPr>
          <w:rFonts w:hint="eastAsia" w:ascii="宋体" w:cs="宋体"/>
          <w:sz w:val="24"/>
        </w:rPr>
        <w:t>3、投标人地址</w:t>
      </w:r>
    </w:p>
    <w:p>
      <w:pPr>
        <w:spacing w:line="360" w:lineRule="auto"/>
        <w:rPr>
          <w:rFonts w:ascii="宋体" w:cs="宋体"/>
          <w:sz w:val="24"/>
        </w:rPr>
      </w:pPr>
      <w:r>
        <w:rPr>
          <w:rFonts w:hint="eastAsia" w:ascii="宋体" w:cs="宋体"/>
          <w:sz w:val="24"/>
        </w:rPr>
        <w:t>4、经营范围</w:t>
      </w:r>
    </w:p>
    <w:p>
      <w:pPr>
        <w:spacing w:line="360" w:lineRule="auto"/>
        <w:rPr>
          <w:rFonts w:ascii="宋体" w:cs="宋体"/>
          <w:sz w:val="24"/>
        </w:rPr>
      </w:pPr>
      <w:r>
        <w:rPr>
          <w:rFonts w:hint="eastAsia" w:ascii="宋体" w:cs="宋体"/>
          <w:sz w:val="24"/>
        </w:rPr>
        <w:t>5、营业场所</w:t>
      </w:r>
    </w:p>
    <w:p>
      <w:pPr>
        <w:spacing w:line="360" w:lineRule="auto"/>
        <w:rPr>
          <w:rFonts w:ascii="宋体" w:cs="宋体"/>
          <w:sz w:val="24"/>
        </w:rPr>
      </w:pPr>
      <w:r>
        <w:rPr>
          <w:rFonts w:hint="eastAsia" w:ascii="宋体" w:cs="宋体"/>
          <w:sz w:val="24"/>
        </w:rPr>
        <w:t>6、单位综合情况一览表</w:t>
      </w:r>
    </w:p>
    <w:p>
      <w:pPr>
        <w:spacing w:line="360" w:lineRule="auto"/>
        <w:rPr>
          <w:rFonts w:ascii="宋体" w:cs="宋体"/>
          <w:b/>
          <w:sz w:val="30"/>
          <w:szCs w:val="30"/>
        </w:rPr>
      </w:pPr>
      <w:r>
        <w:rPr>
          <w:rFonts w:hint="eastAsia" w:ascii="宋体" w:cs="宋体"/>
          <w:sz w:val="24"/>
        </w:rPr>
        <w:t>注：须附营业执照副本，“信用中国”网站（</w:t>
      </w:r>
      <w:r>
        <w:fldChar w:fldCharType="begin"/>
      </w:r>
      <w:r>
        <w:instrText xml:space="preserve"> HYPERLINK "http://www.creditchina.gov.cn/" </w:instrText>
      </w:r>
      <w:r>
        <w:fldChar w:fldCharType="separate"/>
      </w:r>
      <w:r>
        <w:rPr>
          <w:rFonts w:hint="eastAsia" w:ascii="宋体" w:cs="宋体"/>
          <w:sz w:val="24"/>
        </w:rPr>
        <w:t>www.creditchina.gov.cn</w:t>
      </w:r>
      <w:r>
        <w:rPr>
          <w:rFonts w:hint="eastAsia" w:ascii="宋体" w:cs="宋体"/>
          <w:sz w:val="24"/>
        </w:rPr>
        <w:fldChar w:fldCharType="end"/>
      </w:r>
      <w:r>
        <w:rPr>
          <w:rFonts w:hint="eastAsia" w:ascii="宋体" w:cs="宋体"/>
          <w:sz w:val="24"/>
        </w:rPr>
        <w:t>）截图、中国政府采购网（</w:t>
      </w:r>
      <w:r>
        <w:fldChar w:fldCharType="begin"/>
      </w:r>
      <w:r>
        <w:instrText xml:space="preserve"> HYPERLINK "http://www.ccgp.gov.cn/" </w:instrText>
      </w:r>
      <w:r>
        <w:fldChar w:fldCharType="separate"/>
      </w:r>
      <w:r>
        <w:rPr>
          <w:rFonts w:hint="eastAsia" w:ascii="宋体" w:cs="宋体"/>
          <w:sz w:val="24"/>
        </w:rPr>
        <w:t>www.ccgp.gov.cn</w:t>
      </w:r>
      <w:r>
        <w:rPr>
          <w:rFonts w:hint="eastAsia" w:ascii="宋体" w:cs="宋体"/>
          <w:sz w:val="24"/>
        </w:rPr>
        <w:fldChar w:fldCharType="end"/>
      </w:r>
      <w:r>
        <w:rPr>
          <w:rFonts w:hint="eastAsia" w:ascii="宋体" w:cs="宋体"/>
          <w:sz w:val="24"/>
        </w:rPr>
        <w:t>）截图复印件。</w:t>
      </w:r>
    </w:p>
    <w:p>
      <w:pPr>
        <w:tabs>
          <w:tab w:val="center" w:pos="4832"/>
          <w:tab w:val="left" w:pos="7140"/>
        </w:tabs>
        <w:jc w:val="center"/>
        <w:outlineLvl w:val="1"/>
        <w:rPr>
          <w:rFonts w:ascii="宋体"/>
          <w:sz w:val="24"/>
        </w:rPr>
      </w:pPr>
      <w:r>
        <w:rPr>
          <w:rFonts w:ascii="宋体"/>
          <w:kern w:val="0"/>
          <w:sz w:val="24"/>
        </w:rPr>
        <w:br w:type="page"/>
      </w:r>
    </w:p>
    <w:p>
      <w:pPr>
        <w:widowControl/>
        <w:jc w:val="center"/>
        <w:textAlignment w:val="center"/>
        <w:rPr>
          <w:rFonts w:ascii="宋体" w:cs="宋体"/>
          <w:b/>
          <w:sz w:val="30"/>
          <w:szCs w:val="30"/>
        </w:rPr>
      </w:pPr>
    </w:p>
    <w:p>
      <w:pPr>
        <w:rPr>
          <w:rFonts w:ascii="宋体"/>
          <w:b/>
          <w:bCs/>
          <w:kern w:val="0"/>
          <w:sz w:val="24"/>
        </w:rPr>
      </w:pPr>
      <w:r>
        <w:rPr>
          <w:rFonts w:hint="eastAsia" w:ascii="宋体"/>
          <w:b/>
          <w:bCs/>
          <w:kern w:val="0"/>
          <w:sz w:val="24"/>
          <w:lang w:val="en-US" w:eastAsia="zh-CN"/>
        </w:rPr>
        <w:t>6</w:t>
      </w:r>
      <w:r>
        <w:rPr>
          <w:rFonts w:hint="eastAsia" w:ascii="宋体"/>
          <w:b/>
          <w:bCs/>
          <w:kern w:val="0"/>
          <w:sz w:val="24"/>
        </w:rPr>
        <w:t>.6 技术条款偏离表</w:t>
      </w:r>
    </w:p>
    <w:p>
      <w:pPr>
        <w:spacing w:line="360" w:lineRule="auto"/>
        <w:jc w:val="center"/>
        <w:rPr>
          <w:rFonts w:ascii="宋体"/>
          <w:b/>
          <w:bCs/>
          <w:sz w:val="32"/>
          <w:szCs w:val="32"/>
        </w:rPr>
      </w:pPr>
      <w:bookmarkStart w:id="39" w:name="_Toc16454"/>
      <w:bookmarkStart w:id="40" w:name="_Toc568"/>
    </w:p>
    <w:p>
      <w:pPr>
        <w:spacing w:line="360" w:lineRule="auto"/>
        <w:jc w:val="center"/>
        <w:rPr>
          <w:rFonts w:ascii="宋体"/>
          <w:b/>
          <w:bCs/>
          <w:sz w:val="32"/>
          <w:szCs w:val="32"/>
        </w:rPr>
      </w:pPr>
      <w:r>
        <w:rPr>
          <w:rFonts w:hint="eastAsia" w:ascii="宋体"/>
          <w:b/>
          <w:bCs/>
          <w:sz w:val="32"/>
          <w:szCs w:val="32"/>
        </w:rPr>
        <w:t>技术条款偏离表</w:t>
      </w:r>
    </w:p>
    <w:tbl>
      <w:tblPr>
        <w:tblStyle w:val="23"/>
        <w:tblW w:w="889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vAlign w:val="center"/>
          </w:tcPr>
          <w:p>
            <w:pPr>
              <w:jc w:val="center"/>
              <w:rPr>
                <w:rFonts w:ascii="宋体" w:cs="宋体"/>
                <w:bCs/>
                <w:sz w:val="24"/>
              </w:rPr>
            </w:pPr>
            <w:r>
              <w:rPr>
                <w:rFonts w:hint="eastAsia" w:ascii="宋体" w:cs="宋体"/>
                <w:bCs/>
                <w:sz w:val="24"/>
              </w:rPr>
              <w:t>序号</w:t>
            </w:r>
          </w:p>
        </w:tc>
        <w:tc>
          <w:tcPr>
            <w:tcW w:w="1357" w:type="dxa"/>
            <w:vAlign w:val="center"/>
          </w:tcPr>
          <w:p>
            <w:pPr>
              <w:jc w:val="center"/>
              <w:rPr>
                <w:rFonts w:ascii="宋体" w:cs="宋体"/>
                <w:bCs/>
                <w:sz w:val="24"/>
              </w:rPr>
            </w:pPr>
            <w:r>
              <w:rPr>
                <w:rFonts w:hint="eastAsia" w:ascii="宋体" w:cs="宋体"/>
                <w:bCs/>
                <w:sz w:val="24"/>
              </w:rPr>
              <w:t>货物名称</w:t>
            </w:r>
          </w:p>
        </w:tc>
        <w:tc>
          <w:tcPr>
            <w:tcW w:w="1326" w:type="dxa"/>
            <w:vAlign w:val="center"/>
          </w:tcPr>
          <w:p>
            <w:pPr>
              <w:jc w:val="center"/>
              <w:rPr>
                <w:rFonts w:ascii="宋体" w:cs="宋体"/>
                <w:bCs/>
                <w:sz w:val="24"/>
              </w:rPr>
            </w:pPr>
            <w:r>
              <w:rPr>
                <w:rFonts w:hint="eastAsia" w:ascii="宋体" w:cs="宋体"/>
                <w:bCs/>
                <w:sz w:val="24"/>
              </w:rPr>
              <w:t>招标文件条目号</w:t>
            </w:r>
          </w:p>
        </w:tc>
        <w:tc>
          <w:tcPr>
            <w:tcW w:w="1326" w:type="dxa"/>
            <w:vAlign w:val="center"/>
          </w:tcPr>
          <w:p>
            <w:pPr>
              <w:jc w:val="center"/>
              <w:rPr>
                <w:rFonts w:ascii="宋体" w:cs="宋体"/>
                <w:bCs/>
                <w:sz w:val="24"/>
              </w:rPr>
            </w:pPr>
            <w:r>
              <w:rPr>
                <w:rFonts w:hint="eastAsia" w:ascii="宋体" w:cs="宋体"/>
                <w:bCs/>
                <w:sz w:val="24"/>
              </w:rPr>
              <w:t>招标文件要求规格</w:t>
            </w:r>
          </w:p>
        </w:tc>
        <w:tc>
          <w:tcPr>
            <w:tcW w:w="1326" w:type="dxa"/>
            <w:vAlign w:val="center"/>
          </w:tcPr>
          <w:p>
            <w:pPr>
              <w:jc w:val="center"/>
              <w:rPr>
                <w:rFonts w:ascii="宋体" w:cs="宋体"/>
                <w:bCs/>
                <w:sz w:val="24"/>
              </w:rPr>
            </w:pPr>
            <w:r>
              <w:rPr>
                <w:rFonts w:hint="eastAsia" w:ascii="宋体" w:cs="宋体"/>
                <w:bCs/>
                <w:sz w:val="24"/>
              </w:rPr>
              <w:t>投标规格</w:t>
            </w:r>
          </w:p>
        </w:tc>
        <w:tc>
          <w:tcPr>
            <w:tcW w:w="1327" w:type="dxa"/>
            <w:vAlign w:val="center"/>
          </w:tcPr>
          <w:p>
            <w:pPr>
              <w:jc w:val="center"/>
              <w:rPr>
                <w:rFonts w:ascii="宋体" w:cs="宋体"/>
                <w:bCs/>
                <w:sz w:val="24"/>
              </w:rPr>
            </w:pPr>
            <w:r>
              <w:rPr>
                <w:rFonts w:hint="eastAsia" w:ascii="宋体" w:cs="宋体"/>
                <w:bCs/>
                <w:sz w:val="24"/>
              </w:rPr>
              <w:t>偏离</w:t>
            </w:r>
          </w:p>
        </w:tc>
        <w:tc>
          <w:tcPr>
            <w:tcW w:w="1327" w:type="dxa"/>
            <w:vAlign w:val="center"/>
          </w:tcPr>
          <w:p>
            <w:pPr>
              <w:jc w:val="center"/>
              <w:rPr>
                <w:rFonts w:ascii="宋体" w:cs="宋体"/>
                <w:bCs/>
                <w:sz w:val="24"/>
              </w:rPr>
            </w:pPr>
            <w:r>
              <w:rPr>
                <w:rFonts w:hint="eastAsia" w:ascii="宋体" w:cs="宋体"/>
                <w:bCs/>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tcPr>
          <w:p>
            <w:pPr>
              <w:jc w:val="center"/>
              <w:rPr>
                <w:rFonts w:ascii="宋体" w:cs="宋体"/>
                <w:b/>
                <w:bCs/>
                <w:sz w:val="24"/>
              </w:rPr>
            </w:pPr>
          </w:p>
        </w:tc>
        <w:tc>
          <w:tcPr>
            <w:tcW w:w="1357" w:type="dxa"/>
          </w:tcPr>
          <w:p>
            <w:pPr>
              <w:jc w:val="center"/>
              <w:rPr>
                <w:rFonts w:ascii="宋体" w:cs="宋体"/>
                <w:b/>
                <w:bCs/>
                <w:sz w:val="24"/>
              </w:rPr>
            </w:pPr>
          </w:p>
        </w:tc>
        <w:tc>
          <w:tcPr>
            <w:tcW w:w="1326" w:type="dxa"/>
          </w:tcPr>
          <w:p>
            <w:pPr>
              <w:jc w:val="center"/>
              <w:rPr>
                <w:rFonts w:ascii="宋体" w:cs="宋体"/>
                <w:b/>
                <w:bCs/>
                <w:sz w:val="24"/>
              </w:rPr>
            </w:pPr>
          </w:p>
        </w:tc>
        <w:tc>
          <w:tcPr>
            <w:tcW w:w="1326" w:type="dxa"/>
          </w:tcPr>
          <w:p>
            <w:pPr>
              <w:jc w:val="center"/>
              <w:rPr>
                <w:rFonts w:ascii="宋体" w:cs="宋体"/>
                <w:b/>
                <w:bCs/>
                <w:sz w:val="24"/>
              </w:rPr>
            </w:pPr>
          </w:p>
        </w:tc>
        <w:tc>
          <w:tcPr>
            <w:tcW w:w="1326" w:type="dxa"/>
          </w:tcPr>
          <w:p>
            <w:pPr>
              <w:jc w:val="center"/>
              <w:rPr>
                <w:rFonts w:ascii="宋体" w:cs="宋体"/>
                <w:b/>
                <w:bCs/>
                <w:sz w:val="24"/>
              </w:rPr>
            </w:pPr>
          </w:p>
        </w:tc>
        <w:tc>
          <w:tcPr>
            <w:tcW w:w="1327" w:type="dxa"/>
          </w:tcPr>
          <w:p>
            <w:pPr>
              <w:jc w:val="center"/>
              <w:rPr>
                <w:rFonts w:ascii="宋体" w:cs="宋体"/>
                <w:b/>
                <w:bCs/>
                <w:sz w:val="24"/>
              </w:rPr>
            </w:pPr>
          </w:p>
        </w:tc>
        <w:tc>
          <w:tcPr>
            <w:tcW w:w="1327" w:type="dxa"/>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tcPr>
          <w:p>
            <w:pPr>
              <w:jc w:val="center"/>
              <w:rPr>
                <w:rFonts w:ascii="宋体" w:cs="宋体"/>
                <w:b/>
                <w:bCs/>
                <w:sz w:val="24"/>
              </w:rPr>
            </w:pPr>
          </w:p>
        </w:tc>
        <w:tc>
          <w:tcPr>
            <w:tcW w:w="1357" w:type="dxa"/>
          </w:tcPr>
          <w:p>
            <w:pPr>
              <w:jc w:val="center"/>
              <w:rPr>
                <w:rFonts w:ascii="宋体" w:cs="宋体"/>
                <w:b/>
                <w:bCs/>
                <w:sz w:val="24"/>
              </w:rPr>
            </w:pPr>
          </w:p>
        </w:tc>
        <w:tc>
          <w:tcPr>
            <w:tcW w:w="1326" w:type="dxa"/>
          </w:tcPr>
          <w:p>
            <w:pPr>
              <w:jc w:val="center"/>
              <w:rPr>
                <w:rFonts w:ascii="宋体" w:cs="宋体"/>
                <w:b/>
                <w:bCs/>
                <w:sz w:val="24"/>
              </w:rPr>
            </w:pPr>
          </w:p>
        </w:tc>
        <w:tc>
          <w:tcPr>
            <w:tcW w:w="1326" w:type="dxa"/>
          </w:tcPr>
          <w:p>
            <w:pPr>
              <w:jc w:val="center"/>
              <w:rPr>
                <w:rFonts w:ascii="宋体" w:cs="宋体"/>
                <w:b/>
                <w:bCs/>
                <w:sz w:val="24"/>
              </w:rPr>
            </w:pPr>
          </w:p>
        </w:tc>
        <w:tc>
          <w:tcPr>
            <w:tcW w:w="1326" w:type="dxa"/>
          </w:tcPr>
          <w:p>
            <w:pPr>
              <w:jc w:val="center"/>
              <w:rPr>
                <w:rFonts w:ascii="宋体" w:cs="宋体"/>
                <w:b/>
                <w:bCs/>
                <w:sz w:val="24"/>
              </w:rPr>
            </w:pPr>
          </w:p>
        </w:tc>
        <w:tc>
          <w:tcPr>
            <w:tcW w:w="1327" w:type="dxa"/>
          </w:tcPr>
          <w:p>
            <w:pPr>
              <w:jc w:val="center"/>
              <w:rPr>
                <w:rFonts w:ascii="宋体" w:cs="宋体"/>
                <w:b/>
                <w:bCs/>
                <w:sz w:val="24"/>
              </w:rPr>
            </w:pPr>
          </w:p>
        </w:tc>
        <w:tc>
          <w:tcPr>
            <w:tcW w:w="1327" w:type="dxa"/>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tcPr>
          <w:p>
            <w:pPr>
              <w:jc w:val="center"/>
              <w:rPr>
                <w:rFonts w:ascii="宋体" w:cs="宋体"/>
                <w:b/>
                <w:bCs/>
                <w:sz w:val="24"/>
              </w:rPr>
            </w:pPr>
          </w:p>
        </w:tc>
        <w:tc>
          <w:tcPr>
            <w:tcW w:w="1357" w:type="dxa"/>
          </w:tcPr>
          <w:p>
            <w:pPr>
              <w:jc w:val="center"/>
              <w:rPr>
                <w:rFonts w:ascii="宋体" w:cs="宋体"/>
                <w:b/>
                <w:bCs/>
                <w:sz w:val="24"/>
              </w:rPr>
            </w:pPr>
          </w:p>
        </w:tc>
        <w:tc>
          <w:tcPr>
            <w:tcW w:w="1326" w:type="dxa"/>
          </w:tcPr>
          <w:p>
            <w:pPr>
              <w:jc w:val="center"/>
              <w:rPr>
                <w:rFonts w:ascii="宋体" w:cs="宋体"/>
                <w:b/>
                <w:bCs/>
                <w:sz w:val="24"/>
              </w:rPr>
            </w:pPr>
          </w:p>
        </w:tc>
        <w:tc>
          <w:tcPr>
            <w:tcW w:w="1326" w:type="dxa"/>
          </w:tcPr>
          <w:p>
            <w:pPr>
              <w:jc w:val="center"/>
              <w:rPr>
                <w:rFonts w:ascii="宋体" w:cs="宋体"/>
                <w:b/>
                <w:bCs/>
                <w:sz w:val="24"/>
              </w:rPr>
            </w:pPr>
          </w:p>
        </w:tc>
        <w:tc>
          <w:tcPr>
            <w:tcW w:w="1326" w:type="dxa"/>
          </w:tcPr>
          <w:p>
            <w:pPr>
              <w:jc w:val="center"/>
              <w:rPr>
                <w:rFonts w:ascii="宋体" w:cs="宋体"/>
                <w:b/>
                <w:bCs/>
                <w:sz w:val="24"/>
              </w:rPr>
            </w:pPr>
          </w:p>
        </w:tc>
        <w:tc>
          <w:tcPr>
            <w:tcW w:w="1327" w:type="dxa"/>
          </w:tcPr>
          <w:p>
            <w:pPr>
              <w:jc w:val="center"/>
              <w:rPr>
                <w:rFonts w:ascii="宋体" w:cs="宋体"/>
                <w:b/>
                <w:bCs/>
                <w:sz w:val="24"/>
              </w:rPr>
            </w:pPr>
          </w:p>
        </w:tc>
        <w:tc>
          <w:tcPr>
            <w:tcW w:w="1327" w:type="dxa"/>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tcPr>
          <w:p>
            <w:pPr>
              <w:jc w:val="center"/>
              <w:rPr>
                <w:rFonts w:ascii="宋体" w:cs="宋体"/>
                <w:b/>
                <w:bCs/>
                <w:sz w:val="24"/>
              </w:rPr>
            </w:pPr>
          </w:p>
        </w:tc>
        <w:tc>
          <w:tcPr>
            <w:tcW w:w="1357" w:type="dxa"/>
          </w:tcPr>
          <w:p>
            <w:pPr>
              <w:jc w:val="center"/>
              <w:rPr>
                <w:rFonts w:ascii="宋体" w:cs="宋体"/>
                <w:b/>
                <w:bCs/>
                <w:sz w:val="24"/>
              </w:rPr>
            </w:pPr>
          </w:p>
        </w:tc>
        <w:tc>
          <w:tcPr>
            <w:tcW w:w="1326" w:type="dxa"/>
          </w:tcPr>
          <w:p>
            <w:pPr>
              <w:jc w:val="center"/>
              <w:rPr>
                <w:rFonts w:ascii="宋体" w:cs="宋体"/>
                <w:b/>
                <w:bCs/>
                <w:sz w:val="24"/>
              </w:rPr>
            </w:pPr>
          </w:p>
        </w:tc>
        <w:tc>
          <w:tcPr>
            <w:tcW w:w="1326" w:type="dxa"/>
          </w:tcPr>
          <w:p>
            <w:pPr>
              <w:jc w:val="center"/>
              <w:rPr>
                <w:rFonts w:ascii="宋体" w:cs="宋体"/>
                <w:b/>
                <w:bCs/>
                <w:sz w:val="24"/>
              </w:rPr>
            </w:pPr>
          </w:p>
        </w:tc>
        <w:tc>
          <w:tcPr>
            <w:tcW w:w="1326" w:type="dxa"/>
          </w:tcPr>
          <w:p>
            <w:pPr>
              <w:jc w:val="center"/>
              <w:rPr>
                <w:rFonts w:ascii="宋体" w:cs="宋体"/>
                <w:b/>
                <w:bCs/>
                <w:sz w:val="24"/>
              </w:rPr>
            </w:pPr>
          </w:p>
        </w:tc>
        <w:tc>
          <w:tcPr>
            <w:tcW w:w="1327" w:type="dxa"/>
          </w:tcPr>
          <w:p>
            <w:pPr>
              <w:jc w:val="center"/>
              <w:rPr>
                <w:rFonts w:ascii="宋体" w:cs="宋体"/>
                <w:b/>
                <w:bCs/>
                <w:sz w:val="24"/>
              </w:rPr>
            </w:pPr>
          </w:p>
        </w:tc>
        <w:tc>
          <w:tcPr>
            <w:tcW w:w="1327" w:type="dxa"/>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tcPr>
          <w:p>
            <w:pPr>
              <w:jc w:val="center"/>
              <w:rPr>
                <w:rFonts w:ascii="宋体" w:cs="宋体"/>
                <w:b/>
                <w:bCs/>
                <w:sz w:val="24"/>
              </w:rPr>
            </w:pPr>
          </w:p>
        </w:tc>
        <w:tc>
          <w:tcPr>
            <w:tcW w:w="1357" w:type="dxa"/>
          </w:tcPr>
          <w:p>
            <w:pPr>
              <w:jc w:val="center"/>
              <w:rPr>
                <w:rFonts w:ascii="宋体" w:cs="宋体"/>
                <w:b/>
                <w:bCs/>
                <w:sz w:val="24"/>
              </w:rPr>
            </w:pPr>
          </w:p>
        </w:tc>
        <w:tc>
          <w:tcPr>
            <w:tcW w:w="1326" w:type="dxa"/>
          </w:tcPr>
          <w:p>
            <w:pPr>
              <w:jc w:val="center"/>
              <w:rPr>
                <w:rFonts w:ascii="宋体" w:cs="宋体"/>
                <w:b/>
                <w:bCs/>
                <w:sz w:val="24"/>
              </w:rPr>
            </w:pPr>
          </w:p>
        </w:tc>
        <w:tc>
          <w:tcPr>
            <w:tcW w:w="1326" w:type="dxa"/>
          </w:tcPr>
          <w:p>
            <w:pPr>
              <w:jc w:val="center"/>
              <w:rPr>
                <w:rFonts w:ascii="宋体" w:cs="宋体"/>
                <w:b/>
                <w:bCs/>
                <w:sz w:val="24"/>
              </w:rPr>
            </w:pPr>
          </w:p>
        </w:tc>
        <w:tc>
          <w:tcPr>
            <w:tcW w:w="1326" w:type="dxa"/>
          </w:tcPr>
          <w:p>
            <w:pPr>
              <w:jc w:val="center"/>
              <w:rPr>
                <w:rFonts w:ascii="宋体" w:cs="宋体"/>
                <w:b/>
                <w:bCs/>
                <w:sz w:val="24"/>
              </w:rPr>
            </w:pPr>
          </w:p>
        </w:tc>
        <w:tc>
          <w:tcPr>
            <w:tcW w:w="1327" w:type="dxa"/>
          </w:tcPr>
          <w:p>
            <w:pPr>
              <w:jc w:val="center"/>
              <w:rPr>
                <w:rFonts w:ascii="宋体" w:cs="宋体"/>
                <w:b/>
                <w:bCs/>
                <w:sz w:val="24"/>
              </w:rPr>
            </w:pPr>
          </w:p>
        </w:tc>
        <w:tc>
          <w:tcPr>
            <w:tcW w:w="1327" w:type="dxa"/>
          </w:tcPr>
          <w:p>
            <w:pPr>
              <w:jc w:val="center"/>
              <w:rPr>
                <w:rFonts w:ascii="宋体" w:cs="宋体"/>
                <w:b/>
                <w:bCs/>
                <w:sz w:val="24"/>
              </w:rPr>
            </w:pPr>
          </w:p>
        </w:tc>
      </w:tr>
    </w:tbl>
    <w:p>
      <w:pPr>
        <w:spacing w:line="360" w:lineRule="auto"/>
        <w:ind w:firstLine="475" w:firstLineChars="198"/>
        <w:jc w:val="left"/>
        <w:rPr>
          <w:rFonts w:ascii="宋体"/>
          <w:sz w:val="24"/>
        </w:rPr>
      </w:pPr>
      <w:r>
        <w:rPr>
          <w:rFonts w:hint="eastAsia" w:ascii="宋体"/>
          <w:sz w:val="24"/>
        </w:rPr>
        <w:t>备注：投标人应根据其提供的货物，对照招标文件“技术标准和要求”中的要求，有差异的，则在此表中列明实际响应的内容提要并加以说明，以便查对。本表包括所有的技术响应及差异。无差异说明表示完全响应。</w:t>
      </w:r>
    </w:p>
    <w:p>
      <w:pPr>
        <w:widowControl/>
        <w:shd w:val="clear" w:color="auto" w:fill="FFFFFF"/>
        <w:snapToGrid w:val="0"/>
        <w:spacing w:line="384" w:lineRule="auto"/>
        <w:jc w:val="left"/>
        <w:rPr>
          <w:rFonts w:ascii="宋体"/>
          <w:kern w:val="0"/>
          <w:sz w:val="24"/>
        </w:rPr>
      </w:pPr>
    </w:p>
    <w:p>
      <w:pPr>
        <w:spacing w:line="360" w:lineRule="auto"/>
        <w:rPr>
          <w:rFonts w:ascii="宋体" w:cs="宋体"/>
          <w:sz w:val="24"/>
        </w:rPr>
      </w:pP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rPr>
          <w:rFonts w:ascii="宋体" w:cs="宋体"/>
          <w:sz w:val="24"/>
        </w:rPr>
      </w:pPr>
    </w:p>
    <w:p>
      <w:pPr>
        <w:pStyle w:val="4"/>
        <w:rPr>
          <w:rFonts w:ascii="宋体" w:cs="宋体"/>
          <w:b/>
          <w:sz w:val="24"/>
        </w:rPr>
      </w:pPr>
    </w:p>
    <w:p>
      <w:pPr>
        <w:pStyle w:val="4"/>
        <w:rPr>
          <w:rFonts w:ascii="宋体" w:cs="宋体"/>
          <w:b/>
          <w:sz w:val="24"/>
        </w:rPr>
      </w:pPr>
    </w:p>
    <w:p>
      <w:pPr>
        <w:pStyle w:val="4"/>
        <w:rPr>
          <w:rFonts w:ascii="宋体" w:cs="宋体"/>
          <w:b/>
          <w:sz w:val="24"/>
        </w:rPr>
      </w:pPr>
    </w:p>
    <w:p>
      <w:pPr>
        <w:pStyle w:val="4"/>
        <w:rPr>
          <w:rFonts w:ascii="宋体" w:cs="宋体"/>
          <w:b/>
          <w:sz w:val="24"/>
        </w:rPr>
      </w:pPr>
    </w:p>
    <w:p>
      <w:pPr>
        <w:pStyle w:val="4"/>
        <w:rPr>
          <w:rFonts w:ascii="宋体" w:cs="宋体"/>
          <w:b/>
          <w:sz w:val="24"/>
        </w:rPr>
      </w:pPr>
    </w:p>
    <w:p>
      <w:pPr>
        <w:pStyle w:val="4"/>
        <w:rPr>
          <w:rFonts w:ascii="宋体" w:cs="宋体"/>
          <w:b/>
          <w:sz w:val="24"/>
        </w:rPr>
      </w:pPr>
    </w:p>
    <w:p>
      <w:pPr>
        <w:pStyle w:val="4"/>
        <w:rPr>
          <w:rFonts w:ascii="宋体" w:cs="宋体"/>
          <w:b/>
          <w:sz w:val="24"/>
        </w:rPr>
      </w:pPr>
    </w:p>
    <w:p>
      <w:pPr>
        <w:pStyle w:val="4"/>
        <w:rPr>
          <w:rFonts w:ascii="宋体" w:cs="宋体"/>
          <w:b/>
          <w:sz w:val="24"/>
        </w:rPr>
      </w:pPr>
    </w:p>
    <w:p>
      <w:pPr>
        <w:pStyle w:val="4"/>
        <w:rPr>
          <w:rFonts w:ascii="宋体" w:cs="宋体"/>
          <w:b/>
          <w:sz w:val="24"/>
        </w:rPr>
      </w:pPr>
    </w:p>
    <w:p>
      <w:pPr>
        <w:pStyle w:val="4"/>
        <w:rPr>
          <w:rFonts w:ascii="宋体" w:cs="宋体"/>
          <w:b/>
          <w:sz w:val="24"/>
        </w:rPr>
      </w:pPr>
    </w:p>
    <w:p>
      <w:pPr>
        <w:pStyle w:val="4"/>
        <w:rPr>
          <w:rFonts w:ascii="宋体" w:cs="宋体"/>
          <w:b/>
          <w:sz w:val="24"/>
        </w:rPr>
      </w:pPr>
    </w:p>
    <w:p>
      <w:pPr>
        <w:pStyle w:val="4"/>
        <w:rPr>
          <w:rFonts w:ascii="宋体" w:cs="宋体"/>
          <w:b/>
          <w:sz w:val="24"/>
        </w:rPr>
      </w:pPr>
    </w:p>
    <w:p>
      <w:pPr>
        <w:tabs>
          <w:tab w:val="center" w:pos="4832"/>
          <w:tab w:val="left" w:pos="7140"/>
        </w:tabs>
        <w:jc w:val="center"/>
        <w:outlineLvl w:val="1"/>
        <w:rPr>
          <w:rFonts w:ascii="宋体" w:cs="宋体"/>
          <w:b/>
          <w:sz w:val="24"/>
        </w:rPr>
      </w:pPr>
    </w:p>
    <w:p>
      <w:pPr>
        <w:widowControl/>
        <w:jc w:val="center"/>
        <w:textAlignment w:val="center"/>
        <w:rPr>
          <w:rFonts w:ascii="宋体" w:cs="宋体"/>
          <w:b/>
          <w:sz w:val="30"/>
          <w:szCs w:val="30"/>
        </w:rPr>
      </w:pPr>
    </w:p>
    <w:p>
      <w:pPr>
        <w:rPr>
          <w:rFonts w:ascii="宋体"/>
          <w:b/>
          <w:bCs/>
          <w:kern w:val="0"/>
          <w:sz w:val="24"/>
        </w:rPr>
      </w:pPr>
      <w:r>
        <w:rPr>
          <w:rFonts w:hint="eastAsia" w:ascii="宋体"/>
          <w:b/>
          <w:bCs/>
          <w:kern w:val="0"/>
          <w:sz w:val="24"/>
        </w:rPr>
        <w:br w:type="page"/>
      </w:r>
    </w:p>
    <w:p>
      <w:pPr>
        <w:rPr>
          <w:rFonts w:ascii="宋体"/>
          <w:b/>
          <w:bCs/>
          <w:kern w:val="0"/>
          <w:sz w:val="24"/>
        </w:rPr>
      </w:pPr>
      <w:r>
        <w:rPr>
          <w:rFonts w:hint="eastAsia" w:ascii="宋体"/>
          <w:b/>
          <w:bCs/>
          <w:kern w:val="0"/>
          <w:sz w:val="24"/>
          <w:lang w:val="en-US" w:eastAsia="zh-CN"/>
        </w:rPr>
        <w:t>6</w:t>
      </w:r>
      <w:r>
        <w:rPr>
          <w:rFonts w:hint="eastAsia" w:ascii="宋体"/>
          <w:b/>
          <w:bCs/>
          <w:kern w:val="0"/>
          <w:sz w:val="24"/>
        </w:rPr>
        <w:t>.7 商务条款偏离表</w:t>
      </w:r>
    </w:p>
    <w:p>
      <w:pPr>
        <w:spacing w:line="360" w:lineRule="auto"/>
        <w:ind w:firstLine="643" w:firstLineChars="200"/>
        <w:jc w:val="center"/>
        <w:rPr>
          <w:rFonts w:ascii="宋体"/>
          <w:b/>
          <w:bCs/>
          <w:sz w:val="32"/>
          <w:szCs w:val="32"/>
        </w:rPr>
      </w:pPr>
    </w:p>
    <w:p>
      <w:pPr>
        <w:spacing w:line="360" w:lineRule="auto"/>
        <w:ind w:firstLine="643" w:firstLineChars="200"/>
        <w:jc w:val="center"/>
        <w:rPr>
          <w:rFonts w:ascii="宋体"/>
          <w:b/>
          <w:bCs/>
          <w:sz w:val="32"/>
          <w:szCs w:val="32"/>
        </w:rPr>
      </w:pPr>
      <w:r>
        <w:rPr>
          <w:rFonts w:hint="eastAsia" w:ascii="宋体"/>
          <w:b/>
          <w:bCs/>
          <w:sz w:val="32"/>
          <w:szCs w:val="32"/>
        </w:rPr>
        <w:t>商务条款偏离表</w:t>
      </w:r>
    </w:p>
    <w:bookmarkEnd w:id="39"/>
    <w:bookmarkEnd w:id="40"/>
    <w:tbl>
      <w:tblPr>
        <w:tblStyle w:val="23"/>
        <w:tblW w:w="903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jc w:val="center"/>
        </w:trPr>
        <w:tc>
          <w:tcPr>
            <w:tcW w:w="806" w:type="dxa"/>
            <w:vAlign w:val="center"/>
          </w:tcPr>
          <w:p>
            <w:pPr>
              <w:jc w:val="center"/>
              <w:rPr>
                <w:rFonts w:ascii="宋体" w:cs="宋体"/>
                <w:bCs/>
                <w:sz w:val="24"/>
              </w:rPr>
            </w:pPr>
            <w:r>
              <w:rPr>
                <w:rFonts w:hint="eastAsia" w:ascii="宋体" w:cs="宋体"/>
                <w:bCs/>
                <w:sz w:val="24"/>
              </w:rPr>
              <w:t>序号</w:t>
            </w:r>
          </w:p>
        </w:tc>
        <w:tc>
          <w:tcPr>
            <w:tcW w:w="2070" w:type="dxa"/>
            <w:vAlign w:val="center"/>
          </w:tcPr>
          <w:p>
            <w:pPr>
              <w:jc w:val="center"/>
              <w:rPr>
                <w:rFonts w:ascii="宋体" w:cs="宋体"/>
                <w:bCs/>
                <w:sz w:val="24"/>
              </w:rPr>
            </w:pPr>
            <w:r>
              <w:rPr>
                <w:rFonts w:hint="eastAsia" w:ascii="宋体" w:cs="宋体"/>
                <w:bCs/>
                <w:sz w:val="24"/>
              </w:rPr>
              <w:t>招标文件条目号</w:t>
            </w:r>
          </w:p>
        </w:tc>
        <w:tc>
          <w:tcPr>
            <w:tcW w:w="2052" w:type="dxa"/>
            <w:vAlign w:val="center"/>
          </w:tcPr>
          <w:p>
            <w:pPr>
              <w:jc w:val="center"/>
              <w:rPr>
                <w:rFonts w:ascii="宋体" w:cs="宋体"/>
                <w:bCs/>
                <w:sz w:val="24"/>
              </w:rPr>
            </w:pPr>
            <w:r>
              <w:rPr>
                <w:rFonts w:hint="eastAsia" w:ascii="宋体" w:cs="宋体"/>
                <w:bCs/>
                <w:sz w:val="24"/>
              </w:rPr>
              <w:t>招标文件的商务条款</w:t>
            </w:r>
          </w:p>
        </w:tc>
        <w:tc>
          <w:tcPr>
            <w:tcW w:w="2126" w:type="dxa"/>
            <w:vAlign w:val="center"/>
          </w:tcPr>
          <w:p>
            <w:pPr>
              <w:jc w:val="center"/>
              <w:rPr>
                <w:rFonts w:ascii="宋体" w:cs="宋体"/>
                <w:bCs/>
                <w:sz w:val="24"/>
              </w:rPr>
            </w:pPr>
            <w:r>
              <w:rPr>
                <w:rFonts w:hint="eastAsia" w:ascii="宋体" w:cs="宋体"/>
                <w:bCs/>
                <w:sz w:val="24"/>
              </w:rPr>
              <w:t>投标文件的商务条款</w:t>
            </w:r>
          </w:p>
        </w:tc>
        <w:tc>
          <w:tcPr>
            <w:tcW w:w="1985" w:type="dxa"/>
            <w:vAlign w:val="center"/>
          </w:tcPr>
          <w:p>
            <w:pPr>
              <w:jc w:val="center"/>
              <w:rPr>
                <w:rFonts w:ascii="宋体" w:cs="宋体"/>
                <w:bCs/>
                <w:sz w:val="24"/>
              </w:rPr>
            </w:pPr>
            <w:r>
              <w:rPr>
                <w:rFonts w:hint="eastAsia" w:ascii="宋体" w:cs="宋体"/>
                <w:bCs/>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 w:val="24"/>
              </w:rPr>
            </w:pPr>
          </w:p>
        </w:tc>
        <w:tc>
          <w:tcPr>
            <w:tcW w:w="2070" w:type="dxa"/>
          </w:tcPr>
          <w:p>
            <w:pPr>
              <w:jc w:val="center"/>
              <w:rPr>
                <w:rFonts w:ascii="宋体" w:cs="宋体"/>
                <w:b/>
                <w:bCs/>
                <w:sz w:val="24"/>
              </w:rPr>
            </w:pPr>
          </w:p>
        </w:tc>
        <w:tc>
          <w:tcPr>
            <w:tcW w:w="2052" w:type="dxa"/>
          </w:tcPr>
          <w:p>
            <w:pPr>
              <w:jc w:val="center"/>
              <w:rPr>
                <w:rFonts w:ascii="宋体" w:cs="宋体"/>
                <w:b/>
                <w:bCs/>
                <w:sz w:val="24"/>
              </w:rPr>
            </w:pPr>
          </w:p>
        </w:tc>
        <w:tc>
          <w:tcPr>
            <w:tcW w:w="2126" w:type="dxa"/>
          </w:tcPr>
          <w:p>
            <w:pPr>
              <w:jc w:val="center"/>
              <w:rPr>
                <w:rFonts w:ascii="宋体" w:cs="宋体"/>
                <w:b/>
                <w:bCs/>
                <w:sz w:val="24"/>
              </w:rPr>
            </w:pPr>
          </w:p>
        </w:tc>
        <w:tc>
          <w:tcPr>
            <w:tcW w:w="1985" w:type="dxa"/>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 w:val="24"/>
              </w:rPr>
            </w:pPr>
          </w:p>
        </w:tc>
        <w:tc>
          <w:tcPr>
            <w:tcW w:w="2070" w:type="dxa"/>
          </w:tcPr>
          <w:p>
            <w:pPr>
              <w:jc w:val="center"/>
              <w:rPr>
                <w:rFonts w:ascii="宋体" w:cs="宋体"/>
                <w:b/>
                <w:bCs/>
                <w:sz w:val="24"/>
              </w:rPr>
            </w:pPr>
          </w:p>
        </w:tc>
        <w:tc>
          <w:tcPr>
            <w:tcW w:w="2052" w:type="dxa"/>
          </w:tcPr>
          <w:p>
            <w:pPr>
              <w:jc w:val="center"/>
              <w:rPr>
                <w:rFonts w:ascii="宋体" w:cs="宋体"/>
                <w:b/>
                <w:bCs/>
                <w:sz w:val="24"/>
              </w:rPr>
            </w:pPr>
          </w:p>
        </w:tc>
        <w:tc>
          <w:tcPr>
            <w:tcW w:w="2126" w:type="dxa"/>
          </w:tcPr>
          <w:p>
            <w:pPr>
              <w:jc w:val="center"/>
              <w:rPr>
                <w:rFonts w:ascii="宋体" w:cs="宋体"/>
                <w:b/>
                <w:bCs/>
                <w:sz w:val="24"/>
              </w:rPr>
            </w:pPr>
          </w:p>
        </w:tc>
        <w:tc>
          <w:tcPr>
            <w:tcW w:w="1985" w:type="dxa"/>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 w:val="24"/>
              </w:rPr>
            </w:pPr>
          </w:p>
        </w:tc>
        <w:tc>
          <w:tcPr>
            <w:tcW w:w="2070" w:type="dxa"/>
          </w:tcPr>
          <w:p>
            <w:pPr>
              <w:jc w:val="center"/>
              <w:rPr>
                <w:rFonts w:ascii="宋体" w:cs="宋体"/>
                <w:b/>
                <w:bCs/>
                <w:sz w:val="24"/>
              </w:rPr>
            </w:pPr>
          </w:p>
        </w:tc>
        <w:tc>
          <w:tcPr>
            <w:tcW w:w="2052" w:type="dxa"/>
          </w:tcPr>
          <w:p>
            <w:pPr>
              <w:jc w:val="center"/>
              <w:rPr>
                <w:rFonts w:ascii="宋体" w:cs="宋体"/>
                <w:b/>
                <w:bCs/>
                <w:sz w:val="24"/>
              </w:rPr>
            </w:pPr>
          </w:p>
        </w:tc>
        <w:tc>
          <w:tcPr>
            <w:tcW w:w="2126" w:type="dxa"/>
          </w:tcPr>
          <w:p>
            <w:pPr>
              <w:jc w:val="center"/>
              <w:rPr>
                <w:rFonts w:ascii="宋体" w:cs="宋体"/>
                <w:b/>
                <w:bCs/>
                <w:sz w:val="24"/>
              </w:rPr>
            </w:pPr>
          </w:p>
        </w:tc>
        <w:tc>
          <w:tcPr>
            <w:tcW w:w="1985" w:type="dxa"/>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 w:val="24"/>
              </w:rPr>
            </w:pPr>
          </w:p>
        </w:tc>
        <w:tc>
          <w:tcPr>
            <w:tcW w:w="2070" w:type="dxa"/>
          </w:tcPr>
          <w:p>
            <w:pPr>
              <w:jc w:val="center"/>
              <w:rPr>
                <w:rFonts w:ascii="宋体" w:cs="宋体"/>
                <w:b/>
                <w:bCs/>
                <w:sz w:val="24"/>
              </w:rPr>
            </w:pPr>
          </w:p>
        </w:tc>
        <w:tc>
          <w:tcPr>
            <w:tcW w:w="2052" w:type="dxa"/>
          </w:tcPr>
          <w:p>
            <w:pPr>
              <w:jc w:val="center"/>
              <w:rPr>
                <w:rFonts w:ascii="宋体" w:cs="宋体"/>
                <w:b/>
                <w:bCs/>
                <w:sz w:val="24"/>
              </w:rPr>
            </w:pPr>
          </w:p>
        </w:tc>
        <w:tc>
          <w:tcPr>
            <w:tcW w:w="2126" w:type="dxa"/>
          </w:tcPr>
          <w:p>
            <w:pPr>
              <w:jc w:val="center"/>
              <w:rPr>
                <w:rFonts w:ascii="宋体" w:cs="宋体"/>
                <w:b/>
                <w:bCs/>
                <w:sz w:val="24"/>
              </w:rPr>
            </w:pPr>
          </w:p>
        </w:tc>
        <w:tc>
          <w:tcPr>
            <w:tcW w:w="1985" w:type="dxa"/>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 w:val="24"/>
              </w:rPr>
            </w:pPr>
          </w:p>
        </w:tc>
        <w:tc>
          <w:tcPr>
            <w:tcW w:w="2070" w:type="dxa"/>
          </w:tcPr>
          <w:p>
            <w:pPr>
              <w:jc w:val="center"/>
              <w:rPr>
                <w:rFonts w:ascii="宋体" w:cs="宋体"/>
                <w:b/>
                <w:bCs/>
                <w:sz w:val="24"/>
              </w:rPr>
            </w:pPr>
          </w:p>
        </w:tc>
        <w:tc>
          <w:tcPr>
            <w:tcW w:w="2052" w:type="dxa"/>
          </w:tcPr>
          <w:p>
            <w:pPr>
              <w:jc w:val="center"/>
              <w:rPr>
                <w:rFonts w:ascii="宋体" w:cs="宋体"/>
                <w:b/>
                <w:bCs/>
                <w:sz w:val="24"/>
              </w:rPr>
            </w:pPr>
          </w:p>
        </w:tc>
        <w:tc>
          <w:tcPr>
            <w:tcW w:w="2126" w:type="dxa"/>
          </w:tcPr>
          <w:p>
            <w:pPr>
              <w:jc w:val="center"/>
              <w:rPr>
                <w:rFonts w:ascii="宋体" w:cs="宋体"/>
                <w:b/>
                <w:bCs/>
                <w:sz w:val="24"/>
              </w:rPr>
            </w:pPr>
          </w:p>
        </w:tc>
        <w:tc>
          <w:tcPr>
            <w:tcW w:w="1985" w:type="dxa"/>
          </w:tcPr>
          <w:p>
            <w:pPr>
              <w:jc w:val="center"/>
              <w:rPr>
                <w:rFonts w:ascii="宋体" w:cs="宋体"/>
                <w:b/>
                <w:bCs/>
                <w:sz w:val="24"/>
              </w:rPr>
            </w:pPr>
          </w:p>
        </w:tc>
      </w:tr>
    </w:tbl>
    <w:p>
      <w:pPr>
        <w:spacing w:line="360" w:lineRule="auto"/>
        <w:ind w:firstLine="480" w:firstLineChars="200"/>
        <w:jc w:val="left"/>
        <w:rPr>
          <w:rFonts w:ascii="宋体"/>
          <w:sz w:val="24"/>
        </w:rPr>
      </w:pPr>
      <w:r>
        <w:rPr>
          <w:rFonts w:hint="eastAsia" w:ascii="宋体"/>
          <w:sz w:val="24"/>
        </w:rPr>
        <w:t>备注：投标人商务条款有差异的，则在此表中列明实际响应的内容提要并加以说明，以便查对。无差异说明表示完全响应。</w:t>
      </w:r>
    </w:p>
    <w:p>
      <w:pPr>
        <w:spacing w:line="360" w:lineRule="auto"/>
        <w:jc w:val="left"/>
        <w:rPr>
          <w:rFonts w:ascii="宋体"/>
          <w:sz w:val="24"/>
        </w:rPr>
      </w:pPr>
    </w:p>
    <w:p>
      <w:pPr>
        <w:spacing w:line="360" w:lineRule="auto"/>
        <w:rPr>
          <w:rFonts w:ascii="宋体" w:cs="宋体"/>
          <w:sz w:val="24"/>
        </w:rPr>
      </w:pP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rPr>
          <w:rFonts w:ascii="宋体" w:cs="宋体"/>
          <w:sz w:val="24"/>
        </w:rPr>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widowControl/>
        <w:jc w:val="center"/>
        <w:textAlignment w:val="center"/>
        <w:rPr>
          <w:rFonts w:ascii="宋体" w:cs="宋体"/>
          <w:b/>
          <w:sz w:val="30"/>
          <w:szCs w:val="30"/>
        </w:rPr>
      </w:pPr>
    </w:p>
    <w:p>
      <w:pPr>
        <w:rPr>
          <w:rFonts w:ascii="宋体"/>
          <w:b/>
          <w:bCs/>
          <w:kern w:val="0"/>
          <w:sz w:val="24"/>
        </w:rPr>
      </w:pPr>
      <w:r>
        <w:rPr>
          <w:rFonts w:hint="eastAsia" w:ascii="宋体"/>
          <w:b/>
          <w:bCs/>
          <w:kern w:val="0"/>
          <w:sz w:val="24"/>
        </w:rPr>
        <w:br w:type="page"/>
      </w:r>
    </w:p>
    <w:p>
      <w:pPr>
        <w:rPr>
          <w:rFonts w:ascii="宋体"/>
          <w:b/>
          <w:bCs/>
          <w:kern w:val="0"/>
          <w:sz w:val="24"/>
        </w:rPr>
      </w:pPr>
      <w:r>
        <w:rPr>
          <w:rFonts w:hint="eastAsia" w:ascii="宋体"/>
          <w:b/>
          <w:bCs/>
          <w:kern w:val="0"/>
          <w:sz w:val="24"/>
          <w:lang w:val="en-US" w:eastAsia="zh-CN"/>
        </w:rPr>
        <w:t>6</w:t>
      </w:r>
      <w:r>
        <w:rPr>
          <w:rFonts w:hint="eastAsia" w:ascii="宋体"/>
          <w:b/>
          <w:bCs/>
          <w:kern w:val="0"/>
          <w:sz w:val="24"/>
        </w:rPr>
        <w:t>.</w:t>
      </w:r>
      <w:r>
        <w:rPr>
          <w:rFonts w:hint="eastAsia" w:ascii="宋体"/>
          <w:b/>
          <w:bCs/>
          <w:kern w:val="0"/>
          <w:sz w:val="24"/>
          <w:lang w:val="en-US" w:eastAsia="zh-CN"/>
        </w:rPr>
        <w:t>8</w:t>
      </w:r>
      <w:r>
        <w:rPr>
          <w:rFonts w:hint="eastAsia" w:ascii="宋体"/>
          <w:b/>
          <w:bCs/>
          <w:kern w:val="0"/>
          <w:sz w:val="24"/>
        </w:rPr>
        <w:t xml:space="preserve">  反商业贿赂承诺书</w:t>
      </w:r>
    </w:p>
    <w:p>
      <w:pPr>
        <w:spacing w:before="156" w:beforeLines="50" w:after="156" w:afterLines="50" w:line="360" w:lineRule="auto"/>
        <w:jc w:val="center"/>
        <w:rPr>
          <w:rFonts w:ascii="宋体" w:cs="宋体"/>
          <w:b/>
          <w:bCs/>
          <w:sz w:val="32"/>
          <w:szCs w:val="32"/>
        </w:rPr>
      </w:pPr>
      <w:r>
        <w:rPr>
          <w:rFonts w:hint="eastAsia" w:ascii="宋体"/>
          <w:b/>
          <w:bCs/>
          <w:sz w:val="32"/>
          <w:szCs w:val="32"/>
        </w:rPr>
        <w:t>（一）反商业</w:t>
      </w:r>
      <w:r>
        <w:rPr>
          <w:rFonts w:hint="eastAsia" w:ascii="宋体" w:cs="宋体"/>
          <w:b/>
          <w:bCs/>
          <w:sz w:val="32"/>
          <w:szCs w:val="32"/>
        </w:rPr>
        <w:t>贿赂承诺书</w:t>
      </w:r>
    </w:p>
    <w:p>
      <w:pPr>
        <w:widowControl/>
        <w:spacing w:before="100" w:beforeAutospacing="1" w:after="100" w:afterAutospacing="1" w:line="360" w:lineRule="auto"/>
        <w:ind w:firstLine="480" w:firstLineChars="200"/>
        <w:jc w:val="left"/>
        <w:rPr>
          <w:rFonts w:ascii="宋体" w:cs="宋体"/>
          <w:sz w:val="24"/>
        </w:rPr>
      </w:pPr>
      <w:r>
        <w:rPr>
          <w:rFonts w:hint="eastAsia" w:ascii="宋体" w:cs="宋体"/>
          <w:sz w:val="24"/>
        </w:rPr>
        <w:t>我公司承诺在</w:t>
      </w:r>
      <w:r>
        <w:rPr>
          <w:rFonts w:hint="eastAsia" w:ascii="宋体" w:cs="宋体"/>
          <w:sz w:val="24"/>
          <w:u w:val="single"/>
        </w:rPr>
        <w:t xml:space="preserve">  （项目编号、项目名称）  </w:t>
      </w:r>
      <w:r>
        <w:rPr>
          <w:rFonts w:hint="eastAsia" w:ascii="宋体" w:cs="宋体"/>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1"/>
        <w:tabs>
          <w:tab w:val="left" w:pos="5580"/>
        </w:tabs>
        <w:spacing w:line="360" w:lineRule="auto"/>
        <w:ind w:firstLine="3600" w:firstLineChars="1500"/>
        <w:rPr>
          <w:sz w:val="24"/>
        </w:rPr>
      </w:pPr>
      <w:r>
        <w:rPr>
          <w:rFonts w:hint="eastAsia"/>
          <w:sz w:val="24"/>
        </w:rPr>
        <w:t>投标人（盖</w:t>
      </w:r>
      <w:r>
        <w:rPr>
          <w:sz w:val="24"/>
        </w:rPr>
        <w:t>章）：</w:t>
      </w:r>
    </w:p>
    <w:p>
      <w:pPr>
        <w:pStyle w:val="11"/>
        <w:tabs>
          <w:tab w:val="left" w:pos="5580"/>
        </w:tabs>
        <w:spacing w:line="360" w:lineRule="auto"/>
        <w:ind w:firstLine="3600" w:firstLineChars="1500"/>
        <w:rPr>
          <w:sz w:val="24"/>
          <w:u w:val="single"/>
        </w:rPr>
      </w:pPr>
      <w:r>
        <w:rPr>
          <w:rFonts w:hint="eastAsia"/>
          <w:sz w:val="24"/>
        </w:rPr>
        <w:t>法定代表人（签章）：</w:t>
      </w:r>
    </w:p>
    <w:p>
      <w:pPr>
        <w:pStyle w:val="11"/>
        <w:tabs>
          <w:tab w:val="left" w:pos="5580"/>
        </w:tabs>
        <w:spacing w:line="360" w:lineRule="auto"/>
        <w:ind w:firstLine="3600" w:firstLineChars="1500"/>
        <w:rPr>
          <w:rFonts w:cs="宋体"/>
          <w:kern w:val="0"/>
          <w:sz w:val="24"/>
          <w:u w:val="single"/>
        </w:rPr>
      </w:pP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4080" w:firstLineChars="1700"/>
        <w:rPr>
          <w:rFonts w:ascii="宋体" w:cs="宋体"/>
          <w:sz w:val="24"/>
        </w:rPr>
      </w:pPr>
      <w:r>
        <w:rPr>
          <w:rFonts w:hint="eastAsia"/>
          <w:sz w:val="24"/>
        </w:rPr>
        <w:t>日期：</w:t>
      </w:r>
    </w:p>
    <w:p>
      <w:pPr>
        <w:spacing w:line="360" w:lineRule="auto"/>
        <w:jc w:val="center"/>
        <w:rPr>
          <w:rFonts w:ascii="宋体" w:cs="宋体"/>
          <w:sz w:val="32"/>
          <w:szCs w:val="32"/>
        </w:rPr>
      </w:pPr>
      <w:r>
        <w:rPr>
          <w:rFonts w:hint="eastAsia" w:ascii="宋体" w:cs="宋体"/>
          <w:b/>
          <w:bCs/>
          <w:sz w:val="32"/>
          <w:szCs w:val="32"/>
        </w:rPr>
        <w:t>（二）参加政府采购活动前3年内</w:t>
      </w:r>
      <w:bookmarkStart w:id="41" w:name="_Toc518923113"/>
      <w:r>
        <w:rPr>
          <w:rFonts w:hint="eastAsia" w:ascii="宋体" w:cs="宋体"/>
          <w:b/>
          <w:bCs/>
          <w:sz w:val="32"/>
          <w:szCs w:val="32"/>
        </w:rPr>
        <w:t>在经营活动中没有重大违法记录的承诺书</w:t>
      </w:r>
      <w:bookmarkEnd w:id="41"/>
    </w:p>
    <w:p>
      <w:pPr>
        <w:spacing w:line="360" w:lineRule="auto"/>
        <w:rPr>
          <w:rFonts w:ascii="宋体" w:cs="宋体"/>
          <w:sz w:val="24"/>
        </w:rPr>
      </w:pPr>
      <w:r>
        <w:rPr>
          <w:rFonts w:hint="eastAsia" w:ascii="宋体" w:cs="宋体"/>
          <w:sz w:val="24"/>
        </w:rPr>
        <w:t>致：（采购人）         ：</w:t>
      </w:r>
    </w:p>
    <w:p>
      <w:pPr>
        <w:spacing w:line="360" w:lineRule="auto"/>
        <w:ind w:firstLine="960" w:firstLineChars="400"/>
        <w:rPr>
          <w:rFonts w:ascii="宋体" w:cs="宋体"/>
          <w:sz w:val="24"/>
        </w:rPr>
      </w:pPr>
      <w:r>
        <w:rPr>
          <w:rFonts w:hint="eastAsia" w:ascii="宋体" w:cs="宋体"/>
          <w:sz w:val="24"/>
        </w:rPr>
        <w:t>我公司参与（项目名称标包号、项目编号）投标，本公司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pPr>
        <w:spacing w:line="360" w:lineRule="auto"/>
        <w:rPr>
          <w:rFonts w:ascii="宋体" w:cs="宋体"/>
          <w:sz w:val="24"/>
        </w:rPr>
      </w:pPr>
      <w:r>
        <w:rPr>
          <w:rFonts w:hint="eastAsia" w:ascii="宋体" w:cs="宋体"/>
          <w:sz w:val="24"/>
        </w:rPr>
        <w:t xml:space="preserve">特此声明  </w:t>
      </w: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rPr>
          <w:rFonts w:ascii="宋体" w:cs="宋体"/>
          <w:sz w:val="24"/>
        </w:rPr>
      </w:pPr>
      <w:r>
        <w:rPr>
          <w:rFonts w:hint="eastAsia" w:ascii="宋体" w:cs="宋体"/>
          <w:sz w:val="24"/>
        </w:rPr>
        <w:t>说明：1.投标人应按照相关法规规定如实作出说明。</w:t>
      </w:r>
    </w:p>
    <w:p>
      <w:pPr>
        <w:spacing w:line="360" w:lineRule="auto"/>
        <w:ind w:firstLine="720" w:firstLineChars="300"/>
        <w:rPr>
          <w:rFonts w:ascii="宋体" w:cs="宋体"/>
          <w:sz w:val="24"/>
        </w:rPr>
      </w:pPr>
      <w:r>
        <w:rPr>
          <w:rFonts w:hint="eastAsia" w:ascii="宋体" w:cs="宋体"/>
          <w:sz w:val="24"/>
        </w:rPr>
        <w:t>2．按照招标文件的规定盖章（自然人投标的无需盖章，需要签字）。</w:t>
      </w:r>
    </w:p>
    <w:p>
      <w:pPr>
        <w:spacing w:line="360" w:lineRule="auto"/>
        <w:ind w:firstLine="720" w:firstLineChars="300"/>
        <w:rPr>
          <w:rFonts w:ascii="宋体" w:cs="宋体"/>
          <w:sz w:val="24"/>
        </w:rPr>
      </w:pPr>
      <w:r>
        <w:rPr>
          <w:rFonts w:hint="eastAsia" w:ascii="宋体" w:cs="宋体"/>
          <w:sz w:val="24"/>
        </w:rPr>
        <w:t>3.如果是联合体投标，联合体各方均需提供上述证明。</w:t>
      </w:r>
    </w:p>
    <w:p>
      <w:pPr>
        <w:rPr>
          <w:rFonts w:ascii="宋体" w:cs="宋体"/>
          <w:b/>
          <w:bCs/>
          <w:kern w:val="0"/>
          <w:sz w:val="24"/>
        </w:rPr>
      </w:pPr>
      <w:r>
        <w:rPr>
          <w:rFonts w:hint="eastAsia" w:ascii="宋体" w:cs="宋体"/>
          <w:b/>
          <w:bCs/>
          <w:kern w:val="0"/>
          <w:sz w:val="24"/>
        </w:rPr>
        <w:br w:type="page"/>
      </w:r>
    </w:p>
    <w:p>
      <w:pPr>
        <w:spacing w:line="360" w:lineRule="auto"/>
        <w:rPr>
          <w:rFonts w:ascii="宋体" w:cs="宋体"/>
          <w:b/>
          <w:bCs/>
          <w:sz w:val="24"/>
        </w:rPr>
      </w:pPr>
      <w:r>
        <w:rPr>
          <w:rFonts w:hint="eastAsia" w:ascii="宋体" w:cs="宋体"/>
          <w:b/>
          <w:bCs/>
          <w:kern w:val="0"/>
          <w:sz w:val="24"/>
          <w:lang w:val="en-US" w:eastAsia="zh-CN"/>
        </w:rPr>
        <w:t>6</w:t>
      </w:r>
      <w:r>
        <w:rPr>
          <w:rFonts w:hint="eastAsia" w:ascii="宋体" w:cs="宋体"/>
          <w:b/>
          <w:bCs/>
          <w:kern w:val="0"/>
          <w:sz w:val="24"/>
        </w:rPr>
        <w:t>.9中小微企业声明函</w:t>
      </w:r>
    </w:p>
    <w:p>
      <w:pPr>
        <w:jc w:val="center"/>
        <w:rPr>
          <w:rFonts w:hint="eastAsia" w:eastAsia="宋体"/>
          <w:b/>
          <w:bCs/>
          <w:sz w:val="32"/>
          <w:szCs w:val="32"/>
        </w:rPr>
      </w:pPr>
      <w:bookmarkStart w:id="42" w:name="_Toc37868812"/>
      <w:bookmarkStart w:id="43" w:name="_Toc37868813"/>
      <w:r>
        <w:rPr>
          <w:rFonts w:hint="eastAsia" w:eastAsia="宋体"/>
          <w:b/>
          <w:bCs/>
          <w:sz w:val="32"/>
          <w:szCs w:val="32"/>
        </w:rPr>
        <w:t>（一）中小企业声明函（货物）</w:t>
      </w:r>
    </w:p>
    <w:p>
      <w:pPr>
        <w:spacing w:line="360" w:lineRule="auto"/>
        <w:ind w:firstLine="480" w:firstLineChars="200"/>
        <w:rPr>
          <w:rFonts w:ascii="宋体" w:cs="宋体"/>
          <w:sz w:val="24"/>
        </w:rPr>
      </w:pPr>
      <w:r>
        <w:rPr>
          <w:rFonts w:hint="eastAsia" w:ascii="宋体" w:cs="宋体"/>
          <w:sz w:val="24"/>
        </w:rPr>
        <w:t>本公司（联合体）郑重声明，根据</w:t>
      </w:r>
      <w:r>
        <w:rPr>
          <w:rFonts w:hint="eastAsia" w:ascii="宋体" w:cs="宋体"/>
          <w:color w:val="auto"/>
          <w:sz w:val="24"/>
          <w:shd w:val="clear" w:color="auto" w:fill="FFFFFF"/>
        </w:rPr>
        <w:t>《关于进一步加大政府采购支持中小企业力度的通知》（财库[202</w:t>
      </w:r>
      <w:r>
        <w:rPr>
          <w:rFonts w:hint="eastAsia" w:ascii="宋体" w:cs="宋体"/>
          <w:color w:val="auto"/>
          <w:sz w:val="24"/>
          <w:shd w:val="clear" w:color="auto" w:fill="FFFFFF"/>
          <w:lang w:val="en-US" w:eastAsia="zh-CN"/>
        </w:rPr>
        <w:t>2</w:t>
      </w:r>
      <w:r>
        <w:rPr>
          <w:rFonts w:hint="eastAsia" w:ascii="宋体" w:cs="宋体"/>
          <w:color w:val="auto"/>
          <w:sz w:val="24"/>
          <w:shd w:val="clear" w:color="auto" w:fill="FFFFFF"/>
        </w:rPr>
        <w:t>]</w:t>
      </w:r>
      <w:r>
        <w:rPr>
          <w:rFonts w:hint="eastAsia" w:ascii="宋体" w:cs="宋体"/>
          <w:color w:val="auto"/>
          <w:sz w:val="24"/>
          <w:shd w:val="clear" w:color="auto" w:fill="FFFFFF"/>
          <w:lang w:val="en-US" w:eastAsia="zh-CN"/>
        </w:rPr>
        <w:t>19</w:t>
      </w:r>
      <w:r>
        <w:rPr>
          <w:rFonts w:hint="eastAsia" w:ascii="宋体" w:cs="宋体"/>
          <w:color w:val="auto"/>
          <w:sz w:val="24"/>
          <w:shd w:val="clear" w:color="auto" w:fill="FFFFFF"/>
        </w:rPr>
        <w:t>号文）</w:t>
      </w:r>
      <w:r>
        <w:rPr>
          <w:rFonts w:hint="eastAsia" w:ascii="宋体" w:cs="宋体"/>
          <w:sz w:val="24"/>
        </w:rPr>
        <w:t>的规定，本公司（联合体）参加</w:t>
      </w:r>
      <w:r>
        <w:rPr>
          <w:rFonts w:hint="eastAsia" w:ascii="宋体" w:cs="宋体"/>
          <w:sz w:val="24"/>
          <w:u w:val="single"/>
        </w:rPr>
        <w:t xml:space="preserve">       </w:t>
      </w:r>
      <w:r>
        <w:rPr>
          <w:rFonts w:hint="eastAsia" w:ascii="宋体" w:cs="宋体"/>
          <w:sz w:val="24"/>
        </w:rPr>
        <w:t>（单位名称）的</w:t>
      </w:r>
      <w:r>
        <w:rPr>
          <w:rFonts w:hint="eastAsia" w:ascii="宋体" w:cs="宋体"/>
          <w:sz w:val="24"/>
          <w:u w:val="single"/>
        </w:rPr>
        <w:t xml:space="preserve">      </w:t>
      </w:r>
      <w:r>
        <w:rPr>
          <w:rFonts w:hint="eastAsia" w:ascii="宋体" w:cs="宋体"/>
          <w:sz w:val="24"/>
        </w:rPr>
        <w:t>（项目名称）采购活动，提供的货物全部由符合政策要求的中小企业制造。相关企业（含联合体中的中小企业、签订分包意向协议的中小企业）的具体情况如下：</w:t>
      </w:r>
    </w:p>
    <w:p>
      <w:pPr>
        <w:spacing w:line="360" w:lineRule="auto"/>
        <w:ind w:firstLine="480" w:firstLineChars="200"/>
        <w:rPr>
          <w:rFonts w:ascii="宋体" w:cs="宋体"/>
          <w:sz w:val="24"/>
        </w:rPr>
      </w:pPr>
      <w:r>
        <w:rPr>
          <w:rFonts w:hint="eastAsia" w:ascii="宋体" w:hAnsi="宋体" w:cs="宋体"/>
          <w:sz w:val="24"/>
        </w:rPr>
        <w:t>⑴</w:t>
      </w:r>
      <w:r>
        <w:rPr>
          <w:rFonts w:hint="eastAsia" w:ascii="宋体" w:cs="宋体"/>
          <w:sz w:val="24"/>
          <w:u w:val="single"/>
        </w:rPr>
        <w:t xml:space="preserve">         </w:t>
      </w:r>
      <w:r>
        <w:rPr>
          <w:rFonts w:hint="eastAsia" w:ascii="宋体" w:cs="宋体"/>
          <w:sz w:val="24"/>
        </w:rPr>
        <w:t>（标的名称），属于</w:t>
      </w:r>
      <w:r>
        <w:rPr>
          <w:rFonts w:hint="eastAsia" w:ascii="宋体" w:cs="宋体"/>
          <w:sz w:val="24"/>
          <w:u w:val="single"/>
        </w:rPr>
        <w:t xml:space="preserve">          </w:t>
      </w:r>
      <w:r>
        <w:rPr>
          <w:rFonts w:hint="eastAsia" w:ascii="宋体" w:cs="宋体"/>
          <w:sz w:val="24"/>
        </w:rPr>
        <w:t>(采购文件中明确的所属行业）；制造商为</w:t>
      </w:r>
      <w:r>
        <w:rPr>
          <w:rFonts w:hint="eastAsia" w:ascii="宋体" w:cs="宋体"/>
          <w:sz w:val="24"/>
          <w:u w:val="single"/>
        </w:rPr>
        <w:t xml:space="preserve">           </w:t>
      </w:r>
      <w:r>
        <w:rPr>
          <w:rFonts w:hint="eastAsia" w:ascii="宋体" w:cs="宋体"/>
          <w:sz w:val="24"/>
        </w:rPr>
        <w:t>企业名称，从业人员</w:t>
      </w:r>
      <w:r>
        <w:rPr>
          <w:rFonts w:hint="eastAsia" w:ascii="宋体" w:cs="宋体"/>
          <w:sz w:val="24"/>
          <w:u w:val="single"/>
        </w:rPr>
        <w:t xml:space="preserve">     </w:t>
      </w:r>
      <w:r>
        <w:rPr>
          <w:rFonts w:hint="eastAsia" w:ascii="宋体" w:cs="宋体"/>
          <w:sz w:val="24"/>
        </w:rPr>
        <w:t>人，营业收入为</w:t>
      </w:r>
      <w:r>
        <w:rPr>
          <w:rFonts w:hint="eastAsia" w:ascii="宋体" w:cs="宋体"/>
          <w:sz w:val="24"/>
          <w:u w:val="single"/>
        </w:rPr>
        <w:t xml:space="preserve">      </w:t>
      </w:r>
      <w:r>
        <w:rPr>
          <w:rFonts w:hint="eastAsia" w:ascii="宋体" w:cs="宋体"/>
          <w:sz w:val="24"/>
        </w:rPr>
        <w:t>万元，资产总额为</w:t>
      </w:r>
      <w:r>
        <w:rPr>
          <w:rFonts w:hint="eastAsia" w:ascii="宋体" w:cs="宋体"/>
          <w:sz w:val="24"/>
          <w:u w:val="single"/>
        </w:rPr>
        <w:t xml:space="preserve">        </w:t>
      </w:r>
      <w:r>
        <w:rPr>
          <w:rFonts w:hint="eastAsia" w:ascii="宋体" w:cs="宋体"/>
          <w:sz w:val="24"/>
        </w:rPr>
        <w:t>万元，属于</w:t>
      </w:r>
      <w:r>
        <w:rPr>
          <w:rFonts w:hint="eastAsia" w:ascii="宋体" w:cs="宋体"/>
          <w:sz w:val="24"/>
          <w:u w:val="single"/>
        </w:rPr>
        <w:t xml:space="preserve">           </w:t>
      </w:r>
      <w:r>
        <w:rPr>
          <w:rFonts w:hint="eastAsia" w:ascii="宋体" w:cs="宋体"/>
          <w:sz w:val="24"/>
        </w:rPr>
        <w:t>（中型企业、小型企业、微型企业）；</w:t>
      </w:r>
    </w:p>
    <w:p>
      <w:pPr>
        <w:spacing w:line="360" w:lineRule="auto"/>
        <w:ind w:firstLine="480" w:firstLineChars="200"/>
        <w:rPr>
          <w:rFonts w:ascii="宋体" w:cs="宋体"/>
          <w:sz w:val="24"/>
        </w:rPr>
      </w:pPr>
      <w:r>
        <w:rPr>
          <w:rFonts w:hint="eastAsia" w:ascii="宋体" w:hAnsi="宋体" w:cs="宋体"/>
          <w:sz w:val="24"/>
        </w:rPr>
        <w:t>⑵</w:t>
      </w:r>
      <w:r>
        <w:rPr>
          <w:rFonts w:hint="eastAsia" w:ascii="宋体" w:cs="宋体"/>
          <w:sz w:val="24"/>
          <w:u w:val="single"/>
        </w:rPr>
        <w:t xml:space="preserve">        </w:t>
      </w:r>
      <w:r>
        <w:rPr>
          <w:rFonts w:hint="eastAsia" w:ascii="宋体" w:cs="宋体"/>
          <w:sz w:val="24"/>
        </w:rPr>
        <w:t>（标的名称），属于</w:t>
      </w:r>
      <w:r>
        <w:rPr>
          <w:rFonts w:hint="eastAsia" w:ascii="宋体" w:cs="宋体"/>
          <w:sz w:val="24"/>
          <w:u w:val="single"/>
        </w:rPr>
        <w:t xml:space="preserve">          </w:t>
      </w:r>
      <w:r>
        <w:rPr>
          <w:rFonts w:hint="eastAsia" w:ascii="宋体" w:cs="宋体"/>
          <w:sz w:val="24"/>
        </w:rPr>
        <w:t>(采购文件中明确的所属行业）；制造商为</w:t>
      </w:r>
      <w:r>
        <w:rPr>
          <w:rFonts w:hint="eastAsia" w:ascii="宋体" w:cs="宋体"/>
          <w:sz w:val="24"/>
          <w:u w:val="single"/>
        </w:rPr>
        <w:t xml:space="preserve">           </w:t>
      </w:r>
      <w:r>
        <w:rPr>
          <w:rFonts w:hint="eastAsia" w:ascii="宋体" w:cs="宋体"/>
          <w:sz w:val="24"/>
        </w:rPr>
        <w:t>企业名称，从业人员</w:t>
      </w:r>
      <w:r>
        <w:rPr>
          <w:rFonts w:hint="eastAsia" w:ascii="宋体" w:cs="宋体"/>
          <w:sz w:val="24"/>
          <w:u w:val="single"/>
        </w:rPr>
        <w:t xml:space="preserve">     </w:t>
      </w:r>
      <w:r>
        <w:rPr>
          <w:rFonts w:hint="eastAsia" w:ascii="宋体" w:cs="宋体"/>
          <w:sz w:val="24"/>
        </w:rPr>
        <w:t>人，营业收入为</w:t>
      </w:r>
      <w:r>
        <w:rPr>
          <w:rFonts w:hint="eastAsia" w:ascii="宋体" w:cs="宋体"/>
          <w:sz w:val="24"/>
          <w:u w:val="single"/>
        </w:rPr>
        <w:t xml:space="preserve">      </w:t>
      </w:r>
      <w:r>
        <w:rPr>
          <w:rFonts w:hint="eastAsia" w:ascii="宋体" w:cs="宋体"/>
          <w:sz w:val="24"/>
        </w:rPr>
        <w:t>万元，资产总额为</w:t>
      </w:r>
      <w:r>
        <w:rPr>
          <w:rFonts w:hint="eastAsia" w:ascii="宋体" w:cs="宋体"/>
          <w:sz w:val="24"/>
          <w:u w:val="single"/>
        </w:rPr>
        <w:t xml:space="preserve">        </w:t>
      </w:r>
      <w:r>
        <w:rPr>
          <w:rFonts w:hint="eastAsia" w:ascii="宋体" w:cs="宋体"/>
          <w:sz w:val="24"/>
        </w:rPr>
        <w:t>万元，属于</w:t>
      </w:r>
      <w:r>
        <w:rPr>
          <w:rFonts w:hint="eastAsia" w:ascii="宋体" w:cs="宋体"/>
          <w:sz w:val="24"/>
          <w:u w:val="single"/>
        </w:rPr>
        <w:t xml:space="preserve">           </w:t>
      </w:r>
      <w:r>
        <w:rPr>
          <w:rFonts w:hint="eastAsia" w:ascii="宋体" w:cs="宋体"/>
          <w:sz w:val="24"/>
        </w:rPr>
        <w:t>（中型企业、小型企业、微型企业）；</w:t>
      </w:r>
    </w:p>
    <w:p>
      <w:pPr>
        <w:spacing w:line="360" w:lineRule="auto"/>
        <w:ind w:firstLine="480" w:firstLineChars="200"/>
        <w:rPr>
          <w:rFonts w:ascii="宋体" w:cs="宋体"/>
          <w:sz w:val="24"/>
        </w:rPr>
      </w:pPr>
      <w:r>
        <w:rPr>
          <w:rFonts w:hint="eastAsia" w:ascii="宋体" w:hAnsi="宋体" w:cs="宋体"/>
          <w:sz w:val="24"/>
        </w:rPr>
        <w:t>⑶</w:t>
      </w:r>
      <w:r>
        <w:rPr>
          <w:rFonts w:hint="eastAsia" w:ascii="宋体" w:cs="宋体"/>
          <w:sz w:val="24"/>
        </w:rPr>
        <w:t xml:space="preserve"> </w:t>
      </w:r>
      <w:r>
        <w:rPr>
          <w:rFonts w:hint="eastAsia" w:ascii="宋体" w:hAnsi="宋体" w:cs="宋体"/>
          <w:sz w:val="24"/>
        </w:rPr>
        <w:t>……</w:t>
      </w:r>
      <w:r>
        <w:rPr>
          <w:rFonts w:hint="eastAsia" w:ascii="宋体" w:cs="宋体"/>
          <w:sz w:val="24"/>
        </w:rPr>
        <w:t>。</w:t>
      </w:r>
    </w:p>
    <w:p>
      <w:pPr>
        <w:spacing w:line="360" w:lineRule="auto"/>
        <w:ind w:firstLine="480" w:firstLineChars="200"/>
        <w:rPr>
          <w:rFonts w:ascii="宋体" w:cs="宋体"/>
          <w:sz w:val="24"/>
        </w:rPr>
      </w:pPr>
      <w:r>
        <w:rPr>
          <w:rFonts w:hint="eastAsia" w:ascii="宋体" w:cs="宋体"/>
          <w:sz w:val="24"/>
        </w:rPr>
        <w:t>以上企业，不属于大企业的分支机构，不存在控股股东为大企业的情形，也不存在与大企业的负责人为同一人的情形。</w:t>
      </w:r>
    </w:p>
    <w:p>
      <w:pPr>
        <w:spacing w:line="360" w:lineRule="auto"/>
        <w:ind w:firstLine="480" w:firstLineChars="200"/>
        <w:rPr>
          <w:rFonts w:ascii="宋体" w:cs="宋体"/>
          <w:sz w:val="24"/>
        </w:rPr>
      </w:pPr>
      <w:r>
        <w:rPr>
          <w:rFonts w:hint="eastAsia" w:ascii="宋体" w:cs="宋体"/>
          <w:sz w:val="24"/>
        </w:rPr>
        <w:t>本企业对上述声明的真实性负责。如有虚假，将依法承担相应责任。</w:t>
      </w: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ind w:firstLine="4800" w:firstLineChars="2000"/>
        <w:rPr>
          <w:rFonts w:ascii="宋体" w:cs="宋体"/>
          <w:sz w:val="24"/>
        </w:rPr>
      </w:pPr>
    </w:p>
    <w:p>
      <w:pPr>
        <w:jc w:val="center"/>
        <w:rPr>
          <w:rFonts w:ascii="宋体"/>
          <w:b/>
          <w:kern w:val="0"/>
          <w:sz w:val="32"/>
          <w:szCs w:val="32"/>
        </w:rPr>
      </w:pPr>
      <w:r>
        <w:rPr>
          <w:rFonts w:hint="eastAsia"/>
          <w:b/>
          <w:bCs/>
          <w:sz w:val="32"/>
          <w:szCs w:val="32"/>
        </w:rPr>
        <w:t>（二）</w:t>
      </w:r>
      <w:r>
        <w:rPr>
          <w:b/>
          <w:bCs/>
          <w:sz w:val="32"/>
          <w:szCs w:val="32"/>
        </w:rPr>
        <w:t>投标人</w:t>
      </w:r>
      <w:r>
        <w:rPr>
          <w:rFonts w:hint="eastAsia"/>
          <w:b/>
          <w:bCs/>
          <w:sz w:val="32"/>
          <w:szCs w:val="32"/>
        </w:rPr>
        <w:t>监狱企业</w:t>
      </w:r>
      <w:r>
        <w:rPr>
          <w:b/>
          <w:bCs/>
          <w:sz w:val="32"/>
          <w:szCs w:val="32"/>
        </w:rPr>
        <w:t>声明函</w:t>
      </w:r>
      <w:bookmarkEnd w:id="42"/>
    </w:p>
    <w:p>
      <w:pPr>
        <w:spacing w:line="360" w:lineRule="auto"/>
        <w:ind w:firstLine="480" w:firstLineChars="200"/>
        <w:rPr>
          <w:rFonts w:ascii="宋体" w:cs="宋体"/>
          <w:sz w:val="24"/>
        </w:rPr>
      </w:pPr>
      <w:r>
        <w:rPr>
          <w:rFonts w:hint="eastAsia" w:ascii="宋体" w:cs="宋体"/>
          <w:sz w:val="24"/>
        </w:rPr>
        <w:t>本企业（单位）郑重声明下列事项（按照实际情况勾选或填空）：</w:t>
      </w:r>
    </w:p>
    <w:p>
      <w:pPr>
        <w:spacing w:line="360" w:lineRule="auto"/>
        <w:ind w:firstLine="480" w:firstLineChars="200"/>
        <w:rPr>
          <w:rFonts w:ascii="宋体" w:cs="宋体"/>
          <w:sz w:val="24"/>
        </w:rPr>
      </w:pPr>
      <w:r>
        <w:rPr>
          <w:rFonts w:hint="eastAsia" w:ascii="宋体" w:cs="宋体"/>
          <w:sz w:val="24"/>
        </w:rPr>
        <w:t>本企业（单位）为直接投标人，提供本企业（单位）服务。</w:t>
      </w:r>
    </w:p>
    <w:p>
      <w:pPr>
        <w:spacing w:line="360" w:lineRule="auto"/>
        <w:ind w:firstLine="480" w:firstLineChars="200"/>
        <w:rPr>
          <w:rFonts w:ascii="宋体" w:cs="宋体"/>
          <w:sz w:val="24"/>
        </w:rPr>
      </w:pPr>
      <w:r>
        <w:rPr>
          <w:rFonts w:hint="eastAsia" w:ascii="宋体" w:cs="宋体"/>
          <w:sz w:val="24"/>
        </w:rPr>
        <w:t>（1）本企业（单位）（请填写：是、不是）监狱企业。后附省级以上监狱管理局、戒毒管理局（含新疆生产建设兵团）出具的属于监狱企业的证明文件。</w:t>
      </w:r>
    </w:p>
    <w:p>
      <w:pPr>
        <w:spacing w:line="360" w:lineRule="auto"/>
        <w:ind w:firstLine="480" w:firstLineChars="200"/>
        <w:rPr>
          <w:rFonts w:ascii="宋体" w:cs="宋体"/>
          <w:sz w:val="24"/>
        </w:rPr>
      </w:pPr>
      <w:r>
        <w:rPr>
          <w:rFonts w:hint="eastAsia" w:ascii="宋体" w:cs="宋体"/>
          <w:sz w:val="24"/>
        </w:rPr>
        <w:t>（2）本企业（单位）（请填写：是、不是）为联合体一方，提供本企业（单位）的服务。本企业（单位）提供协议合同金额占到共同投标协议合同总金额的比例为。</w:t>
      </w:r>
    </w:p>
    <w:p>
      <w:pPr>
        <w:spacing w:line="360" w:lineRule="auto"/>
        <w:rPr>
          <w:rFonts w:ascii="宋体" w:cs="宋体"/>
          <w:sz w:val="24"/>
        </w:rPr>
      </w:pPr>
      <w:r>
        <w:rPr>
          <w:rFonts w:hint="eastAsia" w:ascii="宋体" w:cs="宋体"/>
          <w:sz w:val="24"/>
        </w:rPr>
        <w:t>本企业（单位）对上述声明的真实性负责。如有虚假，将依法承担相应责任。</w:t>
      </w:r>
      <w:r>
        <w:rPr>
          <w:rFonts w:ascii="宋体"/>
          <w:b/>
          <w:kern w:val="0"/>
          <w:sz w:val="24"/>
          <w:szCs w:val="20"/>
        </w:rPr>
        <w:t>　</w:t>
      </w: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rPr>
          <w:rFonts w:ascii="宋体" w:cs="宋体"/>
          <w:sz w:val="24"/>
        </w:rPr>
      </w:pPr>
    </w:p>
    <w:p>
      <w:pPr>
        <w:pStyle w:val="9"/>
        <w:numPr>
          <w:ilvl w:val="0"/>
          <w:numId w:val="0"/>
        </w:numPr>
        <w:rPr>
          <w:rFonts w:ascii="宋体" w:hAnsi="宋体" w:cs="宋体"/>
          <w:kern w:val="0"/>
          <w:sz w:val="24"/>
          <w:u w:val="single"/>
        </w:rPr>
      </w:pPr>
    </w:p>
    <w:p>
      <w:pPr>
        <w:pStyle w:val="9"/>
        <w:numPr>
          <w:ilvl w:val="0"/>
          <w:numId w:val="0"/>
        </w:numPr>
        <w:rPr>
          <w:rFonts w:ascii="宋体" w:hAnsi="宋体" w:cs="宋体"/>
          <w:kern w:val="0"/>
          <w:sz w:val="24"/>
          <w:u w:val="single"/>
        </w:rPr>
      </w:pPr>
    </w:p>
    <w:p>
      <w:pPr>
        <w:rPr>
          <w:b/>
          <w:bCs/>
          <w:sz w:val="24"/>
        </w:rPr>
      </w:pPr>
      <w:r>
        <w:rPr>
          <w:rFonts w:hint="eastAsia"/>
          <w:b/>
          <w:bCs/>
          <w:sz w:val="24"/>
        </w:rPr>
        <w:br w:type="page"/>
      </w:r>
    </w:p>
    <w:p>
      <w:pPr>
        <w:jc w:val="center"/>
        <w:rPr>
          <w:b/>
          <w:bCs/>
          <w:sz w:val="32"/>
          <w:szCs w:val="32"/>
        </w:rPr>
      </w:pPr>
      <w:r>
        <w:rPr>
          <w:rFonts w:hint="eastAsia"/>
          <w:b/>
          <w:bCs/>
          <w:sz w:val="32"/>
          <w:szCs w:val="32"/>
        </w:rPr>
        <w:t>（三）残疾人福利性单位声明函</w:t>
      </w:r>
      <w:bookmarkEnd w:id="43"/>
    </w:p>
    <w:p>
      <w:pPr>
        <w:spacing w:line="360" w:lineRule="auto"/>
        <w:ind w:left="1080" w:leftChars="257" w:hanging="540"/>
        <w:jc w:val="center"/>
        <w:rPr>
          <w:rFonts w:ascii="宋体"/>
          <w:kern w:val="0"/>
          <w:sz w:val="24"/>
          <w:szCs w:val="20"/>
        </w:rPr>
      </w:pPr>
    </w:p>
    <w:p>
      <w:pPr>
        <w:spacing w:line="360" w:lineRule="auto"/>
        <w:ind w:firstLine="567"/>
        <w:rPr>
          <w:rFonts w:ascii="宋体"/>
          <w:kern w:val="0"/>
          <w:sz w:val="24"/>
          <w:szCs w:val="20"/>
        </w:rPr>
      </w:pPr>
      <w:r>
        <w:rPr>
          <w:rFonts w:hint="eastAsia" w:ascii="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cs="宋体"/>
          <w:kern w:val="0"/>
          <w:sz w:val="24"/>
        </w:rPr>
        <w:t>（由本单位承担工程/提供服务）</w:t>
      </w:r>
      <w:r>
        <w:rPr>
          <w:rFonts w:hint="eastAsia" w:ascii="宋体"/>
          <w:kern w:val="0"/>
          <w:sz w:val="24"/>
          <w:szCs w:val="20"/>
        </w:rPr>
        <w:t>，或者提供其他残疾人福利性单位制造的货物（不包括使用非残疾人福利性单位注册商标的货物）。</w:t>
      </w:r>
    </w:p>
    <w:p>
      <w:pPr>
        <w:spacing w:line="360" w:lineRule="auto"/>
        <w:ind w:left="1080" w:leftChars="257" w:hanging="540"/>
        <w:rPr>
          <w:rFonts w:ascii="宋体"/>
          <w:kern w:val="0"/>
          <w:sz w:val="24"/>
          <w:szCs w:val="20"/>
        </w:rPr>
      </w:pPr>
      <w:r>
        <w:rPr>
          <w:rFonts w:hint="eastAsia" w:ascii="宋体"/>
          <w:kern w:val="0"/>
          <w:sz w:val="24"/>
          <w:szCs w:val="20"/>
        </w:rPr>
        <w:t>本单位对上述声明的真实性负责。如有虚假，将依法承担相应责任。</w:t>
      </w:r>
    </w:p>
    <w:p>
      <w:pPr>
        <w:spacing w:line="360" w:lineRule="auto"/>
        <w:ind w:left="1080" w:leftChars="257" w:hanging="540"/>
        <w:jc w:val="center"/>
        <w:rPr>
          <w:rFonts w:ascii="宋体"/>
          <w:kern w:val="0"/>
          <w:sz w:val="24"/>
          <w:szCs w:val="20"/>
        </w:rPr>
      </w:pPr>
    </w:p>
    <w:p>
      <w:pPr>
        <w:spacing w:line="360" w:lineRule="auto"/>
        <w:ind w:left="1080" w:leftChars="257" w:hanging="540"/>
        <w:jc w:val="center"/>
        <w:rPr>
          <w:rFonts w:ascii="宋体"/>
          <w:kern w:val="0"/>
          <w:sz w:val="24"/>
          <w:szCs w:val="20"/>
        </w:rPr>
      </w:pPr>
    </w:p>
    <w:p>
      <w:pPr>
        <w:spacing w:line="360" w:lineRule="auto"/>
        <w:ind w:left="1080" w:leftChars="257" w:hanging="540"/>
        <w:jc w:val="center"/>
        <w:rPr>
          <w:rFonts w:ascii="宋体"/>
          <w:kern w:val="0"/>
          <w:sz w:val="24"/>
          <w:szCs w:val="20"/>
          <w:u w:val="single"/>
        </w:rPr>
      </w:pPr>
      <w:r>
        <w:rPr>
          <w:rFonts w:hint="eastAsia" w:ascii="宋体"/>
          <w:kern w:val="0"/>
          <w:sz w:val="24"/>
          <w:szCs w:val="20"/>
        </w:rPr>
        <w:t xml:space="preserve">              残疾人</w:t>
      </w:r>
      <w:r>
        <w:rPr>
          <w:rFonts w:ascii="宋体"/>
          <w:kern w:val="0"/>
          <w:sz w:val="24"/>
          <w:szCs w:val="20"/>
        </w:rPr>
        <w:t>福利性单位</w:t>
      </w:r>
      <w:r>
        <w:rPr>
          <w:rFonts w:hint="eastAsia" w:ascii="宋体"/>
          <w:kern w:val="0"/>
          <w:sz w:val="24"/>
          <w:szCs w:val="20"/>
        </w:rPr>
        <w:t>名称（盖公章）：</w:t>
      </w:r>
    </w:p>
    <w:p>
      <w:pPr>
        <w:spacing w:line="360" w:lineRule="auto"/>
        <w:ind w:left="1080" w:leftChars="257" w:hanging="540"/>
        <w:jc w:val="center"/>
        <w:rPr>
          <w:rFonts w:ascii="宋体"/>
          <w:kern w:val="0"/>
          <w:sz w:val="24"/>
          <w:szCs w:val="20"/>
        </w:rPr>
      </w:pPr>
    </w:p>
    <w:p>
      <w:pPr>
        <w:spacing w:line="360" w:lineRule="auto"/>
        <w:ind w:left="645" w:leftChars="307" w:firstLine="2640" w:firstLineChars="1100"/>
        <w:rPr>
          <w:rFonts w:ascii="宋体"/>
          <w:kern w:val="0"/>
          <w:sz w:val="24"/>
          <w:szCs w:val="20"/>
          <w:u w:val="single"/>
        </w:rPr>
      </w:pPr>
      <w:r>
        <w:rPr>
          <w:rFonts w:hint="eastAsia" w:ascii="宋体"/>
          <w:kern w:val="0"/>
          <w:sz w:val="24"/>
          <w:szCs w:val="20"/>
        </w:rPr>
        <w:t>日  期：</w:t>
      </w:r>
    </w:p>
    <w:p>
      <w:pPr>
        <w:pStyle w:val="21"/>
        <w:spacing w:line="432" w:lineRule="auto"/>
        <w:jc w:val="both"/>
      </w:pPr>
    </w:p>
    <w:p>
      <w:pPr>
        <w:pStyle w:val="21"/>
        <w:spacing w:line="432" w:lineRule="auto"/>
        <w:jc w:val="both"/>
      </w:pPr>
    </w:p>
    <w:p>
      <w:pPr>
        <w:pStyle w:val="21"/>
        <w:spacing w:line="432" w:lineRule="auto"/>
        <w:jc w:val="both"/>
      </w:pPr>
    </w:p>
    <w:p>
      <w:pPr>
        <w:pStyle w:val="21"/>
        <w:spacing w:line="432" w:lineRule="auto"/>
        <w:jc w:val="both"/>
      </w:pPr>
    </w:p>
    <w:p>
      <w:pPr>
        <w:pStyle w:val="21"/>
        <w:spacing w:line="432" w:lineRule="auto"/>
        <w:jc w:val="both"/>
      </w:pPr>
    </w:p>
    <w:p>
      <w:pPr>
        <w:pStyle w:val="21"/>
        <w:spacing w:line="432" w:lineRule="auto"/>
        <w:jc w:val="both"/>
      </w:pPr>
    </w:p>
    <w:p>
      <w:pPr>
        <w:pStyle w:val="21"/>
        <w:spacing w:line="432" w:lineRule="auto"/>
        <w:jc w:val="both"/>
      </w:pPr>
    </w:p>
    <w:p>
      <w:pPr>
        <w:pStyle w:val="21"/>
        <w:spacing w:line="432" w:lineRule="auto"/>
        <w:jc w:val="both"/>
      </w:pPr>
    </w:p>
    <w:p>
      <w:pPr>
        <w:pStyle w:val="21"/>
        <w:spacing w:line="432" w:lineRule="auto"/>
        <w:jc w:val="both"/>
        <w:rPr>
          <w:sz w:val="32"/>
          <w:szCs w:val="32"/>
        </w:rPr>
      </w:pPr>
    </w:p>
    <w:p>
      <w:pPr>
        <w:jc w:val="center"/>
        <w:rPr>
          <w:b/>
          <w:bCs/>
          <w:sz w:val="32"/>
          <w:szCs w:val="32"/>
        </w:rPr>
      </w:pPr>
      <w:bookmarkStart w:id="44" w:name="_Toc37868814"/>
      <w:r>
        <w:rPr>
          <w:rFonts w:hint="eastAsia"/>
          <w:b/>
          <w:bCs/>
          <w:sz w:val="32"/>
          <w:szCs w:val="32"/>
        </w:rPr>
        <w:t>（四）制造商</w:t>
      </w:r>
      <w:r>
        <w:rPr>
          <w:b/>
          <w:bCs/>
          <w:sz w:val="32"/>
          <w:szCs w:val="32"/>
        </w:rPr>
        <w:t>企业</w:t>
      </w:r>
      <w:r>
        <w:rPr>
          <w:rFonts w:hint="eastAsia"/>
          <w:b/>
          <w:bCs/>
          <w:sz w:val="32"/>
          <w:szCs w:val="32"/>
        </w:rPr>
        <w:t>（单位）</w:t>
      </w:r>
      <w:r>
        <w:rPr>
          <w:b/>
          <w:bCs/>
          <w:sz w:val="32"/>
          <w:szCs w:val="32"/>
        </w:rPr>
        <w:t>类型声明函</w:t>
      </w:r>
      <w:bookmarkEnd w:id="44"/>
    </w:p>
    <w:p>
      <w:pPr>
        <w:spacing w:line="360" w:lineRule="auto"/>
        <w:ind w:left="1080" w:leftChars="257" w:hanging="540"/>
        <w:jc w:val="center"/>
        <w:rPr>
          <w:rFonts w:ascii="宋体"/>
          <w:b/>
          <w:kern w:val="0"/>
          <w:sz w:val="24"/>
          <w:szCs w:val="20"/>
        </w:rPr>
      </w:pP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本企业（单位）作为______单位的______ 项目的伴随货物的制造商，参加政府采购活动。根据《政府采购促进中小企业发展暂行办法》（财库[2011]181号），《工业和信息化部、国家统计局、国家发展和改革委员会、财政部关于印发中小企业划型标准规定的通知》（工信部联企业[2011]300号）、《财政部 司法部关于政府采购支持监狱企业发展有关问题的通知》（财库〔2014〕68号）以及《关于促进残疾人就业政府采购政策的通知》（财库〔2017〕141号）的有关规定，做出如下声明：</w:t>
      </w: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本企业为______（请填写：大型、中型、小型、微型）企业。</w:t>
      </w: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本企业（请填写：是、不是）监狱企业。后附省级以上监狱管理局、戒毒管理局（含新疆生产建设兵团）出具的属于监狱企业的证明文件。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本单位（请填写：是、不是）残疾人福利性单位。</w:t>
      </w: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本企业（单位）提供企业（单位）制造的货物。</w:t>
      </w: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本企业</w:t>
      </w:r>
      <w:r>
        <w:rPr>
          <w:rFonts w:ascii="宋体" w:cs="宋体"/>
          <w:kern w:val="0"/>
          <w:sz w:val="24"/>
        </w:rPr>
        <w:t>（</w:t>
      </w:r>
      <w:r>
        <w:rPr>
          <w:rFonts w:hint="eastAsia" w:ascii="宋体" w:cs="宋体"/>
          <w:kern w:val="0"/>
          <w:sz w:val="24"/>
        </w:rPr>
        <w:t>单位</w:t>
      </w:r>
      <w:r>
        <w:rPr>
          <w:rFonts w:ascii="宋体" w:cs="宋体"/>
          <w:kern w:val="0"/>
          <w:sz w:val="24"/>
        </w:rPr>
        <w:t>）对上述声明的真实性负责。如有虚假，将依法承担相应责任。</w:t>
      </w: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w:t>
      </w:r>
      <w:r>
        <w:rPr>
          <w:rFonts w:ascii="宋体" w:cs="宋体"/>
          <w:kern w:val="0"/>
          <w:sz w:val="24"/>
        </w:rPr>
        <w:t>声明函经制造商和投标人</w:t>
      </w:r>
      <w:r>
        <w:rPr>
          <w:rFonts w:hint="eastAsia" w:ascii="宋体" w:cs="宋体"/>
          <w:kern w:val="0"/>
          <w:sz w:val="24"/>
        </w:rPr>
        <w:t>共同</w:t>
      </w:r>
      <w:r>
        <w:rPr>
          <w:rFonts w:ascii="宋体" w:cs="宋体"/>
          <w:kern w:val="0"/>
          <w:sz w:val="24"/>
        </w:rPr>
        <w:t>盖章</w:t>
      </w:r>
      <w:r>
        <w:rPr>
          <w:rFonts w:hint="eastAsia" w:ascii="宋体" w:cs="宋体"/>
          <w:kern w:val="0"/>
          <w:sz w:val="24"/>
        </w:rPr>
        <w:t>生</w:t>
      </w:r>
      <w:r>
        <w:rPr>
          <w:rFonts w:ascii="宋体" w:cs="宋体"/>
          <w:kern w:val="0"/>
          <w:sz w:val="24"/>
        </w:rPr>
        <w:t>效。</w:t>
      </w:r>
    </w:p>
    <w:p>
      <w:pPr>
        <w:widowControl/>
        <w:spacing w:before="100" w:beforeAutospacing="1" w:after="100" w:afterAutospacing="1" w:line="360" w:lineRule="auto"/>
        <w:ind w:firstLine="5160" w:firstLineChars="2150"/>
        <w:jc w:val="left"/>
        <w:rPr>
          <w:rFonts w:ascii="宋体" w:cs="宋体"/>
          <w:kern w:val="0"/>
          <w:sz w:val="24"/>
        </w:rPr>
      </w:pPr>
    </w:p>
    <w:p>
      <w:pPr>
        <w:widowControl/>
        <w:spacing w:before="100" w:beforeAutospacing="1" w:after="100" w:afterAutospacing="1" w:line="360" w:lineRule="auto"/>
        <w:ind w:firstLine="3960" w:firstLineChars="1650"/>
        <w:jc w:val="left"/>
        <w:rPr>
          <w:rFonts w:ascii="宋体" w:cs="宋体"/>
          <w:kern w:val="0"/>
          <w:sz w:val="24"/>
          <w:u w:val="single"/>
        </w:rPr>
      </w:pPr>
      <w:r>
        <w:rPr>
          <w:rFonts w:hint="eastAsia" w:ascii="宋体" w:cs="宋体"/>
          <w:kern w:val="0"/>
          <w:sz w:val="24"/>
        </w:rPr>
        <w:t>制造商</w:t>
      </w:r>
      <w:r>
        <w:rPr>
          <w:rFonts w:ascii="宋体" w:cs="宋体"/>
          <w:kern w:val="0"/>
          <w:sz w:val="24"/>
        </w:rPr>
        <w:t>名称（</w:t>
      </w:r>
      <w:r>
        <w:rPr>
          <w:rFonts w:hint="eastAsia" w:ascii="宋体" w:cs="宋体"/>
          <w:kern w:val="0"/>
          <w:sz w:val="24"/>
        </w:rPr>
        <w:t>盖公</w:t>
      </w:r>
      <w:r>
        <w:rPr>
          <w:rFonts w:ascii="宋体" w:cs="宋体"/>
          <w:kern w:val="0"/>
          <w:sz w:val="24"/>
        </w:rPr>
        <w:t>章）</w:t>
      </w:r>
      <w:r>
        <w:rPr>
          <w:rFonts w:hint="eastAsia" w:ascii="宋体" w:cs="宋体"/>
          <w:kern w:val="0"/>
          <w:sz w:val="24"/>
        </w:rPr>
        <w:t>：</w:t>
      </w:r>
    </w:p>
    <w:p>
      <w:pPr>
        <w:widowControl/>
        <w:spacing w:before="100" w:beforeAutospacing="1" w:after="100" w:afterAutospacing="1" w:line="360" w:lineRule="auto"/>
        <w:ind w:firstLine="3960" w:firstLineChars="1650"/>
        <w:jc w:val="left"/>
        <w:rPr>
          <w:rFonts w:ascii="宋体" w:cs="宋体"/>
          <w:kern w:val="0"/>
          <w:sz w:val="24"/>
        </w:rPr>
      </w:pPr>
      <w:r>
        <w:rPr>
          <w:rFonts w:hint="eastAsia" w:ascii="宋体" w:cs="宋体"/>
          <w:kern w:val="0"/>
          <w:sz w:val="24"/>
        </w:rPr>
        <w:t>投标人</w:t>
      </w:r>
      <w:r>
        <w:rPr>
          <w:rFonts w:ascii="宋体" w:cs="宋体"/>
          <w:kern w:val="0"/>
          <w:sz w:val="24"/>
        </w:rPr>
        <w:t>名称（盖</w:t>
      </w:r>
      <w:r>
        <w:rPr>
          <w:rFonts w:hint="eastAsia" w:ascii="宋体" w:cs="宋体"/>
          <w:kern w:val="0"/>
          <w:sz w:val="24"/>
        </w:rPr>
        <w:t>公</w:t>
      </w:r>
      <w:r>
        <w:rPr>
          <w:rFonts w:ascii="宋体" w:cs="宋体"/>
          <w:kern w:val="0"/>
          <w:sz w:val="24"/>
        </w:rPr>
        <w:t>章）：</w:t>
      </w:r>
    </w:p>
    <w:p>
      <w:pPr>
        <w:widowControl/>
        <w:spacing w:before="100" w:beforeAutospacing="1" w:after="100" w:afterAutospacing="1" w:line="360" w:lineRule="auto"/>
        <w:ind w:firstLine="3720" w:firstLineChars="1550"/>
        <w:jc w:val="left"/>
        <w:rPr>
          <w:rFonts w:ascii="宋体" w:cs="宋体"/>
          <w:kern w:val="0"/>
          <w:sz w:val="24"/>
        </w:rPr>
      </w:pPr>
      <w:r>
        <w:rPr>
          <w:rFonts w:ascii="宋体" w:cs="宋体"/>
          <w:kern w:val="0"/>
          <w:sz w:val="24"/>
        </w:rPr>
        <w:t>　日　期：</w:t>
      </w:r>
    </w:p>
    <w:p>
      <w:r>
        <w:br w:type="page"/>
      </w:r>
    </w:p>
    <w:p>
      <w:pPr>
        <w:rPr>
          <w:rFonts w:ascii="宋体"/>
          <w:b/>
          <w:bCs/>
          <w:kern w:val="0"/>
          <w:sz w:val="24"/>
        </w:rPr>
      </w:pPr>
      <w:r>
        <w:rPr>
          <w:rFonts w:hint="eastAsia" w:ascii="宋体"/>
          <w:b/>
          <w:bCs/>
          <w:kern w:val="0"/>
          <w:sz w:val="24"/>
          <w:lang w:val="en-US" w:eastAsia="zh-CN"/>
        </w:rPr>
        <w:t>6</w:t>
      </w:r>
      <w:r>
        <w:rPr>
          <w:rFonts w:hint="eastAsia" w:ascii="宋体"/>
          <w:b/>
          <w:bCs/>
          <w:kern w:val="0"/>
          <w:sz w:val="24"/>
        </w:rPr>
        <w:t>.10 投标人近3年类似项目情况表</w:t>
      </w:r>
    </w:p>
    <w:p/>
    <w:p>
      <w:pPr>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投标人近3年类似项目情况表</w:t>
      </w:r>
    </w:p>
    <w:p>
      <w:pPr>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（格式自拟）</w:t>
      </w:r>
    </w:p>
    <w:tbl>
      <w:tblPr>
        <w:tblStyle w:val="23"/>
        <w:tblW w:w="923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78"/>
        <w:gridCol w:w="2885"/>
        <w:gridCol w:w="1442"/>
        <w:gridCol w:w="1426"/>
        <w:gridCol w:w="1425"/>
        <w:gridCol w:w="118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7" w:hRule="atLeast"/>
          <w:jc w:val="center"/>
        </w:trPr>
        <w:tc>
          <w:tcPr>
            <w:tcW w:w="878" w:type="dxa"/>
            <w:tcBorders>
              <w:right w:val="single" w:color="auto" w:sz="4" w:space="0"/>
            </w:tcBorders>
            <w:vAlign w:val="center"/>
          </w:tcPr>
          <w:p>
            <w:pPr>
              <w:jc w:val="center"/>
              <w:rPr>
                <w:rFonts w:ascii="宋体"/>
                <w:sz w:val="24"/>
              </w:rPr>
            </w:pPr>
            <w:r>
              <w:rPr>
                <w:rFonts w:hint="eastAsia" w:ascii="宋体"/>
                <w:sz w:val="24"/>
              </w:rPr>
              <w:t>序号</w:t>
            </w:r>
          </w:p>
        </w:tc>
        <w:tc>
          <w:tcPr>
            <w:tcW w:w="2885" w:type="dxa"/>
            <w:tcBorders>
              <w:left w:val="single" w:color="auto" w:sz="4" w:space="0"/>
            </w:tcBorders>
            <w:vAlign w:val="center"/>
          </w:tcPr>
          <w:p>
            <w:pPr>
              <w:jc w:val="center"/>
              <w:rPr>
                <w:rFonts w:ascii="宋体"/>
                <w:sz w:val="24"/>
              </w:rPr>
            </w:pPr>
            <w:r>
              <w:rPr>
                <w:rFonts w:hint="eastAsia" w:ascii="宋体"/>
                <w:sz w:val="24"/>
              </w:rPr>
              <w:t>项目名称</w:t>
            </w:r>
          </w:p>
        </w:tc>
        <w:tc>
          <w:tcPr>
            <w:tcW w:w="1442" w:type="dxa"/>
            <w:tcBorders>
              <w:right w:val="single" w:color="auto" w:sz="4" w:space="0"/>
            </w:tcBorders>
            <w:vAlign w:val="center"/>
          </w:tcPr>
          <w:p>
            <w:pPr>
              <w:jc w:val="center"/>
              <w:rPr>
                <w:rFonts w:ascii="宋体"/>
                <w:sz w:val="24"/>
              </w:rPr>
            </w:pPr>
            <w:r>
              <w:rPr>
                <w:rFonts w:hint="eastAsia" w:ascii="宋体"/>
                <w:sz w:val="24"/>
              </w:rPr>
              <w:t>采购人</w:t>
            </w:r>
          </w:p>
        </w:tc>
        <w:tc>
          <w:tcPr>
            <w:tcW w:w="1426" w:type="dxa"/>
            <w:tcBorders>
              <w:left w:val="single" w:color="auto" w:sz="4" w:space="0"/>
              <w:right w:val="single" w:color="auto" w:sz="4" w:space="0"/>
            </w:tcBorders>
            <w:vAlign w:val="center"/>
          </w:tcPr>
          <w:p>
            <w:pPr>
              <w:jc w:val="center"/>
              <w:rPr>
                <w:rFonts w:ascii="宋体"/>
                <w:sz w:val="24"/>
              </w:rPr>
            </w:pPr>
            <w:r>
              <w:rPr>
                <w:rFonts w:hint="eastAsia" w:ascii="宋体"/>
                <w:sz w:val="24"/>
              </w:rPr>
              <w:t>合同金额</w:t>
            </w:r>
          </w:p>
        </w:tc>
        <w:tc>
          <w:tcPr>
            <w:tcW w:w="1425" w:type="dxa"/>
            <w:tcBorders>
              <w:left w:val="single" w:color="auto" w:sz="4" w:space="0"/>
              <w:right w:val="single" w:color="auto" w:sz="4" w:space="0"/>
            </w:tcBorders>
            <w:vAlign w:val="center"/>
          </w:tcPr>
          <w:p>
            <w:pPr>
              <w:jc w:val="center"/>
              <w:rPr>
                <w:rFonts w:ascii="宋体"/>
                <w:sz w:val="24"/>
              </w:rPr>
            </w:pPr>
            <w:r>
              <w:rPr>
                <w:rFonts w:hint="eastAsia" w:ascii="宋体"/>
                <w:sz w:val="24"/>
              </w:rPr>
              <w:t>签约日期</w:t>
            </w:r>
          </w:p>
        </w:tc>
        <w:tc>
          <w:tcPr>
            <w:tcW w:w="1181" w:type="dxa"/>
            <w:tcBorders>
              <w:left w:val="single" w:color="auto" w:sz="4" w:space="0"/>
            </w:tcBorders>
            <w:vAlign w:val="center"/>
          </w:tcPr>
          <w:p>
            <w:pPr>
              <w:jc w:val="center"/>
              <w:rPr>
                <w:rFonts w:ascii="宋体"/>
                <w:sz w:val="24"/>
              </w:rPr>
            </w:pPr>
            <w:r>
              <w:rPr>
                <w:rFonts w:hint="eastAsia" w:ascii="宋体"/>
                <w:sz w:val="24"/>
              </w:rPr>
              <w:t>附页码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7" w:hRule="atLeast"/>
          <w:jc w:val="center"/>
        </w:trPr>
        <w:tc>
          <w:tcPr>
            <w:tcW w:w="878" w:type="dxa"/>
            <w:tcBorders>
              <w:right w:val="single" w:color="auto" w:sz="4" w:space="0"/>
            </w:tcBorders>
            <w:vAlign w:val="center"/>
          </w:tcPr>
          <w:p>
            <w:pPr>
              <w:jc w:val="center"/>
              <w:rPr>
                <w:rFonts w:ascii="宋体"/>
                <w:sz w:val="24"/>
              </w:rPr>
            </w:pPr>
            <w:r>
              <w:rPr>
                <w:rFonts w:hint="eastAsia" w:ascii="宋体"/>
                <w:sz w:val="24"/>
              </w:rPr>
              <w:t>1</w:t>
            </w:r>
          </w:p>
        </w:tc>
        <w:tc>
          <w:tcPr>
            <w:tcW w:w="2885" w:type="dxa"/>
            <w:tcBorders>
              <w:left w:val="single" w:color="auto" w:sz="4" w:space="0"/>
            </w:tcBorders>
            <w:vAlign w:val="center"/>
          </w:tcPr>
          <w:p>
            <w:pPr>
              <w:jc w:val="center"/>
              <w:rPr>
                <w:rFonts w:ascii="宋体"/>
                <w:sz w:val="24"/>
              </w:rPr>
            </w:pPr>
          </w:p>
        </w:tc>
        <w:tc>
          <w:tcPr>
            <w:tcW w:w="1442" w:type="dxa"/>
            <w:tcBorders>
              <w:right w:val="single" w:color="auto" w:sz="4" w:space="0"/>
            </w:tcBorders>
            <w:vAlign w:val="center"/>
          </w:tcPr>
          <w:p>
            <w:pPr>
              <w:jc w:val="center"/>
              <w:rPr>
                <w:rFonts w:ascii="宋体"/>
                <w:sz w:val="24"/>
              </w:rPr>
            </w:pPr>
          </w:p>
        </w:tc>
        <w:tc>
          <w:tcPr>
            <w:tcW w:w="1426" w:type="dxa"/>
            <w:tcBorders>
              <w:left w:val="single" w:color="auto" w:sz="4" w:space="0"/>
              <w:right w:val="single" w:color="auto" w:sz="4" w:space="0"/>
            </w:tcBorders>
            <w:vAlign w:val="center"/>
          </w:tcPr>
          <w:p>
            <w:pPr>
              <w:jc w:val="center"/>
              <w:rPr>
                <w:rFonts w:ascii="宋体"/>
                <w:sz w:val="24"/>
              </w:rPr>
            </w:pPr>
          </w:p>
        </w:tc>
        <w:tc>
          <w:tcPr>
            <w:tcW w:w="1425" w:type="dxa"/>
            <w:tcBorders>
              <w:left w:val="single" w:color="auto" w:sz="4" w:space="0"/>
              <w:right w:val="single" w:color="auto" w:sz="4" w:space="0"/>
            </w:tcBorders>
            <w:vAlign w:val="center"/>
          </w:tcPr>
          <w:p>
            <w:pPr>
              <w:jc w:val="center"/>
              <w:rPr>
                <w:rFonts w:ascii="宋体"/>
                <w:sz w:val="24"/>
              </w:rPr>
            </w:pPr>
          </w:p>
        </w:tc>
        <w:tc>
          <w:tcPr>
            <w:tcW w:w="1181" w:type="dxa"/>
            <w:tcBorders>
              <w:left w:val="single" w:color="auto" w:sz="4" w:space="0"/>
            </w:tcBorders>
            <w:vAlign w:val="center"/>
          </w:tcPr>
          <w:p>
            <w:pPr>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7" w:hRule="atLeast"/>
          <w:jc w:val="center"/>
        </w:trPr>
        <w:tc>
          <w:tcPr>
            <w:tcW w:w="878" w:type="dxa"/>
            <w:tcBorders>
              <w:right w:val="single" w:color="auto" w:sz="4" w:space="0"/>
            </w:tcBorders>
            <w:vAlign w:val="center"/>
          </w:tcPr>
          <w:p>
            <w:pPr>
              <w:jc w:val="center"/>
              <w:rPr>
                <w:rFonts w:ascii="宋体"/>
                <w:sz w:val="24"/>
              </w:rPr>
            </w:pPr>
            <w:r>
              <w:rPr>
                <w:rFonts w:hint="eastAsia" w:ascii="宋体"/>
                <w:sz w:val="24"/>
              </w:rPr>
              <w:t>2</w:t>
            </w:r>
          </w:p>
        </w:tc>
        <w:tc>
          <w:tcPr>
            <w:tcW w:w="2885" w:type="dxa"/>
            <w:tcBorders>
              <w:left w:val="single" w:color="auto" w:sz="4" w:space="0"/>
            </w:tcBorders>
            <w:vAlign w:val="center"/>
          </w:tcPr>
          <w:p>
            <w:pPr>
              <w:jc w:val="center"/>
              <w:rPr>
                <w:rFonts w:ascii="宋体"/>
                <w:sz w:val="24"/>
              </w:rPr>
            </w:pPr>
          </w:p>
        </w:tc>
        <w:tc>
          <w:tcPr>
            <w:tcW w:w="1442" w:type="dxa"/>
            <w:tcBorders>
              <w:right w:val="single" w:color="auto" w:sz="4" w:space="0"/>
            </w:tcBorders>
            <w:vAlign w:val="center"/>
          </w:tcPr>
          <w:p>
            <w:pPr>
              <w:jc w:val="center"/>
              <w:rPr>
                <w:rFonts w:ascii="宋体"/>
                <w:sz w:val="24"/>
              </w:rPr>
            </w:pPr>
          </w:p>
        </w:tc>
        <w:tc>
          <w:tcPr>
            <w:tcW w:w="1426" w:type="dxa"/>
            <w:tcBorders>
              <w:left w:val="single" w:color="auto" w:sz="4" w:space="0"/>
              <w:right w:val="single" w:color="auto" w:sz="4" w:space="0"/>
            </w:tcBorders>
            <w:vAlign w:val="center"/>
          </w:tcPr>
          <w:p>
            <w:pPr>
              <w:jc w:val="center"/>
              <w:rPr>
                <w:rFonts w:ascii="宋体"/>
                <w:sz w:val="24"/>
              </w:rPr>
            </w:pPr>
          </w:p>
        </w:tc>
        <w:tc>
          <w:tcPr>
            <w:tcW w:w="1425" w:type="dxa"/>
            <w:tcBorders>
              <w:left w:val="single" w:color="auto" w:sz="4" w:space="0"/>
              <w:right w:val="single" w:color="auto" w:sz="4" w:space="0"/>
            </w:tcBorders>
            <w:vAlign w:val="center"/>
          </w:tcPr>
          <w:p>
            <w:pPr>
              <w:jc w:val="center"/>
              <w:rPr>
                <w:rFonts w:ascii="宋体"/>
                <w:sz w:val="24"/>
              </w:rPr>
            </w:pPr>
          </w:p>
        </w:tc>
        <w:tc>
          <w:tcPr>
            <w:tcW w:w="1181" w:type="dxa"/>
            <w:tcBorders>
              <w:left w:val="single" w:color="auto" w:sz="4" w:space="0"/>
            </w:tcBorders>
            <w:vAlign w:val="center"/>
          </w:tcPr>
          <w:p>
            <w:pPr>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7" w:hRule="atLeast"/>
          <w:jc w:val="center"/>
        </w:trPr>
        <w:tc>
          <w:tcPr>
            <w:tcW w:w="878" w:type="dxa"/>
            <w:tcBorders>
              <w:right w:val="single" w:color="auto" w:sz="4" w:space="0"/>
            </w:tcBorders>
            <w:vAlign w:val="center"/>
          </w:tcPr>
          <w:p>
            <w:pPr>
              <w:jc w:val="center"/>
              <w:rPr>
                <w:rFonts w:ascii="宋体"/>
                <w:sz w:val="24"/>
              </w:rPr>
            </w:pPr>
            <w:r>
              <w:rPr>
                <w:rFonts w:hint="eastAsia" w:ascii="宋体"/>
                <w:sz w:val="24"/>
              </w:rPr>
              <w:t>3</w:t>
            </w:r>
          </w:p>
        </w:tc>
        <w:tc>
          <w:tcPr>
            <w:tcW w:w="2885" w:type="dxa"/>
            <w:tcBorders>
              <w:left w:val="single" w:color="auto" w:sz="4" w:space="0"/>
            </w:tcBorders>
            <w:vAlign w:val="center"/>
          </w:tcPr>
          <w:p>
            <w:pPr>
              <w:jc w:val="center"/>
              <w:rPr>
                <w:rFonts w:ascii="宋体"/>
                <w:sz w:val="24"/>
              </w:rPr>
            </w:pPr>
          </w:p>
        </w:tc>
        <w:tc>
          <w:tcPr>
            <w:tcW w:w="1442" w:type="dxa"/>
            <w:tcBorders>
              <w:right w:val="single" w:color="auto" w:sz="4" w:space="0"/>
            </w:tcBorders>
            <w:vAlign w:val="center"/>
          </w:tcPr>
          <w:p>
            <w:pPr>
              <w:jc w:val="center"/>
              <w:rPr>
                <w:rFonts w:ascii="宋体"/>
                <w:sz w:val="24"/>
              </w:rPr>
            </w:pPr>
          </w:p>
        </w:tc>
        <w:tc>
          <w:tcPr>
            <w:tcW w:w="1426" w:type="dxa"/>
            <w:tcBorders>
              <w:left w:val="single" w:color="auto" w:sz="4" w:space="0"/>
              <w:right w:val="single" w:color="auto" w:sz="4" w:space="0"/>
            </w:tcBorders>
            <w:vAlign w:val="center"/>
          </w:tcPr>
          <w:p>
            <w:pPr>
              <w:jc w:val="center"/>
              <w:rPr>
                <w:rFonts w:ascii="宋体"/>
                <w:sz w:val="24"/>
              </w:rPr>
            </w:pPr>
          </w:p>
        </w:tc>
        <w:tc>
          <w:tcPr>
            <w:tcW w:w="1425" w:type="dxa"/>
            <w:tcBorders>
              <w:left w:val="single" w:color="auto" w:sz="4" w:space="0"/>
              <w:right w:val="single" w:color="auto" w:sz="4" w:space="0"/>
            </w:tcBorders>
            <w:vAlign w:val="center"/>
          </w:tcPr>
          <w:p>
            <w:pPr>
              <w:jc w:val="center"/>
              <w:rPr>
                <w:rFonts w:ascii="宋体"/>
                <w:sz w:val="24"/>
              </w:rPr>
            </w:pPr>
          </w:p>
        </w:tc>
        <w:tc>
          <w:tcPr>
            <w:tcW w:w="1181" w:type="dxa"/>
            <w:tcBorders>
              <w:left w:val="single" w:color="auto" w:sz="4" w:space="0"/>
            </w:tcBorders>
            <w:vAlign w:val="center"/>
          </w:tcPr>
          <w:p>
            <w:pPr>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84" w:hRule="atLeast"/>
          <w:jc w:val="center"/>
        </w:trPr>
        <w:tc>
          <w:tcPr>
            <w:tcW w:w="878" w:type="dxa"/>
            <w:tcBorders>
              <w:right w:val="single" w:color="auto" w:sz="4" w:space="0"/>
            </w:tcBorders>
            <w:vAlign w:val="center"/>
          </w:tcPr>
          <w:p>
            <w:pPr>
              <w:jc w:val="center"/>
              <w:rPr>
                <w:rFonts w:ascii="宋体"/>
                <w:sz w:val="24"/>
              </w:rPr>
            </w:pPr>
            <w:r>
              <w:rPr>
                <w:rFonts w:hint="eastAsia" w:ascii="宋体" w:cs="宋体"/>
                <w:sz w:val="24"/>
              </w:rPr>
              <w:t>……</w:t>
            </w:r>
          </w:p>
        </w:tc>
        <w:tc>
          <w:tcPr>
            <w:tcW w:w="2885" w:type="dxa"/>
            <w:tcBorders>
              <w:left w:val="single" w:color="auto" w:sz="4" w:space="0"/>
            </w:tcBorders>
            <w:vAlign w:val="center"/>
          </w:tcPr>
          <w:p>
            <w:pPr>
              <w:jc w:val="center"/>
              <w:rPr>
                <w:rFonts w:ascii="宋体"/>
                <w:sz w:val="24"/>
              </w:rPr>
            </w:pPr>
          </w:p>
        </w:tc>
        <w:tc>
          <w:tcPr>
            <w:tcW w:w="1442" w:type="dxa"/>
            <w:tcBorders>
              <w:right w:val="single" w:color="auto" w:sz="4" w:space="0"/>
            </w:tcBorders>
            <w:vAlign w:val="center"/>
          </w:tcPr>
          <w:p>
            <w:pPr>
              <w:jc w:val="center"/>
              <w:rPr>
                <w:rFonts w:ascii="宋体"/>
                <w:sz w:val="24"/>
              </w:rPr>
            </w:pPr>
          </w:p>
        </w:tc>
        <w:tc>
          <w:tcPr>
            <w:tcW w:w="1426" w:type="dxa"/>
            <w:tcBorders>
              <w:left w:val="single" w:color="auto" w:sz="4" w:space="0"/>
              <w:right w:val="single" w:color="auto" w:sz="4" w:space="0"/>
            </w:tcBorders>
            <w:vAlign w:val="center"/>
          </w:tcPr>
          <w:p>
            <w:pPr>
              <w:jc w:val="center"/>
              <w:rPr>
                <w:rFonts w:ascii="宋体"/>
                <w:sz w:val="24"/>
              </w:rPr>
            </w:pPr>
          </w:p>
        </w:tc>
        <w:tc>
          <w:tcPr>
            <w:tcW w:w="1425" w:type="dxa"/>
            <w:tcBorders>
              <w:left w:val="single" w:color="auto" w:sz="4" w:space="0"/>
              <w:right w:val="single" w:color="auto" w:sz="4" w:space="0"/>
            </w:tcBorders>
            <w:vAlign w:val="center"/>
          </w:tcPr>
          <w:p>
            <w:pPr>
              <w:jc w:val="center"/>
              <w:rPr>
                <w:rFonts w:ascii="宋体"/>
                <w:sz w:val="24"/>
              </w:rPr>
            </w:pPr>
          </w:p>
        </w:tc>
        <w:tc>
          <w:tcPr>
            <w:tcW w:w="1181" w:type="dxa"/>
            <w:tcBorders>
              <w:left w:val="single" w:color="auto" w:sz="4" w:space="0"/>
            </w:tcBorders>
            <w:vAlign w:val="center"/>
          </w:tcPr>
          <w:p>
            <w:pPr>
              <w:jc w:val="center"/>
              <w:rPr>
                <w:rFonts w:ascii="宋体"/>
                <w:sz w:val="24"/>
              </w:rPr>
            </w:pPr>
          </w:p>
        </w:tc>
      </w:tr>
    </w:tbl>
    <w:p>
      <w:pPr>
        <w:spacing w:line="360" w:lineRule="auto"/>
        <w:jc w:val="left"/>
        <w:rPr>
          <w:rFonts w:ascii="宋体"/>
          <w:sz w:val="24"/>
        </w:rPr>
      </w:pPr>
      <w:r>
        <w:rPr>
          <w:rFonts w:hint="eastAsia" w:ascii="宋体"/>
          <w:sz w:val="24"/>
        </w:rPr>
        <w:t>备注：</w:t>
      </w:r>
    </w:p>
    <w:p>
      <w:pPr>
        <w:spacing w:line="360" w:lineRule="auto"/>
        <w:jc w:val="left"/>
        <w:rPr>
          <w:rFonts w:ascii="宋体"/>
          <w:sz w:val="24"/>
        </w:rPr>
      </w:pPr>
      <w:r>
        <w:rPr>
          <w:rFonts w:hint="eastAsia" w:ascii="宋体"/>
          <w:sz w:val="24"/>
        </w:rPr>
        <w:t>1、本表后须附</w:t>
      </w:r>
      <w:r>
        <w:rPr>
          <w:rFonts w:hint="eastAsia" w:ascii="宋体"/>
          <w:color w:val="auto"/>
          <w:sz w:val="24"/>
          <w:lang w:val="en-US" w:eastAsia="zh-CN"/>
        </w:rPr>
        <w:t>自</w:t>
      </w:r>
      <w:r>
        <w:rPr>
          <w:rFonts w:hint="eastAsia" w:ascii="宋体" w:cs="宋体"/>
          <w:color w:val="auto"/>
          <w:sz w:val="24"/>
          <w:lang w:val="en-US" w:eastAsia="zh-CN"/>
        </w:rPr>
        <w:t>2019年6月1日至今政府采购类的同类项目业绩证明</w:t>
      </w:r>
      <w:r>
        <w:rPr>
          <w:rFonts w:hint="eastAsia" w:ascii="宋体"/>
          <w:sz w:val="24"/>
        </w:rPr>
        <w:t>资料（中标通知书或合同复印件）</w:t>
      </w:r>
    </w:p>
    <w:p>
      <w:pPr>
        <w:spacing w:line="360" w:lineRule="auto"/>
        <w:jc w:val="left"/>
      </w:pPr>
      <w:r>
        <w:rPr>
          <w:rFonts w:hint="eastAsia" w:ascii="宋体"/>
          <w:sz w:val="24"/>
        </w:rPr>
        <w:t>2、表格填写项目信息，并注明序号、页码。</w:t>
      </w:r>
    </w:p>
    <w:p>
      <w:r>
        <w:rPr>
          <w:rFonts w:hint="eastAsia" w:ascii="宋体"/>
          <w:b/>
          <w:bCs/>
          <w:kern w:val="0"/>
          <w:sz w:val="24"/>
          <w:lang w:val="en-US" w:eastAsia="zh-CN"/>
        </w:rPr>
        <w:t>6</w:t>
      </w:r>
      <w:r>
        <w:rPr>
          <w:rFonts w:hint="eastAsia" w:ascii="宋体"/>
          <w:b/>
          <w:bCs/>
          <w:kern w:val="0"/>
          <w:sz w:val="24"/>
        </w:rPr>
        <w:t>.11. 其他需要提交的资料</w:t>
      </w:r>
    </w:p>
    <w:p>
      <w:pPr>
        <w:shd w:val="clear" w:color="auto" w:fill="FFFFFF"/>
        <w:snapToGrid w:val="0"/>
        <w:spacing w:line="384" w:lineRule="auto"/>
        <w:jc w:val="center"/>
        <w:rPr>
          <w:rFonts w:ascii="宋体"/>
          <w:sz w:val="32"/>
          <w:szCs w:val="32"/>
        </w:rPr>
      </w:pPr>
      <w:r>
        <w:rPr>
          <w:rFonts w:hint="eastAsia" w:ascii="宋体"/>
          <w:b/>
          <w:bCs/>
          <w:sz w:val="32"/>
          <w:szCs w:val="32"/>
        </w:rPr>
        <w:t>（一）资格声明（制造商、代理商或经销商）</w:t>
      </w:r>
    </w:p>
    <w:p>
      <w:pPr>
        <w:shd w:val="clear" w:color="auto" w:fill="FFFFFF"/>
        <w:snapToGrid w:val="0"/>
        <w:spacing w:line="384" w:lineRule="auto"/>
        <w:rPr>
          <w:rFonts w:ascii="宋体"/>
          <w:sz w:val="24"/>
        </w:rPr>
      </w:pPr>
      <w:r>
        <w:rPr>
          <w:rFonts w:hint="eastAsia" w:ascii="宋体"/>
          <w:sz w:val="24"/>
        </w:rPr>
        <w:t>致：（采购人名称）</w:t>
      </w:r>
    </w:p>
    <w:p>
      <w:pPr>
        <w:shd w:val="clear" w:color="auto" w:fill="FFFFFF"/>
        <w:snapToGrid w:val="0"/>
        <w:spacing w:line="384" w:lineRule="auto"/>
        <w:ind w:firstLine="420"/>
        <w:rPr>
          <w:rFonts w:ascii="宋体"/>
          <w:sz w:val="24"/>
        </w:rPr>
      </w:pPr>
      <w:r>
        <w:rPr>
          <w:rFonts w:hint="eastAsia" w:ascii="宋体"/>
          <w:sz w:val="24"/>
        </w:rPr>
        <w:t>为响应（招标项目标段名称）招标文件的要求，我方作为本次投标货物的</w:t>
      </w:r>
      <w:r>
        <w:rPr>
          <w:rFonts w:hint="eastAsia" w:ascii="宋体"/>
          <w:b/>
          <w:sz w:val="24"/>
          <w:u w:val="single"/>
        </w:rPr>
        <w:t>（制造商、代理商或经销商）</w:t>
      </w:r>
      <w:r>
        <w:rPr>
          <w:rFonts w:hint="eastAsia" w:ascii="宋体"/>
          <w:sz w:val="24"/>
        </w:rPr>
        <w:t>，提交如下资料和信息，并声明下述全部资料和信息是真实和准确的。</w:t>
      </w:r>
    </w:p>
    <w:p>
      <w:pPr>
        <w:shd w:val="clear" w:color="auto" w:fill="FFFFFF"/>
        <w:snapToGrid w:val="0"/>
        <w:spacing w:line="384" w:lineRule="auto"/>
        <w:rPr>
          <w:rFonts w:ascii="宋体"/>
          <w:sz w:val="24"/>
        </w:rPr>
      </w:pPr>
      <w:r>
        <w:rPr>
          <w:rFonts w:hint="eastAsia" w:ascii="宋体"/>
          <w:sz w:val="24"/>
        </w:rPr>
        <w:t>1、投标人基本情况表</w:t>
      </w:r>
    </w:p>
    <w:p>
      <w:pPr>
        <w:shd w:val="clear" w:color="auto" w:fill="FFFFFF"/>
        <w:snapToGrid w:val="0"/>
        <w:spacing w:line="384" w:lineRule="auto"/>
        <w:rPr>
          <w:rFonts w:ascii="宋体"/>
          <w:sz w:val="24"/>
        </w:rPr>
      </w:pPr>
      <w:r>
        <w:rPr>
          <w:rFonts w:hint="eastAsia" w:ascii="宋体"/>
          <w:sz w:val="24"/>
        </w:rPr>
        <w:t>2、投标货物生产能力说明（如有时，制造商提供）</w:t>
      </w:r>
    </w:p>
    <w:p>
      <w:pPr>
        <w:shd w:val="clear" w:color="auto" w:fill="FFFFFF"/>
        <w:snapToGrid w:val="0"/>
        <w:spacing w:line="384" w:lineRule="auto"/>
        <w:rPr>
          <w:rFonts w:ascii="宋体"/>
          <w:sz w:val="24"/>
        </w:rPr>
      </w:pPr>
      <w:r>
        <w:rPr>
          <w:rFonts w:hint="eastAsia" w:ascii="宋体"/>
          <w:sz w:val="24"/>
        </w:rPr>
        <w:t>3、制造商授权书（如有时，代理商或经销商提供）</w:t>
      </w:r>
    </w:p>
    <w:p>
      <w:pPr>
        <w:shd w:val="clear" w:color="auto" w:fill="FFFFFF"/>
        <w:snapToGrid w:val="0"/>
        <w:spacing w:line="384" w:lineRule="auto"/>
        <w:rPr>
          <w:rFonts w:ascii="宋体" w:hAnsi="宋体"/>
          <w:kern w:val="0"/>
          <w:sz w:val="24"/>
        </w:rPr>
      </w:pPr>
      <w:r>
        <w:rPr>
          <w:rFonts w:hint="eastAsia" w:ascii="宋体"/>
          <w:sz w:val="24"/>
        </w:rPr>
        <w:t>4、投标人近年类似供货项目情况表</w:t>
      </w:r>
    </w:p>
    <w:p>
      <w:pPr>
        <w:spacing w:line="360" w:lineRule="auto"/>
        <w:jc w:val="center"/>
        <w:rPr>
          <w:b/>
          <w:bCs/>
          <w:sz w:val="32"/>
          <w:szCs w:val="32"/>
        </w:rPr>
      </w:pPr>
      <w:r>
        <w:rPr>
          <w:rFonts w:hint="eastAsia"/>
          <w:b/>
          <w:bCs/>
          <w:sz w:val="32"/>
          <w:szCs w:val="32"/>
        </w:rPr>
        <w:t>（二）供货计划</w:t>
      </w:r>
    </w:p>
    <w:p>
      <w:pPr>
        <w:spacing w:line="360" w:lineRule="auto"/>
        <w:rPr>
          <w:rFonts w:ascii="宋体" w:cs="宋体"/>
          <w:b/>
          <w:sz w:val="30"/>
          <w:szCs w:val="30"/>
        </w:rPr>
      </w:pPr>
      <w:r>
        <w:rPr>
          <w:rFonts w:hint="eastAsia"/>
          <w:sz w:val="24"/>
        </w:rPr>
        <w:t>投标人根据企业自身情况编制供货详则。</w:t>
      </w:r>
    </w:p>
    <w:p>
      <w:pPr>
        <w:pStyle w:val="11"/>
        <w:jc w:val="center"/>
        <w:rPr>
          <w:sz w:val="32"/>
          <w:szCs w:val="32"/>
        </w:rPr>
      </w:pPr>
      <w:r>
        <w:rPr>
          <w:rFonts w:hint="eastAsia"/>
          <w:b/>
          <w:bCs/>
          <w:sz w:val="32"/>
          <w:szCs w:val="32"/>
        </w:rPr>
        <w:t>（三）服务方案</w:t>
      </w:r>
    </w:p>
    <w:p>
      <w:pPr>
        <w:pStyle w:val="11"/>
        <w:ind w:firstLine="480" w:firstLineChars="200"/>
        <w:rPr>
          <w:rFonts w:ascii="宋体" w:cs="宋体"/>
          <w:sz w:val="24"/>
        </w:rPr>
      </w:pPr>
      <w:r>
        <w:rPr>
          <w:rFonts w:hint="eastAsia" w:cs="宋体"/>
          <w:bCs/>
          <w:sz w:val="24"/>
        </w:rPr>
        <w:t>投标人根据此次项目实际需求，制定具体的供货服务方案。</w:t>
      </w:r>
      <w:bookmarkEnd w:id="36"/>
      <w:bookmarkEnd w:id="37"/>
    </w:p>
    <w:sectPr>
      <w:pgSz w:w="11906" w:h="16838"/>
      <w:pgMar w:top="1701" w:right="1417" w:bottom="1701" w:left="1701"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75565" distR="75565" simplePos="0" relativeHeight="251664384" behindDoc="0" locked="0" layoutInCell="1" allowOverlap="1">
              <wp:simplePos x="0" y="0"/>
              <wp:positionH relativeFrom="margin">
                <wp:align>right</wp:align>
              </wp:positionH>
              <wp:positionV relativeFrom="paragraph">
                <wp:posOffset>0</wp:posOffset>
              </wp:positionV>
              <wp:extent cx="237490" cy="139700"/>
              <wp:effectExtent l="0" t="0" r="0" b="0"/>
              <wp:wrapNone/>
              <wp:docPr id="3" name="文本框 3"/>
              <wp:cNvGraphicFramePr/>
              <a:graphic xmlns:a="http://schemas.openxmlformats.org/drawingml/2006/main">
                <a:graphicData uri="http://schemas.microsoft.com/office/word/2010/wordprocessingShape">
                  <wps:wsp>
                    <wps:cNvSpPr/>
                    <wps:spPr>
                      <a:xfrm>
                        <a:off x="0" y="0"/>
                        <a:ext cx="237515" cy="139674"/>
                      </a:xfrm>
                      <a:prstGeom prst="rect">
                        <a:avLst/>
                      </a:prstGeom>
                      <a:noFill/>
                      <a:ln w="6350" cap="flat" cmpd="sng">
                        <a:noFill/>
                        <a:prstDash val="solid"/>
                        <a:round/>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wps:txbx>
                    <wps:bodyPr vert="horz" wrap="none" lIns="0" tIns="0" rIns="0" bIns="0" anchor="t" anchorCtr="0">
                      <a:spAutoFit/>
                    </wps:bodyPr>
                  </wps:wsp>
                </a:graphicData>
              </a:graphic>
            </wp:anchor>
          </w:drawing>
        </mc:Choice>
        <mc:Fallback>
          <w:pict>
            <v:rect id="文本框 3" o:spid="_x0000_s1026" o:spt="1" style="position:absolute;left:0pt;margin-top:0pt;height:11pt;width:18.7pt;mso-position-horizontal:right;mso-position-horizontal-relative:margin;mso-wrap-style:none;z-index:251664384;mso-width-relative:page;mso-height-relative:page;" filled="f" stroked="f" coordsize="21600,21600" o:gfxdata="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no959cAAAADAQAA&#10;DwAAAAAAAAABACAAAAAiAAAAZHJzL2Rvd25yZXYueG1sUEsBAhQAFAAAAAgAh07iQNMRTi3hAQAA&#10;mgMAAA4AAAAAAAAAAQAgAAAAJgEAAGRycy9lMm9Eb2MueG1sUEsFBgAAAAAGAAYAWQEAAHkFAAAA&#10;AA==&#10;">
              <v:fill on="f" focussize="0,0"/>
              <v:stroke on="f" weight="0.5pt" joinstyle="round"/>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6E6B83"/>
    <w:multiLevelType w:val="singleLevel"/>
    <w:tmpl w:val="D46E6B83"/>
    <w:lvl w:ilvl="0" w:tentative="0">
      <w:start w:val="1"/>
      <w:numFmt w:val="decimal"/>
      <w:suff w:val="space"/>
      <w:lvlText w:val="%1."/>
      <w:lvlJc w:val="left"/>
    </w:lvl>
  </w:abstractNum>
  <w:abstractNum w:abstractNumId="1">
    <w:nsid w:val="FFCD3149"/>
    <w:multiLevelType w:val="singleLevel"/>
    <w:tmpl w:val="FFCD3149"/>
    <w:lvl w:ilvl="0" w:tentative="0">
      <w:start w:val="1"/>
      <w:numFmt w:val="chineseCounting"/>
      <w:suff w:val="space"/>
      <w:lvlText w:val="第%1章"/>
      <w:lvlJc w:val="left"/>
      <w:rPr>
        <w:rFonts w:hint="eastAsia"/>
      </w:rPr>
    </w:lvl>
  </w:abstractNum>
  <w:abstractNum w:abstractNumId="2">
    <w:nsid w:val="0000000D"/>
    <w:multiLevelType w:val="multilevel"/>
    <w:tmpl w:val="0000000D"/>
    <w:lvl w:ilvl="0" w:tentative="0">
      <w:start w:val="1"/>
      <w:numFmt w:val="decimal"/>
      <w:pStyle w:val="9"/>
      <w:lvlText w:val="%1."/>
      <w:lvlJc w:val="left"/>
      <w:pPr>
        <w:tabs>
          <w:tab w:val="left" w:pos="0"/>
        </w:tabs>
        <w:ind w:left="790" w:hanging="430"/>
      </w:pPr>
      <w:rPr>
        <w:rFonts w:hint="eastAsia"/>
      </w:rPr>
    </w:lvl>
    <w:lvl w:ilvl="1" w:tentative="0">
      <w:start w:val="1"/>
      <w:numFmt w:val="decimal"/>
      <w:lvlText w:val="%1.%2"/>
      <w:lvlJc w:val="left"/>
      <w:pPr>
        <w:tabs>
          <w:tab w:val="left" w:pos="0"/>
        </w:tabs>
        <w:ind w:left="880" w:hanging="700"/>
      </w:pPr>
      <w:rPr>
        <w:rFonts w:ascii="宋体" w:hAnsi="宋体" w:eastAsia="宋体" w:cs="Times New Roman"/>
      </w:rPr>
    </w:lvl>
    <w:lvl w:ilvl="2" w:tentative="0">
      <w:start w:val="1"/>
      <w:numFmt w:val="decimal"/>
      <w:lvlText w:val="%1.%2.%3"/>
      <w:lvlJc w:val="left"/>
      <w:pPr>
        <w:tabs>
          <w:tab w:val="left" w:pos="0"/>
        </w:tabs>
        <w:ind w:left="1360" w:hanging="1000"/>
      </w:pPr>
      <w:rPr>
        <w:rFonts w:hint="eastAsia"/>
      </w:rPr>
    </w:lvl>
    <w:lvl w:ilvl="3" w:tentative="0">
      <w:start w:val="1"/>
      <w:numFmt w:val="decimal"/>
      <w:lvlText w:val="%1.%2.%3.%4"/>
      <w:lvlJc w:val="left"/>
      <w:pPr>
        <w:tabs>
          <w:tab w:val="left" w:pos="0"/>
        </w:tabs>
        <w:ind w:left="2344" w:hanging="1984"/>
      </w:pPr>
      <w:rPr>
        <w:rFonts w:hint="eastAsia"/>
      </w:rPr>
    </w:lvl>
    <w:lvl w:ilvl="4" w:tentative="0">
      <w:start w:val="1"/>
      <w:numFmt w:val="decimal"/>
      <w:lvlText w:val="%1.%2.%3.%4.%5"/>
      <w:lvlJc w:val="left"/>
      <w:pPr>
        <w:tabs>
          <w:tab w:val="left" w:pos="0"/>
        </w:tabs>
        <w:ind w:left="2911" w:hanging="850"/>
      </w:pPr>
      <w:rPr>
        <w:rFonts w:hint="eastAsia"/>
      </w:rPr>
    </w:lvl>
    <w:lvl w:ilvl="5" w:tentative="0">
      <w:start w:val="1"/>
      <w:numFmt w:val="decimal"/>
      <w:lvlText w:val="%1.%2.%3.%4.%5.%6"/>
      <w:lvlJc w:val="left"/>
      <w:pPr>
        <w:tabs>
          <w:tab w:val="left" w:pos="0"/>
        </w:tabs>
        <w:ind w:left="3620" w:hanging="1134"/>
      </w:pPr>
      <w:rPr>
        <w:rFonts w:hint="eastAsia"/>
      </w:rPr>
    </w:lvl>
    <w:lvl w:ilvl="6" w:tentative="0">
      <w:start w:val="1"/>
      <w:numFmt w:val="decimal"/>
      <w:lvlText w:val="%1.%2.%3.%4.%5.%6.%7"/>
      <w:lvlJc w:val="left"/>
      <w:pPr>
        <w:tabs>
          <w:tab w:val="left" w:pos="0"/>
        </w:tabs>
        <w:ind w:left="4187" w:hanging="1276"/>
      </w:pPr>
      <w:rPr>
        <w:rFonts w:hint="eastAsia"/>
      </w:rPr>
    </w:lvl>
    <w:lvl w:ilvl="7" w:tentative="0">
      <w:start w:val="1"/>
      <w:numFmt w:val="decimal"/>
      <w:lvlText w:val="%1.%2.%3.%4.%5.%6.%7.%8"/>
      <w:lvlJc w:val="left"/>
      <w:pPr>
        <w:tabs>
          <w:tab w:val="left" w:pos="0"/>
        </w:tabs>
        <w:ind w:left="4754" w:hanging="1418"/>
      </w:pPr>
      <w:rPr>
        <w:rFonts w:hint="eastAsia"/>
      </w:rPr>
    </w:lvl>
    <w:lvl w:ilvl="8" w:tentative="0">
      <w:start w:val="1"/>
      <w:numFmt w:val="decimal"/>
      <w:lvlText w:val="%1.%2.%3.%4.%5.%6.%7.%8.%9"/>
      <w:lvlJc w:val="left"/>
      <w:pPr>
        <w:tabs>
          <w:tab w:val="left" w:pos="0"/>
        </w:tabs>
        <w:ind w:left="546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compatSetting w:name="compatibilityMode" w:uri="http://schemas.microsoft.com/office/word" w:val="14"/>
  </w:compat>
  <w:docVars>
    <w:docVar w:name="commondata" w:val="eyJoZGlkIjoiM2M5YWM4ZGJlNWU2ODcyOTE5MmViNzIzMTUwNWU1MzgifQ=="/>
  </w:docVars>
  <w:rsids>
    <w:rsidRoot w:val="00000000"/>
    <w:rsid w:val="005264E8"/>
    <w:rsid w:val="0096277E"/>
    <w:rsid w:val="031E45D4"/>
    <w:rsid w:val="04A06B2B"/>
    <w:rsid w:val="0C4734DE"/>
    <w:rsid w:val="100365D4"/>
    <w:rsid w:val="14830150"/>
    <w:rsid w:val="15F24FBA"/>
    <w:rsid w:val="16E81E55"/>
    <w:rsid w:val="180670B4"/>
    <w:rsid w:val="19B26C52"/>
    <w:rsid w:val="1C79707F"/>
    <w:rsid w:val="1D0446D2"/>
    <w:rsid w:val="1D207C54"/>
    <w:rsid w:val="209B7819"/>
    <w:rsid w:val="216477BE"/>
    <w:rsid w:val="26745824"/>
    <w:rsid w:val="28A5415D"/>
    <w:rsid w:val="2C2D2B9B"/>
    <w:rsid w:val="2C8947FD"/>
    <w:rsid w:val="31466C28"/>
    <w:rsid w:val="34CD53C8"/>
    <w:rsid w:val="3F36354B"/>
    <w:rsid w:val="446A3AEB"/>
    <w:rsid w:val="4CDF625D"/>
    <w:rsid w:val="4D2160B6"/>
    <w:rsid w:val="4E7C36E8"/>
    <w:rsid w:val="5BEA3512"/>
    <w:rsid w:val="5E8F6B1C"/>
    <w:rsid w:val="5FE13360"/>
    <w:rsid w:val="6D0340EA"/>
    <w:rsid w:val="6D2D34CD"/>
    <w:rsid w:val="6D8B2FC3"/>
    <w:rsid w:val="6DD23077"/>
    <w:rsid w:val="6F121859"/>
    <w:rsid w:val="717A31A0"/>
    <w:rsid w:val="71E464A8"/>
    <w:rsid w:val="73DB2A0E"/>
    <w:rsid w:val="73E41B9B"/>
    <w:rsid w:val="7745495D"/>
    <w:rsid w:val="780D20F0"/>
    <w:rsid w:val="792F4EE3"/>
    <w:rsid w:val="7BFF221C"/>
    <w:rsid w:val="7D713E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5">
    <w:name w:val="heading 1"/>
    <w:basedOn w:val="1"/>
    <w:next w:val="1"/>
    <w:qFormat/>
    <w:uiPriority w:val="0"/>
    <w:pPr>
      <w:keepNext/>
      <w:keepLines/>
      <w:spacing w:line="576" w:lineRule="auto"/>
      <w:outlineLvl w:val="0"/>
    </w:pPr>
    <w:rPr>
      <w:b/>
      <w:kern w:val="44"/>
      <w:sz w:val="44"/>
    </w:rPr>
  </w:style>
  <w:style w:type="paragraph" w:styleId="2">
    <w:name w:val="heading 2"/>
    <w:basedOn w:val="1"/>
    <w:next w:val="3"/>
    <w:qFormat/>
    <w:uiPriority w:val="0"/>
    <w:pPr>
      <w:spacing w:beforeAutospacing="1" w:afterAutospacing="1"/>
      <w:jc w:val="left"/>
      <w:outlineLvl w:val="1"/>
    </w:pPr>
    <w:rPr>
      <w:rFonts w:ascii="宋体" w:cs="Times New Roman"/>
      <w:b/>
      <w:kern w:val="0"/>
      <w:sz w:val="36"/>
      <w:szCs w:val="36"/>
    </w:rPr>
  </w:style>
  <w:style w:type="paragraph" w:styleId="6">
    <w:name w:val="heading 3"/>
    <w:basedOn w:val="1"/>
    <w:next w:val="1"/>
    <w:qFormat/>
    <w:uiPriority w:val="0"/>
    <w:pPr>
      <w:keepNext/>
      <w:keepLines/>
      <w:spacing w:line="413" w:lineRule="auto"/>
      <w:outlineLvl w:val="2"/>
    </w:pPr>
    <w:rPr>
      <w:b/>
      <w:sz w:val="32"/>
    </w:rPr>
  </w:style>
  <w:style w:type="character" w:default="1" w:styleId="24">
    <w:name w:val="Default Paragraph Font"/>
    <w:unhideWhenUsed/>
    <w:qFormat/>
    <w:uiPriority w:val="1"/>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customStyle="1" w:styleId="3">
    <w:name w:val="文档正文"/>
    <w:basedOn w:val="4"/>
    <w:qFormat/>
    <w:uiPriority w:val="0"/>
    <w:pPr>
      <w:spacing w:line="360" w:lineRule="auto"/>
    </w:pPr>
    <w:rPr>
      <w:rFonts w:ascii="宋体"/>
      <w:b/>
      <w:bCs/>
    </w:rPr>
  </w:style>
  <w:style w:type="paragraph" w:styleId="4">
    <w:name w:val="Normal Indent"/>
    <w:basedOn w:val="1"/>
    <w:next w:val="1"/>
    <w:qFormat/>
    <w:uiPriority w:val="0"/>
    <w:pPr>
      <w:ind w:firstLine="420"/>
    </w:pPr>
  </w:style>
  <w:style w:type="paragraph" w:styleId="7">
    <w:name w:val="index 8"/>
    <w:basedOn w:val="1"/>
    <w:next w:val="1"/>
    <w:qFormat/>
    <w:uiPriority w:val="0"/>
    <w:pPr>
      <w:ind w:left="1400" w:leftChars="1400"/>
    </w:pPr>
  </w:style>
  <w:style w:type="paragraph" w:styleId="8">
    <w:name w:val="annotation text"/>
    <w:basedOn w:val="1"/>
    <w:qFormat/>
    <w:uiPriority w:val="0"/>
    <w:pPr>
      <w:jc w:val="left"/>
    </w:pPr>
  </w:style>
  <w:style w:type="paragraph" w:styleId="9">
    <w:name w:val="Body Text"/>
    <w:basedOn w:val="1"/>
    <w:qFormat/>
    <w:uiPriority w:val="0"/>
    <w:pPr>
      <w:numPr>
        <w:ilvl w:val="0"/>
        <w:numId w:val="1"/>
      </w:numPr>
      <w:ind w:left="0" w:firstLine="0"/>
    </w:pPr>
    <w:rPr>
      <w:rFonts w:ascii="黑体" w:eastAsia="黑体"/>
      <w:sz w:val="22"/>
    </w:rPr>
  </w:style>
  <w:style w:type="paragraph" w:styleId="10">
    <w:name w:val="toc 3"/>
    <w:basedOn w:val="1"/>
    <w:next w:val="1"/>
    <w:qFormat/>
    <w:uiPriority w:val="0"/>
    <w:pPr>
      <w:ind w:left="400" w:leftChars="400"/>
    </w:pPr>
  </w:style>
  <w:style w:type="paragraph" w:styleId="11">
    <w:name w:val="Plain Text"/>
    <w:basedOn w:val="1"/>
    <w:next w:val="12"/>
    <w:qFormat/>
    <w:uiPriority w:val="0"/>
    <w:rPr>
      <w:rFonts w:ascii="宋体"/>
    </w:rPr>
  </w:style>
  <w:style w:type="paragraph" w:styleId="12">
    <w:name w:val="index 7"/>
    <w:basedOn w:val="1"/>
    <w:next w:val="1"/>
    <w:qFormat/>
    <w:uiPriority w:val="0"/>
    <w:pPr>
      <w:ind w:left="1200" w:leftChars="1200"/>
    </w:pPr>
  </w:style>
  <w:style w:type="paragraph" w:styleId="13">
    <w:name w:val="Date"/>
    <w:basedOn w:val="1"/>
    <w:next w:val="1"/>
    <w:qFormat/>
    <w:uiPriority w:val="0"/>
    <w:rPr>
      <w:szCs w:val="20"/>
    </w:rPr>
  </w:style>
  <w:style w:type="paragraph" w:styleId="14">
    <w:name w:val="Body Text Indent 2"/>
    <w:basedOn w:val="1"/>
    <w:qFormat/>
    <w:uiPriority w:val="0"/>
    <w:pPr>
      <w:spacing w:line="360" w:lineRule="auto"/>
      <w:ind w:firstLine="607"/>
    </w:pPr>
    <w:rPr>
      <w:rFonts w:ascii="楷体_GB2312" w:hAnsi="楷体_GB2312"/>
      <w:sz w:val="28"/>
      <w:szCs w:val="28"/>
    </w:rPr>
  </w:style>
  <w:style w:type="paragraph" w:styleId="15">
    <w:name w:val="Balloon Text"/>
    <w:basedOn w:val="1"/>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tabs>
        <w:tab w:val="center" w:pos="4153"/>
        <w:tab w:val="right" w:pos="8306"/>
      </w:tabs>
      <w:snapToGrid w:val="0"/>
    </w:pPr>
    <w:rPr>
      <w:sz w:val="18"/>
    </w:rPr>
  </w:style>
  <w:style w:type="paragraph" w:styleId="18">
    <w:name w:val="toc 1"/>
    <w:basedOn w:val="1"/>
    <w:next w:val="1"/>
    <w:qFormat/>
    <w:uiPriority w:val="0"/>
  </w:style>
  <w:style w:type="paragraph" w:styleId="19">
    <w:name w:val="footnote text"/>
    <w:basedOn w:val="1"/>
    <w:qFormat/>
    <w:uiPriority w:val="0"/>
    <w:pPr>
      <w:snapToGrid w:val="0"/>
      <w:jc w:val="left"/>
    </w:pPr>
    <w:rPr>
      <w:sz w:val="18"/>
    </w:rPr>
  </w:style>
  <w:style w:type="paragraph" w:styleId="20">
    <w:name w:val="toc 2"/>
    <w:basedOn w:val="1"/>
    <w:next w:val="1"/>
    <w:qFormat/>
    <w:uiPriority w:val="0"/>
    <w:pPr>
      <w:ind w:left="200" w:leftChars="200"/>
    </w:pPr>
  </w:style>
  <w:style w:type="paragraph" w:styleId="21">
    <w:name w:val="Normal (Web)"/>
    <w:basedOn w:val="1"/>
    <w:qFormat/>
    <w:uiPriority w:val="0"/>
    <w:pPr>
      <w:widowControl/>
      <w:spacing w:before="100" w:beforeAutospacing="1" w:after="100" w:afterAutospacing="1"/>
      <w:jc w:val="left"/>
    </w:pPr>
    <w:rPr>
      <w:rFonts w:ascii="宋体" w:cs="宋体"/>
      <w:kern w:val="0"/>
      <w:sz w:val="24"/>
    </w:rPr>
  </w:style>
  <w:style w:type="paragraph" w:styleId="22">
    <w:name w:val="Title"/>
    <w:basedOn w:val="1"/>
    <w:next w:val="1"/>
    <w:qFormat/>
    <w:uiPriority w:val="10"/>
    <w:pPr>
      <w:spacing w:before="240" w:after="60"/>
      <w:jc w:val="center"/>
      <w:outlineLvl w:val="0"/>
    </w:pPr>
    <w:rPr>
      <w:rFonts w:ascii="等线 Light" w:hAnsi="等线 Light" w:eastAsia="等线 Light" w:cs="Times New Roman"/>
      <w:b/>
      <w:bCs/>
      <w:sz w:val="32"/>
      <w:szCs w:val="32"/>
    </w:rPr>
  </w:style>
  <w:style w:type="character" w:styleId="25">
    <w:name w:val="Strong"/>
    <w:basedOn w:val="24"/>
    <w:qFormat/>
    <w:uiPriority w:val="0"/>
    <w:rPr>
      <w:rFonts w:cs="Times New Roman"/>
      <w:b/>
    </w:rPr>
  </w:style>
  <w:style w:type="character" w:styleId="26">
    <w:name w:val="Hyperlink"/>
    <w:basedOn w:val="24"/>
    <w:qFormat/>
    <w:uiPriority w:val="0"/>
    <w:rPr>
      <w:rFonts w:cs="Times New Roman"/>
      <w:color w:val="555555"/>
      <w:u w:val="none"/>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9">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5）标书正文 首行缩进2字符"/>
    <w:basedOn w:val="1"/>
    <w:qFormat/>
    <w:uiPriority w:val="0"/>
    <w:pPr>
      <w:spacing w:line="480" w:lineRule="exact"/>
      <w:ind w:firstLine="200" w:firstLineChars="200"/>
    </w:pPr>
    <w:rPr>
      <w:rFonts w:ascii="仿宋_GB2312" w:eastAsia="仿宋_GB2312"/>
      <w:sz w:val="28"/>
    </w:rPr>
  </w:style>
  <w:style w:type="character" w:customStyle="1" w:styleId="32">
    <w:name w:val="font21"/>
    <w:basedOn w:val="24"/>
    <w:qFormat/>
    <w:uiPriority w:val="0"/>
    <w:rPr>
      <w:rFonts w:ascii="宋体" w:eastAsia="宋体" w:cs="宋体"/>
      <w:color w:val="FF0000"/>
      <w:sz w:val="18"/>
      <w:szCs w:val="18"/>
      <w:u w:val="none"/>
    </w:rPr>
  </w:style>
  <w:style w:type="character" w:customStyle="1" w:styleId="33">
    <w:name w:val="font101"/>
    <w:basedOn w:val="24"/>
    <w:qFormat/>
    <w:uiPriority w:val="0"/>
    <w:rPr>
      <w:rFonts w:ascii="Calibri" w:hAnsi="Calibri" w:cs="Calibri"/>
      <w:color w:val="FF0000"/>
      <w:sz w:val="18"/>
      <w:szCs w:val="18"/>
      <w:u w:val="none"/>
    </w:rPr>
  </w:style>
  <w:style w:type="character" w:customStyle="1" w:styleId="34">
    <w:name w:val="font121"/>
    <w:basedOn w:val="24"/>
    <w:qFormat/>
    <w:uiPriority w:val="0"/>
    <w:rPr>
      <w:rFonts w:ascii="宋体" w:eastAsia="宋体" w:cs="宋体"/>
      <w:color w:val="FF0000"/>
      <w:sz w:val="22"/>
      <w:szCs w:val="22"/>
      <w:u w:val="none"/>
    </w:rPr>
  </w:style>
  <w:style w:type="character" w:customStyle="1" w:styleId="35">
    <w:name w:val="font11"/>
    <w:basedOn w:val="24"/>
    <w:qFormat/>
    <w:uiPriority w:val="0"/>
    <w:rPr>
      <w:rFonts w:ascii="Times New Roman" w:hAnsi="Times New Roman" w:cs="Times New Roman"/>
      <w:color w:val="FF0000"/>
      <w:sz w:val="22"/>
      <w:szCs w:val="22"/>
      <w:u w:val="none"/>
    </w:rPr>
  </w:style>
  <w:style w:type="character" w:customStyle="1" w:styleId="36">
    <w:name w:val="font41"/>
    <w:basedOn w:val="24"/>
    <w:qFormat/>
    <w:uiPriority w:val="0"/>
    <w:rPr>
      <w:rFonts w:ascii="宋体" w:eastAsia="宋体" w:cs="宋体"/>
      <w:color w:val="000000"/>
      <w:sz w:val="22"/>
      <w:szCs w:val="22"/>
      <w:u w:val="none"/>
    </w:rPr>
  </w:style>
  <w:style w:type="character" w:customStyle="1" w:styleId="37">
    <w:name w:val="font91"/>
    <w:basedOn w:val="24"/>
    <w:qFormat/>
    <w:uiPriority w:val="0"/>
    <w:rPr>
      <w:rFonts w:ascii="Times New Roman" w:hAnsi="Times New Roman" w:cs="Times New Roman"/>
      <w:color w:val="000000"/>
      <w:sz w:val="22"/>
      <w:szCs w:val="22"/>
      <w:u w:val="none"/>
    </w:rPr>
  </w:style>
  <w:style w:type="character" w:customStyle="1" w:styleId="38">
    <w:name w:val="font51"/>
    <w:basedOn w:val="24"/>
    <w:qFormat/>
    <w:uiPriority w:val="0"/>
    <w:rPr>
      <w:rFonts w:ascii="宋体" w:eastAsia="宋体" w:cs="宋体"/>
      <w:color w:val="000000"/>
      <w:sz w:val="18"/>
      <w:szCs w:val="18"/>
      <w:u w:val="none"/>
    </w:rPr>
  </w:style>
  <w:style w:type="character" w:customStyle="1" w:styleId="39">
    <w:name w:val="font01"/>
    <w:basedOn w:val="24"/>
    <w:qFormat/>
    <w:uiPriority w:val="0"/>
    <w:rPr>
      <w:rFonts w:ascii="宋体" w:eastAsia="宋体" w:cs="宋体"/>
      <w:b/>
      <w:color w:val="FF0000"/>
      <w:sz w:val="22"/>
      <w:szCs w:val="22"/>
      <w:u w:val="none"/>
    </w:rPr>
  </w:style>
  <w:style w:type="character" w:customStyle="1" w:styleId="40">
    <w:name w:val="font71"/>
    <w:basedOn w:val="24"/>
    <w:qFormat/>
    <w:uiPriority w:val="0"/>
    <w:rPr>
      <w:rFonts w:ascii="宋体" w:eastAsia="宋体" w:cs="宋体"/>
      <w:color w:val="000000"/>
      <w:sz w:val="18"/>
      <w:szCs w:val="18"/>
      <w:u w:val="none"/>
    </w:rPr>
  </w:style>
  <w:style w:type="character" w:customStyle="1" w:styleId="41">
    <w:name w:val="font31"/>
    <w:basedOn w:val="24"/>
    <w:qFormat/>
    <w:uiPriority w:val="0"/>
    <w:rPr>
      <w:rFonts w:hint="eastAsia" w:ascii="宋体" w:hAnsi="宋体" w:eastAsia="宋体" w:cs="宋体"/>
      <w:color w:val="000000"/>
      <w:sz w:val="18"/>
      <w:szCs w:val="18"/>
      <w:u w:val="none"/>
    </w:rPr>
  </w:style>
  <w:style w:type="paragraph" w:customStyle="1" w:styleId="42">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95</Pages>
  <Words>46779</Words>
  <Characters>51344</Characters>
  <Lines>275</Lines>
  <Paragraphs>77</Paragraphs>
  <TotalTime>0</TotalTime>
  <ScaleCrop>false</ScaleCrop>
  <LinksUpToDate>false</LinksUpToDate>
  <CharactersWithSpaces>53212</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2022-05-13T17:33:00Z</dcterms:created>
  <dc:creator>Administrator</dc:creator>
  <cp:lastModifiedBy>Administrator</cp:lastModifiedBy>
  <cp:lastPrinted>2022-06-10T12:58:00Z</cp:lastPrinted>
  <dcterms:modified xsi:type="dcterms:W3CDTF">2022-10-25T05:28:29Z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2EDD641489C64B20A33EE7D4A47FD5C5</vt:lpwstr>
  </property>
</Properties>
</file>